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87DB373" w14:textId="2AB97CC4" w:rsidR="00CA3CBA" w:rsidRPr="004A1599" w:rsidRDefault="00B46AA3" w:rsidP="005B1078">
      <w:pPr>
        <w:pStyle w:val="Encabezado"/>
        <w:tabs>
          <w:tab w:val="clear" w:pos="8504"/>
          <w:tab w:val="left" w:pos="2977"/>
        </w:tabs>
        <w:ind w:left="0"/>
        <w:jc w:val="both"/>
        <w:rPr>
          <w:rFonts w:ascii="Bookman Old Style" w:hAnsi="Bookman Old Style"/>
          <w:color w:val="000000" w:themeColor="text1"/>
          <w:szCs w:val="24"/>
          <w:lang w:val="es-ES"/>
        </w:rPr>
      </w:pPr>
      <w:bookmarkStart w:id="0" w:name="_GoBack"/>
      <w:bookmarkEnd w:id="0"/>
      <w:r>
        <w:rPr>
          <w:rFonts w:ascii="Bookman Old Style" w:hAnsi="Bookman Old Style"/>
          <w:noProof/>
          <w:color w:val="000000" w:themeColor="text1"/>
          <w:szCs w:val="24"/>
          <w:highlight w:val="magenta"/>
          <w:lang w:val="es-ES"/>
        </w:rPr>
        <w:pict w14:anchorId="3B535D7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2.4pt;margin-top:-54.25pt;width:52.5pt;height:48.75pt;z-index:251657728" fillcolor="#0c9">
            <v:imagedata r:id="rId9" o:title=""/>
          </v:shape>
        </w:pict>
      </w:r>
    </w:p>
    <w:p w14:paraId="795A1053" w14:textId="232A5988" w:rsidR="00625DC6" w:rsidRPr="004A1599" w:rsidRDefault="00625DC6" w:rsidP="00683F0F">
      <w:pPr>
        <w:pStyle w:val="Encabezado"/>
        <w:tabs>
          <w:tab w:val="clear" w:pos="8504"/>
        </w:tabs>
        <w:ind w:left="0"/>
        <w:jc w:val="center"/>
        <w:rPr>
          <w:rFonts w:ascii="Bookman Old Style" w:hAnsi="Bookman Old Style"/>
          <w:color w:val="000000" w:themeColor="text1"/>
          <w:szCs w:val="24"/>
          <w:lang w:val="es-ES"/>
        </w:rPr>
      </w:pPr>
    </w:p>
    <w:p w14:paraId="3183652F" w14:textId="77777777" w:rsidR="00F813A4" w:rsidRPr="004A1599" w:rsidRDefault="00F813A4" w:rsidP="005B1078">
      <w:pPr>
        <w:pStyle w:val="Encabezado"/>
        <w:tabs>
          <w:tab w:val="clear" w:pos="8504"/>
        </w:tabs>
        <w:ind w:left="0"/>
        <w:jc w:val="both"/>
        <w:rPr>
          <w:rFonts w:ascii="Bookman Old Style" w:hAnsi="Bookman Old Style"/>
          <w:color w:val="000000" w:themeColor="text1"/>
          <w:szCs w:val="24"/>
          <w:lang w:val="es-ES"/>
        </w:rPr>
      </w:pPr>
    </w:p>
    <w:p w14:paraId="1E42AE9E" w14:textId="77777777" w:rsidR="00F813A4" w:rsidRPr="004A1599" w:rsidRDefault="00F813A4" w:rsidP="005B1078">
      <w:pPr>
        <w:pStyle w:val="Ttulo4"/>
        <w:ind w:left="0"/>
        <w:rPr>
          <w:rFonts w:ascii="Bookman Old Style" w:hAnsi="Bookman Old Style"/>
          <w:b w:val="0"/>
          <w:bCs/>
          <w:noProof/>
          <w:sz w:val="24"/>
          <w:szCs w:val="24"/>
          <w:lang w:val="es-ES"/>
        </w:rPr>
      </w:pPr>
      <w:r w:rsidRPr="004A1599">
        <w:rPr>
          <w:rFonts w:ascii="Bookman Old Style" w:hAnsi="Bookman Old Style"/>
          <w:b w:val="0"/>
          <w:bCs/>
          <w:sz w:val="24"/>
          <w:szCs w:val="24"/>
        </w:rPr>
        <w:t>Ministerio de Minas y Energía</w:t>
      </w:r>
    </w:p>
    <w:p w14:paraId="7F31AFE6" w14:textId="77777777" w:rsidR="00F813A4" w:rsidRPr="004A1599" w:rsidRDefault="00F813A4" w:rsidP="005B1078">
      <w:pPr>
        <w:pStyle w:val="Ttulo4"/>
        <w:ind w:left="0"/>
        <w:rPr>
          <w:rFonts w:ascii="Bookman Old Style" w:hAnsi="Bookman Old Style"/>
          <w:b w:val="0"/>
          <w:bCs/>
          <w:sz w:val="24"/>
          <w:szCs w:val="24"/>
        </w:rPr>
      </w:pPr>
    </w:p>
    <w:p w14:paraId="3035F5DA" w14:textId="77777777" w:rsidR="00F813A4" w:rsidRPr="004A1599" w:rsidRDefault="00F813A4" w:rsidP="005B1078">
      <w:pPr>
        <w:pStyle w:val="Ttulo3"/>
        <w:ind w:left="0"/>
        <w:rPr>
          <w:rFonts w:ascii="Bookman Old Style" w:hAnsi="Bookman Old Style" w:cs="Arial"/>
          <w:spacing w:val="20"/>
          <w:szCs w:val="24"/>
        </w:rPr>
      </w:pPr>
      <w:r w:rsidRPr="004A1599">
        <w:rPr>
          <w:rFonts w:ascii="Bookman Old Style" w:hAnsi="Bookman Old Style" w:cs="Arial"/>
          <w:spacing w:val="20"/>
          <w:szCs w:val="24"/>
        </w:rPr>
        <w:t>COMISIÓN DE REGULACIÓN DE ENERGÍA Y GAS</w:t>
      </w:r>
    </w:p>
    <w:p w14:paraId="21258A3C" w14:textId="77777777" w:rsidR="00F813A4" w:rsidRPr="004A1599" w:rsidRDefault="00F813A4" w:rsidP="005B1078">
      <w:pPr>
        <w:pStyle w:val="Ttulo5"/>
        <w:ind w:left="0"/>
        <w:rPr>
          <w:rFonts w:ascii="Bookman Old Style" w:hAnsi="Bookman Old Style"/>
          <w:sz w:val="24"/>
          <w:szCs w:val="24"/>
        </w:rPr>
      </w:pPr>
    </w:p>
    <w:p w14:paraId="3834D1B3" w14:textId="77777777" w:rsidR="00F813A4" w:rsidRPr="004A1599" w:rsidRDefault="00F813A4" w:rsidP="005B1078">
      <w:pPr>
        <w:pStyle w:val="Ttulo5"/>
        <w:ind w:left="0"/>
        <w:rPr>
          <w:rFonts w:ascii="Bookman Old Style" w:hAnsi="Bookman Old Style"/>
          <w:sz w:val="24"/>
          <w:szCs w:val="24"/>
        </w:rPr>
      </w:pPr>
    </w:p>
    <w:p w14:paraId="5D5D98D1" w14:textId="5AE711FF" w:rsidR="00F813A4" w:rsidRPr="004A1599" w:rsidRDefault="00F813A4" w:rsidP="005B1078">
      <w:pPr>
        <w:pStyle w:val="Ttulo5"/>
        <w:ind w:left="0"/>
        <w:rPr>
          <w:rFonts w:ascii="Bookman Old Style" w:hAnsi="Bookman Old Style"/>
          <w:sz w:val="24"/>
          <w:szCs w:val="24"/>
        </w:rPr>
      </w:pPr>
      <w:r w:rsidRPr="004A1599">
        <w:rPr>
          <w:rFonts w:ascii="Bookman Old Style" w:hAnsi="Bookman Old Style"/>
          <w:sz w:val="24"/>
          <w:szCs w:val="24"/>
        </w:rPr>
        <w:t>RESOLUCIÓN No.                   DE 201</w:t>
      </w:r>
      <w:r w:rsidR="00C76BDF">
        <w:rPr>
          <w:rFonts w:ascii="Bookman Old Style" w:hAnsi="Bookman Old Style"/>
          <w:sz w:val="24"/>
          <w:szCs w:val="24"/>
        </w:rPr>
        <w:t>5</w:t>
      </w:r>
    </w:p>
    <w:p w14:paraId="6ABC6D21" w14:textId="77777777" w:rsidR="00F813A4" w:rsidRPr="004A1599" w:rsidRDefault="00F813A4" w:rsidP="005B1078">
      <w:pPr>
        <w:ind w:left="0"/>
        <w:jc w:val="center"/>
        <w:rPr>
          <w:rFonts w:ascii="Bookman Old Style" w:hAnsi="Bookman Old Style" w:cs="Arial"/>
          <w:b/>
          <w:snapToGrid w:val="0"/>
          <w:color w:val="000000"/>
          <w:lang w:val="es-ES_tradnl"/>
        </w:rPr>
      </w:pPr>
    </w:p>
    <w:p w14:paraId="59B377B5" w14:textId="77777777" w:rsidR="00F813A4" w:rsidRPr="004A1599" w:rsidRDefault="00F813A4" w:rsidP="005B1078">
      <w:pPr>
        <w:pStyle w:val="Ttulo3"/>
        <w:ind w:left="0"/>
        <w:rPr>
          <w:rFonts w:ascii="Bookman Old Style" w:hAnsi="Bookman Old Style"/>
          <w:b w:val="0"/>
          <w:szCs w:val="24"/>
        </w:rPr>
      </w:pPr>
      <w:r w:rsidRPr="004A1599">
        <w:rPr>
          <w:rFonts w:ascii="Bookman Old Style" w:hAnsi="Bookman Old Style"/>
          <w:b w:val="0"/>
          <w:szCs w:val="24"/>
        </w:rPr>
        <w:t>(                                  )</w:t>
      </w:r>
    </w:p>
    <w:p w14:paraId="209B77C7" w14:textId="77777777" w:rsidR="00F813A4" w:rsidRPr="004A1599" w:rsidRDefault="00F813A4" w:rsidP="005B1078">
      <w:pPr>
        <w:ind w:left="0"/>
        <w:rPr>
          <w:rFonts w:ascii="Bookman Old Style" w:hAnsi="Bookman Old Style"/>
          <w:bCs/>
          <w:lang w:val="es-CO"/>
        </w:rPr>
      </w:pPr>
    </w:p>
    <w:p w14:paraId="074EC6D7" w14:textId="77777777" w:rsidR="00F813A4" w:rsidRDefault="00F813A4" w:rsidP="005B1078">
      <w:pPr>
        <w:ind w:left="0"/>
        <w:rPr>
          <w:rFonts w:ascii="Bookman Old Style" w:hAnsi="Bookman Old Style"/>
          <w:bCs/>
          <w:lang w:val="es-CO"/>
        </w:rPr>
      </w:pPr>
    </w:p>
    <w:p w14:paraId="22EF1291" w14:textId="77777777" w:rsidR="004B0382" w:rsidRPr="004A1599" w:rsidRDefault="004B0382" w:rsidP="005B1078">
      <w:pPr>
        <w:ind w:left="0"/>
        <w:rPr>
          <w:rFonts w:ascii="Bookman Old Style" w:hAnsi="Bookman Old Style"/>
          <w:bCs/>
          <w:lang w:val="es-CO"/>
        </w:rPr>
      </w:pPr>
    </w:p>
    <w:p w14:paraId="716BB5E6" w14:textId="7637F555" w:rsidR="00F813A4" w:rsidRPr="004A1599" w:rsidRDefault="00F813A4" w:rsidP="005B1078">
      <w:pPr>
        <w:ind w:left="0"/>
        <w:jc w:val="center"/>
        <w:rPr>
          <w:rFonts w:ascii="Bookman Old Style" w:hAnsi="Bookman Old Style" w:cs="Arial"/>
          <w:b/>
          <w:bCs/>
          <w:color w:val="000000" w:themeColor="text1"/>
          <w:lang w:eastAsia="es-CO"/>
        </w:rPr>
      </w:pPr>
      <w:r w:rsidRPr="004A1599">
        <w:rPr>
          <w:rFonts w:ascii="Bookman Old Style" w:hAnsi="Bookman Old Style" w:cs="Arial"/>
          <w:color w:val="000000" w:themeColor="text1"/>
          <w:lang w:eastAsia="es-CO"/>
        </w:rPr>
        <w:t>Por la cual se dictan disposiciones para la comercialización de gas natural en el año 201</w:t>
      </w:r>
      <w:r w:rsidR="00606C68">
        <w:rPr>
          <w:rFonts w:ascii="Bookman Old Style" w:hAnsi="Bookman Old Style" w:cs="Arial"/>
          <w:color w:val="000000" w:themeColor="text1"/>
          <w:lang w:eastAsia="es-CO"/>
        </w:rPr>
        <w:t>5</w:t>
      </w:r>
    </w:p>
    <w:p w14:paraId="742EECC3" w14:textId="5BCB6013" w:rsidR="00F813A4" w:rsidRPr="004A1599" w:rsidRDefault="00F813A4" w:rsidP="005B1078">
      <w:pPr>
        <w:ind w:left="0"/>
        <w:jc w:val="center"/>
        <w:rPr>
          <w:rFonts w:ascii="Bookman Old Style" w:hAnsi="Bookman Old Style"/>
        </w:rPr>
      </w:pPr>
    </w:p>
    <w:p w14:paraId="2AD54806" w14:textId="77777777" w:rsidR="00F813A4" w:rsidRPr="004A1599" w:rsidRDefault="00F813A4" w:rsidP="005B1078">
      <w:pPr>
        <w:ind w:left="0"/>
        <w:jc w:val="center"/>
        <w:rPr>
          <w:rFonts w:ascii="Bookman Old Style" w:hAnsi="Bookman Old Style"/>
        </w:rPr>
      </w:pPr>
    </w:p>
    <w:p w14:paraId="5338D729" w14:textId="77777777" w:rsidR="00F813A4" w:rsidRPr="004A1599" w:rsidRDefault="00F813A4" w:rsidP="005B1078">
      <w:pPr>
        <w:ind w:left="0"/>
        <w:jc w:val="center"/>
        <w:rPr>
          <w:rFonts w:ascii="Bookman Old Style" w:hAnsi="Bookman Old Style"/>
          <w:b/>
        </w:rPr>
      </w:pPr>
      <w:r w:rsidRPr="004A1599">
        <w:rPr>
          <w:rFonts w:ascii="Bookman Old Style" w:hAnsi="Bookman Old Style"/>
          <w:b/>
        </w:rPr>
        <w:t>LA COMISIÓN DE REGULACIÓN DE  ENERGÍA Y GAS</w:t>
      </w:r>
    </w:p>
    <w:p w14:paraId="46A31696" w14:textId="77777777" w:rsidR="00F813A4" w:rsidRPr="004A1599" w:rsidRDefault="00F813A4" w:rsidP="005B1078">
      <w:pPr>
        <w:ind w:left="0"/>
        <w:rPr>
          <w:rFonts w:ascii="Bookman Old Style" w:hAnsi="Bookman Old Style"/>
        </w:rPr>
      </w:pPr>
    </w:p>
    <w:p w14:paraId="79A65866" w14:textId="77777777" w:rsidR="00F813A4" w:rsidRPr="004A1599" w:rsidRDefault="00F813A4" w:rsidP="005B1078">
      <w:pPr>
        <w:ind w:left="0"/>
        <w:rPr>
          <w:rFonts w:ascii="Bookman Old Style" w:hAnsi="Bookman Old Style"/>
        </w:rPr>
      </w:pPr>
    </w:p>
    <w:p w14:paraId="7D9A2E12" w14:textId="4CFFB1B1" w:rsidR="00F813A4" w:rsidRPr="004A1599" w:rsidRDefault="00F813A4" w:rsidP="005B1078">
      <w:pPr>
        <w:pStyle w:val="Textoindependiente3"/>
        <w:ind w:left="0"/>
        <w:rPr>
          <w:rFonts w:ascii="Bookman Old Style" w:hAnsi="Bookman Old Style"/>
          <w:b w:val="0"/>
        </w:rPr>
      </w:pPr>
      <w:r w:rsidRPr="004A1599">
        <w:rPr>
          <w:rFonts w:ascii="Bookman Old Style" w:hAnsi="Bookman Old Style"/>
          <w:b w:val="0"/>
        </w:rPr>
        <w:t>En ejercicio de sus atribuciones constitucionales y legales, en especial las conferidas por la Ley 142 de 1994, y en desarrollo de</w:t>
      </w:r>
      <w:r w:rsidR="00C76BDF">
        <w:rPr>
          <w:rFonts w:ascii="Bookman Old Style" w:hAnsi="Bookman Old Style"/>
          <w:b w:val="0"/>
          <w:lang w:val="es-CO"/>
        </w:rPr>
        <w:t xml:space="preserve"> </w:t>
      </w:r>
      <w:r w:rsidRPr="004A1599">
        <w:rPr>
          <w:rFonts w:ascii="Bookman Old Style" w:hAnsi="Bookman Old Style"/>
          <w:b w:val="0"/>
        </w:rPr>
        <w:t>l</w:t>
      </w:r>
      <w:r w:rsidR="00C76BDF">
        <w:rPr>
          <w:rFonts w:ascii="Bookman Old Style" w:hAnsi="Bookman Old Style"/>
          <w:b w:val="0"/>
          <w:lang w:val="es-CO"/>
        </w:rPr>
        <w:t>os</w:t>
      </w:r>
      <w:r w:rsidRPr="004A1599">
        <w:rPr>
          <w:rFonts w:ascii="Bookman Old Style" w:hAnsi="Bookman Old Style"/>
          <w:b w:val="0"/>
          <w:lang w:val="es-CO"/>
        </w:rPr>
        <w:t xml:space="preserve"> </w:t>
      </w:r>
      <w:r w:rsidR="005A2E94">
        <w:rPr>
          <w:rFonts w:ascii="Bookman Old Style" w:hAnsi="Bookman Old Style"/>
          <w:b w:val="0"/>
          <w:lang w:val="es-CO"/>
        </w:rPr>
        <w:t>decretos</w:t>
      </w:r>
      <w:r w:rsidR="005A2E94" w:rsidRPr="004A1599">
        <w:rPr>
          <w:rFonts w:ascii="Bookman Old Style" w:hAnsi="Bookman Old Style"/>
          <w:b w:val="0"/>
        </w:rPr>
        <w:t xml:space="preserve"> </w:t>
      </w:r>
      <w:r w:rsidRPr="004A1599">
        <w:rPr>
          <w:rFonts w:ascii="Bookman Old Style" w:hAnsi="Bookman Old Style"/>
          <w:b w:val="0"/>
        </w:rPr>
        <w:t>2253 de 1994</w:t>
      </w:r>
      <w:r w:rsidR="00C76BDF">
        <w:rPr>
          <w:rFonts w:ascii="Bookman Old Style" w:hAnsi="Bookman Old Style"/>
          <w:b w:val="0"/>
          <w:lang w:val="es-CO"/>
        </w:rPr>
        <w:t xml:space="preserve"> y 1260 de 2013</w:t>
      </w:r>
      <w:r w:rsidRPr="004A1599">
        <w:rPr>
          <w:rFonts w:ascii="Bookman Old Style" w:hAnsi="Bookman Old Style"/>
          <w:b w:val="0"/>
          <w:lang w:val="es-CO"/>
        </w:rPr>
        <w:t xml:space="preserve"> y</w:t>
      </w:r>
    </w:p>
    <w:p w14:paraId="1EE673D5" w14:textId="77777777" w:rsidR="00F813A4" w:rsidRPr="004A1599" w:rsidRDefault="00F813A4" w:rsidP="005B1078">
      <w:pPr>
        <w:ind w:left="0"/>
        <w:rPr>
          <w:rFonts w:ascii="Bookman Old Style" w:hAnsi="Bookman Old Style"/>
        </w:rPr>
      </w:pPr>
    </w:p>
    <w:p w14:paraId="09F67FA2" w14:textId="77777777" w:rsidR="00F813A4" w:rsidRPr="004A1599" w:rsidRDefault="00F813A4" w:rsidP="005B1078">
      <w:pPr>
        <w:ind w:left="0"/>
        <w:rPr>
          <w:rFonts w:ascii="Bookman Old Style" w:hAnsi="Bookman Old Style"/>
        </w:rPr>
      </w:pPr>
    </w:p>
    <w:p w14:paraId="508B27BE" w14:textId="77777777" w:rsidR="00F813A4" w:rsidRPr="004A1599" w:rsidRDefault="00F813A4" w:rsidP="005B1078">
      <w:pPr>
        <w:ind w:left="0"/>
        <w:jc w:val="center"/>
        <w:rPr>
          <w:rFonts w:ascii="Bookman Old Style" w:hAnsi="Bookman Old Style"/>
          <w:b/>
        </w:rPr>
      </w:pPr>
      <w:r w:rsidRPr="004A1599">
        <w:rPr>
          <w:rFonts w:ascii="Bookman Old Style" w:hAnsi="Bookman Old Style"/>
          <w:b/>
        </w:rPr>
        <w:t>C O N S I D E R A N D O  Q U E:</w:t>
      </w:r>
    </w:p>
    <w:p w14:paraId="05807F37" w14:textId="77777777" w:rsidR="00F813A4" w:rsidRPr="004A1599" w:rsidRDefault="00F813A4" w:rsidP="005B1078">
      <w:pPr>
        <w:ind w:left="0"/>
        <w:jc w:val="center"/>
        <w:rPr>
          <w:rFonts w:ascii="Bookman Old Style" w:hAnsi="Bookman Old Style"/>
          <w:b/>
        </w:rPr>
      </w:pPr>
    </w:p>
    <w:p w14:paraId="1202B559" w14:textId="77777777" w:rsidR="00CD5DB7" w:rsidRPr="0000654F" w:rsidRDefault="00CD5DB7" w:rsidP="005B1078">
      <w:pPr>
        <w:ind w:left="0"/>
        <w:jc w:val="both"/>
        <w:rPr>
          <w:rFonts w:ascii="Bookman Old Style" w:hAnsi="Bookman Old Style" w:cs="Arial"/>
          <w:color w:val="000000" w:themeColor="text1"/>
          <w:sz w:val="32"/>
          <w:lang w:val="pt-BR"/>
        </w:rPr>
      </w:pPr>
    </w:p>
    <w:p w14:paraId="14E5A2C4" w14:textId="07046D00" w:rsidR="00CE03C4" w:rsidRPr="00CE03C4" w:rsidRDefault="00CE03C4" w:rsidP="00CE03C4">
      <w:pPr>
        <w:ind w:left="0"/>
        <w:jc w:val="both"/>
        <w:rPr>
          <w:rFonts w:ascii="Bookman Old Style" w:hAnsi="Bookman Old Style" w:cs="Arial"/>
          <w:color w:val="000000" w:themeColor="text1"/>
        </w:rPr>
      </w:pPr>
      <w:r w:rsidRPr="00CE03C4">
        <w:rPr>
          <w:rFonts w:ascii="Bookman Old Style" w:hAnsi="Bookman Old Style" w:cs="Arial"/>
          <w:color w:val="000000" w:themeColor="text1"/>
        </w:rPr>
        <w:t xml:space="preserve">Con fundamento en las distintas normas y consideraciones contenidas en la parte </w:t>
      </w:r>
      <w:r w:rsidR="00E40453">
        <w:rPr>
          <w:rFonts w:ascii="Bookman Old Style" w:hAnsi="Bookman Old Style" w:cs="Arial"/>
          <w:color w:val="000000" w:themeColor="text1"/>
        </w:rPr>
        <w:t>motiva</w:t>
      </w:r>
      <w:r w:rsidRPr="00CE03C4">
        <w:rPr>
          <w:rFonts w:ascii="Bookman Old Style" w:hAnsi="Bookman Old Style" w:cs="Arial"/>
          <w:color w:val="000000" w:themeColor="text1"/>
        </w:rPr>
        <w:t xml:space="preserve"> de la Resolución CREG 089 de 2013, mediante dicho acto administrativo la CREG reglamentó aspectos comerciales del mercado mayorista de gas natural, que hacen parte del reglamento de operación de gas natural.</w:t>
      </w:r>
    </w:p>
    <w:p w14:paraId="48A1F12D" w14:textId="77777777" w:rsidR="00CE03C4" w:rsidRPr="00CE03C4" w:rsidRDefault="00CE03C4" w:rsidP="00CE03C4">
      <w:pPr>
        <w:ind w:left="0"/>
        <w:jc w:val="both"/>
        <w:rPr>
          <w:rFonts w:ascii="Bookman Old Style" w:hAnsi="Bookman Old Style" w:cs="Arial"/>
          <w:color w:val="000000" w:themeColor="text1"/>
        </w:rPr>
      </w:pPr>
    </w:p>
    <w:p w14:paraId="07AE1921" w14:textId="77777777" w:rsidR="00CE03C4" w:rsidRPr="00CE03C4" w:rsidRDefault="00CE03C4" w:rsidP="00CE03C4">
      <w:pPr>
        <w:ind w:left="0"/>
        <w:jc w:val="both"/>
        <w:rPr>
          <w:rFonts w:ascii="Bookman Old Style" w:hAnsi="Bookman Old Style" w:cs="Arial"/>
          <w:color w:val="000000" w:themeColor="text1"/>
        </w:rPr>
      </w:pPr>
      <w:r w:rsidRPr="00CE03C4">
        <w:rPr>
          <w:rFonts w:ascii="Bookman Old Style" w:hAnsi="Bookman Old Style" w:cs="Arial"/>
          <w:color w:val="000000" w:themeColor="text1"/>
        </w:rPr>
        <w:t>El Título III de dicha resolución aborda aspectos comerciales del mercado primario de gas natural y en el Capítulo IV del mismo título establece los lineamientos para la comercialización de gas natural en dicho mercado.</w:t>
      </w:r>
    </w:p>
    <w:p w14:paraId="3D06A8EE" w14:textId="77777777" w:rsidR="00CE03C4" w:rsidRPr="00CE03C4" w:rsidRDefault="00CE03C4" w:rsidP="00CE03C4">
      <w:pPr>
        <w:ind w:left="0"/>
        <w:jc w:val="both"/>
        <w:rPr>
          <w:rFonts w:ascii="Bookman Old Style" w:hAnsi="Bookman Old Style" w:cs="Arial"/>
          <w:color w:val="000000" w:themeColor="text1"/>
        </w:rPr>
      </w:pPr>
    </w:p>
    <w:p w14:paraId="438B972A" w14:textId="77777777" w:rsidR="00CE03C4" w:rsidRPr="00CE03C4" w:rsidRDefault="00CE03C4" w:rsidP="00CE03C4">
      <w:pPr>
        <w:ind w:left="0"/>
        <w:jc w:val="both"/>
        <w:rPr>
          <w:rFonts w:ascii="Bookman Old Style" w:hAnsi="Bookman Old Style" w:cs="Arial"/>
          <w:color w:val="000000" w:themeColor="text1"/>
        </w:rPr>
      </w:pPr>
      <w:r w:rsidRPr="00CE03C4">
        <w:rPr>
          <w:rFonts w:ascii="Bookman Old Style" w:hAnsi="Bookman Old Style" w:cs="Arial"/>
          <w:color w:val="000000" w:themeColor="text1"/>
        </w:rPr>
        <w:t>El artículo 24 de la Resolución CREG 089 de 2013 determina que cuando el balance realizado por la UPME muestre que la oferta de gas natural es superior a la demanda de gas natural, en al menos tres (3) de los cinco (5) años siguientes al momento del análisis, se deberá dar aplicación al mecanismo de negociación directa durante un período definido, conforme a lo dispuesto en el artículo 25 de la misma resolución.</w:t>
      </w:r>
    </w:p>
    <w:p w14:paraId="5D3304E4" w14:textId="77777777" w:rsidR="00CE03C4" w:rsidRDefault="00CE03C4" w:rsidP="00CE03C4">
      <w:pPr>
        <w:ind w:left="0"/>
        <w:jc w:val="both"/>
        <w:rPr>
          <w:rFonts w:ascii="Bookman Old Style" w:hAnsi="Bookman Old Style" w:cs="Arial"/>
          <w:color w:val="000000" w:themeColor="text1"/>
        </w:rPr>
      </w:pPr>
    </w:p>
    <w:p w14:paraId="794A08FB" w14:textId="3A99052F" w:rsidR="00606C68" w:rsidRDefault="00606C68" w:rsidP="00CE03C4">
      <w:pPr>
        <w:ind w:left="0"/>
        <w:jc w:val="both"/>
        <w:rPr>
          <w:rFonts w:ascii="Bookman Old Style" w:hAnsi="Bookman Old Style" w:cs="Arial"/>
          <w:color w:val="000000" w:themeColor="text1"/>
        </w:rPr>
      </w:pPr>
      <w:r>
        <w:rPr>
          <w:rFonts w:ascii="Bookman Old Style" w:hAnsi="Bookman Old Style" w:cs="Arial"/>
          <w:color w:val="000000" w:themeColor="text1"/>
        </w:rPr>
        <w:t xml:space="preserve">Mediante </w:t>
      </w:r>
      <w:r w:rsidRPr="00606C68">
        <w:rPr>
          <w:rFonts w:ascii="Bookman Old Style" w:hAnsi="Bookman Old Style" w:cs="Arial"/>
          <w:color w:val="000000" w:themeColor="text1"/>
        </w:rPr>
        <w:t>el artículo 3 de la Resolución 122 de 2014</w:t>
      </w:r>
      <w:r>
        <w:rPr>
          <w:rFonts w:ascii="Bookman Old Style" w:hAnsi="Bookman Old Style" w:cs="Arial"/>
          <w:color w:val="000000" w:themeColor="text1"/>
        </w:rPr>
        <w:t xml:space="preserve"> se modificó el artículo 24 de la Resolución CREG 089 de 2013, cambiando para el análisis del </w:t>
      </w:r>
      <w:r w:rsidR="00711391">
        <w:rPr>
          <w:rFonts w:ascii="Bookman Old Style" w:hAnsi="Bookman Old Style" w:cs="Arial"/>
          <w:color w:val="000000" w:themeColor="text1"/>
        </w:rPr>
        <w:t xml:space="preserve">balance de gas natural </w:t>
      </w:r>
      <w:r>
        <w:rPr>
          <w:rFonts w:ascii="Bookman Old Style" w:hAnsi="Bookman Old Style" w:cs="Arial"/>
          <w:color w:val="000000" w:themeColor="text1"/>
        </w:rPr>
        <w:t xml:space="preserve">el escenario de demanda </w:t>
      </w:r>
      <w:r w:rsidR="00711391">
        <w:rPr>
          <w:rFonts w:ascii="Bookman Old Style" w:hAnsi="Bookman Old Style" w:cs="Arial"/>
          <w:color w:val="000000" w:themeColor="text1"/>
        </w:rPr>
        <w:t>baja por escenario de demanda media, el cual es del de mayor probabilidad de ocurrencia.</w:t>
      </w:r>
    </w:p>
    <w:p w14:paraId="28478D7B" w14:textId="77777777" w:rsidR="00606C68" w:rsidRPr="00CE03C4" w:rsidRDefault="00606C68" w:rsidP="00CE03C4">
      <w:pPr>
        <w:ind w:left="0"/>
        <w:jc w:val="both"/>
        <w:rPr>
          <w:rFonts w:ascii="Bookman Old Style" w:hAnsi="Bookman Old Style" w:cs="Arial"/>
          <w:color w:val="000000" w:themeColor="text1"/>
        </w:rPr>
      </w:pPr>
    </w:p>
    <w:p w14:paraId="094F887B" w14:textId="77777777" w:rsidR="00CE03C4" w:rsidRPr="00CE03C4" w:rsidRDefault="00CE03C4" w:rsidP="00CE03C4">
      <w:pPr>
        <w:ind w:left="0"/>
        <w:jc w:val="both"/>
        <w:rPr>
          <w:rFonts w:ascii="Bookman Old Style" w:hAnsi="Bookman Old Style" w:cs="Arial"/>
          <w:color w:val="000000" w:themeColor="text1"/>
        </w:rPr>
      </w:pPr>
      <w:r w:rsidRPr="00CE03C4">
        <w:rPr>
          <w:rFonts w:ascii="Bookman Old Style" w:hAnsi="Bookman Old Style" w:cs="Arial"/>
          <w:color w:val="000000" w:themeColor="text1"/>
        </w:rPr>
        <w:lastRenderedPageBreak/>
        <w:t>El Título IV de la Resolución CREG 089 de 2013 aborda aspectos comerciales del mercado secundario.</w:t>
      </w:r>
    </w:p>
    <w:p w14:paraId="4B338E81" w14:textId="77777777" w:rsidR="00CE03C4" w:rsidRPr="00CE03C4" w:rsidRDefault="00CE03C4" w:rsidP="00CE03C4">
      <w:pPr>
        <w:ind w:left="0"/>
        <w:jc w:val="both"/>
        <w:rPr>
          <w:rFonts w:ascii="Bookman Old Style" w:hAnsi="Bookman Old Style" w:cs="Arial"/>
          <w:color w:val="000000" w:themeColor="text1"/>
        </w:rPr>
      </w:pPr>
    </w:p>
    <w:p w14:paraId="13EED112" w14:textId="00AB5EA1" w:rsidR="00CE03C4" w:rsidRPr="00CE03C4" w:rsidRDefault="00CE03C4" w:rsidP="00CE03C4">
      <w:pPr>
        <w:ind w:left="0"/>
        <w:jc w:val="both"/>
        <w:rPr>
          <w:rFonts w:ascii="Bookman Old Style" w:hAnsi="Bookman Old Style" w:cs="Arial"/>
          <w:color w:val="000000" w:themeColor="text1"/>
        </w:rPr>
      </w:pPr>
      <w:r w:rsidRPr="00CE03C4">
        <w:rPr>
          <w:rFonts w:ascii="Bookman Old Style" w:hAnsi="Bookman Old Style" w:cs="Arial"/>
          <w:color w:val="000000" w:themeColor="text1"/>
        </w:rPr>
        <w:t xml:space="preserve">El Anexo </w:t>
      </w:r>
      <w:r w:rsidR="00711391">
        <w:rPr>
          <w:rFonts w:ascii="Bookman Old Style" w:hAnsi="Bookman Old Style" w:cs="Arial"/>
          <w:color w:val="000000" w:themeColor="text1"/>
        </w:rPr>
        <w:t>6</w:t>
      </w:r>
      <w:r w:rsidRPr="00CE03C4">
        <w:rPr>
          <w:rFonts w:ascii="Bookman Old Style" w:hAnsi="Bookman Old Style" w:cs="Arial"/>
          <w:color w:val="000000" w:themeColor="text1"/>
        </w:rPr>
        <w:t xml:space="preserve"> de la Resolución CREG 089 de 2013 establece disposiciones relativas al mecanismo de </w:t>
      </w:r>
      <w:r w:rsidR="00711391">
        <w:rPr>
          <w:rFonts w:ascii="Bookman Old Style" w:hAnsi="Bookman Old Style" w:cs="Arial"/>
          <w:color w:val="000000" w:themeColor="text1"/>
        </w:rPr>
        <w:t>subasta</w:t>
      </w:r>
      <w:r w:rsidRPr="00CE03C4">
        <w:rPr>
          <w:rFonts w:ascii="Bookman Old Style" w:hAnsi="Bookman Old Style" w:cs="Arial"/>
          <w:color w:val="000000" w:themeColor="text1"/>
        </w:rPr>
        <w:t xml:space="preserve"> para el proceso úselo o véndalo de largo plazo, referidas a la comercialización de capacidad de transporte </w:t>
      </w:r>
      <w:r w:rsidR="00F4532D">
        <w:rPr>
          <w:rFonts w:ascii="Bookman Old Style" w:hAnsi="Bookman Old Style" w:cs="Arial"/>
          <w:color w:val="000000" w:themeColor="text1"/>
        </w:rPr>
        <w:t xml:space="preserve">excedentaria </w:t>
      </w:r>
      <w:r w:rsidRPr="00CE03C4">
        <w:rPr>
          <w:rFonts w:ascii="Bookman Old Style" w:hAnsi="Bookman Old Style" w:cs="Arial"/>
          <w:color w:val="000000" w:themeColor="text1"/>
        </w:rPr>
        <w:t>de gas natural en el mercado secundario.</w:t>
      </w:r>
    </w:p>
    <w:p w14:paraId="4BD749B9" w14:textId="77777777" w:rsidR="00CE03C4" w:rsidRPr="00CE03C4" w:rsidRDefault="00CE03C4" w:rsidP="00CE03C4">
      <w:pPr>
        <w:ind w:left="0"/>
        <w:jc w:val="both"/>
        <w:rPr>
          <w:rFonts w:ascii="Bookman Old Style" w:hAnsi="Bookman Old Style" w:cs="Arial"/>
          <w:color w:val="000000" w:themeColor="text1"/>
        </w:rPr>
      </w:pPr>
    </w:p>
    <w:p w14:paraId="1D34222A" w14:textId="0D4BD6EB" w:rsidR="00CE03C4" w:rsidRPr="00CE03C4" w:rsidRDefault="00711391" w:rsidP="00CE03C4">
      <w:pPr>
        <w:ind w:left="0"/>
        <w:jc w:val="both"/>
        <w:rPr>
          <w:rFonts w:ascii="Bookman Old Style" w:hAnsi="Bookman Old Style" w:cs="Arial"/>
          <w:color w:val="000000" w:themeColor="text1"/>
        </w:rPr>
      </w:pPr>
      <w:r>
        <w:rPr>
          <w:rFonts w:ascii="Bookman Old Style" w:hAnsi="Bookman Old Style" w:cs="Arial"/>
          <w:color w:val="000000" w:themeColor="text1"/>
        </w:rPr>
        <w:t xml:space="preserve">Por medio de la </w:t>
      </w:r>
      <w:r w:rsidR="00CE03C4" w:rsidRPr="00CE03C4">
        <w:rPr>
          <w:rFonts w:ascii="Bookman Old Style" w:hAnsi="Bookman Old Style" w:cs="Arial"/>
          <w:color w:val="000000" w:themeColor="text1"/>
        </w:rPr>
        <w:t xml:space="preserve">Resolución </w:t>
      </w:r>
      <w:r>
        <w:rPr>
          <w:rFonts w:ascii="Bookman Old Style" w:hAnsi="Bookman Old Style" w:cs="Arial"/>
          <w:color w:val="000000" w:themeColor="text1"/>
        </w:rPr>
        <w:t xml:space="preserve">CREG 094 de 2014 se seleccionó a la Bolsa Mercantil de Colombia como </w:t>
      </w:r>
      <w:r w:rsidR="00CE03C4" w:rsidRPr="00CE03C4">
        <w:rPr>
          <w:rFonts w:ascii="Bookman Old Style" w:hAnsi="Bookman Old Style" w:cs="Arial"/>
          <w:color w:val="000000" w:themeColor="text1"/>
        </w:rPr>
        <w:t xml:space="preserve"> gestor del mercado </w:t>
      </w:r>
      <w:r>
        <w:rPr>
          <w:rFonts w:ascii="Bookman Old Style" w:hAnsi="Bookman Old Style" w:cs="Arial"/>
          <w:color w:val="000000" w:themeColor="text1"/>
        </w:rPr>
        <w:t xml:space="preserve">de gas natural, el cual inició </w:t>
      </w:r>
      <w:r w:rsidR="00CE03C4" w:rsidRPr="00CE03C4">
        <w:rPr>
          <w:rFonts w:ascii="Bookman Old Style" w:hAnsi="Bookman Old Style" w:cs="Arial"/>
          <w:color w:val="000000" w:themeColor="text1"/>
        </w:rPr>
        <w:t>la prestación de sus servicios</w:t>
      </w:r>
      <w:r>
        <w:rPr>
          <w:rFonts w:ascii="Bookman Old Style" w:hAnsi="Bookman Old Style" w:cs="Arial"/>
          <w:color w:val="000000" w:themeColor="text1"/>
        </w:rPr>
        <w:t xml:space="preserve"> el 5 de enero de 2015</w:t>
      </w:r>
      <w:r w:rsidR="00CE03C4" w:rsidRPr="00CE03C4">
        <w:rPr>
          <w:rFonts w:ascii="Bookman Old Style" w:hAnsi="Bookman Old Style" w:cs="Arial"/>
          <w:color w:val="000000" w:themeColor="text1"/>
        </w:rPr>
        <w:t>.</w:t>
      </w:r>
    </w:p>
    <w:p w14:paraId="740F6492" w14:textId="77777777" w:rsidR="00CE03C4" w:rsidRPr="00CE03C4" w:rsidRDefault="00CE03C4" w:rsidP="00CE03C4">
      <w:pPr>
        <w:ind w:left="0"/>
        <w:jc w:val="both"/>
        <w:rPr>
          <w:rFonts w:ascii="Bookman Old Style" w:hAnsi="Bookman Old Style" w:cs="Arial"/>
          <w:color w:val="000000" w:themeColor="text1"/>
        </w:rPr>
      </w:pPr>
    </w:p>
    <w:p w14:paraId="0D92218A" w14:textId="2F5064B6" w:rsidR="00CE03C4" w:rsidRPr="00CE03C4" w:rsidRDefault="00CE03C4" w:rsidP="00CE03C4">
      <w:pPr>
        <w:ind w:left="0"/>
        <w:jc w:val="both"/>
        <w:rPr>
          <w:rFonts w:ascii="Bookman Old Style" w:hAnsi="Bookman Old Style" w:cs="Arial"/>
          <w:color w:val="000000" w:themeColor="text1"/>
        </w:rPr>
      </w:pPr>
      <w:r w:rsidRPr="00CE03C4">
        <w:rPr>
          <w:rFonts w:ascii="Bookman Old Style" w:hAnsi="Bookman Old Style" w:cs="Arial"/>
          <w:color w:val="000000" w:themeColor="text1"/>
        </w:rPr>
        <w:t>Conforme a lo anterior, se hace necesario que la CREG determine el mecanismo de comercialización a aplicar en el año 201</w:t>
      </w:r>
      <w:r w:rsidR="00711391">
        <w:rPr>
          <w:rFonts w:ascii="Bookman Old Style" w:hAnsi="Bookman Old Style" w:cs="Arial"/>
          <w:color w:val="000000" w:themeColor="text1"/>
        </w:rPr>
        <w:t>5</w:t>
      </w:r>
      <w:r w:rsidRPr="00CE03C4">
        <w:rPr>
          <w:rFonts w:ascii="Bookman Old Style" w:hAnsi="Bookman Old Style" w:cs="Arial"/>
          <w:color w:val="000000" w:themeColor="text1"/>
        </w:rPr>
        <w:t xml:space="preserve"> y el cronograma para el efecto.</w:t>
      </w:r>
    </w:p>
    <w:p w14:paraId="3A1D5F35" w14:textId="77777777" w:rsidR="00CE03C4" w:rsidRPr="00CE03C4" w:rsidRDefault="00CE03C4" w:rsidP="00CE03C4">
      <w:pPr>
        <w:ind w:left="0"/>
        <w:jc w:val="both"/>
        <w:rPr>
          <w:rFonts w:ascii="Bookman Old Style" w:hAnsi="Bookman Old Style" w:cs="Arial"/>
          <w:color w:val="000000" w:themeColor="text1"/>
        </w:rPr>
      </w:pPr>
    </w:p>
    <w:p w14:paraId="6F487142" w14:textId="14497E75" w:rsidR="00C76BDF" w:rsidRDefault="00CE03C4" w:rsidP="00CE03C4">
      <w:pPr>
        <w:ind w:left="0"/>
        <w:jc w:val="both"/>
        <w:rPr>
          <w:rFonts w:ascii="Bookman Old Style" w:hAnsi="Bookman Old Style" w:cs="Arial"/>
          <w:color w:val="000000" w:themeColor="text1"/>
        </w:rPr>
      </w:pPr>
      <w:r w:rsidRPr="00CE03C4">
        <w:rPr>
          <w:rFonts w:ascii="Bookman Old Style" w:hAnsi="Bookman Old Style" w:cs="Arial"/>
          <w:color w:val="000000" w:themeColor="text1"/>
        </w:rPr>
        <w:t xml:space="preserve">Mediante comunicación </w:t>
      </w:r>
      <w:r w:rsidR="00711391">
        <w:rPr>
          <w:rFonts w:ascii="Bookman Old Style" w:hAnsi="Bookman Old Style" w:cs="Arial"/>
          <w:color w:val="000000" w:themeColor="text1"/>
        </w:rPr>
        <w:t xml:space="preserve">con radicado </w:t>
      </w:r>
      <w:r w:rsidRPr="00DF0B37">
        <w:rPr>
          <w:rFonts w:ascii="Bookman Old Style" w:hAnsi="Bookman Old Style" w:cs="Arial"/>
          <w:color w:val="000000" w:themeColor="text1"/>
        </w:rPr>
        <w:t xml:space="preserve">CREG </w:t>
      </w:r>
      <w:r w:rsidRPr="00C424A6">
        <w:rPr>
          <w:rFonts w:ascii="Bookman Old Style" w:hAnsi="Bookman Old Style" w:cs="Arial"/>
          <w:color w:val="000000" w:themeColor="text1"/>
        </w:rPr>
        <w:t>E-201</w:t>
      </w:r>
      <w:r w:rsidR="00711391" w:rsidRPr="00C424A6">
        <w:rPr>
          <w:rFonts w:ascii="Bookman Old Style" w:hAnsi="Bookman Old Style" w:cs="Arial"/>
          <w:color w:val="000000" w:themeColor="text1"/>
        </w:rPr>
        <w:t>5</w:t>
      </w:r>
      <w:r w:rsidRPr="00C424A6">
        <w:rPr>
          <w:rFonts w:ascii="Bookman Old Style" w:hAnsi="Bookman Old Style" w:cs="Arial"/>
          <w:color w:val="000000" w:themeColor="text1"/>
        </w:rPr>
        <w:t>-</w:t>
      </w:r>
      <w:r w:rsidR="005A2E94" w:rsidRPr="00C424A6">
        <w:rPr>
          <w:rFonts w:ascii="Bookman Old Style" w:hAnsi="Bookman Old Style" w:cs="Arial"/>
          <w:color w:val="000000" w:themeColor="text1"/>
        </w:rPr>
        <w:t>00</w:t>
      </w:r>
      <w:r w:rsidR="003133A5" w:rsidRPr="00C424A6">
        <w:rPr>
          <w:rFonts w:ascii="Bookman Old Style" w:hAnsi="Bookman Old Style" w:cs="Arial"/>
          <w:color w:val="000000" w:themeColor="text1"/>
        </w:rPr>
        <w:t>7804</w:t>
      </w:r>
      <w:r w:rsidR="003133A5">
        <w:rPr>
          <w:rFonts w:ascii="Bookman Old Style" w:hAnsi="Bookman Old Style" w:cs="Arial"/>
          <w:color w:val="000000" w:themeColor="text1"/>
        </w:rPr>
        <w:t xml:space="preserve"> del 31 de julio de 2015</w:t>
      </w:r>
      <w:r w:rsidRPr="00CE03C4">
        <w:rPr>
          <w:rFonts w:ascii="Bookman Old Style" w:hAnsi="Bookman Old Style" w:cs="Arial"/>
          <w:color w:val="000000" w:themeColor="text1"/>
        </w:rPr>
        <w:t xml:space="preserve">, la UPME </w:t>
      </w:r>
      <w:r w:rsidR="005A2E94">
        <w:rPr>
          <w:rFonts w:ascii="Bookman Old Style" w:hAnsi="Bookman Old Style" w:cs="Arial"/>
          <w:color w:val="000000" w:themeColor="text1"/>
        </w:rPr>
        <w:t xml:space="preserve">envió </w:t>
      </w:r>
      <w:r w:rsidR="00711391">
        <w:rPr>
          <w:rFonts w:ascii="Bookman Old Style" w:hAnsi="Bookman Old Style" w:cs="Arial"/>
          <w:color w:val="000000" w:themeColor="text1"/>
        </w:rPr>
        <w:t xml:space="preserve">a la Comisión </w:t>
      </w:r>
      <w:r w:rsidR="00D85F90">
        <w:rPr>
          <w:rFonts w:ascii="Bookman Old Style" w:hAnsi="Bookman Old Style" w:cs="Arial"/>
          <w:color w:val="000000" w:themeColor="text1"/>
        </w:rPr>
        <w:t>un</w:t>
      </w:r>
      <w:r w:rsidR="00711391">
        <w:rPr>
          <w:rFonts w:ascii="Bookman Old Style" w:hAnsi="Bookman Old Style" w:cs="Arial"/>
          <w:color w:val="000000" w:themeColor="text1"/>
        </w:rPr>
        <w:t xml:space="preserve"> balance de oferta y demanda de gas natural </w:t>
      </w:r>
      <w:r w:rsidR="00D85F90">
        <w:rPr>
          <w:rFonts w:ascii="Bookman Old Style" w:hAnsi="Bookman Old Style" w:cs="Arial"/>
          <w:color w:val="000000" w:themeColor="text1"/>
        </w:rPr>
        <w:t xml:space="preserve">estimado </w:t>
      </w:r>
      <w:r w:rsidR="00711391">
        <w:rPr>
          <w:rFonts w:ascii="Bookman Old Style" w:hAnsi="Bookman Old Style" w:cs="Arial"/>
          <w:color w:val="000000" w:themeColor="text1"/>
        </w:rPr>
        <w:t>por dicha entidad</w:t>
      </w:r>
      <w:r w:rsidR="005A2E94">
        <w:rPr>
          <w:rFonts w:ascii="Bookman Old Style" w:hAnsi="Bookman Old Style" w:cs="Arial"/>
          <w:color w:val="000000" w:themeColor="text1"/>
        </w:rPr>
        <w:t xml:space="preserve">, que tiene en cuenta la </w:t>
      </w:r>
      <w:r w:rsidR="003133A5">
        <w:rPr>
          <w:rFonts w:ascii="Bookman Old Style" w:hAnsi="Bookman Old Style" w:cs="Arial"/>
          <w:color w:val="000000" w:themeColor="text1"/>
        </w:rPr>
        <w:t xml:space="preserve">demanda en su totalidad, la </w:t>
      </w:r>
      <w:r w:rsidR="005A2E94">
        <w:rPr>
          <w:rFonts w:ascii="Bookman Old Style" w:hAnsi="Bookman Old Style" w:cs="Arial"/>
          <w:color w:val="000000" w:themeColor="text1"/>
        </w:rPr>
        <w:t>Resolución No. 31 289 del Ministerio de Minas y energía por la cual se publicó la declaración de producción de gas natural para 2015</w:t>
      </w:r>
      <w:r w:rsidR="003133A5">
        <w:rPr>
          <w:rFonts w:ascii="Bookman Old Style" w:hAnsi="Bookman Old Style" w:cs="Arial"/>
          <w:color w:val="000000" w:themeColor="text1"/>
        </w:rPr>
        <w:t xml:space="preserve"> y la oferta de gas natural importado para respaldar obligaciones de energía en firme</w:t>
      </w:r>
      <w:r w:rsidRPr="00CE03C4">
        <w:rPr>
          <w:rFonts w:ascii="Bookman Old Style" w:hAnsi="Bookman Old Style" w:cs="Arial"/>
          <w:color w:val="000000" w:themeColor="text1"/>
        </w:rPr>
        <w:t xml:space="preserve">. </w:t>
      </w:r>
    </w:p>
    <w:p w14:paraId="7DC49A7E" w14:textId="77777777" w:rsidR="00C76BDF" w:rsidRDefault="00C76BDF" w:rsidP="00CE03C4">
      <w:pPr>
        <w:ind w:left="0"/>
        <w:jc w:val="both"/>
        <w:rPr>
          <w:rFonts w:ascii="Bookman Old Style" w:hAnsi="Bookman Old Style" w:cs="Arial"/>
          <w:color w:val="000000" w:themeColor="text1"/>
        </w:rPr>
      </w:pPr>
    </w:p>
    <w:p w14:paraId="7A67D433" w14:textId="2B4D11BD" w:rsidR="00C76BDF" w:rsidRDefault="00E032B6" w:rsidP="00CE03C4">
      <w:pPr>
        <w:ind w:left="0"/>
        <w:jc w:val="both"/>
        <w:rPr>
          <w:rFonts w:ascii="Bookman Old Style" w:hAnsi="Bookman Old Style" w:cs="Arial"/>
          <w:color w:val="000000" w:themeColor="text1"/>
        </w:rPr>
      </w:pPr>
      <w:r>
        <w:rPr>
          <w:rFonts w:ascii="Bookman Old Style" w:hAnsi="Bookman Old Style" w:cs="Arial"/>
          <w:color w:val="000000" w:themeColor="text1"/>
        </w:rPr>
        <w:t xml:space="preserve">La CREG analizó </w:t>
      </w:r>
      <w:r w:rsidR="00711391">
        <w:rPr>
          <w:rFonts w:ascii="Bookman Old Style" w:hAnsi="Bookman Old Style" w:cs="Arial"/>
          <w:color w:val="000000" w:themeColor="text1"/>
        </w:rPr>
        <w:t>la información reportada</w:t>
      </w:r>
      <w:r w:rsidR="00D85F90">
        <w:rPr>
          <w:rFonts w:ascii="Bookman Old Style" w:hAnsi="Bookman Old Style" w:cs="Arial"/>
          <w:color w:val="000000" w:themeColor="text1"/>
        </w:rPr>
        <w:t xml:space="preserve"> que considera las diferentes declaraciones de producción y </w:t>
      </w:r>
      <w:r w:rsidR="00F546A4">
        <w:rPr>
          <w:rFonts w:ascii="Bookman Old Style" w:hAnsi="Bookman Old Style" w:cs="Arial"/>
          <w:color w:val="000000" w:themeColor="text1"/>
        </w:rPr>
        <w:t>la oferta de la planta de regasificación relacionada con la demanda térmica de la Costa Caribe</w:t>
      </w:r>
      <w:r w:rsidR="00D85F90">
        <w:rPr>
          <w:rFonts w:ascii="Bookman Old Style" w:hAnsi="Bookman Old Style" w:cs="Arial"/>
          <w:color w:val="000000" w:themeColor="text1"/>
        </w:rPr>
        <w:t xml:space="preserve">, con respecto </w:t>
      </w:r>
      <w:r w:rsidR="003D7C4C">
        <w:rPr>
          <w:rFonts w:ascii="Bookman Old Style" w:hAnsi="Bookman Old Style" w:cs="Arial"/>
          <w:color w:val="000000" w:themeColor="text1"/>
        </w:rPr>
        <w:t>al escenario medio de</w:t>
      </w:r>
      <w:r>
        <w:rPr>
          <w:rFonts w:ascii="Bookman Old Style" w:hAnsi="Bookman Old Style" w:cs="Arial"/>
          <w:color w:val="000000" w:themeColor="text1"/>
        </w:rPr>
        <w:t xml:space="preserve"> demanda </w:t>
      </w:r>
      <w:r w:rsidR="00F546A4">
        <w:rPr>
          <w:rFonts w:ascii="Bookman Old Style" w:hAnsi="Bookman Old Style" w:cs="Arial"/>
          <w:color w:val="000000" w:themeColor="text1"/>
        </w:rPr>
        <w:t xml:space="preserve">total </w:t>
      </w:r>
      <w:r>
        <w:rPr>
          <w:rFonts w:ascii="Bookman Old Style" w:hAnsi="Bookman Old Style" w:cs="Arial"/>
          <w:color w:val="000000" w:themeColor="text1"/>
        </w:rPr>
        <w:t xml:space="preserve">nacional </w:t>
      </w:r>
      <w:r w:rsidR="00D85F90">
        <w:rPr>
          <w:rFonts w:ascii="Bookman Old Style" w:hAnsi="Bookman Old Style" w:cs="Arial"/>
          <w:color w:val="000000" w:themeColor="text1"/>
        </w:rPr>
        <w:t>que incluye la actualización de la demanda del sector petrolero de julio de 2015</w:t>
      </w:r>
      <w:r>
        <w:rPr>
          <w:rFonts w:ascii="Bookman Old Style" w:hAnsi="Bookman Old Style" w:cs="Arial"/>
          <w:color w:val="000000" w:themeColor="text1"/>
        </w:rPr>
        <w:t xml:space="preserve">, </w:t>
      </w:r>
      <w:r w:rsidR="00D85F90">
        <w:rPr>
          <w:rFonts w:ascii="Bookman Old Style" w:hAnsi="Bookman Old Style" w:cs="Arial"/>
          <w:color w:val="000000" w:themeColor="text1"/>
        </w:rPr>
        <w:t>la cual muestra</w:t>
      </w:r>
      <w:r w:rsidR="00711391">
        <w:rPr>
          <w:rFonts w:ascii="Bookman Old Style" w:hAnsi="Bookman Old Style" w:cs="Arial"/>
          <w:color w:val="000000" w:themeColor="text1"/>
        </w:rPr>
        <w:t xml:space="preserve"> que </w:t>
      </w:r>
      <w:r>
        <w:rPr>
          <w:rFonts w:ascii="Bookman Old Style" w:hAnsi="Bookman Old Style" w:cs="Arial"/>
          <w:color w:val="000000" w:themeColor="text1"/>
        </w:rPr>
        <w:t xml:space="preserve">hasta </w:t>
      </w:r>
      <w:r w:rsidR="00DF0B37">
        <w:rPr>
          <w:rFonts w:ascii="Bookman Old Style" w:hAnsi="Bookman Old Style" w:cs="Arial"/>
          <w:color w:val="000000" w:themeColor="text1"/>
        </w:rPr>
        <w:t>enero de 202</w:t>
      </w:r>
      <w:r w:rsidR="00416309">
        <w:rPr>
          <w:rFonts w:ascii="Bookman Old Style" w:hAnsi="Bookman Old Style" w:cs="Arial"/>
          <w:color w:val="000000" w:themeColor="text1"/>
        </w:rPr>
        <w:t>3</w:t>
      </w:r>
      <w:r>
        <w:rPr>
          <w:rFonts w:ascii="Bookman Old Style" w:hAnsi="Bookman Old Style" w:cs="Arial"/>
          <w:color w:val="000000" w:themeColor="text1"/>
        </w:rPr>
        <w:t xml:space="preserve"> habría un superávit de oferta con respecto a la demanda</w:t>
      </w:r>
      <w:r w:rsidR="00CE03C4" w:rsidRPr="00CE03C4">
        <w:rPr>
          <w:rFonts w:ascii="Bookman Old Style" w:hAnsi="Bookman Old Style" w:cs="Arial"/>
          <w:color w:val="000000" w:themeColor="text1"/>
        </w:rPr>
        <w:t xml:space="preserve"> de gas natural, </w:t>
      </w:r>
      <w:r w:rsidR="00711391">
        <w:rPr>
          <w:rFonts w:ascii="Bookman Old Style" w:hAnsi="Bookman Old Style" w:cs="Arial"/>
          <w:color w:val="000000" w:themeColor="text1"/>
        </w:rPr>
        <w:t>por lo que</w:t>
      </w:r>
      <w:r w:rsidR="00CE03C4" w:rsidRPr="00CE03C4">
        <w:rPr>
          <w:rFonts w:ascii="Bookman Old Style" w:hAnsi="Bookman Old Style" w:cs="Arial"/>
          <w:color w:val="000000" w:themeColor="text1"/>
        </w:rPr>
        <w:t xml:space="preserve"> la </w:t>
      </w:r>
      <w:r w:rsidR="00D85F90">
        <w:rPr>
          <w:rFonts w:ascii="Bookman Old Style" w:hAnsi="Bookman Old Style" w:cs="Arial"/>
          <w:color w:val="000000" w:themeColor="text1"/>
        </w:rPr>
        <w:t>oferta está en capacidad de</w:t>
      </w:r>
      <w:r w:rsidR="00CE03C4" w:rsidRPr="00CE03C4">
        <w:rPr>
          <w:rFonts w:ascii="Bookman Old Style" w:hAnsi="Bookman Old Style" w:cs="Arial"/>
          <w:color w:val="000000" w:themeColor="text1"/>
        </w:rPr>
        <w:t xml:space="preserve"> abastecer la demanda interna hasta la fecha antes mencionada. </w:t>
      </w:r>
    </w:p>
    <w:p w14:paraId="6D388BA6" w14:textId="77777777" w:rsidR="00C76BDF" w:rsidRDefault="00C76BDF" w:rsidP="00CE03C4">
      <w:pPr>
        <w:ind w:left="0"/>
        <w:jc w:val="both"/>
        <w:rPr>
          <w:rFonts w:ascii="Bookman Old Style" w:hAnsi="Bookman Old Style" w:cs="Arial"/>
          <w:color w:val="000000" w:themeColor="text1"/>
        </w:rPr>
      </w:pPr>
    </w:p>
    <w:p w14:paraId="478BC984" w14:textId="791B5861" w:rsidR="00225A8C" w:rsidRDefault="00CE03C4" w:rsidP="00CE03C4">
      <w:pPr>
        <w:ind w:left="0"/>
        <w:jc w:val="both"/>
        <w:rPr>
          <w:rFonts w:ascii="Bookman Old Style" w:hAnsi="Bookman Old Style" w:cs="Arial"/>
          <w:color w:val="000000" w:themeColor="text1"/>
        </w:rPr>
      </w:pPr>
      <w:r w:rsidRPr="00CE03C4">
        <w:rPr>
          <w:rFonts w:ascii="Bookman Old Style" w:hAnsi="Bookman Old Style" w:cs="Arial"/>
          <w:color w:val="000000" w:themeColor="text1"/>
        </w:rPr>
        <w:t>De</w:t>
      </w:r>
      <w:r w:rsidR="00C76BDF">
        <w:rPr>
          <w:rFonts w:ascii="Bookman Old Style" w:hAnsi="Bookman Old Style" w:cs="Arial"/>
          <w:color w:val="000000" w:themeColor="text1"/>
        </w:rPr>
        <w:t xml:space="preserve"> acuerdo con lo </w:t>
      </w:r>
      <w:r w:rsidRPr="00CE03C4">
        <w:rPr>
          <w:rFonts w:ascii="Bookman Old Style" w:hAnsi="Bookman Old Style" w:cs="Arial"/>
          <w:color w:val="000000" w:themeColor="text1"/>
        </w:rPr>
        <w:t xml:space="preserve">anterior y de acuerdo con lo establecido por la Resolución CREG No. 089 de 2013 en su artículo 24, se concluye que la oferta certificada a la fecha por los agentes abastecerá la demanda nacional de gas natural proyectada por la UPME </w:t>
      </w:r>
      <w:r w:rsidR="00711391">
        <w:rPr>
          <w:rFonts w:ascii="Bookman Old Style" w:hAnsi="Bookman Old Style" w:cs="Arial"/>
          <w:color w:val="000000" w:themeColor="text1"/>
        </w:rPr>
        <w:t>en al menos tres (3) de los próximos cinco (5) años</w:t>
      </w:r>
      <w:r w:rsidRPr="00CE03C4">
        <w:rPr>
          <w:rFonts w:ascii="Bookman Old Style" w:hAnsi="Bookman Old Style" w:cs="Arial"/>
          <w:color w:val="000000" w:themeColor="text1"/>
        </w:rPr>
        <w:t xml:space="preserve">. </w:t>
      </w:r>
    </w:p>
    <w:p w14:paraId="23933C9F" w14:textId="77777777" w:rsidR="00225A8C" w:rsidRDefault="00225A8C" w:rsidP="00CE03C4">
      <w:pPr>
        <w:ind w:left="0"/>
        <w:jc w:val="both"/>
        <w:rPr>
          <w:rFonts w:ascii="Bookman Old Style" w:hAnsi="Bookman Old Style" w:cs="Arial"/>
          <w:color w:val="000000" w:themeColor="text1"/>
        </w:rPr>
      </w:pPr>
    </w:p>
    <w:p w14:paraId="59E60B02" w14:textId="3E00C131" w:rsidR="00CE03C4" w:rsidRDefault="00A05EE3" w:rsidP="00CE03C4">
      <w:pPr>
        <w:ind w:left="0"/>
        <w:jc w:val="both"/>
        <w:rPr>
          <w:rFonts w:ascii="Bookman Old Style" w:hAnsi="Bookman Old Style" w:cs="Arial"/>
          <w:color w:val="000000" w:themeColor="text1"/>
          <w:shd w:val="clear" w:color="auto" w:fill="FFFFFF"/>
        </w:rPr>
      </w:pPr>
      <w:r w:rsidRPr="0032081A">
        <w:rPr>
          <w:rFonts w:ascii="Bookman Old Style" w:hAnsi="Bookman Old Style" w:cs="Arial"/>
          <w:color w:val="000000" w:themeColor="text1"/>
          <w:shd w:val="clear" w:color="auto" w:fill="FFFFFF"/>
        </w:rPr>
        <w:t xml:space="preserve">En el Documento </w:t>
      </w:r>
      <w:r w:rsidRPr="00D85F90">
        <w:rPr>
          <w:rFonts w:ascii="Bookman Old Style" w:hAnsi="Bookman Old Style" w:cs="Arial"/>
          <w:color w:val="000000" w:themeColor="text1"/>
          <w:shd w:val="clear" w:color="auto" w:fill="FFFFFF"/>
        </w:rPr>
        <w:t>CREG-</w:t>
      </w:r>
      <w:r w:rsidR="00D85F90">
        <w:rPr>
          <w:rFonts w:ascii="Bookman Old Style" w:hAnsi="Bookman Old Style" w:cs="Arial"/>
          <w:color w:val="000000" w:themeColor="text1"/>
          <w:shd w:val="clear" w:color="auto" w:fill="FFFFFF"/>
        </w:rPr>
        <w:t>074</w:t>
      </w:r>
      <w:r w:rsidRPr="0032081A">
        <w:rPr>
          <w:rFonts w:ascii="Bookman Old Style" w:hAnsi="Bookman Old Style" w:cs="Arial"/>
          <w:color w:val="000000" w:themeColor="text1"/>
          <w:shd w:val="clear" w:color="auto" w:fill="FFFFFF"/>
        </w:rPr>
        <w:t xml:space="preserve"> de 201</w:t>
      </w:r>
      <w:r>
        <w:rPr>
          <w:rFonts w:ascii="Bookman Old Style" w:hAnsi="Bookman Old Style" w:cs="Arial"/>
          <w:color w:val="000000" w:themeColor="text1"/>
          <w:shd w:val="clear" w:color="auto" w:fill="FFFFFF"/>
        </w:rPr>
        <w:t>5</w:t>
      </w:r>
      <w:r w:rsidRPr="0032081A">
        <w:rPr>
          <w:rFonts w:ascii="Bookman Old Style" w:hAnsi="Bookman Old Style" w:cs="Arial"/>
          <w:color w:val="000000" w:themeColor="text1"/>
          <w:shd w:val="clear" w:color="auto" w:fill="FFFFFF"/>
        </w:rPr>
        <w:t>, el cual soporta esta Resolución, se presenta el análisis de los comentarios recibidos a la propuesta regulatoria sometida a consulta mediante la Resolución CREG 0</w:t>
      </w:r>
      <w:r>
        <w:rPr>
          <w:rFonts w:ascii="Bookman Old Style" w:hAnsi="Bookman Old Style" w:cs="Arial"/>
          <w:color w:val="000000" w:themeColor="text1"/>
          <w:shd w:val="clear" w:color="auto" w:fill="FFFFFF"/>
        </w:rPr>
        <w:t>89</w:t>
      </w:r>
      <w:r w:rsidRPr="0032081A">
        <w:rPr>
          <w:rFonts w:ascii="Bookman Old Style" w:hAnsi="Bookman Old Style" w:cs="Arial"/>
          <w:color w:val="000000" w:themeColor="text1"/>
          <w:shd w:val="clear" w:color="auto" w:fill="FFFFFF"/>
        </w:rPr>
        <w:t xml:space="preserve"> de 201</w:t>
      </w:r>
      <w:r>
        <w:rPr>
          <w:rFonts w:ascii="Bookman Old Style" w:hAnsi="Bookman Old Style" w:cs="Arial"/>
          <w:color w:val="000000" w:themeColor="text1"/>
          <w:shd w:val="clear" w:color="auto" w:fill="FFFFFF"/>
        </w:rPr>
        <w:t>5.</w:t>
      </w:r>
    </w:p>
    <w:p w14:paraId="13629922" w14:textId="77777777" w:rsidR="00A05EE3" w:rsidRDefault="00A05EE3" w:rsidP="00CE03C4">
      <w:pPr>
        <w:ind w:left="0"/>
        <w:jc w:val="both"/>
        <w:rPr>
          <w:rFonts w:ascii="Bookman Old Style" w:hAnsi="Bookman Old Style" w:cs="Arial"/>
          <w:color w:val="000000" w:themeColor="text1"/>
          <w:shd w:val="clear" w:color="auto" w:fill="FFFFFF"/>
        </w:rPr>
      </w:pPr>
    </w:p>
    <w:p w14:paraId="40DC42E7" w14:textId="76225F3B" w:rsidR="00A05EE3" w:rsidRDefault="00A05EE3" w:rsidP="00CE03C4">
      <w:pPr>
        <w:ind w:left="0"/>
        <w:jc w:val="both"/>
        <w:rPr>
          <w:rFonts w:ascii="Bookman Old Style" w:hAnsi="Bookman Old Style" w:cs="Arial"/>
          <w:color w:val="000000" w:themeColor="text1"/>
        </w:rPr>
      </w:pPr>
      <w:r w:rsidRPr="0032081A">
        <w:rPr>
          <w:rFonts w:ascii="Bookman Old Style" w:hAnsi="Bookman Old Style" w:cs="Arial"/>
          <w:color w:val="000000" w:themeColor="text1"/>
        </w:rPr>
        <w:t xml:space="preserve">Teniendo en cuenta lo establecido en el artículo 4 del Decreto 2897 de 2010, reglamentario de la Ley 1340 de 2009, no es necesaria la remisión del presente acto administrativo a la Superintendencia de Industria y Comercio, ya que en éste se </w:t>
      </w:r>
      <w:r>
        <w:rPr>
          <w:rFonts w:ascii="Bookman Old Style" w:hAnsi="Bookman Old Style" w:cs="Arial"/>
          <w:color w:val="000000" w:themeColor="text1"/>
        </w:rPr>
        <w:t xml:space="preserve">da aplicación a normas </w:t>
      </w:r>
      <w:r w:rsidRPr="0032081A">
        <w:rPr>
          <w:rFonts w:ascii="Bookman Old Style" w:hAnsi="Bookman Old Style" w:cs="Arial"/>
          <w:color w:val="000000" w:themeColor="text1"/>
        </w:rPr>
        <w:t>impuestas en la Resolución CREG 089 de 2013</w:t>
      </w:r>
      <w:r>
        <w:rPr>
          <w:rFonts w:ascii="Bookman Old Style" w:hAnsi="Bookman Old Style" w:cs="Arial"/>
          <w:color w:val="000000" w:themeColor="text1"/>
        </w:rPr>
        <w:t>.</w:t>
      </w:r>
    </w:p>
    <w:p w14:paraId="4C29AEC3" w14:textId="77777777" w:rsidR="00A05EE3" w:rsidRDefault="00A05EE3" w:rsidP="00CE03C4">
      <w:pPr>
        <w:ind w:left="0"/>
        <w:jc w:val="both"/>
        <w:rPr>
          <w:rFonts w:ascii="Bookman Old Style" w:hAnsi="Bookman Old Style" w:cs="Arial"/>
          <w:color w:val="000000" w:themeColor="text1"/>
        </w:rPr>
      </w:pPr>
    </w:p>
    <w:p w14:paraId="38A64719" w14:textId="77777777" w:rsidR="00A05EE3" w:rsidRPr="0032081A" w:rsidRDefault="00A05EE3" w:rsidP="00A05EE3">
      <w:pPr>
        <w:autoSpaceDE w:val="0"/>
        <w:autoSpaceDN w:val="0"/>
        <w:adjustRightInd w:val="0"/>
        <w:ind w:left="0"/>
        <w:jc w:val="both"/>
        <w:rPr>
          <w:rFonts w:ascii="Bookman Old Style" w:hAnsi="Bookman Old Style" w:cs="Arial"/>
          <w:color w:val="000000" w:themeColor="text1"/>
        </w:rPr>
      </w:pPr>
      <w:r w:rsidRPr="0032081A">
        <w:rPr>
          <w:rFonts w:ascii="Bookman Old Style" w:hAnsi="Bookman Old Style" w:cs="Arial"/>
          <w:color w:val="000000" w:themeColor="text1"/>
        </w:rPr>
        <w:t xml:space="preserve">Según lo previsto en el artículo 8 del Código de Procedimiento Administrativo y de lo Contencioso Administrativo, la regulación que mediante la presente </w:t>
      </w:r>
      <w:r w:rsidRPr="0032081A">
        <w:rPr>
          <w:rFonts w:ascii="Bookman Old Style" w:hAnsi="Bookman Old Style" w:cs="Arial"/>
          <w:color w:val="000000" w:themeColor="text1"/>
        </w:rPr>
        <w:lastRenderedPageBreak/>
        <w:t>resolución se adopta ha surtido el proceso de publicidad previo correspondiente.</w:t>
      </w:r>
    </w:p>
    <w:p w14:paraId="5E026A70" w14:textId="77777777" w:rsidR="00A05EE3" w:rsidRPr="0032081A" w:rsidRDefault="00A05EE3" w:rsidP="00A05EE3">
      <w:pPr>
        <w:ind w:left="0"/>
        <w:jc w:val="both"/>
        <w:rPr>
          <w:rFonts w:ascii="Bookman Old Style" w:hAnsi="Bookman Old Style" w:cs="Arial"/>
          <w:color w:val="000000" w:themeColor="text1"/>
        </w:rPr>
      </w:pPr>
    </w:p>
    <w:p w14:paraId="1FAC45F5" w14:textId="285084D2" w:rsidR="00A05EE3" w:rsidRDefault="00A05EE3" w:rsidP="00A05EE3">
      <w:pPr>
        <w:ind w:left="0"/>
        <w:jc w:val="both"/>
        <w:rPr>
          <w:rFonts w:ascii="Bookman Old Style" w:hAnsi="Bookman Old Style" w:cs="Arial"/>
          <w:color w:val="000000" w:themeColor="text1"/>
        </w:rPr>
      </w:pPr>
      <w:r w:rsidRPr="0032081A">
        <w:rPr>
          <w:rFonts w:ascii="Bookman Old Style" w:hAnsi="Bookman Old Style" w:cs="Tahoma"/>
          <w:color w:val="000000" w:themeColor="text1"/>
        </w:rPr>
        <w:t xml:space="preserve">La Comisión de Regulación de Energía y Gas aprobó el presente acto administrativo en su sesión </w:t>
      </w:r>
      <w:r w:rsidR="00D85F90">
        <w:rPr>
          <w:rFonts w:ascii="Bookman Old Style" w:hAnsi="Bookman Old Style" w:cs="Tahoma"/>
          <w:color w:val="000000" w:themeColor="text1"/>
        </w:rPr>
        <w:t>669</w:t>
      </w:r>
      <w:r w:rsidR="00D85F90" w:rsidRPr="00C424A6">
        <w:rPr>
          <w:rFonts w:ascii="Bookman Old Style" w:hAnsi="Bookman Old Style" w:cs="Tahoma"/>
          <w:color w:val="000000" w:themeColor="text1"/>
        </w:rPr>
        <w:t xml:space="preserve"> </w:t>
      </w:r>
      <w:r w:rsidRPr="00C424A6">
        <w:rPr>
          <w:rFonts w:ascii="Bookman Old Style" w:hAnsi="Bookman Old Style" w:cs="Tahoma"/>
          <w:color w:val="000000" w:themeColor="text1"/>
        </w:rPr>
        <w:t xml:space="preserve">del </w:t>
      </w:r>
      <w:r w:rsidR="00706506">
        <w:rPr>
          <w:rFonts w:ascii="Bookman Old Style" w:hAnsi="Bookman Old Style" w:cs="Tahoma"/>
          <w:color w:val="000000" w:themeColor="text1"/>
        </w:rPr>
        <w:t>3</w:t>
      </w:r>
      <w:r w:rsidRPr="00C424A6">
        <w:rPr>
          <w:rFonts w:ascii="Bookman Old Style" w:hAnsi="Bookman Old Style" w:cs="Tahoma"/>
          <w:color w:val="000000" w:themeColor="text1"/>
        </w:rPr>
        <w:t xml:space="preserve"> de </w:t>
      </w:r>
      <w:r w:rsidR="00DF0B37" w:rsidRPr="00C424A6">
        <w:rPr>
          <w:rFonts w:ascii="Bookman Old Style" w:hAnsi="Bookman Old Style" w:cs="Tahoma"/>
          <w:color w:val="000000" w:themeColor="text1"/>
        </w:rPr>
        <w:t>agosto</w:t>
      </w:r>
      <w:r w:rsidRPr="00C424A6">
        <w:rPr>
          <w:rFonts w:ascii="Bookman Old Style" w:hAnsi="Bookman Old Style" w:cs="Tahoma"/>
          <w:color w:val="000000" w:themeColor="text1"/>
        </w:rPr>
        <w:t xml:space="preserve"> de</w:t>
      </w:r>
      <w:r>
        <w:rPr>
          <w:rFonts w:ascii="Bookman Old Style" w:hAnsi="Bookman Old Style" w:cs="Tahoma"/>
          <w:color w:val="000000" w:themeColor="text1"/>
        </w:rPr>
        <w:t xml:space="preserve"> 2015</w:t>
      </w:r>
      <w:r w:rsidRPr="0032081A">
        <w:rPr>
          <w:rFonts w:ascii="Bookman Old Style" w:hAnsi="Bookman Old Style" w:cs="Tahoma"/>
          <w:color w:val="000000" w:themeColor="text1"/>
        </w:rPr>
        <w:t>.</w:t>
      </w:r>
    </w:p>
    <w:p w14:paraId="2AB5C900" w14:textId="77777777" w:rsidR="00A05EE3" w:rsidRDefault="00A05EE3" w:rsidP="00CE03C4">
      <w:pPr>
        <w:ind w:left="0"/>
        <w:jc w:val="both"/>
        <w:rPr>
          <w:rFonts w:ascii="Bookman Old Style" w:hAnsi="Bookman Old Style" w:cs="Arial"/>
          <w:color w:val="000000" w:themeColor="text1"/>
        </w:rPr>
      </w:pPr>
    </w:p>
    <w:p w14:paraId="1AECCE22" w14:textId="77777777" w:rsidR="00A05EE3" w:rsidRPr="00CE03C4" w:rsidRDefault="00A05EE3" w:rsidP="00CE03C4">
      <w:pPr>
        <w:ind w:left="0"/>
        <w:jc w:val="both"/>
        <w:rPr>
          <w:rFonts w:ascii="Bookman Old Style" w:hAnsi="Bookman Old Style" w:cs="Arial"/>
          <w:color w:val="000000" w:themeColor="text1"/>
        </w:rPr>
      </w:pPr>
    </w:p>
    <w:p w14:paraId="4D7A12EA" w14:textId="77777777" w:rsidR="00CE03C4" w:rsidRPr="00CE03C4" w:rsidRDefault="00CE03C4" w:rsidP="00CE03C4">
      <w:pPr>
        <w:ind w:left="0"/>
        <w:jc w:val="center"/>
        <w:rPr>
          <w:rFonts w:ascii="Bookman Old Style" w:hAnsi="Bookman Old Style" w:cs="Arial"/>
          <w:b/>
          <w:bCs/>
          <w:color w:val="000000" w:themeColor="text1"/>
          <w:lang w:val="pt-BR"/>
        </w:rPr>
      </w:pPr>
      <w:r w:rsidRPr="00CE03C4">
        <w:rPr>
          <w:rFonts w:ascii="Bookman Old Style" w:hAnsi="Bookman Old Style" w:cs="Arial"/>
          <w:b/>
          <w:bCs/>
          <w:color w:val="000000" w:themeColor="text1"/>
          <w:lang w:val="pt-BR"/>
        </w:rPr>
        <w:t>R E S U E L V E:</w:t>
      </w:r>
    </w:p>
    <w:p w14:paraId="5F348AA6" w14:textId="77777777" w:rsidR="00CE03C4" w:rsidRPr="00CE03C4" w:rsidRDefault="00CE03C4" w:rsidP="00CE03C4">
      <w:pPr>
        <w:ind w:left="0"/>
        <w:jc w:val="both"/>
        <w:rPr>
          <w:rFonts w:ascii="Bookman Old Style" w:hAnsi="Bookman Old Style" w:cs="Arial"/>
          <w:color w:val="000000" w:themeColor="text1"/>
          <w:lang w:val="pt-BR"/>
        </w:rPr>
      </w:pPr>
    </w:p>
    <w:p w14:paraId="7DB7F4DE" w14:textId="77777777" w:rsidR="00CE03C4" w:rsidRPr="00CE03C4" w:rsidRDefault="00CE03C4" w:rsidP="00CE03C4">
      <w:pPr>
        <w:ind w:left="0"/>
        <w:jc w:val="both"/>
        <w:rPr>
          <w:rFonts w:ascii="Bookman Old Style" w:hAnsi="Bookman Old Style" w:cs="Arial"/>
          <w:color w:val="000000" w:themeColor="text1"/>
          <w:lang w:val="pt-BR"/>
        </w:rPr>
      </w:pPr>
    </w:p>
    <w:p w14:paraId="1539DE70" w14:textId="07D0A20F" w:rsidR="00CE03C4" w:rsidRPr="00CE03C4" w:rsidRDefault="00CE03C4" w:rsidP="00CE03C4">
      <w:pPr>
        <w:ind w:left="0"/>
        <w:jc w:val="both"/>
        <w:rPr>
          <w:rFonts w:ascii="Bookman Old Style" w:hAnsi="Bookman Old Style" w:cs="Arial"/>
          <w:bCs/>
          <w:color w:val="000000" w:themeColor="text1"/>
        </w:rPr>
      </w:pPr>
      <w:r w:rsidRPr="00CE03C4">
        <w:rPr>
          <w:rFonts w:ascii="Bookman Old Style" w:hAnsi="Bookman Old Style" w:cs="Arial"/>
          <w:b/>
          <w:bCs/>
          <w:color w:val="000000" w:themeColor="text1"/>
        </w:rPr>
        <w:t xml:space="preserve">Artículo 1. Mecanismo de comercialización a aplicar. </w:t>
      </w:r>
      <w:r w:rsidRPr="00CE03C4">
        <w:rPr>
          <w:rFonts w:ascii="Bookman Old Style" w:hAnsi="Bookman Old Style" w:cs="Arial"/>
          <w:bCs/>
          <w:color w:val="000000" w:themeColor="text1"/>
        </w:rPr>
        <w:t>Para la comercialización de gas natural en el mercado primario, en el año 201</w:t>
      </w:r>
      <w:r w:rsidR="00711391">
        <w:rPr>
          <w:rFonts w:ascii="Bookman Old Style" w:hAnsi="Bookman Old Style" w:cs="Arial"/>
          <w:bCs/>
          <w:color w:val="000000" w:themeColor="text1"/>
        </w:rPr>
        <w:t>5</w:t>
      </w:r>
      <w:r w:rsidRPr="00CE03C4">
        <w:rPr>
          <w:rFonts w:ascii="Bookman Old Style" w:hAnsi="Bookman Old Style" w:cs="Arial"/>
          <w:bCs/>
          <w:color w:val="000000" w:themeColor="text1"/>
        </w:rPr>
        <w:t>, los vendedores y los compradores a que hacen referencia los artículos 17 y 18 de la Resolución CREG 089 de 2013 darán aplicación al mecanismo de negociación directa durante el período definido en el cronograma establecido en el artículo 2 de esta Resolución.</w:t>
      </w:r>
    </w:p>
    <w:p w14:paraId="681736D7" w14:textId="77777777" w:rsidR="00CE03C4" w:rsidRPr="00CE03C4" w:rsidRDefault="00CE03C4" w:rsidP="00CE03C4">
      <w:pPr>
        <w:ind w:left="0"/>
        <w:jc w:val="both"/>
        <w:rPr>
          <w:rFonts w:ascii="Bookman Old Style" w:hAnsi="Bookman Old Style" w:cs="Arial"/>
          <w:color w:val="000000" w:themeColor="text1"/>
        </w:rPr>
      </w:pPr>
    </w:p>
    <w:p w14:paraId="5D9FD33C" w14:textId="5B17FACD" w:rsidR="00CE03C4" w:rsidRPr="00CE03C4" w:rsidRDefault="00CE03C4" w:rsidP="00CE03C4">
      <w:pPr>
        <w:ind w:left="0"/>
        <w:jc w:val="both"/>
        <w:rPr>
          <w:rFonts w:ascii="Bookman Old Style" w:hAnsi="Bookman Old Style" w:cs="Arial"/>
          <w:color w:val="000000" w:themeColor="text1"/>
        </w:rPr>
      </w:pPr>
      <w:r w:rsidRPr="00CE03C4">
        <w:rPr>
          <w:rFonts w:ascii="Bookman Old Style" w:hAnsi="Bookman Old Style" w:cs="Arial"/>
          <w:b/>
          <w:color w:val="000000" w:themeColor="text1"/>
        </w:rPr>
        <w:t xml:space="preserve">Artículo 2. Cronograma. </w:t>
      </w:r>
      <w:r w:rsidRPr="00CE03C4">
        <w:rPr>
          <w:rFonts w:ascii="Bookman Old Style" w:hAnsi="Bookman Old Style" w:cs="Arial"/>
          <w:color w:val="000000" w:themeColor="text1"/>
        </w:rPr>
        <w:t xml:space="preserve">El siguiente es el cronograma aplicable para la comercialización del gas natural </w:t>
      </w:r>
      <w:r w:rsidRPr="00CE03C4">
        <w:rPr>
          <w:rFonts w:ascii="Bookman Old Style" w:hAnsi="Bookman Old Style" w:cs="Arial"/>
          <w:bCs/>
          <w:color w:val="000000" w:themeColor="text1"/>
        </w:rPr>
        <w:t>en el mercado primario y para la aplicación del m</w:t>
      </w:r>
      <w:r w:rsidRPr="00CE03C4">
        <w:rPr>
          <w:rFonts w:ascii="Bookman Old Style" w:hAnsi="Bookman Old Style" w:cs="Arial"/>
          <w:color w:val="000000" w:themeColor="text1"/>
        </w:rPr>
        <w:t xml:space="preserve">ecanismo de </w:t>
      </w:r>
      <w:r w:rsidR="001849DD">
        <w:rPr>
          <w:rFonts w:ascii="Bookman Old Style" w:hAnsi="Bookman Old Style" w:cs="Arial"/>
          <w:color w:val="000000" w:themeColor="text1"/>
        </w:rPr>
        <w:t>subasta</w:t>
      </w:r>
      <w:r w:rsidR="001849DD" w:rsidRPr="00CE03C4">
        <w:rPr>
          <w:rFonts w:ascii="Bookman Old Style" w:hAnsi="Bookman Old Style" w:cs="Arial"/>
          <w:color w:val="000000" w:themeColor="text1"/>
        </w:rPr>
        <w:t xml:space="preserve"> </w:t>
      </w:r>
      <w:r w:rsidRPr="00CE03C4">
        <w:rPr>
          <w:rFonts w:ascii="Bookman Old Style" w:hAnsi="Bookman Old Style" w:cs="Arial"/>
          <w:color w:val="000000" w:themeColor="text1"/>
        </w:rPr>
        <w:t xml:space="preserve">para el proceso úselo o véndalo de largo plazo, </w:t>
      </w:r>
      <w:r w:rsidRPr="00CE03C4">
        <w:rPr>
          <w:rFonts w:ascii="Bookman Old Style" w:hAnsi="Bookman Old Style" w:cs="Arial"/>
          <w:bCs/>
          <w:color w:val="000000" w:themeColor="text1"/>
        </w:rPr>
        <w:t>en el año 201</w:t>
      </w:r>
      <w:r w:rsidR="00711391">
        <w:rPr>
          <w:rFonts w:ascii="Bookman Old Style" w:hAnsi="Bookman Old Style" w:cs="Arial"/>
          <w:bCs/>
          <w:color w:val="000000" w:themeColor="text1"/>
        </w:rPr>
        <w:t>5</w:t>
      </w:r>
      <w:r w:rsidRPr="00CE03C4">
        <w:rPr>
          <w:rFonts w:ascii="Bookman Old Style" w:hAnsi="Bookman Old Style" w:cs="Arial"/>
          <w:color w:val="000000" w:themeColor="text1"/>
        </w:rPr>
        <w:t>:</w:t>
      </w:r>
    </w:p>
    <w:p w14:paraId="57778BAC" w14:textId="77777777" w:rsidR="00CE03C4" w:rsidRDefault="00CE03C4" w:rsidP="00CE03C4">
      <w:pPr>
        <w:ind w:left="0"/>
        <w:jc w:val="both"/>
        <w:rPr>
          <w:rFonts w:ascii="Bookman Old Style" w:hAnsi="Bookman Old Style" w:cs="Arial"/>
          <w:b/>
          <w:color w:val="000000" w:themeColor="text1"/>
        </w:rPr>
      </w:pPr>
    </w:p>
    <w:p w14:paraId="6FE37533" w14:textId="77777777" w:rsidR="00CE03C4" w:rsidRDefault="00CE03C4" w:rsidP="00CE03C4">
      <w:pPr>
        <w:ind w:left="0"/>
        <w:jc w:val="both"/>
        <w:rPr>
          <w:rFonts w:ascii="Bookman Old Style" w:hAnsi="Bookman Old Style" w:cs="Arial"/>
          <w:b/>
          <w:color w:val="000000" w:themeColor="text1"/>
        </w:rPr>
      </w:pPr>
    </w:p>
    <w:tbl>
      <w:tblPr>
        <w:tblStyle w:val="Tablaconcuadrcula"/>
        <w:tblW w:w="0" w:type="auto"/>
        <w:jc w:val="center"/>
        <w:tblInd w:w="-163" w:type="dxa"/>
        <w:tblLook w:val="04A0" w:firstRow="1" w:lastRow="0" w:firstColumn="1" w:lastColumn="0" w:noHBand="0" w:noVBand="1"/>
      </w:tblPr>
      <w:tblGrid>
        <w:gridCol w:w="3198"/>
        <w:gridCol w:w="3119"/>
        <w:gridCol w:w="2351"/>
      </w:tblGrid>
      <w:tr w:rsidR="00DF3269" w:rsidRPr="00CE03C4" w14:paraId="43475FA1" w14:textId="77777777" w:rsidTr="00476FA7">
        <w:trPr>
          <w:trHeight w:val="276"/>
          <w:jc w:val="center"/>
        </w:trPr>
        <w:tc>
          <w:tcPr>
            <w:tcW w:w="3198" w:type="dxa"/>
            <w:vAlign w:val="center"/>
          </w:tcPr>
          <w:p w14:paraId="599E4AD4" w14:textId="77777777" w:rsidR="00DF3269" w:rsidRPr="00CE03C4" w:rsidRDefault="00DF3269" w:rsidP="00C424A6">
            <w:pPr>
              <w:keepNext/>
              <w:ind w:left="0"/>
              <w:rPr>
                <w:rFonts w:ascii="Bookman Old Style" w:hAnsi="Bookman Old Style" w:cs="Arial"/>
                <w:b/>
                <w:color w:val="000000" w:themeColor="text1"/>
              </w:rPr>
            </w:pPr>
            <w:r w:rsidRPr="00CE03C4">
              <w:rPr>
                <w:rFonts w:ascii="Bookman Old Style" w:hAnsi="Bookman Old Style" w:cs="Arial"/>
                <w:b/>
                <w:color w:val="000000" w:themeColor="text1"/>
              </w:rPr>
              <w:t>Actividad</w:t>
            </w:r>
          </w:p>
        </w:tc>
        <w:tc>
          <w:tcPr>
            <w:tcW w:w="3119" w:type="dxa"/>
            <w:vAlign w:val="center"/>
          </w:tcPr>
          <w:p w14:paraId="28A99011" w14:textId="77777777" w:rsidR="00DF3269" w:rsidRPr="00CE03C4" w:rsidRDefault="00DF3269" w:rsidP="00C424A6">
            <w:pPr>
              <w:keepNext/>
              <w:ind w:left="0"/>
              <w:rPr>
                <w:rFonts w:ascii="Bookman Old Style" w:hAnsi="Bookman Old Style" w:cs="Arial"/>
                <w:b/>
                <w:color w:val="000000" w:themeColor="text1"/>
              </w:rPr>
            </w:pPr>
            <w:r w:rsidRPr="00CE03C4">
              <w:rPr>
                <w:rFonts w:ascii="Bookman Old Style" w:hAnsi="Bookman Old Style" w:cs="Arial"/>
                <w:b/>
                <w:color w:val="000000" w:themeColor="text1"/>
              </w:rPr>
              <w:t>Responsable</w:t>
            </w:r>
          </w:p>
        </w:tc>
        <w:tc>
          <w:tcPr>
            <w:tcW w:w="2351" w:type="dxa"/>
            <w:vAlign w:val="center"/>
          </w:tcPr>
          <w:p w14:paraId="0C08A8FB" w14:textId="5903AA3D" w:rsidR="00DF3269" w:rsidRPr="00DF3269" w:rsidRDefault="00DF3269" w:rsidP="00A32B97">
            <w:pPr>
              <w:keepNext/>
              <w:ind w:left="0"/>
              <w:jc w:val="center"/>
              <w:rPr>
                <w:rFonts w:ascii="Bookman Old Style" w:hAnsi="Bookman Old Style" w:cs="Arial"/>
                <w:b/>
                <w:color w:val="000000" w:themeColor="text1"/>
              </w:rPr>
            </w:pPr>
            <w:r w:rsidRPr="00DF3269">
              <w:rPr>
                <w:rFonts w:ascii="Bookman Old Style" w:hAnsi="Bookman Old Style" w:cs="Arial"/>
                <w:b/>
                <w:bCs/>
                <w:kern w:val="24"/>
                <w:szCs w:val="32"/>
              </w:rPr>
              <w:t>Fecha</w:t>
            </w:r>
          </w:p>
        </w:tc>
      </w:tr>
      <w:tr w:rsidR="00DF3269" w:rsidRPr="00CE03C4" w14:paraId="457F25E1" w14:textId="77777777" w:rsidTr="00684AC8">
        <w:trPr>
          <w:trHeight w:val="1615"/>
          <w:jc w:val="center"/>
        </w:trPr>
        <w:tc>
          <w:tcPr>
            <w:tcW w:w="3198" w:type="dxa"/>
            <w:vAlign w:val="center"/>
          </w:tcPr>
          <w:p w14:paraId="5DC18F9C" w14:textId="0AC0606C" w:rsidR="00DF3269" w:rsidRPr="00CE03C4" w:rsidRDefault="00476FA7" w:rsidP="00476FA7">
            <w:pPr>
              <w:ind w:left="0"/>
              <w:rPr>
                <w:rFonts w:ascii="Bookman Old Style" w:hAnsi="Bookman Old Style" w:cs="Arial"/>
                <w:color w:val="000000" w:themeColor="text1"/>
              </w:rPr>
            </w:pPr>
            <w:r w:rsidRPr="00CE03C4">
              <w:rPr>
                <w:rFonts w:ascii="Bookman Old Style" w:hAnsi="Bookman Old Style" w:cs="Arial"/>
                <w:color w:val="000000" w:themeColor="text1"/>
              </w:rPr>
              <w:t>Publicación de las declaraciones de la información de los contratos de transporte y de suministro vigentes</w:t>
            </w:r>
          </w:p>
        </w:tc>
        <w:tc>
          <w:tcPr>
            <w:tcW w:w="3119" w:type="dxa"/>
            <w:vAlign w:val="center"/>
          </w:tcPr>
          <w:p w14:paraId="65AF4018" w14:textId="1D271D15" w:rsidR="00DF3269" w:rsidRPr="00CE03C4" w:rsidRDefault="00476FA7" w:rsidP="00476FA7">
            <w:pPr>
              <w:ind w:left="0"/>
              <w:rPr>
                <w:rFonts w:ascii="Bookman Old Style" w:hAnsi="Bookman Old Style" w:cs="Arial"/>
                <w:bCs/>
                <w:color w:val="000000" w:themeColor="text1"/>
              </w:rPr>
            </w:pPr>
            <w:r>
              <w:rPr>
                <w:rFonts w:ascii="Bookman Old Style" w:hAnsi="Bookman Old Style" w:cs="Arial"/>
                <w:bCs/>
                <w:color w:val="000000" w:themeColor="text1"/>
              </w:rPr>
              <w:t>Gestor del mercado</w:t>
            </w:r>
          </w:p>
          <w:p w14:paraId="0F3AC332" w14:textId="77777777" w:rsidR="00DF3269" w:rsidRPr="00CE03C4" w:rsidRDefault="00DF3269" w:rsidP="00476FA7">
            <w:pPr>
              <w:ind w:left="0"/>
              <w:rPr>
                <w:rFonts w:ascii="Bookman Old Style" w:hAnsi="Bookman Old Style" w:cs="Arial"/>
                <w:color w:val="000000" w:themeColor="text1"/>
              </w:rPr>
            </w:pPr>
          </w:p>
        </w:tc>
        <w:tc>
          <w:tcPr>
            <w:tcW w:w="2351" w:type="dxa"/>
            <w:vAlign w:val="center"/>
          </w:tcPr>
          <w:p w14:paraId="5C5F0CE9" w14:textId="339344FE" w:rsidR="00DF3269" w:rsidRPr="00DF3269" w:rsidRDefault="009029C1" w:rsidP="00522DEB">
            <w:pPr>
              <w:ind w:left="0"/>
              <w:jc w:val="center"/>
              <w:rPr>
                <w:rFonts w:ascii="Bookman Old Style" w:hAnsi="Bookman Old Style" w:cs="Arial"/>
                <w:color w:val="000000" w:themeColor="text1"/>
              </w:rPr>
            </w:pPr>
            <w:r>
              <w:rPr>
                <w:rFonts w:ascii="Bookman Old Style" w:hAnsi="Bookman Old Style" w:cs="Arial"/>
                <w:color w:val="000000"/>
                <w:kern w:val="24"/>
                <w:szCs w:val="32"/>
              </w:rPr>
              <w:t xml:space="preserve">Establecida </w:t>
            </w:r>
            <w:r w:rsidR="00522DEB">
              <w:rPr>
                <w:rFonts w:ascii="Bookman Old Style" w:hAnsi="Bookman Old Style" w:cs="Arial"/>
                <w:color w:val="000000"/>
                <w:kern w:val="24"/>
                <w:szCs w:val="32"/>
              </w:rPr>
              <w:t>por</w:t>
            </w:r>
            <w:r>
              <w:rPr>
                <w:rFonts w:ascii="Bookman Old Style" w:hAnsi="Bookman Old Style" w:cs="Arial"/>
                <w:color w:val="000000"/>
                <w:kern w:val="24"/>
                <w:szCs w:val="32"/>
              </w:rPr>
              <w:t xml:space="preserve"> circular de la Dirección Ejecutiva</w:t>
            </w:r>
          </w:p>
        </w:tc>
      </w:tr>
      <w:tr w:rsidR="00DF3269" w:rsidRPr="00CE03C4" w14:paraId="4DEC4A80" w14:textId="77777777" w:rsidTr="00476FA7">
        <w:trPr>
          <w:trHeight w:val="1837"/>
          <w:jc w:val="center"/>
        </w:trPr>
        <w:tc>
          <w:tcPr>
            <w:tcW w:w="3198" w:type="dxa"/>
            <w:vAlign w:val="center"/>
          </w:tcPr>
          <w:p w14:paraId="39DCFD68" w14:textId="33CA828A" w:rsidR="00DF3269" w:rsidRPr="00CE03C4" w:rsidRDefault="00476FA7" w:rsidP="00F261B2">
            <w:pPr>
              <w:ind w:left="0"/>
              <w:rPr>
                <w:rFonts w:ascii="Bookman Old Style" w:hAnsi="Bookman Old Style" w:cs="Arial"/>
                <w:color w:val="000000" w:themeColor="text1"/>
              </w:rPr>
            </w:pPr>
            <w:r w:rsidRPr="00CE03C4">
              <w:rPr>
                <w:rFonts w:ascii="Bookman Old Style" w:hAnsi="Bookman Old Style" w:cs="Arial"/>
                <w:color w:val="000000" w:themeColor="text1"/>
              </w:rPr>
              <w:t xml:space="preserve">Declaración de la Oferta de PTDVF y de la Oferta de CIDVF, según el formato que la Dirección Ejecutiva de la CREG </w:t>
            </w:r>
            <w:r w:rsidR="00F261B2">
              <w:rPr>
                <w:rFonts w:ascii="Bookman Old Style" w:hAnsi="Bookman Old Style" w:cs="Arial"/>
                <w:color w:val="000000" w:themeColor="text1"/>
              </w:rPr>
              <w:t>informe</w:t>
            </w:r>
            <w:r w:rsidR="00F261B2" w:rsidRPr="00CE03C4">
              <w:rPr>
                <w:rFonts w:ascii="Bookman Old Style" w:hAnsi="Bookman Old Style" w:cs="Arial"/>
                <w:color w:val="000000" w:themeColor="text1"/>
              </w:rPr>
              <w:t xml:space="preserve"> </w:t>
            </w:r>
            <w:r w:rsidRPr="00CE03C4">
              <w:rPr>
                <w:rFonts w:ascii="Bookman Old Style" w:hAnsi="Bookman Old Style" w:cs="Arial"/>
                <w:color w:val="000000" w:themeColor="text1"/>
              </w:rPr>
              <w:t>mediante circular</w:t>
            </w:r>
          </w:p>
        </w:tc>
        <w:tc>
          <w:tcPr>
            <w:tcW w:w="3119" w:type="dxa"/>
            <w:vAlign w:val="center"/>
          </w:tcPr>
          <w:p w14:paraId="6DF2625C" w14:textId="7AFEBFCC" w:rsidR="00DF3269" w:rsidRPr="00CE03C4" w:rsidRDefault="00476FA7" w:rsidP="00476FA7">
            <w:pPr>
              <w:ind w:left="0"/>
              <w:rPr>
                <w:rFonts w:ascii="Bookman Old Style" w:hAnsi="Bookman Old Style" w:cs="Arial"/>
                <w:bCs/>
                <w:color w:val="000000" w:themeColor="text1"/>
              </w:rPr>
            </w:pPr>
            <w:r w:rsidRPr="00CE03C4">
              <w:rPr>
                <w:rFonts w:ascii="Bookman Old Style" w:hAnsi="Bookman Old Style" w:cs="Arial"/>
                <w:bCs/>
                <w:color w:val="000000" w:themeColor="text1"/>
              </w:rPr>
              <w:t>Vendedores</w:t>
            </w:r>
            <w:r>
              <w:rPr>
                <w:rFonts w:ascii="Bookman Old Style" w:hAnsi="Bookman Old Style" w:cs="Arial"/>
                <w:bCs/>
                <w:color w:val="000000" w:themeColor="text1"/>
              </w:rPr>
              <w:t xml:space="preserve"> a que hace</w:t>
            </w:r>
            <w:r w:rsidRPr="00CE03C4">
              <w:rPr>
                <w:rFonts w:ascii="Bookman Old Style" w:hAnsi="Bookman Old Style" w:cs="Arial"/>
                <w:bCs/>
                <w:color w:val="000000" w:themeColor="text1"/>
              </w:rPr>
              <w:t xml:space="preserve"> referencia </w:t>
            </w:r>
            <w:r>
              <w:rPr>
                <w:rFonts w:ascii="Bookman Old Style" w:hAnsi="Bookman Old Style" w:cs="Arial"/>
                <w:bCs/>
                <w:color w:val="000000" w:themeColor="text1"/>
              </w:rPr>
              <w:t>el</w:t>
            </w:r>
            <w:r w:rsidRPr="00CE03C4">
              <w:rPr>
                <w:rFonts w:ascii="Bookman Old Style" w:hAnsi="Bookman Old Style" w:cs="Arial"/>
                <w:bCs/>
                <w:color w:val="000000" w:themeColor="text1"/>
              </w:rPr>
              <w:t xml:space="preserve"> artículo 17 de la Resolución CREG 089 de 2013</w:t>
            </w:r>
          </w:p>
        </w:tc>
        <w:tc>
          <w:tcPr>
            <w:tcW w:w="2351" w:type="dxa"/>
            <w:vAlign w:val="center"/>
          </w:tcPr>
          <w:p w14:paraId="06B44CA0" w14:textId="6DE96155" w:rsidR="00DF3269" w:rsidRPr="00DF3269" w:rsidRDefault="00A32B97" w:rsidP="00C424A6">
            <w:pPr>
              <w:ind w:left="0"/>
              <w:jc w:val="center"/>
              <w:rPr>
                <w:rFonts w:ascii="Bookman Old Style" w:hAnsi="Bookman Old Style" w:cs="Arial"/>
                <w:color w:val="000000" w:themeColor="text1"/>
              </w:rPr>
            </w:pPr>
            <w:r>
              <w:rPr>
                <w:rFonts w:ascii="Bookman Old Style" w:hAnsi="Bookman Old Style" w:cs="Arial"/>
                <w:color w:val="000000"/>
                <w:kern w:val="24"/>
                <w:szCs w:val="32"/>
              </w:rPr>
              <w:t xml:space="preserve">Hasta </w:t>
            </w:r>
            <w:r w:rsidR="00DF3269" w:rsidRPr="00DF3269">
              <w:rPr>
                <w:rFonts w:ascii="Bookman Old Style" w:hAnsi="Bookman Old Style" w:cs="Arial"/>
                <w:color w:val="000000"/>
                <w:kern w:val="24"/>
                <w:szCs w:val="32"/>
              </w:rPr>
              <w:t>31/08/2015</w:t>
            </w:r>
          </w:p>
        </w:tc>
      </w:tr>
      <w:tr w:rsidR="00DF3269" w:rsidRPr="00CE03C4" w14:paraId="0FA653BA" w14:textId="77777777" w:rsidTr="00476FA7">
        <w:trPr>
          <w:trHeight w:val="984"/>
          <w:jc w:val="center"/>
        </w:trPr>
        <w:tc>
          <w:tcPr>
            <w:tcW w:w="3198" w:type="dxa"/>
            <w:vAlign w:val="center"/>
          </w:tcPr>
          <w:p w14:paraId="7CF2E910" w14:textId="77777777" w:rsidR="00DF3269" w:rsidRPr="00CE03C4" w:rsidRDefault="00DF3269" w:rsidP="00476FA7">
            <w:pPr>
              <w:ind w:left="0"/>
              <w:rPr>
                <w:rFonts w:ascii="Bookman Old Style" w:hAnsi="Bookman Old Style" w:cs="Arial"/>
                <w:color w:val="000000" w:themeColor="text1"/>
              </w:rPr>
            </w:pPr>
            <w:r w:rsidRPr="00CE03C4">
              <w:rPr>
                <w:rFonts w:ascii="Bookman Old Style" w:hAnsi="Bookman Old Style" w:cs="Arial"/>
                <w:color w:val="000000" w:themeColor="text1"/>
              </w:rPr>
              <w:t>Publicación de la Oferta de PTDFV y de la Oferta de CIDVF</w:t>
            </w:r>
          </w:p>
        </w:tc>
        <w:tc>
          <w:tcPr>
            <w:tcW w:w="3119" w:type="dxa"/>
            <w:vAlign w:val="center"/>
          </w:tcPr>
          <w:p w14:paraId="0DE3FF7B" w14:textId="5B47972D" w:rsidR="00DF3269" w:rsidRPr="00CE03C4" w:rsidRDefault="00476FA7" w:rsidP="00476FA7">
            <w:pPr>
              <w:ind w:left="0"/>
              <w:rPr>
                <w:rFonts w:ascii="Bookman Old Style" w:hAnsi="Bookman Old Style" w:cs="Arial"/>
                <w:color w:val="000000" w:themeColor="text1"/>
              </w:rPr>
            </w:pPr>
            <w:r>
              <w:rPr>
                <w:rFonts w:ascii="Bookman Old Style" w:hAnsi="Bookman Old Style" w:cs="Arial"/>
                <w:color w:val="000000" w:themeColor="text1"/>
              </w:rPr>
              <w:t>Gestor del mercado</w:t>
            </w:r>
          </w:p>
        </w:tc>
        <w:tc>
          <w:tcPr>
            <w:tcW w:w="2351" w:type="dxa"/>
            <w:vAlign w:val="center"/>
          </w:tcPr>
          <w:p w14:paraId="0B12A20B" w14:textId="77777777" w:rsidR="00A32B97" w:rsidRDefault="00A32B97" w:rsidP="00A32B97">
            <w:pPr>
              <w:ind w:left="0"/>
              <w:jc w:val="center"/>
              <w:rPr>
                <w:rFonts w:ascii="Bookman Old Style" w:hAnsi="Bookman Old Style" w:cs="Arial"/>
                <w:color w:val="000000"/>
                <w:kern w:val="24"/>
                <w:szCs w:val="32"/>
              </w:rPr>
            </w:pPr>
            <w:r>
              <w:rPr>
                <w:rFonts w:ascii="Bookman Old Style" w:hAnsi="Bookman Old Style" w:cs="Arial"/>
                <w:color w:val="000000"/>
                <w:kern w:val="24"/>
                <w:szCs w:val="32"/>
              </w:rPr>
              <w:t xml:space="preserve">Hasta </w:t>
            </w:r>
          </w:p>
          <w:p w14:paraId="7ECCBE1D" w14:textId="12CDBE3A" w:rsidR="00DF3269" w:rsidRPr="00DF3269" w:rsidRDefault="00DF3269" w:rsidP="00A32B97">
            <w:pPr>
              <w:ind w:left="0"/>
              <w:jc w:val="center"/>
              <w:rPr>
                <w:rFonts w:ascii="Bookman Old Style" w:hAnsi="Bookman Old Style" w:cs="Arial"/>
                <w:color w:val="000000" w:themeColor="text1"/>
              </w:rPr>
            </w:pPr>
            <w:r w:rsidRPr="00DF3269">
              <w:rPr>
                <w:rFonts w:ascii="Bookman Old Style" w:hAnsi="Bookman Old Style" w:cs="Arial"/>
                <w:color w:val="000000"/>
                <w:kern w:val="24"/>
                <w:szCs w:val="32"/>
              </w:rPr>
              <w:t>03/09/2015</w:t>
            </w:r>
          </w:p>
        </w:tc>
      </w:tr>
      <w:tr w:rsidR="00DF3269" w:rsidRPr="00CE03C4" w14:paraId="770A06C1" w14:textId="77777777" w:rsidTr="00476FA7">
        <w:trPr>
          <w:trHeight w:val="1763"/>
          <w:jc w:val="center"/>
        </w:trPr>
        <w:tc>
          <w:tcPr>
            <w:tcW w:w="3198" w:type="dxa"/>
            <w:vAlign w:val="center"/>
          </w:tcPr>
          <w:p w14:paraId="7AE6BD57" w14:textId="64DF2F59" w:rsidR="00DF3269" w:rsidRPr="00CE03C4" w:rsidRDefault="00DF3269" w:rsidP="00476FA7">
            <w:pPr>
              <w:ind w:left="0"/>
              <w:rPr>
                <w:rFonts w:ascii="Bookman Old Style" w:hAnsi="Bookman Old Style" w:cs="Arial"/>
                <w:color w:val="000000" w:themeColor="text1"/>
              </w:rPr>
            </w:pPr>
            <w:r w:rsidRPr="00CE03C4">
              <w:rPr>
                <w:rFonts w:ascii="Bookman Old Style" w:hAnsi="Bookman Old Style" w:cs="Arial"/>
                <w:color w:val="000000" w:themeColor="text1"/>
              </w:rPr>
              <w:t>Período de negociación directa y de suscripción de contratos</w:t>
            </w:r>
          </w:p>
        </w:tc>
        <w:tc>
          <w:tcPr>
            <w:tcW w:w="3119" w:type="dxa"/>
            <w:vAlign w:val="center"/>
          </w:tcPr>
          <w:p w14:paraId="00FAAA58" w14:textId="77777777" w:rsidR="00DF3269" w:rsidRPr="00CE03C4" w:rsidRDefault="00DF3269" w:rsidP="00476FA7">
            <w:pPr>
              <w:ind w:left="0"/>
              <w:rPr>
                <w:rFonts w:ascii="Bookman Old Style" w:hAnsi="Bookman Old Style" w:cs="Arial"/>
                <w:color w:val="000000" w:themeColor="text1"/>
              </w:rPr>
            </w:pPr>
            <w:r w:rsidRPr="00CE03C4">
              <w:rPr>
                <w:rFonts w:ascii="Bookman Old Style" w:hAnsi="Bookman Old Style" w:cs="Arial"/>
                <w:bCs/>
                <w:color w:val="000000" w:themeColor="text1"/>
              </w:rPr>
              <w:t>Vendedores y compradores a que hacen referencia los artículos 17 y 18 de la Resolución CREG 089 de 2013</w:t>
            </w:r>
          </w:p>
        </w:tc>
        <w:tc>
          <w:tcPr>
            <w:tcW w:w="2351" w:type="dxa"/>
            <w:vAlign w:val="center"/>
          </w:tcPr>
          <w:p w14:paraId="2B65AF7D" w14:textId="0CFEE6F6" w:rsidR="00DF3269" w:rsidRPr="00DF3269" w:rsidRDefault="00DF3269" w:rsidP="00A32B97">
            <w:pPr>
              <w:ind w:left="0"/>
              <w:jc w:val="center"/>
              <w:rPr>
                <w:rFonts w:ascii="Bookman Old Style" w:hAnsi="Bookman Old Style" w:cs="Arial"/>
                <w:color w:val="000000" w:themeColor="text1"/>
              </w:rPr>
            </w:pPr>
            <w:r w:rsidRPr="00DF3269">
              <w:rPr>
                <w:rFonts w:ascii="Bookman Old Style" w:hAnsi="Bookman Old Style" w:cs="Arial"/>
                <w:bCs/>
                <w:color w:val="000000"/>
                <w:kern w:val="24"/>
                <w:szCs w:val="32"/>
              </w:rPr>
              <w:t>18/09/2015 hasta 01/10/2015</w:t>
            </w:r>
          </w:p>
        </w:tc>
      </w:tr>
      <w:tr w:rsidR="00DF3269" w:rsidRPr="00CE03C4" w14:paraId="7E17BF2F" w14:textId="77777777" w:rsidTr="00476FA7">
        <w:trPr>
          <w:trHeight w:val="2116"/>
          <w:jc w:val="center"/>
        </w:trPr>
        <w:tc>
          <w:tcPr>
            <w:tcW w:w="3198" w:type="dxa"/>
            <w:vAlign w:val="center"/>
          </w:tcPr>
          <w:p w14:paraId="56B2163B" w14:textId="1A10E2E2" w:rsidR="00DF3269" w:rsidRPr="00CE03C4" w:rsidRDefault="00DF3269" w:rsidP="00F261B2">
            <w:pPr>
              <w:ind w:left="0"/>
              <w:rPr>
                <w:rFonts w:ascii="Bookman Old Style" w:hAnsi="Bookman Old Style" w:cs="Arial"/>
                <w:color w:val="000000" w:themeColor="text1"/>
              </w:rPr>
            </w:pPr>
            <w:r w:rsidRPr="00CE03C4">
              <w:rPr>
                <w:rFonts w:ascii="Bookman Old Style" w:hAnsi="Bookman Old Style" w:cs="Arial"/>
                <w:color w:val="000000" w:themeColor="text1"/>
              </w:rPr>
              <w:lastRenderedPageBreak/>
              <w:t xml:space="preserve">Declaración de los resultados de las negociaciones, según el formato que la Dirección Ejecutiva de la CREG </w:t>
            </w:r>
            <w:r w:rsidR="00F261B2">
              <w:rPr>
                <w:rFonts w:ascii="Bookman Old Style" w:hAnsi="Bookman Old Style" w:cs="Arial"/>
                <w:color w:val="000000" w:themeColor="text1"/>
              </w:rPr>
              <w:t>informe</w:t>
            </w:r>
            <w:r w:rsidR="00F261B2" w:rsidRPr="00CE03C4">
              <w:rPr>
                <w:rFonts w:ascii="Bookman Old Style" w:hAnsi="Bookman Old Style" w:cs="Arial"/>
                <w:color w:val="000000" w:themeColor="text1"/>
              </w:rPr>
              <w:t xml:space="preserve"> </w:t>
            </w:r>
            <w:r w:rsidRPr="00CE03C4">
              <w:rPr>
                <w:rFonts w:ascii="Bookman Old Style" w:hAnsi="Bookman Old Style" w:cs="Arial"/>
                <w:color w:val="000000" w:themeColor="text1"/>
              </w:rPr>
              <w:t xml:space="preserve">mediante circular </w:t>
            </w:r>
          </w:p>
        </w:tc>
        <w:tc>
          <w:tcPr>
            <w:tcW w:w="3119" w:type="dxa"/>
            <w:vAlign w:val="center"/>
          </w:tcPr>
          <w:p w14:paraId="090BBE1D" w14:textId="77777777" w:rsidR="00DF3269" w:rsidRPr="00CE03C4" w:rsidRDefault="00DF3269" w:rsidP="00476FA7">
            <w:pPr>
              <w:ind w:left="0"/>
              <w:rPr>
                <w:rFonts w:ascii="Bookman Old Style" w:hAnsi="Bookman Old Style" w:cs="Arial"/>
                <w:bCs/>
                <w:color w:val="000000" w:themeColor="text1"/>
              </w:rPr>
            </w:pPr>
            <w:r w:rsidRPr="00CE03C4">
              <w:rPr>
                <w:rFonts w:ascii="Bookman Old Style" w:hAnsi="Bookman Old Style" w:cs="Arial"/>
                <w:bCs/>
                <w:color w:val="000000" w:themeColor="text1"/>
              </w:rPr>
              <w:t>Vendedores a que hace referencia el artículo 17 de la Resolución CREG 089 de 2013</w:t>
            </w:r>
          </w:p>
        </w:tc>
        <w:tc>
          <w:tcPr>
            <w:tcW w:w="2351" w:type="dxa"/>
            <w:vAlign w:val="center"/>
          </w:tcPr>
          <w:p w14:paraId="6084D45F" w14:textId="77777777" w:rsidR="00684AC8" w:rsidRDefault="00684AC8" w:rsidP="00A32B97">
            <w:pPr>
              <w:ind w:left="0"/>
              <w:jc w:val="center"/>
              <w:rPr>
                <w:rFonts w:ascii="Bookman Old Style" w:hAnsi="Bookman Old Style" w:cs="Arial"/>
                <w:color w:val="000000"/>
                <w:kern w:val="24"/>
                <w:szCs w:val="32"/>
              </w:rPr>
            </w:pPr>
            <w:r>
              <w:rPr>
                <w:rFonts w:ascii="Bookman Old Style" w:hAnsi="Bookman Old Style" w:cs="Arial"/>
                <w:color w:val="000000"/>
                <w:kern w:val="24"/>
                <w:szCs w:val="32"/>
              </w:rPr>
              <w:t>Hasta</w:t>
            </w:r>
          </w:p>
          <w:p w14:paraId="2289087F" w14:textId="562B8E61" w:rsidR="00DF3269" w:rsidRPr="00DF3269" w:rsidRDefault="00DF3269" w:rsidP="00A32B97">
            <w:pPr>
              <w:ind w:left="0"/>
              <w:jc w:val="center"/>
              <w:rPr>
                <w:rFonts w:ascii="Bookman Old Style" w:hAnsi="Bookman Old Style" w:cs="Arial"/>
                <w:color w:val="000000" w:themeColor="text1"/>
              </w:rPr>
            </w:pPr>
            <w:r w:rsidRPr="00DF3269">
              <w:rPr>
                <w:rFonts w:ascii="Bookman Old Style" w:hAnsi="Bookman Old Style" w:cs="Arial"/>
                <w:color w:val="000000"/>
                <w:kern w:val="24"/>
                <w:szCs w:val="32"/>
              </w:rPr>
              <w:t>02/10/2015</w:t>
            </w:r>
          </w:p>
        </w:tc>
      </w:tr>
      <w:tr w:rsidR="00DF3269" w:rsidRPr="00CE03C4" w14:paraId="15CD849D" w14:textId="77777777" w:rsidTr="00684AC8">
        <w:trPr>
          <w:trHeight w:val="1577"/>
          <w:jc w:val="center"/>
        </w:trPr>
        <w:tc>
          <w:tcPr>
            <w:tcW w:w="3198" w:type="dxa"/>
            <w:vAlign w:val="center"/>
          </w:tcPr>
          <w:p w14:paraId="700E601D" w14:textId="62D43972" w:rsidR="00DF3269" w:rsidRPr="00CE03C4" w:rsidRDefault="00DF3269" w:rsidP="00476FA7">
            <w:pPr>
              <w:ind w:left="0"/>
              <w:rPr>
                <w:rFonts w:ascii="Bookman Old Style" w:hAnsi="Bookman Old Style" w:cs="Arial"/>
                <w:color w:val="000000" w:themeColor="text1"/>
              </w:rPr>
            </w:pPr>
            <w:r w:rsidRPr="00CE03C4">
              <w:rPr>
                <w:rFonts w:ascii="Bookman Old Style" w:hAnsi="Bookman Old Style" w:cs="Arial"/>
                <w:color w:val="000000" w:themeColor="text1"/>
              </w:rPr>
              <w:t xml:space="preserve">Declaración </w:t>
            </w:r>
            <w:r w:rsidR="00476FA7">
              <w:rPr>
                <w:rFonts w:ascii="Bookman Old Style" w:hAnsi="Bookman Old Style" w:cs="Arial"/>
                <w:color w:val="000000" w:themeColor="text1"/>
              </w:rPr>
              <w:t>de información de que trata el numeral 5.4 del Anexo 6 de la Resolución CREG 089 de 2013</w:t>
            </w:r>
          </w:p>
        </w:tc>
        <w:tc>
          <w:tcPr>
            <w:tcW w:w="3119" w:type="dxa"/>
            <w:vAlign w:val="center"/>
          </w:tcPr>
          <w:p w14:paraId="728A23E8" w14:textId="3D95DF8A" w:rsidR="00DF3269" w:rsidRPr="00CE03C4" w:rsidRDefault="00DF3269" w:rsidP="00476FA7">
            <w:pPr>
              <w:ind w:left="0"/>
              <w:rPr>
                <w:rFonts w:ascii="Bookman Old Style" w:hAnsi="Bookman Old Style" w:cs="Arial"/>
                <w:bCs/>
                <w:color w:val="000000" w:themeColor="text1"/>
              </w:rPr>
            </w:pPr>
            <w:r w:rsidRPr="00CE03C4">
              <w:rPr>
                <w:rFonts w:ascii="Bookman Old Style" w:hAnsi="Bookman Old Style" w:cs="Arial"/>
                <w:bCs/>
                <w:color w:val="000000" w:themeColor="text1"/>
              </w:rPr>
              <w:t>Titulares de capacidad contratada</w:t>
            </w:r>
            <w:r w:rsidR="00476FA7">
              <w:rPr>
                <w:rFonts w:ascii="Bookman Old Style" w:hAnsi="Bookman Old Style" w:cs="Arial"/>
                <w:bCs/>
                <w:color w:val="000000" w:themeColor="text1"/>
              </w:rPr>
              <w:t xml:space="preserve"> y Transportadores de gas natural </w:t>
            </w:r>
          </w:p>
        </w:tc>
        <w:tc>
          <w:tcPr>
            <w:tcW w:w="2351" w:type="dxa"/>
            <w:vAlign w:val="center"/>
          </w:tcPr>
          <w:p w14:paraId="3890605C" w14:textId="3CDB2321" w:rsidR="00DF3269" w:rsidRPr="00DF3269" w:rsidRDefault="00A32B97" w:rsidP="00A32B97">
            <w:pPr>
              <w:ind w:left="0"/>
              <w:jc w:val="center"/>
              <w:rPr>
                <w:rFonts w:ascii="Bookman Old Style" w:hAnsi="Bookman Old Style" w:cs="Arial"/>
                <w:color w:val="000000" w:themeColor="text1"/>
              </w:rPr>
            </w:pPr>
            <w:r>
              <w:rPr>
                <w:rFonts w:ascii="Bookman Old Style" w:hAnsi="Bookman Old Style" w:cs="Arial"/>
                <w:color w:val="000000"/>
                <w:kern w:val="24"/>
                <w:szCs w:val="32"/>
              </w:rPr>
              <w:t xml:space="preserve">Hasta </w:t>
            </w:r>
            <w:r w:rsidR="00DF3269" w:rsidRPr="00DF3269">
              <w:rPr>
                <w:rFonts w:ascii="Bookman Old Style" w:hAnsi="Bookman Old Style" w:cs="Arial"/>
                <w:color w:val="000000"/>
                <w:kern w:val="24"/>
                <w:szCs w:val="32"/>
              </w:rPr>
              <w:t>16/10/2015</w:t>
            </w:r>
          </w:p>
        </w:tc>
      </w:tr>
      <w:tr w:rsidR="00DF3269" w:rsidRPr="00CE03C4" w14:paraId="4ABE6259" w14:textId="77777777" w:rsidTr="00684AC8">
        <w:trPr>
          <w:trHeight w:val="849"/>
          <w:jc w:val="center"/>
        </w:trPr>
        <w:tc>
          <w:tcPr>
            <w:tcW w:w="3198" w:type="dxa"/>
            <w:vAlign w:val="center"/>
          </w:tcPr>
          <w:p w14:paraId="086530B0" w14:textId="77777777" w:rsidR="00DF3269" w:rsidRPr="00CE03C4" w:rsidRDefault="00DF3269" w:rsidP="00476FA7">
            <w:pPr>
              <w:ind w:left="0"/>
              <w:rPr>
                <w:rFonts w:ascii="Bookman Old Style" w:hAnsi="Bookman Old Style" w:cs="Arial"/>
                <w:color w:val="000000" w:themeColor="text1"/>
              </w:rPr>
            </w:pPr>
            <w:r w:rsidRPr="00CE03C4">
              <w:rPr>
                <w:rFonts w:ascii="Bookman Old Style" w:hAnsi="Bookman Old Style" w:cs="Arial"/>
                <w:color w:val="000000" w:themeColor="text1"/>
              </w:rPr>
              <w:t>Publicación de la capacidad excedentaria</w:t>
            </w:r>
          </w:p>
        </w:tc>
        <w:tc>
          <w:tcPr>
            <w:tcW w:w="3119" w:type="dxa"/>
            <w:vAlign w:val="center"/>
          </w:tcPr>
          <w:p w14:paraId="6153C78F" w14:textId="6DD52A5B" w:rsidR="00DF3269" w:rsidRPr="00CE03C4" w:rsidRDefault="00476FA7" w:rsidP="00684AC8">
            <w:pPr>
              <w:ind w:left="0"/>
              <w:rPr>
                <w:rFonts w:ascii="Bookman Old Style" w:hAnsi="Bookman Old Style" w:cs="Arial"/>
                <w:bCs/>
                <w:color w:val="000000" w:themeColor="text1"/>
              </w:rPr>
            </w:pPr>
            <w:r>
              <w:rPr>
                <w:rFonts w:ascii="Bookman Old Style" w:hAnsi="Bookman Old Style" w:cs="Arial"/>
                <w:bCs/>
                <w:color w:val="000000" w:themeColor="text1"/>
              </w:rPr>
              <w:t>Gestor del mercado</w:t>
            </w:r>
          </w:p>
        </w:tc>
        <w:tc>
          <w:tcPr>
            <w:tcW w:w="2351" w:type="dxa"/>
            <w:vAlign w:val="center"/>
          </w:tcPr>
          <w:p w14:paraId="661B9209" w14:textId="1E3D83F4" w:rsidR="00DF3269" w:rsidRPr="00DF3269" w:rsidRDefault="00A32B97" w:rsidP="00A32B97">
            <w:pPr>
              <w:ind w:left="0"/>
              <w:jc w:val="center"/>
              <w:rPr>
                <w:rFonts w:ascii="Bookman Old Style" w:hAnsi="Bookman Old Style" w:cs="Arial"/>
                <w:color w:val="000000" w:themeColor="text1"/>
              </w:rPr>
            </w:pPr>
            <w:r>
              <w:rPr>
                <w:rFonts w:ascii="Bookman Old Style" w:hAnsi="Bookman Old Style" w:cs="Arial"/>
                <w:color w:val="000000"/>
                <w:kern w:val="24"/>
                <w:szCs w:val="32"/>
              </w:rPr>
              <w:t xml:space="preserve">Hasta </w:t>
            </w:r>
            <w:r w:rsidR="00DF3269" w:rsidRPr="00DF3269">
              <w:rPr>
                <w:rFonts w:ascii="Bookman Old Style" w:hAnsi="Bookman Old Style" w:cs="Arial"/>
                <w:color w:val="000000"/>
                <w:kern w:val="24"/>
                <w:szCs w:val="32"/>
              </w:rPr>
              <w:t>23/10/2015</w:t>
            </w:r>
          </w:p>
        </w:tc>
      </w:tr>
      <w:tr w:rsidR="00DF3269" w:rsidRPr="00CE03C4" w14:paraId="5FFC94F2" w14:textId="77777777" w:rsidTr="00684AC8">
        <w:trPr>
          <w:trHeight w:val="974"/>
          <w:jc w:val="center"/>
        </w:trPr>
        <w:tc>
          <w:tcPr>
            <w:tcW w:w="3198" w:type="dxa"/>
            <w:vAlign w:val="center"/>
          </w:tcPr>
          <w:p w14:paraId="04CFCC93" w14:textId="75965799" w:rsidR="00DF3269" w:rsidRPr="00CE03C4" w:rsidRDefault="00E71040" w:rsidP="00E71040">
            <w:pPr>
              <w:ind w:left="0"/>
              <w:rPr>
                <w:rFonts w:ascii="Bookman Old Style" w:hAnsi="Bookman Old Style" w:cs="Arial"/>
                <w:color w:val="000000" w:themeColor="text1"/>
              </w:rPr>
            </w:pPr>
            <w:r>
              <w:rPr>
                <w:rFonts w:ascii="Bookman Old Style" w:hAnsi="Bookman Old Style" w:cs="Arial"/>
                <w:color w:val="000000" w:themeColor="text1"/>
              </w:rPr>
              <w:t>Inicio de la s</w:t>
            </w:r>
            <w:r w:rsidR="00476FA7">
              <w:rPr>
                <w:rFonts w:ascii="Bookman Old Style" w:hAnsi="Bookman Old Style" w:cs="Arial"/>
                <w:color w:val="000000" w:themeColor="text1"/>
              </w:rPr>
              <w:t>ubasta del proceso úselo o véndalo de largo plazo</w:t>
            </w:r>
          </w:p>
        </w:tc>
        <w:tc>
          <w:tcPr>
            <w:tcW w:w="3119" w:type="dxa"/>
            <w:vAlign w:val="center"/>
          </w:tcPr>
          <w:p w14:paraId="32E7C785" w14:textId="47155EA7" w:rsidR="00DF3269" w:rsidRPr="00CE03C4" w:rsidRDefault="00476FA7" w:rsidP="00476FA7">
            <w:pPr>
              <w:ind w:left="0"/>
              <w:rPr>
                <w:rFonts w:ascii="Bookman Old Style" w:hAnsi="Bookman Old Style" w:cs="Arial"/>
                <w:bCs/>
                <w:color w:val="000000" w:themeColor="text1"/>
              </w:rPr>
            </w:pPr>
            <w:r>
              <w:rPr>
                <w:rFonts w:ascii="Bookman Old Style" w:hAnsi="Bookman Old Style" w:cs="Arial"/>
                <w:bCs/>
                <w:color w:val="000000" w:themeColor="text1"/>
              </w:rPr>
              <w:t>Gestor del Mercado</w:t>
            </w:r>
          </w:p>
        </w:tc>
        <w:tc>
          <w:tcPr>
            <w:tcW w:w="2351" w:type="dxa"/>
            <w:vAlign w:val="center"/>
          </w:tcPr>
          <w:p w14:paraId="00DE01ED" w14:textId="07FBA990" w:rsidR="00DF3269" w:rsidRPr="00DF3269" w:rsidRDefault="00E71040" w:rsidP="00A32B97">
            <w:pPr>
              <w:ind w:left="0"/>
              <w:jc w:val="center"/>
              <w:rPr>
                <w:rFonts w:ascii="Bookman Old Style" w:hAnsi="Bookman Old Style" w:cs="Arial"/>
                <w:color w:val="000000" w:themeColor="text1"/>
              </w:rPr>
            </w:pPr>
            <w:r>
              <w:rPr>
                <w:rFonts w:ascii="Bookman Old Style" w:hAnsi="Bookman Old Style" w:cs="Arial"/>
                <w:color w:val="000000"/>
                <w:kern w:val="24"/>
                <w:szCs w:val="32"/>
              </w:rPr>
              <w:t xml:space="preserve">A más tardar el </w:t>
            </w:r>
            <w:r w:rsidR="00DF3269" w:rsidRPr="00DF3269">
              <w:rPr>
                <w:rFonts w:ascii="Bookman Old Style" w:hAnsi="Bookman Old Style" w:cs="Arial"/>
                <w:color w:val="000000"/>
                <w:kern w:val="24"/>
                <w:szCs w:val="32"/>
              </w:rPr>
              <w:t>04/11/2015</w:t>
            </w:r>
          </w:p>
        </w:tc>
      </w:tr>
      <w:tr w:rsidR="00B11FE7" w:rsidRPr="00CE03C4" w14:paraId="49C61D49" w14:textId="77777777" w:rsidTr="00684AC8">
        <w:trPr>
          <w:trHeight w:val="988"/>
          <w:jc w:val="center"/>
        </w:trPr>
        <w:tc>
          <w:tcPr>
            <w:tcW w:w="3198" w:type="dxa"/>
            <w:vAlign w:val="center"/>
          </w:tcPr>
          <w:p w14:paraId="651A26BB" w14:textId="23F486B4" w:rsidR="00B11FE7" w:rsidRDefault="00B11FE7" w:rsidP="00B11FE7">
            <w:pPr>
              <w:ind w:left="0"/>
              <w:rPr>
                <w:rFonts w:ascii="Bookman Old Style" w:hAnsi="Bookman Old Style" w:cs="Arial"/>
                <w:color w:val="000000" w:themeColor="text1"/>
              </w:rPr>
            </w:pPr>
            <w:r w:rsidRPr="00B11FE7">
              <w:rPr>
                <w:rFonts w:ascii="Bookman Old Style" w:hAnsi="Bookman Old Style" w:cs="Arial"/>
                <w:color w:val="000000" w:themeColor="text1"/>
              </w:rPr>
              <w:t>Entrega informe</w:t>
            </w:r>
            <w:r>
              <w:rPr>
                <w:rFonts w:ascii="Bookman Old Style" w:hAnsi="Bookman Old Style" w:cs="Arial"/>
                <w:color w:val="000000" w:themeColor="text1"/>
              </w:rPr>
              <w:t xml:space="preserve"> del</w:t>
            </w:r>
            <w:r w:rsidRPr="00B11FE7">
              <w:rPr>
                <w:rFonts w:ascii="Bookman Old Style" w:hAnsi="Bookman Old Style" w:cs="Arial"/>
                <w:color w:val="000000" w:themeColor="text1"/>
              </w:rPr>
              <w:t xml:space="preserve"> auditor </w:t>
            </w:r>
            <w:r>
              <w:rPr>
                <w:rFonts w:ascii="Bookman Old Style" w:hAnsi="Bookman Old Style" w:cs="Arial"/>
                <w:color w:val="000000" w:themeColor="text1"/>
              </w:rPr>
              <w:t xml:space="preserve">de la </w:t>
            </w:r>
            <w:r w:rsidRPr="00B11FE7">
              <w:rPr>
                <w:rFonts w:ascii="Bookman Old Style" w:hAnsi="Bookman Old Style" w:cs="Arial"/>
                <w:color w:val="000000" w:themeColor="text1"/>
              </w:rPr>
              <w:t xml:space="preserve">subasta </w:t>
            </w:r>
            <w:r>
              <w:rPr>
                <w:rFonts w:ascii="Bookman Old Style" w:hAnsi="Bookman Old Style" w:cs="Arial"/>
                <w:color w:val="000000" w:themeColor="text1"/>
              </w:rPr>
              <w:t>de capacidad excedentaria</w:t>
            </w:r>
          </w:p>
        </w:tc>
        <w:tc>
          <w:tcPr>
            <w:tcW w:w="3119" w:type="dxa"/>
            <w:vAlign w:val="center"/>
          </w:tcPr>
          <w:p w14:paraId="374CC7D9" w14:textId="5FE64500" w:rsidR="00B11FE7" w:rsidRPr="00B11FE7" w:rsidRDefault="00B11FE7" w:rsidP="00476FA7">
            <w:pPr>
              <w:ind w:left="0"/>
              <w:rPr>
                <w:rFonts w:ascii="Bookman Old Style" w:hAnsi="Bookman Old Style" w:cs="Arial"/>
                <w:color w:val="000000" w:themeColor="text1"/>
              </w:rPr>
            </w:pPr>
            <w:r w:rsidRPr="00B11FE7">
              <w:rPr>
                <w:rFonts w:ascii="Bookman Old Style" w:hAnsi="Bookman Old Style" w:cs="Arial"/>
                <w:color w:val="000000" w:themeColor="text1"/>
              </w:rPr>
              <w:t>Auditor de la subasta</w:t>
            </w:r>
          </w:p>
        </w:tc>
        <w:tc>
          <w:tcPr>
            <w:tcW w:w="2351" w:type="dxa"/>
            <w:vAlign w:val="center"/>
          </w:tcPr>
          <w:p w14:paraId="179BA999" w14:textId="76E061FB" w:rsidR="00B11FE7" w:rsidRPr="00B11FE7" w:rsidRDefault="00B11FE7" w:rsidP="00B11FE7">
            <w:pPr>
              <w:ind w:left="0"/>
              <w:jc w:val="center"/>
              <w:rPr>
                <w:rFonts w:ascii="Bookman Old Style" w:hAnsi="Bookman Old Style" w:cs="Arial"/>
                <w:color w:val="000000" w:themeColor="text1"/>
              </w:rPr>
            </w:pPr>
            <w:r w:rsidRPr="00B11FE7">
              <w:rPr>
                <w:rFonts w:ascii="Bookman Old Style" w:hAnsi="Bookman Old Style" w:cs="Arial"/>
                <w:color w:val="000000" w:themeColor="text1"/>
              </w:rPr>
              <w:t xml:space="preserve">Hasta 5 días calendario del cierre de subasta </w:t>
            </w:r>
          </w:p>
        </w:tc>
      </w:tr>
      <w:tr w:rsidR="00B11FE7" w:rsidRPr="00CE03C4" w14:paraId="5688B3CC" w14:textId="77777777" w:rsidTr="00684AC8">
        <w:trPr>
          <w:trHeight w:val="1472"/>
          <w:jc w:val="center"/>
        </w:trPr>
        <w:tc>
          <w:tcPr>
            <w:tcW w:w="3198" w:type="dxa"/>
            <w:vAlign w:val="center"/>
          </w:tcPr>
          <w:p w14:paraId="3F941655" w14:textId="0F089F09" w:rsidR="00B11FE7" w:rsidRDefault="00B11FE7" w:rsidP="00476FA7">
            <w:pPr>
              <w:ind w:left="0"/>
              <w:rPr>
                <w:rFonts w:ascii="Bookman Old Style" w:hAnsi="Bookman Old Style" w:cs="Arial"/>
                <w:color w:val="000000" w:themeColor="text1"/>
              </w:rPr>
            </w:pPr>
            <w:r w:rsidRPr="00B11FE7">
              <w:rPr>
                <w:rFonts w:ascii="Bookman Old Style" w:hAnsi="Bookman Old Style" w:cs="Arial"/>
                <w:color w:val="000000" w:themeColor="text1"/>
              </w:rPr>
              <w:t>Suscripción</w:t>
            </w:r>
            <w:r w:rsidR="00684AC8">
              <w:rPr>
                <w:rFonts w:ascii="Bookman Old Style" w:hAnsi="Bookman Old Style" w:cs="Arial"/>
                <w:color w:val="000000" w:themeColor="text1"/>
              </w:rPr>
              <w:t xml:space="preserve"> y registro</w:t>
            </w:r>
            <w:r w:rsidRPr="00B11FE7">
              <w:rPr>
                <w:rFonts w:ascii="Bookman Old Style" w:hAnsi="Bookman Old Style" w:cs="Arial"/>
                <w:color w:val="000000" w:themeColor="text1"/>
              </w:rPr>
              <w:t xml:space="preserve"> de los contratos resultado de la subasta de transporte</w:t>
            </w:r>
          </w:p>
        </w:tc>
        <w:tc>
          <w:tcPr>
            <w:tcW w:w="3119" w:type="dxa"/>
            <w:vAlign w:val="center"/>
          </w:tcPr>
          <w:p w14:paraId="2F2999E4" w14:textId="5460D64E" w:rsidR="00B11FE7" w:rsidRPr="00B11FE7" w:rsidRDefault="00B11FE7" w:rsidP="00F261B2">
            <w:pPr>
              <w:ind w:left="0"/>
              <w:rPr>
                <w:rFonts w:ascii="Bookman Old Style" w:hAnsi="Bookman Old Style" w:cs="Arial"/>
                <w:color w:val="000000" w:themeColor="text1"/>
              </w:rPr>
            </w:pPr>
            <w:r w:rsidRPr="00B11FE7">
              <w:rPr>
                <w:rFonts w:ascii="Bookman Old Style" w:hAnsi="Bookman Old Style" w:cs="Arial"/>
                <w:color w:val="000000" w:themeColor="text1"/>
              </w:rPr>
              <w:t xml:space="preserve">Vendedores </w:t>
            </w:r>
            <w:r w:rsidR="00F261B2">
              <w:rPr>
                <w:rFonts w:ascii="Bookman Old Style" w:hAnsi="Bookman Old Style" w:cs="Arial"/>
                <w:color w:val="000000" w:themeColor="text1"/>
              </w:rPr>
              <w:t xml:space="preserve">y compradores </w:t>
            </w:r>
            <w:r w:rsidRPr="00B11FE7">
              <w:rPr>
                <w:rFonts w:ascii="Bookman Old Style" w:hAnsi="Bookman Old Style" w:cs="Arial"/>
                <w:color w:val="000000" w:themeColor="text1"/>
              </w:rPr>
              <w:t xml:space="preserve">de </w:t>
            </w:r>
            <w:r w:rsidR="00F261B2">
              <w:rPr>
                <w:rFonts w:ascii="Bookman Old Style" w:hAnsi="Bookman Old Style" w:cs="Arial"/>
                <w:color w:val="000000" w:themeColor="text1"/>
              </w:rPr>
              <w:t>capacidad excedentaria</w:t>
            </w:r>
          </w:p>
        </w:tc>
        <w:tc>
          <w:tcPr>
            <w:tcW w:w="2351" w:type="dxa"/>
            <w:vAlign w:val="center"/>
          </w:tcPr>
          <w:p w14:paraId="6A017F97" w14:textId="3E003CA8" w:rsidR="00B11FE7" w:rsidRPr="00B11FE7" w:rsidRDefault="00B11FE7" w:rsidP="00A32B97">
            <w:pPr>
              <w:ind w:left="0"/>
              <w:jc w:val="center"/>
              <w:rPr>
                <w:rFonts w:ascii="Bookman Old Style" w:hAnsi="Bookman Old Style" w:cs="Arial"/>
                <w:color w:val="000000" w:themeColor="text1"/>
              </w:rPr>
            </w:pPr>
            <w:r w:rsidRPr="00B11FE7">
              <w:rPr>
                <w:rFonts w:ascii="Bookman Old Style" w:hAnsi="Bookman Old Style" w:cs="Arial"/>
                <w:color w:val="000000" w:themeColor="text1"/>
              </w:rPr>
              <w:t>Hasta 10 días hábiles después de publicar el informe</w:t>
            </w:r>
            <w:r w:rsidR="00D85F90">
              <w:rPr>
                <w:rFonts w:ascii="Bookman Old Style" w:hAnsi="Bookman Old Style" w:cs="Arial"/>
                <w:color w:val="000000" w:themeColor="text1"/>
              </w:rPr>
              <w:t xml:space="preserve"> del auditor</w:t>
            </w:r>
          </w:p>
        </w:tc>
      </w:tr>
    </w:tbl>
    <w:p w14:paraId="77EAFC6D" w14:textId="77777777" w:rsidR="00CE03C4" w:rsidRPr="00CE03C4" w:rsidRDefault="00CE03C4" w:rsidP="00CE03C4">
      <w:pPr>
        <w:ind w:left="0"/>
        <w:jc w:val="both"/>
        <w:rPr>
          <w:rFonts w:ascii="Bookman Old Style" w:hAnsi="Bookman Old Style" w:cs="Arial"/>
          <w:b/>
          <w:color w:val="000000" w:themeColor="text1"/>
        </w:rPr>
      </w:pPr>
    </w:p>
    <w:p w14:paraId="0CE2D836" w14:textId="77777777" w:rsidR="00CE03C4" w:rsidRPr="00CE03C4" w:rsidRDefault="00CE03C4" w:rsidP="00CE03C4">
      <w:pPr>
        <w:ind w:left="0"/>
        <w:jc w:val="both"/>
        <w:rPr>
          <w:rFonts w:ascii="Bookman Old Style" w:hAnsi="Bookman Old Style" w:cs="Arial"/>
          <w:b/>
          <w:color w:val="000000" w:themeColor="text1"/>
        </w:rPr>
      </w:pPr>
    </w:p>
    <w:p w14:paraId="758D57C5" w14:textId="77777777" w:rsidR="00CE03C4" w:rsidRPr="00CE03C4" w:rsidRDefault="00CE03C4" w:rsidP="00CE03C4">
      <w:pPr>
        <w:ind w:left="0"/>
        <w:jc w:val="both"/>
        <w:rPr>
          <w:rFonts w:ascii="Bookman Old Style" w:hAnsi="Bookman Old Style" w:cs="Arial"/>
          <w:color w:val="000000" w:themeColor="text1"/>
        </w:rPr>
      </w:pPr>
      <w:r w:rsidRPr="00CE03C4">
        <w:rPr>
          <w:rFonts w:ascii="Bookman Old Style" w:hAnsi="Bookman Old Style" w:cs="Arial"/>
          <w:b/>
          <w:color w:val="000000" w:themeColor="text1"/>
        </w:rPr>
        <w:t>Artículo 4.</w:t>
      </w:r>
      <w:r w:rsidRPr="00CE03C4">
        <w:rPr>
          <w:rFonts w:ascii="Bookman Old Style" w:hAnsi="Bookman Old Style" w:cs="Arial"/>
          <w:color w:val="000000" w:themeColor="text1"/>
        </w:rPr>
        <w:t xml:space="preserve"> </w:t>
      </w:r>
      <w:r w:rsidRPr="00CE03C4">
        <w:rPr>
          <w:rFonts w:ascii="Bookman Old Style" w:hAnsi="Bookman Old Style" w:cs="Arial"/>
          <w:b/>
          <w:color w:val="000000" w:themeColor="text1"/>
        </w:rPr>
        <w:t>Derogatorias y Vigencia</w:t>
      </w:r>
      <w:r w:rsidRPr="00CE03C4">
        <w:rPr>
          <w:rFonts w:ascii="Bookman Old Style" w:hAnsi="Bookman Old Style" w:cs="Arial"/>
          <w:color w:val="000000" w:themeColor="text1"/>
        </w:rPr>
        <w:t xml:space="preserve">. La presente Resolución rige a partir de su publicación en el </w:t>
      </w:r>
      <w:r w:rsidRPr="00CE03C4">
        <w:rPr>
          <w:rFonts w:ascii="Bookman Old Style" w:hAnsi="Bookman Old Style" w:cs="Arial"/>
          <w:i/>
          <w:color w:val="000000" w:themeColor="text1"/>
        </w:rPr>
        <w:t>Diario Oficial</w:t>
      </w:r>
      <w:r w:rsidRPr="00CE03C4">
        <w:rPr>
          <w:rFonts w:ascii="Bookman Old Style" w:hAnsi="Bookman Old Style" w:cs="Arial"/>
          <w:color w:val="000000" w:themeColor="text1"/>
        </w:rPr>
        <w:t xml:space="preserve"> y deroga todas las disposiciones que le sean contrarias.</w:t>
      </w:r>
    </w:p>
    <w:p w14:paraId="63404F05" w14:textId="77777777" w:rsidR="0000654F" w:rsidRDefault="0000654F" w:rsidP="002764E2">
      <w:pPr>
        <w:ind w:left="0"/>
        <w:jc w:val="both"/>
        <w:rPr>
          <w:rFonts w:ascii="Bookman Old Style" w:hAnsi="Bookman Old Style"/>
          <w:color w:val="000000" w:themeColor="text1"/>
        </w:rPr>
      </w:pPr>
    </w:p>
    <w:p w14:paraId="25C6E6D6" w14:textId="77777777" w:rsidR="00684AC8" w:rsidRDefault="00684AC8" w:rsidP="002764E2">
      <w:pPr>
        <w:ind w:left="0"/>
        <w:jc w:val="both"/>
        <w:rPr>
          <w:rFonts w:ascii="Bookman Old Style" w:hAnsi="Bookman Old Style"/>
          <w:color w:val="000000" w:themeColor="text1"/>
        </w:rPr>
      </w:pPr>
    </w:p>
    <w:p w14:paraId="070B9ADA" w14:textId="77777777" w:rsidR="0000654F" w:rsidRPr="00F71DB1" w:rsidRDefault="0000654F" w:rsidP="0000654F">
      <w:pPr>
        <w:ind w:left="0"/>
        <w:jc w:val="center"/>
        <w:rPr>
          <w:rFonts w:ascii="Bookman Old Style" w:hAnsi="Bookman Old Style"/>
          <w:b/>
        </w:rPr>
      </w:pPr>
      <w:r w:rsidRPr="00F71DB1">
        <w:rPr>
          <w:rFonts w:ascii="Bookman Old Style" w:hAnsi="Bookman Old Style"/>
          <w:b/>
        </w:rPr>
        <w:t>PUBLÍQUESE Y CÚMPLASE</w:t>
      </w:r>
    </w:p>
    <w:p w14:paraId="4872279F" w14:textId="77777777" w:rsidR="0000654F" w:rsidRPr="004A1599" w:rsidRDefault="0000654F" w:rsidP="002764E2">
      <w:pPr>
        <w:ind w:left="0"/>
        <w:jc w:val="both"/>
        <w:rPr>
          <w:rFonts w:ascii="Bookman Old Style" w:hAnsi="Bookman Old Style"/>
          <w:color w:val="000000" w:themeColor="text1"/>
        </w:rPr>
      </w:pPr>
    </w:p>
    <w:p w14:paraId="174D8FB5" w14:textId="77777777" w:rsidR="000D6E82" w:rsidRDefault="000D6E82" w:rsidP="00476FA7">
      <w:pPr>
        <w:ind w:left="0"/>
        <w:jc w:val="both"/>
        <w:rPr>
          <w:rFonts w:ascii="Bookman Old Style" w:hAnsi="Bookman Old Style"/>
          <w:color w:val="000000" w:themeColor="text1"/>
        </w:rPr>
      </w:pPr>
    </w:p>
    <w:p w14:paraId="254CA259" w14:textId="3B82C5C4" w:rsidR="00476FA7" w:rsidRDefault="00445A56" w:rsidP="00476FA7">
      <w:pPr>
        <w:ind w:left="0"/>
        <w:jc w:val="both"/>
        <w:rPr>
          <w:rFonts w:ascii="Bookman Old Style" w:hAnsi="Bookman Old Style"/>
          <w:color w:val="000000" w:themeColor="text1"/>
        </w:rPr>
      </w:pPr>
      <w:r>
        <w:rPr>
          <w:rFonts w:ascii="Bookman Old Style" w:hAnsi="Bookman Old Style"/>
          <w:color w:val="000000" w:themeColor="text1"/>
        </w:rPr>
        <w:t>Dada en Bogotá, D.C. a</w:t>
      </w:r>
    </w:p>
    <w:p w14:paraId="07FCF652" w14:textId="77777777" w:rsidR="00476FA7" w:rsidRDefault="00476FA7" w:rsidP="00476FA7">
      <w:pPr>
        <w:ind w:left="0"/>
        <w:jc w:val="both"/>
        <w:rPr>
          <w:rFonts w:ascii="Bookman Old Style" w:hAnsi="Bookman Old Style"/>
          <w:color w:val="000000" w:themeColor="text1"/>
        </w:rPr>
      </w:pPr>
    </w:p>
    <w:p w14:paraId="3655C8BA" w14:textId="77777777" w:rsidR="00476FA7" w:rsidRDefault="00476FA7" w:rsidP="00476FA7">
      <w:pPr>
        <w:ind w:left="0"/>
        <w:jc w:val="both"/>
        <w:rPr>
          <w:rFonts w:ascii="Bookman Old Style" w:hAnsi="Bookman Old Style"/>
          <w:color w:val="000000" w:themeColor="text1"/>
        </w:rPr>
      </w:pPr>
    </w:p>
    <w:p w14:paraId="0A0992DF" w14:textId="77777777" w:rsidR="00476FA7" w:rsidRDefault="00476FA7" w:rsidP="00476FA7">
      <w:pPr>
        <w:ind w:left="0"/>
        <w:jc w:val="both"/>
        <w:rPr>
          <w:rFonts w:ascii="Bookman Old Style" w:hAnsi="Bookman Old Style"/>
          <w:color w:val="000000" w:themeColor="text1"/>
        </w:rPr>
      </w:pPr>
    </w:p>
    <w:p w14:paraId="344E8D53" w14:textId="77777777" w:rsidR="00476FA7" w:rsidRDefault="00476FA7" w:rsidP="00476FA7">
      <w:pPr>
        <w:ind w:left="0"/>
        <w:rPr>
          <w:rFonts w:ascii="Bookman Old Style" w:hAnsi="Bookman Old Style"/>
        </w:rPr>
      </w:pPr>
    </w:p>
    <w:tbl>
      <w:tblPr>
        <w:tblW w:w="9503" w:type="dxa"/>
        <w:jc w:val="center"/>
        <w:tblLayout w:type="fixed"/>
        <w:tblCellMar>
          <w:left w:w="70" w:type="dxa"/>
          <w:right w:w="70" w:type="dxa"/>
        </w:tblCellMar>
        <w:tblLook w:val="0000" w:firstRow="0" w:lastRow="0" w:firstColumn="0" w:lastColumn="0" w:noHBand="0" w:noVBand="0"/>
      </w:tblPr>
      <w:tblGrid>
        <w:gridCol w:w="5074"/>
        <w:gridCol w:w="4429"/>
      </w:tblGrid>
      <w:tr w:rsidR="00476FA7" w:rsidRPr="00666660" w14:paraId="40AE9EDA" w14:textId="77777777" w:rsidTr="00445A56">
        <w:trPr>
          <w:jc w:val="center"/>
        </w:trPr>
        <w:tc>
          <w:tcPr>
            <w:tcW w:w="5074" w:type="dxa"/>
          </w:tcPr>
          <w:p w14:paraId="44907175" w14:textId="6701409C" w:rsidR="00476FA7" w:rsidRDefault="00445A56" w:rsidP="00684AC8">
            <w:pPr>
              <w:ind w:left="-99" w:right="-288"/>
              <w:jc w:val="center"/>
              <w:rPr>
                <w:rFonts w:ascii="Bookman Old Style" w:hAnsi="Bookman Old Style"/>
                <w:b/>
              </w:rPr>
            </w:pPr>
            <w:r>
              <w:rPr>
                <w:rFonts w:ascii="Bookman Old Style" w:hAnsi="Bookman Old Style"/>
                <w:b/>
              </w:rPr>
              <w:t>CARLOS FERNANDO ERASO CALERO</w:t>
            </w:r>
          </w:p>
          <w:p w14:paraId="1940D392" w14:textId="77777777" w:rsidR="00445A56" w:rsidRDefault="00476FA7" w:rsidP="00C76BDF">
            <w:pPr>
              <w:suppressAutoHyphens/>
              <w:ind w:left="0"/>
              <w:rPr>
                <w:rFonts w:ascii="Bookman Old Style" w:hAnsi="Bookman Old Style"/>
              </w:rPr>
            </w:pPr>
            <w:r>
              <w:rPr>
                <w:rFonts w:ascii="Bookman Old Style" w:hAnsi="Bookman Old Style"/>
              </w:rPr>
              <w:t xml:space="preserve">          </w:t>
            </w:r>
            <w:r w:rsidR="00445A56">
              <w:rPr>
                <w:rFonts w:ascii="Bookman Old Style" w:hAnsi="Bookman Old Style"/>
              </w:rPr>
              <w:t>Viceministro de Energía</w:t>
            </w:r>
          </w:p>
          <w:p w14:paraId="745D7A34" w14:textId="36187FD5" w:rsidR="00476FA7" w:rsidRDefault="00445A56" w:rsidP="00C76BDF">
            <w:pPr>
              <w:suppressAutoHyphens/>
              <w:ind w:left="0"/>
              <w:rPr>
                <w:rFonts w:ascii="Bookman Old Style" w:hAnsi="Bookman Old Style"/>
              </w:rPr>
            </w:pPr>
            <w:r>
              <w:rPr>
                <w:rFonts w:ascii="Bookman Old Style" w:hAnsi="Bookman Old Style"/>
              </w:rPr>
              <w:t xml:space="preserve">Delegado del </w:t>
            </w:r>
            <w:r w:rsidR="00713100">
              <w:rPr>
                <w:rFonts w:ascii="Bookman Old Style" w:hAnsi="Bookman Old Style"/>
              </w:rPr>
              <w:t>M</w:t>
            </w:r>
            <w:r w:rsidR="00476FA7">
              <w:rPr>
                <w:rFonts w:ascii="Bookman Old Style" w:hAnsi="Bookman Old Style"/>
              </w:rPr>
              <w:t xml:space="preserve">inistro de </w:t>
            </w:r>
            <w:r w:rsidR="00713100">
              <w:rPr>
                <w:rFonts w:ascii="Bookman Old Style" w:hAnsi="Bookman Old Style"/>
              </w:rPr>
              <w:t xml:space="preserve">Minas y </w:t>
            </w:r>
            <w:r w:rsidR="00476FA7">
              <w:rPr>
                <w:rFonts w:ascii="Bookman Old Style" w:hAnsi="Bookman Old Style"/>
              </w:rPr>
              <w:t>E</w:t>
            </w:r>
            <w:r w:rsidR="00476FA7" w:rsidRPr="00EF4ACC">
              <w:rPr>
                <w:rFonts w:ascii="Bookman Old Style" w:hAnsi="Bookman Old Style"/>
              </w:rPr>
              <w:t>nergía</w:t>
            </w:r>
          </w:p>
          <w:p w14:paraId="6EEEEB30" w14:textId="77777777" w:rsidR="00476FA7" w:rsidRPr="00BD0865" w:rsidRDefault="00476FA7" w:rsidP="00684AC8">
            <w:pPr>
              <w:suppressAutoHyphens/>
              <w:ind w:left="290"/>
              <w:jc w:val="center"/>
              <w:rPr>
                <w:rFonts w:ascii="Bookman Old Style" w:hAnsi="Bookman Old Style" w:cs="Arial"/>
                <w:b/>
                <w:strike/>
                <w:spacing w:val="-3"/>
              </w:rPr>
            </w:pPr>
            <w:r w:rsidRPr="00EF4ACC">
              <w:rPr>
                <w:rFonts w:ascii="Bookman Old Style" w:hAnsi="Bookman Old Style"/>
              </w:rPr>
              <w:t>Presidente</w:t>
            </w:r>
          </w:p>
        </w:tc>
        <w:tc>
          <w:tcPr>
            <w:tcW w:w="4429" w:type="dxa"/>
          </w:tcPr>
          <w:p w14:paraId="5EC17597" w14:textId="77777777" w:rsidR="00476FA7" w:rsidRDefault="00476FA7" w:rsidP="00C76BDF">
            <w:pPr>
              <w:ind w:left="0"/>
              <w:jc w:val="center"/>
              <w:rPr>
                <w:rFonts w:ascii="Bookman Old Style" w:hAnsi="Bookman Old Style"/>
                <w:b/>
              </w:rPr>
            </w:pPr>
            <w:r>
              <w:rPr>
                <w:rFonts w:ascii="Bookman Old Style" w:hAnsi="Bookman Old Style"/>
                <w:b/>
              </w:rPr>
              <w:t>JORGE PINTO NOLLA</w:t>
            </w:r>
          </w:p>
          <w:p w14:paraId="3EC90416" w14:textId="77777777" w:rsidR="00476FA7" w:rsidRPr="00666660" w:rsidRDefault="00476FA7" w:rsidP="00C76BDF">
            <w:pPr>
              <w:tabs>
                <w:tab w:val="left" w:pos="-720"/>
              </w:tabs>
              <w:suppressAutoHyphens/>
              <w:ind w:left="0"/>
              <w:jc w:val="center"/>
              <w:rPr>
                <w:rFonts w:ascii="Bookman Old Style" w:hAnsi="Bookman Old Style" w:cs="Arial"/>
                <w:b/>
                <w:spacing w:val="-3"/>
              </w:rPr>
            </w:pPr>
            <w:r w:rsidRPr="00666660">
              <w:rPr>
                <w:rFonts w:ascii="Bookman Old Style" w:hAnsi="Bookman Old Style" w:cs="Arial"/>
                <w:spacing w:val="-3"/>
              </w:rPr>
              <w:t>Director Ejecutivo</w:t>
            </w:r>
          </w:p>
        </w:tc>
      </w:tr>
    </w:tbl>
    <w:p w14:paraId="0610E964" w14:textId="77777777" w:rsidR="00476FA7" w:rsidRDefault="00476FA7" w:rsidP="00476FA7">
      <w:pPr>
        <w:ind w:left="0"/>
        <w:rPr>
          <w:rFonts w:ascii="Bookman Old Style" w:hAnsi="Bookman Old Style"/>
        </w:rPr>
      </w:pPr>
    </w:p>
    <w:sectPr w:rsidR="00476FA7" w:rsidSect="00E002CC">
      <w:headerReference w:type="default" r:id="rId10"/>
      <w:headerReference w:type="first" r:id="rId11"/>
      <w:type w:val="continuous"/>
      <w:pgSz w:w="12247" w:h="18705" w:code="121"/>
      <w:pgMar w:top="2342"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D9562CF" w14:textId="77777777" w:rsidR="00ED3A04" w:rsidRDefault="00ED3A04">
      <w:r>
        <w:separator/>
      </w:r>
    </w:p>
  </w:endnote>
  <w:endnote w:type="continuationSeparator" w:id="0">
    <w:p w14:paraId="04CF6058" w14:textId="77777777" w:rsidR="00ED3A04" w:rsidRDefault="00ED3A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D95697B" w14:textId="77777777" w:rsidR="00ED3A04" w:rsidRDefault="00ED3A04">
      <w:r>
        <w:separator/>
      </w:r>
    </w:p>
  </w:footnote>
  <w:footnote w:type="continuationSeparator" w:id="0">
    <w:p w14:paraId="614C0B6B" w14:textId="77777777" w:rsidR="00ED3A04" w:rsidRDefault="00ED3A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D68DF0" w14:textId="77777777" w:rsidR="00C76BDF" w:rsidRDefault="00C76BDF" w:rsidP="00951F79">
    <w:pPr>
      <w:pStyle w:val="Ttulo1"/>
      <w:ind w:right="6"/>
      <w:jc w:val="left"/>
      <w:rPr>
        <w:rFonts w:ascii="Bookman Old Style" w:hAnsi="Bookman Old Style" w:cs="Arial"/>
        <w:b w:val="0"/>
        <w:sz w:val="22"/>
        <w:szCs w:val="22"/>
      </w:rPr>
    </w:pPr>
  </w:p>
  <w:p w14:paraId="731015DD" w14:textId="77777777" w:rsidR="00C76BDF" w:rsidRPr="00951F79" w:rsidRDefault="00C76BDF"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B46AA3">
      <w:rPr>
        <w:rFonts w:ascii="Bookman Old Style" w:hAnsi="Bookman Old Style" w:cs="Arial"/>
        <w:b w:val="0"/>
        <w:noProof/>
        <w:sz w:val="22"/>
        <w:szCs w:val="22"/>
      </w:rPr>
      <w:t>4</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r w:rsidR="00B46AA3">
      <w:fldChar w:fldCharType="begin"/>
    </w:r>
    <w:r w:rsidR="00B46AA3">
      <w:instrText xml:space="preserve"> NUMPAGES  \* MERGEFORMAT </w:instrText>
    </w:r>
    <w:r w:rsidR="00B46AA3">
      <w:fldChar w:fldCharType="separate"/>
    </w:r>
    <w:r w:rsidR="00B46AA3" w:rsidRPr="00B46AA3">
      <w:rPr>
        <w:rFonts w:ascii="Bookman Old Style" w:hAnsi="Bookman Old Style" w:cs="Arial"/>
        <w:b w:val="0"/>
        <w:noProof/>
        <w:sz w:val="22"/>
        <w:szCs w:val="22"/>
      </w:rPr>
      <w:t>4</w:t>
    </w:r>
    <w:r w:rsidR="00B46AA3">
      <w:rPr>
        <w:rFonts w:ascii="Bookman Old Style" w:hAnsi="Bookman Old Style" w:cs="Arial"/>
        <w:b w:val="0"/>
        <w:noProof/>
        <w:sz w:val="22"/>
        <w:szCs w:val="22"/>
      </w:rPr>
      <w:fldChar w:fldCharType="end"/>
    </w:r>
  </w:p>
  <w:p w14:paraId="4B23ABC8" w14:textId="77777777" w:rsidR="00C76BDF" w:rsidRDefault="00C76BDF"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7562FF19" wp14:editId="71E14BE1">
              <wp:simplePos x="0" y="0"/>
              <wp:positionH relativeFrom="column">
                <wp:posOffset>-175260</wp:posOffset>
              </wp:positionH>
              <wp:positionV relativeFrom="paragraph">
                <wp:posOffset>139065</wp:posOffset>
              </wp:positionV>
              <wp:extent cx="6267450" cy="9900920"/>
              <wp:effectExtent l="0" t="0" r="19050" b="2413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14:paraId="189093EC" w14:textId="6E273C66" w:rsidR="00C76BDF" w:rsidRPr="00483BFD" w:rsidRDefault="00C76BDF" w:rsidP="00F71DB1">
    <w:pPr>
      <w:pBdr>
        <w:bottom w:val="single" w:sz="4" w:space="11" w:color="auto"/>
      </w:pBdr>
      <w:spacing w:before="120" w:after="360"/>
      <w:ind w:left="142" w:right="147"/>
      <w:jc w:val="both"/>
      <w:rPr>
        <w:rFonts w:ascii="Bookman Old Style" w:hAnsi="Bookman Old Style" w:cs="Arial"/>
        <w:b/>
        <w:bCs/>
        <w:color w:val="000000" w:themeColor="text1"/>
        <w:lang w:eastAsia="es-CO"/>
      </w:rPr>
    </w:pPr>
    <w:r w:rsidRPr="00B27A47">
      <w:rPr>
        <w:rFonts w:ascii="Bookman Old Style" w:hAnsi="Bookman Old Style" w:cs="Arial"/>
        <w:color w:val="000000" w:themeColor="text1"/>
        <w:sz w:val="22"/>
        <w:szCs w:val="22"/>
        <w:lang w:eastAsia="es-CO"/>
      </w:rPr>
      <w:t>Por la cual se dictan disposiciones para la comercialización de gas natural en el año 2015</w:t>
    </w:r>
    <w:r>
      <w:rPr>
        <w:rFonts w:ascii="Bookman Old Style" w:hAnsi="Bookman Old Style" w:cs="Arial"/>
        <w:i/>
        <w:color w:val="000000" w:themeColor="text1"/>
        <w:sz w:val="22"/>
        <w:szCs w:val="22"/>
        <w:lang w:eastAsia="es-CO"/>
      </w:rPr>
      <w: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81A3BB8" w14:textId="77777777" w:rsidR="00C76BDF" w:rsidRDefault="00C76BDF" w:rsidP="00025383">
    <w:pPr>
      <w:pStyle w:val="Encabezado"/>
      <w:jc w:val="both"/>
      <w:rPr>
        <w:rFonts w:ascii="Arial" w:hAnsi="Arial" w:cs="Arial"/>
        <w:spacing w:val="20"/>
        <w:sz w:val="20"/>
      </w:rPr>
    </w:pPr>
    <w:r>
      <w:rPr>
        <w:rFonts w:ascii="Arial" w:hAnsi="Arial" w:cs="Arial"/>
        <w:spacing w:val="20"/>
        <w:sz w:val="20"/>
      </w:rPr>
      <w:t xml:space="preserve">                                   República de Colombia</w:t>
    </w:r>
  </w:p>
  <w:p w14:paraId="7171ACB3" w14:textId="77777777" w:rsidR="00C76BDF" w:rsidRDefault="00C76BDF">
    <w:pPr>
      <w:pStyle w:val="Encabezado"/>
      <w:jc w:val="center"/>
      <w:rPr>
        <w:rFonts w:ascii="Arial" w:hAnsi="Arial" w:cs="Arial"/>
        <w:spacing w:val="20"/>
        <w:sz w:val="20"/>
      </w:rPr>
    </w:pPr>
  </w:p>
  <w:p w14:paraId="30FB4B56" w14:textId="77777777" w:rsidR="00C76BDF" w:rsidRDefault="00C76BDF" w:rsidP="00CA77FB">
    <w:pPr>
      <w:pStyle w:val="Encabezado"/>
      <w:jc w:val="center"/>
    </w:pPr>
    <w:r>
      <w:rPr>
        <w:noProof/>
        <w:lang w:eastAsia="es-CO"/>
      </w:rPr>
      <mc:AlternateContent>
        <mc:Choice Requires="wps">
          <w:drawing>
            <wp:anchor distT="0" distB="0" distL="114300" distR="114300" simplePos="0" relativeHeight="251658240" behindDoc="0" locked="0" layoutInCell="1" allowOverlap="1" wp14:anchorId="6B28E2DC" wp14:editId="1A93EFF6">
              <wp:simplePos x="0" y="0"/>
              <wp:positionH relativeFrom="column">
                <wp:posOffset>-213360</wp:posOffset>
              </wp:positionH>
              <wp:positionV relativeFrom="paragraph">
                <wp:posOffset>377190</wp:posOffset>
              </wp:positionV>
              <wp:extent cx="6343650" cy="9839325"/>
              <wp:effectExtent l="0" t="0" r="19050" b="285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416DA4"/>
    <w:multiLevelType w:val="hybridMultilevel"/>
    <w:tmpl w:val="3C142D54"/>
    <w:lvl w:ilvl="0" w:tplc="240A0017">
      <w:start w:val="1"/>
      <w:numFmt w:val="lowerLetter"/>
      <w:lvlText w:val="%1)"/>
      <w:lvlJc w:val="left"/>
      <w:pPr>
        <w:ind w:left="1419" w:hanging="360"/>
      </w:pPr>
      <w:rPr>
        <w:rFonts w:hint="default"/>
        <w:b w:val="0"/>
      </w:rPr>
    </w:lvl>
    <w:lvl w:ilvl="1" w:tplc="240A0019" w:tentative="1">
      <w:start w:val="1"/>
      <w:numFmt w:val="lowerLetter"/>
      <w:lvlText w:val="%2."/>
      <w:lvlJc w:val="left"/>
      <w:pPr>
        <w:ind w:left="2705" w:hanging="360"/>
      </w:pPr>
    </w:lvl>
    <w:lvl w:ilvl="2" w:tplc="240A001B" w:tentative="1">
      <w:start w:val="1"/>
      <w:numFmt w:val="lowerRoman"/>
      <w:lvlText w:val="%3."/>
      <w:lvlJc w:val="right"/>
      <w:pPr>
        <w:ind w:left="3425" w:hanging="180"/>
      </w:pPr>
    </w:lvl>
    <w:lvl w:ilvl="3" w:tplc="240A000F" w:tentative="1">
      <w:start w:val="1"/>
      <w:numFmt w:val="decimal"/>
      <w:lvlText w:val="%4."/>
      <w:lvlJc w:val="left"/>
      <w:pPr>
        <w:ind w:left="4145" w:hanging="360"/>
      </w:pPr>
    </w:lvl>
    <w:lvl w:ilvl="4" w:tplc="240A0019" w:tentative="1">
      <w:start w:val="1"/>
      <w:numFmt w:val="lowerLetter"/>
      <w:lvlText w:val="%5."/>
      <w:lvlJc w:val="left"/>
      <w:pPr>
        <w:ind w:left="4865" w:hanging="360"/>
      </w:pPr>
    </w:lvl>
    <w:lvl w:ilvl="5" w:tplc="240A001B" w:tentative="1">
      <w:start w:val="1"/>
      <w:numFmt w:val="lowerRoman"/>
      <w:lvlText w:val="%6."/>
      <w:lvlJc w:val="right"/>
      <w:pPr>
        <w:ind w:left="5585" w:hanging="180"/>
      </w:pPr>
    </w:lvl>
    <w:lvl w:ilvl="6" w:tplc="240A000F" w:tentative="1">
      <w:start w:val="1"/>
      <w:numFmt w:val="decimal"/>
      <w:lvlText w:val="%7."/>
      <w:lvlJc w:val="left"/>
      <w:pPr>
        <w:ind w:left="6305" w:hanging="360"/>
      </w:pPr>
    </w:lvl>
    <w:lvl w:ilvl="7" w:tplc="240A0019" w:tentative="1">
      <w:start w:val="1"/>
      <w:numFmt w:val="lowerLetter"/>
      <w:lvlText w:val="%8."/>
      <w:lvlJc w:val="left"/>
      <w:pPr>
        <w:ind w:left="7025" w:hanging="360"/>
      </w:pPr>
    </w:lvl>
    <w:lvl w:ilvl="8" w:tplc="240A001B" w:tentative="1">
      <w:start w:val="1"/>
      <w:numFmt w:val="lowerRoman"/>
      <w:lvlText w:val="%9."/>
      <w:lvlJc w:val="right"/>
      <w:pPr>
        <w:ind w:left="7745" w:hanging="180"/>
      </w:pPr>
    </w:lvl>
  </w:abstractNum>
  <w:abstractNum w:abstractNumId="1">
    <w:nsid w:val="012176FB"/>
    <w:multiLevelType w:val="hybridMultilevel"/>
    <w:tmpl w:val="D8306BB4"/>
    <w:lvl w:ilvl="0" w:tplc="104EFEAA">
      <w:start w:val="1"/>
      <w:numFmt w:val="lowerRoman"/>
      <w:lvlText w:val="%1."/>
      <w:lvlJc w:val="left"/>
      <w:pPr>
        <w:ind w:left="1495" w:hanging="360"/>
      </w:pPr>
      <w:rPr>
        <w:rFonts w:hint="default"/>
      </w:rPr>
    </w:lvl>
    <w:lvl w:ilvl="1" w:tplc="240A0001">
      <w:start w:val="1"/>
      <w:numFmt w:val="bullet"/>
      <w:lvlText w:val=""/>
      <w:lvlJc w:val="left"/>
      <w:pPr>
        <w:ind w:left="2215" w:hanging="360"/>
      </w:pPr>
      <w:rPr>
        <w:rFonts w:ascii="Symbol" w:hAnsi="Symbol" w:hint="default"/>
      </w:rPr>
    </w:lvl>
    <w:lvl w:ilvl="2" w:tplc="240A001B" w:tentative="1">
      <w:start w:val="1"/>
      <w:numFmt w:val="lowerRoman"/>
      <w:lvlText w:val="%3."/>
      <w:lvlJc w:val="right"/>
      <w:pPr>
        <w:ind w:left="2935" w:hanging="180"/>
      </w:pPr>
    </w:lvl>
    <w:lvl w:ilvl="3" w:tplc="240A000F" w:tentative="1">
      <w:start w:val="1"/>
      <w:numFmt w:val="decimal"/>
      <w:lvlText w:val="%4."/>
      <w:lvlJc w:val="left"/>
      <w:pPr>
        <w:ind w:left="3655" w:hanging="360"/>
      </w:pPr>
    </w:lvl>
    <w:lvl w:ilvl="4" w:tplc="240A0019" w:tentative="1">
      <w:start w:val="1"/>
      <w:numFmt w:val="lowerLetter"/>
      <w:lvlText w:val="%5."/>
      <w:lvlJc w:val="left"/>
      <w:pPr>
        <w:ind w:left="4375" w:hanging="360"/>
      </w:pPr>
    </w:lvl>
    <w:lvl w:ilvl="5" w:tplc="240A001B" w:tentative="1">
      <w:start w:val="1"/>
      <w:numFmt w:val="lowerRoman"/>
      <w:lvlText w:val="%6."/>
      <w:lvlJc w:val="right"/>
      <w:pPr>
        <w:ind w:left="5095" w:hanging="180"/>
      </w:pPr>
    </w:lvl>
    <w:lvl w:ilvl="6" w:tplc="240A000F" w:tentative="1">
      <w:start w:val="1"/>
      <w:numFmt w:val="decimal"/>
      <w:lvlText w:val="%7."/>
      <w:lvlJc w:val="left"/>
      <w:pPr>
        <w:ind w:left="5815" w:hanging="360"/>
      </w:pPr>
    </w:lvl>
    <w:lvl w:ilvl="7" w:tplc="240A0019" w:tentative="1">
      <w:start w:val="1"/>
      <w:numFmt w:val="lowerLetter"/>
      <w:lvlText w:val="%8."/>
      <w:lvlJc w:val="left"/>
      <w:pPr>
        <w:ind w:left="6535" w:hanging="360"/>
      </w:pPr>
    </w:lvl>
    <w:lvl w:ilvl="8" w:tplc="240A001B" w:tentative="1">
      <w:start w:val="1"/>
      <w:numFmt w:val="lowerRoman"/>
      <w:lvlText w:val="%9."/>
      <w:lvlJc w:val="right"/>
      <w:pPr>
        <w:ind w:left="7255" w:hanging="180"/>
      </w:pPr>
    </w:lvl>
  </w:abstractNum>
  <w:abstractNum w:abstractNumId="2">
    <w:nsid w:val="01887C6D"/>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3">
    <w:nsid w:val="02C14C75"/>
    <w:multiLevelType w:val="hybridMultilevel"/>
    <w:tmpl w:val="DA0A3754"/>
    <w:lvl w:ilvl="0" w:tplc="11E28478">
      <w:start w:val="1"/>
      <w:numFmt w:val="lowerLetter"/>
      <w:lvlText w:val="%1)"/>
      <w:lvlJc w:val="left"/>
      <w:pPr>
        <w:ind w:left="2340" w:hanging="360"/>
      </w:pPr>
      <w:rPr>
        <w:rFonts w:ascii="Bookman Old Style" w:hAnsi="Bookman Old Style" w:cs="Arial" w:hint="default"/>
        <w:sz w:val="22"/>
        <w:szCs w:val="22"/>
      </w:rPr>
    </w:lvl>
    <w:lvl w:ilvl="1" w:tplc="240A0019" w:tentative="1">
      <w:start w:val="1"/>
      <w:numFmt w:val="lowerLetter"/>
      <w:lvlText w:val="%2."/>
      <w:lvlJc w:val="left"/>
      <w:pPr>
        <w:ind w:left="3060" w:hanging="360"/>
      </w:pPr>
    </w:lvl>
    <w:lvl w:ilvl="2" w:tplc="240A001B" w:tentative="1">
      <w:start w:val="1"/>
      <w:numFmt w:val="lowerRoman"/>
      <w:lvlText w:val="%3."/>
      <w:lvlJc w:val="right"/>
      <w:pPr>
        <w:ind w:left="3780" w:hanging="180"/>
      </w:pPr>
    </w:lvl>
    <w:lvl w:ilvl="3" w:tplc="240A000F" w:tentative="1">
      <w:start w:val="1"/>
      <w:numFmt w:val="decimal"/>
      <w:lvlText w:val="%4."/>
      <w:lvlJc w:val="left"/>
      <w:pPr>
        <w:ind w:left="4500" w:hanging="360"/>
      </w:pPr>
    </w:lvl>
    <w:lvl w:ilvl="4" w:tplc="240A0019" w:tentative="1">
      <w:start w:val="1"/>
      <w:numFmt w:val="lowerLetter"/>
      <w:lvlText w:val="%5."/>
      <w:lvlJc w:val="left"/>
      <w:pPr>
        <w:ind w:left="5220" w:hanging="360"/>
      </w:pPr>
    </w:lvl>
    <w:lvl w:ilvl="5" w:tplc="240A001B" w:tentative="1">
      <w:start w:val="1"/>
      <w:numFmt w:val="lowerRoman"/>
      <w:lvlText w:val="%6."/>
      <w:lvlJc w:val="right"/>
      <w:pPr>
        <w:ind w:left="5940" w:hanging="180"/>
      </w:pPr>
    </w:lvl>
    <w:lvl w:ilvl="6" w:tplc="240A000F" w:tentative="1">
      <w:start w:val="1"/>
      <w:numFmt w:val="decimal"/>
      <w:lvlText w:val="%7."/>
      <w:lvlJc w:val="left"/>
      <w:pPr>
        <w:ind w:left="6660" w:hanging="360"/>
      </w:pPr>
    </w:lvl>
    <w:lvl w:ilvl="7" w:tplc="240A0019" w:tentative="1">
      <w:start w:val="1"/>
      <w:numFmt w:val="lowerLetter"/>
      <w:lvlText w:val="%8."/>
      <w:lvlJc w:val="left"/>
      <w:pPr>
        <w:ind w:left="7380" w:hanging="360"/>
      </w:pPr>
    </w:lvl>
    <w:lvl w:ilvl="8" w:tplc="240A001B" w:tentative="1">
      <w:start w:val="1"/>
      <w:numFmt w:val="lowerRoman"/>
      <w:lvlText w:val="%9."/>
      <w:lvlJc w:val="right"/>
      <w:pPr>
        <w:ind w:left="8100" w:hanging="180"/>
      </w:pPr>
    </w:lvl>
  </w:abstractNum>
  <w:abstractNum w:abstractNumId="4">
    <w:nsid w:val="02F93DA8"/>
    <w:multiLevelType w:val="hybridMultilevel"/>
    <w:tmpl w:val="F11C5CC0"/>
    <w:lvl w:ilvl="0" w:tplc="240A0017">
      <w:start w:val="1"/>
      <w:numFmt w:val="lowerLetter"/>
      <w:lvlText w:val="%1)"/>
      <w:lvlJc w:val="left"/>
      <w:pPr>
        <w:ind w:left="1068" w:hanging="360"/>
      </w:pPr>
      <w:rPr>
        <w:b w:val="0"/>
      </w:rPr>
    </w:lvl>
    <w:lvl w:ilvl="1" w:tplc="240A0019">
      <w:start w:val="1"/>
      <w:numFmt w:val="lowerLetter"/>
      <w:lvlText w:val="%2."/>
      <w:lvlJc w:val="left"/>
      <w:pPr>
        <w:ind w:left="1788" w:hanging="360"/>
      </w:pPr>
    </w:lvl>
    <w:lvl w:ilvl="2" w:tplc="240A001B">
      <w:start w:val="1"/>
      <w:numFmt w:val="lowerRoman"/>
      <w:lvlText w:val="%3."/>
      <w:lvlJc w:val="right"/>
      <w:pPr>
        <w:ind w:left="2508" w:hanging="180"/>
      </w:pPr>
    </w:lvl>
    <w:lvl w:ilvl="3" w:tplc="240A000F">
      <w:start w:val="1"/>
      <w:numFmt w:val="decimal"/>
      <w:lvlText w:val="%4."/>
      <w:lvlJc w:val="left"/>
      <w:pPr>
        <w:ind w:left="3228" w:hanging="360"/>
      </w:pPr>
    </w:lvl>
    <w:lvl w:ilvl="4" w:tplc="240A0019">
      <w:start w:val="1"/>
      <w:numFmt w:val="lowerLetter"/>
      <w:lvlText w:val="%5."/>
      <w:lvlJc w:val="left"/>
      <w:pPr>
        <w:ind w:left="3948" w:hanging="360"/>
      </w:pPr>
    </w:lvl>
    <w:lvl w:ilvl="5" w:tplc="240A001B">
      <w:start w:val="1"/>
      <w:numFmt w:val="lowerRoman"/>
      <w:lvlText w:val="%6."/>
      <w:lvlJc w:val="right"/>
      <w:pPr>
        <w:ind w:left="4668" w:hanging="180"/>
      </w:pPr>
    </w:lvl>
    <w:lvl w:ilvl="6" w:tplc="240A000F">
      <w:start w:val="1"/>
      <w:numFmt w:val="decimal"/>
      <w:lvlText w:val="%7."/>
      <w:lvlJc w:val="left"/>
      <w:pPr>
        <w:ind w:left="5388" w:hanging="360"/>
      </w:pPr>
    </w:lvl>
    <w:lvl w:ilvl="7" w:tplc="240A0019">
      <w:start w:val="1"/>
      <w:numFmt w:val="lowerLetter"/>
      <w:lvlText w:val="%8."/>
      <w:lvlJc w:val="left"/>
      <w:pPr>
        <w:ind w:left="6108" w:hanging="360"/>
      </w:pPr>
    </w:lvl>
    <w:lvl w:ilvl="8" w:tplc="240A001B">
      <w:start w:val="1"/>
      <w:numFmt w:val="lowerRoman"/>
      <w:lvlText w:val="%9."/>
      <w:lvlJc w:val="right"/>
      <w:pPr>
        <w:ind w:left="6828" w:hanging="180"/>
      </w:pPr>
    </w:lvl>
  </w:abstractNum>
  <w:abstractNum w:abstractNumId="5">
    <w:nsid w:val="03061BFF"/>
    <w:multiLevelType w:val="multilevel"/>
    <w:tmpl w:val="D16E102A"/>
    <w:lvl w:ilvl="0">
      <w:start w:val="1"/>
      <w:numFmt w:val="decimal"/>
      <w:pStyle w:val="Estilo2"/>
      <w:lvlText w:val="Artículo %1."/>
      <w:lvlJc w:val="left"/>
      <w:pPr>
        <w:tabs>
          <w:tab w:val="num" w:pos="5126"/>
        </w:tabs>
        <w:ind w:left="3686" w:firstLine="0"/>
      </w:pPr>
      <w:rPr>
        <w:rFonts w:hint="default"/>
        <w:b/>
        <w:i w:val="0"/>
      </w:rPr>
    </w:lvl>
    <w:lvl w:ilvl="1">
      <w:start w:val="1"/>
      <w:numFmt w:val="lowerLetter"/>
      <w:lvlText w:val="%2)"/>
      <w:lvlJc w:val="left"/>
      <w:pPr>
        <w:ind w:left="1455" w:hanging="375"/>
      </w:pPr>
      <w:rPr>
        <w:rFonts w:hint="default"/>
      </w:rPr>
    </w:lvl>
    <w:lvl w:ilvl="2" w:tentative="1">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6">
    <w:nsid w:val="03D11261"/>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7">
    <w:nsid w:val="03D411A8"/>
    <w:multiLevelType w:val="hybridMultilevel"/>
    <w:tmpl w:val="D63EA8AC"/>
    <w:lvl w:ilvl="0" w:tplc="22F0D9A0">
      <w:start w:val="1"/>
      <w:numFmt w:val="lowerLetter"/>
      <w:lvlText w:val="%1)"/>
      <w:lvlJc w:val="left"/>
      <w:pPr>
        <w:ind w:left="1068" w:hanging="360"/>
      </w:pPr>
      <w:rPr>
        <w:b w:val="0"/>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8">
    <w:nsid w:val="049B70F8"/>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9">
    <w:nsid w:val="05414442"/>
    <w:multiLevelType w:val="hybridMultilevel"/>
    <w:tmpl w:val="BB76298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nsid w:val="06A34C72"/>
    <w:multiLevelType w:val="hybridMultilevel"/>
    <w:tmpl w:val="3996AFB2"/>
    <w:lvl w:ilvl="0" w:tplc="CFC40B98">
      <w:start w:val="1"/>
      <w:numFmt w:val="decimal"/>
      <w:lvlText w:val="%1."/>
      <w:lvlJc w:val="left"/>
      <w:pPr>
        <w:ind w:left="720" w:hanging="360"/>
      </w:pPr>
      <w:rPr>
        <w:b/>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nsid w:val="07514CDE"/>
    <w:multiLevelType w:val="hybridMultilevel"/>
    <w:tmpl w:val="B1129F34"/>
    <w:lvl w:ilvl="0" w:tplc="081EC7B2">
      <w:start w:val="1"/>
      <w:numFmt w:val="lowerRoman"/>
      <w:lvlText w:val="%1."/>
      <w:lvlJc w:val="left"/>
      <w:pPr>
        <w:ind w:left="1713" w:hanging="360"/>
      </w:pPr>
      <w:rPr>
        <w:rFonts w:hint="default"/>
        <w:b w:val="0"/>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2">
    <w:nsid w:val="077130FE"/>
    <w:multiLevelType w:val="hybridMultilevel"/>
    <w:tmpl w:val="D72EBFDC"/>
    <w:lvl w:ilvl="0" w:tplc="13D89EBA">
      <w:start w:val="1"/>
      <w:numFmt w:val="lowerLetter"/>
      <w:lvlText w:val="%1)"/>
      <w:lvlJc w:val="left"/>
      <w:pPr>
        <w:ind w:left="1068" w:hanging="360"/>
      </w:pPr>
      <w:rPr>
        <w:rFonts w:hint="default"/>
        <w:b w:val="0"/>
        <w:lang w:val="es-CO"/>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3">
    <w:nsid w:val="08031B01"/>
    <w:multiLevelType w:val="hybridMultilevel"/>
    <w:tmpl w:val="71EAB970"/>
    <w:lvl w:ilvl="0" w:tplc="92BA9678">
      <w:start w:val="1"/>
      <w:numFmt w:val="lowerLetter"/>
      <w:lvlText w:val="%1)"/>
      <w:lvlJc w:val="left"/>
      <w:pPr>
        <w:ind w:left="1068"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nsid w:val="092164E8"/>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5">
    <w:nsid w:val="092D224E"/>
    <w:multiLevelType w:val="hybridMultilevel"/>
    <w:tmpl w:val="BBF2EAB2"/>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6">
    <w:nsid w:val="0A9C35D2"/>
    <w:multiLevelType w:val="hybridMultilevel"/>
    <w:tmpl w:val="5DC2779C"/>
    <w:lvl w:ilvl="0" w:tplc="110EB126">
      <w:start w:val="1"/>
      <w:numFmt w:val="lowerLetter"/>
      <w:lvlText w:val="%1)"/>
      <w:lvlJc w:val="left"/>
      <w:pPr>
        <w:ind w:left="1068" w:hanging="360"/>
      </w:pPr>
      <w:rPr>
        <w:rFonts w:ascii="Bookman Old Style" w:hAnsi="Bookman Old Style" w:cs="Arial" w:hint="default"/>
        <w:b w:val="0"/>
        <w:sz w:val="22"/>
        <w:szCs w:val="22"/>
      </w:rPr>
    </w:lvl>
    <w:lvl w:ilvl="1" w:tplc="0C0A0003" w:tentative="1">
      <w:start w:val="1"/>
      <w:numFmt w:val="lowerLetter"/>
      <w:lvlText w:val="%2."/>
      <w:lvlJc w:val="left"/>
      <w:pPr>
        <w:ind w:left="1788" w:hanging="360"/>
      </w:pPr>
    </w:lvl>
    <w:lvl w:ilvl="2" w:tplc="0C0A0005" w:tentative="1">
      <w:start w:val="1"/>
      <w:numFmt w:val="lowerRoman"/>
      <w:lvlText w:val="%3."/>
      <w:lvlJc w:val="right"/>
      <w:pPr>
        <w:ind w:left="2508" w:hanging="180"/>
      </w:pPr>
    </w:lvl>
    <w:lvl w:ilvl="3" w:tplc="0C0A0001" w:tentative="1">
      <w:start w:val="1"/>
      <w:numFmt w:val="decimal"/>
      <w:lvlText w:val="%4."/>
      <w:lvlJc w:val="left"/>
      <w:pPr>
        <w:ind w:left="3228" w:hanging="360"/>
      </w:pPr>
    </w:lvl>
    <w:lvl w:ilvl="4" w:tplc="0C0A0003" w:tentative="1">
      <w:start w:val="1"/>
      <w:numFmt w:val="lowerLetter"/>
      <w:lvlText w:val="%5."/>
      <w:lvlJc w:val="left"/>
      <w:pPr>
        <w:ind w:left="3948" w:hanging="360"/>
      </w:pPr>
    </w:lvl>
    <w:lvl w:ilvl="5" w:tplc="0C0A0005" w:tentative="1">
      <w:start w:val="1"/>
      <w:numFmt w:val="lowerRoman"/>
      <w:lvlText w:val="%6."/>
      <w:lvlJc w:val="right"/>
      <w:pPr>
        <w:ind w:left="4668" w:hanging="180"/>
      </w:pPr>
    </w:lvl>
    <w:lvl w:ilvl="6" w:tplc="0C0A0001" w:tentative="1">
      <w:start w:val="1"/>
      <w:numFmt w:val="decimal"/>
      <w:lvlText w:val="%7."/>
      <w:lvlJc w:val="left"/>
      <w:pPr>
        <w:ind w:left="5388" w:hanging="360"/>
      </w:pPr>
    </w:lvl>
    <w:lvl w:ilvl="7" w:tplc="0C0A0003" w:tentative="1">
      <w:start w:val="1"/>
      <w:numFmt w:val="lowerLetter"/>
      <w:lvlText w:val="%8."/>
      <w:lvlJc w:val="left"/>
      <w:pPr>
        <w:ind w:left="6108" w:hanging="360"/>
      </w:pPr>
    </w:lvl>
    <w:lvl w:ilvl="8" w:tplc="0C0A0005" w:tentative="1">
      <w:start w:val="1"/>
      <w:numFmt w:val="lowerRoman"/>
      <w:lvlText w:val="%9."/>
      <w:lvlJc w:val="right"/>
      <w:pPr>
        <w:ind w:left="6828" w:hanging="180"/>
      </w:pPr>
    </w:lvl>
  </w:abstractNum>
  <w:abstractNum w:abstractNumId="17">
    <w:nsid w:val="0B24056D"/>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8">
    <w:nsid w:val="0BA908BC"/>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9">
    <w:nsid w:val="0BF60A76"/>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20">
    <w:nsid w:val="0C596CBC"/>
    <w:multiLevelType w:val="hybridMultilevel"/>
    <w:tmpl w:val="4FB8BC0E"/>
    <w:lvl w:ilvl="0" w:tplc="DE5AB592">
      <w:start w:val="1"/>
      <w:numFmt w:val="lowerLetter"/>
      <w:lvlText w:val="%1)"/>
      <w:lvlJc w:val="left"/>
      <w:pPr>
        <w:ind w:left="502" w:hanging="360"/>
      </w:pPr>
      <w:rPr>
        <w:rFonts w:ascii="Bookman Old Style" w:hAnsi="Bookman Old Style" w:cs="Arial" w:hint="default"/>
        <w:b w:val="0"/>
        <w:sz w:val="22"/>
        <w:szCs w:val="22"/>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21">
    <w:nsid w:val="0C8B64D1"/>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2">
    <w:nsid w:val="0C926F98"/>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3">
    <w:nsid w:val="0D970DA6"/>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4">
    <w:nsid w:val="0FD87777"/>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5">
    <w:nsid w:val="100842A9"/>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26">
    <w:nsid w:val="106B1E61"/>
    <w:multiLevelType w:val="hybridMultilevel"/>
    <w:tmpl w:val="D8306BB4"/>
    <w:lvl w:ilvl="0" w:tplc="104EFEAA">
      <w:start w:val="1"/>
      <w:numFmt w:val="lowerRoman"/>
      <w:lvlText w:val="%1."/>
      <w:lvlJc w:val="left"/>
      <w:pPr>
        <w:ind w:left="1495" w:hanging="360"/>
      </w:pPr>
      <w:rPr>
        <w:rFonts w:hint="default"/>
      </w:rPr>
    </w:lvl>
    <w:lvl w:ilvl="1" w:tplc="240A0001">
      <w:start w:val="1"/>
      <w:numFmt w:val="bullet"/>
      <w:lvlText w:val=""/>
      <w:lvlJc w:val="left"/>
      <w:pPr>
        <w:ind w:left="2215" w:hanging="360"/>
      </w:pPr>
      <w:rPr>
        <w:rFonts w:ascii="Symbol" w:hAnsi="Symbol" w:hint="default"/>
      </w:rPr>
    </w:lvl>
    <w:lvl w:ilvl="2" w:tplc="240A001B" w:tentative="1">
      <w:start w:val="1"/>
      <w:numFmt w:val="lowerRoman"/>
      <w:lvlText w:val="%3."/>
      <w:lvlJc w:val="right"/>
      <w:pPr>
        <w:ind w:left="2935" w:hanging="180"/>
      </w:pPr>
    </w:lvl>
    <w:lvl w:ilvl="3" w:tplc="240A000F" w:tentative="1">
      <w:start w:val="1"/>
      <w:numFmt w:val="decimal"/>
      <w:lvlText w:val="%4."/>
      <w:lvlJc w:val="left"/>
      <w:pPr>
        <w:ind w:left="3655" w:hanging="360"/>
      </w:pPr>
    </w:lvl>
    <w:lvl w:ilvl="4" w:tplc="240A0019" w:tentative="1">
      <w:start w:val="1"/>
      <w:numFmt w:val="lowerLetter"/>
      <w:lvlText w:val="%5."/>
      <w:lvlJc w:val="left"/>
      <w:pPr>
        <w:ind w:left="4375" w:hanging="360"/>
      </w:pPr>
    </w:lvl>
    <w:lvl w:ilvl="5" w:tplc="240A001B" w:tentative="1">
      <w:start w:val="1"/>
      <w:numFmt w:val="lowerRoman"/>
      <w:lvlText w:val="%6."/>
      <w:lvlJc w:val="right"/>
      <w:pPr>
        <w:ind w:left="5095" w:hanging="180"/>
      </w:pPr>
    </w:lvl>
    <w:lvl w:ilvl="6" w:tplc="240A000F" w:tentative="1">
      <w:start w:val="1"/>
      <w:numFmt w:val="decimal"/>
      <w:lvlText w:val="%7."/>
      <w:lvlJc w:val="left"/>
      <w:pPr>
        <w:ind w:left="5815" w:hanging="360"/>
      </w:pPr>
    </w:lvl>
    <w:lvl w:ilvl="7" w:tplc="240A0019" w:tentative="1">
      <w:start w:val="1"/>
      <w:numFmt w:val="lowerLetter"/>
      <w:lvlText w:val="%8."/>
      <w:lvlJc w:val="left"/>
      <w:pPr>
        <w:ind w:left="6535" w:hanging="360"/>
      </w:pPr>
    </w:lvl>
    <w:lvl w:ilvl="8" w:tplc="240A001B" w:tentative="1">
      <w:start w:val="1"/>
      <w:numFmt w:val="lowerRoman"/>
      <w:lvlText w:val="%9."/>
      <w:lvlJc w:val="right"/>
      <w:pPr>
        <w:ind w:left="7255" w:hanging="180"/>
      </w:pPr>
    </w:lvl>
  </w:abstractNum>
  <w:abstractNum w:abstractNumId="27">
    <w:nsid w:val="10ED7EC6"/>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8">
    <w:nsid w:val="1122799E"/>
    <w:multiLevelType w:val="hybridMultilevel"/>
    <w:tmpl w:val="1C58C3B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nsid w:val="11D5400D"/>
    <w:multiLevelType w:val="hybridMultilevel"/>
    <w:tmpl w:val="5F162D1E"/>
    <w:lvl w:ilvl="0" w:tplc="D71A78CA">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30">
    <w:nsid w:val="128C4328"/>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31">
    <w:nsid w:val="12A4495D"/>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32">
    <w:nsid w:val="12B30AE3"/>
    <w:multiLevelType w:val="hybridMultilevel"/>
    <w:tmpl w:val="E3C83616"/>
    <w:lvl w:ilvl="0" w:tplc="5EB23BF6">
      <w:start w:val="1"/>
      <w:numFmt w:val="decimal"/>
      <w:lvlText w:val="%1."/>
      <w:lvlJc w:val="left"/>
      <w:pPr>
        <w:ind w:left="360" w:hanging="360"/>
      </w:pPr>
      <w:rPr>
        <w:rFonts w:ascii="Bookman Old Style" w:hAnsi="Bookman Old Style" w:hint="default"/>
        <w:b/>
        <w:sz w:val="24"/>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nsid w:val="138B6237"/>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34">
    <w:nsid w:val="14966A66"/>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35">
    <w:nsid w:val="16987B79"/>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36">
    <w:nsid w:val="18150025"/>
    <w:multiLevelType w:val="hybridMultilevel"/>
    <w:tmpl w:val="3C142D54"/>
    <w:lvl w:ilvl="0" w:tplc="240A0017">
      <w:start w:val="1"/>
      <w:numFmt w:val="lowerLetter"/>
      <w:lvlText w:val="%1)"/>
      <w:lvlJc w:val="left"/>
      <w:pPr>
        <w:ind w:left="1068" w:hanging="360"/>
      </w:pPr>
      <w:rPr>
        <w:b w:val="0"/>
      </w:rPr>
    </w:lvl>
    <w:lvl w:ilvl="1" w:tplc="240A0019">
      <w:start w:val="1"/>
      <w:numFmt w:val="lowerLetter"/>
      <w:lvlText w:val="%2."/>
      <w:lvlJc w:val="left"/>
      <w:pPr>
        <w:ind w:left="1788" w:hanging="360"/>
      </w:pPr>
    </w:lvl>
    <w:lvl w:ilvl="2" w:tplc="240A001B">
      <w:start w:val="1"/>
      <w:numFmt w:val="lowerRoman"/>
      <w:lvlText w:val="%3."/>
      <w:lvlJc w:val="right"/>
      <w:pPr>
        <w:ind w:left="2508" w:hanging="180"/>
      </w:pPr>
    </w:lvl>
    <w:lvl w:ilvl="3" w:tplc="240A000F">
      <w:start w:val="1"/>
      <w:numFmt w:val="decimal"/>
      <w:lvlText w:val="%4."/>
      <w:lvlJc w:val="left"/>
      <w:pPr>
        <w:ind w:left="3228" w:hanging="360"/>
      </w:pPr>
    </w:lvl>
    <w:lvl w:ilvl="4" w:tplc="240A0019">
      <w:start w:val="1"/>
      <w:numFmt w:val="lowerLetter"/>
      <w:lvlText w:val="%5."/>
      <w:lvlJc w:val="left"/>
      <w:pPr>
        <w:ind w:left="3948" w:hanging="360"/>
      </w:pPr>
    </w:lvl>
    <w:lvl w:ilvl="5" w:tplc="240A001B">
      <w:start w:val="1"/>
      <w:numFmt w:val="lowerRoman"/>
      <w:lvlText w:val="%6."/>
      <w:lvlJc w:val="right"/>
      <w:pPr>
        <w:ind w:left="4668" w:hanging="180"/>
      </w:pPr>
    </w:lvl>
    <w:lvl w:ilvl="6" w:tplc="240A000F">
      <w:start w:val="1"/>
      <w:numFmt w:val="decimal"/>
      <w:lvlText w:val="%7."/>
      <w:lvlJc w:val="left"/>
      <w:pPr>
        <w:ind w:left="5388" w:hanging="360"/>
      </w:pPr>
    </w:lvl>
    <w:lvl w:ilvl="7" w:tplc="240A0019">
      <w:start w:val="1"/>
      <w:numFmt w:val="lowerLetter"/>
      <w:lvlText w:val="%8."/>
      <w:lvlJc w:val="left"/>
      <w:pPr>
        <w:ind w:left="6108" w:hanging="360"/>
      </w:pPr>
    </w:lvl>
    <w:lvl w:ilvl="8" w:tplc="240A001B">
      <w:start w:val="1"/>
      <w:numFmt w:val="lowerRoman"/>
      <w:lvlText w:val="%9."/>
      <w:lvlJc w:val="right"/>
      <w:pPr>
        <w:ind w:left="6828" w:hanging="180"/>
      </w:pPr>
    </w:lvl>
  </w:abstractNum>
  <w:abstractNum w:abstractNumId="37">
    <w:nsid w:val="187E3F7C"/>
    <w:multiLevelType w:val="hybridMultilevel"/>
    <w:tmpl w:val="70029954"/>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8">
    <w:nsid w:val="18AD5E38"/>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39">
    <w:nsid w:val="1A76491B"/>
    <w:multiLevelType w:val="multilevel"/>
    <w:tmpl w:val="AD0C13B4"/>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0">
    <w:nsid w:val="1ACB0838"/>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41">
    <w:nsid w:val="1AD061E7"/>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42">
    <w:nsid w:val="1BCE6C25"/>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43">
    <w:nsid w:val="1BDA2EF2"/>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44">
    <w:nsid w:val="1C8E1C44"/>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45">
    <w:nsid w:val="1C977381"/>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46">
    <w:nsid w:val="1D79750E"/>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47">
    <w:nsid w:val="1DB30709"/>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48">
    <w:nsid w:val="1E641EAA"/>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49">
    <w:nsid w:val="1F7E5BDA"/>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50">
    <w:nsid w:val="1F8744EF"/>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51">
    <w:nsid w:val="1FD90259"/>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52">
    <w:nsid w:val="20192802"/>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53">
    <w:nsid w:val="20424BCF"/>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54">
    <w:nsid w:val="207E435C"/>
    <w:multiLevelType w:val="hybridMultilevel"/>
    <w:tmpl w:val="3C142D54"/>
    <w:lvl w:ilvl="0" w:tplc="240A0017">
      <w:start w:val="1"/>
      <w:numFmt w:val="lowerLetter"/>
      <w:lvlText w:val="%1)"/>
      <w:lvlJc w:val="left"/>
      <w:pPr>
        <w:ind w:left="1419" w:hanging="360"/>
      </w:pPr>
      <w:rPr>
        <w:rFonts w:hint="default"/>
        <w:b w:val="0"/>
      </w:rPr>
    </w:lvl>
    <w:lvl w:ilvl="1" w:tplc="240A0019" w:tentative="1">
      <w:start w:val="1"/>
      <w:numFmt w:val="lowerLetter"/>
      <w:lvlText w:val="%2."/>
      <w:lvlJc w:val="left"/>
      <w:pPr>
        <w:ind w:left="2705" w:hanging="360"/>
      </w:pPr>
    </w:lvl>
    <w:lvl w:ilvl="2" w:tplc="240A001B" w:tentative="1">
      <w:start w:val="1"/>
      <w:numFmt w:val="lowerRoman"/>
      <w:lvlText w:val="%3."/>
      <w:lvlJc w:val="right"/>
      <w:pPr>
        <w:ind w:left="3425" w:hanging="180"/>
      </w:pPr>
    </w:lvl>
    <w:lvl w:ilvl="3" w:tplc="240A000F" w:tentative="1">
      <w:start w:val="1"/>
      <w:numFmt w:val="decimal"/>
      <w:lvlText w:val="%4."/>
      <w:lvlJc w:val="left"/>
      <w:pPr>
        <w:ind w:left="4145" w:hanging="360"/>
      </w:pPr>
    </w:lvl>
    <w:lvl w:ilvl="4" w:tplc="240A0019" w:tentative="1">
      <w:start w:val="1"/>
      <w:numFmt w:val="lowerLetter"/>
      <w:lvlText w:val="%5."/>
      <w:lvlJc w:val="left"/>
      <w:pPr>
        <w:ind w:left="4865" w:hanging="360"/>
      </w:pPr>
    </w:lvl>
    <w:lvl w:ilvl="5" w:tplc="240A001B" w:tentative="1">
      <w:start w:val="1"/>
      <w:numFmt w:val="lowerRoman"/>
      <w:lvlText w:val="%6."/>
      <w:lvlJc w:val="right"/>
      <w:pPr>
        <w:ind w:left="5585" w:hanging="180"/>
      </w:pPr>
    </w:lvl>
    <w:lvl w:ilvl="6" w:tplc="240A000F" w:tentative="1">
      <w:start w:val="1"/>
      <w:numFmt w:val="decimal"/>
      <w:lvlText w:val="%7."/>
      <w:lvlJc w:val="left"/>
      <w:pPr>
        <w:ind w:left="6305" w:hanging="360"/>
      </w:pPr>
    </w:lvl>
    <w:lvl w:ilvl="7" w:tplc="240A0019" w:tentative="1">
      <w:start w:val="1"/>
      <w:numFmt w:val="lowerLetter"/>
      <w:lvlText w:val="%8."/>
      <w:lvlJc w:val="left"/>
      <w:pPr>
        <w:ind w:left="7025" w:hanging="360"/>
      </w:pPr>
    </w:lvl>
    <w:lvl w:ilvl="8" w:tplc="240A001B" w:tentative="1">
      <w:start w:val="1"/>
      <w:numFmt w:val="lowerRoman"/>
      <w:lvlText w:val="%9."/>
      <w:lvlJc w:val="right"/>
      <w:pPr>
        <w:ind w:left="7745" w:hanging="180"/>
      </w:pPr>
    </w:lvl>
  </w:abstractNum>
  <w:abstractNum w:abstractNumId="55">
    <w:nsid w:val="22AC633A"/>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56">
    <w:nsid w:val="233732EC"/>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57">
    <w:nsid w:val="24B15AE3"/>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58">
    <w:nsid w:val="24BB51BE"/>
    <w:multiLevelType w:val="multilevel"/>
    <w:tmpl w:val="74F0A7D2"/>
    <w:lvl w:ilvl="0">
      <w:start w:val="3"/>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59">
    <w:nsid w:val="24C41E32"/>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60">
    <w:nsid w:val="25E32C1B"/>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61">
    <w:nsid w:val="25E744A5"/>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62">
    <w:nsid w:val="265672CC"/>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63">
    <w:nsid w:val="27534AD3"/>
    <w:multiLevelType w:val="hybridMultilevel"/>
    <w:tmpl w:val="09428884"/>
    <w:lvl w:ilvl="0" w:tplc="A71C8DA6">
      <w:start w:val="1"/>
      <w:numFmt w:val="lowerLetter"/>
      <w:lvlText w:val="%1)"/>
      <w:lvlJc w:val="left"/>
      <w:pPr>
        <w:ind w:left="2340" w:hanging="360"/>
      </w:pPr>
      <w:rPr>
        <w:rFonts w:ascii="Bookman Old Style" w:hAnsi="Bookman Old Style" w:cs="Arial" w:hint="default"/>
        <w:sz w:val="22"/>
        <w:szCs w:val="22"/>
      </w:rPr>
    </w:lvl>
    <w:lvl w:ilvl="1" w:tplc="240A0019" w:tentative="1">
      <w:start w:val="1"/>
      <w:numFmt w:val="lowerLetter"/>
      <w:lvlText w:val="%2."/>
      <w:lvlJc w:val="left"/>
      <w:pPr>
        <w:ind w:left="3060" w:hanging="360"/>
      </w:pPr>
    </w:lvl>
    <w:lvl w:ilvl="2" w:tplc="240A001B" w:tentative="1">
      <w:start w:val="1"/>
      <w:numFmt w:val="lowerRoman"/>
      <w:lvlText w:val="%3."/>
      <w:lvlJc w:val="right"/>
      <w:pPr>
        <w:ind w:left="3780" w:hanging="180"/>
      </w:pPr>
    </w:lvl>
    <w:lvl w:ilvl="3" w:tplc="240A000F" w:tentative="1">
      <w:start w:val="1"/>
      <w:numFmt w:val="decimal"/>
      <w:lvlText w:val="%4."/>
      <w:lvlJc w:val="left"/>
      <w:pPr>
        <w:ind w:left="4500" w:hanging="360"/>
      </w:pPr>
    </w:lvl>
    <w:lvl w:ilvl="4" w:tplc="240A0019" w:tentative="1">
      <w:start w:val="1"/>
      <w:numFmt w:val="lowerLetter"/>
      <w:lvlText w:val="%5."/>
      <w:lvlJc w:val="left"/>
      <w:pPr>
        <w:ind w:left="5220" w:hanging="360"/>
      </w:pPr>
    </w:lvl>
    <w:lvl w:ilvl="5" w:tplc="240A001B" w:tentative="1">
      <w:start w:val="1"/>
      <w:numFmt w:val="lowerRoman"/>
      <w:lvlText w:val="%6."/>
      <w:lvlJc w:val="right"/>
      <w:pPr>
        <w:ind w:left="5940" w:hanging="180"/>
      </w:pPr>
    </w:lvl>
    <w:lvl w:ilvl="6" w:tplc="240A000F" w:tentative="1">
      <w:start w:val="1"/>
      <w:numFmt w:val="decimal"/>
      <w:lvlText w:val="%7."/>
      <w:lvlJc w:val="left"/>
      <w:pPr>
        <w:ind w:left="6660" w:hanging="360"/>
      </w:pPr>
    </w:lvl>
    <w:lvl w:ilvl="7" w:tplc="240A0019" w:tentative="1">
      <w:start w:val="1"/>
      <w:numFmt w:val="lowerLetter"/>
      <w:lvlText w:val="%8."/>
      <w:lvlJc w:val="left"/>
      <w:pPr>
        <w:ind w:left="7380" w:hanging="360"/>
      </w:pPr>
    </w:lvl>
    <w:lvl w:ilvl="8" w:tplc="240A001B" w:tentative="1">
      <w:start w:val="1"/>
      <w:numFmt w:val="lowerRoman"/>
      <w:lvlText w:val="%9."/>
      <w:lvlJc w:val="right"/>
      <w:pPr>
        <w:ind w:left="8100" w:hanging="180"/>
      </w:pPr>
    </w:lvl>
  </w:abstractNum>
  <w:abstractNum w:abstractNumId="64">
    <w:nsid w:val="27B3289F"/>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65">
    <w:nsid w:val="287A1219"/>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66">
    <w:nsid w:val="29E57F76"/>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67">
    <w:nsid w:val="2A176577"/>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68">
    <w:nsid w:val="2A2466C3"/>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69">
    <w:nsid w:val="2A6C19BC"/>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70">
    <w:nsid w:val="2AA11C0F"/>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71">
    <w:nsid w:val="2B244DB6"/>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72">
    <w:nsid w:val="2BCF60C5"/>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73">
    <w:nsid w:val="2CDA5F4E"/>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74">
    <w:nsid w:val="2EA10051"/>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75">
    <w:nsid w:val="2EDA10ED"/>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76">
    <w:nsid w:val="2FED4927"/>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77">
    <w:nsid w:val="30AE2CE6"/>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78">
    <w:nsid w:val="31402B18"/>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79">
    <w:nsid w:val="32EB13B3"/>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80">
    <w:nsid w:val="33515CA7"/>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81">
    <w:nsid w:val="33B604F4"/>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82">
    <w:nsid w:val="351B1500"/>
    <w:multiLevelType w:val="multilevel"/>
    <w:tmpl w:val="CD34E8C6"/>
    <w:lvl w:ilvl="0">
      <w:start w:val="6"/>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3">
    <w:nsid w:val="352C1B41"/>
    <w:multiLevelType w:val="hybridMultilevel"/>
    <w:tmpl w:val="5F162D1E"/>
    <w:lvl w:ilvl="0" w:tplc="D71A78CA">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84">
    <w:nsid w:val="366E4833"/>
    <w:multiLevelType w:val="hybridMultilevel"/>
    <w:tmpl w:val="C6E4CC8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85">
    <w:nsid w:val="37237EF9"/>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86">
    <w:nsid w:val="37520067"/>
    <w:multiLevelType w:val="multilevel"/>
    <w:tmpl w:val="F4CE3212"/>
    <w:lvl w:ilvl="0">
      <w:start w:val="1"/>
      <w:numFmt w:val="decimal"/>
      <w:lvlText w:val="%1."/>
      <w:lvlJc w:val="left"/>
      <w:pPr>
        <w:ind w:left="450" w:hanging="450"/>
      </w:pPr>
      <w:rPr>
        <w:rFonts w:hint="default"/>
        <w:b/>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7">
    <w:nsid w:val="399D0A7A"/>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88">
    <w:nsid w:val="3A382A0B"/>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89">
    <w:nsid w:val="3A7B3C59"/>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90">
    <w:nsid w:val="3B7376CC"/>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91">
    <w:nsid w:val="3B8D4DB7"/>
    <w:multiLevelType w:val="hybridMultilevel"/>
    <w:tmpl w:val="3DAE90E2"/>
    <w:lvl w:ilvl="0" w:tplc="1F8ECDF2">
      <w:start w:val="1"/>
      <w:numFmt w:val="lowerRoman"/>
      <w:lvlText w:val="%1)"/>
      <w:lvlJc w:val="right"/>
      <w:pPr>
        <w:ind w:left="1854" w:hanging="360"/>
      </w:pPr>
      <w:rPr>
        <w:rFonts w:hint="default"/>
      </w:rPr>
    </w:lvl>
    <w:lvl w:ilvl="1" w:tplc="240A0019" w:tentative="1">
      <w:start w:val="1"/>
      <w:numFmt w:val="lowerLetter"/>
      <w:lvlText w:val="%2."/>
      <w:lvlJc w:val="left"/>
      <w:pPr>
        <w:ind w:left="2574" w:hanging="360"/>
      </w:pPr>
    </w:lvl>
    <w:lvl w:ilvl="2" w:tplc="240A001B" w:tentative="1">
      <w:start w:val="1"/>
      <w:numFmt w:val="lowerRoman"/>
      <w:lvlText w:val="%3."/>
      <w:lvlJc w:val="right"/>
      <w:pPr>
        <w:ind w:left="3294" w:hanging="180"/>
      </w:pPr>
    </w:lvl>
    <w:lvl w:ilvl="3" w:tplc="240A000F" w:tentative="1">
      <w:start w:val="1"/>
      <w:numFmt w:val="decimal"/>
      <w:lvlText w:val="%4."/>
      <w:lvlJc w:val="left"/>
      <w:pPr>
        <w:ind w:left="4014" w:hanging="360"/>
      </w:pPr>
    </w:lvl>
    <w:lvl w:ilvl="4" w:tplc="240A0019" w:tentative="1">
      <w:start w:val="1"/>
      <w:numFmt w:val="lowerLetter"/>
      <w:lvlText w:val="%5."/>
      <w:lvlJc w:val="left"/>
      <w:pPr>
        <w:ind w:left="4734" w:hanging="360"/>
      </w:pPr>
    </w:lvl>
    <w:lvl w:ilvl="5" w:tplc="240A001B" w:tentative="1">
      <w:start w:val="1"/>
      <w:numFmt w:val="lowerRoman"/>
      <w:lvlText w:val="%6."/>
      <w:lvlJc w:val="right"/>
      <w:pPr>
        <w:ind w:left="5454" w:hanging="180"/>
      </w:pPr>
    </w:lvl>
    <w:lvl w:ilvl="6" w:tplc="240A000F" w:tentative="1">
      <w:start w:val="1"/>
      <w:numFmt w:val="decimal"/>
      <w:lvlText w:val="%7."/>
      <w:lvlJc w:val="left"/>
      <w:pPr>
        <w:ind w:left="6174" w:hanging="360"/>
      </w:pPr>
    </w:lvl>
    <w:lvl w:ilvl="7" w:tplc="240A0019" w:tentative="1">
      <w:start w:val="1"/>
      <w:numFmt w:val="lowerLetter"/>
      <w:lvlText w:val="%8."/>
      <w:lvlJc w:val="left"/>
      <w:pPr>
        <w:ind w:left="6894" w:hanging="360"/>
      </w:pPr>
    </w:lvl>
    <w:lvl w:ilvl="8" w:tplc="240A001B" w:tentative="1">
      <w:start w:val="1"/>
      <w:numFmt w:val="lowerRoman"/>
      <w:lvlText w:val="%9."/>
      <w:lvlJc w:val="right"/>
      <w:pPr>
        <w:ind w:left="7614" w:hanging="180"/>
      </w:pPr>
    </w:lvl>
  </w:abstractNum>
  <w:abstractNum w:abstractNumId="92">
    <w:nsid w:val="3BF31F84"/>
    <w:multiLevelType w:val="hybridMultilevel"/>
    <w:tmpl w:val="B98E0C86"/>
    <w:lvl w:ilvl="0" w:tplc="E1809A2C">
      <w:start w:val="1"/>
      <w:numFmt w:val="bullet"/>
      <w:lvlText w:val=""/>
      <w:lvlJc w:val="left"/>
      <w:pPr>
        <w:ind w:left="1287" w:hanging="360"/>
      </w:pPr>
      <w:rPr>
        <w:rFonts w:ascii="Symbol" w:hAnsi="Symbol" w:hint="default"/>
        <w:lang w:val="es-ES"/>
      </w:rPr>
    </w:lvl>
    <w:lvl w:ilvl="1" w:tplc="240A0003" w:tentative="1">
      <w:start w:val="1"/>
      <w:numFmt w:val="bullet"/>
      <w:lvlText w:val="o"/>
      <w:lvlJc w:val="left"/>
      <w:pPr>
        <w:ind w:left="2007" w:hanging="360"/>
      </w:pPr>
      <w:rPr>
        <w:rFonts w:ascii="Courier New" w:hAnsi="Courier New" w:cs="Courier New" w:hint="default"/>
      </w:rPr>
    </w:lvl>
    <w:lvl w:ilvl="2" w:tplc="240A0005" w:tentative="1">
      <w:start w:val="1"/>
      <w:numFmt w:val="bullet"/>
      <w:lvlText w:val=""/>
      <w:lvlJc w:val="left"/>
      <w:pPr>
        <w:ind w:left="2727" w:hanging="360"/>
      </w:pPr>
      <w:rPr>
        <w:rFonts w:ascii="Wingdings" w:hAnsi="Wingdings" w:hint="default"/>
      </w:rPr>
    </w:lvl>
    <w:lvl w:ilvl="3" w:tplc="240A0001" w:tentative="1">
      <w:start w:val="1"/>
      <w:numFmt w:val="bullet"/>
      <w:lvlText w:val=""/>
      <w:lvlJc w:val="left"/>
      <w:pPr>
        <w:ind w:left="3447" w:hanging="360"/>
      </w:pPr>
      <w:rPr>
        <w:rFonts w:ascii="Symbol" w:hAnsi="Symbol" w:hint="default"/>
      </w:rPr>
    </w:lvl>
    <w:lvl w:ilvl="4" w:tplc="240A0003" w:tentative="1">
      <w:start w:val="1"/>
      <w:numFmt w:val="bullet"/>
      <w:lvlText w:val="o"/>
      <w:lvlJc w:val="left"/>
      <w:pPr>
        <w:ind w:left="4167" w:hanging="360"/>
      </w:pPr>
      <w:rPr>
        <w:rFonts w:ascii="Courier New" w:hAnsi="Courier New" w:cs="Courier New" w:hint="default"/>
      </w:rPr>
    </w:lvl>
    <w:lvl w:ilvl="5" w:tplc="240A0005" w:tentative="1">
      <w:start w:val="1"/>
      <w:numFmt w:val="bullet"/>
      <w:lvlText w:val=""/>
      <w:lvlJc w:val="left"/>
      <w:pPr>
        <w:ind w:left="4887" w:hanging="360"/>
      </w:pPr>
      <w:rPr>
        <w:rFonts w:ascii="Wingdings" w:hAnsi="Wingdings" w:hint="default"/>
      </w:rPr>
    </w:lvl>
    <w:lvl w:ilvl="6" w:tplc="240A0001" w:tentative="1">
      <w:start w:val="1"/>
      <w:numFmt w:val="bullet"/>
      <w:lvlText w:val=""/>
      <w:lvlJc w:val="left"/>
      <w:pPr>
        <w:ind w:left="5607" w:hanging="360"/>
      </w:pPr>
      <w:rPr>
        <w:rFonts w:ascii="Symbol" w:hAnsi="Symbol" w:hint="default"/>
      </w:rPr>
    </w:lvl>
    <w:lvl w:ilvl="7" w:tplc="240A0003" w:tentative="1">
      <w:start w:val="1"/>
      <w:numFmt w:val="bullet"/>
      <w:lvlText w:val="o"/>
      <w:lvlJc w:val="left"/>
      <w:pPr>
        <w:ind w:left="6327" w:hanging="360"/>
      </w:pPr>
      <w:rPr>
        <w:rFonts w:ascii="Courier New" w:hAnsi="Courier New" w:cs="Courier New" w:hint="default"/>
      </w:rPr>
    </w:lvl>
    <w:lvl w:ilvl="8" w:tplc="240A0005" w:tentative="1">
      <w:start w:val="1"/>
      <w:numFmt w:val="bullet"/>
      <w:lvlText w:val=""/>
      <w:lvlJc w:val="left"/>
      <w:pPr>
        <w:ind w:left="7047" w:hanging="360"/>
      </w:pPr>
      <w:rPr>
        <w:rFonts w:ascii="Wingdings" w:hAnsi="Wingdings" w:hint="default"/>
      </w:rPr>
    </w:lvl>
  </w:abstractNum>
  <w:abstractNum w:abstractNumId="93">
    <w:nsid w:val="3C10696D"/>
    <w:multiLevelType w:val="multilevel"/>
    <w:tmpl w:val="B726B85E"/>
    <w:lvl w:ilvl="0">
      <w:start w:val="4"/>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94">
    <w:nsid w:val="3C3C0C1B"/>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95">
    <w:nsid w:val="3D0D60EC"/>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96">
    <w:nsid w:val="3DC032D9"/>
    <w:multiLevelType w:val="multilevel"/>
    <w:tmpl w:val="C25CD41C"/>
    <w:lvl w:ilvl="0">
      <w:start w:val="2"/>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97">
    <w:nsid w:val="3EA33AC9"/>
    <w:multiLevelType w:val="hybridMultilevel"/>
    <w:tmpl w:val="3C142D54"/>
    <w:lvl w:ilvl="0" w:tplc="240A0017">
      <w:start w:val="1"/>
      <w:numFmt w:val="lowerLetter"/>
      <w:lvlText w:val="%1)"/>
      <w:lvlJc w:val="left"/>
      <w:pPr>
        <w:ind w:left="1068" w:hanging="360"/>
      </w:pPr>
      <w:rPr>
        <w:b w:val="0"/>
      </w:rPr>
    </w:lvl>
    <w:lvl w:ilvl="1" w:tplc="240A0019">
      <w:start w:val="1"/>
      <w:numFmt w:val="lowerLetter"/>
      <w:lvlText w:val="%2."/>
      <w:lvlJc w:val="left"/>
      <w:pPr>
        <w:ind w:left="1788" w:hanging="360"/>
      </w:pPr>
    </w:lvl>
    <w:lvl w:ilvl="2" w:tplc="240A001B">
      <w:start w:val="1"/>
      <w:numFmt w:val="lowerRoman"/>
      <w:lvlText w:val="%3."/>
      <w:lvlJc w:val="right"/>
      <w:pPr>
        <w:ind w:left="2508" w:hanging="180"/>
      </w:pPr>
    </w:lvl>
    <w:lvl w:ilvl="3" w:tplc="240A000F">
      <w:start w:val="1"/>
      <w:numFmt w:val="decimal"/>
      <w:lvlText w:val="%4."/>
      <w:lvlJc w:val="left"/>
      <w:pPr>
        <w:ind w:left="3228" w:hanging="360"/>
      </w:pPr>
    </w:lvl>
    <w:lvl w:ilvl="4" w:tplc="240A0019">
      <w:start w:val="1"/>
      <w:numFmt w:val="lowerLetter"/>
      <w:lvlText w:val="%5."/>
      <w:lvlJc w:val="left"/>
      <w:pPr>
        <w:ind w:left="3948" w:hanging="360"/>
      </w:pPr>
    </w:lvl>
    <w:lvl w:ilvl="5" w:tplc="240A001B">
      <w:start w:val="1"/>
      <w:numFmt w:val="lowerRoman"/>
      <w:lvlText w:val="%6."/>
      <w:lvlJc w:val="right"/>
      <w:pPr>
        <w:ind w:left="4668" w:hanging="180"/>
      </w:pPr>
    </w:lvl>
    <w:lvl w:ilvl="6" w:tplc="240A000F">
      <w:start w:val="1"/>
      <w:numFmt w:val="decimal"/>
      <w:lvlText w:val="%7."/>
      <w:lvlJc w:val="left"/>
      <w:pPr>
        <w:ind w:left="5388" w:hanging="360"/>
      </w:pPr>
    </w:lvl>
    <w:lvl w:ilvl="7" w:tplc="240A0019">
      <w:start w:val="1"/>
      <w:numFmt w:val="lowerLetter"/>
      <w:lvlText w:val="%8."/>
      <w:lvlJc w:val="left"/>
      <w:pPr>
        <w:ind w:left="6108" w:hanging="360"/>
      </w:pPr>
    </w:lvl>
    <w:lvl w:ilvl="8" w:tplc="240A001B">
      <w:start w:val="1"/>
      <w:numFmt w:val="lowerRoman"/>
      <w:lvlText w:val="%9."/>
      <w:lvlJc w:val="right"/>
      <w:pPr>
        <w:ind w:left="6828" w:hanging="180"/>
      </w:pPr>
    </w:lvl>
  </w:abstractNum>
  <w:abstractNum w:abstractNumId="98">
    <w:nsid w:val="3EF80072"/>
    <w:multiLevelType w:val="hybridMultilevel"/>
    <w:tmpl w:val="4E986BB2"/>
    <w:lvl w:ilvl="0" w:tplc="1ABAAE80">
      <w:start w:val="1"/>
      <w:numFmt w:val="lowerLetter"/>
      <w:lvlText w:val="%1)"/>
      <w:lvlJc w:val="left"/>
      <w:pPr>
        <w:ind w:left="1068" w:hanging="360"/>
      </w:pPr>
      <w:rPr>
        <w:rFonts w:hint="default"/>
        <w:b w:val="0"/>
        <w:sz w:val="24"/>
        <w:szCs w:val="24"/>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99">
    <w:nsid w:val="3F0F68CA"/>
    <w:multiLevelType w:val="hybridMultilevel"/>
    <w:tmpl w:val="D63EA8AC"/>
    <w:lvl w:ilvl="0" w:tplc="22F0D9A0">
      <w:start w:val="1"/>
      <w:numFmt w:val="lowerLetter"/>
      <w:lvlText w:val="%1)"/>
      <w:lvlJc w:val="left"/>
      <w:pPr>
        <w:ind w:left="1068" w:hanging="360"/>
      </w:pPr>
      <w:rPr>
        <w:b w:val="0"/>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100">
    <w:nsid w:val="409303FF"/>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01">
    <w:nsid w:val="415A5B68"/>
    <w:multiLevelType w:val="hybridMultilevel"/>
    <w:tmpl w:val="111231D6"/>
    <w:lvl w:ilvl="0" w:tplc="BD7264C4">
      <w:start w:val="1"/>
      <w:numFmt w:val="decimal"/>
      <w:lvlText w:val="(%1)"/>
      <w:lvlJc w:val="left"/>
      <w:pPr>
        <w:ind w:left="972" w:hanging="405"/>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102">
    <w:nsid w:val="41CB425F"/>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03">
    <w:nsid w:val="43322171"/>
    <w:multiLevelType w:val="hybridMultilevel"/>
    <w:tmpl w:val="D72EBFDC"/>
    <w:lvl w:ilvl="0" w:tplc="13D89EBA">
      <w:start w:val="1"/>
      <w:numFmt w:val="lowerLetter"/>
      <w:lvlText w:val="%1)"/>
      <w:lvlJc w:val="left"/>
      <w:pPr>
        <w:ind w:left="1068" w:hanging="360"/>
      </w:pPr>
      <w:rPr>
        <w:rFonts w:hint="default"/>
        <w:b w:val="0"/>
        <w:lang w:val="es-CO"/>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04">
    <w:nsid w:val="444707DB"/>
    <w:multiLevelType w:val="hybridMultilevel"/>
    <w:tmpl w:val="111231D6"/>
    <w:lvl w:ilvl="0" w:tplc="BD7264C4">
      <w:start w:val="1"/>
      <w:numFmt w:val="decimal"/>
      <w:lvlText w:val="(%1)"/>
      <w:lvlJc w:val="left"/>
      <w:pPr>
        <w:ind w:left="972" w:hanging="405"/>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105">
    <w:nsid w:val="45AB63CC"/>
    <w:multiLevelType w:val="hybridMultilevel"/>
    <w:tmpl w:val="07B87626"/>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6">
    <w:nsid w:val="45F8748B"/>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07">
    <w:nsid w:val="48A52E6F"/>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08">
    <w:nsid w:val="48AC260E"/>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09">
    <w:nsid w:val="48FB1AE8"/>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10">
    <w:nsid w:val="492F4F1C"/>
    <w:multiLevelType w:val="hybridMultilevel"/>
    <w:tmpl w:val="111231D6"/>
    <w:lvl w:ilvl="0" w:tplc="BD7264C4">
      <w:start w:val="1"/>
      <w:numFmt w:val="decimal"/>
      <w:lvlText w:val="(%1)"/>
      <w:lvlJc w:val="left"/>
      <w:pPr>
        <w:ind w:left="972" w:hanging="405"/>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111">
    <w:nsid w:val="49A3479C"/>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12">
    <w:nsid w:val="49EC1D4A"/>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13">
    <w:nsid w:val="4A7D7509"/>
    <w:multiLevelType w:val="multilevel"/>
    <w:tmpl w:val="5236364C"/>
    <w:lvl w:ilvl="0">
      <w:start w:val="6"/>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4">
    <w:nsid w:val="4A7F312D"/>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15">
    <w:nsid w:val="4CA23400"/>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16">
    <w:nsid w:val="4E33400E"/>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17">
    <w:nsid w:val="4FE705E3"/>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18">
    <w:nsid w:val="502B4BDC"/>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19">
    <w:nsid w:val="505F237A"/>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20">
    <w:nsid w:val="50D1372C"/>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21">
    <w:nsid w:val="50D67095"/>
    <w:multiLevelType w:val="hybridMultilevel"/>
    <w:tmpl w:val="136A2CDC"/>
    <w:lvl w:ilvl="0" w:tplc="F9223100">
      <w:numFmt w:val="bullet"/>
      <w:lvlText w:val="-"/>
      <w:lvlJc w:val="left"/>
      <w:pPr>
        <w:ind w:left="720" w:hanging="360"/>
      </w:pPr>
      <w:rPr>
        <w:rFonts w:ascii="Times New Roman" w:eastAsia="Times New Roman" w:hAnsi="Times New Roman"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2">
    <w:nsid w:val="51503F47"/>
    <w:multiLevelType w:val="hybridMultilevel"/>
    <w:tmpl w:val="79BA6FE8"/>
    <w:lvl w:ilvl="0" w:tplc="104EFEAA">
      <w:start w:val="1"/>
      <w:numFmt w:val="lowerRoman"/>
      <w:lvlText w:val="%1."/>
      <w:lvlJc w:val="left"/>
      <w:pPr>
        <w:ind w:left="2136" w:hanging="360"/>
      </w:pPr>
      <w:rPr>
        <w:rFonts w:hint="default"/>
      </w:rPr>
    </w:lvl>
    <w:lvl w:ilvl="1" w:tplc="240A0019" w:tentative="1">
      <w:start w:val="1"/>
      <w:numFmt w:val="lowerLetter"/>
      <w:lvlText w:val="%2."/>
      <w:lvlJc w:val="left"/>
      <w:pPr>
        <w:ind w:left="2856" w:hanging="360"/>
      </w:pPr>
    </w:lvl>
    <w:lvl w:ilvl="2" w:tplc="240A001B" w:tentative="1">
      <w:start w:val="1"/>
      <w:numFmt w:val="lowerRoman"/>
      <w:lvlText w:val="%3."/>
      <w:lvlJc w:val="right"/>
      <w:pPr>
        <w:ind w:left="3576" w:hanging="180"/>
      </w:pPr>
    </w:lvl>
    <w:lvl w:ilvl="3" w:tplc="240A000F" w:tentative="1">
      <w:start w:val="1"/>
      <w:numFmt w:val="decimal"/>
      <w:lvlText w:val="%4."/>
      <w:lvlJc w:val="left"/>
      <w:pPr>
        <w:ind w:left="4296" w:hanging="360"/>
      </w:pPr>
    </w:lvl>
    <w:lvl w:ilvl="4" w:tplc="240A0019" w:tentative="1">
      <w:start w:val="1"/>
      <w:numFmt w:val="lowerLetter"/>
      <w:lvlText w:val="%5."/>
      <w:lvlJc w:val="left"/>
      <w:pPr>
        <w:ind w:left="5016" w:hanging="360"/>
      </w:pPr>
    </w:lvl>
    <w:lvl w:ilvl="5" w:tplc="240A001B" w:tentative="1">
      <w:start w:val="1"/>
      <w:numFmt w:val="lowerRoman"/>
      <w:lvlText w:val="%6."/>
      <w:lvlJc w:val="right"/>
      <w:pPr>
        <w:ind w:left="5736" w:hanging="180"/>
      </w:pPr>
    </w:lvl>
    <w:lvl w:ilvl="6" w:tplc="240A000F" w:tentative="1">
      <w:start w:val="1"/>
      <w:numFmt w:val="decimal"/>
      <w:lvlText w:val="%7."/>
      <w:lvlJc w:val="left"/>
      <w:pPr>
        <w:ind w:left="6456" w:hanging="360"/>
      </w:pPr>
    </w:lvl>
    <w:lvl w:ilvl="7" w:tplc="240A0019" w:tentative="1">
      <w:start w:val="1"/>
      <w:numFmt w:val="lowerLetter"/>
      <w:lvlText w:val="%8."/>
      <w:lvlJc w:val="left"/>
      <w:pPr>
        <w:ind w:left="7176" w:hanging="360"/>
      </w:pPr>
    </w:lvl>
    <w:lvl w:ilvl="8" w:tplc="240A001B" w:tentative="1">
      <w:start w:val="1"/>
      <w:numFmt w:val="lowerRoman"/>
      <w:lvlText w:val="%9."/>
      <w:lvlJc w:val="right"/>
      <w:pPr>
        <w:ind w:left="7896" w:hanging="180"/>
      </w:pPr>
    </w:lvl>
  </w:abstractNum>
  <w:abstractNum w:abstractNumId="123">
    <w:nsid w:val="516434BE"/>
    <w:multiLevelType w:val="hybridMultilevel"/>
    <w:tmpl w:val="D63EA8AC"/>
    <w:lvl w:ilvl="0" w:tplc="22F0D9A0">
      <w:start w:val="1"/>
      <w:numFmt w:val="lowerLetter"/>
      <w:lvlText w:val="%1)"/>
      <w:lvlJc w:val="left"/>
      <w:pPr>
        <w:ind w:left="1068" w:hanging="360"/>
      </w:pPr>
      <w:rPr>
        <w:b w:val="0"/>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124">
    <w:nsid w:val="51E86BE5"/>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25">
    <w:nsid w:val="52AC569F"/>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26">
    <w:nsid w:val="535E7486"/>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27">
    <w:nsid w:val="568B6903"/>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28">
    <w:nsid w:val="57D2490C"/>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29">
    <w:nsid w:val="58101B8F"/>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30">
    <w:nsid w:val="596C5D59"/>
    <w:multiLevelType w:val="hybridMultilevel"/>
    <w:tmpl w:val="ABBCBA72"/>
    <w:lvl w:ilvl="0" w:tplc="240A000F">
      <w:start w:val="1"/>
      <w:numFmt w:val="decimal"/>
      <w:lvlText w:val="%1."/>
      <w:lvlJc w:val="left"/>
      <w:pPr>
        <w:ind w:left="10926" w:hanging="360"/>
      </w:pPr>
      <w:rPr>
        <w:rFonts w:hint="default"/>
      </w:rPr>
    </w:lvl>
    <w:lvl w:ilvl="1" w:tplc="240A0019">
      <w:start w:val="1"/>
      <w:numFmt w:val="lowerLetter"/>
      <w:lvlText w:val="%2."/>
      <w:lvlJc w:val="left"/>
      <w:pPr>
        <w:ind w:left="11646" w:hanging="360"/>
      </w:pPr>
    </w:lvl>
    <w:lvl w:ilvl="2" w:tplc="240A001B" w:tentative="1">
      <w:start w:val="1"/>
      <w:numFmt w:val="lowerRoman"/>
      <w:lvlText w:val="%3."/>
      <w:lvlJc w:val="right"/>
      <w:pPr>
        <w:ind w:left="12366" w:hanging="180"/>
      </w:pPr>
    </w:lvl>
    <w:lvl w:ilvl="3" w:tplc="240A000F" w:tentative="1">
      <w:start w:val="1"/>
      <w:numFmt w:val="decimal"/>
      <w:lvlText w:val="%4."/>
      <w:lvlJc w:val="left"/>
      <w:pPr>
        <w:ind w:left="13086" w:hanging="360"/>
      </w:pPr>
    </w:lvl>
    <w:lvl w:ilvl="4" w:tplc="240A0019" w:tentative="1">
      <w:start w:val="1"/>
      <w:numFmt w:val="lowerLetter"/>
      <w:lvlText w:val="%5."/>
      <w:lvlJc w:val="left"/>
      <w:pPr>
        <w:ind w:left="13806" w:hanging="360"/>
      </w:pPr>
    </w:lvl>
    <w:lvl w:ilvl="5" w:tplc="240A001B" w:tentative="1">
      <w:start w:val="1"/>
      <w:numFmt w:val="lowerRoman"/>
      <w:lvlText w:val="%6."/>
      <w:lvlJc w:val="right"/>
      <w:pPr>
        <w:ind w:left="14526" w:hanging="180"/>
      </w:pPr>
    </w:lvl>
    <w:lvl w:ilvl="6" w:tplc="240A000F" w:tentative="1">
      <w:start w:val="1"/>
      <w:numFmt w:val="decimal"/>
      <w:lvlText w:val="%7."/>
      <w:lvlJc w:val="left"/>
      <w:pPr>
        <w:ind w:left="15246" w:hanging="360"/>
      </w:pPr>
    </w:lvl>
    <w:lvl w:ilvl="7" w:tplc="240A0019" w:tentative="1">
      <w:start w:val="1"/>
      <w:numFmt w:val="lowerLetter"/>
      <w:lvlText w:val="%8."/>
      <w:lvlJc w:val="left"/>
      <w:pPr>
        <w:ind w:left="15966" w:hanging="360"/>
      </w:pPr>
    </w:lvl>
    <w:lvl w:ilvl="8" w:tplc="240A001B" w:tentative="1">
      <w:start w:val="1"/>
      <w:numFmt w:val="lowerRoman"/>
      <w:lvlText w:val="%9."/>
      <w:lvlJc w:val="right"/>
      <w:pPr>
        <w:ind w:left="16686" w:hanging="180"/>
      </w:pPr>
    </w:lvl>
  </w:abstractNum>
  <w:abstractNum w:abstractNumId="131">
    <w:nsid w:val="59D33DE9"/>
    <w:multiLevelType w:val="multilevel"/>
    <w:tmpl w:val="CD34E8C6"/>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2">
    <w:nsid w:val="5A6B01EC"/>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33">
    <w:nsid w:val="5BFF09A8"/>
    <w:multiLevelType w:val="hybridMultilevel"/>
    <w:tmpl w:val="3C142D54"/>
    <w:lvl w:ilvl="0" w:tplc="240A0017">
      <w:start w:val="1"/>
      <w:numFmt w:val="lowerLetter"/>
      <w:lvlText w:val="%1)"/>
      <w:lvlJc w:val="left"/>
      <w:pPr>
        <w:ind w:left="1068" w:hanging="360"/>
      </w:pPr>
      <w:rPr>
        <w:b w:val="0"/>
      </w:rPr>
    </w:lvl>
    <w:lvl w:ilvl="1" w:tplc="240A0019">
      <w:start w:val="1"/>
      <w:numFmt w:val="lowerLetter"/>
      <w:lvlText w:val="%2."/>
      <w:lvlJc w:val="left"/>
      <w:pPr>
        <w:ind w:left="1788" w:hanging="360"/>
      </w:pPr>
    </w:lvl>
    <w:lvl w:ilvl="2" w:tplc="240A001B">
      <w:start w:val="1"/>
      <w:numFmt w:val="lowerRoman"/>
      <w:lvlText w:val="%3."/>
      <w:lvlJc w:val="right"/>
      <w:pPr>
        <w:ind w:left="2508" w:hanging="180"/>
      </w:pPr>
    </w:lvl>
    <w:lvl w:ilvl="3" w:tplc="240A000F">
      <w:start w:val="1"/>
      <w:numFmt w:val="decimal"/>
      <w:lvlText w:val="%4."/>
      <w:lvlJc w:val="left"/>
      <w:pPr>
        <w:ind w:left="3228" w:hanging="360"/>
      </w:pPr>
    </w:lvl>
    <w:lvl w:ilvl="4" w:tplc="240A0019">
      <w:start w:val="1"/>
      <w:numFmt w:val="lowerLetter"/>
      <w:lvlText w:val="%5."/>
      <w:lvlJc w:val="left"/>
      <w:pPr>
        <w:ind w:left="3948" w:hanging="360"/>
      </w:pPr>
    </w:lvl>
    <w:lvl w:ilvl="5" w:tplc="240A001B">
      <w:start w:val="1"/>
      <w:numFmt w:val="lowerRoman"/>
      <w:lvlText w:val="%6."/>
      <w:lvlJc w:val="right"/>
      <w:pPr>
        <w:ind w:left="4668" w:hanging="180"/>
      </w:pPr>
    </w:lvl>
    <w:lvl w:ilvl="6" w:tplc="240A000F">
      <w:start w:val="1"/>
      <w:numFmt w:val="decimal"/>
      <w:lvlText w:val="%7."/>
      <w:lvlJc w:val="left"/>
      <w:pPr>
        <w:ind w:left="5388" w:hanging="360"/>
      </w:pPr>
    </w:lvl>
    <w:lvl w:ilvl="7" w:tplc="240A0019">
      <w:start w:val="1"/>
      <w:numFmt w:val="lowerLetter"/>
      <w:lvlText w:val="%8."/>
      <w:lvlJc w:val="left"/>
      <w:pPr>
        <w:ind w:left="6108" w:hanging="360"/>
      </w:pPr>
    </w:lvl>
    <w:lvl w:ilvl="8" w:tplc="240A001B">
      <w:start w:val="1"/>
      <w:numFmt w:val="lowerRoman"/>
      <w:lvlText w:val="%9."/>
      <w:lvlJc w:val="right"/>
      <w:pPr>
        <w:ind w:left="6828" w:hanging="180"/>
      </w:pPr>
    </w:lvl>
  </w:abstractNum>
  <w:abstractNum w:abstractNumId="134">
    <w:nsid w:val="5C770B7E"/>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35">
    <w:nsid w:val="5C7E2168"/>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36">
    <w:nsid w:val="5CD239EB"/>
    <w:multiLevelType w:val="multilevel"/>
    <w:tmpl w:val="FD5EBDD0"/>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37">
    <w:nsid w:val="5D3E4D7B"/>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38">
    <w:nsid w:val="5D99076B"/>
    <w:multiLevelType w:val="hybridMultilevel"/>
    <w:tmpl w:val="55D2E8FE"/>
    <w:lvl w:ilvl="0" w:tplc="B5B80C96">
      <w:start w:val="1"/>
      <w:numFmt w:val="decimal"/>
      <w:pStyle w:val="Comentarios"/>
      <w:lvlText w:val="Comentario %1."/>
      <w:lvlJc w:val="left"/>
      <w:pPr>
        <w:tabs>
          <w:tab w:val="num" w:pos="1800"/>
        </w:tabs>
        <w:ind w:left="0" w:firstLine="0"/>
      </w:pPr>
      <w:rPr>
        <w:rFonts w:ascii="Arial" w:hAnsi="Arial" w:hint="default"/>
        <w:b/>
        <w:i w:val="0"/>
        <w:sz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39">
    <w:nsid w:val="5E5654A4"/>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40">
    <w:nsid w:val="5F64501A"/>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41">
    <w:nsid w:val="5F6B5AFF"/>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42">
    <w:nsid w:val="5FA2057F"/>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43">
    <w:nsid w:val="5FEF31D3"/>
    <w:multiLevelType w:val="hybridMultilevel"/>
    <w:tmpl w:val="3C142D54"/>
    <w:lvl w:ilvl="0" w:tplc="240A0017">
      <w:start w:val="1"/>
      <w:numFmt w:val="lowerLetter"/>
      <w:lvlText w:val="%1)"/>
      <w:lvlJc w:val="left"/>
      <w:pPr>
        <w:ind w:left="1068" w:hanging="360"/>
      </w:pPr>
      <w:rPr>
        <w:b w:val="0"/>
      </w:rPr>
    </w:lvl>
    <w:lvl w:ilvl="1" w:tplc="240A0019">
      <w:start w:val="1"/>
      <w:numFmt w:val="lowerLetter"/>
      <w:lvlText w:val="%2."/>
      <w:lvlJc w:val="left"/>
      <w:pPr>
        <w:ind w:left="1788" w:hanging="360"/>
      </w:pPr>
    </w:lvl>
    <w:lvl w:ilvl="2" w:tplc="240A001B">
      <w:start w:val="1"/>
      <w:numFmt w:val="lowerRoman"/>
      <w:lvlText w:val="%3."/>
      <w:lvlJc w:val="right"/>
      <w:pPr>
        <w:ind w:left="2508" w:hanging="180"/>
      </w:pPr>
    </w:lvl>
    <w:lvl w:ilvl="3" w:tplc="240A000F">
      <w:start w:val="1"/>
      <w:numFmt w:val="decimal"/>
      <w:lvlText w:val="%4."/>
      <w:lvlJc w:val="left"/>
      <w:pPr>
        <w:ind w:left="3228" w:hanging="360"/>
      </w:pPr>
    </w:lvl>
    <w:lvl w:ilvl="4" w:tplc="240A0019">
      <w:start w:val="1"/>
      <w:numFmt w:val="lowerLetter"/>
      <w:lvlText w:val="%5."/>
      <w:lvlJc w:val="left"/>
      <w:pPr>
        <w:ind w:left="3948" w:hanging="360"/>
      </w:pPr>
    </w:lvl>
    <w:lvl w:ilvl="5" w:tplc="240A001B">
      <w:start w:val="1"/>
      <w:numFmt w:val="lowerRoman"/>
      <w:lvlText w:val="%6."/>
      <w:lvlJc w:val="right"/>
      <w:pPr>
        <w:ind w:left="4668" w:hanging="180"/>
      </w:pPr>
    </w:lvl>
    <w:lvl w:ilvl="6" w:tplc="240A000F">
      <w:start w:val="1"/>
      <w:numFmt w:val="decimal"/>
      <w:lvlText w:val="%7."/>
      <w:lvlJc w:val="left"/>
      <w:pPr>
        <w:ind w:left="5388" w:hanging="360"/>
      </w:pPr>
    </w:lvl>
    <w:lvl w:ilvl="7" w:tplc="240A0019">
      <w:start w:val="1"/>
      <w:numFmt w:val="lowerLetter"/>
      <w:lvlText w:val="%8."/>
      <w:lvlJc w:val="left"/>
      <w:pPr>
        <w:ind w:left="6108" w:hanging="360"/>
      </w:pPr>
    </w:lvl>
    <w:lvl w:ilvl="8" w:tplc="240A001B">
      <w:start w:val="1"/>
      <w:numFmt w:val="lowerRoman"/>
      <w:lvlText w:val="%9."/>
      <w:lvlJc w:val="right"/>
      <w:pPr>
        <w:ind w:left="6828" w:hanging="180"/>
      </w:pPr>
    </w:lvl>
  </w:abstractNum>
  <w:abstractNum w:abstractNumId="144">
    <w:nsid w:val="60ED371D"/>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45">
    <w:nsid w:val="62676687"/>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46">
    <w:nsid w:val="630D46A3"/>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47">
    <w:nsid w:val="63771220"/>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48">
    <w:nsid w:val="639478E6"/>
    <w:multiLevelType w:val="hybridMultilevel"/>
    <w:tmpl w:val="3C142D54"/>
    <w:lvl w:ilvl="0" w:tplc="240A0017">
      <w:start w:val="1"/>
      <w:numFmt w:val="lowerLetter"/>
      <w:lvlText w:val="%1)"/>
      <w:lvlJc w:val="left"/>
      <w:pPr>
        <w:ind w:left="1068" w:hanging="360"/>
      </w:pPr>
      <w:rPr>
        <w:b w:val="0"/>
      </w:rPr>
    </w:lvl>
    <w:lvl w:ilvl="1" w:tplc="240A0019">
      <w:start w:val="1"/>
      <w:numFmt w:val="lowerLetter"/>
      <w:lvlText w:val="%2."/>
      <w:lvlJc w:val="left"/>
      <w:pPr>
        <w:ind w:left="1788" w:hanging="360"/>
      </w:pPr>
    </w:lvl>
    <w:lvl w:ilvl="2" w:tplc="240A001B">
      <w:start w:val="1"/>
      <w:numFmt w:val="lowerRoman"/>
      <w:lvlText w:val="%3."/>
      <w:lvlJc w:val="right"/>
      <w:pPr>
        <w:ind w:left="2508" w:hanging="180"/>
      </w:pPr>
    </w:lvl>
    <w:lvl w:ilvl="3" w:tplc="240A000F">
      <w:start w:val="1"/>
      <w:numFmt w:val="decimal"/>
      <w:lvlText w:val="%4."/>
      <w:lvlJc w:val="left"/>
      <w:pPr>
        <w:ind w:left="3228" w:hanging="360"/>
      </w:pPr>
    </w:lvl>
    <w:lvl w:ilvl="4" w:tplc="240A0019">
      <w:start w:val="1"/>
      <w:numFmt w:val="lowerLetter"/>
      <w:lvlText w:val="%5."/>
      <w:lvlJc w:val="left"/>
      <w:pPr>
        <w:ind w:left="3948" w:hanging="360"/>
      </w:pPr>
    </w:lvl>
    <w:lvl w:ilvl="5" w:tplc="240A001B">
      <w:start w:val="1"/>
      <w:numFmt w:val="lowerRoman"/>
      <w:lvlText w:val="%6."/>
      <w:lvlJc w:val="right"/>
      <w:pPr>
        <w:ind w:left="4668" w:hanging="180"/>
      </w:pPr>
    </w:lvl>
    <w:lvl w:ilvl="6" w:tplc="240A000F">
      <w:start w:val="1"/>
      <w:numFmt w:val="decimal"/>
      <w:lvlText w:val="%7."/>
      <w:lvlJc w:val="left"/>
      <w:pPr>
        <w:ind w:left="5388" w:hanging="360"/>
      </w:pPr>
    </w:lvl>
    <w:lvl w:ilvl="7" w:tplc="240A0019">
      <w:start w:val="1"/>
      <w:numFmt w:val="lowerLetter"/>
      <w:lvlText w:val="%8."/>
      <w:lvlJc w:val="left"/>
      <w:pPr>
        <w:ind w:left="6108" w:hanging="360"/>
      </w:pPr>
    </w:lvl>
    <w:lvl w:ilvl="8" w:tplc="240A001B">
      <w:start w:val="1"/>
      <w:numFmt w:val="lowerRoman"/>
      <w:lvlText w:val="%9."/>
      <w:lvlJc w:val="right"/>
      <w:pPr>
        <w:ind w:left="6828" w:hanging="180"/>
      </w:pPr>
    </w:lvl>
  </w:abstractNum>
  <w:abstractNum w:abstractNumId="149">
    <w:nsid w:val="64025AC4"/>
    <w:multiLevelType w:val="multilevel"/>
    <w:tmpl w:val="400C5718"/>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0">
    <w:nsid w:val="64D92FE1"/>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51">
    <w:nsid w:val="654F5DD6"/>
    <w:multiLevelType w:val="hybridMultilevel"/>
    <w:tmpl w:val="D72EBFDC"/>
    <w:lvl w:ilvl="0" w:tplc="13D89EBA">
      <w:start w:val="1"/>
      <w:numFmt w:val="lowerLetter"/>
      <w:lvlText w:val="%1)"/>
      <w:lvlJc w:val="left"/>
      <w:pPr>
        <w:ind w:left="1068" w:hanging="360"/>
      </w:pPr>
      <w:rPr>
        <w:rFonts w:hint="default"/>
        <w:b w:val="0"/>
        <w:lang w:val="es-CO"/>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52">
    <w:nsid w:val="65CD4118"/>
    <w:multiLevelType w:val="hybridMultilevel"/>
    <w:tmpl w:val="C6E4CC8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53">
    <w:nsid w:val="66E226E5"/>
    <w:multiLevelType w:val="multilevel"/>
    <w:tmpl w:val="08D65A5C"/>
    <w:lvl w:ilvl="0">
      <w:start w:val="4"/>
      <w:numFmt w:val="decimal"/>
      <w:lvlText w:val="%1."/>
      <w:lvlJc w:val="left"/>
      <w:pPr>
        <w:ind w:left="450" w:hanging="450"/>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440" w:hanging="144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154">
    <w:nsid w:val="66EB0342"/>
    <w:multiLevelType w:val="multilevel"/>
    <w:tmpl w:val="24CACF92"/>
    <w:lvl w:ilvl="0">
      <w:start w:val="5"/>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sz w:val="24"/>
        <w:szCs w:val="24"/>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5">
    <w:nsid w:val="66F5204F"/>
    <w:multiLevelType w:val="hybridMultilevel"/>
    <w:tmpl w:val="15F6E45A"/>
    <w:lvl w:ilvl="0" w:tplc="F35250B0">
      <w:start w:val="1"/>
      <w:numFmt w:val="lowerLetter"/>
      <w:lvlText w:val="%1)"/>
      <w:lvlJc w:val="left"/>
      <w:pPr>
        <w:ind w:left="360" w:hanging="360"/>
      </w:pPr>
      <w:rPr>
        <w:rFonts w:ascii="Bookman Old Style" w:hAnsi="Bookman Old Style" w:cs="Arial" w:hint="default"/>
        <w:sz w:val="22"/>
        <w:szCs w:val="22"/>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6">
    <w:nsid w:val="67986E9B"/>
    <w:multiLevelType w:val="multilevel"/>
    <w:tmpl w:val="02E67D8A"/>
    <w:lvl w:ilvl="0">
      <w:start w:val="3"/>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7">
    <w:nsid w:val="67AD2923"/>
    <w:multiLevelType w:val="multilevel"/>
    <w:tmpl w:val="D9B46BA0"/>
    <w:lvl w:ilvl="0">
      <w:start w:val="5"/>
      <w:numFmt w:val="decimal"/>
      <w:lvlText w:val="%1."/>
      <w:lvlJc w:val="left"/>
      <w:pPr>
        <w:ind w:left="705" w:hanging="705"/>
      </w:pPr>
      <w:rPr>
        <w:rFonts w:hint="default"/>
      </w:rPr>
    </w:lvl>
    <w:lvl w:ilvl="1">
      <w:start w:val="7"/>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58">
    <w:nsid w:val="67CE06AC"/>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59">
    <w:nsid w:val="680D101A"/>
    <w:multiLevelType w:val="hybridMultilevel"/>
    <w:tmpl w:val="A22C1F46"/>
    <w:lvl w:ilvl="0" w:tplc="211E0142">
      <w:start w:val="1"/>
      <w:numFmt w:val="lowerLetter"/>
      <w:pStyle w:val="Estilo5"/>
      <w:lvlText w:val="%1)"/>
      <w:lvlJc w:val="left"/>
      <w:pPr>
        <w:tabs>
          <w:tab w:val="num" w:pos="360"/>
        </w:tabs>
        <w:ind w:left="360" w:hanging="360"/>
      </w:pPr>
      <w:rPr>
        <w:rFonts w:hint="default"/>
      </w:rPr>
    </w:lvl>
    <w:lvl w:ilvl="1" w:tplc="240A0019" w:tentative="1">
      <w:start w:val="1"/>
      <w:numFmt w:val="lowerLetter"/>
      <w:lvlText w:val="%2."/>
      <w:lvlJc w:val="left"/>
      <w:pPr>
        <w:tabs>
          <w:tab w:val="num" w:pos="1080"/>
        </w:tabs>
        <w:ind w:left="1080" w:hanging="360"/>
      </w:pPr>
    </w:lvl>
    <w:lvl w:ilvl="2" w:tplc="240A001B" w:tentative="1">
      <w:start w:val="1"/>
      <w:numFmt w:val="lowerRoman"/>
      <w:lvlText w:val="%3."/>
      <w:lvlJc w:val="right"/>
      <w:pPr>
        <w:tabs>
          <w:tab w:val="num" w:pos="1800"/>
        </w:tabs>
        <w:ind w:left="1800" w:hanging="180"/>
      </w:pPr>
    </w:lvl>
    <w:lvl w:ilvl="3" w:tplc="240A000F" w:tentative="1">
      <w:start w:val="1"/>
      <w:numFmt w:val="decimal"/>
      <w:lvlText w:val="%4."/>
      <w:lvlJc w:val="left"/>
      <w:pPr>
        <w:tabs>
          <w:tab w:val="num" w:pos="2520"/>
        </w:tabs>
        <w:ind w:left="2520" w:hanging="360"/>
      </w:pPr>
    </w:lvl>
    <w:lvl w:ilvl="4" w:tplc="240A0019" w:tentative="1">
      <w:start w:val="1"/>
      <w:numFmt w:val="lowerLetter"/>
      <w:lvlText w:val="%5."/>
      <w:lvlJc w:val="left"/>
      <w:pPr>
        <w:tabs>
          <w:tab w:val="num" w:pos="3240"/>
        </w:tabs>
        <w:ind w:left="3240" w:hanging="360"/>
      </w:pPr>
    </w:lvl>
    <w:lvl w:ilvl="5" w:tplc="240A001B" w:tentative="1">
      <w:start w:val="1"/>
      <w:numFmt w:val="lowerRoman"/>
      <w:lvlText w:val="%6."/>
      <w:lvlJc w:val="right"/>
      <w:pPr>
        <w:tabs>
          <w:tab w:val="num" w:pos="3960"/>
        </w:tabs>
        <w:ind w:left="3960" w:hanging="180"/>
      </w:pPr>
    </w:lvl>
    <w:lvl w:ilvl="6" w:tplc="240A000F" w:tentative="1">
      <w:start w:val="1"/>
      <w:numFmt w:val="decimal"/>
      <w:lvlText w:val="%7."/>
      <w:lvlJc w:val="left"/>
      <w:pPr>
        <w:tabs>
          <w:tab w:val="num" w:pos="4680"/>
        </w:tabs>
        <w:ind w:left="4680" w:hanging="360"/>
      </w:pPr>
    </w:lvl>
    <w:lvl w:ilvl="7" w:tplc="240A0019" w:tentative="1">
      <w:start w:val="1"/>
      <w:numFmt w:val="lowerLetter"/>
      <w:lvlText w:val="%8."/>
      <w:lvlJc w:val="left"/>
      <w:pPr>
        <w:tabs>
          <w:tab w:val="num" w:pos="5400"/>
        </w:tabs>
        <w:ind w:left="5400" w:hanging="360"/>
      </w:pPr>
    </w:lvl>
    <w:lvl w:ilvl="8" w:tplc="240A001B" w:tentative="1">
      <w:start w:val="1"/>
      <w:numFmt w:val="lowerRoman"/>
      <w:lvlText w:val="%9."/>
      <w:lvlJc w:val="right"/>
      <w:pPr>
        <w:tabs>
          <w:tab w:val="num" w:pos="6120"/>
        </w:tabs>
        <w:ind w:left="6120" w:hanging="180"/>
      </w:pPr>
    </w:lvl>
  </w:abstractNum>
  <w:abstractNum w:abstractNumId="160">
    <w:nsid w:val="686376C1"/>
    <w:multiLevelType w:val="hybridMultilevel"/>
    <w:tmpl w:val="BF606EBA"/>
    <w:lvl w:ilvl="0" w:tplc="240A000F">
      <w:start w:val="1"/>
      <w:numFmt w:val="decimal"/>
      <w:lvlText w:val="%1."/>
      <w:lvlJc w:val="left"/>
      <w:pPr>
        <w:ind w:left="1065" w:hanging="705"/>
      </w:pPr>
      <w:rPr>
        <w:rFonts w:hint="default"/>
        <w:lang w:val="es-CO"/>
      </w:rPr>
    </w:lvl>
    <w:lvl w:ilvl="1" w:tplc="240A001B">
      <w:start w:val="1"/>
      <w:numFmt w:val="lowerRoman"/>
      <w:lvlText w:val="%2."/>
      <w:lvlJc w:val="right"/>
      <w:pPr>
        <w:ind w:left="1440" w:hanging="360"/>
      </w:pPr>
      <w:rPr>
        <w:rFonts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1">
    <w:nsid w:val="68B41747"/>
    <w:multiLevelType w:val="hybridMultilevel"/>
    <w:tmpl w:val="DA0A3754"/>
    <w:lvl w:ilvl="0" w:tplc="11E28478">
      <w:start w:val="1"/>
      <w:numFmt w:val="lowerLetter"/>
      <w:lvlText w:val="%1)"/>
      <w:lvlJc w:val="left"/>
      <w:pPr>
        <w:ind w:left="2340" w:hanging="360"/>
      </w:pPr>
      <w:rPr>
        <w:rFonts w:ascii="Bookman Old Style" w:hAnsi="Bookman Old Style" w:cs="Arial" w:hint="default"/>
        <w:sz w:val="22"/>
        <w:szCs w:val="22"/>
      </w:rPr>
    </w:lvl>
    <w:lvl w:ilvl="1" w:tplc="240A0019" w:tentative="1">
      <w:start w:val="1"/>
      <w:numFmt w:val="lowerLetter"/>
      <w:lvlText w:val="%2."/>
      <w:lvlJc w:val="left"/>
      <w:pPr>
        <w:ind w:left="3060" w:hanging="360"/>
      </w:pPr>
    </w:lvl>
    <w:lvl w:ilvl="2" w:tplc="240A001B" w:tentative="1">
      <w:start w:val="1"/>
      <w:numFmt w:val="lowerRoman"/>
      <w:lvlText w:val="%3."/>
      <w:lvlJc w:val="right"/>
      <w:pPr>
        <w:ind w:left="3780" w:hanging="180"/>
      </w:pPr>
    </w:lvl>
    <w:lvl w:ilvl="3" w:tplc="240A000F" w:tentative="1">
      <w:start w:val="1"/>
      <w:numFmt w:val="decimal"/>
      <w:lvlText w:val="%4."/>
      <w:lvlJc w:val="left"/>
      <w:pPr>
        <w:ind w:left="4500" w:hanging="360"/>
      </w:pPr>
    </w:lvl>
    <w:lvl w:ilvl="4" w:tplc="240A0019" w:tentative="1">
      <w:start w:val="1"/>
      <w:numFmt w:val="lowerLetter"/>
      <w:lvlText w:val="%5."/>
      <w:lvlJc w:val="left"/>
      <w:pPr>
        <w:ind w:left="5220" w:hanging="360"/>
      </w:pPr>
    </w:lvl>
    <w:lvl w:ilvl="5" w:tplc="240A001B" w:tentative="1">
      <w:start w:val="1"/>
      <w:numFmt w:val="lowerRoman"/>
      <w:lvlText w:val="%6."/>
      <w:lvlJc w:val="right"/>
      <w:pPr>
        <w:ind w:left="5940" w:hanging="180"/>
      </w:pPr>
    </w:lvl>
    <w:lvl w:ilvl="6" w:tplc="240A000F" w:tentative="1">
      <w:start w:val="1"/>
      <w:numFmt w:val="decimal"/>
      <w:lvlText w:val="%7."/>
      <w:lvlJc w:val="left"/>
      <w:pPr>
        <w:ind w:left="6660" w:hanging="360"/>
      </w:pPr>
    </w:lvl>
    <w:lvl w:ilvl="7" w:tplc="240A0019" w:tentative="1">
      <w:start w:val="1"/>
      <w:numFmt w:val="lowerLetter"/>
      <w:lvlText w:val="%8."/>
      <w:lvlJc w:val="left"/>
      <w:pPr>
        <w:ind w:left="7380" w:hanging="360"/>
      </w:pPr>
    </w:lvl>
    <w:lvl w:ilvl="8" w:tplc="240A001B" w:tentative="1">
      <w:start w:val="1"/>
      <w:numFmt w:val="lowerRoman"/>
      <w:lvlText w:val="%9."/>
      <w:lvlJc w:val="right"/>
      <w:pPr>
        <w:ind w:left="8100" w:hanging="180"/>
      </w:pPr>
    </w:lvl>
  </w:abstractNum>
  <w:abstractNum w:abstractNumId="162">
    <w:nsid w:val="69384767"/>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63">
    <w:nsid w:val="6A8F365D"/>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64">
    <w:nsid w:val="6AEA629E"/>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65">
    <w:nsid w:val="6BBD035C"/>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66">
    <w:nsid w:val="6D1F0F12"/>
    <w:multiLevelType w:val="hybridMultilevel"/>
    <w:tmpl w:val="BBF2EAB2"/>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67">
    <w:nsid w:val="6D1F1C45"/>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68">
    <w:nsid w:val="6EA33FAB"/>
    <w:multiLevelType w:val="hybridMultilevel"/>
    <w:tmpl w:val="1ADA6F5C"/>
    <w:lvl w:ilvl="0" w:tplc="743A6E76">
      <w:start w:val="1"/>
      <w:numFmt w:val="lowerLetter"/>
      <w:lvlText w:val="%1)"/>
      <w:lvlJc w:val="left"/>
      <w:pPr>
        <w:ind w:left="2340" w:hanging="360"/>
      </w:pPr>
      <w:rPr>
        <w:rFonts w:ascii="Bookman Old Style" w:hAnsi="Bookman Old Style" w:cs="Arial" w:hint="default"/>
        <w:sz w:val="22"/>
        <w:szCs w:val="22"/>
      </w:rPr>
    </w:lvl>
    <w:lvl w:ilvl="1" w:tplc="240A0019" w:tentative="1">
      <w:start w:val="1"/>
      <w:numFmt w:val="lowerLetter"/>
      <w:lvlText w:val="%2."/>
      <w:lvlJc w:val="left"/>
      <w:pPr>
        <w:ind w:left="3060" w:hanging="360"/>
      </w:pPr>
    </w:lvl>
    <w:lvl w:ilvl="2" w:tplc="240A001B" w:tentative="1">
      <w:start w:val="1"/>
      <w:numFmt w:val="lowerRoman"/>
      <w:lvlText w:val="%3."/>
      <w:lvlJc w:val="right"/>
      <w:pPr>
        <w:ind w:left="3780" w:hanging="180"/>
      </w:pPr>
    </w:lvl>
    <w:lvl w:ilvl="3" w:tplc="240A000F" w:tentative="1">
      <w:start w:val="1"/>
      <w:numFmt w:val="decimal"/>
      <w:lvlText w:val="%4."/>
      <w:lvlJc w:val="left"/>
      <w:pPr>
        <w:ind w:left="4500" w:hanging="360"/>
      </w:pPr>
    </w:lvl>
    <w:lvl w:ilvl="4" w:tplc="240A0019" w:tentative="1">
      <w:start w:val="1"/>
      <w:numFmt w:val="lowerLetter"/>
      <w:lvlText w:val="%5."/>
      <w:lvlJc w:val="left"/>
      <w:pPr>
        <w:ind w:left="5220" w:hanging="360"/>
      </w:pPr>
    </w:lvl>
    <w:lvl w:ilvl="5" w:tplc="240A001B" w:tentative="1">
      <w:start w:val="1"/>
      <w:numFmt w:val="lowerRoman"/>
      <w:lvlText w:val="%6."/>
      <w:lvlJc w:val="right"/>
      <w:pPr>
        <w:ind w:left="5940" w:hanging="180"/>
      </w:pPr>
    </w:lvl>
    <w:lvl w:ilvl="6" w:tplc="240A000F" w:tentative="1">
      <w:start w:val="1"/>
      <w:numFmt w:val="decimal"/>
      <w:lvlText w:val="%7."/>
      <w:lvlJc w:val="left"/>
      <w:pPr>
        <w:ind w:left="6660" w:hanging="360"/>
      </w:pPr>
    </w:lvl>
    <w:lvl w:ilvl="7" w:tplc="240A0019" w:tentative="1">
      <w:start w:val="1"/>
      <w:numFmt w:val="lowerLetter"/>
      <w:lvlText w:val="%8."/>
      <w:lvlJc w:val="left"/>
      <w:pPr>
        <w:ind w:left="7380" w:hanging="360"/>
      </w:pPr>
    </w:lvl>
    <w:lvl w:ilvl="8" w:tplc="240A001B" w:tentative="1">
      <w:start w:val="1"/>
      <w:numFmt w:val="lowerRoman"/>
      <w:lvlText w:val="%9."/>
      <w:lvlJc w:val="right"/>
      <w:pPr>
        <w:ind w:left="8100" w:hanging="180"/>
      </w:pPr>
    </w:lvl>
  </w:abstractNum>
  <w:abstractNum w:abstractNumId="169">
    <w:nsid w:val="6ECB41BC"/>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70">
    <w:nsid w:val="6F1702BD"/>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71">
    <w:nsid w:val="6F5B4C93"/>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72">
    <w:nsid w:val="6F8756BD"/>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73">
    <w:nsid w:val="6FB84382"/>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74">
    <w:nsid w:val="6FD51E66"/>
    <w:multiLevelType w:val="hybridMultilevel"/>
    <w:tmpl w:val="5F162D1E"/>
    <w:lvl w:ilvl="0" w:tplc="D71A78CA">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75">
    <w:nsid w:val="6FFC5D76"/>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76">
    <w:nsid w:val="70052F50"/>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77">
    <w:nsid w:val="70460FB7"/>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78">
    <w:nsid w:val="713B2917"/>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79">
    <w:nsid w:val="720213C1"/>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80">
    <w:nsid w:val="7326383B"/>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81">
    <w:nsid w:val="73432BD8"/>
    <w:multiLevelType w:val="hybridMultilevel"/>
    <w:tmpl w:val="DB607420"/>
    <w:lvl w:ilvl="0" w:tplc="8EE8F796">
      <w:start w:val="1"/>
      <w:numFmt w:val="decimal"/>
      <w:pStyle w:val="ARTICULOS"/>
      <w:lvlText w:val="Artículo %1."/>
      <w:lvlJc w:val="left"/>
      <w:pPr>
        <w:ind w:left="1637"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ES" w:eastAsia="x-none"/>
        <w:specVanish w:val="0"/>
        <w14:shadow w14:blurRad="0" w14:dist="0" w14:dir="0" w14:sx="0" w14:sy="0" w14:kx="0" w14:ky="0" w14:algn="none">
          <w14:srgbClr w14:val="000000"/>
        </w14:shadow>
        <w14:textOutline w14:w="0" w14:cap="rnd" w14:cmpd="sng" w14:algn="ctr">
          <w14:noFill/>
          <w14:prstDash w14:val="solid"/>
          <w14:bevel/>
        </w14:textOutline>
      </w:rPr>
    </w:lvl>
    <w:lvl w:ilvl="1" w:tplc="240A0019">
      <w:start w:val="1"/>
      <w:numFmt w:val="lowerLetter"/>
      <w:lvlText w:val="%2."/>
      <w:lvlJc w:val="left"/>
      <w:pPr>
        <w:ind w:left="-338" w:hanging="360"/>
      </w:pPr>
    </w:lvl>
    <w:lvl w:ilvl="2" w:tplc="240A000F">
      <w:start w:val="1"/>
      <w:numFmt w:val="decimal"/>
      <w:lvlText w:val="%3."/>
      <w:lvlJc w:val="left"/>
      <w:pPr>
        <w:ind w:left="382" w:hanging="180"/>
      </w:pPr>
    </w:lvl>
    <w:lvl w:ilvl="3" w:tplc="240A000F" w:tentative="1">
      <w:start w:val="1"/>
      <w:numFmt w:val="decimal"/>
      <w:lvlText w:val="%4."/>
      <w:lvlJc w:val="left"/>
      <w:pPr>
        <w:ind w:left="1102" w:hanging="360"/>
      </w:pPr>
    </w:lvl>
    <w:lvl w:ilvl="4" w:tplc="240A0019" w:tentative="1">
      <w:start w:val="1"/>
      <w:numFmt w:val="lowerLetter"/>
      <w:lvlText w:val="%5."/>
      <w:lvlJc w:val="left"/>
      <w:pPr>
        <w:ind w:left="1822" w:hanging="360"/>
      </w:pPr>
    </w:lvl>
    <w:lvl w:ilvl="5" w:tplc="240A001B" w:tentative="1">
      <w:start w:val="1"/>
      <w:numFmt w:val="lowerRoman"/>
      <w:lvlText w:val="%6."/>
      <w:lvlJc w:val="right"/>
      <w:pPr>
        <w:ind w:left="2542" w:hanging="180"/>
      </w:pPr>
    </w:lvl>
    <w:lvl w:ilvl="6" w:tplc="240A000F" w:tentative="1">
      <w:start w:val="1"/>
      <w:numFmt w:val="decimal"/>
      <w:lvlText w:val="%7."/>
      <w:lvlJc w:val="left"/>
      <w:pPr>
        <w:ind w:left="3262" w:hanging="360"/>
      </w:pPr>
    </w:lvl>
    <w:lvl w:ilvl="7" w:tplc="240A0019" w:tentative="1">
      <w:start w:val="1"/>
      <w:numFmt w:val="lowerLetter"/>
      <w:lvlText w:val="%8."/>
      <w:lvlJc w:val="left"/>
      <w:pPr>
        <w:ind w:left="3982" w:hanging="360"/>
      </w:pPr>
    </w:lvl>
    <w:lvl w:ilvl="8" w:tplc="240A001B" w:tentative="1">
      <w:start w:val="1"/>
      <w:numFmt w:val="lowerRoman"/>
      <w:lvlText w:val="%9."/>
      <w:lvlJc w:val="right"/>
      <w:pPr>
        <w:ind w:left="4702" w:hanging="180"/>
      </w:pPr>
    </w:lvl>
  </w:abstractNum>
  <w:abstractNum w:abstractNumId="182">
    <w:nsid w:val="741C1F3E"/>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83">
    <w:nsid w:val="74757403"/>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84">
    <w:nsid w:val="74CC16E5"/>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85">
    <w:nsid w:val="750E646D"/>
    <w:multiLevelType w:val="hybridMultilevel"/>
    <w:tmpl w:val="D63EA8AC"/>
    <w:lvl w:ilvl="0" w:tplc="22F0D9A0">
      <w:start w:val="1"/>
      <w:numFmt w:val="lowerLetter"/>
      <w:lvlText w:val="%1)"/>
      <w:lvlJc w:val="left"/>
      <w:pPr>
        <w:ind w:left="1068" w:hanging="360"/>
      </w:pPr>
      <w:rPr>
        <w:b w:val="0"/>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186">
    <w:nsid w:val="77694704"/>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87">
    <w:nsid w:val="776B27B7"/>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88">
    <w:nsid w:val="77E30A14"/>
    <w:multiLevelType w:val="hybridMultilevel"/>
    <w:tmpl w:val="3C142D54"/>
    <w:lvl w:ilvl="0" w:tplc="240A0017">
      <w:start w:val="1"/>
      <w:numFmt w:val="lowerLetter"/>
      <w:lvlText w:val="%1)"/>
      <w:lvlJc w:val="left"/>
      <w:pPr>
        <w:ind w:left="1068" w:hanging="360"/>
      </w:pPr>
      <w:rPr>
        <w:rFonts w:hint="default"/>
        <w:b w:val="0"/>
      </w:rPr>
    </w:lvl>
    <w:lvl w:ilvl="1" w:tplc="240A0019">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89">
    <w:nsid w:val="77EA1BFA"/>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90">
    <w:nsid w:val="78506AF5"/>
    <w:multiLevelType w:val="multilevel"/>
    <w:tmpl w:val="56E63A08"/>
    <w:lvl w:ilvl="0">
      <w:start w:val="1"/>
      <w:numFmt w:val="decimal"/>
      <w:lvlText w:val="%1."/>
      <w:lvlJc w:val="left"/>
      <w:pPr>
        <w:ind w:left="720" w:hanging="360"/>
      </w:pPr>
      <w:rPr>
        <w:b/>
      </w:rPr>
    </w:lvl>
    <w:lvl w:ilvl="1">
      <w:start w:val="1"/>
      <w:numFmt w:val="decimal"/>
      <w:isLgl/>
      <w:lvlText w:val="%1.%2"/>
      <w:lvlJc w:val="left"/>
      <w:pPr>
        <w:ind w:left="1080" w:hanging="720"/>
      </w:pPr>
      <w:rPr>
        <w:b w:val="0"/>
      </w:r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191">
    <w:nsid w:val="79836711"/>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92">
    <w:nsid w:val="799229FB"/>
    <w:multiLevelType w:val="hybridMultilevel"/>
    <w:tmpl w:val="D72EBFDC"/>
    <w:lvl w:ilvl="0" w:tplc="13D89EBA">
      <w:start w:val="1"/>
      <w:numFmt w:val="lowerLetter"/>
      <w:lvlText w:val="%1)"/>
      <w:lvlJc w:val="left"/>
      <w:pPr>
        <w:ind w:left="1068" w:hanging="360"/>
      </w:pPr>
      <w:rPr>
        <w:rFonts w:hint="default"/>
        <w:b w:val="0"/>
        <w:lang w:val="es-CO"/>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93">
    <w:nsid w:val="79C729BD"/>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94">
    <w:nsid w:val="7AC81888"/>
    <w:multiLevelType w:val="hybridMultilevel"/>
    <w:tmpl w:val="B70E498A"/>
    <w:lvl w:ilvl="0" w:tplc="C3F06402">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95">
    <w:nsid w:val="7C163765"/>
    <w:multiLevelType w:val="multilevel"/>
    <w:tmpl w:val="08D65A5C"/>
    <w:lvl w:ilvl="0">
      <w:start w:val="4"/>
      <w:numFmt w:val="decimal"/>
      <w:lvlText w:val="%1."/>
      <w:lvlJc w:val="left"/>
      <w:pPr>
        <w:ind w:left="450" w:hanging="450"/>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440" w:hanging="144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196">
    <w:nsid w:val="7C4A055B"/>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97">
    <w:nsid w:val="7C9D5D35"/>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98">
    <w:nsid w:val="7CDE11CB"/>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99">
    <w:nsid w:val="7DF730D9"/>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00">
    <w:nsid w:val="7F2A33E3"/>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201">
    <w:nsid w:val="7FAF32AA"/>
    <w:multiLevelType w:val="hybridMultilevel"/>
    <w:tmpl w:val="D592E6B4"/>
    <w:lvl w:ilvl="0" w:tplc="7824630A">
      <w:start w:val="1"/>
      <w:numFmt w:val="lowerRoman"/>
      <w:lvlText w:val="%1)"/>
      <w:lvlJc w:val="left"/>
      <w:pPr>
        <w:ind w:left="1146" w:hanging="360"/>
      </w:pPr>
      <w:rPr>
        <w:rFonts w:hint="default"/>
        <w:b w:val="0"/>
        <w:i w:val="0"/>
        <w:sz w:val="22"/>
        <w:szCs w:val="22"/>
      </w:rPr>
    </w:lvl>
    <w:lvl w:ilvl="1" w:tplc="0C0A0003" w:tentative="1">
      <w:start w:val="1"/>
      <w:numFmt w:val="bullet"/>
      <w:lvlText w:val="o"/>
      <w:lvlJc w:val="left"/>
      <w:pPr>
        <w:ind w:left="1866" w:hanging="360"/>
      </w:pPr>
      <w:rPr>
        <w:rFonts w:ascii="Courier New" w:hAnsi="Courier New" w:cs="Courier New" w:hint="default"/>
      </w:rPr>
    </w:lvl>
    <w:lvl w:ilvl="2" w:tplc="0C0A0005" w:tentative="1">
      <w:start w:val="1"/>
      <w:numFmt w:val="bullet"/>
      <w:lvlText w:val=""/>
      <w:lvlJc w:val="left"/>
      <w:pPr>
        <w:ind w:left="2586" w:hanging="360"/>
      </w:pPr>
      <w:rPr>
        <w:rFonts w:ascii="Wingdings" w:hAnsi="Wingdings" w:hint="default"/>
      </w:rPr>
    </w:lvl>
    <w:lvl w:ilvl="3" w:tplc="0C0A0001" w:tentative="1">
      <w:start w:val="1"/>
      <w:numFmt w:val="bullet"/>
      <w:lvlText w:val=""/>
      <w:lvlJc w:val="left"/>
      <w:pPr>
        <w:ind w:left="3306" w:hanging="360"/>
      </w:pPr>
      <w:rPr>
        <w:rFonts w:ascii="Symbol" w:hAnsi="Symbol" w:hint="default"/>
      </w:rPr>
    </w:lvl>
    <w:lvl w:ilvl="4" w:tplc="0C0A0003" w:tentative="1">
      <w:start w:val="1"/>
      <w:numFmt w:val="bullet"/>
      <w:lvlText w:val="o"/>
      <w:lvlJc w:val="left"/>
      <w:pPr>
        <w:ind w:left="4026" w:hanging="360"/>
      </w:pPr>
      <w:rPr>
        <w:rFonts w:ascii="Courier New" w:hAnsi="Courier New" w:cs="Courier New" w:hint="default"/>
      </w:rPr>
    </w:lvl>
    <w:lvl w:ilvl="5" w:tplc="0C0A0005" w:tentative="1">
      <w:start w:val="1"/>
      <w:numFmt w:val="bullet"/>
      <w:lvlText w:val=""/>
      <w:lvlJc w:val="left"/>
      <w:pPr>
        <w:ind w:left="4746" w:hanging="360"/>
      </w:pPr>
      <w:rPr>
        <w:rFonts w:ascii="Wingdings" w:hAnsi="Wingdings" w:hint="default"/>
      </w:rPr>
    </w:lvl>
    <w:lvl w:ilvl="6" w:tplc="0C0A0001" w:tentative="1">
      <w:start w:val="1"/>
      <w:numFmt w:val="bullet"/>
      <w:lvlText w:val=""/>
      <w:lvlJc w:val="left"/>
      <w:pPr>
        <w:ind w:left="5466" w:hanging="360"/>
      </w:pPr>
      <w:rPr>
        <w:rFonts w:ascii="Symbol" w:hAnsi="Symbol" w:hint="default"/>
      </w:rPr>
    </w:lvl>
    <w:lvl w:ilvl="7" w:tplc="0C0A0003" w:tentative="1">
      <w:start w:val="1"/>
      <w:numFmt w:val="bullet"/>
      <w:lvlText w:val="o"/>
      <w:lvlJc w:val="left"/>
      <w:pPr>
        <w:ind w:left="6186" w:hanging="360"/>
      </w:pPr>
      <w:rPr>
        <w:rFonts w:ascii="Courier New" w:hAnsi="Courier New" w:cs="Courier New" w:hint="default"/>
      </w:rPr>
    </w:lvl>
    <w:lvl w:ilvl="8" w:tplc="0C0A0005" w:tentative="1">
      <w:start w:val="1"/>
      <w:numFmt w:val="bullet"/>
      <w:lvlText w:val=""/>
      <w:lvlJc w:val="left"/>
      <w:pPr>
        <w:ind w:left="6906" w:hanging="360"/>
      </w:pPr>
      <w:rPr>
        <w:rFonts w:ascii="Wingdings" w:hAnsi="Wingdings" w:hint="default"/>
      </w:rPr>
    </w:lvl>
  </w:abstractNum>
  <w:num w:numId="1">
    <w:abstractNumId w:val="181"/>
  </w:num>
  <w:num w:numId="2">
    <w:abstractNumId w:val="138"/>
  </w:num>
  <w:num w:numId="3">
    <w:abstractNumId w:val="10"/>
  </w:num>
  <w:num w:numId="4">
    <w:abstractNumId w:val="57"/>
  </w:num>
  <w:num w:numId="5">
    <w:abstractNumId w:val="5"/>
  </w:num>
  <w:num w:numId="6">
    <w:abstractNumId w:val="105"/>
  </w:num>
  <w:num w:numId="7">
    <w:abstractNumId w:val="32"/>
  </w:num>
  <w:num w:numId="8">
    <w:abstractNumId w:val="47"/>
  </w:num>
  <w:num w:numId="9">
    <w:abstractNumId w:val="142"/>
  </w:num>
  <w:num w:numId="10">
    <w:abstractNumId w:val="45"/>
  </w:num>
  <w:num w:numId="11">
    <w:abstractNumId w:val="53"/>
  </w:num>
  <w:num w:numId="12">
    <w:abstractNumId w:val="88"/>
  </w:num>
  <w:num w:numId="13">
    <w:abstractNumId w:val="56"/>
  </w:num>
  <w:num w:numId="14">
    <w:abstractNumId w:val="189"/>
  </w:num>
  <w:num w:numId="15">
    <w:abstractNumId w:val="164"/>
  </w:num>
  <w:num w:numId="16">
    <w:abstractNumId w:val="43"/>
  </w:num>
  <w:num w:numId="17">
    <w:abstractNumId w:val="179"/>
  </w:num>
  <w:num w:numId="18">
    <w:abstractNumId w:val="48"/>
  </w:num>
  <w:num w:numId="19">
    <w:abstractNumId w:val="21"/>
  </w:num>
  <w:num w:numId="20">
    <w:abstractNumId w:val="119"/>
  </w:num>
  <w:num w:numId="21">
    <w:abstractNumId w:val="194"/>
  </w:num>
  <w:num w:numId="22">
    <w:abstractNumId w:val="35"/>
  </w:num>
  <w:num w:numId="23">
    <w:abstractNumId w:val="2"/>
  </w:num>
  <w:num w:numId="24">
    <w:abstractNumId w:val="52"/>
  </w:num>
  <w:num w:numId="25">
    <w:abstractNumId w:val="70"/>
  </w:num>
  <w:num w:numId="26">
    <w:abstractNumId w:val="23"/>
  </w:num>
  <w:num w:numId="27">
    <w:abstractNumId w:val="186"/>
  </w:num>
  <w:num w:numId="28">
    <w:abstractNumId w:val="22"/>
  </w:num>
  <w:num w:numId="29">
    <w:abstractNumId w:val="18"/>
  </w:num>
  <w:num w:numId="30">
    <w:abstractNumId w:val="191"/>
  </w:num>
  <w:num w:numId="31">
    <w:abstractNumId w:val="152"/>
  </w:num>
  <w:num w:numId="32">
    <w:abstractNumId w:val="84"/>
  </w:num>
  <w:num w:numId="33">
    <w:abstractNumId w:val="27"/>
  </w:num>
  <w:num w:numId="34">
    <w:abstractNumId w:val="120"/>
  </w:num>
  <w:num w:numId="35">
    <w:abstractNumId w:val="39"/>
  </w:num>
  <w:num w:numId="36">
    <w:abstractNumId w:val="33"/>
  </w:num>
  <w:num w:numId="37">
    <w:abstractNumId w:val="8"/>
  </w:num>
  <w:num w:numId="38">
    <w:abstractNumId w:val="38"/>
  </w:num>
  <w:num w:numId="39">
    <w:abstractNumId w:val="55"/>
  </w:num>
  <w:num w:numId="40">
    <w:abstractNumId w:val="96"/>
  </w:num>
  <w:num w:numId="41">
    <w:abstractNumId w:val="60"/>
  </w:num>
  <w:num w:numId="42">
    <w:abstractNumId w:val="61"/>
  </w:num>
  <w:num w:numId="43">
    <w:abstractNumId w:val="158"/>
  </w:num>
  <w:num w:numId="44">
    <w:abstractNumId w:val="122"/>
  </w:num>
  <w:num w:numId="45">
    <w:abstractNumId w:val="111"/>
  </w:num>
  <w:num w:numId="46">
    <w:abstractNumId w:val="172"/>
  </w:num>
  <w:num w:numId="47">
    <w:abstractNumId w:val="58"/>
  </w:num>
  <w:num w:numId="48">
    <w:abstractNumId w:val="198"/>
  </w:num>
  <w:num w:numId="49">
    <w:abstractNumId w:val="182"/>
  </w:num>
  <w:num w:numId="50">
    <w:abstractNumId w:val="11"/>
  </w:num>
  <w:num w:numId="51">
    <w:abstractNumId w:val="93"/>
  </w:num>
  <w:num w:numId="52">
    <w:abstractNumId w:val="170"/>
  </w:num>
  <w:num w:numId="53">
    <w:abstractNumId w:val="167"/>
  </w:num>
  <w:num w:numId="54">
    <w:abstractNumId w:val="175"/>
  </w:num>
  <w:num w:numId="55">
    <w:abstractNumId w:val="59"/>
  </w:num>
  <w:num w:numId="56">
    <w:abstractNumId w:val="90"/>
  </w:num>
  <w:num w:numId="57">
    <w:abstractNumId w:val="136"/>
  </w:num>
  <w:num w:numId="58">
    <w:abstractNumId w:val="199"/>
  </w:num>
  <w:num w:numId="59">
    <w:abstractNumId w:val="65"/>
  </w:num>
  <w:num w:numId="60">
    <w:abstractNumId w:val="50"/>
  </w:num>
  <w:num w:numId="61">
    <w:abstractNumId w:val="79"/>
  </w:num>
  <w:num w:numId="62">
    <w:abstractNumId w:val="145"/>
  </w:num>
  <w:num w:numId="63">
    <w:abstractNumId w:val="77"/>
  </w:num>
  <w:num w:numId="64">
    <w:abstractNumId w:val="184"/>
  </w:num>
  <w:num w:numId="65">
    <w:abstractNumId w:val="106"/>
  </w:num>
  <w:num w:numId="66">
    <w:abstractNumId w:val="81"/>
  </w:num>
  <w:num w:numId="67">
    <w:abstractNumId w:val="78"/>
  </w:num>
  <w:num w:numId="68">
    <w:abstractNumId w:val="139"/>
  </w:num>
  <w:num w:numId="69">
    <w:abstractNumId w:val="100"/>
  </w:num>
  <w:num w:numId="70">
    <w:abstractNumId w:val="156"/>
  </w:num>
  <w:num w:numId="71">
    <w:abstractNumId w:val="14"/>
  </w:num>
  <w:num w:numId="72">
    <w:abstractNumId w:val="118"/>
  </w:num>
  <w:num w:numId="73">
    <w:abstractNumId w:val="17"/>
  </w:num>
  <w:num w:numId="74">
    <w:abstractNumId w:val="128"/>
  </w:num>
  <w:num w:numId="75">
    <w:abstractNumId w:val="72"/>
  </w:num>
  <w:num w:numId="76">
    <w:abstractNumId w:val="193"/>
  </w:num>
  <w:num w:numId="77">
    <w:abstractNumId w:val="131"/>
  </w:num>
  <w:num w:numId="78">
    <w:abstractNumId w:val="103"/>
  </w:num>
  <w:num w:numId="79">
    <w:abstractNumId w:val="66"/>
  </w:num>
  <w:num w:numId="80">
    <w:abstractNumId w:val="67"/>
  </w:num>
  <w:num w:numId="81">
    <w:abstractNumId w:val="30"/>
  </w:num>
  <w:num w:numId="82">
    <w:abstractNumId w:val="132"/>
  </w:num>
  <w:num w:numId="83">
    <w:abstractNumId w:val="69"/>
  </w:num>
  <w:num w:numId="84">
    <w:abstractNumId w:val="117"/>
  </w:num>
  <w:num w:numId="85">
    <w:abstractNumId w:val="74"/>
  </w:num>
  <w:num w:numId="86">
    <w:abstractNumId w:val="29"/>
  </w:num>
  <w:num w:numId="87">
    <w:abstractNumId w:val="149"/>
  </w:num>
  <w:num w:numId="88">
    <w:abstractNumId w:val="154"/>
  </w:num>
  <w:num w:numId="89">
    <w:abstractNumId w:val="82"/>
  </w:num>
  <w:num w:numId="90">
    <w:abstractNumId w:val="174"/>
  </w:num>
  <w:num w:numId="91">
    <w:abstractNumId w:val="51"/>
  </w:num>
  <w:num w:numId="92">
    <w:abstractNumId w:val="89"/>
  </w:num>
  <w:num w:numId="93">
    <w:abstractNumId w:val="64"/>
  </w:num>
  <w:num w:numId="94">
    <w:abstractNumId w:val="163"/>
  </w:num>
  <w:num w:numId="95">
    <w:abstractNumId w:val="141"/>
  </w:num>
  <w:num w:numId="96">
    <w:abstractNumId w:val="134"/>
  </w:num>
  <w:num w:numId="97">
    <w:abstractNumId w:val="177"/>
  </w:num>
  <w:num w:numId="98">
    <w:abstractNumId w:val="19"/>
  </w:num>
  <w:num w:numId="99">
    <w:abstractNumId w:val="49"/>
  </w:num>
  <w:num w:numId="100">
    <w:abstractNumId w:val="98"/>
  </w:num>
  <w:num w:numId="101">
    <w:abstractNumId w:val="125"/>
  </w:num>
  <w:num w:numId="102">
    <w:abstractNumId w:val="9"/>
  </w:num>
  <w:num w:numId="103">
    <w:abstractNumId w:val="171"/>
  </w:num>
  <w:num w:numId="104">
    <w:abstractNumId w:val="146"/>
  </w:num>
  <w:num w:numId="105">
    <w:abstractNumId w:val="73"/>
  </w:num>
  <w:num w:numId="106">
    <w:abstractNumId w:val="80"/>
  </w:num>
  <w:num w:numId="107">
    <w:abstractNumId w:val="12"/>
  </w:num>
  <w:num w:numId="108">
    <w:abstractNumId w:val="151"/>
  </w:num>
  <w:num w:numId="109">
    <w:abstractNumId w:val="46"/>
  </w:num>
  <w:num w:numId="110">
    <w:abstractNumId w:val="24"/>
  </w:num>
  <w:num w:numId="111">
    <w:abstractNumId w:val="169"/>
  </w:num>
  <w:num w:numId="112">
    <w:abstractNumId w:val="129"/>
  </w:num>
  <w:num w:numId="113">
    <w:abstractNumId w:val="40"/>
  </w:num>
  <w:num w:numId="114">
    <w:abstractNumId w:val="183"/>
  </w:num>
  <w:num w:numId="115">
    <w:abstractNumId w:val="28"/>
  </w:num>
  <w:num w:numId="116">
    <w:abstractNumId w:val="75"/>
  </w:num>
  <w:num w:numId="117">
    <w:abstractNumId w:val="62"/>
  </w:num>
  <w:num w:numId="118">
    <w:abstractNumId w:val="181"/>
  </w:num>
  <w:num w:numId="119">
    <w:abstractNumId w:val="181"/>
  </w:num>
  <w:num w:numId="120">
    <w:abstractNumId w:val="181"/>
  </w:num>
  <w:num w:numId="121">
    <w:abstractNumId w:val="13"/>
  </w:num>
  <w:num w:numId="122">
    <w:abstractNumId w:val="181"/>
  </w:num>
  <w:num w:numId="123">
    <w:abstractNumId w:val="181"/>
  </w:num>
  <w:num w:numId="124">
    <w:abstractNumId w:val="94"/>
  </w:num>
  <w:num w:numId="125">
    <w:abstractNumId w:val="109"/>
  </w:num>
  <w:num w:numId="126">
    <w:abstractNumId w:val="181"/>
  </w:num>
  <w:num w:numId="127">
    <w:abstractNumId w:val="181"/>
  </w:num>
  <w:num w:numId="128">
    <w:abstractNumId w:val="181"/>
  </w:num>
  <w:num w:numId="129">
    <w:abstractNumId w:val="181"/>
  </w:num>
  <w:num w:numId="130">
    <w:abstractNumId w:val="181"/>
  </w:num>
  <w:num w:numId="131">
    <w:abstractNumId w:val="181"/>
  </w:num>
  <w:num w:numId="132">
    <w:abstractNumId w:val="181"/>
  </w:num>
  <w:num w:numId="133">
    <w:abstractNumId w:val="181"/>
  </w:num>
  <w:num w:numId="134">
    <w:abstractNumId w:val="160"/>
  </w:num>
  <w:num w:numId="135">
    <w:abstractNumId w:val="181"/>
  </w:num>
  <w:num w:numId="136">
    <w:abstractNumId w:val="180"/>
  </w:num>
  <w:num w:numId="137">
    <w:abstractNumId w:val="91"/>
  </w:num>
  <w:num w:numId="138">
    <w:abstractNumId w:val="1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9">
    <w:abstractNumId w:val="1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0">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1">
    <w:abstractNumId w:val="19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2">
    <w:abstractNumId w:val="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3">
    <w:abstractNumId w:val="1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4">
    <w:abstractNumId w:val="1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5">
    <w:abstractNumId w:val="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6">
    <w:abstractNumId w:val="1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7">
    <w:abstractNumId w:val="4"/>
  </w:num>
  <w:num w:numId="148">
    <w:abstractNumId w:val="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9">
    <w:abstractNumId w:val="1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0">
    <w:abstractNumId w:val="1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1">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2">
    <w:abstractNumId w:val="13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3">
    <w:abstractNumId w:val="8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4">
    <w:abstractNumId w:val="86"/>
  </w:num>
  <w:num w:numId="155">
    <w:abstractNumId w:val="16"/>
  </w:num>
  <w:num w:numId="156">
    <w:abstractNumId w:val="155"/>
  </w:num>
  <w:num w:numId="157">
    <w:abstractNumId w:val="161"/>
  </w:num>
  <w:num w:numId="158">
    <w:abstractNumId w:val="168"/>
  </w:num>
  <w:num w:numId="159">
    <w:abstractNumId w:val="63"/>
  </w:num>
  <w:num w:numId="160">
    <w:abstractNumId w:val="20"/>
  </w:num>
  <w:num w:numId="161">
    <w:abstractNumId w:val="201"/>
  </w:num>
  <w:num w:numId="162">
    <w:abstractNumId w:val="108"/>
  </w:num>
  <w:num w:numId="163">
    <w:abstractNumId w:val="130"/>
  </w:num>
  <w:num w:numId="164">
    <w:abstractNumId w:val="0"/>
  </w:num>
  <w:num w:numId="165">
    <w:abstractNumId w:val="181"/>
  </w:num>
  <w:num w:numId="166">
    <w:abstractNumId w:val="181"/>
  </w:num>
  <w:num w:numId="167">
    <w:abstractNumId w:val="181"/>
  </w:num>
  <w:num w:numId="168">
    <w:abstractNumId w:val="181"/>
  </w:num>
  <w:num w:numId="169">
    <w:abstractNumId w:val="181"/>
  </w:num>
  <w:num w:numId="170">
    <w:abstractNumId w:val="181"/>
  </w:num>
  <w:num w:numId="171">
    <w:abstractNumId w:val="95"/>
  </w:num>
  <w:num w:numId="172">
    <w:abstractNumId w:val="181"/>
  </w:num>
  <w:num w:numId="173">
    <w:abstractNumId w:val="181"/>
  </w:num>
  <w:num w:numId="174">
    <w:abstractNumId w:val="181"/>
  </w:num>
  <w:num w:numId="175">
    <w:abstractNumId w:val="181"/>
  </w:num>
  <w:num w:numId="176">
    <w:abstractNumId w:val="159"/>
  </w:num>
  <w:num w:numId="177">
    <w:abstractNumId w:val="181"/>
  </w:num>
  <w:num w:numId="178">
    <w:abstractNumId w:val="173"/>
  </w:num>
  <w:num w:numId="179">
    <w:abstractNumId w:val="181"/>
  </w:num>
  <w:num w:numId="180">
    <w:abstractNumId w:val="137"/>
  </w:num>
  <w:num w:numId="181">
    <w:abstractNumId w:val="6"/>
  </w:num>
  <w:num w:numId="182">
    <w:abstractNumId w:val="181"/>
  </w:num>
  <w:num w:numId="183">
    <w:abstractNumId w:val="181"/>
  </w:num>
  <w:num w:numId="184">
    <w:abstractNumId w:val="114"/>
  </w:num>
  <w:num w:numId="185">
    <w:abstractNumId w:val="115"/>
  </w:num>
  <w:num w:numId="186">
    <w:abstractNumId w:val="25"/>
  </w:num>
  <w:num w:numId="187">
    <w:abstractNumId w:val="83"/>
  </w:num>
  <w:num w:numId="188">
    <w:abstractNumId w:val="76"/>
  </w:num>
  <w:num w:numId="189">
    <w:abstractNumId w:val="192"/>
  </w:num>
  <w:num w:numId="190">
    <w:abstractNumId w:val="112"/>
  </w:num>
  <w:num w:numId="191">
    <w:abstractNumId w:val="26"/>
  </w:num>
  <w:num w:numId="192">
    <w:abstractNumId w:val="92"/>
  </w:num>
  <w:num w:numId="193">
    <w:abstractNumId w:val="99"/>
  </w:num>
  <w:num w:numId="194">
    <w:abstractNumId w:val="123"/>
  </w:num>
  <w:num w:numId="195">
    <w:abstractNumId w:val="87"/>
  </w:num>
  <w:num w:numId="196">
    <w:abstractNumId w:val="44"/>
  </w:num>
  <w:num w:numId="197">
    <w:abstractNumId w:val="3"/>
  </w:num>
  <w:num w:numId="198">
    <w:abstractNumId w:val="187"/>
  </w:num>
  <w:num w:numId="199">
    <w:abstractNumId w:val="68"/>
  </w:num>
  <w:num w:numId="200">
    <w:abstractNumId w:val="124"/>
  </w:num>
  <w:num w:numId="201">
    <w:abstractNumId w:val="144"/>
  </w:num>
  <w:num w:numId="202">
    <w:abstractNumId w:val="147"/>
  </w:num>
  <w:num w:numId="203">
    <w:abstractNumId w:val="157"/>
  </w:num>
  <w:num w:numId="204">
    <w:abstractNumId w:val="148"/>
  </w:num>
  <w:num w:numId="205">
    <w:abstractNumId w:val="7"/>
  </w:num>
  <w:num w:numId="206">
    <w:abstractNumId w:val="185"/>
  </w:num>
  <w:num w:numId="207">
    <w:abstractNumId w:val="107"/>
  </w:num>
  <w:num w:numId="208">
    <w:abstractNumId w:val="135"/>
  </w:num>
  <w:num w:numId="209">
    <w:abstractNumId w:val="41"/>
  </w:num>
  <w:num w:numId="210">
    <w:abstractNumId w:val="31"/>
  </w:num>
  <w:num w:numId="211">
    <w:abstractNumId w:val="176"/>
  </w:num>
  <w:num w:numId="212">
    <w:abstractNumId w:val="166"/>
  </w:num>
  <w:num w:numId="213">
    <w:abstractNumId w:val="188"/>
  </w:num>
  <w:num w:numId="214">
    <w:abstractNumId w:val="196"/>
  </w:num>
  <w:num w:numId="215">
    <w:abstractNumId w:val="197"/>
  </w:num>
  <w:num w:numId="216">
    <w:abstractNumId w:val="165"/>
  </w:num>
  <w:num w:numId="217">
    <w:abstractNumId w:val="162"/>
  </w:num>
  <w:num w:numId="218">
    <w:abstractNumId w:val="178"/>
  </w:num>
  <w:num w:numId="219">
    <w:abstractNumId w:val="153"/>
  </w:num>
  <w:num w:numId="220">
    <w:abstractNumId w:val="113"/>
  </w:num>
  <w:num w:numId="221">
    <w:abstractNumId w:val="71"/>
  </w:num>
  <w:num w:numId="222">
    <w:abstractNumId w:val="85"/>
  </w:num>
  <w:num w:numId="223">
    <w:abstractNumId w:val="200"/>
  </w:num>
  <w:num w:numId="224">
    <w:abstractNumId w:val="34"/>
  </w:num>
  <w:num w:numId="225">
    <w:abstractNumId w:val="127"/>
  </w:num>
  <w:num w:numId="226">
    <w:abstractNumId w:val="181"/>
  </w:num>
  <w:num w:numId="227">
    <w:abstractNumId w:val="181"/>
  </w:num>
  <w:num w:numId="228">
    <w:abstractNumId w:val="181"/>
  </w:num>
  <w:num w:numId="229">
    <w:abstractNumId w:val="150"/>
  </w:num>
  <w:num w:numId="230">
    <w:abstractNumId w:val="181"/>
  </w:num>
  <w:num w:numId="231">
    <w:abstractNumId w:val="181"/>
  </w:num>
  <w:num w:numId="232">
    <w:abstractNumId w:val="181"/>
  </w:num>
  <w:num w:numId="233">
    <w:abstractNumId w:val="37"/>
  </w:num>
  <w:num w:numId="234">
    <w:abstractNumId w:val="181"/>
  </w:num>
  <w:num w:numId="235">
    <w:abstractNumId w:val="181"/>
  </w:num>
  <w:num w:numId="236">
    <w:abstractNumId w:val="181"/>
  </w:num>
  <w:num w:numId="237">
    <w:abstractNumId w:val="181"/>
  </w:num>
  <w:num w:numId="238">
    <w:abstractNumId w:val="126"/>
  </w:num>
  <w:num w:numId="239">
    <w:abstractNumId w:val="140"/>
  </w:num>
  <w:num w:numId="240">
    <w:abstractNumId w:val="15"/>
  </w:num>
  <w:num w:numId="241">
    <w:abstractNumId w:val="42"/>
  </w:num>
  <w:num w:numId="242">
    <w:abstractNumId w:val="1"/>
  </w:num>
  <w:num w:numId="243">
    <w:abstractNumId w:val="101"/>
  </w:num>
  <w:num w:numId="244">
    <w:abstractNumId w:val="181"/>
  </w:num>
  <w:num w:numId="245">
    <w:abstractNumId w:val="181"/>
  </w:num>
  <w:num w:numId="246">
    <w:abstractNumId w:val="181"/>
  </w:num>
  <w:num w:numId="247">
    <w:abstractNumId w:val="104"/>
  </w:num>
  <w:num w:numId="248">
    <w:abstractNumId w:val="102"/>
  </w:num>
  <w:num w:numId="249">
    <w:abstractNumId w:val="110"/>
  </w:num>
  <w:num w:numId="250">
    <w:abstractNumId w:val="181"/>
  </w:num>
  <w:num w:numId="251">
    <w:abstractNumId w:val="181"/>
  </w:num>
  <w:num w:numId="252">
    <w:abstractNumId w:val="181"/>
  </w:num>
  <w:num w:numId="253">
    <w:abstractNumId w:val="181"/>
  </w:num>
  <w:num w:numId="254">
    <w:abstractNumId w:val="116"/>
  </w:num>
  <w:num w:numId="255">
    <w:abstractNumId w:val="54"/>
  </w:num>
  <w:num w:numId="256">
    <w:abstractNumId w:val="121"/>
  </w:num>
  <w:numIdMacAtCleanup w:val="2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defaultTabStop w:val="709"/>
  <w:hyphenationZone w:val="425"/>
  <w:drawingGridHorizontalSpacing w:val="120"/>
  <w:displayHorizontalDrawingGridEvery w:val="2"/>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0850"/>
    <w:rsid w:val="00000C38"/>
    <w:rsid w:val="00000CF9"/>
    <w:rsid w:val="00000FCB"/>
    <w:rsid w:val="00001A61"/>
    <w:rsid w:val="000020A8"/>
    <w:rsid w:val="000034E8"/>
    <w:rsid w:val="000037CF"/>
    <w:rsid w:val="00003E8D"/>
    <w:rsid w:val="00004D83"/>
    <w:rsid w:val="00005ABF"/>
    <w:rsid w:val="00005EDD"/>
    <w:rsid w:val="0000654F"/>
    <w:rsid w:val="00006A04"/>
    <w:rsid w:val="00006AE2"/>
    <w:rsid w:val="00006F95"/>
    <w:rsid w:val="0000700C"/>
    <w:rsid w:val="000076A1"/>
    <w:rsid w:val="00007A06"/>
    <w:rsid w:val="00007F69"/>
    <w:rsid w:val="00010B1D"/>
    <w:rsid w:val="00010D61"/>
    <w:rsid w:val="00011D02"/>
    <w:rsid w:val="00012259"/>
    <w:rsid w:val="00012472"/>
    <w:rsid w:val="00012E4F"/>
    <w:rsid w:val="00013B69"/>
    <w:rsid w:val="00013DEA"/>
    <w:rsid w:val="000152E6"/>
    <w:rsid w:val="0001533D"/>
    <w:rsid w:val="0001582A"/>
    <w:rsid w:val="00015852"/>
    <w:rsid w:val="00015C89"/>
    <w:rsid w:val="000162D9"/>
    <w:rsid w:val="0001631E"/>
    <w:rsid w:val="00016698"/>
    <w:rsid w:val="00017454"/>
    <w:rsid w:val="000178DC"/>
    <w:rsid w:val="00017983"/>
    <w:rsid w:val="00020B3C"/>
    <w:rsid w:val="0002108F"/>
    <w:rsid w:val="00021B30"/>
    <w:rsid w:val="000228E3"/>
    <w:rsid w:val="00022A19"/>
    <w:rsid w:val="00023A14"/>
    <w:rsid w:val="00024094"/>
    <w:rsid w:val="00024C04"/>
    <w:rsid w:val="000252D3"/>
    <w:rsid w:val="00025383"/>
    <w:rsid w:val="0002564D"/>
    <w:rsid w:val="00025E09"/>
    <w:rsid w:val="00025F55"/>
    <w:rsid w:val="00026477"/>
    <w:rsid w:val="00027CAD"/>
    <w:rsid w:val="00030C6C"/>
    <w:rsid w:val="00030C8A"/>
    <w:rsid w:val="000310AB"/>
    <w:rsid w:val="000320B7"/>
    <w:rsid w:val="0003364E"/>
    <w:rsid w:val="00033795"/>
    <w:rsid w:val="00034E9A"/>
    <w:rsid w:val="00035268"/>
    <w:rsid w:val="000356A7"/>
    <w:rsid w:val="00035CE1"/>
    <w:rsid w:val="00035D87"/>
    <w:rsid w:val="0003635C"/>
    <w:rsid w:val="00036B45"/>
    <w:rsid w:val="00037BB4"/>
    <w:rsid w:val="00037F75"/>
    <w:rsid w:val="00037FF5"/>
    <w:rsid w:val="00040199"/>
    <w:rsid w:val="000401A2"/>
    <w:rsid w:val="0004162E"/>
    <w:rsid w:val="0004200A"/>
    <w:rsid w:val="00044247"/>
    <w:rsid w:val="00044C64"/>
    <w:rsid w:val="0004566B"/>
    <w:rsid w:val="00046241"/>
    <w:rsid w:val="00046E7F"/>
    <w:rsid w:val="0004777C"/>
    <w:rsid w:val="00047D40"/>
    <w:rsid w:val="00050277"/>
    <w:rsid w:val="0005199A"/>
    <w:rsid w:val="00052EB6"/>
    <w:rsid w:val="00053175"/>
    <w:rsid w:val="0005340D"/>
    <w:rsid w:val="00053EBD"/>
    <w:rsid w:val="0005424A"/>
    <w:rsid w:val="00054CBF"/>
    <w:rsid w:val="00055386"/>
    <w:rsid w:val="000568B3"/>
    <w:rsid w:val="000572D1"/>
    <w:rsid w:val="00057ABD"/>
    <w:rsid w:val="00057D91"/>
    <w:rsid w:val="00057DD5"/>
    <w:rsid w:val="0006018C"/>
    <w:rsid w:val="000608FD"/>
    <w:rsid w:val="000616A2"/>
    <w:rsid w:val="000629CC"/>
    <w:rsid w:val="000635A1"/>
    <w:rsid w:val="00063657"/>
    <w:rsid w:val="00063E0C"/>
    <w:rsid w:val="00064237"/>
    <w:rsid w:val="00064B58"/>
    <w:rsid w:val="00064F1B"/>
    <w:rsid w:val="0006553E"/>
    <w:rsid w:val="00065647"/>
    <w:rsid w:val="00065CA6"/>
    <w:rsid w:val="00066393"/>
    <w:rsid w:val="0006651E"/>
    <w:rsid w:val="00067207"/>
    <w:rsid w:val="0006731B"/>
    <w:rsid w:val="00067583"/>
    <w:rsid w:val="00067958"/>
    <w:rsid w:val="00067CDB"/>
    <w:rsid w:val="0007013D"/>
    <w:rsid w:val="00070AF8"/>
    <w:rsid w:val="00070B84"/>
    <w:rsid w:val="00071219"/>
    <w:rsid w:val="00071928"/>
    <w:rsid w:val="00071B61"/>
    <w:rsid w:val="00071F39"/>
    <w:rsid w:val="000729B1"/>
    <w:rsid w:val="00074A9D"/>
    <w:rsid w:val="00074F03"/>
    <w:rsid w:val="0007624F"/>
    <w:rsid w:val="00076680"/>
    <w:rsid w:val="00076A1D"/>
    <w:rsid w:val="00077437"/>
    <w:rsid w:val="0008073E"/>
    <w:rsid w:val="00080BA2"/>
    <w:rsid w:val="0008149E"/>
    <w:rsid w:val="00081ECC"/>
    <w:rsid w:val="00082535"/>
    <w:rsid w:val="0008267A"/>
    <w:rsid w:val="00083E19"/>
    <w:rsid w:val="0008407A"/>
    <w:rsid w:val="00084274"/>
    <w:rsid w:val="00086783"/>
    <w:rsid w:val="00087591"/>
    <w:rsid w:val="00087A81"/>
    <w:rsid w:val="00090F11"/>
    <w:rsid w:val="0009116E"/>
    <w:rsid w:val="00091CDB"/>
    <w:rsid w:val="00091FFE"/>
    <w:rsid w:val="00092143"/>
    <w:rsid w:val="000924E9"/>
    <w:rsid w:val="0009270C"/>
    <w:rsid w:val="000928B4"/>
    <w:rsid w:val="00092C9E"/>
    <w:rsid w:val="0009327E"/>
    <w:rsid w:val="0009338B"/>
    <w:rsid w:val="000937B4"/>
    <w:rsid w:val="0009460D"/>
    <w:rsid w:val="000954AB"/>
    <w:rsid w:val="00095A9D"/>
    <w:rsid w:val="0009683B"/>
    <w:rsid w:val="00096E65"/>
    <w:rsid w:val="000970B5"/>
    <w:rsid w:val="00097961"/>
    <w:rsid w:val="000A07EF"/>
    <w:rsid w:val="000A19AC"/>
    <w:rsid w:val="000A1C49"/>
    <w:rsid w:val="000A1F87"/>
    <w:rsid w:val="000A21C6"/>
    <w:rsid w:val="000A341F"/>
    <w:rsid w:val="000A3583"/>
    <w:rsid w:val="000A3BBE"/>
    <w:rsid w:val="000A4B47"/>
    <w:rsid w:val="000A4DC1"/>
    <w:rsid w:val="000A5F2E"/>
    <w:rsid w:val="000A6122"/>
    <w:rsid w:val="000A77BF"/>
    <w:rsid w:val="000A7BEE"/>
    <w:rsid w:val="000A7D3C"/>
    <w:rsid w:val="000B1E7A"/>
    <w:rsid w:val="000B2053"/>
    <w:rsid w:val="000B27F1"/>
    <w:rsid w:val="000B285B"/>
    <w:rsid w:val="000B2C8D"/>
    <w:rsid w:val="000B2EE5"/>
    <w:rsid w:val="000B2F81"/>
    <w:rsid w:val="000B36BC"/>
    <w:rsid w:val="000B4670"/>
    <w:rsid w:val="000B510D"/>
    <w:rsid w:val="000B6034"/>
    <w:rsid w:val="000B67A4"/>
    <w:rsid w:val="000B6E6F"/>
    <w:rsid w:val="000B7F01"/>
    <w:rsid w:val="000C06F6"/>
    <w:rsid w:val="000C07E5"/>
    <w:rsid w:val="000C0C78"/>
    <w:rsid w:val="000C0EA0"/>
    <w:rsid w:val="000C0F6A"/>
    <w:rsid w:val="000C125C"/>
    <w:rsid w:val="000C2530"/>
    <w:rsid w:val="000C2F8E"/>
    <w:rsid w:val="000C34C1"/>
    <w:rsid w:val="000C3A94"/>
    <w:rsid w:val="000C4489"/>
    <w:rsid w:val="000C488E"/>
    <w:rsid w:val="000C50CC"/>
    <w:rsid w:val="000C537A"/>
    <w:rsid w:val="000C5C83"/>
    <w:rsid w:val="000C6851"/>
    <w:rsid w:val="000C79E0"/>
    <w:rsid w:val="000C7DC7"/>
    <w:rsid w:val="000D0411"/>
    <w:rsid w:val="000D11E2"/>
    <w:rsid w:val="000D1456"/>
    <w:rsid w:val="000D166D"/>
    <w:rsid w:val="000D26F8"/>
    <w:rsid w:val="000D2EF2"/>
    <w:rsid w:val="000D3209"/>
    <w:rsid w:val="000D3633"/>
    <w:rsid w:val="000D45B1"/>
    <w:rsid w:val="000D5724"/>
    <w:rsid w:val="000D5869"/>
    <w:rsid w:val="000D5B92"/>
    <w:rsid w:val="000D5E46"/>
    <w:rsid w:val="000D63C3"/>
    <w:rsid w:val="000D6E82"/>
    <w:rsid w:val="000D70C6"/>
    <w:rsid w:val="000D77FA"/>
    <w:rsid w:val="000E008F"/>
    <w:rsid w:val="000E0A0E"/>
    <w:rsid w:val="000E0A9D"/>
    <w:rsid w:val="000E0DA4"/>
    <w:rsid w:val="000E1A2F"/>
    <w:rsid w:val="000E1DD8"/>
    <w:rsid w:val="000E28C9"/>
    <w:rsid w:val="000E2E3F"/>
    <w:rsid w:val="000E3616"/>
    <w:rsid w:val="000E36E0"/>
    <w:rsid w:val="000E47D5"/>
    <w:rsid w:val="000E47E6"/>
    <w:rsid w:val="000E4990"/>
    <w:rsid w:val="000E4C30"/>
    <w:rsid w:val="000E5806"/>
    <w:rsid w:val="000E78C7"/>
    <w:rsid w:val="000E7903"/>
    <w:rsid w:val="000F06E3"/>
    <w:rsid w:val="000F0E66"/>
    <w:rsid w:val="000F0E70"/>
    <w:rsid w:val="000F1927"/>
    <w:rsid w:val="000F1C07"/>
    <w:rsid w:val="000F1E21"/>
    <w:rsid w:val="000F2EB3"/>
    <w:rsid w:val="000F300E"/>
    <w:rsid w:val="000F40D6"/>
    <w:rsid w:val="000F49DF"/>
    <w:rsid w:val="000F4B5F"/>
    <w:rsid w:val="000F4C1D"/>
    <w:rsid w:val="000F52BF"/>
    <w:rsid w:val="000F578A"/>
    <w:rsid w:val="000F5B99"/>
    <w:rsid w:val="000F65A2"/>
    <w:rsid w:val="000F7039"/>
    <w:rsid w:val="000F7159"/>
    <w:rsid w:val="00100390"/>
    <w:rsid w:val="00101200"/>
    <w:rsid w:val="00101B7E"/>
    <w:rsid w:val="0010220A"/>
    <w:rsid w:val="0010278A"/>
    <w:rsid w:val="00103232"/>
    <w:rsid w:val="001038FA"/>
    <w:rsid w:val="00103F47"/>
    <w:rsid w:val="00104BD8"/>
    <w:rsid w:val="00104E62"/>
    <w:rsid w:val="00105093"/>
    <w:rsid w:val="0010546E"/>
    <w:rsid w:val="00105C47"/>
    <w:rsid w:val="00106B1A"/>
    <w:rsid w:val="001077DC"/>
    <w:rsid w:val="00107A62"/>
    <w:rsid w:val="0011064E"/>
    <w:rsid w:val="0011089E"/>
    <w:rsid w:val="00111F21"/>
    <w:rsid w:val="001121CE"/>
    <w:rsid w:val="00112B37"/>
    <w:rsid w:val="00113151"/>
    <w:rsid w:val="001151F3"/>
    <w:rsid w:val="001152CF"/>
    <w:rsid w:val="001159F1"/>
    <w:rsid w:val="00116126"/>
    <w:rsid w:val="00116632"/>
    <w:rsid w:val="001169CF"/>
    <w:rsid w:val="00116BF8"/>
    <w:rsid w:val="00116D65"/>
    <w:rsid w:val="00117076"/>
    <w:rsid w:val="001170D2"/>
    <w:rsid w:val="00117398"/>
    <w:rsid w:val="00117581"/>
    <w:rsid w:val="001208FC"/>
    <w:rsid w:val="00121027"/>
    <w:rsid w:val="00121211"/>
    <w:rsid w:val="001213EB"/>
    <w:rsid w:val="00121E87"/>
    <w:rsid w:val="0012269D"/>
    <w:rsid w:val="001241B0"/>
    <w:rsid w:val="001244CD"/>
    <w:rsid w:val="00125218"/>
    <w:rsid w:val="00125731"/>
    <w:rsid w:val="00126C83"/>
    <w:rsid w:val="00127077"/>
    <w:rsid w:val="00127201"/>
    <w:rsid w:val="001273C2"/>
    <w:rsid w:val="001273F3"/>
    <w:rsid w:val="0013053F"/>
    <w:rsid w:val="0013110E"/>
    <w:rsid w:val="00131D5E"/>
    <w:rsid w:val="001324AB"/>
    <w:rsid w:val="001339CD"/>
    <w:rsid w:val="001354D9"/>
    <w:rsid w:val="00135CA0"/>
    <w:rsid w:val="00136108"/>
    <w:rsid w:val="00136742"/>
    <w:rsid w:val="00136D5A"/>
    <w:rsid w:val="001405C6"/>
    <w:rsid w:val="001407B7"/>
    <w:rsid w:val="00141013"/>
    <w:rsid w:val="00141972"/>
    <w:rsid w:val="00141A71"/>
    <w:rsid w:val="00142650"/>
    <w:rsid w:val="00142C62"/>
    <w:rsid w:val="001453EA"/>
    <w:rsid w:val="00145B0F"/>
    <w:rsid w:val="00145BA0"/>
    <w:rsid w:val="001468DD"/>
    <w:rsid w:val="00146A2E"/>
    <w:rsid w:val="00146CC4"/>
    <w:rsid w:val="001473CE"/>
    <w:rsid w:val="001479D0"/>
    <w:rsid w:val="00147A3B"/>
    <w:rsid w:val="00147C22"/>
    <w:rsid w:val="0015071C"/>
    <w:rsid w:val="001514DA"/>
    <w:rsid w:val="0015196B"/>
    <w:rsid w:val="00151C71"/>
    <w:rsid w:val="00153FBA"/>
    <w:rsid w:val="001549CA"/>
    <w:rsid w:val="0015588A"/>
    <w:rsid w:val="001559BB"/>
    <w:rsid w:val="001565D6"/>
    <w:rsid w:val="00157BD2"/>
    <w:rsid w:val="00157F68"/>
    <w:rsid w:val="00160866"/>
    <w:rsid w:val="00160992"/>
    <w:rsid w:val="00160FB1"/>
    <w:rsid w:val="001614C6"/>
    <w:rsid w:val="001615C8"/>
    <w:rsid w:val="0016184E"/>
    <w:rsid w:val="0016196C"/>
    <w:rsid w:val="00161F54"/>
    <w:rsid w:val="0016204C"/>
    <w:rsid w:val="00162C23"/>
    <w:rsid w:val="00162D48"/>
    <w:rsid w:val="00163363"/>
    <w:rsid w:val="00163CB1"/>
    <w:rsid w:val="0016484E"/>
    <w:rsid w:val="0016562D"/>
    <w:rsid w:val="0016584B"/>
    <w:rsid w:val="00165AEB"/>
    <w:rsid w:val="00165B40"/>
    <w:rsid w:val="0016637C"/>
    <w:rsid w:val="001674E1"/>
    <w:rsid w:val="00167871"/>
    <w:rsid w:val="001678BB"/>
    <w:rsid w:val="00170128"/>
    <w:rsid w:val="0017065F"/>
    <w:rsid w:val="00170DDD"/>
    <w:rsid w:val="00170E10"/>
    <w:rsid w:val="0017104E"/>
    <w:rsid w:val="001710C9"/>
    <w:rsid w:val="00171E72"/>
    <w:rsid w:val="00172BC5"/>
    <w:rsid w:val="0017302C"/>
    <w:rsid w:val="001731FA"/>
    <w:rsid w:val="001732D9"/>
    <w:rsid w:val="001733E9"/>
    <w:rsid w:val="0017373A"/>
    <w:rsid w:val="0017392D"/>
    <w:rsid w:val="00173ADC"/>
    <w:rsid w:val="001745C3"/>
    <w:rsid w:val="00174993"/>
    <w:rsid w:val="00174BB6"/>
    <w:rsid w:val="00174DC5"/>
    <w:rsid w:val="00175430"/>
    <w:rsid w:val="00175E65"/>
    <w:rsid w:val="001776E2"/>
    <w:rsid w:val="00177A37"/>
    <w:rsid w:val="001802A1"/>
    <w:rsid w:val="00180599"/>
    <w:rsid w:val="00180DD5"/>
    <w:rsid w:val="001812AE"/>
    <w:rsid w:val="00181488"/>
    <w:rsid w:val="0018155A"/>
    <w:rsid w:val="001818A4"/>
    <w:rsid w:val="00181F86"/>
    <w:rsid w:val="00182761"/>
    <w:rsid w:val="00182964"/>
    <w:rsid w:val="00182B14"/>
    <w:rsid w:val="00182E94"/>
    <w:rsid w:val="00182EA4"/>
    <w:rsid w:val="001832C7"/>
    <w:rsid w:val="00183C2B"/>
    <w:rsid w:val="00183DA2"/>
    <w:rsid w:val="001849DD"/>
    <w:rsid w:val="00184A1A"/>
    <w:rsid w:val="00184E7C"/>
    <w:rsid w:val="00185B11"/>
    <w:rsid w:val="00185C24"/>
    <w:rsid w:val="00186406"/>
    <w:rsid w:val="0018733B"/>
    <w:rsid w:val="001876AE"/>
    <w:rsid w:val="00187AB5"/>
    <w:rsid w:val="00187B8E"/>
    <w:rsid w:val="00187C0F"/>
    <w:rsid w:val="0019085C"/>
    <w:rsid w:val="00190E5D"/>
    <w:rsid w:val="00190FAD"/>
    <w:rsid w:val="0019169B"/>
    <w:rsid w:val="00191CF5"/>
    <w:rsid w:val="00191E73"/>
    <w:rsid w:val="0019256B"/>
    <w:rsid w:val="001927F6"/>
    <w:rsid w:val="0019288A"/>
    <w:rsid w:val="00192CBF"/>
    <w:rsid w:val="00192FF1"/>
    <w:rsid w:val="00193277"/>
    <w:rsid w:val="00193769"/>
    <w:rsid w:val="00193A71"/>
    <w:rsid w:val="00194493"/>
    <w:rsid w:val="00194FD4"/>
    <w:rsid w:val="00195A39"/>
    <w:rsid w:val="0019740A"/>
    <w:rsid w:val="001976E0"/>
    <w:rsid w:val="00197B27"/>
    <w:rsid w:val="00197C94"/>
    <w:rsid w:val="00197D44"/>
    <w:rsid w:val="00197ED4"/>
    <w:rsid w:val="00197F4C"/>
    <w:rsid w:val="001A0038"/>
    <w:rsid w:val="001A02E9"/>
    <w:rsid w:val="001A1B21"/>
    <w:rsid w:val="001A1CB9"/>
    <w:rsid w:val="001A2D40"/>
    <w:rsid w:val="001A3997"/>
    <w:rsid w:val="001A4617"/>
    <w:rsid w:val="001A587F"/>
    <w:rsid w:val="001A5A6B"/>
    <w:rsid w:val="001A5B11"/>
    <w:rsid w:val="001A5F1B"/>
    <w:rsid w:val="001A60D1"/>
    <w:rsid w:val="001A64C8"/>
    <w:rsid w:val="001A64F2"/>
    <w:rsid w:val="001A71EE"/>
    <w:rsid w:val="001A75BC"/>
    <w:rsid w:val="001A7EE0"/>
    <w:rsid w:val="001B124E"/>
    <w:rsid w:val="001B15B2"/>
    <w:rsid w:val="001B1C22"/>
    <w:rsid w:val="001B2560"/>
    <w:rsid w:val="001B31DC"/>
    <w:rsid w:val="001B34C6"/>
    <w:rsid w:val="001B45E5"/>
    <w:rsid w:val="001B5DDC"/>
    <w:rsid w:val="001B6001"/>
    <w:rsid w:val="001B7221"/>
    <w:rsid w:val="001B7843"/>
    <w:rsid w:val="001B7C29"/>
    <w:rsid w:val="001B7C41"/>
    <w:rsid w:val="001C0466"/>
    <w:rsid w:val="001C179B"/>
    <w:rsid w:val="001C1F51"/>
    <w:rsid w:val="001C221D"/>
    <w:rsid w:val="001C22CE"/>
    <w:rsid w:val="001C2E15"/>
    <w:rsid w:val="001C303B"/>
    <w:rsid w:val="001C32C7"/>
    <w:rsid w:val="001C333A"/>
    <w:rsid w:val="001C3BE8"/>
    <w:rsid w:val="001C3F6C"/>
    <w:rsid w:val="001C416E"/>
    <w:rsid w:val="001C4452"/>
    <w:rsid w:val="001C4463"/>
    <w:rsid w:val="001C4DB7"/>
    <w:rsid w:val="001C4F12"/>
    <w:rsid w:val="001C4F89"/>
    <w:rsid w:val="001C534F"/>
    <w:rsid w:val="001C54B9"/>
    <w:rsid w:val="001C5793"/>
    <w:rsid w:val="001C6764"/>
    <w:rsid w:val="001C6B76"/>
    <w:rsid w:val="001C6C45"/>
    <w:rsid w:val="001D026A"/>
    <w:rsid w:val="001D03D5"/>
    <w:rsid w:val="001D09CD"/>
    <w:rsid w:val="001D142C"/>
    <w:rsid w:val="001D172F"/>
    <w:rsid w:val="001D1DBE"/>
    <w:rsid w:val="001D21FC"/>
    <w:rsid w:val="001D3819"/>
    <w:rsid w:val="001D40AF"/>
    <w:rsid w:val="001D40E9"/>
    <w:rsid w:val="001D4CE0"/>
    <w:rsid w:val="001D50D4"/>
    <w:rsid w:val="001D5629"/>
    <w:rsid w:val="001D5678"/>
    <w:rsid w:val="001D6000"/>
    <w:rsid w:val="001D6568"/>
    <w:rsid w:val="001D7832"/>
    <w:rsid w:val="001D7AA6"/>
    <w:rsid w:val="001D7ECF"/>
    <w:rsid w:val="001E0967"/>
    <w:rsid w:val="001E229D"/>
    <w:rsid w:val="001E2EE7"/>
    <w:rsid w:val="001E4863"/>
    <w:rsid w:val="001E4876"/>
    <w:rsid w:val="001E492C"/>
    <w:rsid w:val="001E4CD1"/>
    <w:rsid w:val="001E4CE7"/>
    <w:rsid w:val="001E52BD"/>
    <w:rsid w:val="001E6826"/>
    <w:rsid w:val="001E6B6A"/>
    <w:rsid w:val="001E7A51"/>
    <w:rsid w:val="001E7FB0"/>
    <w:rsid w:val="001F0299"/>
    <w:rsid w:val="001F0A15"/>
    <w:rsid w:val="001F0B4D"/>
    <w:rsid w:val="001F0EB9"/>
    <w:rsid w:val="001F1041"/>
    <w:rsid w:val="001F133A"/>
    <w:rsid w:val="001F2180"/>
    <w:rsid w:val="001F262B"/>
    <w:rsid w:val="001F2639"/>
    <w:rsid w:val="001F2A25"/>
    <w:rsid w:val="001F2F77"/>
    <w:rsid w:val="001F3ED9"/>
    <w:rsid w:val="001F4B8D"/>
    <w:rsid w:val="001F532D"/>
    <w:rsid w:val="001F5593"/>
    <w:rsid w:val="001F55A9"/>
    <w:rsid w:val="001F5941"/>
    <w:rsid w:val="001F5B2F"/>
    <w:rsid w:val="001F7082"/>
    <w:rsid w:val="001F74FD"/>
    <w:rsid w:val="001F768E"/>
    <w:rsid w:val="002008F8"/>
    <w:rsid w:val="0020120E"/>
    <w:rsid w:val="00204634"/>
    <w:rsid w:val="00204ABF"/>
    <w:rsid w:val="00205A38"/>
    <w:rsid w:val="0021000F"/>
    <w:rsid w:val="0021077F"/>
    <w:rsid w:val="002109F1"/>
    <w:rsid w:val="00210FA0"/>
    <w:rsid w:val="00211185"/>
    <w:rsid w:val="00211D34"/>
    <w:rsid w:val="0021209C"/>
    <w:rsid w:val="002124A3"/>
    <w:rsid w:val="00212CEF"/>
    <w:rsid w:val="00212F62"/>
    <w:rsid w:val="002136EC"/>
    <w:rsid w:val="002136F4"/>
    <w:rsid w:val="00214116"/>
    <w:rsid w:val="0021438D"/>
    <w:rsid w:val="002145F3"/>
    <w:rsid w:val="002149EB"/>
    <w:rsid w:val="002149FD"/>
    <w:rsid w:val="00214A8D"/>
    <w:rsid w:val="00214DAF"/>
    <w:rsid w:val="00214F04"/>
    <w:rsid w:val="00215919"/>
    <w:rsid w:val="00216F2F"/>
    <w:rsid w:val="00220957"/>
    <w:rsid w:val="002210A7"/>
    <w:rsid w:val="00221515"/>
    <w:rsid w:val="00221D86"/>
    <w:rsid w:val="00222A9E"/>
    <w:rsid w:val="00222B0A"/>
    <w:rsid w:val="00222D03"/>
    <w:rsid w:val="00223247"/>
    <w:rsid w:val="00223B10"/>
    <w:rsid w:val="00224071"/>
    <w:rsid w:val="00224814"/>
    <w:rsid w:val="00225A8C"/>
    <w:rsid w:val="002263DB"/>
    <w:rsid w:val="00226B06"/>
    <w:rsid w:val="00226BC8"/>
    <w:rsid w:val="00227C6A"/>
    <w:rsid w:val="0023019F"/>
    <w:rsid w:val="00230617"/>
    <w:rsid w:val="00232883"/>
    <w:rsid w:val="002358B9"/>
    <w:rsid w:val="00235B05"/>
    <w:rsid w:val="00236378"/>
    <w:rsid w:val="00236775"/>
    <w:rsid w:val="00236C85"/>
    <w:rsid w:val="00236EB8"/>
    <w:rsid w:val="002375C3"/>
    <w:rsid w:val="00237650"/>
    <w:rsid w:val="002376AA"/>
    <w:rsid w:val="00240937"/>
    <w:rsid w:val="002410D5"/>
    <w:rsid w:val="00241CA1"/>
    <w:rsid w:val="00241D77"/>
    <w:rsid w:val="00243C1C"/>
    <w:rsid w:val="00243C73"/>
    <w:rsid w:val="00244761"/>
    <w:rsid w:val="00244C1D"/>
    <w:rsid w:val="00245E18"/>
    <w:rsid w:val="0024623F"/>
    <w:rsid w:val="00247A99"/>
    <w:rsid w:val="00250FBF"/>
    <w:rsid w:val="00251CD9"/>
    <w:rsid w:val="00252575"/>
    <w:rsid w:val="00252A2F"/>
    <w:rsid w:val="002532DD"/>
    <w:rsid w:val="002536BB"/>
    <w:rsid w:val="00253985"/>
    <w:rsid w:val="00253F38"/>
    <w:rsid w:val="00253F9A"/>
    <w:rsid w:val="00254057"/>
    <w:rsid w:val="002542EF"/>
    <w:rsid w:val="00254868"/>
    <w:rsid w:val="002557A1"/>
    <w:rsid w:val="00255CEE"/>
    <w:rsid w:val="00256200"/>
    <w:rsid w:val="00257678"/>
    <w:rsid w:val="00257B98"/>
    <w:rsid w:val="002605BE"/>
    <w:rsid w:val="00260C6C"/>
    <w:rsid w:val="00260FA2"/>
    <w:rsid w:val="002615BC"/>
    <w:rsid w:val="00261A49"/>
    <w:rsid w:val="00261FDE"/>
    <w:rsid w:val="0026238B"/>
    <w:rsid w:val="00262BC3"/>
    <w:rsid w:val="0026301C"/>
    <w:rsid w:val="00263A62"/>
    <w:rsid w:val="00263F26"/>
    <w:rsid w:val="002640F8"/>
    <w:rsid w:val="00264A0A"/>
    <w:rsid w:val="0026583A"/>
    <w:rsid w:val="00265D0F"/>
    <w:rsid w:val="00266CD6"/>
    <w:rsid w:val="00267F1F"/>
    <w:rsid w:val="00270125"/>
    <w:rsid w:val="002705BE"/>
    <w:rsid w:val="0027094B"/>
    <w:rsid w:val="00271CD3"/>
    <w:rsid w:val="00273183"/>
    <w:rsid w:val="00273400"/>
    <w:rsid w:val="00273C3C"/>
    <w:rsid w:val="00273DC7"/>
    <w:rsid w:val="00274195"/>
    <w:rsid w:val="00274ABB"/>
    <w:rsid w:val="00274E92"/>
    <w:rsid w:val="00275844"/>
    <w:rsid w:val="00275B9A"/>
    <w:rsid w:val="00275DAB"/>
    <w:rsid w:val="0027600A"/>
    <w:rsid w:val="002764E2"/>
    <w:rsid w:val="00276DE6"/>
    <w:rsid w:val="00277E55"/>
    <w:rsid w:val="00277E6A"/>
    <w:rsid w:val="00280809"/>
    <w:rsid w:val="002813ED"/>
    <w:rsid w:val="00281D74"/>
    <w:rsid w:val="00282BAC"/>
    <w:rsid w:val="00285AB7"/>
    <w:rsid w:val="002870CA"/>
    <w:rsid w:val="0028750E"/>
    <w:rsid w:val="002879B8"/>
    <w:rsid w:val="00287F5C"/>
    <w:rsid w:val="002901B2"/>
    <w:rsid w:val="00290209"/>
    <w:rsid w:val="002902A5"/>
    <w:rsid w:val="0029072D"/>
    <w:rsid w:val="002907A3"/>
    <w:rsid w:val="002908AC"/>
    <w:rsid w:val="002927A1"/>
    <w:rsid w:val="002935C9"/>
    <w:rsid w:val="00293991"/>
    <w:rsid w:val="00293B48"/>
    <w:rsid w:val="00293D9D"/>
    <w:rsid w:val="0029542F"/>
    <w:rsid w:val="00295EB9"/>
    <w:rsid w:val="00296DE6"/>
    <w:rsid w:val="002977C1"/>
    <w:rsid w:val="0029780F"/>
    <w:rsid w:val="002A0037"/>
    <w:rsid w:val="002A1672"/>
    <w:rsid w:val="002A1BE8"/>
    <w:rsid w:val="002A1ED4"/>
    <w:rsid w:val="002A25DE"/>
    <w:rsid w:val="002A2CA3"/>
    <w:rsid w:val="002A40D1"/>
    <w:rsid w:val="002A4B27"/>
    <w:rsid w:val="002A64E4"/>
    <w:rsid w:val="002A6586"/>
    <w:rsid w:val="002A681A"/>
    <w:rsid w:val="002A7482"/>
    <w:rsid w:val="002A782A"/>
    <w:rsid w:val="002A7A47"/>
    <w:rsid w:val="002B00C2"/>
    <w:rsid w:val="002B0C46"/>
    <w:rsid w:val="002B1063"/>
    <w:rsid w:val="002B10AF"/>
    <w:rsid w:val="002B11E2"/>
    <w:rsid w:val="002B13C8"/>
    <w:rsid w:val="002B2118"/>
    <w:rsid w:val="002B231D"/>
    <w:rsid w:val="002B24B8"/>
    <w:rsid w:val="002B272E"/>
    <w:rsid w:val="002B2844"/>
    <w:rsid w:val="002B2C38"/>
    <w:rsid w:val="002B31C3"/>
    <w:rsid w:val="002B33E2"/>
    <w:rsid w:val="002B3E35"/>
    <w:rsid w:val="002B4647"/>
    <w:rsid w:val="002B6178"/>
    <w:rsid w:val="002B676C"/>
    <w:rsid w:val="002B70B9"/>
    <w:rsid w:val="002C0566"/>
    <w:rsid w:val="002C0A20"/>
    <w:rsid w:val="002C0B99"/>
    <w:rsid w:val="002C12E1"/>
    <w:rsid w:val="002C1F64"/>
    <w:rsid w:val="002C2043"/>
    <w:rsid w:val="002C2986"/>
    <w:rsid w:val="002C3ADF"/>
    <w:rsid w:val="002C41EA"/>
    <w:rsid w:val="002C4A09"/>
    <w:rsid w:val="002C4C14"/>
    <w:rsid w:val="002C61FB"/>
    <w:rsid w:val="002C6D5B"/>
    <w:rsid w:val="002D09DD"/>
    <w:rsid w:val="002D1360"/>
    <w:rsid w:val="002D14D6"/>
    <w:rsid w:val="002D28C5"/>
    <w:rsid w:val="002D2C28"/>
    <w:rsid w:val="002D2FEE"/>
    <w:rsid w:val="002D32DB"/>
    <w:rsid w:val="002D3936"/>
    <w:rsid w:val="002D3AE9"/>
    <w:rsid w:val="002D4239"/>
    <w:rsid w:val="002D4510"/>
    <w:rsid w:val="002D45E4"/>
    <w:rsid w:val="002D4DCB"/>
    <w:rsid w:val="002D5170"/>
    <w:rsid w:val="002D52EF"/>
    <w:rsid w:val="002D5983"/>
    <w:rsid w:val="002D5CD9"/>
    <w:rsid w:val="002D5F5F"/>
    <w:rsid w:val="002D694E"/>
    <w:rsid w:val="002D6D93"/>
    <w:rsid w:val="002D6DEA"/>
    <w:rsid w:val="002D734E"/>
    <w:rsid w:val="002D7417"/>
    <w:rsid w:val="002D75D8"/>
    <w:rsid w:val="002E0068"/>
    <w:rsid w:val="002E0B6A"/>
    <w:rsid w:val="002E13D6"/>
    <w:rsid w:val="002E17C6"/>
    <w:rsid w:val="002E2200"/>
    <w:rsid w:val="002E2870"/>
    <w:rsid w:val="002E3BE2"/>
    <w:rsid w:val="002E3D4B"/>
    <w:rsid w:val="002E3F34"/>
    <w:rsid w:val="002E45FB"/>
    <w:rsid w:val="002E467F"/>
    <w:rsid w:val="002E4A7B"/>
    <w:rsid w:val="002E52A2"/>
    <w:rsid w:val="002E5598"/>
    <w:rsid w:val="002E633F"/>
    <w:rsid w:val="002E7392"/>
    <w:rsid w:val="002E7B1F"/>
    <w:rsid w:val="002E7C97"/>
    <w:rsid w:val="002F0734"/>
    <w:rsid w:val="002F110D"/>
    <w:rsid w:val="002F1C15"/>
    <w:rsid w:val="002F1F22"/>
    <w:rsid w:val="002F2230"/>
    <w:rsid w:val="002F2CAE"/>
    <w:rsid w:val="002F2E5B"/>
    <w:rsid w:val="002F44EE"/>
    <w:rsid w:val="002F46E7"/>
    <w:rsid w:val="002F68DC"/>
    <w:rsid w:val="002F69E2"/>
    <w:rsid w:val="002F6B2D"/>
    <w:rsid w:val="002F6FA4"/>
    <w:rsid w:val="003001AB"/>
    <w:rsid w:val="003002CF"/>
    <w:rsid w:val="00300658"/>
    <w:rsid w:val="00301831"/>
    <w:rsid w:val="003025A6"/>
    <w:rsid w:val="00303B0C"/>
    <w:rsid w:val="003050F2"/>
    <w:rsid w:val="0030543B"/>
    <w:rsid w:val="00305F90"/>
    <w:rsid w:val="003064CA"/>
    <w:rsid w:val="003067CB"/>
    <w:rsid w:val="00306806"/>
    <w:rsid w:val="00306FAE"/>
    <w:rsid w:val="0030742A"/>
    <w:rsid w:val="00307E78"/>
    <w:rsid w:val="00307EE0"/>
    <w:rsid w:val="003101DA"/>
    <w:rsid w:val="003104E6"/>
    <w:rsid w:val="00310A0A"/>
    <w:rsid w:val="00310D6D"/>
    <w:rsid w:val="003112F3"/>
    <w:rsid w:val="003116A1"/>
    <w:rsid w:val="003131EF"/>
    <w:rsid w:val="003133A5"/>
    <w:rsid w:val="0031371F"/>
    <w:rsid w:val="00313EA3"/>
    <w:rsid w:val="003140F6"/>
    <w:rsid w:val="00314757"/>
    <w:rsid w:val="003158BB"/>
    <w:rsid w:val="0031597A"/>
    <w:rsid w:val="00315BDC"/>
    <w:rsid w:val="00315D1E"/>
    <w:rsid w:val="00315D7A"/>
    <w:rsid w:val="00316494"/>
    <w:rsid w:val="003164AE"/>
    <w:rsid w:val="003167A7"/>
    <w:rsid w:val="003172F2"/>
    <w:rsid w:val="00317867"/>
    <w:rsid w:val="00317AAB"/>
    <w:rsid w:val="00320E04"/>
    <w:rsid w:val="003211CE"/>
    <w:rsid w:val="00321514"/>
    <w:rsid w:val="00321A5C"/>
    <w:rsid w:val="003225CF"/>
    <w:rsid w:val="00322725"/>
    <w:rsid w:val="00323436"/>
    <w:rsid w:val="003237C0"/>
    <w:rsid w:val="00324813"/>
    <w:rsid w:val="003252B3"/>
    <w:rsid w:val="00325DC9"/>
    <w:rsid w:val="00326EC9"/>
    <w:rsid w:val="003277CA"/>
    <w:rsid w:val="003279C3"/>
    <w:rsid w:val="00327F30"/>
    <w:rsid w:val="003304E3"/>
    <w:rsid w:val="00330664"/>
    <w:rsid w:val="00330C73"/>
    <w:rsid w:val="00330F48"/>
    <w:rsid w:val="00331498"/>
    <w:rsid w:val="00331519"/>
    <w:rsid w:val="00331776"/>
    <w:rsid w:val="00332889"/>
    <w:rsid w:val="00333684"/>
    <w:rsid w:val="003338B2"/>
    <w:rsid w:val="00333991"/>
    <w:rsid w:val="00333BCF"/>
    <w:rsid w:val="00333D9E"/>
    <w:rsid w:val="0033449E"/>
    <w:rsid w:val="0033586A"/>
    <w:rsid w:val="00336511"/>
    <w:rsid w:val="00336C8A"/>
    <w:rsid w:val="00340036"/>
    <w:rsid w:val="00340567"/>
    <w:rsid w:val="003405EE"/>
    <w:rsid w:val="00341553"/>
    <w:rsid w:val="0034339A"/>
    <w:rsid w:val="00343AAF"/>
    <w:rsid w:val="00343D27"/>
    <w:rsid w:val="00343E92"/>
    <w:rsid w:val="00344A2D"/>
    <w:rsid w:val="00344AD8"/>
    <w:rsid w:val="00344B86"/>
    <w:rsid w:val="003457B0"/>
    <w:rsid w:val="003458C2"/>
    <w:rsid w:val="003458D5"/>
    <w:rsid w:val="00345CF5"/>
    <w:rsid w:val="00345DCF"/>
    <w:rsid w:val="00345F9C"/>
    <w:rsid w:val="0034634C"/>
    <w:rsid w:val="003464DD"/>
    <w:rsid w:val="00346736"/>
    <w:rsid w:val="00347046"/>
    <w:rsid w:val="00350ADD"/>
    <w:rsid w:val="00350DCD"/>
    <w:rsid w:val="00350E02"/>
    <w:rsid w:val="00350F79"/>
    <w:rsid w:val="003510EA"/>
    <w:rsid w:val="0035131F"/>
    <w:rsid w:val="003517D7"/>
    <w:rsid w:val="00351B30"/>
    <w:rsid w:val="003520BA"/>
    <w:rsid w:val="003522D8"/>
    <w:rsid w:val="003532CD"/>
    <w:rsid w:val="00353B83"/>
    <w:rsid w:val="00353DB8"/>
    <w:rsid w:val="0035403A"/>
    <w:rsid w:val="00354CB2"/>
    <w:rsid w:val="00355740"/>
    <w:rsid w:val="00355BB8"/>
    <w:rsid w:val="00355CFA"/>
    <w:rsid w:val="0035666C"/>
    <w:rsid w:val="00356921"/>
    <w:rsid w:val="00356A4F"/>
    <w:rsid w:val="00356EDA"/>
    <w:rsid w:val="003578C1"/>
    <w:rsid w:val="00360266"/>
    <w:rsid w:val="00360772"/>
    <w:rsid w:val="00360C76"/>
    <w:rsid w:val="00360FC3"/>
    <w:rsid w:val="003615C0"/>
    <w:rsid w:val="0036296C"/>
    <w:rsid w:val="003634A0"/>
    <w:rsid w:val="0036394B"/>
    <w:rsid w:val="00363FEF"/>
    <w:rsid w:val="00364E98"/>
    <w:rsid w:val="00365054"/>
    <w:rsid w:val="003666DE"/>
    <w:rsid w:val="00366E69"/>
    <w:rsid w:val="00366F6C"/>
    <w:rsid w:val="00367EDD"/>
    <w:rsid w:val="0037046B"/>
    <w:rsid w:val="003709B5"/>
    <w:rsid w:val="00371444"/>
    <w:rsid w:val="00371FF1"/>
    <w:rsid w:val="003725F2"/>
    <w:rsid w:val="00373493"/>
    <w:rsid w:val="00373972"/>
    <w:rsid w:val="00374459"/>
    <w:rsid w:val="003748D4"/>
    <w:rsid w:val="00374F24"/>
    <w:rsid w:val="003759C2"/>
    <w:rsid w:val="00375DFD"/>
    <w:rsid w:val="00376E91"/>
    <w:rsid w:val="00377081"/>
    <w:rsid w:val="003776F5"/>
    <w:rsid w:val="00377700"/>
    <w:rsid w:val="003779E2"/>
    <w:rsid w:val="00377DFB"/>
    <w:rsid w:val="00380469"/>
    <w:rsid w:val="00380F79"/>
    <w:rsid w:val="0038101B"/>
    <w:rsid w:val="0038159C"/>
    <w:rsid w:val="00381F8D"/>
    <w:rsid w:val="00382518"/>
    <w:rsid w:val="00382924"/>
    <w:rsid w:val="00382B58"/>
    <w:rsid w:val="0038321B"/>
    <w:rsid w:val="00383743"/>
    <w:rsid w:val="003846E2"/>
    <w:rsid w:val="00385074"/>
    <w:rsid w:val="00385348"/>
    <w:rsid w:val="00385747"/>
    <w:rsid w:val="00385B46"/>
    <w:rsid w:val="003862C8"/>
    <w:rsid w:val="003865A3"/>
    <w:rsid w:val="00386762"/>
    <w:rsid w:val="00386DCA"/>
    <w:rsid w:val="00387917"/>
    <w:rsid w:val="00390AA6"/>
    <w:rsid w:val="00390AFD"/>
    <w:rsid w:val="0039125C"/>
    <w:rsid w:val="00391695"/>
    <w:rsid w:val="00391F2E"/>
    <w:rsid w:val="00392134"/>
    <w:rsid w:val="003921C5"/>
    <w:rsid w:val="00392839"/>
    <w:rsid w:val="003932A0"/>
    <w:rsid w:val="00393BB7"/>
    <w:rsid w:val="00393F1A"/>
    <w:rsid w:val="00394758"/>
    <w:rsid w:val="003947AB"/>
    <w:rsid w:val="00394B43"/>
    <w:rsid w:val="00395078"/>
    <w:rsid w:val="0039528C"/>
    <w:rsid w:val="00395F15"/>
    <w:rsid w:val="00395F41"/>
    <w:rsid w:val="0039633E"/>
    <w:rsid w:val="00396755"/>
    <w:rsid w:val="00397365"/>
    <w:rsid w:val="00397EE7"/>
    <w:rsid w:val="003A026A"/>
    <w:rsid w:val="003A0442"/>
    <w:rsid w:val="003A0781"/>
    <w:rsid w:val="003A07AC"/>
    <w:rsid w:val="003A0A73"/>
    <w:rsid w:val="003A19E0"/>
    <w:rsid w:val="003A2012"/>
    <w:rsid w:val="003A2098"/>
    <w:rsid w:val="003A2585"/>
    <w:rsid w:val="003A2ECD"/>
    <w:rsid w:val="003A31F6"/>
    <w:rsid w:val="003A433A"/>
    <w:rsid w:val="003A45C2"/>
    <w:rsid w:val="003A47E9"/>
    <w:rsid w:val="003A4FBC"/>
    <w:rsid w:val="003A5707"/>
    <w:rsid w:val="003A59B3"/>
    <w:rsid w:val="003A6398"/>
    <w:rsid w:val="003A66ED"/>
    <w:rsid w:val="003A672C"/>
    <w:rsid w:val="003A6E0A"/>
    <w:rsid w:val="003B000F"/>
    <w:rsid w:val="003B0249"/>
    <w:rsid w:val="003B0BDA"/>
    <w:rsid w:val="003B0C63"/>
    <w:rsid w:val="003B0F4A"/>
    <w:rsid w:val="003B3A4B"/>
    <w:rsid w:val="003B3B4D"/>
    <w:rsid w:val="003B4284"/>
    <w:rsid w:val="003B4767"/>
    <w:rsid w:val="003B4C7D"/>
    <w:rsid w:val="003B59D6"/>
    <w:rsid w:val="003B5BC2"/>
    <w:rsid w:val="003B5C50"/>
    <w:rsid w:val="003B610A"/>
    <w:rsid w:val="003B69D9"/>
    <w:rsid w:val="003B762B"/>
    <w:rsid w:val="003B7C9E"/>
    <w:rsid w:val="003B7F1D"/>
    <w:rsid w:val="003C0415"/>
    <w:rsid w:val="003C0780"/>
    <w:rsid w:val="003C0A0E"/>
    <w:rsid w:val="003C2ADE"/>
    <w:rsid w:val="003C30B7"/>
    <w:rsid w:val="003C317A"/>
    <w:rsid w:val="003C328B"/>
    <w:rsid w:val="003C33A7"/>
    <w:rsid w:val="003C3447"/>
    <w:rsid w:val="003C4107"/>
    <w:rsid w:val="003C4444"/>
    <w:rsid w:val="003C484E"/>
    <w:rsid w:val="003C54D3"/>
    <w:rsid w:val="003C63AF"/>
    <w:rsid w:val="003C7827"/>
    <w:rsid w:val="003C7F70"/>
    <w:rsid w:val="003D076C"/>
    <w:rsid w:val="003D07A6"/>
    <w:rsid w:val="003D0983"/>
    <w:rsid w:val="003D11F9"/>
    <w:rsid w:val="003D128A"/>
    <w:rsid w:val="003D220A"/>
    <w:rsid w:val="003D3478"/>
    <w:rsid w:val="003D39B9"/>
    <w:rsid w:val="003D3B96"/>
    <w:rsid w:val="003D40FF"/>
    <w:rsid w:val="003D5179"/>
    <w:rsid w:val="003D7B0A"/>
    <w:rsid w:val="003D7C1A"/>
    <w:rsid w:val="003D7C4C"/>
    <w:rsid w:val="003E033E"/>
    <w:rsid w:val="003E03A5"/>
    <w:rsid w:val="003E098E"/>
    <w:rsid w:val="003E21E1"/>
    <w:rsid w:val="003E368A"/>
    <w:rsid w:val="003E3723"/>
    <w:rsid w:val="003E3DFA"/>
    <w:rsid w:val="003E492F"/>
    <w:rsid w:val="003E4930"/>
    <w:rsid w:val="003E4CB2"/>
    <w:rsid w:val="003E5919"/>
    <w:rsid w:val="003E5E1C"/>
    <w:rsid w:val="003E609F"/>
    <w:rsid w:val="003E6C86"/>
    <w:rsid w:val="003E78B5"/>
    <w:rsid w:val="003E7CD4"/>
    <w:rsid w:val="003E7FC6"/>
    <w:rsid w:val="003F00DD"/>
    <w:rsid w:val="003F0B21"/>
    <w:rsid w:val="003F0F32"/>
    <w:rsid w:val="003F2061"/>
    <w:rsid w:val="003F2C15"/>
    <w:rsid w:val="003F2C68"/>
    <w:rsid w:val="003F42F5"/>
    <w:rsid w:val="003F47D3"/>
    <w:rsid w:val="003F4BA3"/>
    <w:rsid w:val="003F5030"/>
    <w:rsid w:val="003F5B85"/>
    <w:rsid w:val="003F5F69"/>
    <w:rsid w:val="003F67F8"/>
    <w:rsid w:val="003F693F"/>
    <w:rsid w:val="003F6CB9"/>
    <w:rsid w:val="003F6D82"/>
    <w:rsid w:val="003F7251"/>
    <w:rsid w:val="003F759E"/>
    <w:rsid w:val="0040061A"/>
    <w:rsid w:val="004006C4"/>
    <w:rsid w:val="00401931"/>
    <w:rsid w:val="004021C1"/>
    <w:rsid w:val="00402DB6"/>
    <w:rsid w:val="004030B3"/>
    <w:rsid w:val="0040394F"/>
    <w:rsid w:val="00404162"/>
    <w:rsid w:val="0040463C"/>
    <w:rsid w:val="00404AD5"/>
    <w:rsid w:val="00406786"/>
    <w:rsid w:val="0040689E"/>
    <w:rsid w:val="00406A5A"/>
    <w:rsid w:val="00407447"/>
    <w:rsid w:val="00407EC6"/>
    <w:rsid w:val="004104BA"/>
    <w:rsid w:val="00410898"/>
    <w:rsid w:val="0041140D"/>
    <w:rsid w:val="00411EB4"/>
    <w:rsid w:val="0041293E"/>
    <w:rsid w:val="00412A46"/>
    <w:rsid w:val="00412C33"/>
    <w:rsid w:val="00413231"/>
    <w:rsid w:val="004132EB"/>
    <w:rsid w:val="004137A7"/>
    <w:rsid w:val="00413CA2"/>
    <w:rsid w:val="00414196"/>
    <w:rsid w:val="004141AC"/>
    <w:rsid w:val="0041506D"/>
    <w:rsid w:val="004156AC"/>
    <w:rsid w:val="004157C0"/>
    <w:rsid w:val="00415BAB"/>
    <w:rsid w:val="00415E08"/>
    <w:rsid w:val="00415ED2"/>
    <w:rsid w:val="004161D2"/>
    <w:rsid w:val="00416309"/>
    <w:rsid w:val="0041751A"/>
    <w:rsid w:val="00417D2C"/>
    <w:rsid w:val="0042068C"/>
    <w:rsid w:val="0042108D"/>
    <w:rsid w:val="00421717"/>
    <w:rsid w:val="004219C2"/>
    <w:rsid w:val="004220E1"/>
    <w:rsid w:val="00422A56"/>
    <w:rsid w:val="00422C83"/>
    <w:rsid w:val="00423178"/>
    <w:rsid w:val="004232B6"/>
    <w:rsid w:val="00424B00"/>
    <w:rsid w:val="00425439"/>
    <w:rsid w:val="00425D61"/>
    <w:rsid w:val="004263A3"/>
    <w:rsid w:val="004264A2"/>
    <w:rsid w:val="004265AD"/>
    <w:rsid w:val="00426BB5"/>
    <w:rsid w:val="00426EB0"/>
    <w:rsid w:val="00426ECD"/>
    <w:rsid w:val="004300F8"/>
    <w:rsid w:val="00430421"/>
    <w:rsid w:val="00430F5F"/>
    <w:rsid w:val="004326BC"/>
    <w:rsid w:val="004328B4"/>
    <w:rsid w:val="00432CC0"/>
    <w:rsid w:val="00432E73"/>
    <w:rsid w:val="0043355C"/>
    <w:rsid w:val="004340D7"/>
    <w:rsid w:val="004346F8"/>
    <w:rsid w:val="00434814"/>
    <w:rsid w:val="0043597F"/>
    <w:rsid w:val="0043700A"/>
    <w:rsid w:val="004370EE"/>
    <w:rsid w:val="004372C9"/>
    <w:rsid w:val="00437E09"/>
    <w:rsid w:val="00440675"/>
    <w:rsid w:val="004406DC"/>
    <w:rsid w:val="00442B7B"/>
    <w:rsid w:val="00442F78"/>
    <w:rsid w:val="0044323E"/>
    <w:rsid w:val="00443286"/>
    <w:rsid w:val="00443358"/>
    <w:rsid w:val="00443362"/>
    <w:rsid w:val="00443CCC"/>
    <w:rsid w:val="0044462D"/>
    <w:rsid w:val="0044478B"/>
    <w:rsid w:val="00444C0B"/>
    <w:rsid w:val="0044547A"/>
    <w:rsid w:val="00445A56"/>
    <w:rsid w:val="00445BC0"/>
    <w:rsid w:val="0044652A"/>
    <w:rsid w:val="00446750"/>
    <w:rsid w:val="0044775D"/>
    <w:rsid w:val="004477A0"/>
    <w:rsid w:val="00447904"/>
    <w:rsid w:val="004534E7"/>
    <w:rsid w:val="00453B17"/>
    <w:rsid w:val="004542CA"/>
    <w:rsid w:val="00454713"/>
    <w:rsid w:val="00454CA6"/>
    <w:rsid w:val="00454F05"/>
    <w:rsid w:val="00454F77"/>
    <w:rsid w:val="00454FE2"/>
    <w:rsid w:val="0045545F"/>
    <w:rsid w:val="004554E2"/>
    <w:rsid w:val="004558D0"/>
    <w:rsid w:val="00455BB8"/>
    <w:rsid w:val="00455CB2"/>
    <w:rsid w:val="0045640A"/>
    <w:rsid w:val="00456A44"/>
    <w:rsid w:val="00456B7C"/>
    <w:rsid w:val="00456F7B"/>
    <w:rsid w:val="004574D4"/>
    <w:rsid w:val="00457EFA"/>
    <w:rsid w:val="004604C5"/>
    <w:rsid w:val="00460A04"/>
    <w:rsid w:val="00460B88"/>
    <w:rsid w:val="00461924"/>
    <w:rsid w:val="00461B2F"/>
    <w:rsid w:val="004623ED"/>
    <w:rsid w:val="00463A7A"/>
    <w:rsid w:val="00463A90"/>
    <w:rsid w:val="00463F64"/>
    <w:rsid w:val="00464B25"/>
    <w:rsid w:val="00464F48"/>
    <w:rsid w:val="00465D4A"/>
    <w:rsid w:val="00466859"/>
    <w:rsid w:val="004669D7"/>
    <w:rsid w:val="00466B8D"/>
    <w:rsid w:val="00467598"/>
    <w:rsid w:val="004700C0"/>
    <w:rsid w:val="0047122B"/>
    <w:rsid w:val="004716F2"/>
    <w:rsid w:val="004720D9"/>
    <w:rsid w:val="00472764"/>
    <w:rsid w:val="00473B7A"/>
    <w:rsid w:val="004740A6"/>
    <w:rsid w:val="004741FF"/>
    <w:rsid w:val="004747F8"/>
    <w:rsid w:val="00476A76"/>
    <w:rsid w:val="00476FA7"/>
    <w:rsid w:val="00477657"/>
    <w:rsid w:val="00477940"/>
    <w:rsid w:val="00477B56"/>
    <w:rsid w:val="00477FA8"/>
    <w:rsid w:val="004804DB"/>
    <w:rsid w:val="004814AE"/>
    <w:rsid w:val="00481650"/>
    <w:rsid w:val="004817C1"/>
    <w:rsid w:val="0048230E"/>
    <w:rsid w:val="00482A32"/>
    <w:rsid w:val="00483379"/>
    <w:rsid w:val="00483BFD"/>
    <w:rsid w:val="0048630F"/>
    <w:rsid w:val="004875EF"/>
    <w:rsid w:val="00487C72"/>
    <w:rsid w:val="00487E42"/>
    <w:rsid w:val="004902C7"/>
    <w:rsid w:val="004912F0"/>
    <w:rsid w:val="004925EB"/>
    <w:rsid w:val="00492943"/>
    <w:rsid w:val="00492C73"/>
    <w:rsid w:val="00492F22"/>
    <w:rsid w:val="00493415"/>
    <w:rsid w:val="00493EAE"/>
    <w:rsid w:val="00495155"/>
    <w:rsid w:val="004960E9"/>
    <w:rsid w:val="00496414"/>
    <w:rsid w:val="004964D6"/>
    <w:rsid w:val="004971D3"/>
    <w:rsid w:val="0049798C"/>
    <w:rsid w:val="004A01C2"/>
    <w:rsid w:val="004A0407"/>
    <w:rsid w:val="004A0449"/>
    <w:rsid w:val="004A0A85"/>
    <w:rsid w:val="004A0DC6"/>
    <w:rsid w:val="004A0E37"/>
    <w:rsid w:val="004A0FD2"/>
    <w:rsid w:val="004A0FE9"/>
    <w:rsid w:val="004A1599"/>
    <w:rsid w:val="004A17C1"/>
    <w:rsid w:val="004A20FE"/>
    <w:rsid w:val="004A2D00"/>
    <w:rsid w:val="004A2DE3"/>
    <w:rsid w:val="004A2E88"/>
    <w:rsid w:val="004A326A"/>
    <w:rsid w:val="004A32DB"/>
    <w:rsid w:val="004A33B8"/>
    <w:rsid w:val="004A4BF0"/>
    <w:rsid w:val="004A51E0"/>
    <w:rsid w:val="004A5305"/>
    <w:rsid w:val="004A57FA"/>
    <w:rsid w:val="004A5D79"/>
    <w:rsid w:val="004B0074"/>
    <w:rsid w:val="004B0382"/>
    <w:rsid w:val="004B0FC4"/>
    <w:rsid w:val="004B11B2"/>
    <w:rsid w:val="004B12C2"/>
    <w:rsid w:val="004B1676"/>
    <w:rsid w:val="004B25B0"/>
    <w:rsid w:val="004B27FE"/>
    <w:rsid w:val="004B2AA0"/>
    <w:rsid w:val="004B370F"/>
    <w:rsid w:val="004B3F5C"/>
    <w:rsid w:val="004B4139"/>
    <w:rsid w:val="004B428D"/>
    <w:rsid w:val="004B47B2"/>
    <w:rsid w:val="004B4A60"/>
    <w:rsid w:val="004B5442"/>
    <w:rsid w:val="004B5904"/>
    <w:rsid w:val="004B5F87"/>
    <w:rsid w:val="004B6821"/>
    <w:rsid w:val="004B6B94"/>
    <w:rsid w:val="004B73D6"/>
    <w:rsid w:val="004B7CE2"/>
    <w:rsid w:val="004B7F82"/>
    <w:rsid w:val="004C0B8C"/>
    <w:rsid w:val="004C1D1A"/>
    <w:rsid w:val="004C203F"/>
    <w:rsid w:val="004C24BD"/>
    <w:rsid w:val="004C27D5"/>
    <w:rsid w:val="004C2B06"/>
    <w:rsid w:val="004C3D09"/>
    <w:rsid w:val="004C3DBD"/>
    <w:rsid w:val="004C3E2A"/>
    <w:rsid w:val="004C4868"/>
    <w:rsid w:val="004C497A"/>
    <w:rsid w:val="004C5987"/>
    <w:rsid w:val="004C6FE1"/>
    <w:rsid w:val="004C7024"/>
    <w:rsid w:val="004D03CB"/>
    <w:rsid w:val="004D0934"/>
    <w:rsid w:val="004D142A"/>
    <w:rsid w:val="004D31A2"/>
    <w:rsid w:val="004D3EB6"/>
    <w:rsid w:val="004D49E3"/>
    <w:rsid w:val="004D4FB5"/>
    <w:rsid w:val="004D5600"/>
    <w:rsid w:val="004D7634"/>
    <w:rsid w:val="004E1FE4"/>
    <w:rsid w:val="004E214E"/>
    <w:rsid w:val="004E21B3"/>
    <w:rsid w:val="004E3275"/>
    <w:rsid w:val="004E39E2"/>
    <w:rsid w:val="004E47D0"/>
    <w:rsid w:val="004E499F"/>
    <w:rsid w:val="004E5893"/>
    <w:rsid w:val="004E5EDD"/>
    <w:rsid w:val="004E65F3"/>
    <w:rsid w:val="004E6DA1"/>
    <w:rsid w:val="004E6EB0"/>
    <w:rsid w:val="004E700F"/>
    <w:rsid w:val="004E74C8"/>
    <w:rsid w:val="004E74DF"/>
    <w:rsid w:val="004F0408"/>
    <w:rsid w:val="004F19FB"/>
    <w:rsid w:val="004F24B5"/>
    <w:rsid w:val="004F2597"/>
    <w:rsid w:val="004F4032"/>
    <w:rsid w:val="004F43CD"/>
    <w:rsid w:val="004F4552"/>
    <w:rsid w:val="004F5032"/>
    <w:rsid w:val="004F569D"/>
    <w:rsid w:val="004F6361"/>
    <w:rsid w:val="004F68C4"/>
    <w:rsid w:val="00500A28"/>
    <w:rsid w:val="005014A3"/>
    <w:rsid w:val="005019D0"/>
    <w:rsid w:val="00501A6B"/>
    <w:rsid w:val="00501DC9"/>
    <w:rsid w:val="0050269F"/>
    <w:rsid w:val="0050282B"/>
    <w:rsid w:val="0050318E"/>
    <w:rsid w:val="00503BA2"/>
    <w:rsid w:val="00503EB5"/>
    <w:rsid w:val="00504458"/>
    <w:rsid w:val="00504D75"/>
    <w:rsid w:val="00504DE2"/>
    <w:rsid w:val="00505153"/>
    <w:rsid w:val="00505281"/>
    <w:rsid w:val="0050528C"/>
    <w:rsid w:val="00505673"/>
    <w:rsid w:val="00506B35"/>
    <w:rsid w:val="00507C8B"/>
    <w:rsid w:val="00510059"/>
    <w:rsid w:val="00510831"/>
    <w:rsid w:val="005114DD"/>
    <w:rsid w:val="005118A4"/>
    <w:rsid w:val="00512CC9"/>
    <w:rsid w:val="00513428"/>
    <w:rsid w:val="00513885"/>
    <w:rsid w:val="00513A6C"/>
    <w:rsid w:val="00514674"/>
    <w:rsid w:val="0051485D"/>
    <w:rsid w:val="00515246"/>
    <w:rsid w:val="00515C6C"/>
    <w:rsid w:val="00515F11"/>
    <w:rsid w:val="0051737B"/>
    <w:rsid w:val="00517DBC"/>
    <w:rsid w:val="00517E73"/>
    <w:rsid w:val="005206E2"/>
    <w:rsid w:val="00521378"/>
    <w:rsid w:val="005213F1"/>
    <w:rsid w:val="00522142"/>
    <w:rsid w:val="00522D49"/>
    <w:rsid w:val="00522DEB"/>
    <w:rsid w:val="005233AA"/>
    <w:rsid w:val="005236DB"/>
    <w:rsid w:val="00524B22"/>
    <w:rsid w:val="00524EFD"/>
    <w:rsid w:val="00526CB1"/>
    <w:rsid w:val="00527E4B"/>
    <w:rsid w:val="005300D3"/>
    <w:rsid w:val="00530569"/>
    <w:rsid w:val="005307C3"/>
    <w:rsid w:val="00530A8E"/>
    <w:rsid w:val="0053131E"/>
    <w:rsid w:val="00532748"/>
    <w:rsid w:val="00533B44"/>
    <w:rsid w:val="00533B5B"/>
    <w:rsid w:val="00533FEB"/>
    <w:rsid w:val="00535147"/>
    <w:rsid w:val="005359FB"/>
    <w:rsid w:val="00535BE9"/>
    <w:rsid w:val="0053648C"/>
    <w:rsid w:val="005367E5"/>
    <w:rsid w:val="00536884"/>
    <w:rsid w:val="00536B23"/>
    <w:rsid w:val="00537525"/>
    <w:rsid w:val="00537735"/>
    <w:rsid w:val="005379D4"/>
    <w:rsid w:val="0054060C"/>
    <w:rsid w:val="0054066A"/>
    <w:rsid w:val="0054090B"/>
    <w:rsid w:val="00541222"/>
    <w:rsid w:val="00541724"/>
    <w:rsid w:val="005427A9"/>
    <w:rsid w:val="005429C6"/>
    <w:rsid w:val="0054305C"/>
    <w:rsid w:val="00543502"/>
    <w:rsid w:val="00543F74"/>
    <w:rsid w:val="00544019"/>
    <w:rsid w:val="00544F82"/>
    <w:rsid w:val="00545484"/>
    <w:rsid w:val="00546550"/>
    <w:rsid w:val="005470D9"/>
    <w:rsid w:val="00547653"/>
    <w:rsid w:val="0055024D"/>
    <w:rsid w:val="005505D0"/>
    <w:rsid w:val="00551A54"/>
    <w:rsid w:val="00551CF1"/>
    <w:rsid w:val="0055300C"/>
    <w:rsid w:val="005539CD"/>
    <w:rsid w:val="00554AF3"/>
    <w:rsid w:val="00554BC1"/>
    <w:rsid w:val="00556498"/>
    <w:rsid w:val="005575A4"/>
    <w:rsid w:val="0056082B"/>
    <w:rsid w:val="005609BC"/>
    <w:rsid w:val="00560C53"/>
    <w:rsid w:val="00561796"/>
    <w:rsid w:val="00562294"/>
    <w:rsid w:val="005626E0"/>
    <w:rsid w:val="0056286A"/>
    <w:rsid w:val="00564ABA"/>
    <w:rsid w:val="00564C4E"/>
    <w:rsid w:val="00565193"/>
    <w:rsid w:val="00565841"/>
    <w:rsid w:val="005672F4"/>
    <w:rsid w:val="0057046A"/>
    <w:rsid w:val="00570511"/>
    <w:rsid w:val="0057063C"/>
    <w:rsid w:val="00570D80"/>
    <w:rsid w:val="00572213"/>
    <w:rsid w:val="00574084"/>
    <w:rsid w:val="005745EF"/>
    <w:rsid w:val="0057472E"/>
    <w:rsid w:val="00574FB3"/>
    <w:rsid w:val="005758E2"/>
    <w:rsid w:val="00575D04"/>
    <w:rsid w:val="00575E42"/>
    <w:rsid w:val="005766AC"/>
    <w:rsid w:val="00577129"/>
    <w:rsid w:val="005776E1"/>
    <w:rsid w:val="0057777C"/>
    <w:rsid w:val="00577CB1"/>
    <w:rsid w:val="00577EC1"/>
    <w:rsid w:val="0058064D"/>
    <w:rsid w:val="0058075D"/>
    <w:rsid w:val="00580F3A"/>
    <w:rsid w:val="00581C4D"/>
    <w:rsid w:val="00581F52"/>
    <w:rsid w:val="005823A4"/>
    <w:rsid w:val="00582420"/>
    <w:rsid w:val="0058248D"/>
    <w:rsid w:val="00582B8C"/>
    <w:rsid w:val="005841EE"/>
    <w:rsid w:val="00584F15"/>
    <w:rsid w:val="00584F27"/>
    <w:rsid w:val="005858F1"/>
    <w:rsid w:val="0058644D"/>
    <w:rsid w:val="00586538"/>
    <w:rsid w:val="00587758"/>
    <w:rsid w:val="005879B0"/>
    <w:rsid w:val="00587A4B"/>
    <w:rsid w:val="00590A4F"/>
    <w:rsid w:val="00591425"/>
    <w:rsid w:val="00591A13"/>
    <w:rsid w:val="00591EE7"/>
    <w:rsid w:val="005925C3"/>
    <w:rsid w:val="0059268F"/>
    <w:rsid w:val="0059314A"/>
    <w:rsid w:val="005935AC"/>
    <w:rsid w:val="00593853"/>
    <w:rsid w:val="00593BFB"/>
    <w:rsid w:val="00593C4F"/>
    <w:rsid w:val="005946A8"/>
    <w:rsid w:val="00595744"/>
    <w:rsid w:val="005959BB"/>
    <w:rsid w:val="00596C97"/>
    <w:rsid w:val="00596D0A"/>
    <w:rsid w:val="00596E8D"/>
    <w:rsid w:val="00597494"/>
    <w:rsid w:val="005A00FD"/>
    <w:rsid w:val="005A0536"/>
    <w:rsid w:val="005A05EE"/>
    <w:rsid w:val="005A158B"/>
    <w:rsid w:val="005A1AD2"/>
    <w:rsid w:val="005A24F3"/>
    <w:rsid w:val="005A2829"/>
    <w:rsid w:val="005A2E94"/>
    <w:rsid w:val="005A36C1"/>
    <w:rsid w:val="005A38D6"/>
    <w:rsid w:val="005A38F3"/>
    <w:rsid w:val="005A3B54"/>
    <w:rsid w:val="005A4114"/>
    <w:rsid w:val="005A4191"/>
    <w:rsid w:val="005A4407"/>
    <w:rsid w:val="005A49FD"/>
    <w:rsid w:val="005A4C09"/>
    <w:rsid w:val="005A559B"/>
    <w:rsid w:val="005A59EF"/>
    <w:rsid w:val="005A5C18"/>
    <w:rsid w:val="005A5DD8"/>
    <w:rsid w:val="005A624E"/>
    <w:rsid w:val="005A7139"/>
    <w:rsid w:val="005A7891"/>
    <w:rsid w:val="005B0AEB"/>
    <w:rsid w:val="005B0BBE"/>
    <w:rsid w:val="005B0E4C"/>
    <w:rsid w:val="005B1078"/>
    <w:rsid w:val="005B1CB8"/>
    <w:rsid w:val="005B21FE"/>
    <w:rsid w:val="005B289C"/>
    <w:rsid w:val="005B2A18"/>
    <w:rsid w:val="005B2B95"/>
    <w:rsid w:val="005B3825"/>
    <w:rsid w:val="005B3B6C"/>
    <w:rsid w:val="005B3F3E"/>
    <w:rsid w:val="005B424B"/>
    <w:rsid w:val="005B4D19"/>
    <w:rsid w:val="005B5FF8"/>
    <w:rsid w:val="005B6583"/>
    <w:rsid w:val="005C0BD6"/>
    <w:rsid w:val="005C0C94"/>
    <w:rsid w:val="005C0CD4"/>
    <w:rsid w:val="005C0F04"/>
    <w:rsid w:val="005C13F0"/>
    <w:rsid w:val="005C14B4"/>
    <w:rsid w:val="005C2383"/>
    <w:rsid w:val="005C361E"/>
    <w:rsid w:val="005C3F2A"/>
    <w:rsid w:val="005C4862"/>
    <w:rsid w:val="005C50CB"/>
    <w:rsid w:val="005C599C"/>
    <w:rsid w:val="005C63A8"/>
    <w:rsid w:val="005C7B2B"/>
    <w:rsid w:val="005D0F1F"/>
    <w:rsid w:val="005D1429"/>
    <w:rsid w:val="005D215E"/>
    <w:rsid w:val="005D3655"/>
    <w:rsid w:val="005D3998"/>
    <w:rsid w:val="005D492F"/>
    <w:rsid w:val="005D4E62"/>
    <w:rsid w:val="005D52B3"/>
    <w:rsid w:val="005D539E"/>
    <w:rsid w:val="005D6385"/>
    <w:rsid w:val="005D6F30"/>
    <w:rsid w:val="005D7748"/>
    <w:rsid w:val="005D790C"/>
    <w:rsid w:val="005E008F"/>
    <w:rsid w:val="005E099D"/>
    <w:rsid w:val="005E0EDE"/>
    <w:rsid w:val="005E10CF"/>
    <w:rsid w:val="005E189C"/>
    <w:rsid w:val="005E1DD4"/>
    <w:rsid w:val="005E2458"/>
    <w:rsid w:val="005E2563"/>
    <w:rsid w:val="005E343D"/>
    <w:rsid w:val="005E3CAA"/>
    <w:rsid w:val="005E438D"/>
    <w:rsid w:val="005E4D01"/>
    <w:rsid w:val="005E54E9"/>
    <w:rsid w:val="005E5875"/>
    <w:rsid w:val="005E5ED5"/>
    <w:rsid w:val="005E654A"/>
    <w:rsid w:val="005E6915"/>
    <w:rsid w:val="005E6D07"/>
    <w:rsid w:val="005E7111"/>
    <w:rsid w:val="005E7908"/>
    <w:rsid w:val="005E7991"/>
    <w:rsid w:val="005E7C1F"/>
    <w:rsid w:val="005F041B"/>
    <w:rsid w:val="005F1971"/>
    <w:rsid w:val="005F2625"/>
    <w:rsid w:val="005F26F3"/>
    <w:rsid w:val="005F3318"/>
    <w:rsid w:val="005F3359"/>
    <w:rsid w:val="005F3710"/>
    <w:rsid w:val="005F493B"/>
    <w:rsid w:val="005F4B51"/>
    <w:rsid w:val="005F4BA3"/>
    <w:rsid w:val="005F562F"/>
    <w:rsid w:val="005F65B1"/>
    <w:rsid w:val="005F6F41"/>
    <w:rsid w:val="005F770D"/>
    <w:rsid w:val="005F7A7E"/>
    <w:rsid w:val="00600176"/>
    <w:rsid w:val="00600D39"/>
    <w:rsid w:val="00601082"/>
    <w:rsid w:val="0060185B"/>
    <w:rsid w:val="00602A51"/>
    <w:rsid w:val="00602AC4"/>
    <w:rsid w:val="00602AEA"/>
    <w:rsid w:val="006038CC"/>
    <w:rsid w:val="00603AF2"/>
    <w:rsid w:val="006043B8"/>
    <w:rsid w:val="00604D50"/>
    <w:rsid w:val="00605168"/>
    <w:rsid w:val="006055B1"/>
    <w:rsid w:val="00605810"/>
    <w:rsid w:val="0060586A"/>
    <w:rsid w:val="00605B89"/>
    <w:rsid w:val="0060604C"/>
    <w:rsid w:val="006061CD"/>
    <w:rsid w:val="0060659D"/>
    <w:rsid w:val="00606C68"/>
    <w:rsid w:val="00606F6A"/>
    <w:rsid w:val="006100C2"/>
    <w:rsid w:val="006105D5"/>
    <w:rsid w:val="0061061E"/>
    <w:rsid w:val="00610853"/>
    <w:rsid w:val="00610D7A"/>
    <w:rsid w:val="00611BAF"/>
    <w:rsid w:val="00611E61"/>
    <w:rsid w:val="00612058"/>
    <w:rsid w:val="006132E4"/>
    <w:rsid w:val="00613A17"/>
    <w:rsid w:val="00613AE5"/>
    <w:rsid w:val="00614BCD"/>
    <w:rsid w:val="00615A42"/>
    <w:rsid w:val="00616689"/>
    <w:rsid w:val="006173C7"/>
    <w:rsid w:val="0061769C"/>
    <w:rsid w:val="006205BB"/>
    <w:rsid w:val="00621520"/>
    <w:rsid w:val="006218F4"/>
    <w:rsid w:val="00621A12"/>
    <w:rsid w:val="00621ABE"/>
    <w:rsid w:val="00622414"/>
    <w:rsid w:val="006229FA"/>
    <w:rsid w:val="006235E2"/>
    <w:rsid w:val="006236DA"/>
    <w:rsid w:val="00623D9D"/>
    <w:rsid w:val="00624952"/>
    <w:rsid w:val="006250EC"/>
    <w:rsid w:val="00625642"/>
    <w:rsid w:val="00625DC6"/>
    <w:rsid w:val="00626C69"/>
    <w:rsid w:val="00627B30"/>
    <w:rsid w:val="006301EC"/>
    <w:rsid w:val="00630697"/>
    <w:rsid w:val="0063084B"/>
    <w:rsid w:val="006310E9"/>
    <w:rsid w:val="00631535"/>
    <w:rsid w:val="0063153F"/>
    <w:rsid w:val="00632BB1"/>
    <w:rsid w:val="00632C3D"/>
    <w:rsid w:val="00633102"/>
    <w:rsid w:val="00633485"/>
    <w:rsid w:val="0063353C"/>
    <w:rsid w:val="00634194"/>
    <w:rsid w:val="00635170"/>
    <w:rsid w:val="00635A91"/>
    <w:rsid w:val="00635D20"/>
    <w:rsid w:val="006363D0"/>
    <w:rsid w:val="006366A7"/>
    <w:rsid w:val="0064008D"/>
    <w:rsid w:val="00640274"/>
    <w:rsid w:val="00640FA4"/>
    <w:rsid w:val="0064111E"/>
    <w:rsid w:val="0064117E"/>
    <w:rsid w:val="00641483"/>
    <w:rsid w:val="00642010"/>
    <w:rsid w:val="0064391D"/>
    <w:rsid w:val="00643EAD"/>
    <w:rsid w:val="00644013"/>
    <w:rsid w:val="00644451"/>
    <w:rsid w:val="006444D4"/>
    <w:rsid w:val="00644712"/>
    <w:rsid w:val="00644BBC"/>
    <w:rsid w:val="00644D44"/>
    <w:rsid w:val="006455EA"/>
    <w:rsid w:val="006459A5"/>
    <w:rsid w:val="006462F7"/>
    <w:rsid w:val="00646582"/>
    <w:rsid w:val="00646655"/>
    <w:rsid w:val="00646950"/>
    <w:rsid w:val="00646F7B"/>
    <w:rsid w:val="00647634"/>
    <w:rsid w:val="00647C1D"/>
    <w:rsid w:val="006500A8"/>
    <w:rsid w:val="006509FD"/>
    <w:rsid w:val="00650E29"/>
    <w:rsid w:val="00651218"/>
    <w:rsid w:val="00651249"/>
    <w:rsid w:val="00651821"/>
    <w:rsid w:val="00652548"/>
    <w:rsid w:val="0065280B"/>
    <w:rsid w:val="00652DB2"/>
    <w:rsid w:val="00652DE4"/>
    <w:rsid w:val="0065393F"/>
    <w:rsid w:val="00653C26"/>
    <w:rsid w:val="00653FF5"/>
    <w:rsid w:val="00654117"/>
    <w:rsid w:val="00654384"/>
    <w:rsid w:val="00654B37"/>
    <w:rsid w:val="00654F3E"/>
    <w:rsid w:val="00655782"/>
    <w:rsid w:val="00655805"/>
    <w:rsid w:val="0065599E"/>
    <w:rsid w:val="00656128"/>
    <w:rsid w:val="00657695"/>
    <w:rsid w:val="00660E08"/>
    <w:rsid w:val="006632DB"/>
    <w:rsid w:val="006645AA"/>
    <w:rsid w:val="00664A68"/>
    <w:rsid w:val="006666EB"/>
    <w:rsid w:val="00666FC9"/>
    <w:rsid w:val="006673B1"/>
    <w:rsid w:val="006675CD"/>
    <w:rsid w:val="00667F2A"/>
    <w:rsid w:val="006706EF"/>
    <w:rsid w:val="00670F1A"/>
    <w:rsid w:val="00670F7F"/>
    <w:rsid w:val="00671FC5"/>
    <w:rsid w:val="006725A2"/>
    <w:rsid w:val="00672A65"/>
    <w:rsid w:val="00672AA9"/>
    <w:rsid w:val="006731BA"/>
    <w:rsid w:val="00673468"/>
    <w:rsid w:val="00673885"/>
    <w:rsid w:val="006739F4"/>
    <w:rsid w:val="0067411C"/>
    <w:rsid w:val="00674125"/>
    <w:rsid w:val="00674921"/>
    <w:rsid w:val="00674C62"/>
    <w:rsid w:val="00674D4E"/>
    <w:rsid w:val="00675CCE"/>
    <w:rsid w:val="0067698E"/>
    <w:rsid w:val="00676A0D"/>
    <w:rsid w:val="00677099"/>
    <w:rsid w:val="006776CF"/>
    <w:rsid w:val="00677F5E"/>
    <w:rsid w:val="00680CCA"/>
    <w:rsid w:val="006829AD"/>
    <w:rsid w:val="00682A8D"/>
    <w:rsid w:val="00682AA2"/>
    <w:rsid w:val="00683161"/>
    <w:rsid w:val="00683F0F"/>
    <w:rsid w:val="00684919"/>
    <w:rsid w:val="00684AB3"/>
    <w:rsid w:val="00684AC8"/>
    <w:rsid w:val="00684D9B"/>
    <w:rsid w:val="006854E5"/>
    <w:rsid w:val="00685915"/>
    <w:rsid w:val="00685EE8"/>
    <w:rsid w:val="006861EF"/>
    <w:rsid w:val="00686C91"/>
    <w:rsid w:val="00686CBD"/>
    <w:rsid w:val="0068781A"/>
    <w:rsid w:val="00690155"/>
    <w:rsid w:val="0069091A"/>
    <w:rsid w:val="00690AC9"/>
    <w:rsid w:val="00690FA7"/>
    <w:rsid w:val="00691D21"/>
    <w:rsid w:val="00691EFE"/>
    <w:rsid w:val="0069208C"/>
    <w:rsid w:val="00692B0E"/>
    <w:rsid w:val="00692D63"/>
    <w:rsid w:val="0069352A"/>
    <w:rsid w:val="00694885"/>
    <w:rsid w:val="00694BC8"/>
    <w:rsid w:val="00694E03"/>
    <w:rsid w:val="00696554"/>
    <w:rsid w:val="00696592"/>
    <w:rsid w:val="00696618"/>
    <w:rsid w:val="006966DC"/>
    <w:rsid w:val="00696CF4"/>
    <w:rsid w:val="006970CF"/>
    <w:rsid w:val="00697556"/>
    <w:rsid w:val="006A0F3F"/>
    <w:rsid w:val="006A14B5"/>
    <w:rsid w:val="006A2161"/>
    <w:rsid w:val="006A2E43"/>
    <w:rsid w:val="006A32BB"/>
    <w:rsid w:val="006A33FF"/>
    <w:rsid w:val="006A42F9"/>
    <w:rsid w:val="006A4548"/>
    <w:rsid w:val="006A4DA4"/>
    <w:rsid w:val="006A5BD7"/>
    <w:rsid w:val="006A61E7"/>
    <w:rsid w:val="006A71B1"/>
    <w:rsid w:val="006A71F5"/>
    <w:rsid w:val="006A7392"/>
    <w:rsid w:val="006A7868"/>
    <w:rsid w:val="006B0EAB"/>
    <w:rsid w:val="006B12CB"/>
    <w:rsid w:val="006B23A9"/>
    <w:rsid w:val="006B2AC4"/>
    <w:rsid w:val="006B2C70"/>
    <w:rsid w:val="006B2CA2"/>
    <w:rsid w:val="006B3540"/>
    <w:rsid w:val="006B3A25"/>
    <w:rsid w:val="006B3E48"/>
    <w:rsid w:val="006B438E"/>
    <w:rsid w:val="006B4647"/>
    <w:rsid w:val="006B481B"/>
    <w:rsid w:val="006B491B"/>
    <w:rsid w:val="006B4C2B"/>
    <w:rsid w:val="006B5131"/>
    <w:rsid w:val="006B6D47"/>
    <w:rsid w:val="006B6DA5"/>
    <w:rsid w:val="006B6EB7"/>
    <w:rsid w:val="006B7101"/>
    <w:rsid w:val="006B7DCE"/>
    <w:rsid w:val="006C035B"/>
    <w:rsid w:val="006C0ED5"/>
    <w:rsid w:val="006C2A8E"/>
    <w:rsid w:val="006C3136"/>
    <w:rsid w:val="006C4101"/>
    <w:rsid w:val="006C4F01"/>
    <w:rsid w:val="006C51CA"/>
    <w:rsid w:val="006C5AFE"/>
    <w:rsid w:val="006C5DF0"/>
    <w:rsid w:val="006C5F79"/>
    <w:rsid w:val="006C5F80"/>
    <w:rsid w:val="006C79EB"/>
    <w:rsid w:val="006D0453"/>
    <w:rsid w:val="006D0550"/>
    <w:rsid w:val="006D0E7F"/>
    <w:rsid w:val="006D2557"/>
    <w:rsid w:val="006D2817"/>
    <w:rsid w:val="006D394A"/>
    <w:rsid w:val="006D3BEB"/>
    <w:rsid w:val="006D3C42"/>
    <w:rsid w:val="006D3E0D"/>
    <w:rsid w:val="006D3F38"/>
    <w:rsid w:val="006D489D"/>
    <w:rsid w:val="006D50F4"/>
    <w:rsid w:val="006D594A"/>
    <w:rsid w:val="006D5A35"/>
    <w:rsid w:val="006D643D"/>
    <w:rsid w:val="006D6563"/>
    <w:rsid w:val="006D73D6"/>
    <w:rsid w:val="006D757F"/>
    <w:rsid w:val="006D77C2"/>
    <w:rsid w:val="006D7C8F"/>
    <w:rsid w:val="006D7EEB"/>
    <w:rsid w:val="006D7EF7"/>
    <w:rsid w:val="006E0D31"/>
    <w:rsid w:val="006E2120"/>
    <w:rsid w:val="006E22B6"/>
    <w:rsid w:val="006E24AF"/>
    <w:rsid w:val="006E2A92"/>
    <w:rsid w:val="006E36D6"/>
    <w:rsid w:val="006E42CE"/>
    <w:rsid w:val="006E443E"/>
    <w:rsid w:val="006E5435"/>
    <w:rsid w:val="006E654E"/>
    <w:rsid w:val="006E6A53"/>
    <w:rsid w:val="006E712D"/>
    <w:rsid w:val="006F0147"/>
    <w:rsid w:val="006F1914"/>
    <w:rsid w:val="006F2052"/>
    <w:rsid w:val="006F2F91"/>
    <w:rsid w:val="006F4C1B"/>
    <w:rsid w:val="006F55A6"/>
    <w:rsid w:val="006F57C3"/>
    <w:rsid w:val="006F5AA7"/>
    <w:rsid w:val="006F5AD7"/>
    <w:rsid w:val="006F611E"/>
    <w:rsid w:val="006F65EE"/>
    <w:rsid w:val="006F6A9F"/>
    <w:rsid w:val="006F6D95"/>
    <w:rsid w:val="006F74A5"/>
    <w:rsid w:val="006F75C6"/>
    <w:rsid w:val="006F7B4F"/>
    <w:rsid w:val="0070130A"/>
    <w:rsid w:val="0070157F"/>
    <w:rsid w:val="00701F4A"/>
    <w:rsid w:val="00701FB5"/>
    <w:rsid w:val="007026B9"/>
    <w:rsid w:val="00702CC9"/>
    <w:rsid w:val="00702DFD"/>
    <w:rsid w:val="00703123"/>
    <w:rsid w:val="007031F7"/>
    <w:rsid w:val="00704B23"/>
    <w:rsid w:val="0070524E"/>
    <w:rsid w:val="00706506"/>
    <w:rsid w:val="0070698A"/>
    <w:rsid w:val="00706F13"/>
    <w:rsid w:val="00706F5F"/>
    <w:rsid w:val="00706FFA"/>
    <w:rsid w:val="0070702E"/>
    <w:rsid w:val="00707180"/>
    <w:rsid w:val="007072E8"/>
    <w:rsid w:val="00707ABF"/>
    <w:rsid w:val="0071081E"/>
    <w:rsid w:val="00711391"/>
    <w:rsid w:val="00712D37"/>
    <w:rsid w:val="007130D0"/>
    <w:rsid w:val="00713100"/>
    <w:rsid w:val="007132F9"/>
    <w:rsid w:val="00713D0E"/>
    <w:rsid w:val="00713EC6"/>
    <w:rsid w:val="00714EB2"/>
    <w:rsid w:val="007158C6"/>
    <w:rsid w:val="007160FE"/>
    <w:rsid w:val="0071618D"/>
    <w:rsid w:val="00716EA8"/>
    <w:rsid w:val="0072061B"/>
    <w:rsid w:val="00720985"/>
    <w:rsid w:val="0072154E"/>
    <w:rsid w:val="0072197D"/>
    <w:rsid w:val="00721A16"/>
    <w:rsid w:val="00721CB1"/>
    <w:rsid w:val="00721F7B"/>
    <w:rsid w:val="007224EF"/>
    <w:rsid w:val="00722504"/>
    <w:rsid w:val="007234AF"/>
    <w:rsid w:val="00723806"/>
    <w:rsid w:val="007241B7"/>
    <w:rsid w:val="007242D4"/>
    <w:rsid w:val="007245E2"/>
    <w:rsid w:val="00725FA4"/>
    <w:rsid w:val="007267A9"/>
    <w:rsid w:val="00726EEB"/>
    <w:rsid w:val="0072749E"/>
    <w:rsid w:val="00727F83"/>
    <w:rsid w:val="007304D6"/>
    <w:rsid w:val="00731156"/>
    <w:rsid w:val="007313E8"/>
    <w:rsid w:val="0073143C"/>
    <w:rsid w:val="007319CF"/>
    <w:rsid w:val="00731B22"/>
    <w:rsid w:val="007325B0"/>
    <w:rsid w:val="00733C9A"/>
    <w:rsid w:val="00734321"/>
    <w:rsid w:val="0073597E"/>
    <w:rsid w:val="00736377"/>
    <w:rsid w:val="00736F10"/>
    <w:rsid w:val="00737268"/>
    <w:rsid w:val="007402FF"/>
    <w:rsid w:val="00740446"/>
    <w:rsid w:val="00741712"/>
    <w:rsid w:val="007427CC"/>
    <w:rsid w:val="007434E2"/>
    <w:rsid w:val="00743809"/>
    <w:rsid w:val="007438A9"/>
    <w:rsid w:val="00743CCE"/>
    <w:rsid w:val="0074491E"/>
    <w:rsid w:val="00745325"/>
    <w:rsid w:val="00745D50"/>
    <w:rsid w:val="00746489"/>
    <w:rsid w:val="00746AEF"/>
    <w:rsid w:val="00747B9D"/>
    <w:rsid w:val="00747C13"/>
    <w:rsid w:val="0075075C"/>
    <w:rsid w:val="00751970"/>
    <w:rsid w:val="00751E8F"/>
    <w:rsid w:val="00752031"/>
    <w:rsid w:val="00753C4B"/>
    <w:rsid w:val="007546D0"/>
    <w:rsid w:val="00754AE0"/>
    <w:rsid w:val="00754E32"/>
    <w:rsid w:val="00756468"/>
    <w:rsid w:val="007567E2"/>
    <w:rsid w:val="00756DFA"/>
    <w:rsid w:val="00756EC3"/>
    <w:rsid w:val="00757462"/>
    <w:rsid w:val="00757A3E"/>
    <w:rsid w:val="00757B24"/>
    <w:rsid w:val="00760160"/>
    <w:rsid w:val="00761339"/>
    <w:rsid w:val="007616CD"/>
    <w:rsid w:val="00761A28"/>
    <w:rsid w:val="00761F02"/>
    <w:rsid w:val="0076247A"/>
    <w:rsid w:val="007624BB"/>
    <w:rsid w:val="00762E7E"/>
    <w:rsid w:val="007636CA"/>
    <w:rsid w:val="00763E5B"/>
    <w:rsid w:val="007644E1"/>
    <w:rsid w:val="00764956"/>
    <w:rsid w:val="00764FC5"/>
    <w:rsid w:val="00765BF3"/>
    <w:rsid w:val="0076635A"/>
    <w:rsid w:val="007667A8"/>
    <w:rsid w:val="00766F53"/>
    <w:rsid w:val="0076777C"/>
    <w:rsid w:val="00770203"/>
    <w:rsid w:val="00770391"/>
    <w:rsid w:val="00770C05"/>
    <w:rsid w:val="0077189E"/>
    <w:rsid w:val="00772CB0"/>
    <w:rsid w:val="007732A6"/>
    <w:rsid w:val="00773386"/>
    <w:rsid w:val="00774B8D"/>
    <w:rsid w:val="00774FF8"/>
    <w:rsid w:val="00775271"/>
    <w:rsid w:val="00775964"/>
    <w:rsid w:val="00775C47"/>
    <w:rsid w:val="00776159"/>
    <w:rsid w:val="007765FE"/>
    <w:rsid w:val="00776775"/>
    <w:rsid w:val="00776A7A"/>
    <w:rsid w:val="00776BD0"/>
    <w:rsid w:val="00777DBF"/>
    <w:rsid w:val="00780489"/>
    <w:rsid w:val="0078052E"/>
    <w:rsid w:val="007810BE"/>
    <w:rsid w:val="007818F2"/>
    <w:rsid w:val="00781E11"/>
    <w:rsid w:val="00782BA7"/>
    <w:rsid w:val="007833A7"/>
    <w:rsid w:val="007833C9"/>
    <w:rsid w:val="007838D1"/>
    <w:rsid w:val="00785730"/>
    <w:rsid w:val="00786458"/>
    <w:rsid w:val="00787219"/>
    <w:rsid w:val="00787FFA"/>
    <w:rsid w:val="00790034"/>
    <w:rsid w:val="007902A0"/>
    <w:rsid w:val="007905F7"/>
    <w:rsid w:val="00790ABF"/>
    <w:rsid w:val="00790E66"/>
    <w:rsid w:val="00792487"/>
    <w:rsid w:val="00794353"/>
    <w:rsid w:val="00794BAC"/>
    <w:rsid w:val="00794E60"/>
    <w:rsid w:val="007951A8"/>
    <w:rsid w:val="00795B57"/>
    <w:rsid w:val="00795BFB"/>
    <w:rsid w:val="0079655C"/>
    <w:rsid w:val="0079750B"/>
    <w:rsid w:val="007A0C15"/>
    <w:rsid w:val="007A0CF3"/>
    <w:rsid w:val="007A0F38"/>
    <w:rsid w:val="007A10D6"/>
    <w:rsid w:val="007A1BA2"/>
    <w:rsid w:val="007A223A"/>
    <w:rsid w:val="007A299D"/>
    <w:rsid w:val="007A4519"/>
    <w:rsid w:val="007A4753"/>
    <w:rsid w:val="007A570A"/>
    <w:rsid w:val="007A59A0"/>
    <w:rsid w:val="007A5A0A"/>
    <w:rsid w:val="007A5A47"/>
    <w:rsid w:val="007A6139"/>
    <w:rsid w:val="007A6F7F"/>
    <w:rsid w:val="007A766F"/>
    <w:rsid w:val="007A7D76"/>
    <w:rsid w:val="007A7E06"/>
    <w:rsid w:val="007B095A"/>
    <w:rsid w:val="007B0989"/>
    <w:rsid w:val="007B0F22"/>
    <w:rsid w:val="007B2424"/>
    <w:rsid w:val="007B2617"/>
    <w:rsid w:val="007B2760"/>
    <w:rsid w:val="007B35F6"/>
    <w:rsid w:val="007B361C"/>
    <w:rsid w:val="007B4F3D"/>
    <w:rsid w:val="007B5D12"/>
    <w:rsid w:val="007B5E9A"/>
    <w:rsid w:val="007B5F8B"/>
    <w:rsid w:val="007B6A62"/>
    <w:rsid w:val="007B71A2"/>
    <w:rsid w:val="007B7211"/>
    <w:rsid w:val="007B7859"/>
    <w:rsid w:val="007B796D"/>
    <w:rsid w:val="007C1C5C"/>
    <w:rsid w:val="007C266F"/>
    <w:rsid w:val="007C2CB7"/>
    <w:rsid w:val="007C3D92"/>
    <w:rsid w:val="007C51B6"/>
    <w:rsid w:val="007C52AB"/>
    <w:rsid w:val="007C543C"/>
    <w:rsid w:val="007C5765"/>
    <w:rsid w:val="007C5866"/>
    <w:rsid w:val="007C6311"/>
    <w:rsid w:val="007C6478"/>
    <w:rsid w:val="007C667B"/>
    <w:rsid w:val="007C6720"/>
    <w:rsid w:val="007C689F"/>
    <w:rsid w:val="007C6DF4"/>
    <w:rsid w:val="007D030C"/>
    <w:rsid w:val="007D0C55"/>
    <w:rsid w:val="007D0F59"/>
    <w:rsid w:val="007D10C6"/>
    <w:rsid w:val="007D139A"/>
    <w:rsid w:val="007D15B2"/>
    <w:rsid w:val="007D1E3E"/>
    <w:rsid w:val="007D2144"/>
    <w:rsid w:val="007D2BF0"/>
    <w:rsid w:val="007D2EB4"/>
    <w:rsid w:val="007D39F7"/>
    <w:rsid w:val="007D3F74"/>
    <w:rsid w:val="007D400B"/>
    <w:rsid w:val="007D40FE"/>
    <w:rsid w:val="007D47E9"/>
    <w:rsid w:val="007D4AC8"/>
    <w:rsid w:val="007D4BDB"/>
    <w:rsid w:val="007D5B60"/>
    <w:rsid w:val="007D793F"/>
    <w:rsid w:val="007E015A"/>
    <w:rsid w:val="007E01D6"/>
    <w:rsid w:val="007E0298"/>
    <w:rsid w:val="007E0CC2"/>
    <w:rsid w:val="007E0EE1"/>
    <w:rsid w:val="007E13C5"/>
    <w:rsid w:val="007E14A3"/>
    <w:rsid w:val="007E3184"/>
    <w:rsid w:val="007E34CC"/>
    <w:rsid w:val="007E4121"/>
    <w:rsid w:val="007E43C4"/>
    <w:rsid w:val="007E4A18"/>
    <w:rsid w:val="007E4A19"/>
    <w:rsid w:val="007E4AF0"/>
    <w:rsid w:val="007E6094"/>
    <w:rsid w:val="007E72CA"/>
    <w:rsid w:val="007E7590"/>
    <w:rsid w:val="007F0337"/>
    <w:rsid w:val="007F0361"/>
    <w:rsid w:val="007F0C9C"/>
    <w:rsid w:val="007F0D30"/>
    <w:rsid w:val="007F18A8"/>
    <w:rsid w:val="007F20DF"/>
    <w:rsid w:val="007F2631"/>
    <w:rsid w:val="007F3306"/>
    <w:rsid w:val="007F4514"/>
    <w:rsid w:val="007F4754"/>
    <w:rsid w:val="007F4EDE"/>
    <w:rsid w:val="007F523F"/>
    <w:rsid w:val="007F5801"/>
    <w:rsid w:val="007F5C72"/>
    <w:rsid w:val="007F5D28"/>
    <w:rsid w:val="007F60ED"/>
    <w:rsid w:val="007F657D"/>
    <w:rsid w:val="007F693B"/>
    <w:rsid w:val="007F7077"/>
    <w:rsid w:val="007F76DA"/>
    <w:rsid w:val="007F7E38"/>
    <w:rsid w:val="0080025F"/>
    <w:rsid w:val="00800BD9"/>
    <w:rsid w:val="00800E56"/>
    <w:rsid w:val="00800E64"/>
    <w:rsid w:val="00801FFA"/>
    <w:rsid w:val="008024FC"/>
    <w:rsid w:val="00802762"/>
    <w:rsid w:val="00802C8D"/>
    <w:rsid w:val="0080345F"/>
    <w:rsid w:val="0080425C"/>
    <w:rsid w:val="00804950"/>
    <w:rsid w:val="00804EEE"/>
    <w:rsid w:val="008050B8"/>
    <w:rsid w:val="00805567"/>
    <w:rsid w:val="00805874"/>
    <w:rsid w:val="00805A37"/>
    <w:rsid w:val="00805F15"/>
    <w:rsid w:val="00806C01"/>
    <w:rsid w:val="00807273"/>
    <w:rsid w:val="00807A08"/>
    <w:rsid w:val="00807F05"/>
    <w:rsid w:val="00810BE0"/>
    <w:rsid w:val="00812AD9"/>
    <w:rsid w:val="008137D1"/>
    <w:rsid w:val="00813839"/>
    <w:rsid w:val="00813908"/>
    <w:rsid w:val="00813C04"/>
    <w:rsid w:val="0081481D"/>
    <w:rsid w:val="008148CC"/>
    <w:rsid w:val="00814B85"/>
    <w:rsid w:val="00814D59"/>
    <w:rsid w:val="00814EE0"/>
    <w:rsid w:val="00815408"/>
    <w:rsid w:val="0081630D"/>
    <w:rsid w:val="008167B6"/>
    <w:rsid w:val="0081708A"/>
    <w:rsid w:val="00817625"/>
    <w:rsid w:val="00817846"/>
    <w:rsid w:val="00820794"/>
    <w:rsid w:val="008210A2"/>
    <w:rsid w:val="008211A4"/>
    <w:rsid w:val="00821797"/>
    <w:rsid w:val="00821A08"/>
    <w:rsid w:val="00821AA9"/>
    <w:rsid w:val="00822BE6"/>
    <w:rsid w:val="00822D51"/>
    <w:rsid w:val="0082340B"/>
    <w:rsid w:val="0082345D"/>
    <w:rsid w:val="0082417E"/>
    <w:rsid w:val="008248DF"/>
    <w:rsid w:val="008254FC"/>
    <w:rsid w:val="008263EB"/>
    <w:rsid w:val="00826AE0"/>
    <w:rsid w:val="00826CC6"/>
    <w:rsid w:val="0082750D"/>
    <w:rsid w:val="0082774E"/>
    <w:rsid w:val="00827893"/>
    <w:rsid w:val="008303E9"/>
    <w:rsid w:val="00830DFB"/>
    <w:rsid w:val="00831A19"/>
    <w:rsid w:val="00831DC1"/>
    <w:rsid w:val="0083274D"/>
    <w:rsid w:val="008334AE"/>
    <w:rsid w:val="008339A3"/>
    <w:rsid w:val="00833DC8"/>
    <w:rsid w:val="00834411"/>
    <w:rsid w:val="008346AF"/>
    <w:rsid w:val="00834A37"/>
    <w:rsid w:val="0083509A"/>
    <w:rsid w:val="00835290"/>
    <w:rsid w:val="008360FC"/>
    <w:rsid w:val="008365C2"/>
    <w:rsid w:val="00836609"/>
    <w:rsid w:val="008368F1"/>
    <w:rsid w:val="00836977"/>
    <w:rsid w:val="0083705E"/>
    <w:rsid w:val="0083734E"/>
    <w:rsid w:val="00837F44"/>
    <w:rsid w:val="008404DF"/>
    <w:rsid w:val="00841F41"/>
    <w:rsid w:val="00842138"/>
    <w:rsid w:val="00843CE8"/>
    <w:rsid w:val="00844603"/>
    <w:rsid w:val="00846EBD"/>
    <w:rsid w:val="0084730E"/>
    <w:rsid w:val="0084779A"/>
    <w:rsid w:val="008479FF"/>
    <w:rsid w:val="00847B74"/>
    <w:rsid w:val="00851155"/>
    <w:rsid w:val="00851C34"/>
    <w:rsid w:val="0085240E"/>
    <w:rsid w:val="008527B5"/>
    <w:rsid w:val="00852BA6"/>
    <w:rsid w:val="00852BBA"/>
    <w:rsid w:val="0085317C"/>
    <w:rsid w:val="0085379E"/>
    <w:rsid w:val="00853915"/>
    <w:rsid w:val="00853F5D"/>
    <w:rsid w:val="00854910"/>
    <w:rsid w:val="00854A95"/>
    <w:rsid w:val="00855277"/>
    <w:rsid w:val="0085560F"/>
    <w:rsid w:val="008557F9"/>
    <w:rsid w:val="0085582A"/>
    <w:rsid w:val="008561DA"/>
    <w:rsid w:val="00856DB0"/>
    <w:rsid w:val="00856FB5"/>
    <w:rsid w:val="008570D6"/>
    <w:rsid w:val="008577D0"/>
    <w:rsid w:val="00860101"/>
    <w:rsid w:val="00860C48"/>
    <w:rsid w:val="00862010"/>
    <w:rsid w:val="00862C82"/>
    <w:rsid w:val="00862FD1"/>
    <w:rsid w:val="00863B7D"/>
    <w:rsid w:val="008641A3"/>
    <w:rsid w:val="00864DF2"/>
    <w:rsid w:val="00865302"/>
    <w:rsid w:val="008657E9"/>
    <w:rsid w:val="00865DD0"/>
    <w:rsid w:val="00865F1E"/>
    <w:rsid w:val="00865FC7"/>
    <w:rsid w:val="00866B2F"/>
    <w:rsid w:val="0087001A"/>
    <w:rsid w:val="0087038A"/>
    <w:rsid w:val="00870498"/>
    <w:rsid w:val="0087054E"/>
    <w:rsid w:val="0087105D"/>
    <w:rsid w:val="00871127"/>
    <w:rsid w:val="00871381"/>
    <w:rsid w:val="00871AE7"/>
    <w:rsid w:val="008720ED"/>
    <w:rsid w:val="00872A86"/>
    <w:rsid w:val="00872ACB"/>
    <w:rsid w:val="00872FA6"/>
    <w:rsid w:val="00873150"/>
    <w:rsid w:val="008749B9"/>
    <w:rsid w:val="00874ADA"/>
    <w:rsid w:val="0087657D"/>
    <w:rsid w:val="00876CC1"/>
    <w:rsid w:val="008803F3"/>
    <w:rsid w:val="008807D5"/>
    <w:rsid w:val="00880832"/>
    <w:rsid w:val="008817B3"/>
    <w:rsid w:val="008817DA"/>
    <w:rsid w:val="00881968"/>
    <w:rsid w:val="00881A2C"/>
    <w:rsid w:val="00882046"/>
    <w:rsid w:val="00884344"/>
    <w:rsid w:val="0088438E"/>
    <w:rsid w:val="00884584"/>
    <w:rsid w:val="00884D15"/>
    <w:rsid w:val="00885BE0"/>
    <w:rsid w:val="00886992"/>
    <w:rsid w:val="00886EE1"/>
    <w:rsid w:val="0088727D"/>
    <w:rsid w:val="008874AE"/>
    <w:rsid w:val="00887778"/>
    <w:rsid w:val="00890C1C"/>
    <w:rsid w:val="008910BE"/>
    <w:rsid w:val="008916E7"/>
    <w:rsid w:val="00891C4A"/>
    <w:rsid w:val="00892933"/>
    <w:rsid w:val="00892C9F"/>
    <w:rsid w:val="00892FE7"/>
    <w:rsid w:val="0089361E"/>
    <w:rsid w:val="0089421C"/>
    <w:rsid w:val="00895B2C"/>
    <w:rsid w:val="00895C66"/>
    <w:rsid w:val="0089652A"/>
    <w:rsid w:val="00896DC1"/>
    <w:rsid w:val="008970D2"/>
    <w:rsid w:val="00897A5D"/>
    <w:rsid w:val="00897C75"/>
    <w:rsid w:val="008A0243"/>
    <w:rsid w:val="008A066F"/>
    <w:rsid w:val="008A0B31"/>
    <w:rsid w:val="008A205F"/>
    <w:rsid w:val="008A2549"/>
    <w:rsid w:val="008A2F58"/>
    <w:rsid w:val="008A38F4"/>
    <w:rsid w:val="008A4DD5"/>
    <w:rsid w:val="008A4F0C"/>
    <w:rsid w:val="008A5141"/>
    <w:rsid w:val="008A573A"/>
    <w:rsid w:val="008A58C5"/>
    <w:rsid w:val="008A5A4D"/>
    <w:rsid w:val="008A6FA1"/>
    <w:rsid w:val="008A72BE"/>
    <w:rsid w:val="008A756A"/>
    <w:rsid w:val="008A7885"/>
    <w:rsid w:val="008A7E41"/>
    <w:rsid w:val="008A7E58"/>
    <w:rsid w:val="008B0752"/>
    <w:rsid w:val="008B0BCA"/>
    <w:rsid w:val="008B0C20"/>
    <w:rsid w:val="008B1501"/>
    <w:rsid w:val="008B1543"/>
    <w:rsid w:val="008B173B"/>
    <w:rsid w:val="008B220D"/>
    <w:rsid w:val="008B2589"/>
    <w:rsid w:val="008B370B"/>
    <w:rsid w:val="008B385E"/>
    <w:rsid w:val="008B3B03"/>
    <w:rsid w:val="008B3C18"/>
    <w:rsid w:val="008B3D84"/>
    <w:rsid w:val="008B3E68"/>
    <w:rsid w:val="008B49A0"/>
    <w:rsid w:val="008B4BAD"/>
    <w:rsid w:val="008B549E"/>
    <w:rsid w:val="008B79DB"/>
    <w:rsid w:val="008B7F2D"/>
    <w:rsid w:val="008C0852"/>
    <w:rsid w:val="008C1130"/>
    <w:rsid w:val="008C1B6A"/>
    <w:rsid w:val="008C2048"/>
    <w:rsid w:val="008C2D5D"/>
    <w:rsid w:val="008C303A"/>
    <w:rsid w:val="008C3E52"/>
    <w:rsid w:val="008C401E"/>
    <w:rsid w:val="008C42F5"/>
    <w:rsid w:val="008C43DC"/>
    <w:rsid w:val="008C464D"/>
    <w:rsid w:val="008C4AE9"/>
    <w:rsid w:val="008C4BAE"/>
    <w:rsid w:val="008C4DB9"/>
    <w:rsid w:val="008C4DCC"/>
    <w:rsid w:val="008C4DD6"/>
    <w:rsid w:val="008C571F"/>
    <w:rsid w:val="008C62B9"/>
    <w:rsid w:val="008C66E6"/>
    <w:rsid w:val="008C66ED"/>
    <w:rsid w:val="008C7804"/>
    <w:rsid w:val="008C79A9"/>
    <w:rsid w:val="008C7FDB"/>
    <w:rsid w:val="008D1130"/>
    <w:rsid w:val="008D18E6"/>
    <w:rsid w:val="008D1CA0"/>
    <w:rsid w:val="008D227C"/>
    <w:rsid w:val="008D2C28"/>
    <w:rsid w:val="008D2F15"/>
    <w:rsid w:val="008D31DE"/>
    <w:rsid w:val="008D32F0"/>
    <w:rsid w:val="008D3424"/>
    <w:rsid w:val="008D36C8"/>
    <w:rsid w:val="008D4513"/>
    <w:rsid w:val="008D462E"/>
    <w:rsid w:val="008D4BCA"/>
    <w:rsid w:val="008D538A"/>
    <w:rsid w:val="008D55A9"/>
    <w:rsid w:val="008D6A65"/>
    <w:rsid w:val="008D78F4"/>
    <w:rsid w:val="008D7A9B"/>
    <w:rsid w:val="008E1C05"/>
    <w:rsid w:val="008E2118"/>
    <w:rsid w:val="008E2DAC"/>
    <w:rsid w:val="008E2F4A"/>
    <w:rsid w:val="008E4B42"/>
    <w:rsid w:val="008E5B20"/>
    <w:rsid w:val="008E5D8F"/>
    <w:rsid w:val="008E64DD"/>
    <w:rsid w:val="008E6F6E"/>
    <w:rsid w:val="008E70DD"/>
    <w:rsid w:val="008E76AC"/>
    <w:rsid w:val="008F035E"/>
    <w:rsid w:val="008F057E"/>
    <w:rsid w:val="008F11DD"/>
    <w:rsid w:val="008F1403"/>
    <w:rsid w:val="008F18D2"/>
    <w:rsid w:val="008F1B6C"/>
    <w:rsid w:val="008F2086"/>
    <w:rsid w:val="008F209A"/>
    <w:rsid w:val="008F20FD"/>
    <w:rsid w:val="008F21F6"/>
    <w:rsid w:val="008F2649"/>
    <w:rsid w:val="008F3209"/>
    <w:rsid w:val="008F3FAA"/>
    <w:rsid w:val="008F460B"/>
    <w:rsid w:val="008F4D05"/>
    <w:rsid w:val="008F4F4C"/>
    <w:rsid w:val="008F4F52"/>
    <w:rsid w:val="008F52C3"/>
    <w:rsid w:val="008F5A34"/>
    <w:rsid w:val="008F67D9"/>
    <w:rsid w:val="008F7434"/>
    <w:rsid w:val="008F7F7E"/>
    <w:rsid w:val="009000A9"/>
    <w:rsid w:val="00900FAF"/>
    <w:rsid w:val="0090144C"/>
    <w:rsid w:val="00901E63"/>
    <w:rsid w:val="009025CA"/>
    <w:rsid w:val="0090264D"/>
    <w:rsid w:val="009029C1"/>
    <w:rsid w:val="009033FA"/>
    <w:rsid w:val="009039F3"/>
    <w:rsid w:val="00903E1A"/>
    <w:rsid w:val="0090471A"/>
    <w:rsid w:val="00905366"/>
    <w:rsid w:val="0090539D"/>
    <w:rsid w:val="00906B3E"/>
    <w:rsid w:val="00906E99"/>
    <w:rsid w:val="009076EF"/>
    <w:rsid w:val="00910695"/>
    <w:rsid w:val="00910EC5"/>
    <w:rsid w:val="009115EE"/>
    <w:rsid w:val="00911877"/>
    <w:rsid w:val="00911DE7"/>
    <w:rsid w:val="009124F3"/>
    <w:rsid w:val="00912537"/>
    <w:rsid w:val="00912E33"/>
    <w:rsid w:val="009138D1"/>
    <w:rsid w:val="00914212"/>
    <w:rsid w:val="009142BF"/>
    <w:rsid w:val="009148E0"/>
    <w:rsid w:val="00915A28"/>
    <w:rsid w:val="00915BD9"/>
    <w:rsid w:val="009164EC"/>
    <w:rsid w:val="00916751"/>
    <w:rsid w:val="00916E0C"/>
    <w:rsid w:val="00916E79"/>
    <w:rsid w:val="0091743C"/>
    <w:rsid w:val="009202E4"/>
    <w:rsid w:val="009204CE"/>
    <w:rsid w:val="00920E83"/>
    <w:rsid w:val="00921ED2"/>
    <w:rsid w:val="00922112"/>
    <w:rsid w:val="00922328"/>
    <w:rsid w:val="0092237A"/>
    <w:rsid w:val="00922A42"/>
    <w:rsid w:val="00922A54"/>
    <w:rsid w:val="0092364C"/>
    <w:rsid w:val="00923892"/>
    <w:rsid w:val="00923FD5"/>
    <w:rsid w:val="009251E0"/>
    <w:rsid w:val="009253DC"/>
    <w:rsid w:val="00925D29"/>
    <w:rsid w:val="00926065"/>
    <w:rsid w:val="0092636A"/>
    <w:rsid w:val="00926A15"/>
    <w:rsid w:val="00926FC7"/>
    <w:rsid w:val="00927002"/>
    <w:rsid w:val="009303B3"/>
    <w:rsid w:val="009304C4"/>
    <w:rsid w:val="009307A4"/>
    <w:rsid w:val="009311FB"/>
    <w:rsid w:val="009315F9"/>
    <w:rsid w:val="00931691"/>
    <w:rsid w:val="009317D5"/>
    <w:rsid w:val="0093195E"/>
    <w:rsid w:val="00931FC2"/>
    <w:rsid w:val="009322BE"/>
    <w:rsid w:val="00934163"/>
    <w:rsid w:val="009353DF"/>
    <w:rsid w:val="00935BDA"/>
    <w:rsid w:val="00936D61"/>
    <w:rsid w:val="00937E6A"/>
    <w:rsid w:val="00940779"/>
    <w:rsid w:val="009413F9"/>
    <w:rsid w:val="0094240E"/>
    <w:rsid w:val="009424E6"/>
    <w:rsid w:val="009426E4"/>
    <w:rsid w:val="00942862"/>
    <w:rsid w:val="009431FC"/>
    <w:rsid w:val="009434D0"/>
    <w:rsid w:val="0094390A"/>
    <w:rsid w:val="00943A49"/>
    <w:rsid w:val="00943C28"/>
    <w:rsid w:val="00943D9B"/>
    <w:rsid w:val="009443B2"/>
    <w:rsid w:val="009449EB"/>
    <w:rsid w:val="00944D54"/>
    <w:rsid w:val="009454C6"/>
    <w:rsid w:val="00946CD2"/>
    <w:rsid w:val="00947256"/>
    <w:rsid w:val="00947A45"/>
    <w:rsid w:val="00947E01"/>
    <w:rsid w:val="009500B9"/>
    <w:rsid w:val="0095052C"/>
    <w:rsid w:val="00950D25"/>
    <w:rsid w:val="00951EEF"/>
    <w:rsid w:val="00951F79"/>
    <w:rsid w:val="00952E6F"/>
    <w:rsid w:val="00953D94"/>
    <w:rsid w:val="009548BF"/>
    <w:rsid w:val="00955001"/>
    <w:rsid w:val="009556A3"/>
    <w:rsid w:val="00955C28"/>
    <w:rsid w:val="00956B6C"/>
    <w:rsid w:val="0095702B"/>
    <w:rsid w:val="0095737C"/>
    <w:rsid w:val="00957AFA"/>
    <w:rsid w:val="00957D90"/>
    <w:rsid w:val="009608BF"/>
    <w:rsid w:val="00961272"/>
    <w:rsid w:val="009617BA"/>
    <w:rsid w:val="00961D9C"/>
    <w:rsid w:val="00961E52"/>
    <w:rsid w:val="00962F94"/>
    <w:rsid w:val="00963079"/>
    <w:rsid w:val="009630CB"/>
    <w:rsid w:val="009641E0"/>
    <w:rsid w:val="00964837"/>
    <w:rsid w:val="009668C2"/>
    <w:rsid w:val="0096779C"/>
    <w:rsid w:val="00967818"/>
    <w:rsid w:val="00967846"/>
    <w:rsid w:val="009702EF"/>
    <w:rsid w:val="0097042F"/>
    <w:rsid w:val="00970AB5"/>
    <w:rsid w:val="00970F05"/>
    <w:rsid w:val="0097137B"/>
    <w:rsid w:val="00971C1D"/>
    <w:rsid w:val="00971CAE"/>
    <w:rsid w:val="00972067"/>
    <w:rsid w:val="00972810"/>
    <w:rsid w:val="0097332C"/>
    <w:rsid w:val="00973B27"/>
    <w:rsid w:val="009740AD"/>
    <w:rsid w:val="0097484B"/>
    <w:rsid w:val="009749BF"/>
    <w:rsid w:val="00974A51"/>
    <w:rsid w:val="00974AB5"/>
    <w:rsid w:val="00975FE2"/>
    <w:rsid w:val="009768B3"/>
    <w:rsid w:val="00976FA3"/>
    <w:rsid w:val="009773D9"/>
    <w:rsid w:val="0097762F"/>
    <w:rsid w:val="00977B56"/>
    <w:rsid w:val="0098014A"/>
    <w:rsid w:val="00980CC0"/>
    <w:rsid w:val="00980CE6"/>
    <w:rsid w:val="00981454"/>
    <w:rsid w:val="00981EC9"/>
    <w:rsid w:val="00982133"/>
    <w:rsid w:val="00982C98"/>
    <w:rsid w:val="0098306D"/>
    <w:rsid w:val="009835A3"/>
    <w:rsid w:val="009838BB"/>
    <w:rsid w:val="009839DB"/>
    <w:rsid w:val="00983AC3"/>
    <w:rsid w:val="009849EF"/>
    <w:rsid w:val="00984A11"/>
    <w:rsid w:val="00984F50"/>
    <w:rsid w:val="009856DC"/>
    <w:rsid w:val="009858BC"/>
    <w:rsid w:val="00985E0A"/>
    <w:rsid w:val="009861D3"/>
    <w:rsid w:val="0098685C"/>
    <w:rsid w:val="009868C9"/>
    <w:rsid w:val="00986D00"/>
    <w:rsid w:val="0098704F"/>
    <w:rsid w:val="0098706D"/>
    <w:rsid w:val="009874E0"/>
    <w:rsid w:val="00987A3B"/>
    <w:rsid w:val="00987A78"/>
    <w:rsid w:val="009906B3"/>
    <w:rsid w:val="00991053"/>
    <w:rsid w:val="00991279"/>
    <w:rsid w:val="0099183C"/>
    <w:rsid w:val="00991C8F"/>
    <w:rsid w:val="009935FB"/>
    <w:rsid w:val="00993C4E"/>
    <w:rsid w:val="009947A4"/>
    <w:rsid w:val="00995A85"/>
    <w:rsid w:val="00995CD6"/>
    <w:rsid w:val="00996FBB"/>
    <w:rsid w:val="00997427"/>
    <w:rsid w:val="0099791B"/>
    <w:rsid w:val="00997DB6"/>
    <w:rsid w:val="009A0BE3"/>
    <w:rsid w:val="009A1546"/>
    <w:rsid w:val="009A2471"/>
    <w:rsid w:val="009A2A6E"/>
    <w:rsid w:val="009A358A"/>
    <w:rsid w:val="009A3699"/>
    <w:rsid w:val="009A3CB4"/>
    <w:rsid w:val="009A40CB"/>
    <w:rsid w:val="009A48BD"/>
    <w:rsid w:val="009A4937"/>
    <w:rsid w:val="009A5085"/>
    <w:rsid w:val="009A577F"/>
    <w:rsid w:val="009A5A79"/>
    <w:rsid w:val="009A718C"/>
    <w:rsid w:val="009A7FBB"/>
    <w:rsid w:val="009B0512"/>
    <w:rsid w:val="009B08CE"/>
    <w:rsid w:val="009B0DB1"/>
    <w:rsid w:val="009B0EAA"/>
    <w:rsid w:val="009B0F5D"/>
    <w:rsid w:val="009B16DD"/>
    <w:rsid w:val="009B1E44"/>
    <w:rsid w:val="009B23A4"/>
    <w:rsid w:val="009B24A0"/>
    <w:rsid w:val="009B2AE1"/>
    <w:rsid w:val="009B2CD0"/>
    <w:rsid w:val="009B2E29"/>
    <w:rsid w:val="009B3FBE"/>
    <w:rsid w:val="009B47B8"/>
    <w:rsid w:val="009B4EC1"/>
    <w:rsid w:val="009B5B47"/>
    <w:rsid w:val="009B5BF0"/>
    <w:rsid w:val="009B650E"/>
    <w:rsid w:val="009B684E"/>
    <w:rsid w:val="009B6A4D"/>
    <w:rsid w:val="009B719C"/>
    <w:rsid w:val="009C1259"/>
    <w:rsid w:val="009C1F98"/>
    <w:rsid w:val="009C2CDC"/>
    <w:rsid w:val="009C2FE7"/>
    <w:rsid w:val="009C39E9"/>
    <w:rsid w:val="009C43A9"/>
    <w:rsid w:val="009C4611"/>
    <w:rsid w:val="009C4E15"/>
    <w:rsid w:val="009C5517"/>
    <w:rsid w:val="009C5638"/>
    <w:rsid w:val="009C5B8B"/>
    <w:rsid w:val="009C5DF9"/>
    <w:rsid w:val="009C5EF8"/>
    <w:rsid w:val="009C7377"/>
    <w:rsid w:val="009C7834"/>
    <w:rsid w:val="009C7C72"/>
    <w:rsid w:val="009C7F0C"/>
    <w:rsid w:val="009C7F5D"/>
    <w:rsid w:val="009D181B"/>
    <w:rsid w:val="009D228A"/>
    <w:rsid w:val="009D26E4"/>
    <w:rsid w:val="009D29B9"/>
    <w:rsid w:val="009D3F90"/>
    <w:rsid w:val="009D42DC"/>
    <w:rsid w:val="009D53AA"/>
    <w:rsid w:val="009D5B19"/>
    <w:rsid w:val="009D75A2"/>
    <w:rsid w:val="009D7E92"/>
    <w:rsid w:val="009E01CC"/>
    <w:rsid w:val="009E040C"/>
    <w:rsid w:val="009E045A"/>
    <w:rsid w:val="009E0E69"/>
    <w:rsid w:val="009E1442"/>
    <w:rsid w:val="009E1760"/>
    <w:rsid w:val="009E1D42"/>
    <w:rsid w:val="009E2C2B"/>
    <w:rsid w:val="009E3519"/>
    <w:rsid w:val="009E3B2E"/>
    <w:rsid w:val="009E3FBC"/>
    <w:rsid w:val="009E5101"/>
    <w:rsid w:val="009E5D0C"/>
    <w:rsid w:val="009E5FE5"/>
    <w:rsid w:val="009E6687"/>
    <w:rsid w:val="009E66DF"/>
    <w:rsid w:val="009E7833"/>
    <w:rsid w:val="009E7D6E"/>
    <w:rsid w:val="009F00F4"/>
    <w:rsid w:val="009F014E"/>
    <w:rsid w:val="009F05C2"/>
    <w:rsid w:val="009F0EA9"/>
    <w:rsid w:val="009F1067"/>
    <w:rsid w:val="009F1422"/>
    <w:rsid w:val="009F1C65"/>
    <w:rsid w:val="009F2008"/>
    <w:rsid w:val="009F27EF"/>
    <w:rsid w:val="009F308B"/>
    <w:rsid w:val="009F3EAA"/>
    <w:rsid w:val="009F4523"/>
    <w:rsid w:val="009F46E8"/>
    <w:rsid w:val="009F4A54"/>
    <w:rsid w:val="009F4BEC"/>
    <w:rsid w:val="009F55E7"/>
    <w:rsid w:val="009F66BE"/>
    <w:rsid w:val="009F77AD"/>
    <w:rsid w:val="00A00412"/>
    <w:rsid w:val="00A0087D"/>
    <w:rsid w:val="00A01227"/>
    <w:rsid w:val="00A02005"/>
    <w:rsid w:val="00A02A35"/>
    <w:rsid w:val="00A035D1"/>
    <w:rsid w:val="00A0383E"/>
    <w:rsid w:val="00A04891"/>
    <w:rsid w:val="00A04BAA"/>
    <w:rsid w:val="00A04D07"/>
    <w:rsid w:val="00A058BC"/>
    <w:rsid w:val="00A05918"/>
    <w:rsid w:val="00A05EE3"/>
    <w:rsid w:val="00A06C9A"/>
    <w:rsid w:val="00A06EBF"/>
    <w:rsid w:val="00A0773B"/>
    <w:rsid w:val="00A10266"/>
    <w:rsid w:val="00A11034"/>
    <w:rsid w:val="00A1129E"/>
    <w:rsid w:val="00A11A8C"/>
    <w:rsid w:val="00A12305"/>
    <w:rsid w:val="00A12B6F"/>
    <w:rsid w:val="00A12BEB"/>
    <w:rsid w:val="00A12F7B"/>
    <w:rsid w:val="00A12FCC"/>
    <w:rsid w:val="00A13243"/>
    <w:rsid w:val="00A13E30"/>
    <w:rsid w:val="00A1540B"/>
    <w:rsid w:val="00A15A77"/>
    <w:rsid w:val="00A15B44"/>
    <w:rsid w:val="00A16106"/>
    <w:rsid w:val="00A16111"/>
    <w:rsid w:val="00A169CF"/>
    <w:rsid w:val="00A1714D"/>
    <w:rsid w:val="00A20326"/>
    <w:rsid w:val="00A20444"/>
    <w:rsid w:val="00A20616"/>
    <w:rsid w:val="00A20E4C"/>
    <w:rsid w:val="00A21C1A"/>
    <w:rsid w:val="00A253A8"/>
    <w:rsid w:val="00A25FD7"/>
    <w:rsid w:val="00A2614F"/>
    <w:rsid w:val="00A27C03"/>
    <w:rsid w:val="00A27DFA"/>
    <w:rsid w:val="00A27F03"/>
    <w:rsid w:val="00A304F5"/>
    <w:rsid w:val="00A30C52"/>
    <w:rsid w:val="00A31737"/>
    <w:rsid w:val="00A31C48"/>
    <w:rsid w:val="00A32B97"/>
    <w:rsid w:val="00A32F10"/>
    <w:rsid w:val="00A337E2"/>
    <w:rsid w:val="00A33A56"/>
    <w:rsid w:val="00A33B76"/>
    <w:rsid w:val="00A33E67"/>
    <w:rsid w:val="00A33E9B"/>
    <w:rsid w:val="00A351C4"/>
    <w:rsid w:val="00A3581D"/>
    <w:rsid w:val="00A3618F"/>
    <w:rsid w:val="00A361EC"/>
    <w:rsid w:val="00A36D39"/>
    <w:rsid w:val="00A377D8"/>
    <w:rsid w:val="00A37CE1"/>
    <w:rsid w:val="00A4007F"/>
    <w:rsid w:val="00A40671"/>
    <w:rsid w:val="00A40A32"/>
    <w:rsid w:val="00A410FB"/>
    <w:rsid w:val="00A4385A"/>
    <w:rsid w:val="00A43AFF"/>
    <w:rsid w:val="00A4407F"/>
    <w:rsid w:val="00A44AEF"/>
    <w:rsid w:val="00A452A4"/>
    <w:rsid w:val="00A452D1"/>
    <w:rsid w:val="00A45A18"/>
    <w:rsid w:val="00A45C43"/>
    <w:rsid w:val="00A46251"/>
    <w:rsid w:val="00A46C3E"/>
    <w:rsid w:val="00A47AE3"/>
    <w:rsid w:val="00A50763"/>
    <w:rsid w:val="00A508EB"/>
    <w:rsid w:val="00A511B7"/>
    <w:rsid w:val="00A52666"/>
    <w:rsid w:val="00A53DD8"/>
    <w:rsid w:val="00A54264"/>
    <w:rsid w:val="00A5443C"/>
    <w:rsid w:val="00A54A10"/>
    <w:rsid w:val="00A558C4"/>
    <w:rsid w:val="00A55EE3"/>
    <w:rsid w:val="00A57EF0"/>
    <w:rsid w:val="00A60AF5"/>
    <w:rsid w:val="00A60E96"/>
    <w:rsid w:val="00A61663"/>
    <w:rsid w:val="00A61AAE"/>
    <w:rsid w:val="00A61AE1"/>
    <w:rsid w:val="00A62242"/>
    <w:rsid w:val="00A62A1D"/>
    <w:rsid w:val="00A62B6E"/>
    <w:rsid w:val="00A630EE"/>
    <w:rsid w:val="00A631F2"/>
    <w:rsid w:val="00A63753"/>
    <w:rsid w:val="00A656DE"/>
    <w:rsid w:val="00A65874"/>
    <w:rsid w:val="00A662D1"/>
    <w:rsid w:val="00A66776"/>
    <w:rsid w:val="00A66989"/>
    <w:rsid w:val="00A66F82"/>
    <w:rsid w:val="00A6732D"/>
    <w:rsid w:val="00A67878"/>
    <w:rsid w:val="00A67918"/>
    <w:rsid w:val="00A7005F"/>
    <w:rsid w:val="00A7042D"/>
    <w:rsid w:val="00A70458"/>
    <w:rsid w:val="00A70544"/>
    <w:rsid w:val="00A70A1B"/>
    <w:rsid w:val="00A70ED0"/>
    <w:rsid w:val="00A712C5"/>
    <w:rsid w:val="00A71ACE"/>
    <w:rsid w:val="00A72250"/>
    <w:rsid w:val="00A743FA"/>
    <w:rsid w:val="00A74472"/>
    <w:rsid w:val="00A74774"/>
    <w:rsid w:val="00A74DC3"/>
    <w:rsid w:val="00A75391"/>
    <w:rsid w:val="00A75927"/>
    <w:rsid w:val="00A75C0D"/>
    <w:rsid w:val="00A76023"/>
    <w:rsid w:val="00A76034"/>
    <w:rsid w:val="00A76208"/>
    <w:rsid w:val="00A76EA1"/>
    <w:rsid w:val="00A77273"/>
    <w:rsid w:val="00A77302"/>
    <w:rsid w:val="00A7793A"/>
    <w:rsid w:val="00A77AB5"/>
    <w:rsid w:val="00A77FB0"/>
    <w:rsid w:val="00A77FDE"/>
    <w:rsid w:val="00A81112"/>
    <w:rsid w:val="00A838A1"/>
    <w:rsid w:val="00A83AAF"/>
    <w:rsid w:val="00A8406C"/>
    <w:rsid w:val="00A8433E"/>
    <w:rsid w:val="00A8491D"/>
    <w:rsid w:val="00A84A77"/>
    <w:rsid w:val="00A8593A"/>
    <w:rsid w:val="00A86003"/>
    <w:rsid w:val="00A861EE"/>
    <w:rsid w:val="00A8699C"/>
    <w:rsid w:val="00A86EF0"/>
    <w:rsid w:val="00A871F0"/>
    <w:rsid w:val="00A87373"/>
    <w:rsid w:val="00A87B9B"/>
    <w:rsid w:val="00A87DEC"/>
    <w:rsid w:val="00A9003C"/>
    <w:rsid w:val="00A909B9"/>
    <w:rsid w:val="00A90EEB"/>
    <w:rsid w:val="00A913E7"/>
    <w:rsid w:val="00A913F2"/>
    <w:rsid w:val="00A91462"/>
    <w:rsid w:val="00A9179E"/>
    <w:rsid w:val="00A917C2"/>
    <w:rsid w:val="00A9395A"/>
    <w:rsid w:val="00A93D5C"/>
    <w:rsid w:val="00A94166"/>
    <w:rsid w:val="00A94392"/>
    <w:rsid w:val="00A94D54"/>
    <w:rsid w:val="00A963D2"/>
    <w:rsid w:val="00A970DD"/>
    <w:rsid w:val="00A97364"/>
    <w:rsid w:val="00A974B6"/>
    <w:rsid w:val="00A97A28"/>
    <w:rsid w:val="00AA0A5C"/>
    <w:rsid w:val="00AA1586"/>
    <w:rsid w:val="00AA1657"/>
    <w:rsid w:val="00AA1F72"/>
    <w:rsid w:val="00AA258A"/>
    <w:rsid w:val="00AA2AF6"/>
    <w:rsid w:val="00AA386A"/>
    <w:rsid w:val="00AA3BE6"/>
    <w:rsid w:val="00AA4CC7"/>
    <w:rsid w:val="00AA4FBB"/>
    <w:rsid w:val="00AA555B"/>
    <w:rsid w:val="00AA5B59"/>
    <w:rsid w:val="00AA5BDF"/>
    <w:rsid w:val="00AA5E8E"/>
    <w:rsid w:val="00AA608C"/>
    <w:rsid w:val="00AA6264"/>
    <w:rsid w:val="00AA6F1B"/>
    <w:rsid w:val="00AA74BE"/>
    <w:rsid w:val="00AA75CA"/>
    <w:rsid w:val="00AB07C8"/>
    <w:rsid w:val="00AB07EB"/>
    <w:rsid w:val="00AB0E1B"/>
    <w:rsid w:val="00AB103D"/>
    <w:rsid w:val="00AB1601"/>
    <w:rsid w:val="00AB1DEF"/>
    <w:rsid w:val="00AB1EFA"/>
    <w:rsid w:val="00AB2597"/>
    <w:rsid w:val="00AB2B39"/>
    <w:rsid w:val="00AB2FA7"/>
    <w:rsid w:val="00AB43D6"/>
    <w:rsid w:val="00AB4443"/>
    <w:rsid w:val="00AB4D00"/>
    <w:rsid w:val="00AB580D"/>
    <w:rsid w:val="00AB5929"/>
    <w:rsid w:val="00AB6147"/>
    <w:rsid w:val="00AB6CA7"/>
    <w:rsid w:val="00AB77DB"/>
    <w:rsid w:val="00AB7B39"/>
    <w:rsid w:val="00AC08F0"/>
    <w:rsid w:val="00AC0A76"/>
    <w:rsid w:val="00AC2065"/>
    <w:rsid w:val="00AC2827"/>
    <w:rsid w:val="00AC2CDE"/>
    <w:rsid w:val="00AC3500"/>
    <w:rsid w:val="00AC3523"/>
    <w:rsid w:val="00AC4338"/>
    <w:rsid w:val="00AC5633"/>
    <w:rsid w:val="00AC582F"/>
    <w:rsid w:val="00AC7C41"/>
    <w:rsid w:val="00AD01E4"/>
    <w:rsid w:val="00AD0858"/>
    <w:rsid w:val="00AD1077"/>
    <w:rsid w:val="00AD14A1"/>
    <w:rsid w:val="00AD17DB"/>
    <w:rsid w:val="00AD1A5B"/>
    <w:rsid w:val="00AD1B36"/>
    <w:rsid w:val="00AD318F"/>
    <w:rsid w:val="00AD3F7E"/>
    <w:rsid w:val="00AD4E76"/>
    <w:rsid w:val="00AD4F16"/>
    <w:rsid w:val="00AD50FF"/>
    <w:rsid w:val="00AD587E"/>
    <w:rsid w:val="00AD6AEC"/>
    <w:rsid w:val="00AD6D52"/>
    <w:rsid w:val="00AD701D"/>
    <w:rsid w:val="00AD71C2"/>
    <w:rsid w:val="00AD7F9E"/>
    <w:rsid w:val="00AE0FB8"/>
    <w:rsid w:val="00AE1220"/>
    <w:rsid w:val="00AE1487"/>
    <w:rsid w:val="00AE1FDC"/>
    <w:rsid w:val="00AE2B23"/>
    <w:rsid w:val="00AE32AC"/>
    <w:rsid w:val="00AE389E"/>
    <w:rsid w:val="00AE4CB4"/>
    <w:rsid w:val="00AE6237"/>
    <w:rsid w:val="00AE68DF"/>
    <w:rsid w:val="00AE6A0A"/>
    <w:rsid w:val="00AE6D42"/>
    <w:rsid w:val="00AE6E4A"/>
    <w:rsid w:val="00AE71B0"/>
    <w:rsid w:val="00AE7340"/>
    <w:rsid w:val="00AE739C"/>
    <w:rsid w:val="00AE7D23"/>
    <w:rsid w:val="00AF1BBD"/>
    <w:rsid w:val="00AF274E"/>
    <w:rsid w:val="00AF2DAB"/>
    <w:rsid w:val="00AF3067"/>
    <w:rsid w:val="00AF4340"/>
    <w:rsid w:val="00AF5197"/>
    <w:rsid w:val="00AF6726"/>
    <w:rsid w:val="00AF6CA1"/>
    <w:rsid w:val="00AF6D23"/>
    <w:rsid w:val="00AF6FF3"/>
    <w:rsid w:val="00AF7658"/>
    <w:rsid w:val="00AF7767"/>
    <w:rsid w:val="00B00376"/>
    <w:rsid w:val="00B006A8"/>
    <w:rsid w:val="00B00922"/>
    <w:rsid w:val="00B00B58"/>
    <w:rsid w:val="00B00BF0"/>
    <w:rsid w:val="00B00EAC"/>
    <w:rsid w:val="00B0176E"/>
    <w:rsid w:val="00B01E05"/>
    <w:rsid w:val="00B0295C"/>
    <w:rsid w:val="00B0307F"/>
    <w:rsid w:val="00B0373C"/>
    <w:rsid w:val="00B03A3A"/>
    <w:rsid w:val="00B04B7C"/>
    <w:rsid w:val="00B04E55"/>
    <w:rsid w:val="00B05A1D"/>
    <w:rsid w:val="00B05BEA"/>
    <w:rsid w:val="00B05E5B"/>
    <w:rsid w:val="00B0677C"/>
    <w:rsid w:val="00B06798"/>
    <w:rsid w:val="00B07649"/>
    <w:rsid w:val="00B07E5C"/>
    <w:rsid w:val="00B07E93"/>
    <w:rsid w:val="00B07E9B"/>
    <w:rsid w:val="00B10207"/>
    <w:rsid w:val="00B107E0"/>
    <w:rsid w:val="00B10CE6"/>
    <w:rsid w:val="00B10DCE"/>
    <w:rsid w:val="00B10E9A"/>
    <w:rsid w:val="00B11B92"/>
    <w:rsid w:val="00B11CE0"/>
    <w:rsid w:val="00B11E0C"/>
    <w:rsid w:val="00B11FE7"/>
    <w:rsid w:val="00B120D4"/>
    <w:rsid w:val="00B12C8C"/>
    <w:rsid w:val="00B12D02"/>
    <w:rsid w:val="00B12EB8"/>
    <w:rsid w:val="00B12F4E"/>
    <w:rsid w:val="00B13C5C"/>
    <w:rsid w:val="00B141E7"/>
    <w:rsid w:val="00B14556"/>
    <w:rsid w:val="00B14F80"/>
    <w:rsid w:val="00B16BAF"/>
    <w:rsid w:val="00B20589"/>
    <w:rsid w:val="00B21ABC"/>
    <w:rsid w:val="00B21DAA"/>
    <w:rsid w:val="00B23645"/>
    <w:rsid w:val="00B23F04"/>
    <w:rsid w:val="00B2568B"/>
    <w:rsid w:val="00B25747"/>
    <w:rsid w:val="00B25B45"/>
    <w:rsid w:val="00B264B5"/>
    <w:rsid w:val="00B26FBE"/>
    <w:rsid w:val="00B27123"/>
    <w:rsid w:val="00B27A47"/>
    <w:rsid w:val="00B32148"/>
    <w:rsid w:val="00B32EB3"/>
    <w:rsid w:val="00B330AC"/>
    <w:rsid w:val="00B33AEF"/>
    <w:rsid w:val="00B34AE0"/>
    <w:rsid w:val="00B351B4"/>
    <w:rsid w:val="00B3577F"/>
    <w:rsid w:val="00B362BF"/>
    <w:rsid w:val="00B365ED"/>
    <w:rsid w:val="00B37429"/>
    <w:rsid w:val="00B37CF6"/>
    <w:rsid w:val="00B37F7E"/>
    <w:rsid w:val="00B403A3"/>
    <w:rsid w:val="00B414C3"/>
    <w:rsid w:val="00B416D3"/>
    <w:rsid w:val="00B4190E"/>
    <w:rsid w:val="00B41DD4"/>
    <w:rsid w:val="00B42776"/>
    <w:rsid w:val="00B42959"/>
    <w:rsid w:val="00B44EED"/>
    <w:rsid w:val="00B44F73"/>
    <w:rsid w:val="00B454C6"/>
    <w:rsid w:val="00B456AC"/>
    <w:rsid w:val="00B4596C"/>
    <w:rsid w:val="00B467FA"/>
    <w:rsid w:val="00B46AA3"/>
    <w:rsid w:val="00B46BCA"/>
    <w:rsid w:val="00B46BD6"/>
    <w:rsid w:val="00B46F87"/>
    <w:rsid w:val="00B472BF"/>
    <w:rsid w:val="00B478A0"/>
    <w:rsid w:val="00B47E3E"/>
    <w:rsid w:val="00B50148"/>
    <w:rsid w:val="00B5058C"/>
    <w:rsid w:val="00B50591"/>
    <w:rsid w:val="00B50F14"/>
    <w:rsid w:val="00B510DE"/>
    <w:rsid w:val="00B51F50"/>
    <w:rsid w:val="00B52612"/>
    <w:rsid w:val="00B52B6B"/>
    <w:rsid w:val="00B53767"/>
    <w:rsid w:val="00B53D86"/>
    <w:rsid w:val="00B54206"/>
    <w:rsid w:val="00B54919"/>
    <w:rsid w:val="00B54F96"/>
    <w:rsid w:val="00B55F6D"/>
    <w:rsid w:val="00B579BE"/>
    <w:rsid w:val="00B57BC4"/>
    <w:rsid w:val="00B608E3"/>
    <w:rsid w:val="00B60EE3"/>
    <w:rsid w:val="00B61525"/>
    <w:rsid w:val="00B616F2"/>
    <w:rsid w:val="00B61C8B"/>
    <w:rsid w:val="00B61ED0"/>
    <w:rsid w:val="00B62EDD"/>
    <w:rsid w:val="00B65858"/>
    <w:rsid w:val="00B65917"/>
    <w:rsid w:val="00B661C6"/>
    <w:rsid w:val="00B7004F"/>
    <w:rsid w:val="00B70231"/>
    <w:rsid w:val="00B70355"/>
    <w:rsid w:val="00B71387"/>
    <w:rsid w:val="00B714F5"/>
    <w:rsid w:val="00B72053"/>
    <w:rsid w:val="00B72B2D"/>
    <w:rsid w:val="00B73087"/>
    <w:rsid w:val="00B7387A"/>
    <w:rsid w:val="00B739EB"/>
    <w:rsid w:val="00B74422"/>
    <w:rsid w:val="00B744B4"/>
    <w:rsid w:val="00B746A5"/>
    <w:rsid w:val="00B74C67"/>
    <w:rsid w:val="00B753E5"/>
    <w:rsid w:val="00B7562D"/>
    <w:rsid w:val="00B76279"/>
    <w:rsid w:val="00B80276"/>
    <w:rsid w:val="00B8074B"/>
    <w:rsid w:val="00B8115C"/>
    <w:rsid w:val="00B8164C"/>
    <w:rsid w:val="00B81769"/>
    <w:rsid w:val="00B81D9F"/>
    <w:rsid w:val="00B82452"/>
    <w:rsid w:val="00B84135"/>
    <w:rsid w:val="00B84636"/>
    <w:rsid w:val="00B84EF1"/>
    <w:rsid w:val="00B852BE"/>
    <w:rsid w:val="00B85376"/>
    <w:rsid w:val="00B856FB"/>
    <w:rsid w:val="00B859DD"/>
    <w:rsid w:val="00B863FA"/>
    <w:rsid w:val="00B87806"/>
    <w:rsid w:val="00B879C6"/>
    <w:rsid w:val="00B87BC1"/>
    <w:rsid w:val="00B87EC9"/>
    <w:rsid w:val="00B90564"/>
    <w:rsid w:val="00B90904"/>
    <w:rsid w:val="00B90936"/>
    <w:rsid w:val="00B9156A"/>
    <w:rsid w:val="00B9176F"/>
    <w:rsid w:val="00B91BD8"/>
    <w:rsid w:val="00B91FCC"/>
    <w:rsid w:val="00B92352"/>
    <w:rsid w:val="00B9253E"/>
    <w:rsid w:val="00B930DE"/>
    <w:rsid w:val="00B9313E"/>
    <w:rsid w:val="00B93474"/>
    <w:rsid w:val="00B938FD"/>
    <w:rsid w:val="00B9393F"/>
    <w:rsid w:val="00B93CCC"/>
    <w:rsid w:val="00B94475"/>
    <w:rsid w:val="00B94561"/>
    <w:rsid w:val="00B94A56"/>
    <w:rsid w:val="00B94A92"/>
    <w:rsid w:val="00B94D02"/>
    <w:rsid w:val="00B94F9D"/>
    <w:rsid w:val="00B953F3"/>
    <w:rsid w:val="00B96A5E"/>
    <w:rsid w:val="00B96BE0"/>
    <w:rsid w:val="00B970F9"/>
    <w:rsid w:val="00B9739D"/>
    <w:rsid w:val="00B97FD3"/>
    <w:rsid w:val="00BA0415"/>
    <w:rsid w:val="00BA1A50"/>
    <w:rsid w:val="00BA1CF6"/>
    <w:rsid w:val="00BA37EF"/>
    <w:rsid w:val="00BA652B"/>
    <w:rsid w:val="00BA6AC6"/>
    <w:rsid w:val="00BA6B17"/>
    <w:rsid w:val="00BA7371"/>
    <w:rsid w:val="00BA794F"/>
    <w:rsid w:val="00BB0D0D"/>
    <w:rsid w:val="00BB14C5"/>
    <w:rsid w:val="00BB240E"/>
    <w:rsid w:val="00BB2AF2"/>
    <w:rsid w:val="00BB351F"/>
    <w:rsid w:val="00BB4DA1"/>
    <w:rsid w:val="00BC01CB"/>
    <w:rsid w:val="00BC04AE"/>
    <w:rsid w:val="00BC0C38"/>
    <w:rsid w:val="00BC1012"/>
    <w:rsid w:val="00BC1A23"/>
    <w:rsid w:val="00BC1BDF"/>
    <w:rsid w:val="00BC37CC"/>
    <w:rsid w:val="00BC389C"/>
    <w:rsid w:val="00BC38FD"/>
    <w:rsid w:val="00BC4C2F"/>
    <w:rsid w:val="00BC4F60"/>
    <w:rsid w:val="00BC5C8E"/>
    <w:rsid w:val="00BC6374"/>
    <w:rsid w:val="00BC789D"/>
    <w:rsid w:val="00BD08B5"/>
    <w:rsid w:val="00BD10CF"/>
    <w:rsid w:val="00BD17B8"/>
    <w:rsid w:val="00BD2615"/>
    <w:rsid w:val="00BD338B"/>
    <w:rsid w:val="00BD58E3"/>
    <w:rsid w:val="00BD5E99"/>
    <w:rsid w:val="00BD60BA"/>
    <w:rsid w:val="00BD692E"/>
    <w:rsid w:val="00BD736A"/>
    <w:rsid w:val="00BE10E0"/>
    <w:rsid w:val="00BE1884"/>
    <w:rsid w:val="00BE2258"/>
    <w:rsid w:val="00BE22ED"/>
    <w:rsid w:val="00BE2E74"/>
    <w:rsid w:val="00BE312F"/>
    <w:rsid w:val="00BE3AA2"/>
    <w:rsid w:val="00BE3F19"/>
    <w:rsid w:val="00BE4AC7"/>
    <w:rsid w:val="00BE511C"/>
    <w:rsid w:val="00BE5F03"/>
    <w:rsid w:val="00BE6CB2"/>
    <w:rsid w:val="00BF2A3A"/>
    <w:rsid w:val="00BF3B8F"/>
    <w:rsid w:val="00BF413D"/>
    <w:rsid w:val="00BF4A84"/>
    <w:rsid w:val="00BF4AF3"/>
    <w:rsid w:val="00BF4F5B"/>
    <w:rsid w:val="00BF5537"/>
    <w:rsid w:val="00BF55C7"/>
    <w:rsid w:val="00BF5C18"/>
    <w:rsid w:val="00BF6325"/>
    <w:rsid w:val="00BF691B"/>
    <w:rsid w:val="00C001BC"/>
    <w:rsid w:val="00C0052D"/>
    <w:rsid w:val="00C01296"/>
    <w:rsid w:val="00C01681"/>
    <w:rsid w:val="00C016B3"/>
    <w:rsid w:val="00C0242F"/>
    <w:rsid w:val="00C02F15"/>
    <w:rsid w:val="00C034CB"/>
    <w:rsid w:val="00C0380F"/>
    <w:rsid w:val="00C05140"/>
    <w:rsid w:val="00C051A8"/>
    <w:rsid w:val="00C05360"/>
    <w:rsid w:val="00C054BC"/>
    <w:rsid w:val="00C0562E"/>
    <w:rsid w:val="00C05B13"/>
    <w:rsid w:val="00C063DA"/>
    <w:rsid w:val="00C067D9"/>
    <w:rsid w:val="00C068B4"/>
    <w:rsid w:val="00C06AD9"/>
    <w:rsid w:val="00C072D4"/>
    <w:rsid w:val="00C0737F"/>
    <w:rsid w:val="00C07B5B"/>
    <w:rsid w:val="00C104A6"/>
    <w:rsid w:val="00C10580"/>
    <w:rsid w:val="00C10AEA"/>
    <w:rsid w:val="00C12451"/>
    <w:rsid w:val="00C13329"/>
    <w:rsid w:val="00C152DE"/>
    <w:rsid w:val="00C15AD7"/>
    <w:rsid w:val="00C15D4A"/>
    <w:rsid w:val="00C164EF"/>
    <w:rsid w:val="00C16E34"/>
    <w:rsid w:val="00C16EC7"/>
    <w:rsid w:val="00C16F07"/>
    <w:rsid w:val="00C17105"/>
    <w:rsid w:val="00C17185"/>
    <w:rsid w:val="00C1718C"/>
    <w:rsid w:val="00C17897"/>
    <w:rsid w:val="00C1799A"/>
    <w:rsid w:val="00C20575"/>
    <w:rsid w:val="00C20F02"/>
    <w:rsid w:val="00C21984"/>
    <w:rsid w:val="00C21D42"/>
    <w:rsid w:val="00C22623"/>
    <w:rsid w:val="00C22939"/>
    <w:rsid w:val="00C24409"/>
    <w:rsid w:val="00C248DA"/>
    <w:rsid w:val="00C25325"/>
    <w:rsid w:val="00C254DA"/>
    <w:rsid w:val="00C255BD"/>
    <w:rsid w:val="00C259B6"/>
    <w:rsid w:val="00C25EEE"/>
    <w:rsid w:val="00C260F1"/>
    <w:rsid w:val="00C30416"/>
    <w:rsid w:val="00C30A4D"/>
    <w:rsid w:val="00C320BC"/>
    <w:rsid w:val="00C328B9"/>
    <w:rsid w:val="00C32B9C"/>
    <w:rsid w:val="00C335F6"/>
    <w:rsid w:val="00C33CEE"/>
    <w:rsid w:val="00C340A7"/>
    <w:rsid w:val="00C34945"/>
    <w:rsid w:val="00C3532F"/>
    <w:rsid w:val="00C35531"/>
    <w:rsid w:val="00C35EAD"/>
    <w:rsid w:val="00C35FD7"/>
    <w:rsid w:val="00C36AC7"/>
    <w:rsid w:val="00C37827"/>
    <w:rsid w:val="00C37DCE"/>
    <w:rsid w:val="00C40098"/>
    <w:rsid w:val="00C409D5"/>
    <w:rsid w:val="00C419C4"/>
    <w:rsid w:val="00C422B7"/>
    <w:rsid w:val="00C424A6"/>
    <w:rsid w:val="00C43538"/>
    <w:rsid w:val="00C435C3"/>
    <w:rsid w:val="00C43DEE"/>
    <w:rsid w:val="00C43E46"/>
    <w:rsid w:val="00C43FB3"/>
    <w:rsid w:val="00C454D2"/>
    <w:rsid w:val="00C4564A"/>
    <w:rsid w:val="00C4593E"/>
    <w:rsid w:val="00C45C07"/>
    <w:rsid w:val="00C45C1D"/>
    <w:rsid w:val="00C461F9"/>
    <w:rsid w:val="00C46D54"/>
    <w:rsid w:val="00C46D70"/>
    <w:rsid w:val="00C47123"/>
    <w:rsid w:val="00C4799E"/>
    <w:rsid w:val="00C47AAC"/>
    <w:rsid w:val="00C47E68"/>
    <w:rsid w:val="00C47EB1"/>
    <w:rsid w:val="00C503C9"/>
    <w:rsid w:val="00C504F0"/>
    <w:rsid w:val="00C505AE"/>
    <w:rsid w:val="00C50C61"/>
    <w:rsid w:val="00C50CB6"/>
    <w:rsid w:val="00C51339"/>
    <w:rsid w:val="00C51C0F"/>
    <w:rsid w:val="00C51F22"/>
    <w:rsid w:val="00C521D6"/>
    <w:rsid w:val="00C52731"/>
    <w:rsid w:val="00C53ACA"/>
    <w:rsid w:val="00C53CD9"/>
    <w:rsid w:val="00C5513B"/>
    <w:rsid w:val="00C55A70"/>
    <w:rsid w:val="00C56429"/>
    <w:rsid w:val="00C5651E"/>
    <w:rsid w:val="00C56625"/>
    <w:rsid w:val="00C5685E"/>
    <w:rsid w:val="00C57545"/>
    <w:rsid w:val="00C578BA"/>
    <w:rsid w:val="00C57F24"/>
    <w:rsid w:val="00C610E4"/>
    <w:rsid w:val="00C61528"/>
    <w:rsid w:val="00C61EFC"/>
    <w:rsid w:val="00C6234B"/>
    <w:rsid w:val="00C62896"/>
    <w:rsid w:val="00C62FA9"/>
    <w:rsid w:val="00C63295"/>
    <w:rsid w:val="00C63554"/>
    <w:rsid w:val="00C63D2B"/>
    <w:rsid w:val="00C63EAE"/>
    <w:rsid w:val="00C64B34"/>
    <w:rsid w:val="00C64EBD"/>
    <w:rsid w:val="00C6530D"/>
    <w:rsid w:val="00C65F90"/>
    <w:rsid w:val="00C66102"/>
    <w:rsid w:val="00C66288"/>
    <w:rsid w:val="00C669A5"/>
    <w:rsid w:val="00C66EF2"/>
    <w:rsid w:val="00C67449"/>
    <w:rsid w:val="00C70CED"/>
    <w:rsid w:val="00C71119"/>
    <w:rsid w:val="00C7177D"/>
    <w:rsid w:val="00C71CD7"/>
    <w:rsid w:val="00C722B7"/>
    <w:rsid w:val="00C738B6"/>
    <w:rsid w:val="00C73A56"/>
    <w:rsid w:val="00C73F70"/>
    <w:rsid w:val="00C73FE9"/>
    <w:rsid w:val="00C74A6C"/>
    <w:rsid w:val="00C74CD6"/>
    <w:rsid w:val="00C752B7"/>
    <w:rsid w:val="00C756B3"/>
    <w:rsid w:val="00C75884"/>
    <w:rsid w:val="00C7593E"/>
    <w:rsid w:val="00C75964"/>
    <w:rsid w:val="00C75DB5"/>
    <w:rsid w:val="00C7629F"/>
    <w:rsid w:val="00C76BDF"/>
    <w:rsid w:val="00C76C96"/>
    <w:rsid w:val="00C7740C"/>
    <w:rsid w:val="00C77E93"/>
    <w:rsid w:val="00C80845"/>
    <w:rsid w:val="00C80CBE"/>
    <w:rsid w:val="00C80EC1"/>
    <w:rsid w:val="00C812E4"/>
    <w:rsid w:val="00C81674"/>
    <w:rsid w:val="00C81A85"/>
    <w:rsid w:val="00C81E60"/>
    <w:rsid w:val="00C834FD"/>
    <w:rsid w:val="00C83648"/>
    <w:rsid w:val="00C83E38"/>
    <w:rsid w:val="00C84B6F"/>
    <w:rsid w:val="00C865D4"/>
    <w:rsid w:val="00C8661B"/>
    <w:rsid w:val="00C86A6F"/>
    <w:rsid w:val="00C8734F"/>
    <w:rsid w:val="00C87698"/>
    <w:rsid w:val="00C87C0D"/>
    <w:rsid w:val="00C87C2A"/>
    <w:rsid w:val="00C911C3"/>
    <w:rsid w:val="00C91AD0"/>
    <w:rsid w:val="00C9275E"/>
    <w:rsid w:val="00C92948"/>
    <w:rsid w:val="00C92BC5"/>
    <w:rsid w:val="00C9410E"/>
    <w:rsid w:val="00C9430C"/>
    <w:rsid w:val="00C953A8"/>
    <w:rsid w:val="00C957F6"/>
    <w:rsid w:val="00C95B62"/>
    <w:rsid w:val="00CA01A4"/>
    <w:rsid w:val="00CA0A6E"/>
    <w:rsid w:val="00CA0C9B"/>
    <w:rsid w:val="00CA1286"/>
    <w:rsid w:val="00CA1334"/>
    <w:rsid w:val="00CA139A"/>
    <w:rsid w:val="00CA17F1"/>
    <w:rsid w:val="00CA1D72"/>
    <w:rsid w:val="00CA256C"/>
    <w:rsid w:val="00CA2899"/>
    <w:rsid w:val="00CA3046"/>
    <w:rsid w:val="00CA30FF"/>
    <w:rsid w:val="00CA3782"/>
    <w:rsid w:val="00CA3A3D"/>
    <w:rsid w:val="00CA3CBA"/>
    <w:rsid w:val="00CA49F0"/>
    <w:rsid w:val="00CA4AD9"/>
    <w:rsid w:val="00CA549C"/>
    <w:rsid w:val="00CA572E"/>
    <w:rsid w:val="00CA5807"/>
    <w:rsid w:val="00CA58B9"/>
    <w:rsid w:val="00CA5EF6"/>
    <w:rsid w:val="00CA65DA"/>
    <w:rsid w:val="00CA6FEA"/>
    <w:rsid w:val="00CA70C6"/>
    <w:rsid w:val="00CA7274"/>
    <w:rsid w:val="00CA77FB"/>
    <w:rsid w:val="00CB0726"/>
    <w:rsid w:val="00CB090E"/>
    <w:rsid w:val="00CB1150"/>
    <w:rsid w:val="00CB1869"/>
    <w:rsid w:val="00CB1903"/>
    <w:rsid w:val="00CB1FCC"/>
    <w:rsid w:val="00CB2566"/>
    <w:rsid w:val="00CB2692"/>
    <w:rsid w:val="00CB2BC5"/>
    <w:rsid w:val="00CB2BDB"/>
    <w:rsid w:val="00CB2C9C"/>
    <w:rsid w:val="00CB379B"/>
    <w:rsid w:val="00CB3EE2"/>
    <w:rsid w:val="00CB3F1C"/>
    <w:rsid w:val="00CB4632"/>
    <w:rsid w:val="00CB4DEA"/>
    <w:rsid w:val="00CB5DD0"/>
    <w:rsid w:val="00CB66D6"/>
    <w:rsid w:val="00CB680C"/>
    <w:rsid w:val="00CB6E0E"/>
    <w:rsid w:val="00CC0027"/>
    <w:rsid w:val="00CC0FAA"/>
    <w:rsid w:val="00CC1256"/>
    <w:rsid w:val="00CC1CF9"/>
    <w:rsid w:val="00CC31F9"/>
    <w:rsid w:val="00CC373A"/>
    <w:rsid w:val="00CC457E"/>
    <w:rsid w:val="00CC497B"/>
    <w:rsid w:val="00CC51D4"/>
    <w:rsid w:val="00CC5275"/>
    <w:rsid w:val="00CC5834"/>
    <w:rsid w:val="00CC598E"/>
    <w:rsid w:val="00CC5FAC"/>
    <w:rsid w:val="00CC6296"/>
    <w:rsid w:val="00CC65DA"/>
    <w:rsid w:val="00CC688E"/>
    <w:rsid w:val="00CC6DF7"/>
    <w:rsid w:val="00CC735A"/>
    <w:rsid w:val="00CC7FA1"/>
    <w:rsid w:val="00CD0F38"/>
    <w:rsid w:val="00CD16F9"/>
    <w:rsid w:val="00CD17D5"/>
    <w:rsid w:val="00CD1B1B"/>
    <w:rsid w:val="00CD1C22"/>
    <w:rsid w:val="00CD1F4E"/>
    <w:rsid w:val="00CD237A"/>
    <w:rsid w:val="00CD32B1"/>
    <w:rsid w:val="00CD36CE"/>
    <w:rsid w:val="00CD3F6A"/>
    <w:rsid w:val="00CD403F"/>
    <w:rsid w:val="00CD51E4"/>
    <w:rsid w:val="00CD5508"/>
    <w:rsid w:val="00CD56FC"/>
    <w:rsid w:val="00CD5DB7"/>
    <w:rsid w:val="00CD5F81"/>
    <w:rsid w:val="00CD6E3D"/>
    <w:rsid w:val="00CD7251"/>
    <w:rsid w:val="00CE03C4"/>
    <w:rsid w:val="00CE06ED"/>
    <w:rsid w:val="00CE11D2"/>
    <w:rsid w:val="00CE1445"/>
    <w:rsid w:val="00CE1D36"/>
    <w:rsid w:val="00CE2499"/>
    <w:rsid w:val="00CE25D2"/>
    <w:rsid w:val="00CE3133"/>
    <w:rsid w:val="00CE40A5"/>
    <w:rsid w:val="00CE4778"/>
    <w:rsid w:val="00CE496B"/>
    <w:rsid w:val="00CE4F14"/>
    <w:rsid w:val="00CE542C"/>
    <w:rsid w:val="00CE5BA5"/>
    <w:rsid w:val="00CE608F"/>
    <w:rsid w:val="00CE60AC"/>
    <w:rsid w:val="00CE6804"/>
    <w:rsid w:val="00CE6AA8"/>
    <w:rsid w:val="00CE6E2C"/>
    <w:rsid w:val="00CE6EA8"/>
    <w:rsid w:val="00CE6FB0"/>
    <w:rsid w:val="00CE7538"/>
    <w:rsid w:val="00CE7AFA"/>
    <w:rsid w:val="00CE7CF8"/>
    <w:rsid w:val="00CE7E19"/>
    <w:rsid w:val="00CF03F3"/>
    <w:rsid w:val="00CF0C8D"/>
    <w:rsid w:val="00CF0FA6"/>
    <w:rsid w:val="00CF1707"/>
    <w:rsid w:val="00CF1D62"/>
    <w:rsid w:val="00CF1E56"/>
    <w:rsid w:val="00CF210F"/>
    <w:rsid w:val="00CF21B9"/>
    <w:rsid w:val="00CF23BD"/>
    <w:rsid w:val="00CF29D9"/>
    <w:rsid w:val="00CF2F4F"/>
    <w:rsid w:val="00CF2FA3"/>
    <w:rsid w:val="00CF4C8F"/>
    <w:rsid w:val="00CF502D"/>
    <w:rsid w:val="00CF524F"/>
    <w:rsid w:val="00CF6069"/>
    <w:rsid w:val="00CF64F0"/>
    <w:rsid w:val="00CF6BF9"/>
    <w:rsid w:val="00D00B94"/>
    <w:rsid w:val="00D0106E"/>
    <w:rsid w:val="00D018F0"/>
    <w:rsid w:val="00D019B7"/>
    <w:rsid w:val="00D033DD"/>
    <w:rsid w:val="00D03800"/>
    <w:rsid w:val="00D0404E"/>
    <w:rsid w:val="00D041E4"/>
    <w:rsid w:val="00D04822"/>
    <w:rsid w:val="00D050C7"/>
    <w:rsid w:val="00D06264"/>
    <w:rsid w:val="00D065D3"/>
    <w:rsid w:val="00D06DD6"/>
    <w:rsid w:val="00D076D6"/>
    <w:rsid w:val="00D10A6F"/>
    <w:rsid w:val="00D10E88"/>
    <w:rsid w:val="00D11BA0"/>
    <w:rsid w:val="00D11BCD"/>
    <w:rsid w:val="00D135FB"/>
    <w:rsid w:val="00D13F0F"/>
    <w:rsid w:val="00D14C94"/>
    <w:rsid w:val="00D150D8"/>
    <w:rsid w:val="00D15A13"/>
    <w:rsid w:val="00D15B8D"/>
    <w:rsid w:val="00D21151"/>
    <w:rsid w:val="00D21295"/>
    <w:rsid w:val="00D21AA4"/>
    <w:rsid w:val="00D224D3"/>
    <w:rsid w:val="00D2288E"/>
    <w:rsid w:val="00D2315D"/>
    <w:rsid w:val="00D23CEA"/>
    <w:rsid w:val="00D23D87"/>
    <w:rsid w:val="00D25453"/>
    <w:rsid w:val="00D25962"/>
    <w:rsid w:val="00D25D64"/>
    <w:rsid w:val="00D26388"/>
    <w:rsid w:val="00D2674B"/>
    <w:rsid w:val="00D26CBF"/>
    <w:rsid w:val="00D30136"/>
    <w:rsid w:val="00D30326"/>
    <w:rsid w:val="00D312DE"/>
    <w:rsid w:val="00D3132E"/>
    <w:rsid w:val="00D31ACF"/>
    <w:rsid w:val="00D31CDE"/>
    <w:rsid w:val="00D323AA"/>
    <w:rsid w:val="00D330CC"/>
    <w:rsid w:val="00D330DB"/>
    <w:rsid w:val="00D342A6"/>
    <w:rsid w:val="00D34465"/>
    <w:rsid w:val="00D34B67"/>
    <w:rsid w:val="00D352C5"/>
    <w:rsid w:val="00D36F17"/>
    <w:rsid w:val="00D372A4"/>
    <w:rsid w:val="00D3759C"/>
    <w:rsid w:val="00D37CBB"/>
    <w:rsid w:val="00D40739"/>
    <w:rsid w:val="00D418EA"/>
    <w:rsid w:val="00D419E0"/>
    <w:rsid w:val="00D424D5"/>
    <w:rsid w:val="00D435DF"/>
    <w:rsid w:val="00D4363E"/>
    <w:rsid w:val="00D444EF"/>
    <w:rsid w:val="00D45361"/>
    <w:rsid w:val="00D4560F"/>
    <w:rsid w:val="00D45783"/>
    <w:rsid w:val="00D45C90"/>
    <w:rsid w:val="00D464BF"/>
    <w:rsid w:val="00D47B51"/>
    <w:rsid w:val="00D47F76"/>
    <w:rsid w:val="00D50184"/>
    <w:rsid w:val="00D50480"/>
    <w:rsid w:val="00D50999"/>
    <w:rsid w:val="00D51238"/>
    <w:rsid w:val="00D5176D"/>
    <w:rsid w:val="00D520CB"/>
    <w:rsid w:val="00D524A1"/>
    <w:rsid w:val="00D52C8C"/>
    <w:rsid w:val="00D531BE"/>
    <w:rsid w:val="00D538BA"/>
    <w:rsid w:val="00D53E26"/>
    <w:rsid w:val="00D54DAE"/>
    <w:rsid w:val="00D54F80"/>
    <w:rsid w:val="00D551B8"/>
    <w:rsid w:val="00D5524B"/>
    <w:rsid w:val="00D56179"/>
    <w:rsid w:val="00D563AD"/>
    <w:rsid w:val="00D56A72"/>
    <w:rsid w:val="00D56E81"/>
    <w:rsid w:val="00D571B7"/>
    <w:rsid w:val="00D57299"/>
    <w:rsid w:val="00D57BB1"/>
    <w:rsid w:val="00D57C3F"/>
    <w:rsid w:val="00D60177"/>
    <w:rsid w:val="00D60731"/>
    <w:rsid w:val="00D60852"/>
    <w:rsid w:val="00D60ABF"/>
    <w:rsid w:val="00D6108F"/>
    <w:rsid w:val="00D6109E"/>
    <w:rsid w:val="00D61166"/>
    <w:rsid w:val="00D6167D"/>
    <w:rsid w:val="00D6179A"/>
    <w:rsid w:val="00D61E17"/>
    <w:rsid w:val="00D62287"/>
    <w:rsid w:val="00D628EA"/>
    <w:rsid w:val="00D62C2F"/>
    <w:rsid w:val="00D631A6"/>
    <w:rsid w:val="00D6322D"/>
    <w:rsid w:val="00D63932"/>
    <w:rsid w:val="00D63B9A"/>
    <w:rsid w:val="00D6451F"/>
    <w:rsid w:val="00D6476B"/>
    <w:rsid w:val="00D6548B"/>
    <w:rsid w:val="00D657F8"/>
    <w:rsid w:val="00D6623E"/>
    <w:rsid w:val="00D665AD"/>
    <w:rsid w:val="00D66AF7"/>
    <w:rsid w:val="00D66E2F"/>
    <w:rsid w:val="00D67482"/>
    <w:rsid w:val="00D674C4"/>
    <w:rsid w:val="00D67E4F"/>
    <w:rsid w:val="00D7178C"/>
    <w:rsid w:val="00D71A0F"/>
    <w:rsid w:val="00D72F94"/>
    <w:rsid w:val="00D733CA"/>
    <w:rsid w:val="00D74A89"/>
    <w:rsid w:val="00D74CDB"/>
    <w:rsid w:val="00D76739"/>
    <w:rsid w:val="00D768E5"/>
    <w:rsid w:val="00D76FED"/>
    <w:rsid w:val="00D771CC"/>
    <w:rsid w:val="00D7739C"/>
    <w:rsid w:val="00D777B8"/>
    <w:rsid w:val="00D77923"/>
    <w:rsid w:val="00D77FA6"/>
    <w:rsid w:val="00D8105C"/>
    <w:rsid w:val="00D82C30"/>
    <w:rsid w:val="00D82FE0"/>
    <w:rsid w:val="00D835FD"/>
    <w:rsid w:val="00D83EA2"/>
    <w:rsid w:val="00D85F90"/>
    <w:rsid w:val="00D867BC"/>
    <w:rsid w:val="00D86DC8"/>
    <w:rsid w:val="00D86DCD"/>
    <w:rsid w:val="00D9027B"/>
    <w:rsid w:val="00D90648"/>
    <w:rsid w:val="00D9070A"/>
    <w:rsid w:val="00D909D7"/>
    <w:rsid w:val="00D9141E"/>
    <w:rsid w:val="00D91480"/>
    <w:rsid w:val="00D914DE"/>
    <w:rsid w:val="00D92967"/>
    <w:rsid w:val="00D92C87"/>
    <w:rsid w:val="00D92C98"/>
    <w:rsid w:val="00D93788"/>
    <w:rsid w:val="00D94249"/>
    <w:rsid w:val="00D94ADF"/>
    <w:rsid w:val="00D950FB"/>
    <w:rsid w:val="00D951B7"/>
    <w:rsid w:val="00D95533"/>
    <w:rsid w:val="00D969CA"/>
    <w:rsid w:val="00D9723C"/>
    <w:rsid w:val="00DA051D"/>
    <w:rsid w:val="00DA0C3F"/>
    <w:rsid w:val="00DA2C4C"/>
    <w:rsid w:val="00DA2FF4"/>
    <w:rsid w:val="00DA3295"/>
    <w:rsid w:val="00DA34BD"/>
    <w:rsid w:val="00DA380E"/>
    <w:rsid w:val="00DA3A60"/>
    <w:rsid w:val="00DA466C"/>
    <w:rsid w:val="00DA4DD7"/>
    <w:rsid w:val="00DA52BD"/>
    <w:rsid w:val="00DA565E"/>
    <w:rsid w:val="00DA5909"/>
    <w:rsid w:val="00DA6280"/>
    <w:rsid w:val="00DA7F53"/>
    <w:rsid w:val="00DB065C"/>
    <w:rsid w:val="00DB0F27"/>
    <w:rsid w:val="00DB1943"/>
    <w:rsid w:val="00DB2884"/>
    <w:rsid w:val="00DB2B9E"/>
    <w:rsid w:val="00DB319E"/>
    <w:rsid w:val="00DB41A2"/>
    <w:rsid w:val="00DB4B10"/>
    <w:rsid w:val="00DB4EF0"/>
    <w:rsid w:val="00DB5410"/>
    <w:rsid w:val="00DB612E"/>
    <w:rsid w:val="00DB64BC"/>
    <w:rsid w:val="00DB73EC"/>
    <w:rsid w:val="00DB74AC"/>
    <w:rsid w:val="00DB7C61"/>
    <w:rsid w:val="00DC1438"/>
    <w:rsid w:val="00DC1671"/>
    <w:rsid w:val="00DC180F"/>
    <w:rsid w:val="00DC20B0"/>
    <w:rsid w:val="00DC2181"/>
    <w:rsid w:val="00DC350B"/>
    <w:rsid w:val="00DC364A"/>
    <w:rsid w:val="00DC383C"/>
    <w:rsid w:val="00DC542E"/>
    <w:rsid w:val="00DC5AA6"/>
    <w:rsid w:val="00DC5C29"/>
    <w:rsid w:val="00DC6B5C"/>
    <w:rsid w:val="00DC6F2A"/>
    <w:rsid w:val="00DC720D"/>
    <w:rsid w:val="00DD01E5"/>
    <w:rsid w:val="00DD10E4"/>
    <w:rsid w:val="00DD1471"/>
    <w:rsid w:val="00DD273A"/>
    <w:rsid w:val="00DD2C10"/>
    <w:rsid w:val="00DD2F13"/>
    <w:rsid w:val="00DD485D"/>
    <w:rsid w:val="00DD486D"/>
    <w:rsid w:val="00DD4BFF"/>
    <w:rsid w:val="00DD4C3C"/>
    <w:rsid w:val="00DD4CE3"/>
    <w:rsid w:val="00DD4F0E"/>
    <w:rsid w:val="00DD7A13"/>
    <w:rsid w:val="00DE0B40"/>
    <w:rsid w:val="00DE17E4"/>
    <w:rsid w:val="00DE3053"/>
    <w:rsid w:val="00DE3142"/>
    <w:rsid w:val="00DE47B1"/>
    <w:rsid w:val="00DE4CD8"/>
    <w:rsid w:val="00DE4E24"/>
    <w:rsid w:val="00DE56B8"/>
    <w:rsid w:val="00DE596A"/>
    <w:rsid w:val="00DE5D06"/>
    <w:rsid w:val="00DE65D5"/>
    <w:rsid w:val="00DE69F8"/>
    <w:rsid w:val="00DE7955"/>
    <w:rsid w:val="00DE7E5B"/>
    <w:rsid w:val="00DE7EF3"/>
    <w:rsid w:val="00DF04E3"/>
    <w:rsid w:val="00DF05F1"/>
    <w:rsid w:val="00DF0B37"/>
    <w:rsid w:val="00DF0B66"/>
    <w:rsid w:val="00DF0BF0"/>
    <w:rsid w:val="00DF0CEA"/>
    <w:rsid w:val="00DF11EC"/>
    <w:rsid w:val="00DF1BA3"/>
    <w:rsid w:val="00DF1FED"/>
    <w:rsid w:val="00DF2617"/>
    <w:rsid w:val="00DF27EA"/>
    <w:rsid w:val="00DF2809"/>
    <w:rsid w:val="00DF2F9C"/>
    <w:rsid w:val="00DF3269"/>
    <w:rsid w:val="00DF3444"/>
    <w:rsid w:val="00DF378F"/>
    <w:rsid w:val="00DF39E6"/>
    <w:rsid w:val="00DF4535"/>
    <w:rsid w:val="00DF5684"/>
    <w:rsid w:val="00DF5859"/>
    <w:rsid w:val="00DF5FAD"/>
    <w:rsid w:val="00DF69F5"/>
    <w:rsid w:val="00DF7511"/>
    <w:rsid w:val="00DF7AA8"/>
    <w:rsid w:val="00DF7E7A"/>
    <w:rsid w:val="00E002CC"/>
    <w:rsid w:val="00E0079F"/>
    <w:rsid w:val="00E00A9E"/>
    <w:rsid w:val="00E01249"/>
    <w:rsid w:val="00E01408"/>
    <w:rsid w:val="00E014EA"/>
    <w:rsid w:val="00E01F0B"/>
    <w:rsid w:val="00E02964"/>
    <w:rsid w:val="00E032B6"/>
    <w:rsid w:val="00E034A7"/>
    <w:rsid w:val="00E03DB3"/>
    <w:rsid w:val="00E03F73"/>
    <w:rsid w:val="00E054DF"/>
    <w:rsid w:val="00E0579F"/>
    <w:rsid w:val="00E05B53"/>
    <w:rsid w:val="00E05E0A"/>
    <w:rsid w:val="00E05FB4"/>
    <w:rsid w:val="00E0638D"/>
    <w:rsid w:val="00E0680F"/>
    <w:rsid w:val="00E101AA"/>
    <w:rsid w:val="00E10F4B"/>
    <w:rsid w:val="00E118CD"/>
    <w:rsid w:val="00E11A4F"/>
    <w:rsid w:val="00E11CE7"/>
    <w:rsid w:val="00E12083"/>
    <w:rsid w:val="00E13B60"/>
    <w:rsid w:val="00E143C4"/>
    <w:rsid w:val="00E145CB"/>
    <w:rsid w:val="00E15284"/>
    <w:rsid w:val="00E15628"/>
    <w:rsid w:val="00E156FE"/>
    <w:rsid w:val="00E15DAC"/>
    <w:rsid w:val="00E160B1"/>
    <w:rsid w:val="00E162A4"/>
    <w:rsid w:val="00E164E4"/>
    <w:rsid w:val="00E17502"/>
    <w:rsid w:val="00E17B31"/>
    <w:rsid w:val="00E17D4D"/>
    <w:rsid w:val="00E2018B"/>
    <w:rsid w:val="00E21D6A"/>
    <w:rsid w:val="00E21EBB"/>
    <w:rsid w:val="00E221A2"/>
    <w:rsid w:val="00E22328"/>
    <w:rsid w:val="00E22707"/>
    <w:rsid w:val="00E23419"/>
    <w:rsid w:val="00E23A82"/>
    <w:rsid w:val="00E24607"/>
    <w:rsid w:val="00E26F47"/>
    <w:rsid w:val="00E27AEE"/>
    <w:rsid w:val="00E27B1D"/>
    <w:rsid w:val="00E3085D"/>
    <w:rsid w:val="00E31239"/>
    <w:rsid w:val="00E3357D"/>
    <w:rsid w:val="00E3437A"/>
    <w:rsid w:val="00E35D5A"/>
    <w:rsid w:val="00E36F20"/>
    <w:rsid w:val="00E37499"/>
    <w:rsid w:val="00E37F7A"/>
    <w:rsid w:val="00E403BF"/>
    <w:rsid w:val="00E40453"/>
    <w:rsid w:val="00E40696"/>
    <w:rsid w:val="00E40C86"/>
    <w:rsid w:val="00E40F00"/>
    <w:rsid w:val="00E41ADE"/>
    <w:rsid w:val="00E41C43"/>
    <w:rsid w:val="00E42680"/>
    <w:rsid w:val="00E42B55"/>
    <w:rsid w:val="00E42CB6"/>
    <w:rsid w:val="00E43DFB"/>
    <w:rsid w:val="00E43EAB"/>
    <w:rsid w:val="00E43EEF"/>
    <w:rsid w:val="00E447F8"/>
    <w:rsid w:val="00E44A2D"/>
    <w:rsid w:val="00E44BBB"/>
    <w:rsid w:val="00E44F2B"/>
    <w:rsid w:val="00E45C2B"/>
    <w:rsid w:val="00E45F88"/>
    <w:rsid w:val="00E4651F"/>
    <w:rsid w:val="00E47074"/>
    <w:rsid w:val="00E47304"/>
    <w:rsid w:val="00E47873"/>
    <w:rsid w:val="00E479F5"/>
    <w:rsid w:val="00E504EC"/>
    <w:rsid w:val="00E50647"/>
    <w:rsid w:val="00E51025"/>
    <w:rsid w:val="00E511C1"/>
    <w:rsid w:val="00E516BB"/>
    <w:rsid w:val="00E52574"/>
    <w:rsid w:val="00E531EE"/>
    <w:rsid w:val="00E5335D"/>
    <w:rsid w:val="00E534CF"/>
    <w:rsid w:val="00E53B82"/>
    <w:rsid w:val="00E53C15"/>
    <w:rsid w:val="00E5407D"/>
    <w:rsid w:val="00E55041"/>
    <w:rsid w:val="00E55564"/>
    <w:rsid w:val="00E55FE8"/>
    <w:rsid w:val="00E562AA"/>
    <w:rsid w:val="00E57393"/>
    <w:rsid w:val="00E604EE"/>
    <w:rsid w:val="00E60EBB"/>
    <w:rsid w:val="00E6127F"/>
    <w:rsid w:val="00E618AC"/>
    <w:rsid w:val="00E61CF9"/>
    <w:rsid w:val="00E6234C"/>
    <w:rsid w:val="00E62EE4"/>
    <w:rsid w:val="00E63061"/>
    <w:rsid w:val="00E632E0"/>
    <w:rsid w:val="00E635AC"/>
    <w:rsid w:val="00E637F6"/>
    <w:rsid w:val="00E63A17"/>
    <w:rsid w:val="00E6570C"/>
    <w:rsid w:val="00E66DD9"/>
    <w:rsid w:val="00E67019"/>
    <w:rsid w:val="00E678E3"/>
    <w:rsid w:val="00E70217"/>
    <w:rsid w:val="00E70312"/>
    <w:rsid w:val="00E70FAD"/>
    <w:rsid w:val="00E71040"/>
    <w:rsid w:val="00E7111E"/>
    <w:rsid w:val="00E711DB"/>
    <w:rsid w:val="00E71EB4"/>
    <w:rsid w:val="00E71EFF"/>
    <w:rsid w:val="00E72537"/>
    <w:rsid w:val="00E7258C"/>
    <w:rsid w:val="00E72F46"/>
    <w:rsid w:val="00E73114"/>
    <w:rsid w:val="00E73633"/>
    <w:rsid w:val="00E7424A"/>
    <w:rsid w:val="00E74844"/>
    <w:rsid w:val="00E74D67"/>
    <w:rsid w:val="00E7509E"/>
    <w:rsid w:val="00E75220"/>
    <w:rsid w:val="00E75463"/>
    <w:rsid w:val="00E75484"/>
    <w:rsid w:val="00E75B01"/>
    <w:rsid w:val="00E76CDC"/>
    <w:rsid w:val="00E76ECB"/>
    <w:rsid w:val="00E77B66"/>
    <w:rsid w:val="00E8067A"/>
    <w:rsid w:val="00E80927"/>
    <w:rsid w:val="00E80DA7"/>
    <w:rsid w:val="00E812BF"/>
    <w:rsid w:val="00E817C3"/>
    <w:rsid w:val="00E81CB4"/>
    <w:rsid w:val="00E82A8B"/>
    <w:rsid w:val="00E83147"/>
    <w:rsid w:val="00E840E1"/>
    <w:rsid w:val="00E849BA"/>
    <w:rsid w:val="00E84FD2"/>
    <w:rsid w:val="00E851AD"/>
    <w:rsid w:val="00E85679"/>
    <w:rsid w:val="00E8585B"/>
    <w:rsid w:val="00E85CE0"/>
    <w:rsid w:val="00E85E59"/>
    <w:rsid w:val="00E8713A"/>
    <w:rsid w:val="00E87BC1"/>
    <w:rsid w:val="00E87F6A"/>
    <w:rsid w:val="00E9061E"/>
    <w:rsid w:val="00E90955"/>
    <w:rsid w:val="00E9264A"/>
    <w:rsid w:val="00E93C5E"/>
    <w:rsid w:val="00E93EB3"/>
    <w:rsid w:val="00E93FB3"/>
    <w:rsid w:val="00E9503E"/>
    <w:rsid w:val="00E9574D"/>
    <w:rsid w:val="00E9684B"/>
    <w:rsid w:val="00E96874"/>
    <w:rsid w:val="00E97099"/>
    <w:rsid w:val="00E97CB0"/>
    <w:rsid w:val="00EA0849"/>
    <w:rsid w:val="00EA14C7"/>
    <w:rsid w:val="00EA28FF"/>
    <w:rsid w:val="00EA30EB"/>
    <w:rsid w:val="00EA372B"/>
    <w:rsid w:val="00EA3C94"/>
    <w:rsid w:val="00EA3F15"/>
    <w:rsid w:val="00EA3F81"/>
    <w:rsid w:val="00EA52EF"/>
    <w:rsid w:val="00EA59DF"/>
    <w:rsid w:val="00EA5FBC"/>
    <w:rsid w:val="00EA6384"/>
    <w:rsid w:val="00EA6385"/>
    <w:rsid w:val="00EA64F9"/>
    <w:rsid w:val="00EA7847"/>
    <w:rsid w:val="00EA7FB7"/>
    <w:rsid w:val="00EB005E"/>
    <w:rsid w:val="00EB0F2E"/>
    <w:rsid w:val="00EB0F69"/>
    <w:rsid w:val="00EB0F94"/>
    <w:rsid w:val="00EB180D"/>
    <w:rsid w:val="00EB1C8E"/>
    <w:rsid w:val="00EB2359"/>
    <w:rsid w:val="00EB2884"/>
    <w:rsid w:val="00EB290B"/>
    <w:rsid w:val="00EB298E"/>
    <w:rsid w:val="00EB2BFD"/>
    <w:rsid w:val="00EB2F1D"/>
    <w:rsid w:val="00EB382D"/>
    <w:rsid w:val="00EB449D"/>
    <w:rsid w:val="00EB463A"/>
    <w:rsid w:val="00EB512D"/>
    <w:rsid w:val="00EB5E91"/>
    <w:rsid w:val="00EB623F"/>
    <w:rsid w:val="00EB6B3E"/>
    <w:rsid w:val="00EB6D3E"/>
    <w:rsid w:val="00EB6DC4"/>
    <w:rsid w:val="00EB6EC3"/>
    <w:rsid w:val="00EB7721"/>
    <w:rsid w:val="00EC0664"/>
    <w:rsid w:val="00EC081A"/>
    <w:rsid w:val="00EC0893"/>
    <w:rsid w:val="00EC090A"/>
    <w:rsid w:val="00EC0D38"/>
    <w:rsid w:val="00EC19F3"/>
    <w:rsid w:val="00EC1B50"/>
    <w:rsid w:val="00EC1D4D"/>
    <w:rsid w:val="00EC2796"/>
    <w:rsid w:val="00EC3714"/>
    <w:rsid w:val="00EC4B96"/>
    <w:rsid w:val="00EC564B"/>
    <w:rsid w:val="00EC62C4"/>
    <w:rsid w:val="00EC71E4"/>
    <w:rsid w:val="00EC72FC"/>
    <w:rsid w:val="00EC7775"/>
    <w:rsid w:val="00ED0102"/>
    <w:rsid w:val="00ED0822"/>
    <w:rsid w:val="00ED0EE2"/>
    <w:rsid w:val="00ED1DFF"/>
    <w:rsid w:val="00ED28C9"/>
    <w:rsid w:val="00ED2A1C"/>
    <w:rsid w:val="00ED3A04"/>
    <w:rsid w:val="00ED3EA2"/>
    <w:rsid w:val="00ED4147"/>
    <w:rsid w:val="00ED45AC"/>
    <w:rsid w:val="00ED4D14"/>
    <w:rsid w:val="00ED4EB3"/>
    <w:rsid w:val="00ED51A0"/>
    <w:rsid w:val="00ED54C8"/>
    <w:rsid w:val="00ED63A2"/>
    <w:rsid w:val="00ED7166"/>
    <w:rsid w:val="00ED7610"/>
    <w:rsid w:val="00EE014D"/>
    <w:rsid w:val="00EE058F"/>
    <w:rsid w:val="00EE0793"/>
    <w:rsid w:val="00EE0E6E"/>
    <w:rsid w:val="00EE1002"/>
    <w:rsid w:val="00EE2E6D"/>
    <w:rsid w:val="00EE2E6E"/>
    <w:rsid w:val="00EE2F3A"/>
    <w:rsid w:val="00EE3106"/>
    <w:rsid w:val="00EE3A47"/>
    <w:rsid w:val="00EE3B42"/>
    <w:rsid w:val="00EE422D"/>
    <w:rsid w:val="00EE49E1"/>
    <w:rsid w:val="00EE4BDB"/>
    <w:rsid w:val="00EE5298"/>
    <w:rsid w:val="00EE594F"/>
    <w:rsid w:val="00EE59D3"/>
    <w:rsid w:val="00EE5CB9"/>
    <w:rsid w:val="00EE5F7D"/>
    <w:rsid w:val="00EE65EC"/>
    <w:rsid w:val="00EE6C8A"/>
    <w:rsid w:val="00EE6E20"/>
    <w:rsid w:val="00EE71CE"/>
    <w:rsid w:val="00EE7BF4"/>
    <w:rsid w:val="00EE7D8A"/>
    <w:rsid w:val="00EF0942"/>
    <w:rsid w:val="00EF0A19"/>
    <w:rsid w:val="00EF0C4F"/>
    <w:rsid w:val="00EF0E52"/>
    <w:rsid w:val="00EF10AD"/>
    <w:rsid w:val="00EF1B32"/>
    <w:rsid w:val="00EF2031"/>
    <w:rsid w:val="00EF297F"/>
    <w:rsid w:val="00EF2A9E"/>
    <w:rsid w:val="00EF2BFF"/>
    <w:rsid w:val="00EF32C0"/>
    <w:rsid w:val="00EF330F"/>
    <w:rsid w:val="00EF339E"/>
    <w:rsid w:val="00EF3921"/>
    <w:rsid w:val="00EF4B93"/>
    <w:rsid w:val="00EF63CE"/>
    <w:rsid w:val="00EF6591"/>
    <w:rsid w:val="00EF7019"/>
    <w:rsid w:val="00EF773E"/>
    <w:rsid w:val="00EF7B4F"/>
    <w:rsid w:val="00EF7F92"/>
    <w:rsid w:val="00F001F2"/>
    <w:rsid w:val="00F01068"/>
    <w:rsid w:val="00F011F8"/>
    <w:rsid w:val="00F01431"/>
    <w:rsid w:val="00F017CD"/>
    <w:rsid w:val="00F01806"/>
    <w:rsid w:val="00F01B61"/>
    <w:rsid w:val="00F01F7C"/>
    <w:rsid w:val="00F04455"/>
    <w:rsid w:val="00F044EB"/>
    <w:rsid w:val="00F0501D"/>
    <w:rsid w:val="00F05FD5"/>
    <w:rsid w:val="00F0631F"/>
    <w:rsid w:val="00F066E9"/>
    <w:rsid w:val="00F0759E"/>
    <w:rsid w:val="00F075A1"/>
    <w:rsid w:val="00F07E4D"/>
    <w:rsid w:val="00F10203"/>
    <w:rsid w:val="00F10644"/>
    <w:rsid w:val="00F10E43"/>
    <w:rsid w:val="00F10F88"/>
    <w:rsid w:val="00F13554"/>
    <w:rsid w:val="00F13FC5"/>
    <w:rsid w:val="00F143DE"/>
    <w:rsid w:val="00F14C6D"/>
    <w:rsid w:val="00F15075"/>
    <w:rsid w:val="00F15208"/>
    <w:rsid w:val="00F158EE"/>
    <w:rsid w:val="00F158F4"/>
    <w:rsid w:val="00F16034"/>
    <w:rsid w:val="00F1649D"/>
    <w:rsid w:val="00F16C18"/>
    <w:rsid w:val="00F16E1A"/>
    <w:rsid w:val="00F170CC"/>
    <w:rsid w:val="00F171E1"/>
    <w:rsid w:val="00F1720B"/>
    <w:rsid w:val="00F17C1E"/>
    <w:rsid w:val="00F2158F"/>
    <w:rsid w:val="00F2233E"/>
    <w:rsid w:val="00F22540"/>
    <w:rsid w:val="00F2274A"/>
    <w:rsid w:val="00F22B5C"/>
    <w:rsid w:val="00F22B84"/>
    <w:rsid w:val="00F2329B"/>
    <w:rsid w:val="00F23351"/>
    <w:rsid w:val="00F23E17"/>
    <w:rsid w:val="00F24931"/>
    <w:rsid w:val="00F24FFB"/>
    <w:rsid w:val="00F261B2"/>
    <w:rsid w:val="00F263F8"/>
    <w:rsid w:val="00F27665"/>
    <w:rsid w:val="00F27729"/>
    <w:rsid w:val="00F27F24"/>
    <w:rsid w:val="00F306A1"/>
    <w:rsid w:val="00F30B18"/>
    <w:rsid w:val="00F31266"/>
    <w:rsid w:val="00F31642"/>
    <w:rsid w:val="00F31679"/>
    <w:rsid w:val="00F321F4"/>
    <w:rsid w:val="00F32898"/>
    <w:rsid w:val="00F33430"/>
    <w:rsid w:val="00F337D9"/>
    <w:rsid w:val="00F33B43"/>
    <w:rsid w:val="00F33C70"/>
    <w:rsid w:val="00F34239"/>
    <w:rsid w:val="00F34585"/>
    <w:rsid w:val="00F34782"/>
    <w:rsid w:val="00F34E34"/>
    <w:rsid w:val="00F350AF"/>
    <w:rsid w:val="00F358D1"/>
    <w:rsid w:val="00F35935"/>
    <w:rsid w:val="00F35B02"/>
    <w:rsid w:val="00F37175"/>
    <w:rsid w:val="00F37B32"/>
    <w:rsid w:val="00F41373"/>
    <w:rsid w:val="00F42CBD"/>
    <w:rsid w:val="00F432E6"/>
    <w:rsid w:val="00F43858"/>
    <w:rsid w:val="00F43CA8"/>
    <w:rsid w:val="00F4514D"/>
    <w:rsid w:val="00F4532D"/>
    <w:rsid w:val="00F4540C"/>
    <w:rsid w:val="00F459E6"/>
    <w:rsid w:val="00F4627D"/>
    <w:rsid w:val="00F465C5"/>
    <w:rsid w:val="00F479D3"/>
    <w:rsid w:val="00F505B2"/>
    <w:rsid w:val="00F50683"/>
    <w:rsid w:val="00F50FAE"/>
    <w:rsid w:val="00F51347"/>
    <w:rsid w:val="00F513F0"/>
    <w:rsid w:val="00F51E2E"/>
    <w:rsid w:val="00F52C1D"/>
    <w:rsid w:val="00F52F1F"/>
    <w:rsid w:val="00F53D77"/>
    <w:rsid w:val="00F546A4"/>
    <w:rsid w:val="00F55D66"/>
    <w:rsid w:val="00F55DA9"/>
    <w:rsid w:val="00F5619A"/>
    <w:rsid w:val="00F569FD"/>
    <w:rsid w:val="00F57245"/>
    <w:rsid w:val="00F572C5"/>
    <w:rsid w:val="00F61F7D"/>
    <w:rsid w:val="00F621DA"/>
    <w:rsid w:val="00F62312"/>
    <w:rsid w:val="00F62459"/>
    <w:rsid w:val="00F62791"/>
    <w:rsid w:val="00F62ECE"/>
    <w:rsid w:val="00F633BD"/>
    <w:rsid w:val="00F634AC"/>
    <w:rsid w:val="00F63C14"/>
    <w:rsid w:val="00F63C57"/>
    <w:rsid w:val="00F64113"/>
    <w:rsid w:val="00F645E4"/>
    <w:rsid w:val="00F64E17"/>
    <w:rsid w:val="00F651E9"/>
    <w:rsid w:val="00F652B9"/>
    <w:rsid w:val="00F66696"/>
    <w:rsid w:val="00F669AB"/>
    <w:rsid w:val="00F66A2C"/>
    <w:rsid w:val="00F66B49"/>
    <w:rsid w:val="00F66D76"/>
    <w:rsid w:val="00F66E9F"/>
    <w:rsid w:val="00F671ED"/>
    <w:rsid w:val="00F700DD"/>
    <w:rsid w:val="00F707B3"/>
    <w:rsid w:val="00F70D52"/>
    <w:rsid w:val="00F712A7"/>
    <w:rsid w:val="00F7159B"/>
    <w:rsid w:val="00F718F3"/>
    <w:rsid w:val="00F719A8"/>
    <w:rsid w:val="00F71C6E"/>
    <w:rsid w:val="00F71CBA"/>
    <w:rsid w:val="00F71DB1"/>
    <w:rsid w:val="00F71E33"/>
    <w:rsid w:val="00F72311"/>
    <w:rsid w:val="00F72719"/>
    <w:rsid w:val="00F72BA7"/>
    <w:rsid w:val="00F72C2E"/>
    <w:rsid w:val="00F736B6"/>
    <w:rsid w:val="00F742A8"/>
    <w:rsid w:val="00F7590A"/>
    <w:rsid w:val="00F75BC2"/>
    <w:rsid w:val="00F76456"/>
    <w:rsid w:val="00F7664E"/>
    <w:rsid w:val="00F76F67"/>
    <w:rsid w:val="00F778C7"/>
    <w:rsid w:val="00F779E7"/>
    <w:rsid w:val="00F77BED"/>
    <w:rsid w:val="00F81167"/>
    <w:rsid w:val="00F813A4"/>
    <w:rsid w:val="00F8145D"/>
    <w:rsid w:val="00F81D80"/>
    <w:rsid w:val="00F82194"/>
    <w:rsid w:val="00F821A3"/>
    <w:rsid w:val="00F82FD1"/>
    <w:rsid w:val="00F830E9"/>
    <w:rsid w:val="00F84069"/>
    <w:rsid w:val="00F841B2"/>
    <w:rsid w:val="00F84267"/>
    <w:rsid w:val="00F84898"/>
    <w:rsid w:val="00F85061"/>
    <w:rsid w:val="00F854E0"/>
    <w:rsid w:val="00F85C08"/>
    <w:rsid w:val="00F85DD5"/>
    <w:rsid w:val="00F862DC"/>
    <w:rsid w:val="00F865FC"/>
    <w:rsid w:val="00F86627"/>
    <w:rsid w:val="00F867C6"/>
    <w:rsid w:val="00F86A8F"/>
    <w:rsid w:val="00F870C0"/>
    <w:rsid w:val="00F875A4"/>
    <w:rsid w:val="00F8779B"/>
    <w:rsid w:val="00F9033A"/>
    <w:rsid w:val="00F9088F"/>
    <w:rsid w:val="00F913DF"/>
    <w:rsid w:val="00F9164E"/>
    <w:rsid w:val="00F9314A"/>
    <w:rsid w:val="00F935FB"/>
    <w:rsid w:val="00F9373E"/>
    <w:rsid w:val="00F94BAD"/>
    <w:rsid w:val="00F955C3"/>
    <w:rsid w:val="00F957D8"/>
    <w:rsid w:val="00F95F39"/>
    <w:rsid w:val="00F97F25"/>
    <w:rsid w:val="00FA136C"/>
    <w:rsid w:val="00FA15A0"/>
    <w:rsid w:val="00FA2188"/>
    <w:rsid w:val="00FA2D26"/>
    <w:rsid w:val="00FA2E4E"/>
    <w:rsid w:val="00FA310D"/>
    <w:rsid w:val="00FA31C4"/>
    <w:rsid w:val="00FA34B4"/>
    <w:rsid w:val="00FA42C7"/>
    <w:rsid w:val="00FA5679"/>
    <w:rsid w:val="00FA7D90"/>
    <w:rsid w:val="00FB0C1A"/>
    <w:rsid w:val="00FB0EE9"/>
    <w:rsid w:val="00FB1146"/>
    <w:rsid w:val="00FB1299"/>
    <w:rsid w:val="00FB1437"/>
    <w:rsid w:val="00FB153A"/>
    <w:rsid w:val="00FB1546"/>
    <w:rsid w:val="00FB2114"/>
    <w:rsid w:val="00FB2E67"/>
    <w:rsid w:val="00FB37B7"/>
    <w:rsid w:val="00FB47BD"/>
    <w:rsid w:val="00FB4B5A"/>
    <w:rsid w:val="00FB4BD0"/>
    <w:rsid w:val="00FB5666"/>
    <w:rsid w:val="00FB57F3"/>
    <w:rsid w:val="00FB5F17"/>
    <w:rsid w:val="00FB63CC"/>
    <w:rsid w:val="00FB643F"/>
    <w:rsid w:val="00FB6677"/>
    <w:rsid w:val="00FB7323"/>
    <w:rsid w:val="00FC0120"/>
    <w:rsid w:val="00FC0171"/>
    <w:rsid w:val="00FC02FB"/>
    <w:rsid w:val="00FC0C9B"/>
    <w:rsid w:val="00FC14E0"/>
    <w:rsid w:val="00FC1531"/>
    <w:rsid w:val="00FC1AB3"/>
    <w:rsid w:val="00FC1D20"/>
    <w:rsid w:val="00FC1ED8"/>
    <w:rsid w:val="00FC2A06"/>
    <w:rsid w:val="00FC33A7"/>
    <w:rsid w:val="00FC3897"/>
    <w:rsid w:val="00FC4840"/>
    <w:rsid w:val="00FC50E8"/>
    <w:rsid w:val="00FC58EF"/>
    <w:rsid w:val="00FC5D2B"/>
    <w:rsid w:val="00FC60B4"/>
    <w:rsid w:val="00FC614C"/>
    <w:rsid w:val="00FC6B86"/>
    <w:rsid w:val="00FC6CB9"/>
    <w:rsid w:val="00FC6FBD"/>
    <w:rsid w:val="00FC7069"/>
    <w:rsid w:val="00FC7356"/>
    <w:rsid w:val="00FC7F4F"/>
    <w:rsid w:val="00FD0468"/>
    <w:rsid w:val="00FD0766"/>
    <w:rsid w:val="00FD0C39"/>
    <w:rsid w:val="00FD1C22"/>
    <w:rsid w:val="00FD33DF"/>
    <w:rsid w:val="00FD4319"/>
    <w:rsid w:val="00FD43AF"/>
    <w:rsid w:val="00FD4523"/>
    <w:rsid w:val="00FD4BC8"/>
    <w:rsid w:val="00FD4BD4"/>
    <w:rsid w:val="00FD5191"/>
    <w:rsid w:val="00FD5B78"/>
    <w:rsid w:val="00FD68B0"/>
    <w:rsid w:val="00FD6FD5"/>
    <w:rsid w:val="00FD769D"/>
    <w:rsid w:val="00FD7A96"/>
    <w:rsid w:val="00FE00C6"/>
    <w:rsid w:val="00FE038E"/>
    <w:rsid w:val="00FE0DC5"/>
    <w:rsid w:val="00FE1FE5"/>
    <w:rsid w:val="00FE277E"/>
    <w:rsid w:val="00FE39D7"/>
    <w:rsid w:val="00FE3EA7"/>
    <w:rsid w:val="00FE43B3"/>
    <w:rsid w:val="00FE48A9"/>
    <w:rsid w:val="00FE5037"/>
    <w:rsid w:val="00FE59E2"/>
    <w:rsid w:val="00FE5D5D"/>
    <w:rsid w:val="00FE6E46"/>
    <w:rsid w:val="00FF03A0"/>
    <w:rsid w:val="00FF0AD3"/>
    <w:rsid w:val="00FF0B25"/>
    <w:rsid w:val="00FF158F"/>
    <w:rsid w:val="00FF19A3"/>
    <w:rsid w:val="00FF19B6"/>
    <w:rsid w:val="00FF26F4"/>
    <w:rsid w:val="00FF3285"/>
    <w:rsid w:val="00FF3651"/>
    <w:rsid w:val="00FF3EAD"/>
    <w:rsid w:val="00FF4670"/>
    <w:rsid w:val="00FF46DF"/>
    <w:rsid w:val="00FF4F3F"/>
    <w:rsid w:val="00FF50A9"/>
    <w:rsid w:val="00FF6855"/>
    <w:rsid w:val="00FF6BE9"/>
    <w:rsid w:val="00FF7673"/>
    <w:rsid w:val="00FF795D"/>
    <w:rsid w:val="00FF7F3D"/>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7"/>
    <o:shapelayout v:ext="edit">
      <o:idmap v:ext="edit" data="1"/>
    </o:shapelayout>
  </w:shapeDefaults>
  <w:decimalSymbol w:val=","/>
  <w:listSeparator w:val=","/>
  <w14:docId w14:val="37F9E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CD5DB7"/>
    <w:pPr>
      <w:widowControl w:val="0"/>
      <w:numPr>
        <w:numId w:val="1"/>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CD5DB7"/>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
    <w:basedOn w:val="Normal"/>
    <w:link w:val="TextonotapieCar"/>
    <w:uiPriority w:val="99"/>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
    <w:link w:val="Textonotapie"/>
    <w:uiPriority w:val="99"/>
    <w:rsid w:val="00C505AE"/>
    <w:rPr>
      <w:rFonts w:ascii="Arial" w:hAnsi="Arial"/>
      <w:lang w:val="es-ES_tradnl"/>
    </w:rPr>
  </w:style>
  <w:style w:type="character" w:styleId="Refdenotaalpie">
    <w:name w:val="footnote reference"/>
    <w:aliases w:val="Texto de nota al pie,Footnotes refss,Appel note de bas de page,Ref,de nota al pie,FC,Appel note d,Appel note de,Appel note de bas de p,Ref. de nota al pie 2,Appel note de bas de"/>
    <w:uiPriority w:val="99"/>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5"/>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customStyle="1" w:styleId="Estilo5">
    <w:name w:val="Estilo5"/>
    <w:basedOn w:val="Estilo1"/>
    <w:qFormat/>
    <w:rsid w:val="005A559B"/>
    <w:pPr>
      <w:keepNext/>
      <w:numPr>
        <w:numId w:val="176"/>
      </w:numPr>
      <w:shd w:val="clear" w:color="auto" w:fill="auto"/>
      <w:spacing w:before="240" w:after="60"/>
      <w:jc w:val="both"/>
      <w:outlineLvl w:val="0"/>
    </w:pPr>
    <w:rPr>
      <w:rFonts w:ascii="Arial" w:hAnsi="Arial"/>
      <w:b/>
      <w:color w:val="auto"/>
      <w:kern w:val="28"/>
      <w:sz w:val="22"/>
      <w:szCs w:val="22"/>
      <w:lang w:val="es-ES_tradnl" w:eastAsia="es-CO"/>
    </w:rPr>
  </w:style>
  <w:style w:type="paragraph" w:styleId="Textosinformato">
    <w:name w:val="Plain Text"/>
    <w:basedOn w:val="Normal"/>
    <w:link w:val="TextosinformatoCar"/>
    <w:rsid w:val="00170128"/>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170128"/>
    <w:rPr>
      <w:rFonts w:ascii="Courier New" w:hAnsi="Courier New" w:cs="Courier New"/>
      <w:lang w:val="es-ES" w:eastAsia="es-ES"/>
    </w:rPr>
  </w:style>
  <w:style w:type="paragraph" w:styleId="NormalWeb">
    <w:name w:val="Normal (Web)"/>
    <w:basedOn w:val="Normal"/>
    <w:uiPriority w:val="99"/>
    <w:semiHidden/>
    <w:unhideWhenUsed/>
    <w:rsid w:val="00F66E9F"/>
    <w:pPr>
      <w:spacing w:before="100" w:beforeAutospacing="1" w:after="100" w:afterAutospacing="1"/>
      <w:ind w:left="0"/>
    </w:pPr>
    <w:rPr>
      <w:lang w:val="es-CO" w:eastAsia="es-CO"/>
    </w:rPr>
  </w:style>
  <w:style w:type="paragraph" w:customStyle="1" w:styleId="CM9">
    <w:name w:val="CM9"/>
    <w:basedOn w:val="Default"/>
    <w:next w:val="Default"/>
    <w:uiPriority w:val="99"/>
    <w:rsid w:val="00633102"/>
    <w:rPr>
      <w:rFonts w:ascii="Arial" w:eastAsia="Times New Roman" w:hAnsi="Arial" w:cs="Arial"/>
      <w:color w:val="auto"/>
      <w:lang w:eastAsia="es-C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CD5DB7"/>
    <w:pPr>
      <w:widowControl w:val="0"/>
      <w:numPr>
        <w:numId w:val="1"/>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CD5DB7"/>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
    <w:basedOn w:val="Normal"/>
    <w:link w:val="TextonotapieCar"/>
    <w:uiPriority w:val="99"/>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
    <w:link w:val="Textonotapie"/>
    <w:uiPriority w:val="99"/>
    <w:rsid w:val="00C505AE"/>
    <w:rPr>
      <w:rFonts w:ascii="Arial" w:hAnsi="Arial"/>
      <w:lang w:val="es-ES_tradnl"/>
    </w:rPr>
  </w:style>
  <w:style w:type="character" w:styleId="Refdenotaalpie">
    <w:name w:val="footnote reference"/>
    <w:aliases w:val="Texto de nota al pie,Footnotes refss,Appel note de bas de page,Ref,de nota al pie,FC,Appel note d,Appel note de,Appel note de bas de p,Ref. de nota al pie 2,Appel note de bas de"/>
    <w:uiPriority w:val="99"/>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5"/>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customStyle="1" w:styleId="Estilo5">
    <w:name w:val="Estilo5"/>
    <w:basedOn w:val="Estilo1"/>
    <w:qFormat/>
    <w:rsid w:val="005A559B"/>
    <w:pPr>
      <w:keepNext/>
      <w:numPr>
        <w:numId w:val="176"/>
      </w:numPr>
      <w:shd w:val="clear" w:color="auto" w:fill="auto"/>
      <w:spacing w:before="240" w:after="60"/>
      <w:jc w:val="both"/>
      <w:outlineLvl w:val="0"/>
    </w:pPr>
    <w:rPr>
      <w:rFonts w:ascii="Arial" w:hAnsi="Arial"/>
      <w:b/>
      <w:color w:val="auto"/>
      <w:kern w:val="28"/>
      <w:sz w:val="22"/>
      <w:szCs w:val="22"/>
      <w:lang w:val="es-ES_tradnl" w:eastAsia="es-CO"/>
    </w:rPr>
  </w:style>
  <w:style w:type="paragraph" w:styleId="Textosinformato">
    <w:name w:val="Plain Text"/>
    <w:basedOn w:val="Normal"/>
    <w:link w:val="TextosinformatoCar"/>
    <w:rsid w:val="00170128"/>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170128"/>
    <w:rPr>
      <w:rFonts w:ascii="Courier New" w:hAnsi="Courier New" w:cs="Courier New"/>
      <w:lang w:val="es-ES" w:eastAsia="es-ES"/>
    </w:rPr>
  </w:style>
  <w:style w:type="paragraph" w:styleId="NormalWeb">
    <w:name w:val="Normal (Web)"/>
    <w:basedOn w:val="Normal"/>
    <w:uiPriority w:val="99"/>
    <w:semiHidden/>
    <w:unhideWhenUsed/>
    <w:rsid w:val="00F66E9F"/>
    <w:pPr>
      <w:spacing w:before="100" w:beforeAutospacing="1" w:after="100" w:afterAutospacing="1"/>
      <w:ind w:left="0"/>
    </w:pPr>
    <w:rPr>
      <w:lang w:val="es-CO" w:eastAsia="es-CO"/>
    </w:rPr>
  </w:style>
  <w:style w:type="paragraph" w:customStyle="1" w:styleId="CM9">
    <w:name w:val="CM9"/>
    <w:basedOn w:val="Default"/>
    <w:next w:val="Default"/>
    <w:uiPriority w:val="99"/>
    <w:rsid w:val="00633102"/>
    <w:rPr>
      <w:rFonts w:ascii="Arial" w:eastAsia="Times New Roman" w:hAnsi="Arial" w:cs="Arial"/>
      <w:color w:val="auto"/>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415916">
      <w:bodyDiv w:val="1"/>
      <w:marLeft w:val="0"/>
      <w:marRight w:val="0"/>
      <w:marTop w:val="0"/>
      <w:marBottom w:val="0"/>
      <w:divBdr>
        <w:top w:val="none" w:sz="0" w:space="0" w:color="auto"/>
        <w:left w:val="none" w:sz="0" w:space="0" w:color="auto"/>
        <w:bottom w:val="none" w:sz="0" w:space="0" w:color="auto"/>
        <w:right w:val="none" w:sz="0" w:space="0" w:color="auto"/>
      </w:divBdr>
      <w:divsChild>
        <w:div w:id="1474564471">
          <w:marLeft w:val="0"/>
          <w:marRight w:val="0"/>
          <w:marTop w:val="0"/>
          <w:marBottom w:val="0"/>
          <w:divBdr>
            <w:top w:val="none" w:sz="0" w:space="0" w:color="auto"/>
            <w:left w:val="none" w:sz="0" w:space="0" w:color="auto"/>
            <w:bottom w:val="none" w:sz="0" w:space="0" w:color="auto"/>
            <w:right w:val="none" w:sz="0" w:space="0" w:color="auto"/>
          </w:divBdr>
        </w:div>
      </w:divsChild>
    </w:div>
    <w:div w:id="163590172">
      <w:bodyDiv w:val="1"/>
      <w:marLeft w:val="150"/>
      <w:marRight w:val="150"/>
      <w:marTop w:val="150"/>
      <w:marBottom w:val="150"/>
      <w:divBdr>
        <w:top w:val="none" w:sz="0" w:space="0" w:color="auto"/>
        <w:left w:val="none" w:sz="0" w:space="0" w:color="auto"/>
        <w:bottom w:val="none" w:sz="0" w:space="0" w:color="auto"/>
        <w:right w:val="none" w:sz="0" w:space="0" w:color="auto"/>
      </w:divBdr>
      <w:divsChild>
        <w:div w:id="430662574">
          <w:marLeft w:val="0"/>
          <w:marRight w:val="0"/>
          <w:marTop w:val="0"/>
          <w:marBottom w:val="0"/>
          <w:divBdr>
            <w:top w:val="none" w:sz="0" w:space="0" w:color="auto"/>
            <w:left w:val="none" w:sz="0" w:space="0" w:color="auto"/>
            <w:bottom w:val="none" w:sz="0" w:space="0" w:color="auto"/>
            <w:right w:val="none" w:sz="0" w:space="0" w:color="auto"/>
          </w:divBdr>
        </w:div>
        <w:div w:id="646544565">
          <w:marLeft w:val="0"/>
          <w:marRight w:val="0"/>
          <w:marTop w:val="0"/>
          <w:marBottom w:val="0"/>
          <w:divBdr>
            <w:top w:val="none" w:sz="0" w:space="0" w:color="auto"/>
            <w:left w:val="none" w:sz="0" w:space="0" w:color="auto"/>
            <w:bottom w:val="none" w:sz="0" w:space="0" w:color="auto"/>
            <w:right w:val="none" w:sz="0" w:space="0" w:color="auto"/>
          </w:divBdr>
        </w:div>
        <w:div w:id="1769346128">
          <w:marLeft w:val="0"/>
          <w:marRight w:val="0"/>
          <w:marTop w:val="0"/>
          <w:marBottom w:val="0"/>
          <w:divBdr>
            <w:top w:val="none" w:sz="0" w:space="0" w:color="auto"/>
            <w:left w:val="none" w:sz="0" w:space="0" w:color="auto"/>
            <w:bottom w:val="none" w:sz="0" w:space="0" w:color="auto"/>
            <w:right w:val="none" w:sz="0" w:space="0" w:color="auto"/>
          </w:divBdr>
        </w:div>
      </w:divsChild>
    </w:div>
    <w:div w:id="1045447228">
      <w:bodyDiv w:val="1"/>
      <w:marLeft w:val="0"/>
      <w:marRight w:val="0"/>
      <w:marTop w:val="0"/>
      <w:marBottom w:val="0"/>
      <w:divBdr>
        <w:top w:val="none" w:sz="0" w:space="0" w:color="auto"/>
        <w:left w:val="none" w:sz="0" w:space="0" w:color="auto"/>
        <w:bottom w:val="none" w:sz="0" w:space="0" w:color="auto"/>
        <w:right w:val="none" w:sz="0" w:space="0" w:color="auto"/>
      </w:divBdr>
      <w:divsChild>
        <w:div w:id="1832789833">
          <w:marLeft w:val="0"/>
          <w:marRight w:val="0"/>
          <w:marTop w:val="0"/>
          <w:marBottom w:val="0"/>
          <w:divBdr>
            <w:top w:val="none" w:sz="0" w:space="0" w:color="auto"/>
            <w:left w:val="none" w:sz="0" w:space="0" w:color="auto"/>
            <w:bottom w:val="none" w:sz="0" w:space="0" w:color="auto"/>
            <w:right w:val="none" w:sz="0" w:space="0" w:color="auto"/>
          </w:divBdr>
        </w:div>
      </w:divsChild>
    </w:div>
    <w:div w:id="1406873895">
      <w:bodyDiv w:val="1"/>
      <w:marLeft w:val="0"/>
      <w:marRight w:val="0"/>
      <w:marTop w:val="0"/>
      <w:marBottom w:val="0"/>
      <w:divBdr>
        <w:top w:val="none" w:sz="0" w:space="0" w:color="auto"/>
        <w:left w:val="none" w:sz="0" w:space="0" w:color="auto"/>
        <w:bottom w:val="none" w:sz="0" w:space="0" w:color="auto"/>
        <w:right w:val="none" w:sz="0" w:space="0" w:color="auto"/>
      </w:divBdr>
    </w:div>
    <w:div w:id="1410729380">
      <w:bodyDiv w:val="1"/>
      <w:marLeft w:val="0"/>
      <w:marRight w:val="0"/>
      <w:marTop w:val="0"/>
      <w:marBottom w:val="0"/>
      <w:divBdr>
        <w:top w:val="none" w:sz="0" w:space="0" w:color="auto"/>
        <w:left w:val="none" w:sz="0" w:space="0" w:color="auto"/>
        <w:bottom w:val="none" w:sz="0" w:space="0" w:color="auto"/>
        <w:right w:val="none" w:sz="0" w:space="0" w:color="auto"/>
      </w:divBdr>
    </w:div>
    <w:div w:id="1504129833">
      <w:bodyDiv w:val="1"/>
      <w:marLeft w:val="0"/>
      <w:marRight w:val="0"/>
      <w:marTop w:val="0"/>
      <w:marBottom w:val="0"/>
      <w:divBdr>
        <w:top w:val="none" w:sz="0" w:space="0" w:color="auto"/>
        <w:left w:val="none" w:sz="0" w:space="0" w:color="auto"/>
        <w:bottom w:val="none" w:sz="0" w:space="0" w:color="auto"/>
        <w:right w:val="none" w:sz="0" w:space="0" w:color="auto"/>
      </w:divBdr>
    </w:div>
    <w:div w:id="1581022099">
      <w:bodyDiv w:val="1"/>
      <w:marLeft w:val="0"/>
      <w:marRight w:val="0"/>
      <w:marTop w:val="0"/>
      <w:marBottom w:val="0"/>
      <w:divBdr>
        <w:top w:val="none" w:sz="0" w:space="0" w:color="auto"/>
        <w:left w:val="none" w:sz="0" w:space="0" w:color="auto"/>
        <w:bottom w:val="none" w:sz="0" w:space="0" w:color="auto"/>
        <w:right w:val="none" w:sz="0" w:space="0" w:color="auto"/>
      </w:divBdr>
    </w:div>
    <w:div w:id="1808082276">
      <w:bodyDiv w:val="1"/>
      <w:marLeft w:val="0"/>
      <w:marRight w:val="0"/>
      <w:marTop w:val="0"/>
      <w:marBottom w:val="0"/>
      <w:divBdr>
        <w:top w:val="none" w:sz="0" w:space="0" w:color="auto"/>
        <w:left w:val="none" w:sz="0" w:space="0" w:color="auto"/>
        <w:bottom w:val="none" w:sz="0" w:space="0" w:color="auto"/>
        <w:right w:val="none" w:sz="0" w:space="0" w:color="auto"/>
      </w:divBdr>
    </w:div>
    <w:div w:id="1899975495">
      <w:bodyDiv w:val="1"/>
      <w:marLeft w:val="0"/>
      <w:marRight w:val="0"/>
      <w:marTop w:val="0"/>
      <w:marBottom w:val="0"/>
      <w:divBdr>
        <w:top w:val="none" w:sz="0" w:space="0" w:color="auto"/>
        <w:left w:val="none" w:sz="0" w:space="0" w:color="auto"/>
        <w:bottom w:val="none" w:sz="0" w:space="0" w:color="auto"/>
        <w:right w:val="none" w:sz="0" w:space="0" w:color="auto"/>
      </w:divBdr>
      <w:divsChild>
        <w:div w:id="2112966397">
          <w:marLeft w:val="0"/>
          <w:marRight w:val="0"/>
          <w:marTop w:val="0"/>
          <w:marBottom w:val="0"/>
          <w:divBdr>
            <w:top w:val="none" w:sz="0" w:space="0" w:color="auto"/>
            <w:left w:val="none" w:sz="0" w:space="0" w:color="auto"/>
            <w:bottom w:val="none" w:sz="0" w:space="0" w:color="auto"/>
            <w:right w:val="none" w:sz="0" w:space="0" w:color="auto"/>
          </w:divBdr>
          <w:divsChild>
            <w:div w:id="1323461663">
              <w:marLeft w:val="0"/>
              <w:marRight w:val="0"/>
              <w:marTop w:val="0"/>
              <w:marBottom w:val="0"/>
              <w:divBdr>
                <w:top w:val="none" w:sz="0" w:space="0" w:color="auto"/>
                <w:left w:val="none" w:sz="0" w:space="0" w:color="auto"/>
                <w:bottom w:val="none" w:sz="0" w:space="0" w:color="auto"/>
                <w:right w:val="none" w:sz="0" w:space="0" w:color="auto"/>
              </w:divBdr>
              <w:divsChild>
                <w:div w:id="1891767563">
                  <w:marLeft w:val="0"/>
                  <w:marRight w:val="0"/>
                  <w:marTop w:val="0"/>
                  <w:marBottom w:val="0"/>
                  <w:divBdr>
                    <w:top w:val="none" w:sz="0" w:space="0" w:color="auto"/>
                    <w:left w:val="none" w:sz="0" w:space="0" w:color="auto"/>
                    <w:bottom w:val="none" w:sz="0" w:space="0" w:color="auto"/>
                    <w:right w:val="none" w:sz="0" w:space="0" w:color="auto"/>
                  </w:divBdr>
                  <w:divsChild>
                    <w:div w:id="2071612828">
                      <w:marLeft w:val="0"/>
                      <w:marRight w:val="0"/>
                      <w:marTop w:val="0"/>
                      <w:marBottom w:val="0"/>
                      <w:divBdr>
                        <w:top w:val="none" w:sz="0" w:space="0" w:color="auto"/>
                        <w:left w:val="none" w:sz="0" w:space="0" w:color="auto"/>
                        <w:bottom w:val="none" w:sz="0" w:space="0" w:color="auto"/>
                        <w:right w:val="none" w:sz="0" w:space="0" w:color="auto"/>
                      </w:divBdr>
                      <w:divsChild>
                        <w:div w:id="456532420">
                          <w:marLeft w:val="0"/>
                          <w:marRight w:val="0"/>
                          <w:marTop w:val="0"/>
                          <w:marBottom w:val="0"/>
                          <w:divBdr>
                            <w:top w:val="none" w:sz="0" w:space="0" w:color="auto"/>
                            <w:left w:val="none" w:sz="0" w:space="0" w:color="auto"/>
                            <w:bottom w:val="none" w:sz="0" w:space="0" w:color="auto"/>
                            <w:right w:val="none" w:sz="0" w:space="0" w:color="auto"/>
                          </w:divBdr>
                          <w:divsChild>
                            <w:div w:id="2107118457">
                              <w:marLeft w:val="0"/>
                              <w:marRight w:val="0"/>
                              <w:marTop w:val="0"/>
                              <w:marBottom w:val="0"/>
                              <w:divBdr>
                                <w:top w:val="none" w:sz="0" w:space="0" w:color="auto"/>
                                <w:left w:val="none" w:sz="0" w:space="0" w:color="auto"/>
                                <w:bottom w:val="none" w:sz="0" w:space="0" w:color="auto"/>
                                <w:right w:val="none" w:sz="0" w:space="0" w:color="auto"/>
                              </w:divBdr>
                              <w:divsChild>
                                <w:div w:id="1650598387">
                                  <w:marLeft w:val="0"/>
                                  <w:marRight w:val="0"/>
                                  <w:marTop w:val="0"/>
                                  <w:marBottom w:val="0"/>
                                  <w:divBdr>
                                    <w:top w:val="none" w:sz="0" w:space="0" w:color="auto"/>
                                    <w:left w:val="none" w:sz="0" w:space="0" w:color="auto"/>
                                    <w:bottom w:val="none" w:sz="0" w:space="0" w:color="auto"/>
                                    <w:right w:val="none" w:sz="0" w:space="0" w:color="auto"/>
                                  </w:divBdr>
                                  <w:divsChild>
                                    <w:div w:id="614795040">
                                      <w:marLeft w:val="0"/>
                                      <w:marRight w:val="0"/>
                                      <w:marTop w:val="0"/>
                                      <w:marBottom w:val="0"/>
                                      <w:divBdr>
                                        <w:top w:val="none" w:sz="0" w:space="0" w:color="auto"/>
                                        <w:left w:val="none" w:sz="0" w:space="0" w:color="auto"/>
                                        <w:bottom w:val="none" w:sz="0" w:space="0" w:color="auto"/>
                                        <w:right w:val="none" w:sz="0" w:space="0" w:color="auto"/>
                                      </w:divBdr>
                                      <w:divsChild>
                                        <w:div w:id="1484152432">
                                          <w:marLeft w:val="0"/>
                                          <w:marRight w:val="0"/>
                                          <w:marTop w:val="0"/>
                                          <w:marBottom w:val="0"/>
                                          <w:divBdr>
                                            <w:top w:val="none" w:sz="0" w:space="0" w:color="auto"/>
                                            <w:left w:val="none" w:sz="0" w:space="0" w:color="auto"/>
                                            <w:bottom w:val="none" w:sz="0" w:space="0" w:color="auto"/>
                                            <w:right w:val="none" w:sz="0" w:space="0" w:color="auto"/>
                                          </w:divBdr>
                                          <w:divsChild>
                                            <w:div w:id="268778282">
                                              <w:marLeft w:val="0"/>
                                              <w:marRight w:val="0"/>
                                              <w:marTop w:val="0"/>
                                              <w:marBottom w:val="0"/>
                                              <w:divBdr>
                                                <w:top w:val="none" w:sz="0" w:space="0" w:color="auto"/>
                                                <w:left w:val="none" w:sz="0" w:space="0" w:color="auto"/>
                                                <w:bottom w:val="none" w:sz="0" w:space="0" w:color="auto"/>
                                                <w:right w:val="none" w:sz="0" w:space="0" w:color="auto"/>
                                              </w:divBdr>
                                              <w:divsChild>
                                                <w:div w:id="2087847430">
                                                  <w:marLeft w:val="0"/>
                                                  <w:marRight w:val="0"/>
                                                  <w:marTop w:val="0"/>
                                                  <w:marBottom w:val="0"/>
                                                  <w:divBdr>
                                                    <w:top w:val="none" w:sz="0" w:space="0" w:color="auto"/>
                                                    <w:left w:val="none" w:sz="0" w:space="0" w:color="auto"/>
                                                    <w:bottom w:val="none" w:sz="0" w:space="0" w:color="auto"/>
                                                    <w:right w:val="none" w:sz="0" w:space="0" w:color="auto"/>
                                                  </w:divBdr>
                                                  <w:divsChild>
                                                    <w:div w:id="1419055348">
                                                      <w:marLeft w:val="0"/>
                                                      <w:marRight w:val="0"/>
                                                      <w:marTop w:val="0"/>
                                                      <w:marBottom w:val="0"/>
                                                      <w:divBdr>
                                                        <w:top w:val="none" w:sz="0" w:space="0" w:color="auto"/>
                                                        <w:left w:val="none" w:sz="0" w:space="0" w:color="auto"/>
                                                        <w:bottom w:val="none" w:sz="0" w:space="0" w:color="auto"/>
                                                        <w:right w:val="none" w:sz="0" w:space="0" w:color="auto"/>
                                                      </w:divBdr>
                                                      <w:divsChild>
                                                        <w:div w:id="1106848316">
                                                          <w:marLeft w:val="0"/>
                                                          <w:marRight w:val="0"/>
                                                          <w:marTop w:val="0"/>
                                                          <w:marBottom w:val="0"/>
                                                          <w:divBdr>
                                                            <w:top w:val="none" w:sz="0" w:space="0" w:color="auto"/>
                                                            <w:left w:val="none" w:sz="0" w:space="0" w:color="auto"/>
                                                            <w:bottom w:val="none" w:sz="0" w:space="0" w:color="auto"/>
                                                            <w:right w:val="none" w:sz="0" w:space="0" w:color="auto"/>
                                                          </w:divBdr>
                                                          <w:divsChild>
                                                            <w:div w:id="1223177725">
                                                              <w:marLeft w:val="0"/>
                                                              <w:marRight w:val="0"/>
                                                              <w:marTop w:val="0"/>
                                                              <w:marBottom w:val="0"/>
                                                              <w:divBdr>
                                                                <w:top w:val="none" w:sz="0" w:space="0" w:color="auto"/>
                                                                <w:left w:val="none" w:sz="0" w:space="0" w:color="auto"/>
                                                                <w:bottom w:val="none" w:sz="0" w:space="0" w:color="auto"/>
                                                                <w:right w:val="none" w:sz="0" w:space="0" w:color="auto"/>
                                                              </w:divBdr>
                                                              <w:divsChild>
                                                                <w:div w:id="1668287797">
                                                                  <w:marLeft w:val="0"/>
                                                                  <w:marRight w:val="0"/>
                                                                  <w:marTop w:val="0"/>
                                                                  <w:marBottom w:val="0"/>
                                                                  <w:divBdr>
                                                                    <w:top w:val="none" w:sz="0" w:space="0" w:color="auto"/>
                                                                    <w:left w:val="none" w:sz="0" w:space="0" w:color="auto"/>
                                                                    <w:bottom w:val="none" w:sz="0" w:space="0" w:color="auto"/>
                                                                    <w:right w:val="none" w:sz="0" w:space="0" w:color="auto"/>
                                                                  </w:divBdr>
                                                                  <w:divsChild>
                                                                    <w:div w:id="1532957590">
                                                                      <w:marLeft w:val="0"/>
                                                                      <w:marRight w:val="0"/>
                                                                      <w:marTop w:val="0"/>
                                                                      <w:marBottom w:val="0"/>
                                                                      <w:divBdr>
                                                                        <w:top w:val="none" w:sz="0" w:space="0" w:color="auto"/>
                                                                        <w:left w:val="none" w:sz="0" w:space="0" w:color="auto"/>
                                                                        <w:bottom w:val="none" w:sz="0" w:space="0" w:color="auto"/>
                                                                        <w:right w:val="none" w:sz="0" w:space="0" w:color="auto"/>
                                                                      </w:divBdr>
                                                                      <w:divsChild>
                                                                        <w:div w:id="1693610515">
                                                                          <w:marLeft w:val="0"/>
                                                                          <w:marRight w:val="0"/>
                                                                          <w:marTop w:val="0"/>
                                                                          <w:marBottom w:val="0"/>
                                                                          <w:divBdr>
                                                                            <w:top w:val="none" w:sz="0" w:space="0" w:color="auto"/>
                                                                            <w:left w:val="none" w:sz="0" w:space="0" w:color="auto"/>
                                                                            <w:bottom w:val="none" w:sz="0" w:space="0" w:color="auto"/>
                                                                            <w:right w:val="none" w:sz="0" w:space="0" w:color="auto"/>
                                                                          </w:divBdr>
                                                                          <w:divsChild>
                                                                            <w:div w:id="2049259660">
                                                                              <w:marLeft w:val="0"/>
                                                                              <w:marRight w:val="0"/>
                                                                              <w:marTop w:val="0"/>
                                                                              <w:marBottom w:val="0"/>
                                                                              <w:divBdr>
                                                                                <w:top w:val="none" w:sz="0" w:space="0" w:color="auto"/>
                                                                                <w:left w:val="none" w:sz="0" w:space="0" w:color="auto"/>
                                                                                <w:bottom w:val="none" w:sz="0" w:space="0" w:color="auto"/>
                                                                                <w:right w:val="none" w:sz="0" w:space="0" w:color="auto"/>
                                                                              </w:divBdr>
                                                                              <w:divsChild>
                                                                                <w:div w:id="467864290">
                                                                                  <w:marLeft w:val="0"/>
                                                                                  <w:marRight w:val="0"/>
                                                                                  <w:marTop w:val="0"/>
                                                                                  <w:marBottom w:val="0"/>
                                                                                  <w:divBdr>
                                                                                    <w:top w:val="none" w:sz="0" w:space="0" w:color="auto"/>
                                                                                    <w:left w:val="none" w:sz="0" w:space="0" w:color="auto"/>
                                                                                    <w:bottom w:val="none" w:sz="0" w:space="0" w:color="auto"/>
                                                                                    <w:right w:val="none" w:sz="0" w:space="0" w:color="auto"/>
                                                                                  </w:divBdr>
                                                                                  <w:divsChild>
                                                                                    <w:div w:id="1052853777">
                                                                                      <w:marLeft w:val="0"/>
                                                                                      <w:marRight w:val="0"/>
                                                                                      <w:marTop w:val="0"/>
                                                                                      <w:marBottom w:val="0"/>
                                                                                      <w:divBdr>
                                                                                        <w:top w:val="none" w:sz="0" w:space="0" w:color="auto"/>
                                                                                        <w:left w:val="none" w:sz="0" w:space="0" w:color="auto"/>
                                                                                        <w:bottom w:val="none" w:sz="0" w:space="0" w:color="auto"/>
                                                                                        <w:right w:val="none" w:sz="0" w:space="0" w:color="auto"/>
                                                                                      </w:divBdr>
                                                                                      <w:divsChild>
                                                                                        <w:div w:id="905408738">
                                                                                          <w:marLeft w:val="0"/>
                                                                                          <w:marRight w:val="0"/>
                                                                                          <w:marTop w:val="0"/>
                                                                                          <w:marBottom w:val="0"/>
                                                                                          <w:divBdr>
                                                                                            <w:top w:val="none" w:sz="0" w:space="0" w:color="auto"/>
                                                                                            <w:left w:val="none" w:sz="0" w:space="0" w:color="auto"/>
                                                                                            <w:bottom w:val="none" w:sz="0" w:space="0" w:color="auto"/>
                                                                                            <w:right w:val="none" w:sz="0" w:space="0" w:color="auto"/>
                                                                                          </w:divBdr>
                                                                                          <w:divsChild>
                                                                                            <w:div w:id="347291510">
                                                                                              <w:marLeft w:val="0"/>
                                                                                              <w:marRight w:val="0"/>
                                                                                              <w:marTop w:val="0"/>
                                                                                              <w:marBottom w:val="0"/>
                                                                                              <w:divBdr>
                                                                                                <w:top w:val="none" w:sz="0" w:space="0" w:color="auto"/>
                                                                                                <w:left w:val="none" w:sz="0" w:space="0" w:color="auto"/>
                                                                                                <w:bottom w:val="none" w:sz="0" w:space="0" w:color="auto"/>
                                                                                                <w:right w:val="none" w:sz="0" w:space="0" w:color="auto"/>
                                                                                              </w:divBdr>
                                                                                              <w:divsChild>
                                                                                                <w:div w:id="687414691">
                                                                                                  <w:marLeft w:val="0"/>
                                                                                                  <w:marRight w:val="0"/>
                                                                                                  <w:marTop w:val="0"/>
                                                                                                  <w:marBottom w:val="0"/>
                                                                                                  <w:divBdr>
                                                                                                    <w:top w:val="none" w:sz="0" w:space="0" w:color="auto"/>
                                                                                                    <w:left w:val="none" w:sz="0" w:space="0" w:color="auto"/>
                                                                                                    <w:bottom w:val="none" w:sz="0" w:space="0" w:color="auto"/>
                                                                                                    <w:right w:val="none" w:sz="0" w:space="0" w:color="auto"/>
                                                                                                  </w:divBdr>
                                                                                                  <w:divsChild>
                                                                                                    <w:div w:id="1018193631">
                                                                                                      <w:marLeft w:val="0"/>
                                                                                                      <w:marRight w:val="0"/>
                                                                                                      <w:marTop w:val="0"/>
                                                                                                      <w:marBottom w:val="0"/>
                                                                                                      <w:divBdr>
                                                                                                        <w:top w:val="none" w:sz="0" w:space="0" w:color="auto"/>
                                                                                                        <w:left w:val="none" w:sz="0" w:space="0" w:color="auto"/>
                                                                                                        <w:bottom w:val="none" w:sz="0" w:space="0" w:color="auto"/>
                                                                                                        <w:right w:val="none" w:sz="0" w:space="0" w:color="auto"/>
                                                                                                      </w:divBdr>
                                                                                                      <w:divsChild>
                                                                                                        <w:div w:id="1432162153">
                                                                                                          <w:marLeft w:val="0"/>
                                                                                                          <w:marRight w:val="0"/>
                                                                                                          <w:marTop w:val="0"/>
                                                                                                          <w:marBottom w:val="0"/>
                                                                                                          <w:divBdr>
                                                                                                            <w:top w:val="none" w:sz="0" w:space="0" w:color="auto"/>
                                                                                                            <w:left w:val="none" w:sz="0" w:space="0" w:color="auto"/>
                                                                                                            <w:bottom w:val="none" w:sz="0" w:space="0" w:color="auto"/>
                                                                                                            <w:right w:val="none" w:sz="0" w:space="0" w:color="auto"/>
                                                                                                          </w:divBdr>
                                                                                                          <w:divsChild>
                                                                                                            <w:div w:id="1123571206">
                                                                                                              <w:marLeft w:val="0"/>
                                                                                                              <w:marRight w:val="0"/>
                                                                                                              <w:marTop w:val="0"/>
                                                                                                              <w:marBottom w:val="0"/>
                                                                                                              <w:divBdr>
                                                                                                                <w:top w:val="none" w:sz="0" w:space="0" w:color="auto"/>
                                                                                                                <w:left w:val="none" w:sz="0" w:space="0" w:color="auto"/>
                                                                                                                <w:bottom w:val="none" w:sz="0" w:space="0" w:color="auto"/>
                                                                                                                <w:right w:val="none" w:sz="0" w:space="0" w:color="auto"/>
                                                                                                              </w:divBdr>
                                                                                                              <w:divsChild>
                                                                                                                <w:div w:id="545063467">
                                                                                                                  <w:marLeft w:val="0"/>
                                                                                                                  <w:marRight w:val="0"/>
                                                                                                                  <w:marTop w:val="0"/>
                                                                                                                  <w:marBottom w:val="0"/>
                                                                                                                  <w:divBdr>
                                                                                                                    <w:top w:val="none" w:sz="0" w:space="0" w:color="auto"/>
                                                                                                                    <w:left w:val="none" w:sz="0" w:space="0" w:color="auto"/>
                                                                                                                    <w:bottom w:val="none" w:sz="0" w:space="0" w:color="auto"/>
                                                                                                                    <w:right w:val="none" w:sz="0" w:space="0" w:color="auto"/>
                                                                                                                  </w:divBdr>
                                                                                                                  <w:divsChild>
                                                                                                                    <w:div w:id="1611935221">
                                                                                                                      <w:marLeft w:val="0"/>
                                                                                                                      <w:marRight w:val="0"/>
                                                                                                                      <w:marTop w:val="0"/>
                                                                                                                      <w:marBottom w:val="0"/>
                                                                                                                      <w:divBdr>
                                                                                                                        <w:top w:val="none" w:sz="0" w:space="0" w:color="auto"/>
                                                                                                                        <w:left w:val="none" w:sz="0" w:space="0" w:color="auto"/>
                                                                                                                        <w:bottom w:val="none" w:sz="0" w:space="0" w:color="auto"/>
                                                                                                                        <w:right w:val="none" w:sz="0" w:space="0" w:color="auto"/>
                                                                                                                      </w:divBdr>
                                                                                                                      <w:divsChild>
                                                                                                                        <w:div w:id="1371952123">
                                                                                                                          <w:marLeft w:val="0"/>
                                                                                                                          <w:marRight w:val="0"/>
                                                                                                                          <w:marTop w:val="0"/>
                                                                                                                          <w:marBottom w:val="0"/>
                                                                                                                          <w:divBdr>
                                                                                                                            <w:top w:val="none" w:sz="0" w:space="0" w:color="auto"/>
                                                                                                                            <w:left w:val="none" w:sz="0" w:space="0" w:color="auto"/>
                                                                                                                            <w:bottom w:val="none" w:sz="0" w:space="0" w:color="auto"/>
                                                                                                                            <w:right w:val="none" w:sz="0" w:space="0" w:color="auto"/>
                                                                                                                          </w:divBdr>
                                                                                                                          <w:divsChild>
                                                                                                                            <w:div w:id="955991093">
                                                                                                                              <w:marLeft w:val="0"/>
                                                                                                                              <w:marRight w:val="0"/>
                                                                                                                              <w:marTop w:val="0"/>
                                                                                                                              <w:marBottom w:val="0"/>
                                                                                                                              <w:divBdr>
                                                                                                                                <w:top w:val="none" w:sz="0" w:space="0" w:color="auto"/>
                                                                                                                                <w:left w:val="none" w:sz="0" w:space="0" w:color="auto"/>
                                                                                                                                <w:bottom w:val="none" w:sz="0" w:space="0" w:color="auto"/>
                                                                                                                                <w:right w:val="none" w:sz="0" w:space="0" w:color="auto"/>
                                                                                                                              </w:divBdr>
                                                                                                                              <w:divsChild>
                                                                                                                                <w:div w:id="1547258863">
                                                                                                                                  <w:marLeft w:val="0"/>
                                                                                                                                  <w:marRight w:val="0"/>
                                                                                                                                  <w:marTop w:val="0"/>
                                                                                                                                  <w:marBottom w:val="0"/>
                                                                                                                                  <w:divBdr>
                                                                                                                                    <w:top w:val="none" w:sz="0" w:space="0" w:color="auto"/>
                                                                                                                                    <w:left w:val="none" w:sz="0" w:space="0" w:color="auto"/>
                                                                                                                                    <w:bottom w:val="none" w:sz="0" w:space="0" w:color="auto"/>
                                                                                                                                    <w:right w:val="none" w:sz="0" w:space="0" w:color="auto"/>
                                                                                                                                  </w:divBdr>
                                                                                                                                  <w:divsChild>
                                                                                                                                    <w:div w:id="2002655506">
                                                                                                                                      <w:marLeft w:val="0"/>
                                                                                                                                      <w:marRight w:val="0"/>
                                                                                                                                      <w:marTop w:val="0"/>
                                                                                                                                      <w:marBottom w:val="0"/>
                                                                                                                                      <w:divBdr>
                                                                                                                                        <w:top w:val="none" w:sz="0" w:space="0" w:color="auto"/>
                                                                                                                                        <w:left w:val="none" w:sz="0" w:space="0" w:color="auto"/>
                                                                                                                                        <w:bottom w:val="none" w:sz="0" w:space="0" w:color="auto"/>
                                                                                                                                        <w:right w:val="none" w:sz="0" w:space="0" w:color="auto"/>
                                                                                                                                      </w:divBdr>
                                                                                                                                      <w:divsChild>
                                                                                                                                        <w:div w:id="725108601">
                                                                                                                                          <w:marLeft w:val="0"/>
                                                                                                                                          <w:marRight w:val="0"/>
                                                                                                                                          <w:marTop w:val="0"/>
                                                                                                                                          <w:marBottom w:val="0"/>
                                                                                                                                          <w:divBdr>
                                                                                                                                            <w:top w:val="none" w:sz="0" w:space="0" w:color="auto"/>
                                                                                                                                            <w:left w:val="none" w:sz="0" w:space="0" w:color="auto"/>
                                                                                                                                            <w:bottom w:val="none" w:sz="0" w:space="0" w:color="auto"/>
                                                                                                                                            <w:right w:val="none" w:sz="0" w:space="0" w:color="auto"/>
                                                                                                                                          </w:divBdr>
                                                                                                                                          <w:divsChild>
                                                                                                                                            <w:div w:id="1920745324">
                                                                                                                                              <w:marLeft w:val="0"/>
                                                                                                                                              <w:marRight w:val="0"/>
                                                                                                                                              <w:marTop w:val="0"/>
                                                                                                                                              <w:marBottom w:val="0"/>
                                                                                                                                              <w:divBdr>
                                                                                                                                                <w:top w:val="none" w:sz="0" w:space="0" w:color="auto"/>
                                                                                                                                                <w:left w:val="none" w:sz="0" w:space="0" w:color="auto"/>
                                                                                                                                                <w:bottom w:val="none" w:sz="0" w:space="0" w:color="auto"/>
                                                                                                                                                <w:right w:val="none" w:sz="0" w:space="0" w:color="auto"/>
                                                                                                                                              </w:divBdr>
                                                                                                                                              <w:divsChild>
                                                                                                                                                <w:div w:id="807749346">
                                                                                                                                                  <w:marLeft w:val="0"/>
                                                                                                                                                  <w:marRight w:val="0"/>
                                                                                                                                                  <w:marTop w:val="0"/>
                                                                                                                                                  <w:marBottom w:val="0"/>
                                                                                                                                                  <w:divBdr>
                                                                                                                                                    <w:top w:val="none" w:sz="0" w:space="0" w:color="auto"/>
                                                                                                                                                    <w:left w:val="none" w:sz="0" w:space="0" w:color="auto"/>
                                                                                                                                                    <w:bottom w:val="none" w:sz="0" w:space="0" w:color="auto"/>
                                                                                                                                                    <w:right w:val="none" w:sz="0" w:space="0" w:color="auto"/>
                                                                                                                                                  </w:divBdr>
                                                                                                                                                  <w:divsChild>
                                                                                                                                                    <w:div w:id="685862450">
                                                                                                                                                      <w:marLeft w:val="0"/>
                                                                                                                                                      <w:marRight w:val="0"/>
                                                                                                                                                      <w:marTop w:val="0"/>
                                                                                                                                                      <w:marBottom w:val="0"/>
                                                                                                                                                      <w:divBdr>
                                                                                                                                                        <w:top w:val="none" w:sz="0" w:space="0" w:color="auto"/>
                                                                                                                                                        <w:left w:val="none" w:sz="0" w:space="0" w:color="auto"/>
                                                                                                                                                        <w:bottom w:val="none" w:sz="0" w:space="0" w:color="auto"/>
                                                                                                                                                        <w:right w:val="none" w:sz="0" w:space="0" w:color="auto"/>
                                                                                                                                                      </w:divBdr>
                                                                                                                                                      <w:divsChild>
                                                                                                                                                        <w:div w:id="103691902">
                                                                                                                                                          <w:marLeft w:val="0"/>
                                                                                                                                                          <w:marRight w:val="0"/>
                                                                                                                                                          <w:marTop w:val="0"/>
                                                                                                                                                          <w:marBottom w:val="0"/>
                                                                                                                                                          <w:divBdr>
                                                                                                                                                            <w:top w:val="none" w:sz="0" w:space="0" w:color="auto"/>
                                                                                                                                                            <w:left w:val="none" w:sz="0" w:space="0" w:color="auto"/>
                                                                                                                                                            <w:bottom w:val="none" w:sz="0" w:space="0" w:color="auto"/>
                                                                                                                                                            <w:right w:val="none" w:sz="0" w:space="0" w:color="auto"/>
                                                                                                                                                          </w:divBdr>
                                                                                                                                                          <w:divsChild>
                                                                                                                                                            <w:div w:id="2050296459">
                                                                                                                                                              <w:marLeft w:val="0"/>
                                                                                                                                                              <w:marRight w:val="0"/>
                                                                                                                                                              <w:marTop w:val="0"/>
                                                                                                                                                              <w:marBottom w:val="0"/>
                                                                                                                                                              <w:divBdr>
                                                                                                                                                                <w:top w:val="none" w:sz="0" w:space="0" w:color="auto"/>
                                                                                                                                                                <w:left w:val="none" w:sz="0" w:space="0" w:color="auto"/>
                                                                                                                                                                <w:bottom w:val="none" w:sz="0" w:space="0" w:color="auto"/>
                                                                                                                                                                <w:right w:val="none" w:sz="0" w:space="0" w:color="auto"/>
                                                                                                                                                              </w:divBdr>
                                                                                                                                                              <w:divsChild>
                                                                                                                                                                <w:div w:id="39091752">
                                                                                                                                                                  <w:marLeft w:val="0"/>
                                                                                                                                                                  <w:marRight w:val="0"/>
                                                                                                                                                                  <w:marTop w:val="0"/>
                                                                                                                                                                  <w:marBottom w:val="0"/>
                                                                                                                                                                  <w:divBdr>
                                                                                                                                                                    <w:top w:val="none" w:sz="0" w:space="0" w:color="auto"/>
                                                                                                                                                                    <w:left w:val="none" w:sz="0" w:space="0" w:color="auto"/>
                                                                                                                                                                    <w:bottom w:val="none" w:sz="0" w:space="0" w:color="auto"/>
                                                                                                                                                                    <w:right w:val="none" w:sz="0" w:space="0" w:color="auto"/>
                                                                                                                                                                  </w:divBdr>
                                                                                                                                                                  <w:divsChild>
                                                                                                                                                                    <w:div w:id="432360370">
                                                                                                                                                                      <w:marLeft w:val="0"/>
                                                                                                                                                                      <w:marRight w:val="0"/>
                                                                                                                                                                      <w:marTop w:val="0"/>
                                                                                                                                                                      <w:marBottom w:val="0"/>
                                                                                                                                                                      <w:divBdr>
                                                                                                                                                                        <w:top w:val="none" w:sz="0" w:space="0" w:color="auto"/>
                                                                                                                                                                        <w:left w:val="none" w:sz="0" w:space="0" w:color="auto"/>
                                                                                                                                                                        <w:bottom w:val="none" w:sz="0" w:space="0" w:color="auto"/>
                                                                                                                                                                        <w:right w:val="none" w:sz="0" w:space="0" w:color="auto"/>
                                                                                                                                                                      </w:divBdr>
                                                                                                                                                                      <w:divsChild>
                                                                                                                                                                        <w:div w:id="130485953">
                                                                                                                                                                          <w:marLeft w:val="567"/>
                                                                                                                                                                          <w:marRight w:val="0"/>
                                                                                                                                                                          <w:marTop w:val="0"/>
                                                                                                                                                                          <w:marBottom w:val="0"/>
                                                                                                                                                                          <w:divBdr>
                                                                                                                                                                            <w:top w:val="none" w:sz="0" w:space="0" w:color="auto"/>
                                                                                                                                                                            <w:left w:val="none" w:sz="0" w:space="0" w:color="auto"/>
                                                                                                                                                                            <w:bottom w:val="none" w:sz="0" w:space="0" w:color="auto"/>
                                                                                                                                                                            <w:right w:val="none" w:sz="0" w:space="0" w:color="auto"/>
                                                                                                                                                                          </w:divBdr>
                                                                                                                                                                        </w:div>
                                                                                                                                                                        <w:div w:id="245724213">
                                                                                                                                                                          <w:marLeft w:val="0"/>
                                                                                                                                                                          <w:marRight w:val="0"/>
                                                                                                                                                                          <w:marTop w:val="0"/>
                                                                                                                                                                          <w:marBottom w:val="0"/>
                                                                                                                                                                          <w:divBdr>
                                                                                                                                                                            <w:top w:val="none" w:sz="0" w:space="0" w:color="auto"/>
                                                                                                                                                                            <w:left w:val="none" w:sz="0" w:space="0" w:color="auto"/>
                                                                                                                                                                            <w:bottom w:val="none" w:sz="0" w:space="0" w:color="auto"/>
                                                                                                                                                                            <w:right w:val="none" w:sz="0" w:space="0" w:color="auto"/>
                                                                                                                                                                          </w:divBdr>
                                                                                                                                                                        </w:div>
                                                                                                                                                                        <w:div w:id="308750697">
                                                                                                                                                                          <w:marLeft w:val="567"/>
                                                                                                                                                                          <w:marRight w:val="0"/>
                                                                                                                                                                          <w:marTop w:val="0"/>
                                                                                                                                                                          <w:marBottom w:val="0"/>
                                                                                                                                                                          <w:divBdr>
                                                                                                                                                                            <w:top w:val="none" w:sz="0" w:space="0" w:color="auto"/>
                                                                                                                                                                            <w:left w:val="none" w:sz="0" w:space="0" w:color="auto"/>
                                                                                                                                                                            <w:bottom w:val="none" w:sz="0" w:space="0" w:color="auto"/>
                                                                                                                                                                            <w:right w:val="none" w:sz="0" w:space="0" w:color="auto"/>
                                                                                                                                                                          </w:divBdr>
                                                                                                                                                                        </w:div>
                                                                                                                                                                        <w:div w:id="439033549">
                                                                                                                                                                          <w:marLeft w:val="567"/>
                                                                                                                                                                          <w:marRight w:val="0"/>
                                                                                                                                                                          <w:marTop w:val="0"/>
                                                                                                                                                                          <w:marBottom w:val="0"/>
                                                                                                                                                                          <w:divBdr>
                                                                                                                                                                            <w:top w:val="none" w:sz="0" w:space="0" w:color="auto"/>
                                                                                                                                                                            <w:left w:val="none" w:sz="0" w:space="0" w:color="auto"/>
                                                                                                                                                                            <w:bottom w:val="none" w:sz="0" w:space="0" w:color="auto"/>
                                                                                                                                                                            <w:right w:val="none" w:sz="0" w:space="0" w:color="auto"/>
                                                                                                                                                                          </w:divBdr>
                                                                                                                                                                        </w:div>
                                                                                                                                                                        <w:div w:id="486166411">
                                                                                                                                                                          <w:marLeft w:val="720"/>
                                                                                                                                                                          <w:marRight w:val="0"/>
                                                                                                                                                                          <w:marTop w:val="0"/>
                                                                                                                                                                          <w:marBottom w:val="0"/>
                                                                                                                                                                          <w:divBdr>
                                                                                                                                                                            <w:top w:val="none" w:sz="0" w:space="0" w:color="auto"/>
                                                                                                                                                                            <w:left w:val="none" w:sz="0" w:space="0" w:color="auto"/>
                                                                                                                                                                            <w:bottom w:val="none" w:sz="0" w:space="0" w:color="auto"/>
                                                                                                                                                                            <w:right w:val="none" w:sz="0" w:space="0" w:color="auto"/>
                                                                                                                                                                          </w:divBdr>
                                                                                                                                                                        </w:div>
                                                                                                                                                                        <w:div w:id="576475855">
                                                                                                                                                                          <w:marLeft w:val="567"/>
                                                                                                                                                                          <w:marRight w:val="0"/>
                                                                                                                                                                          <w:marTop w:val="0"/>
                                                                                                                                                                          <w:marBottom w:val="0"/>
                                                                                                                                                                          <w:divBdr>
                                                                                                                                                                            <w:top w:val="none" w:sz="0" w:space="0" w:color="auto"/>
                                                                                                                                                                            <w:left w:val="none" w:sz="0" w:space="0" w:color="auto"/>
                                                                                                                                                                            <w:bottom w:val="none" w:sz="0" w:space="0" w:color="auto"/>
                                                                                                                                                                            <w:right w:val="none" w:sz="0" w:space="0" w:color="auto"/>
                                                                                                                                                                          </w:divBdr>
                                                                                                                                                                        </w:div>
                                                                                                                                                                        <w:div w:id="613750131">
                                                                                                                                                                          <w:marLeft w:val="567"/>
                                                                                                                                                                          <w:marRight w:val="0"/>
                                                                                                                                                                          <w:marTop w:val="0"/>
                                                                                                                                                                          <w:marBottom w:val="0"/>
                                                                                                                                                                          <w:divBdr>
                                                                                                                                                                            <w:top w:val="none" w:sz="0" w:space="0" w:color="auto"/>
                                                                                                                                                                            <w:left w:val="none" w:sz="0" w:space="0" w:color="auto"/>
                                                                                                                                                                            <w:bottom w:val="none" w:sz="0" w:space="0" w:color="auto"/>
                                                                                                                                                                            <w:right w:val="none" w:sz="0" w:space="0" w:color="auto"/>
                                                                                                                                                                          </w:divBdr>
                                                                                                                                                                        </w:div>
                                                                                                                                                                        <w:div w:id="831531223">
                                                                                                                                                                          <w:marLeft w:val="720"/>
                                                                                                                                                                          <w:marRight w:val="0"/>
                                                                                                                                                                          <w:marTop w:val="0"/>
                                                                                                                                                                          <w:marBottom w:val="0"/>
                                                                                                                                                                          <w:divBdr>
                                                                                                                                                                            <w:top w:val="none" w:sz="0" w:space="0" w:color="auto"/>
                                                                                                                                                                            <w:left w:val="none" w:sz="0" w:space="0" w:color="auto"/>
                                                                                                                                                                            <w:bottom w:val="none" w:sz="0" w:space="0" w:color="auto"/>
                                                                                                                                                                            <w:right w:val="none" w:sz="0" w:space="0" w:color="auto"/>
                                                                                                                                                                          </w:divBdr>
                                                                                                                                                                        </w:div>
                                                                                                                                                                        <w:div w:id="1091469180">
                                                                                                                                                                          <w:marLeft w:val="0"/>
                                                                                                                                                                          <w:marRight w:val="0"/>
                                                                                                                                                                          <w:marTop w:val="0"/>
                                                                                                                                                                          <w:marBottom w:val="0"/>
                                                                                                                                                                          <w:divBdr>
                                                                                                                                                                            <w:top w:val="none" w:sz="0" w:space="0" w:color="auto"/>
                                                                                                                                                                            <w:left w:val="none" w:sz="0" w:space="0" w:color="auto"/>
                                                                                                                                                                            <w:bottom w:val="none" w:sz="0" w:space="0" w:color="auto"/>
                                                                                                                                                                            <w:right w:val="none" w:sz="0" w:space="0" w:color="auto"/>
                                                                                                                                                                          </w:divBdr>
                                                                                                                                                                        </w:div>
                                                                                                                                                                        <w:div w:id="1110932392">
                                                                                                                                                                          <w:marLeft w:val="567"/>
                                                                                                                                                                          <w:marRight w:val="0"/>
                                                                                                                                                                          <w:marTop w:val="0"/>
                                                                                                                                                                          <w:marBottom w:val="0"/>
                                                                                                                                                                          <w:divBdr>
                                                                                                                                                                            <w:top w:val="none" w:sz="0" w:space="0" w:color="auto"/>
                                                                                                                                                                            <w:left w:val="none" w:sz="0" w:space="0" w:color="auto"/>
                                                                                                                                                                            <w:bottom w:val="none" w:sz="0" w:space="0" w:color="auto"/>
                                                                                                                                                                            <w:right w:val="none" w:sz="0" w:space="0" w:color="auto"/>
                                                                                                                                                                          </w:divBdr>
                                                                                                                                                                        </w:div>
                                                                                                                                                                        <w:div w:id="1294947871">
                                                                                                                                                                          <w:marLeft w:val="567"/>
                                                                                                                                                                          <w:marRight w:val="0"/>
                                                                                                                                                                          <w:marTop w:val="0"/>
                                                                                                                                                                          <w:marBottom w:val="0"/>
                                                                                                                                                                          <w:divBdr>
                                                                                                                                                                            <w:top w:val="none" w:sz="0" w:space="0" w:color="auto"/>
                                                                                                                                                                            <w:left w:val="none" w:sz="0" w:space="0" w:color="auto"/>
                                                                                                                                                                            <w:bottom w:val="none" w:sz="0" w:space="0" w:color="auto"/>
                                                                                                                                                                            <w:right w:val="none" w:sz="0" w:space="0" w:color="auto"/>
                                                                                                                                                                          </w:divBdr>
                                                                                                                                                                        </w:div>
                                                                                                                                                                        <w:div w:id="1621839111">
                                                                                                                                                                          <w:marLeft w:val="0"/>
                                                                                                                                                                          <w:marRight w:val="0"/>
                                                                                                                                                                          <w:marTop w:val="0"/>
                                                                                                                                                                          <w:marBottom w:val="0"/>
                                                                                                                                                                          <w:divBdr>
                                                                                                                                                                            <w:top w:val="none" w:sz="0" w:space="0" w:color="auto"/>
                                                                                                                                                                            <w:left w:val="none" w:sz="0" w:space="0" w:color="auto"/>
                                                                                                                                                                            <w:bottom w:val="none" w:sz="0" w:space="0" w:color="auto"/>
                                                                                                                                                                            <w:right w:val="none" w:sz="0" w:space="0" w:color="auto"/>
                                                                                                                                                                          </w:divBdr>
                                                                                                                                                                        </w:div>
                                                                                                                                                                        <w:div w:id="1644701322">
                                                                                                                                                                          <w:marLeft w:val="0"/>
                                                                                                                                                                          <w:marRight w:val="0"/>
                                                                                                                                                                          <w:marTop w:val="0"/>
                                                                                                                                                                          <w:marBottom w:val="0"/>
                                                                                                                                                                          <w:divBdr>
                                                                                                                                                                            <w:top w:val="none" w:sz="0" w:space="0" w:color="auto"/>
                                                                                                                                                                            <w:left w:val="none" w:sz="0" w:space="0" w:color="auto"/>
                                                                                                                                                                            <w:bottom w:val="none" w:sz="0" w:space="0" w:color="auto"/>
                                                                                                                                                                            <w:right w:val="none" w:sz="0" w:space="0" w:color="auto"/>
                                                                                                                                                                          </w:divBdr>
                                                                                                                                                                        </w:div>
                                                                                                                                                                        <w:div w:id="1844513028">
                                                                                                                                                                          <w:marLeft w:val="567"/>
                                                                                                                                                                          <w:marRight w:val="0"/>
                                                                                                                                                                          <w:marTop w:val="0"/>
                                                                                                                                                                          <w:marBottom w:val="0"/>
                                                                                                                                                                          <w:divBdr>
                                                                                                                                                                            <w:top w:val="none" w:sz="0" w:space="0" w:color="auto"/>
                                                                                                                                                                            <w:left w:val="none" w:sz="0" w:space="0" w:color="auto"/>
                                                                                                                                                                            <w:bottom w:val="none" w:sz="0" w:space="0" w:color="auto"/>
                                                                                                                                                                            <w:right w:val="none" w:sz="0" w:space="0" w:color="auto"/>
                                                                                                                                                                          </w:divBdr>
                                                                                                                                                                        </w:div>
                                                                                                                                                                        <w:div w:id="1897737359">
                                                                                                                                                                          <w:marLeft w:val="567"/>
                                                                                                                                                                          <w:marRight w:val="0"/>
                                                                                                                                                                          <w:marTop w:val="0"/>
                                                                                                                                                                          <w:marBottom w:val="0"/>
                                                                                                                                                                          <w:divBdr>
                                                                                                                                                                            <w:top w:val="none" w:sz="0" w:space="0" w:color="auto"/>
                                                                                                                                                                            <w:left w:val="none" w:sz="0" w:space="0" w:color="auto"/>
                                                                                                                                                                            <w:bottom w:val="none" w:sz="0" w:space="0" w:color="auto"/>
                                                                                                                                                                            <w:right w:val="none" w:sz="0" w:space="0" w:color="auto"/>
                                                                                                                                                                          </w:divBdr>
                                                                                                                                                                        </w:div>
                                                                                                                                                                        <w:div w:id="2060129783">
                                                                                                                                                                          <w:marLeft w:val="567"/>
                                                                                                                                                                          <w:marRight w:val="0"/>
                                                                                                                                                                          <w:marTop w:val="0"/>
                                                                                                                                                                          <w:marBottom w:val="0"/>
                                                                                                                                                                          <w:divBdr>
                                                                                                                                                                            <w:top w:val="none" w:sz="0" w:space="0" w:color="auto"/>
                                                                                                                                                                            <w:left w:val="none" w:sz="0" w:space="0" w:color="auto"/>
                                                                                                                                                                            <w:bottom w:val="none" w:sz="0" w:space="0" w:color="auto"/>
                                                                                                                                                                            <w:right w:val="none" w:sz="0" w:space="0" w:color="auto"/>
                                                                                                                                                                          </w:divBdr>
                                                                                                                                                                        </w:div>
                                                                                                                                                                        <w:div w:id="2135175755">
                                                                                                                                                                          <w:marLeft w:val="567"/>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1180856">
      <w:bodyDiv w:val="1"/>
      <w:marLeft w:val="0"/>
      <w:marRight w:val="0"/>
      <w:marTop w:val="0"/>
      <w:marBottom w:val="0"/>
      <w:divBdr>
        <w:top w:val="none" w:sz="0" w:space="0" w:color="auto"/>
        <w:left w:val="none" w:sz="0" w:space="0" w:color="auto"/>
        <w:bottom w:val="none" w:sz="0" w:space="0" w:color="auto"/>
        <w:right w:val="none" w:sz="0" w:space="0" w:color="auto"/>
      </w:divBdr>
    </w:div>
    <w:div w:id="2003578676">
      <w:bodyDiv w:val="1"/>
      <w:marLeft w:val="0"/>
      <w:marRight w:val="0"/>
      <w:marTop w:val="0"/>
      <w:marBottom w:val="0"/>
      <w:divBdr>
        <w:top w:val="none" w:sz="0" w:space="0" w:color="auto"/>
        <w:left w:val="none" w:sz="0" w:space="0" w:color="auto"/>
        <w:bottom w:val="none" w:sz="0" w:space="0" w:color="auto"/>
        <w:right w:val="none" w:sz="0" w:space="0" w:color="auto"/>
      </w:divBdr>
    </w:div>
    <w:div w:id="2042127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2BD276-44EB-4770-86CF-6CCD91EE61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Template>
  <TotalTime>0</TotalTime>
  <Pages>4</Pages>
  <Words>1222</Words>
  <Characters>6129</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7337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2015-08-05T21:09:00Z</cp:lastPrinted>
  <dcterms:created xsi:type="dcterms:W3CDTF">2015-08-06T19:30:00Z</dcterms:created>
  <dcterms:modified xsi:type="dcterms:W3CDTF">2015-08-06T19:30:00Z</dcterms:modified>
</cp:coreProperties>
</file>