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060BE" w:rsidRDefault="00F4236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9" o:title=""/>
          </v:shape>
          <o:OLEObject Type="Embed" ProgID="PBrush" ShapeID="_x0000_s1026" DrawAspect="Content" ObjectID="_1400660418" r:id="rId10"/>
        </w:pi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8E7091">
        <w:rPr>
          <w:rFonts w:ascii="Bookman Old Style" w:hAnsi="Bookman Old Style"/>
          <w:sz w:val="24"/>
          <w:szCs w:val="24"/>
        </w:rPr>
        <w:t>2</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A60C08" w:rsidRPr="00C435C3" w:rsidRDefault="00A60C08" w:rsidP="00A60C08">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 xml:space="preserve">la cual se </w:t>
      </w:r>
      <w:r w:rsidR="004C33BE">
        <w:rPr>
          <w:rFonts w:ascii="Bookman Old Style" w:hAnsi="Bookman Old Style"/>
        </w:rPr>
        <w:t xml:space="preserve">convoca a una Subasta de Reconfiguración de Venta para el período 2012-2013 </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Pr="00C435C3" w:rsidRDefault="00A60C08" w:rsidP="00A60C08">
      <w:pPr>
        <w:ind w:left="0" w:right="51"/>
        <w:rPr>
          <w:rFonts w:ascii="Bookman Old Style" w:hAnsi="Bookman Old Style"/>
        </w:rPr>
      </w:pPr>
    </w:p>
    <w:p w:rsidR="00A60C08" w:rsidRPr="00C435C3" w:rsidRDefault="00A60C08" w:rsidP="00A60C08">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 y 2253 de 1994.</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264F30" w:rsidRPr="00E060BE" w:rsidRDefault="00264F30" w:rsidP="00E060BE">
      <w:pPr>
        <w:jc w:val="both"/>
        <w:rPr>
          <w:rFonts w:ascii="Bookman Old Style" w:hAnsi="Bookman Old Style" w:cs="Arial"/>
        </w:rPr>
      </w:pPr>
    </w:p>
    <w:p w:rsidR="00E060BE" w:rsidRPr="00E060BE" w:rsidRDefault="00E060BE"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 xml:space="preserve">Crear las condiciones para asegurar la disponibilidad de una oferta energética eficiente capaz de abastecer la demanda bajo criterios sociales, económicos, ambientales y de viabilidad financiera, promover y preservar la </w:t>
      </w:r>
      <w:r>
        <w:rPr>
          <w:rFonts w:ascii="Bookman Old Style" w:hAnsi="Bookman Old Style"/>
        </w:rPr>
        <w:lastRenderedPageBreak/>
        <w:t>competencia, 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B75E93" w:rsidRDefault="004C33BE" w:rsidP="00B75E93">
      <w:pPr>
        <w:ind w:left="0"/>
        <w:jc w:val="both"/>
        <w:rPr>
          <w:rFonts w:ascii="Bookman Old Style" w:hAnsi="Bookman Old Style" w:cs="Arial"/>
        </w:rPr>
      </w:pPr>
      <w:r>
        <w:rPr>
          <w:rFonts w:ascii="Bookman Old Style" w:hAnsi="Bookman Old Style" w:cs="Arial"/>
        </w:rPr>
        <w:t xml:space="preserve">Una vez analizado el balance </w:t>
      </w:r>
      <w:r w:rsidR="002043B4">
        <w:rPr>
          <w:rFonts w:ascii="Bookman Old Style" w:hAnsi="Bookman Old Style" w:cs="Arial"/>
        </w:rPr>
        <w:t xml:space="preserve">las </w:t>
      </w:r>
      <w:r>
        <w:rPr>
          <w:rFonts w:ascii="Bookman Old Style" w:hAnsi="Bookman Old Style" w:cs="Arial"/>
        </w:rPr>
        <w:t xml:space="preserve">OEF para el </w:t>
      </w:r>
      <w:r w:rsidR="002043B4">
        <w:rPr>
          <w:rFonts w:ascii="Bookman Old Style" w:hAnsi="Bookman Old Style" w:cs="Arial"/>
        </w:rPr>
        <w:t xml:space="preserve">período </w:t>
      </w:r>
      <w:r>
        <w:rPr>
          <w:rFonts w:ascii="Bookman Old Style" w:hAnsi="Bookman Old Style" w:cs="Arial"/>
        </w:rPr>
        <w:t>2012</w:t>
      </w:r>
      <w:r w:rsidR="002043B4">
        <w:rPr>
          <w:rFonts w:ascii="Bookman Old Style" w:hAnsi="Bookman Old Style" w:cs="Arial"/>
        </w:rPr>
        <w:t>-2013</w:t>
      </w:r>
      <w:r>
        <w:rPr>
          <w:rFonts w:ascii="Bookman Old Style" w:hAnsi="Bookman Old Style" w:cs="Arial"/>
        </w:rPr>
        <w:t xml:space="preserve"> y las proyecciones de demanda de </w:t>
      </w:r>
      <w:r w:rsidR="000078E0">
        <w:rPr>
          <w:rFonts w:ascii="Bookman Old Style" w:hAnsi="Bookman Old Style" w:cs="Arial"/>
        </w:rPr>
        <w:t xml:space="preserve">energía eléctrica </w:t>
      </w:r>
      <w:r>
        <w:rPr>
          <w:rFonts w:ascii="Bookman Old Style" w:hAnsi="Bookman Old Style" w:cs="Arial"/>
        </w:rPr>
        <w:t xml:space="preserve">más recientes de </w:t>
      </w:r>
      <w:r w:rsidR="000078E0">
        <w:rPr>
          <w:rFonts w:ascii="Bookman Old Style" w:hAnsi="Bookman Old Style" w:cs="Arial"/>
        </w:rPr>
        <w:t xml:space="preserve">la </w:t>
      </w:r>
      <w:r>
        <w:rPr>
          <w:rFonts w:ascii="Bookman Old Style" w:hAnsi="Bookman Old Style" w:cs="Arial"/>
        </w:rPr>
        <w:t>UPME</w:t>
      </w:r>
      <w:r w:rsidR="000078E0">
        <w:rPr>
          <w:rFonts w:ascii="Bookman Old Style" w:hAnsi="Bookman Old Style" w:cs="Arial"/>
        </w:rPr>
        <w:t xml:space="preserve"> (</w:t>
      </w:r>
      <w:r>
        <w:rPr>
          <w:rFonts w:ascii="Bookman Old Style" w:hAnsi="Bookman Old Style" w:cs="Arial"/>
        </w:rPr>
        <w:t>marzo de 2012</w:t>
      </w:r>
      <w:r w:rsidR="000078E0">
        <w:rPr>
          <w:rFonts w:ascii="Bookman Old Style" w:hAnsi="Bookman Old Style" w:cs="Arial"/>
        </w:rPr>
        <w:t xml:space="preserve">) </w:t>
      </w:r>
      <w:r w:rsidR="002043B4">
        <w:rPr>
          <w:rFonts w:ascii="Bookman Old Style" w:hAnsi="Bookman Old Style" w:cs="Arial"/>
        </w:rPr>
        <w:t>para el mismo período</w:t>
      </w:r>
      <w:r>
        <w:rPr>
          <w:rFonts w:ascii="Bookman Old Style" w:hAnsi="Bookman Old Style" w:cs="Arial"/>
        </w:rPr>
        <w:t xml:space="preserve">, se encuentra que existe exceso de OEF. </w:t>
      </w:r>
      <w:r w:rsidR="00B75E93">
        <w:rPr>
          <w:rFonts w:ascii="Bookman Old Style" w:hAnsi="Bookman Old Style" w:cs="Arial"/>
        </w:rPr>
        <w:t>L</w:t>
      </w:r>
      <w:r w:rsidR="00B75E93" w:rsidRPr="00B75E93">
        <w:rPr>
          <w:rFonts w:ascii="Bookman Old Style" w:hAnsi="Bookman Old Style" w:cs="Arial"/>
        </w:rPr>
        <w:t xml:space="preserve">os </w:t>
      </w:r>
      <w:r>
        <w:rPr>
          <w:rFonts w:ascii="Bookman Old Style" w:hAnsi="Bookman Old Style" w:cs="Arial"/>
        </w:rPr>
        <w:t xml:space="preserve">análisis se </w:t>
      </w:r>
      <w:r w:rsidR="00D3164A">
        <w:rPr>
          <w:rFonts w:ascii="Bookman Old Style" w:hAnsi="Bookman Old Style" w:cs="Arial"/>
        </w:rPr>
        <w:t xml:space="preserve">presentan </w:t>
      </w:r>
      <w:r>
        <w:rPr>
          <w:rFonts w:ascii="Bookman Old Style" w:hAnsi="Bookman Old Style" w:cs="Arial"/>
        </w:rPr>
        <w:t xml:space="preserve">en el </w:t>
      </w:r>
      <w:r w:rsidR="00B75E93" w:rsidRPr="00B75E93">
        <w:rPr>
          <w:rFonts w:ascii="Bookman Old Style" w:hAnsi="Bookman Old Style" w:cs="Arial"/>
        </w:rPr>
        <w:t>documento CREG-</w:t>
      </w:r>
      <w:r w:rsidR="00E46432">
        <w:rPr>
          <w:rFonts w:ascii="Bookman Old Style" w:hAnsi="Bookman Old Style" w:cs="Arial"/>
        </w:rPr>
        <w:t>023</w:t>
      </w:r>
      <w:r w:rsidR="00E46432" w:rsidRPr="00B75E93">
        <w:rPr>
          <w:rFonts w:ascii="Bookman Old Style" w:hAnsi="Bookman Old Style" w:cs="Arial"/>
        </w:rPr>
        <w:t xml:space="preserve"> </w:t>
      </w:r>
      <w:r w:rsidR="00B75E93" w:rsidRPr="00B75E93">
        <w:rPr>
          <w:rFonts w:ascii="Bookman Old Style" w:hAnsi="Bookman Old Style" w:cs="Arial"/>
        </w:rPr>
        <w:t xml:space="preserve">del </w:t>
      </w:r>
      <w:r w:rsidR="00611A0B">
        <w:rPr>
          <w:rFonts w:ascii="Bookman Old Style" w:hAnsi="Bookman Old Style" w:cs="Arial"/>
        </w:rPr>
        <w:t>0</w:t>
      </w:r>
      <w:r w:rsidR="00A93BB1">
        <w:rPr>
          <w:rFonts w:ascii="Bookman Old Style" w:hAnsi="Bookman Old Style" w:cs="Arial"/>
        </w:rPr>
        <w:t>8</w:t>
      </w:r>
      <w:r w:rsidR="00B75E93" w:rsidRPr="00B75E93">
        <w:rPr>
          <w:rFonts w:ascii="Bookman Old Style" w:hAnsi="Bookman Old Style" w:cs="Arial"/>
        </w:rPr>
        <w:t xml:space="preserve"> de </w:t>
      </w:r>
      <w:r w:rsidR="00E46432">
        <w:rPr>
          <w:rFonts w:ascii="Bookman Old Style" w:hAnsi="Bookman Old Style" w:cs="Arial"/>
        </w:rPr>
        <w:t>junio</w:t>
      </w:r>
      <w:r w:rsidR="00E46432" w:rsidRPr="00B75E93">
        <w:rPr>
          <w:rFonts w:ascii="Bookman Old Style" w:hAnsi="Bookman Old Style" w:cs="Arial"/>
        </w:rPr>
        <w:t xml:space="preserve"> </w:t>
      </w:r>
      <w:r w:rsidR="00B75E93" w:rsidRPr="00B75E93">
        <w:rPr>
          <w:rFonts w:ascii="Bookman Old Style" w:hAnsi="Bookman Old Style" w:cs="Arial"/>
        </w:rPr>
        <w:t xml:space="preserve">de </w:t>
      </w:r>
      <w:r w:rsidR="00B75E93">
        <w:rPr>
          <w:rFonts w:ascii="Bookman Old Style" w:hAnsi="Bookman Old Style" w:cs="Arial"/>
        </w:rPr>
        <w:t>2012</w:t>
      </w:r>
      <w:r>
        <w:rPr>
          <w:rFonts w:ascii="Bookman Old Style" w:hAnsi="Bookman Old Style" w:cs="Arial"/>
        </w:rPr>
        <w:t>.</w:t>
      </w:r>
    </w:p>
    <w:p w:rsidR="004C33BE" w:rsidRDefault="004C33BE" w:rsidP="00B75E93">
      <w:pPr>
        <w:ind w:left="0"/>
        <w:jc w:val="both"/>
        <w:rPr>
          <w:rFonts w:ascii="Bookman Old Style" w:hAnsi="Bookman Old Style" w:cs="Arial"/>
        </w:rPr>
      </w:pPr>
    </w:p>
    <w:p w:rsidR="004C33BE" w:rsidRPr="00B75E93" w:rsidRDefault="004C33BE" w:rsidP="00B75E93">
      <w:pPr>
        <w:ind w:left="0"/>
        <w:jc w:val="both"/>
        <w:rPr>
          <w:rFonts w:ascii="Bookman Old Style" w:hAnsi="Bookman Old Style" w:cs="Arial"/>
        </w:rPr>
      </w:pPr>
      <w:r>
        <w:rPr>
          <w:rFonts w:ascii="Bookman Old Style" w:hAnsi="Bookman Old Style" w:cs="Arial"/>
        </w:rPr>
        <w:t xml:space="preserve">Para dar mayor oportunidad a la </w:t>
      </w:r>
      <w:r w:rsidR="002043B4">
        <w:rPr>
          <w:rFonts w:ascii="Bookman Old Style" w:hAnsi="Bookman Old Style" w:cs="Arial"/>
        </w:rPr>
        <w:t>participación en</w:t>
      </w:r>
      <w:r>
        <w:rPr>
          <w:rFonts w:ascii="Bookman Old Style" w:hAnsi="Bookman Old Style" w:cs="Arial"/>
        </w:rPr>
        <w:t xml:space="preserve"> la Subasta de Reconfiguración de Venta </w:t>
      </w:r>
      <w:r w:rsidR="002043B4">
        <w:rPr>
          <w:rFonts w:ascii="Bookman Old Style" w:hAnsi="Bookman Old Style" w:cs="Arial"/>
        </w:rPr>
        <w:t>es necesario</w:t>
      </w:r>
      <w:r>
        <w:rPr>
          <w:rFonts w:ascii="Bookman Old Style" w:hAnsi="Bookman Old Style" w:cs="Arial"/>
        </w:rPr>
        <w:t xml:space="preserve"> dar una transición a las plantas en construcción que requieren cobertura de energía para el período 2012-2013.</w:t>
      </w:r>
    </w:p>
    <w:p w:rsidR="00B75E93" w:rsidRDefault="00B75E93" w:rsidP="004412D3">
      <w:pPr>
        <w:ind w:left="0"/>
        <w:jc w:val="both"/>
        <w:rPr>
          <w:rFonts w:ascii="Bookman Old Style" w:hAnsi="Bookman Old Style" w:cs="Arial"/>
          <w:lang w:val="es-ES_tradnl"/>
        </w:rPr>
      </w:pPr>
    </w:p>
    <w:p w:rsidR="002043B4" w:rsidRDefault="0036749E" w:rsidP="004412D3">
      <w:pPr>
        <w:ind w:left="0"/>
        <w:jc w:val="both"/>
        <w:rPr>
          <w:rFonts w:ascii="Bookman Old Style" w:hAnsi="Bookman Old Style" w:cs="Arial"/>
          <w:lang w:val="es-ES_tradnl"/>
        </w:rPr>
      </w:pPr>
      <w:r>
        <w:rPr>
          <w:rFonts w:ascii="Bookman Old Style" w:hAnsi="Bookman Old Style" w:cs="Arial"/>
          <w:lang w:val="es-ES_tradnl"/>
        </w:rPr>
        <w:t>No se informó de esta resolución a la Superintendencia de Industria y Comercio por cuanto no se considera que lo dispuesto en ella tenga incidencia sobre la libre competencia.</w:t>
      </w:r>
    </w:p>
    <w:p w:rsidR="0036749E" w:rsidRDefault="0036749E" w:rsidP="004412D3">
      <w:pPr>
        <w:ind w:left="0"/>
        <w:jc w:val="both"/>
        <w:rPr>
          <w:rFonts w:ascii="Bookman Old Style" w:hAnsi="Bookman Old Style" w:cs="Arial"/>
          <w:lang w:val="es-ES_tradnl"/>
        </w:rPr>
      </w:pPr>
    </w:p>
    <w:p w:rsidR="00314837" w:rsidRDefault="00314837" w:rsidP="004412D3">
      <w:pPr>
        <w:ind w:left="0"/>
        <w:jc w:val="both"/>
        <w:rPr>
          <w:rFonts w:ascii="Bookman Old Style" w:hAnsi="Bookman Old Style" w:cs="Arial"/>
          <w:lang w:val="es-ES_tradnl"/>
        </w:rPr>
      </w:pPr>
      <w:r w:rsidRPr="00314837">
        <w:rPr>
          <w:rFonts w:ascii="Bookman Old Style" w:hAnsi="Bookman Old Style" w:cs="Arial"/>
          <w:lang w:val="es-ES_tradnl"/>
        </w:rPr>
        <w:t xml:space="preserve">De conformidad con lo establecido en el parágrafo del artículo 9 del Decreto 2696 de 2004 y el numeral 3 del artículo 2 de la Resolución CREG 097 de </w:t>
      </w:r>
      <w:r w:rsidRPr="00314837">
        <w:rPr>
          <w:rFonts w:ascii="Bookman Old Style" w:hAnsi="Bookman Old Style" w:cs="Arial"/>
          <w:lang w:val="es-ES_tradnl"/>
        </w:rPr>
        <w:lastRenderedPageBreak/>
        <w:t>2004, la Comisión decidió por unanimidad no someter la presente Resolución a las disposiciones sobre publicidad de proyectos de regulación previstas en el citado Decreto, debido a la existencia de razones de conveniencia general y de oportunidad, toda vez</w:t>
      </w:r>
      <w:r w:rsidR="002A22B6">
        <w:rPr>
          <w:rFonts w:ascii="Bookman Old Style" w:hAnsi="Bookman Old Style" w:cs="Arial"/>
          <w:lang w:val="es-ES_tradnl"/>
        </w:rPr>
        <w:t xml:space="preserve"> que </w:t>
      </w:r>
      <w:r w:rsidR="00424BF4">
        <w:rPr>
          <w:rFonts w:ascii="Bookman Old Style" w:hAnsi="Bookman Old Style" w:cs="Arial"/>
          <w:lang w:val="es-ES_tradnl"/>
        </w:rPr>
        <w:t xml:space="preserve">se debe realizar la primera subasta </w:t>
      </w:r>
      <w:r w:rsidR="00D45DF6">
        <w:rPr>
          <w:rFonts w:ascii="Bookman Old Style" w:hAnsi="Bookman Old Style" w:cs="Arial"/>
          <w:lang w:val="es-ES_tradnl"/>
        </w:rPr>
        <w:t>de reconfiguración de venta a la brevedad posible para asegurar</w:t>
      </w:r>
      <w:r w:rsidR="00E971C6">
        <w:rPr>
          <w:rFonts w:ascii="Bookman Old Style" w:hAnsi="Bookman Old Style" w:cs="Arial"/>
          <w:lang w:val="es-ES_tradnl"/>
        </w:rPr>
        <w:t xml:space="preserve"> </w:t>
      </w:r>
      <w:r w:rsidR="00424BF4">
        <w:rPr>
          <w:rFonts w:ascii="Bookman Old Style" w:hAnsi="Bookman Old Style" w:cs="Arial"/>
          <w:lang w:val="es-ES_tradnl"/>
        </w:rPr>
        <w:t>la</w:t>
      </w:r>
      <w:r w:rsidR="00E971C6">
        <w:rPr>
          <w:rFonts w:ascii="Bookman Old Style" w:hAnsi="Bookman Old Style" w:cs="Arial"/>
          <w:lang w:val="es-ES_tradnl"/>
        </w:rPr>
        <w:t xml:space="preserve"> mayor participación </w:t>
      </w:r>
      <w:r w:rsidR="002D3A8E">
        <w:rPr>
          <w:rFonts w:ascii="Bookman Old Style" w:hAnsi="Bookman Old Style" w:cs="Arial"/>
          <w:lang w:val="es-ES_tradnl"/>
        </w:rPr>
        <w:t>en la misma</w:t>
      </w:r>
      <w:r w:rsidR="00424BF4">
        <w:rPr>
          <w:rFonts w:ascii="Bookman Old Style" w:hAnsi="Bookman Old Style" w:cs="Arial"/>
          <w:lang w:val="es-ES_tradnl"/>
        </w:rPr>
        <w:t xml:space="preserve"> y así mismo obtener el mayor beneficio para el usuario</w:t>
      </w:r>
      <w:r w:rsidRPr="00314837">
        <w:rPr>
          <w:rFonts w:ascii="Bookman Old Style" w:hAnsi="Bookman Old Style" w:cs="Arial"/>
          <w:lang w:val="es-ES_tradnl"/>
        </w:rPr>
        <w:t>.</w:t>
      </w:r>
    </w:p>
    <w:p w:rsidR="00314837" w:rsidRPr="00B75E93" w:rsidRDefault="00314837" w:rsidP="004412D3">
      <w:pPr>
        <w:ind w:left="0"/>
        <w:jc w:val="both"/>
        <w:rPr>
          <w:rFonts w:ascii="Bookman Old Style" w:hAnsi="Bookman Old Style" w:cs="Arial"/>
          <w:lang w:val="es-ES_tradnl"/>
        </w:rPr>
      </w:pPr>
    </w:p>
    <w:p w:rsidR="00B75E93" w:rsidRPr="00B75E93" w:rsidRDefault="00B75E93" w:rsidP="00B75E93">
      <w:pPr>
        <w:ind w:left="0"/>
        <w:jc w:val="both"/>
        <w:rPr>
          <w:rFonts w:ascii="Bookman Old Style" w:hAnsi="Bookman Old Style" w:cs="Arial"/>
        </w:rPr>
      </w:pPr>
      <w:r>
        <w:rPr>
          <w:rFonts w:ascii="Bookman Old Style" w:hAnsi="Bookman Old Style" w:cs="Arial"/>
          <w:lang w:val="es-ES_tradnl"/>
        </w:rPr>
        <w:t>L</w:t>
      </w:r>
      <w:r w:rsidRPr="00B75E93">
        <w:rPr>
          <w:rFonts w:ascii="Bookman Old Style" w:hAnsi="Bookman Old Style" w:cs="Arial"/>
        </w:rPr>
        <w:t xml:space="preserve">a Comisión de Regulación de Energía y Gas, en </w:t>
      </w:r>
      <w:r w:rsidRPr="00FA28B4">
        <w:rPr>
          <w:rFonts w:ascii="Bookman Old Style" w:hAnsi="Bookman Old Style" w:cs="Arial"/>
        </w:rPr>
        <w:t xml:space="preserve">su sesión </w:t>
      </w:r>
      <w:r w:rsidR="00E920F7" w:rsidRPr="00FA28B4">
        <w:rPr>
          <w:rFonts w:ascii="Bookman Old Style" w:hAnsi="Bookman Old Style" w:cs="Arial"/>
        </w:rPr>
        <w:t>52</w:t>
      </w:r>
      <w:r w:rsidR="00314837" w:rsidRPr="00FA28B4">
        <w:rPr>
          <w:rFonts w:ascii="Bookman Old Style" w:hAnsi="Bookman Old Style" w:cs="Arial"/>
        </w:rPr>
        <w:t>1</w:t>
      </w:r>
      <w:r w:rsidRPr="00FA28B4">
        <w:rPr>
          <w:rFonts w:ascii="Bookman Old Style" w:hAnsi="Bookman Old Style" w:cs="Arial"/>
        </w:rPr>
        <w:t xml:space="preserve"> del </w:t>
      </w:r>
      <w:r w:rsidR="00314837" w:rsidRPr="00FA28B4">
        <w:rPr>
          <w:rFonts w:ascii="Bookman Old Style" w:hAnsi="Bookman Old Style" w:cs="Arial"/>
        </w:rPr>
        <w:t>08</w:t>
      </w:r>
      <w:r w:rsidRPr="00FA28B4">
        <w:rPr>
          <w:rFonts w:ascii="Bookman Old Style" w:hAnsi="Bookman Old Style" w:cs="Arial"/>
        </w:rPr>
        <w:t xml:space="preserve"> de </w:t>
      </w:r>
      <w:r w:rsidR="00E920F7" w:rsidRPr="00FA28B4">
        <w:rPr>
          <w:rFonts w:ascii="Bookman Old Style" w:hAnsi="Bookman Old Style" w:cs="Arial"/>
        </w:rPr>
        <w:t>junio</w:t>
      </w:r>
      <w:r w:rsidR="00E920F7">
        <w:rPr>
          <w:rFonts w:ascii="Bookman Old Style" w:hAnsi="Bookman Old Style" w:cs="Arial"/>
        </w:rPr>
        <w:t xml:space="preserve"> </w:t>
      </w:r>
      <w:r w:rsidRPr="00B75E93">
        <w:rPr>
          <w:rFonts w:ascii="Bookman Old Style" w:hAnsi="Bookman Old Style" w:cs="Arial"/>
        </w:rPr>
        <w:t>de 20</w:t>
      </w:r>
      <w:r>
        <w:rPr>
          <w:rFonts w:ascii="Bookman Old Style" w:hAnsi="Bookman Old Style" w:cs="Arial"/>
        </w:rPr>
        <w:t>12</w:t>
      </w:r>
      <w:r w:rsidRPr="00B75E93">
        <w:rPr>
          <w:rFonts w:ascii="Bookman Old Style" w:hAnsi="Bookman Old Style" w:cs="Arial"/>
        </w:rPr>
        <w:t xml:space="preserve">, acordó expedir la presente resolución con el fin de adoptar decisiones relacionadas con </w:t>
      </w:r>
      <w:r w:rsidR="00C527FD">
        <w:rPr>
          <w:rFonts w:ascii="Bookman Old Style" w:hAnsi="Bookman Old Style" w:cs="Arial"/>
        </w:rPr>
        <w:t xml:space="preserve">la convocatoria a </w:t>
      </w:r>
      <w:r w:rsidRPr="00B75E93">
        <w:rPr>
          <w:rFonts w:ascii="Bookman Old Style" w:hAnsi="Bookman Old Style" w:cs="Arial"/>
        </w:rPr>
        <w:t>la Subasta</w:t>
      </w:r>
      <w:r>
        <w:rPr>
          <w:rFonts w:ascii="Bookman Old Style" w:hAnsi="Bookman Old Style" w:cs="Arial"/>
        </w:rPr>
        <w:t>s</w:t>
      </w:r>
      <w:r w:rsidRPr="00B75E93">
        <w:rPr>
          <w:rFonts w:ascii="Bookman Old Style" w:hAnsi="Bookman Old Style" w:cs="Arial"/>
        </w:rPr>
        <w:t xml:space="preserve"> de </w:t>
      </w:r>
      <w:r>
        <w:rPr>
          <w:rFonts w:ascii="Bookman Old Style" w:hAnsi="Bookman Old Style" w:cs="Arial"/>
        </w:rPr>
        <w:t>Reconfiguración</w:t>
      </w:r>
      <w:r w:rsidR="00C527FD">
        <w:rPr>
          <w:rFonts w:ascii="Bookman Old Style" w:hAnsi="Bookman Old Style" w:cs="Arial"/>
        </w:rPr>
        <w:t xml:space="preserve"> de Venta para el período 2012-2013</w:t>
      </w:r>
      <w:r>
        <w:rPr>
          <w:rFonts w:ascii="Bookman Old Style" w:hAnsi="Bookman Old Style" w:cs="Arial"/>
        </w:rPr>
        <w:t>.</w:t>
      </w:r>
    </w:p>
    <w:p w:rsidR="00DA3E0B" w:rsidRDefault="00DA3E0B" w:rsidP="004412D3">
      <w:pPr>
        <w:ind w:left="0"/>
        <w:jc w:val="both"/>
        <w:rPr>
          <w:rFonts w:ascii="Bookman Old Style" w:hAnsi="Bookman Old Style" w:cs="Arial"/>
          <w:lang w:val="es-ES_tradnl"/>
        </w:rPr>
      </w:pPr>
    </w:p>
    <w:p w:rsidR="008C56A2" w:rsidRPr="00B75E93" w:rsidRDefault="008C56A2" w:rsidP="004412D3">
      <w:pPr>
        <w:ind w:left="0"/>
        <w:jc w:val="both"/>
        <w:rPr>
          <w:rFonts w:ascii="Bookman Old Style" w:hAnsi="Bookman Old Style" w:cs="Arial"/>
          <w:lang w:val="es-ES_tradnl"/>
        </w:rPr>
      </w:pPr>
    </w:p>
    <w:p w:rsidR="008D502B" w:rsidRDefault="008D502B" w:rsidP="008D502B">
      <w:pPr>
        <w:ind w:left="0"/>
        <w:jc w:val="both"/>
        <w:rPr>
          <w:rFonts w:ascii="Bookman Old Style" w:hAnsi="Bookman Old Style"/>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E06AEF" w:rsidRDefault="00E06AEF" w:rsidP="00E060BE">
      <w:pPr>
        <w:tabs>
          <w:tab w:val="center" w:pos="4512"/>
          <w:tab w:val="left" w:pos="7088"/>
        </w:tabs>
        <w:suppressAutoHyphens/>
        <w:ind w:left="0" w:right="51"/>
        <w:rPr>
          <w:rFonts w:ascii="Bookman Old Style" w:hAnsi="Bookman Old Style" w:cs="Arial"/>
          <w:b/>
          <w:color w:val="000000"/>
        </w:rPr>
      </w:pPr>
    </w:p>
    <w:p w:rsidR="008C56A2" w:rsidRDefault="008C56A2" w:rsidP="00E060BE">
      <w:pPr>
        <w:tabs>
          <w:tab w:val="center" w:pos="4512"/>
          <w:tab w:val="left" w:pos="7088"/>
        </w:tabs>
        <w:suppressAutoHyphens/>
        <w:ind w:left="0" w:right="51"/>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Administrador del Sistema de Intercambios Comerciales del Mercado de Energía Mayorista (ASIC) lleve a cabo la Subasta de Reconfiguración de Venta para el período comprendido entre el 1 de diciembre de 2012 y el 30 de noviembre de 2013</w:t>
      </w:r>
      <w:r w:rsidR="00B71BE8">
        <w:rPr>
          <w:rFonts w:ascii="Bookman Old Style" w:hAnsi="Bookman Old Style" w:cs="Arial"/>
          <w:color w:val="000000"/>
        </w:rPr>
        <w:t xml:space="preserve"> 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 xml:space="preserve">La Comisión de Regulación de Energía y Gas convoca a todas las personas con Plantas o Unidades de generación que tienen asignaciones de OEF para el período 2012-2013 a participar en la Subasta de Reconfiguración de Venta para el período 2012-2013, la cual será realizada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los plazos definidos en la presente Resolución</w:t>
      </w:r>
      <w:r w:rsidR="00EB72BA">
        <w:rPr>
          <w:rFonts w:ascii="Bookman Old Style" w:hAnsi="Bookman Old Style" w:cs="Arial"/>
          <w:color w:val="000000"/>
        </w:rPr>
        <w:t>.</w:t>
      </w:r>
    </w:p>
    <w:p w:rsidR="000C1CA5" w:rsidRPr="008C56A2" w:rsidRDefault="000C1CA5" w:rsidP="00E06AEF">
      <w:pPr>
        <w:tabs>
          <w:tab w:val="center" w:pos="4512"/>
          <w:tab w:val="left" w:pos="7088"/>
        </w:tabs>
        <w:suppressAutoHyphens/>
        <w:ind w:left="0" w:right="51"/>
        <w:jc w:val="both"/>
        <w:rPr>
          <w:rFonts w:ascii="Bookman Old Style" w:hAnsi="Bookman Old Style" w:cs="Arial"/>
          <w:color w:val="000000"/>
          <w:sz w:val="28"/>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OEF de Venta para el período de vigencia comprendido entre el 1 de diciembre de 2012 y el 30 de noviembre de 2013.</w:t>
      </w:r>
    </w:p>
    <w:p w:rsidR="00C2797E" w:rsidRPr="008C56A2" w:rsidRDefault="00C2797E" w:rsidP="00E06AEF">
      <w:pPr>
        <w:tabs>
          <w:tab w:val="center" w:pos="4512"/>
          <w:tab w:val="left" w:pos="7088"/>
        </w:tabs>
        <w:suppressAutoHyphens/>
        <w:ind w:left="0" w:right="51"/>
        <w:jc w:val="both"/>
        <w:rPr>
          <w:rFonts w:ascii="Bookman Old Style" w:hAnsi="Bookman Old Style" w:cs="Arial"/>
          <w:color w:val="000000"/>
          <w:sz w:val="28"/>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Cronograma para el reporte de información por quienes deseen participar en la Subasta de Reconfiguración de Venta para el período  de vigencia comprendido entre el 1 de diciembre de 2012 y el 30 de noviembre de 2013</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Los agentes que deseen participar en la Subasta de Reconfiguración de Venta para el período de vigencia comprendido entre el 1 de diciembre de 2012 y el 30 de noviembre de 2013 deberán remitir la información establecida en el Anexo de esta Resolución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p>
    <w:p w:rsidR="00E53D0C" w:rsidRDefault="00E53D0C" w:rsidP="00E06AEF">
      <w:pPr>
        <w:tabs>
          <w:tab w:val="center" w:pos="4512"/>
          <w:tab w:val="left" w:pos="7088"/>
        </w:tabs>
        <w:suppressAutoHyphens/>
        <w:ind w:left="0" w:right="51"/>
        <w:jc w:val="both"/>
        <w:rPr>
          <w:rFonts w:ascii="Bookman Old Style" w:hAnsi="Bookman Old Style" w:cs="Arial"/>
          <w:color w:val="00000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 xml:space="preserve">Los plazos establecidos en el Anexo de la presente Resolución vencerán a las 17:00 horas del respectivo día.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Pr="008C56A2" w:rsidRDefault="00A46AC7" w:rsidP="00BE4720">
      <w:pPr>
        <w:tabs>
          <w:tab w:val="center" w:pos="709"/>
        </w:tabs>
        <w:suppressAutoHyphens/>
        <w:ind w:left="0" w:right="51"/>
        <w:jc w:val="both"/>
        <w:rPr>
          <w:rFonts w:ascii="Bookman Old Style" w:hAnsi="Bookman Old Style" w:cs="Arial"/>
          <w:b/>
          <w:color w:val="000000"/>
          <w:sz w:val="28"/>
        </w:rPr>
      </w:pPr>
    </w:p>
    <w:p w:rsidR="00694D7C" w:rsidRDefault="00BE4720" w:rsidP="00BE4720">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694D7C">
        <w:rPr>
          <w:rFonts w:ascii="Bookman Old Style" w:hAnsi="Bookman Old Style" w:cs="Arial"/>
          <w:color w:val="000000"/>
          <w:lang w:val="es-CO"/>
        </w:rPr>
        <w:t xml:space="preserve">Los plazos para el cumplimiento de la actualización </w:t>
      </w:r>
      <w:r w:rsidR="007142E0">
        <w:rPr>
          <w:rFonts w:ascii="Bookman Old Style" w:hAnsi="Bookman Old Style" w:cs="Arial"/>
          <w:color w:val="000000"/>
          <w:lang w:val="es-CO"/>
        </w:rPr>
        <w:t xml:space="preserve">de </w:t>
      </w:r>
      <w:r w:rsidR="00694D7C">
        <w:rPr>
          <w:rFonts w:ascii="Bookman Old Style" w:hAnsi="Bookman Old Style" w:cs="Arial"/>
          <w:color w:val="000000"/>
          <w:lang w:val="es-CO"/>
        </w:rPr>
        <w:t>garantías y registro de contratos de respaldo previstos en la Resolución CREG 061 de 2007, se suspenderán para las plantas en construcción que tengan OEF para el período 2012 - 2013 que declaren interés en participar en la Subasta.</w:t>
      </w:r>
      <w:r w:rsidR="00FD2EE5" w:rsidRPr="00FD2EE5">
        <w:rPr>
          <w:rFonts w:ascii="Bookman Old Style" w:hAnsi="Bookman Old Style" w:cs="Arial"/>
          <w:color w:val="000000"/>
          <w:lang w:val="es-CO"/>
        </w:rPr>
        <w:t xml:space="preserve"> </w:t>
      </w:r>
      <w:r w:rsidR="00FD2EE5">
        <w:rPr>
          <w:rFonts w:ascii="Bookman Old Style" w:hAnsi="Bookman Old Style" w:cs="Arial"/>
          <w:color w:val="000000"/>
          <w:lang w:val="es-CO"/>
        </w:rPr>
        <w:t xml:space="preserve">Finalizada la Subasta de Reconfiguración de Venta para el período 2012-2013 se </w:t>
      </w:r>
      <w:r w:rsidR="009F2FD4">
        <w:rPr>
          <w:rFonts w:ascii="Bookman Old Style" w:hAnsi="Bookman Old Style" w:cs="Arial"/>
          <w:color w:val="000000"/>
          <w:lang w:val="es-CO"/>
        </w:rPr>
        <w:t>reanuda</w:t>
      </w:r>
      <w:r w:rsidR="00E60C09">
        <w:rPr>
          <w:rFonts w:ascii="Bookman Old Style" w:hAnsi="Bookman Old Style" w:cs="Arial"/>
          <w:color w:val="000000"/>
          <w:lang w:val="es-CO"/>
        </w:rPr>
        <w:t>rá</w:t>
      </w:r>
      <w:r w:rsidR="00FD2EE5">
        <w:rPr>
          <w:rFonts w:ascii="Bookman Old Style" w:hAnsi="Bookman Old Style" w:cs="Arial"/>
          <w:color w:val="000000"/>
          <w:lang w:val="es-CO"/>
        </w:rPr>
        <w:t xml:space="preserve"> la contabilización de dichos plazos.</w:t>
      </w:r>
    </w:p>
    <w:p w:rsidR="008C56A2" w:rsidRDefault="008C56A2"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Diario Oficial y deroga las disposiciones que le sean contrarias.</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661E64" w:rsidRDefault="00661E64" w:rsidP="00661E64">
      <w:pPr>
        <w:ind w:left="0"/>
        <w:rPr>
          <w:rFonts w:ascii="Bookman Old Style" w:hAnsi="Bookman Old Style"/>
        </w:rPr>
      </w:pPr>
    </w:p>
    <w:p w:rsidR="00661E64" w:rsidRDefault="00661E64" w:rsidP="00661E64">
      <w:pPr>
        <w:ind w:left="0"/>
        <w:rPr>
          <w:rFonts w:ascii="Bookman Old Style" w:hAnsi="Bookman Old Style"/>
        </w:rPr>
      </w:pPr>
      <w:r>
        <w:rPr>
          <w:rFonts w:ascii="Bookman Old Style" w:hAnsi="Bookman Old Style"/>
        </w:rPr>
        <w:t>Dada en Bogotá, D.C.</w:t>
      </w:r>
    </w:p>
    <w:p w:rsidR="00661E64" w:rsidRDefault="00661E64" w:rsidP="00661E64">
      <w:pPr>
        <w:ind w:left="0"/>
        <w:rPr>
          <w:rFonts w:ascii="Bookman Old Style" w:hAnsi="Bookman Old Style"/>
        </w:rPr>
      </w:pPr>
    </w:p>
    <w:p w:rsidR="00FA28B4" w:rsidRDefault="00FA28B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C7584" w:rsidRDefault="00FC7584" w:rsidP="00661E64">
      <w:pPr>
        <w:ind w:left="0"/>
        <w:rPr>
          <w:rFonts w:ascii="Bookman Old Style" w:hAnsi="Bookman Old Style"/>
        </w:rPr>
      </w:pPr>
    </w:p>
    <w:p w:rsidR="00FA28B4" w:rsidRDefault="00FA28B4" w:rsidP="00661E64">
      <w:pPr>
        <w:ind w:left="0"/>
        <w:rPr>
          <w:rFonts w:ascii="Bookman Old Style" w:hAnsi="Bookman Old Style"/>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FF0E67">
        <w:trPr>
          <w:jc w:val="right"/>
        </w:trPr>
        <w:tc>
          <w:tcPr>
            <w:tcW w:w="4871" w:type="dxa"/>
            <w:hideMark/>
          </w:tcPr>
          <w:p w:rsidR="00FC7584" w:rsidRDefault="00FC7584" w:rsidP="00FF0E67">
            <w:pPr>
              <w:ind w:left="0"/>
              <w:rPr>
                <w:rFonts w:ascii="Bookman Old Style" w:hAnsi="Bookman Old Style" w:cs="Arial"/>
                <w:b/>
                <w:spacing w:val="-3"/>
                <w:lang w:val="es-ES_tradnl"/>
              </w:rPr>
            </w:pPr>
            <w:r>
              <w:rPr>
                <w:rFonts w:ascii="Bookman Old Style" w:hAnsi="Bookman Old Style" w:cs="Arial"/>
                <w:b/>
                <w:spacing w:val="-3"/>
              </w:rPr>
              <w:t xml:space="preserve">  MAURICIO CÁRDENAS SANTAMARÍA</w:t>
            </w:r>
          </w:p>
        </w:tc>
        <w:tc>
          <w:tcPr>
            <w:tcW w:w="4692" w:type="dxa"/>
            <w:hideMark/>
          </w:tcPr>
          <w:p w:rsidR="00FC7584" w:rsidRDefault="00FC7584" w:rsidP="00FF0E67">
            <w:pPr>
              <w:ind w:left="161" w:right="567"/>
              <w:jc w:val="right"/>
              <w:rPr>
                <w:rFonts w:ascii="Bookman Old Style" w:hAnsi="Bookman Old Style" w:cs="Arial"/>
                <w:b/>
                <w:spacing w:val="-3"/>
                <w:lang w:val="es-ES_tradnl"/>
              </w:rPr>
            </w:pPr>
            <w:r>
              <w:rPr>
                <w:rFonts w:ascii="Bookman Old Style" w:hAnsi="Bookman Old Style" w:cs="Arial"/>
                <w:b/>
                <w:spacing w:val="-3"/>
                <w:lang w:val="es-ES_tradnl"/>
              </w:rPr>
              <w:t>GERMÁN CASTRO FERREIRA</w:t>
            </w:r>
          </w:p>
        </w:tc>
      </w:tr>
      <w:tr w:rsidR="00FC7584" w:rsidTr="00FF0E67">
        <w:trPr>
          <w:jc w:val="right"/>
        </w:trPr>
        <w:tc>
          <w:tcPr>
            <w:tcW w:w="4871" w:type="dxa"/>
            <w:hideMark/>
          </w:tcPr>
          <w:p w:rsidR="00FC7584" w:rsidRDefault="00FC7584" w:rsidP="00FF0E67">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FC7584" w:rsidRDefault="00FC7584" w:rsidP="00FF0E67">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FC7584" w:rsidTr="00FF0E67">
        <w:trPr>
          <w:jc w:val="right"/>
        </w:trPr>
        <w:tc>
          <w:tcPr>
            <w:tcW w:w="4871" w:type="dxa"/>
            <w:hideMark/>
          </w:tcPr>
          <w:p w:rsidR="00FC7584" w:rsidRDefault="00FC7584" w:rsidP="00FF0E67">
            <w:pPr>
              <w:rPr>
                <w:rFonts w:ascii="Bookman Old Style" w:hAnsi="Bookman Old Style" w:cs="Arial"/>
                <w:spacing w:val="-3"/>
              </w:rPr>
            </w:pPr>
            <w:r>
              <w:rPr>
                <w:rFonts w:ascii="Bookman Old Style" w:hAnsi="Bookman Old Style" w:cs="Arial"/>
                <w:spacing w:val="-3"/>
              </w:rPr>
              <w:t xml:space="preserve">             Presidente</w:t>
            </w:r>
          </w:p>
        </w:tc>
        <w:tc>
          <w:tcPr>
            <w:tcW w:w="4692" w:type="dxa"/>
          </w:tcPr>
          <w:p w:rsidR="00FC7584" w:rsidRDefault="00FC7584" w:rsidP="00FF0E67">
            <w:pPr>
              <w:rPr>
                <w:rFonts w:ascii="Bookman Old Style" w:hAnsi="Bookman Old Style" w:cs="Arial"/>
                <w:spacing w:val="-3"/>
              </w:rPr>
            </w:pP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p w:rsidR="002301FE" w:rsidRDefault="002301FE"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lastRenderedPageBreak/>
        <w:t>ANEXO</w:t>
      </w:r>
    </w:p>
    <w:p w:rsidR="002A7E68" w:rsidRDefault="002A7E68" w:rsidP="004C33BE">
      <w:pPr>
        <w:ind w:left="0"/>
        <w:rPr>
          <w:rFonts w:ascii="Bookman Old Style" w:hAnsi="Bookman Old Style"/>
          <w:b/>
          <w:lang w:val="es-CO"/>
        </w:rPr>
      </w:pPr>
    </w:p>
    <w:p w:rsidR="001640E6" w:rsidRDefault="001640E6" w:rsidP="004C33BE">
      <w:pPr>
        <w:ind w:left="0"/>
        <w:rPr>
          <w:rFonts w:ascii="Bookman Old Style" w:hAnsi="Bookman Old Style"/>
          <w:b/>
          <w:lang w:val="es-CO"/>
        </w:rPr>
      </w:pPr>
    </w:p>
    <w:p w:rsidR="0036749E" w:rsidRDefault="0036749E" w:rsidP="004C33BE">
      <w:pPr>
        <w:ind w:left="0"/>
        <w:rPr>
          <w:rFonts w:ascii="Bookman Old Style" w:hAnsi="Bookman Old Style"/>
          <w:b/>
          <w:lang w:val="es-CO"/>
        </w:rPr>
      </w:pPr>
      <w:r w:rsidRPr="0036749E">
        <w:rPr>
          <w:noProof/>
          <w:lang w:val="es-CO" w:eastAsia="es-CO"/>
        </w:rPr>
        <w:drawing>
          <wp:inline distT="0" distB="0" distL="0" distR="0" wp14:anchorId="1DCEFEC1" wp14:editId="290FF6D3">
            <wp:extent cx="5941060" cy="3891067"/>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3891067"/>
                    </a:xfrm>
                    <a:prstGeom prst="rect">
                      <a:avLst/>
                    </a:prstGeom>
                    <a:noFill/>
                    <a:ln>
                      <a:noFill/>
                    </a:ln>
                  </pic:spPr>
                </pic:pic>
              </a:graphicData>
            </a:graphic>
          </wp:inline>
        </w:drawing>
      </w:r>
    </w:p>
    <w:p w:rsidR="001640E6" w:rsidRDefault="001640E6" w:rsidP="001640E6">
      <w:pPr>
        <w:rPr>
          <w:rFonts w:ascii="Bookman Old Style" w:hAnsi="Bookman Old Style"/>
          <w:lang w:val="es-CO"/>
        </w:rPr>
      </w:pPr>
    </w:p>
    <w:p w:rsidR="002A7E68" w:rsidRDefault="002A7E68" w:rsidP="001640E6">
      <w:pPr>
        <w:rPr>
          <w:rFonts w:ascii="Bookman Old Style" w:hAnsi="Bookman Old Style"/>
          <w:lang w:val="es-CO"/>
        </w:rPr>
      </w:pPr>
    </w:p>
    <w:p w:rsidR="00FC7584" w:rsidRDefault="00FC7584" w:rsidP="001640E6">
      <w:pPr>
        <w:rPr>
          <w:rFonts w:ascii="Bookman Old Style" w:hAnsi="Bookman Old Style"/>
          <w:lang w:val="es-CO"/>
        </w:rPr>
      </w:pPr>
    </w:p>
    <w:p w:rsidR="00FC7584" w:rsidRDefault="00FC7584" w:rsidP="001640E6">
      <w:pPr>
        <w:rPr>
          <w:rFonts w:ascii="Bookman Old Style" w:hAnsi="Bookman Old Style"/>
          <w:lang w:val="es-CO"/>
        </w:rPr>
      </w:pPr>
    </w:p>
    <w:p w:rsidR="00FA28B4" w:rsidRDefault="00FA28B4" w:rsidP="001640E6">
      <w:pPr>
        <w:rPr>
          <w:rFonts w:ascii="Bookman Old Style" w:hAnsi="Bookman Old Style"/>
          <w:lang w:val="es-CO"/>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FC7584" w:rsidTr="00FF0E67">
        <w:trPr>
          <w:jc w:val="right"/>
        </w:trPr>
        <w:tc>
          <w:tcPr>
            <w:tcW w:w="4871" w:type="dxa"/>
            <w:hideMark/>
          </w:tcPr>
          <w:p w:rsidR="00FC7584" w:rsidRDefault="00FC7584" w:rsidP="00FF0E67">
            <w:pPr>
              <w:ind w:left="0"/>
              <w:rPr>
                <w:rFonts w:ascii="Bookman Old Style" w:hAnsi="Bookman Old Style" w:cs="Arial"/>
                <w:b/>
                <w:spacing w:val="-3"/>
                <w:lang w:val="es-ES_tradnl"/>
              </w:rPr>
            </w:pPr>
            <w:r>
              <w:rPr>
                <w:rFonts w:ascii="Bookman Old Style" w:hAnsi="Bookman Old Style" w:cs="Arial"/>
                <w:b/>
                <w:spacing w:val="-3"/>
              </w:rPr>
              <w:t xml:space="preserve">  MAURICIO CÁRDENAS SANTAMARÍA</w:t>
            </w:r>
          </w:p>
        </w:tc>
        <w:tc>
          <w:tcPr>
            <w:tcW w:w="4692" w:type="dxa"/>
            <w:hideMark/>
          </w:tcPr>
          <w:p w:rsidR="00FC7584" w:rsidRDefault="00FC7584" w:rsidP="00FF0E67">
            <w:pPr>
              <w:ind w:left="161" w:right="567"/>
              <w:jc w:val="right"/>
              <w:rPr>
                <w:rFonts w:ascii="Bookman Old Style" w:hAnsi="Bookman Old Style" w:cs="Arial"/>
                <w:b/>
                <w:spacing w:val="-3"/>
                <w:lang w:val="es-ES_tradnl"/>
              </w:rPr>
            </w:pPr>
            <w:r>
              <w:rPr>
                <w:rFonts w:ascii="Bookman Old Style" w:hAnsi="Bookman Old Style" w:cs="Arial"/>
                <w:b/>
                <w:spacing w:val="-3"/>
                <w:lang w:val="es-ES_tradnl"/>
              </w:rPr>
              <w:t>GERMÁN CASTRO FERREIRA</w:t>
            </w:r>
          </w:p>
        </w:tc>
      </w:tr>
      <w:tr w:rsidR="00FC7584" w:rsidTr="00FF0E67">
        <w:trPr>
          <w:jc w:val="right"/>
        </w:trPr>
        <w:tc>
          <w:tcPr>
            <w:tcW w:w="4871" w:type="dxa"/>
            <w:hideMark/>
          </w:tcPr>
          <w:p w:rsidR="00FC7584" w:rsidRDefault="00FC7584" w:rsidP="00FF0E67">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692" w:type="dxa"/>
            <w:hideMark/>
          </w:tcPr>
          <w:p w:rsidR="00FC7584" w:rsidRDefault="00FC7584" w:rsidP="00FF0E67">
            <w:pPr>
              <w:rPr>
                <w:rFonts w:ascii="Bookman Old Style" w:hAnsi="Bookman Old Style" w:cs="Arial"/>
                <w:spacing w:val="-3"/>
                <w:lang w:val="es-ES_tradnl"/>
              </w:rPr>
            </w:pPr>
            <w:r>
              <w:rPr>
                <w:rFonts w:ascii="Bookman Old Style" w:hAnsi="Bookman Old Style" w:cs="Arial"/>
                <w:spacing w:val="-3"/>
                <w:lang w:val="es-ES_tradnl"/>
              </w:rPr>
              <w:t xml:space="preserve">           Director Ejecutivo</w:t>
            </w:r>
          </w:p>
        </w:tc>
      </w:tr>
      <w:tr w:rsidR="00FC7584" w:rsidTr="00FF0E67">
        <w:trPr>
          <w:jc w:val="right"/>
        </w:trPr>
        <w:tc>
          <w:tcPr>
            <w:tcW w:w="4871" w:type="dxa"/>
            <w:hideMark/>
          </w:tcPr>
          <w:p w:rsidR="00FC7584" w:rsidRDefault="00FC7584" w:rsidP="00FF0E67">
            <w:pPr>
              <w:rPr>
                <w:rFonts w:ascii="Bookman Old Style" w:hAnsi="Bookman Old Style" w:cs="Arial"/>
                <w:spacing w:val="-3"/>
              </w:rPr>
            </w:pPr>
            <w:r>
              <w:rPr>
                <w:rFonts w:ascii="Bookman Old Style" w:hAnsi="Bookman Old Style" w:cs="Arial"/>
                <w:spacing w:val="-3"/>
              </w:rPr>
              <w:t xml:space="preserve">             Presidente</w:t>
            </w:r>
          </w:p>
        </w:tc>
        <w:tc>
          <w:tcPr>
            <w:tcW w:w="4692" w:type="dxa"/>
          </w:tcPr>
          <w:p w:rsidR="00FC7584" w:rsidRDefault="00FC7584" w:rsidP="00FF0E67">
            <w:pPr>
              <w:rPr>
                <w:rFonts w:ascii="Bookman Old Style" w:hAnsi="Bookman Old Style" w:cs="Arial"/>
                <w:spacing w:val="-3"/>
              </w:rPr>
            </w:pPr>
          </w:p>
        </w:tc>
      </w:tr>
    </w:tbl>
    <w:p w:rsidR="00FA28B4" w:rsidRDefault="00FA28B4"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995A1B" w:rsidRDefault="00995A1B" w:rsidP="001640E6">
      <w:pPr>
        <w:rPr>
          <w:rFonts w:ascii="Bookman Old Style" w:hAnsi="Bookman Old Style"/>
          <w:lang w:val="es-CO"/>
        </w:rPr>
      </w:pPr>
    </w:p>
    <w:p w:rsidR="00191AD7" w:rsidRDefault="00191AD7" w:rsidP="001640E6">
      <w:pPr>
        <w:rPr>
          <w:rFonts w:ascii="Bookman Old Style" w:hAnsi="Bookman Old Style"/>
          <w:lang w:val="es-CO"/>
        </w:rPr>
      </w:pPr>
    </w:p>
    <w:p w:rsidR="00191AD7" w:rsidRPr="001640E6" w:rsidRDefault="00191AD7" w:rsidP="001640E6">
      <w:pPr>
        <w:rPr>
          <w:rFonts w:ascii="Bookman Old Style" w:hAnsi="Bookman Old Style"/>
          <w:lang w:val="es-CO"/>
        </w:rPr>
      </w:pPr>
    </w:p>
    <w:sectPr w:rsidR="00191AD7" w:rsidRPr="001640E6"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07" w:rsidRDefault="00CD5F07">
      <w:r>
        <w:separator/>
      </w:r>
    </w:p>
  </w:endnote>
  <w:endnote w:type="continuationSeparator" w:id="0">
    <w:p w:rsidR="00CD5F07" w:rsidRDefault="00CD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07" w:rsidRDefault="00CD5F07">
      <w:r>
        <w:separator/>
      </w:r>
    </w:p>
  </w:footnote>
  <w:footnote w:type="continuationSeparator" w:id="0">
    <w:p w:rsidR="00CD5F07" w:rsidRDefault="00CD5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951F79">
    <w:pPr>
      <w:pStyle w:val="Ttulo1"/>
      <w:ind w:right="6"/>
      <w:jc w:val="left"/>
      <w:rPr>
        <w:rFonts w:ascii="Bookman Old Style" w:hAnsi="Bookman Old Style" w:cs="Arial"/>
        <w:b w:val="0"/>
        <w:sz w:val="22"/>
        <w:szCs w:val="22"/>
      </w:rPr>
    </w:pPr>
  </w:p>
  <w:p w:rsidR="00CD5F07" w:rsidRPr="00951F79" w:rsidRDefault="00CD5F0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4236B">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4236B">
      <w:fldChar w:fldCharType="begin"/>
    </w:r>
    <w:r w:rsidR="00F4236B">
      <w:instrText xml:space="preserve"> NUMPAGES  \* MERGEFORMAT </w:instrText>
    </w:r>
    <w:r w:rsidR="00F4236B">
      <w:fldChar w:fldCharType="separate"/>
    </w:r>
    <w:r w:rsidR="00F4236B" w:rsidRPr="00F4236B">
      <w:rPr>
        <w:rFonts w:ascii="Bookman Old Style" w:hAnsi="Bookman Old Style" w:cs="Arial"/>
        <w:b w:val="0"/>
        <w:noProof/>
        <w:sz w:val="22"/>
        <w:szCs w:val="22"/>
      </w:rPr>
      <w:t>5</w:t>
    </w:r>
    <w:r w:rsidR="00F4236B">
      <w:rPr>
        <w:rFonts w:ascii="Bookman Old Style" w:hAnsi="Bookman Old Style" w:cs="Arial"/>
        <w:b w:val="0"/>
        <w:noProof/>
        <w:sz w:val="22"/>
        <w:szCs w:val="22"/>
      </w:rPr>
      <w:fldChar w:fldCharType="end"/>
    </w:r>
  </w:p>
  <w:p w:rsidR="00CD5F07" w:rsidRDefault="00CD5F0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2E81AE3" wp14:editId="7D5C58D8">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CD5F07" w:rsidRPr="008C56A2" w:rsidRDefault="00CD5F07" w:rsidP="00E46432">
    <w:pPr>
      <w:ind w:left="0"/>
      <w:jc w:val="center"/>
      <w:rPr>
        <w:rFonts w:ascii="Bookman Old Style" w:hAnsi="Bookman Old Style"/>
        <w:sz w:val="22"/>
        <w:szCs w:val="22"/>
      </w:rPr>
    </w:pPr>
    <w:r w:rsidRPr="008C56A2">
      <w:rPr>
        <w:rFonts w:ascii="Bookman Old Style" w:hAnsi="Bookman Old Style"/>
        <w:sz w:val="22"/>
        <w:szCs w:val="22"/>
      </w:rPr>
      <w:t xml:space="preserve">Por la cual se convoca a una Subasta de Reconfiguración de Venta para el período 2012-2013 </w:t>
    </w:r>
  </w:p>
  <w:p w:rsidR="00CD5F07" w:rsidRPr="00045D3D" w:rsidRDefault="00CD5F07"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07" w:rsidRDefault="00CD5F0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CD5F07" w:rsidRDefault="00CD5F07">
    <w:pPr>
      <w:pStyle w:val="Encabezado"/>
      <w:jc w:val="center"/>
      <w:rPr>
        <w:rFonts w:ascii="Arial" w:hAnsi="Arial" w:cs="Arial"/>
        <w:spacing w:val="20"/>
        <w:sz w:val="20"/>
      </w:rPr>
    </w:pPr>
  </w:p>
  <w:p w:rsidR="00CD5F07" w:rsidRDefault="00CD5F0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240A000F"/>
    <w:lvl w:ilvl="0">
      <w:start w:val="1"/>
      <w:numFmt w:val="decimal"/>
      <w:lvlText w:val="%1."/>
      <w:lvlJc w:val="left"/>
      <w:pPr>
        <w:ind w:left="360" w:hanging="360"/>
      </w:p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8">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5">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3"/>
  </w:num>
  <w:num w:numId="4">
    <w:abstractNumId w:val="22"/>
  </w:num>
  <w:num w:numId="5">
    <w:abstractNumId w:val="27"/>
  </w:num>
  <w:num w:numId="6">
    <w:abstractNumId w:val="3"/>
  </w:num>
  <w:num w:numId="7">
    <w:abstractNumId w:val="9"/>
  </w:num>
  <w:num w:numId="8">
    <w:abstractNumId w:val="10"/>
  </w:num>
  <w:num w:numId="9">
    <w:abstractNumId w:val="24"/>
  </w:num>
  <w:num w:numId="10">
    <w:abstractNumId w:val="7"/>
  </w:num>
  <w:num w:numId="11">
    <w:abstractNumId w:val="12"/>
  </w:num>
  <w:num w:numId="12">
    <w:abstractNumId w:val="21"/>
  </w:num>
  <w:num w:numId="13">
    <w:abstractNumId w:val="19"/>
  </w:num>
  <w:num w:numId="14">
    <w:abstractNumId w:val="4"/>
  </w:num>
  <w:num w:numId="15">
    <w:abstractNumId w:val="16"/>
  </w:num>
  <w:num w:numId="16">
    <w:abstractNumId w:val="2"/>
  </w:num>
  <w:num w:numId="17">
    <w:abstractNumId w:val="5"/>
  </w:num>
  <w:num w:numId="18">
    <w:abstractNumId w:val="18"/>
  </w:num>
  <w:num w:numId="19">
    <w:abstractNumId w:val="14"/>
  </w:num>
  <w:num w:numId="20">
    <w:abstractNumId w:val="25"/>
  </w:num>
  <w:num w:numId="21">
    <w:abstractNumId w:val="13"/>
  </w:num>
  <w:num w:numId="22">
    <w:abstractNumId w:val="6"/>
  </w:num>
  <w:num w:numId="23">
    <w:abstractNumId w:val="15"/>
  </w:num>
  <w:num w:numId="24">
    <w:abstractNumId w:val="26"/>
  </w:num>
  <w:num w:numId="25">
    <w:abstractNumId w:val="8"/>
  </w:num>
  <w:num w:numId="26">
    <w:abstractNumId w:val="17"/>
  </w:num>
  <w:num w:numId="27">
    <w:abstractNumId w:val="1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5D3D"/>
    <w:rsid w:val="00053B50"/>
    <w:rsid w:val="00056D36"/>
    <w:rsid w:val="000577EC"/>
    <w:rsid w:val="00060CB0"/>
    <w:rsid w:val="00063657"/>
    <w:rsid w:val="0006410B"/>
    <w:rsid w:val="000706E3"/>
    <w:rsid w:val="00076680"/>
    <w:rsid w:val="00076A1D"/>
    <w:rsid w:val="0008073E"/>
    <w:rsid w:val="00087C09"/>
    <w:rsid w:val="0009093A"/>
    <w:rsid w:val="00091CDB"/>
    <w:rsid w:val="000931F8"/>
    <w:rsid w:val="00094C28"/>
    <w:rsid w:val="00096FE2"/>
    <w:rsid w:val="00097331"/>
    <w:rsid w:val="000A0268"/>
    <w:rsid w:val="000A0B7F"/>
    <w:rsid w:val="000A19AC"/>
    <w:rsid w:val="000A5DC5"/>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87C"/>
    <w:rsid w:val="0010144E"/>
    <w:rsid w:val="0011058F"/>
    <w:rsid w:val="00112A91"/>
    <w:rsid w:val="00125C5D"/>
    <w:rsid w:val="001317DA"/>
    <w:rsid w:val="0013526C"/>
    <w:rsid w:val="001405C6"/>
    <w:rsid w:val="00141013"/>
    <w:rsid w:val="00162E66"/>
    <w:rsid w:val="001640E6"/>
    <w:rsid w:val="00174A24"/>
    <w:rsid w:val="00182A27"/>
    <w:rsid w:val="00185A78"/>
    <w:rsid w:val="001866F9"/>
    <w:rsid w:val="00191AD7"/>
    <w:rsid w:val="00192CBF"/>
    <w:rsid w:val="00192FF1"/>
    <w:rsid w:val="001A5F1B"/>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BF8"/>
    <w:rsid w:val="001F1BA7"/>
    <w:rsid w:val="00202498"/>
    <w:rsid w:val="002043B4"/>
    <w:rsid w:val="00205DDC"/>
    <w:rsid w:val="00205EC3"/>
    <w:rsid w:val="002064D8"/>
    <w:rsid w:val="00207B62"/>
    <w:rsid w:val="00210DC1"/>
    <w:rsid w:val="00211D34"/>
    <w:rsid w:val="00214F04"/>
    <w:rsid w:val="0022170F"/>
    <w:rsid w:val="00226BE9"/>
    <w:rsid w:val="002301FE"/>
    <w:rsid w:val="0023044C"/>
    <w:rsid w:val="00230FBA"/>
    <w:rsid w:val="00231BFA"/>
    <w:rsid w:val="00240E51"/>
    <w:rsid w:val="0024138E"/>
    <w:rsid w:val="00251033"/>
    <w:rsid w:val="002556A6"/>
    <w:rsid w:val="00262413"/>
    <w:rsid w:val="00264F30"/>
    <w:rsid w:val="00266CD6"/>
    <w:rsid w:val="00272F3D"/>
    <w:rsid w:val="00275DAB"/>
    <w:rsid w:val="00283C59"/>
    <w:rsid w:val="002A22B6"/>
    <w:rsid w:val="002A2AB3"/>
    <w:rsid w:val="002A326B"/>
    <w:rsid w:val="002A3CD9"/>
    <w:rsid w:val="002A6428"/>
    <w:rsid w:val="002A782A"/>
    <w:rsid w:val="002A7E68"/>
    <w:rsid w:val="002B11E2"/>
    <w:rsid w:val="002B24B8"/>
    <w:rsid w:val="002B5912"/>
    <w:rsid w:val="002C30E0"/>
    <w:rsid w:val="002C31A9"/>
    <w:rsid w:val="002C6239"/>
    <w:rsid w:val="002D3A8E"/>
    <w:rsid w:val="002D3AE9"/>
    <w:rsid w:val="002D4510"/>
    <w:rsid w:val="002D6BD5"/>
    <w:rsid w:val="002D723C"/>
    <w:rsid w:val="002E0C73"/>
    <w:rsid w:val="002E5A6A"/>
    <w:rsid w:val="002F0734"/>
    <w:rsid w:val="002F1D14"/>
    <w:rsid w:val="002F46E7"/>
    <w:rsid w:val="002F471C"/>
    <w:rsid w:val="002F6CF1"/>
    <w:rsid w:val="00301E31"/>
    <w:rsid w:val="00302176"/>
    <w:rsid w:val="003057F3"/>
    <w:rsid w:val="00306523"/>
    <w:rsid w:val="003101DA"/>
    <w:rsid w:val="00314757"/>
    <w:rsid w:val="00314837"/>
    <w:rsid w:val="003163BC"/>
    <w:rsid w:val="003211CE"/>
    <w:rsid w:val="0032789E"/>
    <w:rsid w:val="00330A28"/>
    <w:rsid w:val="00331C7F"/>
    <w:rsid w:val="0034073A"/>
    <w:rsid w:val="00344373"/>
    <w:rsid w:val="00345679"/>
    <w:rsid w:val="0035403A"/>
    <w:rsid w:val="0036394B"/>
    <w:rsid w:val="00366DB6"/>
    <w:rsid w:val="0036749E"/>
    <w:rsid w:val="003709B5"/>
    <w:rsid w:val="00371889"/>
    <w:rsid w:val="003759C2"/>
    <w:rsid w:val="0039319D"/>
    <w:rsid w:val="00397365"/>
    <w:rsid w:val="003A250F"/>
    <w:rsid w:val="003A31F6"/>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126E8"/>
    <w:rsid w:val="00412BC0"/>
    <w:rsid w:val="004140B9"/>
    <w:rsid w:val="0041473D"/>
    <w:rsid w:val="00415BAB"/>
    <w:rsid w:val="00415ED2"/>
    <w:rsid w:val="0042068C"/>
    <w:rsid w:val="00422314"/>
    <w:rsid w:val="00423B5E"/>
    <w:rsid w:val="00424BF4"/>
    <w:rsid w:val="00425617"/>
    <w:rsid w:val="00433CCA"/>
    <w:rsid w:val="004412D3"/>
    <w:rsid w:val="0044318E"/>
    <w:rsid w:val="00443B35"/>
    <w:rsid w:val="00447509"/>
    <w:rsid w:val="00471070"/>
    <w:rsid w:val="0047122B"/>
    <w:rsid w:val="00473B7A"/>
    <w:rsid w:val="004756AE"/>
    <w:rsid w:val="00495466"/>
    <w:rsid w:val="00495D61"/>
    <w:rsid w:val="004960E9"/>
    <w:rsid w:val="004968BF"/>
    <w:rsid w:val="00497047"/>
    <w:rsid w:val="004A2E88"/>
    <w:rsid w:val="004A5305"/>
    <w:rsid w:val="004A7930"/>
    <w:rsid w:val="004B082F"/>
    <w:rsid w:val="004B1081"/>
    <w:rsid w:val="004B2A6F"/>
    <w:rsid w:val="004B517C"/>
    <w:rsid w:val="004B67F7"/>
    <w:rsid w:val="004C1248"/>
    <w:rsid w:val="004C1DE8"/>
    <w:rsid w:val="004C33BE"/>
    <w:rsid w:val="004C3733"/>
    <w:rsid w:val="004D7634"/>
    <w:rsid w:val="004D7AAC"/>
    <w:rsid w:val="004E22D9"/>
    <w:rsid w:val="004E361F"/>
    <w:rsid w:val="004E4630"/>
    <w:rsid w:val="004E5334"/>
    <w:rsid w:val="004E611A"/>
    <w:rsid w:val="004F1673"/>
    <w:rsid w:val="004F3640"/>
    <w:rsid w:val="004F39AF"/>
    <w:rsid w:val="005029F7"/>
    <w:rsid w:val="00502BA6"/>
    <w:rsid w:val="00504ADC"/>
    <w:rsid w:val="00506327"/>
    <w:rsid w:val="00507134"/>
    <w:rsid w:val="0051695A"/>
    <w:rsid w:val="00522C8E"/>
    <w:rsid w:val="00524932"/>
    <w:rsid w:val="00524F2E"/>
    <w:rsid w:val="00525579"/>
    <w:rsid w:val="005300D3"/>
    <w:rsid w:val="00535967"/>
    <w:rsid w:val="00537E6C"/>
    <w:rsid w:val="00541254"/>
    <w:rsid w:val="00543CB7"/>
    <w:rsid w:val="00544F82"/>
    <w:rsid w:val="00546A11"/>
    <w:rsid w:val="005509D2"/>
    <w:rsid w:val="0055152C"/>
    <w:rsid w:val="00551CA0"/>
    <w:rsid w:val="005576BC"/>
    <w:rsid w:val="005701E8"/>
    <w:rsid w:val="00580106"/>
    <w:rsid w:val="00582F38"/>
    <w:rsid w:val="00586025"/>
    <w:rsid w:val="005920DF"/>
    <w:rsid w:val="00593190"/>
    <w:rsid w:val="00593C4F"/>
    <w:rsid w:val="005946A8"/>
    <w:rsid w:val="005A2B4D"/>
    <w:rsid w:val="005A4407"/>
    <w:rsid w:val="005A59EF"/>
    <w:rsid w:val="005A7FBC"/>
    <w:rsid w:val="005B1C7E"/>
    <w:rsid w:val="005C3F2A"/>
    <w:rsid w:val="005C6976"/>
    <w:rsid w:val="005C6EAC"/>
    <w:rsid w:val="005E17F4"/>
    <w:rsid w:val="005E2A46"/>
    <w:rsid w:val="005F6F41"/>
    <w:rsid w:val="00611A0B"/>
    <w:rsid w:val="006141A4"/>
    <w:rsid w:val="00614D01"/>
    <w:rsid w:val="00625DC6"/>
    <w:rsid w:val="00633E7A"/>
    <w:rsid w:val="00636B5E"/>
    <w:rsid w:val="00640382"/>
    <w:rsid w:val="0064391D"/>
    <w:rsid w:val="00651821"/>
    <w:rsid w:val="00654384"/>
    <w:rsid w:val="00661E64"/>
    <w:rsid w:val="0066698F"/>
    <w:rsid w:val="006675CD"/>
    <w:rsid w:val="0066789E"/>
    <w:rsid w:val="0067206E"/>
    <w:rsid w:val="00676709"/>
    <w:rsid w:val="00680722"/>
    <w:rsid w:val="00684D9B"/>
    <w:rsid w:val="0068510A"/>
    <w:rsid w:val="006940C6"/>
    <w:rsid w:val="00694D7C"/>
    <w:rsid w:val="00696155"/>
    <w:rsid w:val="00697556"/>
    <w:rsid w:val="006978D7"/>
    <w:rsid w:val="006A57CA"/>
    <w:rsid w:val="006A629B"/>
    <w:rsid w:val="006B4647"/>
    <w:rsid w:val="006B4C2B"/>
    <w:rsid w:val="006B50AF"/>
    <w:rsid w:val="006B5F53"/>
    <w:rsid w:val="006B6194"/>
    <w:rsid w:val="006B6D47"/>
    <w:rsid w:val="006C145F"/>
    <w:rsid w:val="006C1EDD"/>
    <w:rsid w:val="006C5AFE"/>
    <w:rsid w:val="006C6C91"/>
    <w:rsid w:val="006C76B0"/>
    <w:rsid w:val="006D33A1"/>
    <w:rsid w:val="006E1564"/>
    <w:rsid w:val="006E4859"/>
    <w:rsid w:val="006F05C5"/>
    <w:rsid w:val="006F22B5"/>
    <w:rsid w:val="006F6D95"/>
    <w:rsid w:val="00704093"/>
    <w:rsid w:val="0070527B"/>
    <w:rsid w:val="00706F13"/>
    <w:rsid w:val="007072E8"/>
    <w:rsid w:val="007124F3"/>
    <w:rsid w:val="00713D6C"/>
    <w:rsid w:val="007142E0"/>
    <w:rsid w:val="0071618D"/>
    <w:rsid w:val="00725FA4"/>
    <w:rsid w:val="007343EA"/>
    <w:rsid w:val="0073555D"/>
    <w:rsid w:val="0073712A"/>
    <w:rsid w:val="00737EE1"/>
    <w:rsid w:val="00737F10"/>
    <w:rsid w:val="00740446"/>
    <w:rsid w:val="00742B65"/>
    <w:rsid w:val="007438A9"/>
    <w:rsid w:val="0074491E"/>
    <w:rsid w:val="0076247A"/>
    <w:rsid w:val="00765AF4"/>
    <w:rsid w:val="0076768F"/>
    <w:rsid w:val="00771817"/>
    <w:rsid w:val="00775964"/>
    <w:rsid w:val="007765FE"/>
    <w:rsid w:val="00785DCD"/>
    <w:rsid w:val="00792978"/>
    <w:rsid w:val="00794E2E"/>
    <w:rsid w:val="00795BFB"/>
    <w:rsid w:val="0079603D"/>
    <w:rsid w:val="007B2756"/>
    <w:rsid w:val="007B2760"/>
    <w:rsid w:val="007B5922"/>
    <w:rsid w:val="007B616A"/>
    <w:rsid w:val="007C1157"/>
    <w:rsid w:val="007C652E"/>
    <w:rsid w:val="007C6982"/>
    <w:rsid w:val="007D0057"/>
    <w:rsid w:val="007E1530"/>
    <w:rsid w:val="007E5749"/>
    <w:rsid w:val="007E60EC"/>
    <w:rsid w:val="007F0A17"/>
    <w:rsid w:val="007F7175"/>
    <w:rsid w:val="00801BF8"/>
    <w:rsid w:val="00805E3F"/>
    <w:rsid w:val="008066F0"/>
    <w:rsid w:val="00806C01"/>
    <w:rsid w:val="00812DCC"/>
    <w:rsid w:val="008148CC"/>
    <w:rsid w:val="0081575C"/>
    <w:rsid w:val="008211A4"/>
    <w:rsid w:val="008277AE"/>
    <w:rsid w:val="00834DC9"/>
    <w:rsid w:val="00845EFB"/>
    <w:rsid w:val="00854351"/>
    <w:rsid w:val="00855F3F"/>
    <w:rsid w:val="00872A77"/>
    <w:rsid w:val="00873150"/>
    <w:rsid w:val="00875920"/>
    <w:rsid w:val="0087657D"/>
    <w:rsid w:val="00876CA9"/>
    <w:rsid w:val="008807D5"/>
    <w:rsid w:val="00880832"/>
    <w:rsid w:val="0088328A"/>
    <w:rsid w:val="00883AFD"/>
    <w:rsid w:val="00886EE1"/>
    <w:rsid w:val="0088727D"/>
    <w:rsid w:val="008925C9"/>
    <w:rsid w:val="008954C9"/>
    <w:rsid w:val="00897C75"/>
    <w:rsid w:val="008A645A"/>
    <w:rsid w:val="008A64E3"/>
    <w:rsid w:val="008A6CC8"/>
    <w:rsid w:val="008B194E"/>
    <w:rsid w:val="008B573C"/>
    <w:rsid w:val="008C1130"/>
    <w:rsid w:val="008C56A2"/>
    <w:rsid w:val="008D0E4E"/>
    <w:rsid w:val="008D18E6"/>
    <w:rsid w:val="008D2FF2"/>
    <w:rsid w:val="008D502B"/>
    <w:rsid w:val="008D7A9B"/>
    <w:rsid w:val="008E0060"/>
    <w:rsid w:val="008E3EFF"/>
    <w:rsid w:val="008E7091"/>
    <w:rsid w:val="008E76AC"/>
    <w:rsid w:val="008F21F6"/>
    <w:rsid w:val="008F2B56"/>
    <w:rsid w:val="00905646"/>
    <w:rsid w:val="00905CA9"/>
    <w:rsid w:val="00905CFA"/>
    <w:rsid w:val="00906440"/>
    <w:rsid w:val="00910DEB"/>
    <w:rsid w:val="00913ADF"/>
    <w:rsid w:val="00913DC8"/>
    <w:rsid w:val="00922962"/>
    <w:rsid w:val="00935660"/>
    <w:rsid w:val="00946544"/>
    <w:rsid w:val="00946A97"/>
    <w:rsid w:val="009503E6"/>
    <w:rsid w:val="0095126F"/>
    <w:rsid w:val="00951F79"/>
    <w:rsid w:val="00952614"/>
    <w:rsid w:val="009625F2"/>
    <w:rsid w:val="00963DA8"/>
    <w:rsid w:val="00964F16"/>
    <w:rsid w:val="00974AB5"/>
    <w:rsid w:val="00975314"/>
    <w:rsid w:val="0097632B"/>
    <w:rsid w:val="00980FED"/>
    <w:rsid w:val="00981C84"/>
    <w:rsid w:val="00982465"/>
    <w:rsid w:val="009841D5"/>
    <w:rsid w:val="0098706D"/>
    <w:rsid w:val="00992A19"/>
    <w:rsid w:val="009935FB"/>
    <w:rsid w:val="00995A1B"/>
    <w:rsid w:val="009A2368"/>
    <w:rsid w:val="009A7B7F"/>
    <w:rsid w:val="009B09AF"/>
    <w:rsid w:val="009B27A6"/>
    <w:rsid w:val="009C3BEE"/>
    <w:rsid w:val="009D2BC7"/>
    <w:rsid w:val="009E7022"/>
    <w:rsid w:val="009F1672"/>
    <w:rsid w:val="009F2FD4"/>
    <w:rsid w:val="009F4A54"/>
    <w:rsid w:val="009F4BEC"/>
    <w:rsid w:val="009F5874"/>
    <w:rsid w:val="009F6F54"/>
    <w:rsid w:val="00A00382"/>
    <w:rsid w:val="00A165DC"/>
    <w:rsid w:val="00A25FD7"/>
    <w:rsid w:val="00A26CC4"/>
    <w:rsid w:val="00A278E9"/>
    <w:rsid w:val="00A310EC"/>
    <w:rsid w:val="00A43AFF"/>
    <w:rsid w:val="00A43CA4"/>
    <w:rsid w:val="00A44B63"/>
    <w:rsid w:val="00A46AC7"/>
    <w:rsid w:val="00A60C08"/>
    <w:rsid w:val="00A755E7"/>
    <w:rsid w:val="00A75B79"/>
    <w:rsid w:val="00A7793A"/>
    <w:rsid w:val="00A918E9"/>
    <w:rsid w:val="00A923AA"/>
    <w:rsid w:val="00A93BB1"/>
    <w:rsid w:val="00AA34DE"/>
    <w:rsid w:val="00AA4CC7"/>
    <w:rsid w:val="00AA5E8E"/>
    <w:rsid w:val="00AA63BE"/>
    <w:rsid w:val="00AB2C5F"/>
    <w:rsid w:val="00AB6CA7"/>
    <w:rsid w:val="00AD01E4"/>
    <w:rsid w:val="00AD0858"/>
    <w:rsid w:val="00AD0BD2"/>
    <w:rsid w:val="00AD4B14"/>
    <w:rsid w:val="00AE1881"/>
    <w:rsid w:val="00AE2BC9"/>
    <w:rsid w:val="00AE7340"/>
    <w:rsid w:val="00AF0BCC"/>
    <w:rsid w:val="00AF1BBD"/>
    <w:rsid w:val="00AF221E"/>
    <w:rsid w:val="00AF2491"/>
    <w:rsid w:val="00AF2EDE"/>
    <w:rsid w:val="00B004BE"/>
    <w:rsid w:val="00B01240"/>
    <w:rsid w:val="00B01CD6"/>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7C4B"/>
    <w:rsid w:val="00BB02A5"/>
    <w:rsid w:val="00BB1822"/>
    <w:rsid w:val="00BB6211"/>
    <w:rsid w:val="00BC38FD"/>
    <w:rsid w:val="00BC4506"/>
    <w:rsid w:val="00BC4C75"/>
    <w:rsid w:val="00BC5C7E"/>
    <w:rsid w:val="00BC7A94"/>
    <w:rsid w:val="00BC7E5B"/>
    <w:rsid w:val="00BE4720"/>
    <w:rsid w:val="00BF5B71"/>
    <w:rsid w:val="00C034CB"/>
    <w:rsid w:val="00C050A4"/>
    <w:rsid w:val="00C051A8"/>
    <w:rsid w:val="00C054BC"/>
    <w:rsid w:val="00C0581F"/>
    <w:rsid w:val="00C100E9"/>
    <w:rsid w:val="00C10BF5"/>
    <w:rsid w:val="00C14A4F"/>
    <w:rsid w:val="00C165F2"/>
    <w:rsid w:val="00C16EF4"/>
    <w:rsid w:val="00C17897"/>
    <w:rsid w:val="00C2797E"/>
    <w:rsid w:val="00C409D5"/>
    <w:rsid w:val="00C4282F"/>
    <w:rsid w:val="00C429E2"/>
    <w:rsid w:val="00C435C3"/>
    <w:rsid w:val="00C45836"/>
    <w:rsid w:val="00C462FD"/>
    <w:rsid w:val="00C502C0"/>
    <w:rsid w:val="00C5095A"/>
    <w:rsid w:val="00C51B82"/>
    <w:rsid w:val="00C527FD"/>
    <w:rsid w:val="00C6234B"/>
    <w:rsid w:val="00C63EAE"/>
    <w:rsid w:val="00C73260"/>
    <w:rsid w:val="00C7629F"/>
    <w:rsid w:val="00C8049D"/>
    <w:rsid w:val="00C8661B"/>
    <w:rsid w:val="00C87143"/>
    <w:rsid w:val="00C9105E"/>
    <w:rsid w:val="00C91212"/>
    <w:rsid w:val="00C9746F"/>
    <w:rsid w:val="00CA139A"/>
    <w:rsid w:val="00CA2899"/>
    <w:rsid w:val="00CA3A3D"/>
    <w:rsid w:val="00CA642F"/>
    <w:rsid w:val="00CA77FB"/>
    <w:rsid w:val="00CB16DA"/>
    <w:rsid w:val="00CB379B"/>
    <w:rsid w:val="00CB5DD0"/>
    <w:rsid w:val="00CC0D34"/>
    <w:rsid w:val="00CC239F"/>
    <w:rsid w:val="00CC36C0"/>
    <w:rsid w:val="00CC4ED2"/>
    <w:rsid w:val="00CC51D4"/>
    <w:rsid w:val="00CC5F73"/>
    <w:rsid w:val="00CC65DA"/>
    <w:rsid w:val="00CD5E2B"/>
    <w:rsid w:val="00CD5F07"/>
    <w:rsid w:val="00CD713C"/>
    <w:rsid w:val="00CE00F2"/>
    <w:rsid w:val="00CF0D18"/>
    <w:rsid w:val="00CF21B9"/>
    <w:rsid w:val="00CF39E4"/>
    <w:rsid w:val="00CF6BF9"/>
    <w:rsid w:val="00D03800"/>
    <w:rsid w:val="00D065D3"/>
    <w:rsid w:val="00D14C94"/>
    <w:rsid w:val="00D22290"/>
    <w:rsid w:val="00D22776"/>
    <w:rsid w:val="00D23890"/>
    <w:rsid w:val="00D275D7"/>
    <w:rsid w:val="00D3164A"/>
    <w:rsid w:val="00D318DC"/>
    <w:rsid w:val="00D321BF"/>
    <w:rsid w:val="00D342A6"/>
    <w:rsid w:val="00D3463A"/>
    <w:rsid w:val="00D35E58"/>
    <w:rsid w:val="00D365E8"/>
    <w:rsid w:val="00D36D1A"/>
    <w:rsid w:val="00D40BEF"/>
    <w:rsid w:val="00D45CA6"/>
    <w:rsid w:val="00D45DF6"/>
    <w:rsid w:val="00D464BF"/>
    <w:rsid w:val="00D53201"/>
    <w:rsid w:val="00D53E26"/>
    <w:rsid w:val="00D56709"/>
    <w:rsid w:val="00D60BE4"/>
    <w:rsid w:val="00D66E45"/>
    <w:rsid w:val="00D73472"/>
    <w:rsid w:val="00D73BCE"/>
    <w:rsid w:val="00D80DDD"/>
    <w:rsid w:val="00D8712E"/>
    <w:rsid w:val="00D967A6"/>
    <w:rsid w:val="00DA3E0B"/>
    <w:rsid w:val="00DA3F77"/>
    <w:rsid w:val="00DB44E6"/>
    <w:rsid w:val="00DC2DC9"/>
    <w:rsid w:val="00DC4F83"/>
    <w:rsid w:val="00DC5BAA"/>
    <w:rsid w:val="00DD4F0E"/>
    <w:rsid w:val="00DE65E0"/>
    <w:rsid w:val="00DF0BF0"/>
    <w:rsid w:val="00DF3CA2"/>
    <w:rsid w:val="00DF3E56"/>
    <w:rsid w:val="00DF6D85"/>
    <w:rsid w:val="00E01463"/>
    <w:rsid w:val="00E0316A"/>
    <w:rsid w:val="00E05E0A"/>
    <w:rsid w:val="00E060BE"/>
    <w:rsid w:val="00E06AEF"/>
    <w:rsid w:val="00E10794"/>
    <w:rsid w:val="00E130FE"/>
    <w:rsid w:val="00E159AB"/>
    <w:rsid w:val="00E15B9C"/>
    <w:rsid w:val="00E23B97"/>
    <w:rsid w:val="00E449B9"/>
    <w:rsid w:val="00E46432"/>
    <w:rsid w:val="00E46BB3"/>
    <w:rsid w:val="00E52189"/>
    <w:rsid w:val="00E52279"/>
    <w:rsid w:val="00E534CF"/>
    <w:rsid w:val="00E53D0C"/>
    <w:rsid w:val="00E60C09"/>
    <w:rsid w:val="00E61367"/>
    <w:rsid w:val="00E61576"/>
    <w:rsid w:val="00E63388"/>
    <w:rsid w:val="00E76D75"/>
    <w:rsid w:val="00E81CB4"/>
    <w:rsid w:val="00E8585B"/>
    <w:rsid w:val="00E85F95"/>
    <w:rsid w:val="00E86F6A"/>
    <w:rsid w:val="00E920F7"/>
    <w:rsid w:val="00E93137"/>
    <w:rsid w:val="00E943AE"/>
    <w:rsid w:val="00E95942"/>
    <w:rsid w:val="00E971C6"/>
    <w:rsid w:val="00E97940"/>
    <w:rsid w:val="00EA142B"/>
    <w:rsid w:val="00EA24A6"/>
    <w:rsid w:val="00EA3F15"/>
    <w:rsid w:val="00EA472E"/>
    <w:rsid w:val="00EA67AE"/>
    <w:rsid w:val="00EA7847"/>
    <w:rsid w:val="00EB1590"/>
    <w:rsid w:val="00EB4C2F"/>
    <w:rsid w:val="00EB72BA"/>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16A3"/>
    <w:rsid w:val="00F6430F"/>
    <w:rsid w:val="00F67D3A"/>
    <w:rsid w:val="00F71CDA"/>
    <w:rsid w:val="00F76A7C"/>
    <w:rsid w:val="00F77FDF"/>
    <w:rsid w:val="00F80FD4"/>
    <w:rsid w:val="00F821A3"/>
    <w:rsid w:val="00F83667"/>
    <w:rsid w:val="00F90E62"/>
    <w:rsid w:val="00F9314A"/>
    <w:rsid w:val="00F93D24"/>
    <w:rsid w:val="00F940B2"/>
    <w:rsid w:val="00FA1BB9"/>
    <w:rsid w:val="00FA1C49"/>
    <w:rsid w:val="00FA28B4"/>
    <w:rsid w:val="00FA2B45"/>
    <w:rsid w:val="00FA4E1D"/>
    <w:rsid w:val="00FB4010"/>
    <w:rsid w:val="00FC4907"/>
    <w:rsid w:val="00FC58EF"/>
    <w:rsid w:val="00FC7584"/>
    <w:rsid w:val="00FD2694"/>
    <w:rsid w:val="00FD2EE5"/>
    <w:rsid w:val="00FD33DF"/>
    <w:rsid w:val="00FE39D7"/>
    <w:rsid w:val="00FF3D49"/>
    <w:rsid w:val="00FF5D55"/>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E6E7D-288A-4248-8691-355F4447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2012-06-08T14:11:00Z</cp:lastPrinted>
  <dcterms:created xsi:type="dcterms:W3CDTF">2012-06-08T16:34:00Z</dcterms:created>
  <dcterms:modified xsi:type="dcterms:W3CDTF">2012-06-08T16:34:00Z</dcterms:modified>
</cp:coreProperties>
</file>