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36CE0" w14:textId="77777777" w:rsidR="005C1BCA" w:rsidRPr="005C1BCA" w:rsidRDefault="00E40887" w:rsidP="00AC037D">
      <w:pPr>
        <w:keepNext/>
        <w:tabs>
          <w:tab w:val="left" w:pos="0"/>
          <w:tab w:val="right" w:pos="9356"/>
        </w:tabs>
        <w:spacing w:after="0" w:line="240" w:lineRule="auto"/>
        <w:ind w:left="9356" w:right="-1" w:hanging="9356"/>
        <w:contextualSpacing/>
        <w:jc w:val="center"/>
        <w:outlineLvl w:val="3"/>
        <w:rPr>
          <w:rFonts w:ascii="Bookman Old Style" w:eastAsia="Times New Roman" w:hAnsi="Bookman Old Style" w:cs="Arial"/>
          <w:bCs/>
          <w:noProof/>
          <w:snapToGrid w:val="0"/>
          <w:color w:val="000000"/>
          <w:spacing w:val="20"/>
          <w:sz w:val="24"/>
          <w:szCs w:val="24"/>
          <w:lang w:val="es-ES" w:eastAsia="es-ES"/>
        </w:rPr>
      </w:pPr>
      <w:bookmarkStart w:id="0" w:name="_GoBack"/>
      <w:bookmarkEnd w:id="0"/>
      <w:r>
        <w:rPr>
          <w:rFonts w:ascii="Bookman Old Style" w:eastAsia="Times New Roman" w:hAnsi="Bookman Old Style" w:cs="Arial"/>
          <w:bCs/>
          <w:noProof/>
          <w:color w:val="000000"/>
          <w:spacing w:val="20"/>
          <w:sz w:val="24"/>
          <w:szCs w:val="24"/>
          <w:lang w:eastAsia="es-CO"/>
        </w:rPr>
        <w:object w:dxaOrig="1440" w:dyaOrig="1440" w14:anchorId="75826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660633126" r:id="rId9"/>
        </w:object>
      </w:r>
      <w:r w:rsidR="005C1BCA" w:rsidRPr="005C1BCA">
        <w:rPr>
          <w:rFonts w:ascii="Bookman Old Style" w:eastAsia="Times New Roman" w:hAnsi="Bookman Old Style" w:cs="Arial"/>
          <w:bCs/>
          <w:snapToGrid w:val="0"/>
          <w:color w:val="000000"/>
          <w:spacing w:val="20"/>
          <w:sz w:val="24"/>
          <w:szCs w:val="24"/>
          <w:lang w:val="es-ES_tradnl" w:eastAsia="es-ES"/>
        </w:rPr>
        <w:t>Ministerio de Minas y Energía</w:t>
      </w:r>
    </w:p>
    <w:p w14:paraId="2E34AD5C" w14:textId="77777777" w:rsidR="005C1BCA" w:rsidRPr="001E04A9" w:rsidRDefault="005C1BCA" w:rsidP="00AC037D">
      <w:pPr>
        <w:pStyle w:val="Ttulo5"/>
        <w:ind w:right="-1"/>
      </w:pPr>
    </w:p>
    <w:p w14:paraId="35EB700C" w14:textId="77777777" w:rsidR="005C1BCA" w:rsidRPr="005C1BCA" w:rsidRDefault="005C1BCA" w:rsidP="00AC037D">
      <w:pPr>
        <w:keepNext/>
        <w:tabs>
          <w:tab w:val="left" w:pos="0"/>
          <w:tab w:val="right" w:pos="9356"/>
        </w:tabs>
        <w:spacing w:after="0" w:line="240" w:lineRule="auto"/>
        <w:ind w:right="-1"/>
        <w:contextualSpacing/>
        <w:jc w:val="center"/>
        <w:outlineLvl w:val="2"/>
        <w:rPr>
          <w:rFonts w:ascii="Bookman Old Style" w:eastAsia="Times New Roman" w:hAnsi="Bookman Old Style" w:cs="Arial"/>
          <w:b/>
          <w:snapToGrid w:val="0"/>
          <w:color w:val="000000"/>
          <w:spacing w:val="20"/>
          <w:sz w:val="24"/>
          <w:szCs w:val="24"/>
          <w:lang w:val="es-ES_tradnl" w:eastAsia="es-ES"/>
        </w:rPr>
      </w:pPr>
    </w:p>
    <w:p w14:paraId="24365D18" w14:textId="77777777" w:rsidR="005C1BCA" w:rsidRPr="005C1BCA" w:rsidRDefault="005C1BCA" w:rsidP="00AC037D">
      <w:pPr>
        <w:keepNext/>
        <w:tabs>
          <w:tab w:val="left" w:pos="0"/>
          <w:tab w:val="right" w:pos="9356"/>
        </w:tabs>
        <w:spacing w:after="0" w:line="240" w:lineRule="auto"/>
        <w:ind w:right="-1"/>
        <w:contextualSpacing/>
        <w:jc w:val="center"/>
        <w:outlineLvl w:val="2"/>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COMISIÓN DE REGULACIÓN DE ENERGÍA Y GAS</w:t>
      </w:r>
    </w:p>
    <w:p w14:paraId="549E284D" w14:textId="77777777" w:rsidR="005C1BCA" w:rsidRPr="005C1BCA" w:rsidRDefault="005C1BCA" w:rsidP="00AC037D">
      <w:pPr>
        <w:keepNext/>
        <w:tabs>
          <w:tab w:val="left" w:pos="0"/>
          <w:tab w:val="right" w:pos="9356"/>
        </w:tabs>
        <w:spacing w:after="0" w:line="240" w:lineRule="auto"/>
        <w:ind w:right="-1"/>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527CEFDB" w14:textId="77777777" w:rsidR="005C1BCA" w:rsidRPr="005C1BCA" w:rsidRDefault="005C1BCA" w:rsidP="00AC037D">
      <w:pPr>
        <w:keepNext/>
        <w:tabs>
          <w:tab w:val="left" w:pos="0"/>
          <w:tab w:val="right" w:pos="9356"/>
        </w:tabs>
        <w:spacing w:after="0" w:line="240" w:lineRule="auto"/>
        <w:ind w:right="-1"/>
        <w:contextualSpacing/>
        <w:jc w:val="center"/>
        <w:outlineLvl w:val="4"/>
        <w:rPr>
          <w:rFonts w:ascii="Bookman Old Style" w:eastAsia="Times New Roman" w:hAnsi="Bookman Old Style" w:cs="Arial"/>
          <w:b/>
          <w:snapToGrid w:val="0"/>
          <w:color w:val="000000"/>
          <w:spacing w:val="20"/>
          <w:sz w:val="24"/>
          <w:szCs w:val="24"/>
          <w:lang w:val="es-ES_tradnl" w:eastAsia="es-ES"/>
        </w:rPr>
      </w:pPr>
    </w:p>
    <w:p w14:paraId="1E0A9541" w14:textId="7F2ECCB4" w:rsidR="005C1BCA" w:rsidRPr="005C1BCA" w:rsidRDefault="005C1BCA" w:rsidP="00AC037D">
      <w:pPr>
        <w:keepNext/>
        <w:tabs>
          <w:tab w:val="left" w:pos="0"/>
          <w:tab w:val="right" w:pos="9356"/>
        </w:tabs>
        <w:spacing w:after="0" w:line="240" w:lineRule="auto"/>
        <w:ind w:right="-1"/>
        <w:contextualSpacing/>
        <w:jc w:val="center"/>
        <w:outlineLvl w:val="4"/>
        <w:rPr>
          <w:rFonts w:ascii="Bookman Old Style" w:eastAsia="Times New Roman" w:hAnsi="Bookman Old Style" w:cs="Arial"/>
          <w:b/>
          <w:snapToGrid w:val="0"/>
          <w:color w:val="000000"/>
          <w:spacing w:val="20"/>
          <w:sz w:val="24"/>
          <w:szCs w:val="24"/>
          <w:lang w:val="es-ES_tradnl" w:eastAsia="es-ES"/>
        </w:rPr>
      </w:pPr>
      <w:r w:rsidRPr="005C1BCA">
        <w:rPr>
          <w:rFonts w:ascii="Bookman Old Style" w:eastAsia="Times New Roman" w:hAnsi="Bookman Old Style" w:cs="Arial"/>
          <w:b/>
          <w:snapToGrid w:val="0"/>
          <w:color w:val="000000"/>
          <w:spacing w:val="20"/>
          <w:sz w:val="24"/>
          <w:szCs w:val="24"/>
          <w:lang w:val="es-ES_tradnl" w:eastAsia="es-ES"/>
        </w:rPr>
        <w:t xml:space="preserve">RESOLUCIÓN No.    </w:t>
      </w:r>
      <w:r w:rsidR="009F716F" w:rsidRPr="009F716F">
        <w:rPr>
          <w:rFonts w:ascii="Bookman Old Style" w:eastAsia="Times New Roman" w:hAnsi="Bookman Old Style" w:cs="Arial"/>
          <w:b/>
          <w:snapToGrid w:val="0"/>
          <w:color w:val="000000"/>
          <w:spacing w:val="20"/>
          <w:sz w:val="32"/>
          <w:szCs w:val="32"/>
          <w:lang w:val="es-ES_tradnl" w:eastAsia="es-ES"/>
        </w:rPr>
        <w:t>111</w:t>
      </w:r>
      <w:r w:rsidRPr="005C1BCA">
        <w:rPr>
          <w:rFonts w:ascii="Bookman Old Style" w:eastAsia="Times New Roman" w:hAnsi="Bookman Old Style" w:cs="Arial"/>
          <w:b/>
          <w:snapToGrid w:val="0"/>
          <w:color w:val="000000"/>
          <w:spacing w:val="20"/>
          <w:sz w:val="24"/>
          <w:szCs w:val="24"/>
          <w:lang w:val="es-ES_tradnl" w:eastAsia="es-ES"/>
        </w:rPr>
        <w:t xml:space="preserve">   DE 20</w:t>
      </w:r>
      <w:r w:rsidR="009F716F">
        <w:rPr>
          <w:rFonts w:ascii="Bookman Old Style" w:eastAsia="Times New Roman" w:hAnsi="Bookman Old Style" w:cs="Arial"/>
          <w:b/>
          <w:snapToGrid w:val="0"/>
          <w:color w:val="000000"/>
          <w:spacing w:val="20"/>
          <w:sz w:val="24"/>
          <w:szCs w:val="24"/>
          <w:lang w:val="es-ES_tradnl" w:eastAsia="es-ES"/>
        </w:rPr>
        <w:t>20</w:t>
      </w:r>
    </w:p>
    <w:p w14:paraId="170C9949" w14:textId="77777777" w:rsidR="005C1BCA" w:rsidRPr="005C1BCA" w:rsidRDefault="005C1BCA" w:rsidP="00AC037D">
      <w:pPr>
        <w:tabs>
          <w:tab w:val="left" w:pos="0"/>
          <w:tab w:val="right" w:pos="9356"/>
        </w:tabs>
        <w:spacing w:after="0" w:line="240" w:lineRule="auto"/>
        <w:ind w:right="-1"/>
        <w:contextualSpacing/>
        <w:jc w:val="center"/>
        <w:rPr>
          <w:rFonts w:ascii="Bookman Old Style" w:eastAsia="Times New Roman" w:hAnsi="Bookman Old Style" w:cs="Arial"/>
          <w:b/>
          <w:snapToGrid w:val="0"/>
          <w:color w:val="000000"/>
          <w:sz w:val="24"/>
          <w:szCs w:val="24"/>
          <w:lang w:val="es-ES_tradnl" w:eastAsia="es-ES"/>
        </w:rPr>
      </w:pPr>
    </w:p>
    <w:p w14:paraId="5961419C" w14:textId="667F0C13" w:rsidR="005C1BCA" w:rsidRPr="005C1BCA" w:rsidRDefault="005C1BCA" w:rsidP="00AC037D">
      <w:pPr>
        <w:keepNext/>
        <w:tabs>
          <w:tab w:val="left" w:pos="0"/>
          <w:tab w:val="right" w:pos="9356"/>
        </w:tabs>
        <w:spacing w:after="0" w:line="240" w:lineRule="auto"/>
        <w:ind w:right="-1"/>
        <w:contextualSpacing/>
        <w:jc w:val="center"/>
        <w:outlineLvl w:val="2"/>
        <w:rPr>
          <w:rFonts w:ascii="Bookman Old Style" w:eastAsia="Times New Roman" w:hAnsi="Bookman Old Style" w:cs="Times New Roman"/>
          <w:snapToGrid w:val="0"/>
          <w:color w:val="000000"/>
          <w:sz w:val="24"/>
          <w:szCs w:val="24"/>
          <w:lang w:val="es-ES_tradnl" w:eastAsia="es-ES"/>
        </w:rPr>
      </w:pPr>
      <w:r w:rsidRPr="005C1BCA">
        <w:rPr>
          <w:rFonts w:ascii="Bookman Old Style" w:eastAsia="Times New Roman" w:hAnsi="Bookman Old Style" w:cs="Times New Roman"/>
          <w:snapToGrid w:val="0"/>
          <w:color w:val="000000"/>
          <w:sz w:val="24"/>
          <w:szCs w:val="24"/>
          <w:lang w:val="es-ES_tradnl" w:eastAsia="es-ES"/>
        </w:rPr>
        <w:t xml:space="preserve">(  </w:t>
      </w:r>
      <w:r w:rsidR="009F716F" w:rsidRPr="009F716F">
        <w:rPr>
          <w:rFonts w:ascii="Bookman Old Style" w:eastAsia="Times New Roman" w:hAnsi="Bookman Old Style" w:cs="Times New Roman"/>
          <w:b/>
          <w:bCs/>
          <w:snapToGrid w:val="0"/>
          <w:color w:val="000000"/>
          <w:sz w:val="32"/>
          <w:szCs w:val="32"/>
          <w:lang w:val="es-ES_tradnl" w:eastAsia="es-ES"/>
        </w:rPr>
        <w:t>11 JUN. 2020</w:t>
      </w:r>
      <w:r w:rsidRPr="005C1BCA">
        <w:rPr>
          <w:rFonts w:ascii="Bookman Old Style" w:eastAsia="Times New Roman" w:hAnsi="Bookman Old Style" w:cs="Times New Roman"/>
          <w:snapToGrid w:val="0"/>
          <w:color w:val="000000"/>
          <w:sz w:val="24"/>
          <w:szCs w:val="24"/>
          <w:lang w:val="es-ES_tradnl" w:eastAsia="es-ES"/>
        </w:rPr>
        <w:t xml:space="preserve">  )</w:t>
      </w:r>
    </w:p>
    <w:p w14:paraId="031EF171" w14:textId="77777777" w:rsidR="005C1BCA" w:rsidRPr="005C1BCA" w:rsidRDefault="005C1BCA" w:rsidP="00AC037D">
      <w:pPr>
        <w:spacing w:after="0" w:line="240" w:lineRule="auto"/>
        <w:ind w:right="-1"/>
        <w:contextualSpacing/>
        <w:rPr>
          <w:rFonts w:ascii="Bookman Old Style" w:eastAsia="Times New Roman" w:hAnsi="Bookman Old Style" w:cs="Times New Roman"/>
          <w:bCs/>
          <w:sz w:val="24"/>
          <w:szCs w:val="24"/>
          <w:lang w:eastAsia="es-ES"/>
        </w:rPr>
      </w:pPr>
    </w:p>
    <w:p w14:paraId="55212184" w14:textId="77777777" w:rsidR="007F66B9" w:rsidRDefault="007F66B9" w:rsidP="00AC037D">
      <w:pPr>
        <w:spacing w:after="0" w:line="240" w:lineRule="auto"/>
        <w:ind w:right="-1"/>
        <w:contextualSpacing/>
        <w:jc w:val="center"/>
        <w:rPr>
          <w:rFonts w:ascii="Bookman Old Style" w:eastAsia="Times New Roman" w:hAnsi="Bookman Old Style" w:cs="Times New Roman"/>
          <w:sz w:val="24"/>
          <w:szCs w:val="24"/>
          <w:lang w:val="es-ES" w:eastAsia="es-ES"/>
        </w:rPr>
      </w:pPr>
    </w:p>
    <w:p w14:paraId="730F97E6" w14:textId="77777777" w:rsidR="007F66B9" w:rsidRDefault="007F66B9" w:rsidP="00AC037D">
      <w:pPr>
        <w:spacing w:after="0" w:line="240" w:lineRule="auto"/>
        <w:ind w:right="-1"/>
        <w:contextualSpacing/>
        <w:jc w:val="center"/>
        <w:rPr>
          <w:rFonts w:ascii="Bookman Old Style" w:eastAsia="Times New Roman" w:hAnsi="Bookman Old Style" w:cs="Times New Roman"/>
          <w:sz w:val="24"/>
          <w:szCs w:val="24"/>
          <w:lang w:val="es-ES" w:eastAsia="es-ES"/>
        </w:rPr>
      </w:pPr>
    </w:p>
    <w:p w14:paraId="38434652" w14:textId="77777777" w:rsidR="00CD74B5" w:rsidRDefault="00A33677" w:rsidP="00AC037D">
      <w:pPr>
        <w:spacing w:after="0" w:line="240" w:lineRule="auto"/>
        <w:ind w:right="-1"/>
        <w:contextualSpacing/>
        <w:jc w:val="center"/>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Por la cual se resuelve el recurso d</w:t>
      </w:r>
      <w:r>
        <w:rPr>
          <w:rFonts w:ascii="Bookman Old Style" w:eastAsia="Times New Roman" w:hAnsi="Bookman Old Style" w:cs="Times New Roman"/>
          <w:sz w:val="24"/>
          <w:szCs w:val="24"/>
          <w:lang w:val="es-ES" w:eastAsia="es-ES"/>
        </w:rPr>
        <w:t xml:space="preserve">e reposición interpuesto por </w:t>
      </w:r>
      <w:r w:rsidR="00FE26C8">
        <w:rPr>
          <w:rFonts w:ascii="Bookman Old Style" w:eastAsia="Times New Roman" w:hAnsi="Bookman Old Style" w:cs="Times New Roman"/>
          <w:sz w:val="24"/>
          <w:szCs w:val="24"/>
          <w:lang w:val="es-ES" w:eastAsia="es-ES"/>
        </w:rPr>
        <w:t>Montagas</w:t>
      </w:r>
      <w:r w:rsidR="00F5339F">
        <w:rPr>
          <w:rFonts w:ascii="Bookman Old Style" w:eastAsia="Times New Roman" w:hAnsi="Bookman Old Style" w:cs="Times New Roman"/>
          <w:sz w:val="24"/>
          <w:szCs w:val="24"/>
          <w:lang w:val="es-ES" w:eastAsia="es-ES"/>
        </w:rPr>
        <w:t xml:space="preserve"> </w:t>
      </w:r>
      <w:r w:rsidRPr="00A33677">
        <w:rPr>
          <w:rFonts w:ascii="Bookman Old Style" w:eastAsia="Times New Roman" w:hAnsi="Bookman Old Style" w:cs="Times New Roman"/>
          <w:sz w:val="24"/>
          <w:szCs w:val="24"/>
          <w:lang w:val="es-ES" w:eastAsia="es-ES"/>
        </w:rPr>
        <w:t>S</w:t>
      </w:r>
      <w:r w:rsidR="00F5339F">
        <w:rPr>
          <w:rFonts w:ascii="Bookman Old Style" w:eastAsia="Times New Roman" w:hAnsi="Bookman Old Style" w:cs="Times New Roman"/>
          <w:sz w:val="24"/>
          <w:szCs w:val="24"/>
          <w:lang w:val="es-ES" w:eastAsia="es-ES"/>
        </w:rPr>
        <w:t>.A.</w:t>
      </w:r>
      <w:r w:rsidRPr="00A33677">
        <w:rPr>
          <w:rFonts w:ascii="Bookman Old Style" w:eastAsia="Times New Roman" w:hAnsi="Bookman Old Style" w:cs="Times New Roman"/>
          <w:sz w:val="24"/>
          <w:szCs w:val="24"/>
          <w:lang w:val="es-ES" w:eastAsia="es-ES"/>
        </w:rPr>
        <w:t xml:space="preserve"> E.S.P. contra la Resolución C</w:t>
      </w:r>
      <w:r>
        <w:rPr>
          <w:rFonts w:ascii="Bookman Old Style" w:eastAsia="Times New Roman" w:hAnsi="Bookman Old Style" w:cs="Times New Roman"/>
          <w:sz w:val="24"/>
          <w:szCs w:val="24"/>
          <w:lang w:val="es-ES" w:eastAsia="es-ES"/>
        </w:rPr>
        <w:t>REG 0</w:t>
      </w:r>
      <w:r w:rsidR="00FE26C8">
        <w:rPr>
          <w:rFonts w:ascii="Bookman Old Style" w:eastAsia="Times New Roman" w:hAnsi="Bookman Old Style" w:cs="Times New Roman"/>
          <w:sz w:val="24"/>
          <w:szCs w:val="24"/>
          <w:lang w:val="es-ES" w:eastAsia="es-ES"/>
        </w:rPr>
        <w:t>70 de 2020</w:t>
      </w:r>
    </w:p>
    <w:p w14:paraId="07ED83B2" w14:textId="77777777" w:rsidR="00CD74B5" w:rsidRPr="005C1BCA" w:rsidRDefault="00CD74B5" w:rsidP="00AC037D">
      <w:pPr>
        <w:spacing w:after="0" w:line="240" w:lineRule="auto"/>
        <w:ind w:right="-1"/>
        <w:contextualSpacing/>
        <w:jc w:val="center"/>
        <w:rPr>
          <w:rFonts w:ascii="Bookman Old Style" w:eastAsia="Times New Roman" w:hAnsi="Bookman Old Style" w:cs="Times New Roman"/>
          <w:sz w:val="24"/>
          <w:szCs w:val="24"/>
          <w:lang w:val="es-ES" w:eastAsia="es-ES"/>
        </w:rPr>
      </w:pPr>
    </w:p>
    <w:p w14:paraId="3DE1F737" w14:textId="77777777" w:rsidR="005C1BCA" w:rsidRPr="005C1BCA" w:rsidRDefault="005C1BCA" w:rsidP="00AC037D">
      <w:pPr>
        <w:spacing w:after="0" w:line="240" w:lineRule="auto"/>
        <w:ind w:left="567" w:right="-1"/>
        <w:contextualSpacing/>
        <w:jc w:val="center"/>
        <w:rPr>
          <w:rFonts w:ascii="Bookman Old Style" w:eastAsia="Times New Roman" w:hAnsi="Bookman Old Style" w:cs="Times New Roman"/>
          <w:b/>
          <w:sz w:val="24"/>
          <w:szCs w:val="24"/>
          <w:lang w:val="es-ES" w:eastAsia="es-ES"/>
        </w:rPr>
      </w:pPr>
      <w:r w:rsidRPr="005C1BCA">
        <w:rPr>
          <w:rFonts w:ascii="Bookman Old Style" w:eastAsia="Times New Roman" w:hAnsi="Bookman Old Style" w:cs="Times New Roman"/>
          <w:b/>
          <w:sz w:val="24"/>
          <w:szCs w:val="24"/>
          <w:lang w:val="es-ES" w:eastAsia="es-ES"/>
        </w:rPr>
        <w:t>LA COMISIÓN DE REGULACIÓN DE ENERGÍA Y GAS</w:t>
      </w:r>
    </w:p>
    <w:p w14:paraId="20D5D19F" w14:textId="77777777" w:rsidR="005C1BCA" w:rsidRPr="005C1BCA" w:rsidRDefault="005C1BCA" w:rsidP="00AC037D">
      <w:pPr>
        <w:spacing w:after="0" w:line="240" w:lineRule="auto"/>
        <w:ind w:right="-1"/>
        <w:contextualSpacing/>
        <w:rPr>
          <w:rFonts w:ascii="Bookman Old Style" w:eastAsia="Times New Roman" w:hAnsi="Bookman Old Style" w:cs="Times New Roman"/>
          <w:sz w:val="24"/>
          <w:szCs w:val="24"/>
          <w:lang w:val="es-ES" w:eastAsia="es-ES"/>
        </w:rPr>
      </w:pPr>
    </w:p>
    <w:p w14:paraId="45D79608" w14:textId="77777777" w:rsidR="005C1BCA" w:rsidRPr="005C1BCA" w:rsidRDefault="005C1BCA" w:rsidP="00AC037D">
      <w:pPr>
        <w:spacing w:after="0" w:line="240" w:lineRule="auto"/>
        <w:ind w:right="-1"/>
        <w:contextualSpacing/>
        <w:rPr>
          <w:rFonts w:ascii="Bookman Old Style" w:eastAsia="Times New Roman" w:hAnsi="Bookman Old Style" w:cs="Times New Roman"/>
          <w:sz w:val="24"/>
          <w:szCs w:val="24"/>
          <w:lang w:val="es-ES" w:eastAsia="es-ES"/>
        </w:rPr>
      </w:pPr>
    </w:p>
    <w:p w14:paraId="7AA37F81" w14:textId="77777777" w:rsidR="005C1BCA" w:rsidRPr="005C1BCA" w:rsidRDefault="005C1BCA" w:rsidP="00AC037D">
      <w:pPr>
        <w:spacing w:after="0" w:line="240" w:lineRule="auto"/>
        <w:ind w:right="-1"/>
        <w:contextualSpacing/>
        <w:jc w:val="center"/>
        <w:rPr>
          <w:rFonts w:ascii="Bookman Old Style" w:eastAsia="Times New Roman" w:hAnsi="Bookman Old Style" w:cs="Arial"/>
          <w:color w:val="000000"/>
          <w:sz w:val="24"/>
          <w:szCs w:val="24"/>
          <w:lang w:val="es-ES" w:eastAsia="es-ES"/>
        </w:rPr>
      </w:pPr>
      <w:r w:rsidRPr="005C1BCA">
        <w:rPr>
          <w:rFonts w:ascii="Bookman Old Style" w:eastAsia="Times New Roman" w:hAnsi="Bookman Old Style" w:cs="Arial"/>
          <w:color w:val="000000"/>
          <w:sz w:val="24"/>
          <w:szCs w:val="24"/>
          <w:lang w:val="es-ES" w:eastAsia="es-ES"/>
        </w:rPr>
        <w:t>En ejercicio de las atribuciones constitucionales y legales, en especial las confer</w:t>
      </w:r>
      <w:r w:rsidR="00DE5054">
        <w:rPr>
          <w:rFonts w:ascii="Bookman Old Style" w:eastAsia="Times New Roman" w:hAnsi="Bookman Old Style" w:cs="Arial"/>
          <w:color w:val="000000"/>
          <w:sz w:val="24"/>
          <w:szCs w:val="24"/>
          <w:lang w:val="es-ES" w:eastAsia="es-ES"/>
        </w:rPr>
        <w:t>idas por las leyes 142 de 1994,</w:t>
      </w:r>
      <w:r w:rsidRPr="005C1BCA">
        <w:rPr>
          <w:rFonts w:ascii="Bookman Old Style" w:eastAsia="Times New Roman" w:hAnsi="Bookman Old Style" w:cs="Arial"/>
          <w:color w:val="000000"/>
          <w:sz w:val="24"/>
          <w:szCs w:val="24"/>
          <w:lang w:val="es-ES" w:eastAsia="es-ES"/>
        </w:rPr>
        <w:t xml:space="preserve"> 1151 de 2007,</w:t>
      </w:r>
      <w:r w:rsidR="00DE5054">
        <w:rPr>
          <w:rFonts w:ascii="Bookman Old Style" w:eastAsia="Times New Roman" w:hAnsi="Bookman Old Style" w:cs="Arial"/>
          <w:color w:val="000000"/>
          <w:sz w:val="24"/>
          <w:szCs w:val="24"/>
          <w:lang w:val="es-ES" w:eastAsia="es-ES"/>
        </w:rPr>
        <w:t xml:space="preserve"> 1437 de 2011</w:t>
      </w:r>
      <w:r w:rsidRPr="005C1BCA">
        <w:rPr>
          <w:rFonts w:ascii="Bookman Old Style" w:eastAsia="Times New Roman" w:hAnsi="Bookman Old Style" w:cs="Arial"/>
          <w:color w:val="000000"/>
          <w:sz w:val="24"/>
          <w:szCs w:val="24"/>
          <w:lang w:val="es-ES" w:eastAsia="es-ES"/>
        </w:rPr>
        <w:t xml:space="preserve"> y en desarrollo de los Decretos </w:t>
      </w:r>
      <w:r w:rsidR="0055674D">
        <w:rPr>
          <w:rFonts w:ascii="Bookman Old Style" w:eastAsia="Times New Roman" w:hAnsi="Bookman Old Style" w:cs="Arial"/>
          <w:color w:val="000000"/>
          <w:sz w:val="24"/>
          <w:szCs w:val="24"/>
          <w:lang w:val="es-ES" w:eastAsia="es-ES"/>
        </w:rPr>
        <w:t>1524</w:t>
      </w:r>
      <w:r w:rsidRPr="005C1BCA">
        <w:rPr>
          <w:rFonts w:ascii="Bookman Old Style" w:eastAsia="Times New Roman" w:hAnsi="Bookman Old Style" w:cs="Arial"/>
          <w:color w:val="000000"/>
          <w:sz w:val="24"/>
          <w:szCs w:val="24"/>
          <w:lang w:val="es-ES" w:eastAsia="es-ES"/>
        </w:rPr>
        <w:t xml:space="preserve"> y 2253 de 1994 y 1260 de 2013 y,</w:t>
      </w:r>
    </w:p>
    <w:p w14:paraId="6D5F6674" w14:textId="77777777" w:rsidR="005C1BCA" w:rsidRPr="005C1BCA" w:rsidRDefault="005C1BCA" w:rsidP="00AC037D">
      <w:pPr>
        <w:spacing w:after="0" w:line="240" w:lineRule="auto"/>
        <w:ind w:right="-1"/>
        <w:contextualSpacing/>
        <w:jc w:val="center"/>
        <w:rPr>
          <w:rFonts w:ascii="Bookman Old Style" w:eastAsia="Times New Roman" w:hAnsi="Bookman Old Style" w:cs="Arial"/>
          <w:bCs/>
          <w:spacing w:val="-3"/>
          <w:sz w:val="24"/>
          <w:szCs w:val="24"/>
          <w:lang w:val="es-ES" w:eastAsia="es-ES"/>
        </w:rPr>
      </w:pPr>
    </w:p>
    <w:p w14:paraId="7FEA743C" w14:textId="77777777" w:rsidR="005C1BCA" w:rsidRPr="005C1BCA" w:rsidRDefault="005C1BCA" w:rsidP="00AC037D">
      <w:pPr>
        <w:spacing w:after="0" w:line="240" w:lineRule="auto"/>
        <w:ind w:right="-1"/>
        <w:contextualSpacing/>
        <w:rPr>
          <w:rFonts w:ascii="Bookman Old Style" w:eastAsia="Times New Roman" w:hAnsi="Bookman Old Style" w:cs="Arial"/>
          <w:color w:val="000000"/>
          <w:sz w:val="24"/>
          <w:szCs w:val="24"/>
          <w:lang w:val="es-ES" w:eastAsia="es-ES"/>
        </w:rPr>
      </w:pPr>
    </w:p>
    <w:p w14:paraId="607A2AFD" w14:textId="77777777" w:rsidR="005C1BCA" w:rsidRPr="005C1BCA" w:rsidRDefault="005C1BCA" w:rsidP="00AC037D">
      <w:pPr>
        <w:spacing w:after="0" w:line="240" w:lineRule="auto"/>
        <w:ind w:right="-1"/>
        <w:contextualSpacing/>
        <w:jc w:val="center"/>
        <w:rPr>
          <w:rFonts w:ascii="Bookman Old Style" w:eastAsia="Times New Roman" w:hAnsi="Bookman Old Style" w:cs="Arial"/>
          <w:b/>
          <w:color w:val="000000"/>
          <w:sz w:val="24"/>
          <w:szCs w:val="24"/>
          <w:lang w:val="es-ES" w:eastAsia="es-ES"/>
        </w:rPr>
      </w:pPr>
      <w:r w:rsidRPr="005C1BCA">
        <w:rPr>
          <w:rFonts w:ascii="Bookman Old Style" w:eastAsia="Times New Roman" w:hAnsi="Bookman Old Style" w:cs="Arial"/>
          <w:b/>
          <w:color w:val="000000"/>
          <w:sz w:val="24"/>
          <w:szCs w:val="24"/>
          <w:lang w:val="es-ES" w:eastAsia="es-ES"/>
        </w:rPr>
        <w:t>C O N S I D E R A N D O  Q U E:</w:t>
      </w:r>
    </w:p>
    <w:p w14:paraId="49D01C3A" w14:textId="77777777" w:rsidR="00A33677" w:rsidRDefault="00A33677" w:rsidP="00AC037D">
      <w:pPr>
        <w:pStyle w:val="Textoindependiente2"/>
        <w:spacing w:after="0" w:line="240" w:lineRule="auto"/>
        <w:ind w:left="578" w:right="-1" w:hanging="720"/>
        <w:jc w:val="both"/>
        <w:rPr>
          <w:rFonts w:ascii="Bookman Old Style" w:hAnsi="Bookman Old Style"/>
          <w:b/>
        </w:rPr>
      </w:pPr>
    </w:p>
    <w:p w14:paraId="4FD7C1A0" w14:textId="77777777" w:rsidR="00A33677" w:rsidRDefault="00A33677" w:rsidP="00AC037D">
      <w:pPr>
        <w:pStyle w:val="Textoindependiente2"/>
        <w:spacing w:after="0" w:line="240" w:lineRule="auto"/>
        <w:ind w:left="578" w:right="-1" w:hanging="720"/>
        <w:jc w:val="both"/>
        <w:rPr>
          <w:rFonts w:ascii="Bookman Old Style" w:hAnsi="Bookman Old Style"/>
          <w:b/>
        </w:rPr>
      </w:pPr>
    </w:p>
    <w:p w14:paraId="232BE7D3" w14:textId="77777777" w:rsidR="00A33677" w:rsidRPr="0012236E" w:rsidRDefault="00A33677" w:rsidP="00AC037D">
      <w:pPr>
        <w:pStyle w:val="Textoindependiente2"/>
        <w:spacing w:after="0" w:line="240" w:lineRule="auto"/>
        <w:ind w:left="578" w:right="-1" w:hanging="720"/>
        <w:jc w:val="both"/>
        <w:rPr>
          <w:rFonts w:ascii="Bookman Old Style" w:hAnsi="Bookman Old Style"/>
          <w:b/>
        </w:rPr>
      </w:pPr>
      <w:r w:rsidRPr="0012236E">
        <w:rPr>
          <w:rFonts w:ascii="Bookman Old Style" w:hAnsi="Bookman Old Style"/>
          <w:b/>
        </w:rPr>
        <w:t>I. ANTECEDENTES</w:t>
      </w:r>
    </w:p>
    <w:p w14:paraId="6669552E" w14:textId="668306DB" w:rsidR="00A33677" w:rsidRDefault="00A33677" w:rsidP="00AC037D">
      <w:pPr>
        <w:spacing w:after="0" w:line="240" w:lineRule="auto"/>
        <w:ind w:right="-1"/>
        <w:jc w:val="both"/>
        <w:rPr>
          <w:rFonts w:ascii="Bookman Old Style" w:eastAsia="Times New Roman" w:hAnsi="Bookman Old Style" w:cs="Arial"/>
          <w:spacing w:val="-5"/>
          <w:sz w:val="24"/>
          <w:szCs w:val="24"/>
        </w:rPr>
      </w:pPr>
    </w:p>
    <w:p w14:paraId="4BAAE83C" w14:textId="407FD6CB" w:rsidR="00581499" w:rsidRDefault="00581499" w:rsidP="00AC037D">
      <w:pPr>
        <w:spacing w:after="0" w:line="240" w:lineRule="auto"/>
        <w:ind w:right="-1"/>
        <w:jc w:val="both"/>
        <w:rPr>
          <w:rFonts w:ascii="Bookman Old Style" w:eastAsia="Times New Roman" w:hAnsi="Bookman Old Style" w:cs="Arial"/>
          <w:spacing w:val="-5"/>
          <w:sz w:val="24"/>
          <w:szCs w:val="24"/>
        </w:rPr>
      </w:pPr>
      <w:r w:rsidRPr="00581499">
        <w:rPr>
          <w:rFonts w:ascii="Bookman Old Style" w:eastAsia="Times New Roman" w:hAnsi="Bookman Old Style" w:cs="Arial"/>
          <w:spacing w:val="-5"/>
          <w:sz w:val="24"/>
          <w:szCs w:val="24"/>
        </w:rPr>
        <w:t>El artículo 14.28 de la Ley 142 de 1994 definió el servicio público domiciliario de gas combustible como el conjunto de actividades ordenadas a la distribución de gas combustible</w:t>
      </w:r>
      <w:r w:rsidR="00EB03C4">
        <w:rPr>
          <w:rFonts w:ascii="Bookman Old Style" w:eastAsia="Times New Roman" w:hAnsi="Bookman Old Style" w:cs="Arial"/>
          <w:spacing w:val="-5"/>
          <w:sz w:val="24"/>
          <w:szCs w:val="24"/>
        </w:rPr>
        <w:t>,</w:t>
      </w:r>
      <w:r w:rsidRPr="00581499">
        <w:rPr>
          <w:rFonts w:ascii="Bookman Old Style" w:eastAsia="Times New Roman" w:hAnsi="Bookman Old Style" w:cs="Arial"/>
          <w:spacing w:val="-5"/>
          <w:sz w:val="24"/>
          <w:szCs w:val="24"/>
        </w:rPr>
        <w:t xml:space="preserve"> y estableció la actividad de comercialización como actividad complementaria del servicio público domiciliario de gas combustible.</w:t>
      </w:r>
      <w:r w:rsidRPr="00581499">
        <w:rPr>
          <w:rFonts w:ascii="Bookman Old Style" w:eastAsia="Times New Roman" w:hAnsi="Bookman Old Style" w:cs="Arial"/>
          <w:spacing w:val="-5"/>
          <w:sz w:val="24"/>
          <w:szCs w:val="24"/>
        </w:rPr>
        <w:br/>
      </w:r>
      <w:r w:rsidRPr="00581499">
        <w:rPr>
          <w:rFonts w:ascii="Bookman Old Style" w:eastAsia="Times New Roman" w:hAnsi="Bookman Old Style" w:cs="Arial"/>
          <w:spacing w:val="-5"/>
          <w:sz w:val="24"/>
          <w:szCs w:val="24"/>
        </w:rPr>
        <w:b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r w:rsidRPr="00581499">
        <w:rPr>
          <w:rFonts w:ascii="Bookman Old Style" w:eastAsia="Times New Roman" w:hAnsi="Bookman Old Style" w:cs="Arial"/>
          <w:spacing w:val="-5"/>
          <w:sz w:val="24"/>
          <w:szCs w:val="24"/>
        </w:rPr>
        <w:br/>
      </w:r>
      <w:r w:rsidRPr="00581499">
        <w:rPr>
          <w:rFonts w:ascii="Bookman Old Style" w:eastAsia="Times New Roman" w:hAnsi="Bookman Old Style" w:cs="Arial"/>
          <w:spacing w:val="-5"/>
          <w:sz w:val="24"/>
          <w:szCs w:val="24"/>
        </w:rPr>
        <w:br/>
        <w:t>Según lo previsto en los artículos 1, 2 y 4 de la Ley 142 de 1994, la distribución de gas combustible y sus actividades complementarias constituyen servicios públicos domiciliarios esenciales</w:t>
      </w:r>
      <w:r w:rsidR="00224628">
        <w:rPr>
          <w:rFonts w:ascii="Bookman Old Style" w:eastAsia="Times New Roman" w:hAnsi="Bookman Old Style" w:cs="Arial"/>
          <w:spacing w:val="-5"/>
          <w:sz w:val="24"/>
          <w:szCs w:val="24"/>
        </w:rPr>
        <w:t>,</w:t>
      </w:r>
      <w:r w:rsidRPr="00581499">
        <w:rPr>
          <w:rFonts w:ascii="Bookman Old Style" w:eastAsia="Times New Roman" w:hAnsi="Bookman Old Style" w:cs="Arial"/>
          <w:spacing w:val="-5"/>
          <w:sz w:val="24"/>
          <w:szCs w:val="24"/>
        </w:rPr>
        <w:t xml:space="preserve"> y el Estado intervendrá en los mismos a fin de, entre otros, garantizar la calidad del bien y su disposición final para asegurar el mejoramiento de la calidad de vida de los usuarios, así como su prestación continua, ininterrumpida y eficiente.</w:t>
      </w:r>
    </w:p>
    <w:p w14:paraId="69465563" w14:textId="77777777" w:rsidR="00811FB5" w:rsidRDefault="00811FB5"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Arial"/>
          <w:sz w:val="24"/>
          <w:szCs w:val="24"/>
          <w:lang w:val="es-ES_tradnl" w:eastAsia="ar-SA"/>
        </w:rPr>
      </w:pPr>
    </w:p>
    <w:p w14:paraId="4A46B25F" w14:textId="77777777" w:rsidR="00811FB5" w:rsidRDefault="00811FB5" w:rsidP="00AC037D">
      <w:pPr>
        <w:pStyle w:val="Textoindependiente2"/>
        <w:spacing w:after="0" w:line="240" w:lineRule="auto"/>
        <w:ind w:left="0" w:right="-1"/>
        <w:jc w:val="both"/>
        <w:rPr>
          <w:rFonts w:ascii="Bookman Old Style" w:eastAsia="MS Mincho" w:hAnsi="Bookman Old Style" w:cs="Arial"/>
          <w:lang w:val="es-ES_tradnl"/>
        </w:rPr>
      </w:pPr>
      <w:r>
        <w:rPr>
          <w:rFonts w:ascii="Bookman Old Style" w:hAnsi="Bookman Old Style" w:cs="Arial"/>
          <w:lang w:val="es-ES_tradnl" w:eastAsia="ar-SA"/>
        </w:rPr>
        <w:t>Mediante</w:t>
      </w:r>
      <w:r>
        <w:rPr>
          <w:rFonts w:ascii="Bookman Old Style" w:eastAsia="MS Mincho" w:hAnsi="Bookman Old Style" w:cs="Arial"/>
          <w:lang w:val="es-ES_tradnl"/>
        </w:rPr>
        <w:t xml:space="preserve"> el artículo 14 de la Ley 689 de 2001 se adicionó un artículo a la Ley 142 de 1994 en virtud del cual le corresponde a la Superintendencia de Servicios Públicos Domiciliarios, SSPD, administrar, mantener y operar un sistema único </w:t>
      </w:r>
      <w:r>
        <w:rPr>
          <w:rFonts w:ascii="Bookman Old Style" w:eastAsia="MS Mincho" w:hAnsi="Bookman Old Style" w:cs="Arial"/>
          <w:lang w:val="es-ES_tradnl"/>
        </w:rPr>
        <w:lastRenderedPageBreak/>
        <w:t xml:space="preserve">de información para cada uno de los servicios públicos y actividades inherentes y complementarias de las que tratan las Leyes 142 y 143 de 1994. </w:t>
      </w:r>
    </w:p>
    <w:p w14:paraId="1535C693" w14:textId="77777777" w:rsidR="00811FB5" w:rsidRDefault="00811FB5" w:rsidP="00AC037D">
      <w:pPr>
        <w:pStyle w:val="Textoindependiente2"/>
        <w:spacing w:after="0" w:line="240" w:lineRule="auto"/>
        <w:ind w:left="-142" w:right="-1"/>
        <w:jc w:val="both"/>
        <w:rPr>
          <w:rFonts w:ascii="Bookman Old Style" w:eastAsia="MS Mincho" w:hAnsi="Bookman Old Style" w:cs="Arial"/>
          <w:lang w:val="es-ES_tradnl"/>
        </w:rPr>
      </w:pPr>
    </w:p>
    <w:p w14:paraId="4B0FA3A2" w14:textId="036009BC" w:rsidR="00811FB5" w:rsidRDefault="00811FB5" w:rsidP="00AC037D">
      <w:pPr>
        <w:pStyle w:val="Textoindependiente2"/>
        <w:spacing w:after="0" w:line="240" w:lineRule="auto"/>
        <w:ind w:left="0" w:right="-1"/>
        <w:jc w:val="both"/>
        <w:rPr>
          <w:rFonts w:ascii="Bookman Old Style" w:eastAsia="MS Mincho" w:hAnsi="Bookman Old Style" w:cs="Arial"/>
          <w:lang w:val="es-ES_tradnl"/>
        </w:rPr>
      </w:pPr>
      <w:r>
        <w:rPr>
          <w:rFonts w:ascii="Bookman Old Style" w:eastAsia="MS Mincho" w:hAnsi="Bookman Old Style" w:cs="Arial"/>
          <w:lang w:val="es-ES_tradnl"/>
        </w:rPr>
        <w:t>Dentro de los propósitos de este sistema único de información se encuentran</w:t>
      </w:r>
      <w:r w:rsidR="00224628">
        <w:rPr>
          <w:rFonts w:ascii="Bookman Old Style" w:eastAsia="MS Mincho" w:hAnsi="Bookman Old Style" w:cs="Arial"/>
          <w:lang w:val="es-ES_tradnl"/>
        </w:rPr>
        <w:t>,</w:t>
      </w:r>
      <w:r>
        <w:rPr>
          <w:rFonts w:ascii="Bookman Old Style" w:eastAsia="MS Mincho" w:hAnsi="Bookman Old Style" w:cs="Arial"/>
          <w:lang w:val="es-ES_tradnl"/>
        </w:rPr>
        <w:t xml:space="preserve"> entre otros, evitar la duplicidad de funciones en materia de información, apoyar las funciones asignadas a las Comisiones de Regulación y mantener un registro actualizado de las personas que prestan los servicios públicos sujetos de control, inspección y vigilancia de la SSPD.  </w:t>
      </w:r>
    </w:p>
    <w:p w14:paraId="116FC7CD" w14:textId="0850B72D" w:rsidR="00811FB5" w:rsidRDefault="00811FB5" w:rsidP="00AC037D">
      <w:pPr>
        <w:pStyle w:val="Textoindependiente2"/>
        <w:spacing w:after="0" w:line="240" w:lineRule="auto"/>
        <w:ind w:left="0" w:right="-1"/>
        <w:jc w:val="both"/>
        <w:rPr>
          <w:rFonts w:ascii="Bookman Old Style" w:eastAsia="MS Mincho" w:hAnsi="Bookman Old Style" w:cs="Arial"/>
          <w:lang w:val="es-ES_tradnl"/>
        </w:rPr>
      </w:pPr>
    </w:p>
    <w:p w14:paraId="10DF623C" w14:textId="3881F627" w:rsidR="003108B7" w:rsidRDefault="00811FB5" w:rsidP="00AC037D">
      <w:pPr>
        <w:pStyle w:val="Textoindependiente2"/>
        <w:spacing w:after="0" w:line="240" w:lineRule="auto"/>
        <w:ind w:left="0" w:right="-1"/>
        <w:jc w:val="both"/>
        <w:rPr>
          <w:rFonts w:ascii="Bookman Old Style" w:eastAsia="MS Mincho" w:hAnsi="Bookman Old Style" w:cs="Arial"/>
          <w:lang w:val="es-ES_tradnl"/>
        </w:rPr>
      </w:pPr>
      <w:r>
        <w:rPr>
          <w:rFonts w:ascii="Bookman Old Style" w:eastAsia="MS Mincho" w:hAnsi="Bookman Old Style" w:cs="Arial"/>
          <w:lang w:val="es-ES_tradnl"/>
        </w:rPr>
        <w:t xml:space="preserve">Mediante la Resolución CREG 023 de 2008, la Comisión expidió el reglamento de distribución y comercialización minorista de GLP. </w:t>
      </w:r>
      <w:r w:rsidR="00867649">
        <w:rPr>
          <w:rFonts w:ascii="Bookman Old Style" w:eastAsia="MS Mincho" w:hAnsi="Bookman Old Style" w:cs="Arial"/>
          <w:lang w:val="es-ES_tradnl"/>
        </w:rPr>
        <w:t xml:space="preserve">Dentro del precitado reglamento se define la actividad de distribución de GLP de la siguiente manera:  </w:t>
      </w:r>
    </w:p>
    <w:p w14:paraId="6CCD19E5" w14:textId="77777777" w:rsidR="00867649" w:rsidRDefault="00867649" w:rsidP="00AC037D">
      <w:pPr>
        <w:pStyle w:val="Textoindependiente2"/>
        <w:spacing w:after="0" w:line="240" w:lineRule="auto"/>
        <w:ind w:left="0" w:right="-1"/>
        <w:jc w:val="both"/>
        <w:rPr>
          <w:rFonts w:ascii="Bookman Old Style" w:eastAsia="MS Mincho" w:hAnsi="Bookman Old Style" w:cs="Arial"/>
          <w:lang w:val="es-ES_tradnl"/>
        </w:rPr>
      </w:pPr>
    </w:p>
    <w:p w14:paraId="3750F98A" w14:textId="12EE090A" w:rsidR="00867649" w:rsidRPr="007F3FC2" w:rsidRDefault="00867649" w:rsidP="00AC037D">
      <w:pPr>
        <w:spacing w:after="0" w:line="240" w:lineRule="auto"/>
        <w:ind w:left="567" w:right="-1"/>
        <w:jc w:val="both"/>
        <w:rPr>
          <w:rFonts w:ascii="Bookman Old Style" w:eastAsia="Times New Roman" w:hAnsi="Bookman Old Style" w:cs="Times New Roman"/>
          <w:i/>
          <w:lang w:val="es-ES" w:eastAsia="es-ES"/>
        </w:rPr>
      </w:pPr>
      <w:r w:rsidRPr="00F527A6">
        <w:rPr>
          <w:rFonts w:ascii="Bookman Old Style" w:eastAsia="Times New Roman" w:hAnsi="Bookman Old Style" w:cs="Times New Roman"/>
          <w:b/>
          <w:bCs/>
          <w:i/>
          <w:lang w:val="es-ES" w:eastAsia="es-ES"/>
        </w:rPr>
        <w:t xml:space="preserve">Artículo 1. Definiciones </w:t>
      </w:r>
      <w:r w:rsidRPr="00F527A6">
        <w:rPr>
          <w:rFonts w:ascii="Bookman Old Style" w:eastAsia="Times New Roman" w:hAnsi="Bookman Old Style" w:cs="Times New Roman"/>
          <w:i/>
          <w:lang w:val="es-ES" w:eastAsia="es-ES"/>
        </w:rPr>
        <w:t>(…) “</w:t>
      </w:r>
      <w:r w:rsidRPr="00F527A6">
        <w:rPr>
          <w:rFonts w:ascii="Bookman Old Style" w:eastAsia="Times New Roman" w:hAnsi="Bookman Old Style" w:cs="Times New Roman"/>
          <w:b/>
          <w:i/>
          <w:lang w:val="es-ES" w:eastAsia="es-ES"/>
        </w:rPr>
        <w:t>Distribución de GLP:</w:t>
      </w:r>
      <w:r w:rsidRPr="00F527A6">
        <w:rPr>
          <w:rFonts w:ascii="Bookman Old Style" w:eastAsia="Times New Roman" w:hAnsi="Bookman Old Style" w:cs="Times New Roman"/>
          <w:i/>
          <w:lang w:val="es-ES" w:eastAsia="es-ES"/>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14:paraId="3AD5CE1D" w14:textId="77777777" w:rsidR="00867649" w:rsidRPr="00F527A6" w:rsidRDefault="00867649" w:rsidP="00AC037D">
      <w:pPr>
        <w:pStyle w:val="Textoindependiente2"/>
        <w:spacing w:after="0" w:line="240" w:lineRule="auto"/>
        <w:ind w:left="-142" w:right="-1"/>
        <w:jc w:val="both"/>
        <w:rPr>
          <w:rFonts w:ascii="Bookman Old Style" w:eastAsia="MS Mincho" w:hAnsi="Bookman Old Style" w:cs="Arial"/>
        </w:rPr>
      </w:pPr>
    </w:p>
    <w:p w14:paraId="1B8FF990" w14:textId="6F56E0D0" w:rsidR="00811FB5" w:rsidRPr="00F527A6" w:rsidRDefault="00867649" w:rsidP="00AC037D">
      <w:pPr>
        <w:pStyle w:val="Textoindependiente2"/>
        <w:spacing w:after="0" w:line="240" w:lineRule="auto"/>
        <w:ind w:left="-142" w:right="-1"/>
        <w:jc w:val="both"/>
        <w:rPr>
          <w:rFonts w:ascii="Bookman Old Style" w:eastAsia="MS Mincho" w:hAnsi="Bookman Old Style" w:cs="Arial"/>
          <w:lang w:val="es-ES_tradnl"/>
        </w:rPr>
      </w:pPr>
      <w:r>
        <w:rPr>
          <w:rFonts w:ascii="Bookman Old Style" w:eastAsia="MS Mincho" w:hAnsi="Bookman Old Style" w:cs="Arial"/>
          <w:lang w:val="es-ES_tradnl"/>
        </w:rPr>
        <w:t>En</w:t>
      </w:r>
      <w:r w:rsidR="003108B7">
        <w:rPr>
          <w:rFonts w:ascii="Bookman Old Style" w:eastAsia="MS Mincho" w:hAnsi="Bookman Old Style" w:cs="Arial"/>
          <w:lang w:val="es-ES_tradnl"/>
        </w:rPr>
        <w:t xml:space="preserve"> dicho reglamento se señala como una de las obligaciones de los distribuidores reportar a la </w:t>
      </w:r>
      <w:r w:rsidR="003108B7" w:rsidRPr="00F527A6">
        <w:rPr>
          <w:rFonts w:ascii="Bookman Old Style" w:eastAsia="MS Mincho" w:hAnsi="Bookman Old Style" w:cs="Arial"/>
          <w:lang w:val="es-ES_tradnl"/>
        </w:rPr>
        <w:t xml:space="preserve">Superintendencia de Servicios Públicos Domiciliarios </w:t>
      </w:r>
      <w:r w:rsidR="003108B7" w:rsidRPr="00F527A6">
        <w:rPr>
          <w:rFonts w:ascii="Bookman Old Style" w:hAnsi="Bookman Old Style" w:cs="Arial"/>
          <w:spacing w:val="-3"/>
          <w:lang w:val="es-ES_tradnl" w:eastAsia="es-CO"/>
        </w:rPr>
        <w:t>la marca con la cual van a identificar los cilindros de su propiedad y que utilizarán en la prestación del servicio.</w:t>
      </w:r>
    </w:p>
    <w:p w14:paraId="78F850F2" w14:textId="1BA50875" w:rsidR="00811FB5" w:rsidRDefault="00811FB5" w:rsidP="00AC037D">
      <w:pPr>
        <w:pStyle w:val="Textoindependiente2"/>
        <w:spacing w:after="0" w:line="240" w:lineRule="auto"/>
        <w:ind w:left="-142" w:right="-1"/>
        <w:jc w:val="both"/>
        <w:rPr>
          <w:rFonts w:ascii="Bookman Old Style" w:hAnsi="Bookman Old Style" w:cs="Arial"/>
          <w:spacing w:val="-5"/>
          <w:lang w:val="es-ES_tradnl"/>
        </w:rPr>
      </w:pPr>
    </w:p>
    <w:p w14:paraId="780327FA" w14:textId="38EDEB47" w:rsidR="00811FB5" w:rsidRPr="00FB2E5A" w:rsidRDefault="00811FB5" w:rsidP="00AC037D">
      <w:pPr>
        <w:tabs>
          <w:tab w:val="left" w:pos="-720"/>
          <w:tab w:val="left" w:pos="1276"/>
        </w:tabs>
        <w:suppressAutoHyphens/>
        <w:overflowPunct w:val="0"/>
        <w:autoSpaceDE w:val="0"/>
        <w:spacing w:after="0" w:line="240" w:lineRule="auto"/>
        <w:ind w:left="-142" w:right="-1"/>
        <w:jc w:val="both"/>
        <w:textAlignment w:val="baseline"/>
        <w:rPr>
          <w:rFonts w:ascii="Bookman Old Style" w:eastAsia="Times New Roman" w:hAnsi="Bookman Old Style" w:cs="Arial"/>
          <w:sz w:val="24"/>
          <w:szCs w:val="24"/>
          <w:lang w:val="es-ES_tradnl" w:eastAsia="ar-SA"/>
        </w:rPr>
      </w:pPr>
      <w:r>
        <w:rPr>
          <w:rFonts w:ascii="Bookman Old Style" w:eastAsia="Times New Roman" w:hAnsi="Bookman Old Style" w:cs="Arial"/>
          <w:sz w:val="24"/>
          <w:szCs w:val="24"/>
          <w:lang w:val="es-ES_tradnl" w:eastAsia="ar-SA"/>
        </w:rPr>
        <w:t xml:space="preserve">De conformidad con lo previsto en el artículo 3 de la Resolución CREG 177 de 2011, </w:t>
      </w:r>
      <w:r w:rsidR="00167DB1">
        <w:rPr>
          <w:rFonts w:ascii="Bookman Old Style" w:eastAsia="Times New Roman" w:hAnsi="Bookman Old Style" w:cs="Arial"/>
          <w:sz w:val="24"/>
          <w:szCs w:val="24"/>
          <w:lang w:val="es-ES_tradnl" w:eastAsia="ar-SA"/>
        </w:rPr>
        <w:t>les</w:t>
      </w:r>
      <w:r>
        <w:rPr>
          <w:rFonts w:ascii="Bookman Old Style" w:eastAsia="Times New Roman" w:hAnsi="Bookman Old Style" w:cs="Arial"/>
          <w:sz w:val="24"/>
          <w:szCs w:val="24"/>
          <w:lang w:val="es-ES_tradnl" w:eastAsia="ar-SA"/>
        </w:rPr>
        <w:t xml:space="preserve"> corresponde a los distribuidores llevar un registro pormenorizado de los cilindros marcados introducidos durante el per</w:t>
      </w:r>
      <w:r w:rsidR="00224628">
        <w:rPr>
          <w:rFonts w:ascii="Bookman Old Style" w:eastAsia="Times New Roman" w:hAnsi="Bookman Old Style" w:cs="Arial"/>
          <w:sz w:val="24"/>
          <w:szCs w:val="24"/>
          <w:lang w:val="es-ES_tradnl" w:eastAsia="ar-SA"/>
        </w:rPr>
        <w:t>í</w:t>
      </w:r>
      <w:r>
        <w:rPr>
          <w:rFonts w:ascii="Bookman Old Style" w:eastAsia="Times New Roman" w:hAnsi="Bookman Old Style" w:cs="Arial"/>
          <w:sz w:val="24"/>
          <w:szCs w:val="24"/>
          <w:lang w:val="es-ES_tradnl" w:eastAsia="ar-SA"/>
        </w:rPr>
        <w:t xml:space="preserve">odo de transición y de cierre a través del Sistema de Información SICMA, el cual queda incorporado al SUI. </w:t>
      </w:r>
    </w:p>
    <w:p w14:paraId="2542354A" w14:textId="77777777" w:rsidR="00811FB5" w:rsidRPr="00F527A6" w:rsidRDefault="00811FB5" w:rsidP="00AC037D">
      <w:pPr>
        <w:pStyle w:val="Textoindependiente2"/>
        <w:spacing w:after="0" w:line="240" w:lineRule="auto"/>
        <w:ind w:left="-142" w:right="-1"/>
        <w:jc w:val="both"/>
        <w:rPr>
          <w:rFonts w:ascii="Bookman Old Style" w:hAnsi="Bookman Old Style" w:cs="Arial"/>
          <w:spacing w:val="-5"/>
          <w:lang w:val="es-ES_tradnl"/>
        </w:rPr>
      </w:pPr>
    </w:p>
    <w:p w14:paraId="71F5A325" w14:textId="6A2C558E" w:rsidR="00DE5054" w:rsidRPr="005C1BCA" w:rsidRDefault="00DE5054" w:rsidP="00AC037D">
      <w:pPr>
        <w:pStyle w:val="Textoindependiente2"/>
        <w:spacing w:after="0" w:line="240" w:lineRule="auto"/>
        <w:ind w:left="-142" w:right="-1"/>
        <w:jc w:val="both"/>
        <w:rPr>
          <w:rFonts w:ascii="Bookman Old Style" w:hAnsi="Bookman Old Style" w:cs="Arial"/>
          <w:spacing w:val="-5"/>
        </w:rPr>
      </w:pPr>
      <w:r w:rsidRPr="005C1BCA">
        <w:rPr>
          <w:rFonts w:ascii="Bookman Old Style" w:hAnsi="Bookman Old Style" w:cs="Arial"/>
          <w:spacing w:val="-5"/>
        </w:rPr>
        <w:t>En ejercicio de sus facultades regulatorias previstas</w:t>
      </w:r>
      <w:r w:rsidR="00224628">
        <w:rPr>
          <w:rFonts w:ascii="Bookman Old Style" w:hAnsi="Bookman Old Style" w:cs="Arial"/>
          <w:spacing w:val="-5"/>
        </w:rPr>
        <w:t>,</w:t>
      </w:r>
      <w:r w:rsidRPr="005C1BCA">
        <w:rPr>
          <w:rFonts w:ascii="Bookman Old Style" w:hAnsi="Bookman Old Style" w:cs="Arial"/>
          <w:spacing w:val="-5"/>
        </w:rPr>
        <w:t xml:space="preserve"> entre otras</w:t>
      </w:r>
      <w:r w:rsidR="00224628">
        <w:rPr>
          <w:rFonts w:ascii="Bookman Old Style" w:hAnsi="Bookman Old Style" w:cs="Arial"/>
          <w:spacing w:val="-5"/>
        </w:rPr>
        <w:t>,</w:t>
      </w:r>
      <w:r w:rsidRPr="005C1BCA">
        <w:rPr>
          <w:rFonts w:ascii="Bookman Old Style" w:hAnsi="Bookman Old Style" w:cs="Arial"/>
          <w:spacing w:val="-5"/>
        </w:rPr>
        <w:t xml:space="preserve"> en la Ley 142 de 1994 y en el artículo 62 de la Ley 1151 de 2007</w:t>
      </w:r>
      <w:r w:rsidRPr="005C1BCA">
        <w:rPr>
          <w:rFonts w:ascii="Bookman Old Style" w:hAnsi="Bookman Old Style" w:cs="Arial"/>
          <w:spacing w:val="-5"/>
          <w:vertAlign w:val="superscript"/>
        </w:rPr>
        <w:footnoteReference w:id="1"/>
      </w:r>
      <w:r w:rsidRPr="005C1BCA">
        <w:rPr>
          <w:rFonts w:ascii="Bookman Old Style" w:hAnsi="Bookman Old Style" w:cs="Arial"/>
          <w:spacing w:val="-5"/>
        </w:rPr>
        <w:t>, la Comisión de Regulación de Energía y Gas</w:t>
      </w:r>
      <w:r w:rsidR="00224628">
        <w:rPr>
          <w:rFonts w:ascii="Bookman Old Style" w:hAnsi="Bookman Old Style" w:cs="Arial"/>
          <w:spacing w:val="-5"/>
        </w:rPr>
        <w:t>,</w:t>
      </w:r>
      <w:r w:rsidRPr="005C1BCA">
        <w:rPr>
          <w:rFonts w:ascii="Bookman Old Style" w:hAnsi="Bookman Old Style" w:cs="Arial"/>
          <w:spacing w:val="-5"/>
        </w:rPr>
        <w:t xml:space="preserve"> </w:t>
      </w:r>
      <w:r w:rsidRPr="00A33677">
        <w:rPr>
          <w:rFonts w:ascii="Bookman Old Style" w:hAnsi="Bookman Old Style" w:cs="Arial"/>
          <w:spacing w:val="-5"/>
          <w:lang w:val="es-CO" w:eastAsia="en-US"/>
        </w:rPr>
        <w:t>CREG</w:t>
      </w:r>
      <w:r w:rsidR="00224628">
        <w:rPr>
          <w:rFonts w:ascii="Bookman Old Style" w:hAnsi="Bookman Old Style" w:cs="Arial"/>
          <w:spacing w:val="-5"/>
          <w:lang w:val="es-CO" w:eastAsia="en-US"/>
        </w:rPr>
        <w:t>,</w:t>
      </w:r>
      <w:r>
        <w:rPr>
          <w:rFonts w:ascii="Bookman Old Style" w:hAnsi="Bookman Old Style" w:cs="Arial"/>
          <w:spacing w:val="-5"/>
        </w:rPr>
        <w:t xml:space="preserve"> expidió la Resolución CREG 063</w:t>
      </w:r>
      <w:r w:rsidRPr="005C1BCA">
        <w:rPr>
          <w:rFonts w:ascii="Bookman Old Style" w:hAnsi="Bookman Old Style" w:cs="Arial"/>
          <w:spacing w:val="-5"/>
        </w:rPr>
        <w:t xml:space="preserve"> de 2016 “Por la cual se establecen parámetros de conducta y la participación de los agentes dentro de las actividades de comercialización mayorista y distribución de GLP”. </w:t>
      </w:r>
    </w:p>
    <w:p w14:paraId="7780AFAF" w14:textId="108EAE3D" w:rsidR="00DE5054" w:rsidRDefault="00DE5054" w:rsidP="00AC037D">
      <w:pPr>
        <w:spacing w:after="0" w:line="240" w:lineRule="auto"/>
        <w:ind w:right="-1"/>
        <w:jc w:val="both"/>
        <w:rPr>
          <w:rFonts w:ascii="Bookman Old Style" w:eastAsia="Times New Roman" w:hAnsi="Bookman Old Style" w:cs="Arial"/>
          <w:spacing w:val="-5"/>
          <w:sz w:val="24"/>
          <w:szCs w:val="24"/>
        </w:rPr>
      </w:pPr>
    </w:p>
    <w:p w14:paraId="769C8794" w14:textId="489ADAAD" w:rsidR="00867649" w:rsidRDefault="006A636A" w:rsidP="00AC037D">
      <w:pPr>
        <w:spacing w:after="0" w:line="240" w:lineRule="auto"/>
        <w:ind w:left="-142" w:right="-1"/>
        <w:jc w:val="both"/>
        <w:rPr>
          <w:rFonts w:ascii="Bookman Old Style" w:eastAsia="Times New Roman" w:hAnsi="Bookman Old Style" w:cs="Arial"/>
          <w:spacing w:val="-5"/>
          <w:sz w:val="24"/>
          <w:szCs w:val="24"/>
          <w:lang w:val="es-ES"/>
        </w:rPr>
      </w:pPr>
      <w:r w:rsidRPr="00F527A6">
        <w:rPr>
          <w:rFonts w:ascii="Bookman Old Style" w:eastAsia="Times New Roman" w:hAnsi="Bookman Old Style" w:cs="Arial"/>
          <w:spacing w:val="-5"/>
          <w:sz w:val="24"/>
          <w:szCs w:val="24"/>
          <w:lang w:val="es-ES"/>
        </w:rPr>
        <w:t>Teniendo en cuenta lo expuesto, l</w:t>
      </w:r>
      <w:r w:rsidR="00867649" w:rsidRPr="00F527A6">
        <w:rPr>
          <w:rFonts w:ascii="Bookman Old Style" w:eastAsia="Times New Roman" w:hAnsi="Bookman Old Style" w:cs="Arial"/>
          <w:spacing w:val="-5"/>
          <w:sz w:val="24"/>
          <w:szCs w:val="24"/>
          <w:lang w:val="es-ES"/>
        </w:rPr>
        <w:t>a definición de la capacidad</w:t>
      </w:r>
      <w:r w:rsidR="00867649" w:rsidRPr="00867649">
        <w:rPr>
          <w:rFonts w:ascii="Bookman Old Style" w:eastAsia="Times New Roman" w:hAnsi="Bookman Old Style" w:cs="Arial"/>
          <w:spacing w:val="-5"/>
          <w:sz w:val="24"/>
          <w:szCs w:val="24"/>
          <w:lang w:val="es-ES"/>
        </w:rPr>
        <w:t xml:space="preserve"> de compra se debe realizar para aquellos distribuidores que realizan la prestación del servicio de GLP en cilindros y/o a granel atendiendo la regulación prevista para el efecto en la Resolución CREG 023 de 2008</w:t>
      </w:r>
      <w:r w:rsidR="00867649">
        <w:rPr>
          <w:rFonts w:ascii="Bookman Old Style" w:eastAsia="Times New Roman" w:hAnsi="Bookman Old Style" w:cs="Arial"/>
          <w:spacing w:val="-5"/>
          <w:sz w:val="24"/>
          <w:szCs w:val="24"/>
          <w:lang w:val="es-ES"/>
        </w:rPr>
        <w:t>.</w:t>
      </w:r>
    </w:p>
    <w:p w14:paraId="77C3F9A8" w14:textId="46F3EEC0" w:rsidR="006A636A" w:rsidRDefault="006A636A" w:rsidP="00AC037D">
      <w:pPr>
        <w:spacing w:after="0" w:line="240" w:lineRule="auto"/>
        <w:ind w:right="-1"/>
        <w:jc w:val="both"/>
        <w:rPr>
          <w:rFonts w:ascii="Bookman Old Style" w:eastAsia="Times New Roman" w:hAnsi="Bookman Old Style" w:cs="Arial"/>
          <w:spacing w:val="-5"/>
          <w:sz w:val="24"/>
          <w:szCs w:val="24"/>
          <w:lang w:val="es-ES"/>
        </w:rPr>
      </w:pPr>
    </w:p>
    <w:p w14:paraId="4226599B" w14:textId="12F831C7" w:rsidR="00DE5054" w:rsidRPr="00FB2E5A" w:rsidRDefault="0092333D" w:rsidP="00AC037D">
      <w:pPr>
        <w:pStyle w:val="Textoindependiente2"/>
        <w:spacing w:after="0" w:line="240" w:lineRule="auto"/>
        <w:ind w:left="-142" w:right="-1"/>
        <w:jc w:val="both"/>
        <w:rPr>
          <w:rFonts w:ascii="Bookman Old Style" w:hAnsi="Bookman Old Style" w:cs="Arial"/>
          <w:spacing w:val="-5"/>
        </w:rPr>
      </w:pPr>
      <w:r>
        <w:rPr>
          <w:rFonts w:ascii="Bookman Old Style" w:hAnsi="Bookman Old Style" w:cs="Arial"/>
          <w:spacing w:val="-5"/>
        </w:rPr>
        <w:t xml:space="preserve">De acuerdo con lo previsto en </w:t>
      </w:r>
      <w:r w:rsidR="00DE5054">
        <w:rPr>
          <w:rFonts w:ascii="Bookman Old Style" w:hAnsi="Bookman Old Style" w:cs="Arial"/>
          <w:spacing w:val="-5"/>
        </w:rPr>
        <w:t>la Resolución CREG 063 de 2016</w:t>
      </w:r>
      <w:r w:rsidR="00224628">
        <w:rPr>
          <w:rFonts w:ascii="Bookman Old Style" w:hAnsi="Bookman Old Style" w:cs="Arial"/>
          <w:spacing w:val="-5"/>
        </w:rPr>
        <w:t>,</w:t>
      </w:r>
      <w:r>
        <w:rPr>
          <w:rFonts w:ascii="Bookman Old Style" w:hAnsi="Bookman Old Style" w:cs="Arial"/>
          <w:spacing w:val="-5"/>
        </w:rPr>
        <w:t xml:space="preserve"> el </w:t>
      </w:r>
      <w:r w:rsidRPr="00FB2E5A">
        <w:rPr>
          <w:rFonts w:ascii="Bookman Old Style" w:hAnsi="Bookman Old Style" w:cs="Arial"/>
          <w:spacing w:val="-5"/>
        </w:rPr>
        <w:t>período de compra ha sido definido</w:t>
      </w:r>
      <w:r>
        <w:rPr>
          <w:rFonts w:ascii="Bookman Old Style" w:hAnsi="Bookman Old Style" w:cs="Arial"/>
          <w:spacing w:val="-5"/>
        </w:rPr>
        <w:t xml:space="preserve"> </w:t>
      </w:r>
      <w:r w:rsidR="00DE5054" w:rsidRPr="00FB2E5A">
        <w:rPr>
          <w:rFonts w:ascii="Bookman Old Style" w:hAnsi="Bookman Old Style" w:cs="Arial"/>
          <w:spacing w:val="-5"/>
        </w:rPr>
        <w:t>como el</w:t>
      </w:r>
      <w:r w:rsidR="00DE5054" w:rsidRPr="00FB2E5A">
        <w:rPr>
          <w:rFonts w:ascii="Bookman Old Style" w:eastAsia="MS Mincho" w:hAnsi="Bookman Old Style"/>
          <w:lang w:val="es-ES_tradnl"/>
        </w:rPr>
        <w:t xml:space="preserve"> </w:t>
      </w:r>
      <w:r>
        <w:rPr>
          <w:rFonts w:ascii="Bookman Old Style" w:eastAsia="MS Mincho" w:hAnsi="Bookman Old Style"/>
          <w:lang w:val="es-ES_tradnl"/>
        </w:rPr>
        <w:t>“</w:t>
      </w:r>
      <w:r w:rsidR="00DE5054" w:rsidRPr="00FB2E5A">
        <w:rPr>
          <w:rFonts w:ascii="Bookman Old Style" w:hAnsi="Bookman Old Style" w:cs="Arial"/>
          <w:spacing w:val="-5"/>
        </w:rPr>
        <w:t>per</w:t>
      </w:r>
      <w:r w:rsidR="00224628">
        <w:rPr>
          <w:rFonts w:ascii="Bookman Old Style" w:hAnsi="Bookman Old Style" w:cs="Arial"/>
          <w:spacing w:val="-5"/>
        </w:rPr>
        <w:t>í</w:t>
      </w:r>
      <w:r w:rsidR="00DE5054" w:rsidRPr="00FB2E5A">
        <w:rPr>
          <w:rFonts w:ascii="Bookman Old Style" w:hAnsi="Bookman Old Style" w:cs="Arial"/>
          <w:spacing w:val="-5"/>
        </w:rPr>
        <w:t xml:space="preserve">odo de 6 meses que inicia un primero (1) de julio de cada año y terminará el treinta y uno (31) de diciembre del mismo año o aquel que inicia un primero (1) de enero de cada año y termina el treinta (30) </w:t>
      </w:r>
      <w:r w:rsidR="006B2543">
        <w:rPr>
          <w:rFonts w:ascii="Bookman Old Style" w:hAnsi="Bookman Old Style" w:cs="Arial"/>
          <w:spacing w:val="-5"/>
        </w:rPr>
        <w:t xml:space="preserve">de junio </w:t>
      </w:r>
      <w:r w:rsidR="00DE5054" w:rsidRPr="00FB2E5A">
        <w:rPr>
          <w:rFonts w:ascii="Bookman Old Style" w:hAnsi="Bookman Old Style" w:cs="Arial"/>
          <w:spacing w:val="-5"/>
        </w:rPr>
        <w:t xml:space="preserve">del mismo año”. </w:t>
      </w:r>
    </w:p>
    <w:p w14:paraId="544855BE" w14:textId="77777777" w:rsidR="00DE5054" w:rsidRPr="00FB2E5A" w:rsidRDefault="00DE5054" w:rsidP="00AC037D">
      <w:pPr>
        <w:spacing w:after="0" w:line="240" w:lineRule="auto"/>
        <w:ind w:right="-1"/>
        <w:jc w:val="both"/>
        <w:rPr>
          <w:rFonts w:ascii="Bookman Old Style" w:eastAsia="Times New Roman" w:hAnsi="Bookman Old Style" w:cs="Arial"/>
          <w:spacing w:val="-5"/>
          <w:sz w:val="24"/>
          <w:szCs w:val="24"/>
        </w:rPr>
      </w:pPr>
    </w:p>
    <w:p w14:paraId="760E29F8" w14:textId="43BBA800" w:rsidR="00DE5054" w:rsidRPr="00FB2E5A" w:rsidRDefault="00DE5054" w:rsidP="00AC037D">
      <w:pPr>
        <w:pStyle w:val="Textoindependiente2"/>
        <w:spacing w:after="0" w:line="240" w:lineRule="auto"/>
        <w:ind w:left="-142" w:right="-1"/>
        <w:jc w:val="both"/>
        <w:rPr>
          <w:rFonts w:ascii="Bookman Old Style" w:eastAsia="MS Mincho" w:hAnsi="Bookman Old Style" w:cs="Arial"/>
        </w:rPr>
      </w:pPr>
      <w:r>
        <w:rPr>
          <w:rFonts w:ascii="Bookman Old Style" w:eastAsia="MS Mincho" w:hAnsi="Bookman Old Style" w:cs="Arial"/>
        </w:rPr>
        <w:lastRenderedPageBreak/>
        <w:t>Así mismo</w:t>
      </w:r>
      <w:r w:rsidRPr="00FB2E5A">
        <w:rPr>
          <w:rFonts w:ascii="Bookman Old Style" w:eastAsia="MS Mincho" w:hAnsi="Bookman Old Style" w:cs="Arial"/>
        </w:rPr>
        <w:t xml:space="preserve">, el </w:t>
      </w:r>
      <w:r w:rsidRPr="00A33677">
        <w:rPr>
          <w:rFonts w:ascii="Bookman Old Style" w:hAnsi="Bookman Old Style" w:cs="Arial"/>
          <w:spacing w:val="-5"/>
        </w:rPr>
        <w:t>artículo</w:t>
      </w:r>
      <w:r w:rsidRPr="00FB2E5A">
        <w:rPr>
          <w:rFonts w:ascii="Bookman Old Style" w:eastAsia="MS Mincho" w:hAnsi="Bookman Old Style" w:cs="Arial"/>
        </w:rPr>
        <w:t xml:space="preserve"> 9 de la Resolución CREG 063 de 2016</w:t>
      </w:r>
      <w:r w:rsidR="009150DC">
        <w:rPr>
          <w:rFonts w:ascii="Bookman Old Style" w:eastAsia="MS Mincho" w:hAnsi="Bookman Old Style" w:cs="Arial"/>
        </w:rPr>
        <w:t xml:space="preserve">, modificado por </w:t>
      </w:r>
      <w:r w:rsidR="00AA7A02">
        <w:rPr>
          <w:rFonts w:ascii="Bookman Old Style" w:eastAsia="MS Mincho" w:hAnsi="Bookman Old Style" w:cs="Arial"/>
        </w:rPr>
        <w:t xml:space="preserve">la Resolución CREG 227 de 2016, </w:t>
      </w:r>
      <w:r w:rsidRPr="00FB2E5A">
        <w:rPr>
          <w:rFonts w:ascii="Bookman Old Style" w:eastAsia="MS Mincho" w:hAnsi="Bookman Old Style" w:cs="Arial"/>
        </w:rPr>
        <w:t>estableció que:</w:t>
      </w:r>
    </w:p>
    <w:p w14:paraId="186D0808" w14:textId="77777777" w:rsidR="00DE5054" w:rsidRPr="00FB2E5A" w:rsidRDefault="00DE5054" w:rsidP="00AC037D">
      <w:pPr>
        <w:spacing w:after="0" w:line="240" w:lineRule="auto"/>
        <w:ind w:right="-1"/>
        <w:jc w:val="both"/>
        <w:rPr>
          <w:rFonts w:ascii="Bookman Old Style" w:eastAsia="MS Mincho" w:hAnsi="Bookman Old Style" w:cs="Arial"/>
          <w:sz w:val="24"/>
          <w:szCs w:val="24"/>
        </w:rPr>
      </w:pPr>
    </w:p>
    <w:p w14:paraId="29D9D4FA" w14:textId="77777777" w:rsidR="00DE5054" w:rsidRPr="007F3FC2" w:rsidRDefault="00DE5054" w:rsidP="00AC037D">
      <w:pPr>
        <w:tabs>
          <w:tab w:val="left" w:pos="-720"/>
          <w:tab w:val="left" w:pos="1276"/>
          <w:tab w:val="left" w:pos="9356"/>
        </w:tabs>
        <w:suppressAutoHyphens/>
        <w:overflowPunct w:val="0"/>
        <w:autoSpaceDE w:val="0"/>
        <w:spacing w:after="0" w:line="240" w:lineRule="auto"/>
        <w:ind w:left="567" w:right="-1"/>
        <w:jc w:val="both"/>
        <w:textAlignment w:val="baseline"/>
        <w:rPr>
          <w:rFonts w:ascii="Bookman Old Style" w:eastAsia="Times New Roman" w:hAnsi="Bookman Old Style" w:cs="Arial"/>
          <w:i/>
          <w:lang w:val="es-ES" w:eastAsia="es-ES"/>
        </w:rPr>
      </w:pPr>
      <w:r w:rsidRPr="007F3FC2">
        <w:rPr>
          <w:rFonts w:ascii="Bookman Old Style" w:eastAsia="Times New Roman" w:hAnsi="Bookman Old Style" w:cs="Arial"/>
          <w:b/>
          <w:i/>
          <w:lang w:val="es-ES" w:eastAsia="es-ES"/>
        </w:rPr>
        <w:t xml:space="preserve">“Artículo 9. Determinación y publicación de la capacidad de compra. </w:t>
      </w:r>
      <w:r w:rsidRPr="007F3FC2">
        <w:rPr>
          <w:rFonts w:ascii="Bookman Old Style" w:eastAsia="Times New Roman" w:hAnsi="Bookman Old Style" w:cs="Arial"/>
          <w:i/>
          <w:lang w:val="es-ES" w:eastAsia="es-ES"/>
        </w:rPr>
        <w:t xml:space="preserve">Atendiendo lo dispuesto en el artículo anterior, </w:t>
      </w:r>
      <w:r w:rsidRPr="007F3FC2">
        <w:rPr>
          <w:rFonts w:ascii="Bookman Old Style" w:eastAsia="Times New Roman" w:hAnsi="Bookman Old Style" w:cs="Arial"/>
          <w:b/>
          <w:i/>
          <w:u w:val="single"/>
          <w:lang w:val="es-ES" w:eastAsia="es-ES"/>
        </w:rPr>
        <w:t>la CREG determinará</w:t>
      </w:r>
      <w:r w:rsidRPr="007F3FC2">
        <w:rPr>
          <w:rFonts w:ascii="Bookman Old Style" w:eastAsia="Times New Roman" w:hAnsi="Bookman Old Style" w:cs="Arial"/>
          <w:i/>
          <w:lang w:val="es-ES" w:eastAsia="es-ES"/>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14:paraId="6FEBE2B4" w14:textId="47650A4D" w:rsidR="00811FB5" w:rsidRDefault="00811FB5"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Arial"/>
          <w:sz w:val="24"/>
          <w:szCs w:val="24"/>
          <w:lang w:val="es-ES_tradnl" w:eastAsia="ar-SA"/>
        </w:rPr>
      </w:pPr>
    </w:p>
    <w:p w14:paraId="7D601309" w14:textId="73A56497" w:rsidR="00DE5054" w:rsidRPr="00A33677" w:rsidRDefault="00807AB2" w:rsidP="00AC037D">
      <w:pPr>
        <w:pStyle w:val="Textoindependiente2"/>
        <w:spacing w:after="0" w:line="240" w:lineRule="auto"/>
        <w:ind w:left="-142" w:right="-1"/>
        <w:jc w:val="both"/>
        <w:rPr>
          <w:rFonts w:ascii="Bookman Old Style" w:hAnsi="Bookman Old Style" w:cs="Arial"/>
          <w:spacing w:val="-5"/>
        </w:rPr>
      </w:pPr>
      <w:r>
        <w:rPr>
          <w:rFonts w:ascii="Bookman Old Style" w:eastAsia="MS Mincho" w:hAnsi="Bookman Old Style" w:cs="Arial"/>
          <w:b/>
          <w:bCs/>
          <w:lang w:val="es-ES_tradnl"/>
        </w:rPr>
        <w:t>II.</w:t>
      </w:r>
      <w:r w:rsidR="00147CFE" w:rsidRPr="00F527A6">
        <w:rPr>
          <w:rFonts w:ascii="Bookman Old Style" w:eastAsia="MS Mincho" w:hAnsi="Bookman Old Style" w:cs="Arial"/>
          <w:b/>
          <w:bCs/>
          <w:lang w:val="es-ES_tradnl"/>
        </w:rPr>
        <w:t>TR</w:t>
      </w:r>
      <w:r>
        <w:rPr>
          <w:rFonts w:ascii="Bookman Old Style" w:eastAsia="MS Mincho" w:hAnsi="Bookman Old Style" w:cs="Arial"/>
          <w:b/>
          <w:bCs/>
          <w:lang w:val="es-ES_tradnl"/>
        </w:rPr>
        <w:t>Á</w:t>
      </w:r>
      <w:r w:rsidR="00147CFE" w:rsidRPr="00F527A6">
        <w:rPr>
          <w:rFonts w:ascii="Bookman Old Style" w:eastAsia="MS Mincho" w:hAnsi="Bookman Old Style" w:cs="Arial"/>
          <w:b/>
          <w:bCs/>
          <w:lang w:val="es-ES_tradnl"/>
        </w:rPr>
        <w:t xml:space="preserve">MITE ADELANTADO PARA DEFINIR </w:t>
      </w:r>
      <w:r>
        <w:rPr>
          <w:rFonts w:ascii="Bookman Old Style" w:eastAsia="MS Mincho" w:hAnsi="Bookman Old Style" w:cs="Arial"/>
          <w:b/>
          <w:bCs/>
          <w:lang w:val="es-ES_tradnl"/>
        </w:rPr>
        <w:t xml:space="preserve">LA </w:t>
      </w:r>
      <w:r w:rsidR="00147CFE" w:rsidRPr="00F527A6">
        <w:rPr>
          <w:rFonts w:ascii="Bookman Old Style" w:eastAsia="MS Mincho" w:hAnsi="Bookman Old Style" w:cs="Arial"/>
          <w:b/>
          <w:bCs/>
          <w:lang w:val="es-ES_tradnl"/>
        </w:rPr>
        <w:t>CAPACIDAD DE COMPRA</w:t>
      </w:r>
    </w:p>
    <w:p w14:paraId="5B265AAC" w14:textId="77777777" w:rsidR="00DE5054" w:rsidRPr="00A33677" w:rsidRDefault="00DE5054" w:rsidP="00AC037D">
      <w:pPr>
        <w:pStyle w:val="Textoindependiente2"/>
        <w:spacing w:after="0" w:line="240" w:lineRule="auto"/>
        <w:ind w:left="-142" w:right="-1"/>
        <w:jc w:val="both"/>
        <w:rPr>
          <w:rFonts w:ascii="Bookman Old Style" w:hAnsi="Bookman Old Style" w:cs="Arial"/>
          <w:spacing w:val="-5"/>
        </w:rPr>
      </w:pPr>
    </w:p>
    <w:p w14:paraId="59BAAECE" w14:textId="5A5B1E61" w:rsidR="00981490" w:rsidRPr="00A33677" w:rsidRDefault="005F4876" w:rsidP="00AC037D">
      <w:pPr>
        <w:pStyle w:val="Textoindependiente2"/>
        <w:spacing w:after="0" w:line="240" w:lineRule="auto"/>
        <w:ind w:left="-142" w:right="-1"/>
        <w:jc w:val="both"/>
        <w:rPr>
          <w:rFonts w:ascii="Bookman Old Style" w:hAnsi="Bookman Old Style" w:cs="Arial"/>
          <w:spacing w:val="-5"/>
        </w:rPr>
      </w:pPr>
      <w:r>
        <w:rPr>
          <w:rFonts w:ascii="Bookman Old Style" w:hAnsi="Bookman Old Style" w:cs="Arial"/>
          <w:spacing w:val="-5"/>
        </w:rPr>
        <w:t>L</w:t>
      </w:r>
      <w:r w:rsidR="00981490" w:rsidRPr="00A33677">
        <w:rPr>
          <w:rFonts w:ascii="Bookman Old Style" w:hAnsi="Bookman Old Style" w:cs="Arial"/>
          <w:spacing w:val="-5"/>
        </w:rPr>
        <w:t xml:space="preserve">a Comisión de Regulación de Energía y Gas mediante comunicación </w:t>
      </w:r>
      <w:r w:rsidR="002E3F00">
        <w:rPr>
          <w:rFonts w:ascii="Bookman Old Style" w:hAnsi="Bookman Old Style" w:cs="Arial"/>
          <w:spacing w:val="-5"/>
        </w:rPr>
        <w:t xml:space="preserve">con radicado </w:t>
      </w:r>
      <w:r w:rsidR="002E3F00" w:rsidRPr="003460A5">
        <w:rPr>
          <w:rFonts w:ascii="Bookman Old Style" w:hAnsi="Bookman Old Style" w:cs="Arial"/>
          <w:spacing w:val="-5"/>
        </w:rPr>
        <w:t>CREG S-2020</w:t>
      </w:r>
      <w:r w:rsidR="00981490" w:rsidRPr="003460A5">
        <w:rPr>
          <w:rFonts w:ascii="Bookman Old Style" w:hAnsi="Bookman Old Style" w:cs="Arial"/>
          <w:spacing w:val="-5"/>
        </w:rPr>
        <w:t>-</w:t>
      </w:r>
      <w:r w:rsidR="00493D5D" w:rsidRPr="003460A5">
        <w:rPr>
          <w:rFonts w:ascii="Bookman Old Style" w:hAnsi="Bookman Old Style" w:cs="Arial"/>
          <w:spacing w:val="-5"/>
        </w:rPr>
        <w:t>00</w:t>
      </w:r>
      <w:r w:rsidR="002E3F00" w:rsidRPr="003460A5">
        <w:rPr>
          <w:rFonts w:ascii="Bookman Old Style" w:hAnsi="Bookman Old Style" w:cs="Arial"/>
          <w:spacing w:val="-5"/>
        </w:rPr>
        <w:t xml:space="preserve">1293 </w:t>
      </w:r>
      <w:r w:rsidR="003460A5" w:rsidRPr="003460A5">
        <w:rPr>
          <w:rFonts w:ascii="Bookman Old Style" w:hAnsi="Bookman Old Style" w:cs="Arial"/>
          <w:spacing w:val="-5"/>
        </w:rPr>
        <w:t xml:space="preserve">del 4 </w:t>
      </w:r>
      <w:r w:rsidR="00393342" w:rsidRPr="003460A5">
        <w:rPr>
          <w:rFonts w:ascii="Bookman Old Style" w:hAnsi="Bookman Old Style" w:cs="Arial"/>
          <w:spacing w:val="-5"/>
        </w:rPr>
        <w:t xml:space="preserve">de </w:t>
      </w:r>
      <w:r w:rsidR="002E3F00" w:rsidRPr="003460A5">
        <w:rPr>
          <w:rFonts w:ascii="Bookman Old Style" w:hAnsi="Bookman Old Style" w:cs="Arial"/>
          <w:spacing w:val="-5"/>
        </w:rPr>
        <w:t>marzo de 2020</w:t>
      </w:r>
      <w:r w:rsidR="009746FD" w:rsidRPr="003460A5">
        <w:rPr>
          <w:rFonts w:ascii="Bookman Old Style" w:hAnsi="Bookman Old Style" w:cs="Arial"/>
          <w:spacing w:val="-5"/>
        </w:rPr>
        <w:t xml:space="preserve"> </w:t>
      </w:r>
      <w:r w:rsidR="00981490" w:rsidRPr="003460A5">
        <w:rPr>
          <w:rFonts w:ascii="Bookman Old Style" w:hAnsi="Bookman Old Style" w:cs="Arial"/>
          <w:spacing w:val="-5"/>
        </w:rPr>
        <w:t>solicitó</w:t>
      </w:r>
      <w:r w:rsidR="00981490" w:rsidRPr="00A33677">
        <w:rPr>
          <w:rFonts w:ascii="Bookman Old Style" w:hAnsi="Bookman Old Style" w:cs="Arial"/>
          <w:spacing w:val="-5"/>
        </w:rPr>
        <w:t xml:space="preserve">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00981490" w:rsidRPr="00A33677">
        <w:rPr>
          <w:rFonts w:ascii="Bookman Old Style" w:hAnsi="Bookman Old Style" w:cs="Arial"/>
          <w:spacing w:val="-5"/>
        </w:rPr>
        <w:footnoteReference w:id="2"/>
      </w:r>
      <w:r w:rsidR="00981490" w:rsidRPr="00A33677">
        <w:rPr>
          <w:rFonts w:ascii="Bookman Old Style" w:hAnsi="Bookman Old Style" w:cs="Arial"/>
          <w:spacing w:val="-5"/>
        </w:rPr>
        <w:t>. Así mismo, remitir la información de tanques estacionarios atendidos por cada distribuidor y su capacidad en galones correspondiente al año 2017 de acuerdo con lo reportado a la Superintendencia de Servicios Públicos Domiciliarios en el Sistema Único de Información - SUI con base lo dispuesto en las Circulares SSPD – CREG 001 de 2004 y 001 de 2017.</w:t>
      </w:r>
    </w:p>
    <w:p w14:paraId="69D0F9D6" w14:textId="77777777" w:rsidR="00981490" w:rsidRPr="00A33677" w:rsidRDefault="00981490" w:rsidP="00AC037D">
      <w:pPr>
        <w:pStyle w:val="Textoindependiente2"/>
        <w:spacing w:after="0" w:line="240" w:lineRule="auto"/>
        <w:ind w:left="-142" w:right="-1"/>
        <w:jc w:val="both"/>
        <w:rPr>
          <w:rFonts w:ascii="Bookman Old Style" w:hAnsi="Bookman Old Style" w:cs="Arial"/>
          <w:spacing w:val="-5"/>
        </w:rPr>
      </w:pPr>
    </w:p>
    <w:p w14:paraId="110D8141" w14:textId="7CA7AC6E" w:rsidR="00981490" w:rsidRPr="004356C4" w:rsidRDefault="00981490" w:rsidP="00AC037D">
      <w:pPr>
        <w:pStyle w:val="Textoindependiente2"/>
        <w:spacing w:after="0" w:line="240" w:lineRule="auto"/>
        <w:ind w:left="-142" w:right="-1"/>
        <w:jc w:val="both"/>
        <w:rPr>
          <w:rFonts w:ascii="Bookman Old Style" w:hAnsi="Bookman Old Style" w:cs="Arial"/>
          <w:spacing w:val="-5"/>
        </w:rPr>
      </w:pPr>
      <w:r w:rsidRPr="00A33677">
        <w:rPr>
          <w:rFonts w:ascii="Bookman Old Style" w:hAnsi="Bookman Old Style" w:cs="Arial"/>
          <w:spacing w:val="-5"/>
        </w:rPr>
        <w:t>La Superintendencia de Servicios Públicos Domiciliarios atendió este requerimiento mediante la</w:t>
      </w:r>
      <w:r w:rsidR="00BC35AA" w:rsidRPr="00A33677">
        <w:rPr>
          <w:rFonts w:ascii="Bookman Old Style" w:hAnsi="Bookman Old Style" w:cs="Arial"/>
          <w:spacing w:val="-5"/>
        </w:rPr>
        <w:t xml:space="preserve"> </w:t>
      </w:r>
      <w:r w:rsidR="004356C4">
        <w:rPr>
          <w:rFonts w:ascii="Bookman Old Style" w:hAnsi="Bookman Old Style" w:cs="Arial"/>
          <w:spacing w:val="-5"/>
        </w:rPr>
        <w:t xml:space="preserve">comunicación </w:t>
      </w:r>
      <w:r w:rsidR="004356C4" w:rsidRPr="003460A5">
        <w:rPr>
          <w:rFonts w:ascii="Bookman Old Style" w:hAnsi="Bookman Old Style" w:cs="Arial"/>
          <w:spacing w:val="-5"/>
        </w:rPr>
        <w:t>20202300156661</w:t>
      </w:r>
      <w:r w:rsidR="0093522B" w:rsidRPr="003460A5">
        <w:rPr>
          <w:rFonts w:ascii="Bookman Old Style" w:hAnsi="Bookman Old Style" w:cs="Arial"/>
          <w:spacing w:val="-5"/>
        </w:rPr>
        <w:t xml:space="preserve">, </w:t>
      </w:r>
      <w:r w:rsidR="004356C4" w:rsidRPr="003460A5">
        <w:rPr>
          <w:rFonts w:ascii="Bookman Old Style" w:hAnsi="Bookman Old Style" w:cs="Arial"/>
          <w:spacing w:val="-5"/>
        </w:rPr>
        <w:t xml:space="preserve">con </w:t>
      </w:r>
      <w:r w:rsidRPr="003460A5">
        <w:rPr>
          <w:rFonts w:ascii="Bookman Old Style" w:hAnsi="Bookman Old Style" w:cs="Arial"/>
          <w:spacing w:val="-5"/>
        </w:rPr>
        <w:t>radicado CREG E-</w:t>
      </w:r>
      <w:r w:rsidR="004356C4" w:rsidRPr="003460A5">
        <w:rPr>
          <w:rFonts w:ascii="Bookman Old Style" w:hAnsi="Bookman Old Style" w:cs="Arial"/>
          <w:spacing w:val="-5"/>
        </w:rPr>
        <w:t>2020</w:t>
      </w:r>
      <w:r w:rsidRPr="003460A5">
        <w:rPr>
          <w:rFonts w:ascii="Bookman Old Style" w:hAnsi="Bookman Old Style" w:cs="Arial"/>
          <w:spacing w:val="-5"/>
        </w:rPr>
        <w:t>-00</w:t>
      </w:r>
      <w:r w:rsidR="004356C4" w:rsidRPr="003460A5">
        <w:rPr>
          <w:rFonts w:ascii="Bookman Old Style" w:hAnsi="Bookman Old Style" w:cs="Arial"/>
          <w:spacing w:val="-5"/>
        </w:rPr>
        <w:t>2376</w:t>
      </w:r>
      <w:r w:rsidR="003460A5" w:rsidRPr="003460A5">
        <w:rPr>
          <w:rFonts w:ascii="Bookman Old Style" w:hAnsi="Bookman Old Style" w:cs="Arial"/>
          <w:spacing w:val="-5"/>
        </w:rPr>
        <w:t xml:space="preserve"> del</w:t>
      </w:r>
      <w:r w:rsidR="003460A5">
        <w:rPr>
          <w:rFonts w:ascii="Bookman Old Style" w:hAnsi="Bookman Old Style" w:cs="Arial"/>
          <w:spacing w:val="-5"/>
        </w:rPr>
        <w:t xml:space="preserve"> 19 de marzo</w:t>
      </w:r>
      <w:r w:rsidR="00C30D7B">
        <w:rPr>
          <w:rFonts w:ascii="Bookman Old Style" w:hAnsi="Bookman Old Style" w:cs="Arial"/>
          <w:spacing w:val="-5"/>
        </w:rPr>
        <w:t xml:space="preserve"> de 2020</w:t>
      </w:r>
      <w:r w:rsidR="004356C4">
        <w:rPr>
          <w:rFonts w:ascii="Bookman Old Style" w:hAnsi="Bookman Old Style" w:cs="Arial"/>
          <w:spacing w:val="-5"/>
        </w:rPr>
        <w:t>.</w:t>
      </w:r>
      <w:r w:rsidR="00DE5054" w:rsidRPr="00A33677">
        <w:rPr>
          <w:rFonts w:ascii="Bookman Old Style" w:hAnsi="Bookman Old Style" w:cs="Arial"/>
          <w:spacing w:val="-5"/>
        </w:rPr>
        <w:t xml:space="preserve"> </w:t>
      </w:r>
      <w:r w:rsidR="0093522B" w:rsidRPr="00A33677">
        <w:rPr>
          <w:rFonts w:ascii="Bookman Old Style" w:hAnsi="Bookman Old Style" w:cs="Arial"/>
          <w:spacing w:val="-5"/>
        </w:rPr>
        <w:t xml:space="preserve">Dentro </w:t>
      </w:r>
      <w:r w:rsidR="004356C4">
        <w:rPr>
          <w:rFonts w:ascii="Bookman Old Style" w:hAnsi="Bookman Old Style" w:cs="Arial"/>
          <w:spacing w:val="-5"/>
        </w:rPr>
        <w:t>de esta</w:t>
      </w:r>
      <w:r w:rsidR="0093522B" w:rsidRPr="00A33677">
        <w:rPr>
          <w:rFonts w:ascii="Bookman Old Style" w:hAnsi="Bookman Old Style" w:cs="Arial"/>
          <w:spacing w:val="-5"/>
        </w:rPr>
        <w:t xml:space="preserve"> comunicaci</w:t>
      </w:r>
      <w:r w:rsidR="004356C4">
        <w:rPr>
          <w:rFonts w:ascii="Bookman Old Style" w:hAnsi="Bookman Old Style" w:cs="Arial"/>
          <w:spacing w:val="-5"/>
        </w:rPr>
        <w:t>ón</w:t>
      </w:r>
      <w:r w:rsidR="00224628">
        <w:rPr>
          <w:rFonts w:ascii="Bookman Old Style" w:hAnsi="Bookman Old Style" w:cs="Arial"/>
          <w:spacing w:val="-5"/>
        </w:rPr>
        <w:t>,</w:t>
      </w:r>
      <w:r w:rsidR="00DE5054" w:rsidRPr="00A33677">
        <w:rPr>
          <w:rFonts w:ascii="Bookman Old Style" w:hAnsi="Bookman Old Style" w:cs="Arial"/>
          <w:spacing w:val="-5"/>
        </w:rPr>
        <w:t xml:space="preserve"> la Superintendencia</w:t>
      </w:r>
      <w:r w:rsidR="00224628">
        <w:rPr>
          <w:rFonts w:ascii="Bookman Old Style" w:hAnsi="Bookman Old Style" w:cs="Arial"/>
          <w:spacing w:val="-5"/>
        </w:rPr>
        <w:t>,</w:t>
      </w:r>
      <w:r w:rsidR="00DE5054" w:rsidRPr="00A33677">
        <w:rPr>
          <w:rFonts w:ascii="Bookman Old Style" w:hAnsi="Bookman Old Style" w:cs="Arial"/>
          <w:spacing w:val="-5"/>
        </w:rPr>
        <w:t xml:space="preserve"> </w:t>
      </w:r>
      <w:r w:rsidR="008C7C6D" w:rsidRPr="00A33677">
        <w:rPr>
          <w:rFonts w:ascii="Bookman Old Style" w:hAnsi="Bookman Old Style" w:cs="Arial"/>
          <w:spacing w:val="-5"/>
        </w:rPr>
        <w:t>a través de la Superintendencia Delegada de Energía y Gas Combustible</w:t>
      </w:r>
      <w:r w:rsidR="00224628">
        <w:rPr>
          <w:rFonts w:ascii="Bookman Old Style" w:hAnsi="Bookman Old Style" w:cs="Arial"/>
          <w:spacing w:val="-5"/>
        </w:rPr>
        <w:t>,</w:t>
      </w:r>
      <w:r w:rsidR="008C7C6D" w:rsidRPr="00A33677">
        <w:rPr>
          <w:rFonts w:ascii="Bookman Old Style" w:hAnsi="Bookman Old Style" w:cs="Arial"/>
          <w:spacing w:val="-5"/>
        </w:rPr>
        <w:t xml:space="preserve"> </w:t>
      </w:r>
      <w:r w:rsidR="00DE5054" w:rsidRPr="00A33677">
        <w:rPr>
          <w:rFonts w:ascii="Bookman Old Style" w:hAnsi="Bookman Old Style" w:cs="Arial"/>
          <w:spacing w:val="-5"/>
        </w:rPr>
        <w:t>expuso lo siguiente:</w:t>
      </w:r>
    </w:p>
    <w:p w14:paraId="4E244D6A" w14:textId="77777777" w:rsidR="004356C4" w:rsidRDefault="004356C4" w:rsidP="00AC037D">
      <w:pPr>
        <w:pStyle w:val="Textoindependiente2"/>
        <w:spacing w:after="0" w:line="240" w:lineRule="auto"/>
        <w:ind w:right="-1"/>
        <w:jc w:val="both"/>
        <w:rPr>
          <w:rFonts w:ascii="Bookman Old Style" w:hAnsi="Bookman Old Style"/>
          <w:i/>
          <w:sz w:val="22"/>
          <w:szCs w:val="22"/>
        </w:rPr>
      </w:pPr>
    </w:p>
    <w:p w14:paraId="61BABB31"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1851C6">
        <w:rPr>
          <w:rFonts w:ascii="Bookman Old Style" w:hAnsi="Bookman Old Style"/>
          <w:i/>
          <w:sz w:val="22"/>
          <w:szCs w:val="22"/>
        </w:rPr>
        <w:t xml:space="preserve"> “</w:t>
      </w:r>
      <w:r w:rsidRPr="00D731BA">
        <w:rPr>
          <w:rFonts w:ascii="Bookman Old Style" w:hAnsi="Bookman Old Style"/>
          <w:i/>
          <w:sz w:val="22"/>
          <w:szCs w:val="22"/>
        </w:rPr>
        <w:t>•</w:t>
      </w:r>
      <w:r>
        <w:rPr>
          <w:rFonts w:ascii="Bookman Old Style" w:hAnsi="Bookman Old Style"/>
          <w:i/>
          <w:sz w:val="22"/>
          <w:szCs w:val="22"/>
        </w:rPr>
        <w:t xml:space="preserve"> </w:t>
      </w:r>
      <w:r w:rsidRPr="00D731BA">
        <w:rPr>
          <w:rFonts w:ascii="Bookman Old Style" w:hAnsi="Bookman Old Style"/>
          <w:i/>
          <w:sz w:val="22"/>
          <w:szCs w:val="22"/>
        </w:rPr>
        <w:t>Fecha de consulta de información: 16 de marzo de 2020.</w:t>
      </w:r>
    </w:p>
    <w:p w14:paraId="53AC1EEA" w14:textId="478EF52A"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ab/>
        <w:t>Modo de envió: CD donde se encuentran dos carpetas así:</w:t>
      </w:r>
    </w:p>
    <w:p w14:paraId="0D2AE83A" w14:textId="77777777" w:rsidR="004356C4" w:rsidRPr="00D731BA" w:rsidRDefault="004356C4" w:rsidP="00AC037D">
      <w:pPr>
        <w:pStyle w:val="Textoindependiente2"/>
        <w:tabs>
          <w:tab w:val="left" w:pos="9356"/>
        </w:tabs>
        <w:spacing w:after="0" w:line="240" w:lineRule="auto"/>
        <w:ind w:left="0" w:right="-1"/>
        <w:jc w:val="both"/>
        <w:rPr>
          <w:rFonts w:ascii="Bookman Old Style" w:hAnsi="Bookman Old Style"/>
          <w:i/>
          <w:sz w:val="22"/>
          <w:szCs w:val="22"/>
        </w:rPr>
      </w:pPr>
    </w:p>
    <w:p w14:paraId="421BBE28"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1.  INFORMACIÓN DE CILINDROS ACTIVOS</w:t>
      </w:r>
    </w:p>
    <w:p w14:paraId="3D5ACA24"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5F09971A"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En esta carpeta se encuentra la información consolidada de Cilindros Migrados del SICMA por ACI Proyectos y la información Técnica del Parque de Cilindros Marcados,</w:t>
      </w:r>
      <w:r>
        <w:rPr>
          <w:rFonts w:ascii="Bookman Old Style" w:hAnsi="Bookman Old Style"/>
          <w:i/>
          <w:sz w:val="22"/>
          <w:szCs w:val="22"/>
        </w:rPr>
        <w:t xml:space="preserve"> </w:t>
      </w:r>
      <w:r w:rsidRPr="00D731BA">
        <w:rPr>
          <w:rFonts w:ascii="Bookman Old Style" w:hAnsi="Bookman Old Style"/>
          <w:i/>
          <w:sz w:val="22"/>
          <w:szCs w:val="22"/>
        </w:rPr>
        <w:t>donde se relacionan</w:t>
      </w:r>
      <w:r>
        <w:rPr>
          <w:rFonts w:ascii="Bookman Old Style" w:hAnsi="Bookman Old Style"/>
          <w:i/>
          <w:sz w:val="22"/>
          <w:szCs w:val="22"/>
        </w:rPr>
        <w:t xml:space="preserve"> </w:t>
      </w:r>
      <w:r w:rsidRPr="00D731BA">
        <w:rPr>
          <w:rFonts w:ascii="Bookman Old Style" w:hAnsi="Bookman Old Style"/>
          <w:i/>
          <w:sz w:val="22"/>
          <w:szCs w:val="22"/>
        </w:rPr>
        <w:t>los datos reportados al Sistema Único de Información - SU</w:t>
      </w:r>
      <w:r>
        <w:rPr>
          <w:rFonts w:ascii="Bookman Old Style" w:hAnsi="Bookman Old Style"/>
          <w:i/>
          <w:sz w:val="22"/>
          <w:szCs w:val="22"/>
        </w:rPr>
        <w:t>I</w:t>
      </w:r>
      <w:r w:rsidRPr="00D731BA">
        <w:rPr>
          <w:rFonts w:ascii="Bookman Old Style" w:hAnsi="Bookman Old Style"/>
          <w:i/>
          <w:sz w:val="22"/>
          <w:szCs w:val="22"/>
        </w:rPr>
        <w:t>, a partir de octubre de 2012, de acuerdo con lo establecido en Resolución SSPD No. 20141300040755 de 2014.</w:t>
      </w:r>
    </w:p>
    <w:p w14:paraId="0DF699FD"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487E34B5"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En resumen, la información enviada es la siguiente:</w:t>
      </w:r>
    </w:p>
    <w:p w14:paraId="2CB8EDA1"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4D810637"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lastRenderedPageBreak/>
        <w:t>•</w:t>
      </w:r>
      <w:r w:rsidRPr="00D731BA">
        <w:rPr>
          <w:rFonts w:ascii="Bookman Old Style" w:hAnsi="Bookman Old Style"/>
          <w:i/>
          <w:sz w:val="22"/>
          <w:szCs w:val="22"/>
        </w:rPr>
        <w:tab/>
        <w:t>Cantidad de empresas operativas con cilindros en base de datos:41</w:t>
      </w:r>
    </w:p>
    <w:p w14:paraId="69D845D1"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w:t>
      </w:r>
      <w:r w:rsidRPr="00D731BA">
        <w:rPr>
          <w:rFonts w:ascii="Bookman Old Style" w:hAnsi="Bookman Old Style"/>
          <w:i/>
          <w:sz w:val="22"/>
          <w:szCs w:val="22"/>
        </w:rPr>
        <w:tab/>
        <w:t>Cantidad de marcas que registran cilindros en la base de datos: 74</w:t>
      </w:r>
    </w:p>
    <w:p w14:paraId="28FB5AF6"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w:t>
      </w:r>
      <w:r w:rsidRPr="00D731BA">
        <w:rPr>
          <w:rFonts w:ascii="Bookman Old Style" w:hAnsi="Bookman Old Style"/>
          <w:i/>
          <w:sz w:val="22"/>
          <w:szCs w:val="22"/>
        </w:rPr>
        <w:tab/>
        <w:t>Cantidad de cilindros en la base de datos: 10.939.056</w:t>
      </w:r>
    </w:p>
    <w:p w14:paraId="4DDD68C2"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58C679C1" w14:textId="289648FF" w:rsidR="004356C4" w:rsidRPr="00D731BA" w:rsidRDefault="00187D75" w:rsidP="00AC037D">
      <w:pPr>
        <w:pStyle w:val="Textoindependiente2"/>
        <w:tabs>
          <w:tab w:val="left" w:pos="9356"/>
        </w:tabs>
        <w:spacing w:after="0" w:line="240" w:lineRule="auto"/>
        <w:ind w:right="-1"/>
        <w:jc w:val="both"/>
        <w:rPr>
          <w:rFonts w:ascii="Bookman Old Style" w:hAnsi="Bookman Old Style"/>
          <w:i/>
          <w:sz w:val="22"/>
          <w:szCs w:val="22"/>
        </w:rPr>
      </w:pPr>
      <w:r>
        <w:rPr>
          <w:rFonts w:ascii="Bookman Old Style" w:hAnsi="Bookman Old Style"/>
          <w:i/>
          <w:sz w:val="22"/>
          <w:szCs w:val="22"/>
        </w:rPr>
        <w:t>(…)</w:t>
      </w:r>
    </w:p>
    <w:p w14:paraId="5139B5B5"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2</w:t>
      </w:r>
      <w:r>
        <w:rPr>
          <w:rFonts w:ascii="Bookman Old Style" w:hAnsi="Bookman Old Style"/>
          <w:i/>
          <w:sz w:val="22"/>
          <w:szCs w:val="22"/>
        </w:rPr>
        <w:t>.  INFORMACIÓN DE TANQUES ESTAC</w:t>
      </w:r>
      <w:r w:rsidRPr="00D731BA">
        <w:rPr>
          <w:rFonts w:ascii="Bookman Old Style" w:hAnsi="Bookman Old Style"/>
          <w:i/>
          <w:sz w:val="22"/>
          <w:szCs w:val="22"/>
        </w:rPr>
        <w:t>IONARIOS</w:t>
      </w:r>
    </w:p>
    <w:p w14:paraId="2DFCBD5E"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53F9861B"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En esta carpeta se encuentra un archivo en Excel: Tanques Estacionarios, con la información del último trimestre habilitado y reportado en el SUI, por parte de los Distribuidores de GLP, conforme a</w:t>
      </w:r>
      <w:r>
        <w:rPr>
          <w:rFonts w:ascii="Bookman Old Style" w:hAnsi="Bookman Old Style"/>
          <w:i/>
          <w:sz w:val="22"/>
          <w:szCs w:val="22"/>
        </w:rPr>
        <w:t xml:space="preserve"> </w:t>
      </w:r>
      <w:r w:rsidRPr="00D731BA">
        <w:rPr>
          <w:rFonts w:ascii="Bookman Old Style" w:hAnsi="Bookman Old Style"/>
          <w:i/>
          <w:sz w:val="22"/>
          <w:szCs w:val="22"/>
        </w:rPr>
        <w:t>las disposiciones de la Circular Conjunta SSPD - CREG 0001de 2017.</w:t>
      </w:r>
    </w:p>
    <w:p w14:paraId="269A942D"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13333813"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La información de tanques estacionarios que se env</w:t>
      </w:r>
      <w:r>
        <w:rPr>
          <w:rFonts w:ascii="Bookman Old Style" w:hAnsi="Bookman Old Style"/>
          <w:i/>
          <w:sz w:val="22"/>
          <w:szCs w:val="22"/>
        </w:rPr>
        <w:t>ía</w:t>
      </w:r>
      <w:r w:rsidRPr="00D731BA">
        <w:rPr>
          <w:rFonts w:ascii="Bookman Old Style" w:hAnsi="Bookman Old Style"/>
          <w:i/>
          <w:sz w:val="22"/>
          <w:szCs w:val="22"/>
        </w:rPr>
        <w:t xml:space="preserve"> en esta ocasión se recolectó sobre consulta directa en la base de datos de lo reportado a través del Formato (1661) Tanques Estacionarios Atendidos por el Distribuidor</w:t>
      </w:r>
      <w:r>
        <w:rPr>
          <w:rFonts w:ascii="Bookman Old Style" w:hAnsi="Bookman Old Style"/>
          <w:i/>
          <w:sz w:val="22"/>
          <w:szCs w:val="22"/>
        </w:rPr>
        <w:t xml:space="preserve"> </w:t>
      </w:r>
      <w:r w:rsidRPr="00D731BA">
        <w:rPr>
          <w:rFonts w:ascii="Bookman Old Style" w:hAnsi="Bookman Old Style"/>
          <w:i/>
          <w:sz w:val="22"/>
          <w:szCs w:val="22"/>
        </w:rPr>
        <w:t>de</w:t>
      </w:r>
      <w:r>
        <w:rPr>
          <w:rFonts w:ascii="Bookman Old Style" w:hAnsi="Bookman Old Style"/>
          <w:i/>
          <w:sz w:val="22"/>
          <w:szCs w:val="22"/>
        </w:rPr>
        <w:t xml:space="preserve"> </w:t>
      </w:r>
      <w:r w:rsidRPr="00D731BA">
        <w:rPr>
          <w:rFonts w:ascii="Bookman Old Style" w:hAnsi="Bookman Old Style"/>
          <w:i/>
          <w:sz w:val="22"/>
          <w:szCs w:val="22"/>
        </w:rPr>
        <w:t>la Circular Conjunta SSPD - CREG 1</w:t>
      </w:r>
      <w:r>
        <w:rPr>
          <w:rFonts w:ascii="Bookman Old Style" w:hAnsi="Bookman Old Style"/>
          <w:i/>
          <w:sz w:val="22"/>
          <w:szCs w:val="22"/>
        </w:rPr>
        <w:t xml:space="preserve"> </w:t>
      </w:r>
      <w:r w:rsidRPr="00D731BA">
        <w:rPr>
          <w:rFonts w:ascii="Bookman Old Style" w:hAnsi="Bookman Old Style"/>
          <w:i/>
          <w:sz w:val="22"/>
          <w:szCs w:val="22"/>
        </w:rPr>
        <w:t>de 2017, para el cuarto trimestre</w:t>
      </w:r>
      <w:r>
        <w:rPr>
          <w:rFonts w:ascii="Bookman Old Style" w:hAnsi="Bookman Old Style"/>
          <w:i/>
          <w:sz w:val="22"/>
          <w:szCs w:val="22"/>
        </w:rPr>
        <w:t xml:space="preserve"> </w:t>
      </w:r>
      <w:r w:rsidRPr="00D731BA">
        <w:rPr>
          <w:rFonts w:ascii="Bookman Old Style" w:hAnsi="Bookman Old Style"/>
          <w:i/>
          <w:sz w:val="22"/>
          <w:szCs w:val="22"/>
        </w:rPr>
        <w:t>(meses de octubre, noviembre y diciembre) del año 2019.  Es de anotar que la siguiente fecha de</w:t>
      </w:r>
      <w:r>
        <w:rPr>
          <w:rFonts w:ascii="Bookman Old Style" w:hAnsi="Bookman Old Style"/>
          <w:i/>
          <w:sz w:val="22"/>
          <w:szCs w:val="22"/>
        </w:rPr>
        <w:t xml:space="preserve"> </w:t>
      </w:r>
      <w:r w:rsidRPr="00D731BA">
        <w:rPr>
          <w:rFonts w:ascii="Bookman Old Style" w:hAnsi="Bookman Old Style"/>
          <w:i/>
          <w:sz w:val="22"/>
          <w:szCs w:val="22"/>
        </w:rPr>
        <w:t>cargue vence el 15 de abril del</w:t>
      </w:r>
      <w:r>
        <w:rPr>
          <w:rFonts w:ascii="Bookman Old Style" w:hAnsi="Bookman Old Style"/>
          <w:i/>
          <w:sz w:val="22"/>
          <w:szCs w:val="22"/>
        </w:rPr>
        <w:t xml:space="preserve"> </w:t>
      </w:r>
      <w:r w:rsidRPr="00D731BA">
        <w:rPr>
          <w:rFonts w:ascii="Bookman Old Style" w:hAnsi="Bookman Old Style"/>
          <w:i/>
          <w:sz w:val="22"/>
          <w:szCs w:val="22"/>
        </w:rPr>
        <w:t>año 2020.</w:t>
      </w:r>
    </w:p>
    <w:p w14:paraId="2EFAED72"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6B73FF42"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El resumen de esta información es el siguiente:</w:t>
      </w:r>
    </w:p>
    <w:p w14:paraId="597D76B3" w14:textId="77777777" w:rsidR="009F716F" w:rsidRDefault="009F716F" w:rsidP="00AC037D">
      <w:pPr>
        <w:pStyle w:val="Textoindependiente2"/>
        <w:tabs>
          <w:tab w:val="left" w:pos="9356"/>
        </w:tabs>
        <w:spacing w:after="0" w:line="240" w:lineRule="auto"/>
        <w:ind w:right="-1"/>
        <w:jc w:val="both"/>
        <w:rPr>
          <w:rFonts w:ascii="Bookman Old Style" w:hAnsi="Bookman Old Style"/>
          <w:i/>
          <w:sz w:val="22"/>
          <w:szCs w:val="22"/>
        </w:rPr>
      </w:pPr>
    </w:p>
    <w:p w14:paraId="1A84622F" w14:textId="58769D4D"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w:t>
      </w:r>
      <w:r w:rsidRPr="00D731BA">
        <w:rPr>
          <w:rFonts w:ascii="Bookman Old Style" w:hAnsi="Bookman Old Style"/>
          <w:i/>
          <w:sz w:val="22"/>
          <w:szCs w:val="22"/>
        </w:rPr>
        <w:tab/>
        <w:t>Cantidad de empresas operativas que reportan tanques en el</w:t>
      </w:r>
      <w:r>
        <w:rPr>
          <w:rFonts w:ascii="Bookman Old Style" w:hAnsi="Bookman Old Style"/>
          <w:i/>
          <w:sz w:val="22"/>
          <w:szCs w:val="22"/>
        </w:rPr>
        <w:t xml:space="preserve"> </w:t>
      </w:r>
      <w:r w:rsidRPr="00D731BA">
        <w:rPr>
          <w:rFonts w:ascii="Bookman Old Style" w:hAnsi="Bookman Old Style"/>
          <w:i/>
          <w:sz w:val="22"/>
          <w:szCs w:val="22"/>
        </w:rPr>
        <w:t>cuarto tr</w:t>
      </w:r>
      <w:r>
        <w:rPr>
          <w:rFonts w:ascii="Bookman Old Style" w:hAnsi="Bookman Old Style"/>
          <w:i/>
          <w:sz w:val="22"/>
          <w:szCs w:val="22"/>
        </w:rPr>
        <w:t>i</w:t>
      </w:r>
      <w:r w:rsidRPr="00D731BA">
        <w:rPr>
          <w:rFonts w:ascii="Bookman Old Style" w:hAnsi="Bookman Old Style"/>
          <w:i/>
          <w:sz w:val="22"/>
          <w:szCs w:val="22"/>
        </w:rPr>
        <w:t>mestre del 2019: 51</w:t>
      </w:r>
    </w:p>
    <w:p w14:paraId="63B75447"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w:t>
      </w:r>
      <w:r w:rsidRPr="00D731BA">
        <w:rPr>
          <w:rFonts w:ascii="Bookman Old Style" w:hAnsi="Bookman Old Style"/>
          <w:i/>
          <w:sz w:val="22"/>
          <w:szCs w:val="22"/>
        </w:rPr>
        <w:tab/>
        <w:t>Cantidad de tanques reportados a la fecha: 39.105</w:t>
      </w:r>
    </w:p>
    <w:p w14:paraId="0B291245"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w:t>
      </w:r>
      <w:r w:rsidRPr="00D731BA">
        <w:rPr>
          <w:rFonts w:ascii="Bookman Old Style" w:hAnsi="Bookman Old Style"/>
          <w:i/>
          <w:sz w:val="22"/>
          <w:szCs w:val="22"/>
        </w:rPr>
        <w:tab/>
        <w:t>Capacidad en galones de</w:t>
      </w:r>
      <w:r>
        <w:rPr>
          <w:rFonts w:ascii="Bookman Old Style" w:hAnsi="Bookman Old Style"/>
          <w:i/>
          <w:sz w:val="22"/>
          <w:szCs w:val="22"/>
        </w:rPr>
        <w:t xml:space="preserve"> </w:t>
      </w:r>
      <w:r w:rsidRPr="00D731BA">
        <w:rPr>
          <w:rFonts w:ascii="Bookman Old Style" w:hAnsi="Bookman Old Style"/>
          <w:i/>
          <w:sz w:val="22"/>
          <w:szCs w:val="22"/>
        </w:rPr>
        <w:t>los tanques: 15.267.743</w:t>
      </w:r>
    </w:p>
    <w:p w14:paraId="41AE98D0"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622942CB" w14:textId="77777777" w:rsidR="004356C4" w:rsidRPr="00D731BA"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Por otra parte, cabe precisar que, a la fecha de consulta de la información, las siguientes empresas no habían cargado y certificado en el SUI la información del Formato (1661) Tanques Estacionarios Atendidos por el Distribuidor,</w:t>
      </w:r>
      <w:r>
        <w:rPr>
          <w:rFonts w:ascii="Bookman Old Style" w:hAnsi="Bookman Old Style"/>
          <w:i/>
          <w:sz w:val="22"/>
          <w:szCs w:val="22"/>
        </w:rPr>
        <w:t xml:space="preserve"> </w:t>
      </w:r>
      <w:r w:rsidRPr="00D731BA">
        <w:rPr>
          <w:rFonts w:ascii="Bookman Old Style" w:hAnsi="Bookman Old Style"/>
          <w:i/>
          <w:sz w:val="22"/>
          <w:szCs w:val="22"/>
        </w:rPr>
        <w:t>para el cuarto trimestre del 2019, la cual</w:t>
      </w:r>
      <w:r>
        <w:rPr>
          <w:rFonts w:ascii="Bookman Old Style" w:hAnsi="Bookman Old Style"/>
          <w:i/>
          <w:sz w:val="22"/>
          <w:szCs w:val="22"/>
        </w:rPr>
        <w:t xml:space="preserve"> </w:t>
      </w:r>
      <w:r w:rsidRPr="00D731BA">
        <w:rPr>
          <w:rFonts w:ascii="Bookman Old Style" w:hAnsi="Bookman Old Style"/>
          <w:i/>
          <w:sz w:val="22"/>
          <w:szCs w:val="22"/>
        </w:rPr>
        <w:t>tenía como fecha máxima de reporte el 15 de enero de 2020. Sin embargo, es necesario mencionar que dicho Formato se encuentra habilitado y en estado "PENDIENTE'', para que las empresas cargaran y certificaran la información hasta antes de la fecha de corte que aquí se relaciona.</w:t>
      </w:r>
    </w:p>
    <w:p w14:paraId="63F460C7"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p>
    <w:p w14:paraId="313195E0" w14:textId="505A9775"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Así las cosas, las empresas que no han reportado la información son las siguientes:</w:t>
      </w:r>
    </w:p>
    <w:p w14:paraId="564F7536"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p>
    <w:tbl>
      <w:tblPr>
        <w:tblStyle w:val="Tablaconcuadrcula"/>
        <w:tblW w:w="0" w:type="auto"/>
        <w:tblInd w:w="567" w:type="dxa"/>
        <w:tblLook w:val="04A0" w:firstRow="1" w:lastRow="0" w:firstColumn="1" w:lastColumn="0" w:noHBand="0" w:noVBand="1"/>
      </w:tblPr>
      <w:tblGrid>
        <w:gridCol w:w="1052"/>
        <w:gridCol w:w="4330"/>
        <w:gridCol w:w="3397"/>
      </w:tblGrid>
      <w:tr w:rsidR="004356C4" w:rsidRPr="009C34E0" w14:paraId="702DA251" w14:textId="77777777" w:rsidTr="009150DC">
        <w:tc>
          <w:tcPr>
            <w:tcW w:w="1052" w:type="dxa"/>
            <w:vAlign w:val="center"/>
          </w:tcPr>
          <w:p w14:paraId="4150735B" w14:textId="77777777" w:rsidR="004356C4" w:rsidRPr="009C34E0"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9C34E0">
              <w:rPr>
                <w:rFonts w:ascii="Bookman Old Style" w:hAnsi="Bookman Old Style"/>
                <w:b/>
                <w:i/>
                <w:sz w:val="18"/>
                <w:szCs w:val="18"/>
              </w:rPr>
              <w:t>ID</w:t>
            </w:r>
          </w:p>
        </w:tc>
        <w:tc>
          <w:tcPr>
            <w:tcW w:w="4330" w:type="dxa"/>
            <w:vAlign w:val="center"/>
          </w:tcPr>
          <w:p w14:paraId="466642A0" w14:textId="77777777" w:rsidR="004356C4" w:rsidRPr="009C34E0"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9C34E0">
              <w:rPr>
                <w:rFonts w:ascii="Bookman Old Style" w:hAnsi="Bookman Old Style"/>
                <w:b/>
                <w:i/>
                <w:sz w:val="18"/>
                <w:szCs w:val="18"/>
              </w:rPr>
              <w:t>EMPRESA</w:t>
            </w:r>
          </w:p>
        </w:tc>
        <w:tc>
          <w:tcPr>
            <w:tcW w:w="3397" w:type="dxa"/>
            <w:vAlign w:val="center"/>
          </w:tcPr>
          <w:p w14:paraId="5C16C26C" w14:textId="77777777" w:rsidR="004356C4" w:rsidRPr="009C34E0"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9C34E0">
              <w:rPr>
                <w:rFonts w:ascii="Bookman Old Style" w:hAnsi="Bookman Old Style"/>
                <w:b/>
                <w:i/>
                <w:sz w:val="18"/>
                <w:szCs w:val="18"/>
              </w:rPr>
              <w:t>OBSERVACIÓN</w:t>
            </w:r>
          </w:p>
        </w:tc>
      </w:tr>
      <w:tr w:rsidR="004356C4" w:rsidRPr="009C34E0" w14:paraId="735E30F8" w14:textId="77777777" w:rsidTr="009150DC">
        <w:tc>
          <w:tcPr>
            <w:tcW w:w="1052" w:type="dxa"/>
            <w:vAlign w:val="center"/>
          </w:tcPr>
          <w:p w14:paraId="21B8EBA6" w14:textId="77777777" w:rsidR="004356C4" w:rsidRPr="009C34E0" w:rsidRDefault="004356C4" w:rsidP="00AC037D">
            <w:pPr>
              <w:pStyle w:val="Textoindependiente2"/>
              <w:tabs>
                <w:tab w:val="left" w:pos="9356"/>
              </w:tabs>
              <w:spacing w:after="0" w:line="240" w:lineRule="auto"/>
              <w:ind w:left="32" w:right="-1"/>
              <w:rPr>
                <w:rFonts w:ascii="Bookman Old Style" w:hAnsi="Bookman Old Style"/>
                <w:i/>
                <w:sz w:val="18"/>
                <w:szCs w:val="18"/>
              </w:rPr>
            </w:pPr>
            <w:r w:rsidRPr="009C34E0">
              <w:rPr>
                <w:rFonts w:ascii="Bookman Old Style" w:hAnsi="Bookman Old Style"/>
                <w:i/>
                <w:sz w:val="18"/>
                <w:szCs w:val="18"/>
              </w:rPr>
              <w:t>22834</w:t>
            </w:r>
          </w:p>
        </w:tc>
        <w:tc>
          <w:tcPr>
            <w:tcW w:w="4330" w:type="dxa"/>
            <w:vAlign w:val="center"/>
          </w:tcPr>
          <w:p w14:paraId="4E34FA46"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sidRPr="009C34E0">
              <w:rPr>
                <w:rFonts w:ascii="Bookman Old Style" w:hAnsi="Bookman Old Style"/>
                <w:i/>
                <w:sz w:val="18"/>
                <w:szCs w:val="18"/>
              </w:rPr>
              <w:t>RIVERGAS S.A.S. E.S.P.</w:t>
            </w:r>
          </w:p>
        </w:tc>
        <w:tc>
          <w:tcPr>
            <w:tcW w:w="3397" w:type="dxa"/>
            <w:vMerge w:val="restart"/>
            <w:vAlign w:val="center"/>
          </w:tcPr>
          <w:p w14:paraId="61722765"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sidRPr="009C34E0">
              <w:rPr>
                <w:rFonts w:ascii="Bookman Old Style" w:hAnsi="Bookman Old Style"/>
                <w:i/>
                <w:sz w:val="18"/>
                <w:szCs w:val="18"/>
              </w:rPr>
              <w:t>La empresa para ningún periodo de capacidad de compra ha reportado tanques estacionarios</w:t>
            </w:r>
          </w:p>
        </w:tc>
      </w:tr>
      <w:tr w:rsidR="004356C4" w:rsidRPr="009C34E0" w14:paraId="6A472D17" w14:textId="77777777" w:rsidTr="009150DC">
        <w:tc>
          <w:tcPr>
            <w:tcW w:w="1052" w:type="dxa"/>
            <w:vAlign w:val="center"/>
          </w:tcPr>
          <w:p w14:paraId="7F898DC8" w14:textId="77777777" w:rsidR="004356C4" w:rsidRPr="009C34E0" w:rsidRDefault="004356C4" w:rsidP="00AC037D">
            <w:pPr>
              <w:pStyle w:val="Textoindependiente2"/>
              <w:tabs>
                <w:tab w:val="left" w:pos="9356"/>
              </w:tabs>
              <w:spacing w:after="0" w:line="240" w:lineRule="auto"/>
              <w:ind w:left="32" w:right="-1"/>
              <w:rPr>
                <w:rFonts w:ascii="Bookman Old Style" w:hAnsi="Bookman Old Style"/>
                <w:i/>
                <w:sz w:val="18"/>
                <w:szCs w:val="18"/>
              </w:rPr>
            </w:pPr>
            <w:r w:rsidRPr="009C34E0">
              <w:rPr>
                <w:rFonts w:ascii="Bookman Old Style" w:hAnsi="Bookman Old Style"/>
                <w:i/>
                <w:sz w:val="18"/>
                <w:szCs w:val="18"/>
              </w:rPr>
              <w:t>23112</w:t>
            </w:r>
          </w:p>
        </w:tc>
        <w:tc>
          <w:tcPr>
            <w:tcW w:w="4330" w:type="dxa"/>
            <w:vAlign w:val="center"/>
          </w:tcPr>
          <w:p w14:paraId="5B111CE1"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sidRPr="009C34E0">
              <w:rPr>
                <w:rFonts w:ascii="Bookman Old Style" w:hAnsi="Bookman Old Style"/>
                <w:i/>
                <w:sz w:val="18"/>
                <w:szCs w:val="18"/>
              </w:rPr>
              <w:t>PIPEGAS S.A.S. E.S.P.</w:t>
            </w:r>
          </w:p>
        </w:tc>
        <w:tc>
          <w:tcPr>
            <w:tcW w:w="3397" w:type="dxa"/>
            <w:vMerge/>
            <w:vAlign w:val="center"/>
          </w:tcPr>
          <w:p w14:paraId="3A8DBAE1"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p>
        </w:tc>
      </w:tr>
      <w:tr w:rsidR="004356C4" w:rsidRPr="009C34E0" w14:paraId="6A03BE76" w14:textId="77777777" w:rsidTr="009150DC">
        <w:tc>
          <w:tcPr>
            <w:tcW w:w="1052" w:type="dxa"/>
            <w:vAlign w:val="center"/>
          </w:tcPr>
          <w:p w14:paraId="4799C603" w14:textId="77777777" w:rsidR="004356C4" w:rsidRPr="009C34E0" w:rsidRDefault="004356C4" w:rsidP="00AC037D">
            <w:pPr>
              <w:pStyle w:val="Textoindependiente2"/>
              <w:tabs>
                <w:tab w:val="left" w:pos="9356"/>
              </w:tabs>
              <w:spacing w:after="0" w:line="240" w:lineRule="auto"/>
              <w:ind w:left="32" w:right="-1"/>
              <w:rPr>
                <w:rFonts w:ascii="Bookman Old Style" w:hAnsi="Bookman Old Style"/>
                <w:i/>
                <w:sz w:val="18"/>
                <w:szCs w:val="18"/>
              </w:rPr>
            </w:pPr>
            <w:r w:rsidRPr="009C34E0">
              <w:rPr>
                <w:rFonts w:ascii="Bookman Old Style" w:hAnsi="Bookman Old Style"/>
                <w:i/>
                <w:sz w:val="18"/>
                <w:szCs w:val="18"/>
              </w:rPr>
              <w:t>23458</w:t>
            </w:r>
          </w:p>
        </w:tc>
        <w:tc>
          <w:tcPr>
            <w:tcW w:w="4330" w:type="dxa"/>
            <w:vAlign w:val="center"/>
          </w:tcPr>
          <w:p w14:paraId="714E4830"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sidRPr="009C34E0">
              <w:rPr>
                <w:rFonts w:ascii="Bookman Old Style" w:hAnsi="Bookman Old Style"/>
                <w:i/>
                <w:sz w:val="18"/>
                <w:szCs w:val="18"/>
              </w:rPr>
              <w:t>INVERSIONES GLP GASES DE COLOMBIA SAS ESP</w:t>
            </w:r>
          </w:p>
        </w:tc>
        <w:tc>
          <w:tcPr>
            <w:tcW w:w="3397" w:type="dxa"/>
            <w:vMerge/>
            <w:vAlign w:val="center"/>
          </w:tcPr>
          <w:p w14:paraId="6334573E" w14:textId="77777777" w:rsidR="004356C4" w:rsidRPr="009C34E0"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p>
        </w:tc>
      </w:tr>
      <w:tr w:rsidR="004356C4" w:rsidRPr="00E40887" w14:paraId="31F7DC32" w14:textId="77777777" w:rsidTr="009150DC">
        <w:tc>
          <w:tcPr>
            <w:tcW w:w="1052" w:type="dxa"/>
            <w:vAlign w:val="center"/>
          </w:tcPr>
          <w:p w14:paraId="2CAEA603" w14:textId="77777777" w:rsidR="004356C4" w:rsidRPr="009C34E0" w:rsidRDefault="004356C4" w:rsidP="00AC037D">
            <w:pPr>
              <w:pStyle w:val="Textoindependiente2"/>
              <w:tabs>
                <w:tab w:val="left" w:pos="9356"/>
              </w:tabs>
              <w:spacing w:after="0" w:line="240" w:lineRule="auto"/>
              <w:ind w:left="32" w:right="-1"/>
              <w:rPr>
                <w:rFonts w:ascii="Bookman Old Style" w:hAnsi="Bookman Old Style"/>
                <w:i/>
                <w:sz w:val="18"/>
                <w:szCs w:val="18"/>
              </w:rPr>
            </w:pPr>
            <w:r w:rsidRPr="009C34E0">
              <w:rPr>
                <w:rFonts w:ascii="Bookman Old Style" w:hAnsi="Bookman Old Style"/>
                <w:i/>
                <w:sz w:val="18"/>
                <w:szCs w:val="18"/>
              </w:rPr>
              <w:t>24860</w:t>
            </w:r>
          </w:p>
        </w:tc>
        <w:tc>
          <w:tcPr>
            <w:tcW w:w="4330" w:type="dxa"/>
            <w:vAlign w:val="center"/>
          </w:tcPr>
          <w:p w14:paraId="43237F35" w14:textId="77777777" w:rsidR="004356C4" w:rsidRPr="007551E6" w:rsidRDefault="004356C4" w:rsidP="00AC037D">
            <w:pPr>
              <w:pStyle w:val="Textoindependiente2"/>
              <w:tabs>
                <w:tab w:val="left" w:pos="9356"/>
              </w:tabs>
              <w:spacing w:after="0" w:line="240" w:lineRule="auto"/>
              <w:ind w:left="0" w:right="-1"/>
              <w:jc w:val="both"/>
              <w:rPr>
                <w:rFonts w:ascii="Bookman Old Style" w:hAnsi="Bookman Old Style"/>
                <w:i/>
                <w:sz w:val="18"/>
                <w:szCs w:val="18"/>
                <w:lang w:val="en-US"/>
              </w:rPr>
            </w:pPr>
            <w:r w:rsidRPr="007551E6">
              <w:rPr>
                <w:rFonts w:ascii="Bookman Old Style" w:hAnsi="Bookman Old Style"/>
                <w:i/>
                <w:sz w:val="18"/>
                <w:szCs w:val="18"/>
                <w:lang w:val="en-US"/>
              </w:rPr>
              <w:t>FEDEGAS S.A.S. E.S.P.</w:t>
            </w:r>
          </w:p>
        </w:tc>
        <w:tc>
          <w:tcPr>
            <w:tcW w:w="3397" w:type="dxa"/>
            <w:vMerge/>
            <w:vAlign w:val="center"/>
          </w:tcPr>
          <w:p w14:paraId="43D3DDFC" w14:textId="77777777" w:rsidR="004356C4" w:rsidRPr="007551E6" w:rsidRDefault="004356C4" w:rsidP="00AC037D">
            <w:pPr>
              <w:pStyle w:val="Textoindependiente2"/>
              <w:tabs>
                <w:tab w:val="left" w:pos="9356"/>
              </w:tabs>
              <w:spacing w:after="0" w:line="240" w:lineRule="auto"/>
              <w:ind w:left="0" w:right="-1"/>
              <w:jc w:val="both"/>
              <w:rPr>
                <w:rFonts w:ascii="Bookman Old Style" w:hAnsi="Bookman Old Style"/>
                <w:i/>
                <w:sz w:val="18"/>
                <w:szCs w:val="18"/>
                <w:lang w:val="en-US"/>
              </w:rPr>
            </w:pPr>
          </w:p>
        </w:tc>
      </w:tr>
    </w:tbl>
    <w:p w14:paraId="0CC7473A" w14:textId="77777777" w:rsidR="004356C4" w:rsidRDefault="004356C4" w:rsidP="00AC037D">
      <w:pPr>
        <w:pStyle w:val="Textoindependiente2"/>
        <w:tabs>
          <w:tab w:val="left" w:pos="9356"/>
        </w:tabs>
        <w:spacing w:after="0" w:line="240" w:lineRule="auto"/>
        <w:ind w:right="-1"/>
        <w:jc w:val="center"/>
        <w:rPr>
          <w:rFonts w:ascii="Bookman Old Style" w:hAnsi="Bookman Old Style"/>
          <w:i/>
          <w:sz w:val="16"/>
          <w:szCs w:val="16"/>
        </w:rPr>
      </w:pPr>
      <w:r>
        <w:rPr>
          <w:rFonts w:ascii="Bookman Old Style" w:hAnsi="Bookman Old Style"/>
          <w:i/>
          <w:sz w:val="16"/>
          <w:szCs w:val="16"/>
        </w:rPr>
        <w:t>Fuente: Reporte estado de pendientes SUI</w:t>
      </w:r>
    </w:p>
    <w:p w14:paraId="54044679" w14:textId="77777777" w:rsidR="004356C4" w:rsidRDefault="004356C4" w:rsidP="00AC037D">
      <w:pPr>
        <w:pStyle w:val="Textoindependiente2"/>
        <w:tabs>
          <w:tab w:val="left" w:pos="9356"/>
        </w:tabs>
        <w:spacing w:after="0" w:line="240" w:lineRule="auto"/>
        <w:ind w:right="-1"/>
        <w:jc w:val="center"/>
        <w:rPr>
          <w:rFonts w:ascii="Bookman Old Style" w:hAnsi="Bookman Old Style"/>
          <w:i/>
          <w:sz w:val="16"/>
          <w:szCs w:val="16"/>
        </w:rPr>
      </w:pPr>
      <w:r>
        <w:rPr>
          <w:rFonts w:ascii="Bookman Old Style" w:hAnsi="Bookman Old Style"/>
          <w:i/>
          <w:sz w:val="16"/>
          <w:szCs w:val="16"/>
        </w:rPr>
        <w:t>Reporte: SUI/Administración/Estado de reporte de Información Prestadores SSPD</w:t>
      </w:r>
    </w:p>
    <w:p w14:paraId="431077F5" w14:textId="77777777" w:rsidR="004356C4" w:rsidRPr="007551E6" w:rsidRDefault="004356C4" w:rsidP="00AC037D">
      <w:pPr>
        <w:pStyle w:val="Textoindependiente2"/>
        <w:tabs>
          <w:tab w:val="left" w:pos="9356"/>
        </w:tabs>
        <w:spacing w:after="0" w:line="240" w:lineRule="auto"/>
        <w:ind w:right="-1"/>
        <w:jc w:val="center"/>
        <w:rPr>
          <w:rFonts w:ascii="Bookman Old Style" w:hAnsi="Bookman Old Style"/>
          <w:i/>
          <w:sz w:val="16"/>
          <w:szCs w:val="16"/>
          <w:lang w:val="en-US"/>
        </w:rPr>
      </w:pPr>
      <w:r w:rsidRPr="007551E6">
        <w:rPr>
          <w:rFonts w:ascii="Bookman Old Style" w:hAnsi="Bookman Old Style"/>
          <w:i/>
          <w:sz w:val="16"/>
          <w:szCs w:val="16"/>
          <w:lang w:val="en-US"/>
        </w:rPr>
        <w:t xml:space="preserve">Link: </w:t>
      </w:r>
      <w:hyperlink r:id="rId10" w:history="1">
        <w:r w:rsidRPr="007551E6">
          <w:rPr>
            <w:rStyle w:val="Hipervnculo"/>
            <w:rFonts w:ascii="Bookman Old Style" w:hAnsi="Bookman Old Style"/>
            <w:i/>
            <w:sz w:val="16"/>
            <w:szCs w:val="16"/>
            <w:lang w:val="en-US"/>
          </w:rPr>
          <w:t>http://reportes.sui.gov.co/fabricaReportes/frameSet.jsp?idreporte=sui_adm_028</w:t>
        </w:r>
      </w:hyperlink>
    </w:p>
    <w:p w14:paraId="69D6D056" w14:textId="77777777" w:rsidR="004356C4" w:rsidRPr="007551E6" w:rsidRDefault="004356C4" w:rsidP="00AC037D">
      <w:pPr>
        <w:pStyle w:val="Textoindependiente2"/>
        <w:tabs>
          <w:tab w:val="left" w:pos="9356"/>
        </w:tabs>
        <w:spacing w:after="0" w:line="240" w:lineRule="auto"/>
        <w:ind w:right="-1"/>
        <w:jc w:val="center"/>
        <w:rPr>
          <w:rFonts w:ascii="Bookman Old Style" w:hAnsi="Bookman Old Style"/>
          <w:i/>
          <w:sz w:val="16"/>
          <w:szCs w:val="16"/>
          <w:lang w:val="en-US"/>
        </w:rPr>
      </w:pPr>
    </w:p>
    <w:p w14:paraId="354BBF8F" w14:textId="77777777" w:rsidR="00AC037D" w:rsidRPr="00E40887" w:rsidRDefault="00AC037D" w:rsidP="00AC037D">
      <w:pPr>
        <w:pStyle w:val="Textoindependiente2"/>
        <w:tabs>
          <w:tab w:val="left" w:pos="9356"/>
        </w:tabs>
        <w:spacing w:after="0" w:line="240" w:lineRule="auto"/>
        <w:ind w:right="-1"/>
        <w:jc w:val="both"/>
        <w:rPr>
          <w:rFonts w:ascii="Bookman Old Style" w:hAnsi="Bookman Old Style"/>
          <w:i/>
          <w:sz w:val="22"/>
          <w:szCs w:val="22"/>
          <w:lang w:val="en-US"/>
        </w:rPr>
      </w:pPr>
    </w:p>
    <w:p w14:paraId="71036761" w14:textId="293A1BDD"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r w:rsidRPr="00D731BA">
        <w:rPr>
          <w:rFonts w:ascii="Bookman Old Style" w:hAnsi="Bookman Old Style"/>
          <w:i/>
          <w:sz w:val="22"/>
          <w:szCs w:val="22"/>
        </w:rPr>
        <w:t>Por otra parte. las siguientes empresas. reportaron la información como "No Aplica</w:t>
      </w:r>
      <w:r>
        <w:rPr>
          <w:rFonts w:ascii="Bookman Old Style" w:hAnsi="Bookman Old Style"/>
          <w:i/>
          <w:sz w:val="22"/>
          <w:szCs w:val="22"/>
        </w:rPr>
        <w:t>”</w:t>
      </w:r>
      <w:r w:rsidRPr="00D731BA">
        <w:rPr>
          <w:rFonts w:ascii="Bookman Old Style" w:hAnsi="Bookman Old Style"/>
          <w:i/>
          <w:sz w:val="22"/>
          <w:szCs w:val="22"/>
        </w:rPr>
        <w:t>.</w:t>
      </w:r>
    </w:p>
    <w:p w14:paraId="2AA1E2E9" w14:textId="77777777" w:rsidR="004356C4" w:rsidRDefault="004356C4" w:rsidP="00AC037D">
      <w:pPr>
        <w:pStyle w:val="Textoindependiente2"/>
        <w:tabs>
          <w:tab w:val="left" w:pos="9356"/>
        </w:tabs>
        <w:spacing w:after="0" w:line="240" w:lineRule="auto"/>
        <w:ind w:right="-1"/>
        <w:jc w:val="both"/>
        <w:rPr>
          <w:rFonts w:ascii="Bookman Old Style" w:hAnsi="Bookman Old Style"/>
          <w:i/>
          <w:sz w:val="22"/>
          <w:szCs w:val="22"/>
        </w:rPr>
      </w:pPr>
    </w:p>
    <w:tbl>
      <w:tblPr>
        <w:tblStyle w:val="Tablaconcuadrcula"/>
        <w:tblW w:w="0" w:type="auto"/>
        <w:tblInd w:w="567" w:type="dxa"/>
        <w:tblLayout w:type="fixed"/>
        <w:tblLook w:val="04A0" w:firstRow="1" w:lastRow="0" w:firstColumn="1" w:lastColumn="0" w:noHBand="0" w:noVBand="1"/>
      </w:tblPr>
      <w:tblGrid>
        <w:gridCol w:w="1129"/>
        <w:gridCol w:w="4820"/>
        <w:gridCol w:w="2830"/>
      </w:tblGrid>
      <w:tr w:rsidR="004356C4" w:rsidRPr="007A5A7B" w14:paraId="6ACDC9CF" w14:textId="77777777" w:rsidTr="009150DC">
        <w:tc>
          <w:tcPr>
            <w:tcW w:w="1129" w:type="dxa"/>
          </w:tcPr>
          <w:p w14:paraId="1F8AC310"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7A5A7B">
              <w:rPr>
                <w:rFonts w:ascii="Bookman Old Style" w:hAnsi="Bookman Old Style"/>
                <w:b/>
                <w:i/>
                <w:sz w:val="18"/>
                <w:szCs w:val="18"/>
              </w:rPr>
              <w:t>ID</w:t>
            </w:r>
          </w:p>
        </w:tc>
        <w:tc>
          <w:tcPr>
            <w:tcW w:w="4820" w:type="dxa"/>
          </w:tcPr>
          <w:p w14:paraId="2969FC0E"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7A5A7B">
              <w:rPr>
                <w:rFonts w:ascii="Bookman Old Style" w:hAnsi="Bookman Old Style"/>
                <w:b/>
                <w:i/>
                <w:sz w:val="18"/>
                <w:szCs w:val="18"/>
              </w:rPr>
              <w:t>EMPRESA</w:t>
            </w:r>
          </w:p>
        </w:tc>
        <w:tc>
          <w:tcPr>
            <w:tcW w:w="2830" w:type="dxa"/>
          </w:tcPr>
          <w:p w14:paraId="61F76440"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b/>
                <w:i/>
                <w:sz w:val="18"/>
                <w:szCs w:val="18"/>
              </w:rPr>
            </w:pPr>
            <w:r w:rsidRPr="007A5A7B">
              <w:rPr>
                <w:rFonts w:ascii="Bookman Old Style" w:hAnsi="Bookman Old Style"/>
                <w:b/>
                <w:i/>
                <w:sz w:val="18"/>
                <w:szCs w:val="18"/>
              </w:rPr>
              <w:t>ESTADO</w:t>
            </w:r>
          </w:p>
        </w:tc>
      </w:tr>
      <w:tr w:rsidR="004356C4" w:rsidRPr="007A5A7B" w14:paraId="02DCC17D" w14:textId="77777777" w:rsidTr="009150DC">
        <w:tc>
          <w:tcPr>
            <w:tcW w:w="1129" w:type="dxa"/>
          </w:tcPr>
          <w:p w14:paraId="73C3ECE0" w14:textId="77777777" w:rsidR="004356C4" w:rsidRPr="007A5A7B" w:rsidRDefault="004356C4" w:rsidP="00AC037D">
            <w:pPr>
              <w:pStyle w:val="Textoindependiente2"/>
              <w:tabs>
                <w:tab w:val="left" w:pos="599"/>
                <w:tab w:val="left" w:pos="9356"/>
              </w:tabs>
              <w:spacing w:after="0" w:line="240" w:lineRule="auto"/>
              <w:ind w:left="-11" w:right="-1"/>
              <w:jc w:val="right"/>
              <w:rPr>
                <w:rFonts w:ascii="Bookman Old Style" w:hAnsi="Bookman Old Style"/>
                <w:i/>
                <w:sz w:val="18"/>
                <w:szCs w:val="18"/>
              </w:rPr>
            </w:pPr>
            <w:r w:rsidRPr="007A5A7B">
              <w:rPr>
                <w:rFonts w:ascii="Bookman Old Style" w:hAnsi="Bookman Old Style"/>
                <w:i/>
                <w:sz w:val="18"/>
                <w:szCs w:val="18"/>
              </w:rPr>
              <w:t>1713</w:t>
            </w:r>
          </w:p>
        </w:tc>
        <w:tc>
          <w:tcPr>
            <w:tcW w:w="4820" w:type="dxa"/>
          </w:tcPr>
          <w:p w14:paraId="3E63561F" w14:textId="77777777" w:rsidR="004356C4" w:rsidRPr="007A5A7B"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sidRPr="007A5A7B">
              <w:rPr>
                <w:rFonts w:ascii="Bookman Old Style" w:hAnsi="Bookman Old Style"/>
                <w:i/>
                <w:sz w:val="18"/>
                <w:szCs w:val="18"/>
              </w:rPr>
              <w:t>INTERMUNICIPAL DE GAS S.A. E.S.P.</w:t>
            </w:r>
          </w:p>
        </w:tc>
        <w:tc>
          <w:tcPr>
            <w:tcW w:w="2830" w:type="dxa"/>
          </w:tcPr>
          <w:p w14:paraId="03EBA9C6"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i/>
                <w:sz w:val="18"/>
                <w:szCs w:val="18"/>
              </w:rPr>
            </w:pPr>
            <w:r w:rsidRPr="007A5A7B">
              <w:rPr>
                <w:rFonts w:ascii="Bookman Old Style" w:hAnsi="Bookman Old Style"/>
                <w:i/>
                <w:sz w:val="18"/>
                <w:szCs w:val="18"/>
              </w:rPr>
              <w:t>CERTIFICADO NO APLICA</w:t>
            </w:r>
          </w:p>
        </w:tc>
      </w:tr>
      <w:tr w:rsidR="004356C4" w:rsidRPr="007A5A7B" w14:paraId="4B882883" w14:textId="77777777" w:rsidTr="009150DC">
        <w:tc>
          <w:tcPr>
            <w:tcW w:w="1129" w:type="dxa"/>
          </w:tcPr>
          <w:p w14:paraId="69F7807F" w14:textId="77777777" w:rsidR="004356C4" w:rsidRPr="007A5A7B" w:rsidRDefault="004356C4" w:rsidP="00AC037D">
            <w:pPr>
              <w:pStyle w:val="Textoindependiente2"/>
              <w:tabs>
                <w:tab w:val="left" w:pos="599"/>
                <w:tab w:val="left" w:pos="9356"/>
              </w:tabs>
              <w:spacing w:after="0" w:line="240" w:lineRule="auto"/>
              <w:ind w:left="-11" w:right="-1"/>
              <w:jc w:val="right"/>
              <w:rPr>
                <w:rFonts w:ascii="Bookman Old Style" w:hAnsi="Bookman Old Style"/>
                <w:i/>
                <w:sz w:val="18"/>
                <w:szCs w:val="18"/>
              </w:rPr>
            </w:pPr>
            <w:r>
              <w:rPr>
                <w:rFonts w:ascii="Bookman Old Style" w:hAnsi="Bookman Old Style"/>
                <w:i/>
                <w:sz w:val="18"/>
                <w:szCs w:val="18"/>
              </w:rPr>
              <w:t>1715</w:t>
            </w:r>
          </w:p>
        </w:tc>
        <w:tc>
          <w:tcPr>
            <w:tcW w:w="4820" w:type="dxa"/>
          </w:tcPr>
          <w:p w14:paraId="570968CC" w14:textId="77777777" w:rsidR="004356C4" w:rsidRPr="007A5A7B"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Pr>
                <w:rFonts w:ascii="Bookman Old Style" w:hAnsi="Bookman Old Style"/>
                <w:i/>
                <w:sz w:val="18"/>
                <w:szCs w:val="18"/>
              </w:rPr>
              <w:t>GAS EL SOL S.A. E.S.P.</w:t>
            </w:r>
          </w:p>
        </w:tc>
        <w:tc>
          <w:tcPr>
            <w:tcW w:w="2830" w:type="dxa"/>
          </w:tcPr>
          <w:p w14:paraId="1F0630BB"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i/>
                <w:sz w:val="18"/>
                <w:szCs w:val="18"/>
              </w:rPr>
            </w:pPr>
            <w:r>
              <w:rPr>
                <w:rFonts w:ascii="Bookman Old Style" w:hAnsi="Bookman Old Style"/>
                <w:i/>
                <w:sz w:val="18"/>
                <w:szCs w:val="18"/>
              </w:rPr>
              <w:t>CERTIFICADO NO APLICA</w:t>
            </w:r>
          </w:p>
        </w:tc>
      </w:tr>
      <w:tr w:rsidR="004356C4" w:rsidRPr="007A5A7B" w14:paraId="7D3D43FD" w14:textId="77777777" w:rsidTr="009150DC">
        <w:tc>
          <w:tcPr>
            <w:tcW w:w="1129" w:type="dxa"/>
          </w:tcPr>
          <w:p w14:paraId="4186F45E" w14:textId="77777777" w:rsidR="004356C4" w:rsidRPr="007A5A7B" w:rsidRDefault="004356C4" w:rsidP="00AC037D">
            <w:pPr>
              <w:pStyle w:val="Textoindependiente2"/>
              <w:tabs>
                <w:tab w:val="left" w:pos="599"/>
                <w:tab w:val="left" w:pos="9356"/>
              </w:tabs>
              <w:spacing w:after="0" w:line="240" w:lineRule="auto"/>
              <w:ind w:left="-11" w:right="-1"/>
              <w:jc w:val="right"/>
              <w:rPr>
                <w:rFonts w:ascii="Bookman Old Style" w:hAnsi="Bookman Old Style"/>
                <w:i/>
                <w:sz w:val="18"/>
                <w:szCs w:val="18"/>
              </w:rPr>
            </w:pPr>
            <w:r>
              <w:rPr>
                <w:rFonts w:ascii="Bookman Old Style" w:hAnsi="Bookman Old Style"/>
                <w:i/>
                <w:sz w:val="18"/>
                <w:szCs w:val="18"/>
              </w:rPr>
              <w:t>25954</w:t>
            </w:r>
          </w:p>
        </w:tc>
        <w:tc>
          <w:tcPr>
            <w:tcW w:w="4820" w:type="dxa"/>
          </w:tcPr>
          <w:p w14:paraId="71599EA0" w14:textId="77777777" w:rsidR="004356C4" w:rsidRPr="007A5A7B" w:rsidRDefault="004356C4" w:rsidP="00AC037D">
            <w:pPr>
              <w:pStyle w:val="Textoindependiente2"/>
              <w:tabs>
                <w:tab w:val="left" w:pos="9356"/>
              </w:tabs>
              <w:spacing w:after="0" w:line="240" w:lineRule="auto"/>
              <w:ind w:left="0" w:right="-1"/>
              <w:jc w:val="both"/>
              <w:rPr>
                <w:rFonts w:ascii="Bookman Old Style" w:hAnsi="Bookman Old Style"/>
                <w:i/>
                <w:sz w:val="18"/>
                <w:szCs w:val="18"/>
              </w:rPr>
            </w:pPr>
            <w:r>
              <w:rPr>
                <w:rFonts w:ascii="Bookman Old Style" w:hAnsi="Bookman Old Style"/>
                <w:i/>
                <w:sz w:val="18"/>
                <w:szCs w:val="18"/>
              </w:rPr>
              <w:t>DISTRIBUIDORA DE GAS DEL PACIFICO DIGAS SAS ESP</w:t>
            </w:r>
          </w:p>
        </w:tc>
        <w:tc>
          <w:tcPr>
            <w:tcW w:w="2830" w:type="dxa"/>
          </w:tcPr>
          <w:p w14:paraId="16275038"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i/>
                <w:sz w:val="18"/>
                <w:szCs w:val="18"/>
              </w:rPr>
            </w:pPr>
            <w:r>
              <w:rPr>
                <w:rFonts w:ascii="Bookman Old Style" w:hAnsi="Bookman Old Style"/>
                <w:i/>
                <w:sz w:val="18"/>
                <w:szCs w:val="18"/>
              </w:rPr>
              <w:t>CERTIFICADO NO APLICA</w:t>
            </w:r>
          </w:p>
        </w:tc>
      </w:tr>
      <w:tr w:rsidR="004356C4" w:rsidRPr="007A5A7B" w14:paraId="265075AB" w14:textId="77777777" w:rsidTr="009150DC">
        <w:tc>
          <w:tcPr>
            <w:tcW w:w="1129" w:type="dxa"/>
          </w:tcPr>
          <w:p w14:paraId="32664456" w14:textId="77777777" w:rsidR="004356C4" w:rsidRPr="007A5A7B" w:rsidRDefault="004356C4" w:rsidP="00AC037D">
            <w:pPr>
              <w:pStyle w:val="Textoindependiente2"/>
              <w:tabs>
                <w:tab w:val="left" w:pos="599"/>
                <w:tab w:val="left" w:pos="9356"/>
              </w:tabs>
              <w:spacing w:after="0" w:line="240" w:lineRule="auto"/>
              <w:ind w:left="-11" w:right="-1"/>
              <w:jc w:val="right"/>
              <w:rPr>
                <w:rFonts w:ascii="Bookman Old Style" w:hAnsi="Bookman Old Style"/>
                <w:i/>
                <w:sz w:val="18"/>
                <w:szCs w:val="18"/>
              </w:rPr>
            </w:pPr>
            <w:r>
              <w:rPr>
                <w:rFonts w:ascii="Bookman Old Style" w:hAnsi="Bookman Old Style"/>
                <w:i/>
                <w:sz w:val="18"/>
                <w:szCs w:val="18"/>
              </w:rPr>
              <w:t>32173</w:t>
            </w:r>
          </w:p>
        </w:tc>
        <w:tc>
          <w:tcPr>
            <w:tcW w:w="4820" w:type="dxa"/>
          </w:tcPr>
          <w:p w14:paraId="185861CC" w14:textId="77777777" w:rsidR="004356C4" w:rsidRPr="007551E6" w:rsidRDefault="004356C4" w:rsidP="00AC037D">
            <w:pPr>
              <w:pStyle w:val="Textoindependiente2"/>
              <w:tabs>
                <w:tab w:val="left" w:pos="9356"/>
              </w:tabs>
              <w:spacing w:after="0" w:line="240" w:lineRule="auto"/>
              <w:ind w:left="0" w:right="-1"/>
              <w:jc w:val="both"/>
              <w:rPr>
                <w:rFonts w:ascii="Bookman Old Style" w:hAnsi="Bookman Old Style"/>
                <w:i/>
                <w:sz w:val="18"/>
                <w:szCs w:val="18"/>
                <w:lang w:val="en-US"/>
              </w:rPr>
            </w:pPr>
            <w:r w:rsidRPr="007551E6">
              <w:rPr>
                <w:rFonts w:ascii="Bookman Old Style" w:hAnsi="Bookman Old Style"/>
                <w:i/>
                <w:sz w:val="18"/>
                <w:szCs w:val="18"/>
                <w:lang w:val="en-US"/>
              </w:rPr>
              <w:t>OIL &amp; GAS MAINTENANCE AND SERVICE SAS ESP</w:t>
            </w:r>
          </w:p>
        </w:tc>
        <w:tc>
          <w:tcPr>
            <w:tcW w:w="2830" w:type="dxa"/>
          </w:tcPr>
          <w:p w14:paraId="11AC9EB0" w14:textId="77777777" w:rsidR="004356C4" w:rsidRPr="007A5A7B" w:rsidRDefault="004356C4" w:rsidP="00AC037D">
            <w:pPr>
              <w:pStyle w:val="Textoindependiente2"/>
              <w:tabs>
                <w:tab w:val="left" w:pos="9356"/>
              </w:tabs>
              <w:spacing w:after="0" w:line="240" w:lineRule="auto"/>
              <w:ind w:left="0" w:right="-1"/>
              <w:jc w:val="center"/>
              <w:rPr>
                <w:rFonts w:ascii="Bookman Old Style" w:hAnsi="Bookman Old Style"/>
                <w:i/>
                <w:sz w:val="18"/>
                <w:szCs w:val="18"/>
              </w:rPr>
            </w:pPr>
            <w:r>
              <w:rPr>
                <w:rFonts w:ascii="Bookman Old Style" w:hAnsi="Bookman Old Style"/>
                <w:i/>
                <w:sz w:val="18"/>
                <w:szCs w:val="18"/>
              </w:rPr>
              <w:t>CERTIFICADO NO APLICA</w:t>
            </w:r>
          </w:p>
        </w:tc>
      </w:tr>
    </w:tbl>
    <w:p w14:paraId="77BEEFA5" w14:textId="77777777" w:rsidR="004356C4" w:rsidRDefault="004356C4" w:rsidP="00AC037D">
      <w:pPr>
        <w:pStyle w:val="Textoindependiente2"/>
        <w:tabs>
          <w:tab w:val="left" w:pos="9356"/>
        </w:tabs>
        <w:spacing w:after="0" w:line="240" w:lineRule="auto"/>
        <w:ind w:right="-1"/>
        <w:jc w:val="center"/>
        <w:rPr>
          <w:rFonts w:ascii="Bookman Old Style" w:hAnsi="Bookman Old Style"/>
          <w:i/>
          <w:sz w:val="16"/>
          <w:szCs w:val="16"/>
        </w:rPr>
      </w:pPr>
      <w:r>
        <w:rPr>
          <w:rFonts w:ascii="Bookman Old Style" w:hAnsi="Bookman Old Style"/>
          <w:i/>
          <w:sz w:val="16"/>
          <w:szCs w:val="16"/>
        </w:rPr>
        <w:t>Fuente: Reporte estado de pendientes SUI</w:t>
      </w:r>
    </w:p>
    <w:p w14:paraId="72FC7491" w14:textId="77777777" w:rsidR="004356C4" w:rsidRDefault="004356C4" w:rsidP="00AC037D">
      <w:pPr>
        <w:pStyle w:val="Textoindependiente2"/>
        <w:tabs>
          <w:tab w:val="left" w:pos="9356"/>
        </w:tabs>
        <w:spacing w:after="0" w:line="240" w:lineRule="auto"/>
        <w:ind w:right="-1"/>
        <w:jc w:val="center"/>
        <w:rPr>
          <w:rFonts w:ascii="Bookman Old Style" w:hAnsi="Bookman Old Style"/>
          <w:i/>
          <w:sz w:val="16"/>
          <w:szCs w:val="16"/>
        </w:rPr>
      </w:pPr>
      <w:r>
        <w:rPr>
          <w:rFonts w:ascii="Bookman Old Style" w:hAnsi="Bookman Old Style"/>
          <w:i/>
          <w:sz w:val="16"/>
          <w:szCs w:val="16"/>
        </w:rPr>
        <w:t>Reporte: SUI/Administración/Estado de reporte de Información Prestadores SSPD</w:t>
      </w:r>
    </w:p>
    <w:p w14:paraId="5A10C09B" w14:textId="77777777" w:rsidR="004356C4" w:rsidRPr="007551E6" w:rsidRDefault="004356C4" w:rsidP="00AC037D">
      <w:pPr>
        <w:pStyle w:val="Textoindependiente2"/>
        <w:tabs>
          <w:tab w:val="left" w:pos="9356"/>
        </w:tabs>
        <w:spacing w:after="0" w:line="240" w:lineRule="auto"/>
        <w:ind w:right="-1"/>
        <w:jc w:val="center"/>
        <w:rPr>
          <w:rFonts w:ascii="Bookman Old Style" w:hAnsi="Bookman Old Style"/>
          <w:i/>
          <w:sz w:val="16"/>
          <w:szCs w:val="16"/>
          <w:lang w:val="en-US"/>
        </w:rPr>
      </w:pPr>
      <w:r w:rsidRPr="007551E6">
        <w:rPr>
          <w:rFonts w:ascii="Bookman Old Style" w:hAnsi="Bookman Old Style"/>
          <w:i/>
          <w:sz w:val="16"/>
          <w:szCs w:val="16"/>
          <w:lang w:val="en-US"/>
        </w:rPr>
        <w:t xml:space="preserve">Link: </w:t>
      </w:r>
      <w:hyperlink r:id="rId11" w:history="1">
        <w:r w:rsidRPr="007551E6">
          <w:rPr>
            <w:rStyle w:val="Hipervnculo"/>
            <w:rFonts w:ascii="Bookman Old Style" w:hAnsi="Bookman Old Style"/>
            <w:i/>
            <w:sz w:val="16"/>
            <w:szCs w:val="16"/>
            <w:lang w:val="en-US"/>
          </w:rPr>
          <w:t>http://reportes.sui.gov.co/fabricaReportes/frameSet.jsp?idreporte=sui_adm_028</w:t>
        </w:r>
      </w:hyperlink>
      <w:r w:rsidRPr="007551E6">
        <w:rPr>
          <w:rFonts w:ascii="Bookman Old Style" w:hAnsi="Bookman Old Style"/>
          <w:i/>
          <w:sz w:val="16"/>
          <w:szCs w:val="16"/>
          <w:lang w:val="en-US"/>
        </w:rPr>
        <w:t xml:space="preserve"> ”</w:t>
      </w:r>
    </w:p>
    <w:p w14:paraId="4FB9E3BB" w14:textId="77777777" w:rsidR="00AE4E4C" w:rsidRPr="009150DC" w:rsidRDefault="00AE4E4C" w:rsidP="00AC037D">
      <w:pPr>
        <w:spacing w:after="0" w:line="240" w:lineRule="auto"/>
        <w:ind w:right="-1"/>
        <w:jc w:val="both"/>
        <w:rPr>
          <w:rFonts w:ascii="Bookman Old Style" w:eastAsia="MS Mincho" w:hAnsi="Bookman Old Style" w:cs="Arial"/>
          <w:sz w:val="24"/>
          <w:szCs w:val="24"/>
          <w:lang w:val="en-US"/>
        </w:rPr>
      </w:pPr>
    </w:p>
    <w:p w14:paraId="5F05C471" w14:textId="3328C0FE" w:rsidR="005F4876" w:rsidRPr="005F4876" w:rsidRDefault="005F4876" w:rsidP="00AC037D">
      <w:pPr>
        <w:spacing w:after="0" w:line="240" w:lineRule="auto"/>
        <w:ind w:right="-1"/>
        <w:jc w:val="both"/>
        <w:rPr>
          <w:rFonts w:ascii="Bookman Old Style" w:eastAsia="MS Mincho" w:hAnsi="Bookman Old Style" w:cs="Arial"/>
          <w:sz w:val="24"/>
          <w:szCs w:val="24"/>
          <w:lang w:val="es-ES"/>
        </w:rPr>
      </w:pPr>
      <w:r w:rsidRPr="005F4876">
        <w:rPr>
          <w:rFonts w:ascii="Bookman Old Style" w:eastAsia="MS Mincho" w:hAnsi="Bookman Old Style" w:cs="Arial"/>
          <w:sz w:val="24"/>
          <w:szCs w:val="24"/>
          <w:lang w:val="es-ES"/>
        </w:rPr>
        <w:t>Mediante el Auto I-2020-002012 del 13 de abril de 2020 se informó por parte de esta Comisión el inicio de una actuación administrativa particular llevada a cabo de manera oficiosa para los agentes distribuidores</w:t>
      </w:r>
      <w:r w:rsidR="00224628">
        <w:rPr>
          <w:rFonts w:ascii="Bookman Old Style" w:eastAsia="MS Mincho" w:hAnsi="Bookman Old Style" w:cs="Arial"/>
          <w:sz w:val="24"/>
          <w:szCs w:val="24"/>
          <w:lang w:val="es-ES"/>
        </w:rPr>
        <w:t>,</w:t>
      </w:r>
      <w:r w:rsidRPr="005F4876">
        <w:rPr>
          <w:rFonts w:ascii="Bookman Old Style" w:eastAsia="MS Mincho" w:hAnsi="Bookman Old Style" w:cs="Arial"/>
          <w:sz w:val="24"/>
          <w:szCs w:val="24"/>
          <w:lang w:val="es-ES"/>
        </w:rPr>
        <w:t xml:space="preserve"> a efectos de llevar a cabo el cálculo y definición de la capacidad de compra en los términos de los artículos 8 y 9 de la Resolución CREG 063 de 2013 para el octavo per</w:t>
      </w:r>
      <w:r w:rsidR="00224628">
        <w:rPr>
          <w:rFonts w:ascii="Bookman Old Style" w:eastAsia="MS Mincho" w:hAnsi="Bookman Old Style" w:cs="Arial"/>
          <w:sz w:val="24"/>
          <w:szCs w:val="24"/>
          <w:lang w:val="es-ES"/>
        </w:rPr>
        <w:t>í</w:t>
      </w:r>
      <w:r w:rsidRPr="005F4876">
        <w:rPr>
          <w:rFonts w:ascii="Bookman Old Style" w:eastAsia="MS Mincho" w:hAnsi="Bookman Old Style" w:cs="Arial"/>
          <w:sz w:val="24"/>
          <w:szCs w:val="24"/>
          <w:lang w:val="es-ES"/>
        </w:rPr>
        <w:t>odo de compra.</w:t>
      </w:r>
    </w:p>
    <w:p w14:paraId="0F9A4C5C" w14:textId="77777777" w:rsidR="005F4876" w:rsidRDefault="005F4876" w:rsidP="00AC037D">
      <w:pPr>
        <w:spacing w:after="0" w:line="240" w:lineRule="auto"/>
        <w:ind w:right="-1"/>
        <w:jc w:val="both"/>
        <w:rPr>
          <w:rFonts w:ascii="Bookman Old Style" w:eastAsia="MS Mincho" w:hAnsi="Bookman Old Style" w:cs="Arial"/>
          <w:sz w:val="24"/>
          <w:szCs w:val="24"/>
          <w:lang w:val="es-ES"/>
        </w:rPr>
      </w:pPr>
    </w:p>
    <w:p w14:paraId="29626C94" w14:textId="19273148" w:rsidR="0076675D" w:rsidRDefault="008E58FA" w:rsidP="00AC037D">
      <w:pPr>
        <w:spacing w:after="0" w:line="240" w:lineRule="auto"/>
        <w:ind w:right="-1"/>
        <w:jc w:val="both"/>
        <w:rPr>
          <w:rFonts w:ascii="Bookman Old Style" w:eastAsia="MS Mincho" w:hAnsi="Bookman Old Style" w:cs="Arial"/>
          <w:sz w:val="24"/>
          <w:szCs w:val="24"/>
          <w:lang w:val="es-ES"/>
        </w:rPr>
      </w:pPr>
      <w:r>
        <w:rPr>
          <w:rFonts w:ascii="Bookman Old Style" w:eastAsia="MS Mincho" w:hAnsi="Bookman Old Style" w:cs="Arial"/>
          <w:sz w:val="24"/>
          <w:szCs w:val="24"/>
          <w:lang w:val="es-ES"/>
        </w:rPr>
        <w:t>A partir de la información remitida por la SSPD</w:t>
      </w:r>
      <w:r w:rsidR="0076675D" w:rsidRPr="005C1BCA">
        <w:rPr>
          <w:rFonts w:ascii="Bookman Old Style" w:eastAsia="MS Mincho" w:hAnsi="Bookman Old Style" w:cs="Arial"/>
          <w:sz w:val="24"/>
          <w:szCs w:val="24"/>
          <w:lang w:val="es-ES"/>
        </w:rPr>
        <w:t xml:space="preserve">, </w:t>
      </w:r>
      <w:r>
        <w:rPr>
          <w:rFonts w:ascii="Bookman Old Style" w:eastAsia="MS Mincho" w:hAnsi="Bookman Old Style" w:cs="Arial"/>
          <w:sz w:val="24"/>
          <w:szCs w:val="24"/>
          <w:lang w:val="es-ES"/>
        </w:rPr>
        <w:t>está</w:t>
      </w:r>
      <w:r w:rsidR="0076675D" w:rsidRPr="003B50DF">
        <w:rPr>
          <w:rFonts w:ascii="Bookman Old Style" w:eastAsia="MS Mincho" w:hAnsi="Bookman Old Style" w:cs="Arial"/>
          <w:sz w:val="24"/>
          <w:szCs w:val="24"/>
          <w:lang w:val="es-ES"/>
        </w:rPr>
        <w:t xml:space="preserve"> Comisión </w:t>
      </w:r>
      <w:r w:rsidR="0076675D" w:rsidRPr="0087487D">
        <w:rPr>
          <w:rFonts w:ascii="Bookman Old Style" w:eastAsia="MS Mincho" w:hAnsi="Bookman Old Style" w:cs="Arial"/>
          <w:sz w:val="24"/>
          <w:szCs w:val="24"/>
          <w:lang w:val="es-ES"/>
        </w:rPr>
        <w:t>proced</w:t>
      </w:r>
      <w:r>
        <w:rPr>
          <w:rFonts w:ascii="Bookman Old Style" w:eastAsia="MS Mincho" w:hAnsi="Bookman Old Style" w:cs="Arial"/>
          <w:sz w:val="24"/>
          <w:szCs w:val="24"/>
          <w:lang w:val="es-ES"/>
        </w:rPr>
        <w:t>ió</w:t>
      </w:r>
      <w:r w:rsidR="0076675D" w:rsidRPr="0087487D">
        <w:rPr>
          <w:rFonts w:ascii="Bookman Old Style" w:eastAsia="MS Mincho" w:hAnsi="Bookman Old Style" w:cs="Arial"/>
          <w:sz w:val="24"/>
          <w:szCs w:val="24"/>
          <w:lang w:val="es-ES"/>
        </w:rPr>
        <w:t xml:space="preserve"> a llevar a cabo el cálculo para la definición de la capacidad de compra a que hace referencia el artículo 8 de la </w:t>
      </w:r>
      <w:r w:rsidR="0076675D" w:rsidRPr="0087487D">
        <w:rPr>
          <w:rFonts w:ascii="Bookman Old Style" w:eastAsia="Times New Roman" w:hAnsi="Bookman Old Style" w:cs="Times New Roman"/>
          <w:sz w:val="24"/>
          <w:szCs w:val="27"/>
          <w:lang w:val="es-ES" w:eastAsia="es-ES"/>
        </w:rPr>
        <w:t>Resolución</w:t>
      </w:r>
      <w:r w:rsidR="0076675D" w:rsidRPr="0087487D">
        <w:rPr>
          <w:rFonts w:ascii="Bookman Old Style" w:eastAsia="MS Mincho" w:hAnsi="Bookman Old Style" w:cs="Arial"/>
          <w:sz w:val="24"/>
          <w:szCs w:val="24"/>
          <w:lang w:val="es-ES"/>
        </w:rPr>
        <w:t xml:space="preserve"> CREG 063 de 2016 para cada distribuidor de GLP, en los términos allí previstos, aplicable para </w:t>
      </w:r>
      <w:r w:rsidR="0076675D" w:rsidRPr="00F527A6">
        <w:rPr>
          <w:rFonts w:ascii="Bookman Old Style" w:eastAsia="MS Mincho" w:hAnsi="Bookman Old Style" w:cs="Arial"/>
          <w:sz w:val="24"/>
          <w:szCs w:val="24"/>
          <w:lang w:val="es-ES"/>
        </w:rPr>
        <w:t>el octavo período de compra.</w:t>
      </w:r>
    </w:p>
    <w:p w14:paraId="2EDD9753" w14:textId="06030FA4" w:rsidR="00AA7343" w:rsidRDefault="00AA7343" w:rsidP="00AC037D">
      <w:pPr>
        <w:spacing w:after="0" w:line="240" w:lineRule="auto"/>
        <w:ind w:right="-1"/>
        <w:jc w:val="both"/>
        <w:rPr>
          <w:rFonts w:ascii="Bookman Old Style" w:eastAsia="MS Mincho" w:hAnsi="Bookman Old Style" w:cs="Arial"/>
          <w:sz w:val="24"/>
          <w:szCs w:val="24"/>
          <w:lang w:val="es-ES"/>
        </w:rPr>
      </w:pPr>
    </w:p>
    <w:p w14:paraId="22881AC6" w14:textId="03837705" w:rsidR="00AA7343" w:rsidRPr="00A33677" w:rsidRDefault="00AA7343" w:rsidP="00AC037D">
      <w:pPr>
        <w:spacing w:after="0" w:line="240" w:lineRule="auto"/>
        <w:ind w:right="-1"/>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 xml:space="preserve">En la Resolución CREG </w:t>
      </w:r>
      <w:r>
        <w:rPr>
          <w:rFonts w:ascii="Bookman Old Style" w:eastAsia="Times New Roman" w:hAnsi="Bookman Old Style" w:cs="Arial"/>
          <w:spacing w:val="-5"/>
          <w:sz w:val="24"/>
          <w:szCs w:val="24"/>
        </w:rPr>
        <w:t>070 de 2020</w:t>
      </w:r>
      <w:r w:rsidR="005F4876">
        <w:rPr>
          <w:rFonts w:ascii="Bookman Old Style" w:eastAsia="Times New Roman" w:hAnsi="Bookman Old Style" w:cs="Arial"/>
          <w:spacing w:val="-5"/>
          <w:sz w:val="24"/>
          <w:szCs w:val="24"/>
        </w:rPr>
        <w:t xml:space="preserve"> proferida el 23 de abril de 2020, </w:t>
      </w:r>
      <w:r w:rsidRPr="00A33677">
        <w:rPr>
          <w:rFonts w:ascii="Bookman Old Style" w:eastAsia="Times New Roman" w:hAnsi="Bookman Old Style" w:cs="Arial"/>
          <w:spacing w:val="-5"/>
          <w:sz w:val="24"/>
          <w:szCs w:val="24"/>
        </w:rPr>
        <w:t>se estableció en su artículo 1º lo siguiente:</w:t>
      </w:r>
    </w:p>
    <w:p w14:paraId="5A77EFE6" w14:textId="77777777" w:rsidR="00AA7343" w:rsidRPr="00A33677" w:rsidRDefault="00AA7343" w:rsidP="00AC037D">
      <w:pPr>
        <w:spacing w:after="0" w:line="240" w:lineRule="auto"/>
        <w:ind w:left="-142" w:right="-1" w:firstLine="142"/>
        <w:jc w:val="both"/>
        <w:rPr>
          <w:rFonts w:ascii="Arial" w:eastAsia="MS Mincho" w:hAnsi="Arial" w:cs="Arial"/>
          <w:sz w:val="24"/>
          <w:szCs w:val="24"/>
        </w:rPr>
      </w:pPr>
    </w:p>
    <w:p w14:paraId="463B3FD1" w14:textId="77777777" w:rsidR="00AA7343" w:rsidRPr="00A33677" w:rsidRDefault="00AA7343"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sidRPr="00A33677">
        <w:rPr>
          <w:rFonts w:ascii="Bookman Old Style" w:eastAsia="MS Mincho" w:hAnsi="Bookman Old Style" w:cs="Arial"/>
          <w:b/>
          <w:sz w:val="24"/>
          <w:szCs w:val="24"/>
          <w:lang w:val="es-ES"/>
        </w:rPr>
        <w:t>“</w:t>
      </w:r>
      <w:r w:rsidRPr="00A33677">
        <w:rPr>
          <w:rFonts w:ascii="Bookman Old Style" w:eastAsia="MS Mincho" w:hAnsi="Bookman Old Style" w:cs="Arial"/>
          <w:b/>
          <w:i/>
          <w:lang w:val="es-ES"/>
        </w:rPr>
        <w:t xml:space="preserve">Artículo 1. Capacidad de Compra. </w:t>
      </w:r>
      <w:r w:rsidRPr="009C2779">
        <w:rPr>
          <w:rFonts w:ascii="Bookman Old Style" w:eastAsia="MS Mincho" w:hAnsi="Bookman Old Style" w:cs="Arial"/>
          <w:i/>
          <w:lang w:val="es-ES"/>
        </w:rPr>
        <w:t>La siguiente corresponde a la Capacidad de Compra en los términos de los artículos 8 y 9 de la Resolución CREG 063 de 2016, para cada uno de los siguientes distribuidores de GLP identificados, de acuerdo con el reporte de información en el Sistema único de Información, SUI, así como el Registro Único de Prestadores de Servicios Públicos, RUPS, aplicable para el octavo período de compra:</w:t>
      </w:r>
    </w:p>
    <w:p w14:paraId="6A0C1907" w14:textId="77777777" w:rsidR="00AA7343" w:rsidRPr="00A33677" w:rsidRDefault="00AA7343" w:rsidP="00AC037D">
      <w:pPr>
        <w:spacing w:after="0" w:line="240" w:lineRule="auto"/>
        <w:ind w:right="-1"/>
        <w:jc w:val="both"/>
        <w:rPr>
          <w:rFonts w:ascii="Bookman Old Style" w:eastAsia="MS Mincho" w:hAnsi="Bookman Old Style" w:cs="Arial"/>
          <w:i/>
          <w:lang w:val="es-ES"/>
        </w:rPr>
      </w:pPr>
    </w:p>
    <w:tbl>
      <w:tblPr>
        <w:tblW w:w="8500" w:type="dxa"/>
        <w:jc w:val="center"/>
        <w:tblCellMar>
          <w:left w:w="70" w:type="dxa"/>
          <w:right w:w="70" w:type="dxa"/>
        </w:tblCellMar>
        <w:tblLook w:val="04A0" w:firstRow="1" w:lastRow="0" w:firstColumn="1" w:lastColumn="0" w:noHBand="0" w:noVBand="1"/>
      </w:tblPr>
      <w:tblGrid>
        <w:gridCol w:w="1838"/>
        <w:gridCol w:w="4536"/>
        <w:gridCol w:w="2126"/>
      </w:tblGrid>
      <w:tr w:rsidR="00AA7343" w:rsidRPr="009C2779" w14:paraId="34B63A02" w14:textId="77777777" w:rsidTr="0094182F">
        <w:trPr>
          <w:trHeight w:val="370"/>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91528" w14:textId="77777777" w:rsidR="00AA7343" w:rsidRPr="009C2779" w:rsidRDefault="00AA7343" w:rsidP="00AC037D">
            <w:pPr>
              <w:spacing w:after="0" w:line="240" w:lineRule="auto"/>
              <w:ind w:right="-1"/>
              <w:jc w:val="center"/>
              <w:rPr>
                <w:rFonts w:ascii="Bookman Old Style" w:eastAsia="Times New Roman" w:hAnsi="Bookman Old Style" w:cs="Times New Roman"/>
                <w:b/>
                <w:bCs/>
                <w:i/>
                <w:color w:val="000000"/>
                <w:lang w:eastAsia="es-CO"/>
              </w:rPr>
            </w:pPr>
            <w:r w:rsidRPr="009C2779">
              <w:rPr>
                <w:rFonts w:ascii="Bookman Old Style" w:eastAsia="Times New Roman" w:hAnsi="Bookman Old Style" w:cs="Times New Roman"/>
                <w:b/>
                <w:bCs/>
                <w:i/>
                <w:color w:val="000000"/>
                <w:lang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C1D83C9" w14:textId="77777777" w:rsidR="00AA7343" w:rsidRPr="009C2779" w:rsidRDefault="00AA7343" w:rsidP="00AC037D">
            <w:pPr>
              <w:spacing w:after="0" w:line="240" w:lineRule="auto"/>
              <w:ind w:right="-1"/>
              <w:jc w:val="center"/>
              <w:rPr>
                <w:rFonts w:ascii="Bookman Old Style" w:eastAsia="Times New Roman" w:hAnsi="Bookman Old Style" w:cs="Times New Roman"/>
                <w:b/>
                <w:bCs/>
                <w:i/>
                <w:color w:val="000000"/>
                <w:lang w:eastAsia="es-CO"/>
              </w:rPr>
            </w:pPr>
            <w:r w:rsidRPr="009C2779">
              <w:rPr>
                <w:rFonts w:ascii="Bookman Old Style" w:eastAsia="Times New Roman" w:hAnsi="Bookman Old Style" w:cs="Times New Roman"/>
                <w:b/>
                <w:bCs/>
                <w:i/>
                <w:color w:val="000000"/>
                <w:lang w:eastAsia="es-CO"/>
              </w:rPr>
              <w:t>Agente</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55915B" w14:textId="77777777" w:rsidR="00AA7343" w:rsidRPr="009C2779" w:rsidRDefault="00AA7343" w:rsidP="00AC037D">
            <w:pPr>
              <w:spacing w:after="0" w:line="240" w:lineRule="auto"/>
              <w:ind w:right="-1"/>
              <w:jc w:val="center"/>
              <w:rPr>
                <w:rFonts w:ascii="Bookman Old Style" w:eastAsia="Times New Roman" w:hAnsi="Bookman Old Style" w:cs="Times New Roman"/>
                <w:b/>
                <w:bCs/>
                <w:i/>
                <w:color w:val="000000"/>
                <w:lang w:eastAsia="es-CO"/>
              </w:rPr>
            </w:pPr>
            <w:r w:rsidRPr="009C2779">
              <w:rPr>
                <w:rFonts w:ascii="Bookman Old Style" w:eastAsia="Times New Roman" w:hAnsi="Bookman Old Style" w:cs="Times New Roman"/>
                <w:b/>
                <w:bCs/>
                <w:i/>
                <w:color w:val="000000"/>
                <w:lang w:eastAsia="es-CO"/>
              </w:rPr>
              <w:t xml:space="preserve">Capacidad de compra </w:t>
            </w:r>
            <m:oMath>
              <m:r>
                <m:rPr>
                  <m:sty m:val="bi"/>
                </m:rPr>
                <w:rPr>
                  <w:rFonts w:ascii="Cambria Math" w:eastAsia="Times New Roman" w:hAnsi="Cambria Math" w:cs="Times New Roman"/>
                  <w:color w:val="000000"/>
                  <w:lang w:eastAsia="es-CO"/>
                </w:rPr>
                <m:t>C</m:t>
              </m:r>
              <m:sSub>
                <m:sSubPr>
                  <m:ctrlPr>
                    <w:rPr>
                      <w:rFonts w:ascii="Cambria Math" w:eastAsia="Times New Roman" w:hAnsi="Cambria Math" w:cs="Times New Roman"/>
                      <w:b/>
                      <w:bCs/>
                      <w:i/>
                      <w:iCs/>
                      <w:color w:val="000000"/>
                      <w:lang w:eastAsia="es-CO"/>
                    </w:rPr>
                  </m:ctrlPr>
                </m:sSubPr>
                <m:e>
                  <m:r>
                    <m:rPr>
                      <m:sty m:val="bi"/>
                    </m:rPr>
                    <w:rPr>
                      <w:rFonts w:ascii="Cambria Math" w:eastAsia="Times New Roman" w:hAnsi="Cambria Math" w:cs="Times New Roman"/>
                      <w:color w:val="000000"/>
                      <w:lang w:eastAsia="es-CO"/>
                    </w:rPr>
                    <m:t>C</m:t>
                  </m:r>
                </m:e>
                <m:sub>
                  <m:r>
                    <m:rPr>
                      <m:sty m:val="bi"/>
                    </m:rPr>
                    <w:rPr>
                      <w:rFonts w:ascii="Cambria Math" w:eastAsia="Times New Roman" w:hAnsi="Cambria Math" w:cs="Times New Roman"/>
                      <w:color w:val="000000"/>
                      <w:lang w:eastAsia="es-CO"/>
                    </w:rPr>
                    <m:t>i,t</m:t>
                  </m:r>
                </m:sub>
              </m:sSub>
            </m:oMath>
          </w:p>
        </w:tc>
      </w:tr>
      <w:tr w:rsidR="00AA7343" w:rsidRPr="009C2779" w14:paraId="4B558E36" w14:textId="77777777" w:rsidTr="0094182F">
        <w:trPr>
          <w:trHeight w:val="389"/>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C3292" w14:textId="77777777" w:rsidR="00AA7343" w:rsidRPr="00FB144D" w:rsidRDefault="00AA7343" w:rsidP="00AC037D">
            <w:pPr>
              <w:ind w:right="-1"/>
              <w:jc w:val="center"/>
              <w:rPr>
                <w:rFonts w:ascii="Bookman Old Style" w:hAnsi="Bookman Old Style"/>
                <w:i/>
              </w:rPr>
            </w:pPr>
            <w:r w:rsidRPr="00FB144D">
              <w:rPr>
                <w:rFonts w:ascii="Bookman Old Style" w:hAnsi="Bookman Old Style"/>
                <w:i/>
              </w:rPr>
              <w:t>6026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38CEEB2" w14:textId="77777777" w:rsidR="00AA7343" w:rsidRPr="00FB144D" w:rsidRDefault="00AA7343" w:rsidP="00AC037D">
            <w:pPr>
              <w:ind w:right="-1"/>
              <w:jc w:val="center"/>
              <w:rPr>
                <w:rFonts w:ascii="Bookman Old Style" w:hAnsi="Bookman Old Style"/>
                <w:i/>
              </w:rPr>
            </w:pPr>
            <w:r w:rsidRPr="00FB144D">
              <w:rPr>
                <w:rFonts w:ascii="Bookman Old Style" w:hAnsi="Bookman Old Style"/>
                <w:i/>
              </w:rPr>
              <w:t>MONTAGAS S.A. E S P.</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0ADEC78" w14:textId="77777777" w:rsidR="00AA7343" w:rsidRPr="00FB144D" w:rsidRDefault="00AA7343" w:rsidP="00AC037D">
            <w:pPr>
              <w:ind w:right="-1"/>
              <w:jc w:val="center"/>
              <w:rPr>
                <w:rFonts w:ascii="Bookman Old Style" w:hAnsi="Bookman Old Style"/>
                <w:i/>
              </w:rPr>
            </w:pPr>
            <w:r w:rsidRPr="00FB144D">
              <w:rPr>
                <w:rFonts w:ascii="Bookman Old Style" w:hAnsi="Bookman Old Style"/>
                <w:i/>
              </w:rPr>
              <w:t>26.601.406</w:t>
            </w:r>
          </w:p>
        </w:tc>
      </w:tr>
    </w:tbl>
    <w:p w14:paraId="2C3D868F" w14:textId="77777777" w:rsidR="00AA7343" w:rsidRPr="00A33677" w:rsidRDefault="00AA7343" w:rsidP="00AC037D">
      <w:pPr>
        <w:spacing w:after="0" w:line="240" w:lineRule="auto"/>
        <w:ind w:right="-1"/>
        <w:jc w:val="both"/>
        <w:rPr>
          <w:rFonts w:ascii="Bookman Old Style" w:eastAsia="MS Mincho" w:hAnsi="Bookman Old Style" w:cs="Arial"/>
          <w:i/>
        </w:rPr>
      </w:pPr>
    </w:p>
    <w:p w14:paraId="4F5FE6BA" w14:textId="77777777" w:rsidR="00AA7343" w:rsidRPr="00A33677" w:rsidRDefault="00AA7343"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sidRPr="00A33677">
        <w:rPr>
          <w:rFonts w:ascii="Bookman Old Style" w:eastAsia="MS Mincho" w:hAnsi="Bookman Old Style" w:cs="Arial"/>
          <w:i/>
          <w:lang w:val="es-ES"/>
        </w:rPr>
        <w:t xml:space="preserve">Dicha capacidad ha sido calculada atendiendo el procedimiento establecido en el artículo 8 de la Resolución CREG 063 de 2016 con </w:t>
      </w:r>
      <w:r w:rsidRPr="007F3FC2">
        <w:rPr>
          <w:rFonts w:ascii="Bookman Old Style" w:eastAsia="Times New Roman" w:hAnsi="Bookman Old Style" w:cs="Arial"/>
          <w:i/>
          <w:lang w:val="es-ES" w:eastAsia="es-ES"/>
        </w:rPr>
        <w:t>información</w:t>
      </w:r>
      <w:r w:rsidRPr="00A33677">
        <w:rPr>
          <w:rFonts w:ascii="Bookman Old Style" w:eastAsia="MS Mincho" w:hAnsi="Bookman Old Style" w:cs="Arial"/>
          <w:i/>
          <w:lang w:val="es-ES"/>
        </w:rPr>
        <w:t xml:space="preserve"> del Sistema Único de Información – SUI </w:t>
      </w:r>
      <w:r w:rsidRPr="00AF4C82">
        <w:rPr>
          <w:rFonts w:ascii="Bookman Old Style" w:eastAsia="MS Mincho" w:hAnsi="Bookman Old Style" w:cs="Arial"/>
          <w:i/>
          <w:lang w:val="es-ES"/>
        </w:rPr>
        <w:t>con corte al 16 de marzo de 2020.</w:t>
      </w:r>
      <w:r w:rsidRPr="00A33677">
        <w:rPr>
          <w:rFonts w:ascii="Bookman Old Style" w:eastAsia="MS Mincho" w:hAnsi="Bookman Old Style" w:cs="Arial"/>
          <w:i/>
          <w:lang w:val="es-ES"/>
        </w:rPr>
        <w:t xml:space="preserve"> El cálculo para cada empresa se detalla en el Anexo que hace parte de la presente resolución.”</w:t>
      </w:r>
    </w:p>
    <w:p w14:paraId="3E7BBACE" w14:textId="77777777" w:rsidR="00AA7343" w:rsidRDefault="00AA7343" w:rsidP="00AC037D">
      <w:pPr>
        <w:spacing w:after="0" w:line="240" w:lineRule="auto"/>
        <w:ind w:right="-1"/>
        <w:jc w:val="both"/>
        <w:rPr>
          <w:rFonts w:ascii="Bookman Old Style" w:eastAsia="MS Mincho" w:hAnsi="Bookman Old Style" w:cs="Arial"/>
          <w:sz w:val="24"/>
          <w:szCs w:val="24"/>
          <w:lang w:val="es-ES"/>
        </w:rPr>
      </w:pPr>
    </w:p>
    <w:p w14:paraId="2E94A4B1" w14:textId="77777777" w:rsidR="00A33677" w:rsidRPr="00A33677" w:rsidRDefault="00A33677" w:rsidP="00AC037D">
      <w:pPr>
        <w:tabs>
          <w:tab w:val="right" w:pos="9498"/>
        </w:tabs>
        <w:spacing w:after="0" w:line="240" w:lineRule="auto"/>
        <w:ind w:left="284" w:right="-1"/>
        <w:jc w:val="both"/>
        <w:rPr>
          <w:rFonts w:ascii="Bookman Old Style" w:eastAsia="Times New Roman" w:hAnsi="Bookman Old Style" w:cs="Arial"/>
          <w:sz w:val="24"/>
          <w:szCs w:val="24"/>
          <w:lang w:val="es-ES" w:eastAsia="es-ES"/>
        </w:rPr>
      </w:pPr>
    </w:p>
    <w:p w14:paraId="177ED951" w14:textId="132A125D" w:rsidR="00A33677" w:rsidRPr="00A33677" w:rsidRDefault="00A33677" w:rsidP="00AC037D">
      <w:pPr>
        <w:spacing w:after="0" w:line="240" w:lineRule="auto"/>
        <w:ind w:left="-142" w:right="-1"/>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II</w:t>
      </w:r>
      <w:r w:rsidR="00807AB2">
        <w:rPr>
          <w:rFonts w:ascii="Bookman Old Style" w:eastAsia="Times New Roman" w:hAnsi="Bookman Old Style" w:cs="Arial"/>
          <w:b/>
          <w:spacing w:val="-5"/>
          <w:sz w:val="24"/>
          <w:szCs w:val="24"/>
        </w:rPr>
        <w:t>I</w:t>
      </w:r>
      <w:r w:rsidRPr="00A33677">
        <w:rPr>
          <w:rFonts w:ascii="Bookman Old Style" w:eastAsia="Times New Roman" w:hAnsi="Bookman Old Style" w:cs="Arial"/>
          <w:b/>
          <w:spacing w:val="-5"/>
          <w:sz w:val="24"/>
          <w:szCs w:val="24"/>
        </w:rPr>
        <w:t>. RECURSO DE REPOSICIÓN</w:t>
      </w:r>
    </w:p>
    <w:p w14:paraId="7863C90C" w14:textId="77777777" w:rsidR="00A33677" w:rsidRPr="00A33677" w:rsidRDefault="00A33677" w:rsidP="00AC037D">
      <w:pPr>
        <w:spacing w:after="0" w:line="240" w:lineRule="auto"/>
        <w:ind w:left="-142" w:right="-1"/>
        <w:jc w:val="both"/>
        <w:rPr>
          <w:rFonts w:ascii="Bookman Old Style" w:eastAsia="Times New Roman" w:hAnsi="Bookman Old Style" w:cs="Arial"/>
          <w:b/>
          <w:spacing w:val="-5"/>
          <w:sz w:val="24"/>
          <w:szCs w:val="24"/>
        </w:rPr>
      </w:pPr>
    </w:p>
    <w:p w14:paraId="2724BC49" w14:textId="77777777" w:rsidR="00A33677" w:rsidRDefault="00A33677" w:rsidP="00AC037D">
      <w:pPr>
        <w:spacing w:after="0" w:line="240" w:lineRule="auto"/>
        <w:ind w:left="-142" w:right="-1"/>
        <w:jc w:val="both"/>
        <w:rPr>
          <w:rFonts w:ascii="Bookman Old Style" w:eastAsia="Times New Roman" w:hAnsi="Bookman Old Style" w:cs="Arial"/>
          <w:b/>
          <w:spacing w:val="-5"/>
          <w:sz w:val="24"/>
          <w:szCs w:val="24"/>
        </w:rPr>
      </w:pPr>
      <w:r w:rsidRPr="00A33677">
        <w:rPr>
          <w:rFonts w:ascii="Bookman Old Style" w:eastAsia="Times New Roman" w:hAnsi="Bookman Old Style" w:cs="Arial"/>
          <w:b/>
          <w:spacing w:val="-5"/>
          <w:sz w:val="24"/>
          <w:szCs w:val="24"/>
        </w:rPr>
        <w:t xml:space="preserve">1. La admisibilidad del recurso </w:t>
      </w:r>
    </w:p>
    <w:p w14:paraId="4757F7CA" w14:textId="77777777" w:rsidR="00A33677" w:rsidRPr="00A33677" w:rsidRDefault="00A33677" w:rsidP="00AC037D">
      <w:pPr>
        <w:spacing w:after="0" w:line="240" w:lineRule="auto"/>
        <w:ind w:left="-142" w:right="-1"/>
        <w:jc w:val="both"/>
        <w:rPr>
          <w:rFonts w:ascii="Bookman Old Style" w:eastAsia="Times New Roman" w:hAnsi="Bookman Old Style" w:cs="Arial"/>
          <w:b/>
          <w:spacing w:val="-5"/>
          <w:sz w:val="24"/>
          <w:szCs w:val="24"/>
        </w:rPr>
      </w:pPr>
    </w:p>
    <w:p w14:paraId="14C9CDDD" w14:textId="3600955C" w:rsidR="00A33677" w:rsidRDefault="00A33677" w:rsidP="00AC037D">
      <w:pPr>
        <w:spacing w:after="0" w:line="240" w:lineRule="auto"/>
        <w:ind w:left="-142" w:right="-1"/>
        <w:jc w:val="both"/>
        <w:rPr>
          <w:rFonts w:ascii="Bookman Old Style" w:eastAsia="Times New Roman" w:hAnsi="Bookman Old Style" w:cs="Arial"/>
          <w:spacing w:val="-5"/>
          <w:sz w:val="24"/>
          <w:szCs w:val="24"/>
        </w:rPr>
      </w:pPr>
      <w:r w:rsidRPr="00A33677">
        <w:rPr>
          <w:rFonts w:ascii="Bookman Old Style" w:eastAsia="Times New Roman" w:hAnsi="Bookman Old Style" w:cs="Arial"/>
          <w:spacing w:val="-5"/>
          <w:sz w:val="24"/>
          <w:szCs w:val="24"/>
        </w:rPr>
        <w:t>Mediante escrito radicado en esta C</w:t>
      </w:r>
      <w:r w:rsidR="00EB3EAB">
        <w:rPr>
          <w:rFonts w:ascii="Bookman Old Style" w:eastAsia="Times New Roman" w:hAnsi="Bookman Old Style" w:cs="Arial"/>
          <w:spacing w:val="-5"/>
          <w:sz w:val="24"/>
          <w:szCs w:val="24"/>
        </w:rPr>
        <w:t xml:space="preserve">omisión a través de </w:t>
      </w:r>
      <w:r w:rsidR="00F5339F">
        <w:rPr>
          <w:rFonts w:ascii="Bookman Old Style" w:eastAsia="Times New Roman" w:hAnsi="Bookman Old Style" w:cs="Arial"/>
          <w:spacing w:val="-5"/>
          <w:sz w:val="24"/>
          <w:szCs w:val="24"/>
        </w:rPr>
        <w:t xml:space="preserve">comunicación </w:t>
      </w:r>
      <w:r w:rsidRPr="00A33677">
        <w:rPr>
          <w:rFonts w:ascii="Bookman Old Style" w:eastAsia="Times New Roman" w:hAnsi="Bookman Old Style" w:cs="Arial"/>
          <w:spacing w:val="-5"/>
          <w:sz w:val="24"/>
          <w:szCs w:val="24"/>
        </w:rPr>
        <w:t xml:space="preserve">con radicado </w:t>
      </w:r>
      <w:r w:rsidRPr="00AF4C82">
        <w:rPr>
          <w:rFonts w:ascii="Bookman Old Style" w:eastAsia="Times New Roman" w:hAnsi="Bookman Old Style" w:cs="Arial"/>
          <w:spacing w:val="-5"/>
          <w:sz w:val="24"/>
          <w:szCs w:val="24"/>
        </w:rPr>
        <w:t xml:space="preserve">número </w:t>
      </w:r>
      <w:r w:rsidR="005021EF" w:rsidRPr="00AF4C82">
        <w:rPr>
          <w:rFonts w:ascii="Bookman Old Style" w:eastAsia="Times New Roman" w:hAnsi="Bookman Old Style" w:cs="Arial"/>
          <w:spacing w:val="-5"/>
          <w:sz w:val="24"/>
          <w:szCs w:val="24"/>
        </w:rPr>
        <w:t>E-2020</w:t>
      </w:r>
      <w:r w:rsidRPr="00AF4C82">
        <w:rPr>
          <w:rFonts w:ascii="Bookman Old Style" w:eastAsia="Times New Roman" w:hAnsi="Bookman Old Style" w:cs="Arial"/>
          <w:spacing w:val="-5"/>
          <w:sz w:val="24"/>
          <w:szCs w:val="24"/>
        </w:rPr>
        <w:t>-</w:t>
      </w:r>
      <w:r w:rsidR="00F5339F" w:rsidRPr="00AF4C82">
        <w:rPr>
          <w:rFonts w:ascii="Bookman Old Style" w:eastAsia="Times New Roman" w:hAnsi="Bookman Old Style" w:cs="Arial"/>
          <w:spacing w:val="-5"/>
          <w:sz w:val="24"/>
          <w:szCs w:val="24"/>
        </w:rPr>
        <w:t>00</w:t>
      </w:r>
      <w:r w:rsidR="005021EF" w:rsidRPr="00AF4C82">
        <w:rPr>
          <w:rFonts w:ascii="Bookman Old Style" w:eastAsia="Times New Roman" w:hAnsi="Bookman Old Style" w:cs="Arial"/>
          <w:spacing w:val="-5"/>
          <w:sz w:val="24"/>
          <w:szCs w:val="24"/>
        </w:rPr>
        <w:t>4217</w:t>
      </w:r>
      <w:r w:rsidRPr="00AF4C82">
        <w:rPr>
          <w:rFonts w:ascii="Bookman Old Style" w:eastAsia="Times New Roman" w:hAnsi="Bookman Old Style" w:cs="Arial"/>
          <w:spacing w:val="-5"/>
          <w:sz w:val="24"/>
          <w:szCs w:val="24"/>
        </w:rPr>
        <w:t xml:space="preserve"> de </w:t>
      </w:r>
      <w:r w:rsidR="005021EF" w:rsidRPr="00AF4C82">
        <w:rPr>
          <w:rFonts w:ascii="Bookman Old Style" w:eastAsia="Times New Roman" w:hAnsi="Bookman Old Style" w:cs="Arial"/>
          <w:spacing w:val="-5"/>
          <w:sz w:val="24"/>
          <w:szCs w:val="24"/>
        </w:rPr>
        <w:t>05</w:t>
      </w:r>
      <w:r w:rsidRPr="00AF4C82">
        <w:rPr>
          <w:rFonts w:ascii="Bookman Old Style" w:eastAsia="Times New Roman" w:hAnsi="Bookman Old Style" w:cs="Arial"/>
          <w:spacing w:val="-5"/>
          <w:sz w:val="24"/>
          <w:szCs w:val="24"/>
        </w:rPr>
        <w:t xml:space="preserve"> de </w:t>
      </w:r>
      <w:r w:rsidR="005021EF" w:rsidRPr="00AF4C82">
        <w:rPr>
          <w:rFonts w:ascii="Bookman Old Style" w:eastAsia="Times New Roman" w:hAnsi="Bookman Old Style" w:cs="Arial"/>
          <w:spacing w:val="-5"/>
          <w:sz w:val="24"/>
          <w:szCs w:val="24"/>
        </w:rPr>
        <w:t>mayo de 2020</w:t>
      </w:r>
      <w:r w:rsidRPr="00AF4C82">
        <w:rPr>
          <w:rFonts w:ascii="Bookman Old Style" w:eastAsia="Times New Roman" w:hAnsi="Bookman Old Style" w:cs="Arial"/>
          <w:spacing w:val="-5"/>
          <w:sz w:val="24"/>
          <w:szCs w:val="24"/>
        </w:rPr>
        <w:t>, el representante</w:t>
      </w:r>
      <w:r w:rsidRPr="00A33677">
        <w:rPr>
          <w:rFonts w:ascii="Bookman Old Style" w:eastAsia="Times New Roman" w:hAnsi="Bookman Old Style" w:cs="Arial"/>
          <w:spacing w:val="-5"/>
          <w:sz w:val="24"/>
          <w:szCs w:val="24"/>
        </w:rPr>
        <w:t xml:space="preserve"> legal de la empresa </w:t>
      </w:r>
      <w:r w:rsidR="005021EF">
        <w:rPr>
          <w:rFonts w:ascii="Bookman Old Style" w:eastAsia="Times New Roman" w:hAnsi="Bookman Old Style" w:cs="Arial"/>
          <w:spacing w:val="-5"/>
          <w:sz w:val="24"/>
          <w:szCs w:val="24"/>
        </w:rPr>
        <w:t>Montagas S.A.</w:t>
      </w:r>
      <w:r w:rsidRPr="00A33677">
        <w:rPr>
          <w:rFonts w:ascii="Bookman Old Style" w:eastAsia="Times New Roman" w:hAnsi="Bookman Old Style" w:cs="Arial"/>
          <w:spacing w:val="-5"/>
          <w:sz w:val="24"/>
          <w:szCs w:val="24"/>
        </w:rPr>
        <w:t xml:space="preserve"> E.S.P. interpuso recurso de reposición contra la Resolución CREG </w:t>
      </w:r>
      <w:r w:rsidR="005021EF">
        <w:rPr>
          <w:rFonts w:ascii="Bookman Old Style" w:eastAsia="Times New Roman" w:hAnsi="Bookman Old Style" w:cs="Arial"/>
          <w:spacing w:val="-5"/>
          <w:sz w:val="24"/>
          <w:szCs w:val="24"/>
        </w:rPr>
        <w:t>070 de 2020</w:t>
      </w:r>
      <w:r w:rsidRPr="00A33677">
        <w:rPr>
          <w:rFonts w:ascii="Bookman Old Style" w:eastAsia="Times New Roman" w:hAnsi="Bookman Old Style" w:cs="Arial"/>
          <w:spacing w:val="-5"/>
          <w:sz w:val="24"/>
          <w:szCs w:val="24"/>
        </w:rPr>
        <w:t>, para lo cual realiza las siguientes solicitudes:</w:t>
      </w:r>
    </w:p>
    <w:p w14:paraId="4F6EBE0B" w14:textId="667D7ABE" w:rsidR="00AC037D" w:rsidRDefault="00AC037D" w:rsidP="00AC037D">
      <w:pPr>
        <w:spacing w:after="0" w:line="240" w:lineRule="auto"/>
        <w:ind w:left="-142" w:right="-1"/>
        <w:jc w:val="both"/>
        <w:rPr>
          <w:rFonts w:ascii="Bookman Old Style" w:eastAsia="Times New Roman" w:hAnsi="Bookman Old Style" w:cs="Arial"/>
          <w:spacing w:val="-5"/>
          <w:sz w:val="24"/>
          <w:szCs w:val="24"/>
        </w:rPr>
      </w:pPr>
    </w:p>
    <w:p w14:paraId="76DAC78D" w14:textId="77777777" w:rsidR="00AC037D" w:rsidRPr="00A33677" w:rsidRDefault="00AC037D" w:rsidP="00AC037D">
      <w:pPr>
        <w:spacing w:after="0" w:line="240" w:lineRule="auto"/>
        <w:ind w:left="-142" w:right="-1"/>
        <w:jc w:val="both"/>
        <w:rPr>
          <w:rFonts w:ascii="Bookman Old Style" w:eastAsia="Times New Roman" w:hAnsi="Bookman Old Style" w:cs="Arial"/>
          <w:spacing w:val="-5"/>
          <w:sz w:val="24"/>
          <w:szCs w:val="24"/>
        </w:rPr>
      </w:pPr>
    </w:p>
    <w:p w14:paraId="1CEB43B8" w14:textId="77777777" w:rsidR="00A33677" w:rsidRPr="00A33677" w:rsidRDefault="00A33677" w:rsidP="00AC037D">
      <w:pPr>
        <w:widowControl w:val="0"/>
        <w:tabs>
          <w:tab w:val="right" w:pos="9498"/>
        </w:tabs>
        <w:adjustRightInd w:val="0"/>
        <w:spacing w:after="0" w:line="240" w:lineRule="auto"/>
        <w:ind w:right="-1"/>
        <w:jc w:val="both"/>
        <w:rPr>
          <w:rFonts w:ascii="Arial" w:eastAsia="Times New Roman" w:hAnsi="Arial" w:cs="Arial"/>
          <w:i/>
          <w:sz w:val="24"/>
          <w:szCs w:val="24"/>
          <w:lang w:val="es-ES" w:eastAsia="es-ES"/>
        </w:rPr>
      </w:pPr>
    </w:p>
    <w:p w14:paraId="0891B8AC" w14:textId="77777777" w:rsidR="00F5339F" w:rsidRDefault="00A33677"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Pr>
          <w:rFonts w:ascii="Bookman Old Style" w:eastAsia="MS Mincho" w:hAnsi="Bookman Old Style" w:cs="Arial"/>
          <w:i/>
          <w:lang w:val="es-ES"/>
        </w:rPr>
        <w:t>“</w:t>
      </w:r>
      <w:r w:rsidR="00F5339F">
        <w:rPr>
          <w:rFonts w:ascii="Bookman Old Style" w:eastAsia="MS Mincho" w:hAnsi="Bookman Old Style" w:cs="Arial"/>
          <w:i/>
          <w:lang w:val="es-ES"/>
        </w:rPr>
        <w:t xml:space="preserve">1. </w:t>
      </w:r>
      <w:r w:rsidR="005021EF" w:rsidRPr="005021EF">
        <w:rPr>
          <w:rFonts w:ascii="Bookman Old Style" w:eastAsia="MS Mincho" w:hAnsi="Bookman Old Style" w:cs="Arial"/>
          <w:i/>
          <w:lang w:val="es-ES"/>
        </w:rPr>
        <w:t>Revocar la Resolución No.070 de 2020, profer</w:t>
      </w:r>
      <w:r w:rsidR="005021EF">
        <w:rPr>
          <w:rFonts w:ascii="Bookman Old Style" w:eastAsia="MS Mincho" w:hAnsi="Bookman Old Style" w:cs="Arial"/>
          <w:i/>
          <w:lang w:val="es-ES"/>
        </w:rPr>
        <w:t xml:space="preserve">ida el 23 de abril de 2020, por </w:t>
      </w:r>
      <w:r w:rsidR="005021EF" w:rsidRPr="005021EF">
        <w:rPr>
          <w:rFonts w:ascii="Bookman Old Style" w:eastAsia="MS Mincho" w:hAnsi="Bookman Old Style" w:cs="Arial"/>
          <w:i/>
          <w:lang w:val="es-ES"/>
        </w:rPr>
        <w:t>el viceministro de energía y delegado de la ministra d</w:t>
      </w:r>
      <w:r w:rsidR="005021EF">
        <w:rPr>
          <w:rFonts w:ascii="Bookman Old Style" w:eastAsia="MS Mincho" w:hAnsi="Bookman Old Style" w:cs="Arial"/>
          <w:i/>
          <w:lang w:val="es-ES"/>
        </w:rPr>
        <w:t xml:space="preserve">e Minas y Energía y el Director </w:t>
      </w:r>
      <w:r w:rsidR="005021EF" w:rsidRPr="005021EF">
        <w:rPr>
          <w:rFonts w:ascii="Bookman Old Style" w:eastAsia="MS Mincho" w:hAnsi="Bookman Old Style" w:cs="Arial"/>
          <w:i/>
          <w:lang w:val="es-ES"/>
        </w:rPr>
        <w:t>Ejecutivo de la CREG, mediante la cual en su Artícu</w:t>
      </w:r>
      <w:r w:rsidR="005021EF">
        <w:rPr>
          <w:rFonts w:ascii="Bookman Old Style" w:eastAsia="MS Mincho" w:hAnsi="Bookman Old Style" w:cs="Arial"/>
          <w:i/>
          <w:lang w:val="es-ES"/>
        </w:rPr>
        <w:t xml:space="preserve">lo 1, se define la capacidad de </w:t>
      </w:r>
      <w:r w:rsidR="005021EF" w:rsidRPr="005021EF">
        <w:rPr>
          <w:rFonts w:ascii="Bookman Old Style" w:eastAsia="MS Mincho" w:hAnsi="Bookman Old Style" w:cs="Arial"/>
          <w:i/>
          <w:lang w:val="es-ES"/>
        </w:rPr>
        <w:t>compra de la sociedad MONTAGAS S.A. E.S.P confor</w:t>
      </w:r>
      <w:r w:rsidR="005021EF">
        <w:rPr>
          <w:rFonts w:ascii="Bookman Old Style" w:eastAsia="MS Mincho" w:hAnsi="Bookman Old Style" w:cs="Arial"/>
          <w:i/>
          <w:lang w:val="es-ES"/>
        </w:rPr>
        <w:t xml:space="preserve">me al procedimiento establecido </w:t>
      </w:r>
      <w:r w:rsidR="005021EF" w:rsidRPr="005021EF">
        <w:rPr>
          <w:rFonts w:ascii="Bookman Old Style" w:eastAsia="MS Mincho" w:hAnsi="Bookman Old Style" w:cs="Arial"/>
          <w:i/>
          <w:lang w:val="es-ES"/>
        </w:rPr>
        <w:t>en los artículos 8 y 9 de la Resolución CREG 063 de 2016.</w:t>
      </w:r>
      <w:r w:rsidR="00F5339F">
        <w:rPr>
          <w:rFonts w:ascii="Bookman Old Style" w:eastAsia="MS Mincho" w:hAnsi="Bookman Old Style" w:cs="Arial"/>
          <w:i/>
          <w:lang w:val="es-ES"/>
        </w:rPr>
        <w:t xml:space="preserve"> </w:t>
      </w:r>
    </w:p>
    <w:p w14:paraId="59665541" w14:textId="77777777" w:rsidR="00F5339F" w:rsidRPr="00F5339F" w:rsidRDefault="00F5339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p>
    <w:p w14:paraId="45E19659" w14:textId="77777777" w:rsidR="005021EF" w:rsidRDefault="00F5339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Pr>
          <w:rFonts w:ascii="Bookman Old Style" w:eastAsia="MS Mincho" w:hAnsi="Bookman Old Style" w:cs="Arial"/>
          <w:i/>
          <w:lang w:val="es-ES"/>
        </w:rPr>
        <w:t>2.</w:t>
      </w:r>
      <w:r w:rsidRPr="00F5339F">
        <w:rPr>
          <w:rFonts w:ascii="Bookman Old Style" w:eastAsia="MS Mincho" w:hAnsi="Bookman Old Style" w:cs="Arial"/>
          <w:i/>
          <w:lang w:val="es-ES"/>
        </w:rPr>
        <w:t xml:space="preserve"> </w:t>
      </w:r>
      <w:r w:rsidR="005021EF" w:rsidRPr="005021EF">
        <w:rPr>
          <w:rFonts w:ascii="Bookman Old Style" w:eastAsia="MS Mincho" w:hAnsi="Bookman Old Style" w:cs="Arial"/>
          <w:i/>
          <w:lang w:val="es-ES"/>
        </w:rPr>
        <w:t>Solicitar un rango de tiempo más específico</w:t>
      </w:r>
      <w:r w:rsidR="005021EF">
        <w:rPr>
          <w:rFonts w:ascii="Bookman Old Style" w:eastAsia="MS Mincho" w:hAnsi="Bookman Old Style" w:cs="Arial"/>
          <w:i/>
          <w:lang w:val="es-ES"/>
        </w:rPr>
        <w:t xml:space="preserve"> para dar trámite al artículo 9 </w:t>
      </w:r>
      <w:r w:rsidR="005021EF" w:rsidRPr="005021EF">
        <w:rPr>
          <w:rFonts w:ascii="Bookman Old Style" w:eastAsia="MS Mincho" w:hAnsi="Bookman Old Style" w:cs="Arial"/>
          <w:i/>
          <w:lang w:val="es-ES"/>
        </w:rPr>
        <w:t>de la resolución CREG 063 de 2016, en el cual se estab</w:t>
      </w:r>
      <w:r w:rsidR="005021EF">
        <w:rPr>
          <w:rFonts w:ascii="Bookman Old Style" w:eastAsia="MS Mincho" w:hAnsi="Bookman Old Style" w:cs="Arial"/>
          <w:i/>
          <w:lang w:val="es-ES"/>
        </w:rPr>
        <w:t xml:space="preserve">lece “Artículo 9. Determinación </w:t>
      </w:r>
      <w:r w:rsidR="005021EF" w:rsidRPr="005021EF">
        <w:rPr>
          <w:rFonts w:ascii="Bookman Old Style" w:eastAsia="MS Mincho" w:hAnsi="Bookman Old Style" w:cs="Arial"/>
          <w:i/>
          <w:lang w:val="es-ES"/>
        </w:rPr>
        <w:t>y publicación de información. Atendiendo lo dispuesto e</w:t>
      </w:r>
      <w:r w:rsidR="005021EF">
        <w:rPr>
          <w:rFonts w:ascii="Bookman Old Style" w:eastAsia="MS Mincho" w:hAnsi="Bookman Old Style" w:cs="Arial"/>
          <w:i/>
          <w:lang w:val="es-ES"/>
        </w:rPr>
        <w:t xml:space="preserve">n el artículo anterior, la CREG </w:t>
      </w:r>
      <w:r w:rsidR="005021EF" w:rsidRPr="005021EF">
        <w:rPr>
          <w:rFonts w:ascii="Bookman Old Style" w:eastAsia="MS Mincho" w:hAnsi="Bookman Old Style" w:cs="Arial"/>
          <w:i/>
          <w:lang w:val="es-ES"/>
        </w:rPr>
        <w:t>determinará y publicará, por lo menos con un (1) me</w:t>
      </w:r>
      <w:r w:rsidR="005021EF">
        <w:rPr>
          <w:rFonts w:ascii="Bookman Old Style" w:eastAsia="MS Mincho" w:hAnsi="Bookman Old Style" w:cs="Arial"/>
          <w:i/>
          <w:lang w:val="es-ES"/>
        </w:rPr>
        <w:t xml:space="preserve">s de anterioridad al inicio del </w:t>
      </w:r>
      <w:r w:rsidR="005021EF" w:rsidRPr="005021EF">
        <w:rPr>
          <w:rFonts w:ascii="Bookman Old Style" w:eastAsia="MS Mincho" w:hAnsi="Bookman Old Style" w:cs="Arial"/>
          <w:i/>
          <w:lang w:val="es-ES"/>
        </w:rPr>
        <w:t>periodo de compra, la capacidad de compra de cad</w:t>
      </w:r>
      <w:r w:rsidR="005021EF">
        <w:rPr>
          <w:rFonts w:ascii="Bookman Old Style" w:eastAsia="MS Mincho" w:hAnsi="Bookman Old Style" w:cs="Arial"/>
          <w:i/>
          <w:lang w:val="es-ES"/>
        </w:rPr>
        <w:t xml:space="preserve">a distribuidor, con información </w:t>
      </w:r>
      <w:r w:rsidR="005021EF" w:rsidRPr="005021EF">
        <w:rPr>
          <w:rFonts w:ascii="Bookman Old Style" w:eastAsia="MS Mincho" w:hAnsi="Bookman Old Style" w:cs="Arial"/>
          <w:i/>
          <w:lang w:val="es-ES"/>
        </w:rPr>
        <w:t>reportada al SUI, hasta el día 10 del mes correspon</w:t>
      </w:r>
      <w:r w:rsidR="005021EF">
        <w:rPr>
          <w:rFonts w:ascii="Bookman Old Style" w:eastAsia="MS Mincho" w:hAnsi="Bookman Old Style" w:cs="Arial"/>
          <w:i/>
          <w:lang w:val="es-ES"/>
        </w:rPr>
        <w:t xml:space="preserve">diente (…)” (Resaltado fuera de </w:t>
      </w:r>
      <w:r w:rsidR="005021EF" w:rsidRPr="005021EF">
        <w:rPr>
          <w:rFonts w:ascii="Bookman Old Style" w:eastAsia="MS Mincho" w:hAnsi="Bookman Old Style" w:cs="Arial"/>
          <w:i/>
          <w:lang w:val="es-ES"/>
        </w:rPr>
        <w:t>texto)”, y complementar que el tiempo máximo correspon</w:t>
      </w:r>
      <w:r w:rsidR="005021EF">
        <w:rPr>
          <w:rFonts w:ascii="Bookman Old Style" w:eastAsia="MS Mincho" w:hAnsi="Bookman Old Style" w:cs="Arial"/>
          <w:i/>
          <w:lang w:val="es-ES"/>
        </w:rPr>
        <w:t xml:space="preserve">da a tres meses anteriores al </w:t>
      </w:r>
      <w:r w:rsidR="005021EF" w:rsidRPr="005021EF">
        <w:rPr>
          <w:rFonts w:ascii="Bookman Old Style" w:eastAsia="MS Mincho" w:hAnsi="Bookman Old Style" w:cs="Arial"/>
          <w:i/>
          <w:lang w:val="es-ES"/>
        </w:rPr>
        <w:t>inicio del periodo de compra, es decir que la información</w:t>
      </w:r>
      <w:r w:rsidR="005021EF">
        <w:rPr>
          <w:rFonts w:ascii="Bookman Old Style" w:eastAsia="MS Mincho" w:hAnsi="Bookman Old Style" w:cs="Arial"/>
          <w:i/>
          <w:lang w:val="es-ES"/>
        </w:rPr>
        <w:t xml:space="preserve"> que se tenga en cuenta para el </w:t>
      </w:r>
      <w:r w:rsidR="005021EF" w:rsidRPr="005021EF">
        <w:rPr>
          <w:rFonts w:ascii="Bookman Old Style" w:eastAsia="MS Mincho" w:hAnsi="Bookman Old Style" w:cs="Arial"/>
          <w:i/>
          <w:lang w:val="es-ES"/>
        </w:rPr>
        <w:t>cálculo de la máxima capacidad de compra sea posterio</w:t>
      </w:r>
      <w:r w:rsidR="005021EF">
        <w:rPr>
          <w:rFonts w:ascii="Bookman Old Style" w:eastAsia="MS Mincho" w:hAnsi="Bookman Old Style" w:cs="Arial"/>
          <w:i/>
          <w:lang w:val="es-ES"/>
        </w:rPr>
        <w:t xml:space="preserve">r al día 15 de abril, cuando se </w:t>
      </w:r>
      <w:r w:rsidR="005021EF" w:rsidRPr="005021EF">
        <w:rPr>
          <w:rFonts w:ascii="Bookman Old Style" w:eastAsia="MS Mincho" w:hAnsi="Bookman Old Style" w:cs="Arial"/>
          <w:i/>
          <w:lang w:val="es-ES"/>
        </w:rPr>
        <w:t>haya reportado los informes de periodicidad mensual p</w:t>
      </w:r>
      <w:r w:rsidR="005021EF">
        <w:rPr>
          <w:rFonts w:ascii="Bookman Old Style" w:eastAsia="MS Mincho" w:hAnsi="Bookman Old Style" w:cs="Arial"/>
          <w:i/>
          <w:lang w:val="es-ES"/>
        </w:rPr>
        <w:t xml:space="preserve">ara el mes de marzo en cuanto a </w:t>
      </w:r>
      <w:r w:rsidR="005021EF" w:rsidRPr="005021EF">
        <w:rPr>
          <w:rFonts w:ascii="Bookman Old Style" w:eastAsia="MS Mincho" w:hAnsi="Bookman Old Style" w:cs="Arial"/>
          <w:i/>
          <w:lang w:val="es-ES"/>
        </w:rPr>
        <w:t xml:space="preserve">cilindros, y trimestral para el primer trimestre del año en </w:t>
      </w:r>
      <w:r w:rsidR="005021EF">
        <w:rPr>
          <w:rFonts w:ascii="Bookman Old Style" w:eastAsia="MS Mincho" w:hAnsi="Bookman Old Style" w:cs="Arial"/>
          <w:i/>
          <w:lang w:val="es-ES"/>
        </w:rPr>
        <w:t xml:space="preserve">cuanto a tanques estacionarios; </w:t>
      </w:r>
      <w:r w:rsidR="005021EF" w:rsidRPr="005021EF">
        <w:rPr>
          <w:rFonts w:ascii="Bookman Old Style" w:eastAsia="MS Mincho" w:hAnsi="Bookman Old Style" w:cs="Arial"/>
          <w:i/>
          <w:lang w:val="es-ES"/>
        </w:rPr>
        <w:t>De esta manera, surtirá efecto en la máxima capacida</w:t>
      </w:r>
      <w:r w:rsidR="005021EF">
        <w:rPr>
          <w:rFonts w:ascii="Bookman Old Style" w:eastAsia="MS Mincho" w:hAnsi="Bookman Old Style" w:cs="Arial"/>
          <w:i/>
          <w:lang w:val="es-ES"/>
        </w:rPr>
        <w:t xml:space="preserve">d de compra el reporte definido </w:t>
      </w:r>
      <w:r w:rsidR="005021EF" w:rsidRPr="005021EF">
        <w:rPr>
          <w:rFonts w:ascii="Bookman Old Style" w:eastAsia="MS Mincho" w:hAnsi="Bookman Old Style" w:cs="Arial"/>
          <w:i/>
          <w:lang w:val="es-ES"/>
        </w:rPr>
        <w:t>en la circular conjunta SSPD CREG 001 de 2017 y</w:t>
      </w:r>
      <w:r w:rsidR="005021EF">
        <w:rPr>
          <w:rFonts w:ascii="Bookman Old Style" w:eastAsia="MS Mincho" w:hAnsi="Bookman Old Style" w:cs="Arial"/>
          <w:i/>
          <w:lang w:val="es-ES"/>
        </w:rPr>
        <w:t xml:space="preserve"> la Resolución SSPD No20141300040755 de 2014</w:t>
      </w:r>
      <w:r w:rsidRPr="00F5339F">
        <w:rPr>
          <w:rFonts w:ascii="Bookman Old Style" w:eastAsia="MS Mincho" w:hAnsi="Bookman Old Style" w:cs="Arial"/>
          <w:i/>
          <w:lang w:val="es-ES"/>
        </w:rPr>
        <w:t>.</w:t>
      </w:r>
    </w:p>
    <w:p w14:paraId="7A51B835" w14:textId="77777777" w:rsidR="005021EF" w:rsidRDefault="005021E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p>
    <w:p w14:paraId="2C14CE54" w14:textId="77777777" w:rsidR="005021EF" w:rsidRDefault="005021E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Pr>
          <w:rFonts w:ascii="Bookman Old Style" w:eastAsia="MS Mincho" w:hAnsi="Bookman Old Style" w:cs="Arial"/>
          <w:i/>
          <w:lang w:val="es-ES"/>
        </w:rPr>
        <w:t xml:space="preserve">3. </w:t>
      </w:r>
      <w:r w:rsidRPr="005021EF">
        <w:rPr>
          <w:rFonts w:ascii="Bookman Old Style" w:eastAsia="MS Mincho" w:hAnsi="Bookman Old Style" w:cs="Arial"/>
          <w:i/>
          <w:lang w:val="es-ES"/>
        </w:rPr>
        <w:t>Establecer en su lugar, que la capac</w:t>
      </w:r>
      <w:r>
        <w:rPr>
          <w:rFonts w:ascii="Bookman Old Style" w:eastAsia="MS Mincho" w:hAnsi="Bookman Old Style" w:cs="Arial"/>
          <w:i/>
          <w:lang w:val="es-ES"/>
        </w:rPr>
        <w:t xml:space="preserve">idad de compra de MONTAGAS S.A. </w:t>
      </w:r>
      <w:r w:rsidRPr="005021EF">
        <w:rPr>
          <w:rFonts w:ascii="Bookman Old Style" w:eastAsia="MS Mincho" w:hAnsi="Bookman Old Style" w:cs="Arial"/>
          <w:i/>
          <w:lang w:val="es-ES"/>
        </w:rPr>
        <w:t>E.S.P. sean 26.858.408 kilogramos teniendo en c</w:t>
      </w:r>
      <w:r>
        <w:rPr>
          <w:rFonts w:ascii="Bookman Old Style" w:eastAsia="MS Mincho" w:hAnsi="Bookman Old Style" w:cs="Arial"/>
          <w:i/>
          <w:lang w:val="es-ES"/>
        </w:rPr>
        <w:t xml:space="preserve">uenta que durante el periodo de </w:t>
      </w:r>
      <w:r w:rsidRPr="005021EF">
        <w:rPr>
          <w:rFonts w:ascii="Bookman Old Style" w:eastAsia="MS Mincho" w:hAnsi="Bookman Old Style" w:cs="Arial"/>
          <w:i/>
          <w:lang w:val="es-ES"/>
        </w:rPr>
        <w:t>marzo de 2020 se realizó una inversión de 2200 cilindro</w:t>
      </w:r>
      <w:r>
        <w:rPr>
          <w:rFonts w:ascii="Bookman Old Style" w:eastAsia="MS Mincho" w:hAnsi="Bookman Old Style" w:cs="Arial"/>
          <w:i/>
          <w:lang w:val="es-ES"/>
        </w:rPr>
        <w:t xml:space="preserve">s de 40 libras para aumentar el </w:t>
      </w:r>
      <w:r w:rsidRPr="005021EF">
        <w:rPr>
          <w:rFonts w:ascii="Bookman Old Style" w:eastAsia="MS Mincho" w:hAnsi="Bookman Old Style" w:cs="Arial"/>
          <w:i/>
          <w:lang w:val="es-ES"/>
        </w:rPr>
        <w:t>parque de cilindros de la marca Montagas y atende</w:t>
      </w:r>
      <w:r>
        <w:rPr>
          <w:rFonts w:ascii="Bookman Old Style" w:eastAsia="MS Mincho" w:hAnsi="Bookman Old Style" w:cs="Arial"/>
          <w:i/>
          <w:lang w:val="es-ES"/>
        </w:rPr>
        <w:t xml:space="preserve">r de manera efectiva al mercado </w:t>
      </w:r>
      <w:r w:rsidRPr="005021EF">
        <w:rPr>
          <w:rFonts w:ascii="Bookman Old Style" w:eastAsia="MS Mincho" w:hAnsi="Bookman Old Style" w:cs="Arial"/>
          <w:i/>
          <w:lang w:val="es-ES"/>
        </w:rPr>
        <w:t>consolidado a la fecha, adicionalmente la adquisici</w:t>
      </w:r>
      <w:r>
        <w:rPr>
          <w:rFonts w:ascii="Bookman Old Style" w:eastAsia="MS Mincho" w:hAnsi="Bookman Old Style" w:cs="Arial"/>
          <w:i/>
          <w:lang w:val="es-ES"/>
        </w:rPr>
        <w:t xml:space="preserve">ón de tanques estacionarios del </w:t>
      </w:r>
      <w:r w:rsidRPr="005021EF">
        <w:rPr>
          <w:rFonts w:ascii="Bookman Old Style" w:eastAsia="MS Mincho" w:hAnsi="Bookman Old Style" w:cs="Arial"/>
          <w:i/>
          <w:lang w:val="es-ES"/>
        </w:rPr>
        <w:t xml:space="preserve">primer trimestre de 2020, que se reportaron en el mes </w:t>
      </w:r>
      <w:r>
        <w:rPr>
          <w:rFonts w:ascii="Bookman Old Style" w:eastAsia="MS Mincho" w:hAnsi="Bookman Old Style" w:cs="Arial"/>
          <w:i/>
          <w:lang w:val="es-ES"/>
        </w:rPr>
        <w:t xml:space="preserve">de abril, por un consolidado de </w:t>
      </w:r>
      <w:r w:rsidRPr="005021EF">
        <w:rPr>
          <w:rFonts w:ascii="Bookman Old Style" w:eastAsia="MS Mincho" w:hAnsi="Bookman Old Style" w:cs="Arial"/>
          <w:i/>
          <w:lang w:val="es-ES"/>
        </w:rPr>
        <w:t>887.196 galones en total.</w:t>
      </w:r>
    </w:p>
    <w:p w14:paraId="353C36C5" w14:textId="77777777" w:rsidR="005021EF" w:rsidRDefault="005021E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p>
    <w:p w14:paraId="620DFDA1" w14:textId="77777777" w:rsidR="00A33677" w:rsidRPr="00A33677" w:rsidRDefault="005021EF"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MS Mincho" w:hAnsi="Bookman Old Style" w:cs="Arial"/>
          <w:i/>
          <w:lang w:val="es-ES"/>
        </w:rPr>
      </w:pPr>
      <w:r>
        <w:rPr>
          <w:rFonts w:ascii="Bookman Old Style" w:eastAsia="MS Mincho" w:hAnsi="Bookman Old Style" w:cs="Arial"/>
          <w:i/>
          <w:lang w:val="es-ES"/>
        </w:rPr>
        <w:t xml:space="preserve">4. </w:t>
      </w:r>
      <w:r w:rsidRPr="005021EF">
        <w:rPr>
          <w:rFonts w:ascii="Bookman Old Style" w:eastAsia="MS Mincho" w:hAnsi="Bookman Old Style" w:cs="Arial"/>
          <w:i/>
          <w:lang w:val="es-ES"/>
        </w:rPr>
        <w:t>Modificar el artículo 9 de la resolución C</w:t>
      </w:r>
      <w:r>
        <w:rPr>
          <w:rFonts w:ascii="Bookman Old Style" w:eastAsia="MS Mincho" w:hAnsi="Bookman Old Style" w:cs="Arial"/>
          <w:i/>
          <w:lang w:val="es-ES"/>
        </w:rPr>
        <w:t xml:space="preserve">REG 063 de 2016 para definir de </w:t>
      </w:r>
      <w:r w:rsidRPr="005021EF">
        <w:rPr>
          <w:rFonts w:ascii="Bookman Old Style" w:eastAsia="MS Mincho" w:hAnsi="Bookman Old Style" w:cs="Arial"/>
          <w:i/>
          <w:lang w:val="es-ES"/>
        </w:rPr>
        <w:t>manera explícita, los cortes de información de activos que se tomaran en cue</w:t>
      </w:r>
      <w:r>
        <w:rPr>
          <w:rFonts w:ascii="Bookman Old Style" w:eastAsia="MS Mincho" w:hAnsi="Bookman Old Style" w:cs="Arial"/>
          <w:i/>
          <w:lang w:val="es-ES"/>
        </w:rPr>
        <w:t xml:space="preserve">nta para el </w:t>
      </w:r>
      <w:r w:rsidRPr="005021EF">
        <w:rPr>
          <w:rFonts w:ascii="Bookman Old Style" w:eastAsia="MS Mincho" w:hAnsi="Bookman Old Style" w:cs="Arial"/>
          <w:i/>
          <w:lang w:val="es-ES"/>
        </w:rPr>
        <w:t>cálculo de la máxima capacidad de compra, determin</w:t>
      </w:r>
      <w:r>
        <w:rPr>
          <w:rFonts w:ascii="Bookman Old Style" w:eastAsia="MS Mincho" w:hAnsi="Bookman Old Style" w:cs="Arial"/>
          <w:i/>
          <w:lang w:val="es-ES"/>
        </w:rPr>
        <w:t xml:space="preserve">ando que, para el cálculo de la </w:t>
      </w:r>
      <w:r w:rsidRPr="005021EF">
        <w:rPr>
          <w:rFonts w:ascii="Bookman Old Style" w:eastAsia="MS Mincho" w:hAnsi="Bookman Old Style" w:cs="Arial"/>
          <w:i/>
          <w:lang w:val="es-ES"/>
        </w:rPr>
        <w:t>máxima capacidad de compra del segundo seme</w:t>
      </w:r>
      <w:r>
        <w:rPr>
          <w:rFonts w:ascii="Bookman Old Style" w:eastAsia="MS Mincho" w:hAnsi="Bookman Old Style" w:cs="Arial"/>
          <w:i/>
          <w:lang w:val="es-ES"/>
        </w:rPr>
        <w:t xml:space="preserve">stre, la información sea tomada </w:t>
      </w:r>
      <w:r w:rsidRPr="005021EF">
        <w:rPr>
          <w:rFonts w:ascii="Bookman Old Style" w:eastAsia="MS Mincho" w:hAnsi="Bookman Old Style" w:cs="Arial"/>
          <w:i/>
          <w:lang w:val="es-ES"/>
        </w:rPr>
        <w:t>posterior al 15 de abril del mismo año, y para el cá</w:t>
      </w:r>
      <w:r>
        <w:rPr>
          <w:rFonts w:ascii="Bookman Old Style" w:eastAsia="MS Mincho" w:hAnsi="Bookman Old Style" w:cs="Arial"/>
          <w:i/>
          <w:lang w:val="es-ES"/>
        </w:rPr>
        <w:t xml:space="preserve">lculo de la máxima capacidad de </w:t>
      </w:r>
      <w:r w:rsidRPr="005021EF">
        <w:rPr>
          <w:rFonts w:ascii="Bookman Old Style" w:eastAsia="MS Mincho" w:hAnsi="Bookman Old Style" w:cs="Arial"/>
          <w:i/>
          <w:lang w:val="es-ES"/>
        </w:rPr>
        <w:t>compra del primer semestre sea tomada posterior al 15 d</w:t>
      </w:r>
      <w:r>
        <w:rPr>
          <w:rFonts w:ascii="Bookman Old Style" w:eastAsia="MS Mincho" w:hAnsi="Bookman Old Style" w:cs="Arial"/>
          <w:i/>
          <w:lang w:val="es-ES"/>
        </w:rPr>
        <w:t xml:space="preserve">e octubre del año anterior; con </w:t>
      </w:r>
      <w:r w:rsidRPr="005021EF">
        <w:rPr>
          <w:rFonts w:ascii="Bookman Old Style" w:eastAsia="MS Mincho" w:hAnsi="Bookman Old Style" w:cs="Arial"/>
          <w:i/>
          <w:lang w:val="es-ES"/>
        </w:rPr>
        <w:t>lo anterior surge efecto los plazos de reporte de la c</w:t>
      </w:r>
      <w:r>
        <w:rPr>
          <w:rFonts w:ascii="Bookman Old Style" w:eastAsia="MS Mincho" w:hAnsi="Bookman Old Style" w:cs="Arial"/>
          <w:i/>
          <w:lang w:val="es-ES"/>
        </w:rPr>
        <w:t xml:space="preserve">ircular conjunta SSPD CREG 001- </w:t>
      </w:r>
      <w:r w:rsidRPr="005021EF">
        <w:rPr>
          <w:rFonts w:ascii="Bookman Old Style" w:eastAsia="MS Mincho" w:hAnsi="Bookman Old Style" w:cs="Arial"/>
          <w:i/>
          <w:lang w:val="es-ES"/>
        </w:rPr>
        <w:t>2017 para el reporte de tanques estaci</w:t>
      </w:r>
      <w:r>
        <w:rPr>
          <w:rFonts w:ascii="Bookman Old Style" w:eastAsia="MS Mincho" w:hAnsi="Bookman Old Style" w:cs="Arial"/>
          <w:i/>
          <w:lang w:val="es-ES"/>
        </w:rPr>
        <w:t xml:space="preserve">onarios y la Resolución SSPD No </w:t>
      </w:r>
      <w:r w:rsidRPr="005021EF">
        <w:rPr>
          <w:rFonts w:ascii="Bookman Old Style" w:eastAsia="MS Mincho" w:hAnsi="Bookman Old Style" w:cs="Arial"/>
          <w:i/>
          <w:lang w:val="es-ES"/>
        </w:rPr>
        <w:t>20141300040755 de 2014 para el reporte de cilindros</w:t>
      </w:r>
      <w:r w:rsidR="00A33677">
        <w:rPr>
          <w:rFonts w:ascii="Bookman Old Style" w:eastAsia="MS Mincho" w:hAnsi="Bookman Old Style" w:cs="Arial"/>
          <w:i/>
          <w:lang w:val="es-ES"/>
        </w:rPr>
        <w:t>”</w:t>
      </w:r>
    </w:p>
    <w:p w14:paraId="4DC7F011" w14:textId="77777777" w:rsidR="00A33677" w:rsidRPr="00A33677" w:rsidRDefault="00A33677" w:rsidP="00AC037D">
      <w:pPr>
        <w:widowControl w:val="0"/>
        <w:tabs>
          <w:tab w:val="right" w:pos="9498"/>
        </w:tabs>
        <w:adjustRightInd w:val="0"/>
        <w:spacing w:after="0" w:line="240" w:lineRule="auto"/>
        <w:ind w:right="-1"/>
        <w:jc w:val="both"/>
        <w:rPr>
          <w:rFonts w:ascii="Arial" w:eastAsia="Times New Roman" w:hAnsi="Arial" w:cs="Arial"/>
          <w:sz w:val="24"/>
          <w:szCs w:val="24"/>
          <w:lang w:val="es-ES" w:eastAsia="es-ES"/>
        </w:rPr>
      </w:pPr>
    </w:p>
    <w:p w14:paraId="75095F3D" w14:textId="6CBF93CA" w:rsidR="00F5339F" w:rsidRPr="00F5339F" w:rsidRDefault="002E37BA" w:rsidP="00AC037D">
      <w:pPr>
        <w:spacing w:after="0" w:line="240" w:lineRule="auto"/>
        <w:ind w:left="-142" w:right="-1"/>
        <w:jc w:val="both"/>
        <w:rPr>
          <w:rFonts w:ascii="Bookman Old Style" w:eastAsia="Times New Roman" w:hAnsi="Bookman Old Style" w:cs="Arial"/>
          <w:spacing w:val="-5"/>
          <w:sz w:val="24"/>
          <w:szCs w:val="24"/>
        </w:rPr>
      </w:pPr>
      <w:r>
        <w:rPr>
          <w:rFonts w:ascii="Bookman Old Style" w:eastAsia="Times New Roman" w:hAnsi="Bookman Old Style" w:cs="Arial"/>
          <w:spacing w:val="-5"/>
          <w:sz w:val="24"/>
          <w:szCs w:val="24"/>
        </w:rPr>
        <w:t xml:space="preserve">La Resolución </w:t>
      </w:r>
      <w:r w:rsidRPr="00AF4C82">
        <w:rPr>
          <w:rFonts w:ascii="Bookman Old Style" w:eastAsia="Times New Roman" w:hAnsi="Bookman Old Style" w:cs="Arial"/>
          <w:spacing w:val="-5"/>
          <w:sz w:val="24"/>
          <w:szCs w:val="24"/>
        </w:rPr>
        <w:t>CREG 070</w:t>
      </w:r>
      <w:r w:rsidR="00F5339F" w:rsidRPr="00AF4C82">
        <w:rPr>
          <w:rFonts w:ascii="Bookman Old Style" w:eastAsia="Times New Roman" w:hAnsi="Bookman Old Style" w:cs="Arial"/>
          <w:spacing w:val="-5"/>
          <w:sz w:val="24"/>
          <w:szCs w:val="24"/>
        </w:rPr>
        <w:t xml:space="preserve"> </w:t>
      </w:r>
      <w:r w:rsidRPr="00AF4C82">
        <w:rPr>
          <w:rFonts w:ascii="Bookman Old Style" w:eastAsia="Times New Roman" w:hAnsi="Bookman Old Style" w:cs="Arial"/>
          <w:spacing w:val="-5"/>
          <w:sz w:val="24"/>
          <w:szCs w:val="24"/>
        </w:rPr>
        <w:t>de 2020</w:t>
      </w:r>
      <w:r w:rsidR="00F5339F" w:rsidRPr="00AF4C82">
        <w:rPr>
          <w:rFonts w:ascii="Bookman Old Style" w:eastAsia="Times New Roman" w:hAnsi="Bookman Old Style" w:cs="Arial"/>
          <w:spacing w:val="-5"/>
          <w:sz w:val="24"/>
          <w:szCs w:val="24"/>
        </w:rPr>
        <w:t xml:space="preserve"> fue</w:t>
      </w:r>
      <w:r w:rsidR="00F5339F" w:rsidRPr="00F5339F">
        <w:rPr>
          <w:rFonts w:ascii="Bookman Old Style" w:eastAsia="Times New Roman" w:hAnsi="Bookman Old Style" w:cs="Arial"/>
          <w:spacing w:val="-5"/>
          <w:sz w:val="24"/>
          <w:szCs w:val="24"/>
        </w:rPr>
        <w:t xml:space="preserve"> notificada</w:t>
      </w:r>
      <w:r w:rsidR="00892382">
        <w:rPr>
          <w:rFonts w:ascii="Bookman Old Style" w:eastAsia="Times New Roman" w:hAnsi="Bookman Old Style" w:cs="Arial"/>
          <w:spacing w:val="-5"/>
          <w:sz w:val="24"/>
          <w:szCs w:val="24"/>
        </w:rPr>
        <w:t xml:space="preserve"> electrónicamente</w:t>
      </w:r>
      <w:r w:rsidR="00F5339F" w:rsidRPr="00F5339F">
        <w:rPr>
          <w:rFonts w:ascii="Bookman Old Style" w:eastAsia="Times New Roman" w:hAnsi="Bookman Old Style" w:cs="Arial"/>
          <w:spacing w:val="-5"/>
          <w:sz w:val="24"/>
          <w:szCs w:val="24"/>
        </w:rPr>
        <w:t xml:space="preserve"> a </w:t>
      </w:r>
      <w:r w:rsidR="00892382">
        <w:rPr>
          <w:rFonts w:ascii="Bookman Old Style" w:eastAsia="Times New Roman" w:hAnsi="Bookman Old Style" w:cs="Arial"/>
          <w:spacing w:val="-5"/>
          <w:sz w:val="24"/>
          <w:szCs w:val="24"/>
        </w:rPr>
        <w:t xml:space="preserve">la </w:t>
      </w:r>
      <w:r w:rsidR="00F5339F" w:rsidRPr="00F5339F">
        <w:rPr>
          <w:rFonts w:ascii="Bookman Old Style" w:eastAsia="Times New Roman" w:hAnsi="Bookman Old Style" w:cs="Arial"/>
          <w:spacing w:val="-5"/>
          <w:sz w:val="24"/>
          <w:szCs w:val="24"/>
        </w:rPr>
        <w:t xml:space="preserve">empresa </w:t>
      </w:r>
      <w:r>
        <w:rPr>
          <w:rFonts w:ascii="Bookman Old Style" w:eastAsia="Times New Roman" w:hAnsi="Bookman Old Style" w:cs="Arial"/>
          <w:spacing w:val="-5"/>
          <w:sz w:val="24"/>
          <w:szCs w:val="24"/>
        </w:rPr>
        <w:t>Montagas</w:t>
      </w:r>
      <w:r w:rsidR="00EC1D37" w:rsidRPr="005961AB">
        <w:rPr>
          <w:rFonts w:ascii="Bookman Old Style" w:eastAsia="Times New Roman" w:hAnsi="Bookman Old Style" w:cs="Arial"/>
          <w:spacing w:val="-5"/>
          <w:sz w:val="24"/>
          <w:szCs w:val="24"/>
        </w:rPr>
        <w:t xml:space="preserve"> S.A. E.S.P.</w:t>
      </w:r>
      <w:r w:rsidR="00F5339F" w:rsidRPr="00F5339F">
        <w:rPr>
          <w:rFonts w:ascii="Bookman Old Style" w:eastAsia="Times New Roman" w:hAnsi="Bookman Old Style" w:cs="Arial"/>
          <w:spacing w:val="-5"/>
          <w:sz w:val="24"/>
          <w:szCs w:val="24"/>
        </w:rPr>
        <w:t xml:space="preserve"> media</w:t>
      </w:r>
      <w:r>
        <w:rPr>
          <w:rFonts w:ascii="Bookman Old Style" w:eastAsia="Times New Roman" w:hAnsi="Bookman Old Style" w:cs="Arial"/>
          <w:spacing w:val="-5"/>
          <w:sz w:val="24"/>
          <w:szCs w:val="24"/>
        </w:rPr>
        <w:t xml:space="preserve">nte </w:t>
      </w:r>
      <w:r w:rsidR="00892382">
        <w:rPr>
          <w:rFonts w:ascii="Bookman Old Style" w:eastAsia="Times New Roman" w:hAnsi="Bookman Old Style" w:cs="Arial"/>
          <w:spacing w:val="-5"/>
          <w:sz w:val="24"/>
          <w:szCs w:val="24"/>
        </w:rPr>
        <w:t>el</w:t>
      </w:r>
      <w:r w:rsidR="00187D75">
        <w:rPr>
          <w:rFonts w:ascii="Bookman Old Style" w:eastAsia="Times New Roman" w:hAnsi="Bookman Old Style" w:cs="Arial"/>
          <w:spacing w:val="-5"/>
          <w:sz w:val="24"/>
          <w:szCs w:val="24"/>
        </w:rPr>
        <w:t xml:space="preserve"> radicado CREG</w:t>
      </w:r>
      <w:r>
        <w:rPr>
          <w:rFonts w:ascii="Bookman Old Style" w:eastAsia="Times New Roman" w:hAnsi="Bookman Old Style" w:cs="Arial"/>
          <w:spacing w:val="-5"/>
          <w:sz w:val="24"/>
          <w:szCs w:val="24"/>
        </w:rPr>
        <w:t xml:space="preserve"> </w:t>
      </w:r>
      <w:r w:rsidRPr="00AF4C82">
        <w:rPr>
          <w:rFonts w:ascii="Bookman Old Style" w:eastAsia="Times New Roman" w:hAnsi="Bookman Old Style" w:cs="Arial"/>
          <w:spacing w:val="-5"/>
          <w:sz w:val="24"/>
          <w:szCs w:val="24"/>
        </w:rPr>
        <w:t>I-2020</w:t>
      </w:r>
      <w:r w:rsidR="00F5339F" w:rsidRPr="00AF4C82">
        <w:rPr>
          <w:rFonts w:ascii="Bookman Old Style" w:eastAsia="Times New Roman" w:hAnsi="Bookman Old Style" w:cs="Arial"/>
          <w:spacing w:val="-5"/>
          <w:sz w:val="24"/>
          <w:szCs w:val="24"/>
        </w:rPr>
        <w:t>-</w:t>
      </w:r>
      <w:r w:rsidR="00B80630" w:rsidRPr="00AF4C82">
        <w:rPr>
          <w:rFonts w:ascii="Bookman Old Style" w:eastAsia="Times New Roman" w:hAnsi="Bookman Old Style" w:cs="Arial"/>
          <w:spacing w:val="-5"/>
          <w:sz w:val="24"/>
          <w:szCs w:val="24"/>
        </w:rPr>
        <w:t>00</w:t>
      </w:r>
      <w:r w:rsidRPr="00AF4C82">
        <w:rPr>
          <w:rFonts w:ascii="Bookman Old Style" w:eastAsia="Times New Roman" w:hAnsi="Bookman Old Style" w:cs="Arial"/>
          <w:spacing w:val="-5"/>
          <w:sz w:val="24"/>
          <w:szCs w:val="24"/>
        </w:rPr>
        <w:t>2231 de 04 de mayo de 2020</w:t>
      </w:r>
      <w:r w:rsidR="00691CAE">
        <w:rPr>
          <w:rFonts w:ascii="Bookman Old Style" w:eastAsia="Times New Roman" w:hAnsi="Bookman Old Style" w:cs="Arial"/>
          <w:spacing w:val="-5"/>
          <w:sz w:val="24"/>
          <w:szCs w:val="24"/>
        </w:rPr>
        <w:t>,</w:t>
      </w:r>
      <w:r w:rsidR="00F5339F" w:rsidRPr="00F5339F">
        <w:rPr>
          <w:rFonts w:ascii="Bookman Old Style" w:eastAsia="Times New Roman" w:hAnsi="Bookman Old Style" w:cs="Arial"/>
          <w:spacing w:val="-5"/>
          <w:sz w:val="24"/>
          <w:szCs w:val="24"/>
        </w:rPr>
        <w:t xml:space="preserve"> atendiendo lo dispuesto en </w:t>
      </w:r>
      <w:r w:rsidR="00892382">
        <w:rPr>
          <w:rFonts w:ascii="Bookman Old Style" w:eastAsia="Times New Roman" w:hAnsi="Bookman Old Style" w:cs="Arial"/>
          <w:spacing w:val="-5"/>
          <w:sz w:val="24"/>
          <w:szCs w:val="24"/>
        </w:rPr>
        <w:t>el artículo 56</w:t>
      </w:r>
      <w:r w:rsidR="00F5339F" w:rsidRPr="00F5339F">
        <w:rPr>
          <w:rFonts w:ascii="Bookman Old Style" w:eastAsia="Times New Roman" w:hAnsi="Bookman Old Style" w:cs="Arial"/>
          <w:spacing w:val="-5"/>
          <w:sz w:val="24"/>
          <w:szCs w:val="24"/>
        </w:rPr>
        <w:t xml:space="preserve"> de la Ley 1437 de 2011</w:t>
      </w:r>
      <w:r w:rsidR="00AE4711">
        <w:rPr>
          <w:rFonts w:ascii="Bookman Old Style" w:eastAsia="Times New Roman" w:hAnsi="Bookman Old Style" w:cs="Arial"/>
          <w:spacing w:val="-5"/>
          <w:sz w:val="24"/>
          <w:szCs w:val="24"/>
        </w:rPr>
        <w:t xml:space="preserve"> y el artículo 4 del Decreto 491 de 2020</w:t>
      </w:r>
      <w:r w:rsidR="00F5339F" w:rsidRPr="00F5339F">
        <w:rPr>
          <w:rFonts w:ascii="Bookman Old Style" w:eastAsia="Times New Roman" w:hAnsi="Bookman Old Style" w:cs="Arial"/>
          <w:spacing w:val="-5"/>
          <w:sz w:val="24"/>
          <w:szCs w:val="24"/>
        </w:rPr>
        <w:t xml:space="preserve">. </w:t>
      </w:r>
    </w:p>
    <w:p w14:paraId="36D02354" w14:textId="77777777" w:rsidR="00646AD5" w:rsidRDefault="00646AD5" w:rsidP="00AC037D">
      <w:pPr>
        <w:spacing w:after="0" w:line="240" w:lineRule="auto"/>
        <w:ind w:left="-142" w:right="-1"/>
        <w:jc w:val="both"/>
        <w:rPr>
          <w:rFonts w:ascii="Bookman Old Style" w:eastAsia="Times New Roman" w:hAnsi="Bookman Old Style" w:cs="Arial"/>
          <w:spacing w:val="-5"/>
          <w:sz w:val="24"/>
          <w:szCs w:val="24"/>
        </w:rPr>
      </w:pPr>
    </w:p>
    <w:p w14:paraId="684AB727" w14:textId="060EA254" w:rsidR="00F5339F" w:rsidRDefault="00F5339F" w:rsidP="00AC037D">
      <w:pPr>
        <w:spacing w:after="0" w:line="240" w:lineRule="auto"/>
        <w:ind w:left="-142" w:right="-1"/>
        <w:jc w:val="both"/>
        <w:rPr>
          <w:rFonts w:ascii="Bookman Old Style" w:eastAsia="Times New Roman" w:hAnsi="Bookman Old Style" w:cs="Arial"/>
          <w:spacing w:val="-5"/>
          <w:sz w:val="24"/>
          <w:szCs w:val="24"/>
        </w:rPr>
      </w:pPr>
      <w:r w:rsidRPr="00F5339F">
        <w:rPr>
          <w:rFonts w:ascii="Bookman Old Style" w:eastAsia="Times New Roman" w:hAnsi="Bookman Old Style" w:cs="Arial"/>
          <w:spacing w:val="-5"/>
          <w:sz w:val="24"/>
          <w:szCs w:val="24"/>
        </w:rPr>
        <w:t xml:space="preserve">Una vez establecida la fecha de notificación y verificada la fecha de interposición del recurso, se establece que el recurso de reposición fue interpuesto en tiempo, toda vez que el plazo máximo vencía el </w:t>
      </w:r>
      <w:r w:rsidRPr="00AF4C82">
        <w:rPr>
          <w:rFonts w:ascii="Bookman Old Style" w:eastAsia="Times New Roman" w:hAnsi="Bookman Old Style" w:cs="Arial"/>
          <w:spacing w:val="-5"/>
          <w:sz w:val="24"/>
          <w:szCs w:val="24"/>
        </w:rPr>
        <w:t xml:space="preserve">día </w:t>
      </w:r>
      <w:r w:rsidR="00DC20A3" w:rsidRPr="00AF4C82">
        <w:rPr>
          <w:rFonts w:ascii="Bookman Old Style" w:eastAsia="Times New Roman" w:hAnsi="Bookman Old Style" w:cs="Arial"/>
          <w:spacing w:val="-5"/>
          <w:sz w:val="24"/>
          <w:szCs w:val="24"/>
        </w:rPr>
        <w:t>11 de mayo del 2020</w:t>
      </w:r>
      <w:r w:rsidRPr="00AF4C82">
        <w:rPr>
          <w:rFonts w:ascii="Bookman Old Style" w:eastAsia="Times New Roman" w:hAnsi="Bookman Old Style" w:cs="Arial"/>
          <w:spacing w:val="-5"/>
          <w:sz w:val="24"/>
          <w:szCs w:val="24"/>
        </w:rPr>
        <w:t>.</w:t>
      </w:r>
    </w:p>
    <w:p w14:paraId="1561479C" w14:textId="77777777" w:rsidR="00F5339F" w:rsidRPr="00A33677" w:rsidRDefault="00F5339F" w:rsidP="00AC037D">
      <w:pPr>
        <w:spacing w:after="0" w:line="240" w:lineRule="auto"/>
        <w:ind w:right="-1"/>
        <w:jc w:val="both"/>
        <w:rPr>
          <w:rFonts w:ascii="Bookman Old Style" w:eastAsia="Times New Roman" w:hAnsi="Bookman Old Style" w:cs="Arial"/>
          <w:spacing w:val="-5"/>
          <w:sz w:val="24"/>
          <w:szCs w:val="24"/>
        </w:rPr>
      </w:pPr>
    </w:p>
    <w:p w14:paraId="5004E97D" w14:textId="0C958FBE" w:rsidR="00A33677" w:rsidRPr="00A33677" w:rsidRDefault="00A33677" w:rsidP="00AC037D">
      <w:pPr>
        <w:spacing w:after="0" w:line="240" w:lineRule="auto"/>
        <w:ind w:left="-142" w:right="-1"/>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En virtud de lo anterior</w:t>
      </w:r>
      <w:r w:rsidR="00691CAE">
        <w:rPr>
          <w:rFonts w:ascii="Bookman Old Style" w:eastAsia="Times New Roman" w:hAnsi="Bookman Old Style" w:cs="Times New Roman"/>
          <w:sz w:val="24"/>
          <w:szCs w:val="24"/>
          <w:lang w:val="es-ES" w:eastAsia="es-ES"/>
        </w:rPr>
        <w:t>,</w:t>
      </w:r>
      <w:r w:rsidRPr="00A33677">
        <w:rPr>
          <w:rFonts w:ascii="Bookman Old Style" w:eastAsia="Times New Roman" w:hAnsi="Bookman Old Style" w:cs="Times New Roman"/>
          <w:sz w:val="24"/>
          <w:szCs w:val="24"/>
          <w:lang w:val="es-ES" w:eastAsia="es-ES"/>
        </w:rPr>
        <w:t xml:space="preserve"> y una vez verificado el cumplimiento de los requisitos a los que hace referencia el artículo 77</w:t>
      </w:r>
      <w:r w:rsidRPr="00A33677">
        <w:rPr>
          <w:rFonts w:ascii="Bookman Old Style" w:eastAsia="Times New Roman" w:hAnsi="Bookman Old Style" w:cs="Times New Roman"/>
          <w:sz w:val="24"/>
          <w:szCs w:val="24"/>
          <w:vertAlign w:val="superscript"/>
          <w:lang w:val="es-ES" w:eastAsia="es-ES"/>
        </w:rPr>
        <w:footnoteReference w:id="3"/>
      </w:r>
      <w:r w:rsidRPr="00A33677">
        <w:rPr>
          <w:rFonts w:ascii="Bookman Old Style" w:eastAsia="Times New Roman" w:hAnsi="Bookman Old Style" w:cs="Times New Roman"/>
          <w:sz w:val="24"/>
          <w:szCs w:val="24"/>
          <w:lang w:val="es-ES" w:eastAsia="es-ES"/>
        </w:rPr>
        <w:t xml:space="preserve"> del Código de Procedimiento Administrativo </w:t>
      </w:r>
      <w:r w:rsidRPr="00A33677">
        <w:rPr>
          <w:rFonts w:ascii="Bookman Old Style" w:eastAsia="Times New Roman" w:hAnsi="Bookman Old Style" w:cs="Times New Roman"/>
          <w:sz w:val="24"/>
          <w:szCs w:val="24"/>
          <w:lang w:val="es-ES" w:eastAsia="es-ES"/>
        </w:rPr>
        <w:lastRenderedPageBreak/>
        <w:t xml:space="preserve">y de lo Contencioso Administrativo, procede la CREG a realizar un análisis y pronunciarse en relación con los argumentos en que se sustenta la impugnación. </w:t>
      </w:r>
    </w:p>
    <w:p w14:paraId="677E34A1" w14:textId="77777777" w:rsidR="00A33677" w:rsidRPr="00A33677" w:rsidRDefault="00A33677" w:rsidP="00AC037D">
      <w:pPr>
        <w:spacing w:after="0" w:line="240" w:lineRule="auto"/>
        <w:ind w:left="-142" w:right="-1"/>
        <w:jc w:val="both"/>
        <w:rPr>
          <w:rFonts w:ascii="Bookman Old Style" w:eastAsia="Times New Roman" w:hAnsi="Bookman Old Style" w:cs="Times New Roman"/>
          <w:sz w:val="24"/>
          <w:szCs w:val="24"/>
          <w:lang w:val="es-ES" w:eastAsia="es-ES"/>
        </w:rPr>
      </w:pPr>
    </w:p>
    <w:p w14:paraId="6FB5E49E" w14:textId="77777777" w:rsidR="00A33677" w:rsidRPr="00A33677" w:rsidRDefault="007F3FC2" w:rsidP="00AC037D">
      <w:pPr>
        <w:spacing w:after="0" w:line="240" w:lineRule="auto"/>
        <w:ind w:left="-142" w:right="-1"/>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2</w:t>
      </w:r>
      <w:r w:rsidR="00A33677" w:rsidRPr="00A33677">
        <w:rPr>
          <w:rFonts w:ascii="Bookman Old Style" w:eastAsia="Times New Roman" w:hAnsi="Bookman Old Style" w:cs="Times New Roman"/>
          <w:b/>
          <w:sz w:val="24"/>
          <w:szCs w:val="24"/>
          <w:lang w:val="es-ES" w:eastAsia="es-ES"/>
        </w:rPr>
        <w:t>. Fundamentos del recurso</w:t>
      </w:r>
    </w:p>
    <w:p w14:paraId="30108353" w14:textId="77777777" w:rsidR="00A33677" w:rsidRPr="00A33677" w:rsidRDefault="00A33677" w:rsidP="00AC037D">
      <w:pPr>
        <w:spacing w:after="0" w:line="240" w:lineRule="auto"/>
        <w:ind w:left="-142" w:right="-1"/>
        <w:jc w:val="both"/>
        <w:rPr>
          <w:rFonts w:ascii="Bookman Old Style" w:eastAsia="Times New Roman" w:hAnsi="Bookman Old Style" w:cs="Times New Roman"/>
          <w:b/>
          <w:sz w:val="24"/>
          <w:szCs w:val="24"/>
          <w:lang w:val="es-ES" w:eastAsia="es-ES"/>
        </w:rPr>
      </w:pPr>
    </w:p>
    <w:p w14:paraId="048ADFCC" w14:textId="77777777" w:rsidR="00A33677" w:rsidRDefault="00A33677" w:rsidP="00AC037D">
      <w:pPr>
        <w:spacing w:after="0" w:line="240" w:lineRule="auto"/>
        <w:ind w:left="-142" w:right="-1"/>
        <w:jc w:val="both"/>
        <w:rPr>
          <w:rFonts w:ascii="Bookman Old Style" w:eastAsia="Times New Roman" w:hAnsi="Bookman Old Style" w:cs="Times New Roman"/>
          <w:sz w:val="24"/>
          <w:szCs w:val="24"/>
          <w:lang w:val="es-ES" w:eastAsia="es-ES"/>
        </w:rPr>
      </w:pPr>
      <w:r w:rsidRPr="00A33677">
        <w:rPr>
          <w:rFonts w:ascii="Bookman Old Style" w:eastAsia="Times New Roman" w:hAnsi="Bookman Old Style" w:cs="Times New Roman"/>
          <w:sz w:val="24"/>
          <w:szCs w:val="24"/>
          <w:lang w:val="es-ES" w:eastAsia="es-ES"/>
        </w:rPr>
        <w:t xml:space="preserve">Los argumentos del recurso de reposición interpuesto por la empresa </w:t>
      </w:r>
      <w:r w:rsidR="0073140A">
        <w:rPr>
          <w:rFonts w:ascii="Bookman Old Style" w:eastAsia="Times New Roman" w:hAnsi="Bookman Old Style" w:cs="Times New Roman"/>
          <w:sz w:val="24"/>
          <w:szCs w:val="24"/>
          <w:lang w:val="es-ES" w:eastAsia="es-ES"/>
        </w:rPr>
        <w:t>Montagas</w:t>
      </w:r>
      <w:r w:rsidR="00874A55">
        <w:rPr>
          <w:rFonts w:ascii="Bookman Old Style" w:eastAsia="Times New Roman" w:hAnsi="Bookman Old Style" w:cs="Times New Roman"/>
          <w:sz w:val="24"/>
          <w:szCs w:val="24"/>
          <w:lang w:val="es-ES" w:eastAsia="es-ES"/>
        </w:rPr>
        <w:t xml:space="preserve"> S.A. E.S.P.</w:t>
      </w:r>
      <w:r w:rsidRPr="00A33677">
        <w:rPr>
          <w:rFonts w:ascii="Bookman Old Style" w:eastAsia="Times New Roman" w:hAnsi="Bookman Old Style" w:cs="Times New Roman"/>
          <w:sz w:val="24"/>
          <w:szCs w:val="24"/>
          <w:lang w:val="es-ES" w:eastAsia="es-ES"/>
        </w:rPr>
        <w:t xml:space="preserve"> hacen referencia a lo siguiente:</w:t>
      </w:r>
    </w:p>
    <w:p w14:paraId="5EB84403" w14:textId="77777777" w:rsidR="0073140A" w:rsidRDefault="0073140A"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sz w:val="24"/>
          <w:szCs w:val="24"/>
          <w:lang w:val="es-ES" w:eastAsia="es-ES"/>
        </w:rPr>
      </w:pPr>
    </w:p>
    <w:p w14:paraId="5E161C0D" w14:textId="77777777" w:rsidR="0073140A" w:rsidRP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De acuerdo con lo resolución CREG 070 de 2020 donde se define la máxima capacidad de compra para el segundo semestre de 2020, se asignó a Montagas SA ESP la cantidad de 26.601.406 kilos; La información de activos de la empresa fue tomada con corte al mes de febrero de 2020, situación que no contempla 2200 cilindros que la empresa adquirió durante el mes de marzo de 2020 y que de acuerdo a los plazos establecidos en la Resolución SSPD No 20141300040755 de 2014, esta información se podía reportar hasta el 15 del mes siguiente.</w:t>
      </w:r>
    </w:p>
    <w:p w14:paraId="113F0D52" w14:textId="77777777" w:rsidR="0073140A" w:rsidRDefault="0073140A"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p>
    <w:p w14:paraId="3AEEBA29" w14:textId="77777777" w:rsidR="0073140A" w:rsidRP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Los 2.200 cilindros recibidos en el mes de marzo de 2020, se cargaron al</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sistema único de información bajo la periodicidad mensual de acuerdo a su</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llegada, la información se reportó bajo el siguiente resumen:</w:t>
      </w:r>
    </w:p>
    <w:p w14:paraId="736899A6" w14:textId="77777777" w:rsidR="0073140A" w:rsidRDefault="0073140A"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p>
    <w:tbl>
      <w:tblPr>
        <w:tblStyle w:val="Tablaconcuadrcula"/>
        <w:tblW w:w="0" w:type="auto"/>
        <w:tblLook w:val="04A0" w:firstRow="1" w:lastRow="0" w:firstColumn="1" w:lastColumn="0" w:noHBand="0" w:noVBand="1"/>
      </w:tblPr>
      <w:tblGrid>
        <w:gridCol w:w="3115"/>
        <w:gridCol w:w="3115"/>
        <w:gridCol w:w="3116"/>
      </w:tblGrid>
      <w:tr w:rsidR="0073140A" w14:paraId="46116D32" w14:textId="77777777" w:rsidTr="0073140A">
        <w:tc>
          <w:tcPr>
            <w:tcW w:w="3115" w:type="dxa"/>
          </w:tcPr>
          <w:p w14:paraId="0EDB5E95" w14:textId="77777777" w:rsidR="0073140A" w:rsidRP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sz w:val="22"/>
                <w:szCs w:val="22"/>
                <w:lang w:val="es-ES" w:eastAsia="es-ES"/>
              </w:rPr>
            </w:pPr>
            <w:r>
              <w:rPr>
                <w:rFonts w:ascii="Bookman Old Style" w:hAnsi="Bookman Old Style"/>
                <w:i/>
                <w:sz w:val="22"/>
                <w:szCs w:val="22"/>
                <w:lang w:val="es-ES" w:eastAsia="es-ES"/>
              </w:rPr>
              <w:t>Mes correspondiente de Reporte del formato de cilindros en el SUI</w:t>
            </w:r>
          </w:p>
        </w:tc>
        <w:tc>
          <w:tcPr>
            <w:tcW w:w="3115" w:type="dxa"/>
          </w:tcPr>
          <w:p w14:paraId="10C8358D" w14:textId="77777777" w:rsidR="0073140A" w:rsidRP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sz w:val="22"/>
                <w:szCs w:val="22"/>
                <w:lang w:val="es-ES" w:eastAsia="es-ES"/>
              </w:rPr>
            </w:pPr>
            <w:r w:rsidRPr="0073140A">
              <w:rPr>
                <w:rFonts w:ascii="Bookman Old Style" w:hAnsi="Bookman Old Style"/>
                <w:i/>
                <w:sz w:val="22"/>
                <w:szCs w:val="22"/>
                <w:lang w:val="es-ES" w:eastAsia="es-ES"/>
              </w:rPr>
              <w:t>Mes e</w:t>
            </w:r>
            <w:r>
              <w:rPr>
                <w:rFonts w:ascii="Bookman Old Style" w:hAnsi="Bookman Old Style"/>
                <w:i/>
                <w:sz w:val="22"/>
                <w:szCs w:val="22"/>
                <w:lang w:val="es-ES" w:eastAsia="es-ES"/>
              </w:rPr>
              <w:t xml:space="preserve">n que se </w:t>
            </w:r>
            <w:r w:rsidRPr="0073140A">
              <w:rPr>
                <w:rFonts w:ascii="Bookman Old Style" w:hAnsi="Bookman Old Style"/>
                <w:i/>
                <w:sz w:val="22"/>
                <w:szCs w:val="22"/>
                <w:lang w:val="es-ES" w:eastAsia="es-ES"/>
              </w:rPr>
              <w:t>reporta el</w:t>
            </w:r>
          </w:p>
          <w:p w14:paraId="6BBB1745" w14:textId="77777777" w:rsidR="0073140A" w:rsidRP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sz w:val="22"/>
                <w:szCs w:val="22"/>
                <w:lang w:val="es-ES" w:eastAsia="es-ES"/>
              </w:rPr>
            </w:pPr>
            <w:r>
              <w:rPr>
                <w:rFonts w:ascii="Bookman Old Style" w:hAnsi="Bookman Old Style"/>
                <w:i/>
                <w:sz w:val="22"/>
                <w:szCs w:val="22"/>
                <w:lang w:val="es-ES" w:eastAsia="es-ES"/>
              </w:rPr>
              <w:t>formato 6009 de cilindros en el SUI</w:t>
            </w:r>
          </w:p>
        </w:tc>
        <w:tc>
          <w:tcPr>
            <w:tcW w:w="3116" w:type="dxa"/>
          </w:tcPr>
          <w:p w14:paraId="0378A2FD" w14:textId="77777777" w:rsidR="0073140A" w:rsidRP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sz w:val="22"/>
                <w:szCs w:val="22"/>
                <w:lang w:val="es-ES" w:eastAsia="es-ES"/>
              </w:rPr>
            </w:pPr>
            <w:r>
              <w:rPr>
                <w:rFonts w:ascii="Bookman Old Style" w:hAnsi="Bookman Old Style"/>
                <w:i/>
                <w:sz w:val="22"/>
                <w:szCs w:val="22"/>
                <w:lang w:val="es-ES" w:eastAsia="es-ES"/>
              </w:rPr>
              <w:t>Cantidad de Nuevos Cilindros reportados</w:t>
            </w:r>
          </w:p>
        </w:tc>
      </w:tr>
      <w:tr w:rsidR="0073140A" w14:paraId="3C0D3157" w14:textId="77777777" w:rsidTr="0073140A">
        <w:tc>
          <w:tcPr>
            <w:tcW w:w="3115" w:type="dxa"/>
          </w:tcPr>
          <w:p w14:paraId="2596F43A" w14:textId="77777777" w:rsid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lang w:val="es-ES" w:eastAsia="es-ES"/>
              </w:rPr>
            </w:pPr>
            <w:r w:rsidRPr="0073140A">
              <w:rPr>
                <w:rFonts w:ascii="Bookman Old Style" w:hAnsi="Bookman Old Style"/>
                <w:i/>
                <w:sz w:val="22"/>
                <w:szCs w:val="22"/>
                <w:lang w:val="es-ES" w:eastAsia="es-ES"/>
              </w:rPr>
              <w:t>Marzo 2020</w:t>
            </w:r>
          </w:p>
        </w:tc>
        <w:tc>
          <w:tcPr>
            <w:tcW w:w="3115" w:type="dxa"/>
          </w:tcPr>
          <w:p w14:paraId="2B241F7A" w14:textId="77777777" w:rsid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lang w:val="es-ES" w:eastAsia="es-ES"/>
              </w:rPr>
            </w:pPr>
            <w:r w:rsidRPr="0073140A">
              <w:rPr>
                <w:rFonts w:ascii="Bookman Old Style" w:hAnsi="Bookman Old Style"/>
                <w:i/>
                <w:sz w:val="22"/>
                <w:szCs w:val="22"/>
                <w:lang w:val="es-ES" w:eastAsia="es-ES"/>
              </w:rPr>
              <w:t>Abril 2020</w:t>
            </w:r>
          </w:p>
        </w:tc>
        <w:tc>
          <w:tcPr>
            <w:tcW w:w="3116" w:type="dxa"/>
          </w:tcPr>
          <w:p w14:paraId="23D84CF6" w14:textId="77777777" w:rsidR="0073140A" w:rsidRPr="0073140A" w:rsidRDefault="0073140A" w:rsidP="00AC037D">
            <w:pPr>
              <w:tabs>
                <w:tab w:val="left" w:pos="-720"/>
                <w:tab w:val="left" w:pos="1276"/>
              </w:tabs>
              <w:suppressAutoHyphens/>
              <w:overflowPunct w:val="0"/>
              <w:autoSpaceDE w:val="0"/>
              <w:ind w:right="-1"/>
              <w:jc w:val="center"/>
              <w:textAlignment w:val="baseline"/>
              <w:rPr>
                <w:rFonts w:ascii="Bookman Old Style" w:hAnsi="Bookman Old Style"/>
                <w:i/>
                <w:sz w:val="22"/>
                <w:szCs w:val="22"/>
                <w:lang w:val="es-ES" w:eastAsia="es-ES"/>
              </w:rPr>
            </w:pPr>
            <w:r>
              <w:rPr>
                <w:rFonts w:ascii="Bookman Old Style" w:hAnsi="Bookman Old Style"/>
                <w:i/>
                <w:sz w:val="22"/>
                <w:szCs w:val="22"/>
                <w:lang w:val="es-ES" w:eastAsia="es-ES"/>
              </w:rPr>
              <w:t>2.200</w:t>
            </w:r>
          </w:p>
        </w:tc>
      </w:tr>
    </w:tbl>
    <w:p w14:paraId="612AA461" w14:textId="77777777" w:rsidR="0073140A" w:rsidRDefault="0073140A" w:rsidP="00AC037D">
      <w:p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p>
    <w:p w14:paraId="3BF10BE8" w14:textId="77777777" w:rsid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La resolución tampoco considera los tiempos establecidos en la circular conjunta</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SSPD CREG 001-2017, puesto que el reporte de tanques estacionarios se</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realiza de manera trimestral, y su cargue se ejecuta hasta al día 15 del mes</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siguiente de terminar el trimestre, por lo cual no se ve reflejado la información</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más actualizado de los tanques estacionarios, la cual corresponde al primer</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trimestre de 2020.</w:t>
      </w:r>
    </w:p>
    <w:p w14:paraId="2962A7FD" w14:textId="77777777" w:rsidR="0073140A" w:rsidRDefault="0073140A" w:rsidP="00AC037D">
      <w:pPr>
        <w:pStyle w:val="Prrafodelista"/>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p>
    <w:p w14:paraId="48D34D2E" w14:textId="77777777" w:rsid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La inversión que está realizando la empresa en cilindros y tanques no se ve</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reflejada en el periodo que corresponde, puesto que la inversión de cilindros que</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se realiza en el primer trimestre de 2020, especialmente la del mes de marzo, no</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se ve aplicada para el segundo semestre de 2020, y si en el primer semestre de</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2021, perdiendo capacidad de compra frente a la inversión realizada.</w:t>
      </w:r>
    </w:p>
    <w:p w14:paraId="6D44C75B" w14:textId="77777777" w:rsidR="0073140A" w:rsidRPr="0073140A" w:rsidRDefault="0073140A" w:rsidP="00AC037D">
      <w:pPr>
        <w:pStyle w:val="Prrafodelista"/>
        <w:ind w:right="-1"/>
        <w:rPr>
          <w:rFonts w:ascii="Bookman Old Style" w:eastAsia="Times New Roman" w:hAnsi="Bookman Old Style" w:cs="Times New Roman"/>
          <w:i/>
          <w:lang w:val="es-ES" w:eastAsia="es-ES"/>
        </w:rPr>
      </w:pPr>
    </w:p>
    <w:p w14:paraId="02A0F29C" w14:textId="77777777" w:rsid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Respecto a la inversión de tanques estacionarios, tampoco se ve reflejada en el</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segundo semestre de 2020, debido a que el reporte del primer trimestre de 2020</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se realiza hasta el 15 de abril de 2020 y no se verá aplicado su incremento en el</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segundo semestre de 2020 debido a que la información es la tomada con corte al</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cuarto trimestre de 2019.</w:t>
      </w:r>
    </w:p>
    <w:p w14:paraId="73880A95" w14:textId="77777777" w:rsidR="0073140A" w:rsidRPr="0073140A" w:rsidRDefault="0073140A" w:rsidP="00AC037D">
      <w:pPr>
        <w:pStyle w:val="Prrafodelista"/>
        <w:ind w:right="-1"/>
        <w:rPr>
          <w:rFonts w:ascii="Bookman Old Style" w:eastAsia="Times New Roman" w:hAnsi="Bookman Old Style" w:cs="Times New Roman"/>
          <w:i/>
          <w:lang w:val="es-ES" w:eastAsia="es-ES"/>
        </w:rPr>
      </w:pPr>
    </w:p>
    <w:p w14:paraId="450AF403" w14:textId="77777777" w:rsid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Lo anterior, está afectando la máxima capacidad de compra de la empresa</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Montagas SA ESP y omitiendo la inversión que la empresa realizó en la</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adquisición de activos, los cuales se compran con el objetivo de mejorar la</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prestación del servicio público domiciliario.</w:t>
      </w:r>
    </w:p>
    <w:p w14:paraId="503FE7A3" w14:textId="42266814" w:rsidR="0073140A" w:rsidRDefault="0073140A" w:rsidP="00AC037D">
      <w:pPr>
        <w:pStyle w:val="Prrafodelista"/>
        <w:ind w:right="-1"/>
        <w:rPr>
          <w:rFonts w:ascii="Bookman Old Style" w:eastAsia="Times New Roman" w:hAnsi="Bookman Old Style" w:cs="Times New Roman"/>
          <w:i/>
          <w:lang w:val="es-ES" w:eastAsia="es-ES"/>
        </w:rPr>
      </w:pPr>
    </w:p>
    <w:p w14:paraId="5673AAD8" w14:textId="2E6E09AB" w:rsidR="00AC037D" w:rsidRDefault="00AC037D" w:rsidP="00AC037D">
      <w:pPr>
        <w:pStyle w:val="Prrafodelista"/>
        <w:ind w:right="-1"/>
        <w:rPr>
          <w:rFonts w:ascii="Bookman Old Style" w:eastAsia="Times New Roman" w:hAnsi="Bookman Old Style" w:cs="Times New Roman"/>
          <w:i/>
          <w:lang w:val="es-ES" w:eastAsia="es-ES"/>
        </w:rPr>
      </w:pPr>
    </w:p>
    <w:p w14:paraId="4E75BFDC" w14:textId="164E337D" w:rsidR="00AC037D" w:rsidRDefault="00AC037D" w:rsidP="00AC037D">
      <w:pPr>
        <w:pStyle w:val="Prrafodelista"/>
        <w:ind w:right="-1"/>
        <w:rPr>
          <w:rFonts w:ascii="Bookman Old Style" w:eastAsia="Times New Roman" w:hAnsi="Bookman Old Style" w:cs="Times New Roman"/>
          <w:i/>
          <w:lang w:val="es-ES" w:eastAsia="es-ES"/>
        </w:rPr>
      </w:pPr>
    </w:p>
    <w:p w14:paraId="511A10B6" w14:textId="77777777" w:rsidR="00AC037D" w:rsidRPr="0073140A" w:rsidRDefault="00AC037D" w:rsidP="00AC037D">
      <w:pPr>
        <w:pStyle w:val="Prrafodelista"/>
        <w:ind w:right="-1"/>
        <w:rPr>
          <w:rFonts w:ascii="Bookman Old Style" w:eastAsia="Times New Roman" w:hAnsi="Bookman Old Style" w:cs="Times New Roman"/>
          <w:i/>
          <w:lang w:val="es-ES" w:eastAsia="es-ES"/>
        </w:rPr>
      </w:pPr>
    </w:p>
    <w:p w14:paraId="3EA63C2B" w14:textId="77777777" w:rsidR="00D428CA" w:rsidRPr="0073140A" w:rsidRDefault="0073140A" w:rsidP="00AC037D">
      <w:pPr>
        <w:pStyle w:val="Prrafodelista"/>
        <w:numPr>
          <w:ilvl w:val="0"/>
          <w:numId w:val="21"/>
        </w:numPr>
        <w:tabs>
          <w:tab w:val="left" w:pos="-720"/>
          <w:tab w:val="left" w:pos="1276"/>
        </w:tabs>
        <w:suppressAutoHyphens/>
        <w:overflowPunct w:val="0"/>
        <w:autoSpaceDE w:val="0"/>
        <w:spacing w:after="0" w:line="240" w:lineRule="auto"/>
        <w:ind w:right="-1"/>
        <w:jc w:val="both"/>
        <w:textAlignment w:val="baseline"/>
        <w:rPr>
          <w:rFonts w:ascii="Bookman Old Style" w:eastAsia="Times New Roman" w:hAnsi="Bookman Old Style" w:cs="Times New Roman"/>
          <w:i/>
          <w:lang w:val="es-ES" w:eastAsia="es-ES"/>
        </w:rPr>
      </w:pPr>
      <w:r w:rsidRPr="0073140A">
        <w:rPr>
          <w:rFonts w:ascii="Bookman Old Style" w:eastAsia="Times New Roman" w:hAnsi="Bookman Old Style" w:cs="Times New Roman"/>
          <w:i/>
          <w:lang w:val="es-ES" w:eastAsia="es-ES"/>
        </w:rPr>
        <w:t>Las inversiones realizadas por la empresa no generan un beneficio inmediato,</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puesto que no se reflejan de manera directa en el cálculo de la máxima</w:t>
      </w:r>
      <w:r>
        <w:rPr>
          <w:rFonts w:ascii="Bookman Old Style" w:eastAsia="Times New Roman" w:hAnsi="Bookman Old Style" w:cs="Times New Roman"/>
          <w:i/>
          <w:lang w:val="es-ES" w:eastAsia="es-ES"/>
        </w:rPr>
        <w:t xml:space="preserve"> </w:t>
      </w:r>
      <w:r w:rsidRPr="0073140A">
        <w:rPr>
          <w:rFonts w:ascii="Bookman Old Style" w:eastAsia="Times New Roman" w:hAnsi="Bookman Old Style" w:cs="Times New Roman"/>
          <w:i/>
          <w:lang w:val="es-ES" w:eastAsia="es-ES"/>
        </w:rPr>
        <w:t>capacidad de compra para el segundo semestre de 2020.</w:t>
      </w:r>
    </w:p>
    <w:p w14:paraId="0A5F234D" w14:textId="77777777" w:rsidR="00082D8D" w:rsidRDefault="00082D8D" w:rsidP="00AC037D">
      <w:pPr>
        <w:spacing w:after="0" w:line="240" w:lineRule="auto"/>
        <w:ind w:left="-142" w:right="-1"/>
        <w:jc w:val="both"/>
        <w:rPr>
          <w:rFonts w:ascii="Bookman Old Style" w:hAnsi="Bookman Old Style" w:cs="Arial"/>
          <w:spacing w:val="-5"/>
        </w:rPr>
      </w:pPr>
    </w:p>
    <w:p w14:paraId="7EDA071A" w14:textId="77777777" w:rsidR="007F3FC2" w:rsidRDefault="007F3FC2" w:rsidP="00AC037D">
      <w:pPr>
        <w:spacing w:after="0" w:line="240" w:lineRule="auto"/>
        <w:ind w:left="-142" w:right="-1"/>
        <w:jc w:val="both"/>
        <w:rPr>
          <w:rFonts w:ascii="Bookman Old Style" w:hAnsi="Bookman Old Style" w:cs="Arial"/>
          <w:spacing w:val="-5"/>
        </w:rPr>
      </w:pPr>
      <w:r>
        <w:rPr>
          <w:rFonts w:ascii="Bookman Old Style" w:hAnsi="Bookman Old Style" w:cs="Arial"/>
          <w:spacing w:val="-5"/>
        </w:rPr>
        <w:t xml:space="preserve">Para sustentar estos </w:t>
      </w:r>
      <w:r w:rsidRPr="00D428CA">
        <w:rPr>
          <w:rFonts w:ascii="Bookman Old Style" w:eastAsia="Times New Roman" w:hAnsi="Bookman Old Style" w:cs="Times New Roman"/>
          <w:sz w:val="24"/>
          <w:szCs w:val="24"/>
          <w:lang w:val="es-ES" w:eastAsia="es-ES"/>
        </w:rPr>
        <w:t>argumentos</w:t>
      </w:r>
      <w:r>
        <w:rPr>
          <w:rFonts w:ascii="Bookman Old Style" w:hAnsi="Bookman Old Style" w:cs="Arial"/>
          <w:spacing w:val="-5"/>
        </w:rPr>
        <w:t xml:space="preserve"> </w:t>
      </w:r>
      <w:r w:rsidR="0073140A">
        <w:rPr>
          <w:rFonts w:ascii="Bookman Old Style" w:hAnsi="Bookman Old Style" w:cs="Arial"/>
          <w:spacing w:val="-5"/>
        </w:rPr>
        <w:t xml:space="preserve">Montagas S.A. E.S.P. </w:t>
      </w:r>
      <w:r>
        <w:rPr>
          <w:rFonts w:ascii="Bookman Old Style" w:hAnsi="Bookman Old Style" w:cs="Arial"/>
          <w:spacing w:val="-5"/>
        </w:rPr>
        <w:t>adjuntó los siguientes soportes:</w:t>
      </w:r>
    </w:p>
    <w:p w14:paraId="0D4F7140" w14:textId="77777777" w:rsidR="007F3FC2" w:rsidRDefault="007F3FC2" w:rsidP="00AC037D">
      <w:pPr>
        <w:pStyle w:val="Textoindependiente2"/>
        <w:spacing w:after="0" w:line="240" w:lineRule="auto"/>
        <w:ind w:left="-142" w:right="-1"/>
        <w:jc w:val="both"/>
        <w:rPr>
          <w:rFonts w:ascii="Bookman Old Style" w:hAnsi="Bookman Old Style" w:cs="Arial"/>
          <w:spacing w:val="-5"/>
        </w:rPr>
      </w:pPr>
    </w:p>
    <w:p w14:paraId="3BB86104" w14:textId="77777777" w:rsidR="00A463CC" w:rsidRPr="00AF4C82" w:rsidRDefault="00D428CA"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Times New Roman"/>
          <w:i/>
          <w:lang w:val="es-ES" w:eastAsia="es-ES"/>
        </w:rPr>
      </w:pPr>
      <w:r w:rsidRPr="00AF4C82">
        <w:rPr>
          <w:rFonts w:ascii="Bookman Old Style" w:eastAsia="Times New Roman" w:hAnsi="Bookman Old Style" w:cs="Times New Roman"/>
          <w:i/>
          <w:lang w:val="es-ES" w:eastAsia="es-ES"/>
        </w:rPr>
        <w:t>“</w:t>
      </w:r>
      <w:r w:rsidR="001178EC" w:rsidRPr="00AF4C82">
        <w:rPr>
          <w:rFonts w:ascii="Bookman Old Style" w:eastAsia="Times New Roman" w:hAnsi="Bookman Old Style" w:cs="Times New Roman"/>
          <w:i/>
          <w:lang w:val="es-ES" w:eastAsia="es-ES"/>
        </w:rPr>
        <w:tab/>
      </w:r>
      <w:r w:rsidR="00B80630" w:rsidRPr="00AF4C82">
        <w:rPr>
          <w:rFonts w:ascii="Bookman Old Style" w:eastAsia="Times New Roman" w:hAnsi="Bookman Old Style" w:cs="Times New Roman"/>
          <w:i/>
          <w:lang w:val="es-ES" w:eastAsia="es-ES"/>
        </w:rPr>
        <w:t xml:space="preserve">- </w:t>
      </w:r>
      <w:r w:rsidR="00A463CC" w:rsidRPr="00AF4C82">
        <w:rPr>
          <w:rFonts w:ascii="Bookman Old Style" w:eastAsia="Times New Roman" w:hAnsi="Bookman Old Style" w:cs="Times New Roman"/>
          <w:i/>
          <w:lang w:val="es-ES" w:eastAsia="es-ES"/>
        </w:rPr>
        <w:t xml:space="preserve">Factura de </w:t>
      </w:r>
      <w:r w:rsidR="001178EC" w:rsidRPr="00AF4C82">
        <w:rPr>
          <w:rFonts w:ascii="Bookman Old Style" w:eastAsia="Times New Roman" w:hAnsi="Bookman Old Style" w:cs="Times New Roman"/>
          <w:i/>
          <w:lang w:val="es-ES" w:eastAsia="es-ES"/>
        </w:rPr>
        <w:t>compra</w:t>
      </w:r>
      <w:r w:rsidR="00A463CC" w:rsidRPr="00AF4C82">
        <w:rPr>
          <w:rFonts w:ascii="Bookman Old Style" w:eastAsia="Times New Roman" w:hAnsi="Bookman Old Style" w:cs="Times New Roman"/>
          <w:i/>
          <w:lang w:val="es-ES" w:eastAsia="es-ES"/>
        </w:rPr>
        <w:t xml:space="preserve"> </w:t>
      </w:r>
      <w:r w:rsidR="001178EC" w:rsidRPr="00AF4C82">
        <w:rPr>
          <w:rFonts w:ascii="Bookman Old Style" w:eastAsia="Times New Roman" w:hAnsi="Bookman Old Style" w:cs="Times New Roman"/>
          <w:i/>
          <w:lang w:val="es-ES" w:eastAsia="es-ES"/>
        </w:rPr>
        <w:t>CINSA No. FX423</w:t>
      </w:r>
    </w:p>
    <w:p w14:paraId="2B6EBC35" w14:textId="2D6674F1" w:rsidR="007F3FC2" w:rsidRDefault="001178EC"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Times New Roman"/>
          <w:i/>
          <w:lang w:val="es-ES" w:eastAsia="es-ES"/>
        </w:rPr>
      </w:pPr>
      <w:r w:rsidRPr="00AF4C82">
        <w:rPr>
          <w:rFonts w:ascii="Bookman Old Style" w:eastAsia="Times New Roman" w:hAnsi="Bookman Old Style" w:cs="Times New Roman"/>
          <w:i/>
          <w:lang w:val="es-ES" w:eastAsia="es-ES"/>
        </w:rPr>
        <w:tab/>
      </w:r>
      <w:r w:rsidR="00B80630" w:rsidRPr="00AF4C82">
        <w:rPr>
          <w:rFonts w:ascii="Bookman Old Style" w:eastAsia="Times New Roman" w:hAnsi="Bookman Old Style" w:cs="Times New Roman"/>
          <w:i/>
          <w:lang w:val="es-ES" w:eastAsia="es-ES"/>
        </w:rPr>
        <w:t>-</w:t>
      </w:r>
      <w:r w:rsidRPr="00AF4C82">
        <w:rPr>
          <w:rFonts w:ascii="Bookman Old Style" w:eastAsia="Times New Roman" w:hAnsi="Bookman Old Style" w:cs="Times New Roman"/>
          <w:i/>
          <w:lang w:val="es-ES" w:eastAsia="es-ES"/>
        </w:rPr>
        <w:t>Reporte SUI de cilindros y tanques estacionarios 15 de abril de 2020</w:t>
      </w:r>
      <w:r w:rsidR="00D428CA" w:rsidRPr="00AF4C82">
        <w:rPr>
          <w:rFonts w:ascii="Bookman Old Style" w:eastAsia="Times New Roman" w:hAnsi="Bookman Old Style" w:cs="Times New Roman"/>
          <w:i/>
          <w:lang w:val="es-ES" w:eastAsia="es-ES"/>
        </w:rPr>
        <w:t>”</w:t>
      </w:r>
    </w:p>
    <w:p w14:paraId="145BBD25" w14:textId="77777777" w:rsidR="00892382" w:rsidRDefault="00892382" w:rsidP="00AC037D">
      <w:pPr>
        <w:spacing w:after="0" w:line="240" w:lineRule="auto"/>
        <w:ind w:right="-1"/>
        <w:jc w:val="both"/>
        <w:rPr>
          <w:rFonts w:ascii="Bookman Old Style" w:eastAsia="Times New Roman" w:hAnsi="Bookman Old Style" w:cs="Times New Roman"/>
          <w:b/>
          <w:sz w:val="24"/>
          <w:szCs w:val="24"/>
          <w:lang w:val="es-ES" w:eastAsia="es-ES"/>
        </w:rPr>
      </w:pPr>
    </w:p>
    <w:p w14:paraId="24951B61" w14:textId="162E96CC" w:rsidR="007F3FC2" w:rsidRPr="007F3FC2" w:rsidRDefault="007F3FC2" w:rsidP="00AC037D">
      <w:pPr>
        <w:spacing w:after="0" w:line="240" w:lineRule="auto"/>
        <w:ind w:right="-1"/>
        <w:jc w:val="both"/>
        <w:rPr>
          <w:rFonts w:ascii="Bookman Old Style" w:eastAsia="Times New Roman" w:hAnsi="Bookman Old Style" w:cs="Times New Roman"/>
          <w:b/>
          <w:sz w:val="24"/>
          <w:szCs w:val="24"/>
          <w:lang w:val="es-ES" w:eastAsia="es-ES"/>
        </w:rPr>
      </w:pPr>
      <w:r>
        <w:rPr>
          <w:rFonts w:ascii="Bookman Old Style" w:eastAsia="Times New Roman" w:hAnsi="Bookman Old Style" w:cs="Times New Roman"/>
          <w:b/>
          <w:sz w:val="24"/>
          <w:szCs w:val="24"/>
          <w:lang w:val="es-ES" w:eastAsia="es-ES"/>
        </w:rPr>
        <w:t xml:space="preserve">III. </w:t>
      </w:r>
      <w:r w:rsidRPr="007F3FC2">
        <w:rPr>
          <w:rFonts w:ascii="Bookman Old Style" w:eastAsia="Times New Roman" w:hAnsi="Bookman Old Style" w:cs="Times New Roman"/>
          <w:b/>
          <w:sz w:val="24"/>
          <w:szCs w:val="24"/>
          <w:lang w:val="es-ES" w:eastAsia="es-ES"/>
        </w:rPr>
        <w:t>DECRETO Y PRÁCTICA DE PRUEBAS DE OFICIO POR PARTE DE LA CREG</w:t>
      </w:r>
    </w:p>
    <w:p w14:paraId="0748154F" w14:textId="77777777" w:rsidR="007F3FC2" w:rsidRPr="007F3FC2" w:rsidRDefault="007F3FC2" w:rsidP="00AC037D">
      <w:pPr>
        <w:spacing w:after="0" w:line="240" w:lineRule="auto"/>
        <w:ind w:left="-142" w:right="-1"/>
        <w:jc w:val="both"/>
        <w:rPr>
          <w:rFonts w:ascii="Bookman Old Style" w:eastAsia="Times New Roman" w:hAnsi="Bookman Old Style" w:cs="Times New Roman"/>
          <w:sz w:val="24"/>
          <w:szCs w:val="24"/>
          <w:lang w:val="es-ES" w:eastAsia="es-ES"/>
        </w:rPr>
      </w:pPr>
    </w:p>
    <w:p w14:paraId="73662C99" w14:textId="3DF63745" w:rsidR="009C6638" w:rsidRDefault="007F3FC2" w:rsidP="00AC037D">
      <w:pPr>
        <w:spacing w:after="0" w:line="240" w:lineRule="auto"/>
        <w:ind w:left="-142" w:right="-1"/>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Teniendo en cuenta que</w:t>
      </w:r>
      <w:r w:rsidR="00691CAE">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dentro de los argumentos expuestos por </w:t>
      </w:r>
      <w:r w:rsidR="009C6638">
        <w:rPr>
          <w:rFonts w:ascii="Bookman Old Style" w:eastAsia="Times New Roman" w:hAnsi="Bookman Old Style" w:cs="Times New Roman"/>
          <w:sz w:val="24"/>
          <w:szCs w:val="24"/>
          <w:lang w:val="es-ES" w:eastAsia="es-ES"/>
        </w:rPr>
        <w:t>Montagas S.A. E.S.P.</w:t>
      </w:r>
      <w:r w:rsidRPr="007F3FC2">
        <w:rPr>
          <w:rFonts w:ascii="Bookman Old Style" w:eastAsia="Times New Roman" w:hAnsi="Bookman Old Style" w:cs="Times New Roman"/>
          <w:sz w:val="24"/>
          <w:szCs w:val="24"/>
          <w:lang w:val="es-ES" w:eastAsia="es-ES"/>
        </w:rPr>
        <w:t xml:space="preserve"> a efectos de sustentar su recurso de reposición</w:t>
      </w:r>
      <w:r w:rsidR="009C6638">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se en</w:t>
      </w:r>
      <w:r w:rsidR="009C6638">
        <w:rPr>
          <w:rFonts w:ascii="Bookman Old Style" w:eastAsia="Times New Roman" w:hAnsi="Bookman Old Style" w:cs="Times New Roman"/>
          <w:sz w:val="24"/>
          <w:szCs w:val="24"/>
          <w:lang w:val="es-ES" w:eastAsia="es-ES"/>
        </w:rPr>
        <w:t>cuentran</w:t>
      </w:r>
      <w:r w:rsidRPr="007F3FC2">
        <w:rPr>
          <w:rFonts w:ascii="Bookman Old Style" w:eastAsia="Times New Roman" w:hAnsi="Bookman Old Style" w:cs="Times New Roman"/>
          <w:sz w:val="24"/>
          <w:szCs w:val="24"/>
          <w:lang w:val="es-ES" w:eastAsia="es-ES"/>
        </w:rPr>
        <w:t xml:space="preserve"> elementos relacionados con </w:t>
      </w:r>
      <w:r w:rsidR="00B753C1">
        <w:rPr>
          <w:rFonts w:ascii="Bookman Old Style" w:eastAsia="Times New Roman" w:hAnsi="Bookman Old Style" w:cs="Times New Roman"/>
          <w:sz w:val="24"/>
          <w:szCs w:val="24"/>
          <w:lang w:val="es-ES" w:eastAsia="es-ES"/>
        </w:rPr>
        <w:t>la</w:t>
      </w:r>
      <w:r w:rsidRPr="007F3FC2">
        <w:rPr>
          <w:rFonts w:ascii="Bookman Old Style" w:eastAsia="Times New Roman" w:hAnsi="Bookman Old Style" w:cs="Times New Roman"/>
          <w:sz w:val="24"/>
          <w:szCs w:val="24"/>
          <w:lang w:val="es-ES" w:eastAsia="es-ES"/>
        </w:rPr>
        <w:t xml:space="preserve"> información del Sistema Único de Información</w:t>
      </w:r>
      <w:r w:rsidR="003B3CE6">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SUI</w:t>
      </w:r>
      <w:r w:rsidR="009C6638">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remitida por la Superintendencia de Servicios Públicos Domiciliarios a efectos </w:t>
      </w:r>
      <w:r w:rsidR="009C6638">
        <w:rPr>
          <w:rFonts w:ascii="Bookman Old Style" w:eastAsia="Times New Roman" w:hAnsi="Bookman Old Style" w:cs="Times New Roman"/>
          <w:sz w:val="24"/>
          <w:szCs w:val="24"/>
          <w:lang w:val="es-ES" w:eastAsia="es-ES"/>
        </w:rPr>
        <w:t>de definir la capacidad de compra para el octavo per</w:t>
      </w:r>
      <w:r w:rsidR="003B3CE6">
        <w:rPr>
          <w:rFonts w:ascii="Bookman Old Style" w:eastAsia="Times New Roman" w:hAnsi="Bookman Old Style" w:cs="Times New Roman"/>
          <w:sz w:val="24"/>
          <w:szCs w:val="24"/>
          <w:lang w:val="es-ES" w:eastAsia="es-ES"/>
        </w:rPr>
        <w:t>í</w:t>
      </w:r>
      <w:r w:rsidR="009C6638">
        <w:rPr>
          <w:rFonts w:ascii="Bookman Old Style" w:eastAsia="Times New Roman" w:hAnsi="Bookman Old Style" w:cs="Times New Roman"/>
          <w:sz w:val="24"/>
          <w:szCs w:val="24"/>
          <w:lang w:val="es-ES" w:eastAsia="es-ES"/>
        </w:rPr>
        <w:t xml:space="preserve">odo. Por lo anterior, esta Comisión </w:t>
      </w:r>
      <w:r w:rsidR="009C6638" w:rsidRPr="007F3FC2">
        <w:rPr>
          <w:rFonts w:ascii="Bookman Old Style" w:eastAsia="Times New Roman" w:hAnsi="Bookman Old Style" w:cs="Times New Roman"/>
          <w:sz w:val="24"/>
          <w:szCs w:val="24"/>
          <w:lang w:val="es-ES" w:eastAsia="es-ES"/>
        </w:rPr>
        <w:t xml:space="preserve">procedió a decretar de manera </w:t>
      </w:r>
      <w:r w:rsidR="009C6638" w:rsidRPr="007F3FC2">
        <w:rPr>
          <w:rFonts w:ascii="Bookman Old Style" w:eastAsia="Times New Roman" w:hAnsi="Bookman Old Style" w:cs="Arial"/>
          <w:spacing w:val="-5"/>
          <w:sz w:val="24"/>
          <w:szCs w:val="24"/>
        </w:rPr>
        <w:t>oficiosa</w:t>
      </w:r>
      <w:r w:rsidR="009C6638" w:rsidRPr="007F3FC2">
        <w:rPr>
          <w:rFonts w:ascii="Bookman Old Style" w:eastAsia="Times New Roman" w:hAnsi="Bookman Old Style" w:cs="Times New Roman"/>
          <w:sz w:val="24"/>
          <w:szCs w:val="24"/>
          <w:lang w:val="es-ES" w:eastAsia="es-ES"/>
        </w:rPr>
        <w:t xml:space="preserve"> la práctica de pruebas, </w:t>
      </w:r>
      <w:r w:rsidR="009C6638">
        <w:rPr>
          <w:rFonts w:ascii="Bookman Old Style" w:eastAsia="Times New Roman" w:hAnsi="Bookman Old Style" w:cs="Times New Roman"/>
          <w:sz w:val="24"/>
          <w:szCs w:val="24"/>
          <w:lang w:val="es-ES" w:eastAsia="es-ES"/>
        </w:rPr>
        <w:t xml:space="preserve">mediante el </w:t>
      </w:r>
      <w:r w:rsidR="009C6638" w:rsidRPr="00AF4C82">
        <w:rPr>
          <w:rFonts w:ascii="Bookman Old Style" w:eastAsia="Times New Roman" w:hAnsi="Bookman Old Style" w:cs="Times New Roman"/>
          <w:sz w:val="24"/>
          <w:szCs w:val="24"/>
          <w:lang w:val="es-ES" w:eastAsia="es-ES"/>
        </w:rPr>
        <w:t>Auto I</w:t>
      </w:r>
      <w:r w:rsidR="003B3CE6">
        <w:rPr>
          <w:rFonts w:ascii="Bookman Old Style" w:eastAsia="Times New Roman" w:hAnsi="Bookman Old Style" w:cs="Times New Roman"/>
          <w:sz w:val="24"/>
          <w:szCs w:val="24"/>
          <w:lang w:val="es-ES" w:eastAsia="es-ES"/>
        </w:rPr>
        <w:noBreakHyphen/>
      </w:r>
      <w:r w:rsidR="009C6638" w:rsidRPr="00AF4C82">
        <w:rPr>
          <w:rFonts w:ascii="Bookman Old Style" w:eastAsia="Times New Roman" w:hAnsi="Bookman Old Style" w:cs="Times New Roman"/>
          <w:sz w:val="24"/>
          <w:szCs w:val="24"/>
          <w:lang w:val="es-ES" w:eastAsia="es-ES"/>
        </w:rPr>
        <w:t>2020-002406</w:t>
      </w:r>
      <w:r w:rsidR="00AF4C82">
        <w:rPr>
          <w:rFonts w:ascii="Bookman Old Style" w:eastAsia="Times New Roman" w:hAnsi="Bookman Old Style" w:cs="Times New Roman"/>
          <w:sz w:val="24"/>
          <w:szCs w:val="24"/>
          <w:lang w:val="es-ES" w:eastAsia="es-ES"/>
        </w:rPr>
        <w:t xml:space="preserve"> del 18 de mayo</w:t>
      </w:r>
      <w:r w:rsidR="00103C0E">
        <w:rPr>
          <w:rFonts w:ascii="Bookman Old Style" w:eastAsia="Times New Roman" w:hAnsi="Bookman Old Style" w:cs="Times New Roman"/>
          <w:sz w:val="24"/>
          <w:szCs w:val="24"/>
          <w:lang w:val="es-ES" w:eastAsia="es-ES"/>
        </w:rPr>
        <w:t xml:space="preserve"> de 2020</w:t>
      </w:r>
      <w:r w:rsidR="00AF4C82">
        <w:rPr>
          <w:rFonts w:ascii="Bookman Old Style" w:eastAsia="Times New Roman" w:hAnsi="Bookman Old Style" w:cs="Times New Roman"/>
          <w:sz w:val="24"/>
          <w:szCs w:val="24"/>
          <w:lang w:val="es-ES" w:eastAsia="es-ES"/>
        </w:rPr>
        <w:t>,</w:t>
      </w:r>
      <w:r w:rsidR="009C6638" w:rsidRPr="007F3FC2">
        <w:rPr>
          <w:rFonts w:ascii="Bookman Old Style" w:eastAsia="Times New Roman" w:hAnsi="Bookman Old Style" w:cs="Times New Roman"/>
          <w:sz w:val="24"/>
          <w:szCs w:val="24"/>
          <w:lang w:val="es-ES" w:eastAsia="es-ES"/>
        </w:rPr>
        <w:t xml:space="preserve"> se solicitó a la Superintendencia de Servicios Públicos Domiciliarios, en calidad de administrador de dicha herramienta, lo siguiente:</w:t>
      </w:r>
    </w:p>
    <w:p w14:paraId="31C9CC90" w14:textId="77777777" w:rsidR="007F3FC2" w:rsidRDefault="007F3FC2" w:rsidP="00AC037D">
      <w:pPr>
        <w:pStyle w:val="Textoindependiente2"/>
        <w:spacing w:after="0" w:line="240" w:lineRule="auto"/>
        <w:ind w:left="-142" w:right="-1"/>
        <w:jc w:val="both"/>
        <w:rPr>
          <w:rFonts w:ascii="Bookman Old Style" w:hAnsi="Bookman Old Style" w:cs="Arial"/>
          <w:spacing w:val="-5"/>
        </w:rPr>
      </w:pPr>
    </w:p>
    <w:p w14:paraId="25B98835" w14:textId="77777777" w:rsidR="009C6638" w:rsidRPr="009C6638" w:rsidRDefault="007F3FC2"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r>
        <w:rPr>
          <w:rFonts w:ascii="Bookman Old Style" w:eastAsia="Times New Roman" w:hAnsi="Bookman Old Style" w:cs="Arial"/>
          <w:b/>
          <w:bCs/>
          <w:i/>
          <w:lang w:eastAsia="es-ES"/>
        </w:rPr>
        <w:t>“</w:t>
      </w:r>
      <w:r w:rsidRPr="007F3FC2">
        <w:rPr>
          <w:rFonts w:ascii="Bookman Old Style" w:eastAsia="Times New Roman" w:hAnsi="Bookman Old Style" w:cs="Arial"/>
          <w:b/>
          <w:bCs/>
          <w:i/>
          <w:lang w:eastAsia="es-ES"/>
        </w:rPr>
        <w:t xml:space="preserve">Artículo 1. </w:t>
      </w:r>
      <w:r w:rsidR="009C6638" w:rsidRPr="009C6638">
        <w:rPr>
          <w:rFonts w:ascii="Bookman Old Style" w:eastAsia="Times New Roman" w:hAnsi="Bookman Old Style" w:cs="Arial"/>
          <w:bCs/>
          <w:i/>
          <w:lang w:eastAsia="es-ES"/>
        </w:rPr>
        <w:t>Decretar de manera oficiosa la práctica de las siguientes pruebas, a efectos de que esta Comisión pueda resolver los recursos de reposición interpuestos en contra de la Resolución 070 de 2020:</w:t>
      </w:r>
    </w:p>
    <w:p w14:paraId="59AB0F33"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12730F57"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r w:rsidRPr="009C6638">
        <w:rPr>
          <w:rFonts w:ascii="Bookman Old Style" w:eastAsia="Times New Roman" w:hAnsi="Bookman Old Style" w:cs="Arial"/>
          <w:bCs/>
          <w:i/>
          <w:lang w:eastAsia="es-ES"/>
        </w:rPr>
        <w:t>Oficiar a la Superintendencia de Servicios Públicos Domiciliarios para que en el término de hasta (3) días hábiles siguientes al recibo del presente auto, manifieste e informe a esta Entidad si existen diferencias, modificaciones o ajustes en la información del SUI remitida a esta Comisión mediante la comunicación 2020</w:t>
      </w:r>
      <w:r>
        <w:rPr>
          <w:rFonts w:ascii="Bookman Old Style" w:eastAsia="Times New Roman" w:hAnsi="Bookman Old Style" w:cs="Arial"/>
          <w:bCs/>
          <w:i/>
          <w:lang w:eastAsia="es-ES"/>
        </w:rPr>
        <w:t>2300156661, con radicado CREG E-</w:t>
      </w:r>
      <w:r w:rsidRPr="009C6638">
        <w:rPr>
          <w:rFonts w:ascii="Bookman Old Style" w:eastAsia="Times New Roman" w:hAnsi="Bookman Old Style" w:cs="Arial"/>
          <w:bCs/>
          <w:i/>
          <w:lang w:eastAsia="es-ES"/>
        </w:rPr>
        <w:t>202</w:t>
      </w:r>
      <w:r>
        <w:rPr>
          <w:rFonts w:ascii="Bookman Old Style" w:eastAsia="Times New Roman" w:hAnsi="Bookman Old Style" w:cs="Arial"/>
          <w:bCs/>
          <w:i/>
          <w:lang w:eastAsia="es-ES"/>
        </w:rPr>
        <w:t>0-</w:t>
      </w:r>
      <w:r w:rsidRPr="009C6638">
        <w:rPr>
          <w:rFonts w:ascii="Bookman Old Style" w:eastAsia="Times New Roman" w:hAnsi="Bookman Old Style" w:cs="Arial"/>
          <w:bCs/>
          <w:i/>
          <w:lang w:eastAsia="es-ES"/>
        </w:rPr>
        <w:t>002376, correspondiente a la información del Sistema de Información de Cilindros Marcados (SICMA) a partir de la información entregada por la interventoría ACI, proyectos, hasta el año 2012, y la reportada por los distribuidores de GLP ante la Superintendencia correspondiente a los cilindros y tanques, con respecto a los soportes y argumentos que se adjuntan en el recurso de reposición por parte de la empresa MONTAGAS S.A. E.S.P., relacionados con la Superintendencia de Servicios Públicos Domiciliarios al Sistema Único de Información, SUI.</w:t>
      </w:r>
    </w:p>
    <w:p w14:paraId="63204117"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676DE9F1"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r w:rsidRPr="009C6638">
        <w:rPr>
          <w:rFonts w:ascii="Bookman Old Style" w:eastAsia="Times New Roman" w:hAnsi="Bookman Old Style" w:cs="Arial"/>
          <w:bCs/>
          <w:i/>
          <w:lang w:eastAsia="es-ES"/>
        </w:rPr>
        <w:t xml:space="preserve">Para el efecto, se remitirá a la Superintendencia la información del archivo Excel correspondiente a la comunicación 20202300156661, con radicado CREG E-2020-002376, así como copia del recurso de reposición interpuesto en contra de la Resolución CREG 070 de 2020 y los soportes que allegan dentro de dicho recurso. </w:t>
      </w:r>
    </w:p>
    <w:p w14:paraId="7EB4B38A"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7558B209"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r w:rsidRPr="009C6638">
        <w:rPr>
          <w:rFonts w:ascii="Bookman Old Style" w:eastAsia="Times New Roman" w:hAnsi="Bookman Old Style" w:cs="Arial"/>
          <w:bCs/>
          <w:i/>
          <w:lang w:eastAsia="es-ES"/>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ACI,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14:paraId="66B2FBAD" w14:textId="6FFFE8D6" w:rsid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479447F6" w14:textId="77777777" w:rsidR="00AC037D" w:rsidRPr="009C6638" w:rsidRDefault="00AC037D"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tbl>
      <w:tblPr>
        <w:tblStyle w:val="Tablaconcuadrcula"/>
        <w:tblW w:w="0" w:type="auto"/>
        <w:jc w:val="center"/>
        <w:tblLook w:val="04A0" w:firstRow="1" w:lastRow="0" w:firstColumn="1" w:lastColumn="0" w:noHBand="0" w:noVBand="1"/>
      </w:tblPr>
      <w:tblGrid>
        <w:gridCol w:w="2408"/>
        <w:gridCol w:w="2442"/>
        <w:gridCol w:w="2929"/>
      </w:tblGrid>
      <w:tr w:rsidR="009C6638" w:rsidRPr="00DC2CF2" w14:paraId="547A650D" w14:textId="77777777" w:rsidTr="009150DC">
        <w:trPr>
          <w:jc w:val="center"/>
        </w:trPr>
        <w:tc>
          <w:tcPr>
            <w:tcW w:w="2408" w:type="dxa"/>
            <w:vAlign w:val="center"/>
          </w:tcPr>
          <w:p w14:paraId="7B6E1826" w14:textId="77777777" w:rsidR="009C6638" w:rsidRPr="009C6638" w:rsidRDefault="009C6638" w:rsidP="00AC037D">
            <w:pPr>
              <w:spacing w:line="259" w:lineRule="auto"/>
              <w:ind w:right="-1"/>
              <w:jc w:val="center"/>
              <w:rPr>
                <w:rFonts w:ascii="Bookman Old Style" w:hAnsi="Bookman Old Style" w:cs="Arial"/>
                <w:bCs/>
                <w:i/>
                <w:lang w:eastAsia="es-ES"/>
              </w:rPr>
            </w:pPr>
            <w:r w:rsidRPr="009C6638">
              <w:rPr>
                <w:rFonts w:ascii="Bookman Old Style" w:hAnsi="Bookman Old Style" w:cs="Arial"/>
                <w:bCs/>
                <w:i/>
                <w:lang w:eastAsia="es-ES"/>
              </w:rPr>
              <w:t>Identificador de empresa (código SUI)</w:t>
            </w:r>
          </w:p>
        </w:tc>
        <w:tc>
          <w:tcPr>
            <w:tcW w:w="2442" w:type="dxa"/>
            <w:vAlign w:val="center"/>
          </w:tcPr>
          <w:p w14:paraId="49A1771F" w14:textId="77777777" w:rsidR="009C6638" w:rsidRPr="009C6638" w:rsidRDefault="009C6638" w:rsidP="00AC037D">
            <w:pPr>
              <w:spacing w:line="259" w:lineRule="auto"/>
              <w:ind w:right="-1"/>
              <w:jc w:val="center"/>
              <w:rPr>
                <w:rFonts w:ascii="Bookman Old Style" w:hAnsi="Bookman Old Style" w:cs="Arial"/>
                <w:bCs/>
                <w:i/>
                <w:lang w:eastAsia="es-ES"/>
              </w:rPr>
            </w:pPr>
            <w:r w:rsidRPr="009C6638">
              <w:rPr>
                <w:rFonts w:ascii="Bookman Old Style" w:hAnsi="Bookman Old Style" w:cs="Arial"/>
                <w:bCs/>
                <w:i/>
                <w:lang w:eastAsia="es-ES"/>
              </w:rPr>
              <w:t>Código de presentación del cilindro</w:t>
            </w:r>
          </w:p>
        </w:tc>
        <w:tc>
          <w:tcPr>
            <w:tcW w:w="2929" w:type="dxa"/>
            <w:vAlign w:val="center"/>
          </w:tcPr>
          <w:p w14:paraId="5263A9EA" w14:textId="77777777" w:rsidR="009C6638" w:rsidRPr="009C6638" w:rsidRDefault="009C6638" w:rsidP="00AC037D">
            <w:pPr>
              <w:spacing w:line="259" w:lineRule="auto"/>
              <w:ind w:right="-1"/>
              <w:jc w:val="center"/>
              <w:rPr>
                <w:rFonts w:ascii="Bookman Old Style" w:hAnsi="Bookman Old Style" w:cs="Arial"/>
                <w:bCs/>
                <w:i/>
                <w:lang w:eastAsia="es-ES"/>
              </w:rPr>
            </w:pPr>
            <w:r w:rsidRPr="009C6638">
              <w:rPr>
                <w:rFonts w:ascii="Bookman Old Style" w:hAnsi="Bookman Old Style" w:cs="Arial"/>
                <w:bCs/>
                <w:i/>
                <w:lang w:eastAsia="es-ES"/>
              </w:rPr>
              <w:t>Cantidad de cilindros por cada código de presentación</w:t>
            </w:r>
          </w:p>
        </w:tc>
      </w:tr>
    </w:tbl>
    <w:p w14:paraId="768384E7"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2E8E8250"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r w:rsidRPr="009C6638">
        <w:rPr>
          <w:rFonts w:ascii="Bookman Old Style" w:eastAsia="Times New Roman" w:hAnsi="Bookman Old Style" w:cs="Arial"/>
          <w:bCs/>
          <w:i/>
          <w:lang w:eastAsia="es-ES"/>
        </w:rPr>
        <w:t>Así mismo, remitir la información de tanques estacionarios atendidos por cada distribuidor y su capacidad en galones, de acuerdo con lo reportado a la Superintendencia de Servicios Públicos Domiciliarios en el Sistema Único de Información, SUI.</w:t>
      </w:r>
    </w:p>
    <w:p w14:paraId="2C29FC39" w14:textId="77777777" w:rsidR="009C6638" w:rsidRPr="009C6638" w:rsidRDefault="009C6638" w:rsidP="00AC037D">
      <w:pPr>
        <w:tabs>
          <w:tab w:val="left" w:pos="-720"/>
          <w:tab w:val="left" w:pos="1276"/>
        </w:tabs>
        <w:suppressAutoHyphens/>
        <w:overflowPunct w:val="0"/>
        <w:autoSpaceDE w:val="0"/>
        <w:spacing w:after="0" w:line="240" w:lineRule="auto"/>
        <w:ind w:left="567" w:right="-1"/>
        <w:jc w:val="both"/>
        <w:textAlignment w:val="baseline"/>
        <w:rPr>
          <w:rFonts w:ascii="Bookman Old Style" w:eastAsia="Times New Roman" w:hAnsi="Bookman Old Style" w:cs="Arial"/>
          <w:bCs/>
          <w:i/>
          <w:lang w:eastAsia="es-ES"/>
        </w:rPr>
      </w:pPr>
    </w:p>
    <w:p w14:paraId="61BDE348" w14:textId="77777777" w:rsidR="007F3FC2" w:rsidRPr="007F3FC2" w:rsidRDefault="00252FBF" w:rsidP="00AC037D">
      <w:pPr>
        <w:spacing w:after="0" w:line="240" w:lineRule="auto"/>
        <w:ind w:left="-142" w:right="-1"/>
        <w:jc w:val="both"/>
        <w:rPr>
          <w:rFonts w:ascii="Bookman Old Style" w:eastAsia="Times New Roman" w:hAnsi="Bookman Old Style" w:cs="Times New Roman"/>
          <w:b/>
          <w:sz w:val="24"/>
          <w:szCs w:val="24"/>
          <w:lang w:val="es-ES" w:eastAsia="es-ES"/>
        </w:rPr>
      </w:pPr>
      <w:r w:rsidRPr="00252FBF">
        <w:rPr>
          <w:rFonts w:ascii="Bookman Old Style" w:eastAsia="Times New Roman" w:hAnsi="Bookman Old Style" w:cs="Times New Roman"/>
          <w:b/>
          <w:sz w:val="24"/>
          <w:szCs w:val="24"/>
          <w:lang w:val="es-ES" w:eastAsia="es-ES"/>
        </w:rPr>
        <w:t>IV. CONSIDERACIONES DE LA CREG</w:t>
      </w:r>
    </w:p>
    <w:p w14:paraId="4CC5336C" w14:textId="77777777" w:rsidR="007F3FC2" w:rsidRPr="007F3FC2" w:rsidRDefault="007F3FC2" w:rsidP="00AC037D">
      <w:pPr>
        <w:spacing w:after="0" w:line="240" w:lineRule="auto"/>
        <w:ind w:right="-1"/>
        <w:jc w:val="both"/>
        <w:rPr>
          <w:rFonts w:ascii="Bookman Old Style" w:eastAsia="Times New Roman" w:hAnsi="Bookman Old Style" w:cs="Times New Roman"/>
          <w:sz w:val="24"/>
          <w:szCs w:val="24"/>
          <w:lang w:val="es-ES" w:eastAsia="es-ES"/>
        </w:rPr>
      </w:pPr>
    </w:p>
    <w:p w14:paraId="44529026" w14:textId="6BDF4EB1" w:rsidR="007F3FC2" w:rsidRPr="007F3FC2" w:rsidRDefault="007F3FC2" w:rsidP="00AC037D">
      <w:pPr>
        <w:spacing w:after="0" w:line="240" w:lineRule="auto"/>
        <w:ind w:right="-1"/>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Frente a los argumentos expuestos por el recurrente en el recurso de reposición, se advierte por parte </w:t>
      </w:r>
      <w:r w:rsidR="003B3CE6">
        <w:rPr>
          <w:rFonts w:ascii="Bookman Old Style" w:eastAsia="Times New Roman" w:hAnsi="Bookman Old Style" w:cs="Times New Roman"/>
          <w:sz w:val="24"/>
          <w:szCs w:val="24"/>
          <w:lang w:val="es-ES" w:eastAsia="es-ES"/>
        </w:rPr>
        <w:t xml:space="preserve">de </w:t>
      </w:r>
      <w:r w:rsidRPr="007F3FC2">
        <w:rPr>
          <w:rFonts w:ascii="Bookman Old Style" w:eastAsia="Times New Roman" w:hAnsi="Bookman Old Style" w:cs="Times New Roman"/>
          <w:sz w:val="24"/>
          <w:szCs w:val="24"/>
          <w:lang w:val="es-ES" w:eastAsia="es-ES"/>
        </w:rPr>
        <w:t xml:space="preserve">esta Comisión que los mismos tienen como objeto </w:t>
      </w:r>
      <w:r w:rsidR="00260077">
        <w:rPr>
          <w:rFonts w:ascii="Bookman Old Style" w:eastAsia="Times New Roman" w:hAnsi="Bookman Old Style" w:cs="Times New Roman"/>
          <w:sz w:val="24"/>
          <w:szCs w:val="24"/>
          <w:lang w:val="es-ES" w:eastAsia="es-ES"/>
        </w:rPr>
        <w:t>revocar</w:t>
      </w:r>
      <w:r w:rsidRPr="007F3FC2">
        <w:rPr>
          <w:rFonts w:ascii="Bookman Old Style" w:eastAsia="Times New Roman" w:hAnsi="Bookman Old Style" w:cs="Times New Roman"/>
          <w:sz w:val="24"/>
          <w:szCs w:val="24"/>
          <w:lang w:val="es-ES" w:eastAsia="es-ES"/>
        </w:rPr>
        <w:t xml:space="preserve"> la decisión adoptada por la CREG en la </w:t>
      </w:r>
      <w:r w:rsidRPr="00502FF5">
        <w:rPr>
          <w:rFonts w:ascii="Bookman Old Style" w:eastAsia="Times New Roman" w:hAnsi="Bookman Old Style" w:cs="Times New Roman"/>
          <w:sz w:val="24"/>
          <w:szCs w:val="24"/>
          <w:lang w:val="es-ES" w:eastAsia="es-ES"/>
        </w:rPr>
        <w:t xml:space="preserve">Resolución CREG </w:t>
      </w:r>
      <w:r w:rsidR="00252FBF" w:rsidRPr="00502FF5">
        <w:rPr>
          <w:rFonts w:ascii="Bookman Old Style" w:eastAsia="Times New Roman" w:hAnsi="Bookman Old Style" w:cs="Times New Roman"/>
          <w:sz w:val="24"/>
          <w:szCs w:val="24"/>
          <w:lang w:val="es-ES" w:eastAsia="es-ES"/>
        </w:rPr>
        <w:t>0</w:t>
      </w:r>
      <w:r w:rsidR="009C6638" w:rsidRPr="00502FF5">
        <w:rPr>
          <w:rFonts w:ascii="Bookman Old Style" w:eastAsia="Times New Roman" w:hAnsi="Bookman Old Style" w:cs="Times New Roman"/>
          <w:sz w:val="24"/>
          <w:szCs w:val="24"/>
          <w:lang w:val="es-ES" w:eastAsia="es-ES"/>
        </w:rPr>
        <w:t>70 de 2020</w:t>
      </w:r>
      <w:r w:rsidRPr="00502FF5">
        <w:rPr>
          <w:rFonts w:ascii="Bookman Old Style" w:eastAsia="Times New Roman" w:hAnsi="Bookman Old Style" w:cs="Times New Roman"/>
          <w:sz w:val="24"/>
          <w:szCs w:val="24"/>
          <w:lang w:val="es-ES" w:eastAsia="es-ES"/>
        </w:rPr>
        <w:t>, a efectos</w:t>
      </w:r>
      <w:r w:rsidRPr="007F3FC2">
        <w:rPr>
          <w:rFonts w:ascii="Bookman Old Style" w:eastAsia="Times New Roman" w:hAnsi="Bookman Old Style" w:cs="Times New Roman"/>
          <w:sz w:val="24"/>
          <w:szCs w:val="24"/>
          <w:lang w:val="es-ES" w:eastAsia="es-ES"/>
        </w:rPr>
        <w:t xml:space="preserve"> de que esta Comisión </w:t>
      </w:r>
      <w:r w:rsidR="003E2145">
        <w:rPr>
          <w:rFonts w:ascii="Bookman Old Style" w:eastAsia="Times New Roman" w:hAnsi="Bookman Old Style" w:cs="Times New Roman"/>
          <w:sz w:val="24"/>
          <w:szCs w:val="24"/>
          <w:lang w:val="es-ES" w:eastAsia="es-ES"/>
        </w:rPr>
        <w:t xml:space="preserve">defina </w:t>
      </w:r>
      <w:r w:rsidRPr="007F3FC2">
        <w:rPr>
          <w:rFonts w:ascii="Bookman Old Style" w:eastAsia="Times New Roman" w:hAnsi="Bookman Old Style" w:cs="Times New Roman"/>
          <w:sz w:val="24"/>
          <w:szCs w:val="24"/>
          <w:lang w:val="es-ES" w:eastAsia="es-ES"/>
        </w:rPr>
        <w:t xml:space="preserve">la capacidad de compra para la empresa </w:t>
      </w:r>
      <w:r w:rsidR="00AC7043">
        <w:rPr>
          <w:rFonts w:ascii="Bookman Old Style" w:eastAsia="Times New Roman" w:hAnsi="Bookman Old Style" w:cs="Times New Roman"/>
          <w:sz w:val="24"/>
          <w:szCs w:val="24"/>
          <w:lang w:val="es-ES" w:eastAsia="es-ES"/>
        </w:rPr>
        <w:t>Montagas S.A. E.S.P.</w:t>
      </w:r>
      <w:r w:rsidRPr="007F3FC2">
        <w:rPr>
          <w:rFonts w:ascii="Bookman Old Style" w:eastAsia="Times New Roman" w:hAnsi="Bookman Old Style" w:cs="Times New Roman"/>
          <w:sz w:val="24"/>
          <w:szCs w:val="24"/>
          <w:lang w:val="es-ES" w:eastAsia="es-ES"/>
        </w:rPr>
        <w:t xml:space="preserve">, toda vez que </w:t>
      </w:r>
      <w:r w:rsidR="00604BAF">
        <w:rPr>
          <w:rFonts w:ascii="Bookman Old Style" w:eastAsia="Times New Roman" w:hAnsi="Bookman Old Style" w:cs="Times New Roman"/>
          <w:sz w:val="24"/>
          <w:szCs w:val="24"/>
          <w:lang w:val="es-ES" w:eastAsia="es-ES"/>
        </w:rPr>
        <w:t>no se consideraron las inversiones realizadas en cilindros en el mes de marzo, y las de tanques estacionarios del primer semestre del año en curso.</w:t>
      </w:r>
    </w:p>
    <w:p w14:paraId="2E70DA72" w14:textId="77777777" w:rsidR="007F3FC2" w:rsidRPr="007F3FC2" w:rsidRDefault="007F3FC2" w:rsidP="00AC037D">
      <w:pPr>
        <w:spacing w:after="0" w:line="240" w:lineRule="auto"/>
        <w:ind w:right="-1"/>
        <w:jc w:val="both"/>
        <w:rPr>
          <w:rFonts w:ascii="Bookman Old Style" w:eastAsia="Times New Roman" w:hAnsi="Bookman Old Style" w:cs="Times New Roman"/>
          <w:sz w:val="24"/>
          <w:szCs w:val="24"/>
          <w:lang w:val="es-ES" w:eastAsia="es-ES"/>
        </w:rPr>
      </w:pPr>
    </w:p>
    <w:p w14:paraId="3A791CAF" w14:textId="0975F6C5" w:rsidR="007F3FC2" w:rsidRPr="007F3FC2" w:rsidRDefault="007F3FC2" w:rsidP="00AC037D">
      <w:pPr>
        <w:spacing w:after="0" w:line="240" w:lineRule="auto"/>
        <w:ind w:right="-1"/>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relación con lo anterior, se debe tener en cuenta que esta Comisión llevó a cabo la definición de la capacidad de compra </w:t>
      </w:r>
      <w:r w:rsidR="00604BAF">
        <w:rPr>
          <w:rFonts w:ascii="Bookman Old Style" w:eastAsia="Times New Roman" w:hAnsi="Bookman Old Style" w:cs="Times New Roman"/>
          <w:sz w:val="24"/>
          <w:szCs w:val="24"/>
          <w:lang w:val="es-ES" w:eastAsia="es-ES"/>
        </w:rPr>
        <w:t>del recurrente</w:t>
      </w:r>
      <w:r w:rsidRPr="007F3FC2">
        <w:rPr>
          <w:rFonts w:ascii="Bookman Old Style" w:eastAsia="Times New Roman" w:hAnsi="Bookman Old Style" w:cs="Times New Roman"/>
          <w:sz w:val="24"/>
          <w:szCs w:val="24"/>
          <w:lang w:val="es-ES" w:eastAsia="es-ES"/>
        </w:rPr>
        <w:t xml:space="preserve"> con base en la información del Sistema Único de Información</w:t>
      </w:r>
      <w:r w:rsidR="003B3CE6">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SUI</w:t>
      </w:r>
      <w:r w:rsidR="003B3CE6">
        <w:rPr>
          <w:rFonts w:ascii="Bookman Old Style" w:eastAsia="Times New Roman" w:hAnsi="Bookman Old Style" w:cs="Times New Roman"/>
          <w:sz w:val="24"/>
          <w:szCs w:val="24"/>
          <w:lang w:val="es-ES" w:eastAsia="es-ES"/>
        </w:rPr>
        <w:t>,</w:t>
      </w:r>
      <w:r w:rsidRPr="007F3FC2">
        <w:rPr>
          <w:rFonts w:ascii="Bookman Old Style" w:eastAsia="Times New Roman" w:hAnsi="Bookman Old Style" w:cs="Times New Roman"/>
          <w:sz w:val="24"/>
          <w:szCs w:val="24"/>
          <w:lang w:val="es-ES" w:eastAsia="es-ES"/>
        </w:rPr>
        <w:t xml:space="preserve"> remitida a la Comisión por parte de la Superintendencia de Servicios Públicos Domiciliarios, así como atendiendo el procedimiento previsto en el artículo 8 de la Resolución CREG 063 de 2016, lo cual se refleja en la </w:t>
      </w:r>
      <w:r w:rsidRPr="00502FF5">
        <w:rPr>
          <w:rFonts w:ascii="Bookman Old Style" w:eastAsia="Times New Roman" w:hAnsi="Bookman Old Style" w:cs="Times New Roman"/>
          <w:sz w:val="24"/>
          <w:szCs w:val="24"/>
          <w:lang w:val="es-ES" w:eastAsia="es-ES"/>
        </w:rPr>
        <w:t xml:space="preserve">Resolución CREG </w:t>
      </w:r>
      <w:r w:rsidR="00604BAF" w:rsidRPr="00502FF5">
        <w:rPr>
          <w:rFonts w:ascii="Bookman Old Style" w:eastAsia="Times New Roman" w:hAnsi="Bookman Old Style" w:cs="Times New Roman"/>
          <w:sz w:val="24"/>
          <w:szCs w:val="24"/>
          <w:lang w:val="es-ES" w:eastAsia="es-ES"/>
        </w:rPr>
        <w:t>070 de 2020</w:t>
      </w:r>
      <w:r w:rsidRPr="00502FF5">
        <w:rPr>
          <w:rFonts w:ascii="Bookman Old Style" w:eastAsia="Times New Roman" w:hAnsi="Bookman Old Style" w:cs="Times New Roman"/>
          <w:sz w:val="24"/>
          <w:szCs w:val="24"/>
          <w:lang w:val="es-ES" w:eastAsia="es-ES"/>
        </w:rPr>
        <w:t>.</w:t>
      </w:r>
    </w:p>
    <w:p w14:paraId="534E342C" w14:textId="77777777" w:rsidR="007F3FC2" w:rsidRPr="007F3FC2" w:rsidRDefault="007F3FC2" w:rsidP="00AC037D">
      <w:pPr>
        <w:spacing w:after="0" w:line="240" w:lineRule="auto"/>
        <w:ind w:left="-142" w:right="-1"/>
        <w:jc w:val="both"/>
        <w:rPr>
          <w:rFonts w:ascii="Bookman Old Style" w:eastAsia="Times New Roman" w:hAnsi="Bookman Old Style" w:cs="Times New Roman"/>
          <w:sz w:val="24"/>
          <w:szCs w:val="24"/>
          <w:lang w:val="es-ES" w:eastAsia="es-ES"/>
        </w:rPr>
      </w:pPr>
    </w:p>
    <w:p w14:paraId="7A346A93" w14:textId="2CC9127D" w:rsidR="00755EED" w:rsidRDefault="007F3FC2" w:rsidP="00AC037D">
      <w:pPr>
        <w:spacing w:after="0" w:line="240" w:lineRule="auto"/>
        <w:ind w:right="-1"/>
        <w:jc w:val="both"/>
        <w:rPr>
          <w:rFonts w:ascii="Bookman Old Style" w:eastAsia="Times New Roman" w:hAnsi="Bookman Old Style" w:cs="Times New Roman"/>
          <w:sz w:val="24"/>
          <w:szCs w:val="24"/>
          <w:lang w:val="es-ES" w:eastAsia="es-ES"/>
        </w:rPr>
      </w:pPr>
      <w:r w:rsidRPr="007F3FC2">
        <w:rPr>
          <w:rFonts w:ascii="Bookman Old Style" w:eastAsia="Times New Roman" w:hAnsi="Bookman Old Style" w:cs="Times New Roman"/>
          <w:sz w:val="24"/>
          <w:szCs w:val="24"/>
          <w:lang w:val="es-ES" w:eastAsia="es-ES"/>
        </w:rPr>
        <w:t xml:space="preserve">En respuesta al </w:t>
      </w:r>
      <w:r w:rsidR="00103C0E">
        <w:rPr>
          <w:rFonts w:ascii="Bookman Old Style" w:eastAsia="Times New Roman" w:hAnsi="Bookman Old Style" w:cs="Times New Roman"/>
          <w:sz w:val="24"/>
          <w:szCs w:val="24"/>
          <w:lang w:val="es-ES" w:eastAsia="es-ES"/>
        </w:rPr>
        <w:t>a</w:t>
      </w:r>
      <w:r w:rsidR="00103C0E" w:rsidRPr="007F3FC2">
        <w:rPr>
          <w:rFonts w:ascii="Bookman Old Style" w:eastAsia="Times New Roman" w:hAnsi="Bookman Old Style" w:cs="Times New Roman"/>
          <w:sz w:val="24"/>
          <w:szCs w:val="24"/>
          <w:lang w:val="es-ES" w:eastAsia="es-ES"/>
        </w:rPr>
        <w:t xml:space="preserve">uto </w:t>
      </w:r>
      <w:r w:rsidRPr="007F3FC2">
        <w:rPr>
          <w:rFonts w:ascii="Bookman Old Style" w:eastAsia="Times New Roman" w:hAnsi="Bookman Old Style" w:cs="Times New Roman"/>
          <w:sz w:val="24"/>
          <w:szCs w:val="24"/>
          <w:lang w:val="es-ES" w:eastAsia="es-ES"/>
        </w:rPr>
        <w:t xml:space="preserve">de pruebas mediante comunicación </w:t>
      </w:r>
      <w:r w:rsidR="00604BAF">
        <w:rPr>
          <w:rFonts w:ascii="Bookman Old Style" w:eastAsia="Times New Roman" w:hAnsi="Bookman Old Style" w:cs="Times New Roman"/>
          <w:sz w:val="24"/>
          <w:szCs w:val="24"/>
          <w:lang w:val="es-ES" w:eastAsia="es-ES"/>
        </w:rPr>
        <w:t>20202300378811</w:t>
      </w:r>
      <w:r w:rsidRPr="007F3FC2">
        <w:rPr>
          <w:rFonts w:ascii="Bookman Old Style" w:eastAsia="Times New Roman" w:hAnsi="Bookman Old Style" w:cs="Times New Roman"/>
          <w:sz w:val="24"/>
          <w:szCs w:val="24"/>
          <w:lang w:val="es-ES" w:eastAsia="es-ES"/>
        </w:rPr>
        <w:t xml:space="preserve"> radicado CREG </w:t>
      </w:r>
      <w:r w:rsidR="00B37A80">
        <w:rPr>
          <w:rFonts w:ascii="Bookman Old Style" w:eastAsia="Times New Roman" w:hAnsi="Bookman Old Style" w:cs="Times New Roman"/>
          <w:sz w:val="24"/>
          <w:szCs w:val="24"/>
          <w:lang w:val="es-ES" w:eastAsia="es-ES"/>
        </w:rPr>
        <w:t>E-2020-005888</w:t>
      </w:r>
      <w:r w:rsidR="00502FF5">
        <w:rPr>
          <w:rFonts w:ascii="Bookman Old Style" w:eastAsia="Times New Roman" w:hAnsi="Bookman Old Style" w:cs="Times New Roman"/>
          <w:sz w:val="24"/>
          <w:szCs w:val="24"/>
          <w:lang w:val="es-ES" w:eastAsia="es-ES"/>
        </w:rPr>
        <w:t xml:space="preserve"> del 4 de junio</w:t>
      </w:r>
      <w:r w:rsidR="00AD468F">
        <w:rPr>
          <w:rFonts w:ascii="Bookman Old Style" w:eastAsia="Times New Roman" w:hAnsi="Bookman Old Style" w:cs="Times New Roman"/>
          <w:sz w:val="24"/>
          <w:szCs w:val="24"/>
          <w:lang w:val="es-ES" w:eastAsia="es-ES"/>
        </w:rPr>
        <w:t xml:space="preserve"> de 2020</w:t>
      </w:r>
      <w:r w:rsidRPr="007F3FC2">
        <w:rPr>
          <w:rFonts w:ascii="Bookman Old Style" w:eastAsia="Times New Roman" w:hAnsi="Bookman Old Style" w:cs="Times New Roman"/>
          <w:sz w:val="24"/>
          <w:szCs w:val="24"/>
          <w:lang w:val="es-ES" w:eastAsia="es-ES"/>
        </w:rPr>
        <w:t>, la Superintendencia de Servicios Públicos Domiciliarios expuso lo siguiente par</w:t>
      </w:r>
      <w:r w:rsidR="00502FF5">
        <w:rPr>
          <w:rFonts w:ascii="Bookman Old Style" w:eastAsia="Times New Roman" w:hAnsi="Bookman Old Style" w:cs="Times New Roman"/>
          <w:sz w:val="24"/>
          <w:szCs w:val="24"/>
          <w:lang w:val="es-ES" w:eastAsia="es-ES"/>
        </w:rPr>
        <w:t>a</w:t>
      </w:r>
      <w:r w:rsidRPr="007F3FC2">
        <w:rPr>
          <w:rFonts w:ascii="Bookman Old Style" w:eastAsia="Times New Roman" w:hAnsi="Bookman Old Style" w:cs="Times New Roman"/>
          <w:sz w:val="24"/>
          <w:szCs w:val="24"/>
          <w:lang w:val="es-ES" w:eastAsia="es-ES"/>
        </w:rPr>
        <w:t xml:space="preserve"> el caso de la empresa </w:t>
      </w:r>
      <w:r w:rsidR="00B37A80">
        <w:rPr>
          <w:rFonts w:ascii="Bookman Old Style" w:eastAsia="Times New Roman" w:hAnsi="Bookman Old Style" w:cs="Times New Roman"/>
          <w:sz w:val="24"/>
          <w:szCs w:val="24"/>
          <w:lang w:val="es-ES" w:eastAsia="es-ES"/>
        </w:rPr>
        <w:t>Montagas S.A. E.S.P.</w:t>
      </w:r>
      <w:r w:rsidRPr="007F3FC2">
        <w:rPr>
          <w:rFonts w:ascii="Bookman Old Style" w:eastAsia="Times New Roman" w:hAnsi="Bookman Old Style" w:cs="Times New Roman"/>
          <w:sz w:val="24"/>
          <w:szCs w:val="24"/>
          <w:lang w:val="es-ES" w:eastAsia="es-ES"/>
        </w:rPr>
        <w:t>:</w:t>
      </w:r>
    </w:p>
    <w:p w14:paraId="47E98D80" w14:textId="77777777" w:rsidR="00755EED" w:rsidRDefault="00755EED" w:rsidP="00AC037D">
      <w:pPr>
        <w:spacing w:after="0" w:line="240" w:lineRule="auto"/>
        <w:ind w:left="-142" w:right="-1"/>
        <w:jc w:val="both"/>
        <w:rPr>
          <w:rFonts w:ascii="Bookman Old Style" w:eastAsia="Times New Roman" w:hAnsi="Bookman Old Style" w:cs="Times New Roman"/>
          <w:sz w:val="24"/>
          <w:szCs w:val="24"/>
          <w:lang w:val="es-ES" w:eastAsia="es-ES"/>
        </w:rPr>
      </w:pPr>
    </w:p>
    <w:p w14:paraId="65E64A54" w14:textId="77777777" w:rsidR="00755EED" w:rsidRDefault="00755EED" w:rsidP="00AC037D">
      <w:pPr>
        <w:pStyle w:val="Prrafodelista"/>
        <w:numPr>
          <w:ilvl w:val="0"/>
          <w:numId w:val="22"/>
        </w:numPr>
        <w:autoSpaceDE w:val="0"/>
        <w:autoSpaceDN w:val="0"/>
        <w:adjustRightInd w:val="0"/>
        <w:spacing w:after="0" w:line="240" w:lineRule="auto"/>
        <w:ind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La Dirección Técnica de Gestión de Gas Combustible – DTGGC, a través del Radicado SSPD No. 20202300156661 del 17 de marzo del 2020, remitió a la Comisión de Regulación</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 Energía y Gas – CREG, la información del Sistema de Información de Cilindros Marcados</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 SICMA, recolectada por la auditoria del programa ACI Proyectos hasta el 30 de junio de</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2012, la información Técnica del Parque de Cilindros Marcados, del último mes habilitado</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(Febrero-2020), donde se relacionan los datos reportados a partir de octubre de 2012, de</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acuerdo a lo establecido en Resolución SSPD No. 20141300040755 de 2014, y la información</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 Tanques Estacionarios recolectada mediante el Formato C10 “Información Tanques</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Estacionarios” del último trimestre habilitado (4T-2019), de conformidad con lo señalado</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en la Circular SSPD-CREG No. 1 de 2017, para calcular la capacidad de compra de la que</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trata el artículo 8 de la Resolución CREG 063 de 2016, aplicable al segundo semestre del</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año 2020, con corte de consulta de información al 16 de marzo de 2020.</w:t>
      </w:r>
    </w:p>
    <w:p w14:paraId="4EBE68C2" w14:textId="77777777" w:rsidR="00755EED" w:rsidRDefault="00755EED" w:rsidP="00AC037D">
      <w:pPr>
        <w:pStyle w:val="Prrafodelista"/>
        <w:autoSpaceDE w:val="0"/>
        <w:autoSpaceDN w:val="0"/>
        <w:adjustRightInd w:val="0"/>
        <w:spacing w:after="0" w:line="240" w:lineRule="auto"/>
        <w:ind w:left="927" w:right="-1"/>
        <w:jc w:val="both"/>
        <w:rPr>
          <w:rFonts w:ascii="Bookman Old Style" w:eastAsia="Times New Roman" w:hAnsi="Bookman Old Style" w:cs="Arial"/>
          <w:bCs/>
          <w:i/>
          <w:lang w:eastAsia="es-ES"/>
        </w:rPr>
      </w:pPr>
    </w:p>
    <w:p w14:paraId="79C5B80F" w14:textId="1E9989B4" w:rsidR="00755EED" w:rsidRDefault="00755EED" w:rsidP="00AC037D">
      <w:pPr>
        <w:pStyle w:val="Prrafodelista"/>
        <w:numPr>
          <w:ilvl w:val="0"/>
          <w:numId w:val="22"/>
        </w:numPr>
        <w:autoSpaceDE w:val="0"/>
        <w:autoSpaceDN w:val="0"/>
        <w:adjustRightInd w:val="0"/>
        <w:spacing w:after="0" w:line="240" w:lineRule="auto"/>
        <w:ind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La información suministrada a la CREG, se construye a través de consulta directa en las bases</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 datos del Sistema Único de Información – SUI, que contienen lo reportado por parte</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 la empresa en el Formato (1661) “Tanques Estacionarios Atendidos por el Distribuidor”,</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Formato (6009) “Información Técnica del Parque de Cilindros Marcados” y de la información</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del Sistema de Información de Cilindros Marcados – SICMA.</w:t>
      </w:r>
    </w:p>
    <w:p w14:paraId="7389468D" w14:textId="77777777" w:rsidR="00AC037D" w:rsidRPr="00AC037D" w:rsidRDefault="00AC037D" w:rsidP="00AC037D">
      <w:pPr>
        <w:pStyle w:val="Prrafodelista"/>
        <w:rPr>
          <w:rFonts w:ascii="Bookman Old Style" w:eastAsia="Times New Roman" w:hAnsi="Bookman Old Style" w:cs="Arial"/>
          <w:bCs/>
          <w:i/>
          <w:lang w:eastAsia="es-ES"/>
        </w:rPr>
      </w:pPr>
    </w:p>
    <w:p w14:paraId="03446FFF" w14:textId="77777777" w:rsidR="00AC037D" w:rsidRDefault="00AC037D" w:rsidP="00AC037D">
      <w:pPr>
        <w:pStyle w:val="Prrafodelista"/>
        <w:autoSpaceDE w:val="0"/>
        <w:autoSpaceDN w:val="0"/>
        <w:adjustRightInd w:val="0"/>
        <w:spacing w:after="0" w:line="240" w:lineRule="auto"/>
        <w:ind w:left="927" w:right="-1"/>
        <w:jc w:val="both"/>
        <w:rPr>
          <w:rFonts w:ascii="Bookman Old Style" w:eastAsia="Times New Roman" w:hAnsi="Bookman Old Style" w:cs="Arial"/>
          <w:bCs/>
          <w:i/>
          <w:lang w:eastAsia="es-ES"/>
        </w:rPr>
      </w:pPr>
    </w:p>
    <w:p w14:paraId="0F5E9C02" w14:textId="77777777" w:rsidR="00755EED" w:rsidRDefault="00755EED" w:rsidP="00AC037D">
      <w:pPr>
        <w:pStyle w:val="Prrafodelista"/>
        <w:numPr>
          <w:ilvl w:val="0"/>
          <w:numId w:val="22"/>
        </w:numPr>
        <w:autoSpaceDE w:val="0"/>
        <w:autoSpaceDN w:val="0"/>
        <w:adjustRightInd w:val="0"/>
        <w:spacing w:after="0" w:line="240" w:lineRule="auto"/>
        <w:ind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En la fecha de corte de consulta de información (16 de marzo de 2020), se realizó la verificación</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del cargue de información efectuado por la empresa en el Sistema Único de Información</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 SUI, del Formato (1661) “Tanques Estacionarios Atendidos por el Distribuidor” para el</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cuarto trimestre de 2019, encontrando que esta información se encontraba en estado “CERTIFICADA”</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con un total de 3.240 tanques, represent</w:t>
      </w:r>
      <w:r>
        <w:rPr>
          <w:rFonts w:ascii="Bookman Old Style" w:eastAsia="Times New Roman" w:hAnsi="Bookman Old Style" w:cs="Arial"/>
          <w:bCs/>
          <w:i/>
          <w:lang w:eastAsia="es-ES"/>
        </w:rPr>
        <w:t xml:space="preserve">ando así, una capacidad total de </w:t>
      </w:r>
      <w:r w:rsidRPr="00755EED">
        <w:rPr>
          <w:rFonts w:ascii="Bookman Old Style" w:eastAsia="Times New Roman" w:hAnsi="Bookman Old Style" w:cs="Arial"/>
          <w:bCs/>
          <w:i/>
          <w:lang w:eastAsia="es-ES"/>
        </w:rPr>
        <w:t>839.826 Galones y para el Formato (6009) “Información Técnica del Parque de Cilindros</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Marcados” y de la información del Sistema de Información de Cilindros Marcados – SICMA,</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se encontraba la siguiente relación de cilindros, con sus respectivas presentaciones.</w:t>
      </w:r>
    </w:p>
    <w:p w14:paraId="3B93B352" w14:textId="77777777" w:rsidR="00755EED" w:rsidRPr="00755EED" w:rsidRDefault="00755EED" w:rsidP="00AC037D">
      <w:pPr>
        <w:autoSpaceDE w:val="0"/>
        <w:autoSpaceDN w:val="0"/>
        <w:adjustRightInd w:val="0"/>
        <w:spacing w:after="0" w:line="240" w:lineRule="auto"/>
        <w:ind w:right="-1"/>
        <w:jc w:val="both"/>
        <w:rPr>
          <w:rFonts w:ascii="Bookman Old Style" w:eastAsia="Times New Roman" w:hAnsi="Bookman Old Style" w:cs="Arial"/>
          <w:bCs/>
          <w:i/>
          <w:sz w:val="16"/>
          <w:szCs w:val="16"/>
          <w:lang w:eastAsia="es-ES"/>
        </w:rPr>
      </w:pPr>
    </w:p>
    <w:p w14:paraId="2C532C47" w14:textId="77777777" w:rsidR="00755EED" w:rsidRDefault="00755EED" w:rsidP="00AC037D">
      <w:pPr>
        <w:autoSpaceDE w:val="0"/>
        <w:autoSpaceDN w:val="0"/>
        <w:adjustRightInd w:val="0"/>
        <w:spacing w:after="0" w:line="240" w:lineRule="auto"/>
        <w:ind w:right="-1"/>
        <w:jc w:val="center"/>
        <w:rPr>
          <w:rFonts w:ascii="Bookman Old Style" w:eastAsia="Times New Roman" w:hAnsi="Bookman Old Style" w:cs="Arial"/>
          <w:bCs/>
          <w:i/>
          <w:lang w:eastAsia="es-ES"/>
        </w:rPr>
      </w:pPr>
      <w:r>
        <w:rPr>
          <w:rFonts w:ascii="Bookman Old Style" w:eastAsia="Times New Roman" w:hAnsi="Bookman Old Style" w:cs="Arial"/>
          <w:bCs/>
          <w:i/>
          <w:noProof/>
          <w:lang w:eastAsia="es-CO"/>
        </w:rPr>
        <w:drawing>
          <wp:inline distT="0" distB="0" distL="0" distR="0" wp14:anchorId="27337CF5" wp14:editId="7D4D9D24">
            <wp:extent cx="3613099" cy="2408598"/>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4976" cy="2416516"/>
                    </a:xfrm>
                    <a:prstGeom prst="rect">
                      <a:avLst/>
                    </a:prstGeom>
                    <a:noFill/>
                    <a:ln>
                      <a:noFill/>
                    </a:ln>
                  </pic:spPr>
                </pic:pic>
              </a:graphicData>
            </a:graphic>
          </wp:inline>
        </w:drawing>
      </w:r>
    </w:p>
    <w:p w14:paraId="0DD67151" w14:textId="77777777" w:rsidR="00755EED" w:rsidRDefault="00755EED" w:rsidP="00AC037D">
      <w:pPr>
        <w:autoSpaceDE w:val="0"/>
        <w:autoSpaceDN w:val="0"/>
        <w:adjustRightInd w:val="0"/>
        <w:spacing w:after="0" w:line="240" w:lineRule="auto"/>
        <w:ind w:right="-1"/>
        <w:rPr>
          <w:rFonts w:ascii="Arial-BoldMT" w:hAnsi="Arial-BoldMT" w:cs="Arial-BoldMT"/>
          <w:b/>
          <w:bCs/>
          <w:color w:val="FFFFFF"/>
          <w:sz w:val="20"/>
          <w:szCs w:val="20"/>
        </w:rPr>
      </w:pPr>
      <w:r>
        <w:rPr>
          <w:rFonts w:ascii="Arial-BoldMT" w:hAnsi="Arial-BoldMT" w:cs="Arial-BoldMT"/>
          <w:b/>
          <w:bCs/>
          <w:color w:val="FFFFFF"/>
          <w:sz w:val="20"/>
          <w:szCs w:val="20"/>
        </w:rPr>
        <w:t>EMPRESA MARCA ORIGEN CAPACIDAD CONTEO</w:t>
      </w:r>
    </w:p>
    <w:p w14:paraId="76C5FBE0" w14:textId="77777777" w:rsidR="00755EED" w:rsidRPr="00755EED" w:rsidRDefault="00755EED" w:rsidP="00AC037D">
      <w:pPr>
        <w:pStyle w:val="Prrafodelista"/>
        <w:numPr>
          <w:ilvl w:val="0"/>
          <w:numId w:val="22"/>
        </w:numPr>
        <w:spacing w:after="0" w:line="240" w:lineRule="auto"/>
        <w:ind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La Dirección Técnica de Gestión de Gas Combustible – DTGGC, a través del Radicado</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SSPD No. 20202300108501 del 27 de febrero del 2020, informó a la empresa MONTAGAS</w:t>
      </w:r>
      <w:r>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S.A. E.S.P., que:</w:t>
      </w:r>
    </w:p>
    <w:p w14:paraId="245CBD35" w14:textId="77777777" w:rsidR="00755EED" w:rsidRPr="00755EED" w:rsidRDefault="00755EED" w:rsidP="00AC037D">
      <w:pPr>
        <w:spacing w:after="0" w:line="240" w:lineRule="auto"/>
        <w:ind w:left="1134"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 Con el propósito de contar con la información de cilindros y tanques estacionarios,</w:t>
      </w:r>
      <w:r w:rsidR="00F92C75">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para poder realizar una asignación objetiva y transparen</w:t>
      </w:r>
      <w:r w:rsidR="00F92C75">
        <w:rPr>
          <w:rFonts w:ascii="Bookman Old Style" w:eastAsia="Times New Roman" w:hAnsi="Bookman Old Style" w:cs="Arial"/>
          <w:bCs/>
          <w:i/>
          <w:lang w:eastAsia="es-ES"/>
        </w:rPr>
        <w:t xml:space="preserve">te de la capacidad máxima </w:t>
      </w:r>
      <w:r w:rsidRPr="00755EED">
        <w:rPr>
          <w:rFonts w:ascii="Bookman Old Style" w:eastAsia="Times New Roman" w:hAnsi="Bookman Old Style" w:cs="Arial"/>
          <w:bCs/>
          <w:i/>
          <w:lang w:eastAsia="es-ES"/>
        </w:rPr>
        <w:t>de compra de la que trata el artículo 8 de la Resoluci</w:t>
      </w:r>
      <w:r w:rsidR="00F92C75">
        <w:rPr>
          <w:rFonts w:ascii="Bookman Old Style" w:eastAsia="Times New Roman" w:hAnsi="Bookman Old Style" w:cs="Arial"/>
          <w:bCs/>
          <w:i/>
          <w:lang w:eastAsia="es-ES"/>
        </w:rPr>
        <w:t xml:space="preserve">ón CREG 063 de 2016, modificado </w:t>
      </w:r>
      <w:r w:rsidRPr="00755EED">
        <w:rPr>
          <w:rFonts w:ascii="Bookman Old Style" w:eastAsia="Times New Roman" w:hAnsi="Bookman Old Style" w:cs="Arial"/>
          <w:bCs/>
          <w:i/>
          <w:lang w:eastAsia="es-ES"/>
        </w:rPr>
        <w:t>por el artículo 1 de la Resolución CREG 180 de 201</w:t>
      </w:r>
      <w:r w:rsidR="00F92C75">
        <w:rPr>
          <w:rFonts w:ascii="Bookman Old Style" w:eastAsia="Times New Roman" w:hAnsi="Bookman Old Style" w:cs="Arial"/>
          <w:bCs/>
          <w:i/>
          <w:lang w:eastAsia="es-ES"/>
        </w:rPr>
        <w:t xml:space="preserve">7, aplicable al primer semestre </w:t>
      </w:r>
      <w:r w:rsidRPr="00755EED">
        <w:rPr>
          <w:rFonts w:ascii="Bookman Old Style" w:eastAsia="Times New Roman" w:hAnsi="Bookman Old Style" w:cs="Arial"/>
          <w:bCs/>
          <w:i/>
          <w:lang w:eastAsia="es-ES"/>
        </w:rPr>
        <w:t>del año 2020, esta Dirección Técnica le recuerda la obligación de realizar</w:t>
      </w:r>
      <w:r w:rsidR="00F92C75">
        <w:rPr>
          <w:rFonts w:ascii="Bookman Old Style" w:eastAsia="Times New Roman" w:hAnsi="Bookman Old Style" w:cs="Arial"/>
          <w:bCs/>
          <w:i/>
          <w:lang w:eastAsia="es-ES"/>
        </w:rPr>
        <w:t xml:space="preserve"> </w:t>
      </w:r>
      <w:r w:rsidRPr="00755EED">
        <w:rPr>
          <w:rFonts w:ascii="Bookman Old Style" w:eastAsia="Times New Roman" w:hAnsi="Bookman Old Style" w:cs="Arial"/>
          <w:bCs/>
          <w:i/>
          <w:lang w:eastAsia="es-ES"/>
        </w:rPr>
        <w:t>oportunamente y con la calidad debida, el reporte mensual</w:t>
      </w:r>
      <w:r w:rsidR="00F92C75">
        <w:rPr>
          <w:rFonts w:ascii="Bookman Old Style" w:eastAsia="Times New Roman" w:hAnsi="Bookman Old Style" w:cs="Arial"/>
          <w:bCs/>
          <w:i/>
          <w:lang w:eastAsia="es-ES"/>
        </w:rPr>
        <w:t xml:space="preserve"> del Formato (6009) INFORMACIÓN </w:t>
      </w:r>
      <w:r w:rsidRPr="00755EED">
        <w:rPr>
          <w:rFonts w:ascii="Bookman Old Style" w:eastAsia="Times New Roman" w:hAnsi="Bookman Old Style" w:cs="Arial"/>
          <w:bCs/>
          <w:i/>
          <w:lang w:eastAsia="es-ES"/>
        </w:rPr>
        <w:t>TÉCNICA DEL PARQUE DE C</w:t>
      </w:r>
      <w:r w:rsidR="00F92C75">
        <w:rPr>
          <w:rFonts w:ascii="Bookman Old Style" w:eastAsia="Times New Roman" w:hAnsi="Bookman Old Style" w:cs="Arial"/>
          <w:bCs/>
          <w:i/>
          <w:lang w:eastAsia="es-ES"/>
        </w:rPr>
        <w:t xml:space="preserve">ILINDROS MARCADOS y del Formato </w:t>
      </w:r>
      <w:r w:rsidRPr="00755EED">
        <w:rPr>
          <w:rFonts w:ascii="Bookman Old Style" w:eastAsia="Times New Roman" w:hAnsi="Bookman Old Style" w:cs="Arial"/>
          <w:bCs/>
          <w:i/>
          <w:lang w:eastAsia="es-ES"/>
        </w:rPr>
        <w:t xml:space="preserve">trimestral (1661) - C10-INFORMACIÓN DE </w:t>
      </w:r>
      <w:r w:rsidR="00F92C75">
        <w:rPr>
          <w:rFonts w:ascii="Bookman Old Style" w:eastAsia="Times New Roman" w:hAnsi="Bookman Old Style" w:cs="Arial"/>
          <w:bCs/>
          <w:i/>
          <w:lang w:eastAsia="es-ES"/>
        </w:rPr>
        <w:t xml:space="preserve">TANQUES ESTACIONARIOS ATENDIDOS </w:t>
      </w:r>
      <w:r w:rsidRPr="00755EED">
        <w:rPr>
          <w:rFonts w:ascii="Bookman Old Style" w:eastAsia="Times New Roman" w:hAnsi="Bookman Old Style" w:cs="Arial"/>
          <w:bCs/>
          <w:i/>
          <w:lang w:eastAsia="es-ES"/>
        </w:rPr>
        <w:t>POR EL DISTRIBUIDOR, conforme con lo señ</w:t>
      </w:r>
      <w:r w:rsidR="00F92C75">
        <w:rPr>
          <w:rFonts w:ascii="Bookman Old Style" w:eastAsia="Times New Roman" w:hAnsi="Bookman Old Style" w:cs="Arial"/>
          <w:bCs/>
          <w:i/>
          <w:lang w:eastAsia="es-ES"/>
        </w:rPr>
        <w:t xml:space="preserve">alado en la Resolución SSPD No. </w:t>
      </w:r>
      <w:r w:rsidRPr="00755EED">
        <w:rPr>
          <w:rFonts w:ascii="Bookman Old Style" w:eastAsia="Times New Roman" w:hAnsi="Bookman Old Style" w:cs="Arial"/>
          <w:bCs/>
          <w:i/>
          <w:lang w:eastAsia="es-ES"/>
        </w:rPr>
        <w:t>20141300040755 del 17 de septiembre de 2014 y l</w:t>
      </w:r>
      <w:r w:rsidR="00F92C75">
        <w:rPr>
          <w:rFonts w:ascii="Bookman Old Style" w:eastAsia="Times New Roman" w:hAnsi="Bookman Old Style" w:cs="Arial"/>
          <w:bCs/>
          <w:i/>
          <w:lang w:eastAsia="es-ES"/>
        </w:rPr>
        <w:t xml:space="preserve">a Circular Conjunta SSPD – CREG </w:t>
      </w:r>
      <w:r w:rsidRPr="00755EED">
        <w:rPr>
          <w:rFonts w:ascii="Bookman Old Style" w:eastAsia="Times New Roman" w:hAnsi="Bookman Old Style" w:cs="Arial"/>
          <w:bCs/>
          <w:i/>
          <w:lang w:eastAsia="es-ES"/>
        </w:rPr>
        <w:t>No. 1 del 21 de julio de 2017.</w:t>
      </w:r>
    </w:p>
    <w:p w14:paraId="14D36569" w14:textId="77777777" w:rsidR="00755EED" w:rsidRPr="00755EED" w:rsidRDefault="00755EED" w:rsidP="00AC037D">
      <w:pPr>
        <w:spacing w:after="0" w:line="240" w:lineRule="auto"/>
        <w:ind w:left="1134"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 xml:space="preserve">En este mismo sentido, es importante mencionar que, </w:t>
      </w:r>
      <w:r w:rsidR="00F92C75">
        <w:rPr>
          <w:rFonts w:ascii="Bookman Old Style" w:eastAsia="Times New Roman" w:hAnsi="Bookman Old Style" w:cs="Arial"/>
          <w:bCs/>
          <w:i/>
          <w:lang w:eastAsia="es-ES"/>
        </w:rPr>
        <w:t xml:space="preserve">las empresas que han adelantado </w:t>
      </w:r>
      <w:r w:rsidRPr="00755EED">
        <w:rPr>
          <w:rFonts w:ascii="Bookman Old Style" w:eastAsia="Times New Roman" w:hAnsi="Bookman Old Style" w:cs="Arial"/>
          <w:bCs/>
          <w:i/>
          <w:lang w:eastAsia="es-ES"/>
        </w:rPr>
        <w:t>trámites de cesión de marcas, deben finalizar di</w:t>
      </w:r>
      <w:r w:rsidR="00F92C75">
        <w:rPr>
          <w:rFonts w:ascii="Bookman Old Style" w:eastAsia="Times New Roman" w:hAnsi="Bookman Old Style" w:cs="Arial"/>
          <w:bCs/>
          <w:i/>
          <w:lang w:eastAsia="es-ES"/>
        </w:rPr>
        <w:t xml:space="preserve">cho proceso en el Sistema Único </w:t>
      </w:r>
      <w:r w:rsidRPr="00755EED">
        <w:rPr>
          <w:rFonts w:ascii="Bookman Old Style" w:eastAsia="Times New Roman" w:hAnsi="Bookman Old Style" w:cs="Arial"/>
          <w:bCs/>
          <w:i/>
          <w:lang w:eastAsia="es-ES"/>
        </w:rPr>
        <w:t>de Información – SUI, a través del Formulario (G</w:t>
      </w:r>
      <w:r w:rsidR="00F92C75">
        <w:rPr>
          <w:rFonts w:ascii="Bookman Old Style" w:eastAsia="Times New Roman" w:hAnsi="Bookman Old Style" w:cs="Arial"/>
          <w:bCs/>
          <w:i/>
          <w:lang w:eastAsia="es-ES"/>
        </w:rPr>
        <w:t xml:space="preserve">LP-C-0008) Cesión de Marcas, en </w:t>
      </w:r>
      <w:r w:rsidRPr="00755EED">
        <w:rPr>
          <w:rFonts w:ascii="Bookman Old Style" w:eastAsia="Times New Roman" w:hAnsi="Bookman Old Style" w:cs="Arial"/>
          <w:bCs/>
          <w:i/>
          <w:lang w:eastAsia="es-ES"/>
        </w:rPr>
        <w:t>atención a lo dispuesto en la Circular SSPD No. 200</w:t>
      </w:r>
      <w:r w:rsidR="00F92C75">
        <w:rPr>
          <w:rFonts w:ascii="Bookman Old Style" w:eastAsia="Times New Roman" w:hAnsi="Bookman Old Style" w:cs="Arial"/>
          <w:bCs/>
          <w:i/>
          <w:lang w:eastAsia="es-ES"/>
        </w:rPr>
        <w:t xml:space="preserve">81000000174 de 2008, con el fin </w:t>
      </w:r>
      <w:r w:rsidRPr="00755EED">
        <w:rPr>
          <w:rFonts w:ascii="Bookman Old Style" w:eastAsia="Times New Roman" w:hAnsi="Bookman Old Style" w:cs="Arial"/>
          <w:bCs/>
          <w:i/>
          <w:lang w:eastAsia="es-ES"/>
        </w:rPr>
        <w:t>de mantener actualizado el inventario de cilindros activos.</w:t>
      </w:r>
    </w:p>
    <w:p w14:paraId="0CE627BE" w14:textId="77777777" w:rsidR="00755EED" w:rsidRPr="00755EED" w:rsidRDefault="00755EED" w:rsidP="00AC037D">
      <w:pPr>
        <w:spacing w:after="0" w:line="240" w:lineRule="auto"/>
        <w:ind w:left="1134"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Así mismo, la empresa debe realizar los análisis per</w:t>
      </w:r>
      <w:r w:rsidR="00F92C75">
        <w:rPr>
          <w:rFonts w:ascii="Bookman Old Style" w:eastAsia="Times New Roman" w:hAnsi="Bookman Old Style" w:cs="Arial"/>
          <w:bCs/>
          <w:i/>
          <w:lang w:eastAsia="es-ES"/>
        </w:rPr>
        <w:t xml:space="preserve">tinentes sobre el estado de los </w:t>
      </w:r>
      <w:r w:rsidRPr="00755EED">
        <w:rPr>
          <w:rFonts w:ascii="Bookman Old Style" w:eastAsia="Times New Roman" w:hAnsi="Bookman Old Style" w:cs="Arial"/>
          <w:bCs/>
          <w:i/>
          <w:lang w:eastAsia="es-ES"/>
        </w:rPr>
        <w:t>procesos judiciales y/o administrativos en los que pueda</w:t>
      </w:r>
      <w:r w:rsidR="00F92C75">
        <w:rPr>
          <w:rFonts w:ascii="Bookman Old Style" w:eastAsia="Times New Roman" w:hAnsi="Bookman Old Style" w:cs="Arial"/>
          <w:bCs/>
          <w:i/>
          <w:lang w:eastAsia="es-ES"/>
        </w:rPr>
        <w:t xml:space="preserve">n estar vinculadas y que puedan </w:t>
      </w:r>
      <w:r w:rsidRPr="00755EED">
        <w:rPr>
          <w:rFonts w:ascii="Bookman Old Style" w:eastAsia="Times New Roman" w:hAnsi="Bookman Old Style" w:cs="Arial"/>
          <w:bCs/>
          <w:i/>
          <w:lang w:eastAsia="es-ES"/>
        </w:rPr>
        <w:t>afectar su participación y/o asignación en el</w:t>
      </w:r>
      <w:r w:rsidR="00F92C75">
        <w:rPr>
          <w:rFonts w:ascii="Bookman Old Style" w:eastAsia="Times New Roman" w:hAnsi="Bookman Old Style" w:cs="Arial"/>
          <w:bCs/>
          <w:i/>
          <w:lang w:eastAsia="es-ES"/>
        </w:rPr>
        <w:t xml:space="preserve"> proceso de capacidad máxima de </w:t>
      </w:r>
      <w:r w:rsidRPr="00755EED">
        <w:rPr>
          <w:rFonts w:ascii="Bookman Old Style" w:eastAsia="Times New Roman" w:hAnsi="Bookman Old Style" w:cs="Arial"/>
          <w:bCs/>
          <w:i/>
          <w:lang w:eastAsia="es-ES"/>
        </w:rPr>
        <w:t>compra, que realiza la CREG en cumplimiento de la normativa citada.</w:t>
      </w:r>
    </w:p>
    <w:p w14:paraId="748F5925" w14:textId="77777777" w:rsidR="00755EED" w:rsidRDefault="00755EED" w:rsidP="00AC037D">
      <w:pPr>
        <w:spacing w:after="0" w:line="240" w:lineRule="auto"/>
        <w:ind w:left="1134" w:right="-1"/>
        <w:jc w:val="both"/>
        <w:rPr>
          <w:rFonts w:ascii="Bookman Old Style" w:eastAsia="Times New Roman" w:hAnsi="Bookman Old Style" w:cs="Arial"/>
          <w:bCs/>
          <w:i/>
          <w:lang w:eastAsia="es-ES"/>
        </w:rPr>
      </w:pPr>
      <w:r w:rsidRPr="00755EED">
        <w:rPr>
          <w:rFonts w:ascii="Bookman Old Style" w:eastAsia="Times New Roman" w:hAnsi="Bookman Old Style" w:cs="Arial"/>
          <w:bCs/>
          <w:i/>
          <w:lang w:eastAsia="es-ES"/>
        </w:rPr>
        <w:t>Así las cosas, se requiere a las empresas Distribuido</w:t>
      </w:r>
      <w:r w:rsidR="00F92C75">
        <w:rPr>
          <w:rFonts w:ascii="Bookman Old Style" w:eastAsia="Times New Roman" w:hAnsi="Bookman Old Style" w:cs="Arial"/>
          <w:bCs/>
          <w:i/>
          <w:lang w:eastAsia="es-ES"/>
        </w:rPr>
        <w:t xml:space="preserve">ras de Gas Licuado del Petróleo </w:t>
      </w:r>
      <w:r w:rsidRPr="00755EED">
        <w:rPr>
          <w:rFonts w:ascii="Bookman Old Style" w:eastAsia="Times New Roman" w:hAnsi="Bookman Old Style" w:cs="Arial"/>
          <w:bCs/>
          <w:i/>
          <w:lang w:eastAsia="es-ES"/>
        </w:rPr>
        <w:t xml:space="preserve">para que se aseguren de no tener periodos de cargue pendientes </w:t>
      </w:r>
      <w:r w:rsidR="00F92C75">
        <w:rPr>
          <w:rFonts w:ascii="Bookman Old Style" w:eastAsia="Times New Roman" w:hAnsi="Bookman Old Style" w:cs="Arial"/>
          <w:bCs/>
          <w:i/>
          <w:lang w:eastAsia="es-ES"/>
        </w:rPr>
        <w:t xml:space="preserve">en el SUI y que estos </w:t>
      </w:r>
      <w:r w:rsidRPr="00755EED">
        <w:rPr>
          <w:rFonts w:ascii="Bookman Old Style" w:eastAsia="Times New Roman" w:hAnsi="Bookman Old Style" w:cs="Arial"/>
          <w:bCs/>
          <w:i/>
          <w:lang w:eastAsia="es-ES"/>
        </w:rPr>
        <w:t xml:space="preserve">estén con la calidad debida, para facilitar los </w:t>
      </w:r>
      <w:r w:rsidR="00F92C75">
        <w:rPr>
          <w:rFonts w:ascii="Bookman Old Style" w:eastAsia="Times New Roman" w:hAnsi="Bookman Old Style" w:cs="Arial"/>
          <w:bCs/>
          <w:i/>
          <w:lang w:eastAsia="es-ES"/>
        </w:rPr>
        <w:t xml:space="preserve">cálculos de capacidad máxima de </w:t>
      </w:r>
      <w:r w:rsidRPr="00755EED">
        <w:rPr>
          <w:rFonts w:ascii="Bookman Old Style" w:eastAsia="Times New Roman" w:hAnsi="Bookman Old Style" w:cs="Arial"/>
          <w:bCs/>
          <w:i/>
          <w:lang w:eastAsia="es-ES"/>
        </w:rPr>
        <w:t>compra, realizados por la Comisión de Regulación de Energía y Gas – CREG.</w:t>
      </w:r>
    </w:p>
    <w:p w14:paraId="3A5BD854" w14:textId="77777777" w:rsidR="00F92C75" w:rsidRPr="00755EED" w:rsidRDefault="00F92C75" w:rsidP="00AC037D">
      <w:pPr>
        <w:spacing w:after="0" w:line="240" w:lineRule="auto"/>
        <w:ind w:left="1134" w:right="-1"/>
        <w:jc w:val="both"/>
        <w:rPr>
          <w:rFonts w:ascii="Bookman Old Style" w:eastAsia="Times New Roman" w:hAnsi="Bookman Old Style" w:cs="Arial"/>
          <w:bCs/>
          <w:i/>
          <w:lang w:eastAsia="es-ES"/>
        </w:rPr>
      </w:pPr>
    </w:p>
    <w:p w14:paraId="7086D9F7" w14:textId="77777777" w:rsidR="00F92C75" w:rsidRPr="00F92C75" w:rsidRDefault="00F92C75" w:rsidP="00AC037D">
      <w:pPr>
        <w:spacing w:after="0" w:line="240" w:lineRule="auto"/>
        <w:ind w:left="1134" w:right="-1"/>
        <w:jc w:val="both"/>
        <w:rPr>
          <w:rFonts w:ascii="Bookman Old Style" w:eastAsia="Times New Roman" w:hAnsi="Bookman Old Style" w:cs="Arial"/>
          <w:bCs/>
          <w:i/>
          <w:lang w:eastAsia="es-ES"/>
        </w:rPr>
      </w:pPr>
      <w:r w:rsidRPr="00F92C75">
        <w:rPr>
          <w:rFonts w:ascii="Bookman Old Style" w:eastAsia="Times New Roman" w:hAnsi="Bookman Old Style" w:cs="Arial"/>
          <w:bCs/>
          <w:i/>
          <w:lang w:eastAsia="es-ES"/>
        </w:rPr>
        <w:t>Finalmente, es oportuno señalar que la información que se encuentre certificada en el</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SUI, será la suministrada a la CREG para la defin</w:t>
      </w:r>
      <w:r>
        <w:rPr>
          <w:rFonts w:ascii="Bookman Old Style" w:eastAsia="Times New Roman" w:hAnsi="Bookman Old Style" w:cs="Arial"/>
          <w:bCs/>
          <w:i/>
          <w:lang w:eastAsia="es-ES"/>
        </w:rPr>
        <w:t xml:space="preserve">ición de la capacidad máxima de </w:t>
      </w:r>
      <w:r w:rsidRPr="00F92C75">
        <w:rPr>
          <w:rFonts w:ascii="Bookman Old Style" w:eastAsia="Times New Roman" w:hAnsi="Bookman Old Style" w:cs="Arial"/>
          <w:bCs/>
          <w:i/>
          <w:lang w:eastAsia="es-ES"/>
        </w:rPr>
        <w:t>compra.</w:t>
      </w:r>
    </w:p>
    <w:p w14:paraId="0064D591" w14:textId="77777777" w:rsidR="00755EED" w:rsidRPr="00755EED" w:rsidRDefault="00F92C75" w:rsidP="00AC037D">
      <w:pPr>
        <w:spacing w:after="0" w:line="240" w:lineRule="auto"/>
        <w:ind w:left="1134" w:right="-1"/>
        <w:jc w:val="both"/>
        <w:rPr>
          <w:rFonts w:ascii="Bookman Old Style" w:eastAsia="Times New Roman" w:hAnsi="Bookman Old Style" w:cs="Arial"/>
          <w:bCs/>
          <w:i/>
          <w:lang w:eastAsia="es-ES"/>
        </w:rPr>
      </w:pPr>
      <w:r w:rsidRPr="00F92C75">
        <w:rPr>
          <w:rFonts w:ascii="Bookman Old Style" w:eastAsia="Times New Roman" w:hAnsi="Bookman Old Style" w:cs="Arial"/>
          <w:bCs/>
          <w:i/>
          <w:lang w:eastAsia="es-ES"/>
        </w:rPr>
        <w:t>(…)”. (Subrayado fuera de texto).</w:t>
      </w:r>
    </w:p>
    <w:p w14:paraId="3761C077" w14:textId="77777777" w:rsidR="00755EED" w:rsidRDefault="00755EED" w:rsidP="00AC037D">
      <w:pPr>
        <w:spacing w:after="0" w:line="240" w:lineRule="auto"/>
        <w:ind w:left="-142" w:right="-1"/>
        <w:jc w:val="center"/>
        <w:rPr>
          <w:rFonts w:ascii="ArialMT" w:hAnsi="ArialMT" w:cs="ArialMT"/>
          <w:color w:val="000000"/>
          <w:sz w:val="20"/>
          <w:szCs w:val="20"/>
        </w:rPr>
      </w:pPr>
    </w:p>
    <w:p w14:paraId="3C217631" w14:textId="77777777" w:rsidR="00755EED" w:rsidRPr="00F92C75" w:rsidRDefault="00F92C75" w:rsidP="00AC037D">
      <w:pPr>
        <w:pStyle w:val="Prrafodelista"/>
        <w:numPr>
          <w:ilvl w:val="0"/>
          <w:numId w:val="22"/>
        </w:numPr>
        <w:spacing w:after="0" w:line="240" w:lineRule="auto"/>
        <w:ind w:right="-1"/>
        <w:jc w:val="both"/>
        <w:rPr>
          <w:rFonts w:ascii="Bookman Old Style" w:eastAsia="Times New Roman" w:hAnsi="Bookman Old Style" w:cs="Arial"/>
          <w:bCs/>
          <w:i/>
          <w:lang w:eastAsia="es-ES"/>
        </w:rPr>
      </w:pPr>
      <w:r w:rsidRPr="00F92C75">
        <w:rPr>
          <w:rFonts w:ascii="Bookman Old Style" w:eastAsia="Times New Roman" w:hAnsi="Bookman Old Style" w:cs="Arial"/>
          <w:bCs/>
          <w:i/>
          <w:lang w:eastAsia="es-ES"/>
        </w:rPr>
        <w:t>La Dirección Técnica de Gestión de Gas Combustible – DTGGC, para dar respuesta al Auto</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decreto de pruebas de oficio, procedió a verificar el día 26 de mayo de 2020, la información</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que ha sido certificada por la empresa MONTAGAS S.A. E.S.P., a través del Formato C10</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“Información Tanques Estacionarios” del primer trimestre del 2020, encontrando que esta</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certificó el pasado 15 de abril del 2020, un total de 3.374 tanques, representando así, una</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capacidad total de 887.196 Galones; y para el Formato (6009) “Información Técnica del</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Parque de Cilindros Marcados” y de la información del Sistema de Información de Cilindros</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Marcados – SICMA, se encontró la siguiente relación de cilindros, con sus respectivas</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presentaciones, en los cargue realizados por la empresa al SUI, hasta el mes de abril del</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presente año.</w:t>
      </w:r>
    </w:p>
    <w:p w14:paraId="6ABFF94F" w14:textId="77777777" w:rsidR="00755EED" w:rsidRDefault="00F92C75" w:rsidP="00AC037D">
      <w:pPr>
        <w:spacing w:after="0" w:line="240" w:lineRule="auto"/>
        <w:ind w:left="-142" w:right="-1"/>
        <w:jc w:val="center"/>
        <w:rPr>
          <w:rFonts w:ascii="ArialMT" w:hAnsi="ArialMT" w:cs="ArialMT"/>
          <w:color w:val="000000"/>
          <w:sz w:val="20"/>
          <w:szCs w:val="20"/>
        </w:rPr>
      </w:pPr>
      <w:r>
        <w:rPr>
          <w:rFonts w:ascii="ArialMT" w:hAnsi="ArialMT" w:cs="ArialMT"/>
          <w:noProof/>
          <w:color w:val="000000"/>
          <w:sz w:val="20"/>
          <w:szCs w:val="20"/>
          <w:lang w:eastAsia="es-CO"/>
        </w:rPr>
        <w:drawing>
          <wp:inline distT="0" distB="0" distL="0" distR="0" wp14:anchorId="25925BA0" wp14:editId="7AD1D22D">
            <wp:extent cx="3763158" cy="2582265"/>
            <wp:effectExtent l="0" t="0" r="889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4881" cy="2590309"/>
                    </a:xfrm>
                    <a:prstGeom prst="rect">
                      <a:avLst/>
                    </a:prstGeom>
                    <a:noFill/>
                    <a:ln>
                      <a:noFill/>
                    </a:ln>
                  </pic:spPr>
                </pic:pic>
              </a:graphicData>
            </a:graphic>
          </wp:inline>
        </w:drawing>
      </w:r>
    </w:p>
    <w:p w14:paraId="61CC3ECA" w14:textId="77777777" w:rsidR="00755EED" w:rsidRDefault="00755EED" w:rsidP="00AC037D">
      <w:pPr>
        <w:spacing w:after="0" w:line="240" w:lineRule="auto"/>
        <w:ind w:right="-1"/>
        <w:rPr>
          <w:rFonts w:ascii="ArialMT" w:hAnsi="ArialMT" w:cs="ArialMT"/>
          <w:color w:val="000000"/>
          <w:sz w:val="20"/>
          <w:szCs w:val="20"/>
        </w:rPr>
      </w:pPr>
    </w:p>
    <w:p w14:paraId="7391A538" w14:textId="77777777" w:rsidR="00755EED" w:rsidRPr="00F92C75" w:rsidRDefault="00F92C75" w:rsidP="00AC037D">
      <w:pPr>
        <w:spacing w:after="0" w:line="240" w:lineRule="auto"/>
        <w:ind w:left="567" w:right="-1"/>
        <w:jc w:val="both"/>
        <w:rPr>
          <w:rFonts w:ascii="Bookman Old Style" w:eastAsia="Times New Roman" w:hAnsi="Bookman Old Style" w:cs="Arial"/>
          <w:bCs/>
          <w:i/>
          <w:lang w:eastAsia="es-ES"/>
        </w:rPr>
      </w:pPr>
      <w:r w:rsidRPr="00F92C75">
        <w:rPr>
          <w:rFonts w:ascii="Bookman Old Style" w:eastAsia="Times New Roman" w:hAnsi="Bookman Old Style" w:cs="Arial"/>
          <w:bCs/>
          <w:i/>
          <w:lang w:eastAsia="es-ES"/>
        </w:rPr>
        <w:t>En este punto, queremos precisar que la anterior información no fue suministrada a la CREG en la</w:t>
      </w:r>
      <w:r>
        <w:rPr>
          <w:rFonts w:ascii="Bookman Old Style" w:eastAsia="Times New Roman" w:hAnsi="Bookman Old Style" w:cs="Arial"/>
          <w:bCs/>
          <w:i/>
          <w:lang w:eastAsia="es-ES"/>
        </w:rPr>
        <w:t xml:space="preserve"> </w:t>
      </w:r>
      <w:r w:rsidRPr="00F92C75">
        <w:rPr>
          <w:rFonts w:ascii="Bookman Old Style" w:eastAsia="Times New Roman" w:hAnsi="Bookman Old Style" w:cs="Arial"/>
          <w:bCs/>
          <w:i/>
          <w:lang w:eastAsia="es-ES"/>
        </w:rPr>
        <w:t>comunicación enviada el pasado 17 de marzo de 2020, teniendo en</w:t>
      </w:r>
      <w:r>
        <w:rPr>
          <w:rFonts w:ascii="Bookman Old Style" w:eastAsia="Times New Roman" w:hAnsi="Bookman Old Style" w:cs="Arial"/>
          <w:bCs/>
          <w:i/>
          <w:lang w:eastAsia="es-ES"/>
        </w:rPr>
        <w:t xml:space="preserve"> cuenta que a la fecha de corte </w:t>
      </w:r>
      <w:r w:rsidRPr="00F92C75">
        <w:rPr>
          <w:rFonts w:ascii="Bookman Old Style" w:eastAsia="Times New Roman" w:hAnsi="Bookman Old Style" w:cs="Arial"/>
          <w:bCs/>
          <w:i/>
          <w:lang w:eastAsia="es-ES"/>
        </w:rPr>
        <w:t>de consulta de información (16 de marzo de 2020), los Formatos C10 “Informa</w:t>
      </w:r>
      <w:r>
        <w:rPr>
          <w:rFonts w:ascii="Bookman Old Style" w:eastAsia="Times New Roman" w:hAnsi="Bookman Old Style" w:cs="Arial"/>
          <w:bCs/>
          <w:i/>
          <w:lang w:eastAsia="es-ES"/>
        </w:rPr>
        <w:t xml:space="preserve">ción Tanques </w:t>
      </w:r>
      <w:r w:rsidRPr="00F92C75">
        <w:rPr>
          <w:rFonts w:ascii="Bookman Old Style" w:eastAsia="Times New Roman" w:hAnsi="Bookman Old Style" w:cs="Arial"/>
          <w:bCs/>
          <w:i/>
          <w:lang w:eastAsia="es-ES"/>
        </w:rPr>
        <w:t xml:space="preserve">Estacionarios” del primer trimestre del 2020, y (6009) “Información </w:t>
      </w:r>
      <w:r>
        <w:rPr>
          <w:rFonts w:ascii="Bookman Old Style" w:eastAsia="Times New Roman" w:hAnsi="Bookman Old Style" w:cs="Arial"/>
          <w:bCs/>
          <w:i/>
          <w:lang w:eastAsia="es-ES"/>
        </w:rPr>
        <w:t xml:space="preserve">Técnica del Parque de Cilindros </w:t>
      </w:r>
      <w:r w:rsidRPr="00F92C75">
        <w:rPr>
          <w:rFonts w:ascii="Bookman Old Style" w:eastAsia="Times New Roman" w:hAnsi="Bookman Old Style" w:cs="Arial"/>
          <w:bCs/>
          <w:i/>
          <w:lang w:eastAsia="es-ES"/>
        </w:rPr>
        <w:t>Marcados” de marzo y abril del 2020, no se encontraban habilitado</w:t>
      </w:r>
      <w:r>
        <w:rPr>
          <w:rFonts w:ascii="Bookman Old Style" w:eastAsia="Times New Roman" w:hAnsi="Bookman Old Style" w:cs="Arial"/>
          <w:bCs/>
          <w:i/>
          <w:lang w:eastAsia="es-ES"/>
        </w:rPr>
        <w:t xml:space="preserve">s para ningún prestador, ya que </w:t>
      </w:r>
      <w:r w:rsidRPr="00F92C75">
        <w:rPr>
          <w:rFonts w:ascii="Bookman Old Style" w:eastAsia="Times New Roman" w:hAnsi="Bookman Old Style" w:cs="Arial"/>
          <w:bCs/>
          <w:i/>
          <w:lang w:eastAsia="es-ES"/>
        </w:rPr>
        <w:t>estos se habilitan mes o trimestre vencido, esto es, primer día del siguiente periodo.</w:t>
      </w:r>
    </w:p>
    <w:p w14:paraId="357C4D61" w14:textId="77777777" w:rsidR="00755EED" w:rsidRPr="00AC037D" w:rsidRDefault="00755EED" w:rsidP="00AC037D">
      <w:pPr>
        <w:spacing w:after="0" w:line="240" w:lineRule="auto"/>
        <w:ind w:left="-142" w:right="-1"/>
        <w:jc w:val="center"/>
        <w:rPr>
          <w:rFonts w:ascii="ArialMT" w:hAnsi="ArialMT" w:cs="ArialMT"/>
          <w:color w:val="000000"/>
          <w:sz w:val="32"/>
          <w:szCs w:val="32"/>
        </w:rPr>
      </w:pPr>
    </w:p>
    <w:p w14:paraId="3DBCA3CF" w14:textId="0BCB8227" w:rsidR="00C20A19" w:rsidRDefault="00B70BA2" w:rsidP="00AC037D">
      <w:pPr>
        <w:spacing w:after="0" w:line="240" w:lineRule="auto"/>
        <w:ind w:left="-142" w:right="-1"/>
        <w:jc w:val="both"/>
        <w:rPr>
          <w:rFonts w:ascii="Bookman Old Style" w:hAnsi="Bookman Old Style" w:cs="Arial"/>
          <w:sz w:val="24"/>
          <w:szCs w:val="24"/>
          <w:lang w:val="es-MX"/>
        </w:rPr>
      </w:pPr>
      <w:r>
        <w:rPr>
          <w:rFonts w:ascii="Bookman Old Style" w:eastAsia="Times New Roman" w:hAnsi="Bookman Old Style" w:cs="Times New Roman"/>
          <w:sz w:val="24"/>
          <w:szCs w:val="24"/>
          <w:lang w:val="es-ES" w:eastAsia="es-ES"/>
        </w:rPr>
        <w:t>D</w:t>
      </w:r>
      <w:r w:rsidR="00C20A19">
        <w:rPr>
          <w:rFonts w:ascii="Bookman Old Style" w:eastAsia="Times New Roman" w:hAnsi="Bookman Old Style" w:cs="Times New Roman"/>
          <w:sz w:val="24"/>
          <w:szCs w:val="24"/>
          <w:lang w:val="es-ES" w:eastAsia="es-ES"/>
        </w:rPr>
        <w:t xml:space="preserve">ebe resaltarse que </w:t>
      </w:r>
      <w:r w:rsidR="00C20A19" w:rsidRPr="004357F1">
        <w:rPr>
          <w:rFonts w:ascii="Bookman Old Style" w:hAnsi="Bookman Old Style" w:cs="Arial"/>
          <w:sz w:val="24"/>
          <w:szCs w:val="24"/>
          <w:lang w:val="es-MX"/>
        </w:rPr>
        <w:t>los argumentos</w:t>
      </w:r>
      <w:r w:rsidR="00C20A19">
        <w:rPr>
          <w:rFonts w:ascii="Bookman Old Style" w:hAnsi="Bookman Old Style" w:cs="Arial"/>
          <w:sz w:val="24"/>
          <w:szCs w:val="24"/>
          <w:lang w:val="es-MX"/>
        </w:rPr>
        <w:t xml:space="preserve"> expuestos por </w:t>
      </w:r>
      <w:r w:rsidR="00C20A19" w:rsidRPr="004357F1">
        <w:rPr>
          <w:rFonts w:ascii="Bookman Old Style" w:hAnsi="Bookman Old Style" w:cs="Arial"/>
          <w:sz w:val="24"/>
          <w:szCs w:val="24"/>
          <w:lang w:val="es-MX"/>
        </w:rPr>
        <w:t>la empresa</w:t>
      </w:r>
      <w:r w:rsidR="003B3CE6">
        <w:rPr>
          <w:rFonts w:ascii="Bookman Old Style" w:hAnsi="Bookman Old Style" w:cs="Arial"/>
          <w:sz w:val="24"/>
          <w:szCs w:val="24"/>
          <w:lang w:val="es-MX"/>
        </w:rPr>
        <w:t>,</w:t>
      </w:r>
      <w:r w:rsidR="00C20A19" w:rsidRPr="004357F1">
        <w:rPr>
          <w:rFonts w:ascii="Bookman Old Style" w:hAnsi="Bookman Old Style" w:cs="Arial"/>
          <w:sz w:val="24"/>
          <w:szCs w:val="24"/>
          <w:lang w:val="es-MX"/>
        </w:rPr>
        <w:t xml:space="preserve"> y la información en que se soporta</w:t>
      </w:r>
      <w:r w:rsidR="003B3CE6">
        <w:rPr>
          <w:rFonts w:ascii="Bookman Old Style" w:hAnsi="Bookman Old Style" w:cs="Arial"/>
          <w:sz w:val="24"/>
          <w:szCs w:val="24"/>
          <w:lang w:val="es-MX"/>
        </w:rPr>
        <w:t>,</w:t>
      </w:r>
      <w:r w:rsidR="00C20A19" w:rsidRPr="004357F1">
        <w:rPr>
          <w:rFonts w:ascii="Bookman Old Style" w:hAnsi="Bookman Old Style" w:cs="Arial"/>
          <w:sz w:val="24"/>
          <w:szCs w:val="24"/>
          <w:lang w:val="es-MX"/>
        </w:rPr>
        <w:t xml:space="preserve"> no son procedentes a efectos de modificar lo resuelto en la Resolución CREG 0</w:t>
      </w:r>
      <w:r w:rsidR="00C20A19">
        <w:rPr>
          <w:rFonts w:ascii="Bookman Old Style" w:hAnsi="Bookman Old Style" w:cs="Arial"/>
          <w:sz w:val="24"/>
          <w:szCs w:val="24"/>
          <w:lang w:val="es-MX"/>
        </w:rPr>
        <w:t>70</w:t>
      </w:r>
      <w:r w:rsidR="00C20A19" w:rsidRPr="004357F1">
        <w:rPr>
          <w:rFonts w:ascii="Bookman Old Style" w:hAnsi="Bookman Old Style" w:cs="Arial"/>
          <w:sz w:val="24"/>
          <w:szCs w:val="24"/>
          <w:lang w:val="es-MX"/>
        </w:rPr>
        <w:t xml:space="preserve"> de 20</w:t>
      </w:r>
      <w:r w:rsidR="00C20A19">
        <w:rPr>
          <w:rFonts w:ascii="Bookman Old Style" w:hAnsi="Bookman Old Style" w:cs="Arial"/>
          <w:sz w:val="24"/>
          <w:szCs w:val="24"/>
          <w:lang w:val="es-MX"/>
        </w:rPr>
        <w:t>20</w:t>
      </w:r>
      <w:r w:rsidR="00C20A19" w:rsidRPr="004357F1">
        <w:rPr>
          <w:rFonts w:ascii="Bookman Old Style" w:hAnsi="Bookman Old Style" w:cs="Arial"/>
          <w:sz w:val="24"/>
          <w:szCs w:val="24"/>
          <w:lang w:val="es-MX"/>
        </w:rPr>
        <w:t xml:space="preserve">, toda vez que la información del SUI en materia de </w:t>
      </w:r>
      <w:r w:rsidR="00C20A19" w:rsidRPr="00F527A6">
        <w:rPr>
          <w:rFonts w:ascii="Bookman Old Style" w:hAnsi="Bookman Old Style" w:cs="Arial"/>
          <w:sz w:val="24"/>
          <w:szCs w:val="24"/>
          <w:lang w:val="es-MX"/>
        </w:rPr>
        <w:t xml:space="preserve">tanques estacionarios </w:t>
      </w:r>
      <w:r w:rsidRPr="00F527A6">
        <w:rPr>
          <w:rFonts w:ascii="Bookman Old Style" w:hAnsi="Bookman Old Style" w:cs="Arial"/>
          <w:sz w:val="24"/>
          <w:szCs w:val="24"/>
          <w:lang w:val="es-MX"/>
        </w:rPr>
        <w:t>y cilindros</w:t>
      </w:r>
      <w:r>
        <w:rPr>
          <w:rFonts w:ascii="Bookman Old Style" w:hAnsi="Bookman Old Style" w:cs="Arial"/>
          <w:sz w:val="24"/>
          <w:szCs w:val="24"/>
          <w:lang w:val="es-MX"/>
        </w:rPr>
        <w:t xml:space="preserve"> </w:t>
      </w:r>
      <w:r w:rsidR="00C20A19" w:rsidRPr="004357F1">
        <w:rPr>
          <w:rFonts w:ascii="Bookman Old Style" w:hAnsi="Bookman Old Style" w:cs="Arial"/>
          <w:sz w:val="24"/>
          <w:szCs w:val="24"/>
          <w:lang w:val="es-MX"/>
        </w:rPr>
        <w:t>debió ser reportada a la Superintendencia de Servicios Públicos Domiciliarios en cumplimiento de las obligaciones previstas en la Ley</w:t>
      </w:r>
      <w:r w:rsidR="00C20A19">
        <w:rPr>
          <w:rFonts w:ascii="Bookman Old Style" w:hAnsi="Bookman Old Style" w:cs="Arial"/>
          <w:sz w:val="24"/>
          <w:szCs w:val="24"/>
          <w:lang w:val="es-MX"/>
        </w:rPr>
        <w:t>,</w:t>
      </w:r>
      <w:r w:rsidR="00C20A19" w:rsidRPr="004357F1">
        <w:rPr>
          <w:rFonts w:ascii="Bookman Old Style" w:hAnsi="Bookman Old Style" w:cs="Arial"/>
          <w:sz w:val="24"/>
          <w:szCs w:val="24"/>
          <w:lang w:val="es-MX"/>
        </w:rPr>
        <w:t xml:space="preserve"> la regulación </w:t>
      </w:r>
      <w:r w:rsidR="00C20A19">
        <w:rPr>
          <w:rFonts w:ascii="Bookman Old Style" w:hAnsi="Bookman Old Style" w:cs="Arial"/>
          <w:sz w:val="24"/>
          <w:szCs w:val="24"/>
          <w:lang w:val="es-MX"/>
        </w:rPr>
        <w:t>y las circulares conjuntas expedidas por la CREG y la SSPD</w:t>
      </w:r>
      <w:r w:rsidR="00C20A19" w:rsidRPr="004357F1">
        <w:rPr>
          <w:rFonts w:ascii="Bookman Old Style" w:hAnsi="Bookman Old Style" w:cs="Arial"/>
          <w:sz w:val="24"/>
          <w:szCs w:val="24"/>
          <w:lang w:val="es-MX"/>
        </w:rPr>
        <w:t xml:space="preserve"> en materia de reporte de información, dentro de los términos y plazos previstos para el efecto. </w:t>
      </w:r>
    </w:p>
    <w:p w14:paraId="4996EADB" w14:textId="77777777" w:rsidR="00C20A19" w:rsidRPr="00F527A6" w:rsidRDefault="00C20A19" w:rsidP="00AC037D">
      <w:pPr>
        <w:spacing w:after="0" w:line="240" w:lineRule="auto"/>
        <w:ind w:left="-142" w:right="-1"/>
        <w:jc w:val="both"/>
        <w:rPr>
          <w:rFonts w:ascii="Bookman Old Style" w:eastAsia="Times New Roman" w:hAnsi="Bookman Old Style" w:cs="Times New Roman"/>
          <w:sz w:val="24"/>
          <w:szCs w:val="24"/>
          <w:lang w:val="es-MX" w:eastAsia="es-ES"/>
        </w:rPr>
      </w:pPr>
    </w:p>
    <w:p w14:paraId="1FB9DFF6" w14:textId="2468005E" w:rsidR="0056708D" w:rsidRPr="0056708D" w:rsidRDefault="0056708D" w:rsidP="00AC037D">
      <w:pPr>
        <w:spacing w:after="0" w:line="240" w:lineRule="auto"/>
        <w:ind w:left="-142" w:right="-1"/>
        <w:jc w:val="both"/>
        <w:rPr>
          <w:rFonts w:ascii="Bookman Old Style" w:eastAsia="Times New Roman" w:hAnsi="Bookman Old Style" w:cs="Times New Roman"/>
          <w:sz w:val="24"/>
          <w:szCs w:val="24"/>
          <w:lang w:val="es-MX" w:eastAsia="es-ES"/>
        </w:rPr>
      </w:pPr>
      <w:r w:rsidRPr="0056708D">
        <w:rPr>
          <w:rFonts w:ascii="Bookman Old Style" w:eastAsia="Times New Roman" w:hAnsi="Bookman Old Style" w:cs="Times New Roman"/>
          <w:sz w:val="24"/>
          <w:szCs w:val="24"/>
          <w:lang w:val="es-MX" w:eastAsia="es-ES"/>
        </w:rPr>
        <w:t xml:space="preserve">De acuerdo con lo anterior, esta Comisión entiende de lo establecido en </w:t>
      </w:r>
      <w:r>
        <w:rPr>
          <w:rFonts w:ascii="Bookman Old Style" w:eastAsia="Times New Roman" w:hAnsi="Bookman Old Style" w:cs="Times New Roman"/>
          <w:sz w:val="24"/>
          <w:szCs w:val="24"/>
          <w:lang w:val="es-MX" w:eastAsia="es-ES"/>
        </w:rPr>
        <w:t xml:space="preserve">el </w:t>
      </w:r>
      <w:r w:rsidRPr="004357F1">
        <w:rPr>
          <w:rFonts w:ascii="Bookman Old Style" w:hAnsi="Bookman Old Style" w:cs="Arial"/>
          <w:sz w:val="24"/>
          <w:szCs w:val="24"/>
          <w:lang w:val="es-MX"/>
        </w:rPr>
        <w:t>artículo 9 de la Resolución CREG 063 de 2016, ajustado por el artículo 1 de la Resolución CREG 227 de 2016</w:t>
      </w:r>
      <w:r>
        <w:rPr>
          <w:rFonts w:ascii="Bookman Old Style" w:hAnsi="Bookman Old Style" w:cs="Arial"/>
          <w:sz w:val="24"/>
          <w:szCs w:val="24"/>
          <w:lang w:val="es-MX"/>
        </w:rPr>
        <w:t>,</w:t>
      </w:r>
      <w:r w:rsidRPr="004357F1">
        <w:rPr>
          <w:rFonts w:ascii="Bookman Old Style" w:hAnsi="Bookman Old Style" w:cs="Arial"/>
          <w:sz w:val="24"/>
          <w:szCs w:val="24"/>
          <w:lang w:val="es-MX"/>
        </w:rPr>
        <w:t xml:space="preserve"> </w:t>
      </w:r>
      <w:r w:rsidRPr="0056708D">
        <w:rPr>
          <w:rFonts w:ascii="Bookman Old Style" w:eastAsia="Times New Roman" w:hAnsi="Bookman Old Style" w:cs="Times New Roman"/>
          <w:sz w:val="24"/>
          <w:szCs w:val="24"/>
          <w:lang w:val="es-MX" w:eastAsia="es-ES"/>
        </w:rPr>
        <w:t xml:space="preserve">que si la fecha en que se solicita esta información por parte de </w:t>
      </w:r>
      <w:r w:rsidRPr="0056708D">
        <w:rPr>
          <w:rFonts w:ascii="Bookman Old Style" w:eastAsia="Times New Roman" w:hAnsi="Bookman Old Style" w:cs="Times New Roman"/>
          <w:sz w:val="24"/>
          <w:szCs w:val="24"/>
          <w:lang w:val="es-MX" w:eastAsia="es-ES"/>
        </w:rPr>
        <w:lastRenderedPageBreak/>
        <w:t>la CREG es con posterioridad al 10 del mes, en el caso particular de las actuaciones administrativas para el segundo período de compra</w:t>
      </w:r>
      <w:r w:rsidR="003B3CE6">
        <w:rPr>
          <w:rFonts w:ascii="Bookman Old Style" w:eastAsia="Times New Roman" w:hAnsi="Bookman Old Style" w:cs="Times New Roman"/>
          <w:sz w:val="24"/>
          <w:szCs w:val="24"/>
          <w:lang w:val="es-MX" w:eastAsia="es-ES"/>
        </w:rPr>
        <w:t>,</w:t>
      </w:r>
      <w:r w:rsidR="00167328">
        <w:rPr>
          <w:rFonts w:ascii="Bookman Old Style" w:eastAsia="Times New Roman" w:hAnsi="Bookman Old Style" w:cs="Times New Roman"/>
          <w:sz w:val="24"/>
          <w:szCs w:val="24"/>
          <w:lang w:val="es-MX" w:eastAsia="es-ES"/>
        </w:rPr>
        <w:t xml:space="preserve"> dicho mes corresponde al mes de febrero</w:t>
      </w:r>
      <w:r w:rsidR="003B3CE6">
        <w:rPr>
          <w:rFonts w:ascii="Bookman Old Style" w:eastAsia="Times New Roman" w:hAnsi="Bookman Old Style" w:cs="Times New Roman"/>
          <w:sz w:val="24"/>
          <w:szCs w:val="24"/>
          <w:lang w:val="es-MX" w:eastAsia="es-ES"/>
        </w:rPr>
        <w:t>,</w:t>
      </w:r>
      <w:r w:rsidR="00167328">
        <w:rPr>
          <w:rFonts w:ascii="Bookman Old Style" w:eastAsia="Times New Roman" w:hAnsi="Bookman Old Style" w:cs="Times New Roman"/>
          <w:sz w:val="24"/>
          <w:szCs w:val="24"/>
          <w:lang w:val="es-MX" w:eastAsia="es-ES"/>
        </w:rPr>
        <w:t xml:space="preserve"> sin que supere el 10 del mes siguiente </w:t>
      </w:r>
      <w:r w:rsidR="00167328" w:rsidRPr="0056708D">
        <w:rPr>
          <w:rFonts w:ascii="Bookman Old Style" w:eastAsia="Times New Roman" w:hAnsi="Bookman Old Style" w:cs="Times New Roman"/>
          <w:sz w:val="24"/>
          <w:szCs w:val="24"/>
          <w:lang w:val="es-MX" w:eastAsia="es-ES"/>
        </w:rPr>
        <w:t>(</w:t>
      </w:r>
      <w:r w:rsidR="00FA625D">
        <w:rPr>
          <w:rFonts w:ascii="Bookman Old Style" w:eastAsia="Times New Roman" w:hAnsi="Bookman Old Style" w:cs="Times New Roman"/>
          <w:sz w:val="24"/>
          <w:szCs w:val="24"/>
          <w:lang w:val="es-MX" w:eastAsia="es-ES"/>
        </w:rPr>
        <w:t>i.e.</w:t>
      </w:r>
      <w:r w:rsidR="00167328" w:rsidRPr="0056708D">
        <w:rPr>
          <w:rFonts w:ascii="Bookman Old Style" w:eastAsia="Times New Roman" w:hAnsi="Bookman Old Style" w:cs="Times New Roman"/>
          <w:sz w:val="24"/>
          <w:szCs w:val="24"/>
          <w:lang w:val="es-MX" w:eastAsia="es-ES"/>
        </w:rPr>
        <w:t>marzo</w:t>
      </w:r>
      <w:r w:rsidR="00167328">
        <w:rPr>
          <w:rFonts w:ascii="Bookman Old Style" w:eastAsia="Times New Roman" w:hAnsi="Bookman Old Style" w:cs="Times New Roman"/>
          <w:sz w:val="24"/>
          <w:szCs w:val="24"/>
          <w:lang w:val="es-MX" w:eastAsia="es-ES"/>
        </w:rPr>
        <w:t xml:space="preserve">). </w:t>
      </w:r>
      <w:r w:rsidRPr="0056708D">
        <w:rPr>
          <w:rFonts w:ascii="Bookman Old Style" w:eastAsia="Times New Roman" w:hAnsi="Bookman Old Style" w:cs="Times New Roman"/>
          <w:sz w:val="24"/>
          <w:szCs w:val="24"/>
          <w:lang w:val="es-MX" w:eastAsia="es-ES"/>
        </w:rPr>
        <w:t>En este sentido, dicha información</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para el caso de las actuaciones administrativas del segundo período</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recoge el reporte de la información de activos</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tanto de tanques estacionarios</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de acuerdo con lo estipulado en la circular conjunta SSPD – CREG 001 de 2004, la cual tiene como fecha límite el 25 de enero de cada año, así como el reporte de información de cilindros, la cual tiene como plazo máximo el día 15 de cada mes</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de acuerdo con lo establecido en la Resolución SSPD 2014300040755 de 2014.</w:t>
      </w:r>
    </w:p>
    <w:p w14:paraId="172D88E3" w14:textId="4EB2CF2C" w:rsidR="00DD6832" w:rsidRDefault="0056708D" w:rsidP="00AC037D">
      <w:pPr>
        <w:spacing w:after="0" w:line="240" w:lineRule="auto"/>
        <w:ind w:left="-142" w:right="-1"/>
        <w:jc w:val="both"/>
        <w:rPr>
          <w:rFonts w:ascii="Bookman Old Style" w:eastAsia="Times New Roman" w:hAnsi="Bookman Old Style" w:cs="Times New Roman"/>
          <w:sz w:val="24"/>
          <w:szCs w:val="24"/>
          <w:lang w:val="es-MX" w:eastAsia="es-ES"/>
        </w:rPr>
      </w:pPr>
      <w:r w:rsidRPr="0056708D">
        <w:rPr>
          <w:rFonts w:ascii="Bookman Old Style" w:eastAsia="Times New Roman" w:hAnsi="Bookman Old Style" w:cs="Times New Roman"/>
          <w:sz w:val="24"/>
          <w:szCs w:val="24"/>
          <w:lang w:val="es-MX" w:eastAsia="es-ES"/>
        </w:rPr>
        <w:br/>
        <w:t>Esto, sin perjuicio de que</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dentro de la información que sea remitida a la Comisión por parte de la Superintendencia de Servicios Públicos Domiciliarios en atención a la solicitud que se realiza</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se incluyan modificaciones y/o ajustes al SUI que sean consideradas como ajustadas a las normas sobre reporte de información por parte de dicha superintendencia</w:t>
      </w:r>
      <w:r w:rsidR="00BA2E35">
        <w:rPr>
          <w:rFonts w:ascii="Bookman Old Style" w:eastAsia="Times New Roman" w:hAnsi="Bookman Old Style" w:cs="Times New Roman"/>
          <w:sz w:val="24"/>
          <w:szCs w:val="24"/>
          <w:lang w:val="es-MX" w:eastAsia="es-ES"/>
        </w:rPr>
        <w:t>,</w:t>
      </w:r>
      <w:r w:rsidRPr="0056708D">
        <w:rPr>
          <w:rFonts w:ascii="Bookman Old Style" w:eastAsia="Times New Roman" w:hAnsi="Bookman Old Style" w:cs="Times New Roman"/>
          <w:sz w:val="24"/>
          <w:szCs w:val="24"/>
          <w:lang w:val="es-MX" w:eastAsia="es-ES"/>
        </w:rPr>
        <w:t xml:space="preserve"> y corresponda a información válida dentro de este sistema de información.</w:t>
      </w:r>
      <w:r w:rsidR="00B70BA2">
        <w:rPr>
          <w:rFonts w:ascii="Bookman Old Style" w:eastAsia="Times New Roman" w:hAnsi="Bookman Old Style" w:cs="Times New Roman"/>
          <w:sz w:val="24"/>
          <w:szCs w:val="24"/>
          <w:lang w:val="es-MX" w:eastAsia="es-ES"/>
        </w:rPr>
        <w:t xml:space="preserve"> </w:t>
      </w:r>
      <w:r w:rsidR="00C0023B" w:rsidRPr="004357F1">
        <w:rPr>
          <w:rFonts w:ascii="Bookman Old Style" w:hAnsi="Bookman Old Style" w:cs="Arial"/>
          <w:sz w:val="24"/>
          <w:szCs w:val="24"/>
          <w:lang w:val="es-MX"/>
        </w:rPr>
        <w:t>Frente a esto último, tal como lo expone la Superintendencia de Servicios Públicos Domiciliarios en sus comunicaciones, esta tuvo en cuenta la información reportada al SUI a</w:t>
      </w:r>
      <w:r w:rsidR="00C0023B">
        <w:rPr>
          <w:rFonts w:ascii="Bookman Old Style" w:hAnsi="Bookman Old Style" w:cs="Arial"/>
          <w:sz w:val="24"/>
          <w:szCs w:val="24"/>
          <w:lang w:val="es-MX"/>
        </w:rPr>
        <w:t xml:space="preserve"> 16 de marzo de 2020. </w:t>
      </w:r>
    </w:p>
    <w:p w14:paraId="61B208BE" w14:textId="06063ACB" w:rsidR="00FA625D" w:rsidRDefault="00FA625D" w:rsidP="00AC037D">
      <w:pPr>
        <w:spacing w:after="0" w:line="240" w:lineRule="auto"/>
        <w:ind w:left="-142" w:right="-1"/>
        <w:jc w:val="both"/>
        <w:rPr>
          <w:rFonts w:ascii="Bookman Old Style" w:eastAsia="Times New Roman" w:hAnsi="Bookman Old Style" w:cs="Times New Roman"/>
          <w:sz w:val="24"/>
          <w:szCs w:val="24"/>
          <w:lang w:val="es-MX" w:eastAsia="es-ES"/>
        </w:rPr>
      </w:pPr>
    </w:p>
    <w:p w14:paraId="0EF867AA" w14:textId="124E236C" w:rsidR="00FA625D" w:rsidRPr="00FA625D" w:rsidRDefault="00FA625D" w:rsidP="00AC037D">
      <w:pPr>
        <w:spacing w:after="0" w:line="240" w:lineRule="auto"/>
        <w:ind w:left="-142" w:right="-1"/>
        <w:jc w:val="both"/>
        <w:rPr>
          <w:rFonts w:ascii="Bookman Old Style" w:eastAsia="Times New Roman" w:hAnsi="Bookman Old Style" w:cs="Times New Roman"/>
          <w:sz w:val="24"/>
          <w:szCs w:val="24"/>
          <w:lang w:val="es-MX" w:eastAsia="es-ES"/>
        </w:rPr>
      </w:pPr>
      <w:r>
        <w:rPr>
          <w:rFonts w:ascii="Bookman Old Style" w:eastAsia="Times New Roman" w:hAnsi="Bookman Old Style" w:cs="Times New Roman"/>
          <w:sz w:val="24"/>
          <w:szCs w:val="24"/>
          <w:lang w:val="es-MX" w:eastAsia="es-ES"/>
        </w:rPr>
        <w:t>Adicionalmente, debe señalarse que</w:t>
      </w:r>
      <w:r w:rsidR="00BA2E35">
        <w:rPr>
          <w:rFonts w:ascii="Bookman Old Style" w:eastAsia="Times New Roman" w:hAnsi="Bookman Old Style" w:cs="Times New Roman"/>
          <w:sz w:val="24"/>
          <w:szCs w:val="24"/>
          <w:lang w:val="es-MX" w:eastAsia="es-ES"/>
        </w:rPr>
        <w:t>,</w:t>
      </w:r>
      <w:r>
        <w:rPr>
          <w:rFonts w:ascii="Bookman Old Style" w:eastAsia="Times New Roman" w:hAnsi="Bookman Old Style" w:cs="Times New Roman"/>
          <w:sz w:val="24"/>
          <w:szCs w:val="24"/>
          <w:lang w:val="es-MX" w:eastAsia="es-ES"/>
        </w:rPr>
        <w:t xml:space="preserve"> en el desarrollo de las actuaciones administrativas y de las funciones asignadas</w:t>
      </w:r>
      <w:r w:rsidR="00BA2E35">
        <w:rPr>
          <w:rFonts w:ascii="Bookman Old Style" w:eastAsia="Times New Roman" w:hAnsi="Bookman Old Style" w:cs="Times New Roman"/>
          <w:sz w:val="24"/>
          <w:szCs w:val="24"/>
          <w:lang w:val="es-MX" w:eastAsia="es-ES"/>
        </w:rPr>
        <w:t>,</w:t>
      </w:r>
      <w:r>
        <w:rPr>
          <w:rFonts w:ascii="Bookman Old Style" w:eastAsia="Times New Roman" w:hAnsi="Bookman Old Style" w:cs="Times New Roman"/>
          <w:sz w:val="24"/>
          <w:szCs w:val="24"/>
          <w:lang w:val="es-MX" w:eastAsia="es-ES"/>
        </w:rPr>
        <w:t xml:space="preserve"> esta Comisión debe dar </w:t>
      </w:r>
      <w:r w:rsidRPr="00FA625D">
        <w:rPr>
          <w:rFonts w:ascii="Bookman Old Style" w:eastAsia="Times New Roman" w:hAnsi="Bookman Old Style" w:cs="Times New Roman"/>
          <w:sz w:val="24"/>
          <w:szCs w:val="24"/>
          <w:lang w:val="es-MX" w:eastAsia="es-ES"/>
        </w:rPr>
        <w:t>cumplimiento a los presupuestos y mandatos propios del principio de igualdad, materializados en materia de servicios públicos en el criterio de neutralidad del artículo 87 de la Ley 142 de 1994, como lo son el de dar un trato idéntico a destinatarios que se encuentren en circunstancias idénticas, así como el de dar un trato paritario a destinatarios cuyas situaciones presenten similitudes y diferencias, pero las similitudes sean más relevantes a pesar de las diferencias, como es el caso de los agentes distribuidores para efectos de la determinación de la capacidad de compra.</w:t>
      </w:r>
    </w:p>
    <w:p w14:paraId="2F23B9B7" w14:textId="23CF54D7" w:rsidR="00FA625D" w:rsidRDefault="00FA625D" w:rsidP="00AC037D">
      <w:pPr>
        <w:spacing w:after="0" w:line="240" w:lineRule="auto"/>
        <w:ind w:left="-142" w:right="-1"/>
        <w:jc w:val="both"/>
        <w:rPr>
          <w:rFonts w:ascii="Bookman Old Style" w:eastAsia="Times New Roman" w:hAnsi="Bookman Old Style" w:cs="Times New Roman"/>
          <w:sz w:val="24"/>
          <w:szCs w:val="24"/>
          <w:lang w:val="es-ES" w:eastAsia="es-ES"/>
        </w:rPr>
      </w:pPr>
      <w:r w:rsidRPr="004357F1">
        <w:rPr>
          <w:rFonts w:ascii="Bookman Old Style" w:eastAsia="Times New Roman" w:hAnsi="Bookman Old Style" w:cs="Times New Roman"/>
          <w:sz w:val="24"/>
          <w:szCs w:val="24"/>
          <w:lang w:val="es-MX" w:eastAsia="es-ES"/>
        </w:rPr>
        <w:br/>
      </w:r>
      <w:r>
        <w:rPr>
          <w:rFonts w:ascii="Bookman Old Style" w:eastAsia="Times New Roman" w:hAnsi="Bookman Old Style" w:cs="Times New Roman"/>
          <w:sz w:val="24"/>
          <w:szCs w:val="24"/>
          <w:lang w:val="es-MX" w:eastAsia="es-ES"/>
        </w:rPr>
        <w:t>En ese sentido</w:t>
      </w:r>
      <w:r w:rsidRPr="004357F1">
        <w:rPr>
          <w:rFonts w:ascii="Bookman Old Style" w:eastAsia="Times New Roman" w:hAnsi="Bookman Old Style" w:cs="Times New Roman"/>
          <w:sz w:val="24"/>
          <w:szCs w:val="24"/>
          <w:lang w:val="es-MX" w:eastAsia="es-ES"/>
        </w:rPr>
        <w:t xml:space="preserve">, </w:t>
      </w:r>
      <w:r>
        <w:rPr>
          <w:rFonts w:ascii="Bookman Old Style" w:eastAsia="Times New Roman" w:hAnsi="Bookman Old Style" w:cs="Times New Roman"/>
          <w:sz w:val="24"/>
          <w:szCs w:val="24"/>
          <w:lang w:val="es-MX" w:eastAsia="es-ES"/>
        </w:rPr>
        <w:t xml:space="preserve">no es procedente </w:t>
      </w:r>
      <w:r w:rsidRPr="004357F1">
        <w:rPr>
          <w:rFonts w:ascii="Bookman Old Style" w:eastAsia="Times New Roman" w:hAnsi="Bookman Old Style" w:cs="Times New Roman"/>
          <w:sz w:val="24"/>
          <w:szCs w:val="24"/>
          <w:lang w:val="es-MX" w:eastAsia="es-ES"/>
        </w:rPr>
        <w:t xml:space="preserve">tener en cuenta </w:t>
      </w:r>
      <w:r>
        <w:rPr>
          <w:rFonts w:ascii="Bookman Old Style" w:eastAsia="Times New Roman" w:hAnsi="Bookman Old Style" w:cs="Times New Roman"/>
          <w:sz w:val="24"/>
          <w:szCs w:val="24"/>
          <w:lang w:val="es-MX" w:eastAsia="es-ES"/>
        </w:rPr>
        <w:t xml:space="preserve">la </w:t>
      </w:r>
      <w:r w:rsidRPr="004357F1">
        <w:rPr>
          <w:rFonts w:ascii="Bookman Old Style" w:eastAsia="Times New Roman" w:hAnsi="Bookman Old Style" w:cs="Times New Roman"/>
          <w:sz w:val="24"/>
          <w:szCs w:val="24"/>
          <w:lang w:val="es-MX" w:eastAsia="es-ES"/>
        </w:rPr>
        <w:t xml:space="preserve">información </w:t>
      </w:r>
      <w:r>
        <w:rPr>
          <w:rFonts w:ascii="Bookman Old Style" w:eastAsia="Times New Roman" w:hAnsi="Bookman Old Style" w:cs="Times New Roman"/>
          <w:sz w:val="24"/>
          <w:szCs w:val="24"/>
          <w:lang w:val="es-MX" w:eastAsia="es-ES"/>
        </w:rPr>
        <w:t>presentada con el recurso por la empresa Montagas S.A E.S.P.</w:t>
      </w:r>
      <w:r w:rsidR="00BA2E35">
        <w:rPr>
          <w:rFonts w:ascii="Bookman Old Style" w:eastAsia="Times New Roman" w:hAnsi="Bookman Old Style" w:cs="Times New Roman"/>
          <w:sz w:val="24"/>
          <w:szCs w:val="24"/>
          <w:lang w:val="es-MX" w:eastAsia="es-ES"/>
        </w:rPr>
        <w:t>,</w:t>
      </w:r>
      <w:r>
        <w:rPr>
          <w:rFonts w:ascii="Bookman Old Style" w:eastAsia="Times New Roman" w:hAnsi="Bookman Old Style" w:cs="Times New Roman"/>
          <w:sz w:val="24"/>
          <w:szCs w:val="24"/>
          <w:lang w:val="es-MX" w:eastAsia="es-ES"/>
        </w:rPr>
        <w:t xml:space="preserve"> pues se </w:t>
      </w:r>
      <w:r w:rsidRPr="004357F1">
        <w:rPr>
          <w:rFonts w:ascii="Bookman Old Style" w:eastAsia="Times New Roman" w:hAnsi="Bookman Old Style" w:cs="Times New Roman"/>
          <w:sz w:val="24"/>
          <w:szCs w:val="24"/>
          <w:lang w:val="es-MX" w:eastAsia="es-ES"/>
        </w:rPr>
        <w:t>desconocería</w:t>
      </w:r>
      <w:r w:rsidR="00BA2E35">
        <w:rPr>
          <w:rFonts w:ascii="Bookman Old Style" w:eastAsia="Times New Roman" w:hAnsi="Bookman Old Style" w:cs="Times New Roman"/>
          <w:sz w:val="24"/>
          <w:szCs w:val="24"/>
          <w:lang w:val="es-MX" w:eastAsia="es-ES"/>
        </w:rPr>
        <w:t>n</w:t>
      </w:r>
      <w:r w:rsidRPr="004357F1">
        <w:rPr>
          <w:rFonts w:ascii="Bookman Old Style" w:eastAsia="Times New Roman" w:hAnsi="Bookman Old Style" w:cs="Times New Roman"/>
          <w:sz w:val="24"/>
          <w:szCs w:val="24"/>
          <w:lang w:val="es-MX" w:eastAsia="es-ES"/>
        </w:rPr>
        <w:t xml:space="preserve"> </w:t>
      </w:r>
      <w:r>
        <w:rPr>
          <w:rFonts w:ascii="Bookman Old Style" w:eastAsia="Times New Roman" w:hAnsi="Bookman Old Style" w:cs="Times New Roman"/>
          <w:sz w:val="24"/>
          <w:szCs w:val="24"/>
          <w:lang w:val="es-MX" w:eastAsia="es-ES"/>
        </w:rPr>
        <w:t xml:space="preserve">las </w:t>
      </w:r>
      <w:r w:rsidRPr="004357F1">
        <w:rPr>
          <w:rFonts w:ascii="Bookman Old Style" w:eastAsia="Times New Roman" w:hAnsi="Bookman Old Style" w:cs="Times New Roman"/>
          <w:sz w:val="24"/>
          <w:szCs w:val="24"/>
          <w:lang w:val="es-MX" w:eastAsia="es-ES"/>
        </w:rPr>
        <w:t>obligaciones 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lo cual iría igualmente en contra del principio general del derecho </w:t>
      </w:r>
      <w:r w:rsidRPr="004357F1">
        <w:rPr>
          <w:rFonts w:ascii="Bookman Old Style" w:eastAsia="Times New Roman" w:hAnsi="Bookman Old Style" w:cs="Times New Roman"/>
          <w:i/>
          <w:iCs/>
          <w:sz w:val="24"/>
          <w:szCs w:val="24"/>
          <w:lang w:val="es-MX" w:eastAsia="es-ES"/>
        </w:rPr>
        <w:t>nemo auditur propiam turpitudinem allegans</w:t>
      </w:r>
      <w:r w:rsidR="00BA2E35">
        <w:rPr>
          <w:rFonts w:ascii="Bookman Old Style" w:eastAsia="Times New Roman" w:hAnsi="Bookman Old Style" w:cs="Times New Roman"/>
          <w:i/>
          <w:iCs/>
          <w:sz w:val="24"/>
          <w:szCs w:val="24"/>
          <w:lang w:val="es-MX" w:eastAsia="es-ES"/>
        </w:rPr>
        <w:t>,</w:t>
      </w:r>
      <w:r w:rsidRPr="004357F1">
        <w:rPr>
          <w:rFonts w:ascii="Bookman Old Style" w:eastAsia="Times New Roman" w:hAnsi="Bookman Old Style" w:cs="Times New Roman"/>
          <w:sz w:val="24"/>
          <w:szCs w:val="24"/>
          <w:lang w:val="es-MX" w:eastAsia="es-ES"/>
        </w:rPr>
        <w:t> el cual hace referencia a que nadie puede alegar a su favor su propia culpa, atendiendo el alcance que la Ley 689 de 2001 le ha dado a la información del SUI.</w:t>
      </w:r>
    </w:p>
    <w:p w14:paraId="6EBCD184" w14:textId="5CBEB36E" w:rsidR="00DD6832" w:rsidRDefault="00DD6832" w:rsidP="00AC037D">
      <w:pPr>
        <w:spacing w:after="0" w:line="240" w:lineRule="auto"/>
        <w:ind w:left="-142" w:right="-1"/>
        <w:jc w:val="both"/>
        <w:rPr>
          <w:rFonts w:ascii="Bookman Old Style" w:eastAsia="Times New Roman" w:hAnsi="Bookman Old Style" w:cs="Times New Roman"/>
          <w:sz w:val="24"/>
          <w:szCs w:val="24"/>
          <w:lang w:val="es-ES" w:eastAsia="es-ES"/>
        </w:rPr>
      </w:pPr>
    </w:p>
    <w:p w14:paraId="449ED4E6" w14:textId="2D3EF7D8" w:rsidR="0056708D" w:rsidRDefault="0056708D" w:rsidP="00AC037D">
      <w:pPr>
        <w:spacing w:after="0" w:line="240" w:lineRule="auto"/>
        <w:ind w:left="-142" w:right="-1"/>
        <w:jc w:val="both"/>
        <w:rPr>
          <w:rFonts w:ascii="Bookman Old Style" w:eastAsia="Times New Roman" w:hAnsi="Bookman Old Style" w:cs="Times New Roman"/>
          <w:sz w:val="24"/>
          <w:szCs w:val="24"/>
          <w:lang w:eastAsia="es-ES"/>
        </w:rPr>
      </w:pPr>
      <w:r w:rsidRPr="0094182F">
        <w:rPr>
          <w:rFonts w:ascii="Bookman Old Style" w:eastAsia="Times New Roman" w:hAnsi="Bookman Old Style" w:cs="Times New Roman"/>
          <w:sz w:val="24"/>
          <w:szCs w:val="24"/>
          <w:lang w:val="es-ES" w:eastAsia="es-ES"/>
        </w:rPr>
        <w:t>De acuerdo con lo anterior</w:t>
      </w:r>
      <w:r w:rsidR="00BA2E35">
        <w:rPr>
          <w:rFonts w:ascii="Bookman Old Style" w:eastAsia="Times New Roman" w:hAnsi="Bookman Old Style" w:cs="Times New Roman"/>
          <w:sz w:val="24"/>
          <w:szCs w:val="24"/>
          <w:lang w:val="es-ES" w:eastAsia="es-ES"/>
        </w:rPr>
        <w:t>,</w:t>
      </w:r>
      <w:r w:rsidR="00FA625D">
        <w:rPr>
          <w:rFonts w:ascii="Bookman Old Style" w:eastAsia="Times New Roman" w:hAnsi="Bookman Old Style" w:cs="Times New Roman"/>
          <w:sz w:val="24"/>
          <w:szCs w:val="24"/>
          <w:lang w:val="es-ES" w:eastAsia="es-ES"/>
        </w:rPr>
        <w:t xml:space="preserve"> y</w:t>
      </w:r>
      <w:r w:rsidRPr="0094182F">
        <w:rPr>
          <w:rFonts w:ascii="Bookman Old Style" w:eastAsia="Times New Roman" w:hAnsi="Bookman Old Style" w:cs="Times New Roman"/>
          <w:sz w:val="24"/>
          <w:szCs w:val="24"/>
          <w:lang w:val="es-ES" w:eastAsia="es-ES"/>
        </w:rPr>
        <w:t xml:space="preserve"> en atención a lo expuesto por parte de la Superintendencia de Servicios Públicos Domiciliarios como resultado del decreto y práctica de pruebas llevadas a cabo por la CREG</w:t>
      </w:r>
      <w:r w:rsidR="00BA2E35">
        <w:rPr>
          <w:rFonts w:ascii="Bookman Old Style" w:eastAsia="Times New Roman" w:hAnsi="Bookman Old Style" w:cs="Times New Roman"/>
          <w:sz w:val="24"/>
          <w:szCs w:val="24"/>
          <w:lang w:val="es-ES" w:eastAsia="es-ES"/>
        </w:rPr>
        <w:t>,</w:t>
      </w:r>
      <w:r w:rsidRPr="0094182F">
        <w:rPr>
          <w:rFonts w:ascii="Bookman Old Style" w:eastAsia="Times New Roman" w:hAnsi="Bookman Old Style" w:cs="Times New Roman"/>
          <w:sz w:val="24"/>
          <w:szCs w:val="24"/>
          <w:lang w:val="es-ES" w:eastAsia="es-ES"/>
        </w:rPr>
        <w:t xml:space="preserve"> y la información reportada por dicha Entidad, se concluye</w:t>
      </w:r>
      <w:r w:rsidRPr="0094182F">
        <w:rPr>
          <w:rFonts w:ascii="Bookman Old Style" w:hAnsi="Bookman Old Style"/>
          <w:sz w:val="36"/>
          <w:szCs w:val="36"/>
          <w:shd w:val="clear" w:color="auto" w:fill="FFFFFF"/>
        </w:rPr>
        <w:t xml:space="preserve"> </w:t>
      </w:r>
      <w:r w:rsidRPr="0094182F">
        <w:rPr>
          <w:rFonts w:ascii="Bookman Old Style" w:hAnsi="Bookman Old Style"/>
          <w:sz w:val="24"/>
          <w:szCs w:val="24"/>
          <w:shd w:val="clear" w:color="auto" w:fill="FFFFFF"/>
        </w:rPr>
        <w:t>que la</w:t>
      </w:r>
      <w:r w:rsidRPr="0094182F">
        <w:rPr>
          <w:rFonts w:ascii="Bookman Old Style" w:eastAsia="Times New Roman" w:hAnsi="Bookman Old Style" w:cs="Times New Roman"/>
          <w:sz w:val="24"/>
          <w:szCs w:val="24"/>
          <w:lang w:eastAsia="es-ES"/>
        </w:rPr>
        <w:t xml:space="preserve"> definición de la capacidad de compra para la empresa Montagas S.A E.S.P. se llevó a cabo en debida forma</w:t>
      </w:r>
      <w:r w:rsidR="00BA2E35">
        <w:rPr>
          <w:rFonts w:ascii="Bookman Old Style" w:eastAsia="Times New Roman" w:hAnsi="Bookman Old Style" w:cs="Times New Roman"/>
          <w:sz w:val="24"/>
          <w:szCs w:val="24"/>
          <w:lang w:eastAsia="es-ES"/>
        </w:rPr>
        <w:t>,</w:t>
      </w:r>
      <w:r w:rsidRPr="0094182F">
        <w:rPr>
          <w:rFonts w:ascii="Bookman Old Style" w:eastAsia="Times New Roman" w:hAnsi="Bookman Old Style" w:cs="Times New Roman"/>
          <w:sz w:val="24"/>
          <w:szCs w:val="24"/>
          <w:lang w:eastAsia="es-ES"/>
        </w:rPr>
        <w:t xml:space="preserve"> atendiendo el procedimiento previsto en la Resolución CREG 063 de 2016 y la información del Sistema Único de Información</w:t>
      </w:r>
      <w:r w:rsidR="00BA2E35">
        <w:rPr>
          <w:rFonts w:ascii="Bookman Old Style" w:eastAsia="Times New Roman" w:hAnsi="Bookman Old Style" w:cs="Times New Roman"/>
          <w:sz w:val="24"/>
          <w:szCs w:val="24"/>
          <w:lang w:eastAsia="es-ES"/>
        </w:rPr>
        <w:t>,</w:t>
      </w:r>
      <w:r w:rsidRPr="0094182F">
        <w:rPr>
          <w:rFonts w:ascii="Bookman Old Style" w:eastAsia="Times New Roman" w:hAnsi="Bookman Old Style" w:cs="Times New Roman"/>
          <w:sz w:val="24"/>
          <w:szCs w:val="24"/>
          <w:lang w:eastAsia="es-ES"/>
        </w:rPr>
        <w:t xml:space="preserve"> SUI</w:t>
      </w:r>
      <w:r w:rsidR="00BA2E35">
        <w:rPr>
          <w:rFonts w:ascii="Bookman Old Style" w:eastAsia="Times New Roman" w:hAnsi="Bookman Old Style" w:cs="Times New Roman"/>
          <w:sz w:val="24"/>
          <w:szCs w:val="24"/>
          <w:lang w:eastAsia="es-ES"/>
        </w:rPr>
        <w:t>,</w:t>
      </w:r>
      <w:r w:rsidRPr="0094182F">
        <w:rPr>
          <w:rFonts w:ascii="Bookman Old Style" w:eastAsia="Times New Roman" w:hAnsi="Bookman Old Style" w:cs="Times New Roman"/>
          <w:sz w:val="24"/>
          <w:szCs w:val="24"/>
          <w:lang w:eastAsia="es-ES"/>
        </w:rPr>
        <w:t xml:space="preserve"> remitida por la Superintendencia de Servicios Públicos Domiciliarios</w:t>
      </w:r>
      <w:r>
        <w:rPr>
          <w:rFonts w:ascii="Bookman Old Style" w:eastAsia="Times New Roman" w:hAnsi="Bookman Old Style" w:cs="Times New Roman"/>
          <w:sz w:val="24"/>
          <w:szCs w:val="24"/>
          <w:lang w:eastAsia="es-ES"/>
        </w:rPr>
        <w:t xml:space="preserve"> con </w:t>
      </w:r>
      <w:r w:rsidRPr="00F527A6">
        <w:rPr>
          <w:rFonts w:ascii="Bookman Old Style" w:eastAsia="Times New Roman" w:hAnsi="Bookman Old Style" w:cs="Times New Roman"/>
          <w:sz w:val="24"/>
          <w:szCs w:val="24"/>
          <w:lang w:eastAsia="es-ES"/>
        </w:rPr>
        <w:t>fecha de corte 16 de marzo de 2020.</w:t>
      </w:r>
    </w:p>
    <w:p w14:paraId="1AF6742E" w14:textId="7BD3CDCB" w:rsidR="00DD6832" w:rsidRPr="00F527A6" w:rsidRDefault="00DD6832" w:rsidP="00AC037D">
      <w:pPr>
        <w:spacing w:after="0" w:line="240" w:lineRule="auto"/>
        <w:ind w:left="-142" w:right="-1"/>
        <w:jc w:val="both"/>
        <w:rPr>
          <w:rFonts w:ascii="Bookman Old Style" w:eastAsia="Times New Roman" w:hAnsi="Bookman Old Style" w:cs="Times New Roman"/>
          <w:sz w:val="24"/>
          <w:szCs w:val="24"/>
          <w:lang w:eastAsia="es-ES"/>
        </w:rPr>
      </w:pPr>
    </w:p>
    <w:p w14:paraId="4080BE2D" w14:textId="21DEA73E" w:rsidR="00D2042D" w:rsidRPr="00D2042D" w:rsidRDefault="00D2042D" w:rsidP="00AC037D">
      <w:pPr>
        <w:spacing w:after="0" w:line="240" w:lineRule="auto"/>
        <w:ind w:left="-142" w:right="-1"/>
        <w:jc w:val="both"/>
        <w:rPr>
          <w:rFonts w:ascii="Bookman Old Style" w:eastAsia="Times New Roman" w:hAnsi="Bookman Old Style" w:cs="Times New Roman"/>
          <w:sz w:val="24"/>
          <w:szCs w:val="24"/>
          <w:lang w:eastAsia="es-ES"/>
        </w:rPr>
      </w:pPr>
      <w:r w:rsidRPr="00D2042D">
        <w:rPr>
          <w:rFonts w:ascii="Bookman Old Style" w:eastAsia="Times New Roman" w:hAnsi="Bookman Old Style" w:cs="Times New Roman"/>
          <w:sz w:val="24"/>
          <w:szCs w:val="24"/>
          <w:lang w:val="es-MX" w:eastAsia="es-ES"/>
        </w:rPr>
        <w:lastRenderedPageBreak/>
        <w:t>En este sentido, los argumentos expuestos por la recurrente no son procedentes y</w:t>
      </w:r>
      <w:r w:rsidR="00BA2E35">
        <w:rPr>
          <w:rFonts w:ascii="Bookman Old Style" w:eastAsia="Times New Roman" w:hAnsi="Bookman Old Style" w:cs="Times New Roman"/>
          <w:sz w:val="24"/>
          <w:szCs w:val="24"/>
          <w:lang w:val="es-MX" w:eastAsia="es-ES"/>
        </w:rPr>
        <w:t>,</w:t>
      </w:r>
      <w:r w:rsidRPr="00D2042D">
        <w:rPr>
          <w:rFonts w:ascii="Bookman Old Style" w:eastAsia="Times New Roman" w:hAnsi="Bookman Old Style" w:cs="Times New Roman"/>
          <w:sz w:val="24"/>
          <w:szCs w:val="24"/>
          <w:lang w:val="es-MX" w:eastAsia="es-ES"/>
        </w:rPr>
        <w:t xml:space="preserve"> por tanto, no conllevan a modificar o revocar lo resuelto en la Resolución CREG 0</w:t>
      </w:r>
      <w:r>
        <w:rPr>
          <w:rFonts w:ascii="Bookman Old Style" w:eastAsia="Times New Roman" w:hAnsi="Bookman Old Style" w:cs="Times New Roman"/>
          <w:sz w:val="24"/>
          <w:szCs w:val="24"/>
          <w:lang w:val="es-MX" w:eastAsia="es-ES"/>
        </w:rPr>
        <w:t>70</w:t>
      </w:r>
      <w:r w:rsidRPr="00D2042D">
        <w:rPr>
          <w:rFonts w:ascii="Bookman Old Style" w:eastAsia="Times New Roman" w:hAnsi="Bookman Old Style" w:cs="Times New Roman"/>
          <w:sz w:val="24"/>
          <w:szCs w:val="24"/>
          <w:lang w:val="es-MX" w:eastAsia="es-ES"/>
        </w:rPr>
        <w:t xml:space="preserve"> de </w:t>
      </w:r>
      <w:r>
        <w:rPr>
          <w:rFonts w:ascii="Bookman Old Style" w:eastAsia="Times New Roman" w:hAnsi="Bookman Old Style" w:cs="Times New Roman"/>
          <w:sz w:val="24"/>
          <w:szCs w:val="24"/>
          <w:lang w:val="es-MX" w:eastAsia="es-ES"/>
        </w:rPr>
        <w:t xml:space="preserve">2020. </w:t>
      </w:r>
    </w:p>
    <w:p w14:paraId="1CE426EC" w14:textId="77777777" w:rsidR="0081625F" w:rsidRPr="00082D81" w:rsidRDefault="0081625F" w:rsidP="00AC037D">
      <w:pPr>
        <w:spacing w:after="0" w:line="240" w:lineRule="auto"/>
        <w:ind w:right="-1"/>
        <w:jc w:val="both"/>
        <w:rPr>
          <w:rFonts w:ascii="Bookman Old Style" w:eastAsia="Times New Roman" w:hAnsi="Bookman Old Style" w:cs="Times New Roman"/>
          <w:sz w:val="24"/>
          <w:szCs w:val="24"/>
          <w:lang w:val="es-ES" w:eastAsia="es-ES"/>
        </w:rPr>
      </w:pPr>
    </w:p>
    <w:p w14:paraId="77B5FD54" w14:textId="03751F7C" w:rsidR="0081625F" w:rsidRDefault="0081625F" w:rsidP="00AC037D">
      <w:pPr>
        <w:spacing w:after="0" w:line="240" w:lineRule="auto"/>
        <w:ind w:left="-142" w:right="-1"/>
        <w:jc w:val="both"/>
        <w:rPr>
          <w:rFonts w:ascii="Bookman Old Style" w:eastAsia="Times New Roman" w:hAnsi="Bookman Old Style" w:cs="Times New Roman"/>
          <w:sz w:val="24"/>
          <w:szCs w:val="24"/>
          <w:lang w:val="es-ES" w:eastAsia="es-ES"/>
        </w:rPr>
      </w:pPr>
      <w:r w:rsidRPr="00EC1D37">
        <w:rPr>
          <w:rFonts w:ascii="Bookman Old Style" w:eastAsia="Times New Roman" w:hAnsi="Bookman Old Style" w:cs="Times New Roman"/>
          <w:sz w:val="24"/>
          <w:szCs w:val="24"/>
          <w:lang w:val="es-ES" w:eastAsia="es-ES"/>
        </w:rPr>
        <w:t xml:space="preserve">La Comisión de Regulación de Energía y Gas, en su </w:t>
      </w:r>
      <w:r w:rsidRPr="009F716F">
        <w:rPr>
          <w:rFonts w:ascii="Bookman Old Style" w:eastAsia="Times New Roman" w:hAnsi="Bookman Old Style" w:cs="Times New Roman"/>
          <w:sz w:val="24"/>
          <w:szCs w:val="24"/>
          <w:lang w:val="es-ES" w:eastAsia="es-ES"/>
        </w:rPr>
        <w:t>sesión No.</w:t>
      </w:r>
      <w:r w:rsidR="00D2042D" w:rsidRPr="009F716F">
        <w:rPr>
          <w:rFonts w:ascii="Bookman Old Style" w:eastAsia="Times New Roman" w:hAnsi="Bookman Old Style" w:cs="Times New Roman"/>
          <w:sz w:val="24"/>
          <w:szCs w:val="24"/>
          <w:lang w:val="es-ES" w:eastAsia="es-ES"/>
        </w:rPr>
        <w:t xml:space="preserve"> </w:t>
      </w:r>
      <w:r w:rsidR="009F716F" w:rsidRPr="009F716F">
        <w:rPr>
          <w:rFonts w:ascii="Bookman Old Style" w:eastAsia="Times New Roman" w:hAnsi="Bookman Old Style" w:cs="Times New Roman"/>
          <w:sz w:val="24"/>
          <w:szCs w:val="24"/>
          <w:lang w:val="es-ES" w:eastAsia="es-ES"/>
        </w:rPr>
        <w:t>1016</w:t>
      </w:r>
      <w:r w:rsidRPr="009F716F">
        <w:rPr>
          <w:rFonts w:ascii="Bookman Old Style" w:eastAsia="Times New Roman" w:hAnsi="Bookman Old Style" w:cs="Times New Roman"/>
          <w:sz w:val="24"/>
          <w:szCs w:val="24"/>
          <w:lang w:val="es-ES" w:eastAsia="es-ES"/>
        </w:rPr>
        <w:t xml:space="preserve"> del </w:t>
      </w:r>
      <w:r w:rsidR="00D2042D" w:rsidRPr="009F716F">
        <w:rPr>
          <w:rFonts w:ascii="Bookman Old Style" w:eastAsia="Times New Roman" w:hAnsi="Bookman Old Style" w:cs="Times New Roman"/>
          <w:sz w:val="24"/>
          <w:szCs w:val="24"/>
          <w:lang w:val="es-ES" w:eastAsia="es-ES"/>
        </w:rPr>
        <w:t>11</w:t>
      </w:r>
      <w:r w:rsidR="00D2042D" w:rsidRPr="00082D8D">
        <w:rPr>
          <w:rFonts w:ascii="Bookman Old Style" w:eastAsia="Times New Roman" w:hAnsi="Bookman Old Style" w:cs="Times New Roman"/>
          <w:sz w:val="24"/>
          <w:szCs w:val="24"/>
          <w:lang w:val="es-ES" w:eastAsia="es-ES"/>
        </w:rPr>
        <w:t xml:space="preserve"> </w:t>
      </w:r>
      <w:r w:rsidRPr="00082D8D">
        <w:rPr>
          <w:rFonts w:ascii="Bookman Old Style" w:eastAsia="Times New Roman" w:hAnsi="Bookman Old Style" w:cs="Times New Roman"/>
          <w:sz w:val="24"/>
          <w:szCs w:val="24"/>
          <w:lang w:val="es-ES" w:eastAsia="es-ES"/>
        </w:rPr>
        <w:t xml:space="preserve">de </w:t>
      </w:r>
      <w:r w:rsidR="00082D8D" w:rsidRPr="00082D8D">
        <w:rPr>
          <w:rFonts w:ascii="Bookman Old Style" w:eastAsia="Times New Roman" w:hAnsi="Bookman Old Style" w:cs="Times New Roman"/>
          <w:sz w:val="24"/>
          <w:szCs w:val="24"/>
          <w:lang w:val="es-ES" w:eastAsia="es-ES"/>
        </w:rPr>
        <w:t>j</w:t>
      </w:r>
      <w:r w:rsidR="00502FF5">
        <w:rPr>
          <w:rFonts w:ascii="Bookman Old Style" w:eastAsia="Times New Roman" w:hAnsi="Bookman Old Style" w:cs="Times New Roman"/>
          <w:sz w:val="24"/>
          <w:szCs w:val="24"/>
          <w:lang w:val="es-ES" w:eastAsia="es-ES"/>
        </w:rPr>
        <w:t>unio de 2020</w:t>
      </w:r>
      <w:r w:rsidRPr="00082D8D">
        <w:rPr>
          <w:rFonts w:ascii="Bookman Old Style" w:eastAsia="Times New Roman" w:hAnsi="Bookman Old Style" w:cs="Times New Roman"/>
          <w:sz w:val="24"/>
          <w:szCs w:val="24"/>
          <w:lang w:val="es-ES" w:eastAsia="es-ES"/>
        </w:rPr>
        <w:t>, acordó expedir la presente resolución.</w:t>
      </w:r>
    </w:p>
    <w:p w14:paraId="3F459231" w14:textId="6B0639D7" w:rsidR="00AC037D" w:rsidRDefault="00AC037D" w:rsidP="00AC037D">
      <w:pPr>
        <w:spacing w:after="0" w:line="240" w:lineRule="auto"/>
        <w:ind w:left="-142" w:right="-1"/>
        <w:jc w:val="both"/>
        <w:rPr>
          <w:rFonts w:ascii="Bookman Old Style" w:eastAsia="Times New Roman" w:hAnsi="Bookman Old Style" w:cs="Times New Roman"/>
          <w:sz w:val="24"/>
          <w:szCs w:val="24"/>
          <w:lang w:val="es-ES" w:eastAsia="es-ES"/>
        </w:rPr>
      </w:pPr>
    </w:p>
    <w:p w14:paraId="7274B92A" w14:textId="77777777" w:rsidR="0081625F" w:rsidRPr="00082D81" w:rsidRDefault="0081625F" w:rsidP="00AC037D">
      <w:pPr>
        <w:tabs>
          <w:tab w:val="right" w:pos="9498"/>
        </w:tabs>
        <w:spacing w:after="0" w:line="240" w:lineRule="auto"/>
        <w:ind w:right="-1"/>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b/>
          <w:spacing w:val="80"/>
          <w:sz w:val="24"/>
          <w:szCs w:val="24"/>
          <w:lang w:val="es-ES" w:eastAsia="es-ES"/>
        </w:rPr>
        <w:t>RESUELVE</w:t>
      </w:r>
      <w:r w:rsidRPr="00082D81">
        <w:rPr>
          <w:rFonts w:ascii="Bookman Old Style" w:eastAsia="Times New Roman" w:hAnsi="Bookman Old Style" w:cs="Arial"/>
          <w:sz w:val="24"/>
          <w:szCs w:val="24"/>
          <w:lang w:val="es-ES" w:eastAsia="es-ES"/>
        </w:rPr>
        <w:t>:</w:t>
      </w:r>
    </w:p>
    <w:p w14:paraId="02F07620" w14:textId="77777777" w:rsidR="0081625F" w:rsidRPr="00082D81" w:rsidRDefault="0081625F" w:rsidP="00AC037D">
      <w:pPr>
        <w:spacing w:after="0" w:line="240" w:lineRule="auto"/>
        <w:ind w:right="-1"/>
        <w:jc w:val="both"/>
        <w:rPr>
          <w:rFonts w:ascii="Bookman Old Style" w:eastAsia="Times New Roman" w:hAnsi="Bookman Old Style" w:cs="Times New Roman"/>
          <w:sz w:val="24"/>
          <w:szCs w:val="24"/>
          <w:lang w:val="es-ES" w:eastAsia="es-ES"/>
        </w:rPr>
      </w:pPr>
    </w:p>
    <w:p w14:paraId="5DF05276" w14:textId="2ED1D475" w:rsidR="0081625F" w:rsidRDefault="0081625F" w:rsidP="00AC037D">
      <w:pPr>
        <w:spacing w:after="0" w:line="240" w:lineRule="auto"/>
        <w:ind w:left="-142" w:right="-1"/>
        <w:jc w:val="both"/>
        <w:rPr>
          <w:rFonts w:ascii="Bookman Old Style" w:eastAsia="Times New Roman" w:hAnsi="Bookman Old Style" w:cs="Times New Roman"/>
          <w:sz w:val="24"/>
          <w:szCs w:val="24"/>
          <w:lang w:eastAsia="es-ES"/>
        </w:rPr>
      </w:pPr>
      <w:r w:rsidRPr="00EC1D37">
        <w:rPr>
          <w:rFonts w:ascii="Bookman Old Style" w:eastAsia="Times New Roman" w:hAnsi="Bookman Old Style" w:cs="Times New Roman"/>
          <w:b/>
          <w:sz w:val="24"/>
          <w:szCs w:val="24"/>
          <w:lang w:val="es-ES" w:eastAsia="es-ES"/>
        </w:rPr>
        <w:t>Artículo 1.</w:t>
      </w:r>
      <w:r w:rsidRPr="00EC1D37">
        <w:rPr>
          <w:rFonts w:ascii="Bookman Old Style" w:eastAsia="Times New Roman" w:hAnsi="Bookman Old Style" w:cs="Times New Roman"/>
          <w:sz w:val="24"/>
          <w:szCs w:val="24"/>
          <w:lang w:val="es-ES" w:eastAsia="es-ES"/>
        </w:rPr>
        <w:t xml:space="preserve"> </w:t>
      </w:r>
      <w:r w:rsidR="00DD7CFF" w:rsidRPr="00DD7CFF">
        <w:rPr>
          <w:rFonts w:ascii="Bookman Old Style" w:eastAsia="Times New Roman" w:hAnsi="Bookman Old Style" w:cs="Times New Roman"/>
          <w:sz w:val="24"/>
          <w:szCs w:val="24"/>
          <w:lang w:eastAsia="es-ES"/>
        </w:rPr>
        <w:t>No reponer</w:t>
      </w:r>
      <w:r w:rsidR="00DD7CFF" w:rsidRPr="00DD7CFF">
        <w:rPr>
          <w:rFonts w:ascii="Bookman Old Style" w:eastAsia="Times New Roman" w:hAnsi="Bookman Old Style" w:cs="Times New Roman"/>
          <w:b/>
          <w:bCs/>
          <w:sz w:val="24"/>
          <w:szCs w:val="24"/>
          <w:lang w:eastAsia="es-ES"/>
        </w:rPr>
        <w:t> </w:t>
      </w:r>
      <w:r w:rsidR="00DD7CFF" w:rsidRPr="00DD7CFF">
        <w:rPr>
          <w:rFonts w:ascii="Bookman Old Style" w:eastAsia="Times New Roman" w:hAnsi="Bookman Old Style" w:cs="Times New Roman"/>
          <w:sz w:val="24"/>
          <w:szCs w:val="24"/>
          <w:lang w:eastAsia="es-ES"/>
        </w:rPr>
        <w:t>y confirmar en su integridad la Resolución CREG 0</w:t>
      </w:r>
      <w:r w:rsidR="00DD7CFF">
        <w:rPr>
          <w:rFonts w:ascii="Bookman Old Style" w:eastAsia="Times New Roman" w:hAnsi="Bookman Old Style" w:cs="Times New Roman"/>
          <w:sz w:val="24"/>
          <w:szCs w:val="24"/>
          <w:lang w:eastAsia="es-ES"/>
        </w:rPr>
        <w:t>70</w:t>
      </w:r>
      <w:r w:rsidR="00DD7CFF" w:rsidRPr="00DD7CFF">
        <w:rPr>
          <w:rFonts w:ascii="Bookman Old Style" w:eastAsia="Times New Roman" w:hAnsi="Bookman Old Style" w:cs="Times New Roman"/>
          <w:sz w:val="24"/>
          <w:szCs w:val="24"/>
          <w:lang w:eastAsia="es-ES"/>
        </w:rPr>
        <w:t xml:space="preserve"> de 20</w:t>
      </w:r>
      <w:r w:rsidR="00DD7CFF">
        <w:rPr>
          <w:rFonts w:ascii="Bookman Old Style" w:eastAsia="Times New Roman" w:hAnsi="Bookman Old Style" w:cs="Times New Roman"/>
          <w:sz w:val="24"/>
          <w:szCs w:val="24"/>
          <w:lang w:eastAsia="es-ES"/>
        </w:rPr>
        <w:t>20</w:t>
      </w:r>
      <w:r w:rsidR="00DD7CFF" w:rsidRPr="00DD7CFF">
        <w:rPr>
          <w:rFonts w:ascii="Bookman Old Style" w:eastAsia="Times New Roman" w:hAnsi="Bookman Old Style" w:cs="Times New Roman"/>
          <w:sz w:val="24"/>
          <w:szCs w:val="24"/>
          <w:lang w:eastAsia="es-ES"/>
        </w:rPr>
        <w:t xml:space="preserve"> en relación con la definición de la capacidad de compra de la empresa M</w:t>
      </w:r>
      <w:r w:rsidR="00DD7CFF">
        <w:rPr>
          <w:rFonts w:ascii="Bookman Old Style" w:eastAsia="Times New Roman" w:hAnsi="Bookman Old Style" w:cs="Times New Roman"/>
          <w:sz w:val="24"/>
          <w:szCs w:val="24"/>
          <w:lang w:eastAsia="es-ES"/>
        </w:rPr>
        <w:t xml:space="preserve">ontagas </w:t>
      </w:r>
      <w:r w:rsidR="00DD7CFF" w:rsidRPr="00DD7CFF">
        <w:rPr>
          <w:rFonts w:ascii="Bookman Old Style" w:eastAsia="Times New Roman" w:hAnsi="Bookman Old Style" w:cs="Times New Roman"/>
          <w:sz w:val="24"/>
          <w:szCs w:val="24"/>
          <w:lang w:eastAsia="es-ES"/>
        </w:rPr>
        <w:t>S.A</w:t>
      </w:r>
      <w:r w:rsidR="00DD7CFF">
        <w:rPr>
          <w:rFonts w:ascii="Bookman Old Style" w:eastAsia="Times New Roman" w:hAnsi="Bookman Old Style" w:cs="Times New Roman"/>
          <w:sz w:val="24"/>
          <w:szCs w:val="24"/>
          <w:lang w:eastAsia="es-ES"/>
        </w:rPr>
        <w:t>.</w:t>
      </w:r>
      <w:r w:rsidR="00DD7CFF" w:rsidRPr="00DD7CFF">
        <w:rPr>
          <w:rFonts w:ascii="Bookman Old Style" w:eastAsia="Times New Roman" w:hAnsi="Bookman Old Style" w:cs="Times New Roman"/>
          <w:sz w:val="24"/>
          <w:szCs w:val="24"/>
          <w:lang w:eastAsia="es-ES"/>
        </w:rPr>
        <w:t xml:space="preserve"> E.S.P.</w:t>
      </w:r>
      <w:r w:rsidR="00016A59">
        <w:rPr>
          <w:rFonts w:ascii="Bookman Old Style" w:eastAsia="Times New Roman" w:hAnsi="Bookman Old Style" w:cs="Times New Roman"/>
          <w:sz w:val="24"/>
          <w:szCs w:val="24"/>
          <w:lang w:eastAsia="es-ES"/>
        </w:rPr>
        <w:t>,</w:t>
      </w:r>
      <w:r w:rsidR="00DD7CFF" w:rsidRPr="00DD7CFF">
        <w:rPr>
          <w:rFonts w:ascii="Bookman Old Style" w:eastAsia="Times New Roman" w:hAnsi="Bookman Old Style" w:cs="Times New Roman"/>
          <w:sz w:val="24"/>
          <w:szCs w:val="24"/>
          <w:lang w:eastAsia="es-ES"/>
        </w:rPr>
        <w:t xml:space="preserve"> de acuerdo con la parte motiva de la presente Resolución.</w:t>
      </w:r>
    </w:p>
    <w:p w14:paraId="6E11BDEE" w14:textId="77777777" w:rsidR="00DD7CFF" w:rsidRPr="00082D81" w:rsidRDefault="00DD7CFF" w:rsidP="00AC037D">
      <w:pPr>
        <w:spacing w:after="0" w:line="240" w:lineRule="auto"/>
        <w:ind w:left="-142" w:right="-1"/>
        <w:jc w:val="both"/>
        <w:rPr>
          <w:rFonts w:ascii="Bookman Old Style" w:eastAsia="Times New Roman" w:hAnsi="Bookman Old Style" w:cs="Arial"/>
          <w:b/>
          <w:bCs/>
          <w:color w:val="666666"/>
          <w:sz w:val="24"/>
          <w:szCs w:val="24"/>
          <w:highlight w:val="yellow"/>
          <w:lang w:eastAsia="es-CO"/>
        </w:rPr>
      </w:pPr>
    </w:p>
    <w:p w14:paraId="59A132D1" w14:textId="7480362B" w:rsidR="0081625F" w:rsidRPr="00082D81" w:rsidRDefault="0081625F" w:rsidP="00AC037D">
      <w:pPr>
        <w:spacing w:after="0" w:line="240" w:lineRule="auto"/>
        <w:ind w:left="-142" w:right="-1"/>
        <w:jc w:val="both"/>
        <w:rPr>
          <w:rFonts w:ascii="Bookman Old Style" w:eastAsia="Times New Roman" w:hAnsi="Bookman Old Style" w:cs="Times New Roman"/>
          <w:sz w:val="24"/>
          <w:szCs w:val="24"/>
          <w:lang w:val="es-ES" w:eastAsia="es-ES"/>
        </w:rPr>
      </w:pPr>
      <w:r w:rsidRPr="00AE08C2">
        <w:rPr>
          <w:rFonts w:ascii="Bookman Old Style" w:eastAsia="Times New Roman" w:hAnsi="Bookman Old Style" w:cs="Times New Roman"/>
          <w:b/>
          <w:sz w:val="24"/>
          <w:szCs w:val="24"/>
          <w:lang w:val="es-ES" w:eastAsia="es-ES"/>
        </w:rPr>
        <w:t>Artículo 2.</w:t>
      </w:r>
      <w:r w:rsidR="00DD7CFF">
        <w:rPr>
          <w:rFonts w:ascii="Bookman Old Style" w:eastAsia="Times New Roman" w:hAnsi="Bookman Old Style" w:cs="Times New Roman"/>
          <w:b/>
          <w:sz w:val="24"/>
          <w:szCs w:val="24"/>
          <w:lang w:val="es-ES" w:eastAsia="es-ES"/>
        </w:rPr>
        <w:t xml:space="preserve"> </w:t>
      </w:r>
      <w:r w:rsidRPr="00C35B4C">
        <w:rPr>
          <w:rFonts w:ascii="Bookman Old Style" w:eastAsia="Times New Roman" w:hAnsi="Bookman Old Style" w:cs="Times New Roman"/>
          <w:sz w:val="24"/>
          <w:szCs w:val="24"/>
          <w:lang w:val="es-ES" w:eastAsia="es-ES"/>
        </w:rPr>
        <w:t xml:space="preserve">La presente resolución deberá notificarse a la empresa </w:t>
      </w:r>
      <w:r w:rsidR="00502FF5">
        <w:rPr>
          <w:rFonts w:ascii="Bookman Old Style" w:eastAsia="Times New Roman" w:hAnsi="Bookman Old Style" w:cs="Times New Roman"/>
          <w:sz w:val="24"/>
          <w:szCs w:val="24"/>
          <w:lang w:val="es-ES" w:eastAsia="es-ES"/>
        </w:rPr>
        <w:t>Montagas</w:t>
      </w:r>
      <w:r w:rsidRPr="00C35B4C">
        <w:rPr>
          <w:rFonts w:ascii="Bookman Old Style" w:eastAsia="Times New Roman" w:hAnsi="Bookman Old Style" w:cs="Times New Roman"/>
          <w:sz w:val="24"/>
          <w:szCs w:val="24"/>
          <w:lang w:val="es-ES" w:eastAsia="es-ES"/>
        </w:rPr>
        <w:t xml:space="preserve"> S.A</w:t>
      </w:r>
      <w:r w:rsidR="00DD7CFF">
        <w:rPr>
          <w:rFonts w:ascii="Bookman Old Style" w:eastAsia="Times New Roman" w:hAnsi="Bookman Old Style" w:cs="Times New Roman"/>
          <w:sz w:val="24"/>
          <w:szCs w:val="24"/>
          <w:lang w:val="es-ES" w:eastAsia="es-ES"/>
        </w:rPr>
        <w:t>.</w:t>
      </w:r>
      <w:r w:rsidRPr="00C35B4C">
        <w:rPr>
          <w:rFonts w:ascii="Bookman Old Style" w:eastAsia="Times New Roman" w:hAnsi="Bookman Old Style" w:cs="Times New Roman"/>
          <w:sz w:val="24"/>
          <w:szCs w:val="24"/>
          <w:lang w:val="es-ES" w:eastAsia="es-ES"/>
        </w:rPr>
        <w:t xml:space="preserve"> E.S.P.</w:t>
      </w:r>
      <w:r w:rsidR="00502FF5">
        <w:rPr>
          <w:rFonts w:ascii="Bookman Old Style" w:eastAsia="Times New Roman" w:hAnsi="Bookman Old Style" w:cs="Times New Roman"/>
          <w:sz w:val="24"/>
          <w:szCs w:val="24"/>
          <w:lang w:val="es-ES" w:eastAsia="es-ES"/>
        </w:rPr>
        <w:t xml:space="preserve"> </w:t>
      </w:r>
      <w:r w:rsidR="00016A59">
        <w:rPr>
          <w:rFonts w:ascii="Bookman Old Style" w:eastAsia="Times New Roman" w:hAnsi="Bookman Old Style" w:cs="Times New Roman"/>
          <w:sz w:val="24"/>
          <w:szCs w:val="24"/>
          <w:lang w:val="es-ES" w:eastAsia="es-ES"/>
        </w:rPr>
        <w:t>C</w:t>
      </w:r>
      <w:r w:rsidRPr="00C35B4C">
        <w:rPr>
          <w:rFonts w:ascii="Bookman Old Style" w:eastAsia="Times New Roman" w:hAnsi="Bookman Old Style" w:cs="Times New Roman"/>
          <w:sz w:val="24"/>
          <w:szCs w:val="24"/>
          <w:lang w:val="es-ES" w:eastAsia="es-ES"/>
        </w:rPr>
        <w:t>ontra lo aquí dispuesto no procede recurso alguno por haber finalizado la actuación administrativa correspondiente a la presentación de recursos previsto en la Ley.</w:t>
      </w:r>
    </w:p>
    <w:p w14:paraId="1827589D" w14:textId="77777777" w:rsidR="0081625F" w:rsidRPr="00082D81" w:rsidRDefault="0081625F" w:rsidP="00AC037D">
      <w:pPr>
        <w:spacing w:after="0" w:line="240" w:lineRule="auto"/>
        <w:ind w:left="567" w:right="-1"/>
        <w:jc w:val="center"/>
        <w:rPr>
          <w:rFonts w:ascii="Bookman Old Style" w:eastAsia="MS Mincho" w:hAnsi="Bookman Old Style" w:cs="Arial"/>
          <w:b/>
          <w:sz w:val="24"/>
          <w:szCs w:val="24"/>
          <w:lang w:val="es-ES" w:eastAsia="es-ES"/>
        </w:rPr>
      </w:pPr>
    </w:p>
    <w:p w14:paraId="387F4CF6" w14:textId="77777777" w:rsidR="0081625F" w:rsidRPr="00082D81" w:rsidRDefault="0081625F" w:rsidP="00AC037D">
      <w:pPr>
        <w:spacing w:after="0" w:line="240" w:lineRule="auto"/>
        <w:ind w:left="567" w:right="-1"/>
        <w:jc w:val="center"/>
        <w:rPr>
          <w:rFonts w:ascii="Bookman Old Style" w:eastAsia="MS Mincho" w:hAnsi="Bookman Old Style" w:cs="Arial"/>
          <w:b/>
          <w:sz w:val="24"/>
          <w:szCs w:val="24"/>
          <w:lang w:val="es-ES" w:eastAsia="es-ES"/>
        </w:rPr>
      </w:pPr>
    </w:p>
    <w:p w14:paraId="06B84F9D" w14:textId="77777777" w:rsidR="0081625F" w:rsidRPr="00082D81" w:rsidRDefault="0081625F" w:rsidP="00AC037D">
      <w:pPr>
        <w:spacing w:after="0" w:line="240" w:lineRule="auto"/>
        <w:ind w:right="-1"/>
        <w:contextualSpacing/>
        <w:jc w:val="center"/>
        <w:rPr>
          <w:rFonts w:ascii="Bookman Old Style" w:eastAsia="Times New Roman" w:hAnsi="Bookman Old Style" w:cs="Times New Roman"/>
          <w:b/>
          <w:sz w:val="24"/>
          <w:szCs w:val="24"/>
          <w:lang w:val="es-ES" w:eastAsia="es-ES"/>
        </w:rPr>
      </w:pPr>
      <w:r w:rsidRPr="00082D81">
        <w:rPr>
          <w:rFonts w:ascii="Bookman Old Style" w:eastAsia="Times New Roman" w:hAnsi="Bookman Old Style" w:cs="Times New Roman"/>
          <w:b/>
          <w:sz w:val="24"/>
          <w:szCs w:val="24"/>
          <w:lang w:val="es-ES" w:eastAsia="es-ES"/>
        </w:rPr>
        <w:t>NOTIFÍQUESE Y CÚMPLASE</w:t>
      </w:r>
    </w:p>
    <w:p w14:paraId="67D2F022" w14:textId="77777777" w:rsidR="0081625F" w:rsidRPr="00082D81" w:rsidRDefault="0081625F" w:rsidP="00AC037D">
      <w:pPr>
        <w:spacing w:after="0" w:line="240" w:lineRule="auto"/>
        <w:ind w:right="-1"/>
        <w:contextualSpacing/>
        <w:rPr>
          <w:rFonts w:ascii="Bookman Old Style" w:eastAsia="Times New Roman" w:hAnsi="Bookman Old Style" w:cs="Times New Roman"/>
          <w:sz w:val="24"/>
          <w:szCs w:val="24"/>
          <w:lang w:val="es-ES" w:eastAsia="es-ES"/>
        </w:rPr>
      </w:pPr>
    </w:p>
    <w:p w14:paraId="225327BD" w14:textId="143CF96A" w:rsidR="0081625F" w:rsidRPr="009F716F" w:rsidRDefault="0081625F" w:rsidP="00AC037D">
      <w:pPr>
        <w:spacing w:after="0" w:line="240" w:lineRule="auto"/>
        <w:ind w:right="-1"/>
        <w:contextualSpacing/>
        <w:rPr>
          <w:rFonts w:ascii="Bookman Old Style" w:eastAsia="Times New Roman" w:hAnsi="Bookman Old Style" w:cs="Times New Roman"/>
          <w:b/>
          <w:bCs/>
          <w:sz w:val="24"/>
          <w:szCs w:val="24"/>
          <w:lang w:val="es-ES" w:eastAsia="es-ES"/>
        </w:rPr>
      </w:pPr>
      <w:r w:rsidRPr="00082D81">
        <w:rPr>
          <w:rFonts w:ascii="Bookman Old Style" w:eastAsia="Times New Roman" w:hAnsi="Bookman Old Style" w:cs="Times New Roman"/>
          <w:sz w:val="24"/>
          <w:szCs w:val="24"/>
          <w:lang w:val="es-ES" w:eastAsia="es-ES"/>
        </w:rPr>
        <w:t>Dada en Bogotá, D.C. a,</w:t>
      </w:r>
      <w:r w:rsidR="009F716F">
        <w:rPr>
          <w:rFonts w:ascii="Bookman Old Style" w:eastAsia="Times New Roman" w:hAnsi="Bookman Old Style" w:cs="Times New Roman"/>
          <w:sz w:val="24"/>
          <w:szCs w:val="24"/>
          <w:lang w:val="es-ES" w:eastAsia="es-ES"/>
        </w:rPr>
        <w:t xml:space="preserve"> </w:t>
      </w:r>
      <w:r w:rsidR="009F716F" w:rsidRPr="009F716F">
        <w:rPr>
          <w:rFonts w:ascii="Bookman Old Style" w:eastAsia="Times New Roman" w:hAnsi="Bookman Old Style" w:cs="Times New Roman"/>
          <w:b/>
          <w:bCs/>
          <w:sz w:val="24"/>
          <w:szCs w:val="24"/>
          <w:lang w:val="es-ES" w:eastAsia="es-ES"/>
        </w:rPr>
        <w:t>11 JUN. 2020</w:t>
      </w:r>
    </w:p>
    <w:p w14:paraId="6B2839E6" w14:textId="77777777" w:rsidR="0081625F" w:rsidRPr="00082D81" w:rsidRDefault="0081625F" w:rsidP="00AC037D">
      <w:pPr>
        <w:spacing w:after="0" w:line="240" w:lineRule="auto"/>
        <w:ind w:right="-1"/>
        <w:contextualSpacing/>
        <w:rPr>
          <w:rFonts w:ascii="Bookman Old Style" w:eastAsia="Times New Roman" w:hAnsi="Bookman Old Style" w:cs="Times New Roman"/>
          <w:sz w:val="20"/>
          <w:szCs w:val="24"/>
          <w:lang w:val="es-ES" w:eastAsia="es-ES"/>
        </w:rPr>
      </w:pPr>
    </w:p>
    <w:p w14:paraId="01422E42" w14:textId="77777777" w:rsidR="0081625F" w:rsidRPr="00082D81" w:rsidRDefault="0081625F" w:rsidP="00AC037D">
      <w:pPr>
        <w:spacing w:after="0" w:line="240" w:lineRule="auto"/>
        <w:ind w:right="-1"/>
        <w:contextualSpacing/>
        <w:rPr>
          <w:rFonts w:ascii="Bookman Old Style" w:eastAsia="Times New Roman" w:hAnsi="Bookman Old Style" w:cs="Times New Roman"/>
          <w:sz w:val="20"/>
          <w:szCs w:val="24"/>
          <w:lang w:val="es-ES" w:eastAsia="es-ES"/>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082D8D" w14:paraId="3B9264CD" w14:textId="77777777" w:rsidTr="00082D8D">
        <w:trPr>
          <w:tblCellSpacing w:w="0" w:type="dxa"/>
          <w:jc w:val="center"/>
        </w:trPr>
        <w:tc>
          <w:tcPr>
            <w:tcW w:w="5033" w:type="dxa"/>
          </w:tcPr>
          <w:p w14:paraId="62F55DA3" w14:textId="77777777" w:rsidR="00082D8D" w:rsidRDefault="00082D8D" w:rsidP="00AC037D">
            <w:pPr>
              <w:ind w:left="66" w:right="-1"/>
              <w:jc w:val="center"/>
              <w:rPr>
                <w:rFonts w:eastAsia="Arial Unicode MS" w:cs="Arial"/>
                <w:color w:val="000000"/>
              </w:rPr>
            </w:pPr>
          </w:p>
        </w:tc>
        <w:tc>
          <w:tcPr>
            <w:tcW w:w="4465" w:type="dxa"/>
          </w:tcPr>
          <w:p w14:paraId="7A1610E0" w14:textId="77777777" w:rsidR="00082D8D" w:rsidRDefault="00082D8D" w:rsidP="00AC037D">
            <w:pPr>
              <w:ind w:right="-1"/>
              <w:jc w:val="center"/>
              <w:rPr>
                <w:rFonts w:eastAsia="Arial Unicode MS" w:cs="Arial"/>
                <w:color w:val="000000"/>
              </w:rPr>
            </w:pPr>
          </w:p>
        </w:tc>
      </w:tr>
    </w:tbl>
    <w:p w14:paraId="7A31D706" w14:textId="77777777" w:rsidR="0081625F" w:rsidRPr="00082D81" w:rsidRDefault="0081625F" w:rsidP="00AC037D">
      <w:pPr>
        <w:spacing w:after="0" w:line="240" w:lineRule="auto"/>
        <w:ind w:right="-1"/>
        <w:contextualSpacing/>
        <w:rPr>
          <w:rFonts w:ascii="Bookman Old Style" w:eastAsia="Times New Roman" w:hAnsi="Bookman Old Style" w:cs="Times New Roman"/>
          <w:sz w:val="24"/>
          <w:szCs w:val="24"/>
          <w:lang w:val="es-ES" w:eastAsia="es-ES"/>
        </w:rPr>
      </w:pPr>
    </w:p>
    <w:p w14:paraId="6512F71D" w14:textId="77777777" w:rsidR="0081625F" w:rsidRPr="00082D81" w:rsidRDefault="0081625F" w:rsidP="00AC037D">
      <w:pPr>
        <w:spacing w:after="0" w:line="240" w:lineRule="auto"/>
        <w:ind w:right="-1"/>
        <w:contextualSpacing/>
        <w:rPr>
          <w:rFonts w:ascii="Bookman Old Style" w:eastAsia="Times New Roman" w:hAnsi="Bookman Old Style" w:cs="Times New Roman"/>
          <w:sz w:val="24"/>
          <w:szCs w:val="24"/>
          <w:lang w:val="es-ES" w:eastAsia="es-ES"/>
        </w:rPr>
      </w:pPr>
    </w:p>
    <w:tbl>
      <w:tblPr>
        <w:tblW w:w="9645" w:type="dxa"/>
        <w:tblInd w:w="-147" w:type="dxa"/>
        <w:tblLayout w:type="fixed"/>
        <w:tblCellMar>
          <w:left w:w="0" w:type="dxa"/>
          <w:right w:w="0" w:type="dxa"/>
        </w:tblCellMar>
        <w:tblLook w:val="04A0" w:firstRow="1" w:lastRow="0" w:firstColumn="1" w:lastColumn="0" w:noHBand="0" w:noVBand="1"/>
      </w:tblPr>
      <w:tblGrid>
        <w:gridCol w:w="4967"/>
        <w:gridCol w:w="4678"/>
      </w:tblGrid>
      <w:tr w:rsidR="0081625F" w:rsidRPr="00082D81" w14:paraId="7D1CBA83" w14:textId="77777777" w:rsidTr="009F716F">
        <w:tc>
          <w:tcPr>
            <w:tcW w:w="4967" w:type="dxa"/>
            <w:hideMark/>
          </w:tcPr>
          <w:p w14:paraId="239F1025" w14:textId="77777777" w:rsidR="0081625F" w:rsidRPr="00082D8D" w:rsidRDefault="006800DA" w:rsidP="00AC037D">
            <w:pPr>
              <w:snapToGrid w:val="0"/>
              <w:spacing w:after="0" w:line="240" w:lineRule="auto"/>
              <w:ind w:right="-1"/>
              <w:jc w:val="center"/>
              <w:rPr>
                <w:rFonts w:ascii="Bookman Old Style" w:eastAsia="Times New Roman" w:hAnsi="Bookman Old Style" w:cs="Arial"/>
                <w:b/>
                <w:bCs/>
                <w:sz w:val="24"/>
                <w:szCs w:val="24"/>
                <w:lang w:val="es-ES" w:eastAsia="es-ES"/>
              </w:rPr>
            </w:pPr>
            <w:r w:rsidRPr="00082D8D">
              <w:rPr>
                <w:rFonts w:ascii="Bookman Old Style" w:eastAsia="Times New Roman" w:hAnsi="Bookman Old Style" w:cs="Arial"/>
                <w:b/>
                <w:bCs/>
                <w:sz w:val="24"/>
                <w:szCs w:val="24"/>
                <w:lang w:val="es-ES" w:eastAsia="es-ES"/>
              </w:rPr>
              <w:t>DIEGO MESA PUYO</w:t>
            </w:r>
          </w:p>
        </w:tc>
        <w:tc>
          <w:tcPr>
            <w:tcW w:w="4678" w:type="dxa"/>
            <w:hideMark/>
          </w:tcPr>
          <w:p w14:paraId="283B118B" w14:textId="77777777" w:rsidR="0081625F" w:rsidRPr="00082D81" w:rsidRDefault="00502FF5" w:rsidP="00AC037D">
            <w:pPr>
              <w:snapToGrid w:val="0"/>
              <w:spacing w:after="0" w:line="240" w:lineRule="auto"/>
              <w:ind w:left="141" w:right="-1"/>
              <w:jc w:val="center"/>
              <w:rPr>
                <w:rFonts w:ascii="Bookman Old Style" w:eastAsia="Times New Roman" w:hAnsi="Bookman Old Style" w:cs="Arial"/>
                <w:b/>
                <w:bCs/>
                <w:sz w:val="24"/>
                <w:szCs w:val="24"/>
                <w:lang w:val="es-ES" w:eastAsia="es-ES"/>
              </w:rPr>
            </w:pPr>
            <w:r>
              <w:rPr>
                <w:rFonts w:ascii="Bookman Old Style" w:eastAsia="Times New Roman" w:hAnsi="Bookman Old Style" w:cs="Arial"/>
                <w:b/>
                <w:bCs/>
                <w:sz w:val="24"/>
                <w:szCs w:val="24"/>
                <w:lang w:val="es-ES" w:eastAsia="es-ES"/>
              </w:rPr>
              <w:t>JORGE ALBERTO VALENCIA MARÍN</w:t>
            </w:r>
          </w:p>
        </w:tc>
      </w:tr>
      <w:tr w:rsidR="0081625F" w:rsidRPr="00082D81" w14:paraId="6DA3B2AC" w14:textId="77777777" w:rsidTr="009F716F">
        <w:tc>
          <w:tcPr>
            <w:tcW w:w="4967" w:type="dxa"/>
            <w:hideMark/>
          </w:tcPr>
          <w:p w14:paraId="522C3C8F" w14:textId="77777777" w:rsidR="0081625F" w:rsidRPr="00082D8D" w:rsidRDefault="006800DA" w:rsidP="00AC037D">
            <w:pPr>
              <w:snapToGrid w:val="0"/>
              <w:spacing w:after="0" w:line="240" w:lineRule="auto"/>
              <w:ind w:right="-1"/>
              <w:jc w:val="center"/>
              <w:rPr>
                <w:rFonts w:ascii="Bookman Old Style" w:eastAsia="Times New Roman" w:hAnsi="Bookman Old Style" w:cs="Arial"/>
                <w:sz w:val="24"/>
                <w:szCs w:val="24"/>
                <w:lang w:val="es-ES" w:eastAsia="es-ES"/>
              </w:rPr>
            </w:pPr>
            <w:r w:rsidRPr="00082D8D">
              <w:rPr>
                <w:rFonts w:ascii="Bookman Old Style" w:eastAsia="Times New Roman" w:hAnsi="Bookman Old Style" w:cs="Arial"/>
                <w:sz w:val="24"/>
                <w:szCs w:val="24"/>
                <w:lang w:val="es-ES" w:eastAsia="es-ES"/>
              </w:rPr>
              <w:t>Viceministro de</w:t>
            </w:r>
            <w:r w:rsidR="0081625F" w:rsidRPr="00082D8D">
              <w:rPr>
                <w:rFonts w:ascii="Bookman Old Style" w:eastAsia="Times New Roman" w:hAnsi="Bookman Old Style" w:cs="Arial"/>
                <w:sz w:val="24"/>
                <w:szCs w:val="24"/>
                <w:lang w:val="es-ES" w:eastAsia="es-ES"/>
              </w:rPr>
              <w:t xml:space="preserve"> Energía</w:t>
            </w:r>
          </w:p>
          <w:p w14:paraId="061C154A" w14:textId="5DBF9A79" w:rsidR="00082D8D" w:rsidRPr="00082D8D" w:rsidRDefault="00082D8D" w:rsidP="00AC037D">
            <w:pPr>
              <w:snapToGrid w:val="0"/>
              <w:spacing w:after="0" w:line="240" w:lineRule="auto"/>
              <w:ind w:right="-1"/>
              <w:rPr>
                <w:rFonts w:ascii="Bookman Old Style" w:eastAsia="Times New Roman" w:hAnsi="Bookman Old Style" w:cs="Arial"/>
                <w:sz w:val="24"/>
                <w:szCs w:val="24"/>
                <w:lang w:val="es-ES" w:eastAsia="es-ES"/>
              </w:rPr>
            </w:pPr>
            <w:r w:rsidRPr="00082D8D">
              <w:rPr>
                <w:rFonts w:ascii="Bookman Old Style" w:hAnsi="Bookman Old Style" w:cs="Arial"/>
                <w:spacing w:val="-3"/>
                <w:sz w:val="24"/>
                <w:szCs w:val="24"/>
              </w:rPr>
              <w:t>Delegado de la Ministra de Minas y</w:t>
            </w:r>
            <w:r w:rsidR="009F716F">
              <w:rPr>
                <w:rFonts w:ascii="Bookman Old Style" w:hAnsi="Bookman Old Style" w:cs="Arial"/>
                <w:spacing w:val="-3"/>
                <w:sz w:val="24"/>
                <w:szCs w:val="24"/>
              </w:rPr>
              <w:t xml:space="preserve"> E</w:t>
            </w:r>
            <w:r w:rsidRPr="00082D8D">
              <w:rPr>
                <w:rFonts w:ascii="Bookman Old Style" w:hAnsi="Bookman Old Style" w:cs="Arial"/>
                <w:spacing w:val="-3"/>
                <w:sz w:val="24"/>
                <w:szCs w:val="24"/>
              </w:rPr>
              <w:t>nergía</w:t>
            </w:r>
          </w:p>
          <w:p w14:paraId="7E697B77" w14:textId="77777777" w:rsidR="0081625F" w:rsidRPr="00082D8D" w:rsidRDefault="0081625F" w:rsidP="00AC037D">
            <w:pPr>
              <w:snapToGrid w:val="0"/>
              <w:spacing w:after="0" w:line="240" w:lineRule="auto"/>
              <w:ind w:right="-1"/>
              <w:jc w:val="center"/>
              <w:rPr>
                <w:rFonts w:ascii="Bookman Old Style" w:eastAsia="Times New Roman" w:hAnsi="Bookman Old Style" w:cs="Arial"/>
                <w:sz w:val="24"/>
                <w:szCs w:val="24"/>
                <w:lang w:val="es-ES" w:eastAsia="es-ES"/>
              </w:rPr>
            </w:pPr>
            <w:r w:rsidRPr="00082D8D">
              <w:rPr>
                <w:rFonts w:ascii="Bookman Old Style" w:eastAsia="Times New Roman" w:hAnsi="Bookman Old Style" w:cs="Arial"/>
                <w:sz w:val="24"/>
                <w:szCs w:val="24"/>
                <w:lang w:val="es-ES" w:eastAsia="es-ES"/>
              </w:rPr>
              <w:t>Presidente</w:t>
            </w:r>
          </w:p>
        </w:tc>
        <w:tc>
          <w:tcPr>
            <w:tcW w:w="4678" w:type="dxa"/>
            <w:hideMark/>
          </w:tcPr>
          <w:p w14:paraId="2FB27E4A" w14:textId="77777777" w:rsidR="0081625F" w:rsidRPr="00082D81" w:rsidRDefault="0081625F" w:rsidP="00AC037D">
            <w:pPr>
              <w:snapToGrid w:val="0"/>
              <w:spacing w:after="0" w:line="240" w:lineRule="auto"/>
              <w:ind w:left="567" w:right="-1"/>
              <w:jc w:val="center"/>
              <w:rPr>
                <w:rFonts w:ascii="Bookman Old Style" w:eastAsia="Times New Roman" w:hAnsi="Bookman Old Style" w:cs="Arial"/>
                <w:sz w:val="24"/>
                <w:szCs w:val="24"/>
                <w:lang w:val="es-ES" w:eastAsia="es-ES"/>
              </w:rPr>
            </w:pPr>
            <w:r w:rsidRPr="00082D81">
              <w:rPr>
                <w:rFonts w:ascii="Bookman Old Style" w:eastAsia="Times New Roman" w:hAnsi="Bookman Old Style" w:cs="Arial"/>
                <w:sz w:val="24"/>
                <w:szCs w:val="24"/>
                <w:lang w:val="es-ES" w:eastAsia="es-ES"/>
              </w:rPr>
              <w:t>Director Ejecutivo</w:t>
            </w:r>
          </w:p>
        </w:tc>
      </w:tr>
    </w:tbl>
    <w:p w14:paraId="3C0A6FDD" w14:textId="77777777" w:rsidR="0081625F" w:rsidRPr="007F3FC2" w:rsidRDefault="0081625F" w:rsidP="00AC037D">
      <w:pPr>
        <w:spacing w:after="0" w:line="240" w:lineRule="auto"/>
        <w:ind w:right="-1"/>
        <w:jc w:val="both"/>
        <w:rPr>
          <w:rFonts w:ascii="Bookman Old Style" w:eastAsia="Times New Roman" w:hAnsi="Bookman Old Style" w:cs="Times New Roman"/>
          <w:sz w:val="24"/>
          <w:szCs w:val="24"/>
          <w:lang w:val="es-ES" w:eastAsia="es-ES"/>
        </w:rPr>
      </w:pPr>
    </w:p>
    <w:p w14:paraId="77724307" w14:textId="77777777" w:rsidR="0081625F" w:rsidRDefault="0081625F" w:rsidP="00AC037D">
      <w:pPr>
        <w:spacing w:after="0" w:line="240" w:lineRule="auto"/>
        <w:ind w:left="-142" w:right="-1"/>
        <w:jc w:val="both"/>
        <w:rPr>
          <w:rFonts w:ascii="Bookman Old Style" w:eastAsia="Times New Roman" w:hAnsi="Bookman Old Style" w:cs="Times New Roman"/>
          <w:sz w:val="24"/>
          <w:szCs w:val="24"/>
          <w:lang w:val="es-ES" w:eastAsia="es-ES"/>
        </w:rPr>
      </w:pPr>
    </w:p>
    <w:sectPr w:rsidR="0081625F" w:rsidSect="009F716F">
      <w:headerReference w:type="default" r:id="rId14"/>
      <w:headerReference w:type="first" r:id="rId15"/>
      <w:pgSz w:w="12242" w:h="18722" w:code="123"/>
      <w:pgMar w:top="2341" w:right="1185" w:bottom="175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86DCB" w14:textId="77777777" w:rsidR="0064035A" w:rsidRDefault="0064035A" w:rsidP="005C1BCA">
      <w:pPr>
        <w:spacing w:after="0" w:line="240" w:lineRule="auto"/>
      </w:pPr>
      <w:r>
        <w:separator/>
      </w:r>
    </w:p>
  </w:endnote>
  <w:endnote w:type="continuationSeparator" w:id="0">
    <w:p w14:paraId="0C5701B0" w14:textId="77777777" w:rsidR="0064035A" w:rsidRDefault="0064035A" w:rsidP="005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97767" w14:textId="77777777" w:rsidR="0064035A" w:rsidRDefault="0064035A" w:rsidP="005C1BCA">
      <w:pPr>
        <w:spacing w:after="0" w:line="240" w:lineRule="auto"/>
      </w:pPr>
      <w:r>
        <w:separator/>
      </w:r>
    </w:p>
  </w:footnote>
  <w:footnote w:type="continuationSeparator" w:id="0">
    <w:p w14:paraId="3DD84A3D" w14:textId="77777777" w:rsidR="0064035A" w:rsidRDefault="0064035A" w:rsidP="005C1BCA">
      <w:pPr>
        <w:spacing w:after="0" w:line="240" w:lineRule="auto"/>
      </w:pPr>
      <w:r>
        <w:continuationSeparator/>
      </w:r>
    </w:p>
  </w:footnote>
  <w:footnote w:id="1">
    <w:p w14:paraId="11C2BF4D" w14:textId="77777777" w:rsidR="0092333D" w:rsidRPr="005C1BCA" w:rsidRDefault="0092333D" w:rsidP="00DE5054">
      <w:pPr>
        <w:pStyle w:val="Textonotapie"/>
        <w:ind w:left="0"/>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14:paraId="6944F9A5" w14:textId="77777777" w:rsidR="0092333D" w:rsidRPr="005B07AE" w:rsidRDefault="0092333D" w:rsidP="0087487D">
      <w:pPr>
        <w:pStyle w:val="Textonotapie"/>
        <w:ind w:left="0"/>
        <w:jc w:val="both"/>
        <w:rPr>
          <w:sz w:val="16"/>
          <w:szCs w:val="16"/>
        </w:rPr>
      </w:pPr>
      <w:r w:rsidRPr="0087487D">
        <w:rPr>
          <w:rFonts w:ascii="Bookman Old Style" w:hAnsi="Bookman Old Style" w:cs="Arial"/>
        </w:rPr>
        <w:footnoteRef/>
      </w:r>
      <w:r w:rsidRPr="0087487D">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14:paraId="61316881" w14:textId="77777777" w:rsidR="0092333D" w:rsidRPr="00FA7CDB" w:rsidRDefault="0092333D" w:rsidP="007F3FC2">
      <w:pPr>
        <w:pStyle w:val="Textonotapie"/>
        <w:ind w:left="0"/>
        <w:jc w:val="both"/>
        <w:rPr>
          <w:rFonts w:ascii="Bookman Old Style" w:hAnsi="Bookman Old Style" w:cs="Arial"/>
          <w:sz w:val="16"/>
          <w:szCs w:val="16"/>
        </w:rPr>
      </w:pPr>
      <w:r w:rsidRPr="009011F4">
        <w:rPr>
          <w:rFonts w:ascii="Bookman Old Style" w:hAnsi="Bookman Old Style" w:cs="Arial"/>
          <w:sz w:val="16"/>
          <w:szCs w:val="16"/>
        </w:rPr>
        <w:footnoteRef/>
      </w:r>
      <w:r>
        <w:rPr>
          <w:rFonts w:ascii="Bookman Old Style" w:hAnsi="Bookman Old Style" w:cs="Arial"/>
          <w:sz w:val="16"/>
          <w:szCs w:val="16"/>
        </w:rPr>
        <w:t xml:space="preserve"> “Artículo 77</w:t>
      </w:r>
      <w:r w:rsidRPr="00FA7CDB">
        <w:rPr>
          <w:rFonts w:ascii="Bookman Old Style" w:hAnsi="Bookman Old Style" w:cs="Arial"/>
          <w:sz w:val="16"/>
          <w:szCs w:val="16"/>
        </w:rPr>
        <w:t>.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14:paraId="3F82F43B" w14:textId="77777777" w:rsidR="0092333D" w:rsidRPr="00FA7CDB" w:rsidRDefault="0092333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14:paraId="1DE04D55" w14:textId="77777777" w:rsidR="0092333D" w:rsidRPr="00FA7CDB" w:rsidRDefault="0092333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14:paraId="41037DCF" w14:textId="77777777" w:rsidR="0092333D" w:rsidRPr="00FA7CDB" w:rsidRDefault="0092333D" w:rsidP="007F3FC2">
      <w:pPr>
        <w:pStyle w:val="Textonotapie"/>
        <w:ind w:left="0"/>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14:paraId="3DFE566D" w14:textId="77777777" w:rsidR="0092333D" w:rsidRDefault="0092333D" w:rsidP="007F3FC2">
      <w:pPr>
        <w:pStyle w:val="Textonotapie"/>
        <w:ind w:left="0"/>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1600" w14:textId="32A4BC26" w:rsidR="0092333D" w:rsidRDefault="0092333D" w:rsidP="001F2B83">
    <w:pPr>
      <w:pStyle w:val="Ttulo1"/>
      <w:ind w:right="6"/>
      <w:jc w:val="left"/>
      <w:rPr>
        <w:rFonts w:ascii="Bookman Old Style" w:hAnsi="Bookman Old Style" w:cs="Arial"/>
        <w:b w:val="0"/>
        <w:sz w:val="22"/>
        <w:szCs w:val="22"/>
      </w:rPr>
    </w:pPr>
  </w:p>
  <w:p w14:paraId="77040445" w14:textId="64033697" w:rsidR="0092333D" w:rsidRPr="00951F79" w:rsidRDefault="0092333D" w:rsidP="001F2B8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9F716F">
      <w:rPr>
        <w:rFonts w:ascii="Bookman Old Style" w:hAnsi="Bookman Old Style" w:cs="Arial"/>
        <w:b w:val="0"/>
        <w:szCs w:val="24"/>
        <w:u w:val="single"/>
      </w:rPr>
      <w:t xml:space="preserve">.  </w:t>
    </w:r>
    <w:r w:rsidR="009F716F" w:rsidRPr="009F716F">
      <w:rPr>
        <w:rFonts w:ascii="Bookman Old Style" w:hAnsi="Bookman Old Style" w:cs="Arial"/>
        <w:bCs/>
        <w:szCs w:val="24"/>
        <w:u w:val="single"/>
      </w:rPr>
      <w:t>111</w:t>
    </w:r>
    <w:r w:rsidRPr="009F716F">
      <w:rPr>
        <w:rFonts w:ascii="Bookman Old Style" w:hAnsi="Bookman Old Style" w:cs="Arial"/>
        <w:b w:val="0"/>
        <w:szCs w:val="24"/>
        <w:u w:val="single"/>
      </w:rPr>
      <w:tab/>
    </w:r>
    <w:r>
      <w:rPr>
        <w:rFonts w:ascii="Bookman Old Style" w:hAnsi="Bookman Old Style" w:cs="Arial"/>
        <w:b w:val="0"/>
        <w:sz w:val="22"/>
        <w:szCs w:val="22"/>
      </w:rPr>
      <w:t xml:space="preserve">DE </w:t>
    </w:r>
    <w:r w:rsidR="009F716F">
      <w:rPr>
        <w:rFonts w:ascii="Bookman Old Style" w:hAnsi="Bookman Old Style" w:cs="Arial"/>
        <w:b w:val="0"/>
        <w:sz w:val="22"/>
        <w:szCs w:val="22"/>
      </w:rPr>
      <w:t xml:space="preserve">  </w:t>
    </w:r>
    <w:r w:rsidR="009F716F" w:rsidRPr="009F716F">
      <w:rPr>
        <w:rFonts w:ascii="Bookman Old Style" w:hAnsi="Bookman Old Style" w:cs="Arial"/>
        <w:bCs/>
        <w:szCs w:val="24"/>
        <w:u w:val="single"/>
      </w:rPr>
      <w:t xml:space="preserve">  11 JUN. 2020</w:t>
    </w:r>
    <w:r w:rsidR="009F716F" w:rsidRPr="009F716F">
      <w:rPr>
        <w:rFonts w:ascii="Bookman Old Style" w:hAnsi="Bookman Old Style" w:cs="Arial"/>
        <w:b w:val="0"/>
        <w:sz w:val="22"/>
        <w:szCs w:val="22"/>
        <w:u w:val="single"/>
      </w:rPr>
      <w:t xml:space="preserve">    </w:t>
    </w:r>
    <w:r w:rsidR="009F716F">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40887">
      <w:fldChar w:fldCharType="begin"/>
    </w:r>
    <w:r w:rsidR="00E40887">
      <w:instrText xml:space="preserve"> NUMPAGES  \* MERGEFORMAT </w:instrText>
    </w:r>
    <w:r w:rsidR="00E40887">
      <w:fldChar w:fldCharType="separate"/>
    </w:r>
    <w:r w:rsidRPr="000A7270">
      <w:rPr>
        <w:rFonts w:ascii="Bookman Old Style" w:hAnsi="Bookman Old Style" w:cs="Arial"/>
        <w:b w:val="0"/>
        <w:noProof/>
        <w:sz w:val="22"/>
        <w:szCs w:val="22"/>
      </w:rPr>
      <w:t>18</w:t>
    </w:r>
    <w:r w:rsidR="00E40887">
      <w:rPr>
        <w:rFonts w:ascii="Bookman Old Style" w:hAnsi="Bookman Old Style" w:cs="Arial"/>
        <w:b w:val="0"/>
        <w:noProof/>
        <w:sz w:val="22"/>
        <w:szCs w:val="22"/>
      </w:rPr>
      <w:fldChar w:fldCharType="end"/>
    </w:r>
  </w:p>
  <w:p w14:paraId="7024B816" w14:textId="77777777" w:rsidR="0092333D" w:rsidRDefault="0092333D" w:rsidP="001F2B83">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5D1DA662" wp14:editId="5584D9D6">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5F8F98F8"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4BB708EC" w14:textId="77777777" w:rsidR="0092333D" w:rsidRPr="009F716F" w:rsidRDefault="0092333D" w:rsidP="007F66B9">
    <w:pPr>
      <w:pBdr>
        <w:bottom w:val="single" w:sz="4" w:space="1" w:color="auto"/>
      </w:pBdr>
      <w:spacing w:after="0" w:line="240" w:lineRule="auto"/>
      <w:ind w:right="147"/>
      <w:jc w:val="both"/>
      <w:rPr>
        <w:rFonts w:ascii="Bookman Old Style" w:eastAsia="Times New Roman" w:hAnsi="Bookman Old Style" w:cs="Times New Roman"/>
        <w:sz w:val="24"/>
        <w:szCs w:val="24"/>
        <w:lang w:val="es-ES" w:eastAsia="es-ES"/>
      </w:rPr>
    </w:pPr>
    <w:r w:rsidRPr="009F716F">
      <w:rPr>
        <w:rFonts w:ascii="Bookman Old Style" w:eastAsia="Times New Roman" w:hAnsi="Bookman Old Style" w:cs="Times New Roman"/>
        <w:sz w:val="24"/>
        <w:szCs w:val="24"/>
        <w:lang w:val="es-ES" w:eastAsia="es-ES"/>
      </w:rPr>
      <w:t>Por la cual se resuelve el recurso de reposición interpuesto por Montagas S.A. E.S.P. contra la Resolución CREG 070 de 2020</w:t>
    </w:r>
  </w:p>
  <w:p w14:paraId="47DE12FC" w14:textId="77777777" w:rsidR="0092333D" w:rsidRPr="00FE26C8" w:rsidRDefault="0092333D" w:rsidP="007F66B9">
    <w:pPr>
      <w:pBdr>
        <w:bottom w:val="single" w:sz="4" w:space="1" w:color="auto"/>
      </w:pBdr>
      <w:spacing w:after="0" w:line="240" w:lineRule="auto"/>
      <w:ind w:right="147"/>
      <w:jc w:val="both"/>
      <w:rPr>
        <w:b/>
        <w:sz w:val="10"/>
        <w:szCs w:val="1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60A9" w14:textId="77777777" w:rsidR="0092333D" w:rsidRDefault="0092333D"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06430F69" w14:textId="77777777" w:rsidR="0092333D" w:rsidRDefault="0092333D">
    <w:pPr>
      <w:pStyle w:val="Encabezado"/>
      <w:jc w:val="center"/>
      <w:rPr>
        <w:rFonts w:ascii="Arial" w:hAnsi="Arial" w:cs="Arial"/>
        <w:spacing w:val="20"/>
        <w:sz w:val="20"/>
      </w:rPr>
    </w:pPr>
  </w:p>
  <w:p w14:paraId="55B2E4B8" w14:textId="77777777" w:rsidR="0092333D" w:rsidRDefault="0092333D"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64A5D795" wp14:editId="494C5E19">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162681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3"/>
    <w:multiLevelType w:val="multilevel"/>
    <w:tmpl w:val="00000002"/>
    <w:lvl w:ilvl="0">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4"/>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7FC7898"/>
    <w:multiLevelType w:val="hybridMultilevel"/>
    <w:tmpl w:val="50AE751C"/>
    <w:lvl w:ilvl="0" w:tplc="5A1437C8">
      <w:start w:val="1"/>
      <w:numFmt w:val="decimal"/>
      <w:lvlText w:val="%1."/>
      <w:lvlJc w:val="left"/>
      <w:pPr>
        <w:ind w:left="1482" w:hanging="91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 w15:restartNumberingAfterBreak="0">
    <w:nsid w:val="0CA705AE"/>
    <w:multiLevelType w:val="hybridMultilevel"/>
    <w:tmpl w:val="1FB028B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 w15:restartNumberingAfterBreak="0">
    <w:nsid w:val="15255C7C"/>
    <w:multiLevelType w:val="hybridMultilevel"/>
    <w:tmpl w:val="85CAF93A"/>
    <w:lvl w:ilvl="0" w:tplc="4FE8D54E">
      <w:start w:val="1"/>
      <w:numFmt w:val="lowerLetter"/>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6AB4194"/>
    <w:multiLevelType w:val="hybridMultilevel"/>
    <w:tmpl w:val="07442F84"/>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8" w15:restartNumberingAfterBreak="0">
    <w:nsid w:val="20AA4908"/>
    <w:multiLevelType w:val="hybridMultilevel"/>
    <w:tmpl w:val="0E9A955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3632F5"/>
    <w:multiLevelType w:val="hybridMultilevel"/>
    <w:tmpl w:val="2F6477C0"/>
    <w:lvl w:ilvl="0" w:tplc="240A0001">
      <w:start w:val="1"/>
      <w:numFmt w:val="bullet"/>
      <w:lvlText w:val=""/>
      <w:lvlJc w:val="left"/>
      <w:pPr>
        <w:ind w:left="1287" w:hanging="360"/>
      </w:pPr>
      <w:rPr>
        <w:rFonts w:ascii="Symbol" w:hAnsi="Symbol" w:hint="default"/>
      </w:rPr>
    </w:lvl>
    <w:lvl w:ilvl="1" w:tplc="62CA57BC">
      <w:start w:val="2"/>
      <w:numFmt w:val="bullet"/>
      <w:lvlText w:val="•"/>
      <w:lvlJc w:val="left"/>
      <w:pPr>
        <w:ind w:left="2007" w:hanging="360"/>
      </w:pPr>
      <w:rPr>
        <w:rFonts w:ascii="Bookman Old Style" w:eastAsia="Times New Roman" w:hAnsi="Bookman Old Style" w:cs="Times New Roman"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0" w15:restartNumberingAfterBreak="0">
    <w:nsid w:val="416806C5"/>
    <w:multiLevelType w:val="hybridMultilevel"/>
    <w:tmpl w:val="CB9E25D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43A42A76"/>
    <w:multiLevelType w:val="hybridMultilevel"/>
    <w:tmpl w:val="3A8C89B4"/>
    <w:lvl w:ilvl="0" w:tplc="578062C2">
      <w:start w:val="1"/>
      <w:numFmt w:val="decimal"/>
      <w:lvlText w:val="%1."/>
      <w:lvlJc w:val="left"/>
      <w:pPr>
        <w:ind w:left="785"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2" w15:restartNumberingAfterBreak="0">
    <w:nsid w:val="444D1306"/>
    <w:multiLevelType w:val="hybridMultilevel"/>
    <w:tmpl w:val="0ACC71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5FC18E6"/>
    <w:multiLevelType w:val="hybridMultilevel"/>
    <w:tmpl w:val="E800F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4C172F"/>
    <w:multiLevelType w:val="hybridMultilevel"/>
    <w:tmpl w:val="1E16A0A6"/>
    <w:lvl w:ilvl="0" w:tplc="49C8E0E4">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 w15:restartNumberingAfterBreak="0">
    <w:nsid w:val="4B025714"/>
    <w:multiLevelType w:val="hybridMultilevel"/>
    <w:tmpl w:val="5EC05C32"/>
    <w:lvl w:ilvl="0" w:tplc="D51AC5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2E7730"/>
    <w:multiLevelType w:val="hybridMultilevel"/>
    <w:tmpl w:val="7668E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A68234E"/>
    <w:multiLevelType w:val="hybridMultilevel"/>
    <w:tmpl w:val="665C763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9" w15:restartNumberingAfterBreak="0">
    <w:nsid w:val="5B825F1B"/>
    <w:multiLevelType w:val="hybridMultilevel"/>
    <w:tmpl w:val="A5DEC314"/>
    <w:lvl w:ilvl="0" w:tplc="A874DB0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5C8D61E7"/>
    <w:multiLevelType w:val="hybridMultilevel"/>
    <w:tmpl w:val="386AA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CB72A0A"/>
    <w:multiLevelType w:val="hybridMultilevel"/>
    <w:tmpl w:val="A546FDF6"/>
    <w:lvl w:ilvl="0" w:tplc="4FE8D54E">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CFF68EF"/>
    <w:multiLevelType w:val="hybridMultilevel"/>
    <w:tmpl w:val="BB5A0A5C"/>
    <w:lvl w:ilvl="0" w:tplc="240A000F">
      <w:start w:val="1"/>
      <w:numFmt w:val="decimal"/>
      <w:lvlText w:val="%1."/>
      <w:lvlJc w:val="left"/>
      <w:pPr>
        <w:ind w:left="1494"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3"/>
  </w:num>
  <w:num w:numId="2">
    <w:abstractNumId w:val="24"/>
  </w:num>
  <w:num w:numId="3">
    <w:abstractNumId w:val="13"/>
  </w:num>
  <w:num w:numId="4">
    <w:abstractNumId w:val="23"/>
  </w:num>
  <w:num w:numId="5">
    <w:abstractNumId w:val="14"/>
  </w:num>
  <w:num w:numId="6">
    <w:abstractNumId w:val="8"/>
  </w:num>
  <w:num w:numId="7">
    <w:abstractNumId w:val="17"/>
  </w:num>
  <w:num w:numId="8">
    <w:abstractNumId w:val="4"/>
  </w:num>
  <w:num w:numId="9">
    <w:abstractNumId w:val="9"/>
  </w:num>
  <w:num w:numId="10">
    <w:abstractNumId w:val="7"/>
  </w:num>
  <w:num w:numId="11">
    <w:abstractNumId w:val="20"/>
  </w:num>
  <w:num w:numId="12">
    <w:abstractNumId w:val="16"/>
  </w:num>
  <w:num w:numId="13">
    <w:abstractNumId w:val="21"/>
  </w:num>
  <w:num w:numId="14">
    <w:abstractNumId w:val="6"/>
  </w:num>
  <w:num w:numId="15">
    <w:abstractNumId w:val="22"/>
  </w:num>
  <w:num w:numId="16">
    <w:abstractNumId w:val="10"/>
  </w:num>
  <w:num w:numId="17">
    <w:abstractNumId w:val="5"/>
  </w:num>
  <w:num w:numId="18">
    <w:abstractNumId w:val="12"/>
  </w:num>
  <w:num w:numId="19">
    <w:abstractNumId w:val="18"/>
  </w:num>
  <w:num w:numId="20">
    <w:abstractNumId w:val="1"/>
  </w:num>
  <w:num w:numId="21">
    <w:abstractNumId w:val="15"/>
  </w:num>
  <w:num w:numId="22">
    <w:abstractNumId w:val="19"/>
  </w:num>
  <w:num w:numId="2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2C5A"/>
    <w:rsid w:val="000068F0"/>
    <w:rsid w:val="0001493D"/>
    <w:rsid w:val="00016A59"/>
    <w:rsid w:val="0003079D"/>
    <w:rsid w:val="000372E9"/>
    <w:rsid w:val="00037534"/>
    <w:rsid w:val="00051E42"/>
    <w:rsid w:val="000651C3"/>
    <w:rsid w:val="00074962"/>
    <w:rsid w:val="000768E2"/>
    <w:rsid w:val="00082D8D"/>
    <w:rsid w:val="00086996"/>
    <w:rsid w:val="00096487"/>
    <w:rsid w:val="000A7270"/>
    <w:rsid w:val="000B2CF1"/>
    <w:rsid w:val="000B4631"/>
    <w:rsid w:val="000C426C"/>
    <w:rsid w:val="000D4D20"/>
    <w:rsid w:val="000D5213"/>
    <w:rsid w:val="000D77B1"/>
    <w:rsid w:val="000E43B1"/>
    <w:rsid w:val="000E7FC0"/>
    <w:rsid w:val="000F619F"/>
    <w:rsid w:val="000F74A4"/>
    <w:rsid w:val="001030F9"/>
    <w:rsid w:val="00103C0E"/>
    <w:rsid w:val="001079AA"/>
    <w:rsid w:val="00110447"/>
    <w:rsid w:val="001164AC"/>
    <w:rsid w:val="001178EC"/>
    <w:rsid w:val="00131DB0"/>
    <w:rsid w:val="00147CFE"/>
    <w:rsid w:val="001544B0"/>
    <w:rsid w:val="00161159"/>
    <w:rsid w:val="00167328"/>
    <w:rsid w:val="00167DB1"/>
    <w:rsid w:val="00167E49"/>
    <w:rsid w:val="001851C6"/>
    <w:rsid w:val="00185CE7"/>
    <w:rsid w:val="00187D75"/>
    <w:rsid w:val="00193AF1"/>
    <w:rsid w:val="001976B3"/>
    <w:rsid w:val="001A1203"/>
    <w:rsid w:val="001B0BF6"/>
    <w:rsid w:val="001B4CCB"/>
    <w:rsid w:val="001B534B"/>
    <w:rsid w:val="001B6721"/>
    <w:rsid w:val="001C513B"/>
    <w:rsid w:val="001C606A"/>
    <w:rsid w:val="001D2917"/>
    <w:rsid w:val="001E04A9"/>
    <w:rsid w:val="001E4952"/>
    <w:rsid w:val="001E531D"/>
    <w:rsid w:val="001E5EF3"/>
    <w:rsid w:val="001F1817"/>
    <w:rsid w:val="001F2B83"/>
    <w:rsid w:val="00201D11"/>
    <w:rsid w:val="0020666C"/>
    <w:rsid w:val="002071F1"/>
    <w:rsid w:val="002168B9"/>
    <w:rsid w:val="00224628"/>
    <w:rsid w:val="002360EA"/>
    <w:rsid w:val="002415AD"/>
    <w:rsid w:val="00241706"/>
    <w:rsid w:val="00246BDD"/>
    <w:rsid w:val="00250C34"/>
    <w:rsid w:val="00252FBF"/>
    <w:rsid w:val="0025381F"/>
    <w:rsid w:val="00253CDE"/>
    <w:rsid w:val="00257891"/>
    <w:rsid w:val="00260077"/>
    <w:rsid w:val="002A3000"/>
    <w:rsid w:val="002A3B53"/>
    <w:rsid w:val="002A5F8F"/>
    <w:rsid w:val="002C2E32"/>
    <w:rsid w:val="002C2F59"/>
    <w:rsid w:val="002C38BA"/>
    <w:rsid w:val="002D0502"/>
    <w:rsid w:val="002E37BA"/>
    <w:rsid w:val="002E3F00"/>
    <w:rsid w:val="002E47EE"/>
    <w:rsid w:val="002E48FC"/>
    <w:rsid w:val="002E789E"/>
    <w:rsid w:val="002F68A3"/>
    <w:rsid w:val="002F6C3C"/>
    <w:rsid w:val="003108B7"/>
    <w:rsid w:val="003164D9"/>
    <w:rsid w:val="0032228A"/>
    <w:rsid w:val="00322645"/>
    <w:rsid w:val="003253A2"/>
    <w:rsid w:val="00330B53"/>
    <w:rsid w:val="00331103"/>
    <w:rsid w:val="00331F35"/>
    <w:rsid w:val="0033303E"/>
    <w:rsid w:val="003347B1"/>
    <w:rsid w:val="003360A2"/>
    <w:rsid w:val="0033749B"/>
    <w:rsid w:val="003401B5"/>
    <w:rsid w:val="003460A5"/>
    <w:rsid w:val="00351047"/>
    <w:rsid w:val="00351A5E"/>
    <w:rsid w:val="00352ADF"/>
    <w:rsid w:val="003613EA"/>
    <w:rsid w:val="003655CF"/>
    <w:rsid w:val="00370A60"/>
    <w:rsid w:val="00393342"/>
    <w:rsid w:val="0039378C"/>
    <w:rsid w:val="003B0B7A"/>
    <w:rsid w:val="003B3CE6"/>
    <w:rsid w:val="003B50DF"/>
    <w:rsid w:val="003C1360"/>
    <w:rsid w:val="003D171F"/>
    <w:rsid w:val="003D682B"/>
    <w:rsid w:val="003E2145"/>
    <w:rsid w:val="003F59E4"/>
    <w:rsid w:val="00403E9A"/>
    <w:rsid w:val="0041424B"/>
    <w:rsid w:val="004276D1"/>
    <w:rsid w:val="004356C4"/>
    <w:rsid w:val="00444733"/>
    <w:rsid w:val="004455CB"/>
    <w:rsid w:val="00445CF1"/>
    <w:rsid w:val="00447FE8"/>
    <w:rsid w:val="00451FF9"/>
    <w:rsid w:val="004570FE"/>
    <w:rsid w:val="00467145"/>
    <w:rsid w:val="0046738F"/>
    <w:rsid w:val="00483542"/>
    <w:rsid w:val="004835E4"/>
    <w:rsid w:val="00493D5D"/>
    <w:rsid w:val="00494BE4"/>
    <w:rsid w:val="004966B0"/>
    <w:rsid w:val="004A1394"/>
    <w:rsid w:val="004A4B8D"/>
    <w:rsid w:val="004A677A"/>
    <w:rsid w:val="004A7835"/>
    <w:rsid w:val="004B2371"/>
    <w:rsid w:val="004B5708"/>
    <w:rsid w:val="004B65F7"/>
    <w:rsid w:val="004C299E"/>
    <w:rsid w:val="004C5347"/>
    <w:rsid w:val="004D19A2"/>
    <w:rsid w:val="004F21D4"/>
    <w:rsid w:val="004F605A"/>
    <w:rsid w:val="005021EF"/>
    <w:rsid w:val="00502FF5"/>
    <w:rsid w:val="00505CEA"/>
    <w:rsid w:val="00506375"/>
    <w:rsid w:val="00513B41"/>
    <w:rsid w:val="00516A8F"/>
    <w:rsid w:val="005237A7"/>
    <w:rsid w:val="00547070"/>
    <w:rsid w:val="0055674D"/>
    <w:rsid w:val="00560437"/>
    <w:rsid w:val="00560FC4"/>
    <w:rsid w:val="0056639C"/>
    <w:rsid w:val="0056708D"/>
    <w:rsid w:val="00572628"/>
    <w:rsid w:val="00575874"/>
    <w:rsid w:val="00581499"/>
    <w:rsid w:val="00590C88"/>
    <w:rsid w:val="0059208B"/>
    <w:rsid w:val="005961AB"/>
    <w:rsid w:val="005A0389"/>
    <w:rsid w:val="005C1BCA"/>
    <w:rsid w:val="005E6508"/>
    <w:rsid w:val="005F1C68"/>
    <w:rsid w:val="005F3F22"/>
    <w:rsid w:val="005F4876"/>
    <w:rsid w:val="0060008A"/>
    <w:rsid w:val="00604BAF"/>
    <w:rsid w:val="00612755"/>
    <w:rsid w:val="0064035A"/>
    <w:rsid w:val="006441EA"/>
    <w:rsid w:val="00646AD5"/>
    <w:rsid w:val="0065138A"/>
    <w:rsid w:val="0065201F"/>
    <w:rsid w:val="00653D00"/>
    <w:rsid w:val="00656706"/>
    <w:rsid w:val="006673C7"/>
    <w:rsid w:val="00671E24"/>
    <w:rsid w:val="0067294D"/>
    <w:rsid w:val="00677ABF"/>
    <w:rsid w:val="006800DA"/>
    <w:rsid w:val="00691CAE"/>
    <w:rsid w:val="006948D9"/>
    <w:rsid w:val="00696941"/>
    <w:rsid w:val="006A5495"/>
    <w:rsid w:val="006A636A"/>
    <w:rsid w:val="006B2543"/>
    <w:rsid w:val="006B68C9"/>
    <w:rsid w:val="006C7FD7"/>
    <w:rsid w:val="006D6420"/>
    <w:rsid w:val="006E3CAF"/>
    <w:rsid w:val="006E4CFF"/>
    <w:rsid w:val="006F4984"/>
    <w:rsid w:val="006F6F8A"/>
    <w:rsid w:val="00701265"/>
    <w:rsid w:val="00720524"/>
    <w:rsid w:val="00723A63"/>
    <w:rsid w:val="007254EE"/>
    <w:rsid w:val="007310C6"/>
    <w:rsid w:val="0073140A"/>
    <w:rsid w:val="00735D6F"/>
    <w:rsid w:val="0073600E"/>
    <w:rsid w:val="00744B35"/>
    <w:rsid w:val="00755EED"/>
    <w:rsid w:val="00760851"/>
    <w:rsid w:val="0076675D"/>
    <w:rsid w:val="0078006D"/>
    <w:rsid w:val="00784E27"/>
    <w:rsid w:val="00785E5C"/>
    <w:rsid w:val="007860F7"/>
    <w:rsid w:val="007917F3"/>
    <w:rsid w:val="007B77DB"/>
    <w:rsid w:val="007B79E1"/>
    <w:rsid w:val="007D4A88"/>
    <w:rsid w:val="007F3B34"/>
    <w:rsid w:val="007F3FC2"/>
    <w:rsid w:val="007F45BD"/>
    <w:rsid w:val="007F4FCE"/>
    <w:rsid w:val="007F66B9"/>
    <w:rsid w:val="007F6CF0"/>
    <w:rsid w:val="0080052E"/>
    <w:rsid w:val="00807AB2"/>
    <w:rsid w:val="00811FB5"/>
    <w:rsid w:val="00812471"/>
    <w:rsid w:val="0081625F"/>
    <w:rsid w:val="008315F2"/>
    <w:rsid w:val="008347D1"/>
    <w:rsid w:val="00844EAB"/>
    <w:rsid w:val="00846CC8"/>
    <w:rsid w:val="00864689"/>
    <w:rsid w:val="00867649"/>
    <w:rsid w:val="0087487D"/>
    <w:rsid w:val="00874A55"/>
    <w:rsid w:val="0087723A"/>
    <w:rsid w:val="00892382"/>
    <w:rsid w:val="00892686"/>
    <w:rsid w:val="008932C5"/>
    <w:rsid w:val="0089470C"/>
    <w:rsid w:val="0089512B"/>
    <w:rsid w:val="008A5019"/>
    <w:rsid w:val="008B03A8"/>
    <w:rsid w:val="008C7C6D"/>
    <w:rsid w:val="008D1A97"/>
    <w:rsid w:val="008E0BB6"/>
    <w:rsid w:val="008E46D8"/>
    <w:rsid w:val="008E58FA"/>
    <w:rsid w:val="008F0823"/>
    <w:rsid w:val="008F2026"/>
    <w:rsid w:val="008F5C24"/>
    <w:rsid w:val="008F605F"/>
    <w:rsid w:val="0090104C"/>
    <w:rsid w:val="00902DFA"/>
    <w:rsid w:val="009055F7"/>
    <w:rsid w:val="00906244"/>
    <w:rsid w:val="00913A5A"/>
    <w:rsid w:val="009150DC"/>
    <w:rsid w:val="00916840"/>
    <w:rsid w:val="0092233F"/>
    <w:rsid w:val="00922F32"/>
    <w:rsid w:val="0092333D"/>
    <w:rsid w:val="009236BC"/>
    <w:rsid w:val="00933C55"/>
    <w:rsid w:val="0093522B"/>
    <w:rsid w:val="009364D0"/>
    <w:rsid w:val="00943652"/>
    <w:rsid w:val="00943864"/>
    <w:rsid w:val="0095007D"/>
    <w:rsid w:val="009625E3"/>
    <w:rsid w:val="00962A90"/>
    <w:rsid w:val="0097340A"/>
    <w:rsid w:val="009746FD"/>
    <w:rsid w:val="009752D3"/>
    <w:rsid w:val="009802B3"/>
    <w:rsid w:val="00981490"/>
    <w:rsid w:val="00986363"/>
    <w:rsid w:val="009877A4"/>
    <w:rsid w:val="009A06E3"/>
    <w:rsid w:val="009A682D"/>
    <w:rsid w:val="009B05E8"/>
    <w:rsid w:val="009C0053"/>
    <w:rsid w:val="009C2779"/>
    <w:rsid w:val="009C6638"/>
    <w:rsid w:val="009C7403"/>
    <w:rsid w:val="009D53E5"/>
    <w:rsid w:val="009D7D18"/>
    <w:rsid w:val="009E166A"/>
    <w:rsid w:val="009E2BA7"/>
    <w:rsid w:val="009F716F"/>
    <w:rsid w:val="00A06B12"/>
    <w:rsid w:val="00A10640"/>
    <w:rsid w:val="00A220CA"/>
    <w:rsid w:val="00A23502"/>
    <w:rsid w:val="00A33677"/>
    <w:rsid w:val="00A35B73"/>
    <w:rsid w:val="00A35D46"/>
    <w:rsid w:val="00A371B3"/>
    <w:rsid w:val="00A42417"/>
    <w:rsid w:val="00A44FAD"/>
    <w:rsid w:val="00A463CC"/>
    <w:rsid w:val="00A464A9"/>
    <w:rsid w:val="00A55137"/>
    <w:rsid w:val="00A6381B"/>
    <w:rsid w:val="00A66E25"/>
    <w:rsid w:val="00A705BC"/>
    <w:rsid w:val="00A84D12"/>
    <w:rsid w:val="00A95CD7"/>
    <w:rsid w:val="00AA7343"/>
    <w:rsid w:val="00AA7A02"/>
    <w:rsid w:val="00AC037D"/>
    <w:rsid w:val="00AC44B0"/>
    <w:rsid w:val="00AC7043"/>
    <w:rsid w:val="00AC7523"/>
    <w:rsid w:val="00AC7D9C"/>
    <w:rsid w:val="00AD168D"/>
    <w:rsid w:val="00AD468F"/>
    <w:rsid w:val="00AE08C2"/>
    <w:rsid w:val="00AE4711"/>
    <w:rsid w:val="00AE4E4C"/>
    <w:rsid w:val="00AE5D16"/>
    <w:rsid w:val="00AF279C"/>
    <w:rsid w:val="00AF4C82"/>
    <w:rsid w:val="00B05FD2"/>
    <w:rsid w:val="00B12687"/>
    <w:rsid w:val="00B17697"/>
    <w:rsid w:val="00B37A80"/>
    <w:rsid w:val="00B467DB"/>
    <w:rsid w:val="00B53FFF"/>
    <w:rsid w:val="00B55FC6"/>
    <w:rsid w:val="00B57AF6"/>
    <w:rsid w:val="00B70BA2"/>
    <w:rsid w:val="00B753C1"/>
    <w:rsid w:val="00B80630"/>
    <w:rsid w:val="00B8540F"/>
    <w:rsid w:val="00B87342"/>
    <w:rsid w:val="00B91B9E"/>
    <w:rsid w:val="00BA2E35"/>
    <w:rsid w:val="00BA57DB"/>
    <w:rsid w:val="00BC35AA"/>
    <w:rsid w:val="00BC74BC"/>
    <w:rsid w:val="00BD7BE2"/>
    <w:rsid w:val="00BE5DEF"/>
    <w:rsid w:val="00BF01FF"/>
    <w:rsid w:val="00C0023B"/>
    <w:rsid w:val="00C125D2"/>
    <w:rsid w:val="00C139AB"/>
    <w:rsid w:val="00C149F3"/>
    <w:rsid w:val="00C20A19"/>
    <w:rsid w:val="00C30D7B"/>
    <w:rsid w:val="00C31FCA"/>
    <w:rsid w:val="00C3243A"/>
    <w:rsid w:val="00C345DC"/>
    <w:rsid w:val="00C35B4C"/>
    <w:rsid w:val="00C53D56"/>
    <w:rsid w:val="00C54EB1"/>
    <w:rsid w:val="00C60EB5"/>
    <w:rsid w:val="00C7096A"/>
    <w:rsid w:val="00C73504"/>
    <w:rsid w:val="00C8557A"/>
    <w:rsid w:val="00CA077E"/>
    <w:rsid w:val="00CA4C24"/>
    <w:rsid w:val="00CC2C25"/>
    <w:rsid w:val="00CC6E45"/>
    <w:rsid w:val="00CD60B6"/>
    <w:rsid w:val="00CD6EF8"/>
    <w:rsid w:val="00CD74B5"/>
    <w:rsid w:val="00CF4873"/>
    <w:rsid w:val="00CF5BA8"/>
    <w:rsid w:val="00D07C49"/>
    <w:rsid w:val="00D2042D"/>
    <w:rsid w:val="00D21ABE"/>
    <w:rsid w:val="00D30C69"/>
    <w:rsid w:val="00D316EC"/>
    <w:rsid w:val="00D41337"/>
    <w:rsid w:val="00D428CA"/>
    <w:rsid w:val="00D51504"/>
    <w:rsid w:val="00D56596"/>
    <w:rsid w:val="00D65730"/>
    <w:rsid w:val="00D7068D"/>
    <w:rsid w:val="00D76C12"/>
    <w:rsid w:val="00D93FE3"/>
    <w:rsid w:val="00D95A88"/>
    <w:rsid w:val="00DA08F9"/>
    <w:rsid w:val="00DB400F"/>
    <w:rsid w:val="00DC20A3"/>
    <w:rsid w:val="00DC340F"/>
    <w:rsid w:val="00DC442C"/>
    <w:rsid w:val="00DC7728"/>
    <w:rsid w:val="00DD3558"/>
    <w:rsid w:val="00DD6832"/>
    <w:rsid w:val="00DD7CFF"/>
    <w:rsid w:val="00DE34B3"/>
    <w:rsid w:val="00DE5054"/>
    <w:rsid w:val="00DE577A"/>
    <w:rsid w:val="00DE5DBA"/>
    <w:rsid w:val="00DE6614"/>
    <w:rsid w:val="00DF37E9"/>
    <w:rsid w:val="00DF599B"/>
    <w:rsid w:val="00E12213"/>
    <w:rsid w:val="00E132CB"/>
    <w:rsid w:val="00E16F57"/>
    <w:rsid w:val="00E40887"/>
    <w:rsid w:val="00E411EE"/>
    <w:rsid w:val="00E51B9C"/>
    <w:rsid w:val="00E67198"/>
    <w:rsid w:val="00E91A96"/>
    <w:rsid w:val="00EA23A0"/>
    <w:rsid w:val="00EB023A"/>
    <w:rsid w:val="00EB03C4"/>
    <w:rsid w:val="00EB1577"/>
    <w:rsid w:val="00EB2D23"/>
    <w:rsid w:val="00EB3EAB"/>
    <w:rsid w:val="00EB559D"/>
    <w:rsid w:val="00EC1D37"/>
    <w:rsid w:val="00EC705E"/>
    <w:rsid w:val="00EE48A3"/>
    <w:rsid w:val="00EF5680"/>
    <w:rsid w:val="00F064F7"/>
    <w:rsid w:val="00F1179A"/>
    <w:rsid w:val="00F11960"/>
    <w:rsid w:val="00F1788C"/>
    <w:rsid w:val="00F30553"/>
    <w:rsid w:val="00F313E0"/>
    <w:rsid w:val="00F3269C"/>
    <w:rsid w:val="00F33A33"/>
    <w:rsid w:val="00F4478E"/>
    <w:rsid w:val="00F46EA4"/>
    <w:rsid w:val="00F527A6"/>
    <w:rsid w:val="00F5339F"/>
    <w:rsid w:val="00F60C4E"/>
    <w:rsid w:val="00F62750"/>
    <w:rsid w:val="00F62FAE"/>
    <w:rsid w:val="00F654EA"/>
    <w:rsid w:val="00F74DD6"/>
    <w:rsid w:val="00F80DAF"/>
    <w:rsid w:val="00F80EBD"/>
    <w:rsid w:val="00F868F0"/>
    <w:rsid w:val="00F90F7B"/>
    <w:rsid w:val="00F913D4"/>
    <w:rsid w:val="00F914EB"/>
    <w:rsid w:val="00F92C75"/>
    <w:rsid w:val="00F93A45"/>
    <w:rsid w:val="00FA625D"/>
    <w:rsid w:val="00FA71BF"/>
    <w:rsid w:val="00FA779D"/>
    <w:rsid w:val="00FB144D"/>
    <w:rsid w:val="00FB2E5A"/>
    <w:rsid w:val="00FB4BC2"/>
    <w:rsid w:val="00FC0FA7"/>
    <w:rsid w:val="00FC65B9"/>
    <w:rsid w:val="00FD101E"/>
    <w:rsid w:val="00FD292F"/>
    <w:rsid w:val="00FD7FC1"/>
    <w:rsid w:val="00FE26C8"/>
    <w:rsid w:val="00FE517B"/>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E9D34"/>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ANEXO"/>
    <w:basedOn w:val="Normal"/>
    <w:next w:val="Normal"/>
    <w:link w:val="Ttulo1Car"/>
    <w:qFormat/>
    <w:rsid w:val="005C1BCA"/>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5C1BCA"/>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line="240" w:lineRule="auto"/>
      <w:ind w:left="567"/>
      <w:outlineLvl w:val="6"/>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contextualSpacing/>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5C1BCA"/>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5C1BCA"/>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line="240" w:lineRule="auto"/>
      <w:ind w:left="0" w:firstLine="1"/>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line="240" w:lineRule="auto"/>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line="240" w:lineRule="auto"/>
    </w:pPr>
    <w:rPr>
      <w:rFonts w:ascii="Times New Roman" w:eastAsiaTheme="minorEastAsia" w:hAnsi="Times New Roman" w:cs="Times New Roman"/>
      <w:sz w:val="24"/>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68">
    <w:name w:val="xl68"/>
    <w:basedOn w:val="Normal"/>
    <w:rsid w:val="00FD7FC1"/>
    <w:pPr>
      <w:spacing w:before="100" w:beforeAutospacing="1" w:after="100" w:afterAutospacing="1" w:line="240" w:lineRule="auto"/>
    </w:pPr>
    <w:rPr>
      <w:rFonts w:ascii="Bookman Old Style" w:eastAsia="Times New Roman" w:hAnsi="Bookman Old Style" w:cs="Times New Roman"/>
      <w:sz w:val="24"/>
      <w:szCs w:val="24"/>
      <w:lang w:eastAsia="es-CO"/>
    </w:rPr>
  </w:style>
  <w:style w:type="paragraph" w:customStyle="1" w:styleId="xl69">
    <w:name w:val="xl69"/>
    <w:basedOn w:val="Normal"/>
    <w:rsid w:val="00FD7FC1"/>
    <w:pP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line="240" w:lineRule="auto"/>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line="240" w:lineRule="auto"/>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Bookman Old Style" w:eastAsia="Times New Roman" w:hAnsi="Bookman Old Style"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1625F"/>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8486877">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038356791">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es.sui.gov.co/fabricaReportes/frameSet.jsp?idreporte=sui_adm_0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reportes.sui.gov.co/fabricaReportes/frameSet.jsp?idreporte=sui_adm_02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26EB-5553-4F99-9EE1-B70517F2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5305</Words>
  <Characters>29178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Ramos;Luz</dc:creator>
  <cp:lastModifiedBy>Luz Stella Rojas Macias</cp:lastModifiedBy>
  <cp:revision>2</cp:revision>
  <cp:lastPrinted>2020-06-16T22:28:00Z</cp:lastPrinted>
  <dcterms:created xsi:type="dcterms:W3CDTF">2020-09-03T15:12:00Z</dcterms:created>
  <dcterms:modified xsi:type="dcterms:W3CDTF">2020-09-03T15:12:00Z</dcterms:modified>
</cp:coreProperties>
</file>