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F7EAED3" w:rsidR="00CA77FB" w:rsidRPr="002259D9" w:rsidRDefault="008C336B"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707144103" r:id="rId12"/>
        </w:object>
      </w:r>
      <w:r w:rsidR="00E83F34">
        <w:rPr>
          <w:rFonts w:ascii="Bookman Old Style" w:hAnsi="Bookman Old Style"/>
          <w:bCs/>
          <w:szCs w:val="24"/>
        </w:rPr>
        <w:t xml:space="preserve">   </w:t>
      </w:r>
      <w:r w:rsidR="00CA77FB" w:rsidRPr="002259D9">
        <w:rPr>
          <w:rFonts w:ascii="Bookman Old Style" w:hAnsi="Bookman Old Style"/>
          <w:bCs/>
          <w:szCs w:val="24"/>
        </w:rPr>
        <w:t>Ministerio de Minas y Energía</w:t>
      </w:r>
    </w:p>
    <w:p w14:paraId="0D77311B" w14:textId="14386EAF" w:rsidR="00CA77FB" w:rsidRPr="002259D9" w:rsidRDefault="00C73249" w:rsidP="00433E81">
      <w:pPr>
        <w:pStyle w:val="Ttulo3"/>
        <w:tabs>
          <w:tab w:val="left" w:pos="0"/>
          <w:tab w:val="right" w:pos="9356"/>
        </w:tabs>
        <w:spacing w:before="360" w:after="360"/>
        <w:rPr>
          <w:rFonts w:ascii="Bookman Old Style" w:hAnsi="Bookman Old Style" w:cs="Arial"/>
          <w:spacing w:val="20"/>
          <w:szCs w:val="24"/>
        </w:rPr>
      </w:pPr>
      <w:r>
        <w:rPr>
          <w:rFonts w:ascii="Bookman Old Style" w:hAnsi="Bookman Old Style" w:cs="Arial"/>
          <w:spacing w:val="20"/>
          <w:szCs w:val="24"/>
        </w:rPr>
        <w:t>COMISIÓN</w:t>
      </w:r>
      <w:r w:rsidR="00CA77FB" w:rsidRPr="002259D9">
        <w:rPr>
          <w:rFonts w:ascii="Bookman Old Style" w:hAnsi="Bookman Old Style" w:cs="Arial"/>
          <w:spacing w:val="20"/>
          <w:szCs w:val="24"/>
        </w:rPr>
        <w:t xml:space="preserve"> DE REGULACIÓN DE ENERGÍA Y GAS</w:t>
      </w:r>
    </w:p>
    <w:p w14:paraId="30A3A011" w14:textId="53FAE586" w:rsidR="00CA77FB" w:rsidRPr="002259D9" w:rsidRDefault="00CA77FB" w:rsidP="004E410F">
      <w:pPr>
        <w:pStyle w:val="Ttulo5"/>
        <w:tabs>
          <w:tab w:val="left" w:pos="0"/>
          <w:tab w:val="right" w:pos="9356"/>
        </w:tabs>
        <w:spacing w:before="240" w:after="240"/>
        <w:rPr>
          <w:rFonts w:ascii="Bookman Old Style" w:hAnsi="Bookman Old Style"/>
          <w:sz w:val="24"/>
          <w:szCs w:val="24"/>
        </w:rPr>
      </w:pPr>
      <w:r w:rsidRPr="002259D9">
        <w:rPr>
          <w:rFonts w:ascii="Bookman Old Style" w:hAnsi="Bookman Old Style"/>
          <w:sz w:val="24"/>
          <w:szCs w:val="24"/>
        </w:rPr>
        <w:t>RESOLUCIÓN No.</w:t>
      </w:r>
      <w:r w:rsidR="004D6891" w:rsidRPr="002259D9">
        <w:rPr>
          <w:rFonts w:ascii="Bookman Old Style" w:hAnsi="Bookman Old Style"/>
          <w:sz w:val="24"/>
          <w:szCs w:val="24"/>
        </w:rPr>
        <w:t xml:space="preserve"> </w:t>
      </w:r>
      <w:r w:rsidR="004D6891" w:rsidRPr="00C02C2E">
        <w:rPr>
          <w:rFonts w:ascii="Bookman Old Style" w:hAnsi="Bookman Old Style"/>
          <w:sz w:val="32"/>
          <w:szCs w:val="32"/>
        </w:rPr>
        <w:t xml:space="preserve">501 </w:t>
      </w:r>
      <w:r w:rsidR="00C02C2E" w:rsidRPr="00C02C2E">
        <w:rPr>
          <w:rFonts w:ascii="Bookman Old Style" w:hAnsi="Bookman Old Style"/>
          <w:sz w:val="32"/>
          <w:szCs w:val="32"/>
        </w:rPr>
        <w:t>022</w:t>
      </w:r>
      <w:r w:rsidR="00C02C2E">
        <w:rPr>
          <w:rFonts w:ascii="Bookman Old Style" w:hAnsi="Bookman Old Style"/>
          <w:sz w:val="24"/>
          <w:szCs w:val="24"/>
        </w:rPr>
        <w:t xml:space="preserve"> de 2022</w:t>
      </w:r>
    </w:p>
    <w:p w14:paraId="10407C0D" w14:textId="5B441720" w:rsidR="00CA77FB" w:rsidRPr="002259D9" w:rsidRDefault="00CA77FB" w:rsidP="00D03B05">
      <w:pPr>
        <w:pStyle w:val="Ttulo3"/>
        <w:tabs>
          <w:tab w:val="left" w:pos="0"/>
          <w:tab w:val="right" w:pos="9356"/>
        </w:tabs>
        <w:spacing w:before="360" w:after="360"/>
        <w:rPr>
          <w:rFonts w:ascii="Bookman Old Style" w:hAnsi="Bookman Old Style"/>
          <w:b w:val="0"/>
          <w:szCs w:val="24"/>
        </w:rPr>
      </w:pPr>
      <w:proofErr w:type="gramStart"/>
      <w:r w:rsidRPr="002259D9">
        <w:rPr>
          <w:rFonts w:ascii="Bookman Old Style" w:hAnsi="Bookman Old Style"/>
          <w:b w:val="0"/>
          <w:szCs w:val="24"/>
        </w:rPr>
        <w:t xml:space="preserve">(  </w:t>
      </w:r>
      <w:proofErr w:type="gramEnd"/>
      <w:r w:rsidRPr="002259D9">
        <w:rPr>
          <w:rFonts w:ascii="Bookman Old Style" w:hAnsi="Bookman Old Style"/>
          <w:b w:val="0"/>
          <w:szCs w:val="24"/>
        </w:rPr>
        <w:t xml:space="preserve"> </w:t>
      </w:r>
      <w:r w:rsidR="00C02C2E" w:rsidRPr="00C02C2E">
        <w:rPr>
          <w:rFonts w:ascii="Bookman Old Style" w:hAnsi="Bookman Old Style"/>
          <w:bCs/>
          <w:sz w:val="32"/>
          <w:szCs w:val="32"/>
        </w:rPr>
        <w:t>08 FEB. 2022</w:t>
      </w:r>
      <w:r w:rsidRPr="002259D9">
        <w:rPr>
          <w:rFonts w:ascii="Bookman Old Style" w:hAnsi="Bookman Old Style"/>
          <w:b w:val="0"/>
          <w:szCs w:val="24"/>
        </w:rPr>
        <w:t xml:space="preserve">     )</w:t>
      </w:r>
    </w:p>
    <w:p w14:paraId="14E3CA54" w14:textId="23754DE2" w:rsidR="00D76752" w:rsidRPr="002259D9" w:rsidRDefault="00A16C20" w:rsidP="00A16C20">
      <w:pPr>
        <w:spacing w:before="0" w:after="360"/>
        <w:jc w:val="center"/>
      </w:pPr>
      <w:r w:rsidRPr="002259D9">
        <w:t xml:space="preserve">Por la cual se resuelve el recurso de reposición interpuesto por </w:t>
      </w:r>
      <w:r w:rsidR="00EB1F35" w:rsidRPr="002259D9">
        <w:t>Empresas Públicas de Medellín E.S.P.</w:t>
      </w:r>
      <w:r w:rsidRPr="002259D9">
        <w:t xml:space="preserve">, contra la Resolución CREG </w:t>
      </w:r>
      <w:r w:rsidR="00EB1F35" w:rsidRPr="002259D9">
        <w:t>136</w:t>
      </w:r>
      <w:r w:rsidRPr="002259D9">
        <w:t xml:space="preserve"> de 2021</w:t>
      </w:r>
      <w:r w:rsidR="00D77B01" w:rsidRPr="002259D9">
        <w:t>.</w:t>
      </w:r>
    </w:p>
    <w:p w14:paraId="01D5B68F" w14:textId="5E381179" w:rsidR="00045D3D" w:rsidRPr="002259D9" w:rsidRDefault="00045D3D" w:rsidP="00870417">
      <w:pPr>
        <w:spacing w:before="360" w:after="360"/>
        <w:ind w:right="51"/>
        <w:jc w:val="center"/>
        <w:rPr>
          <w:b/>
        </w:rPr>
      </w:pPr>
      <w:r w:rsidRPr="002259D9">
        <w:rPr>
          <w:b/>
        </w:rPr>
        <w:t xml:space="preserve">LA </w:t>
      </w:r>
      <w:r w:rsidR="00C73249">
        <w:rPr>
          <w:b/>
        </w:rPr>
        <w:t>COMISIÓN</w:t>
      </w:r>
      <w:r w:rsidRPr="002259D9">
        <w:rPr>
          <w:b/>
        </w:rPr>
        <w:t xml:space="preserve"> DE REGULACIÓN </w:t>
      </w:r>
      <w:r w:rsidR="00A06C25" w:rsidRPr="002259D9">
        <w:rPr>
          <w:b/>
        </w:rPr>
        <w:t>DE ENERGÍA</w:t>
      </w:r>
      <w:r w:rsidRPr="002259D9">
        <w:rPr>
          <w:b/>
        </w:rPr>
        <w:t xml:space="preserve"> Y GAS</w:t>
      </w:r>
    </w:p>
    <w:p w14:paraId="7EC94EB5" w14:textId="77777777" w:rsidR="00045D3D" w:rsidRPr="002259D9" w:rsidRDefault="009A0748" w:rsidP="001A7613">
      <w:pPr>
        <w:spacing w:before="0" w:after="0"/>
        <w:jc w:val="center"/>
      </w:pPr>
      <w:r w:rsidRPr="002259D9">
        <w:t>En ejercicio de sus atribuciones constitucionales y legales, en especial las conferidas por las Leyes 142 y 143 de 1994, y en desarrollo de los Decretos 1524, 2253 de 1994, 2696 de 2004 y 1260 de 2013.</w:t>
      </w:r>
    </w:p>
    <w:p w14:paraId="0BDD6FE5" w14:textId="77777777" w:rsidR="00045D3D" w:rsidRPr="002259D9" w:rsidRDefault="00955F64" w:rsidP="00433E81">
      <w:pPr>
        <w:suppressAutoHyphens/>
        <w:spacing w:before="360" w:after="360"/>
        <w:jc w:val="center"/>
        <w:rPr>
          <w:b/>
        </w:rPr>
      </w:pPr>
      <w:r w:rsidRPr="002259D9">
        <w:rPr>
          <w:b/>
        </w:rPr>
        <w:t>C</w:t>
      </w:r>
      <w:r w:rsidR="00045D3D" w:rsidRPr="002259D9">
        <w:rPr>
          <w:b/>
        </w:rPr>
        <w:t>ONSIDERAND</w:t>
      </w:r>
      <w:r w:rsidR="00A06C25" w:rsidRPr="002259D9">
        <w:rPr>
          <w:b/>
        </w:rPr>
        <w:t>O</w:t>
      </w:r>
      <w:r w:rsidRPr="002259D9">
        <w:rPr>
          <w:b/>
        </w:rPr>
        <w:t xml:space="preserve"> </w:t>
      </w:r>
      <w:r w:rsidR="00A06C25" w:rsidRPr="002259D9">
        <w:rPr>
          <w:b/>
        </w:rPr>
        <w:t>Q</w:t>
      </w:r>
      <w:r w:rsidR="00045D3D" w:rsidRPr="002259D9">
        <w:rPr>
          <w:b/>
        </w:rPr>
        <w:t>UE:</w:t>
      </w:r>
    </w:p>
    <w:p w14:paraId="5BF9B619" w14:textId="6ADD8219" w:rsidR="00942198" w:rsidRPr="002259D9" w:rsidRDefault="00942198" w:rsidP="00942198">
      <w:r w:rsidRPr="002259D9">
        <w:t xml:space="preserve">Mediante la Resolución CREG 015 de 2018, publicada en el Diario Oficial del 3 de febrero de 2018, se expidió la metodología para la remuneración de la actividad de distribución de energía eléctrica en el Sistema Interconectado Nacional, SIN, </w:t>
      </w:r>
      <w:r w:rsidR="00624016" w:rsidRPr="002259D9">
        <w:t>la cual fue aclarada y modificada por las resoluciones CREG 085 de 2018, 036 y 199 de 2019, 167 y 195 de 2020</w:t>
      </w:r>
      <w:r w:rsidR="001C3593" w:rsidRPr="002259D9">
        <w:t>, y 222 de 2021</w:t>
      </w:r>
      <w:r w:rsidRPr="002259D9">
        <w:t>.</w:t>
      </w:r>
    </w:p>
    <w:p w14:paraId="15CBBC3E" w14:textId="18D8166F" w:rsidR="00942198" w:rsidRPr="002259D9" w:rsidRDefault="00942198" w:rsidP="00942198">
      <w:r w:rsidRPr="002259D9">
        <w:t xml:space="preserve">Mediante la Resolución CREG </w:t>
      </w:r>
      <w:r w:rsidR="00EB1F35" w:rsidRPr="002259D9">
        <w:t>136</w:t>
      </w:r>
      <w:r w:rsidRPr="002259D9">
        <w:t xml:space="preserve"> de 2021 se modificó el plan de inversiones del mercado de comercialización atendido por </w:t>
      </w:r>
      <w:r w:rsidR="00EB1F35" w:rsidRPr="002259D9">
        <w:t>Empresas Públicas de Medellín E.S.P.</w:t>
      </w:r>
      <w:r w:rsidR="007E21CA" w:rsidRPr="002259D9">
        <w:t xml:space="preserve"> </w:t>
      </w:r>
      <w:r w:rsidRPr="002259D9">
        <w:t xml:space="preserve">aprobado en la Resolución CREG </w:t>
      </w:r>
      <w:r w:rsidR="00EB1F35" w:rsidRPr="002259D9">
        <w:t>078</w:t>
      </w:r>
      <w:r w:rsidRPr="002259D9">
        <w:t xml:space="preserve"> de 20</w:t>
      </w:r>
      <w:r w:rsidR="00EB1F35" w:rsidRPr="002259D9">
        <w:t>19</w:t>
      </w:r>
      <w:r w:rsidR="00B21879">
        <w:t>,</w:t>
      </w:r>
      <w:r w:rsidR="007E21CA" w:rsidRPr="002259D9">
        <w:t xml:space="preserve"> y modificada por la Resolución CREG </w:t>
      </w:r>
      <w:r w:rsidR="00EB1F35" w:rsidRPr="002259D9">
        <w:t>156</w:t>
      </w:r>
      <w:r w:rsidR="007E21CA" w:rsidRPr="002259D9">
        <w:t xml:space="preserve"> de 20</w:t>
      </w:r>
      <w:r w:rsidR="00EB1F35" w:rsidRPr="002259D9">
        <w:t>19</w:t>
      </w:r>
      <w:r w:rsidRPr="002259D9">
        <w:t xml:space="preserve">. </w:t>
      </w:r>
    </w:p>
    <w:p w14:paraId="44016439" w14:textId="2803298C" w:rsidR="00942198" w:rsidRPr="002259D9" w:rsidRDefault="00942198" w:rsidP="00942198">
      <w:r w:rsidRPr="002259D9">
        <w:t>En el Documento CREG-</w:t>
      </w:r>
      <w:r w:rsidR="00EB1F35" w:rsidRPr="002259D9">
        <w:t>112</w:t>
      </w:r>
      <w:r w:rsidRPr="002259D9">
        <w:t xml:space="preserve"> de 2021 se encuentra el soporte de la Resolución CREG </w:t>
      </w:r>
      <w:r w:rsidR="00EB1F35" w:rsidRPr="002259D9">
        <w:t>136</w:t>
      </w:r>
      <w:r w:rsidRPr="002259D9">
        <w:t xml:space="preserve"> de 20</w:t>
      </w:r>
      <w:r w:rsidR="00EB1F35" w:rsidRPr="002259D9">
        <w:t>21</w:t>
      </w:r>
      <w:r w:rsidRPr="002259D9">
        <w:t xml:space="preserve">, el cual incluye las diferencias identificadas, los inventarios aprobados, las memorias de cálculo y demás consideraciones empleadas para calcular el valor del plan de inversiones aprobado en dicha </w:t>
      </w:r>
      <w:r w:rsidR="00B564D0" w:rsidRPr="002259D9">
        <w:t>r</w:t>
      </w:r>
      <w:r w:rsidRPr="002259D9">
        <w:t>esolución.</w:t>
      </w:r>
    </w:p>
    <w:p w14:paraId="046EC669" w14:textId="536ECF3C" w:rsidR="00942198" w:rsidRPr="002259D9" w:rsidRDefault="00081E5F" w:rsidP="00942198">
      <w:r w:rsidRPr="002259D9">
        <w:t>Empresas Públicas de Medellín E.S.P.</w:t>
      </w:r>
      <w:r w:rsidR="00942198" w:rsidRPr="002259D9">
        <w:t>,</w:t>
      </w:r>
      <w:r w:rsidR="00A7001A" w:rsidRPr="002259D9">
        <w:t xml:space="preserve"> </w:t>
      </w:r>
      <w:r w:rsidRPr="002259D9">
        <w:t>EPM</w:t>
      </w:r>
      <w:r w:rsidR="00942198" w:rsidRPr="002259D9">
        <w:t xml:space="preserve">, mediante comunicación con radicado </w:t>
      </w:r>
      <w:r w:rsidR="00A7001A" w:rsidRPr="002259D9">
        <w:t>E-2021</w:t>
      </w:r>
      <w:r w:rsidRPr="002259D9">
        <w:t>-012121</w:t>
      </w:r>
      <w:r w:rsidR="00942198" w:rsidRPr="002259D9">
        <w:t xml:space="preserve">, presentó recurso de reposición contra la Resolución CREG </w:t>
      </w:r>
      <w:r w:rsidR="004C16EE" w:rsidRPr="002259D9">
        <w:t>136</w:t>
      </w:r>
      <w:r w:rsidR="00942198" w:rsidRPr="002259D9">
        <w:t xml:space="preserve"> de 2021. En esta comunicación se presentan los antecedentes, las razones de inconformidad y las peticiones del recurso de reposición. </w:t>
      </w:r>
    </w:p>
    <w:p w14:paraId="30B95D58" w14:textId="71ED7105" w:rsidR="00942198" w:rsidRPr="002259D9" w:rsidRDefault="00942198" w:rsidP="00942198">
      <w:r w:rsidRPr="002259D9">
        <w:t>En la citada comunicación se indica lo siguiente:</w:t>
      </w:r>
    </w:p>
    <w:p w14:paraId="275B31FC" w14:textId="44A1642E" w:rsidR="001D0C52" w:rsidRPr="002259D9" w:rsidRDefault="001D0C52" w:rsidP="00DA6B6F">
      <w:pPr>
        <w:pStyle w:val="Textoindependiente"/>
        <w:ind w:right="275"/>
        <w:jc w:val="both"/>
        <w:rPr>
          <w:rFonts w:ascii="Bookman Old Style" w:hAnsi="Bookman Old Style" w:cs="Times New Roman"/>
          <w:b w:val="0"/>
          <w:i/>
          <w:iCs/>
        </w:rPr>
      </w:pPr>
      <w:r w:rsidRPr="002259D9">
        <w:rPr>
          <w:rFonts w:ascii="Bookman Old Style" w:hAnsi="Bookman Old Style" w:cs="Times New Roman"/>
          <w:b w:val="0"/>
          <w:i/>
          <w:iCs/>
        </w:rPr>
        <w:t>(…)</w:t>
      </w:r>
    </w:p>
    <w:p w14:paraId="2776E44B" w14:textId="215FE2B5" w:rsidR="004C16EE" w:rsidRPr="002259D9" w:rsidRDefault="004C16EE" w:rsidP="004C16EE">
      <w:pPr>
        <w:rPr>
          <w:i/>
          <w:iCs/>
        </w:rPr>
      </w:pPr>
      <w:r w:rsidRPr="002259D9">
        <w:rPr>
          <w:i/>
          <w:iCs/>
        </w:rPr>
        <w:t xml:space="preserve">CARLOS GABRIEL SÁNCHEZ TORO, identificado con la cédula de ciudadanía N°71.799.565 expedida en Medellín y con tarjeta profesional No. 176814 del Consejo Superior de la Judicatura, actuando en calidad de apoderado de Empresas Públicas de Medellín E.S.P. -EPM-, conforme el poder que reposa en la CREG dentro del trámite administrativo del expediente 2020-02111; me permito interponer ante usted, en tiempo oportuno, recurso de reposición en contra de la Resolución CREG 136 del 3 de septiembre de 2021 “Por la cual se incluyen los activos puestos en operación en 2018 en la base inicial de activos y se modifica el </w:t>
      </w:r>
      <w:r w:rsidRPr="002259D9">
        <w:rPr>
          <w:i/>
          <w:iCs/>
        </w:rPr>
        <w:lastRenderedPageBreak/>
        <w:t>plan de inversiones del mercado de comercialización atendido por Empresas Públicas de Medellín E.S.P., aprobado en la Resolución CREG 078 de 2019”. En aras de fundamentar que la CREG proceda a reponer la decisión emitida a través de dicha resolución es necesario que se tenga en cuenta los siguientes:</w:t>
      </w:r>
    </w:p>
    <w:p w14:paraId="187FF0DE" w14:textId="0857CFF5" w:rsidR="001D0C52" w:rsidRPr="002259D9" w:rsidRDefault="001D0C52" w:rsidP="00DA6B6F">
      <w:pPr>
        <w:pStyle w:val="Textoindependiente"/>
        <w:ind w:right="275"/>
        <w:jc w:val="both"/>
        <w:rPr>
          <w:rFonts w:ascii="Bookman Old Style" w:hAnsi="Bookman Old Style" w:cs="Times New Roman"/>
          <w:b w:val="0"/>
          <w:i/>
          <w:iCs/>
        </w:rPr>
      </w:pPr>
      <w:r w:rsidRPr="002259D9">
        <w:rPr>
          <w:rFonts w:ascii="Bookman Old Style" w:hAnsi="Bookman Old Style" w:cs="Times New Roman"/>
          <w:b w:val="0"/>
          <w:i/>
          <w:iCs/>
        </w:rPr>
        <w:t>(…)</w:t>
      </w:r>
    </w:p>
    <w:p w14:paraId="7E40FF42" w14:textId="77777777" w:rsidR="004C16EE" w:rsidRPr="002259D9" w:rsidRDefault="004C16EE" w:rsidP="00DA6B6F">
      <w:pPr>
        <w:pStyle w:val="Textoindependiente"/>
        <w:ind w:right="275"/>
        <w:jc w:val="both"/>
        <w:rPr>
          <w:rFonts w:ascii="Bookman Old Style" w:hAnsi="Bookman Old Style" w:cs="Times New Roman"/>
          <w:b w:val="0"/>
          <w:i/>
          <w:iCs/>
        </w:rPr>
      </w:pPr>
    </w:p>
    <w:p w14:paraId="09EAAB34" w14:textId="1C5DAA7E" w:rsidR="002336A9" w:rsidRPr="002259D9" w:rsidRDefault="004346E8" w:rsidP="00DA6B6F">
      <w:pPr>
        <w:pStyle w:val="Textoindependiente"/>
        <w:ind w:right="275"/>
        <w:jc w:val="both"/>
        <w:rPr>
          <w:rFonts w:ascii="Bookman Old Style" w:hAnsi="Bookman Old Style" w:cs="Times New Roman"/>
          <w:b w:val="0"/>
        </w:rPr>
      </w:pPr>
      <w:r w:rsidRPr="002259D9">
        <w:rPr>
          <w:rFonts w:ascii="Bookman Old Style" w:hAnsi="Bookman Old Style" w:cs="Times New Roman"/>
          <w:b w:val="0"/>
        </w:rPr>
        <w:t>P</w:t>
      </w:r>
      <w:r w:rsidR="0036498F" w:rsidRPr="002259D9">
        <w:rPr>
          <w:rFonts w:ascii="Bookman Old Style" w:hAnsi="Bookman Old Style" w:cs="Times New Roman"/>
          <w:b w:val="0"/>
        </w:rPr>
        <w:t xml:space="preserve">ara lo cual, la </w:t>
      </w:r>
      <w:r w:rsidR="00C73249">
        <w:rPr>
          <w:rFonts w:ascii="Bookman Old Style" w:hAnsi="Bookman Old Style" w:cs="Times New Roman"/>
          <w:b w:val="0"/>
        </w:rPr>
        <w:t>Comisión</w:t>
      </w:r>
      <w:r w:rsidR="0036498F" w:rsidRPr="002259D9">
        <w:rPr>
          <w:rFonts w:ascii="Bookman Old Style" w:hAnsi="Bookman Old Style" w:cs="Times New Roman"/>
          <w:b w:val="0"/>
        </w:rPr>
        <w:t xml:space="preserve"> realiza los análisis y los ajustes a los que haya lugar.</w:t>
      </w:r>
    </w:p>
    <w:p w14:paraId="5B77B26E" w14:textId="77777777" w:rsidR="00D907BA" w:rsidRPr="002259D9" w:rsidRDefault="00D907BA" w:rsidP="00DA6B6F">
      <w:pPr>
        <w:pStyle w:val="Textoindependiente"/>
        <w:ind w:right="275"/>
        <w:jc w:val="both"/>
        <w:rPr>
          <w:rFonts w:ascii="Bookman Old Style" w:hAnsi="Bookman Old Style" w:cs="Times New Roman"/>
          <w:b w:val="0"/>
        </w:rPr>
      </w:pPr>
    </w:p>
    <w:p w14:paraId="355942AF" w14:textId="506253F4" w:rsidR="00A47C13" w:rsidRPr="002259D9" w:rsidRDefault="00A47C13" w:rsidP="00A47C13">
      <w:pPr>
        <w:spacing w:before="0" w:after="240"/>
        <w:rPr>
          <w:b/>
          <w:lang w:val="es-CO" w:eastAsia="en-US"/>
        </w:rPr>
      </w:pPr>
      <w:r w:rsidRPr="002259D9">
        <w:rPr>
          <w:b/>
          <w:lang w:val="es-CO" w:eastAsia="en-US"/>
        </w:rPr>
        <w:t xml:space="preserve">ANÁLISIS DE LA </w:t>
      </w:r>
      <w:r w:rsidR="00C73249">
        <w:rPr>
          <w:b/>
          <w:lang w:val="es-CO" w:eastAsia="en-US"/>
        </w:rPr>
        <w:t>COMISIÓN</w:t>
      </w:r>
    </w:p>
    <w:p w14:paraId="1375CC32" w14:textId="0E88A8BF" w:rsidR="00BA0196" w:rsidRPr="002259D9" w:rsidRDefault="00C31381" w:rsidP="00A47C13">
      <w:pPr>
        <w:spacing w:before="0" w:after="240"/>
        <w:rPr>
          <w:b/>
          <w:lang w:val="es-CO" w:eastAsia="en-US"/>
        </w:rPr>
      </w:pPr>
      <w:r w:rsidRPr="002259D9">
        <w:rPr>
          <w:b/>
          <w:lang w:val="es-CO" w:eastAsia="en-US"/>
        </w:rPr>
        <w:t>P</w:t>
      </w:r>
      <w:r w:rsidR="00A56EFF" w:rsidRPr="002259D9">
        <w:rPr>
          <w:b/>
          <w:lang w:val="es-CO" w:eastAsia="en-US"/>
        </w:rPr>
        <w:t>etición</w:t>
      </w:r>
      <w:r w:rsidR="0005412E" w:rsidRPr="002259D9">
        <w:rPr>
          <w:b/>
          <w:lang w:val="es-CO" w:eastAsia="en-US"/>
        </w:rPr>
        <w:t xml:space="preserve"> general</w:t>
      </w:r>
      <w:r w:rsidR="00A56EFF" w:rsidRPr="002259D9">
        <w:rPr>
          <w:b/>
          <w:lang w:val="es-CO" w:eastAsia="en-US"/>
        </w:rPr>
        <w:t>:</w:t>
      </w:r>
    </w:p>
    <w:p w14:paraId="20942D32" w14:textId="6F96A191" w:rsidR="00C31381" w:rsidRPr="002259D9" w:rsidRDefault="00C31381" w:rsidP="00A47C13">
      <w:pPr>
        <w:spacing w:before="0" w:after="240"/>
        <w:rPr>
          <w:i/>
          <w:iCs/>
        </w:rPr>
      </w:pPr>
      <w:r w:rsidRPr="002259D9">
        <w:rPr>
          <w:i/>
          <w:iCs/>
        </w:rPr>
        <w:t>(…)</w:t>
      </w:r>
    </w:p>
    <w:p w14:paraId="57330702" w14:textId="77777777" w:rsidR="00C31381" w:rsidRPr="002259D9" w:rsidRDefault="00C31381" w:rsidP="00C31381">
      <w:pPr>
        <w:pStyle w:val="Textoindependiente"/>
        <w:spacing w:before="1"/>
        <w:jc w:val="both"/>
        <w:rPr>
          <w:rFonts w:ascii="Bookman Old Style" w:hAnsi="Bookman Old Style" w:cs="Times New Roman"/>
          <w:b w:val="0"/>
          <w:bCs w:val="0"/>
          <w:i/>
          <w:iCs/>
        </w:rPr>
      </w:pPr>
      <w:r w:rsidRPr="002259D9">
        <w:rPr>
          <w:rFonts w:ascii="Bookman Old Style" w:hAnsi="Bookman Old Style" w:cs="Times New Roman"/>
          <w:b w:val="0"/>
          <w:bCs w:val="0"/>
          <w:i/>
          <w:iCs/>
        </w:rPr>
        <w:t>REPONER la Resolución CREG 136 de 2021 de manera que se tengan en cuenta las solicitudes presentadas y sustentadas por EPM en los “argumentos para reposición” del presente recurso.</w:t>
      </w:r>
    </w:p>
    <w:p w14:paraId="5EBEC25B" w14:textId="7F0F8284" w:rsidR="00C31381" w:rsidRPr="002259D9" w:rsidRDefault="00C31381" w:rsidP="00A47C13">
      <w:pPr>
        <w:spacing w:before="0" w:after="240"/>
        <w:rPr>
          <w:i/>
          <w:iCs/>
        </w:rPr>
      </w:pPr>
      <w:r w:rsidRPr="002259D9">
        <w:rPr>
          <w:i/>
          <w:iCs/>
        </w:rPr>
        <w:t>(…)</w:t>
      </w:r>
    </w:p>
    <w:p w14:paraId="450D989B" w14:textId="405B7932" w:rsidR="0036498F" w:rsidRPr="002259D9" w:rsidRDefault="0036498F" w:rsidP="00C31381">
      <w:pPr>
        <w:pStyle w:val="Textoindependiente"/>
        <w:ind w:right="275"/>
        <w:jc w:val="both"/>
        <w:rPr>
          <w:bCs w:val="0"/>
          <w:i/>
          <w:iCs/>
        </w:rPr>
      </w:pPr>
    </w:p>
    <w:p w14:paraId="3D254BE2" w14:textId="2227187D" w:rsidR="00EE292B" w:rsidRPr="002259D9" w:rsidRDefault="00EE292B" w:rsidP="00EE292B">
      <w:pPr>
        <w:spacing w:before="0" w:after="240"/>
        <w:rPr>
          <w:b/>
          <w:lang w:val="es-CO" w:eastAsia="en-US"/>
        </w:rPr>
      </w:pPr>
      <w:r w:rsidRPr="002259D9">
        <w:rPr>
          <w:b/>
          <w:lang w:val="es-CO" w:eastAsia="en-US"/>
        </w:rPr>
        <w:t>A Revisión Activos Puestos en Operación en 2018:</w:t>
      </w:r>
    </w:p>
    <w:p w14:paraId="104543DD" w14:textId="66CB5E96" w:rsidR="00EE292B" w:rsidRPr="002259D9" w:rsidRDefault="002F36AF" w:rsidP="002F36AF">
      <w:pPr>
        <w:widowControl w:val="0"/>
        <w:tabs>
          <w:tab w:val="left" w:pos="1123"/>
        </w:tabs>
        <w:autoSpaceDE w:val="0"/>
        <w:autoSpaceDN w:val="0"/>
        <w:spacing w:before="0" w:after="0"/>
        <w:ind w:left="360" w:hanging="360"/>
        <w:rPr>
          <w:b/>
          <w:bCs/>
          <w:i/>
          <w:iCs/>
        </w:rPr>
      </w:pPr>
      <w:r w:rsidRPr="002259D9">
        <w:rPr>
          <w:b/>
          <w:bCs/>
        </w:rPr>
        <w:t>A.1.</w:t>
      </w:r>
      <w:r w:rsidRPr="002259D9">
        <w:rPr>
          <w:i/>
          <w:iCs/>
        </w:rPr>
        <w:t xml:space="preserve"> </w:t>
      </w:r>
      <w:r w:rsidRPr="002259D9">
        <w:rPr>
          <w:b/>
          <w:bCs/>
          <w:i/>
          <w:iCs/>
        </w:rPr>
        <w:t>Comentario CREG: “No se encuentra reporte en el campo “IUL Línea””.</w:t>
      </w:r>
    </w:p>
    <w:p w14:paraId="37229F5F" w14:textId="3FFF70FC" w:rsidR="002F36AF" w:rsidRPr="002259D9" w:rsidRDefault="002F36AF" w:rsidP="002F36AF">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Se solicita a la CREG incluir en el cálculo de la variable CRIFO las UC N2S7 asimiladas con los siguientes </w:t>
      </w:r>
      <w:proofErr w:type="spellStart"/>
      <w:r w:rsidRPr="002259D9">
        <w:rPr>
          <w:rFonts w:ascii="Bookman Old Style" w:hAnsi="Bookman Old Style" w:cs="Times New Roman"/>
          <w:b w:val="0"/>
          <w:bCs w:val="0"/>
          <w:i/>
          <w:iCs/>
        </w:rPr>
        <w:t>IUAs</w:t>
      </w:r>
      <w:proofErr w:type="spellEnd"/>
      <w:r w:rsidRPr="002259D9">
        <w:rPr>
          <w:rFonts w:ascii="Bookman Old Style" w:hAnsi="Bookman Old Style" w:cs="Times New Roman"/>
          <w:b w:val="0"/>
          <w:bCs w:val="0"/>
          <w:i/>
          <w:iCs/>
        </w:rPr>
        <w:t>: 10054007Y000, 10054007Z000 y en la variable CRIN las UC N2S7 asimiladas con los siguientes IUAs:1000800AL000,1001500AL000,1003000AL000,1003100AL000,1004300AL000,1007300AL000,1007500AL000,1007600AL000,1008600AL000,10054007Z00, 10054007Y000.</w:t>
      </w:r>
    </w:p>
    <w:p w14:paraId="62B54CA9" w14:textId="535964B1" w:rsidR="002F36AF" w:rsidRPr="002259D9" w:rsidRDefault="002F36AF" w:rsidP="002F36AF">
      <w:pPr>
        <w:pStyle w:val="Textoindependiente"/>
        <w:spacing w:line="252" w:lineRule="exact"/>
        <w:jc w:val="both"/>
        <w:rPr>
          <w:rFonts w:ascii="Bookman Old Style" w:hAnsi="Bookman Old Style" w:cs="Times New Roman"/>
          <w:b w:val="0"/>
          <w:bCs w:val="0"/>
          <w:i/>
          <w:iCs/>
        </w:rPr>
      </w:pPr>
      <w:r w:rsidRPr="002259D9">
        <w:rPr>
          <w:rFonts w:ascii="Bookman Old Style" w:hAnsi="Bookman Old Style" w:cs="Times New Roman"/>
          <w:b w:val="0"/>
          <w:bCs w:val="0"/>
        </w:rPr>
        <w:t>Soporte:</w:t>
      </w:r>
      <w:r w:rsidRPr="002259D9">
        <w:rPr>
          <w:rFonts w:ascii="Bookman Old Style" w:hAnsi="Bookman Old Style" w:cs="Times New Roman"/>
          <w:b w:val="0"/>
          <w:bCs w:val="0"/>
          <w:i/>
          <w:iCs/>
        </w:rPr>
        <w:t xml:space="preserve"> La unidad constructiva utilizada para este caso es la N2S7 Bahía de línea – subestación reducida. La razón por la cual no se ingresó el IUL es que, al no existir la UC bahía de transformador – subestación reducida, se asimiló dicha bahía de transformador reducida a la UC N2S7, razón por la cual la columna “G”- UIA Transformador está diligenciada con los transformadores donde se ubican las bahías mencionadas. Según la circular 029 de 2018, dicha bahía de línea está conformada por 3 DPS, 1 </w:t>
      </w:r>
      <w:proofErr w:type="spellStart"/>
      <w:r w:rsidRPr="002259D9">
        <w:rPr>
          <w:rFonts w:ascii="Bookman Old Style" w:hAnsi="Bookman Old Style" w:cs="Times New Roman"/>
          <w:b w:val="0"/>
          <w:bCs w:val="0"/>
          <w:i/>
          <w:iCs/>
        </w:rPr>
        <w:t>reconectador</w:t>
      </w:r>
      <w:proofErr w:type="spellEnd"/>
      <w:r w:rsidRPr="002259D9">
        <w:rPr>
          <w:rFonts w:ascii="Bookman Old Style" w:hAnsi="Bookman Old Style" w:cs="Times New Roman"/>
          <w:b w:val="0"/>
          <w:bCs w:val="0"/>
          <w:i/>
          <w:iCs/>
        </w:rPr>
        <w:t>, 210 kg de acero estructural, conductor de media tensión y 2 postes de concreto, los cuales se encuentran también en la bahía de transformador reducida y por tanto la asimilación es completa con factor FU=100.</w:t>
      </w:r>
    </w:p>
    <w:p w14:paraId="16AF9781" w14:textId="721B1AEF" w:rsidR="00B06EEE" w:rsidRPr="002259D9" w:rsidRDefault="002F36AF" w:rsidP="002F36AF">
      <w:pPr>
        <w:pStyle w:val="Textoindependiente"/>
        <w:spacing w:before="1"/>
        <w:jc w:val="both"/>
        <w:rPr>
          <w:rFonts w:ascii="Bookman Old Style" w:hAnsi="Bookman Old Style" w:cs="Times New Roman"/>
          <w:b w:val="0"/>
          <w:bCs w:val="0"/>
          <w:i/>
          <w:iCs/>
        </w:rPr>
      </w:pPr>
      <w:r w:rsidRPr="002259D9">
        <w:rPr>
          <w:rFonts w:ascii="Bookman Old Style" w:hAnsi="Bookman Old Style" w:cs="Times New Roman"/>
          <w:b w:val="0"/>
          <w:bCs w:val="0"/>
          <w:i/>
          <w:iCs/>
        </w:rPr>
        <w:t xml:space="preserve">Para verificar la información, solicitamos a la </w:t>
      </w:r>
      <w:r w:rsidR="00C73249">
        <w:rPr>
          <w:rFonts w:ascii="Bookman Old Style" w:hAnsi="Bookman Old Style" w:cs="Times New Roman"/>
          <w:b w:val="0"/>
          <w:bCs w:val="0"/>
          <w:i/>
          <w:iCs/>
        </w:rPr>
        <w:t>Comisión</w:t>
      </w:r>
      <w:r w:rsidRPr="002259D9">
        <w:rPr>
          <w:rFonts w:ascii="Bookman Old Style" w:hAnsi="Bookman Old Style" w:cs="Times New Roman"/>
          <w:b w:val="0"/>
          <w:bCs w:val="0"/>
          <w:i/>
          <w:iCs/>
        </w:rPr>
        <w:t xml:space="preserve"> revisar en el anexo 4 de la solicitud de reconocimiento de activos 2018 con radicado E-2020-002948 del 3 de abril de 2020, los unifilares de las subestaciones en las cuales se presenta esta situación, las cuales son: Arboletes, Santa Isabel, Minas del vapor, Cocorná regional, San Carlos, Zaragoza, Tarso, </w:t>
      </w:r>
      <w:proofErr w:type="spellStart"/>
      <w:r w:rsidRPr="002259D9">
        <w:rPr>
          <w:rFonts w:ascii="Bookman Old Style" w:hAnsi="Bookman Old Style" w:cs="Times New Roman"/>
          <w:b w:val="0"/>
          <w:bCs w:val="0"/>
          <w:i/>
          <w:iCs/>
        </w:rPr>
        <w:t>Valparaiso</w:t>
      </w:r>
      <w:proofErr w:type="spellEnd"/>
      <w:r w:rsidRPr="002259D9">
        <w:rPr>
          <w:rFonts w:ascii="Bookman Old Style" w:hAnsi="Bookman Old Style" w:cs="Times New Roman"/>
          <w:b w:val="0"/>
          <w:bCs w:val="0"/>
          <w:i/>
          <w:iCs/>
        </w:rPr>
        <w:t xml:space="preserve">, </w:t>
      </w:r>
      <w:proofErr w:type="spellStart"/>
      <w:r w:rsidRPr="002259D9">
        <w:rPr>
          <w:rFonts w:ascii="Bookman Old Style" w:hAnsi="Bookman Old Style" w:cs="Times New Roman"/>
          <w:b w:val="0"/>
          <w:bCs w:val="0"/>
          <w:i/>
          <w:iCs/>
        </w:rPr>
        <w:t>Tapartó</w:t>
      </w:r>
      <w:proofErr w:type="spellEnd"/>
      <w:r w:rsidRPr="002259D9">
        <w:rPr>
          <w:rFonts w:ascii="Bookman Old Style" w:hAnsi="Bookman Old Style" w:cs="Times New Roman"/>
          <w:b w:val="0"/>
          <w:bCs w:val="0"/>
          <w:i/>
          <w:iCs/>
        </w:rPr>
        <w:t xml:space="preserve"> y Cañasgordas, donde se puede observar la bahía de transformador mencionada en N2 y que se resalta como forma de ejemplo en la figura 1 a continuación.</w:t>
      </w:r>
    </w:p>
    <w:p w14:paraId="1B713574" w14:textId="611C54D1" w:rsidR="006069A0" w:rsidRPr="002259D9" w:rsidRDefault="006069A0" w:rsidP="002F36AF">
      <w:pPr>
        <w:pStyle w:val="Textoindependiente"/>
        <w:spacing w:before="1"/>
        <w:jc w:val="both"/>
        <w:rPr>
          <w:rFonts w:ascii="Bookman Old Style" w:hAnsi="Bookman Old Style" w:cs="Times New Roman"/>
          <w:b w:val="0"/>
          <w:bCs w:val="0"/>
          <w:i/>
          <w:iCs/>
        </w:rPr>
      </w:pPr>
    </w:p>
    <w:p w14:paraId="5C78D7D1" w14:textId="361345B7" w:rsidR="006069A0" w:rsidRPr="002259D9" w:rsidRDefault="006069A0" w:rsidP="002F36AF">
      <w:pPr>
        <w:pStyle w:val="Textoindependiente"/>
        <w:spacing w:before="1"/>
        <w:jc w:val="both"/>
        <w:rPr>
          <w:rFonts w:ascii="Bookman Old Style" w:hAnsi="Bookman Old Style" w:cs="Times New Roman"/>
          <w:b w:val="0"/>
          <w:bCs w:val="0"/>
          <w:i/>
          <w:iCs/>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75F753C4" w14:textId="190086B4" w:rsidR="002F36AF" w:rsidRPr="002259D9" w:rsidRDefault="00B06EEE" w:rsidP="00E43EC3">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lastRenderedPageBreak/>
        <w:t xml:space="preserve">Se </w:t>
      </w:r>
      <w:r w:rsidR="00B21879" w:rsidRPr="002259D9">
        <w:rPr>
          <w:rFonts w:ascii="Bookman Old Style" w:hAnsi="Bookman Old Style" w:cs="Times New Roman"/>
          <w:b w:val="0"/>
          <w:bCs w:val="0"/>
        </w:rPr>
        <w:t>revis</w:t>
      </w:r>
      <w:r w:rsidR="00B21879">
        <w:rPr>
          <w:rFonts w:ascii="Bookman Old Style" w:hAnsi="Bookman Old Style" w:cs="Times New Roman"/>
          <w:b w:val="0"/>
          <w:bCs w:val="0"/>
        </w:rPr>
        <w:t>ó</w:t>
      </w:r>
      <w:r w:rsidR="00B21879" w:rsidRPr="002259D9">
        <w:rPr>
          <w:rFonts w:ascii="Bookman Old Style" w:hAnsi="Bookman Old Style" w:cs="Times New Roman"/>
          <w:b w:val="0"/>
          <w:bCs w:val="0"/>
        </w:rPr>
        <w:t xml:space="preserve"> </w:t>
      </w:r>
      <w:r w:rsidRPr="002259D9">
        <w:rPr>
          <w:rFonts w:ascii="Bookman Old Style" w:hAnsi="Bookman Old Style" w:cs="Times New Roman"/>
          <w:b w:val="0"/>
          <w:bCs w:val="0"/>
        </w:rPr>
        <w:t>la totalidad de la información enviada por el OR</w:t>
      </w:r>
      <w:r w:rsidR="00850B06" w:rsidRPr="002259D9">
        <w:rPr>
          <w:rFonts w:ascii="Bookman Old Style" w:hAnsi="Bookman Old Style" w:cs="Times New Roman"/>
          <w:b w:val="0"/>
          <w:bCs w:val="0"/>
        </w:rPr>
        <w:t xml:space="preserve">, para lo cual la </w:t>
      </w:r>
      <w:r w:rsidR="00C73249">
        <w:rPr>
          <w:rFonts w:ascii="Bookman Old Style" w:hAnsi="Bookman Old Style" w:cs="Times New Roman"/>
          <w:b w:val="0"/>
          <w:bCs w:val="0"/>
        </w:rPr>
        <w:t>Comisión</w:t>
      </w:r>
      <w:r w:rsidR="00850B06" w:rsidRPr="002259D9">
        <w:rPr>
          <w:rFonts w:ascii="Bookman Old Style" w:hAnsi="Bookman Old Style" w:cs="Times New Roman"/>
          <w:b w:val="0"/>
          <w:bCs w:val="0"/>
        </w:rPr>
        <w:t xml:space="preserve"> resuelve</w:t>
      </w:r>
      <w:r w:rsidR="006069A0" w:rsidRPr="002259D9">
        <w:rPr>
          <w:rFonts w:ascii="Bookman Old Style" w:hAnsi="Bookman Old Style" w:cs="Times New Roman"/>
          <w:b w:val="0"/>
          <w:bCs w:val="0"/>
        </w:rPr>
        <w:t xml:space="preserve"> aprobar la UC asociadas al comentario del OR asimilando la UC N2S7.</w:t>
      </w:r>
    </w:p>
    <w:p w14:paraId="22894E3A" w14:textId="77777777" w:rsidR="00783A35" w:rsidRPr="002259D9" w:rsidRDefault="00783A35" w:rsidP="00E43EC3">
      <w:pPr>
        <w:pStyle w:val="Textoindependiente"/>
        <w:spacing w:before="1"/>
        <w:jc w:val="both"/>
        <w:rPr>
          <w:rFonts w:ascii="Bookman Old Style" w:hAnsi="Bookman Old Style" w:cs="Times New Roman"/>
          <w:b w:val="0"/>
          <w:bCs w:val="0"/>
        </w:rPr>
      </w:pPr>
    </w:p>
    <w:p w14:paraId="5AA9D4F4" w14:textId="233083C4" w:rsidR="00EE292B" w:rsidRPr="002259D9" w:rsidRDefault="00BE0955" w:rsidP="00C31381">
      <w:pPr>
        <w:pStyle w:val="Textoindependiente"/>
        <w:ind w:right="275"/>
        <w:jc w:val="both"/>
        <w:rPr>
          <w:rFonts w:ascii="Bookman Old Style" w:hAnsi="Bookman Old Style" w:cs="Times New Roman"/>
          <w:b w:val="0"/>
          <w:bCs w:val="0"/>
        </w:rPr>
      </w:pPr>
      <w:r w:rsidRPr="002259D9">
        <w:rPr>
          <w:rFonts w:ascii="Bookman Old Style" w:hAnsi="Bookman Old Style" w:cs="Times New Roman"/>
        </w:rPr>
        <w:t>A.2.</w:t>
      </w:r>
      <w:r w:rsidRPr="002259D9">
        <w:rPr>
          <w:rFonts w:ascii="Bookman Old Style" w:hAnsi="Bookman Old Style" w:cs="Times New Roman"/>
          <w:b w:val="0"/>
          <w:bCs w:val="0"/>
        </w:rPr>
        <w:t xml:space="preserve"> </w:t>
      </w:r>
      <w:r w:rsidRPr="002259D9">
        <w:rPr>
          <w:rFonts w:ascii="Bookman Old Style" w:hAnsi="Bookman Old Style" w:cs="Times New Roman"/>
          <w:i/>
          <w:iCs/>
        </w:rPr>
        <w:t>Comentario CREG: “El módulo común solicitado no corresponde con el total de bahías aprobadas en la SE, para el mismo nivel de tensión”</w:t>
      </w:r>
    </w:p>
    <w:p w14:paraId="3DEBFB3D" w14:textId="5A40CBBF" w:rsidR="00965296" w:rsidRPr="002259D9" w:rsidRDefault="000E6F5B" w:rsidP="00965296">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Solicitud: El OR solicita el reconocimiento de diferentes UC de módulos de barraje, de acuerdo con múltiples ajustes y aclaraciones</w:t>
      </w:r>
      <w:r w:rsidR="00965296" w:rsidRPr="002259D9">
        <w:rPr>
          <w:rFonts w:ascii="Bookman Old Style" w:hAnsi="Bookman Old Style" w:cs="Times New Roman"/>
          <w:b w:val="0"/>
          <w:bCs w:val="0"/>
        </w:rPr>
        <w:t>.</w:t>
      </w:r>
    </w:p>
    <w:p w14:paraId="3E974F7A" w14:textId="443C5D0A" w:rsidR="00965296" w:rsidRPr="002259D9" w:rsidRDefault="00965296" w:rsidP="00965296">
      <w:pPr>
        <w:pStyle w:val="Textoindependiente"/>
        <w:spacing w:before="1"/>
        <w:jc w:val="both"/>
        <w:rPr>
          <w:rFonts w:ascii="Bookman Old Style" w:hAnsi="Bookman Old Style" w:cs="Times New Roman"/>
          <w:b w:val="0"/>
          <w:bCs w:val="0"/>
          <w:i/>
          <w:iCs/>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45A09ECA" w14:textId="5ACA2492" w:rsidR="0014046E" w:rsidRPr="002259D9" w:rsidRDefault="00965296" w:rsidP="0014046E">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 xml:space="preserve">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resuelve aprobar la UC a las que se diera lugar de acuerdo con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637"/>
        <w:gridCol w:w="1408"/>
        <w:gridCol w:w="662"/>
        <w:gridCol w:w="2345"/>
        <w:gridCol w:w="2091"/>
        <w:gridCol w:w="1710"/>
      </w:tblGrid>
      <w:tr w:rsidR="00786A7D" w:rsidRPr="002259D9" w14:paraId="56FD80BB" w14:textId="77777777" w:rsidTr="00D948CA">
        <w:trPr>
          <w:trHeight w:val="300"/>
          <w:tblHeader/>
        </w:trPr>
        <w:tc>
          <w:tcPr>
            <w:tcW w:w="0" w:type="auto"/>
            <w:shd w:val="clear" w:color="auto" w:fill="auto"/>
            <w:noWrap/>
            <w:vAlign w:val="center"/>
            <w:hideMark/>
          </w:tcPr>
          <w:p w14:paraId="3F4F2AF6" w14:textId="77777777" w:rsidR="00786A7D" w:rsidRPr="002259D9" w:rsidRDefault="00786A7D" w:rsidP="00786A7D">
            <w:pPr>
              <w:spacing w:before="0" w:after="0"/>
              <w:jc w:val="center"/>
              <w:rPr>
                <w:b/>
                <w:bCs/>
                <w:sz w:val="18"/>
                <w:szCs w:val="18"/>
              </w:rPr>
            </w:pPr>
            <w:r w:rsidRPr="002259D9">
              <w:rPr>
                <w:b/>
                <w:bCs/>
                <w:sz w:val="18"/>
                <w:szCs w:val="18"/>
              </w:rPr>
              <w:t>Fila</w:t>
            </w:r>
          </w:p>
        </w:tc>
        <w:tc>
          <w:tcPr>
            <w:tcW w:w="0" w:type="auto"/>
            <w:shd w:val="clear" w:color="auto" w:fill="auto"/>
            <w:noWrap/>
            <w:vAlign w:val="center"/>
            <w:hideMark/>
          </w:tcPr>
          <w:p w14:paraId="5B3003B2" w14:textId="77777777" w:rsidR="00786A7D" w:rsidRPr="002259D9" w:rsidRDefault="00786A7D" w:rsidP="00786A7D">
            <w:pPr>
              <w:spacing w:before="0" w:after="0"/>
              <w:jc w:val="center"/>
              <w:rPr>
                <w:b/>
                <w:bCs/>
                <w:sz w:val="18"/>
                <w:szCs w:val="18"/>
              </w:rPr>
            </w:pPr>
            <w:r w:rsidRPr="002259D9">
              <w:rPr>
                <w:b/>
                <w:bCs/>
                <w:sz w:val="18"/>
                <w:szCs w:val="18"/>
              </w:rPr>
              <w:t>IUS</w:t>
            </w:r>
          </w:p>
        </w:tc>
        <w:tc>
          <w:tcPr>
            <w:tcW w:w="0" w:type="auto"/>
            <w:shd w:val="clear" w:color="auto" w:fill="auto"/>
            <w:noWrap/>
            <w:vAlign w:val="center"/>
            <w:hideMark/>
          </w:tcPr>
          <w:p w14:paraId="5C0AB148" w14:textId="77777777" w:rsidR="00786A7D" w:rsidRPr="002259D9" w:rsidRDefault="00786A7D" w:rsidP="00786A7D">
            <w:pPr>
              <w:spacing w:before="0" w:after="0"/>
              <w:jc w:val="center"/>
              <w:rPr>
                <w:b/>
                <w:bCs/>
                <w:sz w:val="18"/>
                <w:szCs w:val="18"/>
              </w:rPr>
            </w:pPr>
            <w:r w:rsidRPr="002259D9">
              <w:rPr>
                <w:b/>
                <w:bCs/>
                <w:sz w:val="18"/>
                <w:szCs w:val="18"/>
              </w:rPr>
              <w:t>SE</w:t>
            </w:r>
          </w:p>
        </w:tc>
        <w:tc>
          <w:tcPr>
            <w:tcW w:w="0" w:type="auto"/>
            <w:shd w:val="clear" w:color="auto" w:fill="auto"/>
            <w:noWrap/>
            <w:vAlign w:val="center"/>
            <w:hideMark/>
          </w:tcPr>
          <w:p w14:paraId="21400D65" w14:textId="77777777" w:rsidR="00786A7D" w:rsidRPr="002259D9" w:rsidRDefault="00786A7D" w:rsidP="004346E8">
            <w:pPr>
              <w:spacing w:before="0" w:after="0"/>
              <w:jc w:val="center"/>
              <w:rPr>
                <w:b/>
                <w:bCs/>
                <w:sz w:val="18"/>
                <w:szCs w:val="18"/>
              </w:rPr>
            </w:pPr>
            <w:r w:rsidRPr="002259D9">
              <w:rPr>
                <w:b/>
                <w:bCs/>
                <w:sz w:val="18"/>
                <w:szCs w:val="18"/>
              </w:rPr>
              <w:t>UC</w:t>
            </w:r>
          </w:p>
        </w:tc>
        <w:tc>
          <w:tcPr>
            <w:tcW w:w="0" w:type="auto"/>
            <w:shd w:val="clear" w:color="auto" w:fill="auto"/>
            <w:noWrap/>
            <w:vAlign w:val="center"/>
            <w:hideMark/>
          </w:tcPr>
          <w:p w14:paraId="314EA74C" w14:textId="77777777" w:rsidR="00786A7D" w:rsidRPr="002259D9" w:rsidRDefault="00786A7D" w:rsidP="004346E8">
            <w:pPr>
              <w:spacing w:before="0" w:after="0"/>
              <w:jc w:val="center"/>
              <w:rPr>
                <w:b/>
                <w:bCs/>
                <w:sz w:val="18"/>
                <w:szCs w:val="18"/>
              </w:rPr>
            </w:pPr>
            <w:r w:rsidRPr="002259D9">
              <w:rPr>
                <w:b/>
                <w:bCs/>
                <w:sz w:val="18"/>
                <w:szCs w:val="18"/>
              </w:rPr>
              <w:t>Justificación</w:t>
            </w:r>
          </w:p>
        </w:tc>
        <w:tc>
          <w:tcPr>
            <w:tcW w:w="0" w:type="auto"/>
            <w:shd w:val="clear" w:color="auto" w:fill="auto"/>
            <w:noWrap/>
            <w:vAlign w:val="center"/>
            <w:hideMark/>
          </w:tcPr>
          <w:p w14:paraId="3174CCA7" w14:textId="77777777" w:rsidR="00786A7D" w:rsidRPr="002259D9" w:rsidRDefault="00786A7D" w:rsidP="00113700">
            <w:pPr>
              <w:spacing w:before="0" w:after="0"/>
              <w:rPr>
                <w:b/>
                <w:bCs/>
                <w:sz w:val="18"/>
                <w:szCs w:val="18"/>
              </w:rPr>
            </w:pPr>
            <w:r w:rsidRPr="002259D9">
              <w:rPr>
                <w:b/>
                <w:bCs/>
                <w:sz w:val="18"/>
                <w:szCs w:val="18"/>
              </w:rPr>
              <w:t>Solicitud</w:t>
            </w:r>
          </w:p>
        </w:tc>
        <w:tc>
          <w:tcPr>
            <w:tcW w:w="0" w:type="auto"/>
            <w:shd w:val="clear" w:color="auto" w:fill="auto"/>
            <w:noWrap/>
            <w:vAlign w:val="center"/>
            <w:hideMark/>
          </w:tcPr>
          <w:p w14:paraId="68DBE56D" w14:textId="77777777" w:rsidR="00786A7D" w:rsidRPr="002259D9" w:rsidRDefault="00786A7D" w:rsidP="00113700">
            <w:pPr>
              <w:spacing w:before="0" w:after="0"/>
              <w:rPr>
                <w:b/>
                <w:bCs/>
                <w:sz w:val="18"/>
                <w:szCs w:val="18"/>
              </w:rPr>
            </w:pPr>
            <w:r w:rsidRPr="002259D9">
              <w:rPr>
                <w:b/>
                <w:bCs/>
                <w:sz w:val="18"/>
                <w:szCs w:val="18"/>
              </w:rPr>
              <w:t>Análisis CREG</w:t>
            </w:r>
          </w:p>
        </w:tc>
      </w:tr>
      <w:tr w:rsidR="00786A7D" w:rsidRPr="002259D9" w14:paraId="0EBAA519" w14:textId="77777777" w:rsidTr="00D948CA">
        <w:trPr>
          <w:trHeight w:val="2850"/>
        </w:trPr>
        <w:tc>
          <w:tcPr>
            <w:tcW w:w="0" w:type="auto"/>
            <w:shd w:val="clear" w:color="auto" w:fill="auto"/>
            <w:noWrap/>
            <w:vAlign w:val="center"/>
            <w:hideMark/>
          </w:tcPr>
          <w:p w14:paraId="5640629E" w14:textId="77777777" w:rsidR="00786A7D" w:rsidRPr="002259D9" w:rsidRDefault="00786A7D" w:rsidP="00786A7D">
            <w:pPr>
              <w:spacing w:before="0" w:after="0"/>
              <w:jc w:val="center"/>
              <w:rPr>
                <w:sz w:val="16"/>
                <w:szCs w:val="16"/>
              </w:rPr>
            </w:pPr>
            <w:r w:rsidRPr="002259D9">
              <w:rPr>
                <w:sz w:val="16"/>
                <w:szCs w:val="16"/>
              </w:rPr>
              <w:t>218</w:t>
            </w:r>
          </w:p>
        </w:tc>
        <w:tc>
          <w:tcPr>
            <w:tcW w:w="0" w:type="auto"/>
            <w:shd w:val="clear" w:color="auto" w:fill="auto"/>
            <w:noWrap/>
            <w:vAlign w:val="center"/>
            <w:hideMark/>
          </w:tcPr>
          <w:p w14:paraId="7F143BAF" w14:textId="77777777" w:rsidR="00786A7D" w:rsidRPr="002259D9" w:rsidRDefault="00786A7D" w:rsidP="00786A7D">
            <w:pPr>
              <w:spacing w:before="0" w:after="0"/>
              <w:jc w:val="center"/>
              <w:rPr>
                <w:sz w:val="16"/>
                <w:szCs w:val="16"/>
              </w:rPr>
            </w:pPr>
            <w:r w:rsidRPr="002259D9">
              <w:rPr>
                <w:sz w:val="16"/>
                <w:szCs w:val="16"/>
              </w:rPr>
              <w:t>10020</w:t>
            </w:r>
          </w:p>
        </w:tc>
        <w:tc>
          <w:tcPr>
            <w:tcW w:w="0" w:type="auto"/>
            <w:shd w:val="clear" w:color="auto" w:fill="auto"/>
            <w:noWrap/>
            <w:vAlign w:val="center"/>
            <w:hideMark/>
          </w:tcPr>
          <w:p w14:paraId="4642A52E" w14:textId="77777777" w:rsidR="00786A7D" w:rsidRPr="002259D9" w:rsidRDefault="00786A7D" w:rsidP="00786A7D">
            <w:pPr>
              <w:spacing w:before="0" w:after="0"/>
              <w:jc w:val="center"/>
              <w:rPr>
                <w:sz w:val="16"/>
                <w:szCs w:val="16"/>
              </w:rPr>
            </w:pPr>
            <w:r w:rsidRPr="002259D9">
              <w:rPr>
                <w:sz w:val="16"/>
                <w:szCs w:val="16"/>
              </w:rPr>
              <w:t>Marinilla</w:t>
            </w:r>
          </w:p>
        </w:tc>
        <w:tc>
          <w:tcPr>
            <w:tcW w:w="0" w:type="auto"/>
            <w:shd w:val="clear" w:color="auto" w:fill="auto"/>
            <w:noWrap/>
            <w:vAlign w:val="center"/>
            <w:hideMark/>
          </w:tcPr>
          <w:p w14:paraId="05C7B240" w14:textId="77777777" w:rsidR="00786A7D" w:rsidRPr="002259D9" w:rsidRDefault="00786A7D" w:rsidP="00786A7D">
            <w:pPr>
              <w:spacing w:before="0" w:after="0"/>
              <w:jc w:val="center"/>
              <w:rPr>
                <w:sz w:val="16"/>
                <w:szCs w:val="16"/>
              </w:rPr>
            </w:pPr>
            <w:r w:rsidRPr="002259D9">
              <w:rPr>
                <w:sz w:val="16"/>
                <w:szCs w:val="16"/>
              </w:rPr>
              <w:t>N3S24</w:t>
            </w:r>
          </w:p>
        </w:tc>
        <w:tc>
          <w:tcPr>
            <w:tcW w:w="0" w:type="auto"/>
            <w:shd w:val="clear" w:color="auto" w:fill="auto"/>
            <w:vAlign w:val="center"/>
            <w:hideMark/>
          </w:tcPr>
          <w:p w14:paraId="590E013D" w14:textId="77777777" w:rsidR="00786A7D" w:rsidRPr="002259D9" w:rsidRDefault="00786A7D" w:rsidP="00113700">
            <w:pPr>
              <w:spacing w:before="0" w:after="0"/>
              <w:rPr>
                <w:sz w:val="16"/>
                <w:szCs w:val="16"/>
              </w:rPr>
            </w:pPr>
            <w:r w:rsidRPr="002259D9">
              <w:rPr>
                <w:sz w:val="16"/>
                <w:szCs w:val="16"/>
              </w:rPr>
              <w:t>La remodelación de la subestación implicó ingresar dos nuevas bahías en N3, pasando de 2 a 4 bahías, esta es la razón por la cual el CRIFO tiene la UC N3S24 módulo de barraje tipo 1 (1 a 2 bahías), y el CRIN tiene la UC N3S25 módulo de barraje tipo 2 (3 a 4 bahías). Las bahías son: 1002000B4000, 1002000B5000, 1002000B6000. 1002000B7000.</w:t>
            </w:r>
          </w:p>
        </w:tc>
        <w:tc>
          <w:tcPr>
            <w:tcW w:w="0" w:type="auto"/>
            <w:shd w:val="clear" w:color="auto" w:fill="auto"/>
            <w:vAlign w:val="center"/>
            <w:hideMark/>
          </w:tcPr>
          <w:p w14:paraId="09525FA6" w14:textId="77777777" w:rsidR="00786A7D" w:rsidRPr="002259D9" w:rsidRDefault="00786A7D" w:rsidP="00113700">
            <w:pPr>
              <w:spacing w:before="0" w:after="0"/>
              <w:rPr>
                <w:sz w:val="16"/>
                <w:szCs w:val="16"/>
              </w:rPr>
            </w:pPr>
            <w:r w:rsidRPr="002259D9">
              <w:rPr>
                <w:sz w:val="16"/>
                <w:szCs w:val="16"/>
              </w:rPr>
              <w:t>Incluir en el cálculo de la variable CRIFO la UC N3S24 con IUA 10020000U000.</w:t>
            </w:r>
          </w:p>
        </w:tc>
        <w:tc>
          <w:tcPr>
            <w:tcW w:w="0" w:type="auto"/>
            <w:shd w:val="clear" w:color="auto" w:fill="auto"/>
            <w:vAlign w:val="center"/>
            <w:hideMark/>
          </w:tcPr>
          <w:p w14:paraId="382C18A8" w14:textId="77777777" w:rsidR="00786A7D" w:rsidRPr="002259D9" w:rsidRDefault="00786A7D" w:rsidP="00113700">
            <w:pPr>
              <w:spacing w:before="0" w:after="0"/>
              <w:rPr>
                <w:sz w:val="16"/>
                <w:szCs w:val="16"/>
              </w:rPr>
            </w:pPr>
            <w:r w:rsidRPr="002259D9">
              <w:rPr>
                <w:sz w:val="16"/>
                <w:szCs w:val="16"/>
              </w:rPr>
              <w:t>El OR aclara la solicitud y se incluye la UC.</w:t>
            </w:r>
          </w:p>
        </w:tc>
      </w:tr>
      <w:tr w:rsidR="00786A7D" w:rsidRPr="002259D9" w14:paraId="623B2C37" w14:textId="77777777" w:rsidTr="00D948CA">
        <w:trPr>
          <w:trHeight w:val="2865"/>
        </w:trPr>
        <w:tc>
          <w:tcPr>
            <w:tcW w:w="0" w:type="auto"/>
            <w:shd w:val="clear" w:color="auto" w:fill="auto"/>
            <w:noWrap/>
            <w:vAlign w:val="center"/>
            <w:hideMark/>
          </w:tcPr>
          <w:p w14:paraId="295C6F2C" w14:textId="77777777" w:rsidR="00786A7D" w:rsidRPr="002259D9" w:rsidRDefault="00786A7D" w:rsidP="00786A7D">
            <w:pPr>
              <w:spacing w:before="0" w:after="0"/>
              <w:jc w:val="center"/>
              <w:rPr>
                <w:sz w:val="16"/>
                <w:szCs w:val="16"/>
              </w:rPr>
            </w:pPr>
            <w:r w:rsidRPr="002259D9">
              <w:rPr>
                <w:sz w:val="16"/>
                <w:szCs w:val="16"/>
              </w:rPr>
              <w:t>227</w:t>
            </w:r>
          </w:p>
        </w:tc>
        <w:tc>
          <w:tcPr>
            <w:tcW w:w="0" w:type="auto"/>
            <w:shd w:val="clear" w:color="auto" w:fill="auto"/>
            <w:noWrap/>
            <w:vAlign w:val="center"/>
            <w:hideMark/>
          </w:tcPr>
          <w:p w14:paraId="5A21C293" w14:textId="77777777" w:rsidR="00786A7D" w:rsidRPr="002259D9" w:rsidRDefault="00786A7D" w:rsidP="00786A7D">
            <w:pPr>
              <w:spacing w:before="0" w:after="0"/>
              <w:jc w:val="center"/>
              <w:rPr>
                <w:sz w:val="16"/>
                <w:szCs w:val="16"/>
              </w:rPr>
            </w:pPr>
            <w:r w:rsidRPr="002259D9">
              <w:rPr>
                <w:sz w:val="16"/>
                <w:szCs w:val="16"/>
              </w:rPr>
              <w:t>10106</w:t>
            </w:r>
          </w:p>
        </w:tc>
        <w:tc>
          <w:tcPr>
            <w:tcW w:w="0" w:type="auto"/>
            <w:shd w:val="clear" w:color="auto" w:fill="auto"/>
            <w:noWrap/>
            <w:vAlign w:val="center"/>
            <w:hideMark/>
          </w:tcPr>
          <w:p w14:paraId="5C326834" w14:textId="77777777" w:rsidR="00786A7D" w:rsidRPr="002259D9" w:rsidRDefault="00786A7D" w:rsidP="00786A7D">
            <w:pPr>
              <w:spacing w:before="0" w:after="0"/>
              <w:jc w:val="center"/>
              <w:rPr>
                <w:sz w:val="16"/>
                <w:szCs w:val="16"/>
              </w:rPr>
            </w:pPr>
            <w:r w:rsidRPr="002259D9">
              <w:rPr>
                <w:sz w:val="16"/>
                <w:szCs w:val="16"/>
              </w:rPr>
              <w:t>Pantanillo La Fe</w:t>
            </w:r>
          </w:p>
        </w:tc>
        <w:tc>
          <w:tcPr>
            <w:tcW w:w="0" w:type="auto"/>
            <w:shd w:val="clear" w:color="auto" w:fill="auto"/>
            <w:noWrap/>
            <w:vAlign w:val="center"/>
            <w:hideMark/>
          </w:tcPr>
          <w:p w14:paraId="14D474D3" w14:textId="77777777" w:rsidR="00786A7D" w:rsidRPr="002259D9" w:rsidRDefault="00786A7D" w:rsidP="00786A7D">
            <w:pPr>
              <w:spacing w:before="0" w:after="0"/>
              <w:jc w:val="center"/>
              <w:rPr>
                <w:sz w:val="16"/>
                <w:szCs w:val="16"/>
              </w:rPr>
            </w:pPr>
            <w:r w:rsidRPr="002259D9">
              <w:rPr>
                <w:sz w:val="16"/>
                <w:szCs w:val="16"/>
              </w:rPr>
              <w:t>N3S24</w:t>
            </w:r>
          </w:p>
        </w:tc>
        <w:tc>
          <w:tcPr>
            <w:tcW w:w="0" w:type="auto"/>
            <w:shd w:val="clear" w:color="auto" w:fill="auto"/>
            <w:vAlign w:val="bottom"/>
            <w:hideMark/>
          </w:tcPr>
          <w:p w14:paraId="359285A4" w14:textId="77777777" w:rsidR="00786A7D" w:rsidRPr="002259D9" w:rsidRDefault="00786A7D" w:rsidP="00113700">
            <w:pPr>
              <w:spacing w:before="0" w:after="0"/>
              <w:rPr>
                <w:sz w:val="16"/>
                <w:szCs w:val="16"/>
              </w:rPr>
            </w:pPr>
            <w:r w:rsidRPr="002259D9">
              <w:rPr>
                <w:sz w:val="16"/>
                <w:szCs w:val="16"/>
              </w:rPr>
              <w:t>La subestación cuenta con 3 bahías en N3 del uso. El cambio de módulo barraje corresponde a una corrección, ya que se tenía el módulo de barraje tipo 1, N3S24 (1 a 2 bahías) y se cambia por el tipo 2, N3S25 (3 a 4 bahías), razón por la cual el CRIFO tiene la UC N3S24 y el CRIN la UC N3S25. Las bahías reconocidas son: 101060080000, 101060081000 y 1010600AS000.</w:t>
            </w:r>
          </w:p>
        </w:tc>
        <w:tc>
          <w:tcPr>
            <w:tcW w:w="0" w:type="auto"/>
            <w:shd w:val="clear" w:color="auto" w:fill="auto"/>
            <w:vAlign w:val="center"/>
            <w:hideMark/>
          </w:tcPr>
          <w:p w14:paraId="511DA6E4" w14:textId="77777777" w:rsidR="00786A7D" w:rsidRPr="002259D9" w:rsidRDefault="00786A7D" w:rsidP="00113700">
            <w:pPr>
              <w:spacing w:before="0" w:after="0"/>
              <w:rPr>
                <w:sz w:val="16"/>
                <w:szCs w:val="16"/>
              </w:rPr>
            </w:pPr>
            <w:r w:rsidRPr="002259D9">
              <w:rPr>
                <w:sz w:val="16"/>
                <w:szCs w:val="16"/>
              </w:rPr>
              <w:t>Incluir en el cálculo de la variable CRIFO la UC N3S24 con IUA 101060082000.</w:t>
            </w:r>
          </w:p>
        </w:tc>
        <w:tc>
          <w:tcPr>
            <w:tcW w:w="0" w:type="auto"/>
            <w:shd w:val="clear" w:color="auto" w:fill="auto"/>
            <w:vAlign w:val="center"/>
            <w:hideMark/>
          </w:tcPr>
          <w:p w14:paraId="79984926" w14:textId="77777777" w:rsidR="00786A7D" w:rsidRPr="002259D9" w:rsidRDefault="00786A7D" w:rsidP="00113700">
            <w:pPr>
              <w:spacing w:before="0" w:after="0"/>
              <w:rPr>
                <w:sz w:val="16"/>
                <w:szCs w:val="16"/>
              </w:rPr>
            </w:pPr>
            <w:r w:rsidRPr="002259D9">
              <w:rPr>
                <w:sz w:val="16"/>
                <w:szCs w:val="16"/>
              </w:rPr>
              <w:t>El OR aclara la solicitud y se incluye la UC.</w:t>
            </w:r>
          </w:p>
        </w:tc>
      </w:tr>
      <w:tr w:rsidR="00786A7D" w:rsidRPr="002259D9" w14:paraId="0E7BC07C" w14:textId="77777777" w:rsidTr="00D948CA">
        <w:trPr>
          <w:trHeight w:val="3720"/>
        </w:trPr>
        <w:tc>
          <w:tcPr>
            <w:tcW w:w="0" w:type="auto"/>
            <w:shd w:val="clear" w:color="auto" w:fill="auto"/>
            <w:noWrap/>
            <w:vAlign w:val="center"/>
            <w:hideMark/>
          </w:tcPr>
          <w:p w14:paraId="131C2C19" w14:textId="77777777" w:rsidR="00786A7D" w:rsidRPr="002259D9" w:rsidRDefault="00786A7D" w:rsidP="00786A7D">
            <w:pPr>
              <w:spacing w:before="0" w:after="0"/>
              <w:jc w:val="center"/>
              <w:rPr>
                <w:sz w:val="16"/>
                <w:szCs w:val="16"/>
              </w:rPr>
            </w:pPr>
            <w:r w:rsidRPr="002259D9">
              <w:rPr>
                <w:sz w:val="16"/>
                <w:szCs w:val="16"/>
              </w:rPr>
              <w:t>232</w:t>
            </w:r>
          </w:p>
        </w:tc>
        <w:tc>
          <w:tcPr>
            <w:tcW w:w="0" w:type="auto"/>
            <w:shd w:val="clear" w:color="auto" w:fill="auto"/>
            <w:noWrap/>
            <w:vAlign w:val="center"/>
            <w:hideMark/>
          </w:tcPr>
          <w:p w14:paraId="3AD4870F" w14:textId="77777777" w:rsidR="00786A7D" w:rsidRPr="002259D9" w:rsidRDefault="00786A7D" w:rsidP="00786A7D">
            <w:pPr>
              <w:spacing w:before="0" w:after="0"/>
              <w:jc w:val="center"/>
              <w:rPr>
                <w:sz w:val="16"/>
                <w:szCs w:val="16"/>
              </w:rPr>
            </w:pPr>
            <w:r w:rsidRPr="002259D9">
              <w:rPr>
                <w:sz w:val="16"/>
                <w:szCs w:val="16"/>
              </w:rPr>
              <w:t>10007</w:t>
            </w:r>
          </w:p>
        </w:tc>
        <w:tc>
          <w:tcPr>
            <w:tcW w:w="0" w:type="auto"/>
            <w:shd w:val="clear" w:color="auto" w:fill="auto"/>
            <w:noWrap/>
            <w:vAlign w:val="center"/>
            <w:hideMark/>
          </w:tcPr>
          <w:p w14:paraId="064E2B56" w14:textId="77777777" w:rsidR="00786A7D" w:rsidRPr="002259D9" w:rsidRDefault="00786A7D" w:rsidP="00786A7D">
            <w:pPr>
              <w:spacing w:before="0" w:after="0"/>
              <w:jc w:val="center"/>
              <w:rPr>
                <w:sz w:val="16"/>
                <w:szCs w:val="16"/>
              </w:rPr>
            </w:pPr>
            <w:r w:rsidRPr="002259D9">
              <w:rPr>
                <w:sz w:val="16"/>
                <w:szCs w:val="16"/>
              </w:rPr>
              <w:t>Amalfi</w:t>
            </w:r>
          </w:p>
        </w:tc>
        <w:tc>
          <w:tcPr>
            <w:tcW w:w="0" w:type="auto"/>
            <w:shd w:val="clear" w:color="auto" w:fill="auto"/>
            <w:noWrap/>
            <w:vAlign w:val="center"/>
            <w:hideMark/>
          </w:tcPr>
          <w:p w14:paraId="7FE13065" w14:textId="77777777" w:rsidR="00786A7D" w:rsidRPr="002259D9" w:rsidRDefault="00786A7D" w:rsidP="00786A7D">
            <w:pPr>
              <w:spacing w:before="0" w:after="0"/>
              <w:jc w:val="center"/>
              <w:rPr>
                <w:sz w:val="16"/>
                <w:szCs w:val="16"/>
              </w:rPr>
            </w:pPr>
            <w:r w:rsidRPr="002259D9">
              <w:rPr>
                <w:sz w:val="16"/>
                <w:szCs w:val="16"/>
              </w:rPr>
              <w:t>N4S21</w:t>
            </w:r>
          </w:p>
        </w:tc>
        <w:tc>
          <w:tcPr>
            <w:tcW w:w="0" w:type="auto"/>
            <w:shd w:val="clear" w:color="auto" w:fill="auto"/>
            <w:vAlign w:val="bottom"/>
            <w:hideMark/>
          </w:tcPr>
          <w:p w14:paraId="7D0A8EB2" w14:textId="77777777" w:rsidR="00786A7D" w:rsidRPr="002259D9" w:rsidRDefault="00786A7D" w:rsidP="00113700">
            <w:pPr>
              <w:spacing w:before="0" w:after="0"/>
              <w:rPr>
                <w:sz w:val="16"/>
                <w:szCs w:val="16"/>
              </w:rPr>
            </w:pPr>
            <w:r w:rsidRPr="002259D9">
              <w:rPr>
                <w:sz w:val="16"/>
                <w:szCs w:val="16"/>
              </w:rPr>
              <w:t>La subestación Amalfi tiene dos bahías en el uso y dos de conexión. Las bahías en el uso corresponden a las líneas La Cruzada y el Salto (IUA 10007007S000 y 1000700AL000S), las bahías de conexión corresponden a las líneas LUZMA I y LUZMA II. En el documento UPME con radicado 20201520021981 de 2020 (ver el enlace Anexos recurso Resolución CREG 136 de 2021 al final de este documento), se aprueba la UC N4S21 módulo de barraje tipo 2 (4 a 6 bahías) para la subestación Amalfi.</w:t>
            </w:r>
          </w:p>
        </w:tc>
        <w:tc>
          <w:tcPr>
            <w:tcW w:w="0" w:type="auto"/>
            <w:shd w:val="clear" w:color="auto" w:fill="auto"/>
            <w:vAlign w:val="center"/>
            <w:hideMark/>
          </w:tcPr>
          <w:p w14:paraId="1911342F" w14:textId="77777777" w:rsidR="00786A7D" w:rsidRPr="002259D9" w:rsidRDefault="00786A7D" w:rsidP="00113700">
            <w:pPr>
              <w:spacing w:before="0" w:after="0"/>
              <w:rPr>
                <w:sz w:val="16"/>
                <w:szCs w:val="16"/>
              </w:rPr>
            </w:pPr>
            <w:r w:rsidRPr="002259D9">
              <w:rPr>
                <w:sz w:val="16"/>
                <w:szCs w:val="16"/>
              </w:rPr>
              <w:t>Incluir en el cálculo de la variable CRIN la UC N4S21 con IUA 1000700AM000.</w:t>
            </w:r>
          </w:p>
        </w:tc>
        <w:tc>
          <w:tcPr>
            <w:tcW w:w="0" w:type="auto"/>
            <w:shd w:val="clear" w:color="auto" w:fill="auto"/>
            <w:vAlign w:val="center"/>
            <w:hideMark/>
          </w:tcPr>
          <w:p w14:paraId="440BA9BE" w14:textId="77777777" w:rsidR="00786A7D" w:rsidRPr="002259D9" w:rsidRDefault="00786A7D" w:rsidP="00113700">
            <w:pPr>
              <w:spacing w:before="0" w:after="0"/>
              <w:rPr>
                <w:sz w:val="16"/>
                <w:szCs w:val="16"/>
              </w:rPr>
            </w:pPr>
            <w:r w:rsidRPr="002259D9">
              <w:rPr>
                <w:sz w:val="16"/>
                <w:szCs w:val="16"/>
              </w:rPr>
              <w:t>El OR aclara la solicitud y se incluye la UC.</w:t>
            </w:r>
          </w:p>
        </w:tc>
      </w:tr>
      <w:tr w:rsidR="00786A7D" w:rsidRPr="002259D9" w14:paraId="0D8C192B" w14:textId="77777777" w:rsidTr="00D948CA">
        <w:trPr>
          <w:trHeight w:val="1725"/>
        </w:trPr>
        <w:tc>
          <w:tcPr>
            <w:tcW w:w="0" w:type="auto"/>
            <w:shd w:val="clear" w:color="auto" w:fill="auto"/>
            <w:noWrap/>
            <w:vAlign w:val="center"/>
            <w:hideMark/>
          </w:tcPr>
          <w:p w14:paraId="3C93FC16" w14:textId="77777777" w:rsidR="00786A7D" w:rsidRPr="002259D9" w:rsidRDefault="00786A7D" w:rsidP="00786A7D">
            <w:pPr>
              <w:spacing w:before="0" w:after="0"/>
              <w:jc w:val="center"/>
              <w:rPr>
                <w:sz w:val="16"/>
                <w:szCs w:val="16"/>
              </w:rPr>
            </w:pPr>
            <w:r w:rsidRPr="002259D9">
              <w:rPr>
                <w:sz w:val="16"/>
                <w:szCs w:val="16"/>
              </w:rPr>
              <w:lastRenderedPageBreak/>
              <w:t>243</w:t>
            </w:r>
          </w:p>
        </w:tc>
        <w:tc>
          <w:tcPr>
            <w:tcW w:w="0" w:type="auto"/>
            <w:shd w:val="clear" w:color="auto" w:fill="auto"/>
            <w:noWrap/>
            <w:vAlign w:val="center"/>
            <w:hideMark/>
          </w:tcPr>
          <w:p w14:paraId="143AA3D3" w14:textId="77777777" w:rsidR="00786A7D" w:rsidRPr="002259D9" w:rsidRDefault="00786A7D" w:rsidP="00786A7D">
            <w:pPr>
              <w:spacing w:before="0" w:after="0"/>
              <w:jc w:val="center"/>
              <w:rPr>
                <w:sz w:val="16"/>
                <w:szCs w:val="16"/>
              </w:rPr>
            </w:pPr>
            <w:r w:rsidRPr="002259D9">
              <w:rPr>
                <w:sz w:val="16"/>
                <w:szCs w:val="16"/>
              </w:rPr>
              <w:t>10019</w:t>
            </w:r>
          </w:p>
        </w:tc>
        <w:tc>
          <w:tcPr>
            <w:tcW w:w="0" w:type="auto"/>
            <w:shd w:val="clear" w:color="auto" w:fill="auto"/>
            <w:noWrap/>
            <w:vAlign w:val="center"/>
            <w:hideMark/>
          </w:tcPr>
          <w:p w14:paraId="28AB823D" w14:textId="77777777" w:rsidR="00786A7D" w:rsidRPr="002259D9" w:rsidRDefault="00786A7D" w:rsidP="00786A7D">
            <w:pPr>
              <w:spacing w:before="0" w:after="0"/>
              <w:jc w:val="center"/>
              <w:rPr>
                <w:sz w:val="16"/>
                <w:szCs w:val="16"/>
              </w:rPr>
            </w:pPr>
            <w:r w:rsidRPr="002259D9">
              <w:rPr>
                <w:sz w:val="16"/>
                <w:szCs w:val="16"/>
              </w:rPr>
              <w:t>Sonsón</w:t>
            </w:r>
          </w:p>
        </w:tc>
        <w:tc>
          <w:tcPr>
            <w:tcW w:w="0" w:type="auto"/>
            <w:shd w:val="clear" w:color="auto" w:fill="auto"/>
            <w:noWrap/>
            <w:vAlign w:val="center"/>
            <w:hideMark/>
          </w:tcPr>
          <w:p w14:paraId="56B0148F" w14:textId="77777777" w:rsidR="00786A7D" w:rsidRPr="002259D9" w:rsidRDefault="00786A7D" w:rsidP="00786A7D">
            <w:pPr>
              <w:spacing w:before="0" w:after="0"/>
              <w:jc w:val="center"/>
              <w:rPr>
                <w:sz w:val="16"/>
                <w:szCs w:val="16"/>
              </w:rPr>
            </w:pPr>
            <w:r w:rsidRPr="002259D9">
              <w:rPr>
                <w:sz w:val="16"/>
                <w:szCs w:val="16"/>
              </w:rPr>
              <w:t>N4S33</w:t>
            </w:r>
          </w:p>
        </w:tc>
        <w:tc>
          <w:tcPr>
            <w:tcW w:w="0" w:type="auto"/>
            <w:shd w:val="clear" w:color="auto" w:fill="auto"/>
            <w:vAlign w:val="bottom"/>
            <w:hideMark/>
          </w:tcPr>
          <w:p w14:paraId="3C1186D8" w14:textId="77777777" w:rsidR="00786A7D" w:rsidRPr="002259D9" w:rsidRDefault="00786A7D" w:rsidP="00113700">
            <w:pPr>
              <w:spacing w:before="0" w:after="0"/>
              <w:rPr>
                <w:sz w:val="16"/>
                <w:szCs w:val="16"/>
              </w:rPr>
            </w:pPr>
            <w:r w:rsidRPr="002259D9">
              <w:rPr>
                <w:sz w:val="16"/>
                <w:szCs w:val="16"/>
              </w:rPr>
              <w:t>La subestación cuenta con 4 bahías en el uso. Las bahías remuneradas son: 10019007X000, 100190083000, 100190080000 y 1001900AN000. Por lo tanto, La UC N4S33 módulo de barraje tipo 2 (4 a 6 bahías) es la que aplica.</w:t>
            </w:r>
          </w:p>
        </w:tc>
        <w:tc>
          <w:tcPr>
            <w:tcW w:w="0" w:type="auto"/>
            <w:shd w:val="clear" w:color="auto" w:fill="auto"/>
            <w:vAlign w:val="center"/>
            <w:hideMark/>
          </w:tcPr>
          <w:p w14:paraId="076EDE98" w14:textId="77777777" w:rsidR="00786A7D" w:rsidRPr="002259D9" w:rsidRDefault="00786A7D" w:rsidP="00113700">
            <w:pPr>
              <w:spacing w:before="0" w:after="0"/>
              <w:rPr>
                <w:sz w:val="16"/>
                <w:szCs w:val="16"/>
              </w:rPr>
            </w:pPr>
            <w:r w:rsidRPr="002259D9">
              <w:rPr>
                <w:sz w:val="16"/>
                <w:szCs w:val="16"/>
              </w:rPr>
              <w:t>Incluir en el cálculo de la variable CRIN la UC N4S33 con IUA 1001900AL000</w:t>
            </w:r>
          </w:p>
        </w:tc>
        <w:tc>
          <w:tcPr>
            <w:tcW w:w="0" w:type="auto"/>
            <w:shd w:val="clear" w:color="auto" w:fill="auto"/>
            <w:vAlign w:val="center"/>
            <w:hideMark/>
          </w:tcPr>
          <w:p w14:paraId="435E23B1" w14:textId="77777777" w:rsidR="00786A7D" w:rsidRPr="002259D9" w:rsidRDefault="00786A7D" w:rsidP="00113700">
            <w:pPr>
              <w:spacing w:before="0" w:after="0"/>
              <w:rPr>
                <w:sz w:val="16"/>
                <w:szCs w:val="16"/>
              </w:rPr>
            </w:pPr>
            <w:r w:rsidRPr="002259D9">
              <w:rPr>
                <w:sz w:val="16"/>
                <w:szCs w:val="16"/>
              </w:rPr>
              <w:t>El OR aclara la solicitud y se incluye la UC.</w:t>
            </w:r>
          </w:p>
        </w:tc>
      </w:tr>
      <w:tr w:rsidR="00786A7D" w:rsidRPr="002259D9" w14:paraId="269CC5FA" w14:textId="77777777" w:rsidTr="00D948CA">
        <w:trPr>
          <w:trHeight w:val="3900"/>
        </w:trPr>
        <w:tc>
          <w:tcPr>
            <w:tcW w:w="0" w:type="auto"/>
            <w:shd w:val="clear" w:color="auto" w:fill="auto"/>
            <w:noWrap/>
            <w:vAlign w:val="center"/>
            <w:hideMark/>
          </w:tcPr>
          <w:p w14:paraId="52AE2E42" w14:textId="77777777" w:rsidR="00786A7D" w:rsidRPr="002259D9" w:rsidRDefault="00786A7D" w:rsidP="00786A7D">
            <w:pPr>
              <w:spacing w:before="0" w:after="0"/>
              <w:jc w:val="right"/>
              <w:rPr>
                <w:sz w:val="16"/>
                <w:szCs w:val="16"/>
              </w:rPr>
            </w:pPr>
            <w:r w:rsidRPr="002259D9">
              <w:rPr>
                <w:sz w:val="16"/>
                <w:szCs w:val="16"/>
              </w:rPr>
              <w:t>272</w:t>
            </w:r>
          </w:p>
        </w:tc>
        <w:tc>
          <w:tcPr>
            <w:tcW w:w="0" w:type="auto"/>
            <w:shd w:val="clear" w:color="auto" w:fill="auto"/>
            <w:noWrap/>
            <w:vAlign w:val="center"/>
            <w:hideMark/>
          </w:tcPr>
          <w:p w14:paraId="7F31772F" w14:textId="77777777" w:rsidR="00786A7D" w:rsidRPr="002259D9" w:rsidRDefault="00786A7D" w:rsidP="00786A7D">
            <w:pPr>
              <w:spacing w:before="0" w:after="0"/>
              <w:jc w:val="right"/>
              <w:rPr>
                <w:sz w:val="16"/>
                <w:szCs w:val="16"/>
              </w:rPr>
            </w:pPr>
            <w:r w:rsidRPr="002259D9">
              <w:rPr>
                <w:sz w:val="16"/>
                <w:szCs w:val="16"/>
              </w:rPr>
              <w:t>10043</w:t>
            </w:r>
          </w:p>
        </w:tc>
        <w:tc>
          <w:tcPr>
            <w:tcW w:w="0" w:type="auto"/>
            <w:shd w:val="clear" w:color="auto" w:fill="auto"/>
            <w:noWrap/>
            <w:vAlign w:val="center"/>
            <w:hideMark/>
          </w:tcPr>
          <w:p w14:paraId="27B644C8" w14:textId="77777777" w:rsidR="00786A7D" w:rsidRPr="002259D9" w:rsidRDefault="00786A7D" w:rsidP="00786A7D">
            <w:pPr>
              <w:spacing w:before="0" w:after="0"/>
              <w:jc w:val="left"/>
              <w:rPr>
                <w:sz w:val="16"/>
                <w:szCs w:val="16"/>
              </w:rPr>
            </w:pPr>
            <w:r w:rsidRPr="002259D9">
              <w:rPr>
                <w:sz w:val="16"/>
                <w:szCs w:val="16"/>
              </w:rPr>
              <w:t>Zaragoza</w:t>
            </w:r>
          </w:p>
        </w:tc>
        <w:tc>
          <w:tcPr>
            <w:tcW w:w="0" w:type="auto"/>
            <w:shd w:val="clear" w:color="auto" w:fill="auto"/>
            <w:noWrap/>
            <w:vAlign w:val="center"/>
            <w:hideMark/>
          </w:tcPr>
          <w:p w14:paraId="16796621" w14:textId="77777777" w:rsidR="00786A7D" w:rsidRPr="002259D9" w:rsidRDefault="00786A7D" w:rsidP="00786A7D">
            <w:pPr>
              <w:spacing w:before="0" w:after="0"/>
              <w:jc w:val="left"/>
              <w:rPr>
                <w:sz w:val="16"/>
                <w:szCs w:val="16"/>
              </w:rPr>
            </w:pPr>
            <w:r w:rsidRPr="002259D9">
              <w:rPr>
                <w:sz w:val="16"/>
                <w:szCs w:val="16"/>
              </w:rPr>
              <w:t>N3S25</w:t>
            </w:r>
          </w:p>
        </w:tc>
        <w:tc>
          <w:tcPr>
            <w:tcW w:w="0" w:type="auto"/>
            <w:shd w:val="clear" w:color="auto" w:fill="auto"/>
            <w:vAlign w:val="center"/>
            <w:hideMark/>
          </w:tcPr>
          <w:p w14:paraId="4A4FBFAD" w14:textId="77777777" w:rsidR="00786A7D" w:rsidRPr="002259D9" w:rsidRDefault="00786A7D" w:rsidP="00113700">
            <w:pPr>
              <w:spacing w:before="0" w:after="0"/>
              <w:rPr>
                <w:sz w:val="16"/>
                <w:szCs w:val="16"/>
              </w:rPr>
            </w:pPr>
            <w:r w:rsidRPr="002259D9">
              <w:rPr>
                <w:sz w:val="16"/>
                <w:szCs w:val="16"/>
              </w:rPr>
              <w:t>La subestación cuenta con 3 bahías en el uso. Las bahías remuneradas son: 10043007U000, 10043007V000 y 1004300AM000. Por lo tanto, La UC N3S25 módulo de barraje tipo 2 (3 a 4 bahías) es la que aplica.</w:t>
            </w:r>
          </w:p>
        </w:tc>
        <w:tc>
          <w:tcPr>
            <w:tcW w:w="0" w:type="auto"/>
            <w:shd w:val="clear" w:color="auto" w:fill="auto"/>
            <w:vAlign w:val="center"/>
            <w:hideMark/>
          </w:tcPr>
          <w:p w14:paraId="707938D2" w14:textId="77777777" w:rsidR="00786A7D" w:rsidRPr="002259D9" w:rsidRDefault="00786A7D" w:rsidP="00113700">
            <w:pPr>
              <w:spacing w:before="0" w:after="0"/>
              <w:rPr>
                <w:sz w:val="16"/>
                <w:szCs w:val="16"/>
              </w:rPr>
            </w:pPr>
            <w:r w:rsidRPr="002259D9">
              <w:rPr>
                <w:sz w:val="16"/>
                <w:szCs w:val="16"/>
              </w:rPr>
              <w:t>Solicitamos a la CREG incluir en el cálculo de la variable CRIN la UC N3S25 con IUA 1004300AN000</w:t>
            </w:r>
          </w:p>
        </w:tc>
        <w:tc>
          <w:tcPr>
            <w:tcW w:w="0" w:type="auto"/>
            <w:shd w:val="clear" w:color="auto" w:fill="auto"/>
            <w:vAlign w:val="center"/>
            <w:hideMark/>
          </w:tcPr>
          <w:p w14:paraId="7585BC7C" w14:textId="2B7171C9" w:rsidR="00786A7D" w:rsidRPr="002259D9" w:rsidRDefault="00786A7D" w:rsidP="00113700">
            <w:pPr>
              <w:spacing w:before="0" w:after="0"/>
              <w:rPr>
                <w:sz w:val="16"/>
                <w:szCs w:val="16"/>
              </w:rPr>
            </w:pPr>
            <w:r w:rsidRPr="002259D9">
              <w:rPr>
                <w:sz w:val="16"/>
                <w:szCs w:val="16"/>
              </w:rPr>
              <w:t xml:space="preserve">El OR no presenta solicitudes de </w:t>
            </w:r>
            <w:r w:rsidR="00EE5EA0" w:rsidRPr="002259D9">
              <w:rPr>
                <w:sz w:val="16"/>
                <w:szCs w:val="16"/>
              </w:rPr>
              <w:t>bahías</w:t>
            </w:r>
            <w:r w:rsidRPr="002259D9">
              <w:rPr>
                <w:sz w:val="16"/>
                <w:szCs w:val="16"/>
              </w:rPr>
              <w:t xml:space="preserve"> nuevas para el mismo nivel de tensión y tipo de inventario (CRIN) - No se incluye la UC</w:t>
            </w:r>
          </w:p>
        </w:tc>
      </w:tr>
      <w:tr w:rsidR="00786A7D" w:rsidRPr="002259D9" w14:paraId="519C338E" w14:textId="77777777" w:rsidTr="00D948CA">
        <w:trPr>
          <w:trHeight w:val="4275"/>
        </w:trPr>
        <w:tc>
          <w:tcPr>
            <w:tcW w:w="0" w:type="auto"/>
            <w:shd w:val="clear" w:color="auto" w:fill="auto"/>
            <w:noWrap/>
            <w:vAlign w:val="center"/>
            <w:hideMark/>
          </w:tcPr>
          <w:p w14:paraId="6763D512" w14:textId="77777777" w:rsidR="00786A7D" w:rsidRPr="002259D9" w:rsidRDefault="00786A7D" w:rsidP="00786A7D">
            <w:pPr>
              <w:spacing w:before="0" w:after="0"/>
              <w:jc w:val="center"/>
              <w:rPr>
                <w:sz w:val="16"/>
                <w:szCs w:val="16"/>
              </w:rPr>
            </w:pPr>
            <w:r w:rsidRPr="002259D9">
              <w:rPr>
                <w:sz w:val="16"/>
                <w:szCs w:val="16"/>
              </w:rPr>
              <w:t>447</w:t>
            </w:r>
          </w:p>
        </w:tc>
        <w:tc>
          <w:tcPr>
            <w:tcW w:w="0" w:type="auto"/>
            <w:shd w:val="clear" w:color="auto" w:fill="auto"/>
            <w:noWrap/>
            <w:vAlign w:val="center"/>
            <w:hideMark/>
          </w:tcPr>
          <w:p w14:paraId="7BF1F7CA" w14:textId="77777777" w:rsidR="00786A7D" w:rsidRPr="002259D9" w:rsidRDefault="00786A7D" w:rsidP="00786A7D">
            <w:pPr>
              <w:spacing w:before="0" w:after="0"/>
              <w:jc w:val="center"/>
              <w:rPr>
                <w:sz w:val="16"/>
                <w:szCs w:val="16"/>
              </w:rPr>
            </w:pPr>
            <w:r w:rsidRPr="002259D9">
              <w:rPr>
                <w:sz w:val="16"/>
                <w:szCs w:val="16"/>
              </w:rPr>
              <w:t>10212</w:t>
            </w:r>
          </w:p>
        </w:tc>
        <w:tc>
          <w:tcPr>
            <w:tcW w:w="0" w:type="auto"/>
            <w:shd w:val="clear" w:color="auto" w:fill="auto"/>
            <w:noWrap/>
            <w:vAlign w:val="center"/>
            <w:hideMark/>
          </w:tcPr>
          <w:p w14:paraId="0CBC01F0" w14:textId="77777777" w:rsidR="00786A7D" w:rsidRPr="002259D9" w:rsidRDefault="00786A7D" w:rsidP="00786A7D">
            <w:pPr>
              <w:spacing w:before="0" w:after="0"/>
              <w:jc w:val="center"/>
              <w:rPr>
                <w:sz w:val="16"/>
                <w:szCs w:val="16"/>
              </w:rPr>
            </w:pPr>
            <w:r w:rsidRPr="002259D9">
              <w:rPr>
                <w:sz w:val="16"/>
                <w:szCs w:val="16"/>
              </w:rPr>
              <w:t>Calizas</w:t>
            </w:r>
          </w:p>
        </w:tc>
        <w:tc>
          <w:tcPr>
            <w:tcW w:w="0" w:type="auto"/>
            <w:shd w:val="clear" w:color="auto" w:fill="auto"/>
            <w:noWrap/>
            <w:vAlign w:val="center"/>
            <w:hideMark/>
          </w:tcPr>
          <w:p w14:paraId="23A309EA" w14:textId="77777777" w:rsidR="00786A7D" w:rsidRPr="002259D9" w:rsidRDefault="00786A7D" w:rsidP="00786A7D">
            <w:pPr>
              <w:spacing w:before="0" w:after="0"/>
              <w:jc w:val="center"/>
              <w:rPr>
                <w:sz w:val="16"/>
                <w:szCs w:val="16"/>
              </w:rPr>
            </w:pPr>
            <w:r w:rsidRPr="002259D9">
              <w:rPr>
                <w:sz w:val="16"/>
                <w:szCs w:val="16"/>
              </w:rPr>
              <w:t>N4S21</w:t>
            </w:r>
          </w:p>
        </w:tc>
        <w:tc>
          <w:tcPr>
            <w:tcW w:w="0" w:type="auto"/>
            <w:shd w:val="clear" w:color="auto" w:fill="auto"/>
            <w:vAlign w:val="center"/>
            <w:hideMark/>
          </w:tcPr>
          <w:p w14:paraId="40C0128D" w14:textId="77777777" w:rsidR="00786A7D" w:rsidRPr="002259D9" w:rsidRDefault="00786A7D" w:rsidP="00113700">
            <w:pPr>
              <w:spacing w:before="0" w:after="0"/>
              <w:rPr>
                <w:sz w:val="16"/>
                <w:szCs w:val="16"/>
              </w:rPr>
            </w:pPr>
            <w:r w:rsidRPr="002259D9">
              <w:rPr>
                <w:sz w:val="16"/>
                <w:szCs w:val="16"/>
              </w:rPr>
              <w:t>La UC N4S21 Módulo de barraje tipo 2 (4 a 6 bahías), contempla la totalidad de la subestación Calizas una vez terminado el proyecto, sin embargo, entendemos solamente se debe remunerar el barraje para las bahías que estén energizadas al cierre del 2018, las cuales eran 2 bahías con IUA: 1021200AL000 y 1021200AM000. En este sentido la UC correcta es la N4S20 (1 a 3 bahías).</w:t>
            </w:r>
          </w:p>
        </w:tc>
        <w:tc>
          <w:tcPr>
            <w:tcW w:w="0" w:type="auto"/>
            <w:shd w:val="clear" w:color="auto" w:fill="auto"/>
            <w:vAlign w:val="center"/>
            <w:hideMark/>
          </w:tcPr>
          <w:p w14:paraId="23947C13" w14:textId="77777777" w:rsidR="00786A7D" w:rsidRPr="002259D9" w:rsidRDefault="00786A7D" w:rsidP="00113700">
            <w:pPr>
              <w:spacing w:before="0" w:after="0"/>
              <w:rPr>
                <w:sz w:val="16"/>
                <w:szCs w:val="16"/>
              </w:rPr>
            </w:pPr>
            <w:r w:rsidRPr="002259D9">
              <w:rPr>
                <w:sz w:val="16"/>
                <w:szCs w:val="16"/>
              </w:rPr>
              <w:t>Solicitamos a la CREG cambiar la UC N4S21 con IUA 1021200AO000 de la fila 447 del archivo anexo “D-112-21 Inventario reconocido 2018 – EPM” en la hoja “formato6_UC_SE” por la UC N4S20 e incluir su remuneración en el cálculo de la variable CRIN.</w:t>
            </w:r>
          </w:p>
        </w:tc>
        <w:tc>
          <w:tcPr>
            <w:tcW w:w="0" w:type="auto"/>
            <w:shd w:val="clear" w:color="auto" w:fill="auto"/>
            <w:vAlign w:val="center"/>
            <w:hideMark/>
          </w:tcPr>
          <w:p w14:paraId="12689802" w14:textId="77777777" w:rsidR="00786A7D" w:rsidRPr="002259D9" w:rsidRDefault="00786A7D" w:rsidP="00113700">
            <w:pPr>
              <w:spacing w:before="0" w:after="0"/>
              <w:rPr>
                <w:sz w:val="16"/>
                <w:szCs w:val="16"/>
              </w:rPr>
            </w:pPr>
            <w:r w:rsidRPr="002259D9">
              <w:rPr>
                <w:sz w:val="16"/>
                <w:szCs w:val="16"/>
              </w:rPr>
              <w:t>El OR aclara la solicitud y se incluye la UC N4S20 en reemplazo de la N4S21.</w:t>
            </w:r>
          </w:p>
        </w:tc>
      </w:tr>
    </w:tbl>
    <w:p w14:paraId="2B1BA240" w14:textId="77777777" w:rsidR="00AE3FBE" w:rsidRPr="002259D9" w:rsidRDefault="00AE3FBE" w:rsidP="00025C30">
      <w:pPr>
        <w:spacing w:before="0" w:after="240"/>
        <w:rPr>
          <w:b/>
          <w:bCs/>
        </w:rPr>
      </w:pPr>
    </w:p>
    <w:p w14:paraId="6FE54AC5" w14:textId="563ADC20" w:rsidR="00786A7D" w:rsidRPr="002259D9" w:rsidRDefault="00786A7D" w:rsidP="00025C30">
      <w:pPr>
        <w:spacing w:before="0" w:after="240"/>
        <w:rPr>
          <w:b/>
          <w:bCs/>
          <w:i/>
          <w:iCs/>
        </w:rPr>
      </w:pPr>
      <w:r w:rsidRPr="002259D9">
        <w:rPr>
          <w:b/>
          <w:bCs/>
        </w:rPr>
        <w:t xml:space="preserve">A.3. </w:t>
      </w:r>
      <w:r w:rsidRPr="002259D9">
        <w:rPr>
          <w:b/>
          <w:bCs/>
          <w:i/>
          <w:iCs/>
        </w:rPr>
        <w:t>Comentario CREG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p w14:paraId="1A9C216B" w14:textId="137E1F03" w:rsidR="00E43EC3" w:rsidRPr="002259D9" w:rsidRDefault="00E43EC3" w:rsidP="00DD221B">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Solicitud: El OR solicita el reconocimiento de diferentes UC de módulos común de acuerdo con múltiples ajustes y aclaraciones.</w:t>
      </w:r>
    </w:p>
    <w:p w14:paraId="6D3D5F71" w14:textId="17E9CA03" w:rsidR="00E43EC3" w:rsidRPr="002259D9" w:rsidRDefault="00E43EC3" w:rsidP="00E43EC3">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w:t>
      </w:r>
      <w:r w:rsidRPr="002259D9">
        <w:rPr>
          <w:rFonts w:ascii="Bookman Old Style" w:hAnsi="Bookman Old Style" w:cs="Times New Roman"/>
          <w:b w:val="0"/>
          <w:bCs w:val="0"/>
          <w:i/>
          <w:iCs/>
        </w:rPr>
        <w:t xml:space="preserve">Es importante mencionar los dos siguientes párrafos contenidos en la resolución CREG 097 de 2008 en su capítulo 5 de unidades constructivas, donde se explica la remuneración del módulo común y sus tipos, ya que la definición indicada por la </w:t>
      </w:r>
      <w:r w:rsidR="00C73249">
        <w:rPr>
          <w:rFonts w:ascii="Bookman Old Style" w:hAnsi="Bookman Old Style" w:cs="Times New Roman"/>
          <w:b w:val="0"/>
          <w:bCs w:val="0"/>
          <w:i/>
          <w:iCs/>
        </w:rPr>
        <w:t>Comisión</w:t>
      </w:r>
      <w:r w:rsidRPr="002259D9">
        <w:rPr>
          <w:rFonts w:ascii="Bookman Old Style" w:hAnsi="Bookman Old Style" w:cs="Times New Roman"/>
          <w:b w:val="0"/>
          <w:bCs w:val="0"/>
          <w:i/>
          <w:iCs/>
        </w:rPr>
        <w:t xml:space="preserve"> corresponde a las unidades constructivas del capítulo 14 </w:t>
      </w:r>
      <w:r w:rsidRPr="002259D9">
        <w:rPr>
          <w:rFonts w:ascii="Bookman Old Style" w:hAnsi="Bookman Old Style" w:cs="Times New Roman"/>
          <w:b w:val="0"/>
          <w:bCs w:val="0"/>
          <w:i/>
          <w:iCs/>
        </w:rPr>
        <w:lastRenderedPageBreak/>
        <w:t>y no necesariamente a las del capítulo 15, las cuales siguen los lineamientos expresados en la CREG 097 de 2018.</w:t>
      </w:r>
    </w:p>
    <w:p w14:paraId="2752E2D7" w14:textId="77777777" w:rsidR="00DD221B" w:rsidRPr="002259D9" w:rsidRDefault="00DD221B" w:rsidP="00DD221B">
      <w:pPr>
        <w:rPr>
          <w:i/>
          <w:iCs/>
        </w:rPr>
      </w:pPr>
      <w:r w:rsidRPr="002259D9">
        <w:rPr>
          <w:i/>
          <w:iCs/>
        </w:rPr>
        <w:t>“El Módulo Común es el conjunto de equipos y obras comunes que sirven a toda una subestación y está compuesto por servicios auxiliares, malla de puesta a tierra y obras civiles de la subestación no asociadas a una UC en particular.”</w:t>
      </w:r>
    </w:p>
    <w:p w14:paraId="31D51086" w14:textId="6EA0191E" w:rsidR="00DD221B" w:rsidRPr="002259D9" w:rsidRDefault="00DD221B" w:rsidP="00DD221B">
      <w:pPr>
        <w:spacing w:before="2"/>
        <w:rPr>
          <w:rFonts w:ascii="Arial" w:hAnsi="Arial"/>
          <w:i/>
          <w:sz w:val="22"/>
        </w:rPr>
      </w:pPr>
      <w:r w:rsidRPr="002259D9">
        <w:rPr>
          <w:i/>
          <w:iCs/>
        </w:rPr>
        <w:t>“La UC de módulo común se define en función del número de bahías existentes en la Subestación. La cantidad de celdas no se considera para efectos de definir el tipo de módulo común de la subestación</w:t>
      </w:r>
      <w:r w:rsidRPr="002259D9">
        <w:rPr>
          <w:rFonts w:ascii="Arial" w:hAnsi="Arial"/>
          <w:i/>
          <w:sz w:val="22"/>
        </w:rPr>
        <w:t>.”</w:t>
      </w:r>
    </w:p>
    <w:p w14:paraId="39F38EB8" w14:textId="2893438E" w:rsidR="00DD221B" w:rsidRPr="002259D9" w:rsidRDefault="00DD221B" w:rsidP="00DD221B">
      <w:pPr>
        <w:rPr>
          <w:i/>
          <w:iCs/>
        </w:rPr>
      </w:pPr>
      <w:r w:rsidRPr="002259D9">
        <w:rPr>
          <w:i/>
          <w:iCs/>
        </w:rPr>
        <w:t>“Se debe reportar solamente una UC de Módulo Común por subestación y debe corresponder al Nivel de Tensión más alto de la subestación.”</w:t>
      </w:r>
    </w:p>
    <w:p w14:paraId="0EF07635" w14:textId="1F720236" w:rsidR="00DD221B" w:rsidRPr="002259D9" w:rsidRDefault="00DD221B" w:rsidP="00DD221B">
      <w:pPr>
        <w:spacing w:before="2"/>
        <w:rPr>
          <w:rFonts w:ascii="Arial" w:hAnsi="Arial"/>
          <w:i/>
        </w:rPr>
      </w:pPr>
      <w:r w:rsidRPr="002259D9">
        <w:rPr>
          <w:i/>
          <w:iCs/>
        </w:rPr>
        <w:t>“En subestaciones de Nivel de Tensión 4 se definen 4 UC de Modulo Común: Módulo Común tipo 1 para S/E de 1 a 3 bahías, Módulo Común tipo 2 para S/E de 4 a 6 bahías, Módulo Común tipo 3 para S/E de 7 a 9 bahías y Módulo Común tipo 4 para S/E con más de 9 bahías.”</w:t>
      </w:r>
    </w:p>
    <w:p w14:paraId="2BAFB3E0" w14:textId="77777777" w:rsidR="00DD221B" w:rsidRPr="002259D9" w:rsidRDefault="00DD221B" w:rsidP="00DD221B">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i/>
          <w:iCs/>
        </w:rPr>
        <w:t>Las siguientes justificaciones se realizan por subestación, ya que cada caso es particular, sin embargo, en la generalidad se tiene que las reposiciones del módulo común se deben a un aumento en el número de bahías por expansión, lo que hace que se pase de un tipo de módulo a otro (redefinición), por ejemplo, de tipo 1 en N3 (1 a 2 bahías) a tipo 2 en N3 (3 a 4 bahías), razón por la cual sale de operación (CRIFO) la UC tipo 1 y entra en operación (CRIN) la UC tipo 2.</w:t>
      </w:r>
    </w:p>
    <w:p w14:paraId="702AD6EF" w14:textId="77777777" w:rsidR="00DD221B" w:rsidRPr="002259D9" w:rsidRDefault="00DD221B" w:rsidP="00DD221B">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i/>
          <w:iCs/>
        </w:rPr>
        <w:t>Es necesario redefinir el tipo de módulo común ya que se tienen más bahías que usan malla de puesta a tierra, requieren unos servicios auxiliares de mayor capacidad y requieren una mayor inversión en obras civiles.</w:t>
      </w:r>
    </w:p>
    <w:p w14:paraId="349D1A81" w14:textId="7EF787D0" w:rsidR="00965296" w:rsidRPr="002259D9" w:rsidRDefault="00965296" w:rsidP="00965296">
      <w:pPr>
        <w:pStyle w:val="Textoindependiente"/>
        <w:spacing w:before="1"/>
        <w:jc w:val="both"/>
        <w:rPr>
          <w:rFonts w:ascii="Bookman Old Style" w:hAnsi="Bookman Old Style" w:cs="Times New Roman"/>
          <w:b w:val="0"/>
          <w:bCs w:val="0"/>
          <w:i/>
          <w:iCs/>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2D59DD83" w14:textId="3070B0D1" w:rsidR="00965296" w:rsidRPr="002259D9" w:rsidRDefault="00965296" w:rsidP="00965296">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 xml:space="preserve">En primera instancia se </w:t>
      </w:r>
      <w:r w:rsidR="00A27DCE" w:rsidRPr="002259D9">
        <w:rPr>
          <w:rFonts w:ascii="Bookman Old Style" w:hAnsi="Bookman Old Style" w:cs="Times New Roman"/>
          <w:b w:val="0"/>
          <w:bCs w:val="0"/>
        </w:rPr>
        <w:t>da</w:t>
      </w:r>
      <w:r w:rsidRPr="002259D9">
        <w:rPr>
          <w:rFonts w:ascii="Bookman Old Style" w:hAnsi="Bookman Old Style" w:cs="Times New Roman"/>
          <w:b w:val="0"/>
          <w:bCs w:val="0"/>
        </w:rPr>
        <w:t xml:space="preserve"> claridad a la definición aportada por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frente a la solicitud inicial del OR, la cual indica la composición de los módulos comunes, ya que esta se encuentra alineada con las definiciones descritas en la Resolución 097 de 2018, teniendo en cuenta que se realiza una solicitud por SE, para el mismo nivel de tensión, año de entrada en operación y tipo de inventario</w:t>
      </w:r>
      <w:r w:rsidR="002C66D3">
        <w:rPr>
          <w:rFonts w:ascii="Bookman Old Style" w:hAnsi="Bookman Old Style" w:cs="Times New Roman"/>
          <w:b w:val="0"/>
          <w:bCs w:val="0"/>
        </w:rPr>
        <w:t>. S</w:t>
      </w:r>
      <w:r w:rsidRPr="002259D9">
        <w:rPr>
          <w:rFonts w:ascii="Bookman Old Style" w:hAnsi="Bookman Old Style" w:cs="Times New Roman"/>
          <w:b w:val="0"/>
          <w:bCs w:val="0"/>
        </w:rPr>
        <w:t>in embargo</w:t>
      </w:r>
      <w:r w:rsidR="002C66D3">
        <w:rPr>
          <w:rFonts w:ascii="Bookman Old Style" w:hAnsi="Bookman Old Style" w:cs="Times New Roman"/>
          <w:b w:val="0"/>
          <w:bCs w:val="0"/>
        </w:rPr>
        <w:t>,</w:t>
      </w:r>
      <w:r w:rsidRPr="002259D9">
        <w:rPr>
          <w:rFonts w:ascii="Bookman Old Style" w:hAnsi="Bookman Old Style" w:cs="Times New Roman"/>
          <w:b w:val="0"/>
          <w:bCs w:val="0"/>
        </w:rPr>
        <w:t xml:space="preserve"> las valoraciones se realizan de acuerdo con el esquema de la</w:t>
      </w:r>
      <w:r w:rsidR="002E230F" w:rsidRPr="002259D9">
        <w:rPr>
          <w:rFonts w:ascii="Bookman Old Style" w:hAnsi="Bookman Old Style" w:cs="Times New Roman"/>
          <w:b w:val="0"/>
          <w:bCs w:val="0"/>
        </w:rPr>
        <w:t xml:space="preserve"> Resolución 097 de 2018, y las cuales se encuentra comprendidas en las UC del capítulo 15 de la Resolución 015 de 2018</w:t>
      </w:r>
      <w:r w:rsidRPr="002259D9">
        <w:rPr>
          <w:rFonts w:ascii="Bookman Old Style" w:hAnsi="Bookman Old Style" w:cs="Times New Roman"/>
          <w:b w:val="0"/>
          <w:bCs w:val="0"/>
        </w:rPr>
        <w:t>.</w:t>
      </w:r>
    </w:p>
    <w:p w14:paraId="16AE97DB" w14:textId="10B79A43" w:rsidR="00A27DCE" w:rsidRPr="002259D9" w:rsidRDefault="008A5D96" w:rsidP="00965296">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De acuerdo con lo expresado por el OR, se poseen situaciones distintas para cada SE</w:t>
      </w:r>
      <w:r w:rsidR="002C66D3">
        <w:rPr>
          <w:rFonts w:ascii="Bookman Old Style" w:hAnsi="Bookman Old Style" w:cs="Times New Roman"/>
          <w:b w:val="0"/>
          <w:bCs w:val="0"/>
        </w:rPr>
        <w:t>. P</w:t>
      </w:r>
      <w:r w:rsidRPr="002259D9">
        <w:rPr>
          <w:rFonts w:ascii="Bookman Old Style" w:hAnsi="Bookman Old Style" w:cs="Times New Roman"/>
          <w:b w:val="0"/>
          <w:bCs w:val="0"/>
        </w:rPr>
        <w:t xml:space="preserve">or tanto, se revisa cada solicitud de manera independiente, y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resuelve aprobar la UC a las que se diera lugar de acuerdo con la siguiente tabla.</w:t>
      </w:r>
    </w:p>
    <w:tbl>
      <w:tblPr>
        <w:tblW w:w="0" w:type="auto"/>
        <w:tblCellMar>
          <w:left w:w="70" w:type="dxa"/>
          <w:right w:w="70" w:type="dxa"/>
        </w:tblCellMar>
        <w:tblLook w:val="04A0" w:firstRow="1" w:lastRow="0" w:firstColumn="1" w:lastColumn="0" w:noHBand="0" w:noVBand="1"/>
      </w:tblPr>
      <w:tblGrid>
        <w:gridCol w:w="925"/>
        <w:gridCol w:w="637"/>
        <w:gridCol w:w="942"/>
        <w:gridCol w:w="1373"/>
        <w:gridCol w:w="1948"/>
        <w:gridCol w:w="1985"/>
        <w:gridCol w:w="1536"/>
      </w:tblGrid>
      <w:tr w:rsidR="00705347" w:rsidRPr="002259D9" w14:paraId="2547121F" w14:textId="77777777" w:rsidTr="00705347">
        <w:trPr>
          <w:trHeight w:val="300"/>
          <w:tblHeader/>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62303D9B" w14:textId="77777777" w:rsidR="00705347" w:rsidRPr="002259D9" w:rsidRDefault="00705347" w:rsidP="00705347">
            <w:pPr>
              <w:spacing w:before="0" w:after="0"/>
              <w:jc w:val="center"/>
              <w:rPr>
                <w:rFonts w:cs="Arial"/>
                <w:b/>
                <w:sz w:val="18"/>
                <w:szCs w:val="18"/>
              </w:rPr>
            </w:pPr>
            <w:r w:rsidRPr="002259D9">
              <w:rPr>
                <w:rFonts w:cs="Arial"/>
                <w:b/>
                <w:sz w:val="18"/>
                <w:szCs w:val="18"/>
              </w:rPr>
              <w:lastRenderedPageBreak/>
              <w:t>Filas</w:t>
            </w:r>
          </w:p>
        </w:tc>
        <w:tc>
          <w:tcPr>
            <w:tcW w:w="0" w:type="auto"/>
            <w:tcBorders>
              <w:top w:val="single" w:sz="4" w:space="0" w:color="auto"/>
              <w:left w:val="nil"/>
              <w:bottom w:val="nil"/>
              <w:right w:val="single" w:sz="4" w:space="0" w:color="auto"/>
            </w:tcBorders>
            <w:shd w:val="clear" w:color="auto" w:fill="auto"/>
            <w:noWrap/>
            <w:vAlign w:val="center"/>
            <w:hideMark/>
          </w:tcPr>
          <w:p w14:paraId="6FB8593E" w14:textId="77777777" w:rsidR="00705347" w:rsidRPr="002259D9" w:rsidRDefault="00705347" w:rsidP="00705347">
            <w:pPr>
              <w:spacing w:before="0" w:after="0"/>
              <w:jc w:val="center"/>
              <w:rPr>
                <w:rFonts w:cs="Arial"/>
                <w:b/>
                <w:sz w:val="18"/>
                <w:szCs w:val="18"/>
              </w:rPr>
            </w:pPr>
            <w:r w:rsidRPr="002259D9">
              <w:rPr>
                <w:rFonts w:cs="Arial"/>
                <w:b/>
                <w:sz w:val="18"/>
                <w:szCs w:val="18"/>
              </w:rPr>
              <w:t>IUS</w:t>
            </w:r>
          </w:p>
        </w:tc>
        <w:tc>
          <w:tcPr>
            <w:tcW w:w="0" w:type="auto"/>
            <w:tcBorders>
              <w:top w:val="single" w:sz="4" w:space="0" w:color="auto"/>
              <w:left w:val="nil"/>
              <w:bottom w:val="nil"/>
              <w:right w:val="single" w:sz="4" w:space="0" w:color="auto"/>
            </w:tcBorders>
            <w:shd w:val="clear" w:color="auto" w:fill="auto"/>
            <w:noWrap/>
            <w:vAlign w:val="center"/>
            <w:hideMark/>
          </w:tcPr>
          <w:p w14:paraId="0E449BFC" w14:textId="77777777" w:rsidR="00705347" w:rsidRPr="002259D9" w:rsidRDefault="00705347" w:rsidP="00705347">
            <w:pPr>
              <w:spacing w:before="0" w:after="0"/>
              <w:jc w:val="center"/>
              <w:rPr>
                <w:rFonts w:cs="Arial"/>
                <w:b/>
                <w:sz w:val="18"/>
                <w:szCs w:val="18"/>
              </w:rPr>
            </w:pPr>
            <w:r w:rsidRPr="002259D9">
              <w:rPr>
                <w:rFonts w:cs="Arial"/>
                <w:b/>
                <w:sz w:val="18"/>
                <w:szCs w:val="18"/>
              </w:rPr>
              <w:t>SE</w:t>
            </w:r>
          </w:p>
        </w:tc>
        <w:tc>
          <w:tcPr>
            <w:tcW w:w="0" w:type="auto"/>
            <w:tcBorders>
              <w:top w:val="single" w:sz="4" w:space="0" w:color="auto"/>
              <w:left w:val="nil"/>
              <w:bottom w:val="nil"/>
              <w:right w:val="single" w:sz="4" w:space="0" w:color="auto"/>
            </w:tcBorders>
            <w:shd w:val="clear" w:color="auto" w:fill="auto"/>
            <w:noWrap/>
            <w:vAlign w:val="center"/>
            <w:hideMark/>
          </w:tcPr>
          <w:p w14:paraId="7920BAC8" w14:textId="77777777" w:rsidR="00705347" w:rsidRPr="002259D9" w:rsidRDefault="00705347" w:rsidP="00705347">
            <w:pPr>
              <w:spacing w:before="0" w:after="0"/>
              <w:jc w:val="center"/>
              <w:rPr>
                <w:rFonts w:cs="Arial"/>
                <w:b/>
                <w:sz w:val="18"/>
                <w:szCs w:val="18"/>
              </w:rPr>
            </w:pPr>
            <w:r w:rsidRPr="002259D9">
              <w:rPr>
                <w:rFonts w:cs="Arial"/>
                <w:b/>
                <w:sz w:val="18"/>
                <w:szCs w:val="18"/>
              </w:rPr>
              <w:t>UC</w:t>
            </w:r>
          </w:p>
        </w:tc>
        <w:tc>
          <w:tcPr>
            <w:tcW w:w="0" w:type="auto"/>
            <w:tcBorders>
              <w:top w:val="single" w:sz="4" w:space="0" w:color="auto"/>
              <w:left w:val="nil"/>
              <w:bottom w:val="nil"/>
              <w:right w:val="single" w:sz="4" w:space="0" w:color="auto"/>
            </w:tcBorders>
            <w:shd w:val="clear" w:color="auto" w:fill="auto"/>
            <w:noWrap/>
            <w:vAlign w:val="center"/>
            <w:hideMark/>
          </w:tcPr>
          <w:p w14:paraId="77AA793F" w14:textId="77777777" w:rsidR="00705347" w:rsidRPr="002259D9" w:rsidRDefault="00705347" w:rsidP="00705347">
            <w:pPr>
              <w:spacing w:before="0" w:after="0"/>
              <w:jc w:val="center"/>
              <w:rPr>
                <w:rFonts w:cs="Arial"/>
                <w:b/>
                <w:sz w:val="18"/>
                <w:szCs w:val="18"/>
              </w:rPr>
            </w:pPr>
            <w:r w:rsidRPr="002259D9">
              <w:rPr>
                <w:rFonts w:cs="Arial"/>
                <w:b/>
                <w:sz w:val="18"/>
                <w:szCs w:val="18"/>
              </w:rPr>
              <w:t>Justificación</w:t>
            </w:r>
          </w:p>
        </w:tc>
        <w:tc>
          <w:tcPr>
            <w:tcW w:w="0" w:type="auto"/>
            <w:tcBorders>
              <w:top w:val="single" w:sz="4" w:space="0" w:color="auto"/>
              <w:left w:val="nil"/>
              <w:bottom w:val="nil"/>
              <w:right w:val="single" w:sz="4" w:space="0" w:color="auto"/>
            </w:tcBorders>
            <w:shd w:val="clear" w:color="auto" w:fill="auto"/>
            <w:noWrap/>
            <w:vAlign w:val="center"/>
            <w:hideMark/>
          </w:tcPr>
          <w:p w14:paraId="61FA69FC" w14:textId="77777777" w:rsidR="00705347" w:rsidRPr="002259D9" w:rsidRDefault="00705347" w:rsidP="00705347">
            <w:pPr>
              <w:spacing w:before="0" w:after="0"/>
              <w:jc w:val="center"/>
              <w:rPr>
                <w:rFonts w:cs="Arial"/>
                <w:b/>
                <w:sz w:val="18"/>
                <w:szCs w:val="18"/>
              </w:rPr>
            </w:pPr>
            <w:r w:rsidRPr="002259D9">
              <w:rPr>
                <w:rFonts w:cs="Arial"/>
                <w:b/>
                <w:sz w:val="18"/>
                <w:szCs w:val="18"/>
              </w:rPr>
              <w:t>Solicitud</w:t>
            </w:r>
          </w:p>
        </w:tc>
        <w:tc>
          <w:tcPr>
            <w:tcW w:w="0" w:type="auto"/>
            <w:tcBorders>
              <w:top w:val="single" w:sz="4" w:space="0" w:color="auto"/>
              <w:left w:val="nil"/>
              <w:bottom w:val="nil"/>
              <w:right w:val="single" w:sz="4" w:space="0" w:color="auto"/>
            </w:tcBorders>
            <w:shd w:val="clear" w:color="auto" w:fill="auto"/>
            <w:noWrap/>
            <w:vAlign w:val="center"/>
            <w:hideMark/>
          </w:tcPr>
          <w:p w14:paraId="5EC0CB60" w14:textId="77777777" w:rsidR="00705347" w:rsidRPr="002259D9" w:rsidRDefault="00705347" w:rsidP="00705347">
            <w:pPr>
              <w:spacing w:before="0" w:after="0"/>
              <w:jc w:val="center"/>
              <w:rPr>
                <w:rFonts w:cs="Arial"/>
                <w:b/>
                <w:sz w:val="18"/>
                <w:szCs w:val="18"/>
              </w:rPr>
            </w:pPr>
            <w:r w:rsidRPr="002259D9">
              <w:rPr>
                <w:rFonts w:cs="Arial"/>
                <w:b/>
                <w:sz w:val="18"/>
                <w:szCs w:val="18"/>
              </w:rPr>
              <w:t>Análisis CREG</w:t>
            </w:r>
          </w:p>
        </w:tc>
      </w:tr>
      <w:tr w:rsidR="00705347" w:rsidRPr="002259D9" w14:paraId="6AC98078" w14:textId="77777777" w:rsidTr="00B141B8">
        <w:trPr>
          <w:trHeight w:val="39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EE67C" w14:textId="77777777" w:rsidR="00705347" w:rsidRPr="002259D9" w:rsidRDefault="00705347" w:rsidP="00705347">
            <w:pPr>
              <w:spacing w:before="0" w:after="0"/>
              <w:jc w:val="center"/>
              <w:rPr>
                <w:rFonts w:cs="Arial"/>
                <w:bCs/>
                <w:sz w:val="16"/>
                <w:szCs w:val="16"/>
              </w:rPr>
            </w:pPr>
            <w:r w:rsidRPr="002259D9">
              <w:rPr>
                <w:rFonts w:cs="Arial"/>
                <w:bCs/>
                <w:sz w:val="16"/>
                <w:szCs w:val="16"/>
              </w:rPr>
              <w:t>219 y 268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2CF7DE" w14:textId="77777777" w:rsidR="00705347" w:rsidRPr="002259D9" w:rsidRDefault="00705347" w:rsidP="00705347">
            <w:pPr>
              <w:spacing w:before="0" w:after="0"/>
              <w:jc w:val="center"/>
              <w:rPr>
                <w:rFonts w:cs="Arial"/>
                <w:bCs/>
                <w:sz w:val="16"/>
                <w:szCs w:val="16"/>
              </w:rPr>
            </w:pPr>
            <w:r w:rsidRPr="002259D9">
              <w:rPr>
                <w:rFonts w:cs="Arial"/>
                <w:bCs/>
                <w:sz w:val="16"/>
                <w:szCs w:val="16"/>
              </w:rPr>
              <w:t>10020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2DCACD" w14:textId="77777777" w:rsidR="00705347" w:rsidRPr="002259D9" w:rsidRDefault="00705347" w:rsidP="00705347">
            <w:pPr>
              <w:spacing w:before="0" w:after="0"/>
              <w:jc w:val="center"/>
              <w:rPr>
                <w:rFonts w:cs="Arial"/>
                <w:bCs/>
                <w:sz w:val="16"/>
                <w:szCs w:val="16"/>
              </w:rPr>
            </w:pPr>
            <w:r w:rsidRPr="002259D9">
              <w:rPr>
                <w:rFonts w:cs="Arial"/>
                <w:bCs/>
                <w:sz w:val="16"/>
                <w:szCs w:val="16"/>
              </w:rPr>
              <w:t>Marinilla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C9FB6E" w14:textId="77777777" w:rsidR="00705347" w:rsidRPr="002259D9" w:rsidRDefault="00705347" w:rsidP="00705347">
            <w:pPr>
              <w:spacing w:before="0" w:after="0"/>
              <w:jc w:val="center"/>
              <w:rPr>
                <w:rFonts w:cs="Arial"/>
                <w:bCs/>
                <w:sz w:val="16"/>
                <w:szCs w:val="16"/>
              </w:rPr>
            </w:pPr>
            <w:r w:rsidRPr="002259D9">
              <w:rPr>
                <w:rFonts w:cs="Arial"/>
                <w:bCs/>
                <w:sz w:val="16"/>
                <w:szCs w:val="16"/>
              </w:rPr>
              <w:t>N3S34 y N3S35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BF869A" w14:textId="77777777" w:rsidR="00705347" w:rsidRPr="002259D9" w:rsidRDefault="00705347" w:rsidP="00705347">
            <w:pPr>
              <w:spacing w:before="0" w:after="0"/>
              <w:jc w:val="center"/>
              <w:rPr>
                <w:rFonts w:cs="Arial"/>
                <w:bCs/>
                <w:sz w:val="16"/>
                <w:szCs w:val="16"/>
              </w:rPr>
            </w:pPr>
            <w:r w:rsidRPr="002259D9">
              <w:rPr>
                <w:rFonts w:cs="Arial"/>
                <w:bCs/>
                <w:sz w:val="16"/>
                <w:szCs w:val="16"/>
              </w:rPr>
              <w:t>La remodelación de la subestación implicó ingresar dos nuevas bahías en N3, pasando de 2 a 4 bahías, esta es la razón por la cual el CRIFO tiene la UC N3S34 Módulo común tipo 1 (1 a 2 bahías) y el CRIN tiene la UC N3S35 Módulo común tipo 2 (3 a 4 bahías). Las bahías en el uso son: 1002000B4000, 1002000B5000, 1002000B6000. 1002000B7000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9B7B0A" w14:textId="77777777" w:rsidR="00705347" w:rsidRPr="002259D9" w:rsidRDefault="00705347" w:rsidP="00705347">
            <w:pPr>
              <w:spacing w:before="0" w:after="0"/>
              <w:jc w:val="center"/>
              <w:rPr>
                <w:rFonts w:cs="Arial"/>
                <w:bCs/>
                <w:sz w:val="16"/>
                <w:szCs w:val="16"/>
              </w:rPr>
            </w:pPr>
            <w:r w:rsidRPr="002259D9">
              <w:rPr>
                <w:rFonts w:cs="Arial"/>
                <w:bCs/>
                <w:sz w:val="16"/>
                <w:szCs w:val="16"/>
              </w:rPr>
              <w:t>Incluir en el cálculo de la variable CRIFO la UC N3S34 con IUA 10020000V000 y en el de la variable CRIN la UC N3S35 con IUA 1002000B9000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CC1836" w14:textId="77777777" w:rsidR="00705347" w:rsidRPr="002259D9" w:rsidRDefault="00705347" w:rsidP="00705347">
            <w:pPr>
              <w:spacing w:before="0" w:after="0"/>
              <w:jc w:val="center"/>
              <w:rPr>
                <w:rFonts w:ascii="Calibri" w:hAnsi="Calibri" w:cs="Calibri"/>
                <w:color w:val="000000"/>
                <w:sz w:val="16"/>
                <w:szCs w:val="16"/>
                <w:lang w:val="es-CO" w:eastAsia="es-CO"/>
              </w:rPr>
            </w:pPr>
            <w:r w:rsidRPr="002259D9">
              <w:rPr>
                <w:rFonts w:ascii="Calibri" w:hAnsi="Calibri" w:cs="Calibri"/>
                <w:color w:val="000000"/>
                <w:sz w:val="16"/>
                <w:szCs w:val="16"/>
                <w:lang w:val="es-CO" w:eastAsia="es-CO"/>
              </w:rPr>
              <w:t>El OR aclara la solicitud y se incluye la UC.</w:t>
            </w:r>
          </w:p>
        </w:tc>
      </w:tr>
      <w:tr w:rsidR="00705347" w:rsidRPr="002259D9" w14:paraId="5DEC5AE2" w14:textId="77777777" w:rsidTr="00B141B8">
        <w:trPr>
          <w:trHeight w:val="48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265EB" w14:textId="77777777" w:rsidR="00705347" w:rsidRPr="002259D9" w:rsidRDefault="00705347" w:rsidP="00705347">
            <w:pPr>
              <w:spacing w:before="0" w:after="0"/>
              <w:jc w:val="center"/>
              <w:rPr>
                <w:rFonts w:cs="Arial"/>
                <w:bCs/>
                <w:sz w:val="16"/>
                <w:szCs w:val="16"/>
              </w:rPr>
            </w:pPr>
            <w:r w:rsidRPr="002259D9">
              <w:rPr>
                <w:rFonts w:cs="Arial"/>
                <w:bCs/>
                <w:sz w:val="16"/>
                <w:szCs w:val="16"/>
              </w:rPr>
              <w:t>222 y 415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CCF8D" w14:textId="77777777" w:rsidR="00705347" w:rsidRPr="002259D9" w:rsidRDefault="00705347" w:rsidP="00705347">
            <w:pPr>
              <w:spacing w:before="0" w:after="0"/>
              <w:jc w:val="center"/>
              <w:rPr>
                <w:rFonts w:cs="Arial"/>
                <w:bCs/>
                <w:sz w:val="16"/>
                <w:szCs w:val="16"/>
              </w:rPr>
            </w:pPr>
            <w:r w:rsidRPr="002259D9">
              <w:rPr>
                <w:rFonts w:cs="Arial"/>
                <w:bCs/>
                <w:sz w:val="16"/>
                <w:szCs w:val="16"/>
              </w:rPr>
              <w:t>10106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30C46" w14:textId="77777777" w:rsidR="00705347" w:rsidRPr="002259D9" w:rsidRDefault="00705347" w:rsidP="00705347">
            <w:pPr>
              <w:spacing w:before="0" w:after="0"/>
              <w:jc w:val="center"/>
              <w:rPr>
                <w:rFonts w:cs="Arial"/>
                <w:bCs/>
                <w:sz w:val="16"/>
                <w:szCs w:val="16"/>
              </w:rPr>
            </w:pPr>
            <w:r w:rsidRPr="002259D9">
              <w:rPr>
                <w:rFonts w:cs="Arial"/>
                <w:bCs/>
                <w:sz w:val="16"/>
                <w:szCs w:val="16"/>
              </w:rPr>
              <w:t>Pantanillo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A87CF" w14:textId="77777777" w:rsidR="00705347" w:rsidRPr="002259D9" w:rsidRDefault="00705347" w:rsidP="00705347">
            <w:pPr>
              <w:spacing w:before="0" w:after="0"/>
              <w:jc w:val="center"/>
              <w:rPr>
                <w:rFonts w:cs="Arial"/>
                <w:bCs/>
                <w:sz w:val="16"/>
                <w:szCs w:val="16"/>
              </w:rPr>
            </w:pPr>
            <w:r w:rsidRPr="002259D9">
              <w:rPr>
                <w:rFonts w:cs="Arial"/>
                <w:bCs/>
                <w:sz w:val="16"/>
                <w:szCs w:val="16"/>
              </w:rPr>
              <w:t>N3S34 y N3S35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08FABF" w14:textId="77777777" w:rsidR="00705347" w:rsidRPr="002259D9" w:rsidRDefault="00705347" w:rsidP="00705347">
            <w:pPr>
              <w:spacing w:before="0" w:after="0"/>
              <w:jc w:val="center"/>
              <w:rPr>
                <w:rFonts w:cs="Arial"/>
                <w:bCs/>
                <w:sz w:val="16"/>
                <w:szCs w:val="16"/>
              </w:rPr>
            </w:pPr>
            <w:r w:rsidRPr="002259D9">
              <w:rPr>
                <w:rFonts w:cs="Arial"/>
                <w:bCs/>
                <w:sz w:val="16"/>
                <w:szCs w:val="16"/>
              </w:rPr>
              <w:t>La subestación cuenta con 3 bahías en N3 del uso. La redefinición de módulo común corresponde a una corrección ya que el módulo común remunerado en la actualidad es el tipo 1, N3S34 (1 a 2 bahías) y realmente se requiere el módulo común tipo 2, N3S35 (3 a 4 bahías), razón por la cual el CRIFO tiene la UC N3S34 y el CRIN la UC N3S35. Las bahías reconocidas son: 101060080000, 101060081000 y 1010600AS000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885677" w14:textId="77777777" w:rsidR="00705347" w:rsidRPr="002259D9" w:rsidRDefault="00705347" w:rsidP="00705347">
            <w:pPr>
              <w:spacing w:before="0" w:after="0"/>
              <w:jc w:val="center"/>
              <w:rPr>
                <w:rFonts w:cs="Arial"/>
                <w:bCs/>
                <w:sz w:val="16"/>
                <w:szCs w:val="16"/>
              </w:rPr>
            </w:pPr>
            <w:r w:rsidRPr="002259D9">
              <w:rPr>
                <w:rFonts w:cs="Arial"/>
                <w:bCs/>
                <w:sz w:val="16"/>
                <w:szCs w:val="16"/>
              </w:rPr>
              <w:t>Incluir en el cálculo de la variable CRIFO la UC N3S34 con IUA 10106000Q000 y en el de la variable CRIN la UC N3S35 con IUA 1010600AU000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69EE6B" w14:textId="77777777" w:rsidR="00705347" w:rsidRPr="002259D9" w:rsidRDefault="00705347" w:rsidP="00705347">
            <w:pPr>
              <w:spacing w:before="0" w:after="0"/>
              <w:jc w:val="center"/>
              <w:rPr>
                <w:rFonts w:ascii="Calibri" w:hAnsi="Calibri" w:cs="Calibri"/>
                <w:color w:val="000000"/>
                <w:sz w:val="16"/>
                <w:szCs w:val="16"/>
                <w:lang w:val="es-CO" w:eastAsia="es-CO"/>
              </w:rPr>
            </w:pPr>
            <w:r w:rsidRPr="002259D9">
              <w:rPr>
                <w:rFonts w:ascii="Calibri" w:hAnsi="Calibri" w:cs="Calibri"/>
                <w:color w:val="000000"/>
                <w:sz w:val="16"/>
                <w:szCs w:val="16"/>
                <w:lang w:val="es-CO" w:eastAsia="es-CO"/>
              </w:rPr>
              <w:t>El OR aclara la solicitud y se incluye la UC.</w:t>
            </w:r>
          </w:p>
        </w:tc>
      </w:tr>
      <w:tr w:rsidR="00705347" w:rsidRPr="002259D9" w14:paraId="0E54271A" w14:textId="77777777" w:rsidTr="00B141B8">
        <w:trPr>
          <w:trHeight w:val="51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76C0A" w14:textId="77777777" w:rsidR="00705347" w:rsidRPr="002259D9" w:rsidRDefault="00705347" w:rsidP="00705347">
            <w:pPr>
              <w:spacing w:before="0" w:after="0"/>
              <w:jc w:val="center"/>
              <w:rPr>
                <w:rFonts w:cs="Arial"/>
                <w:bCs/>
                <w:sz w:val="16"/>
                <w:szCs w:val="16"/>
              </w:rPr>
            </w:pPr>
            <w:r w:rsidRPr="002259D9">
              <w:rPr>
                <w:rFonts w:cs="Arial"/>
                <w:bCs/>
                <w:sz w:val="16"/>
                <w:szCs w:val="16"/>
              </w:rPr>
              <w:t>225 y 238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A8909A" w14:textId="77777777" w:rsidR="00705347" w:rsidRPr="002259D9" w:rsidRDefault="00705347" w:rsidP="00705347">
            <w:pPr>
              <w:spacing w:before="0" w:after="0"/>
              <w:jc w:val="center"/>
              <w:rPr>
                <w:rFonts w:cs="Arial"/>
                <w:bCs/>
                <w:sz w:val="16"/>
                <w:szCs w:val="16"/>
              </w:rPr>
            </w:pPr>
            <w:r w:rsidRPr="002259D9">
              <w:rPr>
                <w:rFonts w:cs="Arial"/>
                <w:bCs/>
                <w:sz w:val="16"/>
                <w:szCs w:val="16"/>
              </w:rPr>
              <w:t>10010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C03D09" w14:textId="77777777" w:rsidR="00705347" w:rsidRPr="002259D9" w:rsidRDefault="00705347" w:rsidP="00705347">
            <w:pPr>
              <w:spacing w:before="0" w:after="0"/>
              <w:jc w:val="center"/>
              <w:rPr>
                <w:rFonts w:cs="Arial"/>
                <w:bCs/>
                <w:sz w:val="16"/>
                <w:szCs w:val="16"/>
              </w:rPr>
            </w:pPr>
            <w:r w:rsidRPr="002259D9">
              <w:rPr>
                <w:rFonts w:cs="Arial"/>
                <w:bCs/>
                <w:sz w:val="16"/>
                <w:szCs w:val="16"/>
              </w:rPr>
              <w:t xml:space="preserve">La Cruzada </w:t>
            </w:r>
            <w:proofErr w:type="spellStart"/>
            <w:r w:rsidRPr="002259D9">
              <w:rPr>
                <w:rFonts w:cs="Arial"/>
                <w:bCs/>
                <w:sz w:val="16"/>
                <w:szCs w:val="16"/>
              </w:rPr>
              <w:t>segovia</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F25AFD" w14:textId="77777777" w:rsidR="00705347" w:rsidRPr="002259D9" w:rsidRDefault="00705347" w:rsidP="00705347">
            <w:pPr>
              <w:spacing w:before="0" w:after="0"/>
              <w:jc w:val="center"/>
              <w:rPr>
                <w:rFonts w:cs="Arial"/>
                <w:bCs/>
                <w:sz w:val="16"/>
                <w:szCs w:val="16"/>
              </w:rPr>
            </w:pPr>
            <w:r w:rsidRPr="002259D9">
              <w:rPr>
                <w:rFonts w:cs="Arial"/>
                <w:bCs/>
                <w:sz w:val="16"/>
                <w:szCs w:val="16"/>
              </w:rPr>
              <w:t>N4S41 y N4S43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9951C9" w14:textId="77777777" w:rsidR="00705347" w:rsidRPr="002259D9" w:rsidRDefault="00705347" w:rsidP="00705347">
            <w:pPr>
              <w:spacing w:before="0" w:after="0"/>
              <w:jc w:val="center"/>
              <w:rPr>
                <w:rFonts w:cs="Arial"/>
                <w:bCs/>
                <w:sz w:val="16"/>
                <w:szCs w:val="16"/>
              </w:rPr>
            </w:pPr>
            <w:r w:rsidRPr="002259D9">
              <w:rPr>
                <w:rFonts w:cs="Arial"/>
                <w:bCs/>
                <w:sz w:val="16"/>
                <w:szCs w:val="16"/>
              </w:rPr>
              <w:t>En 2018 entra una bahía adicional en N4, quedando la subestación con 7 bahías, 4 bahías en N3 (10010007X000, 10010007Y000, 10010000S000, y 10010007Z000) y 3 bahías en N4 (100100081000, 1001000AL000 y 1001000AM000). Estas 7 bahías se deben remunerar con la UC N4S43 módulo común tipo 3 (7 a 9 bahías), la cual se encuentra en el CRIN 2018, y salir como CRIFO la anteriormente remunerada N4S41, módulo común tipo 1 (1 a 3 bahías).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E3567F" w14:textId="77777777" w:rsidR="00705347" w:rsidRPr="002259D9" w:rsidRDefault="00705347" w:rsidP="00705347">
            <w:pPr>
              <w:spacing w:before="0" w:after="0"/>
              <w:jc w:val="center"/>
              <w:rPr>
                <w:rFonts w:cs="Arial"/>
                <w:bCs/>
                <w:sz w:val="16"/>
                <w:szCs w:val="16"/>
              </w:rPr>
            </w:pPr>
            <w:r w:rsidRPr="002259D9">
              <w:rPr>
                <w:rFonts w:cs="Arial"/>
                <w:bCs/>
                <w:sz w:val="16"/>
                <w:szCs w:val="16"/>
              </w:rPr>
              <w:t>Incluir en el cálculo de la variable CRIFO la UC N4S41 con IUA 100100083000 y en el de la variable CRIN la UC N4S43 con IUA 1001000AO000.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7A351A" w14:textId="77777777" w:rsidR="00705347" w:rsidRPr="002259D9" w:rsidRDefault="00705347" w:rsidP="00705347">
            <w:pPr>
              <w:spacing w:before="0" w:after="0"/>
              <w:jc w:val="center"/>
              <w:rPr>
                <w:rFonts w:ascii="Calibri" w:hAnsi="Calibri" w:cs="Calibri"/>
                <w:color w:val="000000"/>
                <w:sz w:val="16"/>
                <w:szCs w:val="16"/>
                <w:lang w:val="es-CO" w:eastAsia="es-CO"/>
              </w:rPr>
            </w:pPr>
            <w:r w:rsidRPr="002259D9">
              <w:rPr>
                <w:rFonts w:ascii="Calibri" w:hAnsi="Calibri" w:cs="Calibri"/>
                <w:color w:val="000000"/>
                <w:sz w:val="16"/>
                <w:szCs w:val="16"/>
                <w:lang w:val="es-CO" w:eastAsia="es-CO"/>
              </w:rPr>
              <w:t>El OR aclara la solicitud y se incluye la UC.</w:t>
            </w:r>
          </w:p>
        </w:tc>
      </w:tr>
      <w:tr w:rsidR="00705347" w:rsidRPr="002259D9" w14:paraId="77BEB0DC" w14:textId="77777777" w:rsidTr="00705347">
        <w:trPr>
          <w:trHeight w:val="4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CBF46" w14:textId="77777777" w:rsidR="00705347" w:rsidRPr="002259D9" w:rsidRDefault="00705347" w:rsidP="00705347">
            <w:pPr>
              <w:spacing w:before="0" w:after="0"/>
              <w:jc w:val="center"/>
              <w:rPr>
                <w:rFonts w:cs="Arial"/>
                <w:bCs/>
                <w:sz w:val="16"/>
                <w:szCs w:val="16"/>
              </w:rPr>
            </w:pPr>
            <w:r w:rsidRPr="002259D9">
              <w:rPr>
                <w:rFonts w:cs="Arial"/>
                <w:bCs/>
                <w:sz w:val="16"/>
                <w:szCs w:val="16"/>
              </w:rPr>
              <w:t>226 y 244</w:t>
            </w:r>
          </w:p>
        </w:tc>
        <w:tc>
          <w:tcPr>
            <w:tcW w:w="0" w:type="auto"/>
            <w:tcBorders>
              <w:top w:val="nil"/>
              <w:left w:val="nil"/>
              <w:bottom w:val="single" w:sz="4" w:space="0" w:color="auto"/>
              <w:right w:val="single" w:sz="4" w:space="0" w:color="auto"/>
            </w:tcBorders>
            <w:shd w:val="clear" w:color="auto" w:fill="auto"/>
            <w:noWrap/>
            <w:vAlign w:val="center"/>
            <w:hideMark/>
          </w:tcPr>
          <w:p w14:paraId="5FF2CE6C" w14:textId="77777777" w:rsidR="00705347" w:rsidRPr="002259D9" w:rsidRDefault="00705347" w:rsidP="00705347">
            <w:pPr>
              <w:spacing w:before="0" w:after="0"/>
              <w:jc w:val="center"/>
              <w:rPr>
                <w:rFonts w:cs="Arial"/>
                <w:bCs/>
                <w:sz w:val="16"/>
                <w:szCs w:val="16"/>
              </w:rPr>
            </w:pPr>
            <w:r w:rsidRPr="002259D9">
              <w:rPr>
                <w:rFonts w:cs="Arial"/>
                <w:bCs/>
                <w:sz w:val="16"/>
                <w:szCs w:val="16"/>
              </w:rPr>
              <w:t>10019</w:t>
            </w:r>
          </w:p>
        </w:tc>
        <w:tc>
          <w:tcPr>
            <w:tcW w:w="0" w:type="auto"/>
            <w:tcBorders>
              <w:top w:val="nil"/>
              <w:left w:val="nil"/>
              <w:bottom w:val="single" w:sz="4" w:space="0" w:color="auto"/>
              <w:right w:val="single" w:sz="4" w:space="0" w:color="auto"/>
            </w:tcBorders>
            <w:shd w:val="clear" w:color="auto" w:fill="auto"/>
            <w:noWrap/>
            <w:vAlign w:val="center"/>
            <w:hideMark/>
          </w:tcPr>
          <w:p w14:paraId="00E5F7F4" w14:textId="77777777" w:rsidR="00705347" w:rsidRPr="002259D9" w:rsidRDefault="00705347" w:rsidP="00705347">
            <w:pPr>
              <w:spacing w:before="0" w:after="0"/>
              <w:jc w:val="center"/>
              <w:rPr>
                <w:rFonts w:cs="Arial"/>
                <w:bCs/>
                <w:sz w:val="16"/>
                <w:szCs w:val="16"/>
              </w:rPr>
            </w:pPr>
            <w:r w:rsidRPr="002259D9">
              <w:rPr>
                <w:rFonts w:cs="Arial"/>
                <w:bCs/>
                <w:sz w:val="16"/>
                <w:szCs w:val="16"/>
              </w:rPr>
              <w:t>Sonsón</w:t>
            </w:r>
          </w:p>
        </w:tc>
        <w:tc>
          <w:tcPr>
            <w:tcW w:w="0" w:type="auto"/>
            <w:tcBorders>
              <w:top w:val="nil"/>
              <w:left w:val="nil"/>
              <w:bottom w:val="single" w:sz="4" w:space="0" w:color="auto"/>
              <w:right w:val="single" w:sz="4" w:space="0" w:color="auto"/>
            </w:tcBorders>
            <w:shd w:val="clear" w:color="auto" w:fill="auto"/>
            <w:noWrap/>
            <w:vAlign w:val="center"/>
            <w:hideMark/>
          </w:tcPr>
          <w:p w14:paraId="116602A4" w14:textId="77777777" w:rsidR="00705347" w:rsidRPr="002259D9" w:rsidRDefault="00705347" w:rsidP="00705347">
            <w:pPr>
              <w:spacing w:before="0" w:after="0"/>
              <w:jc w:val="center"/>
              <w:rPr>
                <w:rFonts w:cs="Arial"/>
                <w:bCs/>
                <w:sz w:val="16"/>
                <w:szCs w:val="16"/>
              </w:rPr>
            </w:pPr>
            <w:r w:rsidRPr="002259D9">
              <w:rPr>
                <w:rFonts w:cs="Arial"/>
                <w:bCs/>
                <w:sz w:val="16"/>
                <w:szCs w:val="16"/>
              </w:rPr>
              <w:t>N3S35 y N4S44</w:t>
            </w:r>
          </w:p>
        </w:tc>
        <w:tc>
          <w:tcPr>
            <w:tcW w:w="0" w:type="auto"/>
            <w:tcBorders>
              <w:top w:val="nil"/>
              <w:left w:val="nil"/>
              <w:bottom w:val="single" w:sz="4" w:space="0" w:color="auto"/>
              <w:right w:val="single" w:sz="4" w:space="0" w:color="auto"/>
            </w:tcBorders>
            <w:shd w:val="clear" w:color="auto" w:fill="auto"/>
            <w:vAlign w:val="center"/>
            <w:hideMark/>
          </w:tcPr>
          <w:p w14:paraId="11800D7F" w14:textId="77777777" w:rsidR="00705347" w:rsidRPr="002259D9" w:rsidRDefault="00705347" w:rsidP="00705347">
            <w:pPr>
              <w:spacing w:before="0" w:after="0"/>
              <w:jc w:val="center"/>
              <w:rPr>
                <w:rFonts w:cs="Arial"/>
                <w:bCs/>
                <w:sz w:val="16"/>
                <w:szCs w:val="16"/>
              </w:rPr>
            </w:pPr>
            <w:r w:rsidRPr="002259D9">
              <w:rPr>
                <w:rFonts w:cs="Arial"/>
                <w:bCs/>
                <w:sz w:val="16"/>
                <w:szCs w:val="16"/>
              </w:rPr>
              <w:t>La subestación se amplía para albergar N4, razón por la cual el módulo común de N3 se redefine por el de N4. En el N3 hay 4 bahías en el uso (10019007S000, 10019007T000, 10019007U000 y 10019007V000) al igual que en el N4 (10019007X000, 100190083000, 100190080000 y 1001900AN000), esto quiere decir que el módulo común sería para 8 bahías N4S43 tipo 3 (7 a 9 bahías).</w:t>
            </w:r>
          </w:p>
        </w:tc>
        <w:tc>
          <w:tcPr>
            <w:tcW w:w="0" w:type="auto"/>
            <w:tcBorders>
              <w:top w:val="nil"/>
              <w:left w:val="nil"/>
              <w:bottom w:val="single" w:sz="4" w:space="0" w:color="auto"/>
              <w:right w:val="single" w:sz="4" w:space="0" w:color="auto"/>
            </w:tcBorders>
            <w:shd w:val="clear" w:color="auto" w:fill="auto"/>
            <w:vAlign w:val="center"/>
            <w:hideMark/>
          </w:tcPr>
          <w:p w14:paraId="78927DCA" w14:textId="77777777" w:rsidR="00705347" w:rsidRPr="002259D9" w:rsidRDefault="00705347" w:rsidP="00705347">
            <w:pPr>
              <w:spacing w:before="0" w:after="0"/>
              <w:jc w:val="center"/>
              <w:rPr>
                <w:rFonts w:cs="Arial"/>
                <w:bCs/>
                <w:sz w:val="16"/>
                <w:szCs w:val="16"/>
              </w:rPr>
            </w:pPr>
            <w:r w:rsidRPr="002259D9">
              <w:rPr>
                <w:rFonts w:cs="Arial"/>
                <w:bCs/>
                <w:sz w:val="16"/>
                <w:szCs w:val="16"/>
              </w:rPr>
              <w:t>Solicitamos a la CREG cambiar la UC N4S44 con IUA 1001900AM000 de la fila 244 del archivo anexo “D-112-21 Inventario reconocido 2018 – EPM” en la hoja “formato6_UC_SE” por la UC N4S43 e incluir su remuneración en el cálculo de la variable CRIN. Además, incluir en el cálculo de la variable CRIFO la UC N3S35 con IUA 10019000Y000.</w:t>
            </w:r>
          </w:p>
        </w:tc>
        <w:tc>
          <w:tcPr>
            <w:tcW w:w="0" w:type="auto"/>
            <w:tcBorders>
              <w:top w:val="nil"/>
              <w:left w:val="nil"/>
              <w:bottom w:val="single" w:sz="4" w:space="0" w:color="auto"/>
              <w:right w:val="single" w:sz="4" w:space="0" w:color="auto"/>
            </w:tcBorders>
            <w:shd w:val="clear" w:color="auto" w:fill="auto"/>
            <w:vAlign w:val="center"/>
            <w:hideMark/>
          </w:tcPr>
          <w:p w14:paraId="26F09CDE" w14:textId="77777777" w:rsidR="00705347" w:rsidRPr="002259D9" w:rsidRDefault="00705347" w:rsidP="00705347">
            <w:pPr>
              <w:spacing w:before="0" w:after="0"/>
              <w:jc w:val="center"/>
              <w:rPr>
                <w:rFonts w:ascii="Calibri" w:hAnsi="Calibri" w:cs="Calibri"/>
                <w:color w:val="000000"/>
                <w:sz w:val="16"/>
                <w:szCs w:val="16"/>
                <w:lang w:val="es-CO" w:eastAsia="es-CO"/>
              </w:rPr>
            </w:pPr>
            <w:r w:rsidRPr="002259D9">
              <w:rPr>
                <w:rFonts w:ascii="Calibri" w:hAnsi="Calibri" w:cs="Calibri"/>
                <w:color w:val="000000"/>
                <w:sz w:val="16"/>
                <w:szCs w:val="16"/>
                <w:lang w:val="es-CO" w:eastAsia="es-CO"/>
              </w:rPr>
              <w:t>El OR aclara la solicitud y se incluye la UC.</w:t>
            </w:r>
          </w:p>
        </w:tc>
      </w:tr>
      <w:tr w:rsidR="00705347" w:rsidRPr="002259D9" w14:paraId="343E760D" w14:textId="77777777" w:rsidTr="002538E5">
        <w:trPr>
          <w:trHeight w:val="45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3DB4F" w14:textId="77777777" w:rsidR="00705347" w:rsidRPr="002259D9" w:rsidRDefault="00705347" w:rsidP="002538E5">
            <w:pPr>
              <w:spacing w:before="0" w:after="0"/>
              <w:jc w:val="center"/>
              <w:rPr>
                <w:rFonts w:cs="Arial"/>
                <w:bCs/>
                <w:sz w:val="16"/>
                <w:szCs w:val="16"/>
              </w:rPr>
            </w:pPr>
            <w:r w:rsidRPr="002259D9">
              <w:rPr>
                <w:rFonts w:cs="Arial"/>
                <w:bCs/>
                <w:sz w:val="16"/>
                <w:szCs w:val="16"/>
              </w:rPr>
              <w:t>448</w:t>
            </w:r>
          </w:p>
        </w:tc>
        <w:tc>
          <w:tcPr>
            <w:tcW w:w="0" w:type="auto"/>
            <w:tcBorders>
              <w:top w:val="nil"/>
              <w:left w:val="nil"/>
              <w:bottom w:val="single" w:sz="4" w:space="0" w:color="auto"/>
              <w:right w:val="single" w:sz="4" w:space="0" w:color="auto"/>
            </w:tcBorders>
            <w:shd w:val="clear" w:color="auto" w:fill="auto"/>
            <w:noWrap/>
            <w:vAlign w:val="center"/>
            <w:hideMark/>
          </w:tcPr>
          <w:p w14:paraId="68515B69" w14:textId="77777777" w:rsidR="00705347" w:rsidRPr="002259D9" w:rsidRDefault="00705347" w:rsidP="002538E5">
            <w:pPr>
              <w:spacing w:before="0" w:after="0"/>
              <w:jc w:val="center"/>
              <w:rPr>
                <w:rFonts w:cs="Arial"/>
                <w:bCs/>
                <w:sz w:val="16"/>
                <w:szCs w:val="16"/>
              </w:rPr>
            </w:pPr>
            <w:r w:rsidRPr="002259D9">
              <w:rPr>
                <w:rFonts w:cs="Arial"/>
                <w:bCs/>
                <w:sz w:val="16"/>
                <w:szCs w:val="16"/>
              </w:rPr>
              <w:t>10212</w:t>
            </w:r>
          </w:p>
        </w:tc>
        <w:tc>
          <w:tcPr>
            <w:tcW w:w="0" w:type="auto"/>
            <w:tcBorders>
              <w:top w:val="nil"/>
              <w:left w:val="nil"/>
              <w:bottom w:val="single" w:sz="4" w:space="0" w:color="auto"/>
              <w:right w:val="single" w:sz="4" w:space="0" w:color="auto"/>
            </w:tcBorders>
            <w:shd w:val="clear" w:color="auto" w:fill="auto"/>
            <w:noWrap/>
            <w:vAlign w:val="center"/>
            <w:hideMark/>
          </w:tcPr>
          <w:p w14:paraId="142CB2B3" w14:textId="77777777" w:rsidR="00705347" w:rsidRPr="002259D9" w:rsidRDefault="00705347" w:rsidP="002538E5">
            <w:pPr>
              <w:spacing w:before="0" w:after="0"/>
              <w:jc w:val="center"/>
              <w:rPr>
                <w:rFonts w:cs="Arial"/>
                <w:bCs/>
                <w:sz w:val="16"/>
                <w:szCs w:val="16"/>
              </w:rPr>
            </w:pPr>
            <w:r w:rsidRPr="002259D9">
              <w:rPr>
                <w:rFonts w:cs="Arial"/>
                <w:bCs/>
                <w:sz w:val="16"/>
                <w:szCs w:val="16"/>
              </w:rPr>
              <w:t>Calizas</w:t>
            </w:r>
          </w:p>
        </w:tc>
        <w:tc>
          <w:tcPr>
            <w:tcW w:w="0" w:type="auto"/>
            <w:tcBorders>
              <w:top w:val="nil"/>
              <w:left w:val="nil"/>
              <w:bottom w:val="single" w:sz="4" w:space="0" w:color="auto"/>
              <w:right w:val="single" w:sz="4" w:space="0" w:color="auto"/>
            </w:tcBorders>
            <w:shd w:val="clear" w:color="auto" w:fill="auto"/>
            <w:noWrap/>
            <w:vAlign w:val="center"/>
            <w:hideMark/>
          </w:tcPr>
          <w:p w14:paraId="11D0318E" w14:textId="77777777" w:rsidR="00705347" w:rsidRPr="002259D9" w:rsidRDefault="00705347" w:rsidP="002538E5">
            <w:pPr>
              <w:spacing w:before="0" w:after="0"/>
              <w:jc w:val="center"/>
              <w:rPr>
                <w:rFonts w:cs="Arial"/>
                <w:bCs/>
                <w:sz w:val="16"/>
                <w:szCs w:val="16"/>
              </w:rPr>
            </w:pPr>
            <w:r w:rsidRPr="002259D9">
              <w:rPr>
                <w:rFonts w:cs="Arial"/>
                <w:bCs/>
                <w:sz w:val="16"/>
                <w:szCs w:val="16"/>
              </w:rPr>
              <w:t>N4S42</w:t>
            </w:r>
          </w:p>
        </w:tc>
        <w:tc>
          <w:tcPr>
            <w:tcW w:w="0" w:type="auto"/>
            <w:tcBorders>
              <w:top w:val="nil"/>
              <w:left w:val="nil"/>
              <w:bottom w:val="single" w:sz="4" w:space="0" w:color="auto"/>
              <w:right w:val="single" w:sz="4" w:space="0" w:color="auto"/>
            </w:tcBorders>
            <w:shd w:val="clear" w:color="auto" w:fill="auto"/>
            <w:vAlign w:val="center"/>
            <w:hideMark/>
          </w:tcPr>
          <w:p w14:paraId="7B09D4B9" w14:textId="77777777" w:rsidR="00705347" w:rsidRPr="002259D9" w:rsidRDefault="00705347" w:rsidP="002538E5">
            <w:pPr>
              <w:spacing w:before="0" w:after="0"/>
              <w:jc w:val="center"/>
              <w:rPr>
                <w:rFonts w:cs="Arial"/>
                <w:bCs/>
                <w:sz w:val="16"/>
                <w:szCs w:val="16"/>
              </w:rPr>
            </w:pPr>
            <w:r w:rsidRPr="002259D9">
              <w:rPr>
                <w:rFonts w:cs="Arial"/>
                <w:bCs/>
                <w:sz w:val="16"/>
                <w:szCs w:val="16"/>
              </w:rPr>
              <w:t>La UC N4S42 Módulo común tipo 2 (4 a 6 bahías), contempla la totalidad de la subestación Calizas una vez terminado el proyecto, sin embargo, entendemos solamente se debe remunerar el módulo común para las bahías que estén energizadas al cierre del 2018, las cuales eran 2 bahías con IUA: 1021200AL000 y 1021200AM000. En este sentido la UC correcta es la N4S41 Módulo común tipo 1 (1 a 3 bahías</w:t>
            </w:r>
          </w:p>
        </w:tc>
        <w:tc>
          <w:tcPr>
            <w:tcW w:w="0" w:type="auto"/>
            <w:tcBorders>
              <w:top w:val="nil"/>
              <w:left w:val="nil"/>
              <w:bottom w:val="single" w:sz="4" w:space="0" w:color="auto"/>
              <w:right w:val="single" w:sz="4" w:space="0" w:color="auto"/>
            </w:tcBorders>
            <w:shd w:val="clear" w:color="auto" w:fill="auto"/>
            <w:vAlign w:val="center"/>
            <w:hideMark/>
          </w:tcPr>
          <w:p w14:paraId="4332A9A1" w14:textId="77777777" w:rsidR="00705347" w:rsidRPr="002259D9" w:rsidRDefault="00705347" w:rsidP="002538E5">
            <w:pPr>
              <w:spacing w:before="0" w:after="0"/>
              <w:jc w:val="center"/>
              <w:rPr>
                <w:rFonts w:cs="Arial"/>
                <w:bCs/>
                <w:sz w:val="16"/>
                <w:szCs w:val="16"/>
              </w:rPr>
            </w:pPr>
            <w:r w:rsidRPr="002259D9">
              <w:rPr>
                <w:rFonts w:cs="Arial"/>
                <w:bCs/>
                <w:sz w:val="16"/>
                <w:szCs w:val="16"/>
              </w:rPr>
              <w:t>Solicitamos a la CREG cambiar la UC N4S42 con IUA 1021200AP000 de la fila 448 del archivo anexo “D-112-21 Inventario reconocido 2018 – EPM” en la hoja “formato6_UC_SE” por la UC N4S41, e incluir su remuneración en el cálculo de la variable CRIN</w:t>
            </w:r>
          </w:p>
        </w:tc>
        <w:tc>
          <w:tcPr>
            <w:tcW w:w="0" w:type="auto"/>
            <w:tcBorders>
              <w:top w:val="nil"/>
              <w:left w:val="nil"/>
              <w:bottom w:val="single" w:sz="4" w:space="0" w:color="auto"/>
              <w:right w:val="single" w:sz="4" w:space="0" w:color="auto"/>
            </w:tcBorders>
            <w:shd w:val="clear" w:color="auto" w:fill="auto"/>
            <w:vAlign w:val="center"/>
            <w:hideMark/>
          </w:tcPr>
          <w:p w14:paraId="09A25909" w14:textId="77777777" w:rsidR="00705347" w:rsidRPr="002259D9" w:rsidRDefault="00705347" w:rsidP="002538E5">
            <w:pPr>
              <w:spacing w:before="0" w:after="0"/>
              <w:jc w:val="center"/>
              <w:rPr>
                <w:rFonts w:ascii="Calibri" w:hAnsi="Calibri" w:cs="Calibri"/>
                <w:color w:val="000000"/>
                <w:sz w:val="16"/>
                <w:szCs w:val="16"/>
                <w:lang w:val="es-CO" w:eastAsia="es-CO"/>
              </w:rPr>
            </w:pPr>
            <w:r w:rsidRPr="002259D9">
              <w:rPr>
                <w:rFonts w:ascii="Calibri" w:hAnsi="Calibri" w:cs="Calibri"/>
                <w:color w:val="000000"/>
                <w:sz w:val="16"/>
                <w:szCs w:val="16"/>
                <w:lang w:val="es-CO" w:eastAsia="es-CO"/>
              </w:rPr>
              <w:t xml:space="preserve">Se realiza el ajuste solicitado por el </w:t>
            </w:r>
            <w:proofErr w:type="gramStart"/>
            <w:r w:rsidRPr="002259D9">
              <w:rPr>
                <w:rFonts w:ascii="Calibri" w:hAnsi="Calibri" w:cs="Calibri"/>
                <w:color w:val="000000"/>
                <w:sz w:val="16"/>
                <w:szCs w:val="16"/>
                <w:lang w:val="es-CO" w:eastAsia="es-CO"/>
              </w:rPr>
              <w:t>OR  para</w:t>
            </w:r>
            <w:proofErr w:type="gramEnd"/>
            <w:r w:rsidRPr="002259D9">
              <w:rPr>
                <w:rFonts w:ascii="Calibri" w:hAnsi="Calibri" w:cs="Calibri"/>
                <w:color w:val="000000"/>
                <w:sz w:val="16"/>
                <w:szCs w:val="16"/>
                <w:lang w:val="es-CO" w:eastAsia="es-CO"/>
              </w:rPr>
              <w:t xml:space="preserve"> cambiar la UC N4S42 por N4S41.</w:t>
            </w:r>
          </w:p>
        </w:tc>
      </w:tr>
    </w:tbl>
    <w:p w14:paraId="4F2DB9D6" w14:textId="77777777" w:rsidR="00ED6FCB" w:rsidRPr="002259D9" w:rsidRDefault="00ED6FCB" w:rsidP="00965296">
      <w:pPr>
        <w:pStyle w:val="Textoindependiente"/>
        <w:spacing w:before="1"/>
        <w:jc w:val="both"/>
        <w:rPr>
          <w:rFonts w:ascii="Bookman Old Style" w:hAnsi="Bookman Old Style" w:cs="Times New Roman"/>
          <w:b w:val="0"/>
          <w:bCs w:val="0"/>
          <w:lang w:val="es-CO"/>
        </w:rPr>
      </w:pPr>
    </w:p>
    <w:p w14:paraId="67E3C37F" w14:textId="24311C42" w:rsidR="00705347" w:rsidRPr="002259D9" w:rsidRDefault="00705347" w:rsidP="00705347">
      <w:pPr>
        <w:pStyle w:val="Textoindependiente"/>
        <w:jc w:val="both"/>
        <w:rPr>
          <w:rFonts w:ascii="Bookman Old Style" w:hAnsi="Bookman Old Style" w:cs="Times New Roman"/>
          <w:i/>
          <w:iCs/>
        </w:rPr>
      </w:pPr>
      <w:r w:rsidRPr="002259D9">
        <w:rPr>
          <w:rFonts w:ascii="Bookman Old Style" w:hAnsi="Bookman Old Style" w:cs="Times New Roman"/>
        </w:rPr>
        <w:t>A.4.</w:t>
      </w:r>
      <w:r w:rsidRPr="002259D9">
        <w:rPr>
          <w:rFonts w:ascii="Bookman Old Style" w:hAnsi="Bookman Old Style" w:cs="Times New Roman"/>
          <w:i/>
          <w:iCs/>
        </w:rPr>
        <w:t>Unidades Constructivas (UC) especiales ambientales, sociales y servidumbre.</w:t>
      </w:r>
    </w:p>
    <w:p w14:paraId="666AA192" w14:textId="413EE056" w:rsidR="00705347" w:rsidRPr="002259D9" w:rsidRDefault="00705347" w:rsidP="00705347">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Incluir la remuneración de las UC Especiales ambientales, sociales y servidumbres relacionadas a continuación, en los ingresos aprobados a EPM.</w:t>
      </w:r>
    </w:p>
    <w:p w14:paraId="1C7B6DA9" w14:textId="6EA5AC37" w:rsidR="00705347" w:rsidRPr="002259D9" w:rsidRDefault="00705347" w:rsidP="00705347">
      <w:pPr>
        <w:pStyle w:val="Textoindependiente"/>
        <w:spacing w:before="179"/>
        <w:jc w:val="both"/>
        <w:rPr>
          <w:rFonts w:ascii="Bookman Old Style" w:hAnsi="Bookman Old Style"/>
          <w:b w:val="0"/>
          <w:bCs w:val="0"/>
          <w:i/>
          <w:iCs/>
        </w:rPr>
      </w:pPr>
      <w:r w:rsidRPr="002259D9">
        <w:rPr>
          <w:rFonts w:ascii="Bookman Old Style" w:hAnsi="Bookman Old Style" w:cs="Times New Roman"/>
          <w:b w:val="0"/>
          <w:bCs w:val="0"/>
        </w:rPr>
        <w:t xml:space="preserve">Soporte: </w:t>
      </w:r>
      <w:r w:rsidR="00D372A9" w:rsidRPr="002259D9">
        <w:rPr>
          <w:rFonts w:ascii="Bookman Old Style" w:hAnsi="Bookman Old Style"/>
          <w:b w:val="0"/>
          <w:bCs w:val="0"/>
          <w:i/>
          <w:iCs/>
        </w:rPr>
        <w:t>Relacionado con las UC especiales presentadas por EPM para el 2018 y que tienen que</w:t>
      </w:r>
      <w:r w:rsidR="00D372A9" w:rsidRPr="002259D9">
        <w:rPr>
          <w:spacing w:val="1"/>
        </w:rPr>
        <w:t xml:space="preserve"> </w:t>
      </w:r>
      <w:r w:rsidRPr="002259D9">
        <w:rPr>
          <w:rFonts w:ascii="Bookman Old Style" w:hAnsi="Bookman Old Style"/>
          <w:b w:val="0"/>
          <w:bCs w:val="0"/>
          <w:i/>
          <w:iCs/>
        </w:rPr>
        <w:t xml:space="preserve">ver con lo ambiental, social y servidumbres, descritas en la “Tabla 4. Solicitud de Unidades Constructivas Especiales en activos de 2018 – EPM” del documento soporte de la Resolución CREG 136 de 2021, la </w:t>
      </w:r>
      <w:r w:rsidR="00C73249">
        <w:rPr>
          <w:rFonts w:ascii="Bookman Old Style" w:hAnsi="Bookman Old Style"/>
          <w:b w:val="0"/>
          <w:bCs w:val="0"/>
          <w:i/>
          <w:iCs/>
        </w:rPr>
        <w:t>Comisión</w:t>
      </w:r>
      <w:r w:rsidRPr="002259D9">
        <w:rPr>
          <w:rFonts w:ascii="Bookman Old Style" w:hAnsi="Bookman Old Style"/>
          <w:b w:val="0"/>
          <w:bCs w:val="0"/>
          <w:i/>
          <w:iCs/>
        </w:rPr>
        <w:t xml:space="preserve"> expresa que no se reconocen y las razones para no remunerarlas son:</w:t>
      </w:r>
    </w:p>
    <w:p w14:paraId="308B5F42" w14:textId="77777777" w:rsidR="00705347" w:rsidRPr="002259D9" w:rsidRDefault="00705347" w:rsidP="00CA608B">
      <w:pPr>
        <w:pStyle w:val="Prrafodelista"/>
        <w:widowControl w:val="0"/>
        <w:numPr>
          <w:ilvl w:val="0"/>
          <w:numId w:val="8"/>
        </w:numPr>
        <w:tabs>
          <w:tab w:val="left" w:pos="1121"/>
          <w:tab w:val="left" w:pos="1122"/>
        </w:tabs>
        <w:autoSpaceDE w:val="0"/>
        <w:autoSpaceDN w:val="0"/>
        <w:spacing w:before="30" w:after="0" w:line="228" w:lineRule="auto"/>
        <w:jc w:val="left"/>
        <w:rPr>
          <w:rFonts w:cs="Arial"/>
          <w:i/>
          <w:iCs/>
          <w:szCs w:val="24"/>
          <w:lang w:val="es-ES"/>
        </w:rPr>
      </w:pPr>
      <w:r w:rsidRPr="002259D9">
        <w:rPr>
          <w:rFonts w:cs="Arial"/>
          <w:i/>
          <w:iCs/>
        </w:rPr>
        <w:t>“La solicitud no cumple con los criterios solicitados en el numeral 14.1 de la Resolución CREG 015 de 2018.</w:t>
      </w:r>
    </w:p>
    <w:p w14:paraId="0155CD57" w14:textId="77777777" w:rsidR="00705347" w:rsidRPr="002259D9" w:rsidRDefault="00705347" w:rsidP="00CA608B">
      <w:pPr>
        <w:pStyle w:val="Prrafodelista"/>
        <w:widowControl w:val="0"/>
        <w:numPr>
          <w:ilvl w:val="0"/>
          <w:numId w:val="8"/>
        </w:numPr>
        <w:tabs>
          <w:tab w:val="left" w:pos="1121"/>
          <w:tab w:val="left" w:pos="1122"/>
        </w:tabs>
        <w:autoSpaceDE w:val="0"/>
        <w:autoSpaceDN w:val="0"/>
        <w:spacing w:before="20" w:after="0" w:line="228" w:lineRule="auto"/>
        <w:jc w:val="left"/>
        <w:rPr>
          <w:rFonts w:cs="Arial"/>
          <w:i/>
          <w:iCs/>
          <w:szCs w:val="24"/>
          <w:lang w:val="es-ES"/>
        </w:rPr>
      </w:pPr>
      <w:r w:rsidRPr="002259D9">
        <w:rPr>
          <w:rFonts w:cs="Arial"/>
          <w:i/>
          <w:iCs/>
          <w:szCs w:val="24"/>
          <w:lang w:val="es-ES"/>
        </w:rPr>
        <w:t>Se considera que las UC no corresponden con activos con características técnicas distintas a las de las UC establecidas.</w:t>
      </w:r>
    </w:p>
    <w:p w14:paraId="6729AE2D" w14:textId="77777777" w:rsidR="00705347" w:rsidRPr="002259D9" w:rsidRDefault="00705347" w:rsidP="00CA608B">
      <w:pPr>
        <w:pStyle w:val="Prrafodelista"/>
        <w:widowControl w:val="0"/>
        <w:numPr>
          <w:ilvl w:val="0"/>
          <w:numId w:val="8"/>
        </w:numPr>
        <w:tabs>
          <w:tab w:val="left" w:pos="1121"/>
          <w:tab w:val="left" w:pos="1122"/>
        </w:tabs>
        <w:autoSpaceDE w:val="0"/>
        <w:autoSpaceDN w:val="0"/>
        <w:spacing w:before="20" w:after="0" w:line="228" w:lineRule="auto"/>
        <w:jc w:val="left"/>
        <w:rPr>
          <w:rFonts w:cs="Arial"/>
          <w:i/>
          <w:iCs/>
          <w:szCs w:val="24"/>
          <w:lang w:val="es-ES"/>
        </w:rPr>
      </w:pPr>
      <w:r w:rsidRPr="002259D9">
        <w:rPr>
          <w:rFonts w:cs="Arial"/>
          <w:i/>
          <w:iCs/>
          <w:szCs w:val="24"/>
          <w:lang w:val="es-ES"/>
        </w:rPr>
        <w:t>Las UC no poseen los criterios para adquisiciones directas.</w:t>
      </w:r>
    </w:p>
    <w:p w14:paraId="44C6AB92" w14:textId="5C45C4CD" w:rsidR="00705347" w:rsidRPr="002259D9" w:rsidRDefault="00705347" w:rsidP="00CA608B">
      <w:pPr>
        <w:pStyle w:val="Prrafodelista"/>
        <w:widowControl w:val="0"/>
        <w:numPr>
          <w:ilvl w:val="0"/>
          <w:numId w:val="8"/>
        </w:numPr>
        <w:tabs>
          <w:tab w:val="left" w:pos="1121"/>
          <w:tab w:val="left" w:pos="1122"/>
        </w:tabs>
        <w:autoSpaceDE w:val="0"/>
        <w:autoSpaceDN w:val="0"/>
        <w:spacing w:before="20" w:after="0" w:line="228" w:lineRule="auto"/>
        <w:rPr>
          <w:rFonts w:cs="Arial"/>
          <w:i/>
          <w:iCs/>
        </w:rPr>
      </w:pPr>
      <w:r w:rsidRPr="002259D9">
        <w:rPr>
          <w:rFonts w:cs="Arial"/>
          <w:i/>
          <w:iCs/>
        </w:rPr>
        <w:t>También se aclara que como documento Anexo a la Resolución CREG 015 de 2018 se tiene el archivo “RES.015-18 UC R015_2018.xlsm”, en el cual se presentan los análisis para los precios unitarios de las UC, donde, entre otras cosas, se encuentra la composición de las UC, teniendo en cuenta aspectos como obras civiles, montaje, ingeniería, interventoría, administración ejecución, entre otros, los cuales cumplen con los aspectos de la solicitud respecto a las UC especiales”.</w:t>
      </w:r>
    </w:p>
    <w:p w14:paraId="2E1D12A2" w14:textId="33C325AA" w:rsidR="00705347" w:rsidRPr="002259D9" w:rsidRDefault="00705347"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 xml:space="preserve">A continuación, presentamos los soportes por los cuales consideramos que </w:t>
      </w:r>
      <w:r w:rsidR="0004152C" w:rsidRPr="002259D9">
        <w:rPr>
          <w:rFonts w:ascii="Bookman Old Style" w:hAnsi="Bookman Old Style"/>
          <w:b w:val="0"/>
          <w:bCs w:val="0"/>
          <w:i/>
          <w:iCs/>
        </w:rPr>
        <w:t>la remuneración de estas UC Especiales se debe</w:t>
      </w:r>
      <w:r w:rsidRPr="002259D9">
        <w:rPr>
          <w:rFonts w:ascii="Bookman Old Style" w:hAnsi="Bookman Old Style"/>
          <w:b w:val="0"/>
          <w:bCs w:val="0"/>
          <w:i/>
          <w:iCs/>
        </w:rPr>
        <w:t xml:space="preserve"> reconocer:</w:t>
      </w:r>
    </w:p>
    <w:p w14:paraId="22897E36" w14:textId="77777777" w:rsidR="00D372A9" w:rsidRPr="002259D9" w:rsidRDefault="00D372A9" w:rsidP="00D372A9">
      <w:pPr>
        <w:rPr>
          <w:rFonts w:cs="Arial"/>
          <w:i/>
          <w:iCs/>
        </w:rPr>
      </w:pPr>
      <w:r w:rsidRPr="002259D9">
        <w:rPr>
          <w:rFonts w:cs="Arial"/>
          <w:i/>
          <w:iCs/>
        </w:rPr>
        <w:t>SOPORTE PARA INCLUIR EN LA BASE INICIAL DE ACTIVOS</w:t>
      </w:r>
    </w:p>
    <w:p w14:paraId="0FBB9285" w14:textId="77777777"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La decisión que tomó EPM al solicitar aprobación de ingresos, en cumplimiento del artículo 6 de la Res. 015, fue la establecida en el literal b), según la cual los activos del 2018 harán parte de la base regulatoria inicial de activos y su clasificación se hará según el capítulo 15.</w:t>
      </w:r>
    </w:p>
    <w:p w14:paraId="125A0CA5" w14:textId="14417F69" w:rsidR="00D372A9" w:rsidRPr="002259D9" w:rsidRDefault="00D372A9" w:rsidP="00D372A9">
      <w:pPr>
        <w:pStyle w:val="Textoindependiente"/>
        <w:spacing w:before="1"/>
        <w:jc w:val="both"/>
        <w:rPr>
          <w:rFonts w:ascii="Bookman Old Style" w:hAnsi="Bookman Old Style"/>
          <w:b w:val="0"/>
          <w:bCs w:val="0"/>
          <w:i/>
          <w:iCs/>
        </w:rPr>
      </w:pPr>
      <w:r w:rsidRPr="002259D9">
        <w:rPr>
          <w:rFonts w:ascii="Bookman Old Style" w:hAnsi="Bookman Old Style"/>
          <w:b w:val="0"/>
          <w:bCs w:val="0"/>
          <w:i/>
          <w:iCs/>
        </w:rPr>
        <w:t xml:space="preserve">Los </w:t>
      </w:r>
      <w:r w:rsidR="0004152C" w:rsidRPr="002259D9">
        <w:rPr>
          <w:rFonts w:ascii="Bookman Old Style" w:hAnsi="Bookman Old Style"/>
          <w:b w:val="0"/>
          <w:bCs w:val="0"/>
          <w:i/>
          <w:iCs/>
        </w:rPr>
        <w:t>conceptos ambientales</w:t>
      </w:r>
      <w:r w:rsidRPr="002259D9">
        <w:rPr>
          <w:rFonts w:ascii="Bookman Old Style" w:hAnsi="Bookman Old Style"/>
          <w:b w:val="0"/>
          <w:bCs w:val="0"/>
          <w:i/>
          <w:iCs/>
        </w:rPr>
        <w:t>, social y servidumbres están asociadas con Líneas aéreas y hacen parte del factor de instalación de lo definido por la CREG dentro las Unidades Constructivas -UC- líneas de la Resolución CREG 097 de 2008, que son las mismas UC (con idéntica composición y valor) establecidas en el capítulo 15 de la Resolución CREG 015 de 0218. Bajo estos conceptos hacen parte integral de la UC y tienen la característica y tratamiento de activos dentro de la base inicial según lo definido en la resolución CREG 015 de 2018.</w:t>
      </w:r>
    </w:p>
    <w:p w14:paraId="5CC6674D" w14:textId="64CCBCCE" w:rsidR="00D372A9" w:rsidRPr="002259D9" w:rsidRDefault="00D372A9" w:rsidP="00D372A9">
      <w:pPr>
        <w:pStyle w:val="Textoindependiente"/>
        <w:spacing w:before="93"/>
        <w:jc w:val="both"/>
        <w:rPr>
          <w:rFonts w:ascii="Bookman Old Style" w:hAnsi="Bookman Old Style"/>
          <w:b w:val="0"/>
          <w:bCs w:val="0"/>
          <w:i/>
          <w:iCs/>
        </w:rPr>
      </w:pPr>
      <w:r w:rsidRPr="002259D9">
        <w:rPr>
          <w:rFonts w:ascii="Bookman Old Style" w:hAnsi="Bookman Old Style"/>
          <w:b w:val="0"/>
          <w:bCs w:val="0"/>
          <w:i/>
          <w:iCs/>
        </w:rPr>
        <w:t xml:space="preserve">En el numeral 14.1 la </w:t>
      </w:r>
      <w:r w:rsidR="00C73249">
        <w:rPr>
          <w:rFonts w:ascii="Bookman Old Style" w:hAnsi="Bookman Old Style"/>
          <w:b w:val="0"/>
          <w:bCs w:val="0"/>
          <w:i/>
          <w:iCs/>
        </w:rPr>
        <w:t>Comisión</w:t>
      </w:r>
      <w:r w:rsidRPr="002259D9">
        <w:rPr>
          <w:rFonts w:ascii="Bookman Old Style" w:hAnsi="Bookman Old Style"/>
          <w:b w:val="0"/>
          <w:bCs w:val="0"/>
          <w:i/>
          <w:iCs/>
        </w:rPr>
        <w:t xml:space="preserve"> señala que se debe seguir el procedimiento de unidades constructivas especiales en los literales u, v y w. Sobre este punto particular, se lee que el capítulo 14 aplica para activos que hacen parte del plan de inversión a realizar durante el periodo tarifario y no de la base inicial de activos como es el caso elegido por EPM.</w:t>
      </w:r>
    </w:p>
    <w:p w14:paraId="3DAA52AD" w14:textId="1D740A5F"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 xml:space="preserve">Es    importante además aclarar que     los     criterios     definidos     en     el     numeral 14.1 están enmarcados a UC asociadas a subestaciones, que es diferente al numeral de líneas. Puntualmente los literales señalados por la </w:t>
      </w:r>
      <w:r w:rsidR="00C73249">
        <w:rPr>
          <w:rFonts w:ascii="Bookman Old Style" w:hAnsi="Bookman Old Style"/>
          <w:b w:val="0"/>
          <w:bCs w:val="0"/>
          <w:i/>
          <w:iCs/>
        </w:rPr>
        <w:t>Comisión</w:t>
      </w:r>
      <w:r w:rsidRPr="002259D9">
        <w:rPr>
          <w:rFonts w:ascii="Bookman Old Style" w:hAnsi="Bookman Old Style"/>
          <w:b w:val="0"/>
          <w:bCs w:val="0"/>
          <w:i/>
          <w:iCs/>
        </w:rPr>
        <w:t xml:space="preserve"> (literales u, v y w del numeral 14.1) hacen referencia a UC de compensaciones, GIS y centros de control que no son del alcance de los asuntos ambientales, sociales y prediales.</w:t>
      </w:r>
    </w:p>
    <w:p w14:paraId="4A329A94" w14:textId="77777777" w:rsidR="00D372A9" w:rsidRPr="002259D9" w:rsidRDefault="00D372A9" w:rsidP="00D372A9">
      <w:pPr>
        <w:rPr>
          <w:i/>
          <w:iCs/>
        </w:rPr>
      </w:pPr>
      <w:r w:rsidRPr="002259D9">
        <w:rPr>
          <w:i/>
          <w:iCs/>
        </w:rPr>
        <w:t>AÑO DE TRANSICIÓN ENTRE PERIODOS TARIFARIOS: 2018</w:t>
      </w:r>
    </w:p>
    <w:p w14:paraId="1260F08B" w14:textId="07BEA8B2"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 xml:space="preserve">Como lo planteó la </w:t>
      </w:r>
      <w:r w:rsidR="00C73249">
        <w:rPr>
          <w:rFonts w:ascii="Bookman Old Style" w:hAnsi="Bookman Old Style"/>
          <w:b w:val="0"/>
          <w:bCs w:val="0"/>
          <w:i/>
          <w:iCs/>
        </w:rPr>
        <w:t>Comisión</w:t>
      </w:r>
      <w:r w:rsidRPr="002259D9">
        <w:rPr>
          <w:rFonts w:ascii="Bookman Old Style" w:hAnsi="Bookman Old Style"/>
          <w:b w:val="0"/>
          <w:bCs w:val="0"/>
          <w:i/>
          <w:iCs/>
        </w:rPr>
        <w:t xml:space="preserve"> para el año 2018 se permite la posibilidad de que este año se incluya en la base inicial de activos y en ese sentido se convierte en el año de transición para la aplicación regulatoria entre los dos períodos regulatorios.</w:t>
      </w:r>
    </w:p>
    <w:p w14:paraId="7E9CE9CD" w14:textId="77777777"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Por parte de EPM y con los soportes aquí expuestos se consideró el momento oportuno para hacer la solicitud de remuneración de UC especiales que se tenían pendientes de solicitar.</w:t>
      </w:r>
    </w:p>
    <w:p w14:paraId="0CC7A7AC" w14:textId="77777777" w:rsidR="00D372A9" w:rsidRPr="002259D9" w:rsidRDefault="00D372A9" w:rsidP="00D372A9">
      <w:pPr>
        <w:rPr>
          <w:i/>
          <w:iCs/>
        </w:rPr>
      </w:pPr>
      <w:r w:rsidRPr="002259D9">
        <w:rPr>
          <w:i/>
          <w:iCs/>
        </w:rPr>
        <w:t>IMPOSIBLE CUMPLIR CON CRITERIOS DE ADQUISICIÓN DIRECTA</w:t>
      </w:r>
    </w:p>
    <w:p w14:paraId="3FF37E27" w14:textId="77777777" w:rsidR="00D372A9" w:rsidRPr="002259D9" w:rsidRDefault="00D372A9" w:rsidP="00D372A9">
      <w:pPr>
        <w:pStyle w:val="Textoindependiente"/>
        <w:spacing w:before="93"/>
        <w:jc w:val="both"/>
        <w:rPr>
          <w:rFonts w:ascii="Bookman Old Style" w:hAnsi="Bookman Old Style"/>
          <w:b w:val="0"/>
          <w:bCs w:val="0"/>
          <w:i/>
          <w:iCs/>
        </w:rPr>
      </w:pPr>
      <w:r w:rsidRPr="002259D9">
        <w:rPr>
          <w:rFonts w:ascii="Bookman Old Style" w:hAnsi="Bookman Old Style"/>
          <w:b w:val="0"/>
          <w:bCs w:val="0"/>
          <w:i/>
          <w:iCs/>
        </w:rPr>
        <w:t xml:space="preserve">Las UC especiales ambiental, social y predial solicitadas tienen condiciones que difieren de otras UC existentes en lo relacionado con su forma de adquisición, debido a esto no es posible para el OR contar con varias cotizaciones para un predio pues el valor es único y </w:t>
      </w:r>
      <w:bookmarkStart w:id="0" w:name="_Hlk86237592"/>
      <w:r w:rsidRPr="002259D9">
        <w:rPr>
          <w:rFonts w:ascii="Bookman Old Style" w:hAnsi="Bookman Old Style"/>
          <w:b w:val="0"/>
          <w:bCs w:val="0"/>
          <w:i/>
          <w:iCs/>
        </w:rPr>
        <w:t>obedece a un único proveedor, para la gestión ambiental, social son actividades que se enmarcan en el cumplimiento normativo exigido por las Autoridades ambientales. Esta es una de las razones por las que entendemos que estos activos a partir de la Resolución 015, tiene un trato diferente para aquellos que hacían parte del plan de inversión de los OR y que les aplica entre otros lo definido en el capítulo 14.</w:t>
      </w:r>
    </w:p>
    <w:p w14:paraId="31DCA8E5" w14:textId="77777777"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Para los predios de servidumbre, en la presente solicitud se anexan soportes de escrituras públicas, sentencias judiciales, certificados de tradición y libertad, entre otros documentos que soportan el valor de los predios, como facturas, cuentas de cobro y comprobantes de pago. (ver Guía de acceso a documentos más abajo)</w:t>
      </w:r>
    </w:p>
    <w:p w14:paraId="5E203683" w14:textId="77777777"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En el caso de los costos ambientales y sociales, se incluyen soportes relacionados a licencias ambientales, estudios de impacto ambiental, compensaciones forestales, trámites ambientales ante corporaciones ambientales, diagnósticos ambientales de alternativas, planes de manejo ambiental, estrategias de prevención y control de riesgos sociopolíticos, monitoreo arqueológico, entre otros documentos que soportan el valor de los conceptos ambientales y sociales solicitados, como actas de contrato, facturas, cuentas de cobro y comprobantes de pago. (ver Guía de acceso a documentos más abajo)</w:t>
      </w:r>
    </w:p>
    <w:p w14:paraId="451A372E" w14:textId="77777777"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Como puede observarse no solo se presentan facturas, sino otro tipo de documentos que sustentan los pagos realizados</w:t>
      </w:r>
    </w:p>
    <w:p w14:paraId="0416EEE2" w14:textId="77777777" w:rsidR="00D372A9" w:rsidRPr="002259D9" w:rsidRDefault="00D372A9" w:rsidP="00D372A9">
      <w:pPr>
        <w:rPr>
          <w:i/>
          <w:iCs/>
        </w:rPr>
      </w:pPr>
      <w:r w:rsidRPr="002259D9">
        <w:rPr>
          <w:i/>
          <w:iCs/>
        </w:rPr>
        <w:t>¿POR QUÉ SON ESPECIALES?</w:t>
      </w:r>
    </w:p>
    <w:p w14:paraId="7ED6FF7B" w14:textId="77777777" w:rsidR="00D372A9" w:rsidRPr="002259D9" w:rsidRDefault="00D372A9" w:rsidP="00D372A9">
      <w:pPr>
        <w:pStyle w:val="Textoindependiente"/>
        <w:jc w:val="both"/>
        <w:rPr>
          <w:rFonts w:ascii="Bookman Old Style" w:hAnsi="Bookman Old Style"/>
          <w:b w:val="0"/>
          <w:bCs w:val="0"/>
          <w:i/>
          <w:iCs/>
        </w:rPr>
      </w:pPr>
      <w:r w:rsidRPr="002259D9">
        <w:rPr>
          <w:rFonts w:ascii="Bookman Old Style" w:hAnsi="Bookman Old Style"/>
          <w:b w:val="0"/>
          <w:bCs w:val="0"/>
          <w:i/>
          <w:iCs/>
        </w:rPr>
        <w:t>Específicamente la composición de UC definidas en la Resolución CREG 097 de 2008 y que finalmente son la UC establecidas en el capítulo 15 como lo hemos anotado, lo ambiental, social y predial hacen parte del factor de instalación de la UC y obedecen a porcentajes de los costos DDP de la UC, allí no se diferencian actividades ni alcances y obedecen a realidades previas al año 2008 donde se expidió esa resolución.</w:t>
      </w:r>
    </w:p>
    <w:p w14:paraId="4991E09C" w14:textId="14BB5848" w:rsidR="00D372A9" w:rsidRPr="002259D9" w:rsidRDefault="00D372A9" w:rsidP="00D372A9">
      <w:pPr>
        <w:rPr>
          <w:rFonts w:cs="Arial"/>
          <w:i/>
          <w:iCs/>
        </w:rPr>
      </w:pPr>
      <w:r w:rsidRPr="002259D9">
        <w:rPr>
          <w:rFonts w:cs="Arial"/>
          <w:i/>
          <w:iCs/>
        </w:rPr>
        <w:t>Entendemos y resaltamos las reglas para inversiones que hacen parte del plan de inversión, bajo las UC definidas en el capítulo 14 de la resolución CREG 015 de 2018, precisamente por las condiciones aquí expuestas de costos, exigencias normativas y de mercado que no permite seguir con el reconocimiento de lo ambiental, social y servidumbres en función de porcentajes, es cuando afortunadamente aparece el concepto de remunerar los costos socio-ambientales y de servidumbres relacionados estrictamente con los proyectos de activos de uso según su ejecución.</w:t>
      </w:r>
    </w:p>
    <w:p w14:paraId="4CB6CC2F" w14:textId="385A6166" w:rsidR="00D372A9" w:rsidRPr="002259D9" w:rsidRDefault="00D372A9" w:rsidP="00D372A9">
      <w:pPr>
        <w:pStyle w:val="Textoindependiente"/>
        <w:spacing w:before="1"/>
        <w:jc w:val="both"/>
        <w:rPr>
          <w:rFonts w:ascii="Bookman Old Style" w:hAnsi="Bookman Old Style" w:cs="Times New Roman"/>
          <w:b w:val="0"/>
          <w:bCs w:val="0"/>
          <w:i/>
          <w:iCs/>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bookmarkEnd w:id="0"/>
    <w:p w14:paraId="6E608CE7" w14:textId="2FC267A8" w:rsidR="001F5003" w:rsidRPr="002259D9" w:rsidRDefault="002F17EE" w:rsidP="001F5003">
      <w:pPr>
        <w:pStyle w:val="Textoindependiente"/>
        <w:spacing w:before="2"/>
        <w:jc w:val="both"/>
        <w:rPr>
          <w:rFonts w:ascii="Bookman Old Style" w:hAnsi="Bookman Old Style"/>
          <w:b w:val="0"/>
          <w:bCs w:val="0"/>
        </w:rPr>
      </w:pPr>
      <w:r w:rsidRPr="002259D9">
        <w:rPr>
          <w:rFonts w:ascii="Bookman Old Style" w:hAnsi="Bookman Old Style"/>
          <w:b w:val="0"/>
          <w:bCs w:val="0"/>
        </w:rPr>
        <w:t>La Reso</w:t>
      </w:r>
      <w:r w:rsidR="008D18EC" w:rsidRPr="002259D9">
        <w:rPr>
          <w:rFonts w:ascii="Bookman Old Style" w:hAnsi="Bookman Old Style"/>
          <w:b w:val="0"/>
          <w:bCs w:val="0"/>
        </w:rPr>
        <w:t>l</w:t>
      </w:r>
      <w:r w:rsidRPr="002259D9">
        <w:rPr>
          <w:rFonts w:ascii="Bookman Old Style" w:hAnsi="Bookman Old Style"/>
          <w:b w:val="0"/>
          <w:bCs w:val="0"/>
        </w:rPr>
        <w:t>ución CREG 015 de 2018, en el</w:t>
      </w:r>
      <w:r w:rsidR="008D18EC" w:rsidRPr="002259D9">
        <w:rPr>
          <w:rFonts w:ascii="Bookman Old Style" w:hAnsi="Bookman Old Style"/>
          <w:b w:val="0"/>
          <w:bCs w:val="0"/>
        </w:rPr>
        <w:t xml:space="preserve"> literal </w:t>
      </w:r>
      <w:r w:rsidR="008D18EC" w:rsidRPr="002259D9">
        <w:rPr>
          <w:rFonts w:ascii="Bookman Old Style" w:hAnsi="Bookman Old Style"/>
          <w:b w:val="0"/>
          <w:bCs w:val="0"/>
          <w:i/>
          <w:iCs/>
        </w:rPr>
        <w:t>i</w:t>
      </w:r>
      <w:r w:rsidR="008D18EC" w:rsidRPr="002259D9">
        <w:rPr>
          <w:rFonts w:ascii="Bookman Old Style" w:hAnsi="Bookman Old Style"/>
          <w:b w:val="0"/>
          <w:bCs w:val="0"/>
        </w:rPr>
        <w:t xml:space="preserve"> </w:t>
      </w:r>
      <w:r w:rsidRPr="002259D9">
        <w:rPr>
          <w:rFonts w:ascii="Bookman Old Style" w:hAnsi="Bookman Old Style"/>
          <w:b w:val="0"/>
          <w:bCs w:val="0"/>
        </w:rPr>
        <w:t xml:space="preserve">del </w:t>
      </w:r>
      <w:r w:rsidR="008D18EC" w:rsidRPr="002259D9">
        <w:rPr>
          <w:rFonts w:ascii="Bookman Old Style" w:hAnsi="Bookman Old Style"/>
          <w:b w:val="0"/>
          <w:bCs w:val="0"/>
        </w:rPr>
        <w:t>Artículo 4</w:t>
      </w:r>
      <w:r w:rsidRPr="002259D9">
        <w:rPr>
          <w:rFonts w:ascii="Bookman Old Style" w:hAnsi="Bookman Old Style"/>
          <w:b w:val="0"/>
          <w:bCs w:val="0"/>
        </w:rPr>
        <w:t>,</w:t>
      </w:r>
      <w:r w:rsidR="008D18EC" w:rsidRPr="002259D9">
        <w:rPr>
          <w:rFonts w:ascii="Bookman Old Style" w:hAnsi="Bookman Old Style"/>
          <w:b w:val="0"/>
          <w:bCs w:val="0"/>
        </w:rPr>
        <w:t xml:space="preserve"> Criterios Generales</w:t>
      </w:r>
      <w:r w:rsidRPr="002259D9">
        <w:rPr>
          <w:rFonts w:ascii="Bookman Old Style" w:hAnsi="Bookman Old Style"/>
          <w:b w:val="0"/>
          <w:bCs w:val="0"/>
        </w:rPr>
        <w:t>, señala que</w:t>
      </w:r>
      <w:r w:rsidR="008D18EC" w:rsidRPr="002259D9">
        <w:rPr>
          <w:rFonts w:ascii="Bookman Old Style" w:hAnsi="Bookman Old Style"/>
          <w:b w:val="0"/>
          <w:bCs w:val="0"/>
        </w:rPr>
        <w:t xml:space="preserve"> </w:t>
      </w:r>
      <w:r w:rsidR="008D18EC" w:rsidRPr="002259D9">
        <w:rPr>
          <w:rFonts w:ascii="Bookman Old Style" w:hAnsi="Bookman Old Style"/>
          <w:b w:val="0"/>
          <w:bCs w:val="0"/>
          <w:i/>
          <w:iCs/>
        </w:rPr>
        <w:t xml:space="preserve">“Los OR podrán presentar UC especiales para lo cual deberán suministrar la información correspondiente dentro de la respectiva actuación administrativa”, </w:t>
      </w:r>
      <w:r w:rsidR="008D18EC" w:rsidRPr="002259D9">
        <w:rPr>
          <w:rFonts w:ascii="Bookman Old Style" w:hAnsi="Bookman Old Style"/>
          <w:b w:val="0"/>
          <w:bCs w:val="0"/>
        </w:rPr>
        <w:t xml:space="preserve">para lo cual en el literal </w:t>
      </w:r>
      <w:r w:rsidR="008D18EC" w:rsidRPr="002259D9">
        <w:rPr>
          <w:rFonts w:ascii="Bookman Old Style" w:hAnsi="Bookman Old Style"/>
          <w:b w:val="0"/>
          <w:bCs w:val="0"/>
          <w:i/>
          <w:iCs/>
        </w:rPr>
        <w:t xml:space="preserve">n </w:t>
      </w:r>
      <w:r w:rsidR="008D18EC" w:rsidRPr="002259D9">
        <w:rPr>
          <w:rFonts w:ascii="Bookman Old Style" w:hAnsi="Bookman Old Style"/>
          <w:b w:val="0"/>
          <w:bCs w:val="0"/>
        </w:rPr>
        <w:t xml:space="preserve">del numeral 6.1, correspondiente a planes de inversión </w:t>
      </w:r>
      <w:r w:rsidR="0004152C" w:rsidRPr="002259D9">
        <w:rPr>
          <w:rFonts w:ascii="Bookman Old Style" w:hAnsi="Bookman Old Style"/>
          <w:b w:val="0"/>
          <w:bCs w:val="0"/>
        </w:rPr>
        <w:t>dicta que “</w:t>
      </w:r>
      <w:r w:rsidR="008D18EC" w:rsidRPr="002259D9">
        <w:rPr>
          <w:rFonts w:ascii="Bookman Old Style" w:hAnsi="Bookman Old Style"/>
          <w:b w:val="0"/>
          <w:bCs w:val="0"/>
          <w:i/>
          <w:iCs/>
        </w:rPr>
        <w:t xml:space="preserve">El OR podrá incluir en el plan de inversión unidades constructivas especiales para lo cual debe dar aplicación a lo señalado en el capítulo </w:t>
      </w:r>
      <w:r w:rsidR="008D18EC" w:rsidRPr="002259D9">
        <w:rPr>
          <w:rFonts w:ascii="Bookman Old Style" w:hAnsi="Bookman Old Style"/>
          <w:b w:val="0"/>
          <w:bCs w:val="0"/>
          <w:i/>
          <w:iCs/>
        </w:rPr>
        <w:fldChar w:fldCharType="begin"/>
      </w:r>
      <w:r w:rsidR="008D18EC" w:rsidRPr="002259D9">
        <w:rPr>
          <w:rFonts w:ascii="Bookman Old Style" w:hAnsi="Bookman Old Style"/>
          <w:b w:val="0"/>
          <w:bCs w:val="0"/>
          <w:i/>
          <w:iCs/>
        </w:rPr>
        <w:instrText xml:space="preserve"> REF _Ref465980237 \r \h \t \* MERGEFORMAT </w:instrText>
      </w:r>
      <w:r w:rsidR="008D18EC" w:rsidRPr="002259D9">
        <w:rPr>
          <w:rFonts w:ascii="Bookman Old Style" w:hAnsi="Bookman Old Style"/>
          <w:b w:val="0"/>
          <w:bCs w:val="0"/>
          <w:i/>
          <w:iCs/>
        </w:rPr>
      </w:r>
      <w:r w:rsidR="008D18EC" w:rsidRPr="002259D9">
        <w:rPr>
          <w:rFonts w:ascii="Bookman Old Style" w:hAnsi="Bookman Old Style"/>
          <w:b w:val="0"/>
          <w:bCs w:val="0"/>
          <w:i/>
          <w:iCs/>
        </w:rPr>
        <w:fldChar w:fldCharType="separate"/>
      </w:r>
      <w:r w:rsidR="00B8749B">
        <w:rPr>
          <w:rFonts w:ascii="Bookman Old Style" w:hAnsi="Bookman Old Style"/>
          <w:i/>
          <w:iCs/>
        </w:rPr>
        <w:t>¡Error! No se encuentra el origen de la referencia.</w:t>
      </w:r>
      <w:r w:rsidR="008D18EC" w:rsidRPr="002259D9">
        <w:rPr>
          <w:rFonts w:ascii="Bookman Old Style" w:hAnsi="Bookman Old Style"/>
          <w:b w:val="0"/>
          <w:bCs w:val="0"/>
          <w:i/>
          <w:iCs/>
        </w:rPr>
        <w:fldChar w:fldCharType="end"/>
      </w:r>
      <w:r w:rsidR="0004152C" w:rsidRPr="002259D9">
        <w:rPr>
          <w:rFonts w:ascii="Bookman Old Style" w:hAnsi="Bookman Old Style"/>
          <w:b w:val="0"/>
          <w:bCs w:val="0"/>
          <w:i/>
          <w:iCs/>
        </w:rPr>
        <w:t>”</w:t>
      </w:r>
      <w:r w:rsidR="00CB2A95" w:rsidRPr="002259D9">
        <w:rPr>
          <w:rFonts w:ascii="Bookman Old Style" w:hAnsi="Bookman Old Style"/>
          <w:b w:val="0"/>
          <w:bCs w:val="0"/>
        </w:rPr>
        <w:t>,</w:t>
      </w:r>
      <w:r w:rsidR="00A97B3A" w:rsidRPr="002259D9">
        <w:rPr>
          <w:rFonts w:ascii="Bookman Old Style" w:hAnsi="Bookman Old Style"/>
          <w:b w:val="0"/>
          <w:bCs w:val="0"/>
        </w:rPr>
        <w:t xml:space="preserve"> y es </w:t>
      </w:r>
      <w:r w:rsidR="00CB2A95" w:rsidRPr="002259D9">
        <w:rPr>
          <w:rFonts w:ascii="Bookman Old Style" w:hAnsi="Bookman Old Style"/>
          <w:b w:val="0"/>
          <w:bCs w:val="0"/>
        </w:rPr>
        <w:t xml:space="preserve">en </w:t>
      </w:r>
      <w:r w:rsidR="00A97B3A" w:rsidRPr="002259D9">
        <w:rPr>
          <w:rFonts w:ascii="Bookman Old Style" w:hAnsi="Bookman Old Style"/>
          <w:b w:val="0"/>
          <w:bCs w:val="0"/>
        </w:rPr>
        <w:t xml:space="preserve">este mencionado capítulo </w:t>
      </w:r>
      <w:r w:rsidR="008F1399" w:rsidRPr="002259D9">
        <w:rPr>
          <w:rFonts w:ascii="Bookman Old Style" w:hAnsi="Bookman Old Style"/>
          <w:b w:val="0"/>
          <w:bCs w:val="0"/>
        </w:rPr>
        <w:t>donde se</w:t>
      </w:r>
      <w:r w:rsidR="00216E6B" w:rsidRPr="002259D9">
        <w:rPr>
          <w:rFonts w:ascii="Bookman Old Style" w:hAnsi="Bookman Old Style"/>
          <w:b w:val="0"/>
          <w:bCs w:val="0"/>
        </w:rPr>
        <w:t xml:space="preserve"> establece </w:t>
      </w:r>
      <w:r w:rsidR="00D61FA7" w:rsidRPr="002259D9">
        <w:rPr>
          <w:rFonts w:ascii="Bookman Old Style" w:hAnsi="Bookman Old Style"/>
          <w:b w:val="0"/>
          <w:bCs w:val="0"/>
        </w:rPr>
        <w:t>l</w:t>
      </w:r>
      <w:r w:rsidR="008F1399" w:rsidRPr="002259D9">
        <w:rPr>
          <w:rFonts w:ascii="Bookman Old Style" w:hAnsi="Bookman Old Style"/>
          <w:b w:val="0"/>
          <w:bCs w:val="0"/>
        </w:rPr>
        <w:t>a</w:t>
      </w:r>
      <w:r w:rsidR="00D61FA7" w:rsidRPr="002259D9">
        <w:rPr>
          <w:rFonts w:ascii="Bookman Old Style" w:hAnsi="Bookman Old Style"/>
          <w:b w:val="0"/>
          <w:bCs w:val="0"/>
        </w:rPr>
        <w:t xml:space="preserve"> document</w:t>
      </w:r>
      <w:r w:rsidR="008F1399" w:rsidRPr="002259D9">
        <w:rPr>
          <w:rFonts w:ascii="Bookman Old Style" w:hAnsi="Bookman Old Style"/>
          <w:b w:val="0"/>
          <w:bCs w:val="0"/>
        </w:rPr>
        <w:t>ación</w:t>
      </w:r>
      <w:r w:rsidR="00D61FA7" w:rsidRPr="002259D9">
        <w:rPr>
          <w:rFonts w:ascii="Bookman Old Style" w:hAnsi="Bookman Old Style"/>
          <w:b w:val="0"/>
          <w:bCs w:val="0"/>
        </w:rPr>
        <w:t xml:space="preserve"> que deben acompañar </w:t>
      </w:r>
      <w:r w:rsidR="00A04DC8" w:rsidRPr="002259D9">
        <w:rPr>
          <w:rFonts w:ascii="Bookman Old Style" w:hAnsi="Bookman Old Style"/>
          <w:b w:val="0"/>
          <w:bCs w:val="0"/>
        </w:rPr>
        <w:t>tal</w:t>
      </w:r>
      <w:r w:rsidR="00D61FA7" w:rsidRPr="002259D9">
        <w:rPr>
          <w:rFonts w:ascii="Bookman Old Style" w:hAnsi="Bookman Old Style"/>
          <w:b w:val="0"/>
          <w:bCs w:val="0"/>
        </w:rPr>
        <w:t xml:space="preserve"> solicitud</w:t>
      </w:r>
      <w:r w:rsidR="0004152C" w:rsidRPr="002259D9">
        <w:rPr>
          <w:rFonts w:ascii="Bookman Old Style" w:hAnsi="Bookman Old Style"/>
          <w:b w:val="0"/>
          <w:bCs w:val="0"/>
          <w:i/>
          <w:iCs/>
        </w:rPr>
        <w:t>.</w:t>
      </w:r>
    </w:p>
    <w:p w14:paraId="4BE641B8" w14:textId="598EA04F" w:rsidR="00017FD9" w:rsidRPr="002259D9" w:rsidRDefault="00912247" w:rsidP="00F1726D">
      <w:pPr>
        <w:pStyle w:val="Textoindependiente"/>
        <w:spacing w:before="2"/>
        <w:jc w:val="both"/>
        <w:rPr>
          <w:rFonts w:ascii="Bookman Old Style" w:hAnsi="Bookman Old Style"/>
          <w:b w:val="0"/>
          <w:bCs w:val="0"/>
        </w:rPr>
      </w:pPr>
      <w:r w:rsidRPr="002259D9">
        <w:rPr>
          <w:rFonts w:ascii="Bookman Old Style" w:hAnsi="Bookman Old Style"/>
          <w:b w:val="0"/>
          <w:bCs w:val="0"/>
        </w:rPr>
        <w:t>D</w:t>
      </w:r>
      <w:r w:rsidR="0004152C" w:rsidRPr="002259D9">
        <w:rPr>
          <w:rFonts w:ascii="Bookman Old Style" w:hAnsi="Bookman Old Style"/>
          <w:b w:val="0"/>
          <w:bCs w:val="0"/>
        </w:rPr>
        <w:t xml:space="preserve">ado que </w:t>
      </w:r>
      <w:r w:rsidR="00853779" w:rsidRPr="002259D9">
        <w:rPr>
          <w:rFonts w:ascii="Bookman Old Style" w:hAnsi="Bookman Old Style"/>
          <w:b w:val="0"/>
          <w:bCs w:val="0"/>
        </w:rPr>
        <w:t>EPM</w:t>
      </w:r>
      <w:r w:rsidR="0004152C" w:rsidRPr="002259D9">
        <w:rPr>
          <w:rFonts w:ascii="Bookman Old Style" w:hAnsi="Bookman Old Style"/>
          <w:b w:val="0"/>
          <w:bCs w:val="0"/>
        </w:rPr>
        <w:t xml:space="preserve"> decid</w:t>
      </w:r>
      <w:r w:rsidR="00853779" w:rsidRPr="002259D9">
        <w:rPr>
          <w:rFonts w:ascii="Bookman Old Style" w:hAnsi="Bookman Old Style"/>
          <w:b w:val="0"/>
          <w:bCs w:val="0"/>
        </w:rPr>
        <w:t>ió</w:t>
      </w:r>
      <w:r w:rsidR="0004152C" w:rsidRPr="002259D9">
        <w:rPr>
          <w:rFonts w:ascii="Bookman Old Style" w:hAnsi="Bookman Old Style"/>
          <w:b w:val="0"/>
          <w:bCs w:val="0"/>
        </w:rPr>
        <w:t xml:space="preserve"> incluir los activos de 2018 en la base regulatoria</w:t>
      </w:r>
      <w:r w:rsidR="00B5286A" w:rsidRPr="002259D9">
        <w:rPr>
          <w:rFonts w:ascii="Bookman Old Style" w:hAnsi="Bookman Old Style"/>
          <w:b w:val="0"/>
          <w:bCs w:val="0"/>
        </w:rPr>
        <w:t xml:space="preserve"> </w:t>
      </w:r>
      <w:r w:rsidR="00E157B4" w:rsidRPr="002259D9">
        <w:rPr>
          <w:rFonts w:ascii="Bookman Old Style" w:hAnsi="Bookman Old Style"/>
          <w:b w:val="0"/>
          <w:bCs w:val="0"/>
        </w:rPr>
        <w:t xml:space="preserve">inicial </w:t>
      </w:r>
      <w:r w:rsidR="00B5286A" w:rsidRPr="002259D9">
        <w:rPr>
          <w:rFonts w:ascii="Bookman Old Style" w:hAnsi="Bookman Old Style"/>
          <w:b w:val="0"/>
          <w:bCs w:val="0"/>
        </w:rPr>
        <w:t>de activos</w:t>
      </w:r>
      <w:r w:rsidR="00E157B4" w:rsidRPr="002259D9">
        <w:rPr>
          <w:rFonts w:ascii="Bookman Old Style" w:hAnsi="Bookman Old Style"/>
          <w:b w:val="0"/>
          <w:bCs w:val="0"/>
        </w:rPr>
        <w:t>,</w:t>
      </w:r>
      <w:r w:rsidR="0004152C" w:rsidRPr="002259D9">
        <w:rPr>
          <w:rFonts w:ascii="Bookman Old Style" w:hAnsi="Bookman Old Style"/>
          <w:b w:val="0"/>
          <w:bCs w:val="0"/>
        </w:rPr>
        <w:t xml:space="preserve"> </w:t>
      </w:r>
      <w:r w:rsidR="00E719FC" w:rsidRPr="002259D9">
        <w:rPr>
          <w:rFonts w:ascii="Bookman Old Style" w:hAnsi="Bookman Old Style"/>
          <w:b w:val="0"/>
          <w:bCs w:val="0"/>
        </w:rPr>
        <w:t>según</w:t>
      </w:r>
      <w:r w:rsidR="0004152C" w:rsidRPr="002259D9">
        <w:rPr>
          <w:rFonts w:ascii="Bookman Old Style" w:hAnsi="Bookman Old Style"/>
          <w:b w:val="0"/>
          <w:bCs w:val="0"/>
        </w:rPr>
        <w:t xml:space="preserve"> lo dispuesto en</w:t>
      </w:r>
      <w:r w:rsidR="00F1479D" w:rsidRPr="002259D9">
        <w:rPr>
          <w:rFonts w:ascii="Bookman Old Style" w:hAnsi="Bookman Old Style"/>
          <w:b w:val="0"/>
          <w:bCs w:val="0"/>
        </w:rPr>
        <w:t xml:space="preserve"> el literal b</w:t>
      </w:r>
      <w:r w:rsidR="00070DAA" w:rsidRPr="002259D9">
        <w:rPr>
          <w:rFonts w:ascii="Bookman Old Style" w:hAnsi="Bookman Old Style"/>
          <w:b w:val="0"/>
          <w:bCs w:val="0"/>
        </w:rPr>
        <w:t>) del Artículo 6 de</w:t>
      </w:r>
      <w:r w:rsidR="0004152C" w:rsidRPr="002259D9">
        <w:rPr>
          <w:rFonts w:ascii="Bookman Old Style" w:hAnsi="Bookman Old Style"/>
          <w:b w:val="0"/>
          <w:bCs w:val="0"/>
        </w:rPr>
        <w:t xml:space="preserve"> la Resolución CREG 0</w:t>
      </w:r>
      <w:r w:rsidR="00070DAA" w:rsidRPr="002259D9">
        <w:rPr>
          <w:rFonts w:ascii="Bookman Old Style" w:hAnsi="Bookman Old Style"/>
          <w:b w:val="0"/>
          <w:bCs w:val="0"/>
        </w:rPr>
        <w:t>15</w:t>
      </w:r>
      <w:r w:rsidR="0004152C" w:rsidRPr="002259D9">
        <w:rPr>
          <w:rFonts w:ascii="Bookman Old Style" w:hAnsi="Bookman Old Style"/>
          <w:b w:val="0"/>
          <w:bCs w:val="0"/>
        </w:rPr>
        <w:t xml:space="preserve"> de 201</w:t>
      </w:r>
      <w:r w:rsidR="00070DAA" w:rsidRPr="002259D9">
        <w:rPr>
          <w:rFonts w:ascii="Bookman Old Style" w:hAnsi="Bookman Old Style"/>
          <w:b w:val="0"/>
          <w:bCs w:val="0"/>
        </w:rPr>
        <w:t>8</w:t>
      </w:r>
      <w:r w:rsidR="0004152C" w:rsidRPr="002259D9">
        <w:rPr>
          <w:rFonts w:ascii="Bookman Old Style" w:hAnsi="Bookman Old Style"/>
          <w:b w:val="0"/>
          <w:bCs w:val="0"/>
        </w:rPr>
        <w:t xml:space="preserve">, </w:t>
      </w:r>
      <w:r w:rsidR="00017FD9" w:rsidRPr="002259D9">
        <w:rPr>
          <w:rFonts w:ascii="Bookman Old Style" w:hAnsi="Bookman Old Style"/>
          <w:b w:val="0"/>
          <w:bCs w:val="0"/>
        </w:rPr>
        <w:t xml:space="preserve">su solicitud </w:t>
      </w:r>
      <w:r w:rsidR="003A10B4" w:rsidRPr="002259D9">
        <w:rPr>
          <w:rFonts w:ascii="Bookman Old Style" w:hAnsi="Bookman Old Style"/>
          <w:b w:val="0"/>
          <w:bCs w:val="0"/>
        </w:rPr>
        <w:t>tiene relación con</w:t>
      </w:r>
      <w:r w:rsidR="00017FD9" w:rsidRPr="002259D9">
        <w:rPr>
          <w:rFonts w:ascii="Bookman Old Style" w:hAnsi="Bookman Old Style"/>
          <w:b w:val="0"/>
          <w:bCs w:val="0"/>
        </w:rPr>
        <w:t xml:space="preserve"> </w:t>
      </w:r>
      <w:r w:rsidR="00B36A92" w:rsidRPr="002259D9">
        <w:rPr>
          <w:rFonts w:ascii="Bookman Old Style" w:hAnsi="Bookman Old Style"/>
          <w:b w:val="0"/>
          <w:bCs w:val="0"/>
        </w:rPr>
        <w:t xml:space="preserve">las unidades constructivas </w:t>
      </w:r>
      <w:r w:rsidR="00017FD9" w:rsidRPr="002259D9">
        <w:rPr>
          <w:rFonts w:ascii="Bookman Old Style" w:hAnsi="Bookman Old Style"/>
          <w:b w:val="0"/>
          <w:bCs w:val="0"/>
        </w:rPr>
        <w:t xml:space="preserve">del </w:t>
      </w:r>
      <w:r w:rsidR="00A05CED" w:rsidRPr="002259D9">
        <w:rPr>
          <w:rFonts w:ascii="Bookman Old Style" w:hAnsi="Bookman Old Style"/>
          <w:b w:val="0"/>
          <w:bCs w:val="0"/>
        </w:rPr>
        <w:t>Capítulo 15 de la Resolución CREG 015 de 2018</w:t>
      </w:r>
      <w:r w:rsidR="001C1515" w:rsidRPr="002259D9">
        <w:rPr>
          <w:rFonts w:ascii="Bookman Old Style" w:hAnsi="Bookman Old Style"/>
          <w:b w:val="0"/>
          <w:bCs w:val="0"/>
        </w:rPr>
        <w:t>, el cual no contempla la creación de unidades constructivas especiales</w:t>
      </w:r>
      <w:r w:rsidR="00A05CED" w:rsidRPr="002259D9">
        <w:rPr>
          <w:rFonts w:ascii="Bookman Old Style" w:hAnsi="Bookman Old Style"/>
          <w:b w:val="0"/>
          <w:bCs w:val="0"/>
        </w:rPr>
        <w:t>.</w:t>
      </w:r>
      <w:r w:rsidR="00017FD9" w:rsidRPr="002259D9">
        <w:rPr>
          <w:rFonts w:ascii="Bookman Old Style" w:hAnsi="Bookman Old Style"/>
          <w:b w:val="0"/>
          <w:bCs w:val="0"/>
        </w:rPr>
        <w:t xml:space="preserve"> </w:t>
      </w:r>
    </w:p>
    <w:p w14:paraId="75BD9193" w14:textId="54569297" w:rsidR="001C08A0" w:rsidRPr="002259D9" w:rsidRDefault="003F530D" w:rsidP="00F1726D">
      <w:pPr>
        <w:pStyle w:val="Textoindependiente"/>
        <w:spacing w:before="2"/>
        <w:jc w:val="both"/>
        <w:rPr>
          <w:rFonts w:ascii="Bookman Old Style" w:hAnsi="Bookman Old Style"/>
        </w:rPr>
      </w:pPr>
      <w:r w:rsidRPr="002259D9">
        <w:rPr>
          <w:rFonts w:ascii="Bookman Old Style" w:hAnsi="Bookman Old Style"/>
          <w:b w:val="0"/>
          <w:bCs w:val="0"/>
        </w:rPr>
        <w:t>Por lo anterior, l</w:t>
      </w:r>
      <w:r w:rsidR="0004152C" w:rsidRPr="002259D9">
        <w:rPr>
          <w:rFonts w:ascii="Bookman Old Style" w:hAnsi="Bookman Old Style"/>
          <w:b w:val="0"/>
          <w:bCs w:val="0"/>
        </w:rPr>
        <w:t xml:space="preserve">a </w:t>
      </w:r>
      <w:r w:rsidR="00C73249">
        <w:rPr>
          <w:rFonts w:ascii="Bookman Old Style" w:hAnsi="Bookman Old Style"/>
          <w:b w:val="0"/>
          <w:bCs w:val="0"/>
        </w:rPr>
        <w:t>Comisión</w:t>
      </w:r>
      <w:r w:rsidR="0004152C" w:rsidRPr="002259D9">
        <w:rPr>
          <w:rFonts w:ascii="Bookman Old Style" w:hAnsi="Bookman Old Style"/>
          <w:b w:val="0"/>
          <w:bCs w:val="0"/>
        </w:rPr>
        <w:t xml:space="preserve"> resuelve no aprobar la </w:t>
      </w:r>
      <w:r w:rsidRPr="002259D9">
        <w:rPr>
          <w:rFonts w:ascii="Bookman Old Style" w:hAnsi="Bookman Old Style"/>
          <w:b w:val="0"/>
          <w:bCs w:val="0"/>
        </w:rPr>
        <w:t xml:space="preserve">creación de las unidades constructivas especiales </w:t>
      </w:r>
      <w:r w:rsidR="003026D9" w:rsidRPr="002259D9">
        <w:rPr>
          <w:rFonts w:ascii="Bookman Old Style" w:hAnsi="Bookman Old Style"/>
          <w:b w:val="0"/>
          <w:bCs w:val="0"/>
        </w:rPr>
        <w:t>presentadas</w:t>
      </w:r>
      <w:r w:rsidRPr="002259D9">
        <w:rPr>
          <w:rFonts w:ascii="Bookman Old Style" w:hAnsi="Bookman Old Style"/>
          <w:b w:val="0"/>
          <w:bCs w:val="0"/>
        </w:rPr>
        <w:t xml:space="preserve"> por EPM </w:t>
      </w:r>
      <w:r w:rsidR="00F1406B" w:rsidRPr="002259D9">
        <w:rPr>
          <w:rFonts w:ascii="Bookman Old Style" w:hAnsi="Bookman Old Style"/>
          <w:b w:val="0"/>
          <w:bCs w:val="0"/>
        </w:rPr>
        <w:t xml:space="preserve">en </w:t>
      </w:r>
      <w:r w:rsidR="003026D9" w:rsidRPr="002259D9">
        <w:rPr>
          <w:rFonts w:ascii="Bookman Old Style" w:hAnsi="Bookman Old Style"/>
          <w:b w:val="0"/>
          <w:bCs w:val="0"/>
        </w:rPr>
        <w:t xml:space="preserve">la solicitud de inclusión de </w:t>
      </w:r>
      <w:r w:rsidR="00F1406B" w:rsidRPr="002259D9">
        <w:rPr>
          <w:rFonts w:ascii="Bookman Old Style" w:hAnsi="Bookman Old Style"/>
          <w:b w:val="0"/>
          <w:bCs w:val="0"/>
        </w:rPr>
        <w:t>los activos de 2018 en la base regulatoria inicial de activos</w:t>
      </w:r>
      <w:r w:rsidR="0004152C" w:rsidRPr="002259D9">
        <w:rPr>
          <w:rFonts w:ascii="Bookman Old Style" w:hAnsi="Bookman Old Style"/>
          <w:b w:val="0"/>
          <w:bCs w:val="0"/>
        </w:rPr>
        <w:t>.</w:t>
      </w:r>
    </w:p>
    <w:p w14:paraId="49C4EB73" w14:textId="4893B386" w:rsidR="00D372A9" w:rsidRPr="002259D9" w:rsidRDefault="00D372A9" w:rsidP="00D372A9">
      <w:pPr>
        <w:pStyle w:val="Textoindependiente"/>
        <w:spacing w:before="93"/>
        <w:ind w:right="942"/>
        <w:jc w:val="both"/>
        <w:rPr>
          <w:rFonts w:ascii="Bookman Old Style" w:hAnsi="Bookman Old Style"/>
          <w:b w:val="0"/>
          <w:bCs w:val="0"/>
          <w:i/>
          <w:iCs/>
        </w:rPr>
      </w:pPr>
    </w:p>
    <w:p w14:paraId="0AEC96CC" w14:textId="77777777" w:rsidR="00AA58E3" w:rsidRPr="002259D9" w:rsidRDefault="00AA58E3" w:rsidP="00AA58E3">
      <w:r w:rsidRPr="002259D9">
        <w:rPr>
          <w:b/>
          <w:bCs/>
        </w:rPr>
        <w:t xml:space="preserve">A.5 </w:t>
      </w:r>
      <w:r w:rsidRPr="002259D9">
        <w:rPr>
          <w:b/>
          <w:bCs/>
          <w:i/>
          <w:iCs/>
        </w:rPr>
        <w:t>Unidad</w:t>
      </w:r>
      <w:r w:rsidRPr="002259D9">
        <w:rPr>
          <w:b/>
          <w:bCs/>
          <w:i/>
          <w:iCs/>
          <w:spacing w:val="-3"/>
        </w:rPr>
        <w:t xml:space="preserve"> </w:t>
      </w:r>
      <w:r w:rsidRPr="002259D9">
        <w:rPr>
          <w:b/>
          <w:bCs/>
          <w:i/>
          <w:iCs/>
        </w:rPr>
        <w:t>Constructiva</w:t>
      </w:r>
      <w:r w:rsidRPr="002259D9">
        <w:rPr>
          <w:b/>
          <w:bCs/>
          <w:i/>
          <w:iCs/>
          <w:spacing w:val="-2"/>
        </w:rPr>
        <w:t xml:space="preserve"> </w:t>
      </w:r>
      <w:r w:rsidRPr="002259D9">
        <w:rPr>
          <w:b/>
          <w:bCs/>
          <w:i/>
          <w:iCs/>
        </w:rPr>
        <w:t>especial</w:t>
      </w:r>
      <w:r w:rsidRPr="002259D9">
        <w:rPr>
          <w:b/>
          <w:bCs/>
          <w:i/>
          <w:iCs/>
          <w:spacing w:val="-2"/>
        </w:rPr>
        <w:t xml:space="preserve"> </w:t>
      </w:r>
      <w:r w:rsidRPr="002259D9">
        <w:rPr>
          <w:b/>
          <w:bCs/>
          <w:i/>
          <w:iCs/>
        </w:rPr>
        <w:t>N4OC04</w:t>
      </w:r>
      <w:r w:rsidRPr="002259D9">
        <w:rPr>
          <w:b/>
          <w:bCs/>
          <w:i/>
          <w:iCs/>
          <w:spacing w:val="-4"/>
        </w:rPr>
        <w:t xml:space="preserve"> </w:t>
      </w:r>
      <w:r w:rsidRPr="002259D9">
        <w:rPr>
          <w:b/>
          <w:bCs/>
          <w:i/>
          <w:iCs/>
        </w:rPr>
        <w:t>Adecuación</w:t>
      </w:r>
      <w:r w:rsidRPr="002259D9">
        <w:rPr>
          <w:b/>
          <w:bCs/>
          <w:i/>
          <w:iCs/>
          <w:spacing w:val="-2"/>
        </w:rPr>
        <w:t xml:space="preserve"> </w:t>
      </w:r>
      <w:r w:rsidRPr="002259D9">
        <w:rPr>
          <w:b/>
          <w:bCs/>
          <w:i/>
          <w:iCs/>
        </w:rPr>
        <w:t>por</w:t>
      </w:r>
      <w:r w:rsidRPr="002259D9">
        <w:rPr>
          <w:b/>
          <w:bCs/>
          <w:i/>
          <w:iCs/>
          <w:spacing w:val="-4"/>
        </w:rPr>
        <w:t xml:space="preserve"> </w:t>
      </w:r>
      <w:r w:rsidRPr="002259D9">
        <w:rPr>
          <w:b/>
          <w:bCs/>
          <w:i/>
          <w:iCs/>
        </w:rPr>
        <w:t>Condición</w:t>
      </w:r>
      <w:r w:rsidRPr="002259D9">
        <w:rPr>
          <w:b/>
          <w:bCs/>
          <w:i/>
          <w:iCs/>
          <w:spacing w:val="-2"/>
        </w:rPr>
        <w:t xml:space="preserve"> </w:t>
      </w:r>
      <w:r w:rsidRPr="002259D9">
        <w:rPr>
          <w:b/>
          <w:bCs/>
          <w:i/>
          <w:iCs/>
        </w:rPr>
        <w:t>Especial</w:t>
      </w:r>
      <w:r w:rsidRPr="002259D9">
        <w:rPr>
          <w:b/>
          <w:bCs/>
          <w:i/>
          <w:iCs/>
          <w:spacing w:val="-3"/>
        </w:rPr>
        <w:t xml:space="preserve"> </w:t>
      </w:r>
      <w:r w:rsidRPr="002259D9">
        <w:rPr>
          <w:b/>
          <w:bCs/>
          <w:i/>
          <w:iCs/>
        </w:rPr>
        <w:t>del</w:t>
      </w:r>
      <w:r w:rsidRPr="002259D9">
        <w:rPr>
          <w:b/>
          <w:bCs/>
          <w:i/>
          <w:iCs/>
          <w:spacing w:val="-58"/>
        </w:rPr>
        <w:t xml:space="preserve"> </w:t>
      </w:r>
      <w:r w:rsidRPr="002259D9">
        <w:rPr>
          <w:b/>
          <w:bCs/>
          <w:i/>
          <w:iCs/>
        </w:rPr>
        <w:t>Terreno</w:t>
      </w:r>
    </w:p>
    <w:p w14:paraId="2CA71ACC" w14:textId="0B27B605" w:rsidR="00AA58E3" w:rsidRPr="002259D9" w:rsidRDefault="00AA58E3" w:rsidP="00AA58E3">
      <w:pPr>
        <w:pStyle w:val="Textoindependiente"/>
        <w:jc w:val="both"/>
        <w:rPr>
          <w:rFonts w:ascii="Bookman Old Style" w:hAnsi="Bookman Old Style"/>
          <w:b w:val="0"/>
          <w:bCs w:val="0"/>
          <w:i/>
          <w:iCs/>
        </w:rPr>
      </w:pPr>
      <w:r w:rsidRPr="002259D9">
        <w:rPr>
          <w:rFonts w:ascii="Bookman Old Style" w:hAnsi="Bookman Old Style"/>
          <w:b w:val="0"/>
          <w:bCs w:val="0"/>
        </w:rPr>
        <w:t>Solicitud</w:t>
      </w:r>
      <w:r w:rsidRPr="002259D9">
        <w:rPr>
          <w:rFonts w:ascii="Bookman Old Style" w:hAnsi="Bookman Old Style"/>
          <w:b w:val="0"/>
          <w:bCs w:val="0"/>
          <w:i/>
          <w:iCs/>
        </w:rPr>
        <w:t>: Solicitamos a la CREG incluir la remuneración de la UC Especial N4OC04 - Muros de Contención relacionada a continuación, en los ingresos aprobados a EPM.</w:t>
      </w:r>
    </w:p>
    <w:p w14:paraId="3330DCCD" w14:textId="18427FD4" w:rsidR="00AA58E3" w:rsidRPr="002259D9" w:rsidRDefault="00AA58E3" w:rsidP="00AA58E3">
      <w:pPr>
        <w:pStyle w:val="Textoindependiente"/>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465364D5" w14:textId="4A2E9ABE" w:rsidR="00AA58E3" w:rsidRPr="002259D9" w:rsidRDefault="00AA58E3" w:rsidP="00AA58E3">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Dentro del documento CREG-112 de 2021, el cual soporta la Resolución </w:t>
      </w:r>
      <w:r w:rsidR="007D7877" w:rsidRPr="002259D9">
        <w:rPr>
          <w:rFonts w:ascii="Bookman Old Style" w:hAnsi="Bookman Old Style" w:cs="Times New Roman"/>
          <w:b w:val="0"/>
          <w:bCs w:val="0"/>
        </w:rPr>
        <w:t>136 de 2021, se presentan las consideraciones por las cuales no se aprueban las solicitudes de UC especiales para los activos en 2018, las cuales son de carácter general para toda la solicitud</w:t>
      </w:r>
      <w:r w:rsidR="002C66D3">
        <w:rPr>
          <w:rFonts w:ascii="Bookman Old Style" w:hAnsi="Bookman Old Style" w:cs="Times New Roman"/>
          <w:b w:val="0"/>
          <w:bCs w:val="0"/>
        </w:rPr>
        <w:t>. S</w:t>
      </w:r>
      <w:r w:rsidR="007D7877" w:rsidRPr="002259D9">
        <w:rPr>
          <w:rFonts w:ascii="Bookman Old Style" w:hAnsi="Bookman Old Style" w:cs="Times New Roman"/>
          <w:b w:val="0"/>
          <w:bCs w:val="0"/>
        </w:rPr>
        <w:t>in embargo, se entra en detalle sobre la UC N4OC04, ya que sus características distan de las demás UC especiales solicitadas.</w:t>
      </w:r>
    </w:p>
    <w:p w14:paraId="2AD4C2DA" w14:textId="78F343BC" w:rsidR="007D7877" w:rsidRPr="002259D9" w:rsidRDefault="007D7877" w:rsidP="00AA58E3">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resuelve no aprobar la UC especial, </w:t>
      </w:r>
      <w:r w:rsidR="00CF4242" w:rsidRPr="002259D9">
        <w:rPr>
          <w:rFonts w:ascii="Bookman Old Style" w:hAnsi="Bookman Old Style" w:cs="Times New Roman"/>
          <w:b w:val="0"/>
          <w:bCs w:val="0"/>
        </w:rPr>
        <w:t>por el motivo</w:t>
      </w:r>
      <w:r w:rsidRPr="002259D9">
        <w:rPr>
          <w:rFonts w:ascii="Bookman Old Style" w:hAnsi="Bookman Old Style" w:cs="Times New Roman"/>
          <w:b w:val="0"/>
          <w:bCs w:val="0"/>
        </w:rPr>
        <w:t xml:space="preserve"> </w:t>
      </w:r>
      <w:r w:rsidR="006C56C0" w:rsidRPr="002259D9">
        <w:rPr>
          <w:rFonts w:ascii="Bookman Old Style" w:hAnsi="Bookman Old Style" w:cs="Times New Roman"/>
          <w:b w:val="0"/>
          <w:bCs w:val="0"/>
        </w:rPr>
        <w:t xml:space="preserve">presentado </w:t>
      </w:r>
      <w:r w:rsidRPr="002259D9">
        <w:rPr>
          <w:rFonts w:ascii="Bookman Old Style" w:hAnsi="Bookman Old Style" w:cs="Times New Roman"/>
          <w:b w:val="0"/>
          <w:bCs w:val="0"/>
        </w:rPr>
        <w:t xml:space="preserve">por la CREG </w:t>
      </w:r>
      <w:r w:rsidR="005E35AF" w:rsidRPr="002259D9">
        <w:rPr>
          <w:rFonts w:ascii="Bookman Old Style" w:hAnsi="Bookman Old Style" w:cs="Times New Roman"/>
          <w:b w:val="0"/>
          <w:bCs w:val="0"/>
        </w:rPr>
        <w:t>ante</w:t>
      </w:r>
      <w:r w:rsidRPr="002259D9">
        <w:rPr>
          <w:rFonts w:ascii="Bookman Old Style" w:hAnsi="Bookman Old Style" w:cs="Times New Roman"/>
          <w:b w:val="0"/>
          <w:bCs w:val="0"/>
        </w:rPr>
        <w:t xml:space="preserve"> la solicitud A.4 del presente recurso.</w:t>
      </w:r>
    </w:p>
    <w:p w14:paraId="2DE3D638" w14:textId="77777777" w:rsidR="007D7877" w:rsidRPr="002259D9" w:rsidRDefault="007D7877" w:rsidP="00AA58E3">
      <w:pPr>
        <w:pStyle w:val="Textoindependiente"/>
        <w:jc w:val="both"/>
        <w:rPr>
          <w:rFonts w:ascii="Bookman Old Style" w:hAnsi="Bookman Old Style"/>
          <w:b w:val="0"/>
          <w:bCs w:val="0"/>
        </w:rPr>
      </w:pPr>
    </w:p>
    <w:p w14:paraId="4BAD2CA5" w14:textId="1E1D9DA8" w:rsidR="007D7877" w:rsidRPr="002259D9" w:rsidRDefault="00734D21" w:rsidP="007D7877">
      <w:pPr>
        <w:spacing w:before="0" w:after="240"/>
        <w:rPr>
          <w:b/>
          <w:lang w:val="es-CO" w:eastAsia="en-US"/>
        </w:rPr>
      </w:pPr>
      <w:r w:rsidRPr="002259D9">
        <w:rPr>
          <w:b/>
          <w:lang w:val="es-CO" w:eastAsia="en-US"/>
        </w:rPr>
        <w:t>B</w:t>
      </w:r>
      <w:r w:rsidR="007D7877" w:rsidRPr="002259D9">
        <w:rPr>
          <w:b/>
          <w:lang w:val="es-CO" w:eastAsia="en-US"/>
        </w:rPr>
        <w:t xml:space="preserve"> </w:t>
      </w:r>
      <w:r w:rsidR="007D7877" w:rsidRPr="002259D9">
        <w:rPr>
          <w:b/>
          <w:i/>
          <w:iCs/>
          <w:lang w:val="es-CO" w:eastAsia="en-US"/>
        </w:rPr>
        <w:t xml:space="preserve">Revisión </w:t>
      </w:r>
      <w:r w:rsidRPr="002259D9">
        <w:rPr>
          <w:b/>
          <w:i/>
          <w:iCs/>
          <w:lang w:val="es-CO" w:eastAsia="en-US"/>
        </w:rPr>
        <w:t>del ajuste al plan de inversiones</w:t>
      </w:r>
      <w:r w:rsidR="007D7877" w:rsidRPr="002259D9">
        <w:rPr>
          <w:b/>
          <w:i/>
          <w:iCs/>
          <w:lang w:val="es-CO" w:eastAsia="en-US"/>
        </w:rPr>
        <w:t>:</w:t>
      </w:r>
    </w:p>
    <w:p w14:paraId="61815690" w14:textId="6C132738" w:rsidR="00705347" w:rsidRPr="002259D9" w:rsidRDefault="00734D21" w:rsidP="00734D21">
      <w:pPr>
        <w:rPr>
          <w:i/>
          <w:iCs/>
        </w:rPr>
      </w:pPr>
      <w:r w:rsidRPr="002259D9">
        <w:rPr>
          <w:i/>
          <w:iCs/>
        </w:rPr>
        <w:t>I.  RELACIONADO CON FORMATOS CREG (VER TABLA 8 DEL DOCUMENTO SOPORTE DE LA RES. CREG 136 DE 2021)</w:t>
      </w:r>
    </w:p>
    <w:p w14:paraId="57833049" w14:textId="2ADC1D68" w:rsidR="009F17D8" w:rsidRPr="002259D9" w:rsidRDefault="00734D21" w:rsidP="00734D21">
      <w:pPr>
        <w:rPr>
          <w:b/>
          <w:bCs/>
          <w:i/>
          <w:iCs/>
        </w:rPr>
      </w:pPr>
      <w:r w:rsidRPr="002259D9">
        <w:rPr>
          <w:b/>
          <w:bCs/>
        </w:rPr>
        <w:t>B.1.</w:t>
      </w:r>
      <w:r w:rsidRPr="002259D9">
        <w:rPr>
          <w:b/>
          <w:bCs/>
          <w:i/>
          <w:iCs/>
        </w:rPr>
        <w:t xml:space="preserve"> Comentario CREG: formato1 “El proyecto no presenta concepto UPME” (Tabla 8. Documento soporte Res. CREG 136 de 2021)</w:t>
      </w:r>
    </w:p>
    <w:p w14:paraId="4B5C6EDE" w14:textId="6052A922" w:rsidR="00734D21" w:rsidRPr="002259D9" w:rsidRDefault="00734D21" w:rsidP="00734D21">
      <w:pPr>
        <w:pStyle w:val="Textoindependiente"/>
        <w:spacing w:before="167"/>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Modificar la observación para los proyectos que no corresponda concepto UPME y para los proyectos para los que se envía concepto UPME.</w:t>
      </w:r>
    </w:p>
    <w:p w14:paraId="38B2FF91" w14:textId="245B0DE5" w:rsidR="00734D21" w:rsidRPr="002259D9" w:rsidRDefault="00734D21" w:rsidP="0077328E">
      <w:pPr>
        <w:pStyle w:val="Textoindependiente"/>
        <w:spacing w:before="162"/>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de Excel “D-112-21 Inventario reconocido INVA EPM_20_25” (Dentro de la carpeta “Anexo - Inventario reconocido INVA 20_25” en la ruta de acceso de los Anexos que se encuentra en la parte final) hoja “formato1_proyectosInversion” se indica en la “columna N: Comentario EPM” las observaciones para cada proyecto en las filas 3936 – 3949, 3954, 3960, 4073, 4092, 4109, 4110, 4145, 4153, 4184, 4186, 4191,</w:t>
      </w:r>
      <w:r w:rsidR="00F103D2"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4195, 4211, 4225, 4263, 6322, 6387, 6390 y 6391, según corresponda:</w:t>
      </w:r>
    </w:p>
    <w:p w14:paraId="46032E73" w14:textId="590443D3" w:rsidR="00734D21" w:rsidRPr="002259D9" w:rsidRDefault="00734D21" w:rsidP="00CA608B">
      <w:pPr>
        <w:pStyle w:val="Prrafodelista"/>
        <w:widowControl w:val="0"/>
        <w:numPr>
          <w:ilvl w:val="0"/>
          <w:numId w:val="8"/>
        </w:numPr>
        <w:tabs>
          <w:tab w:val="left" w:pos="1469"/>
          <w:tab w:val="left" w:pos="1470"/>
        </w:tabs>
        <w:autoSpaceDE w:val="0"/>
        <w:autoSpaceDN w:val="0"/>
        <w:spacing w:before="0" w:after="0"/>
        <w:rPr>
          <w:i/>
          <w:iCs/>
        </w:rPr>
      </w:pPr>
      <w:r w:rsidRPr="002259D9">
        <w:rPr>
          <w:i/>
          <w:iCs/>
        </w:rPr>
        <w:t>Algunos proyectos no requieren concepto UPME dado que no tiene obras en</w:t>
      </w:r>
      <w:r w:rsidR="0077328E" w:rsidRPr="002259D9">
        <w:rPr>
          <w:i/>
          <w:iCs/>
        </w:rPr>
        <w:t xml:space="preserve"> </w:t>
      </w:r>
      <w:r w:rsidRPr="002259D9">
        <w:rPr>
          <w:i/>
          <w:iCs/>
        </w:rPr>
        <w:t>STR.</w:t>
      </w:r>
    </w:p>
    <w:p w14:paraId="0319C447" w14:textId="1D958E5C" w:rsidR="00734D21" w:rsidRPr="002259D9" w:rsidRDefault="00734D21" w:rsidP="00CA608B">
      <w:pPr>
        <w:pStyle w:val="Prrafodelista"/>
        <w:widowControl w:val="0"/>
        <w:numPr>
          <w:ilvl w:val="0"/>
          <w:numId w:val="8"/>
        </w:numPr>
        <w:tabs>
          <w:tab w:val="left" w:pos="1469"/>
          <w:tab w:val="left" w:pos="1470"/>
        </w:tabs>
        <w:autoSpaceDE w:val="0"/>
        <w:autoSpaceDN w:val="0"/>
        <w:spacing w:before="18" w:after="0"/>
        <w:rPr>
          <w:i/>
          <w:iCs/>
        </w:rPr>
      </w:pPr>
      <w:r w:rsidRPr="002259D9">
        <w:rPr>
          <w:i/>
          <w:iCs/>
        </w:rPr>
        <w:t>Las UC relacionadas corresponden a fibra óptica en líneas de NT2 y NT3.</w:t>
      </w:r>
    </w:p>
    <w:p w14:paraId="0E8B8ABF" w14:textId="642A788A" w:rsidR="00734D21" w:rsidRPr="002259D9" w:rsidRDefault="00734D21" w:rsidP="00CA608B">
      <w:pPr>
        <w:pStyle w:val="Prrafodelista"/>
        <w:widowControl w:val="0"/>
        <w:numPr>
          <w:ilvl w:val="0"/>
          <w:numId w:val="8"/>
        </w:numPr>
        <w:tabs>
          <w:tab w:val="left" w:pos="1469"/>
          <w:tab w:val="left" w:pos="1470"/>
        </w:tabs>
        <w:autoSpaceDE w:val="0"/>
        <w:autoSpaceDN w:val="0"/>
        <w:spacing w:before="16" w:after="0" w:line="254" w:lineRule="auto"/>
        <w:rPr>
          <w:i/>
          <w:iCs/>
        </w:rPr>
      </w:pPr>
      <w:r w:rsidRPr="002259D9">
        <w:rPr>
          <w:i/>
          <w:iCs/>
        </w:rPr>
        <w:t>Se adjuntan los conceptos UPME “20201520037091 SE nueva Santa Rosa” y “20201520039161 Plan de Expansión del Sur del Valle de Aburrá”.</w:t>
      </w:r>
    </w:p>
    <w:p w14:paraId="18827D97" w14:textId="77777777" w:rsidR="002C66D3" w:rsidRDefault="002C66D3" w:rsidP="008272F0">
      <w:pPr>
        <w:pStyle w:val="Textoindependiente"/>
        <w:spacing w:before="1"/>
        <w:jc w:val="both"/>
        <w:rPr>
          <w:rFonts w:ascii="Bookman Old Style" w:hAnsi="Bookman Old Style" w:cs="Times New Roman"/>
        </w:rPr>
      </w:pPr>
    </w:p>
    <w:p w14:paraId="09512932" w14:textId="277A85E6" w:rsidR="00734D21" w:rsidRPr="002259D9" w:rsidRDefault="008272F0" w:rsidP="008272F0">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3D85BBA8" w14:textId="744DD511" w:rsidR="00044542" w:rsidRPr="002259D9" w:rsidRDefault="008272F0" w:rsidP="008272F0">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 xml:space="preserve">En revisión de la solicitud del OR para el comentario inicial CREG, se tiene que dicha revisión se realiza de acuerdo con cada situación expuesta por el OR en el presente recurso, teniendo en cuenta que a su vez se </w:t>
      </w:r>
      <w:r w:rsidR="00C22C5F" w:rsidRPr="002259D9">
        <w:rPr>
          <w:rFonts w:ascii="Bookman Old Style" w:hAnsi="Bookman Old Style" w:cs="Times New Roman"/>
          <w:b w:val="0"/>
          <w:bCs w:val="0"/>
        </w:rPr>
        <w:t>modifican</w:t>
      </w:r>
      <w:r w:rsidRPr="002259D9">
        <w:rPr>
          <w:rFonts w:ascii="Bookman Old Style" w:hAnsi="Bookman Old Style" w:cs="Times New Roman"/>
          <w:b w:val="0"/>
          <w:bCs w:val="0"/>
        </w:rPr>
        <w:t xml:space="preserve"> los comentarios en cada UC a los que se diera lugar</w:t>
      </w:r>
      <w:r w:rsidR="00044542" w:rsidRPr="002259D9">
        <w:rPr>
          <w:rFonts w:ascii="Bookman Old Style" w:hAnsi="Bookman Old Style" w:cs="Times New Roman"/>
          <w:b w:val="0"/>
          <w:bCs w:val="0"/>
        </w:rPr>
        <w:t>; a continuación, se presenta el resumen para los proyectos involucrados por los comentarios del OR en el “formato1_proyectosInversion”.</w:t>
      </w:r>
    </w:p>
    <w:tbl>
      <w:tblPr>
        <w:tblW w:w="0" w:type="auto"/>
        <w:jc w:val="center"/>
        <w:tblCellMar>
          <w:left w:w="70" w:type="dxa"/>
          <w:right w:w="70" w:type="dxa"/>
        </w:tblCellMar>
        <w:tblLook w:val="04A0" w:firstRow="1" w:lastRow="0" w:firstColumn="1" w:lastColumn="0" w:noHBand="0" w:noVBand="1"/>
      </w:tblPr>
      <w:tblGrid>
        <w:gridCol w:w="3970"/>
        <w:gridCol w:w="2470"/>
        <w:gridCol w:w="2906"/>
      </w:tblGrid>
      <w:tr w:rsidR="002538E5" w:rsidRPr="002259D9" w14:paraId="7DC0E481" w14:textId="77777777" w:rsidTr="00CF3F39">
        <w:trPr>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C35E2" w14:textId="77777777" w:rsidR="00044542" w:rsidRPr="002259D9" w:rsidRDefault="00044542" w:rsidP="00E66DB5">
            <w:pPr>
              <w:spacing w:before="0" w:after="0"/>
              <w:jc w:val="center"/>
              <w:rPr>
                <w:b/>
                <w:bCs/>
                <w:sz w:val="18"/>
                <w:szCs w:val="18"/>
              </w:rPr>
            </w:pPr>
            <w:r w:rsidRPr="002259D9">
              <w:rPr>
                <w:b/>
                <w:bCs/>
                <w:sz w:val="18"/>
                <w:szCs w:val="18"/>
              </w:rPr>
              <w:t>Comentario del 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AC1CFB" w14:textId="77777777" w:rsidR="00044542" w:rsidRPr="002259D9" w:rsidRDefault="00044542" w:rsidP="00E66DB5">
            <w:pPr>
              <w:spacing w:before="0" w:after="0"/>
              <w:jc w:val="center"/>
              <w:rPr>
                <w:b/>
                <w:bCs/>
                <w:sz w:val="18"/>
                <w:szCs w:val="18"/>
              </w:rPr>
            </w:pPr>
            <w:r w:rsidRPr="002259D9">
              <w:rPr>
                <w:b/>
                <w:bCs/>
                <w:sz w:val="18"/>
                <w:szCs w:val="18"/>
              </w:rPr>
              <w:t>Proyecto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E0A905" w14:textId="77777777" w:rsidR="00044542" w:rsidRPr="002259D9" w:rsidRDefault="00044542" w:rsidP="00E66DB5">
            <w:pPr>
              <w:spacing w:before="0" w:after="0"/>
              <w:jc w:val="center"/>
              <w:rPr>
                <w:b/>
                <w:bCs/>
                <w:sz w:val="18"/>
                <w:szCs w:val="18"/>
              </w:rPr>
            </w:pPr>
            <w:r w:rsidRPr="002259D9">
              <w:rPr>
                <w:b/>
                <w:bCs/>
                <w:sz w:val="18"/>
                <w:szCs w:val="18"/>
              </w:rPr>
              <w:t>Revisión al recurso</w:t>
            </w:r>
          </w:p>
        </w:tc>
      </w:tr>
      <w:tr w:rsidR="002538E5" w:rsidRPr="002259D9" w14:paraId="3F5D7BE9" w14:textId="77777777" w:rsidTr="005C48F2">
        <w:trPr>
          <w:trHeight w:val="150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0B11D6" w14:textId="77777777" w:rsidR="00044542" w:rsidRPr="002259D9" w:rsidRDefault="00044542" w:rsidP="00E66DB5">
            <w:pPr>
              <w:spacing w:before="0" w:after="0"/>
              <w:rPr>
                <w:i/>
                <w:iCs/>
                <w:sz w:val="16"/>
                <w:szCs w:val="16"/>
              </w:rPr>
            </w:pPr>
            <w:r w:rsidRPr="002259D9">
              <w:rPr>
                <w:i/>
                <w:iCs/>
                <w:sz w:val="16"/>
                <w:szCs w:val="16"/>
              </w:rPr>
              <w:t>-      Algunos proyectos no requieren concepto UPME dado que no tiene obras en STR.</w:t>
            </w:r>
          </w:p>
        </w:tc>
        <w:tc>
          <w:tcPr>
            <w:tcW w:w="0" w:type="auto"/>
            <w:tcBorders>
              <w:top w:val="nil"/>
              <w:left w:val="nil"/>
              <w:bottom w:val="single" w:sz="4" w:space="0" w:color="auto"/>
              <w:right w:val="single" w:sz="4" w:space="0" w:color="auto"/>
            </w:tcBorders>
            <w:shd w:val="clear" w:color="auto" w:fill="auto"/>
            <w:noWrap/>
            <w:vAlign w:val="center"/>
            <w:hideMark/>
          </w:tcPr>
          <w:p w14:paraId="7FB82B03" w14:textId="77777777" w:rsidR="00044542" w:rsidRPr="002259D9" w:rsidRDefault="00044542" w:rsidP="00E66DB5">
            <w:pPr>
              <w:spacing w:before="0" w:after="0"/>
              <w:rPr>
                <w:sz w:val="16"/>
                <w:szCs w:val="16"/>
              </w:rPr>
            </w:pPr>
            <w:r w:rsidRPr="002259D9">
              <w:rPr>
                <w:sz w:val="16"/>
                <w:szCs w:val="16"/>
              </w:rPr>
              <w:t>PEI0513TYDCE42056672022</w:t>
            </w:r>
          </w:p>
        </w:tc>
        <w:tc>
          <w:tcPr>
            <w:tcW w:w="0" w:type="auto"/>
            <w:tcBorders>
              <w:top w:val="nil"/>
              <w:left w:val="nil"/>
              <w:bottom w:val="single" w:sz="4" w:space="0" w:color="auto"/>
              <w:right w:val="single" w:sz="4" w:space="0" w:color="auto"/>
            </w:tcBorders>
            <w:shd w:val="clear" w:color="auto" w:fill="auto"/>
            <w:vAlign w:val="center"/>
            <w:hideMark/>
          </w:tcPr>
          <w:p w14:paraId="5756FE0F" w14:textId="50553D90" w:rsidR="00044542" w:rsidRPr="002259D9" w:rsidRDefault="00044542" w:rsidP="00E66DB5">
            <w:pPr>
              <w:spacing w:before="0" w:after="0"/>
              <w:rPr>
                <w:sz w:val="16"/>
                <w:szCs w:val="16"/>
              </w:rPr>
            </w:pPr>
            <w:r w:rsidRPr="002259D9">
              <w:rPr>
                <w:sz w:val="16"/>
                <w:szCs w:val="16"/>
              </w:rPr>
              <w:t>Se aclara la solicitud y se incluyen las UC, a excepción de aquellas no incluidas inicialmente con comentarios adicionales.</w:t>
            </w:r>
          </w:p>
        </w:tc>
      </w:tr>
      <w:tr w:rsidR="002538E5" w:rsidRPr="002259D9" w14:paraId="4F274D74" w14:textId="77777777" w:rsidTr="005C48F2">
        <w:trPr>
          <w:trHeight w:val="6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0677A28"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CC60236" w14:textId="77777777" w:rsidR="00044542" w:rsidRPr="002259D9" w:rsidRDefault="00044542" w:rsidP="00E66DB5">
            <w:pPr>
              <w:spacing w:before="0" w:after="0"/>
              <w:rPr>
                <w:sz w:val="16"/>
                <w:szCs w:val="16"/>
              </w:rPr>
            </w:pPr>
            <w:r w:rsidRPr="002259D9">
              <w:rPr>
                <w:sz w:val="16"/>
                <w:szCs w:val="16"/>
              </w:rPr>
              <w:t>PEI0829TYDCE41050012021</w:t>
            </w:r>
          </w:p>
        </w:tc>
        <w:tc>
          <w:tcPr>
            <w:tcW w:w="0" w:type="auto"/>
            <w:tcBorders>
              <w:top w:val="nil"/>
              <w:left w:val="nil"/>
              <w:bottom w:val="single" w:sz="4" w:space="0" w:color="auto"/>
              <w:right w:val="single" w:sz="4" w:space="0" w:color="auto"/>
            </w:tcBorders>
            <w:shd w:val="clear" w:color="auto" w:fill="auto"/>
            <w:vAlign w:val="center"/>
            <w:hideMark/>
          </w:tcPr>
          <w:p w14:paraId="734F9580" w14:textId="77777777" w:rsidR="00044542" w:rsidRPr="002259D9" w:rsidRDefault="00044542" w:rsidP="00E66DB5">
            <w:pPr>
              <w:spacing w:before="0" w:after="0"/>
              <w:rPr>
                <w:sz w:val="16"/>
                <w:szCs w:val="16"/>
              </w:rPr>
            </w:pPr>
            <w:r w:rsidRPr="002259D9">
              <w:rPr>
                <w:sz w:val="16"/>
                <w:szCs w:val="16"/>
              </w:rPr>
              <w:t>Se aclara la solicitud y se incluyen las UC.</w:t>
            </w:r>
          </w:p>
        </w:tc>
      </w:tr>
      <w:tr w:rsidR="002538E5" w:rsidRPr="002259D9" w14:paraId="7D70DFC8" w14:textId="77777777" w:rsidTr="005C48F2">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D34205" w14:textId="77777777" w:rsidR="00044542" w:rsidRPr="002259D9" w:rsidRDefault="00044542" w:rsidP="00E66DB5">
            <w:pPr>
              <w:spacing w:before="0" w:after="0"/>
              <w:rPr>
                <w:i/>
                <w:iCs/>
                <w:sz w:val="16"/>
                <w:szCs w:val="16"/>
              </w:rPr>
            </w:pPr>
            <w:r w:rsidRPr="002259D9">
              <w:rPr>
                <w:i/>
                <w:iCs/>
                <w:sz w:val="16"/>
                <w:szCs w:val="16"/>
              </w:rPr>
              <w:t>-      Las UC relacionadas corresponden a fibra óptica en líneas de NT2 y NT3.</w:t>
            </w:r>
          </w:p>
        </w:tc>
        <w:tc>
          <w:tcPr>
            <w:tcW w:w="0" w:type="auto"/>
            <w:tcBorders>
              <w:top w:val="nil"/>
              <w:left w:val="nil"/>
              <w:bottom w:val="single" w:sz="4" w:space="0" w:color="auto"/>
              <w:right w:val="single" w:sz="4" w:space="0" w:color="auto"/>
            </w:tcBorders>
            <w:shd w:val="clear" w:color="auto" w:fill="auto"/>
            <w:noWrap/>
            <w:vAlign w:val="center"/>
            <w:hideMark/>
          </w:tcPr>
          <w:p w14:paraId="10987C5B" w14:textId="77777777" w:rsidR="00044542" w:rsidRPr="002259D9" w:rsidRDefault="00044542" w:rsidP="00E66DB5">
            <w:pPr>
              <w:spacing w:before="0" w:after="0"/>
              <w:rPr>
                <w:sz w:val="16"/>
                <w:szCs w:val="16"/>
              </w:rPr>
            </w:pPr>
            <w:r w:rsidRPr="002259D9">
              <w:rPr>
                <w:sz w:val="16"/>
                <w:szCs w:val="16"/>
              </w:rPr>
              <w:t>NEG1166TYDLI42050022022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E76DEC" w14:textId="165CC977" w:rsidR="00044542" w:rsidRPr="002259D9" w:rsidRDefault="00044542" w:rsidP="00E66DB5">
            <w:pPr>
              <w:spacing w:before="0" w:after="0"/>
              <w:rPr>
                <w:sz w:val="16"/>
                <w:szCs w:val="16"/>
              </w:rPr>
            </w:pPr>
            <w:r w:rsidRPr="002259D9">
              <w:rPr>
                <w:sz w:val="16"/>
                <w:szCs w:val="16"/>
              </w:rPr>
              <w:t>Se aclara la solicitud y se incluyen las UC, a excepción de aquellas no incluidas inicialmente por comentarios adicionales.</w:t>
            </w:r>
          </w:p>
        </w:tc>
      </w:tr>
      <w:tr w:rsidR="002538E5" w:rsidRPr="002259D9" w14:paraId="410DCD61"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E45EED2"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7CF2D" w14:textId="77777777" w:rsidR="00044542" w:rsidRPr="002259D9" w:rsidRDefault="00044542" w:rsidP="00E66DB5">
            <w:pPr>
              <w:spacing w:before="0" w:after="0"/>
              <w:rPr>
                <w:sz w:val="16"/>
                <w:szCs w:val="16"/>
              </w:rPr>
            </w:pPr>
            <w:r w:rsidRPr="002259D9">
              <w:rPr>
                <w:sz w:val="16"/>
                <w:szCs w:val="16"/>
              </w:rPr>
              <w:t>NEG1166TYDLI42050312022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039F94" w14:textId="77777777" w:rsidR="00044542" w:rsidRPr="002259D9" w:rsidRDefault="00044542" w:rsidP="00E66DB5">
            <w:pPr>
              <w:spacing w:before="0" w:after="0"/>
              <w:rPr>
                <w:sz w:val="16"/>
                <w:szCs w:val="16"/>
              </w:rPr>
            </w:pPr>
          </w:p>
        </w:tc>
      </w:tr>
      <w:tr w:rsidR="002538E5" w:rsidRPr="002259D9" w14:paraId="673A34E4"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98CC932"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390F5D87" w14:textId="77777777" w:rsidR="00044542" w:rsidRPr="002259D9" w:rsidRDefault="00044542" w:rsidP="00E66DB5">
            <w:pPr>
              <w:spacing w:before="0" w:after="0"/>
              <w:rPr>
                <w:sz w:val="16"/>
                <w:szCs w:val="16"/>
              </w:rPr>
            </w:pPr>
            <w:r w:rsidRPr="002259D9">
              <w:rPr>
                <w:sz w:val="16"/>
                <w:szCs w:val="16"/>
              </w:rPr>
              <w:t>NEG1166TYDLI42050312023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83E022" w14:textId="77777777" w:rsidR="00044542" w:rsidRPr="002259D9" w:rsidRDefault="00044542" w:rsidP="00E66DB5">
            <w:pPr>
              <w:spacing w:before="0" w:after="0"/>
              <w:rPr>
                <w:sz w:val="16"/>
                <w:szCs w:val="16"/>
              </w:rPr>
            </w:pPr>
          </w:p>
        </w:tc>
      </w:tr>
      <w:tr w:rsidR="002538E5" w:rsidRPr="002259D9" w14:paraId="34FA2E6D"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0C060A"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B508719" w14:textId="77777777" w:rsidR="00044542" w:rsidRPr="002259D9" w:rsidRDefault="00044542" w:rsidP="00E66DB5">
            <w:pPr>
              <w:spacing w:before="0" w:after="0"/>
              <w:rPr>
                <w:sz w:val="16"/>
                <w:szCs w:val="16"/>
              </w:rPr>
            </w:pPr>
            <w:r w:rsidRPr="002259D9">
              <w:rPr>
                <w:sz w:val="16"/>
                <w:szCs w:val="16"/>
              </w:rPr>
              <w:t>NEG1166TYDLI42051972022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5B9F46" w14:textId="77777777" w:rsidR="00044542" w:rsidRPr="002259D9" w:rsidRDefault="00044542" w:rsidP="00E66DB5">
            <w:pPr>
              <w:spacing w:before="0" w:after="0"/>
              <w:rPr>
                <w:sz w:val="16"/>
                <w:szCs w:val="16"/>
              </w:rPr>
            </w:pPr>
          </w:p>
        </w:tc>
      </w:tr>
      <w:tr w:rsidR="002538E5" w:rsidRPr="002259D9" w14:paraId="5B3D9208"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CD3D7F2"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661062A3" w14:textId="77777777" w:rsidR="00044542" w:rsidRPr="002259D9" w:rsidRDefault="00044542" w:rsidP="00E66DB5">
            <w:pPr>
              <w:spacing w:before="0" w:after="0"/>
              <w:rPr>
                <w:sz w:val="16"/>
                <w:szCs w:val="16"/>
              </w:rPr>
            </w:pPr>
            <w:r w:rsidRPr="002259D9">
              <w:rPr>
                <w:sz w:val="16"/>
                <w:szCs w:val="16"/>
              </w:rPr>
              <w:t>NEG1166TYDLI42054002022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A4EDA5" w14:textId="77777777" w:rsidR="00044542" w:rsidRPr="002259D9" w:rsidRDefault="00044542" w:rsidP="00E66DB5">
            <w:pPr>
              <w:spacing w:before="0" w:after="0"/>
              <w:rPr>
                <w:sz w:val="16"/>
                <w:szCs w:val="16"/>
              </w:rPr>
            </w:pPr>
          </w:p>
        </w:tc>
      </w:tr>
      <w:tr w:rsidR="002538E5" w:rsidRPr="002259D9" w14:paraId="6CE67F3F"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18147F"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AD732F1" w14:textId="77777777" w:rsidR="00044542" w:rsidRPr="002259D9" w:rsidRDefault="00044542" w:rsidP="00E66DB5">
            <w:pPr>
              <w:spacing w:before="0" w:after="0"/>
              <w:rPr>
                <w:sz w:val="16"/>
                <w:szCs w:val="16"/>
              </w:rPr>
            </w:pPr>
            <w:r w:rsidRPr="002259D9">
              <w:rPr>
                <w:sz w:val="16"/>
                <w:szCs w:val="16"/>
              </w:rPr>
              <w:t>NEG1166TYDLI42054252022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CCA031E" w14:textId="77777777" w:rsidR="00044542" w:rsidRPr="002259D9" w:rsidRDefault="00044542" w:rsidP="00E66DB5">
            <w:pPr>
              <w:spacing w:before="0" w:after="0"/>
              <w:rPr>
                <w:sz w:val="16"/>
                <w:szCs w:val="16"/>
              </w:rPr>
            </w:pPr>
          </w:p>
        </w:tc>
      </w:tr>
      <w:tr w:rsidR="002538E5" w:rsidRPr="002259D9" w14:paraId="1E77C2AE"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AC7CB6"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31393074" w14:textId="77777777" w:rsidR="00044542" w:rsidRPr="002259D9" w:rsidRDefault="00044542" w:rsidP="00E66DB5">
            <w:pPr>
              <w:spacing w:before="0" w:after="0"/>
              <w:rPr>
                <w:sz w:val="16"/>
                <w:szCs w:val="16"/>
              </w:rPr>
            </w:pPr>
            <w:r w:rsidRPr="002259D9">
              <w:rPr>
                <w:sz w:val="16"/>
                <w:szCs w:val="16"/>
              </w:rPr>
              <w:t>NEG1166TYDLI42055792022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A049FEA" w14:textId="77777777" w:rsidR="00044542" w:rsidRPr="002259D9" w:rsidRDefault="00044542" w:rsidP="00E66DB5">
            <w:pPr>
              <w:spacing w:before="0" w:after="0"/>
              <w:rPr>
                <w:sz w:val="16"/>
                <w:szCs w:val="16"/>
              </w:rPr>
            </w:pPr>
          </w:p>
        </w:tc>
      </w:tr>
      <w:tr w:rsidR="002538E5" w:rsidRPr="002259D9" w14:paraId="5C91BCA4"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744BA0"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F861EBA" w14:textId="77777777" w:rsidR="00044542" w:rsidRPr="002259D9" w:rsidRDefault="00044542" w:rsidP="00E66DB5">
            <w:pPr>
              <w:spacing w:before="0" w:after="0"/>
              <w:rPr>
                <w:sz w:val="16"/>
                <w:szCs w:val="16"/>
              </w:rPr>
            </w:pPr>
            <w:r w:rsidRPr="002259D9">
              <w:rPr>
                <w:sz w:val="16"/>
                <w:szCs w:val="16"/>
              </w:rPr>
              <w:t>NEG1166TYDLI42056702022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755AB19" w14:textId="77777777" w:rsidR="00044542" w:rsidRPr="002259D9" w:rsidRDefault="00044542" w:rsidP="00E66DB5">
            <w:pPr>
              <w:spacing w:before="0" w:after="0"/>
              <w:rPr>
                <w:sz w:val="16"/>
                <w:szCs w:val="16"/>
              </w:rPr>
            </w:pPr>
          </w:p>
        </w:tc>
      </w:tr>
      <w:tr w:rsidR="002538E5" w:rsidRPr="002259D9" w14:paraId="09606A9F"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DFEC242"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16F4049" w14:textId="77777777" w:rsidR="00044542" w:rsidRPr="002259D9" w:rsidRDefault="00044542" w:rsidP="00E66DB5">
            <w:pPr>
              <w:spacing w:before="0" w:after="0"/>
              <w:rPr>
                <w:sz w:val="16"/>
                <w:szCs w:val="16"/>
              </w:rPr>
            </w:pPr>
            <w:r w:rsidRPr="002259D9">
              <w:rPr>
                <w:sz w:val="16"/>
                <w:szCs w:val="16"/>
              </w:rPr>
              <w:t>NEG1166TYDLI42057562022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401EFFB" w14:textId="77777777" w:rsidR="00044542" w:rsidRPr="002259D9" w:rsidRDefault="00044542" w:rsidP="00E66DB5">
            <w:pPr>
              <w:spacing w:before="0" w:after="0"/>
              <w:rPr>
                <w:sz w:val="16"/>
                <w:szCs w:val="16"/>
              </w:rPr>
            </w:pPr>
          </w:p>
        </w:tc>
      </w:tr>
      <w:tr w:rsidR="002538E5" w:rsidRPr="002259D9" w14:paraId="235FBD85"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E701BE"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33AC7C5" w14:textId="77777777" w:rsidR="00044542" w:rsidRPr="002259D9" w:rsidRDefault="00044542" w:rsidP="00E66DB5">
            <w:pPr>
              <w:spacing w:before="0" w:after="0"/>
              <w:rPr>
                <w:sz w:val="16"/>
                <w:szCs w:val="16"/>
              </w:rPr>
            </w:pPr>
            <w:r w:rsidRPr="002259D9">
              <w:rPr>
                <w:sz w:val="16"/>
                <w:szCs w:val="16"/>
              </w:rPr>
              <w:t>NEG1166TYDLI42058582022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10E79B5" w14:textId="77777777" w:rsidR="00044542" w:rsidRPr="002259D9" w:rsidRDefault="00044542" w:rsidP="00E66DB5">
            <w:pPr>
              <w:spacing w:before="0" w:after="0"/>
              <w:rPr>
                <w:sz w:val="16"/>
                <w:szCs w:val="16"/>
              </w:rPr>
            </w:pPr>
          </w:p>
        </w:tc>
      </w:tr>
      <w:tr w:rsidR="002538E5" w:rsidRPr="002259D9" w14:paraId="5C87ED4D"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AF65A99"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7FE6A9F" w14:textId="77777777" w:rsidR="00044542" w:rsidRPr="002259D9" w:rsidRDefault="00044542" w:rsidP="00E66DB5">
            <w:pPr>
              <w:spacing w:before="0" w:after="0"/>
              <w:rPr>
                <w:sz w:val="16"/>
                <w:szCs w:val="16"/>
              </w:rPr>
            </w:pPr>
            <w:r w:rsidRPr="002259D9">
              <w:rPr>
                <w:sz w:val="16"/>
                <w:szCs w:val="16"/>
              </w:rPr>
              <w:t>NEG1166TYDLI42058952022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64D3F74" w14:textId="77777777" w:rsidR="00044542" w:rsidRPr="002259D9" w:rsidRDefault="00044542" w:rsidP="00E66DB5">
            <w:pPr>
              <w:spacing w:before="0" w:after="0"/>
              <w:rPr>
                <w:sz w:val="16"/>
                <w:szCs w:val="16"/>
              </w:rPr>
            </w:pPr>
          </w:p>
        </w:tc>
      </w:tr>
      <w:tr w:rsidR="002538E5" w:rsidRPr="002259D9" w14:paraId="2A3ED0F9"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5A78A99"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677CF170" w14:textId="77777777" w:rsidR="00044542" w:rsidRPr="002259D9" w:rsidRDefault="00044542" w:rsidP="00E66DB5">
            <w:pPr>
              <w:spacing w:before="0" w:after="0"/>
              <w:rPr>
                <w:sz w:val="16"/>
                <w:szCs w:val="16"/>
              </w:rPr>
            </w:pPr>
            <w:r w:rsidRPr="002259D9">
              <w:rPr>
                <w:sz w:val="16"/>
                <w:szCs w:val="16"/>
              </w:rPr>
              <w:t>PEI0108TYDCE42051382022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473812" w14:textId="77777777" w:rsidR="00044542" w:rsidRPr="002259D9" w:rsidRDefault="00044542" w:rsidP="00E66DB5">
            <w:pPr>
              <w:spacing w:before="0" w:after="0"/>
              <w:rPr>
                <w:sz w:val="16"/>
                <w:szCs w:val="16"/>
              </w:rPr>
            </w:pPr>
          </w:p>
        </w:tc>
      </w:tr>
      <w:tr w:rsidR="002538E5" w:rsidRPr="002259D9" w14:paraId="0B75E453"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6E3B068"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7F3585B" w14:textId="77777777" w:rsidR="00044542" w:rsidRPr="002259D9" w:rsidRDefault="00044542" w:rsidP="00E66DB5">
            <w:pPr>
              <w:spacing w:before="0" w:after="0"/>
              <w:rPr>
                <w:sz w:val="16"/>
                <w:szCs w:val="16"/>
              </w:rPr>
            </w:pPr>
            <w:r w:rsidRPr="002259D9">
              <w:rPr>
                <w:sz w:val="16"/>
                <w:szCs w:val="16"/>
              </w:rPr>
              <w:t>PEI0396TYDCE42050342023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D9154FB" w14:textId="77777777" w:rsidR="00044542" w:rsidRPr="002259D9" w:rsidRDefault="00044542" w:rsidP="00E66DB5">
            <w:pPr>
              <w:spacing w:before="0" w:after="0"/>
              <w:rPr>
                <w:sz w:val="16"/>
                <w:szCs w:val="16"/>
              </w:rPr>
            </w:pPr>
          </w:p>
        </w:tc>
      </w:tr>
      <w:tr w:rsidR="002538E5" w:rsidRPr="002259D9" w14:paraId="0F06BFCB"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C4EE0A"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1ECBDB7" w14:textId="77777777" w:rsidR="00044542" w:rsidRPr="002259D9" w:rsidRDefault="00044542" w:rsidP="00E66DB5">
            <w:pPr>
              <w:spacing w:before="0" w:after="0"/>
              <w:rPr>
                <w:sz w:val="16"/>
                <w:szCs w:val="16"/>
              </w:rPr>
            </w:pPr>
            <w:r w:rsidRPr="002259D9">
              <w:rPr>
                <w:sz w:val="16"/>
                <w:szCs w:val="16"/>
              </w:rPr>
              <w:t>PEI0417TYDCE42056902021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36E548" w14:textId="77777777" w:rsidR="00044542" w:rsidRPr="002259D9" w:rsidRDefault="00044542" w:rsidP="00E66DB5">
            <w:pPr>
              <w:spacing w:before="0" w:after="0"/>
              <w:rPr>
                <w:sz w:val="16"/>
                <w:szCs w:val="16"/>
              </w:rPr>
            </w:pPr>
          </w:p>
        </w:tc>
      </w:tr>
      <w:tr w:rsidR="002538E5" w:rsidRPr="002259D9" w14:paraId="169DB2E4"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0F890EA"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ADC1409" w14:textId="77777777" w:rsidR="00044542" w:rsidRPr="002259D9" w:rsidRDefault="00044542" w:rsidP="00E66DB5">
            <w:pPr>
              <w:spacing w:before="0" w:after="0"/>
              <w:rPr>
                <w:sz w:val="16"/>
                <w:szCs w:val="16"/>
              </w:rPr>
            </w:pPr>
            <w:r w:rsidRPr="002259D9">
              <w:rPr>
                <w:sz w:val="16"/>
                <w:szCs w:val="16"/>
              </w:rPr>
              <w:t>PEI0794TYDLI42058932021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7F96B7E" w14:textId="77777777" w:rsidR="00044542" w:rsidRPr="002259D9" w:rsidRDefault="00044542" w:rsidP="00E66DB5">
            <w:pPr>
              <w:spacing w:before="0" w:after="0"/>
              <w:rPr>
                <w:sz w:val="16"/>
                <w:szCs w:val="16"/>
              </w:rPr>
            </w:pPr>
          </w:p>
        </w:tc>
      </w:tr>
      <w:tr w:rsidR="002538E5" w:rsidRPr="002259D9" w14:paraId="3DE5476E"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AE4A0CE" w14:textId="77777777" w:rsidR="00044542" w:rsidRPr="002259D9" w:rsidRDefault="00044542" w:rsidP="00E66DB5">
            <w:pPr>
              <w:spacing w:before="0" w:after="0"/>
              <w:rPr>
                <w:i/>
                <w:iCs/>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6FF9DFB7" w14:textId="77777777" w:rsidR="00044542" w:rsidRPr="002259D9" w:rsidRDefault="00044542" w:rsidP="00E66DB5">
            <w:pPr>
              <w:spacing w:before="0" w:after="0"/>
              <w:rPr>
                <w:sz w:val="16"/>
                <w:szCs w:val="16"/>
              </w:rPr>
            </w:pPr>
            <w:r w:rsidRPr="002259D9">
              <w:rPr>
                <w:sz w:val="16"/>
                <w:szCs w:val="16"/>
              </w:rPr>
              <w:t>PEI0794TYDLI42058932020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0086A5C" w14:textId="77777777" w:rsidR="00044542" w:rsidRPr="002259D9" w:rsidRDefault="00044542" w:rsidP="00E66DB5">
            <w:pPr>
              <w:spacing w:before="0" w:after="0"/>
              <w:rPr>
                <w:sz w:val="16"/>
                <w:szCs w:val="16"/>
              </w:rPr>
            </w:pPr>
          </w:p>
        </w:tc>
      </w:tr>
      <w:tr w:rsidR="002538E5" w:rsidRPr="002259D9" w14:paraId="3AC54FA9" w14:textId="77777777" w:rsidTr="005C48F2">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F2120B" w14:textId="77777777" w:rsidR="00044542" w:rsidRPr="002259D9" w:rsidRDefault="00044542" w:rsidP="00E66DB5">
            <w:pPr>
              <w:spacing w:before="0" w:after="0"/>
              <w:rPr>
                <w:i/>
                <w:iCs/>
                <w:sz w:val="16"/>
                <w:szCs w:val="16"/>
              </w:rPr>
            </w:pPr>
            <w:r w:rsidRPr="002259D9">
              <w:rPr>
                <w:i/>
                <w:iCs/>
                <w:sz w:val="16"/>
                <w:szCs w:val="16"/>
              </w:rPr>
              <w:t>-      Se adjuntan los conceptos UPME “20201520037091 SE nueva Santa Rosa” y “20201520039161 Plan de Expansión del Sur del Valle de Aburrá”.</w:t>
            </w:r>
          </w:p>
        </w:tc>
        <w:tc>
          <w:tcPr>
            <w:tcW w:w="0" w:type="auto"/>
            <w:tcBorders>
              <w:top w:val="nil"/>
              <w:left w:val="nil"/>
              <w:bottom w:val="single" w:sz="4" w:space="0" w:color="auto"/>
              <w:right w:val="single" w:sz="4" w:space="0" w:color="auto"/>
            </w:tcBorders>
            <w:shd w:val="clear" w:color="auto" w:fill="auto"/>
            <w:noWrap/>
            <w:vAlign w:val="bottom"/>
            <w:hideMark/>
          </w:tcPr>
          <w:p w14:paraId="24AAE3A0" w14:textId="77777777" w:rsidR="00044542" w:rsidRPr="002259D9" w:rsidRDefault="00044542" w:rsidP="00E66DB5">
            <w:pPr>
              <w:spacing w:before="0" w:after="0"/>
              <w:rPr>
                <w:sz w:val="16"/>
                <w:szCs w:val="16"/>
              </w:rPr>
            </w:pPr>
            <w:r w:rsidRPr="002259D9">
              <w:rPr>
                <w:sz w:val="16"/>
                <w:szCs w:val="16"/>
              </w:rPr>
              <w:t>PEI0101TYDCE42056862022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EB2A5F" w14:textId="1A879AAF" w:rsidR="00044542" w:rsidRPr="002259D9" w:rsidRDefault="00044542" w:rsidP="00E66DB5">
            <w:pPr>
              <w:spacing w:before="0" w:after="0"/>
              <w:rPr>
                <w:sz w:val="16"/>
                <w:szCs w:val="16"/>
              </w:rPr>
            </w:pPr>
            <w:r w:rsidRPr="002259D9">
              <w:rPr>
                <w:sz w:val="16"/>
                <w:szCs w:val="16"/>
              </w:rPr>
              <w:t>Se aclara la solicitud y se incluyen las UC, a excepción de aquellas no incluidas inicialmente por comentarios adicionales.</w:t>
            </w:r>
          </w:p>
        </w:tc>
      </w:tr>
      <w:tr w:rsidR="002538E5" w:rsidRPr="002259D9" w14:paraId="295C0F5F"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8DD55F"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623F6238" w14:textId="77777777" w:rsidR="00044542" w:rsidRPr="002259D9" w:rsidRDefault="00044542" w:rsidP="00E66DB5">
            <w:pPr>
              <w:spacing w:before="0" w:after="0"/>
              <w:rPr>
                <w:sz w:val="16"/>
                <w:szCs w:val="16"/>
              </w:rPr>
            </w:pPr>
            <w:r w:rsidRPr="002259D9">
              <w:rPr>
                <w:sz w:val="16"/>
                <w:szCs w:val="16"/>
              </w:rPr>
              <w:t>PEI0441TYDCE41053802024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4A7EDD7"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79E52479"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C6872D"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1A3CB71F" w14:textId="77777777" w:rsidR="00044542" w:rsidRPr="002259D9" w:rsidRDefault="00044542" w:rsidP="00E66DB5">
            <w:pPr>
              <w:spacing w:before="0" w:after="0"/>
              <w:rPr>
                <w:sz w:val="16"/>
                <w:szCs w:val="16"/>
              </w:rPr>
            </w:pPr>
            <w:r w:rsidRPr="002259D9">
              <w:rPr>
                <w:sz w:val="16"/>
                <w:szCs w:val="16"/>
              </w:rPr>
              <w:t>PEI0441TYDCE42053802024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49D7B6"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486274CD"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B54179"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529DA130" w14:textId="77777777" w:rsidR="00044542" w:rsidRPr="002259D9" w:rsidRDefault="00044542" w:rsidP="00E66DB5">
            <w:pPr>
              <w:spacing w:before="0" w:after="0"/>
              <w:rPr>
                <w:sz w:val="16"/>
                <w:szCs w:val="16"/>
              </w:rPr>
            </w:pPr>
            <w:r w:rsidRPr="002259D9">
              <w:rPr>
                <w:sz w:val="16"/>
                <w:szCs w:val="16"/>
              </w:rPr>
              <w:t>PEI0541TYDCE42051292023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3D8D4D"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146CC579"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27AE4C"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01565A94" w14:textId="77777777" w:rsidR="00044542" w:rsidRPr="002259D9" w:rsidRDefault="00044542" w:rsidP="00E66DB5">
            <w:pPr>
              <w:spacing w:before="0" w:after="0"/>
              <w:rPr>
                <w:sz w:val="16"/>
                <w:szCs w:val="16"/>
              </w:rPr>
            </w:pPr>
            <w:r w:rsidRPr="002259D9">
              <w:rPr>
                <w:sz w:val="16"/>
                <w:szCs w:val="16"/>
              </w:rPr>
              <w:t>PEI0578TYDCE42050012021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DD7F62"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03837A39"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E05CFE"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595C524A" w14:textId="77777777" w:rsidR="00044542" w:rsidRPr="002259D9" w:rsidRDefault="00044542" w:rsidP="00E66DB5">
            <w:pPr>
              <w:spacing w:before="0" w:after="0"/>
              <w:rPr>
                <w:sz w:val="16"/>
                <w:szCs w:val="16"/>
              </w:rPr>
            </w:pPr>
            <w:r w:rsidRPr="002259D9">
              <w:rPr>
                <w:sz w:val="16"/>
                <w:szCs w:val="16"/>
              </w:rPr>
              <w:t>PEI0579TYDCE42050012021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5CDCECD"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3FBDB947"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5F497D3"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73715F8D" w14:textId="77777777" w:rsidR="00044542" w:rsidRPr="002259D9" w:rsidRDefault="00044542" w:rsidP="00E66DB5">
            <w:pPr>
              <w:spacing w:before="0" w:after="0"/>
              <w:rPr>
                <w:sz w:val="16"/>
                <w:szCs w:val="16"/>
              </w:rPr>
            </w:pPr>
            <w:r w:rsidRPr="002259D9">
              <w:rPr>
                <w:sz w:val="16"/>
                <w:szCs w:val="16"/>
              </w:rPr>
              <w:t>PEI0580TYDCE42050012023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F6BA59F"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3CE11FA8"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799D93"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109F06DE" w14:textId="77777777" w:rsidR="00044542" w:rsidRPr="002259D9" w:rsidRDefault="00044542" w:rsidP="00E66DB5">
            <w:pPr>
              <w:spacing w:before="0" w:after="0"/>
              <w:rPr>
                <w:sz w:val="16"/>
                <w:szCs w:val="16"/>
              </w:rPr>
            </w:pPr>
            <w:r w:rsidRPr="002259D9">
              <w:rPr>
                <w:sz w:val="16"/>
                <w:szCs w:val="16"/>
              </w:rPr>
              <w:t>PEI0581TYDCE42052662024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D72CDE"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753D4635"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885629"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405E2C79" w14:textId="77777777" w:rsidR="00044542" w:rsidRPr="002259D9" w:rsidRDefault="00044542" w:rsidP="00E66DB5">
            <w:pPr>
              <w:spacing w:before="0" w:after="0"/>
              <w:rPr>
                <w:sz w:val="16"/>
                <w:szCs w:val="16"/>
              </w:rPr>
            </w:pPr>
            <w:r w:rsidRPr="002259D9">
              <w:rPr>
                <w:sz w:val="16"/>
                <w:szCs w:val="16"/>
              </w:rPr>
              <w:t>PEI0646TYDCE42050012025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7DD0608"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7DBB3EFA"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ABB4F45"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0EDCF930" w14:textId="77777777" w:rsidR="00044542" w:rsidRPr="002259D9" w:rsidRDefault="00044542" w:rsidP="00E66DB5">
            <w:pPr>
              <w:spacing w:before="0" w:after="0"/>
              <w:rPr>
                <w:sz w:val="16"/>
                <w:szCs w:val="16"/>
              </w:rPr>
            </w:pPr>
            <w:r w:rsidRPr="002259D9">
              <w:rPr>
                <w:sz w:val="16"/>
                <w:szCs w:val="16"/>
              </w:rPr>
              <w:t>PEI0578TYDCE42050012020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E506839"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6B1EF5C4"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36BE8B8"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2DCBA3E6" w14:textId="77777777" w:rsidR="00044542" w:rsidRPr="002259D9" w:rsidRDefault="00044542" w:rsidP="00E66DB5">
            <w:pPr>
              <w:spacing w:before="0" w:after="0"/>
              <w:rPr>
                <w:sz w:val="16"/>
                <w:szCs w:val="16"/>
              </w:rPr>
            </w:pPr>
            <w:r w:rsidRPr="002259D9">
              <w:rPr>
                <w:sz w:val="16"/>
                <w:szCs w:val="16"/>
              </w:rPr>
              <w:t>PEI0579TYDCE41050012020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85B8C36" w14:textId="77777777" w:rsidR="00044542" w:rsidRPr="002259D9" w:rsidRDefault="00044542" w:rsidP="00E66DB5">
            <w:pPr>
              <w:spacing w:before="0" w:after="0"/>
              <w:rPr>
                <w:rFonts w:ascii="Calibri" w:hAnsi="Calibri" w:cs="Calibri"/>
                <w:color w:val="000000"/>
                <w:sz w:val="22"/>
                <w:szCs w:val="22"/>
                <w:lang w:val="es-CO" w:eastAsia="es-CO"/>
              </w:rPr>
            </w:pPr>
          </w:p>
        </w:tc>
      </w:tr>
      <w:tr w:rsidR="002538E5" w:rsidRPr="002259D9" w14:paraId="39DB74D5" w14:textId="77777777" w:rsidTr="005C48F2">
        <w:trPr>
          <w:trHeight w:val="300"/>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C74DAD" w14:textId="77777777" w:rsidR="00044542" w:rsidRPr="002259D9" w:rsidRDefault="00044542" w:rsidP="00E66DB5">
            <w:pPr>
              <w:spacing w:before="0" w:after="0"/>
              <w:rPr>
                <w:rFonts w:cs="Calibri"/>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01FBA7DD" w14:textId="77777777" w:rsidR="00044542" w:rsidRPr="002259D9" w:rsidRDefault="00044542" w:rsidP="00E66DB5">
            <w:pPr>
              <w:spacing w:before="0" w:after="0"/>
              <w:rPr>
                <w:sz w:val="16"/>
                <w:szCs w:val="16"/>
              </w:rPr>
            </w:pPr>
            <w:r w:rsidRPr="002259D9">
              <w:rPr>
                <w:sz w:val="16"/>
                <w:szCs w:val="16"/>
              </w:rPr>
              <w:t>PEI0579TYDCE42050012020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637DBD" w14:textId="77777777" w:rsidR="00044542" w:rsidRPr="002259D9" w:rsidRDefault="00044542" w:rsidP="00E66DB5">
            <w:pPr>
              <w:spacing w:before="0" w:after="0"/>
              <w:rPr>
                <w:rFonts w:ascii="Calibri" w:hAnsi="Calibri" w:cs="Calibri"/>
                <w:color w:val="000000"/>
                <w:sz w:val="22"/>
                <w:szCs w:val="22"/>
                <w:lang w:val="es-CO" w:eastAsia="es-CO"/>
              </w:rPr>
            </w:pPr>
          </w:p>
        </w:tc>
      </w:tr>
    </w:tbl>
    <w:p w14:paraId="290893AC" w14:textId="77777777" w:rsidR="00044542" w:rsidRPr="002259D9" w:rsidRDefault="00044542" w:rsidP="008272F0">
      <w:pPr>
        <w:pStyle w:val="Textoindependiente"/>
        <w:spacing w:before="1"/>
        <w:jc w:val="both"/>
        <w:rPr>
          <w:rFonts w:ascii="Bookman Old Style" w:hAnsi="Bookman Old Style" w:cs="Times New Roman"/>
          <w:b w:val="0"/>
          <w:bCs w:val="0"/>
        </w:rPr>
      </w:pPr>
    </w:p>
    <w:p w14:paraId="2A433577" w14:textId="2D1BEEA6" w:rsidR="00F83568" w:rsidRPr="002259D9" w:rsidRDefault="00F83568" w:rsidP="00F83568">
      <w:pPr>
        <w:widowControl w:val="0"/>
        <w:tabs>
          <w:tab w:val="left" w:pos="1046"/>
        </w:tabs>
        <w:autoSpaceDE w:val="0"/>
        <w:autoSpaceDN w:val="0"/>
        <w:spacing w:before="0" w:after="0" w:line="259" w:lineRule="auto"/>
        <w:rPr>
          <w:b/>
          <w:bCs/>
          <w:i/>
          <w:iCs/>
        </w:rPr>
      </w:pPr>
      <w:r w:rsidRPr="002259D9">
        <w:rPr>
          <w:b/>
          <w:bCs/>
        </w:rPr>
        <w:t>B.2.</w:t>
      </w:r>
      <w:r w:rsidRPr="002259D9">
        <w:rPr>
          <w:b/>
          <w:bCs/>
          <w:i/>
          <w:iCs/>
        </w:rPr>
        <w:t xml:space="preserve"> Comentario CREG: Formato 4 “El valor reportado en el campo fracción costo no corresponde con lo establecido en la Circular CREG 029-2018.” (Tabla 8. Documento soporte Res. CREG 136 de 2021)</w:t>
      </w:r>
    </w:p>
    <w:p w14:paraId="3491EEF3" w14:textId="12E32DF0" w:rsidR="00F83568" w:rsidRPr="002259D9" w:rsidRDefault="00F83568" w:rsidP="00F83568">
      <w:pPr>
        <w:pStyle w:val="Textoindependiente"/>
        <w:spacing w:before="93"/>
        <w:jc w:val="both"/>
        <w:rPr>
          <w:rFonts w:ascii="Bookman Old Style" w:hAnsi="Bookman Old Style" w:cs="Times New Roman"/>
          <w:b w:val="0"/>
          <w:bCs w:val="0"/>
          <w:i/>
          <w:iCs/>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14AFB068" w14:textId="77777777" w:rsidR="00F83568" w:rsidRPr="002259D9" w:rsidRDefault="00F83568" w:rsidP="00F83568">
      <w:pPr>
        <w:pStyle w:val="Textoindependiente"/>
        <w:spacing w:before="157"/>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En el archivo “D-112-21 Inventario reconocido INVA EPM_20_25” hoja “formato4_UC_transformadores” se indica en la “columna AF: Comentario EPM” las observaciones para cada UC en las filas: 2 - 17, 26 - 36, 45, 47 - 54, 61 - 71 y 76 - 96. Las obras corresponden a reposición para fosos de transformadores de potencia. El valor reportado en el campo "Fracción costo" no corresponde con lo establecido en la Circular CREG 029-2018 dado que esta circular no cuenta con fracciones para las UC requeridas; la fracción de costo fue calculada con base en los valores del anexo de la resolución CREG 015/2018 "RES.015-18 UC R015_2018", hoja "</w:t>
      </w:r>
      <w:proofErr w:type="spellStart"/>
      <w:r w:rsidRPr="002259D9">
        <w:rPr>
          <w:rFonts w:ascii="Bookman Old Style" w:hAnsi="Bookman Old Style" w:cs="Times New Roman"/>
          <w:b w:val="0"/>
          <w:bCs w:val="0"/>
          <w:i/>
          <w:iCs/>
        </w:rPr>
        <w:t>UC_trans</w:t>
      </w:r>
      <w:proofErr w:type="spellEnd"/>
      <w:r w:rsidRPr="002259D9">
        <w:rPr>
          <w:rFonts w:ascii="Bookman Old Style" w:hAnsi="Bookman Old Style" w:cs="Times New Roman"/>
          <w:b w:val="0"/>
          <w:bCs w:val="0"/>
          <w:i/>
          <w:iCs/>
        </w:rPr>
        <w:t>" tomando el valor porcentual de la obra civil en relación con el valor total del transformador de potencia según los MVA de cada UC.</w:t>
      </w:r>
    </w:p>
    <w:p w14:paraId="3D9D46F7" w14:textId="226F931C" w:rsidR="0071644D" w:rsidRPr="002259D9" w:rsidRDefault="00B46AC6" w:rsidP="008272F0">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6C5C19BF" w14:textId="2DA96636" w:rsidR="00B46AC6" w:rsidRPr="002259D9" w:rsidRDefault="00B46AC6" w:rsidP="00B46AC6">
      <w:pPr>
        <w:spacing w:after="0"/>
        <w:contextualSpacing/>
        <w:rPr>
          <w:b/>
          <w:lang w:val="es-CO" w:eastAsia="en-US"/>
        </w:rPr>
      </w:pPr>
      <w:r w:rsidRPr="002259D9">
        <w:t xml:space="preserve">En el Capítulo 3 de la Resolución CREG 015 de 2018 se define la fracción costo </w:t>
      </w:r>
      <w:r w:rsidRPr="002259D9">
        <w:rPr>
          <w:i/>
          <w:iCs/>
        </w:rPr>
        <w:t>“como el peso relativo del valor reconocido del elemento o los elementos reemplazados respecto al valor total de la UC.</w:t>
      </w:r>
      <w:r w:rsidRPr="002259D9" w:rsidDel="00440C55">
        <w:rPr>
          <w:i/>
          <w:iCs/>
        </w:rPr>
        <w:t xml:space="preserve"> </w:t>
      </w:r>
      <w:r w:rsidRPr="002259D9">
        <w:rPr>
          <w:i/>
          <w:iCs/>
        </w:rPr>
        <w:t xml:space="preserve">La </w:t>
      </w:r>
      <w:r w:rsidR="00C73249">
        <w:rPr>
          <w:i/>
          <w:iCs/>
        </w:rPr>
        <w:t>Comisión</w:t>
      </w:r>
      <w:r w:rsidRPr="002259D9">
        <w:rPr>
          <w:i/>
          <w:iCs/>
        </w:rPr>
        <w:t xml:space="preserve"> publicará en circular aparte el peso relativo de cada componente de las UC”. </w:t>
      </w:r>
      <w:r w:rsidRPr="002259D9">
        <w:t>Posteriormente</w:t>
      </w:r>
      <w:r w:rsidR="002C66D3">
        <w:t>,</w:t>
      </w:r>
      <w:r w:rsidRPr="002259D9">
        <w:t xml:space="preserve"> en la Circular 029 de 2018, se publicaron los valores que conforman las UC</w:t>
      </w:r>
      <w:r w:rsidR="002C66D3">
        <w:t>. P</w:t>
      </w:r>
      <w:r w:rsidRPr="002259D9">
        <w:t xml:space="preserve">or tanto, la </w:t>
      </w:r>
      <w:r w:rsidR="00C73249">
        <w:t>Comisión</w:t>
      </w:r>
      <w:r w:rsidRPr="002259D9">
        <w:t xml:space="preserve"> resuelve no incluir la solicitud, ya que la fracción costo solicitada no corresponde con lo establecido en el archivo </w:t>
      </w:r>
      <w:r w:rsidRPr="002259D9">
        <w:rPr>
          <w:i/>
          <w:iCs/>
        </w:rPr>
        <w:t>“Circular029-2018 Conformación UC Capitulo 15 CREG 015 de 2018.xlsx”</w:t>
      </w:r>
      <w:r w:rsidRPr="002259D9">
        <w:rPr>
          <w:b/>
          <w:lang w:val="es-CO" w:eastAsia="en-US"/>
        </w:rPr>
        <w:t>.</w:t>
      </w:r>
    </w:p>
    <w:p w14:paraId="42C8818C" w14:textId="77777777" w:rsidR="00B46AC6" w:rsidRPr="002259D9" w:rsidRDefault="00B46AC6" w:rsidP="008272F0">
      <w:pPr>
        <w:pStyle w:val="Textoindependiente"/>
        <w:spacing w:before="1"/>
        <w:jc w:val="both"/>
        <w:rPr>
          <w:rFonts w:ascii="Bookman Old Style" w:hAnsi="Bookman Old Style" w:cs="Times New Roman"/>
          <w:lang w:val="es-CO"/>
        </w:rPr>
      </w:pPr>
    </w:p>
    <w:p w14:paraId="507516C5" w14:textId="367888CF" w:rsidR="00F83568" w:rsidRPr="002259D9" w:rsidRDefault="00DD5C2E" w:rsidP="00DD5C2E">
      <w:pPr>
        <w:widowControl w:val="0"/>
        <w:tabs>
          <w:tab w:val="left" w:pos="1046"/>
        </w:tabs>
        <w:autoSpaceDE w:val="0"/>
        <w:autoSpaceDN w:val="0"/>
        <w:spacing w:before="0" w:after="0"/>
        <w:ind w:left="360" w:hanging="360"/>
        <w:rPr>
          <w:b/>
          <w:bCs/>
          <w:i/>
          <w:iCs/>
        </w:rPr>
      </w:pPr>
      <w:r w:rsidRPr="002259D9">
        <w:rPr>
          <w:b/>
          <w:bCs/>
        </w:rPr>
        <w:t>B.3.</w:t>
      </w:r>
      <w:r w:rsidRPr="002259D9">
        <w:rPr>
          <w:b/>
          <w:bCs/>
          <w:i/>
          <w:iCs/>
        </w:rPr>
        <w:t xml:space="preserve"> Comentario CREG: Formato 4 “El proyecto no posee aprobación UPME”</w:t>
      </w:r>
    </w:p>
    <w:p w14:paraId="63611F62" w14:textId="7FA3B26E" w:rsidR="00DD5C2E" w:rsidRPr="002259D9" w:rsidRDefault="00DD5C2E" w:rsidP="00DD5C2E">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7E28997A" w14:textId="543DD6AA" w:rsidR="00DD5C2E" w:rsidRPr="002259D9" w:rsidRDefault="00DD5C2E" w:rsidP="00DD5C2E">
      <w:pPr>
        <w:pStyle w:val="Textoindependiente"/>
        <w:spacing w:before="181"/>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“formato4_UC_transformadores” se indica en la “columna AF: Comentario EPM” las observaciones para cada UC en las filas: 20, 37, 38, 56, 57, 72, 73, 97, 109 y 110. Los transformadores indicados no requieren concepto UPME dado que las intervenciones no pertenecen al STR. Las UC relacionadas corresponden a activos que no sirven de forma exclusiva a este nivel de tensión por lo tanto se consideran del SDL según lo indicado en el numeral b. del capítulo 14.1 de la Resolución 015 de 2018.</w:t>
      </w:r>
    </w:p>
    <w:p w14:paraId="36EF97D5" w14:textId="56C2E6E1" w:rsidR="00DD5C2E" w:rsidRPr="002259D9" w:rsidRDefault="00DD5C2E" w:rsidP="00DD5C2E">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7694DC65" w14:textId="2EFA4294" w:rsidR="00DD5C2E" w:rsidRPr="002259D9" w:rsidRDefault="00DD5C2E" w:rsidP="00DD5C2E">
      <w:pPr>
        <w:pStyle w:val="Textoindependiente"/>
        <w:spacing w:before="11"/>
        <w:jc w:val="both"/>
        <w:rPr>
          <w:rFonts w:ascii="Bookman Old Style" w:hAnsi="Bookman Old Style" w:cs="Times New Roman"/>
          <w:b w:val="0"/>
          <w:bCs w:val="0"/>
        </w:rPr>
      </w:pPr>
      <w:r w:rsidRPr="002259D9">
        <w:rPr>
          <w:rFonts w:ascii="Bookman Old Style" w:hAnsi="Bookman Old Style" w:cs="Times New Roman"/>
          <w:b w:val="0"/>
          <w:bCs w:val="0"/>
        </w:rPr>
        <w:t>La solicitud fue resuelta al unisonó con el análisis de la solicitud B.1.</w:t>
      </w:r>
    </w:p>
    <w:p w14:paraId="51D8FF82" w14:textId="5AE6C81F" w:rsidR="00DD5C2E" w:rsidRPr="002259D9" w:rsidRDefault="00DD5C2E" w:rsidP="00DD5C2E">
      <w:pPr>
        <w:pStyle w:val="Textoindependiente"/>
        <w:spacing w:before="11"/>
        <w:jc w:val="both"/>
        <w:rPr>
          <w:b w:val="0"/>
          <w:bCs w:val="0"/>
          <w:i/>
          <w:iCs/>
        </w:rPr>
      </w:pPr>
    </w:p>
    <w:p w14:paraId="6298381C" w14:textId="7C765F3A" w:rsidR="00042A99" w:rsidRPr="002259D9" w:rsidRDefault="00042A99" w:rsidP="00DD5C2E">
      <w:pPr>
        <w:pStyle w:val="Textoindependiente"/>
        <w:spacing w:before="11"/>
        <w:jc w:val="both"/>
        <w:rPr>
          <w:rFonts w:ascii="Bookman Old Style" w:hAnsi="Bookman Old Style" w:cs="Times New Roman"/>
          <w:i/>
          <w:iCs/>
        </w:rPr>
      </w:pPr>
      <w:r w:rsidRPr="002259D9">
        <w:rPr>
          <w:rFonts w:ascii="Bookman Old Style" w:hAnsi="Bookman Old Style" w:cs="Times New Roman"/>
        </w:rPr>
        <w:t>B.4.</w:t>
      </w:r>
      <w:r w:rsidRPr="002259D9">
        <w:rPr>
          <w:rFonts w:ascii="Bookman Old Style" w:hAnsi="Bookman Old Style" w:cs="Times New Roman"/>
          <w:i/>
          <w:iCs/>
        </w:rPr>
        <w:t xml:space="preserve"> </w:t>
      </w:r>
      <w:r w:rsidR="00926D9B" w:rsidRPr="002259D9">
        <w:rPr>
          <w:rFonts w:ascii="Bookman Old Style" w:hAnsi="Bookman Old Style"/>
          <w:bCs w:val="0"/>
          <w:i/>
          <w:iCs/>
        </w:rPr>
        <w:t xml:space="preserve">Comentario CREG: </w:t>
      </w:r>
      <w:r w:rsidR="00926D9B" w:rsidRPr="002259D9">
        <w:rPr>
          <w:rFonts w:ascii="Bookman Old Style" w:hAnsi="Bookman Old Style" w:cs="Times New Roman"/>
          <w:i/>
          <w:iCs/>
        </w:rPr>
        <w:t>Formato 6 “El proyecto no posee aprobación UPME. El valor descrito en el campo "Tipo inversión" no corresponde con lo reportado en el campo “Fracción Costo”, dado que es una reposición. El valor reportado en el campo "Fracción costo" no corresponde con lo establecido en la Circular CREG 029-2018.” (Tabla 8. Documento soporte Res. CREG 136 de 2021)</w:t>
      </w:r>
    </w:p>
    <w:p w14:paraId="5FAC77CA" w14:textId="77777777" w:rsidR="00926D9B" w:rsidRPr="002259D9" w:rsidRDefault="00926D9B" w:rsidP="00926D9B">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271D932D" w14:textId="77777777" w:rsidR="00926D9B" w:rsidRPr="002259D9" w:rsidRDefault="00926D9B" w:rsidP="00926D9B">
      <w:pPr>
        <w:pStyle w:val="Textoindependiente"/>
        <w:spacing w:before="158"/>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xml:space="preserve"> En el archivo “D-112-21 Inventario reconocido INVA EPM_20_25” hoja “formato6_UC_SE” se indica en la “columna Z: Comentario EPM” las observaciones para cada UC en las filas: 40 - 45, 242 y 819. Se ajusta tipo de proyecto a tipo III indicando que efectivamente corresponde a una reposición; por lo tanto, no requiere concepto UPME. Se ajusta fracción de costo con base en lo indicado en la Circular 029 de 2018, correspondiente a Acero Estructural (kg).</w:t>
      </w:r>
    </w:p>
    <w:p w14:paraId="69845249" w14:textId="0E202799" w:rsidR="00AE6B72" w:rsidRPr="002259D9" w:rsidRDefault="00AE6B72" w:rsidP="00AE6B72">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7957A9A2" w14:textId="029BD49B" w:rsidR="00DD5C2E" w:rsidRPr="002259D9" w:rsidRDefault="00AE6B72" w:rsidP="00DD5C2E">
      <w:pPr>
        <w:pStyle w:val="Textoindependiente"/>
        <w:spacing w:before="11"/>
        <w:jc w:val="both"/>
        <w:rPr>
          <w:rFonts w:ascii="Bookman Old Style" w:hAnsi="Bookman Old Style" w:cs="Times New Roman"/>
          <w:b w:val="0"/>
          <w:bCs w:val="0"/>
          <w:i/>
          <w:iCs/>
        </w:rPr>
      </w:pPr>
      <w:r w:rsidRPr="002259D9">
        <w:rPr>
          <w:rFonts w:ascii="Bookman Old Style" w:hAnsi="Bookman Old Style" w:cs="Times New Roman"/>
          <w:b w:val="0"/>
          <w:bCs w:val="0"/>
        </w:rPr>
        <w:t xml:space="preserve">Se revisó la solicitud en función del soporte del OR, encontrando en el documento anexo los siguientes comentarios para los cuales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realiza las observaciones</w:t>
      </w:r>
      <w:r w:rsidR="002538E5" w:rsidRPr="002259D9">
        <w:rPr>
          <w:rFonts w:ascii="Bookman Old Style" w:hAnsi="Bookman Old Style" w:cs="Times New Roman"/>
          <w:b w:val="0"/>
          <w:bCs w:val="0"/>
        </w:rPr>
        <w:t xml:space="preserve"> concernientes</w:t>
      </w:r>
      <w:r w:rsidRPr="002259D9">
        <w:rPr>
          <w:rFonts w:ascii="Bookman Old Style" w:hAnsi="Bookman Old Style" w:cs="Times New Roman"/>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2"/>
        <w:gridCol w:w="1577"/>
        <w:gridCol w:w="3647"/>
      </w:tblGrid>
      <w:tr w:rsidR="002538E5" w:rsidRPr="002259D9" w14:paraId="026C8E4A" w14:textId="77777777" w:rsidTr="002538E5">
        <w:trPr>
          <w:trHeight w:val="300"/>
        </w:trPr>
        <w:tc>
          <w:tcPr>
            <w:tcW w:w="0" w:type="auto"/>
            <w:shd w:val="clear" w:color="auto" w:fill="auto"/>
            <w:noWrap/>
            <w:vAlign w:val="bottom"/>
            <w:hideMark/>
          </w:tcPr>
          <w:p w14:paraId="0323E30B" w14:textId="77777777" w:rsidR="002538E5" w:rsidRPr="002259D9" w:rsidRDefault="002538E5" w:rsidP="002F5131">
            <w:pPr>
              <w:spacing w:before="0" w:after="0"/>
              <w:jc w:val="center"/>
              <w:rPr>
                <w:b/>
                <w:bCs/>
                <w:sz w:val="18"/>
                <w:szCs w:val="18"/>
              </w:rPr>
            </w:pPr>
            <w:r w:rsidRPr="002259D9">
              <w:rPr>
                <w:b/>
                <w:bCs/>
                <w:sz w:val="18"/>
                <w:szCs w:val="18"/>
              </w:rPr>
              <w:t>Comentario OR</w:t>
            </w:r>
          </w:p>
        </w:tc>
        <w:tc>
          <w:tcPr>
            <w:tcW w:w="0" w:type="auto"/>
            <w:shd w:val="clear" w:color="auto" w:fill="auto"/>
            <w:noWrap/>
            <w:vAlign w:val="bottom"/>
            <w:hideMark/>
          </w:tcPr>
          <w:p w14:paraId="12C9CED4" w14:textId="77777777" w:rsidR="002538E5" w:rsidRPr="002259D9" w:rsidRDefault="002538E5" w:rsidP="002F5131">
            <w:pPr>
              <w:spacing w:before="0" w:after="0"/>
              <w:jc w:val="center"/>
              <w:rPr>
                <w:b/>
                <w:bCs/>
                <w:sz w:val="18"/>
                <w:szCs w:val="18"/>
              </w:rPr>
            </w:pPr>
            <w:r w:rsidRPr="002259D9">
              <w:rPr>
                <w:b/>
                <w:bCs/>
                <w:sz w:val="18"/>
                <w:szCs w:val="18"/>
              </w:rPr>
              <w:t>IUA provisional</w:t>
            </w:r>
          </w:p>
        </w:tc>
        <w:tc>
          <w:tcPr>
            <w:tcW w:w="0" w:type="auto"/>
            <w:shd w:val="clear" w:color="auto" w:fill="auto"/>
            <w:noWrap/>
            <w:vAlign w:val="bottom"/>
            <w:hideMark/>
          </w:tcPr>
          <w:p w14:paraId="63104679" w14:textId="77777777" w:rsidR="002538E5" w:rsidRPr="002259D9" w:rsidRDefault="002538E5" w:rsidP="002F5131">
            <w:pPr>
              <w:spacing w:before="0" w:after="0"/>
              <w:jc w:val="center"/>
              <w:rPr>
                <w:b/>
                <w:bCs/>
                <w:sz w:val="18"/>
                <w:szCs w:val="18"/>
              </w:rPr>
            </w:pPr>
            <w:r w:rsidRPr="002259D9">
              <w:rPr>
                <w:b/>
                <w:bCs/>
                <w:sz w:val="18"/>
                <w:szCs w:val="18"/>
              </w:rPr>
              <w:t>Revisión al recurso</w:t>
            </w:r>
          </w:p>
        </w:tc>
      </w:tr>
      <w:tr w:rsidR="002538E5" w:rsidRPr="002259D9" w14:paraId="1853EF65" w14:textId="77777777" w:rsidTr="002538E5">
        <w:trPr>
          <w:trHeight w:val="300"/>
        </w:trPr>
        <w:tc>
          <w:tcPr>
            <w:tcW w:w="0" w:type="auto"/>
            <w:vMerge w:val="restart"/>
            <w:shd w:val="clear" w:color="auto" w:fill="auto"/>
            <w:vAlign w:val="center"/>
            <w:hideMark/>
          </w:tcPr>
          <w:p w14:paraId="199B69CD" w14:textId="63DEE6AB" w:rsidR="002538E5" w:rsidRPr="002259D9" w:rsidRDefault="002538E5" w:rsidP="002F5131">
            <w:pPr>
              <w:spacing w:before="0" w:after="0"/>
              <w:rPr>
                <w:i/>
                <w:iCs/>
                <w:sz w:val="16"/>
                <w:szCs w:val="16"/>
              </w:rPr>
            </w:pPr>
            <w:r w:rsidRPr="002259D9">
              <w:rPr>
                <w:i/>
                <w:iCs/>
                <w:sz w:val="16"/>
                <w:szCs w:val="16"/>
              </w:rPr>
              <w:t>Se ajusta tipo de proyecto a tipo III y se agrega campo IUA remplazado, por lo tanto, no requiere concepto UPME. Se ajusta fracción de costo con base en lo indicado en la circular 029 de 2018 correspondiente a Acero Estructural (kg).</w:t>
            </w:r>
          </w:p>
        </w:tc>
        <w:tc>
          <w:tcPr>
            <w:tcW w:w="0" w:type="auto"/>
            <w:shd w:val="clear" w:color="auto" w:fill="auto"/>
            <w:noWrap/>
            <w:vAlign w:val="bottom"/>
            <w:hideMark/>
          </w:tcPr>
          <w:p w14:paraId="7A36AACC" w14:textId="77777777" w:rsidR="002538E5" w:rsidRPr="002259D9" w:rsidRDefault="002538E5" w:rsidP="002F5131">
            <w:pPr>
              <w:spacing w:before="0" w:after="0"/>
              <w:rPr>
                <w:sz w:val="16"/>
                <w:szCs w:val="16"/>
              </w:rPr>
            </w:pPr>
            <w:r w:rsidRPr="002259D9">
              <w:rPr>
                <w:sz w:val="16"/>
                <w:szCs w:val="16"/>
              </w:rPr>
              <w:t>100923BS6000</w:t>
            </w:r>
          </w:p>
        </w:tc>
        <w:tc>
          <w:tcPr>
            <w:tcW w:w="0" w:type="auto"/>
            <w:vMerge w:val="restart"/>
            <w:shd w:val="clear" w:color="auto" w:fill="auto"/>
            <w:vAlign w:val="center"/>
            <w:hideMark/>
          </w:tcPr>
          <w:p w14:paraId="1E435656" w14:textId="77777777" w:rsidR="002538E5" w:rsidRPr="002259D9" w:rsidRDefault="002538E5" w:rsidP="002F5131">
            <w:pPr>
              <w:spacing w:before="0" w:after="0"/>
              <w:rPr>
                <w:sz w:val="16"/>
                <w:szCs w:val="16"/>
              </w:rPr>
            </w:pPr>
            <w:r w:rsidRPr="002259D9">
              <w:rPr>
                <w:sz w:val="16"/>
                <w:szCs w:val="16"/>
              </w:rPr>
              <w:t>En revisión al recurso, el OR ajusta las inconsistencias, se aprueban las UC.</w:t>
            </w:r>
          </w:p>
        </w:tc>
      </w:tr>
      <w:tr w:rsidR="002538E5" w:rsidRPr="002259D9" w14:paraId="22068048" w14:textId="77777777" w:rsidTr="002538E5">
        <w:trPr>
          <w:trHeight w:val="300"/>
        </w:trPr>
        <w:tc>
          <w:tcPr>
            <w:tcW w:w="0" w:type="auto"/>
            <w:vMerge/>
            <w:vAlign w:val="center"/>
            <w:hideMark/>
          </w:tcPr>
          <w:p w14:paraId="6713BA79" w14:textId="77777777" w:rsidR="002538E5" w:rsidRPr="002259D9" w:rsidRDefault="002538E5" w:rsidP="002F5131">
            <w:pPr>
              <w:spacing w:before="0" w:after="0"/>
              <w:rPr>
                <w:i/>
                <w:iCs/>
                <w:sz w:val="16"/>
                <w:szCs w:val="16"/>
              </w:rPr>
            </w:pPr>
          </w:p>
        </w:tc>
        <w:tc>
          <w:tcPr>
            <w:tcW w:w="0" w:type="auto"/>
            <w:shd w:val="clear" w:color="auto" w:fill="auto"/>
            <w:noWrap/>
            <w:vAlign w:val="bottom"/>
            <w:hideMark/>
          </w:tcPr>
          <w:p w14:paraId="7AE5AA6A" w14:textId="77777777" w:rsidR="002538E5" w:rsidRPr="002259D9" w:rsidRDefault="002538E5" w:rsidP="002F5131">
            <w:pPr>
              <w:spacing w:before="0" w:after="0"/>
              <w:rPr>
                <w:sz w:val="16"/>
                <w:szCs w:val="16"/>
              </w:rPr>
            </w:pPr>
            <w:r w:rsidRPr="002259D9">
              <w:rPr>
                <w:sz w:val="16"/>
                <w:szCs w:val="16"/>
              </w:rPr>
              <w:t>100923BS7000</w:t>
            </w:r>
          </w:p>
        </w:tc>
        <w:tc>
          <w:tcPr>
            <w:tcW w:w="0" w:type="auto"/>
            <w:vMerge/>
            <w:vAlign w:val="center"/>
            <w:hideMark/>
          </w:tcPr>
          <w:p w14:paraId="57C7AB61" w14:textId="77777777" w:rsidR="002538E5" w:rsidRPr="002259D9" w:rsidRDefault="002538E5" w:rsidP="002F5131">
            <w:pPr>
              <w:spacing w:before="0" w:after="0"/>
              <w:rPr>
                <w:sz w:val="16"/>
                <w:szCs w:val="16"/>
              </w:rPr>
            </w:pPr>
          </w:p>
        </w:tc>
      </w:tr>
      <w:tr w:rsidR="002538E5" w:rsidRPr="002259D9" w14:paraId="13693C1E" w14:textId="77777777" w:rsidTr="002538E5">
        <w:trPr>
          <w:trHeight w:val="300"/>
        </w:trPr>
        <w:tc>
          <w:tcPr>
            <w:tcW w:w="0" w:type="auto"/>
            <w:vMerge/>
            <w:vAlign w:val="center"/>
            <w:hideMark/>
          </w:tcPr>
          <w:p w14:paraId="6E740E0A" w14:textId="77777777" w:rsidR="002538E5" w:rsidRPr="002259D9" w:rsidRDefault="002538E5" w:rsidP="002F5131">
            <w:pPr>
              <w:spacing w:before="0" w:after="0"/>
              <w:rPr>
                <w:i/>
                <w:iCs/>
                <w:sz w:val="16"/>
                <w:szCs w:val="16"/>
              </w:rPr>
            </w:pPr>
          </w:p>
        </w:tc>
        <w:tc>
          <w:tcPr>
            <w:tcW w:w="0" w:type="auto"/>
            <w:shd w:val="clear" w:color="auto" w:fill="auto"/>
            <w:noWrap/>
            <w:vAlign w:val="bottom"/>
            <w:hideMark/>
          </w:tcPr>
          <w:p w14:paraId="754B8533" w14:textId="77777777" w:rsidR="002538E5" w:rsidRPr="002259D9" w:rsidRDefault="002538E5" w:rsidP="002F5131">
            <w:pPr>
              <w:spacing w:before="0" w:after="0"/>
              <w:rPr>
                <w:sz w:val="16"/>
                <w:szCs w:val="16"/>
              </w:rPr>
            </w:pPr>
            <w:r w:rsidRPr="002259D9">
              <w:rPr>
                <w:sz w:val="16"/>
                <w:szCs w:val="16"/>
              </w:rPr>
              <w:t>100923BS8000</w:t>
            </w:r>
          </w:p>
        </w:tc>
        <w:tc>
          <w:tcPr>
            <w:tcW w:w="0" w:type="auto"/>
            <w:vMerge/>
            <w:vAlign w:val="center"/>
            <w:hideMark/>
          </w:tcPr>
          <w:p w14:paraId="6D41E132" w14:textId="77777777" w:rsidR="002538E5" w:rsidRPr="002259D9" w:rsidRDefault="002538E5" w:rsidP="002F5131">
            <w:pPr>
              <w:spacing w:before="0" w:after="0"/>
              <w:rPr>
                <w:sz w:val="16"/>
                <w:szCs w:val="16"/>
              </w:rPr>
            </w:pPr>
          </w:p>
        </w:tc>
      </w:tr>
      <w:tr w:rsidR="002538E5" w:rsidRPr="002259D9" w14:paraId="00755256" w14:textId="77777777" w:rsidTr="002538E5">
        <w:trPr>
          <w:trHeight w:val="300"/>
        </w:trPr>
        <w:tc>
          <w:tcPr>
            <w:tcW w:w="0" w:type="auto"/>
            <w:vMerge/>
            <w:vAlign w:val="center"/>
            <w:hideMark/>
          </w:tcPr>
          <w:p w14:paraId="4734159A" w14:textId="77777777" w:rsidR="002538E5" w:rsidRPr="002259D9" w:rsidRDefault="002538E5" w:rsidP="002F5131">
            <w:pPr>
              <w:spacing w:before="0" w:after="0"/>
              <w:rPr>
                <w:i/>
                <w:iCs/>
                <w:sz w:val="16"/>
                <w:szCs w:val="16"/>
              </w:rPr>
            </w:pPr>
          </w:p>
        </w:tc>
        <w:tc>
          <w:tcPr>
            <w:tcW w:w="0" w:type="auto"/>
            <w:shd w:val="clear" w:color="auto" w:fill="auto"/>
            <w:noWrap/>
            <w:vAlign w:val="bottom"/>
            <w:hideMark/>
          </w:tcPr>
          <w:p w14:paraId="342D9275" w14:textId="77777777" w:rsidR="002538E5" w:rsidRPr="002259D9" w:rsidRDefault="002538E5" w:rsidP="002F5131">
            <w:pPr>
              <w:spacing w:before="0" w:after="0"/>
              <w:rPr>
                <w:sz w:val="16"/>
                <w:szCs w:val="16"/>
              </w:rPr>
            </w:pPr>
            <w:r w:rsidRPr="002259D9">
              <w:rPr>
                <w:sz w:val="16"/>
                <w:szCs w:val="16"/>
              </w:rPr>
              <w:t>100923BS9000</w:t>
            </w:r>
          </w:p>
        </w:tc>
        <w:tc>
          <w:tcPr>
            <w:tcW w:w="0" w:type="auto"/>
            <w:vMerge/>
            <w:vAlign w:val="center"/>
            <w:hideMark/>
          </w:tcPr>
          <w:p w14:paraId="5358605B" w14:textId="77777777" w:rsidR="002538E5" w:rsidRPr="002259D9" w:rsidRDefault="002538E5" w:rsidP="002F5131">
            <w:pPr>
              <w:spacing w:before="0" w:after="0"/>
              <w:rPr>
                <w:sz w:val="16"/>
                <w:szCs w:val="16"/>
              </w:rPr>
            </w:pPr>
          </w:p>
        </w:tc>
      </w:tr>
      <w:tr w:rsidR="002538E5" w:rsidRPr="002259D9" w14:paraId="33684DA1" w14:textId="77777777" w:rsidTr="002538E5">
        <w:trPr>
          <w:trHeight w:val="300"/>
        </w:trPr>
        <w:tc>
          <w:tcPr>
            <w:tcW w:w="0" w:type="auto"/>
            <w:vMerge/>
            <w:vAlign w:val="center"/>
            <w:hideMark/>
          </w:tcPr>
          <w:p w14:paraId="2FE46776" w14:textId="77777777" w:rsidR="002538E5" w:rsidRPr="002259D9" w:rsidRDefault="002538E5" w:rsidP="002F5131">
            <w:pPr>
              <w:spacing w:before="0" w:after="0"/>
              <w:rPr>
                <w:i/>
                <w:iCs/>
                <w:sz w:val="16"/>
                <w:szCs w:val="16"/>
              </w:rPr>
            </w:pPr>
          </w:p>
        </w:tc>
        <w:tc>
          <w:tcPr>
            <w:tcW w:w="0" w:type="auto"/>
            <w:shd w:val="clear" w:color="auto" w:fill="auto"/>
            <w:noWrap/>
            <w:vAlign w:val="bottom"/>
            <w:hideMark/>
          </w:tcPr>
          <w:p w14:paraId="6861F8E0" w14:textId="77777777" w:rsidR="002538E5" w:rsidRPr="002259D9" w:rsidRDefault="002538E5" w:rsidP="002F5131">
            <w:pPr>
              <w:spacing w:before="0" w:after="0"/>
              <w:rPr>
                <w:sz w:val="16"/>
                <w:szCs w:val="16"/>
              </w:rPr>
            </w:pPr>
            <w:r w:rsidRPr="002259D9">
              <w:rPr>
                <w:sz w:val="16"/>
                <w:szCs w:val="16"/>
              </w:rPr>
              <w:t>100923BSA000</w:t>
            </w:r>
          </w:p>
        </w:tc>
        <w:tc>
          <w:tcPr>
            <w:tcW w:w="0" w:type="auto"/>
            <w:vMerge/>
            <w:vAlign w:val="center"/>
            <w:hideMark/>
          </w:tcPr>
          <w:p w14:paraId="11959B02" w14:textId="77777777" w:rsidR="002538E5" w:rsidRPr="002259D9" w:rsidRDefault="002538E5" w:rsidP="002F5131">
            <w:pPr>
              <w:spacing w:before="0" w:after="0"/>
              <w:rPr>
                <w:sz w:val="16"/>
                <w:szCs w:val="16"/>
              </w:rPr>
            </w:pPr>
          </w:p>
        </w:tc>
      </w:tr>
      <w:tr w:rsidR="002538E5" w:rsidRPr="002259D9" w14:paraId="65A93966" w14:textId="77777777" w:rsidTr="002538E5">
        <w:trPr>
          <w:trHeight w:val="300"/>
        </w:trPr>
        <w:tc>
          <w:tcPr>
            <w:tcW w:w="0" w:type="auto"/>
            <w:vMerge w:val="restart"/>
            <w:shd w:val="clear" w:color="auto" w:fill="auto"/>
            <w:vAlign w:val="center"/>
            <w:hideMark/>
          </w:tcPr>
          <w:p w14:paraId="4376F247" w14:textId="62DEE8CD" w:rsidR="002538E5" w:rsidRPr="002259D9" w:rsidRDefault="002538E5" w:rsidP="002F5131">
            <w:pPr>
              <w:spacing w:before="0" w:after="0"/>
              <w:rPr>
                <w:i/>
                <w:iCs/>
                <w:sz w:val="16"/>
                <w:szCs w:val="16"/>
              </w:rPr>
            </w:pPr>
            <w:r w:rsidRPr="002259D9">
              <w:rPr>
                <w:i/>
                <w:iCs/>
                <w:sz w:val="16"/>
                <w:szCs w:val="16"/>
              </w:rPr>
              <w:t>Se ajusta tipo de proyecto a tipo III, por lo tanto, no requiere concepto UPME. Se ajusta fracción de costo con base en lo indicado en la circular 029 de 2018 correspondiente a Acero Estructural (kg)</w:t>
            </w:r>
          </w:p>
        </w:tc>
        <w:tc>
          <w:tcPr>
            <w:tcW w:w="0" w:type="auto"/>
            <w:shd w:val="clear" w:color="auto" w:fill="auto"/>
            <w:noWrap/>
            <w:vAlign w:val="bottom"/>
            <w:hideMark/>
          </w:tcPr>
          <w:p w14:paraId="453970FF" w14:textId="77777777" w:rsidR="002538E5" w:rsidRPr="002259D9" w:rsidRDefault="002538E5" w:rsidP="002F5131">
            <w:pPr>
              <w:spacing w:before="0" w:after="0"/>
              <w:rPr>
                <w:sz w:val="16"/>
                <w:szCs w:val="16"/>
              </w:rPr>
            </w:pPr>
            <w:r w:rsidRPr="002259D9">
              <w:rPr>
                <w:sz w:val="16"/>
                <w:szCs w:val="16"/>
              </w:rPr>
              <w:t>100663BSB000</w:t>
            </w:r>
          </w:p>
        </w:tc>
        <w:tc>
          <w:tcPr>
            <w:tcW w:w="0" w:type="auto"/>
            <w:vMerge w:val="restart"/>
            <w:shd w:val="clear" w:color="auto" w:fill="auto"/>
            <w:vAlign w:val="center"/>
            <w:hideMark/>
          </w:tcPr>
          <w:p w14:paraId="47B0D35C" w14:textId="479D77F5" w:rsidR="002538E5" w:rsidRPr="002259D9" w:rsidRDefault="002538E5" w:rsidP="002F5131">
            <w:pPr>
              <w:spacing w:before="0" w:after="0"/>
              <w:rPr>
                <w:sz w:val="16"/>
                <w:szCs w:val="16"/>
              </w:rPr>
            </w:pPr>
            <w:r w:rsidRPr="002259D9">
              <w:rPr>
                <w:sz w:val="16"/>
                <w:szCs w:val="16"/>
              </w:rPr>
              <w:t>En revisión al recurso, el OR ajusta el campo "Tipo inversión" y el valor de "Fracción Costo", sin embargo, no reporta el IUA reemplazado, las UC no son aprobadas.</w:t>
            </w:r>
          </w:p>
        </w:tc>
      </w:tr>
      <w:tr w:rsidR="002538E5" w:rsidRPr="002259D9" w14:paraId="1AED9A73" w14:textId="77777777" w:rsidTr="002538E5">
        <w:trPr>
          <w:trHeight w:val="300"/>
        </w:trPr>
        <w:tc>
          <w:tcPr>
            <w:tcW w:w="0" w:type="auto"/>
            <w:vMerge/>
            <w:vAlign w:val="center"/>
            <w:hideMark/>
          </w:tcPr>
          <w:p w14:paraId="280BFB1D" w14:textId="77777777" w:rsidR="002538E5" w:rsidRPr="002259D9" w:rsidRDefault="002538E5" w:rsidP="002F5131">
            <w:pPr>
              <w:spacing w:before="0" w:after="0"/>
              <w:rPr>
                <w:sz w:val="16"/>
                <w:szCs w:val="16"/>
              </w:rPr>
            </w:pPr>
          </w:p>
        </w:tc>
        <w:tc>
          <w:tcPr>
            <w:tcW w:w="0" w:type="auto"/>
            <w:shd w:val="clear" w:color="auto" w:fill="auto"/>
            <w:noWrap/>
            <w:vAlign w:val="bottom"/>
            <w:hideMark/>
          </w:tcPr>
          <w:p w14:paraId="6EAD4114" w14:textId="77777777" w:rsidR="002538E5" w:rsidRPr="002259D9" w:rsidRDefault="002538E5" w:rsidP="002F5131">
            <w:pPr>
              <w:spacing w:before="0" w:after="0"/>
              <w:rPr>
                <w:sz w:val="16"/>
                <w:szCs w:val="16"/>
              </w:rPr>
            </w:pPr>
            <w:r w:rsidRPr="002259D9">
              <w:rPr>
                <w:sz w:val="16"/>
                <w:szCs w:val="16"/>
              </w:rPr>
              <w:t>101013BXT000</w:t>
            </w:r>
          </w:p>
        </w:tc>
        <w:tc>
          <w:tcPr>
            <w:tcW w:w="0" w:type="auto"/>
            <w:vMerge/>
            <w:vAlign w:val="center"/>
            <w:hideMark/>
          </w:tcPr>
          <w:p w14:paraId="07A6894A" w14:textId="77777777" w:rsidR="002538E5" w:rsidRPr="002259D9" w:rsidRDefault="002538E5" w:rsidP="002F5131">
            <w:pPr>
              <w:spacing w:before="0" w:after="0"/>
              <w:rPr>
                <w:sz w:val="16"/>
                <w:szCs w:val="16"/>
              </w:rPr>
            </w:pPr>
          </w:p>
        </w:tc>
      </w:tr>
      <w:tr w:rsidR="002538E5" w:rsidRPr="002259D9" w14:paraId="3F70DF6B" w14:textId="77777777" w:rsidTr="002538E5">
        <w:trPr>
          <w:trHeight w:val="300"/>
        </w:trPr>
        <w:tc>
          <w:tcPr>
            <w:tcW w:w="0" w:type="auto"/>
            <w:vMerge/>
            <w:vAlign w:val="center"/>
            <w:hideMark/>
          </w:tcPr>
          <w:p w14:paraId="284AFAF5" w14:textId="77777777" w:rsidR="002538E5" w:rsidRPr="002259D9" w:rsidRDefault="002538E5" w:rsidP="002F5131">
            <w:pPr>
              <w:spacing w:before="0" w:after="0"/>
              <w:rPr>
                <w:sz w:val="16"/>
                <w:szCs w:val="16"/>
              </w:rPr>
            </w:pPr>
          </w:p>
        </w:tc>
        <w:tc>
          <w:tcPr>
            <w:tcW w:w="0" w:type="auto"/>
            <w:shd w:val="clear" w:color="auto" w:fill="auto"/>
            <w:noWrap/>
            <w:vAlign w:val="bottom"/>
            <w:hideMark/>
          </w:tcPr>
          <w:p w14:paraId="5F8A3FED" w14:textId="77777777" w:rsidR="002538E5" w:rsidRPr="002259D9" w:rsidRDefault="002538E5" w:rsidP="002F5131">
            <w:pPr>
              <w:spacing w:before="0" w:after="0"/>
              <w:rPr>
                <w:sz w:val="16"/>
                <w:szCs w:val="16"/>
              </w:rPr>
            </w:pPr>
            <w:r w:rsidRPr="002259D9">
              <w:rPr>
                <w:sz w:val="16"/>
                <w:szCs w:val="16"/>
              </w:rPr>
              <w:t>100703CE9000</w:t>
            </w:r>
          </w:p>
        </w:tc>
        <w:tc>
          <w:tcPr>
            <w:tcW w:w="0" w:type="auto"/>
            <w:vMerge/>
            <w:vAlign w:val="center"/>
            <w:hideMark/>
          </w:tcPr>
          <w:p w14:paraId="55C34668" w14:textId="77777777" w:rsidR="002538E5" w:rsidRPr="002259D9" w:rsidRDefault="002538E5" w:rsidP="002F5131">
            <w:pPr>
              <w:spacing w:before="0" w:after="0"/>
              <w:rPr>
                <w:sz w:val="16"/>
                <w:szCs w:val="16"/>
              </w:rPr>
            </w:pPr>
          </w:p>
        </w:tc>
      </w:tr>
    </w:tbl>
    <w:p w14:paraId="56F9B23D" w14:textId="78B6D2F9" w:rsidR="00DD5C2E" w:rsidRPr="002259D9" w:rsidRDefault="00DD5C2E" w:rsidP="008272F0">
      <w:pPr>
        <w:pStyle w:val="Textoindependiente"/>
        <w:spacing w:before="1"/>
        <w:jc w:val="both"/>
        <w:rPr>
          <w:rFonts w:ascii="Bookman Old Style" w:hAnsi="Bookman Old Style" w:cs="Times New Roman"/>
          <w:b w:val="0"/>
          <w:bCs w:val="0"/>
        </w:rPr>
      </w:pPr>
    </w:p>
    <w:p w14:paraId="18C8993D" w14:textId="7496E1F1" w:rsidR="00190D40" w:rsidRPr="002259D9" w:rsidRDefault="00190D40" w:rsidP="008272F0">
      <w:pPr>
        <w:pStyle w:val="Textoindependiente"/>
        <w:spacing w:before="1"/>
        <w:jc w:val="both"/>
        <w:rPr>
          <w:rFonts w:ascii="Bookman Old Style" w:hAnsi="Bookman Old Style" w:cs="Times New Roman"/>
          <w:i/>
          <w:iCs/>
        </w:rPr>
      </w:pPr>
      <w:r w:rsidRPr="002259D9">
        <w:rPr>
          <w:rFonts w:ascii="Bookman Old Style" w:hAnsi="Bookman Old Style" w:cs="Times New Roman"/>
        </w:rPr>
        <w:t>B.5.</w:t>
      </w:r>
      <w:r w:rsidRPr="002259D9">
        <w:rPr>
          <w:rFonts w:ascii="Bookman Old Style" w:hAnsi="Bookman Old Style" w:cs="Times New Roman"/>
          <w:i/>
          <w:iCs/>
        </w:rPr>
        <w:t xml:space="preserve"> Comentario CREG: Formato 6 “El valor reportado en el campo "Fracción costo" no corresponde con lo establecido en la Circular CREG 029-2018“</w:t>
      </w:r>
    </w:p>
    <w:p w14:paraId="13EE3D33" w14:textId="77F63328" w:rsidR="00190D40" w:rsidRPr="002259D9" w:rsidRDefault="00190D40" w:rsidP="00190D40">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588035CD" w14:textId="77777777" w:rsidR="00190D40" w:rsidRPr="002259D9" w:rsidRDefault="00190D40" w:rsidP="00190D40">
      <w:pPr>
        <w:pStyle w:val="Textoindependiente"/>
        <w:spacing w:before="93"/>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xml:space="preserve"> En el archivo “D-112-21 Inventario reconocido INVA EPM_20_25” hoja “formato6_UC_SE” se indica en la “columna Z: Comentario EPM” las observaciones para cada UC en las filas: 8 - 21, 23 – 32, 221 - 238 y 511 - 526. La fracción de costo fue determinada mediante criterio de experto dada la reposición del medio de extinción de las celdas de salida. El valor del 40% se encuentra entre los porcentajes asignados para el medio de extinción de las UC N2S1 a N2S8. Se identificó que en la Circular CREG 042 de 2007, Circular CREG 038 de 2014, Circular CREG 029 de 2018 y Resolución CREG 015/2018, esta UC no se encuentra discriminada por sus componentes.</w:t>
      </w:r>
    </w:p>
    <w:p w14:paraId="35EAAF2B" w14:textId="6E29E698" w:rsidR="00190D40" w:rsidRPr="002259D9" w:rsidRDefault="00190D40" w:rsidP="00190D40">
      <w:pPr>
        <w:pStyle w:val="Textoindependiente"/>
        <w:spacing w:before="93"/>
        <w:jc w:val="both"/>
        <w:rPr>
          <w:rFonts w:ascii="Bookman Old Style" w:hAnsi="Bookman Old Style" w:cs="Times New Roman"/>
          <w:b w:val="0"/>
          <w:bCs w:val="0"/>
          <w:i/>
          <w:iCs/>
        </w:rPr>
      </w:pPr>
      <w:r w:rsidRPr="002259D9">
        <w:rPr>
          <w:rFonts w:ascii="Bookman Old Style" w:hAnsi="Bookman Old Style" w:cs="Times New Roman"/>
          <w:b w:val="0"/>
          <w:bCs w:val="0"/>
          <w:i/>
          <w:iCs/>
        </w:rPr>
        <w:t>En el archivo “D-112-21 Inventario reconocido INVA EPM_20_25” hoja “formato6_UC_SE” se indica en la “columna Z: Comentario EPM” las observaciones para cada UC en las filas: 1174, - 1178, 1191 – 1193 y 1211. Se ajusta fracción de costo a lo indicado en la circular 029 de 2018.</w:t>
      </w:r>
    </w:p>
    <w:p w14:paraId="4C5A3621" w14:textId="2559EC7B" w:rsidR="00190D40" w:rsidRPr="002259D9" w:rsidRDefault="00190D40" w:rsidP="00190D40">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i/>
          <w:iCs/>
        </w:rPr>
        <w:t>En el archivo “D-112-21 Inventario reconocido INVA EPM_20_25” hoja “formato6_UC_SE” se indica en la “columna Z: Comentario EPM” las observaciones para cada UC en las filas: 143, 147, 157, 161, 163, 168, 170, 449, 453, 457, 466, 470, 474, 480, 485, 490, 494,</w:t>
      </w:r>
      <w:r w:rsidR="000A2C59"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1158, 1160, 1167 y 1172. La fracción de costo corresponde a la indicada en la circular 029 de 2018 por concepto "Alambre de cobre No 4 AWG / acero", se está haciendo uso de la fracción correspondiente la cual se multiplica por el número de bahías relacionadas en la observación.</w:t>
      </w:r>
    </w:p>
    <w:p w14:paraId="6A07CC3D" w14:textId="77777777" w:rsidR="00190D40" w:rsidRPr="002259D9" w:rsidRDefault="00190D40" w:rsidP="00190D40">
      <w:pPr>
        <w:pStyle w:val="Textoindependiente"/>
        <w:jc w:val="both"/>
      </w:pPr>
      <w:r w:rsidRPr="002259D9">
        <w:rPr>
          <w:rFonts w:ascii="Bookman Old Style" w:hAnsi="Bookman Old Style" w:cs="Times New Roman"/>
          <w:b w:val="0"/>
          <w:bCs w:val="0"/>
          <w:i/>
          <w:iCs/>
        </w:rPr>
        <w:t>En el archivo “D-112-21 Inventario reconocido INVA EPM_20_25” hoja “formato6_UC_SE” se indica en la “columna Z: Comentario EPM” las observaciones para cada UC en las filas: 47, 243, 533, 534, 820 y 821. Se ajusta fracción de costo con base en lo indicado en la circular 029 de 2018 correspondiente a Acero Estructural (kg).</w:t>
      </w:r>
    </w:p>
    <w:p w14:paraId="57281EA0" w14:textId="2F37DE61" w:rsidR="00A64D0B" w:rsidRPr="002259D9" w:rsidRDefault="00A64D0B" w:rsidP="00A64D0B">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40FAEE99" w14:textId="0D5AFF31" w:rsidR="00190D40" w:rsidRPr="002259D9" w:rsidRDefault="00A64D0B" w:rsidP="00D4312E">
      <w:pPr>
        <w:pStyle w:val="Textoindependiente"/>
        <w:spacing w:before="11"/>
        <w:jc w:val="both"/>
        <w:rPr>
          <w:rFonts w:ascii="Bookman Old Style" w:hAnsi="Bookman Old Style" w:cs="Times New Roman"/>
          <w:b w:val="0"/>
          <w:bCs w:val="0"/>
          <w:i/>
          <w:iCs/>
        </w:rPr>
      </w:pPr>
      <w:r w:rsidRPr="002259D9">
        <w:rPr>
          <w:rFonts w:ascii="Bookman Old Style" w:hAnsi="Bookman Old Style" w:cs="Times New Roman"/>
          <w:b w:val="0"/>
          <w:bCs w:val="0"/>
        </w:rPr>
        <w:t xml:space="preserve">Se revisó la solicitud en función del soporte del OR, encontrando en el documento anexo los siguientes comentarios para los cuales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realiza las observaciones concernientes: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8"/>
        <w:gridCol w:w="4673"/>
      </w:tblGrid>
      <w:tr w:rsidR="00D4312E" w:rsidRPr="002259D9" w14:paraId="263E4343" w14:textId="77777777" w:rsidTr="008E0439">
        <w:trPr>
          <w:trHeight w:val="300"/>
        </w:trPr>
        <w:tc>
          <w:tcPr>
            <w:tcW w:w="4668" w:type="dxa"/>
            <w:shd w:val="clear" w:color="auto" w:fill="auto"/>
            <w:vAlign w:val="center"/>
          </w:tcPr>
          <w:p w14:paraId="77E35CEB" w14:textId="1407B85B" w:rsidR="00D4312E" w:rsidRPr="002259D9" w:rsidRDefault="00D4312E" w:rsidP="008E0439">
            <w:pPr>
              <w:spacing w:before="0" w:after="0"/>
              <w:jc w:val="center"/>
              <w:rPr>
                <w:sz w:val="16"/>
                <w:szCs w:val="16"/>
              </w:rPr>
            </w:pPr>
            <w:r w:rsidRPr="002259D9">
              <w:rPr>
                <w:b/>
                <w:bCs/>
                <w:sz w:val="16"/>
                <w:szCs w:val="16"/>
              </w:rPr>
              <w:t>Comentario OR</w:t>
            </w:r>
          </w:p>
        </w:tc>
        <w:tc>
          <w:tcPr>
            <w:tcW w:w="4673" w:type="dxa"/>
            <w:shd w:val="clear" w:color="auto" w:fill="auto"/>
            <w:vAlign w:val="center"/>
          </w:tcPr>
          <w:p w14:paraId="4174506D" w14:textId="119A6CBB" w:rsidR="00D4312E" w:rsidRPr="002259D9" w:rsidRDefault="00D4312E" w:rsidP="008E0439">
            <w:pPr>
              <w:spacing w:before="0" w:after="0"/>
              <w:jc w:val="center"/>
              <w:rPr>
                <w:sz w:val="16"/>
                <w:szCs w:val="16"/>
              </w:rPr>
            </w:pPr>
            <w:r w:rsidRPr="002259D9">
              <w:rPr>
                <w:b/>
                <w:bCs/>
                <w:sz w:val="16"/>
                <w:szCs w:val="16"/>
              </w:rPr>
              <w:t>Revisión al recurso</w:t>
            </w:r>
          </w:p>
        </w:tc>
      </w:tr>
      <w:tr w:rsidR="00D4312E" w:rsidRPr="002259D9" w14:paraId="086E2417" w14:textId="77777777" w:rsidTr="00D4312E">
        <w:trPr>
          <w:trHeight w:val="300"/>
        </w:trPr>
        <w:tc>
          <w:tcPr>
            <w:tcW w:w="4668" w:type="dxa"/>
            <w:shd w:val="clear" w:color="auto" w:fill="auto"/>
            <w:vAlign w:val="center"/>
            <w:hideMark/>
          </w:tcPr>
          <w:p w14:paraId="6AEE78FB" w14:textId="77777777" w:rsidR="00D4312E" w:rsidRPr="002259D9" w:rsidRDefault="00D4312E" w:rsidP="00BE5879">
            <w:pPr>
              <w:spacing w:before="0" w:after="0"/>
              <w:rPr>
                <w:sz w:val="16"/>
                <w:szCs w:val="16"/>
              </w:rPr>
            </w:pPr>
            <w:r w:rsidRPr="002259D9">
              <w:rPr>
                <w:sz w:val="16"/>
                <w:szCs w:val="16"/>
              </w:rPr>
              <w:t>La fracción de costo fue determinada mediante criterio de experto dada la reposición del medio de extinción de las celdas de salida</w:t>
            </w:r>
          </w:p>
        </w:tc>
        <w:tc>
          <w:tcPr>
            <w:tcW w:w="4673" w:type="dxa"/>
            <w:shd w:val="clear" w:color="auto" w:fill="auto"/>
            <w:vAlign w:val="center"/>
            <w:hideMark/>
          </w:tcPr>
          <w:p w14:paraId="07C41534" w14:textId="77777777" w:rsidR="00D4312E" w:rsidRPr="002259D9" w:rsidRDefault="00D4312E" w:rsidP="00BE5879">
            <w:pPr>
              <w:spacing w:before="0" w:after="0"/>
              <w:rPr>
                <w:sz w:val="16"/>
                <w:szCs w:val="16"/>
              </w:rPr>
            </w:pPr>
            <w:r w:rsidRPr="002259D9">
              <w:rPr>
                <w:sz w:val="16"/>
                <w:szCs w:val="16"/>
              </w:rPr>
              <w:t>El valor reportado en el campo "Fracción Costo" no corresponde con lo establecido en la Circular CREG 029-2018, Las UC no son reconocidas.</w:t>
            </w:r>
          </w:p>
        </w:tc>
      </w:tr>
      <w:tr w:rsidR="00D4312E" w:rsidRPr="002259D9" w14:paraId="0B667E23" w14:textId="77777777" w:rsidTr="00D4312E">
        <w:trPr>
          <w:trHeight w:val="300"/>
        </w:trPr>
        <w:tc>
          <w:tcPr>
            <w:tcW w:w="4668" w:type="dxa"/>
            <w:shd w:val="clear" w:color="auto" w:fill="auto"/>
            <w:vAlign w:val="center"/>
            <w:hideMark/>
          </w:tcPr>
          <w:p w14:paraId="21E9A2CB" w14:textId="77777777" w:rsidR="00D4312E" w:rsidRPr="002259D9" w:rsidRDefault="00D4312E" w:rsidP="00BE5879">
            <w:pPr>
              <w:spacing w:before="0" w:after="0"/>
              <w:rPr>
                <w:sz w:val="16"/>
                <w:szCs w:val="16"/>
              </w:rPr>
            </w:pPr>
            <w:r w:rsidRPr="002259D9">
              <w:rPr>
                <w:sz w:val="16"/>
                <w:szCs w:val="16"/>
              </w:rPr>
              <w:t>Se ajusta fracción de costo a lo indicado en la circular 029 de 2018</w:t>
            </w:r>
          </w:p>
        </w:tc>
        <w:tc>
          <w:tcPr>
            <w:tcW w:w="4673" w:type="dxa"/>
            <w:shd w:val="clear" w:color="auto" w:fill="auto"/>
            <w:vAlign w:val="center"/>
            <w:hideMark/>
          </w:tcPr>
          <w:p w14:paraId="5D2FBCAF" w14:textId="77777777" w:rsidR="00D4312E" w:rsidRPr="002259D9" w:rsidRDefault="00D4312E" w:rsidP="00BE5879">
            <w:pPr>
              <w:spacing w:before="0" w:after="0"/>
              <w:rPr>
                <w:sz w:val="16"/>
                <w:szCs w:val="16"/>
              </w:rPr>
            </w:pPr>
            <w:r w:rsidRPr="002259D9">
              <w:rPr>
                <w:sz w:val="16"/>
                <w:szCs w:val="16"/>
              </w:rPr>
              <w:t>El OR ajusta las inconsistencias, se aprueban las UC.</w:t>
            </w:r>
          </w:p>
        </w:tc>
      </w:tr>
      <w:tr w:rsidR="00D4312E" w:rsidRPr="002259D9" w14:paraId="3F4DB3D2" w14:textId="77777777" w:rsidTr="00D4312E">
        <w:trPr>
          <w:trHeight w:val="1800"/>
        </w:trPr>
        <w:tc>
          <w:tcPr>
            <w:tcW w:w="4668" w:type="dxa"/>
            <w:shd w:val="clear" w:color="auto" w:fill="auto"/>
            <w:vAlign w:val="center"/>
            <w:hideMark/>
          </w:tcPr>
          <w:p w14:paraId="3C825046" w14:textId="77777777" w:rsidR="00D4312E" w:rsidRPr="002259D9" w:rsidRDefault="00D4312E" w:rsidP="00BE5879">
            <w:pPr>
              <w:spacing w:before="0" w:after="0"/>
              <w:rPr>
                <w:sz w:val="16"/>
                <w:szCs w:val="16"/>
              </w:rPr>
            </w:pPr>
            <w:r w:rsidRPr="002259D9">
              <w:rPr>
                <w:sz w:val="16"/>
                <w:szCs w:val="16"/>
              </w:rPr>
              <w:t>La fracción de costo corresponde a la indicada en la circular 029 de 2018 por concepto "Alambre de cobre No 4 AWG / acero</w:t>
            </w:r>
          </w:p>
        </w:tc>
        <w:tc>
          <w:tcPr>
            <w:tcW w:w="4673" w:type="dxa"/>
            <w:shd w:val="clear" w:color="auto" w:fill="auto"/>
            <w:vAlign w:val="center"/>
            <w:hideMark/>
          </w:tcPr>
          <w:p w14:paraId="4F27A765" w14:textId="5AC78614" w:rsidR="00D4312E" w:rsidRPr="002259D9" w:rsidRDefault="00D4312E" w:rsidP="00BE5879">
            <w:pPr>
              <w:spacing w:before="0" w:after="0"/>
              <w:rPr>
                <w:sz w:val="16"/>
                <w:szCs w:val="16"/>
              </w:rPr>
            </w:pPr>
            <w:r w:rsidRPr="002259D9">
              <w:rPr>
                <w:sz w:val="16"/>
                <w:szCs w:val="16"/>
              </w:rPr>
              <w:t>El valor reportado en el campo "Fracción Costo" no corresponde con lo establecido en la Circular CREG 029-2018, en cualquier caso, se debe realizar un reporte por reposición, asociando el IUA reemplazado, y llenando los campos solicitados en los formatos de la Circular 029 de 2018, por tanto, las UC no son reconocidas</w:t>
            </w:r>
          </w:p>
        </w:tc>
      </w:tr>
      <w:tr w:rsidR="00D4312E" w:rsidRPr="002259D9" w14:paraId="473ACA91" w14:textId="77777777" w:rsidTr="00D4312E">
        <w:trPr>
          <w:trHeight w:val="600"/>
        </w:trPr>
        <w:tc>
          <w:tcPr>
            <w:tcW w:w="4668" w:type="dxa"/>
            <w:shd w:val="clear" w:color="auto" w:fill="auto"/>
            <w:vAlign w:val="center"/>
            <w:hideMark/>
          </w:tcPr>
          <w:p w14:paraId="2A1054BA" w14:textId="77777777" w:rsidR="00D4312E" w:rsidRPr="002259D9" w:rsidRDefault="00D4312E" w:rsidP="00BE5879">
            <w:pPr>
              <w:spacing w:before="0" w:after="0"/>
              <w:rPr>
                <w:sz w:val="16"/>
                <w:szCs w:val="16"/>
              </w:rPr>
            </w:pPr>
            <w:r w:rsidRPr="002259D9">
              <w:rPr>
                <w:sz w:val="16"/>
                <w:szCs w:val="16"/>
              </w:rPr>
              <w:t>Se ajusta fracción de costo con base en lo indicado en la circular 029 de 2018 correspondiente a Acero Estructural (kg).</w:t>
            </w:r>
          </w:p>
        </w:tc>
        <w:tc>
          <w:tcPr>
            <w:tcW w:w="4673" w:type="dxa"/>
            <w:shd w:val="clear" w:color="auto" w:fill="auto"/>
            <w:vAlign w:val="center"/>
            <w:hideMark/>
          </w:tcPr>
          <w:p w14:paraId="412BC53F" w14:textId="77777777" w:rsidR="00D4312E" w:rsidRPr="002259D9" w:rsidRDefault="00D4312E" w:rsidP="00BE5879">
            <w:pPr>
              <w:spacing w:before="0" w:after="0"/>
              <w:rPr>
                <w:sz w:val="16"/>
                <w:szCs w:val="16"/>
              </w:rPr>
            </w:pPr>
            <w:r w:rsidRPr="002259D9">
              <w:rPr>
                <w:sz w:val="16"/>
                <w:szCs w:val="16"/>
              </w:rPr>
              <w:t>El OR ajusta las inconsistencias, se aprueban las UC.</w:t>
            </w:r>
          </w:p>
        </w:tc>
      </w:tr>
    </w:tbl>
    <w:p w14:paraId="1D752EBC" w14:textId="77777777" w:rsidR="00190D40" w:rsidRPr="002259D9" w:rsidRDefault="00190D40" w:rsidP="008272F0">
      <w:pPr>
        <w:pStyle w:val="Textoindependiente"/>
        <w:spacing w:before="1"/>
        <w:jc w:val="both"/>
        <w:rPr>
          <w:rFonts w:ascii="Bookman Old Style" w:hAnsi="Bookman Old Style" w:cs="Times New Roman"/>
          <w:b w:val="0"/>
          <w:bCs w:val="0"/>
          <w:lang w:val="es-CO"/>
        </w:rPr>
      </w:pPr>
    </w:p>
    <w:p w14:paraId="17B12ED0" w14:textId="42DA6538" w:rsidR="0071644D" w:rsidRPr="002259D9" w:rsidRDefault="006D5FAB" w:rsidP="008272F0">
      <w:pPr>
        <w:pStyle w:val="Textoindependiente"/>
        <w:spacing w:before="1"/>
        <w:jc w:val="both"/>
        <w:rPr>
          <w:rFonts w:ascii="Bookman Old Style" w:hAnsi="Bookman Old Style" w:cs="Times New Roman"/>
          <w:i/>
          <w:iCs/>
        </w:rPr>
      </w:pPr>
      <w:r w:rsidRPr="002259D9">
        <w:rPr>
          <w:rFonts w:ascii="Bookman Old Style" w:hAnsi="Bookman Old Style" w:cs="Times New Roman"/>
        </w:rPr>
        <w:t>B.6.</w:t>
      </w:r>
      <w:r w:rsidRPr="002259D9">
        <w:rPr>
          <w:rFonts w:ascii="Bookman Old Style" w:hAnsi="Bookman Old Style" w:cs="Times New Roman"/>
          <w:i/>
          <w:iCs/>
        </w:rPr>
        <w:t xml:space="preserve"> Comentario CREG: Formato 6 “El valor descrito en el campo "Tipo inversión" no corresponde con lo reportado en el campo “Fracción Costo”, dado que es una reposición. El valor reportado en el campo "Fracción costo" no corresponde con lo establecido en la Circular CREG 029-2018.</w:t>
      </w:r>
    </w:p>
    <w:p w14:paraId="7740D47B" w14:textId="0CA4FADA" w:rsidR="000E1549" w:rsidRPr="002259D9" w:rsidRDefault="000E1549" w:rsidP="000E1549">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75E6D135" w14:textId="7A97ADF3" w:rsidR="000E1549" w:rsidRPr="002259D9" w:rsidRDefault="000E1549" w:rsidP="000E1549">
      <w:pPr>
        <w:pStyle w:val="Textoindependiente"/>
        <w:spacing w:before="155"/>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xml:space="preserve"> En el archivo “D-112-21 Inventario reconocido INVA EPM_20_25” hoja “formato6_UC_SE” se indica en la “columna Z: Comentario EPM” las observaciones para cada UC en las filas: 5 - 7. Se ajusta tipo de proyecto a tipo III indicando que efectivamente corresponde a una reposición y se ajusta IUA remplazado. La fracción de costo fue determinada mediante criterio de experto dada la reposición del medio de extinción de las celdas de salida, el porcentaje de 40% se encuentra entre los porcentajes asignados para el medio de extinción de las UC N2S1 a N2S8. Se identificó que en la Circular CREG 042 de 2007, Circular CREG 038 de 2014, Circular CREG 029 de 2018 y Resolución CREG 015/2018, esta UC no se encuentra discriminada por sus componentes.</w:t>
      </w:r>
    </w:p>
    <w:p w14:paraId="3A2FA49C" w14:textId="76FCBE02" w:rsidR="00034A7D" w:rsidRPr="002259D9" w:rsidRDefault="00034A7D" w:rsidP="00034A7D">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50CABFC0" w14:textId="2E9FAAA9" w:rsidR="00034A7D" w:rsidRPr="002259D9" w:rsidRDefault="00034A7D" w:rsidP="00034A7D">
      <w:pPr>
        <w:pStyle w:val="Textoindependiente"/>
        <w:spacing w:before="11"/>
        <w:jc w:val="both"/>
        <w:rPr>
          <w:rFonts w:ascii="Bookman Old Style" w:hAnsi="Bookman Old Style" w:cs="Times New Roman"/>
          <w:b w:val="0"/>
          <w:bCs w:val="0"/>
          <w:i/>
          <w:iCs/>
        </w:rPr>
      </w:pPr>
      <w:r w:rsidRPr="002259D9">
        <w:rPr>
          <w:rFonts w:ascii="Bookman Old Style" w:hAnsi="Bookman Old Style" w:cs="Times New Roman"/>
          <w:b w:val="0"/>
          <w:bCs w:val="0"/>
        </w:rPr>
        <w:t>Se revisó la solicitud en función del soporte del OR, encontrando en el documento anexo que el OR modifica el campo "Tipo Inversión"</w:t>
      </w:r>
      <w:r w:rsidR="00B66E3B">
        <w:rPr>
          <w:rFonts w:ascii="Bookman Old Style" w:hAnsi="Bookman Old Style" w:cs="Times New Roman"/>
          <w:b w:val="0"/>
          <w:bCs w:val="0"/>
        </w:rPr>
        <w:t>. S</w:t>
      </w:r>
      <w:r w:rsidRPr="002259D9">
        <w:rPr>
          <w:rFonts w:ascii="Bookman Old Style" w:hAnsi="Bookman Old Style" w:cs="Times New Roman"/>
          <w:b w:val="0"/>
          <w:bCs w:val="0"/>
        </w:rPr>
        <w:t>in embargo, el valor reportado en el campo "Fracción Costo" no corresponde con lo establecido en la Circular CREG 029-2018</w:t>
      </w:r>
      <w:r w:rsidR="00B66E3B">
        <w:rPr>
          <w:rFonts w:ascii="Bookman Old Style" w:hAnsi="Bookman Old Style" w:cs="Times New Roman"/>
          <w:b w:val="0"/>
          <w:bCs w:val="0"/>
        </w:rPr>
        <w:t>. P</w:t>
      </w:r>
      <w:r w:rsidRPr="002259D9">
        <w:rPr>
          <w:rFonts w:ascii="Bookman Old Style" w:hAnsi="Bookman Old Style" w:cs="Times New Roman"/>
          <w:b w:val="0"/>
          <w:bCs w:val="0"/>
        </w:rPr>
        <w:t>or tal motivo</w:t>
      </w:r>
      <w:r w:rsidR="00B66E3B">
        <w:rPr>
          <w:rFonts w:ascii="Bookman Old Style" w:hAnsi="Bookman Old Style" w:cs="Times New Roman"/>
          <w:b w:val="0"/>
          <w:bCs w:val="0"/>
        </w:rPr>
        <w:t>,</w:t>
      </w:r>
      <w:r w:rsidRPr="002259D9">
        <w:rPr>
          <w:rFonts w:ascii="Bookman Old Style" w:hAnsi="Bookman Old Style" w:cs="Times New Roman"/>
          <w:b w:val="0"/>
          <w:bCs w:val="0"/>
        </w:rPr>
        <w:t xml:space="preserve"> las UC no son reconocidas.</w:t>
      </w:r>
    </w:p>
    <w:p w14:paraId="6469D9BD" w14:textId="4BD31402" w:rsidR="00CA3890" w:rsidRPr="002259D9" w:rsidRDefault="00CA3890" w:rsidP="00025C30">
      <w:pPr>
        <w:spacing w:before="0" w:after="240"/>
      </w:pPr>
    </w:p>
    <w:p w14:paraId="7BB35D3A" w14:textId="4F615C9F" w:rsidR="00CA3890" w:rsidRPr="002259D9" w:rsidRDefault="00CA3890" w:rsidP="00025C30">
      <w:pPr>
        <w:spacing w:before="0" w:after="240"/>
        <w:rPr>
          <w:b/>
          <w:bCs/>
          <w:i/>
          <w:iCs/>
        </w:rPr>
      </w:pPr>
      <w:r w:rsidRPr="002259D9">
        <w:rPr>
          <w:b/>
          <w:bCs/>
        </w:rPr>
        <w:t>B.7.</w:t>
      </w:r>
      <w:r w:rsidRPr="002259D9">
        <w:rPr>
          <w:b/>
          <w:bCs/>
          <w:i/>
          <w:iCs/>
        </w:rPr>
        <w:t xml:space="preserve"> Comentario CREG: Formato 6 “El módulo común solicitado no corresponde con el total de bahías aprobadas en la SE, para el mismo nivel de tensión”</w:t>
      </w:r>
    </w:p>
    <w:p w14:paraId="5C64EB87" w14:textId="77777777" w:rsidR="00CA3890" w:rsidRPr="002259D9" w:rsidRDefault="00CA3890" w:rsidP="00CA3890">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03881705" w14:textId="2EDA79FE" w:rsidR="00CA3890" w:rsidRPr="002259D9" w:rsidRDefault="00CA3890" w:rsidP="00CA3890">
      <w:pPr>
        <w:pStyle w:val="Textoindependiente"/>
        <w:spacing w:before="165"/>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xml:space="preserve"> En el archivo “D-112-21 Inventario reconocido INVA EPM_20_25” hoja “formato6_UC_SE” se indica en la “columna Z: Comentario EPM” las observaciones para cada UC en las filas: 63, 71, 136, 137, 140, 361, 371, 383, 395, 401, 736, 737, 779, 782,784, 807, 1017, 1145 y 1253. Según diagrama unifilar anexo y las obras solicitadas en el INVA para esta subestación, se tendrán las bahías necesarias para esta UC en los respectivos niveles de tensión. Según el literal i. del capítulo 14.1 de la resolución, se debe reportar una UC de módulo común por cada nivel de tensión de la subestación exceptuando el NT1; asimismo, en el literal j. se indica que el módulo común se define por bahía.</w:t>
      </w:r>
    </w:p>
    <w:p w14:paraId="36E2A253" w14:textId="3E62E591" w:rsidR="00F52F1B" w:rsidRPr="002259D9" w:rsidRDefault="00F52F1B" w:rsidP="00F52F1B">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2F7A2D6F" w14:textId="730DD326" w:rsidR="00F52F1B" w:rsidRPr="002259D9" w:rsidRDefault="00F52F1B" w:rsidP="00F52F1B">
      <w:pPr>
        <w:pStyle w:val="Textoindependiente"/>
        <w:spacing w:before="11"/>
        <w:jc w:val="both"/>
        <w:rPr>
          <w:rFonts w:ascii="Bookman Old Style" w:hAnsi="Bookman Old Style" w:cs="Times New Roman"/>
          <w:b w:val="0"/>
          <w:bCs w:val="0"/>
          <w:i/>
          <w:iCs/>
        </w:rPr>
      </w:pPr>
      <w:r w:rsidRPr="002259D9">
        <w:rPr>
          <w:rFonts w:ascii="Bookman Old Style" w:hAnsi="Bookman Old Style" w:cs="Times New Roman"/>
          <w:b w:val="0"/>
          <w:bCs w:val="0"/>
        </w:rPr>
        <w:t xml:space="preserve">Se revisó la solicitud en función del soporte del OR, encontrando en el documento anexo las siguientes UC para las cuales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realiza las </w:t>
      </w:r>
      <w:r w:rsidR="00316A27" w:rsidRPr="002259D9">
        <w:rPr>
          <w:rFonts w:ascii="Bookman Old Style" w:hAnsi="Bookman Old Style" w:cs="Times New Roman"/>
          <w:b w:val="0"/>
          <w:bCs w:val="0"/>
        </w:rPr>
        <w:t>observaciones correspondientes</w:t>
      </w:r>
      <w:r w:rsidRPr="002259D9">
        <w:rPr>
          <w:rFonts w:ascii="Bookman Old Style" w:hAnsi="Bookman Old Style" w:cs="Times New Roman"/>
          <w:b w:val="0"/>
          <w:bCs w:val="0"/>
        </w:rPr>
        <w:t>:</w:t>
      </w:r>
    </w:p>
    <w:tbl>
      <w:tblPr>
        <w:tblStyle w:val="Tablaconcuadrcula"/>
        <w:tblW w:w="9351" w:type="dxa"/>
        <w:jc w:val="center"/>
        <w:tblLook w:val="04A0" w:firstRow="1" w:lastRow="0" w:firstColumn="1" w:lastColumn="0" w:noHBand="0" w:noVBand="1"/>
      </w:tblPr>
      <w:tblGrid>
        <w:gridCol w:w="1555"/>
        <w:gridCol w:w="850"/>
        <w:gridCol w:w="1426"/>
        <w:gridCol w:w="1340"/>
        <w:gridCol w:w="4180"/>
      </w:tblGrid>
      <w:tr w:rsidR="00F52F1B" w:rsidRPr="002259D9" w14:paraId="0F5543D6" w14:textId="78B92165" w:rsidTr="00AE3FBE">
        <w:trPr>
          <w:trHeight w:val="300"/>
          <w:jc w:val="center"/>
        </w:trPr>
        <w:tc>
          <w:tcPr>
            <w:tcW w:w="1555" w:type="dxa"/>
            <w:noWrap/>
            <w:vAlign w:val="center"/>
            <w:hideMark/>
          </w:tcPr>
          <w:p w14:paraId="5A7DF432" w14:textId="77777777" w:rsidR="00F52F1B" w:rsidRPr="002259D9" w:rsidRDefault="00F52F1B" w:rsidP="008E0439">
            <w:pPr>
              <w:spacing w:before="0" w:after="0"/>
              <w:jc w:val="center"/>
              <w:rPr>
                <w:b/>
                <w:bCs/>
                <w:sz w:val="18"/>
                <w:szCs w:val="18"/>
              </w:rPr>
            </w:pPr>
            <w:r w:rsidRPr="002259D9">
              <w:rPr>
                <w:b/>
                <w:bCs/>
                <w:sz w:val="18"/>
                <w:szCs w:val="18"/>
              </w:rPr>
              <w:t>IUA provisional</w:t>
            </w:r>
          </w:p>
        </w:tc>
        <w:tc>
          <w:tcPr>
            <w:tcW w:w="850" w:type="dxa"/>
            <w:noWrap/>
            <w:vAlign w:val="center"/>
            <w:hideMark/>
          </w:tcPr>
          <w:p w14:paraId="2D0E0EA9" w14:textId="77777777" w:rsidR="00F52F1B" w:rsidRPr="002259D9" w:rsidRDefault="00F52F1B" w:rsidP="008E0439">
            <w:pPr>
              <w:spacing w:before="0" w:after="0"/>
              <w:jc w:val="center"/>
              <w:rPr>
                <w:b/>
                <w:bCs/>
                <w:sz w:val="18"/>
                <w:szCs w:val="18"/>
              </w:rPr>
            </w:pPr>
            <w:r w:rsidRPr="002259D9">
              <w:rPr>
                <w:b/>
                <w:bCs/>
                <w:sz w:val="18"/>
                <w:szCs w:val="18"/>
              </w:rPr>
              <w:t>IUS</w:t>
            </w:r>
          </w:p>
        </w:tc>
        <w:tc>
          <w:tcPr>
            <w:tcW w:w="1426" w:type="dxa"/>
            <w:vAlign w:val="center"/>
          </w:tcPr>
          <w:p w14:paraId="275C3A4E" w14:textId="779D828D" w:rsidR="00F52F1B" w:rsidRPr="002259D9" w:rsidRDefault="00F52F1B" w:rsidP="008E0439">
            <w:pPr>
              <w:spacing w:before="0" w:after="0"/>
              <w:jc w:val="center"/>
              <w:rPr>
                <w:b/>
                <w:bCs/>
                <w:sz w:val="18"/>
                <w:szCs w:val="18"/>
              </w:rPr>
            </w:pPr>
            <w:r w:rsidRPr="002259D9">
              <w:rPr>
                <w:b/>
                <w:bCs/>
                <w:sz w:val="18"/>
                <w:szCs w:val="18"/>
              </w:rPr>
              <w:t>Unidad Constructiva</w:t>
            </w:r>
          </w:p>
        </w:tc>
        <w:tc>
          <w:tcPr>
            <w:tcW w:w="1340" w:type="dxa"/>
            <w:vAlign w:val="center"/>
          </w:tcPr>
          <w:p w14:paraId="380969CB" w14:textId="2695AF20" w:rsidR="00F52F1B" w:rsidRPr="002259D9" w:rsidRDefault="00F52F1B" w:rsidP="008E0439">
            <w:pPr>
              <w:spacing w:before="0" w:after="0"/>
              <w:jc w:val="center"/>
              <w:rPr>
                <w:b/>
                <w:bCs/>
                <w:sz w:val="18"/>
                <w:szCs w:val="18"/>
              </w:rPr>
            </w:pPr>
            <w:r w:rsidRPr="002259D9">
              <w:rPr>
                <w:b/>
                <w:bCs/>
                <w:sz w:val="18"/>
                <w:szCs w:val="18"/>
              </w:rPr>
              <w:t>Año entrada operación</w:t>
            </w:r>
          </w:p>
        </w:tc>
        <w:tc>
          <w:tcPr>
            <w:tcW w:w="4180" w:type="dxa"/>
            <w:vAlign w:val="center"/>
          </w:tcPr>
          <w:p w14:paraId="71430571" w14:textId="43E4D3A1" w:rsidR="00F52F1B" w:rsidRPr="002259D9" w:rsidRDefault="00F52F1B" w:rsidP="008E0439">
            <w:pPr>
              <w:spacing w:before="0" w:after="0"/>
              <w:jc w:val="center"/>
              <w:rPr>
                <w:b/>
                <w:bCs/>
                <w:sz w:val="18"/>
                <w:szCs w:val="18"/>
              </w:rPr>
            </w:pPr>
            <w:r w:rsidRPr="002259D9">
              <w:rPr>
                <w:b/>
                <w:bCs/>
                <w:sz w:val="18"/>
                <w:szCs w:val="18"/>
              </w:rPr>
              <w:t>Revisión del recurso</w:t>
            </w:r>
          </w:p>
        </w:tc>
      </w:tr>
      <w:tr w:rsidR="008E0439" w:rsidRPr="002259D9" w14:paraId="1434ED66" w14:textId="3334B3AB" w:rsidTr="00AE3FBE">
        <w:trPr>
          <w:trHeight w:val="300"/>
          <w:jc w:val="center"/>
        </w:trPr>
        <w:tc>
          <w:tcPr>
            <w:tcW w:w="1555" w:type="dxa"/>
            <w:noWrap/>
            <w:vAlign w:val="center"/>
            <w:hideMark/>
          </w:tcPr>
          <w:p w14:paraId="5518256F" w14:textId="77777777" w:rsidR="008E0439" w:rsidRPr="002259D9" w:rsidRDefault="008E0439" w:rsidP="008E0439">
            <w:pPr>
              <w:spacing w:before="0" w:after="0"/>
              <w:jc w:val="center"/>
              <w:rPr>
                <w:sz w:val="16"/>
                <w:szCs w:val="16"/>
              </w:rPr>
            </w:pPr>
            <w:r w:rsidRPr="002259D9">
              <w:rPr>
                <w:sz w:val="16"/>
                <w:szCs w:val="16"/>
              </w:rPr>
              <w:t>100373BSU000</w:t>
            </w:r>
          </w:p>
        </w:tc>
        <w:tc>
          <w:tcPr>
            <w:tcW w:w="850" w:type="dxa"/>
            <w:noWrap/>
            <w:vAlign w:val="center"/>
            <w:hideMark/>
          </w:tcPr>
          <w:p w14:paraId="1A60F21C" w14:textId="77777777" w:rsidR="008E0439" w:rsidRPr="002259D9" w:rsidRDefault="008E0439" w:rsidP="008E0439">
            <w:pPr>
              <w:spacing w:before="0" w:after="0"/>
              <w:jc w:val="center"/>
              <w:rPr>
                <w:sz w:val="16"/>
                <w:szCs w:val="16"/>
              </w:rPr>
            </w:pPr>
            <w:r w:rsidRPr="002259D9">
              <w:rPr>
                <w:sz w:val="16"/>
                <w:szCs w:val="16"/>
              </w:rPr>
              <w:t>10037</w:t>
            </w:r>
          </w:p>
        </w:tc>
        <w:tc>
          <w:tcPr>
            <w:tcW w:w="1426" w:type="dxa"/>
            <w:vAlign w:val="center"/>
          </w:tcPr>
          <w:p w14:paraId="57FAE6F4" w14:textId="6CCA7093" w:rsidR="008E0439" w:rsidRPr="002259D9" w:rsidRDefault="008E0439" w:rsidP="008E0439">
            <w:pPr>
              <w:spacing w:before="0" w:after="0"/>
              <w:jc w:val="center"/>
              <w:rPr>
                <w:sz w:val="16"/>
                <w:szCs w:val="16"/>
              </w:rPr>
            </w:pPr>
            <w:r w:rsidRPr="002259D9">
              <w:rPr>
                <w:rFonts w:ascii="Calibri" w:hAnsi="Calibri" w:cs="Calibri"/>
                <w:color w:val="000000"/>
                <w:sz w:val="16"/>
                <w:szCs w:val="16"/>
              </w:rPr>
              <w:t>N2S64</w:t>
            </w:r>
          </w:p>
        </w:tc>
        <w:tc>
          <w:tcPr>
            <w:tcW w:w="1340" w:type="dxa"/>
            <w:vAlign w:val="center"/>
          </w:tcPr>
          <w:p w14:paraId="2CEB2638" w14:textId="576C1A57" w:rsidR="008E0439" w:rsidRPr="002259D9" w:rsidRDefault="008E0439" w:rsidP="008E0439">
            <w:pPr>
              <w:spacing w:before="0" w:after="0"/>
              <w:jc w:val="center"/>
              <w:rPr>
                <w:sz w:val="16"/>
                <w:szCs w:val="16"/>
              </w:rPr>
            </w:pPr>
            <w:r w:rsidRPr="002259D9">
              <w:rPr>
                <w:sz w:val="16"/>
                <w:szCs w:val="16"/>
              </w:rPr>
              <w:t>2021</w:t>
            </w:r>
          </w:p>
        </w:tc>
        <w:tc>
          <w:tcPr>
            <w:tcW w:w="4180" w:type="dxa"/>
            <w:vAlign w:val="center"/>
          </w:tcPr>
          <w:p w14:paraId="07DD6517" w14:textId="3930D6A2" w:rsidR="008E0439" w:rsidRPr="002259D9" w:rsidRDefault="008E0439" w:rsidP="00BE5879">
            <w:pPr>
              <w:spacing w:before="0" w:after="0"/>
              <w:rPr>
                <w:sz w:val="16"/>
                <w:szCs w:val="16"/>
              </w:rPr>
            </w:pPr>
            <w:r w:rsidRPr="002259D9">
              <w:rPr>
                <w:sz w:val="16"/>
                <w:szCs w:val="16"/>
              </w:rPr>
              <w:t>En revisión al recurso, el OR aclara la solicitud.</w:t>
            </w:r>
          </w:p>
        </w:tc>
      </w:tr>
      <w:tr w:rsidR="008E0439" w:rsidRPr="002259D9" w14:paraId="08995A58" w14:textId="537BDF26" w:rsidTr="00AE3FBE">
        <w:trPr>
          <w:trHeight w:val="300"/>
          <w:jc w:val="center"/>
        </w:trPr>
        <w:tc>
          <w:tcPr>
            <w:tcW w:w="1555" w:type="dxa"/>
            <w:noWrap/>
            <w:vAlign w:val="center"/>
            <w:hideMark/>
          </w:tcPr>
          <w:p w14:paraId="4D8411A2" w14:textId="77777777" w:rsidR="008E0439" w:rsidRPr="002259D9" w:rsidRDefault="008E0439" w:rsidP="008E0439">
            <w:pPr>
              <w:spacing w:before="0" w:after="0"/>
              <w:jc w:val="center"/>
              <w:rPr>
                <w:sz w:val="16"/>
                <w:szCs w:val="16"/>
              </w:rPr>
            </w:pPr>
            <w:r w:rsidRPr="002259D9">
              <w:rPr>
                <w:sz w:val="16"/>
                <w:szCs w:val="16"/>
              </w:rPr>
              <w:t>100373BT3000</w:t>
            </w:r>
          </w:p>
        </w:tc>
        <w:tc>
          <w:tcPr>
            <w:tcW w:w="850" w:type="dxa"/>
            <w:noWrap/>
            <w:vAlign w:val="center"/>
            <w:hideMark/>
          </w:tcPr>
          <w:p w14:paraId="5EA55ACD" w14:textId="77777777" w:rsidR="008E0439" w:rsidRPr="002259D9" w:rsidRDefault="008E0439" w:rsidP="008E0439">
            <w:pPr>
              <w:spacing w:before="0" w:after="0"/>
              <w:jc w:val="center"/>
              <w:rPr>
                <w:sz w:val="16"/>
                <w:szCs w:val="16"/>
              </w:rPr>
            </w:pPr>
            <w:r w:rsidRPr="002259D9">
              <w:rPr>
                <w:sz w:val="16"/>
                <w:szCs w:val="16"/>
              </w:rPr>
              <w:t>10037</w:t>
            </w:r>
          </w:p>
        </w:tc>
        <w:tc>
          <w:tcPr>
            <w:tcW w:w="1426" w:type="dxa"/>
            <w:vAlign w:val="center"/>
          </w:tcPr>
          <w:p w14:paraId="3F5B6D29" w14:textId="1827F6E4" w:rsidR="008E0439" w:rsidRPr="002259D9" w:rsidRDefault="008E0439" w:rsidP="008E0439">
            <w:pPr>
              <w:spacing w:before="0" w:after="0"/>
              <w:jc w:val="center"/>
              <w:rPr>
                <w:sz w:val="16"/>
                <w:szCs w:val="16"/>
              </w:rPr>
            </w:pPr>
            <w:r w:rsidRPr="002259D9">
              <w:rPr>
                <w:rFonts w:ascii="Calibri" w:hAnsi="Calibri" w:cs="Calibri"/>
                <w:color w:val="000000"/>
                <w:sz w:val="16"/>
                <w:szCs w:val="16"/>
              </w:rPr>
              <w:t>N3S34</w:t>
            </w:r>
          </w:p>
        </w:tc>
        <w:tc>
          <w:tcPr>
            <w:tcW w:w="1340" w:type="dxa"/>
            <w:vAlign w:val="center"/>
          </w:tcPr>
          <w:p w14:paraId="52803AD1" w14:textId="693B72E4" w:rsidR="008E0439" w:rsidRPr="002259D9" w:rsidRDefault="008E0439" w:rsidP="008E0439">
            <w:pPr>
              <w:spacing w:before="0" w:after="0"/>
              <w:jc w:val="center"/>
              <w:rPr>
                <w:sz w:val="16"/>
                <w:szCs w:val="16"/>
              </w:rPr>
            </w:pPr>
            <w:r w:rsidRPr="002259D9">
              <w:rPr>
                <w:sz w:val="16"/>
                <w:szCs w:val="16"/>
              </w:rPr>
              <w:t>2021</w:t>
            </w:r>
          </w:p>
        </w:tc>
        <w:tc>
          <w:tcPr>
            <w:tcW w:w="4180" w:type="dxa"/>
            <w:vAlign w:val="center"/>
          </w:tcPr>
          <w:p w14:paraId="522C8CB2" w14:textId="7AAC6274" w:rsidR="008E0439" w:rsidRPr="002259D9" w:rsidRDefault="008E0439" w:rsidP="00BE5879">
            <w:pPr>
              <w:spacing w:before="0" w:after="0"/>
              <w:rPr>
                <w:sz w:val="16"/>
                <w:szCs w:val="16"/>
              </w:rPr>
            </w:pPr>
            <w:r w:rsidRPr="002259D9">
              <w:rPr>
                <w:sz w:val="16"/>
                <w:szCs w:val="16"/>
              </w:rPr>
              <w:t>De acuerdo con el literal s del numeral 14.1 Las bahías de transformación, distintas a las asociadas con los transformadores de conexión al STN, se asocian con el nivel de tensión del secundario del transformador, por tanto, no se poseen bahías para el nivel de tensión del módulo común solicitado.</w:t>
            </w:r>
          </w:p>
        </w:tc>
      </w:tr>
      <w:tr w:rsidR="008E0439" w:rsidRPr="002259D9" w14:paraId="161E2CDB" w14:textId="121E64FB" w:rsidTr="00AE3FBE">
        <w:trPr>
          <w:trHeight w:val="300"/>
          <w:jc w:val="center"/>
        </w:trPr>
        <w:tc>
          <w:tcPr>
            <w:tcW w:w="1555" w:type="dxa"/>
            <w:noWrap/>
            <w:vAlign w:val="center"/>
            <w:hideMark/>
          </w:tcPr>
          <w:p w14:paraId="7E2B9CB6" w14:textId="77777777" w:rsidR="008E0439" w:rsidRPr="002259D9" w:rsidRDefault="008E0439" w:rsidP="008E0439">
            <w:pPr>
              <w:spacing w:before="0" w:after="0"/>
              <w:jc w:val="center"/>
              <w:rPr>
                <w:sz w:val="16"/>
                <w:szCs w:val="16"/>
              </w:rPr>
            </w:pPr>
            <w:r w:rsidRPr="002259D9">
              <w:rPr>
                <w:sz w:val="16"/>
                <w:szCs w:val="16"/>
              </w:rPr>
              <w:t>102123BUV000</w:t>
            </w:r>
          </w:p>
        </w:tc>
        <w:tc>
          <w:tcPr>
            <w:tcW w:w="850" w:type="dxa"/>
            <w:noWrap/>
            <w:vAlign w:val="center"/>
            <w:hideMark/>
          </w:tcPr>
          <w:p w14:paraId="6A27DB8A" w14:textId="77777777" w:rsidR="008E0439" w:rsidRPr="002259D9" w:rsidRDefault="008E0439" w:rsidP="008E0439">
            <w:pPr>
              <w:spacing w:before="0" w:after="0"/>
              <w:jc w:val="center"/>
              <w:rPr>
                <w:sz w:val="16"/>
                <w:szCs w:val="16"/>
              </w:rPr>
            </w:pPr>
            <w:r w:rsidRPr="002259D9">
              <w:rPr>
                <w:sz w:val="16"/>
                <w:szCs w:val="16"/>
              </w:rPr>
              <w:t>10212</w:t>
            </w:r>
          </w:p>
        </w:tc>
        <w:tc>
          <w:tcPr>
            <w:tcW w:w="1426" w:type="dxa"/>
            <w:vAlign w:val="center"/>
          </w:tcPr>
          <w:p w14:paraId="54A5D1BA" w14:textId="733960AF"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3E682D46" w14:textId="28B37543" w:rsidR="008E0439" w:rsidRPr="002259D9" w:rsidRDefault="008E0439" w:rsidP="008E0439">
            <w:pPr>
              <w:spacing w:before="0" w:after="0"/>
              <w:jc w:val="center"/>
              <w:rPr>
                <w:sz w:val="16"/>
                <w:szCs w:val="16"/>
              </w:rPr>
            </w:pPr>
            <w:r w:rsidRPr="002259D9">
              <w:rPr>
                <w:sz w:val="16"/>
                <w:szCs w:val="16"/>
              </w:rPr>
              <w:t>2021</w:t>
            </w:r>
          </w:p>
        </w:tc>
        <w:tc>
          <w:tcPr>
            <w:tcW w:w="4180" w:type="dxa"/>
            <w:vAlign w:val="center"/>
          </w:tcPr>
          <w:p w14:paraId="33149C45" w14:textId="790CDCAA" w:rsidR="008E0439" w:rsidRPr="002259D9" w:rsidRDefault="008E0439" w:rsidP="00BE5879">
            <w:pPr>
              <w:spacing w:before="0" w:after="0"/>
              <w:rPr>
                <w:sz w:val="16"/>
                <w:szCs w:val="16"/>
              </w:rPr>
            </w:pPr>
            <w:r w:rsidRPr="002259D9">
              <w:rPr>
                <w:sz w:val="16"/>
                <w:szCs w:val="16"/>
              </w:rPr>
              <w:t>Para el nivel de tensión 4 solo se poseen reportes en los inventarios para 1 bahía, por lo tanto, no corresponde con el módulo común solicitado.</w:t>
            </w:r>
          </w:p>
        </w:tc>
      </w:tr>
      <w:tr w:rsidR="008E0439" w:rsidRPr="002259D9" w14:paraId="24FCB1AC" w14:textId="38BBC78D" w:rsidTr="00AE3FBE">
        <w:trPr>
          <w:trHeight w:val="300"/>
          <w:jc w:val="center"/>
        </w:trPr>
        <w:tc>
          <w:tcPr>
            <w:tcW w:w="1555" w:type="dxa"/>
            <w:noWrap/>
            <w:vAlign w:val="center"/>
            <w:hideMark/>
          </w:tcPr>
          <w:p w14:paraId="1EAB7A5E" w14:textId="77777777" w:rsidR="008E0439" w:rsidRPr="002259D9" w:rsidRDefault="008E0439" w:rsidP="008E0439">
            <w:pPr>
              <w:spacing w:before="0" w:after="0"/>
              <w:jc w:val="center"/>
              <w:rPr>
                <w:sz w:val="16"/>
                <w:szCs w:val="16"/>
              </w:rPr>
            </w:pPr>
            <w:r w:rsidRPr="002259D9">
              <w:rPr>
                <w:sz w:val="16"/>
                <w:szCs w:val="16"/>
              </w:rPr>
              <w:t>102103BUX000</w:t>
            </w:r>
          </w:p>
        </w:tc>
        <w:tc>
          <w:tcPr>
            <w:tcW w:w="850" w:type="dxa"/>
            <w:noWrap/>
            <w:vAlign w:val="center"/>
            <w:hideMark/>
          </w:tcPr>
          <w:p w14:paraId="33823374" w14:textId="77777777" w:rsidR="008E0439" w:rsidRPr="002259D9" w:rsidRDefault="008E0439" w:rsidP="008E0439">
            <w:pPr>
              <w:spacing w:before="0" w:after="0"/>
              <w:jc w:val="center"/>
              <w:rPr>
                <w:sz w:val="16"/>
                <w:szCs w:val="16"/>
              </w:rPr>
            </w:pPr>
            <w:r w:rsidRPr="002259D9">
              <w:rPr>
                <w:sz w:val="16"/>
                <w:szCs w:val="16"/>
              </w:rPr>
              <w:t>10210</w:t>
            </w:r>
          </w:p>
        </w:tc>
        <w:tc>
          <w:tcPr>
            <w:tcW w:w="1426" w:type="dxa"/>
            <w:vAlign w:val="center"/>
          </w:tcPr>
          <w:p w14:paraId="54B39DA0" w14:textId="3E5C9E02"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N4S43</w:t>
            </w:r>
          </w:p>
        </w:tc>
        <w:tc>
          <w:tcPr>
            <w:tcW w:w="1340" w:type="dxa"/>
            <w:vAlign w:val="center"/>
          </w:tcPr>
          <w:p w14:paraId="66159203" w14:textId="07A65C6B" w:rsidR="008E0439" w:rsidRPr="002259D9" w:rsidRDefault="008E0439" w:rsidP="008E0439">
            <w:pPr>
              <w:spacing w:before="0" w:after="0"/>
              <w:jc w:val="center"/>
              <w:rPr>
                <w:sz w:val="16"/>
                <w:szCs w:val="16"/>
              </w:rPr>
            </w:pPr>
            <w:r w:rsidRPr="002259D9">
              <w:rPr>
                <w:sz w:val="16"/>
                <w:szCs w:val="16"/>
              </w:rPr>
              <w:t>2021</w:t>
            </w:r>
          </w:p>
        </w:tc>
        <w:tc>
          <w:tcPr>
            <w:tcW w:w="4180" w:type="dxa"/>
            <w:vAlign w:val="center"/>
          </w:tcPr>
          <w:p w14:paraId="16E346D0" w14:textId="43D0D571" w:rsidR="008E0439" w:rsidRPr="002259D9" w:rsidRDefault="008E0439" w:rsidP="00BE5879">
            <w:pPr>
              <w:spacing w:before="0" w:after="0"/>
              <w:rPr>
                <w:sz w:val="16"/>
                <w:szCs w:val="16"/>
              </w:rPr>
            </w:pPr>
            <w:r w:rsidRPr="002259D9">
              <w:rPr>
                <w:sz w:val="16"/>
                <w:szCs w:val="16"/>
              </w:rPr>
              <w:t>Para el nivel de tensión 4 solo se poseen reportes en los inventarios para 1 bahía, por lo tanto, no corresponde con el módulo común solicitado.</w:t>
            </w:r>
          </w:p>
        </w:tc>
      </w:tr>
      <w:tr w:rsidR="008E0439" w:rsidRPr="002259D9" w14:paraId="0675C3AB" w14:textId="28206431" w:rsidTr="00AE3FBE">
        <w:trPr>
          <w:trHeight w:val="300"/>
          <w:jc w:val="center"/>
        </w:trPr>
        <w:tc>
          <w:tcPr>
            <w:tcW w:w="1555" w:type="dxa"/>
            <w:noWrap/>
            <w:vAlign w:val="center"/>
            <w:hideMark/>
          </w:tcPr>
          <w:p w14:paraId="0D38E6BC" w14:textId="77777777" w:rsidR="008E0439" w:rsidRPr="002259D9" w:rsidRDefault="008E0439" w:rsidP="008E0439">
            <w:pPr>
              <w:spacing w:before="0" w:after="0"/>
              <w:jc w:val="center"/>
              <w:rPr>
                <w:sz w:val="16"/>
                <w:szCs w:val="16"/>
              </w:rPr>
            </w:pPr>
            <w:r w:rsidRPr="002259D9">
              <w:rPr>
                <w:sz w:val="16"/>
                <w:szCs w:val="16"/>
              </w:rPr>
              <w:t>102083BV0000</w:t>
            </w:r>
          </w:p>
        </w:tc>
        <w:tc>
          <w:tcPr>
            <w:tcW w:w="850" w:type="dxa"/>
            <w:noWrap/>
            <w:vAlign w:val="center"/>
            <w:hideMark/>
          </w:tcPr>
          <w:p w14:paraId="5AF86634" w14:textId="77777777" w:rsidR="008E0439" w:rsidRPr="002259D9" w:rsidRDefault="008E0439" w:rsidP="008E0439">
            <w:pPr>
              <w:spacing w:before="0" w:after="0"/>
              <w:jc w:val="center"/>
              <w:rPr>
                <w:sz w:val="16"/>
                <w:szCs w:val="16"/>
              </w:rPr>
            </w:pPr>
            <w:r w:rsidRPr="002259D9">
              <w:rPr>
                <w:sz w:val="16"/>
                <w:szCs w:val="16"/>
              </w:rPr>
              <w:t>10208</w:t>
            </w:r>
          </w:p>
        </w:tc>
        <w:tc>
          <w:tcPr>
            <w:tcW w:w="1426" w:type="dxa"/>
            <w:vAlign w:val="center"/>
          </w:tcPr>
          <w:p w14:paraId="30A820D0" w14:textId="1CF3DC74"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6C56DF7D" w14:textId="14341684" w:rsidR="008E0439" w:rsidRPr="002259D9" w:rsidRDefault="008E0439" w:rsidP="008E0439">
            <w:pPr>
              <w:spacing w:before="0" w:after="0"/>
              <w:jc w:val="center"/>
              <w:rPr>
                <w:sz w:val="16"/>
                <w:szCs w:val="16"/>
              </w:rPr>
            </w:pPr>
            <w:r w:rsidRPr="002259D9">
              <w:rPr>
                <w:sz w:val="16"/>
                <w:szCs w:val="16"/>
              </w:rPr>
              <w:t>2021</w:t>
            </w:r>
          </w:p>
        </w:tc>
        <w:tc>
          <w:tcPr>
            <w:tcW w:w="4180" w:type="dxa"/>
            <w:vAlign w:val="center"/>
          </w:tcPr>
          <w:p w14:paraId="7DB08257" w14:textId="6B156076" w:rsidR="008E0439" w:rsidRPr="002259D9" w:rsidRDefault="008E0439" w:rsidP="00BE5879">
            <w:pPr>
              <w:spacing w:before="0" w:after="0"/>
              <w:rPr>
                <w:sz w:val="16"/>
                <w:szCs w:val="16"/>
              </w:rPr>
            </w:pPr>
            <w:r w:rsidRPr="002259D9">
              <w:rPr>
                <w:sz w:val="16"/>
                <w:szCs w:val="16"/>
              </w:rPr>
              <w:t>No poseen reportes en el inventario para bahías nuevas, se tiene en el reporte de BRA0 3 bahías en el reporte a 2018 se realizó la reposición de 3 bahías, por tanto</w:t>
            </w:r>
            <w:r w:rsidR="00DB10E5" w:rsidRPr="002259D9">
              <w:rPr>
                <w:sz w:val="16"/>
                <w:szCs w:val="16"/>
              </w:rPr>
              <w:t>,</w:t>
            </w:r>
            <w:r w:rsidRPr="002259D9">
              <w:rPr>
                <w:sz w:val="16"/>
                <w:szCs w:val="16"/>
              </w:rPr>
              <w:t xml:space="preserve"> la UC no se reconoce.</w:t>
            </w:r>
          </w:p>
        </w:tc>
      </w:tr>
      <w:tr w:rsidR="008E0439" w:rsidRPr="002259D9" w14:paraId="679B9F27" w14:textId="77853BF0" w:rsidTr="00AE3FBE">
        <w:trPr>
          <w:trHeight w:val="300"/>
          <w:jc w:val="center"/>
        </w:trPr>
        <w:tc>
          <w:tcPr>
            <w:tcW w:w="1555" w:type="dxa"/>
            <w:noWrap/>
            <w:vAlign w:val="center"/>
            <w:hideMark/>
          </w:tcPr>
          <w:p w14:paraId="6EE02460" w14:textId="77777777" w:rsidR="008E0439" w:rsidRPr="002259D9" w:rsidRDefault="008E0439" w:rsidP="008E0439">
            <w:pPr>
              <w:spacing w:before="0" w:after="0"/>
              <w:jc w:val="center"/>
              <w:rPr>
                <w:sz w:val="16"/>
                <w:szCs w:val="16"/>
              </w:rPr>
            </w:pPr>
            <w:r w:rsidRPr="002259D9">
              <w:rPr>
                <w:sz w:val="16"/>
                <w:szCs w:val="16"/>
              </w:rPr>
              <w:t>100823C1F000</w:t>
            </w:r>
          </w:p>
        </w:tc>
        <w:tc>
          <w:tcPr>
            <w:tcW w:w="850" w:type="dxa"/>
            <w:noWrap/>
            <w:vAlign w:val="center"/>
            <w:hideMark/>
          </w:tcPr>
          <w:p w14:paraId="27E06BFD" w14:textId="77777777" w:rsidR="008E0439" w:rsidRPr="002259D9" w:rsidRDefault="008E0439" w:rsidP="008E0439">
            <w:pPr>
              <w:spacing w:before="0" w:after="0"/>
              <w:jc w:val="center"/>
              <w:rPr>
                <w:sz w:val="16"/>
                <w:szCs w:val="16"/>
              </w:rPr>
            </w:pPr>
            <w:r w:rsidRPr="002259D9">
              <w:rPr>
                <w:sz w:val="16"/>
                <w:szCs w:val="16"/>
              </w:rPr>
              <w:t>10082</w:t>
            </w:r>
          </w:p>
        </w:tc>
        <w:tc>
          <w:tcPr>
            <w:tcW w:w="1426" w:type="dxa"/>
            <w:vAlign w:val="center"/>
          </w:tcPr>
          <w:p w14:paraId="36007786" w14:textId="55AF2C17" w:rsidR="008E0439" w:rsidRPr="002259D9" w:rsidRDefault="008E0439" w:rsidP="008E0439">
            <w:pPr>
              <w:spacing w:before="0" w:after="0"/>
              <w:jc w:val="center"/>
              <w:rPr>
                <w:sz w:val="16"/>
                <w:szCs w:val="16"/>
              </w:rPr>
            </w:pPr>
            <w:r w:rsidRPr="002259D9">
              <w:rPr>
                <w:rFonts w:ascii="Calibri" w:hAnsi="Calibri" w:cs="Calibri"/>
                <w:color w:val="000000"/>
                <w:sz w:val="16"/>
                <w:szCs w:val="16"/>
              </w:rPr>
              <w:t>N4S61</w:t>
            </w:r>
          </w:p>
        </w:tc>
        <w:tc>
          <w:tcPr>
            <w:tcW w:w="1340" w:type="dxa"/>
            <w:vAlign w:val="center"/>
          </w:tcPr>
          <w:p w14:paraId="3E766818" w14:textId="2D508EC9" w:rsidR="008E0439" w:rsidRPr="002259D9" w:rsidRDefault="008E0439" w:rsidP="008E0439">
            <w:pPr>
              <w:spacing w:before="0" w:after="0"/>
              <w:jc w:val="center"/>
              <w:rPr>
                <w:sz w:val="16"/>
                <w:szCs w:val="16"/>
              </w:rPr>
            </w:pPr>
            <w:r w:rsidRPr="002259D9">
              <w:rPr>
                <w:sz w:val="16"/>
                <w:szCs w:val="16"/>
              </w:rPr>
              <w:t>2022</w:t>
            </w:r>
          </w:p>
        </w:tc>
        <w:tc>
          <w:tcPr>
            <w:tcW w:w="4180" w:type="dxa"/>
            <w:vAlign w:val="center"/>
          </w:tcPr>
          <w:p w14:paraId="4D595B9A" w14:textId="77C3831D" w:rsidR="008E0439" w:rsidRPr="002259D9" w:rsidRDefault="008E0439" w:rsidP="00BE5879">
            <w:pPr>
              <w:spacing w:before="0" w:after="0"/>
              <w:rPr>
                <w:sz w:val="16"/>
                <w:szCs w:val="16"/>
              </w:rPr>
            </w:pPr>
            <w:r w:rsidRPr="002259D9">
              <w:rPr>
                <w:sz w:val="16"/>
                <w:szCs w:val="16"/>
              </w:rPr>
              <w:t>El OR aclara la solicitud se aprueba la UC</w:t>
            </w:r>
          </w:p>
        </w:tc>
      </w:tr>
      <w:tr w:rsidR="008E0439" w:rsidRPr="002259D9" w14:paraId="794E5F9D" w14:textId="781BEEB2" w:rsidTr="00AE3FBE">
        <w:trPr>
          <w:trHeight w:val="300"/>
          <w:jc w:val="center"/>
        </w:trPr>
        <w:tc>
          <w:tcPr>
            <w:tcW w:w="1555" w:type="dxa"/>
            <w:noWrap/>
            <w:vAlign w:val="center"/>
            <w:hideMark/>
          </w:tcPr>
          <w:p w14:paraId="583577A1" w14:textId="77777777" w:rsidR="008E0439" w:rsidRPr="002259D9" w:rsidRDefault="008E0439" w:rsidP="008E0439">
            <w:pPr>
              <w:spacing w:before="0" w:after="0"/>
              <w:jc w:val="center"/>
              <w:rPr>
                <w:sz w:val="16"/>
                <w:szCs w:val="16"/>
              </w:rPr>
            </w:pPr>
            <w:r w:rsidRPr="002259D9">
              <w:rPr>
                <w:sz w:val="16"/>
                <w:szCs w:val="16"/>
              </w:rPr>
              <w:t>100523C1O000</w:t>
            </w:r>
          </w:p>
        </w:tc>
        <w:tc>
          <w:tcPr>
            <w:tcW w:w="850" w:type="dxa"/>
            <w:noWrap/>
            <w:vAlign w:val="center"/>
            <w:hideMark/>
          </w:tcPr>
          <w:p w14:paraId="163B3AE0" w14:textId="77777777" w:rsidR="008E0439" w:rsidRPr="002259D9" w:rsidRDefault="008E0439" w:rsidP="008E0439">
            <w:pPr>
              <w:spacing w:before="0" w:after="0"/>
              <w:jc w:val="center"/>
              <w:rPr>
                <w:sz w:val="16"/>
                <w:szCs w:val="16"/>
              </w:rPr>
            </w:pPr>
            <w:r w:rsidRPr="002259D9">
              <w:rPr>
                <w:sz w:val="16"/>
                <w:szCs w:val="16"/>
              </w:rPr>
              <w:t>10052</w:t>
            </w:r>
          </w:p>
        </w:tc>
        <w:tc>
          <w:tcPr>
            <w:tcW w:w="1426" w:type="dxa"/>
            <w:vAlign w:val="center"/>
          </w:tcPr>
          <w:p w14:paraId="5DC3C618" w14:textId="49059B12" w:rsidR="008E0439" w:rsidRPr="002259D9" w:rsidRDefault="008E0439" w:rsidP="008E0439">
            <w:pPr>
              <w:spacing w:before="0" w:after="0"/>
              <w:jc w:val="center"/>
              <w:rPr>
                <w:sz w:val="16"/>
                <w:szCs w:val="16"/>
              </w:rPr>
            </w:pPr>
            <w:r w:rsidRPr="002259D9">
              <w:rPr>
                <w:rFonts w:ascii="Calibri" w:hAnsi="Calibri" w:cs="Calibri"/>
                <w:color w:val="000000"/>
                <w:sz w:val="16"/>
                <w:szCs w:val="16"/>
              </w:rPr>
              <w:t>N2S62</w:t>
            </w:r>
          </w:p>
        </w:tc>
        <w:tc>
          <w:tcPr>
            <w:tcW w:w="1340" w:type="dxa"/>
            <w:vAlign w:val="center"/>
          </w:tcPr>
          <w:p w14:paraId="6E3A77F5" w14:textId="06827DC7" w:rsidR="008E0439" w:rsidRPr="002259D9" w:rsidRDefault="008E0439" w:rsidP="008E0439">
            <w:pPr>
              <w:spacing w:before="0" w:after="0"/>
              <w:jc w:val="center"/>
              <w:rPr>
                <w:sz w:val="16"/>
                <w:szCs w:val="16"/>
              </w:rPr>
            </w:pPr>
            <w:r w:rsidRPr="002259D9">
              <w:rPr>
                <w:sz w:val="16"/>
                <w:szCs w:val="16"/>
              </w:rPr>
              <w:t>2022</w:t>
            </w:r>
          </w:p>
        </w:tc>
        <w:tc>
          <w:tcPr>
            <w:tcW w:w="4180" w:type="dxa"/>
            <w:vAlign w:val="center"/>
          </w:tcPr>
          <w:p w14:paraId="62A11501" w14:textId="2289F86E" w:rsidR="008E0439" w:rsidRPr="002259D9" w:rsidRDefault="008E0439" w:rsidP="00BE5879">
            <w:pPr>
              <w:spacing w:before="0" w:after="0"/>
              <w:rPr>
                <w:sz w:val="16"/>
                <w:szCs w:val="16"/>
              </w:rPr>
            </w:pPr>
            <w:r w:rsidRPr="002259D9">
              <w:rPr>
                <w:sz w:val="16"/>
                <w:szCs w:val="16"/>
              </w:rPr>
              <w:t>No se tienen el número de bahías reconocidas en el nivel de tensión que soporten el tipo de módulo común solicitado, la UC no es aprobada.</w:t>
            </w:r>
          </w:p>
        </w:tc>
      </w:tr>
      <w:tr w:rsidR="008E0439" w:rsidRPr="002259D9" w14:paraId="3820C574" w14:textId="58AFA865" w:rsidTr="00AE3FBE">
        <w:trPr>
          <w:trHeight w:val="300"/>
          <w:jc w:val="center"/>
        </w:trPr>
        <w:tc>
          <w:tcPr>
            <w:tcW w:w="1555" w:type="dxa"/>
            <w:noWrap/>
            <w:vAlign w:val="center"/>
            <w:hideMark/>
          </w:tcPr>
          <w:p w14:paraId="4EB70BBC" w14:textId="77777777" w:rsidR="008E0439" w:rsidRPr="002259D9" w:rsidRDefault="008E0439" w:rsidP="008E0439">
            <w:pPr>
              <w:spacing w:before="0" w:after="0"/>
              <w:jc w:val="center"/>
              <w:rPr>
                <w:sz w:val="16"/>
                <w:szCs w:val="16"/>
              </w:rPr>
            </w:pPr>
            <w:r w:rsidRPr="002259D9">
              <w:rPr>
                <w:sz w:val="16"/>
                <w:szCs w:val="16"/>
              </w:rPr>
              <w:t>100523C21000</w:t>
            </w:r>
          </w:p>
        </w:tc>
        <w:tc>
          <w:tcPr>
            <w:tcW w:w="850" w:type="dxa"/>
            <w:noWrap/>
            <w:vAlign w:val="center"/>
            <w:hideMark/>
          </w:tcPr>
          <w:p w14:paraId="5F4A1552" w14:textId="77777777" w:rsidR="008E0439" w:rsidRPr="002259D9" w:rsidRDefault="008E0439" w:rsidP="008E0439">
            <w:pPr>
              <w:spacing w:before="0" w:after="0"/>
              <w:jc w:val="center"/>
              <w:rPr>
                <w:sz w:val="16"/>
                <w:szCs w:val="16"/>
              </w:rPr>
            </w:pPr>
            <w:r w:rsidRPr="002259D9">
              <w:rPr>
                <w:sz w:val="16"/>
                <w:szCs w:val="16"/>
              </w:rPr>
              <w:t>10052</w:t>
            </w:r>
          </w:p>
        </w:tc>
        <w:tc>
          <w:tcPr>
            <w:tcW w:w="1426" w:type="dxa"/>
            <w:vAlign w:val="center"/>
          </w:tcPr>
          <w:p w14:paraId="45BABF4A" w14:textId="5A7EDF82" w:rsidR="008E0439" w:rsidRPr="002259D9" w:rsidRDefault="008E0439" w:rsidP="008E0439">
            <w:pPr>
              <w:spacing w:before="0" w:after="0"/>
              <w:jc w:val="center"/>
              <w:rPr>
                <w:sz w:val="16"/>
                <w:szCs w:val="16"/>
              </w:rPr>
            </w:pPr>
            <w:r w:rsidRPr="002259D9">
              <w:rPr>
                <w:rFonts w:ascii="Calibri" w:hAnsi="Calibri" w:cs="Calibri"/>
                <w:color w:val="000000"/>
                <w:sz w:val="16"/>
                <w:szCs w:val="16"/>
              </w:rPr>
              <w:t>N3S34</w:t>
            </w:r>
          </w:p>
        </w:tc>
        <w:tc>
          <w:tcPr>
            <w:tcW w:w="1340" w:type="dxa"/>
            <w:vAlign w:val="center"/>
          </w:tcPr>
          <w:p w14:paraId="57C3BE75" w14:textId="571FFD14" w:rsidR="008E0439" w:rsidRPr="002259D9" w:rsidRDefault="008E0439" w:rsidP="008E0439">
            <w:pPr>
              <w:spacing w:before="0" w:after="0"/>
              <w:jc w:val="center"/>
              <w:rPr>
                <w:sz w:val="16"/>
                <w:szCs w:val="16"/>
              </w:rPr>
            </w:pPr>
            <w:r w:rsidRPr="002259D9">
              <w:rPr>
                <w:sz w:val="16"/>
                <w:szCs w:val="16"/>
              </w:rPr>
              <w:t>2022</w:t>
            </w:r>
          </w:p>
        </w:tc>
        <w:tc>
          <w:tcPr>
            <w:tcW w:w="4180" w:type="dxa"/>
            <w:vAlign w:val="center"/>
          </w:tcPr>
          <w:p w14:paraId="65DC0D25" w14:textId="220C6868" w:rsidR="008E0439" w:rsidRPr="002259D9" w:rsidRDefault="008E0439" w:rsidP="00BE5879">
            <w:pPr>
              <w:spacing w:before="0" w:after="0"/>
              <w:rPr>
                <w:sz w:val="16"/>
                <w:szCs w:val="16"/>
              </w:rPr>
            </w:pPr>
            <w:r w:rsidRPr="002259D9">
              <w:rPr>
                <w:sz w:val="16"/>
                <w:szCs w:val="16"/>
              </w:rPr>
              <w:t>El OR aclara la solicitud se aprueba la UC</w:t>
            </w:r>
          </w:p>
        </w:tc>
      </w:tr>
      <w:tr w:rsidR="008E0439" w:rsidRPr="002259D9" w14:paraId="49694CFA" w14:textId="45F13835" w:rsidTr="00AE3FBE">
        <w:trPr>
          <w:trHeight w:val="300"/>
          <w:jc w:val="center"/>
        </w:trPr>
        <w:tc>
          <w:tcPr>
            <w:tcW w:w="1555" w:type="dxa"/>
            <w:noWrap/>
            <w:vAlign w:val="center"/>
            <w:hideMark/>
          </w:tcPr>
          <w:p w14:paraId="5C43C4BC" w14:textId="77777777" w:rsidR="008E0439" w:rsidRPr="002259D9" w:rsidRDefault="008E0439" w:rsidP="008E0439">
            <w:pPr>
              <w:spacing w:before="0" w:after="0"/>
              <w:jc w:val="center"/>
              <w:rPr>
                <w:sz w:val="16"/>
                <w:szCs w:val="16"/>
              </w:rPr>
            </w:pPr>
            <w:r w:rsidRPr="002259D9">
              <w:rPr>
                <w:sz w:val="16"/>
                <w:szCs w:val="16"/>
              </w:rPr>
              <w:t>100523C2D000</w:t>
            </w:r>
          </w:p>
        </w:tc>
        <w:tc>
          <w:tcPr>
            <w:tcW w:w="850" w:type="dxa"/>
            <w:noWrap/>
            <w:vAlign w:val="center"/>
            <w:hideMark/>
          </w:tcPr>
          <w:p w14:paraId="2EDF5915" w14:textId="77777777" w:rsidR="008E0439" w:rsidRPr="002259D9" w:rsidRDefault="008E0439" w:rsidP="008E0439">
            <w:pPr>
              <w:spacing w:before="0" w:after="0"/>
              <w:jc w:val="center"/>
              <w:rPr>
                <w:sz w:val="16"/>
                <w:szCs w:val="16"/>
              </w:rPr>
            </w:pPr>
            <w:r w:rsidRPr="002259D9">
              <w:rPr>
                <w:sz w:val="16"/>
                <w:szCs w:val="16"/>
              </w:rPr>
              <w:t>10052</w:t>
            </w:r>
          </w:p>
        </w:tc>
        <w:tc>
          <w:tcPr>
            <w:tcW w:w="1426" w:type="dxa"/>
            <w:vAlign w:val="center"/>
          </w:tcPr>
          <w:p w14:paraId="20E12916" w14:textId="5B44DA81"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266660FA" w14:textId="013CD48B" w:rsidR="008E0439" w:rsidRPr="002259D9" w:rsidRDefault="008E0439" w:rsidP="008E0439">
            <w:pPr>
              <w:spacing w:before="0" w:after="0"/>
              <w:jc w:val="center"/>
              <w:rPr>
                <w:sz w:val="16"/>
                <w:szCs w:val="16"/>
              </w:rPr>
            </w:pPr>
            <w:r w:rsidRPr="002259D9">
              <w:rPr>
                <w:sz w:val="16"/>
                <w:szCs w:val="16"/>
              </w:rPr>
              <w:t>2022</w:t>
            </w:r>
          </w:p>
        </w:tc>
        <w:tc>
          <w:tcPr>
            <w:tcW w:w="4180" w:type="dxa"/>
            <w:vAlign w:val="center"/>
          </w:tcPr>
          <w:p w14:paraId="52061515" w14:textId="510E2C75" w:rsidR="008E0439" w:rsidRPr="002259D9" w:rsidRDefault="008E0439" w:rsidP="00BE5879">
            <w:pPr>
              <w:spacing w:before="0" w:after="0"/>
              <w:rPr>
                <w:sz w:val="16"/>
                <w:szCs w:val="16"/>
              </w:rPr>
            </w:pPr>
            <w:r w:rsidRPr="002259D9">
              <w:rPr>
                <w:sz w:val="16"/>
                <w:szCs w:val="16"/>
              </w:rPr>
              <w:t>No se posee el número de bahías reconocidas en el mismo nivel de tensión para el tipo de módulo común</w:t>
            </w:r>
          </w:p>
        </w:tc>
      </w:tr>
      <w:tr w:rsidR="008E0439" w:rsidRPr="002259D9" w14:paraId="04524DAC" w14:textId="4E639993" w:rsidTr="00AE3FBE">
        <w:trPr>
          <w:trHeight w:val="300"/>
          <w:jc w:val="center"/>
        </w:trPr>
        <w:tc>
          <w:tcPr>
            <w:tcW w:w="1555" w:type="dxa"/>
            <w:noWrap/>
            <w:vAlign w:val="center"/>
            <w:hideMark/>
          </w:tcPr>
          <w:p w14:paraId="67BADE32" w14:textId="77777777" w:rsidR="008E0439" w:rsidRPr="002259D9" w:rsidRDefault="008E0439" w:rsidP="008E0439">
            <w:pPr>
              <w:spacing w:before="0" w:after="0"/>
              <w:jc w:val="center"/>
              <w:rPr>
                <w:sz w:val="16"/>
                <w:szCs w:val="16"/>
              </w:rPr>
            </w:pPr>
            <w:r w:rsidRPr="002259D9">
              <w:rPr>
                <w:sz w:val="16"/>
                <w:szCs w:val="16"/>
              </w:rPr>
              <w:t>100563C2K000</w:t>
            </w:r>
          </w:p>
        </w:tc>
        <w:tc>
          <w:tcPr>
            <w:tcW w:w="850" w:type="dxa"/>
            <w:noWrap/>
            <w:vAlign w:val="center"/>
            <w:hideMark/>
          </w:tcPr>
          <w:p w14:paraId="06EB1A08" w14:textId="77777777" w:rsidR="008E0439" w:rsidRPr="002259D9" w:rsidRDefault="008E0439" w:rsidP="008E0439">
            <w:pPr>
              <w:spacing w:before="0" w:after="0"/>
              <w:jc w:val="center"/>
              <w:rPr>
                <w:sz w:val="16"/>
                <w:szCs w:val="16"/>
              </w:rPr>
            </w:pPr>
            <w:r w:rsidRPr="002259D9">
              <w:rPr>
                <w:sz w:val="16"/>
                <w:szCs w:val="16"/>
              </w:rPr>
              <w:t>10056</w:t>
            </w:r>
          </w:p>
        </w:tc>
        <w:tc>
          <w:tcPr>
            <w:tcW w:w="1426" w:type="dxa"/>
            <w:vAlign w:val="center"/>
          </w:tcPr>
          <w:p w14:paraId="76C4B400" w14:textId="5FD8F4A2"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4E5B02E7" w14:textId="15B277AB" w:rsidR="008E0439" w:rsidRPr="002259D9" w:rsidRDefault="008E0439" w:rsidP="008E0439">
            <w:pPr>
              <w:spacing w:before="0" w:after="0"/>
              <w:jc w:val="center"/>
              <w:rPr>
                <w:sz w:val="16"/>
                <w:szCs w:val="16"/>
              </w:rPr>
            </w:pPr>
            <w:r w:rsidRPr="002259D9">
              <w:rPr>
                <w:sz w:val="16"/>
                <w:szCs w:val="16"/>
              </w:rPr>
              <w:t>2022</w:t>
            </w:r>
          </w:p>
        </w:tc>
        <w:tc>
          <w:tcPr>
            <w:tcW w:w="4180" w:type="dxa"/>
            <w:vAlign w:val="center"/>
          </w:tcPr>
          <w:p w14:paraId="5E077929" w14:textId="27CC53B4" w:rsidR="008E0439" w:rsidRPr="002259D9" w:rsidRDefault="008E0439" w:rsidP="00BE5879">
            <w:pPr>
              <w:spacing w:before="0" w:after="0"/>
              <w:rPr>
                <w:sz w:val="16"/>
                <w:szCs w:val="16"/>
              </w:rPr>
            </w:pPr>
            <w:r w:rsidRPr="002259D9">
              <w:rPr>
                <w:sz w:val="16"/>
                <w:szCs w:val="16"/>
              </w:rPr>
              <w:t>El OR aclara la solicitud se aprueba la UC</w:t>
            </w:r>
          </w:p>
        </w:tc>
      </w:tr>
      <w:tr w:rsidR="008E0439" w:rsidRPr="002259D9" w14:paraId="59FAB884" w14:textId="5FC01526" w:rsidTr="00AE3FBE">
        <w:trPr>
          <w:trHeight w:val="300"/>
          <w:jc w:val="center"/>
        </w:trPr>
        <w:tc>
          <w:tcPr>
            <w:tcW w:w="1555" w:type="dxa"/>
            <w:noWrap/>
            <w:vAlign w:val="center"/>
            <w:hideMark/>
          </w:tcPr>
          <w:p w14:paraId="647A6BC4" w14:textId="77777777" w:rsidR="008E0439" w:rsidRPr="002259D9" w:rsidRDefault="008E0439" w:rsidP="008E0439">
            <w:pPr>
              <w:spacing w:before="0" w:after="0"/>
              <w:jc w:val="center"/>
              <w:rPr>
                <w:sz w:val="16"/>
                <w:szCs w:val="16"/>
              </w:rPr>
            </w:pPr>
            <w:r w:rsidRPr="002259D9">
              <w:rPr>
                <w:sz w:val="16"/>
                <w:szCs w:val="16"/>
              </w:rPr>
              <w:t>100663CBW000</w:t>
            </w:r>
          </w:p>
        </w:tc>
        <w:tc>
          <w:tcPr>
            <w:tcW w:w="850" w:type="dxa"/>
            <w:noWrap/>
            <w:vAlign w:val="center"/>
            <w:hideMark/>
          </w:tcPr>
          <w:p w14:paraId="47852574" w14:textId="77777777" w:rsidR="008E0439" w:rsidRPr="002259D9" w:rsidRDefault="008E0439" w:rsidP="008E0439">
            <w:pPr>
              <w:spacing w:before="0" w:after="0"/>
              <w:jc w:val="center"/>
              <w:rPr>
                <w:sz w:val="16"/>
                <w:szCs w:val="16"/>
              </w:rPr>
            </w:pPr>
            <w:r w:rsidRPr="002259D9">
              <w:rPr>
                <w:sz w:val="16"/>
                <w:szCs w:val="16"/>
              </w:rPr>
              <w:t>10066</w:t>
            </w:r>
          </w:p>
        </w:tc>
        <w:tc>
          <w:tcPr>
            <w:tcW w:w="1426" w:type="dxa"/>
            <w:vAlign w:val="center"/>
          </w:tcPr>
          <w:p w14:paraId="1EA218FD" w14:textId="7383901C" w:rsidR="008E0439" w:rsidRPr="002259D9" w:rsidRDefault="008E0439" w:rsidP="008E0439">
            <w:pPr>
              <w:spacing w:before="0" w:after="0"/>
              <w:jc w:val="center"/>
              <w:rPr>
                <w:sz w:val="16"/>
                <w:szCs w:val="16"/>
              </w:rPr>
            </w:pPr>
            <w:r w:rsidRPr="002259D9">
              <w:rPr>
                <w:rFonts w:ascii="Calibri" w:hAnsi="Calibri" w:cs="Calibri"/>
                <w:color w:val="000000"/>
                <w:sz w:val="16"/>
                <w:szCs w:val="16"/>
              </w:rPr>
              <w:t>N3S36</w:t>
            </w:r>
          </w:p>
        </w:tc>
        <w:tc>
          <w:tcPr>
            <w:tcW w:w="1340" w:type="dxa"/>
            <w:vAlign w:val="center"/>
          </w:tcPr>
          <w:p w14:paraId="3DC6B135" w14:textId="7AA5A42D" w:rsidR="008E0439" w:rsidRPr="002259D9" w:rsidRDefault="008E0439" w:rsidP="008E0439">
            <w:pPr>
              <w:spacing w:before="0" w:after="0"/>
              <w:jc w:val="center"/>
              <w:rPr>
                <w:sz w:val="16"/>
                <w:szCs w:val="16"/>
              </w:rPr>
            </w:pPr>
            <w:r w:rsidRPr="002259D9">
              <w:rPr>
                <w:sz w:val="16"/>
                <w:szCs w:val="16"/>
              </w:rPr>
              <w:t>2023</w:t>
            </w:r>
          </w:p>
        </w:tc>
        <w:tc>
          <w:tcPr>
            <w:tcW w:w="4180" w:type="dxa"/>
            <w:vAlign w:val="center"/>
          </w:tcPr>
          <w:p w14:paraId="66F84B4A" w14:textId="0C3F1500" w:rsidR="008E0439" w:rsidRPr="002259D9" w:rsidRDefault="00DB10E5" w:rsidP="00BE5879">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8E0439" w:rsidRPr="002259D9" w14:paraId="41FFF3BB" w14:textId="5E6D32B8" w:rsidTr="00AE3FBE">
        <w:trPr>
          <w:trHeight w:val="300"/>
          <w:jc w:val="center"/>
        </w:trPr>
        <w:tc>
          <w:tcPr>
            <w:tcW w:w="1555" w:type="dxa"/>
            <w:noWrap/>
            <w:vAlign w:val="center"/>
            <w:hideMark/>
          </w:tcPr>
          <w:p w14:paraId="028596F1" w14:textId="77777777" w:rsidR="008E0439" w:rsidRPr="002259D9" w:rsidRDefault="008E0439" w:rsidP="008E0439">
            <w:pPr>
              <w:spacing w:before="0" w:after="0"/>
              <w:jc w:val="center"/>
              <w:rPr>
                <w:sz w:val="16"/>
                <w:szCs w:val="16"/>
              </w:rPr>
            </w:pPr>
            <w:r w:rsidRPr="002259D9">
              <w:rPr>
                <w:sz w:val="16"/>
                <w:szCs w:val="16"/>
              </w:rPr>
              <w:t>100193CBZ000</w:t>
            </w:r>
          </w:p>
        </w:tc>
        <w:tc>
          <w:tcPr>
            <w:tcW w:w="850" w:type="dxa"/>
            <w:noWrap/>
            <w:vAlign w:val="center"/>
            <w:hideMark/>
          </w:tcPr>
          <w:p w14:paraId="59FC601C" w14:textId="77777777" w:rsidR="008E0439" w:rsidRPr="002259D9" w:rsidRDefault="008E0439" w:rsidP="008E0439">
            <w:pPr>
              <w:spacing w:before="0" w:after="0"/>
              <w:jc w:val="center"/>
              <w:rPr>
                <w:sz w:val="16"/>
                <w:szCs w:val="16"/>
              </w:rPr>
            </w:pPr>
            <w:r w:rsidRPr="002259D9">
              <w:rPr>
                <w:sz w:val="16"/>
                <w:szCs w:val="16"/>
              </w:rPr>
              <w:t>10019</w:t>
            </w:r>
          </w:p>
        </w:tc>
        <w:tc>
          <w:tcPr>
            <w:tcW w:w="1426" w:type="dxa"/>
            <w:vAlign w:val="center"/>
          </w:tcPr>
          <w:p w14:paraId="24BD5B1E" w14:textId="3E1554A5"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454C2679" w14:textId="3F983B83" w:rsidR="008E0439" w:rsidRPr="002259D9" w:rsidRDefault="008E0439" w:rsidP="008E0439">
            <w:pPr>
              <w:spacing w:before="0" w:after="0"/>
              <w:jc w:val="center"/>
              <w:rPr>
                <w:sz w:val="16"/>
                <w:szCs w:val="16"/>
              </w:rPr>
            </w:pPr>
            <w:r w:rsidRPr="002259D9">
              <w:rPr>
                <w:sz w:val="16"/>
                <w:szCs w:val="16"/>
              </w:rPr>
              <w:t>2023</w:t>
            </w:r>
          </w:p>
        </w:tc>
        <w:tc>
          <w:tcPr>
            <w:tcW w:w="4180" w:type="dxa"/>
            <w:vAlign w:val="center"/>
          </w:tcPr>
          <w:p w14:paraId="1E3F98B5" w14:textId="319E62BA" w:rsidR="008E0439" w:rsidRPr="002259D9" w:rsidRDefault="008E0439" w:rsidP="00BE5879">
            <w:pPr>
              <w:spacing w:before="0" w:after="0"/>
              <w:rPr>
                <w:sz w:val="16"/>
                <w:szCs w:val="16"/>
              </w:rPr>
            </w:pPr>
            <w:r w:rsidRPr="002259D9">
              <w:rPr>
                <w:sz w:val="16"/>
                <w:szCs w:val="16"/>
              </w:rPr>
              <w:t>No se presentaron bahías que sean reconocidas en el nivel de tensión solicitado para el tipo de módulo común.</w:t>
            </w:r>
          </w:p>
        </w:tc>
      </w:tr>
      <w:tr w:rsidR="008E0439" w:rsidRPr="002259D9" w14:paraId="4D2D70FA" w14:textId="08D225C2" w:rsidTr="00AE3FBE">
        <w:trPr>
          <w:trHeight w:val="300"/>
          <w:jc w:val="center"/>
        </w:trPr>
        <w:tc>
          <w:tcPr>
            <w:tcW w:w="1555" w:type="dxa"/>
            <w:noWrap/>
            <w:vAlign w:val="center"/>
            <w:hideMark/>
          </w:tcPr>
          <w:p w14:paraId="13362A72" w14:textId="77777777" w:rsidR="008E0439" w:rsidRPr="002259D9" w:rsidRDefault="008E0439" w:rsidP="008E0439">
            <w:pPr>
              <w:spacing w:before="0" w:after="0"/>
              <w:jc w:val="center"/>
              <w:rPr>
                <w:sz w:val="16"/>
                <w:szCs w:val="16"/>
              </w:rPr>
            </w:pPr>
            <w:r w:rsidRPr="002259D9">
              <w:rPr>
                <w:sz w:val="16"/>
                <w:szCs w:val="16"/>
              </w:rPr>
              <w:t>101253CD5000</w:t>
            </w:r>
          </w:p>
        </w:tc>
        <w:tc>
          <w:tcPr>
            <w:tcW w:w="850" w:type="dxa"/>
            <w:noWrap/>
            <w:vAlign w:val="center"/>
            <w:hideMark/>
          </w:tcPr>
          <w:p w14:paraId="20072544" w14:textId="77777777" w:rsidR="008E0439" w:rsidRPr="002259D9" w:rsidRDefault="008E0439" w:rsidP="008E0439">
            <w:pPr>
              <w:spacing w:before="0" w:after="0"/>
              <w:jc w:val="center"/>
              <w:rPr>
                <w:sz w:val="16"/>
                <w:szCs w:val="16"/>
              </w:rPr>
            </w:pPr>
            <w:r w:rsidRPr="002259D9">
              <w:rPr>
                <w:sz w:val="16"/>
                <w:szCs w:val="16"/>
              </w:rPr>
              <w:t>10125</w:t>
            </w:r>
          </w:p>
        </w:tc>
        <w:tc>
          <w:tcPr>
            <w:tcW w:w="1426" w:type="dxa"/>
            <w:vAlign w:val="center"/>
          </w:tcPr>
          <w:p w14:paraId="08A485E9" w14:textId="33F915C1"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094A0B80" w14:textId="4E2FD4B3" w:rsidR="008E0439" w:rsidRPr="002259D9" w:rsidRDefault="008E0439" w:rsidP="008E0439">
            <w:pPr>
              <w:spacing w:before="0" w:after="0"/>
              <w:jc w:val="center"/>
              <w:rPr>
                <w:sz w:val="16"/>
                <w:szCs w:val="16"/>
              </w:rPr>
            </w:pPr>
            <w:r w:rsidRPr="002259D9">
              <w:rPr>
                <w:sz w:val="16"/>
                <w:szCs w:val="16"/>
              </w:rPr>
              <w:t>2023</w:t>
            </w:r>
          </w:p>
        </w:tc>
        <w:tc>
          <w:tcPr>
            <w:tcW w:w="4180" w:type="dxa"/>
            <w:vAlign w:val="center"/>
          </w:tcPr>
          <w:p w14:paraId="00FF3A54" w14:textId="6163AFE1" w:rsidR="008E0439" w:rsidRPr="002259D9" w:rsidRDefault="008E0439" w:rsidP="00BE5879">
            <w:pPr>
              <w:spacing w:before="0" w:after="0"/>
              <w:rPr>
                <w:sz w:val="16"/>
                <w:szCs w:val="16"/>
              </w:rPr>
            </w:pPr>
            <w:r w:rsidRPr="002259D9">
              <w:rPr>
                <w:sz w:val="16"/>
                <w:szCs w:val="16"/>
              </w:rPr>
              <w:t>No se presentaron solicitudes para bahías que sean reconocidas en el nivel de tensión solicitado para el tipo de módulo común.</w:t>
            </w:r>
          </w:p>
        </w:tc>
      </w:tr>
      <w:tr w:rsidR="008E0439" w:rsidRPr="002259D9" w14:paraId="671E10B9" w14:textId="5A6D5A7E" w:rsidTr="00AE3FBE">
        <w:trPr>
          <w:trHeight w:val="300"/>
          <w:jc w:val="center"/>
        </w:trPr>
        <w:tc>
          <w:tcPr>
            <w:tcW w:w="1555" w:type="dxa"/>
            <w:noWrap/>
            <w:vAlign w:val="center"/>
            <w:hideMark/>
          </w:tcPr>
          <w:p w14:paraId="63540767" w14:textId="77777777" w:rsidR="008E0439" w:rsidRPr="002259D9" w:rsidRDefault="008E0439" w:rsidP="008E0439">
            <w:pPr>
              <w:spacing w:before="0" w:after="0"/>
              <w:jc w:val="center"/>
              <w:rPr>
                <w:sz w:val="16"/>
                <w:szCs w:val="16"/>
              </w:rPr>
            </w:pPr>
            <w:r w:rsidRPr="002259D9">
              <w:rPr>
                <w:sz w:val="16"/>
                <w:szCs w:val="16"/>
              </w:rPr>
              <w:t>101293CD8000</w:t>
            </w:r>
          </w:p>
        </w:tc>
        <w:tc>
          <w:tcPr>
            <w:tcW w:w="850" w:type="dxa"/>
            <w:noWrap/>
            <w:vAlign w:val="center"/>
            <w:hideMark/>
          </w:tcPr>
          <w:p w14:paraId="29ACD96E" w14:textId="77777777" w:rsidR="008E0439" w:rsidRPr="002259D9" w:rsidRDefault="008E0439" w:rsidP="008E0439">
            <w:pPr>
              <w:spacing w:before="0" w:after="0"/>
              <w:jc w:val="center"/>
              <w:rPr>
                <w:sz w:val="16"/>
                <w:szCs w:val="16"/>
              </w:rPr>
            </w:pPr>
            <w:r w:rsidRPr="002259D9">
              <w:rPr>
                <w:sz w:val="16"/>
                <w:szCs w:val="16"/>
              </w:rPr>
              <w:t>10129</w:t>
            </w:r>
          </w:p>
        </w:tc>
        <w:tc>
          <w:tcPr>
            <w:tcW w:w="1426" w:type="dxa"/>
            <w:vAlign w:val="center"/>
          </w:tcPr>
          <w:p w14:paraId="0906B4BA" w14:textId="088F28C2" w:rsidR="008E0439" w:rsidRPr="002259D9" w:rsidRDefault="008E0439" w:rsidP="008E0439">
            <w:pPr>
              <w:spacing w:before="0" w:after="0"/>
              <w:jc w:val="center"/>
              <w:rPr>
                <w:sz w:val="16"/>
                <w:szCs w:val="16"/>
              </w:rPr>
            </w:pPr>
            <w:r w:rsidRPr="002259D9">
              <w:rPr>
                <w:rFonts w:ascii="Calibri" w:hAnsi="Calibri" w:cs="Calibri"/>
                <w:color w:val="000000"/>
                <w:sz w:val="16"/>
                <w:szCs w:val="16"/>
              </w:rPr>
              <w:t>N3S35</w:t>
            </w:r>
          </w:p>
        </w:tc>
        <w:tc>
          <w:tcPr>
            <w:tcW w:w="1340" w:type="dxa"/>
            <w:vAlign w:val="center"/>
          </w:tcPr>
          <w:p w14:paraId="5CD5F853" w14:textId="1BFFB524" w:rsidR="008E0439" w:rsidRPr="002259D9" w:rsidRDefault="008E0439" w:rsidP="008E0439">
            <w:pPr>
              <w:spacing w:before="0" w:after="0"/>
              <w:jc w:val="center"/>
              <w:rPr>
                <w:sz w:val="16"/>
                <w:szCs w:val="16"/>
              </w:rPr>
            </w:pPr>
            <w:r w:rsidRPr="002259D9">
              <w:rPr>
                <w:sz w:val="16"/>
                <w:szCs w:val="16"/>
              </w:rPr>
              <w:t>2023</w:t>
            </w:r>
          </w:p>
        </w:tc>
        <w:tc>
          <w:tcPr>
            <w:tcW w:w="4180" w:type="dxa"/>
            <w:vAlign w:val="center"/>
          </w:tcPr>
          <w:p w14:paraId="30357389" w14:textId="45D80ED9" w:rsidR="008E0439" w:rsidRPr="002259D9" w:rsidRDefault="008E0439" w:rsidP="00BE5879">
            <w:pPr>
              <w:spacing w:before="0" w:after="0"/>
              <w:rPr>
                <w:sz w:val="16"/>
                <w:szCs w:val="16"/>
              </w:rPr>
            </w:pPr>
            <w:r w:rsidRPr="002259D9">
              <w:rPr>
                <w:sz w:val="16"/>
                <w:szCs w:val="16"/>
              </w:rPr>
              <w:t>No se presentaron solicitudes para bahías que sean reconocidas en el nivel de tensión solicitado para el tipo de módulo común.</w:t>
            </w:r>
          </w:p>
        </w:tc>
      </w:tr>
      <w:tr w:rsidR="008E0439" w:rsidRPr="002259D9" w14:paraId="526E330A" w14:textId="0D9E12F5" w:rsidTr="00AE3FBE">
        <w:trPr>
          <w:trHeight w:val="300"/>
          <w:jc w:val="center"/>
        </w:trPr>
        <w:tc>
          <w:tcPr>
            <w:tcW w:w="1555" w:type="dxa"/>
            <w:noWrap/>
            <w:vAlign w:val="center"/>
            <w:hideMark/>
          </w:tcPr>
          <w:p w14:paraId="07747927" w14:textId="77777777" w:rsidR="008E0439" w:rsidRPr="002259D9" w:rsidRDefault="008E0439" w:rsidP="008E0439">
            <w:pPr>
              <w:spacing w:before="0" w:after="0"/>
              <w:jc w:val="center"/>
              <w:rPr>
                <w:sz w:val="16"/>
                <w:szCs w:val="16"/>
              </w:rPr>
            </w:pPr>
            <w:r w:rsidRPr="002259D9">
              <w:rPr>
                <w:sz w:val="16"/>
                <w:szCs w:val="16"/>
              </w:rPr>
              <w:t>102013CDA000</w:t>
            </w:r>
          </w:p>
        </w:tc>
        <w:tc>
          <w:tcPr>
            <w:tcW w:w="850" w:type="dxa"/>
            <w:noWrap/>
            <w:vAlign w:val="center"/>
            <w:hideMark/>
          </w:tcPr>
          <w:p w14:paraId="1A588EE2" w14:textId="77777777" w:rsidR="008E0439" w:rsidRPr="002259D9" w:rsidRDefault="008E0439" w:rsidP="008E0439">
            <w:pPr>
              <w:spacing w:before="0" w:after="0"/>
              <w:jc w:val="center"/>
              <w:rPr>
                <w:sz w:val="16"/>
                <w:szCs w:val="16"/>
              </w:rPr>
            </w:pPr>
            <w:r w:rsidRPr="002259D9">
              <w:rPr>
                <w:sz w:val="16"/>
                <w:szCs w:val="16"/>
              </w:rPr>
              <w:t>10201</w:t>
            </w:r>
          </w:p>
        </w:tc>
        <w:tc>
          <w:tcPr>
            <w:tcW w:w="1426" w:type="dxa"/>
            <w:vAlign w:val="center"/>
          </w:tcPr>
          <w:p w14:paraId="55E78075" w14:textId="6F3987E9" w:rsidR="008E0439" w:rsidRPr="002259D9" w:rsidRDefault="008E0439" w:rsidP="008E0439">
            <w:pPr>
              <w:spacing w:before="0" w:after="0"/>
              <w:jc w:val="center"/>
              <w:rPr>
                <w:sz w:val="16"/>
                <w:szCs w:val="16"/>
              </w:rPr>
            </w:pPr>
            <w:r w:rsidRPr="002259D9">
              <w:rPr>
                <w:rFonts w:ascii="Calibri" w:hAnsi="Calibri" w:cs="Calibri"/>
                <w:color w:val="000000"/>
                <w:sz w:val="16"/>
                <w:szCs w:val="16"/>
              </w:rPr>
              <w:t>N3S35</w:t>
            </w:r>
          </w:p>
        </w:tc>
        <w:tc>
          <w:tcPr>
            <w:tcW w:w="1340" w:type="dxa"/>
            <w:vAlign w:val="center"/>
          </w:tcPr>
          <w:p w14:paraId="1B8BF9B4" w14:textId="3BD4DEF3" w:rsidR="008E0439" w:rsidRPr="002259D9" w:rsidRDefault="008E0439" w:rsidP="008E0439">
            <w:pPr>
              <w:spacing w:before="0" w:after="0"/>
              <w:jc w:val="center"/>
              <w:rPr>
                <w:sz w:val="16"/>
                <w:szCs w:val="16"/>
              </w:rPr>
            </w:pPr>
            <w:r w:rsidRPr="002259D9">
              <w:rPr>
                <w:sz w:val="16"/>
                <w:szCs w:val="16"/>
              </w:rPr>
              <w:t>2023</w:t>
            </w:r>
          </w:p>
        </w:tc>
        <w:tc>
          <w:tcPr>
            <w:tcW w:w="4180" w:type="dxa"/>
            <w:vAlign w:val="center"/>
          </w:tcPr>
          <w:p w14:paraId="0449FFB9" w14:textId="7ECBDBB5" w:rsidR="008E0439" w:rsidRPr="002259D9" w:rsidRDefault="008E0439" w:rsidP="00BE5879">
            <w:pPr>
              <w:spacing w:before="0" w:after="0"/>
              <w:rPr>
                <w:sz w:val="16"/>
                <w:szCs w:val="16"/>
              </w:rPr>
            </w:pPr>
            <w:r w:rsidRPr="002259D9">
              <w:rPr>
                <w:sz w:val="16"/>
                <w:szCs w:val="16"/>
              </w:rPr>
              <w:t>No se presentaron solicitudes para bahías que sean reconocidas en el nivel de tensión solicitado para el tipo de módulo común.</w:t>
            </w:r>
          </w:p>
        </w:tc>
      </w:tr>
      <w:tr w:rsidR="008E0439" w:rsidRPr="002259D9" w14:paraId="08D79085" w14:textId="25E410F5" w:rsidTr="00AE3FBE">
        <w:trPr>
          <w:trHeight w:val="300"/>
          <w:jc w:val="center"/>
        </w:trPr>
        <w:tc>
          <w:tcPr>
            <w:tcW w:w="1555" w:type="dxa"/>
            <w:noWrap/>
            <w:vAlign w:val="center"/>
            <w:hideMark/>
          </w:tcPr>
          <w:p w14:paraId="68A8F6A6" w14:textId="77777777" w:rsidR="008E0439" w:rsidRPr="002259D9" w:rsidRDefault="008E0439" w:rsidP="008E0439">
            <w:pPr>
              <w:spacing w:before="0" w:after="0"/>
              <w:jc w:val="center"/>
              <w:rPr>
                <w:sz w:val="16"/>
                <w:szCs w:val="16"/>
              </w:rPr>
            </w:pPr>
            <w:r w:rsidRPr="002259D9">
              <w:rPr>
                <w:sz w:val="16"/>
                <w:szCs w:val="16"/>
              </w:rPr>
              <w:t>100753CDX000</w:t>
            </w:r>
          </w:p>
        </w:tc>
        <w:tc>
          <w:tcPr>
            <w:tcW w:w="850" w:type="dxa"/>
            <w:noWrap/>
            <w:vAlign w:val="center"/>
            <w:hideMark/>
          </w:tcPr>
          <w:p w14:paraId="350B2D59" w14:textId="77777777" w:rsidR="008E0439" w:rsidRPr="002259D9" w:rsidRDefault="008E0439" w:rsidP="008E0439">
            <w:pPr>
              <w:spacing w:before="0" w:after="0"/>
              <w:jc w:val="center"/>
              <w:rPr>
                <w:sz w:val="16"/>
                <w:szCs w:val="16"/>
              </w:rPr>
            </w:pPr>
            <w:r w:rsidRPr="002259D9">
              <w:rPr>
                <w:sz w:val="16"/>
                <w:szCs w:val="16"/>
              </w:rPr>
              <w:t>10075</w:t>
            </w:r>
          </w:p>
        </w:tc>
        <w:tc>
          <w:tcPr>
            <w:tcW w:w="1426" w:type="dxa"/>
            <w:vAlign w:val="center"/>
          </w:tcPr>
          <w:p w14:paraId="5745F55C" w14:textId="1D6F5FDC" w:rsidR="008E0439" w:rsidRPr="002259D9" w:rsidRDefault="008E0439" w:rsidP="008E0439">
            <w:pPr>
              <w:spacing w:before="0" w:after="0"/>
              <w:jc w:val="center"/>
              <w:rPr>
                <w:sz w:val="16"/>
                <w:szCs w:val="16"/>
              </w:rPr>
            </w:pPr>
            <w:r w:rsidRPr="002259D9">
              <w:rPr>
                <w:rFonts w:ascii="Calibri" w:hAnsi="Calibri" w:cs="Calibri"/>
                <w:color w:val="000000"/>
                <w:sz w:val="16"/>
                <w:szCs w:val="16"/>
              </w:rPr>
              <w:t>N2S62</w:t>
            </w:r>
          </w:p>
        </w:tc>
        <w:tc>
          <w:tcPr>
            <w:tcW w:w="1340" w:type="dxa"/>
            <w:vAlign w:val="center"/>
          </w:tcPr>
          <w:p w14:paraId="1B25CFF6" w14:textId="7079E4F2" w:rsidR="008E0439" w:rsidRPr="002259D9" w:rsidRDefault="008E0439" w:rsidP="008E0439">
            <w:pPr>
              <w:spacing w:before="0" w:after="0"/>
              <w:jc w:val="center"/>
              <w:rPr>
                <w:sz w:val="16"/>
                <w:szCs w:val="16"/>
              </w:rPr>
            </w:pPr>
            <w:r w:rsidRPr="002259D9">
              <w:rPr>
                <w:sz w:val="16"/>
                <w:szCs w:val="16"/>
              </w:rPr>
              <w:t>2023</w:t>
            </w:r>
          </w:p>
        </w:tc>
        <w:tc>
          <w:tcPr>
            <w:tcW w:w="4180" w:type="dxa"/>
            <w:vAlign w:val="center"/>
          </w:tcPr>
          <w:p w14:paraId="396B5C0C" w14:textId="775975EA" w:rsidR="008E0439" w:rsidRPr="002259D9" w:rsidRDefault="008E0439" w:rsidP="00BE5879">
            <w:pPr>
              <w:spacing w:before="0" w:after="0"/>
              <w:rPr>
                <w:sz w:val="16"/>
                <w:szCs w:val="16"/>
              </w:rPr>
            </w:pPr>
            <w:r w:rsidRPr="002259D9">
              <w:rPr>
                <w:sz w:val="16"/>
                <w:szCs w:val="16"/>
              </w:rPr>
              <w:t>No se presentaron solicitudes para bahías que sean reconocidas en el nivel de tensión solicitado para el tipo de módulo común.</w:t>
            </w:r>
          </w:p>
        </w:tc>
      </w:tr>
      <w:tr w:rsidR="008E0439" w:rsidRPr="002259D9" w14:paraId="4807FD55" w14:textId="66B7186A" w:rsidTr="00AE3FBE">
        <w:trPr>
          <w:trHeight w:val="300"/>
          <w:jc w:val="center"/>
        </w:trPr>
        <w:tc>
          <w:tcPr>
            <w:tcW w:w="1555" w:type="dxa"/>
            <w:noWrap/>
            <w:vAlign w:val="center"/>
            <w:hideMark/>
          </w:tcPr>
          <w:p w14:paraId="50CFE1FB" w14:textId="77777777" w:rsidR="008E0439" w:rsidRPr="002259D9" w:rsidRDefault="008E0439" w:rsidP="008E0439">
            <w:pPr>
              <w:spacing w:before="0" w:after="0"/>
              <w:jc w:val="center"/>
              <w:rPr>
                <w:sz w:val="16"/>
                <w:szCs w:val="16"/>
              </w:rPr>
            </w:pPr>
            <w:r w:rsidRPr="002259D9">
              <w:rPr>
                <w:sz w:val="16"/>
                <w:szCs w:val="16"/>
              </w:rPr>
              <w:t>103033CJT000</w:t>
            </w:r>
          </w:p>
        </w:tc>
        <w:tc>
          <w:tcPr>
            <w:tcW w:w="850" w:type="dxa"/>
            <w:noWrap/>
            <w:vAlign w:val="center"/>
            <w:hideMark/>
          </w:tcPr>
          <w:p w14:paraId="521D45B4" w14:textId="77777777" w:rsidR="008E0439" w:rsidRPr="002259D9" w:rsidRDefault="008E0439" w:rsidP="008E0439">
            <w:pPr>
              <w:spacing w:before="0" w:after="0"/>
              <w:jc w:val="center"/>
              <w:rPr>
                <w:sz w:val="16"/>
                <w:szCs w:val="16"/>
              </w:rPr>
            </w:pPr>
            <w:r w:rsidRPr="002259D9">
              <w:rPr>
                <w:sz w:val="16"/>
                <w:szCs w:val="16"/>
              </w:rPr>
              <w:t>10303</w:t>
            </w:r>
          </w:p>
        </w:tc>
        <w:tc>
          <w:tcPr>
            <w:tcW w:w="1426" w:type="dxa"/>
            <w:vAlign w:val="center"/>
          </w:tcPr>
          <w:p w14:paraId="5FDE2356" w14:textId="78EBEDC0" w:rsidR="008E0439" w:rsidRPr="002259D9" w:rsidRDefault="008E0439" w:rsidP="008E0439">
            <w:pPr>
              <w:spacing w:before="0" w:after="0"/>
              <w:jc w:val="center"/>
              <w:rPr>
                <w:sz w:val="16"/>
                <w:szCs w:val="16"/>
              </w:rPr>
            </w:pPr>
            <w:r w:rsidRPr="002259D9">
              <w:rPr>
                <w:rFonts w:ascii="Calibri" w:hAnsi="Calibri" w:cs="Calibri"/>
                <w:color w:val="000000"/>
                <w:sz w:val="16"/>
                <w:szCs w:val="16"/>
              </w:rPr>
              <w:t>N3S35</w:t>
            </w:r>
          </w:p>
        </w:tc>
        <w:tc>
          <w:tcPr>
            <w:tcW w:w="1340" w:type="dxa"/>
            <w:vAlign w:val="center"/>
          </w:tcPr>
          <w:p w14:paraId="04307A36" w14:textId="0F50FB7F" w:rsidR="008E0439" w:rsidRPr="002259D9" w:rsidRDefault="008E0439" w:rsidP="008E0439">
            <w:pPr>
              <w:spacing w:before="0" w:after="0"/>
              <w:jc w:val="center"/>
              <w:rPr>
                <w:sz w:val="16"/>
                <w:szCs w:val="16"/>
              </w:rPr>
            </w:pPr>
            <w:r w:rsidRPr="002259D9">
              <w:rPr>
                <w:sz w:val="16"/>
                <w:szCs w:val="16"/>
              </w:rPr>
              <w:t>2024</w:t>
            </w:r>
          </w:p>
        </w:tc>
        <w:tc>
          <w:tcPr>
            <w:tcW w:w="4180" w:type="dxa"/>
            <w:vAlign w:val="center"/>
          </w:tcPr>
          <w:p w14:paraId="19309578" w14:textId="19DAB3C3" w:rsidR="008E0439" w:rsidRPr="002259D9" w:rsidRDefault="008E0439" w:rsidP="00BE5879">
            <w:pPr>
              <w:spacing w:before="0" w:after="0"/>
              <w:rPr>
                <w:sz w:val="16"/>
                <w:szCs w:val="16"/>
              </w:rPr>
            </w:pPr>
            <w:r w:rsidRPr="002259D9">
              <w:rPr>
                <w:sz w:val="16"/>
                <w:szCs w:val="16"/>
              </w:rPr>
              <w:t>Solo se evidencias 3 solicitudes de bahías para el mismo año de entrada en operación y reconocidas en el mismo nivel de tensión, por otro lado, se tiene que el IUS tiene dos códigos de SE y el OR no envía el diagrama unifilar</w:t>
            </w:r>
          </w:p>
        </w:tc>
      </w:tr>
      <w:tr w:rsidR="008E0439" w:rsidRPr="002259D9" w14:paraId="1A20BCAF" w14:textId="77E2D2D7" w:rsidTr="00AE3FBE">
        <w:trPr>
          <w:trHeight w:val="300"/>
          <w:jc w:val="center"/>
        </w:trPr>
        <w:tc>
          <w:tcPr>
            <w:tcW w:w="1555" w:type="dxa"/>
            <w:noWrap/>
            <w:vAlign w:val="center"/>
            <w:hideMark/>
          </w:tcPr>
          <w:p w14:paraId="758E71C7" w14:textId="77777777" w:rsidR="008E0439" w:rsidRPr="002259D9" w:rsidRDefault="008E0439" w:rsidP="008E0439">
            <w:pPr>
              <w:spacing w:before="0" w:after="0"/>
              <w:jc w:val="center"/>
              <w:rPr>
                <w:sz w:val="16"/>
                <w:szCs w:val="16"/>
              </w:rPr>
            </w:pPr>
            <w:r w:rsidRPr="002259D9">
              <w:rPr>
                <w:sz w:val="16"/>
                <w:szCs w:val="16"/>
              </w:rPr>
              <w:t>10302040W000</w:t>
            </w:r>
          </w:p>
        </w:tc>
        <w:tc>
          <w:tcPr>
            <w:tcW w:w="850" w:type="dxa"/>
            <w:noWrap/>
            <w:vAlign w:val="center"/>
            <w:hideMark/>
          </w:tcPr>
          <w:p w14:paraId="74AFDF91" w14:textId="77777777" w:rsidR="008E0439" w:rsidRPr="002259D9" w:rsidRDefault="008E0439" w:rsidP="008E0439">
            <w:pPr>
              <w:spacing w:before="0" w:after="0"/>
              <w:jc w:val="center"/>
              <w:rPr>
                <w:sz w:val="16"/>
                <w:szCs w:val="16"/>
              </w:rPr>
            </w:pPr>
            <w:r w:rsidRPr="002259D9">
              <w:rPr>
                <w:sz w:val="16"/>
                <w:szCs w:val="16"/>
              </w:rPr>
              <w:t>10302</w:t>
            </w:r>
          </w:p>
        </w:tc>
        <w:tc>
          <w:tcPr>
            <w:tcW w:w="1426" w:type="dxa"/>
            <w:vAlign w:val="center"/>
          </w:tcPr>
          <w:p w14:paraId="2A5E7CC8" w14:textId="1C0C0842" w:rsidR="008E0439" w:rsidRPr="002259D9" w:rsidRDefault="008E0439" w:rsidP="008E0439">
            <w:pPr>
              <w:spacing w:before="0" w:after="0"/>
              <w:jc w:val="center"/>
              <w:rPr>
                <w:sz w:val="16"/>
                <w:szCs w:val="16"/>
              </w:rPr>
            </w:pPr>
            <w:r w:rsidRPr="002259D9">
              <w:rPr>
                <w:rFonts w:ascii="Calibri" w:hAnsi="Calibri" w:cs="Calibri"/>
                <w:color w:val="000000"/>
                <w:sz w:val="16"/>
                <w:szCs w:val="16"/>
              </w:rPr>
              <w:t>N2S62</w:t>
            </w:r>
          </w:p>
        </w:tc>
        <w:tc>
          <w:tcPr>
            <w:tcW w:w="1340" w:type="dxa"/>
            <w:vAlign w:val="center"/>
          </w:tcPr>
          <w:p w14:paraId="234C2319" w14:textId="30CCFA0D" w:rsidR="008E0439" w:rsidRPr="002259D9" w:rsidRDefault="008E0439" w:rsidP="008E0439">
            <w:pPr>
              <w:spacing w:before="0" w:after="0"/>
              <w:jc w:val="center"/>
              <w:rPr>
                <w:sz w:val="16"/>
                <w:szCs w:val="16"/>
              </w:rPr>
            </w:pPr>
            <w:r w:rsidRPr="002259D9">
              <w:rPr>
                <w:sz w:val="16"/>
                <w:szCs w:val="16"/>
              </w:rPr>
              <w:t>2020</w:t>
            </w:r>
          </w:p>
        </w:tc>
        <w:tc>
          <w:tcPr>
            <w:tcW w:w="4180" w:type="dxa"/>
            <w:vAlign w:val="center"/>
          </w:tcPr>
          <w:p w14:paraId="53BF6F6D" w14:textId="26429B1F" w:rsidR="008E0439" w:rsidRPr="002259D9" w:rsidRDefault="008E0439" w:rsidP="00BE5879">
            <w:pPr>
              <w:spacing w:before="0" w:after="0"/>
              <w:rPr>
                <w:sz w:val="16"/>
                <w:szCs w:val="16"/>
              </w:rPr>
            </w:pPr>
            <w:r w:rsidRPr="002259D9">
              <w:rPr>
                <w:sz w:val="16"/>
                <w:szCs w:val="16"/>
              </w:rPr>
              <w:t>No se presentaron solicitudes para bahías que sean reconocidas en el nivel de tensión solicitado para el tipo de módulo común.</w:t>
            </w:r>
          </w:p>
        </w:tc>
      </w:tr>
      <w:tr w:rsidR="008E0439" w:rsidRPr="002259D9" w14:paraId="331D1FCB" w14:textId="72228309" w:rsidTr="00AE3FBE">
        <w:trPr>
          <w:trHeight w:val="300"/>
          <w:jc w:val="center"/>
        </w:trPr>
        <w:tc>
          <w:tcPr>
            <w:tcW w:w="1555" w:type="dxa"/>
            <w:noWrap/>
            <w:vAlign w:val="center"/>
            <w:hideMark/>
          </w:tcPr>
          <w:p w14:paraId="74F3348D" w14:textId="77777777" w:rsidR="008E0439" w:rsidRPr="002259D9" w:rsidRDefault="008E0439" w:rsidP="008E0439">
            <w:pPr>
              <w:spacing w:before="0" w:after="0"/>
              <w:jc w:val="center"/>
              <w:rPr>
                <w:sz w:val="16"/>
                <w:szCs w:val="16"/>
              </w:rPr>
            </w:pPr>
            <w:r w:rsidRPr="002259D9">
              <w:rPr>
                <w:sz w:val="16"/>
                <w:szCs w:val="16"/>
              </w:rPr>
              <w:t>100560441000</w:t>
            </w:r>
          </w:p>
        </w:tc>
        <w:tc>
          <w:tcPr>
            <w:tcW w:w="850" w:type="dxa"/>
            <w:noWrap/>
            <w:vAlign w:val="center"/>
            <w:hideMark/>
          </w:tcPr>
          <w:p w14:paraId="31340128" w14:textId="77777777" w:rsidR="008E0439" w:rsidRPr="002259D9" w:rsidRDefault="008E0439" w:rsidP="008E0439">
            <w:pPr>
              <w:spacing w:before="0" w:after="0"/>
              <w:jc w:val="center"/>
              <w:rPr>
                <w:sz w:val="16"/>
                <w:szCs w:val="16"/>
              </w:rPr>
            </w:pPr>
            <w:r w:rsidRPr="002259D9">
              <w:rPr>
                <w:sz w:val="16"/>
                <w:szCs w:val="16"/>
              </w:rPr>
              <w:t>10056</w:t>
            </w:r>
          </w:p>
        </w:tc>
        <w:tc>
          <w:tcPr>
            <w:tcW w:w="1426" w:type="dxa"/>
            <w:vAlign w:val="center"/>
          </w:tcPr>
          <w:p w14:paraId="5C7ED7DD" w14:textId="2F16D449" w:rsidR="008E0439" w:rsidRPr="002259D9" w:rsidRDefault="008E0439" w:rsidP="008E0439">
            <w:pPr>
              <w:spacing w:before="0" w:after="0"/>
              <w:jc w:val="center"/>
              <w:rPr>
                <w:sz w:val="16"/>
                <w:szCs w:val="16"/>
              </w:rPr>
            </w:pPr>
            <w:r w:rsidRPr="002259D9">
              <w:rPr>
                <w:rFonts w:ascii="Calibri" w:hAnsi="Calibri" w:cs="Calibri"/>
                <w:color w:val="000000"/>
                <w:sz w:val="16"/>
                <w:szCs w:val="16"/>
              </w:rPr>
              <w:t>N4S42</w:t>
            </w:r>
          </w:p>
        </w:tc>
        <w:tc>
          <w:tcPr>
            <w:tcW w:w="1340" w:type="dxa"/>
            <w:vAlign w:val="center"/>
          </w:tcPr>
          <w:p w14:paraId="6D41069D" w14:textId="42A18011" w:rsidR="008E0439" w:rsidRPr="002259D9" w:rsidRDefault="008E0439" w:rsidP="008E0439">
            <w:pPr>
              <w:spacing w:before="0" w:after="0"/>
              <w:jc w:val="center"/>
              <w:rPr>
                <w:sz w:val="16"/>
                <w:szCs w:val="16"/>
              </w:rPr>
            </w:pPr>
            <w:r w:rsidRPr="002259D9">
              <w:rPr>
                <w:sz w:val="16"/>
                <w:szCs w:val="16"/>
              </w:rPr>
              <w:t>2020</w:t>
            </w:r>
          </w:p>
        </w:tc>
        <w:tc>
          <w:tcPr>
            <w:tcW w:w="4180" w:type="dxa"/>
            <w:vAlign w:val="center"/>
          </w:tcPr>
          <w:p w14:paraId="3109D353" w14:textId="78CEF9E0" w:rsidR="008E0439" w:rsidRPr="002259D9" w:rsidRDefault="008E0439" w:rsidP="00BE5879">
            <w:pPr>
              <w:spacing w:before="0" w:after="0"/>
              <w:rPr>
                <w:sz w:val="16"/>
                <w:szCs w:val="16"/>
              </w:rPr>
            </w:pPr>
            <w:r w:rsidRPr="002259D9">
              <w:rPr>
                <w:sz w:val="16"/>
                <w:szCs w:val="16"/>
              </w:rPr>
              <w:t>El OR aclara la solicitud se aprueba la UC</w:t>
            </w:r>
          </w:p>
        </w:tc>
      </w:tr>
    </w:tbl>
    <w:p w14:paraId="049EEC61" w14:textId="21E6A87E" w:rsidR="0099446F" w:rsidRPr="002259D9" w:rsidRDefault="0099446F" w:rsidP="00025C30">
      <w:pPr>
        <w:spacing w:before="0" w:after="240"/>
      </w:pPr>
      <w:r w:rsidRPr="002259D9">
        <w:t xml:space="preserve">Por otro lado, se </w:t>
      </w:r>
      <w:r w:rsidR="00335D8A" w:rsidRPr="002259D9">
        <w:t>identificó</w:t>
      </w:r>
      <w:r w:rsidRPr="002259D9">
        <w:t xml:space="preserve"> </w:t>
      </w:r>
      <w:r w:rsidR="00335D8A" w:rsidRPr="002259D9">
        <w:t>que,</w:t>
      </w:r>
      <w:r w:rsidRPr="002259D9">
        <w:t xml:space="preserve"> en el inventario reconocido en la revisión inicial, las siguientes UC de módulo común</w:t>
      </w:r>
      <w:r w:rsidR="00335D8A" w:rsidRPr="002259D9">
        <w:t>, se encuentran con la casilla “</w:t>
      </w:r>
      <w:proofErr w:type="spellStart"/>
      <w:r w:rsidR="00335D8A" w:rsidRPr="002259D9">
        <w:t>ActivoReconocido</w:t>
      </w:r>
      <w:proofErr w:type="spellEnd"/>
      <w:r w:rsidR="00335D8A" w:rsidRPr="002259D9">
        <w:t xml:space="preserve">” con el dígito 1, pero </w:t>
      </w:r>
      <w:r w:rsidR="001C1D7B" w:rsidRPr="002259D9">
        <w:t>al momento de la valoración su valor reconocido es de 0</w:t>
      </w:r>
      <w:r w:rsidR="007F49D1">
        <w:t>. L</w:t>
      </w:r>
      <w:r w:rsidR="001C1D7B" w:rsidRPr="002259D9">
        <w:t xml:space="preserve">o anterior debido a los siguientes comentarios de la </w:t>
      </w:r>
      <w:r w:rsidR="00C73249">
        <w:t>Comisión</w:t>
      </w:r>
      <w:r w:rsidR="007F49D1">
        <w:t>. P</w:t>
      </w:r>
      <w:r w:rsidR="001C1D7B" w:rsidRPr="002259D9">
        <w:t xml:space="preserve">or tanto, se cambia el </w:t>
      </w:r>
      <w:r w:rsidR="007F49D1" w:rsidRPr="002259D9">
        <w:t>d</w:t>
      </w:r>
      <w:r w:rsidR="007F49D1">
        <w:t>í</w:t>
      </w:r>
      <w:r w:rsidR="007F49D1" w:rsidRPr="002259D9">
        <w:t xml:space="preserve">gito </w:t>
      </w:r>
      <w:r w:rsidR="001C1D7B" w:rsidRPr="002259D9">
        <w:t xml:space="preserve">del campo </w:t>
      </w:r>
      <w:r w:rsidR="008E4E07" w:rsidRPr="002259D9">
        <w:t>“</w:t>
      </w:r>
      <w:proofErr w:type="spellStart"/>
      <w:r w:rsidR="008E4E07" w:rsidRPr="002259D9">
        <w:t>ActivoReconocido</w:t>
      </w:r>
      <w:proofErr w:type="spellEnd"/>
      <w:r w:rsidR="008E4E07" w:rsidRPr="002259D9">
        <w:t xml:space="preserve">” </w:t>
      </w:r>
      <w:r w:rsidR="001C1D7B" w:rsidRPr="002259D9">
        <w:t xml:space="preserve">a 0. </w:t>
      </w:r>
    </w:p>
    <w:tbl>
      <w:tblPr>
        <w:tblStyle w:val="Tablaconcuadrcula"/>
        <w:tblW w:w="9356" w:type="dxa"/>
        <w:tblLook w:val="04A0" w:firstRow="1" w:lastRow="0" w:firstColumn="1" w:lastColumn="0" w:noHBand="0" w:noVBand="1"/>
      </w:tblPr>
      <w:tblGrid>
        <w:gridCol w:w="713"/>
        <w:gridCol w:w="1493"/>
        <w:gridCol w:w="7216"/>
      </w:tblGrid>
      <w:tr w:rsidR="00DB10E5" w:rsidRPr="002259D9" w14:paraId="3A943080" w14:textId="77777777" w:rsidTr="00891038">
        <w:trPr>
          <w:trHeight w:val="300"/>
        </w:trPr>
        <w:tc>
          <w:tcPr>
            <w:tcW w:w="658" w:type="dxa"/>
            <w:noWrap/>
            <w:vAlign w:val="center"/>
            <w:hideMark/>
          </w:tcPr>
          <w:p w14:paraId="6A6E71C2" w14:textId="77777777" w:rsidR="00DB10E5" w:rsidRPr="002259D9" w:rsidRDefault="00DB10E5" w:rsidP="00891038">
            <w:pPr>
              <w:spacing w:before="0" w:after="0"/>
              <w:jc w:val="center"/>
              <w:rPr>
                <w:b/>
                <w:bCs/>
                <w:sz w:val="18"/>
                <w:szCs w:val="18"/>
              </w:rPr>
            </w:pPr>
            <w:r w:rsidRPr="002259D9">
              <w:rPr>
                <w:b/>
                <w:bCs/>
                <w:sz w:val="18"/>
                <w:szCs w:val="18"/>
              </w:rPr>
              <w:t>IUS</w:t>
            </w:r>
          </w:p>
        </w:tc>
        <w:tc>
          <w:tcPr>
            <w:tcW w:w="1482" w:type="dxa"/>
            <w:noWrap/>
            <w:vAlign w:val="center"/>
            <w:hideMark/>
          </w:tcPr>
          <w:p w14:paraId="2A0F11F8" w14:textId="77777777" w:rsidR="00DB10E5" w:rsidRPr="002259D9" w:rsidRDefault="00DB10E5" w:rsidP="00891038">
            <w:pPr>
              <w:spacing w:before="0" w:after="0"/>
              <w:jc w:val="center"/>
              <w:rPr>
                <w:b/>
                <w:bCs/>
                <w:sz w:val="18"/>
                <w:szCs w:val="18"/>
              </w:rPr>
            </w:pPr>
            <w:r w:rsidRPr="002259D9">
              <w:rPr>
                <w:b/>
                <w:bCs/>
                <w:sz w:val="18"/>
                <w:szCs w:val="18"/>
              </w:rPr>
              <w:t>IUA</w:t>
            </w:r>
          </w:p>
        </w:tc>
        <w:tc>
          <w:tcPr>
            <w:tcW w:w="7216" w:type="dxa"/>
            <w:noWrap/>
            <w:vAlign w:val="center"/>
            <w:hideMark/>
          </w:tcPr>
          <w:p w14:paraId="1F311F8D" w14:textId="7FB7F2DF" w:rsidR="00DB10E5" w:rsidRPr="002259D9" w:rsidRDefault="00DB10E5" w:rsidP="00891038">
            <w:pPr>
              <w:spacing w:before="0" w:after="0"/>
              <w:jc w:val="center"/>
              <w:rPr>
                <w:b/>
                <w:bCs/>
                <w:sz w:val="18"/>
                <w:szCs w:val="18"/>
              </w:rPr>
            </w:pPr>
            <w:r w:rsidRPr="002259D9">
              <w:rPr>
                <w:b/>
                <w:bCs/>
                <w:sz w:val="18"/>
                <w:szCs w:val="18"/>
              </w:rPr>
              <w:t>Revisión del recurso</w:t>
            </w:r>
          </w:p>
        </w:tc>
      </w:tr>
      <w:tr w:rsidR="00DB10E5" w:rsidRPr="002259D9" w14:paraId="329B240C" w14:textId="77777777" w:rsidTr="00891038">
        <w:trPr>
          <w:trHeight w:val="300"/>
        </w:trPr>
        <w:tc>
          <w:tcPr>
            <w:tcW w:w="658" w:type="dxa"/>
            <w:noWrap/>
            <w:vAlign w:val="center"/>
            <w:hideMark/>
          </w:tcPr>
          <w:p w14:paraId="621574E4" w14:textId="77777777" w:rsidR="00DB10E5" w:rsidRPr="002259D9" w:rsidRDefault="00DB10E5" w:rsidP="00891038">
            <w:pPr>
              <w:spacing w:before="0" w:after="0"/>
              <w:jc w:val="center"/>
              <w:rPr>
                <w:sz w:val="16"/>
                <w:szCs w:val="16"/>
              </w:rPr>
            </w:pPr>
            <w:r w:rsidRPr="002259D9">
              <w:rPr>
                <w:sz w:val="16"/>
                <w:szCs w:val="16"/>
              </w:rPr>
              <w:t>10080</w:t>
            </w:r>
          </w:p>
        </w:tc>
        <w:tc>
          <w:tcPr>
            <w:tcW w:w="1482" w:type="dxa"/>
            <w:noWrap/>
            <w:vAlign w:val="center"/>
            <w:hideMark/>
          </w:tcPr>
          <w:p w14:paraId="6C323939" w14:textId="77777777" w:rsidR="00DB10E5" w:rsidRPr="002259D9" w:rsidRDefault="00DB10E5" w:rsidP="00891038">
            <w:pPr>
              <w:spacing w:before="0" w:after="0"/>
              <w:jc w:val="center"/>
              <w:rPr>
                <w:sz w:val="16"/>
                <w:szCs w:val="16"/>
              </w:rPr>
            </w:pPr>
            <w:r w:rsidRPr="002259D9">
              <w:rPr>
                <w:sz w:val="16"/>
                <w:szCs w:val="16"/>
              </w:rPr>
              <w:t>100803BTF000</w:t>
            </w:r>
          </w:p>
        </w:tc>
        <w:tc>
          <w:tcPr>
            <w:tcW w:w="7216" w:type="dxa"/>
            <w:noWrap/>
            <w:vAlign w:val="center"/>
            <w:hideMark/>
          </w:tcPr>
          <w:p w14:paraId="5DCA3D36" w14:textId="7F939DB9"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2A25AA73" w14:textId="77777777" w:rsidTr="00891038">
        <w:trPr>
          <w:trHeight w:val="300"/>
        </w:trPr>
        <w:tc>
          <w:tcPr>
            <w:tcW w:w="658" w:type="dxa"/>
            <w:noWrap/>
            <w:vAlign w:val="center"/>
            <w:hideMark/>
          </w:tcPr>
          <w:p w14:paraId="04C2BBA0" w14:textId="77777777" w:rsidR="00DB10E5" w:rsidRPr="002259D9" w:rsidRDefault="00DB10E5" w:rsidP="00891038">
            <w:pPr>
              <w:spacing w:before="0" w:after="0"/>
              <w:jc w:val="center"/>
              <w:rPr>
                <w:sz w:val="16"/>
                <w:szCs w:val="16"/>
              </w:rPr>
            </w:pPr>
            <w:r w:rsidRPr="002259D9">
              <w:rPr>
                <w:sz w:val="16"/>
                <w:szCs w:val="16"/>
              </w:rPr>
              <w:t>10080</w:t>
            </w:r>
          </w:p>
        </w:tc>
        <w:tc>
          <w:tcPr>
            <w:tcW w:w="1482" w:type="dxa"/>
            <w:noWrap/>
            <w:vAlign w:val="center"/>
            <w:hideMark/>
          </w:tcPr>
          <w:p w14:paraId="3DA4A5BE" w14:textId="77777777" w:rsidR="00DB10E5" w:rsidRPr="002259D9" w:rsidRDefault="00DB10E5" w:rsidP="00891038">
            <w:pPr>
              <w:spacing w:before="0" w:after="0"/>
              <w:jc w:val="center"/>
              <w:rPr>
                <w:sz w:val="16"/>
                <w:szCs w:val="16"/>
              </w:rPr>
            </w:pPr>
            <w:r w:rsidRPr="002259D9">
              <w:rPr>
                <w:sz w:val="16"/>
                <w:szCs w:val="16"/>
              </w:rPr>
              <w:t>10080043B000</w:t>
            </w:r>
          </w:p>
        </w:tc>
        <w:tc>
          <w:tcPr>
            <w:tcW w:w="7216" w:type="dxa"/>
            <w:noWrap/>
            <w:vAlign w:val="center"/>
            <w:hideMark/>
          </w:tcPr>
          <w:p w14:paraId="707741D6" w14:textId="5D16BF43"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2F556D56" w14:textId="77777777" w:rsidTr="00891038">
        <w:trPr>
          <w:trHeight w:val="300"/>
        </w:trPr>
        <w:tc>
          <w:tcPr>
            <w:tcW w:w="658" w:type="dxa"/>
            <w:noWrap/>
            <w:vAlign w:val="center"/>
            <w:hideMark/>
          </w:tcPr>
          <w:p w14:paraId="0208D36D" w14:textId="77777777" w:rsidR="00DB10E5" w:rsidRPr="002259D9" w:rsidRDefault="00DB10E5" w:rsidP="00891038">
            <w:pPr>
              <w:spacing w:before="0" w:after="0"/>
              <w:jc w:val="center"/>
              <w:rPr>
                <w:sz w:val="16"/>
                <w:szCs w:val="16"/>
              </w:rPr>
            </w:pPr>
            <w:r w:rsidRPr="002259D9">
              <w:rPr>
                <w:sz w:val="16"/>
                <w:szCs w:val="16"/>
              </w:rPr>
              <w:t>10136</w:t>
            </w:r>
          </w:p>
        </w:tc>
        <w:tc>
          <w:tcPr>
            <w:tcW w:w="1482" w:type="dxa"/>
            <w:noWrap/>
            <w:vAlign w:val="center"/>
            <w:hideMark/>
          </w:tcPr>
          <w:p w14:paraId="27A3A150" w14:textId="77777777" w:rsidR="00DB10E5" w:rsidRPr="002259D9" w:rsidRDefault="00DB10E5" w:rsidP="00891038">
            <w:pPr>
              <w:spacing w:before="0" w:after="0"/>
              <w:jc w:val="center"/>
              <w:rPr>
                <w:sz w:val="16"/>
                <w:szCs w:val="16"/>
              </w:rPr>
            </w:pPr>
            <w:r w:rsidRPr="002259D9">
              <w:rPr>
                <w:sz w:val="16"/>
                <w:szCs w:val="16"/>
              </w:rPr>
              <w:t>101363BVW000</w:t>
            </w:r>
          </w:p>
        </w:tc>
        <w:tc>
          <w:tcPr>
            <w:tcW w:w="7216" w:type="dxa"/>
            <w:noWrap/>
            <w:vAlign w:val="center"/>
            <w:hideMark/>
          </w:tcPr>
          <w:p w14:paraId="4B70540E"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DB10E5" w:rsidRPr="002259D9" w14:paraId="63AAF1D3" w14:textId="77777777" w:rsidTr="00891038">
        <w:trPr>
          <w:trHeight w:val="300"/>
        </w:trPr>
        <w:tc>
          <w:tcPr>
            <w:tcW w:w="658" w:type="dxa"/>
            <w:noWrap/>
            <w:vAlign w:val="center"/>
            <w:hideMark/>
          </w:tcPr>
          <w:p w14:paraId="7B504452" w14:textId="77777777" w:rsidR="00DB10E5" w:rsidRPr="002259D9" w:rsidRDefault="00DB10E5" w:rsidP="00891038">
            <w:pPr>
              <w:spacing w:before="0" w:after="0"/>
              <w:jc w:val="center"/>
              <w:rPr>
                <w:sz w:val="16"/>
                <w:szCs w:val="16"/>
              </w:rPr>
            </w:pPr>
            <w:r w:rsidRPr="002259D9">
              <w:rPr>
                <w:sz w:val="16"/>
                <w:szCs w:val="16"/>
              </w:rPr>
              <w:t>10049</w:t>
            </w:r>
          </w:p>
        </w:tc>
        <w:tc>
          <w:tcPr>
            <w:tcW w:w="1482" w:type="dxa"/>
            <w:noWrap/>
            <w:vAlign w:val="center"/>
            <w:hideMark/>
          </w:tcPr>
          <w:p w14:paraId="5159F3F3" w14:textId="77777777" w:rsidR="00DB10E5" w:rsidRPr="002259D9" w:rsidRDefault="00DB10E5" w:rsidP="00891038">
            <w:pPr>
              <w:spacing w:before="0" w:after="0"/>
              <w:jc w:val="center"/>
              <w:rPr>
                <w:sz w:val="16"/>
                <w:szCs w:val="16"/>
              </w:rPr>
            </w:pPr>
            <w:r w:rsidRPr="002259D9">
              <w:rPr>
                <w:sz w:val="16"/>
                <w:szCs w:val="16"/>
              </w:rPr>
              <w:t>100493C0G000</w:t>
            </w:r>
          </w:p>
        </w:tc>
        <w:tc>
          <w:tcPr>
            <w:tcW w:w="7216" w:type="dxa"/>
            <w:noWrap/>
            <w:vAlign w:val="center"/>
            <w:hideMark/>
          </w:tcPr>
          <w:p w14:paraId="02F09C5B" w14:textId="4CB44D53"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32EBE0B2" w14:textId="77777777" w:rsidTr="00891038">
        <w:trPr>
          <w:trHeight w:val="300"/>
        </w:trPr>
        <w:tc>
          <w:tcPr>
            <w:tcW w:w="658" w:type="dxa"/>
            <w:noWrap/>
            <w:vAlign w:val="center"/>
            <w:hideMark/>
          </w:tcPr>
          <w:p w14:paraId="300C1049" w14:textId="77777777" w:rsidR="00DB10E5" w:rsidRPr="002259D9" w:rsidRDefault="00DB10E5" w:rsidP="00891038">
            <w:pPr>
              <w:spacing w:before="0" w:after="0"/>
              <w:jc w:val="center"/>
              <w:rPr>
                <w:sz w:val="16"/>
                <w:szCs w:val="16"/>
              </w:rPr>
            </w:pPr>
            <w:r w:rsidRPr="002259D9">
              <w:rPr>
                <w:sz w:val="16"/>
                <w:szCs w:val="16"/>
              </w:rPr>
              <w:t>10097</w:t>
            </w:r>
          </w:p>
        </w:tc>
        <w:tc>
          <w:tcPr>
            <w:tcW w:w="1482" w:type="dxa"/>
            <w:noWrap/>
            <w:vAlign w:val="center"/>
            <w:hideMark/>
          </w:tcPr>
          <w:p w14:paraId="59D988D3" w14:textId="77777777" w:rsidR="00DB10E5" w:rsidRPr="002259D9" w:rsidRDefault="00DB10E5" w:rsidP="00891038">
            <w:pPr>
              <w:spacing w:before="0" w:after="0"/>
              <w:jc w:val="center"/>
              <w:rPr>
                <w:sz w:val="16"/>
                <w:szCs w:val="16"/>
              </w:rPr>
            </w:pPr>
            <w:r w:rsidRPr="002259D9">
              <w:rPr>
                <w:sz w:val="16"/>
                <w:szCs w:val="16"/>
              </w:rPr>
              <w:t>100973C5B000</w:t>
            </w:r>
          </w:p>
        </w:tc>
        <w:tc>
          <w:tcPr>
            <w:tcW w:w="7216" w:type="dxa"/>
            <w:noWrap/>
            <w:vAlign w:val="center"/>
            <w:hideMark/>
          </w:tcPr>
          <w:p w14:paraId="0962EB5C"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DB10E5" w:rsidRPr="002259D9" w14:paraId="40523716" w14:textId="77777777" w:rsidTr="00891038">
        <w:trPr>
          <w:trHeight w:val="300"/>
        </w:trPr>
        <w:tc>
          <w:tcPr>
            <w:tcW w:w="658" w:type="dxa"/>
            <w:noWrap/>
            <w:vAlign w:val="center"/>
            <w:hideMark/>
          </w:tcPr>
          <w:p w14:paraId="1E17CFF4" w14:textId="77777777" w:rsidR="00DB10E5" w:rsidRPr="002259D9" w:rsidRDefault="00DB10E5" w:rsidP="00891038">
            <w:pPr>
              <w:spacing w:before="0" w:after="0"/>
              <w:jc w:val="center"/>
              <w:rPr>
                <w:sz w:val="16"/>
                <w:szCs w:val="16"/>
              </w:rPr>
            </w:pPr>
            <w:r w:rsidRPr="002259D9">
              <w:rPr>
                <w:sz w:val="16"/>
                <w:szCs w:val="16"/>
              </w:rPr>
              <w:t>10011</w:t>
            </w:r>
          </w:p>
        </w:tc>
        <w:tc>
          <w:tcPr>
            <w:tcW w:w="1482" w:type="dxa"/>
            <w:noWrap/>
            <w:vAlign w:val="center"/>
            <w:hideMark/>
          </w:tcPr>
          <w:p w14:paraId="12917B77" w14:textId="77777777" w:rsidR="00DB10E5" w:rsidRPr="002259D9" w:rsidRDefault="00DB10E5" w:rsidP="00891038">
            <w:pPr>
              <w:spacing w:before="0" w:after="0"/>
              <w:jc w:val="center"/>
              <w:rPr>
                <w:sz w:val="16"/>
                <w:szCs w:val="16"/>
              </w:rPr>
            </w:pPr>
            <w:r w:rsidRPr="002259D9">
              <w:rPr>
                <w:sz w:val="16"/>
                <w:szCs w:val="16"/>
              </w:rPr>
              <w:t>100113C5C000</w:t>
            </w:r>
          </w:p>
        </w:tc>
        <w:tc>
          <w:tcPr>
            <w:tcW w:w="7216" w:type="dxa"/>
            <w:noWrap/>
            <w:vAlign w:val="center"/>
            <w:hideMark/>
          </w:tcPr>
          <w:p w14:paraId="723A4411"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DB10E5" w:rsidRPr="002259D9" w14:paraId="5D65E356" w14:textId="77777777" w:rsidTr="00891038">
        <w:trPr>
          <w:trHeight w:val="300"/>
        </w:trPr>
        <w:tc>
          <w:tcPr>
            <w:tcW w:w="658" w:type="dxa"/>
            <w:noWrap/>
            <w:vAlign w:val="center"/>
            <w:hideMark/>
          </w:tcPr>
          <w:p w14:paraId="2D182B06" w14:textId="77777777" w:rsidR="00DB10E5" w:rsidRPr="002259D9" w:rsidRDefault="00DB10E5" w:rsidP="00891038">
            <w:pPr>
              <w:spacing w:before="0" w:after="0"/>
              <w:jc w:val="center"/>
              <w:rPr>
                <w:sz w:val="16"/>
                <w:szCs w:val="16"/>
              </w:rPr>
            </w:pPr>
            <w:r w:rsidRPr="002259D9">
              <w:rPr>
                <w:sz w:val="16"/>
                <w:szCs w:val="16"/>
              </w:rPr>
              <w:t>10069</w:t>
            </w:r>
          </w:p>
        </w:tc>
        <w:tc>
          <w:tcPr>
            <w:tcW w:w="1482" w:type="dxa"/>
            <w:noWrap/>
            <w:vAlign w:val="center"/>
            <w:hideMark/>
          </w:tcPr>
          <w:p w14:paraId="13374B77" w14:textId="77777777" w:rsidR="00DB10E5" w:rsidRPr="002259D9" w:rsidRDefault="00DB10E5" w:rsidP="00891038">
            <w:pPr>
              <w:spacing w:before="0" w:after="0"/>
              <w:jc w:val="center"/>
              <w:rPr>
                <w:sz w:val="16"/>
                <w:szCs w:val="16"/>
              </w:rPr>
            </w:pPr>
            <w:r w:rsidRPr="002259D9">
              <w:rPr>
                <w:sz w:val="16"/>
                <w:szCs w:val="16"/>
              </w:rPr>
              <w:t>100693C86000</w:t>
            </w:r>
          </w:p>
        </w:tc>
        <w:tc>
          <w:tcPr>
            <w:tcW w:w="7216" w:type="dxa"/>
            <w:noWrap/>
            <w:vAlign w:val="center"/>
            <w:hideMark/>
          </w:tcPr>
          <w:p w14:paraId="4B56D63E"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DB10E5" w:rsidRPr="002259D9" w14:paraId="66E0776B" w14:textId="77777777" w:rsidTr="00891038">
        <w:trPr>
          <w:trHeight w:val="300"/>
        </w:trPr>
        <w:tc>
          <w:tcPr>
            <w:tcW w:w="658" w:type="dxa"/>
            <w:noWrap/>
            <w:vAlign w:val="center"/>
            <w:hideMark/>
          </w:tcPr>
          <w:p w14:paraId="28CF39C7" w14:textId="77777777" w:rsidR="00DB10E5" w:rsidRPr="002259D9" w:rsidRDefault="00DB10E5" w:rsidP="00891038">
            <w:pPr>
              <w:spacing w:before="0" w:after="0"/>
              <w:jc w:val="center"/>
              <w:rPr>
                <w:sz w:val="16"/>
                <w:szCs w:val="16"/>
              </w:rPr>
            </w:pPr>
            <w:r w:rsidRPr="002259D9">
              <w:rPr>
                <w:sz w:val="16"/>
                <w:szCs w:val="16"/>
              </w:rPr>
              <w:t>10100</w:t>
            </w:r>
          </w:p>
        </w:tc>
        <w:tc>
          <w:tcPr>
            <w:tcW w:w="1482" w:type="dxa"/>
            <w:noWrap/>
            <w:vAlign w:val="center"/>
            <w:hideMark/>
          </w:tcPr>
          <w:p w14:paraId="30E85179" w14:textId="77777777" w:rsidR="00DB10E5" w:rsidRPr="002259D9" w:rsidRDefault="00DB10E5" w:rsidP="00891038">
            <w:pPr>
              <w:spacing w:before="0" w:after="0"/>
              <w:jc w:val="center"/>
              <w:rPr>
                <w:sz w:val="16"/>
                <w:szCs w:val="16"/>
              </w:rPr>
            </w:pPr>
            <w:r w:rsidRPr="002259D9">
              <w:rPr>
                <w:sz w:val="16"/>
                <w:szCs w:val="16"/>
              </w:rPr>
              <w:t>101003C89000</w:t>
            </w:r>
          </w:p>
        </w:tc>
        <w:tc>
          <w:tcPr>
            <w:tcW w:w="7216" w:type="dxa"/>
            <w:noWrap/>
            <w:vAlign w:val="center"/>
            <w:hideMark/>
          </w:tcPr>
          <w:p w14:paraId="5B8A620D" w14:textId="3C0736C7"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54294449" w14:textId="77777777" w:rsidTr="00891038">
        <w:trPr>
          <w:trHeight w:val="300"/>
        </w:trPr>
        <w:tc>
          <w:tcPr>
            <w:tcW w:w="658" w:type="dxa"/>
            <w:noWrap/>
            <w:vAlign w:val="center"/>
            <w:hideMark/>
          </w:tcPr>
          <w:p w14:paraId="4C5236E3" w14:textId="77777777" w:rsidR="00DB10E5" w:rsidRPr="002259D9" w:rsidRDefault="00DB10E5" w:rsidP="00891038">
            <w:pPr>
              <w:spacing w:before="0" w:after="0"/>
              <w:jc w:val="center"/>
              <w:rPr>
                <w:sz w:val="16"/>
                <w:szCs w:val="16"/>
              </w:rPr>
            </w:pPr>
            <w:r w:rsidRPr="002259D9">
              <w:rPr>
                <w:sz w:val="16"/>
                <w:szCs w:val="16"/>
              </w:rPr>
              <w:t>10032</w:t>
            </w:r>
          </w:p>
        </w:tc>
        <w:tc>
          <w:tcPr>
            <w:tcW w:w="1482" w:type="dxa"/>
            <w:noWrap/>
            <w:vAlign w:val="center"/>
            <w:hideMark/>
          </w:tcPr>
          <w:p w14:paraId="09107557" w14:textId="77777777" w:rsidR="00DB10E5" w:rsidRPr="002259D9" w:rsidRDefault="00DB10E5" w:rsidP="00891038">
            <w:pPr>
              <w:spacing w:before="0" w:after="0"/>
              <w:jc w:val="center"/>
              <w:rPr>
                <w:sz w:val="16"/>
                <w:szCs w:val="16"/>
              </w:rPr>
            </w:pPr>
            <w:r w:rsidRPr="002259D9">
              <w:rPr>
                <w:sz w:val="16"/>
                <w:szCs w:val="16"/>
              </w:rPr>
              <w:t>100323CBU000</w:t>
            </w:r>
          </w:p>
        </w:tc>
        <w:tc>
          <w:tcPr>
            <w:tcW w:w="7216" w:type="dxa"/>
            <w:noWrap/>
            <w:vAlign w:val="center"/>
            <w:hideMark/>
          </w:tcPr>
          <w:p w14:paraId="57723A09" w14:textId="7BCD5106"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7B536525" w14:textId="77777777" w:rsidTr="00891038">
        <w:trPr>
          <w:trHeight w:val="300"/>
        </w:trPr>
        <w:tc>
          <w:tcPr>
            <w:tcW w:w="658" w:type="dxa"/>
            <w:noWrap/>
            <w:vAlign w:val="center"/>
            <w:hideMark/>
          </w:tcPr>
          <w:p w14:paraId="0EF49FF6" w14:textId="77777777" w:rsidR="00DB10E5" w:rsidRPr="002259D9" w:rsidRDefault="00DB10E5" w:rsidP="00891038">
            <w:pPr>
              <w:spacing w:before="0" w:after="0"/>
              <w:jc w:val="center"/>
              <w:rPr>
                <w:sz w:val="16"/>
                <w:szCs w:val="16"/>
              </w:rPr>
            </w:pPr>
            <w:r w:rsidRPr="002259D9">
              <w:rPr>
                <w:sz w:val="16"/>
                <w:szCs w:val="16"/>
              </w:rPr>
              <w:t>10092</w:t>
            </w:r>
          </w:p>
        </w:tc>
        <w:tc>
          <w:tcPr>
            <w:tcW w:w="1482" w:type="dxa"/>
            <w:noWrap/>
            <w:vAlign w:val="center"/>
            <w:hideMark/>
          </w:tcPr>
          <w:p w14:paraId="59A9465B" w14:textId="77777777" w:rsidR="00DB10E5" w:rsidRPr="002259D9" w:rsidRDefault="00DB10E5" w:rsidP="00891038">
            <w:pPr>
              <w:spacing w:before="0" w:after="0"/>
              <w:jc w:val="center"/>
              <w:rPr>
                <w:sz w:val="16"/>
                <w:szCs w:val="16"/>
              </w:rPr>
            </w:pPr>
            <w:r w:rsidRPr="002259D9">
              <w:rPr>
                <w:sz w:val="16"/>
                <w:szCs w:val="16"/>
              </w:rPr>
              <w:t>100923CFG000</w:t>
            </w:r>
          </w:p>
        </w:tc>
        <w:tc>
          <w:tcPr>
            <w:tcW w:w="7216" w:type="dxa"/>
            <w:noWrap/>
            <w:vAlign w:val="center"/>
            <w:hideMark/>
          </w:tcPr>
          <w:p w14:paraId="4DFCEE6B" w14:textId="0EAA4021"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261C9CB0" w14:textId="77777777" w:rsidTr="00891038">
        <w:trPr>
          <w:trHeight w:val="300"/>
        </w:trPr>
        <w:tc>
          <w:tcPr>
            <w:tcW w:w="658" w:type="dxa"/>
            <w:noWrap/>
            <w:vAlign w:val="center"/>
            <w:hideMark/>
          </w:tcPr>
          <w:p w14:paraId="495C3A52" w14:textId="77777777" w:rsidR="00DB10E5" w:rsidRPr="002259D9" w:rsidRDefault="00DB10E5" w:rsidP="00891038">
            <w:pPr>
              <w:spacing w:before="0" w:after="0"/>
              <w:jc w:val="center"/>
              <w:rPr>
                <w:sz w:val="16"/>
                <w:szCs w:val="16"/>
              </w:rPr>
            </w:pPr>
            <w:r w:rsidRPr="002259D9">
              <w:rPr>
                <w:sz w:val="16"/>
                <w:szCs w:val="16"/>
              </w:rPr>
              <w:t>10064</w:t>
            </w:r>
          </w:p>
        </w:tc>
        <w:tc>
          <w:tcPr>
            <w:tcW w:w="1482" w:type="dxa"/>
            <w:noWrap/>
            <w:vAlign w:val="center"/>
            <w:hideMark/>
          </w:tcPr>
          <w:p w14:paraId="72363B9F" w14:textId="77777777" w:rsidR="00DB10E5" w:rsidRPr="002259D9" w:rsidRDefault="00DB10E5" w:rsidP="00891038">
            <w:pPr>
              <w:spacing w:before="0" w:after="0"/>
              <w:jc w:val="center"/>
              <w:rPr>
                <w:sz w:val="16"/>
                <w:szCs w:val="16"/>
              </w:rPr>
            </w:pPr>
            <w:r w:rsidRPr="002259D9">
              <w:rPr>
                <w:sz w:val="16"/>
                <w:szCs w:val="16"/>
              </w:rPr>
              <w:t>100643CLD000</w:t>
            </w:r>
          </w:p>
        </w:tc>
        <w:tc>
          <w:tcPr>
            <w:tcW w:w="7216" w:type="dxa"/>
            <w:noWrap/>
            <w:vAlign w:val="center"/>
            <w:hideMark/>
          </w:tcPr>
          <w:p w14:paraId="259A28D1"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DB10E5" w:rsidRPr="002259D9" w14:paraId="0B13D011" w14:textId="77777777" w:rsidTr="00891038">
        <w:trPr>
          <w:trHeight w:val="300"/>
        </w:trPr>
        <w:tc>
          <w:tcPr>
            <w:tcW w:w="658" w:type="dxa"/>
            <w:noWrap/>
            <w:vAlign w:val="center"/>
            <w:hideMark/>
          </w:tcPr>
          <w:p w14:paraId="32B3DFB5" w14:textId="77777777" w:rsidR="00DB10E5" w:rsidRPr="002259D9" w:rsidRDefault="00DB10E5" w:rsidP="00891038">
            <w:pPr>
              <w:spacing w:before="0" w:after="0"/>
              <w:jc w:val="center"/>
              <w:rPr>
                <w:sz w:val="16"/>
                <w:szCs w:val="16"/>
              </w:rPr>
            </w:pPr>
            <w:r w:rsidRPr="002259D9">
              <w:rPr>
                <w:sz w:val="16"/>
                <w:szCs w:val="16"/>
              </w:rPr>
              <w:t>10208</w:t>
            </w:r>
          </w:p>
        </w:tc>
        <w:tc>
          <w:tcPr>
            <w:tcW w:w="1482" w:type="dxa"/>
            <w:noWrap/>
            <w:vAlign w:val="center"/>
            <w:hideMark/>
          </w:tcPr>
          <w:p w14:paraId="3999FF71" w14:textId="77777777" w:rsidR="00DB10E5" w:rsidRPr="002259D9" w:rsidRDefault="00DB10E5" w:rsidP="00891038">
            <w:pPr>
              <w:spacing w:before="0" w:after="0"/>
              <w:jc w:val="center"/>
              <w:rPr>
                <w:sz w:val="16"/>
                <w:szCs w:val="16"/>
              </w:rPr>
            </w:pPr>
            <w:r w:rsidRPr="002259D9">
              <w:rPr>
                <w:sz w:val="16"/>
                <w:szCs w:val="16"/>
              </w:rPr>
              <w:t>10208042U000</w:t>
            </w:r>
          </w:p>
        </w:tc>
        <w:tc>
          <w:tcPr>
            <w:tcW w:w="7216" w:type="dxa"/>
            <w:noWrap/>
            <w:vAlign w:val="center"/>
            <w:hideMark/>
          </w:tcPr>
          <w:p w14:paraId="63E95FF9"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r w:rsidR="00DB10E5" w:rsidRPr="002259D9" w14:paraId="0924B8F6" w14:textId="77777777" w:rsidTr="00891038">
        <w:trPr>
          <w:trHeight w:val="300"/>
        </w:trPr>
        <w:tc>
          <w:tcPr>
            <w:tcW w:w="658" w:type="dxa"/>
            <w:noWrap/>
            <w:vAlign w:val="center"/>
            <w:hideMark/>
          </w:tcPr>
          <w:p w14:paraId="1221D247" w14:textId="77777777" w:rsidR="00DB10E5" w:rsidRPr="002259D9" w:rsidRDefault="00DB10E5" w:rsidP="00891038">
            <w:pPr>
              <w:spacing w:before="0" w:after="0"/>
              <w:jc w:val="center"/>
              <w:rPr>
                <w:sz w:val="16"/>
                <w:szCs w:val="16"/>
              </w:rPr>
            </w:pPr>
            <w:r w:rsidRPr="002259D9">
              <w:rPr>
                <w:sz w:val="16"/>
                <w:szCs w:val="16"/>
              </w:rPr>
              <w:t>10080</w:t>
            </w:r>
          </w:p>
        </w:tc>
        <w:tc>
          <w:tcPr>
            <w:tcW w:w="1482" w:type="dxa"/>
            <w:noWrap/>
            <w:vAlign w:val="center"/>
            <w:hideMark/>
          </w:tcPr>
          <w:p w14:paraId="368CA6D0" w14:textId="77777777" w:rsidR="00DB10E5" w:rsidRPr="002259D9" w:rsidRDefault="00DB10E5" w:rsidP="00891038">
            <w:pPr>
              <w:spacing w:before="0" w:after="0"/>
              <w:jc w:val="center"/>
              <w:rPr>
                <w:sz w:val="16"/>
                <w:szCs w:val="16"/>
              </w:rPr>
            </w:pPr>
            <w:r w:rsidRPr="002259D9">
              <w:rPr>
                <w:sz w:val="16"/>
                <w:szCs w:val="16"/>
              </w:rPr>
              <w:t>100803BTJ000</w:t>
            </w:r>
          </w:p>
        </w:tc>
        <w:tc>
          <w:tcPr>
            <w:tcW w:w="7216" w:type="dxa"/>
            <w:noWrap/>
            <w:vAlign w:val="center"/>
            <w:hideMark/>
          </w:tcPr>
          <w:p w14:paraId="4CE85C2B" w14:textId="346AE9A9" w:rsidR="00DB10E5" w:rsidRPr="002259D9" w:rsidRDefault="00DB10E5" w:rsidP="00891038">
            <w:pPr>
              <w:spacing w:before="0" w:after="0"/>
              <w:rPr>
                <w:sz w:val="16"/>
                <w:szCs w:val="16"/>
              </w:rPr>
            </w:pPr>
            <w:r w:rsidRPr="002259D9">
              <w:rPr>
                <w:sz w:val="16"/>
                <w:szCs w:val="16"/>
              </w:rPr>
              <w:t>En revisión al recurso, de acuerdo con el literal l del numeral 14.1 “El módulo común es el conjunto de equipos y obras comunes que sirven a la subestación en ese nivel de tensión y está compuesto por servicios auxiliares, malla de puesta a tierra y obras civiles no asociadas a una UC en particular”, no se reconocen reposiciones del 100%.</w:t>
            </w:r>
          </w:p>
        </w:tc>
      </w:tr>
      <w:tr w:rsidR="00DB10E5" w:rsidRPr="002259D9" w14:paraId="1B6F636B" w14:textId="77777777" w:rsidTr="00891038">
        <w:trPr>
          <w:trHeight w:val="300"/>
        </w:trPr>
        <w:tc>
          <w:tcPr>
            <w:tcW w:w="658" w:type="dxa"/>
            <w:noWrap/>
            <w:vAlign w:val="center"/>
            <w:hideMark/>
          </w:tcPr>
          <w:p w14:paraId="60D878F3" w14:textId="77777777" w:rsidR="00DB10E5" w:rsidRPr="002259D9" w:rsidRDefault="00DB10E5" w:rsidP="00891038">
            <w:pPr>
              <w:spacing w:before="0" w:after="0"/>
              <w:jc w:val="center"/>
              <w:rPr>
                <w:sz w:val="16"/>
                <w:szCs w:val="16"/>
              </w:rPr>
            </w:pPr>
            <w:r w:rsidRPr="002259D9">
              <w:rPr>
                <w:sz w:val="16"/>
                <w:szCs w:val="16"/>
              </w:rPr>
              <w:t>10108</w:t>
            </w:r>
          </w:p>
        </w:tc>
        <w:tc>
          <w:tcPr>
            <w:tcW w:w="1482" w:type="dxa"/>
            <w:noWrap/>
            <w:vAlign w:val="center"/>
            <w:hideMark/>
          </w:tcPr>
          <w:p w14:paraId="6BA4FC55" w14:textId="737BA283" w:rsidR="00DB10E5" w:rsidRPr="002259D9" w:rsidRDefault="00DB10E5" w:rsidP="00891038">
            <w:pPr>
              <w:spacing w:before="0" w:after="0"/>
              <w:jc w:val="center"/>
              <w:rPr>
                <w:sz w:val="16"/>
                <w:szCs w:val="16"/>
              </w:rPr>
            </w:pPr>
            <w:r w:rsidRPr="002259D9">
              <w:rPr>
                <w:sz w:val="16"/>
                <w:szCs w:val="16"/>
              </w:rPr>
              <w:t>101080448000</w:t>
            </w:r>
          </w:p>
        </w:tc>
        <w:tc>
          <w:tcPr>
            <w:tcW w:w="7216" w:type="dxa"/>
            <w:noWrap/>
            <w:vAlign w:val="center"/>
            <w:hideMark/>
          </w:tcPr>
          <w:p w14:paraId="337144F6" w14:textId="77777777" w:rsidR="00DB10E5" w:rsidRPr="002259D9" w:rsidRDefault="00DB10E5" w:rsidP="00891038">
            <w:pPr>
              <w:spacing w:before="0" w:after="0"/>
              <w:rPr>
                <w:sz w:val="16"/>
                <w:szCs w:val="16"/>
              </w:rPr>
            </w:pPr>
            <w:r w:rsidRPr="002259D9">
              <w:rPr>
                <w:sz w:val="16"/>
                <w:szCs w:val="16"/>
              </w:rPr>
              <w:t>En revisión al recurso, no se presentan reportes de bahías en el actual inventario para la SE, en el nivel de tensión y año de entrada en operación.</w:t>
            </w:r>
          </w:p>
        </w:tc>
      </w:tr>
    </w:tbl>
    <w:p w14:paraId="7DFA2151" w14:textId="77777777" w:rsidR="00DB10E5" w:rsidRPr="002259D9" w:rsidRDefault="00DB10E5" w:rsidP="00025C30">
      <w:pPr>
        <w:spacing w:before="0" w:after="240"/>
        <w:rPr>
          <w:b/>
          <w:bCs/>
          <w:i/>
          <w:iCs/>
          <w:lang w:val="es-CO"/>
        </w:rPr>
      </w:pPr>
    </w:p>
    <w:p w14:paraId="2B41FF62" w14:textId="251A4F0B" w:rsidR="00316A27" w:rsidRPr="002259D9" w:rsidRDefault="00316A27" w:rsidP="00316A27">
      <w:pPr>
        <w:spacing w:before="0" w:after="240"/>
        <w:rPr>
          <w:b/>
          <w:bCs/>
          <w:i/>
          <w:iCs/>
        </w:rPr>
      </w:pPr>
      <w:r w:rsidRPr="002259D9">
        <w:rPr>
          <w:b/>
          <w:bCs/>
        </w:rPr>
        <w:t>B.8</w:t>
      </w:r>
      <w:r w:rsidRPr="002259D9">
        <w:rPr>
          <w:b/>
          <w:bCs/>
          <w:i/>
          <w:iCs/>
        </w:rPr>
        <w:t>. Comentario CREG: Formato 6 “El proyecto no posee aprobación UPME”</w:t>
      </w:r>
    </w:p>
    <w:p w14:paraId="49F2822E" w14:textId="77777777" w:rsidR="0003225F" w:rsidRPr="002259D9" w:rsidRDefault="0003225F" w:rsidP="0003225F">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3ACDC6D9" w14:textId="5F0D6C08" w:rsidR="00FE16B7" w:rsidRPr="002259D9" w:rsidRDefault="0003225F" w:rsidP="00D24557">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xml:space="preserve"> En el archivo “D-112-21 Inventario reconocido INVA EPM_20_25” hoja “formato6_UC_SE” se indica en la “columna Z: Comentario EPM” las observaciones para cada UC en las filas: 659-661, 712-715, 962-964, 999-1001, 1263-1265, 1279, 1280, 1286 y 1298.</w:t>
      </w:r>
    </w:p>
    <w:p w14:paraId="3AFE1DB4" w14:textId="28DABB13" w:rsidR="0003225F" w:rsidRPr="002259D9" w:rsidRDefault="0003225F" w:rsidP="0003225F">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7DC1AB47" w14:textId="53CAE49B" w:rsidR="00E07CB4" w:rsidRPr="002259D9" w:rsidRDefault="006D3749" w:rsidP="00025C30">
      <w:pPr>
        <w:spacing w:before="0" w:after="240"/>
      </w:pPr>
      <w:r w:rsidRPr="002259D9">
        <w:t xml:space="preserve">Se revisó cada una de las filas indicadas por el OR en el inventario </w:t>
      </w:r>
      <w:r w:rsidRPr="002259D9">
        <w:rPr>
          <w:i/>
          <w:iCs/>
        </w:rPr>
        <w:t xml:space="preserve">“D-112-21 Inventario reconocido INVA EPM_20_25” hoja “formato6_UC_SE”, </w:t>
      </w:r>
      <w:r w:rsidRPr="002259D9">
        <w:t xml:space="preserve">para la cual, la </w:t>
      </w:r>
      <w:r w:rsidR="00C73249">
        <w:t>Comisión</w:t>
      </w:r>
      <w:r w:rsidRPr="002259D9">
        <w:t xml:space="preserve"> resuelve aprobar aquellas para las cuales el OR comparte el concepto UPME asociado y para las cuales el OR aclara la solicitud.</w:t>
      </w:r>
    </w:p>
    <w:p w14:paraId="27D67B73" w14:textId="77777777" w:rsidR="00E07CB4" w:rsidRPr="002259D9" w:rsidRDefault="00E07CB4" w:rsidP="00025C30">
      <w:pPr>
        <w:spacing w:before="0" w:after="240"/>
        <w:rPr>
          <w:b/>
          <w:bCs/>
        </w:rPr>
      </w:pPr>
    </w:p>
    <w:p w14:paraId="055132D4" w14:textId="1E651B56" w:rsidR="006D3749" w:rsidRPr="002259D9" w:rsidRDefault="006D3749" w:rsidP="00025C30">
      <w:pPr>
        <w:spacing w:before="0" w:after="240"/>
        <w:rPr>
          <w:b/>
          <w:bCs/>
          <w:i/>
          <w:iCs/>
        </w:rPr>
      </w:pPr>
      <w:r w:rsidRPr="002259D9">
        <w:rPr>
          <w:b/>
          <w:bCs/>
        </w:rPr>
        <w:t>B.9. Comentario CREG</w:t>
      </w:r>
      <w:r w:rsidR="00397004" w:rsidRPr="002259D9">
        <w:rPr>
          <w:b/>
          <w:bCs/>
        </w:rPr>
        <w:t xml:space="preserve">: Formato 6 </w:t>
      </w:r>
      <w:r w:rsidR="00397004" w:rsidRPr="002259D9">
        <w:rPr>
          <w:b/>
          <w:bCs/>
          <w:i/>
          <w:iCs/>
        </w:rPr>
        <w:t>“La relación del campo “IUL Línea” con el campo “IUS” no corresponde con lo reportado en el “formato3_basicaLineas”</w:t>
      </w:r>
    </w:p>
    <w:p w14:paraId="64743B45" w14:textId="77777777" w:rsidR="00397004" w:rsidRPr="002259D9" w:rsidRDefault="00397004" w:rsidP="00397004">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Solicitud:</w:t>
      </w:r>
      <w:r w:rsidRPr="002259D9">
        <w:rPr>
          <w:rFonts w:ascii="Bookman Old Style" w:hAnsi="Bookman Old Style" w:cs="Times New Roman"/>
          <w:b w:val="0"/>
          <w:bCs w:val="0"/>
          <w:i/>
          <w:iCs/>
        </w:rPr>
        <w:t xml:space="preserve"> 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3C3790E6" w14:textId="29B0FE8E" w:rsidR="00D24557" w:rsidRPr="002259D9" w:rsidRDefault="00397004" w:rsidP="00397004">
      <w:pPr>
        <w:pStyle w:val="Textoindependiente"/>
        <w:spacing w:before="161"/>
        <w:jc w:val="both"/>
        <w:rPr>
          <w:rFonts w:ascii="Bookman Old Style" w:hAnsi="Bookman Old Style" w:cs="Times New Roman"/>
          <w:b w:val="0"/>
          <w:bCs w:val="0"/>
          <w:i/>
          <w:iCs/>
        </w:rPr>
      </w:pPr>
      <w:r w:rsidRPr="002259D9">
        <w:rPr>
          <w:rFonts w:ascii="Bookman Old Style" w:hAnsi="Bookman Old Style" w:cs="Times New Roman"/>
          <w:b w:val="0"/>
          <w:bCs w:val="0"/>
        </w:rPr>
        <w:t>Soporte EPM:</w:t>
      </w:r>
      <w:r w:rsidRPr="002259D9">
        <w:rPr>
          <w:rFonts w:ascii="Bookman Old Style" w:hAnsi="Bookman Old Style" w:cs="Times New Roman"/>
          <w:b w:val="0"/>
          <w:bCs w:val="0"/>
          <w:i/>
          <w:iCs/>
        </w:rPr>
        <w:t xml:space="preserve"> En el archivo “D-112-21 Inventario reconocido INVA EPM_20_25” hoja “formato6_UC_SE” se indica en la “columna Z: Comentario EPM” las observaciones para cada UC en las filas: 178, 183 y 197. En los formatos enviados se diligenció este IUL en "0"; sin embargo, correspondía a "vacío" dado que no le corresponde esta información. Al parecer la </w:t>
      </w:r>
      <w:r w:rsidR="00C73249">
        <w:rPr>
          <w:rFonts w:ascii="Bookman Old Style" w:hAnsi="Bookman Old Style" w:cs="Times New Roman"/>
          <w:b w:val="0"/>
          <w:bCs w:val="0"/>
          <w:i/>
          <w:iCs/>
        </w:rPr>
        <w:t>Comisión</w:t>
      </w:r>
      <w:r w:rsidRPr="002259D9">
        <w:rPr>
          <w:rFonts w:ascii="Bookman Old Style" w:hAnsi="Bookman Old Style" w:cs="Times New Roman"/>
          <w:b w:val="0"/>
          <w:bCs w:val="0"/>
          <w:i/>
          <w:iCs/>
        </w:rPr>
        <w:t xml:space="preserve"> interpretó erróneamente que el IUL era "0000".</w:t>
      </w:r>
    </w:p>
    <w:p w14:paraId="027399EC" w14:textId="062244D0" w:rsidR="006D3749" w:rsidRPr="002259D9" w:rsidRDefault="0029121F" w:rsidP="0029121F">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74F9075E" w14:textId="2D42A4B9" w:rsidR="00FD44DD" w:rsidRPr="002259D9" w:rsidRDefault="00FD44DD" w:rsidP="00025C30">
      <w:pPr>
        <w:spacing w:before="0" w:after="240"/>
      </w:pPr>
      <w:r w:rsidRPr="002259D9">
        <w:t>En revisión al recurso, se tiene que el IUL reportado es "20000", al cual en el "Fomrato3_basicaLineas" tiene como IUS inicial el código "10000", lo cual no corresponde con los valores reportados para la UC</w:t>
      </w:r>
      <w:r w:rsidR="008E4E07" w:rsidRPr="002259D9">
        <w:t xml:space="preserve"> en el formato 6.</w:t>
      </w:r>
    </w:p>
    <w:p w14:paraId="4C4D00D5" w14:textId="77777777" w:rsidR="00E07CB4" w:rsidRPr="002259D9" w:rsidRDefault="00E07CB4" w:rsidP="00965126">
      <w:pPr>
        <w:pStyle w:val="Prrafodelista"/>
        <w:widowControl w:val="0"/>
        <w:numPr>
          <w:ilvl w:val="0"/>
          <w:numId w:val="0"/>
        </w:numPr>
        <w:tabs>
          <w:tab w:val="left" w:pos="1468"/>
          <w:tab w:val="left" w:pos="1469"/>
        </w:tabs>
        <w:autoSpaceDE w:val="0"/>
        <w:autoSpaceDN w:val="0"/>
        <w:spacing w:before="0" w:after="0" w:line="256" w:lineRule="auto"/>
        <w:rPr>
          <w:b/>
          <w:bCs/>
        </w:rPr>
      </w:pPr>
    </w:p>
    <w:p w14:paraId="5BA71DAA" w14:textId="40DBD37C" w:rsidR="00AF03DC" w:rsidRPr="002259D9" w:rsidRDefault="00D24557" w:rsidP="00965126">
      <w:pPr>
        <w:pStyle w:val="Prrafodelista"/>
        <w:widowControl w:val="0"/>
        <w:numPr>
          <w:ilvl w:val="0"/>
          <w:numId w:val="0"/>
        </w:numPr>
        <w:tabs>
          <w:tab w:val="left" w:pos="1468"/>
          <w:tab w:val="left" w:pos="1469"/>
        </w:tabs>
        <w:autoSpaceDE w:val="0"/>
        <w:autoSpaceDN w:val="0"/>
        <w:spacing w:before="0" w:after="0" w:line="256" w:lineRule="auto"/>
      </w:pPr>
      <w:r w:rsidRPr="002259D9">
        <w:rPr>
          <w:b/>
          <w:bCs/>
        </w:rPr>
        <w:t>B</w:t>
      </w:r>
      <w:r w:rsidR="00AF03DC" w:rsidRPr="002259D9">
        <w:rPr>
          <w:b/>
          <w:bCs/>
        </w:rPr>
        <w:t xml:space="preserve">.10. Comentario CREG: </w:t>
      </w:r>
      <w:r w:rsidR="00AF03DC" w:rsidRPr="002259D9">
        <w:t>Formato 6 “</w:t>
      </w:r>
      <w:r w:rsidR="00AF03DC" w:rsidRPr="002259D9">
        <w:rPr>
          <w:rFonts w:ascii="Arial" w:hAnsi="Arial"/>
          <w:i/>
        </w:rPr>
        <w:t>El</w:t>
      </w:r>
      <w:r w:rsidR="00AF03DC" w:rsidRPr="002259D9">
        <w:rPr>
          <w:rFonts w:ascii="Arial" w:hAnsi="Arial"/>
          <w:i/>
          <w:spacing w:val="30"/>
        </w:rPr>
        <w:t xml:space="preserve"> </w:t>
      </w:r>
      <w:r w:rsidR="00AF03DC" w:rsidRPr="002259D9">
        <w:rPr>
          <w:rFonts w:ascii="Arial" w:hAnsi="Arial"/>
          <w:i/>
        </w:rPr>
        <w:t>módulo</w:t>
      </w:r>
      <w:r w:rsidR="00AF03DC" w:rsidRPr="002259D9">
        <w:rPr>
          <w:rFonts w:ascii="Arial" w:hAnsi="Arial"/>
          <w:i/>
          <w:spacing w:val="32"/>
        </w:rPr>
        <w:t xml:space="preserve"> </w:t>
      </w:r>
      <w:r w:rsidR="00AF03DC" w:rsidRPr="002259D9">
        <w:rPr>
          <w:rFonts w:ascii="Arial" w:hAnsi="Arial"/>
          <w:i/>
        </w:rPr>
        <w:t>de</w:t>
      </w:r>
      <w:r w:rsidR="00AF03DC" w:rsidRPr="002259D9">
        <w:rPr>
          <w:rFonts w:ascii="Arial" w:hAnsi="Arial"/>
          <w:i/>
          <w:spacing w:val="34"/>
        </w:rPr>
        <w:t xml:space="preserve"> </w:t>
      </w:r>
      <w:r w:rsidR="00AF03DC" w:rsidRPr="002259D9">
        <w:rPr>
          <w:rFonts w:ascii="Arial" w:hAnsi="Arial"/>
          <w:i/>
        </w:rPr>
        <w:t>barraje</w:t>
      </w:r>
      <w:r w:rsidR="00AF03DC" w:rsidRPr="002259D9">
        <w:rPr>
          <w:rFonts w:ascii="Arial" w:hAnsi="Arial"/>
          <w:i/>
          <w:spacing w:val="31"/>
        </w:rPr>
        <w:t xml:space="preserve"> </w:t>
      </w:r>
      <w:r w:rsidR="00AF03DC" w:rsidRPr="002259D9">
        <w:rPr>
          <w:rFonts w:ascii="Arial" w:hAnsi="Arial"/>
          <w:i/>
        </w:rPr>
        <w:t>solicitado</w:t>
      </w:r>
      <w:r w:rsidR="00AF03DC" w:rsidRPr="002259D9">
        <w:rPr>
          <w:rFonts w:ascii="Arial" w:hAnsi="Arial"/>
          <w:i/>
          <w:spacing w:val="32"/>
        </w:rPr>
        <w:t xml:space="preserve"> </w:t>
      </w:r>
      <w:r w:rsidR="00AF03DC" w:rsidRPr="002259D9">
        <w:rPr>
          <w:rFonts w:ascii="Arial" w:hAnsi="Arial"/>
          <w:i/>
        </w:rPr>
        <w:t>no</w:t>
      </w:r>
      <w:r w:rsidR="00AF03DC" w:rsidRPr="002259D9">
        <w:rPr>
          <w:rFonts w:ascii="Arial" w:hAnsi="Arial"/>
          <w:i/>
          <w:spacing w:val="30"/>
        </w:rPr>
        <w:t xml:space="preserve"> </w:t>
      </w:r>
      <w:r w:rsidR="00AF03DC" w:rsidRPr="002259D9">
        <w:rPr>
          <w:rFonts w:ascii="Arial" w:hAnsi="Arial"/>
          <w:i/>
        </w:rPr>
        <w:t>corresponde</w:t>
      </w:r>
      <w:r w:rsidR="00AF03DC" w:rsidRPr="002259D9">
        <w:rPr>
          <w:rFonts w:ascii="Arial" w:hAnsi="Arial"/>
          <w:i/>
          <w:spacing w:val="-58"/>
        </w:rPr>
        <w:t xml:space="preserve"> </w:t>
      </w:r>
      <w:r w:rsidR="00AF03DC" w:rsidRPr="002259D9">
        <w:rPr>
          <w:rFonts w:ascii="Arial" w:hAnsi="Arial"/>
          <w:i/>
        </w:rPr>
        <w:t>con el total de</w:t>
      </w:r>
      <w:r w:rsidR="00AF03DC" w:rsidRPr="002259D9">
        <w:rPr>
          <w:rFonts w:ascii="Arial" w:hAnsi="Arial"/>
          <w:i/>
          <w:spacing w:val="-2"/>
        </w:rPr>
        <w:t xml:space="preserve"> </w:t>
      </w:r>
      <w:r w:rsidR="00AF03DC" w:rsidRPr="002259D9">
        <w:rPr>
          <w:rFonts w:ascii="Arial" w:hAnsi="Arial"/>
          <w:i/>
        </w:rPr>
        <w:t>bahías</w:t>
      </w:r>
      <w:r w:rsidR="00AF03DC" w:rsidRPr="002259D9">
        <w:rPr>
          <w:rFonts w:ascii="Arial" w:hAnsi="Arial"/>
          <w:i/>
          <w:spacing w:val="-3"/>
        </w:rPr>
        <w:t xml:space="preserve"> </w:t>
      </w:r>
      <w:r w:rsidR="00AF03DC" w:rsidRPr="002259D9">
        <w:rPr>
          <w:rFonts w:ascii="Arial" w:hAnsi="Arial"/>
          <w:i/>
        </w:rPr>
        <w:t>aprobadas en</w:t>
      </w:r>
      <w:r w:rsidR="00AF03DC" w:rsidRPr="002259D9">
        <w:rPr>
          <w:rFonts w:ascii="Arial" w:hAnsi="Arial"/>
          <w:i/>
          <w:spacing w:val="-2"/>
        </w:rPr>
        <w:t xml:space="preserve"> </w:t>
      </w:r>
      <w:r w:rsidR="00AF03DC" w:rsidRPr="002259D9">
        <w:rPr>
          <w:rFonts w:ascii="Arial" w:hAnsi="Arial"/>
          <w:i/>
        </w:rPr>
        <w:t>la SE,</w:t>
      </w:r>
      <w:r w:rsidR="00AF03DC" w:rsidRPr="002259D9">
        <w:rPr>
          <w:rFonts w:ascii="Arial" w:hAnsi="Arial"/>
          <w:i/>
          <w:spacing w:val="-2"/>
        </w:rPr>
        <w:t xml:space="preserve"> </w:t>
      </w:r>
      <w:r w:rsidR="00AF03DC" w:rsidRPr="002259D9">
        <w:rPr>
          <w:rFonts w:ascii="Arial" w:hAnsi="Arial"/>
          <w:i/>
        </w:rPr>
        <w:t>para</w:t>
      </w:r>
      <w:r w:rsidR="00AF03DC" w:rsidRPr="002259D9">
        <w:rPr>
          <w:rFonts w:ascii="Arial" w:hAnsi="Arial"/>
          <w:i/>
          <w:spacing w:val="-1"/>
        </w:rPr>
        <w:t xml:space="preserve"> </w:t>
      </w:r>
      <w:r w:rsidR="00AF03DC" w:rsidRPr="002259D9">
        <w:rPr>
          <w:rFonts w:ascii="Arial" w:hAnsi="Arial"/>
          <w:i/>
        </w:rPr>
        <w:t>el mismo</w:t>
      </w:r>
      <w:r w:rsidR="00AF03DC" w:rsidRPr="002259D9">
        <w:rPr>
          <w:rFonts w:ascii="Arial" w:hAnsi="Arial"/>
          <w:i/>
          <w:spacing w:val="-1"/>
        </w:rPr>
        <w:t xml:space="preserve"> </w:t>
      </w:r>
      <w:r w:rsidR="00AF03DC" w:rsidRPr="002259D9">
        <w:rPr>
          <w:rFonts w:ascii="Arial" w:hAnsi="Arial"/>
          <w:i/>
        </w:rPr>
        <w:t>nivel de</w:t>
      </w:r>
      <w:r w:rsidR="00AF03DC" w:rsidRPr="002259D9">
        <w:rPr>
          <w:rFonts w:ascii="Arial" w:hAnsi="Arial"/>
          <w:i/>
          <w:spacing w:val="-2"/>
        </w:rPr>
        <w:t xml:space="preserve"> </w:t>
      </w:r>
      <w:r w:rsidR="00AF03DC" w:rsidRPr="002259D9">
        <w:rPr>
          <w:rFonts w:ascii="Arial" w:hAnsi="Arial"/>
          <w:i/>
        </w:rPr>
        <w:t>tensión</w:t>
      </w:r>
      <w:r w:rsidR="00AF03DC" w:rsidRPr="002259D9">
        <w:t>.”</w:t>
      </w:r>
    </w:p>
    <w:p w14:paraId="3B7C33BE" w14:textId="7783E329" w:rsidR="00965126" w:rsidRPr="002259D9" w:rsidRDefault="00965126" w:rsidP="00965126">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254700E8" w14:textId="207BD55C" w:rsidR="00AF03DC" w:rsidRPr="002259D9" w:rsidRDefault="00AF03DC" w:rsidP="00965126">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“formato6_UC_SE” se indica en la “columna Z: Comentario EPM” las observaciones para cada UC en las filas: 278, 357, 394, 497, 1016, 1139, 1248, 1256y 1296. Según diagrama unifilar anexo y las obras solicitadas en el INVA para las subestaciones se tendrán las bahías necesarias para esta UC.</w:t>
      </w:r>
    </w:p>
    <w:p w14:paraId="4DC5335D" w14:textId="6BB68E04" w:rsidR="00D55C7E" w:rsidRPr="002259D9" w:rsidRDefault="00D55C7E" w:rsidP="00D55C7E">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59507505" w14:textId="557320F8" w:rsidR="00D55C7E" w:rsidRPr="002259D9" w:rsidRDefault="00D55C7E" w:rsidP="00E07CB4">
      <w:pPr>
        <w:pStyle w:val="Textoindependiente"/>
        <w:spacing w:before="11"/>
        <w:jc w:val="both"/>
      </w:pPr>
      <w:r w:rsidRPr="002259D9">
        <w:rPr>
          <w:rFonts w:ascii="Bookman Old Style" w:hAnsi="Bookman Old Style" w:cs="Times New Roman"/>
          <w:b w:val="0"/>
          <w:bCs w:val="0"/>
        </w:rPr>
        <w:t xml:space="preserve">Se revisó la solicitud en función del soporte del OR, encontrando en el documento anexo las siguientes UC para las cuales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realiza las observaciones correspondientes:</w:t>
      </w:r>
    </w:p>
    <w:tbl>
      <w:tblPr>
        <w:tblStyle w:val="Tablaconcuadrcula"/>
        <w:tblW w:w="9351" w:type="dxa"/>
        <w:tblLook w:val="04A0" w:firstRow="1" w:lastRow="0" w:firstColumn="1" w:lastColumn="0" w:noHBand="0" w:noVBand="1"/>
      </w:tblPr>
      <w:tblGrid>
        <w:gridCol w:w="2118"/>
        <w:gridCol w:w="1200"/>
        <w:gridCol w:w="1829"/>
        <w:gridCol w:w="1445"/>
        <w:gridCol w:w="2759"/>
      </w:tblGrid>
      <w:tr w:rsidR="00FE243A" w:rsidRPr="002259D9" w14:paraId="44FBC825" w14:textId="6E556EC1" w:rsidTr="00D0230E">
        <w:trPr>
          <w:trHeight w:val="300"/>
          <w:tblHeader/>
        </w:trPr>
        <w:tc>
          <w:tcPr>
            <w:tcW w:w="2118" w:type="dxa"/>
            <w:noWrap/>
            <w:hideMark/>
          </w:tcPr>
          <w:p w14:paraId="3A9C30B4" w14:textId="77777777" w:rsidR="00FE243A" w:rsidRPr="002259D9" w:rsidRDefault="00FE243A" w:rsidP="00FE243A">
            <w:pPr>
              <w:spacing w:before="0" w:after="0"/>
              <w:jc w:val="center"/>
              <w:rPr>
                <w:b/>
                <w:bCs/>
                <w:sz w:val="18"/>
                <w:szCs w:val="18"/>
                <w:lang w:val="es-CO"/>
              </w:rPr>
            </w:pPr>
            <w:r w:rsidRPr="002259D9">
              <w:rPr>
                <w:b/>
                <w:bCs/>
                <w:sz w:val="18"/>
                <w:szCs w:val="18"/>
                <w:lang w:val="es-CO"/>
              </w:rPr>
              <w:t>IUA provisional</w:t>
            </w:r>
          </w:p>
        </w:tc>
        <w:tc>
          <w:tcPr>
            <w:tcW w:w="1200" w:type="dxa"/>
            <w:noWrap/>
            <w:hideMark/>
          </w:tcPr>
          <w:p w14:paraId="1505379E" w14:textId="77777777" w:rsidR="00FE243A" w:rsidRPr="002259D9" w:rsidRDefault="00FE243A" w:rsidP="00FE243A">
            <w:pPr>
              <w:spacing w:before="0" w:after="0"/>
              <w:jc w:val="center"/>
              <w:rPr>
                <w:b/>
                <w:bCs/>
                <w:sz w:val="18"/>
                <w:szCs w:val="18"/>
                <w:lang w:val="es-CO"/>
              </w:rPr>
            </w:pPr>
            <w:r w:rsidRPr="002259D9">
              <w:rPr>
                <w:b/>
                <w:bCs/>
                <w:sz w:val="18"/>
                <w:szCs w:val="18"/>
                <w:lang w:val="es-CO"/>
              </w:rPr>
              <w:t>IUS</w:t>
            </w:r>
          </w:p>
        </w:tc>
        <w:tc>
          <w:tcPr>
            <w:tcW w:w="1829" w:type="dxa"/>
            <w:noWrap/>
            <w:hideMark/>
          </w:tcPr>
          <w:p w14:paraId="04337428" w14:textId="77777777" w:rsidR="00FE243A" w:rsidRPr="002259D9" w:rsidRDefault="00FE243A" w:rsidP="00FE243A">
            <w:pPr>
              <w:spacing w:before="0" w:after="0"/>
              <w:jc w:val="center"/>
              <w:rPr>
                <w:b/>
                <w:bCs/>
                <w:sz w:val="18"/>
                <w:szCs w:val="18"/>
                <w:lang w:val="es-CO"/>
              </w:rPr>
            </w:pPr>
            <w:r w:rsidRPr="002259D9">
              <w:rPr>
                <w:b/>
                <w:bCs/>
                <w:sz w:val="18"/>
                <w:szCs w:val="18"/>
                <w:lang w:val="es-CO"/>
              </w:rPr>
              <w:t>Unidad Constructiva</w:t>
            </w:r>
          </w:p>
        </w:tc>
        <w:tc>
          <w:tcPr>
            <w:tcW w:w="1445" w:type="dxa"/>
          </w:tcPr>
          <w:p w14:paraId="75869B5B" w14:textId="3F2731B7" w:rsidR="00FE243A" w:rsidRPr="002259D9" w:rsidRDefault="00FE243A" w:rsidP="00FE243A">
            <w:pPr>
              <w:spacing w:before="0" w:after="0"/>
              <w:jc w:val="center"/>
              <w:rPr>
                <w:b/>
                <w:bCs/>
                <w:sz w:val="18"/>
                <w:szCs w:val="18"/>
                <w:lang w:val="es-CO"/>
              </w:rPr>
            </w:pPr>
            <w:r w:rsidRPr="002259D9">
              <w:rPr>
                <w:b/>
                <w:bCs/>
                <w:sz w:val="18"/>
                <w:szCs w:val="18"/>
                <w:lang w:val="es-CO"/>
              </w:rPr>
              <w:t>Año entrada operación</w:t>
            </w:r>
          </w:p>
        </w:tc>
        <w:tc>
          <w:tcPr>
            <w:tcW w:w="2759" w:type="dxa"/>
            <w:vAlign w:val="center"/>
          </w:tcPr>
          <w:p w14:paraId="5E86C744" w14:textId="2E5C4215" w:rsidR="00FE243A" w:rsidRPr="002259D9" w:rsidRDefault="00FE243A" w:rsidP="00FE243A">
            <w:pPr>
              <w:spacing w:before="0" w:after="0"/>
              <w:jc w:val="center"/>
              <w:rPr>
                <w:b/>
                <w:bCs/>
                <w:sz w:val="18"/>
                <w:szCs w:val="18"/>
                <w:lang w:val="es-CO"/>
              </w:rPr>
            </w:pPr>
            <w:r w:rsidRPr="002259D9">
              <w:rPr>
                <w:b/>
                <w:bCs/>
                <w:sz w:val="18"/>
                <w:szCs w:val="18"/>
                <w:lang w:val="es-CO"/>
              </w:rPr>
              <w:t>Revisión del recurso</w:t>
            </w:r>
          </w:p>
        </w:tc>
      </w:tr>
      <w:tr w:rsidR="00FE243A" w:rsidRPr="002259D9" w14:paraId="6C0D3124" w14:textId="73975DEE" w:rsidTr="00FE243A">
        <w:trPr>
          <w:trHeight w:val="300"/>
        </w:trPr>
        <w:tc>
          <w:tcPr>
            <w:tcW w:w="2118" w:type="dxa"/>
            <w:noWrap/>
            <w:vAlign w:val="center"/>
            <w:hideMark/>
          </w:tcPr>
          <w:p w14:paraId="0A3A1454" w14:textId="77777777" w:rsidR="00FE243A" w:rsidRPr="002259D9" w:rsidRDefault="00FE243A" w:rsidP="00FE243A">
            <w:pPr>
              <w:spacing w:before="0" w:after="0"/>
              <w:jc w:val="center"/>
              <w:rPr>
                <w:sz w:val="16"/>
                <w:szCs w:val="16"/>
                <w:lang w:val="es-CO"/>
              </w:rPr>
            </w:pPr>
            <w:r w:rsidRPr="002259D9">
              <w:rPr>
                <w:sz w:val="16"/>
                <w:szCs w:val="16"/>
                <w:lang w:val="es-CO"/>
              </w:rPr>
              <w:t>100863BYW000</w:t>
            </w:r>
          </w:p>
        </w:tc>
        <w:tc>
          <w:tcPr>
            <w:tcW w:w="1200" w:type="dxa"/>
            <w:noWrap/>
            <w:vAlign w:val="center"/>
            <w:hideMark/>
          </w:tcPr>
          <w:p w14:paraId="712A88AB" w14:textId="77777777" w:rsidR="00FE243A" w:rsidRPr="002259D9" w:rsidRDefault="00FE243A" w:rsidP="00FE243A">
            <w:pPr>
              <w:spacing w:before="0" w:after="0"/>
              <w:jc w:val="center"/>
              <w:rPr>
                <w:sz w:val="16"/>
                <w:szCs w:val="16"/>
                <w:lang w:val="es-CO"/>
              </w:rPr>
            </w:pPr>
            <w:r w:rsidRPr="002259D9">
              <w:rPr>
                <w:sz w:val="16"/>
                <w:szCs w:val="16"/>
                <w:lang w:val="es-CO"/>
              </w:rPr>
              <w:t>10086</w:t>
            </w:r>
          </w:p>
        </w:tc>
        <w:tc>
          <w:tcPr>
            <w:tcW w:w="1829" w:type="dxa"/>
            <w:noWrap/>
            <w:vAlign w:val="center"/>
            <w:hideMark/>
          </w:tcPr>
          <w:p w14:paraId="07CA0422" w14:textId="77777777" w:rsidR="00FE243A" w:rsidRPr="002259D9" w:rsidRDefault="00FE243A" w:rsidP="00FE243A">
            <w:pPr>
              <w:spacing w:before="0" w:after="0"/>
              <w:jc w:val="center"/>
              <w:rPr>
                <w:sz w:val="16"/>
                <w:szCs w:val="16"/>
                <w:lang w:val="es-CO"/>
              </w:rPr>
            </w:pPr>
            <w:r w:rsidRPr="002259D9">
              <w:rPr>
                <w:sz w:val="16"/>
                <w:szCs w:val="16"/>
                <w:lang w:val="es-CO"/>
              </w:rPr>
              <w:t>N2S64</w:t>
            </w:r>
          </w:p>
        </w:tc>
        <w:tc>
          <w:tcPr>
            <w:tcW w:w="1445" w:type="dxa"/>
            <w:vAlign w:val="center"/>
          </w:tcPr>
          <w:p w14:paraId="349EBFE1" w14:textId="5DAB0E00" w:rsidR="00FE243A" w:rsidRPr="002259D9" w:rsidRDefault="00FE243A" w:rsidP="00FE243A">
            <w:pPr>
              <w:spacing w:before="0" w:after="0"/>
              <w:jc w:val="center"/>
              <w:rPr>
                <w:sz w:val="16"/>
                <w:szCs w:val="16"/>
                <w:lang w:val="es-CO"/>
              </w:rPr>
            </w:pPr>
            <w:r w:rsidRPr="002259D9">
              <w:rPr>
                <w:sz w:val="16"/>
                <w:szCs w:val="16"/>
                <w:lang w:val="es-CO"/>
              </w:rPr>
              <w:t>2022</w:t>
            </w:r>
          </w:p>
        </w:tc>
        <w:tc>
          <w:tcPr>
            <w:tcW w:w="2759" w:type="dxa"/>
            <w:vAlign w:val="center"/>
          </w:tcPr>
          <w:p w14:paraId="10FB78B0" w14:textId="3B7A3122" w:rsidR="00FE243A" w:rsidRPr="002259D9" w:rsidRDefault="00FE243A" w:rsidP="00FE243A">
            <w:pPr>
              <w:spacing w:before="0" w:after="0"/>
              <w:rPr>
                <w:sz w:val="16"/>
                <w:szCs w:val="16"/>
                <w:lang w:val="es-CO"/>
              </w:rPr>
            </w:pPr>
            <w:r w:rsidRPr="002259D9">
              <w:rPr>
                <w:sz w:val="16"/>
                <w:szCs w:val="16"/>
                <w:lang w:val="es-CO"/>
              </w:rPr>
              <w:t>En revisión al recurso, el comentario inicial se hace referencia al módulo común para lo cual se tiene una reconocida una bahía de transformador con IUA 100863BZ6000 reconocida en nivel 2, por tanto, la UC no es reconocida.</w:t>
            </w:r>
          </w:p>
        </w:tc>
      </w:tr>
      <w:tr w:rsidR="00FE243A" w:rsidRPr="002259D9" w14:paraId="39BBA63C" w14:textId="1A51A9EB" w:rsidTr="00FE243A">
        <w:trPr>
          <w:trHeight w:val="300"/>
        </w:trPr>
        <w:tc>
          <w:tcPr>
            <w:tcW w:w="2118" w:type="dxa"/>
            <w:noWrap/>
            <w:vAlign w:val="center"/>
            <w:hideMark/>
          </w:tcPr>
          <w:p w14:paraId="51231309" w14:textId="77777777" w:rsidR="00FE243A" w:rsidRPr="002259D9" w:rsidRDefault="00FE243A" w:rsidP="00FE243A">
            <w:pPr>
              <w:spacing w:before="0" w:after="0"/>
              <w:jc w:val="center"/>
              <w:rPr>
                <w:sz w:val="16"/>
                <w:szCs w:val="16"/>
                <w:lang w:val="es-CO"/>
              </w:rPr>
            </w:pPr>
            <w:r w:rsidRPr="002259D9">
              <w:rPr>
                <w:sz w:val="16"/>
                <w:szCs w:val="16"/>
                <w:lang w:val="es-CO"/>
              </w:rPr>
              <w:t>100823C19000</w:t>
            </w:r>
          </w:p>
        </w:tc>
        <w:tc>
          <w:tcPr>
            <w:tcW w:w="1200" w:type="dxa"/>
            <w:noWrap/>
            <w:vAlign w:val="center"/>
            <w:hideMark/>
          </w:tcPr>
          <w:p w14:paraId="499E1BE8" w14:textId="77777777" w:rsidR="00FE243A" w:rsidRPr="002259D9" w:rsidRDefault="00FE243A" w:rsidP="00FE243A">
            <w:pPr>
              <w:spacing w:before="0" w:after="0"/>
              <w:jc w:val="center"/>
              <w:rPr>
                <w:sz w:val="16"/>
                <w:szCs w:val="16"/>
                <w:lang w:val="es-CO"/>
              </w:rPr>
            </w:pPr>
            <w:r w:rsidRPr="002259D9">
              <w:rPr>
                <w:sz w:val="16"/>
                <w:szCs w:val="16"/>
                <w:lang w:val="es-CO"/>
              </w:rPr>
              <w:t>10082</w:t>
            </w:r>
          </w:p>
        </w:tc>
        <w:tc>
          <w:tcPr>
            <w:tcW w:w="1829" w:type="dxa"/>
            <w:noWrap/>
            <w:vAlign w:val="center"/>
            <w:hideMark/>
          </w:tcPr>
          <w:p w14:paraId="51A172BD" w14:textId="77777777" w:rsidR="00FE243A" w:rsidRPr="002259D9" w:rsidRDefault="00FE243A" w:rsidP="00FE243A">
            <w:pPr>
              <w:spacing w:before="0" w:after="0"/>
              <w:jc w:val="center"/>
              <w:rPr>
                <w:sz w:val="16"/>
                <w:szCs w:val="16"/>
                <w:lang w:val="es-CO"/>
              </w:rPr>
            </w:pPr>
            <w:r w:rsidRPr="002259D9">
              <w:rPr>
                <w:sz w:val="16"/>
                <w:szCs w:val="16"/>
                <w:lang w:val="es-CO"/>
              </w:rPr>
              <w:t>N3S37</w:t>
            </w:r>
          </w:p>
        </w:tc>
        <w:tc>
          <w:tcPr>
            <w:tcW w:w="1445" w:type="dxa"/>
            <w:vAlign w:val="center"/>
          </w:tcPr>
          <w:p w14:paraId="694EC288" w14:textId="0644EBA6" w:rsidR="00FE243A" w:rsidRPr="002259D9" w:rsidRDefault="00FE243A" w:rsidP="00FE243A">
            <w:pPr>
              <w:spacing w:before="0" w:after="0"/>
              <w:jc w:val="center"/>
              <w:rPr>
                <w:sz w:val="16"/>
                <w:szCs w:val="16"/>
                <w:lang w:val="es-CO"/>
              </w:rPr>
            </w:pPr>
            <w:r w:rsidRPr="002259D9">
              <w:rPr>
                <w:sz w:val="16"/>
                <w:szCs w:val="16"/>
                <w:lang w:val="es-CO"/>
              </w:rPr>
              <w:t>2022</w:t>
            </w:r>
          </w:p>
        </w:tc>
        <w:tc>
          <w:tcPr>
            <w:tcW w:w="2759" w:type="dxa"/>
            <w:vAlign w:val="center"/>
          </w:tcPr>
          <w:p w14:paraId="49F055C4" w14:textId="6D3A0DF2" w:rsidR="00FE243A" w:rsidRPr="002259D9" w:rsidRDefault="00FE243A" w:rsidP="00FE243A">
            <w:pPr>
              <w:spacing w:before="0" w:after="0"/>
              <w:rPr>
                <w:sz w:val="16"/>
                <w:szCs w:val="16"/>
                <w:lang w:val="es-CO"/>
              </w:rPr>
            </w:pPr>
            <w:r w:rsidRPr="002259D9">
              <w:rPr>
                <w:sz w:val="16"/>
                <w:szCs w:val="16"/>
                <w:lang w:val="es-CO"/>
              </w:rPr>
              <w:t>En revisión al recurso, se aclara la solicitud y se incluye la UC.</w:t>
            </w:r>
          </w:p>
        </w:tc>
      </w:tr>
      <w:tr w:rsidR="00FE243A" w:rsidRPr="002259D9" w14:paraId="3BFB388F" w14:textId="24171F4A" w:rsidTr="00FE243A">
        <w:trPr>
          <w:trHeight w:val="300"/>
        </w:trPr>
        <w:tc>
          <w:tcPr>
            <w:tcW w:w="2118" w:type="dxa"/>
            <w:noWrap/>
            <w:vAlign w:val="center"/>
            <w:hideMark/>
          </w:tcPr>
          <w:p w14:paraId="6EE52303" w14:textId="77777777" w:rsidR="00FE243A" w:rsidRPr="002259D9" w:rsidRDefault="00FE243A" w:rsidP="00FE243A">
            <w:pPr>
              <w:spacing w:before="0" w:after="0"/>
              <w:jc w:val="center"/>
              <w:rPr>
                <w:sz w:val="16"/>
                <w:szCs w:val="16"/>
                <w:lang w:val="es-CO"/>
              </w:rPr>
            </w:pPr>
            <w:r w:rsidRPr="002259D9">
              <w:rPr>
                <w:sz w:val="16"/>
                <w:szCs w:val="16"/>
                <w:lang w:val="es-CO"/>
              </w:rPr>
              <w:t>100523C2C000</w:t>
            </w:r>
          </w:p>
        </w:tc>
        <w:tc>
          <w:tcPr>
            <w:tcW w:w="1200" w:type="dxa"/>
            <w:noWrap/>
            <w:vAlign w:val="center"/>
            <w:hideMark/>
          </w:tcPr>
          <w:p w14:paraId="677D1469" w14:textId="77777777" w:rsidR="00FE243A" w:rsidRPr="002259D9" w:rsidRDefault="00FE243A" w:rsidP="00FE243A">
            <w:pPr>
              <w:spacing w:before="0" w:after="0"/>
              <w:jc w:val="center"/>
              <w:rPr>
                <w:sz w:val="16"/>
                <w:szCs w:val="16"/>
                <w:lang w:val="es-CO"/>
              </w:rPr>
            </w:pPr>
            <w:r w:rsidRPr="002259D9">
              <w:rPr>
                <w:sz w:val="16"/>
                <w:szCs w:val="16"/>
                <w:lang w:val="es-CO"/>
              </w:rPr>
              <w:t>10052</w:t>
            </w:r>
          </w:p>
        </w:tc>
        <w:tc>
          <w:tcPr>
            <w:tcW w:w="1829" w:type="dxa"/>
            <w:noWrap/>
            <w:vAlign w:val="center"/>
            <w:hideMark/>
          </w:tcPr>
          <w:p w14:paraId="4484F6C2" w14:textId="77777777" w:rsidR="00FE243A" w:rsidRPr="002259D9" w:rsidRDefault="00FE243A" w:rsidP="00FE243A">
            <w:pPr>
              <w:spacing w:before="0" w:after="0"/>
              <w:jc w:val="center"/>
              <w:rPr>
                <w:sz w:val="16"/>
                <w:szCs w:val="16"/>
                <w:lang w:val="es-CO"/>
              </w:rPr>
            </w:pPr>
            <w:r w:rsidRPr="002259D9">
              <w:rPr>
                <w:sz w:val="16"/>
                <w:szCs w:val="16"/>
                <w:lang w:val="es-CO"/>
              </w:rPr>
              <w:t>N4S21</w:t>
            </w:r>
          </w:p>
        </w:tc>
        <w:tc>
          <w:tcPr>
            <w:tcW w:w="1445" w:type="dxa"/>
            <w:vAlign w:val="center"/>
          </w:tcPr>
          <w:p w14:paraId="7856D3E8" w14:textId="1D10E406" w:rsidR="00FE243A" w:rsidRPr="002259D9" w:rsidRDefault="00FE243A" w:rsidP="00FE243A">
            <w:pPr>
              <w:spacing w:before="0" w:after="0"/>
              <w:jc w:val="center"/>
              <w:rPr>
                <w:sz w:val="16"/>
                <w:szCs w:val="16"/>
                <w:lang w:val="es-CO"/>
              </w:rPr>
            </w:pPr>
            <w:r w:rsidRPr="002259D9">
              <w:rPr>
                <w:sz w:val="16"/>
                <w:szCs w:val="16"/>
                <w:lang w:val="es-CO"/>
              </w:rPr>
              <w:t>2022</w:t>
            </w:r>
          </w:p>
        </w:tc>
        <w:tc>
          <w:tcPr>
            <w:tcW w:w="2759" w:type="dxa"/>
            <w:vAlign w:val="center"/>
          </w:tcPr>
          <w:p w14:paraId="2618209E" w14:textId="682FBB85" w:rsidR="00FE243A" w:rsidRPr="002259D9" w:rsidRDefault="00FE243A" w:rsidP="00FE243A">
            <w:pPr>
              <w:spacing w:before="0" w:after="0"/>
              <w:rPr>
                <w:sz w:val="16"/>
                <w:szCs w:val="16"/>
                <w:lang w:val="es-CO"/>
              </w:rPr>
            </w:pPr>
            <w:r w:rsidRPr="002259D9">
              <w:rPr>
                <w:sz w:val="16"/>
                <w:szCs w:val="16"/>
                <w:lang w:val="es-CO"/>
              </w:rPr>
              <w:t>En revisión al recurso, no se posee el número de bahías aprobadas en los soportes de inventarios enviados por el OR.</w:t>
            </w:r>
          </w:p>
        </w:tc>
      </w:tr>
      <w:tr w:rsidR="00FE243A" w:rsidRPr="002259D9" w14:paraId="1B1B2F61" w14:textId="06A812DC" w:rsidTr="00FE243A">
        <w:trPr>
          <w:trHeight w:val="300"/>
        </w:trPr>
        <w:tc>
          <w:tcPr>
            <w:tcW w:w="2118" w:type="dxa"/>
            <w:noWrap/>
            <w:vAlign w:val="center"/>
            <w:hideMark/>
          </w:tcPr>
          <w:p w14:paraId="2FB595C0" w14:textId="77777777" w:rsidR="00FE243A" w:rsidRPr="002259D9" w:rsidRDefault="00FE243A" w:rsidP="00FE243A">
            <w:pPr>
              <w:spacing w:before="0" w:after="0"/>
              <w:jc w:val="center"/>
              <w:rPr>
                <w:sz w:val="16"/>
                <w:szCs w:val="16"/>
                <w:lang w:val="es-CO"/>
              </w:rPr>
            </w:pPr>
            <w:r w:rsidRPr="002259D9">
              <w:rPr>
                <w:sz w:val="16"/>
                <w:szCs w:val="16"/>
                <w:lang w:val="es-CO"/>
              </w:rPr>
              <w:t>100823C57000</w:t>
            </w:r>
          </w:p>
        </w:tc>
        <w:tc>
          <w:tcPr>
            <w:tcW w:w="1200" w:type="dxa"/>
            <w:noWrap/>
            <w:vAlign w:val="center"/>
            <w:hideMark/>
          </w:tcPr>
          <w:p w14:paraId="643EAB62" w14:textId="77777777" w:rsidR="00FE243A" w:rsidRPr="002259D9" w:rsidRDefault="00FE243A" w:rsidP="00FE243A">
            <w:pPr>
              <w:spacing w:before="0" w:after="0"/>
              <w:jc w:val="center"/>
              <w:rPr>
                <w:sz w:val="16"/>
                <w:szCs w:val="16"/>
                <w:lang w:val="es-CO"/>
              </w:rPr>
            </w:pPr>
            <w:r w:rsidRPr="002259D9">
              <w:rPr>
                <w:sz w:val="16"/>
                <w:szCs w:val="16"/>
                <w:lang w:val="es-CO"/>
              </w:rPr>
              <w:t>10082</w:t>
            </w:r>
          </w:p>
        </w:tc>
        <w:tc>
          <w:tcPr>
            <w:tcW w:w="1829" w:type="dxa"/>
            <w:noWrap/>
            <w:vAlign w:val="center"/>
            <w:hideMark/>
          </w:tcPr>
          <w:p w14:paraId="5341B720" w14:textId="77777777" w:rsidR="00FE243A" w:rsidRPr="002259D9" w:rsidRDefault="00FE243A" w:rsidP="00FE243A">
            <w:pPr>
              <w:spacing w:before="0" w:after="0"/>
              <w:jc w:val="center"/>
              <w:rPr>
                <w:sz w:val="16"/>
                <w:szCs w:val="16"/>
                <w:lang w:val="es-CO"/>
              </w:rPr>
            </w:pPr>
            <w:r w:rsidRPr="002259D9">
              <w:rPr>
                <w:sz w:val="16"/>
                <w:szCs w:val="16"/>
                <w:lang w:val="es-CO"/>
              </w:rPr>
              <w:t>N4S20</w:t>
            </w:r>
          </w:p>
        </w:tc>
        <w:tc>
          <w:tcPr>
            <w:tcW w:w="1445" w:type="dxa"/>
            <w:vAlign w:val="center"/>
          </w:tcPr>
          <w:p w14:paraId="1575E685" w14:textId="2C086DCF" w:rsidR="00FE243A" w:rsidRPr="002259D9" w:rsidRDefault="00FE243A" w:rsidP="00FE243A">
            <w:pPr>
              <w:spacing w:before="0" w:after="0"/>
              <w:jc w:val="center"/>
              <w:rPr>
                <w:sz w:val="16"/>
                <w:szCs w:val="16"/>
                <w:lang w:val="es-CO"/>
              </w:rPr>
            </w:pPr>
            <w:r w:rsidRPr="002259D9">
              <w:rPr>
                <w:sz w:val="16"/>
                <w:szCs w:val="16"/>
                <w:lang w:val="es-CO"/>
              </w:rPr>
              <w:t>2022</w:t>
            </w:r>
          </w:p>
        </w:tc>
        <w:tc>
          <w:tcPr>
            <w:tcW w:w="2759" w:type="dxa"/>
            <w:vAlign w:val="center"/>
          </w:tcPr>
          <w:p w14:paraId="78E84401" w14:textId="41AB017B" w:rsidR="00FE243A" w:rsidRPr="002259D9" w:rsidRDefault="00FE243A" w:rsidP="00FE243A">
            <w:pPr>
              <w:spacing w:before="0" w:after="0"/>
              <w:rPr>
                <w:sz w:val="16"/>
                <w:szCs w:val="16"/>
                <w:lang w:val="es-CO"/>
              </w:rPr>
            </w:pPr>
            <w:r w:rsidRPr="002259D9">
              <w:rPr>
                <w:sz w:val="16"/>
                <w:szCs w:val="16"/>
                <w:lang w:val="es-CO"/>
              </w:rPr>
              <w:t>En revisión al recurso, el OR aclara la solicitud se aprueba la UC</w:t>
            </w:r>
          </w:p>
        </w:tc>
      </w:tr>
      <w:tr w:rsidR="00FE243A" w:rsidRPr="002259D9" w14:paraId="44F11B48" w14:textId="0185E283" w:rsidTr="00FE243A">
        <w:trPr>
          <w:trHeight w:val="300"/>
        </w:trPr>
        <w:tc>
          <w:tcPr>
            <w:tcW w:w="2118" w:type="dxa"/>
            <w:noWrap/>
            <w:vAlign w:val="center"/>
            <w:hideMark/>
          </w:tcPr>
          <w:p w14:paraId="7CF54D2A" w14:textId="77777777" w:rsidR="00FE243A" w:rsidRPr="002259D9" w:rsidRDefault="00FE243A" w:rsidP="00FE243A">
            <w:pPr>
              <w:spacing w:before="0" w:after="0"/>
              <w:jc w:val="center"/>
              <w:rPr>
                <w:sz w:val="16"/>
                <w:szCs w:val="16"/>
                <w:lang w:val="es-CO"/>
              </w:rPr>
            </w:pPr>
            <w:r w:rsidRPr="002259D9">
              <w:rPr>
                <w:sz w:val="16"/>
                <w:szCs w:val="16"/>
                <w:lang w:val="es-CO"/>
              </w:rPr>
              <w:t>103033CJS000</w:t>
            </w:r>
          </w:p>
        </w:tc>
        <w:tc>
          <w:tcPr>
            <w:tcW w:w="1200" w:type="dxa"/>
            <w:noWrap/>
            <w:vAlign w:val="center"/>
            <w:hideMark/>
          </w:tcPr>
          <w:p w14:paraId="699E358C" w14:textId="77777777" w:rsidR="00FE243A" w:rsidRPr="002259D9" w:rsidRDefault="00FE243A" w:rsidP="00FE243A">
            <w:pPr>
              <w:spacing w:before="0" w:after="0"/>
              <w:jc w:val="center"/>
              <w:rPr>
                <w:sz w:val="16"/>
                <w:szCs w:val="16"/>
                <w:lang w:val="es-CO"/>
              </w:rPr>
            </w:pPr>
            <w:r w:rsidRPr="002259D9">
              <w:rPr>
                <w:sz w:val="16"/>
                <w:szCs w:val="16"/>
                <w:lang w:val="es-CO"/>
              </w:rPr>
              <w:t>10303</w:t>
            </w:r>
          </w:p>
        </w:tc>
        <w:tc>
          <w:tcPr>
            <w:tcW w:w="1829" w:type="dxa"/>
            <w:noWrap/>
            <w:vAlign w:val="center"/>
            <w:hideMark/>
          </w:tcPr>
          <w:p w14:paraId="75792E46" w14:textId="77777777" w:rsidR="00FE243A" w:rsidRPr="002259D9" w:rsidRDefault="00FE243A" w:rsidP="00FE243A">
            <w:pPr>
              <w:spacing w:before="0" w:after="0"/>
              <w:jc w:val="center"/>
              <w:rPr>
                <w:sz w:val="16"/>
                <w:szCs w:val="16"/>
                <w:lang w:val="es-CO"/>
              </w:rPr>
            </w:pPr>
            <w:r w:rsidRPr="002259D9">
              <w:rPr>
                <w:sz w:val="16"/>
                <w:szCs w:val="16"/>
                <w:lang w:val="es-CO"/>
              </w:rPr>
              <w:t>N3S25</w:t>
            </w:r>
          </w:p>
        </w:tc>
        <w:tc>
          <w:tcPr>
            <w:tcW w:w="1445" w:type="dxa"/>
            <w:vAlign w:val="center"/>
          </w:tcPr>
          <w:p w14:paraId="4BA777CA" w14:textId="5A695771" w:rsidR="00FE243A" w:rsidRPr="002259D9" w:rsidRDefault="00FE243A" w:rsidP="00FE243A">
            <w:pPr>
              <w:spacing w:before="0" w:after="0"/>
              <w:jc w:val="center"/>
              <w:rPr>
                <w:sz w:val="16"/>
                <w:szCs w:val="16"/>
                <w:lang w:val="es-CO"/>
              </w:rPr>
            </w:pPr>
            <w:r w:rsidRPr="002259D9">
              <w:rPr>
                <w:sz w:val="16"/>
                <w:szCs w:val="16"/>
                <w:lang w:val="es-CO"/>
              </w:rPr>
              <w:t>2024</w:t>
            </w:r>
          </w:p>
        </w:tc>
        <w:tc>
          <w:tcPr>
            <w:tcW w:w="2759" w:type="dxa"/>
            <w:vAlign w:val="center"/>
          </w:tcPr>
          <w:p w14:paraId="084F70B8" w14:textId="11B757AB" w:rsidR="00FE243A" w:rsidRPr="002259D9" w:rsidRDefault="00FE243A" w:rsidP="00FE243A">
            <w:pPr>
              <w:spacing w:before="0" w:after="0"/>
              <w:rPr>
                <w:sz w:val="16"/>
                <w:szCs w:val="16"/>
                <w:lang w:val="es-CO"/>
              </w:rPr>
            </w:pPr>
            <w:r w:rsidRPr="002259D9">
              <w:rPr>
                <w:sz w:val="16"/>
                <w:szCs w:val="16"/>
                <w:lang w:val="es-CO"/>
              </w:rPr>
              <w:t>En revisión al recurso, el tipo de módulo de barraje solicitado no corresponde con las bahías reconocidas para el nivel de tensión y mismo año de entrada en operación.</w:t>
            </w:r>
          </w:p>
        </w:tc>
      </w:tr>
      <w:tr w:rsidR="00FE243A" w:rsidRPr="002259D9" w14:paraId="06B2992F" w14:textId="6AA3EE00" w:rsidTr="00FE243A">
        <w:trPr>
          <w:trHeight w:val="300"/>
        </w:trPr>
        <w:tc>
          <w:tcPr>
            <w:tcW w:w="2118" w:type="dxa"/>
            <w:noWrap/>
            <w:vAlign w:val="center"/>
            <w:hideMark/>
          </w:tcPr>
          <w:p w14:paraId="70B069B4" w14:textId="77777777" w:rsidR="00FE243A" w:rsidRPr="002259D9" w:rsidRDefault="00FE243A" w:rsidP="00FE243A">
            <w:pPr>
              <w:spacing w:before="0" w:after="0"/>
              <w:jc w:val="center"/>
              <w:rPr>
                <w:sz w:val="16"/>
                <w:szCs w:val="16"/>
                <w:lang w:val="es-CO"/>
              </w:rPr>
            </w:pPr>
            <w:r w:rsidRPr="002259D9">
              <w:rPr>
                <w:sz w:val="16"/>
                <w:szCs w:val="16"/>
                <w:lang w:val="es-CO"/>
              </w:rPr>
              <w:t>10302040Q000</w:t>
            </w:r>
          </w:p>
        </w:tc>
        <w:tc>
          <w:tcPr>
            <w:tcW w:w="1200" w:type="dxa"/>
            <w:noWrap/>
            <w:vAlign w:val="center"/>
            <w:hideMark/>
          </w:tcPr>
          <w:p w14:paraId="3AD40258" w14:textId="77777777" w:rsidR="00FE243A" w:rsidRPr="002259D9" w:rsidRDefault="00FE243A" w:rsidP="00FE243A">
            <w:pPr>
              <w:spacing w:before="0" w:after="0"/>
              <w:jc w:val="center"/>
              <w:rPr>
                <w:sz w:val="16"/>
                <w:szCs w:val="16"/>
                <w:lang w:val="es-CO"/>
              </w:rPr>
            </w:pPr>
            <w:r w:rsidRPr="002259D9">
              <w:rPr>
                <w:sz w:val="16"/>
                <w:szCs w:val="16"/>
                <w:lang w:val="es-CO"/>
              </w:rPr>
              <w:t>10302</w:t>
            </w:r>
          </w:p>
        </w:tc>
        <w:tc>
          <w:tcPr>
            <w:tcW w:w="1829" w:type="dxa"/>
            <w:noWrap/>
            <w:vAlign w:val="center"/>
            <w:hideMark/>
          </w:tcPr>
          <w:p w14:paraId="726ACFCB" w14:textId="77777777" w:rsidR="00FE243A" w:rsidRPr="002259D9" w:rsidRDefault="00FE243A" w:rsidP="00FE243A">
            <w:pPr>
              <w:spacing w:before="0" w:after="0"/>
              <w:jc w:val="center"/>
              <w:rPr>
                <w:sz w:val="16"/>
                <w:szCs w:val="16"/>
                <w:lang w:val="es-CO"/>
              </w:rPr>
            </w:pPr>
            <w:r w:rsidRPr="002259D9">
              <w:rPr>
                <w:sz w:val="16"/>
                <w:szCs w:val="16"/>
                <w:lang w:val="es-CO"/>
              </w:rPr>
              <w:t>N3S37</w:t>
            </w:r>
          </w:p>
        </w:tc>
        <w:tc>
          <w:tcPr>
            <w:tcW w:w="1445" w:type="dxa"/>
            <w:vAlign w:val="center"/>
          </w:tcPr>
          <w:p w14:paraId="3354E702" w14:textId="164C8190" w:rsidR="00FE243A" w:rsidRPr="002259D9" w:rsidRDefault="00FE243A" w:rsidP="00FE243A">
            <w:pPr>
              <w:spacing w:before="0" w:after="0"/>
              <w:jc w:val="center"/>
              <w:rPr>
                <w:sz w:val="16"/>
                <w:szCs w:val="16"/>
                <w:lang w:val="es-CO"/>
              </w:rPr>
            </w:pPr>
            <w:r w:rsidRPr="002259D9">
              <w:rPr>
                <w:sz w:val="16"/>
                <w:szCs w:val="16"/>
                <w:lang w:val="es-CO"/>
              </w:rPr>
              <w:t>2020</w:t>
            </w:r>
          </w:p>
        </w:tc>
        <w:tc>
          <w:tcPr>
            <w:tcW w:w="2759" w:type="dxa"/>
            <w:vAlign w:val="center"/>
          </w:tcPr>
          <w:p w14:paraId="2DEE7352" w14:textId="46F4FD45" w:rsidR="00FE243A" w:rsidRPr="002259D9" w:rsidRDefault="00FE243A" w:rsidP="00FE243A">
            <w:pPr>
              <w:spacing w:before="0" w:after="0"/>
              <w:rPr>
                <w:sz w:val="16"/>
                <w:szCs w:val="16"/>
                <w:lang w:val="es-CO"/>
              </w:rPr>
            </w:pPr>
            <w:r w:rsidRPr="002259D9">
              <w:rPr>
                <w:sz w:val="16"/>
                <w:szCs w:val="16"/>
                <w:lang w:val="es-CO"/>
              </w:rPr>
              <w:t>En revisión al recurso, el comentario inicial hace referencia a la UC de módulo común para lo cual, módulo no corresponde con el número de bahías reconocidas para el mismo nivel de tensión y año de entrada en operación.</w:t>
            </w:r>
          </w:p>
        </w:tc>
      </w:tr>
      <w:tr w:rsidR="00FE243A" w:rsidRPr="002259D9" w14:paraId="1E33B114" w14:textId="2FCACF95" w:rsidTr="00FE243A">
        <w:trPr>
          <w:trHeight w:val="300"/>
        </w:trPr>
        <w:tc>
          <w:tcPr>
            <w:tcW w:w="2118" w:type="dxa"/>
            <w:noWrap/>
            <w:vAlign w:val="center"/>
            <w:hideMark/>
          </w:tcPr>
          <w:p w14:paraId="0CAB4C10" w14:textId="77777777" w:rsidR="00FE243A" w:rsidRPr="002259D9" w:rsidRDefault="00FE243A" w:rsidP="00FE243A">
            <w:pPr>
              <w:spacing w:before="0" w:after="0"/>
              <w:jc w:val="center"/>
              <w:rPr>
                <w:sz w:val="16"/>
                <w:szCs w:val="16"/>
                <w:lang w:val="es-CO"/>
              </w:rPr>
            </w:pPr>
            <w:r w:rsidRPr="002259D9">
              <w:rPr>
                <w:sz w:val="16"/>
                <w:szCs w:val="16"/>
                <w:lang w:val="es-CO"/>
              </w:rPr>
              <w:t>10209043V000</w:t>
            </w:r>
          </w:p>
        </w:tc>
        <w:tc>
          <w:tcPr>
            <w:tcW w:w="1200" w:type="dxa"/>
            <w:noWrap/>
            <w:vAlign w:val="center"/>
            <w:hideMark/>
          </w:tcPr>
          <w:p w14:paraId="2291A6D4" w14:textId="77777777" w:rsidR="00FE243A" w:rsidRPr="002259D9" w:rsidRDefault="00FE243A" w:rsidP="00FE243A">
            <w:pPr>
              <w:spacing w:before="0" w:after="0"/>
              <w:jc w:val="center"/>
              <w:rPr>
                <w:sz w:val="16"/>
                <w:szCs w:val="16"/>
                <w:lang w:val="es-CO"/>
              </w:rPr>
            </w:pPr>
            <w:r w:rsidRPr="002259D9">
              <w:rPr>
                <w:sz w:val="16"/>
                <w:szCs w:val="16"/>
                <w:lang w:val="es-CO"/>
              </w:rPr>
              <w:t>10209</w:t>
            </w:r>
          </w:p>
        </w:tc>
        <w:tc>
          <w:tcPr>
            <w:tcW w:w="1829" w:type="dxa"/>
            <w:noWrap/>
            <w:vAlign w:val="center"/>
            <w:hideMark/>
          </w:tcPr>
          <w:p w14:paraId="48B9E284" w14:textId="77777777" w:rsidR="00FE243A" w:rsidRPr="002259D9" w:rsidRDefault="00FE243A" w:rsidP="00FE243A">
            <w:pPr>
              <w:spacing w:before="0" w:after="0"/>
              <w:jc w:val="center"/>
              <w:rPr>
                <w:sz w:val="16"/>
                <w:szCs w:val="16"/>
                <w:lang w:val="es-CO"/>
              </w:rPr>
            </w:pPr>
            <w:r w:rsidRPr="002259D9">
              <w:rPr>
                <w:sz w:val="16"/>
                <w:szCs w:val="16"/>
                <w:lang w:val="es-CO"/>
              </w:rPr>
              <w:t>N3S1</w:t>
            </w:r>
          </w:p>
        </w:tc>
        <w:tc>
          <w:tcPr>
            <w:tcW w:w="1445" w:type="dxa"/>
            <w:vAlign w:val="center"/>
          </w:tcPr>
          <w:p w14:paraId="36FE4225" w14:textId="1013404A" w:rsidR="00FE243A" w:rsidRPr="002259D9" w:rsidRDefault="00FE243A" w:rsidP="00FE243A">
            <w:pPr>
              <w:spacing w:before="0" w:after="0"/>
              <w:jc w:val="center"/>
              <w:rPr>
                <w:sz w:val="16"/>
                <w:szCs w:val="16"/>
                <w:lang w:val="es-CO"/>
              </w:rPr>
            </w:pPr>
            <w:r w:rsidRPr="002259D9">
              <w:rPr>
                <w:sz w:val="16"/>
                <w:szCs w:val="16"/>
                <w:lang w:val="es-CO"/>
              </w:rPr>
              <w:t>2020</w:t>
            </w:r>
          </w:p>
        </w:tc>
        <w:tc>
          <w:tcPr>
            <w:tcW w:w="2759" w:type="dxa"/>
            <w:vAlign w:val="center"/>
          </w:tcPr>
          <w:p w14:paraId="128A42DA" w14:textId="3D8637F1" w:rsidR="00FE243A" w:rsidRPr="002259D9" w:rsidRDefault="00FE243A" w:rsidP="00FE243A">
            <w:pPr>
              <w:spacing w:before="0" w:after="0"/>
              <w:rPr>
                <w:sz w:val="16"/>
                <w:szCs w:val="16"/>
                <w:lang w:val="es-CO"/>
              </w:rPr>
            </w:pPr>
            <w:r w:rsidRPr="002259D9">
              <w:rPr>
                <w:sz w:val="16"/>
                <w:szCs w:val="16"/>
                <w:lang w:val="es-CO"/>
              </w:rPr>
              <w:t>En revisión al recurso, el comentario de la CREG hace referencia al módulo de barraje, pero la UC de la fila 1248 corresponde con una bahía de línea.</w:t>
            </w:r>
          </w:p>
        </w:tc>
      </w:tr>
      <w:tr w:rsidR="00FE243A" w:rsidRPr="002259D9" w14:paraId="4C26FEA9" w14:textId="5D334FC1" w:rsidTr="00FE243A">
        <w:trPr>
          <w:trHeight w:val="300"/>
        </w:trPr>
        <w:tc>
          <w:tcPr>
            <w:tcW w:w="2118" w:type="dxa"/>
            <w:noWrap/>
            <w:vAlign w:val="center"/>
            <w:hideMark/>
          </w:tcPr>
          <w:p w14:paraId="401D1EE9" w14:textId="77777777" w:rsidR="00FE243A" w:rsidRPr="002259D9" w:rsidRDefault="00FE243A" w:rsidP="00FE243A">
            <w:pPr>
              <w:spacing w:before="0" w:after="0"/>
              <w:jc w:val="center"/>
              <w:rPr>
                <w:sz w:val="16"/>
                <w:szCs w:val="16"/>
                <w:lang w:val="es-CO"/>
              </w:rPr>
            </w:pPr>
            <w:r w:rsidRPr="002259D9">
              <w:rPr>
                <w:sz w:val="16"/>
                <w:szCs w:val="16"/>
                <w:lang w:val="es-CO"/>
              </w:rPr>
              <w:t>100560443000</w:t>
            </w:r>
          </w:p>
        </w:tc>
        <w:tc>
          <w:tcPr>
            <w:tcW w:w="1200" w:type="dxa"/>
            <w:noWrap/>
            <w:vAlign w:val="center"/>
            <w:hideMark/>
          </w:tcPr>
          <w:p w14:paraId="3837B7E6" w14:textId="77777777" w:rsidR="00FE243A" w:rsidRPr="002259D9" w:rsidRDefault="00FE243A" w:rsidP="00FE243A">
            <w:pPr>
              <w:spacing w:before="0" w:after="0"/>
              <w:jc w:val="center"/>
              <w:rPr>
                <w:sz w:val="16"/>
                <w:szCs w:val="16"/>
                <w:lang w:val="es-CO"/>
              </w:rPr>
            </w:pPr>
            <w:r w:rsidRPr="002259D9">
              <w:rPr>
                <w:sz w:val="16"/>
                <w:szCs w:val="16"/>
                <w:lang w:val="es-CO"/>
              </w:rPr>
              <w:t>10056</w:t>
            </w:r>
          </w:p>
        </w:tc>
        <w:tc>
          <w:tcPr>
            <w:tcW w:w="1829" w:type="dxa"/>
            <w:noWrap/>
            <w:vAlign w:val="center"/>
            <w:hideMark/>
          </w:tcPr>
          <w:p w14:paraId="4C96B192" w14:textId="77777777" w:rsidR="00FE243A" w:rsidRPr="002259D9" w:rsidRDefault="00FE243A" w:rsidP="00FE243A">
            <w:pPr>
              <w:spacing w:before="0" w:after="0"/>
              <w:jc w:val="center"/>
              <w:rPr>
                <w:sz w:val="16"/>
                <w:szCs w:val="16"/>
                <w:lang w:val="es-CO"/>
              </w:rPr>
            </w:pPr>
            <w:r w:rsidRPr="002259D9">
              <w:rPr>
                <w:sz w:val="16"/>
                <w:szCs w:val="16"/>
                <w:lang w:val="es-CO"/>
              </w:rPr>
              <w:t>N5S4</w:t>
            </w:r>
          </w:p>
        </w:tc>
        <w:tc>
          <w:tcPr>
            <w:tcW w:w="1445" w:type="dxa"/>
            <w:vAlign w:val="center"/>
          </w:tcPr>
          <w:p w14:paraId="4A0F8DA5" w14:textId="4D961B97" w:rsidR="00FE243A" w:rsidRPr="002259D9" w:rsidRDefault="00FE243A" w:rsidP="00FE243A">
            <w:pPr>
              <w:spacing w:before="0" w:after="0"/>
              <w:jc w:val="center"/>
              <w:rPr>
                <w:sz w:val="16"/>
                <w:szCs w:val="16"/>
                <w:lang w:val="es-CO"/>
              </w:rPr>
            </w:pPr>
            <w:r w:rsidRPr="002259D9">
              <w:rPr>
                <w:sz w:val="16"/>
                <w:szCs w:val="16"/>
                <w:lang w:val="es-CO"/>
              </w:rPr>
              <w:t>2020</w:t>
            </w:r>
          </w:p>
        </w:tc>
        <w:tc>
          <w:tcPr>
            <w:tcW w:w="2759" w:type="dxa"/>
            <w:vAlign w:val="center"/>
          </w:tcPr>
          <w:p w14:paraId="14877F8D" w14:textId="2FAE0AF0" w:rsidR="00FE243A" w:rsidRPr="002259D9" w:rsidRDefault="00FE243A" w:rsidP="00FE243A">
            <w:pPr>
              <w:spacing w:before="0" w:after="0"/>
              <w:rPr>
                <w:sz w:val="16"/>
                <w:szCs w:val="16"/>
                <w:lang w:val="es-CO"/>
              </w:rPr>
            </w:pPr>
            <w:r w:rsidRPr="002259D9">
              <w:rPr>
                <w:sz w:val="16"/>
                <w:szCs w:val="16"/>
                <w:lang w:val="es-CO"/>
              </w:rPr>
              <w:t>En revisión al recurso, el comentario de la CREG hace referencia al módulo de barraje, pero la UC de la fila 1248 corresponde con una bahía de transformador.</w:t>
            </w:r>
          </w:p>
        </w:tc>
      </w:tr>
      <w:tr w:rsidR="00FE243A" w:rsidRPr="002259D9" w14:paraId="55B5CA00" w14:textId="2D34EEEF" w:rsidTr="00FE243A">
        <w:trPr>
          <w:trHeight w:val="300"/>
        </w:trPr>
        <w:tc>
          <w:tcPr>
            <w:tcW w:w="2118" w:type="dxa"/>
            <w:noWrap/>
            <w:vAlign w:val="center"/>
            <w:hideMark/>
          </w:tcPr>
          <w:p w14:paraId="0F048452" w14:textId="77777777" w:rsidR="00FE243A" w:rsidRPr="002259D9" w:rsidRDefault="00FE243A" w:rsidP="00FE243A">
            <w:pPr>
              <w:spacing w:before="0" w:after="0"/>
              <w:jc w:val="center"/>
              <w:rPr>
                <w:sz w:val="16"/>
                <w:szCs w:val="16"/>
                <w:lang w:val="es-CO"/>
              </w:rPr>
            </w:pPr>
            <w:r w:rsidRPr="002259D9">
              <w:rPr>
                <w:sz w:val="16"/>
                <w:szCs w:val="16"/>
                <w:lang w:val="es-CO"/>
              </w:rPr>
              <w:t>100323CBS000</w:t>
            </w:r>
          </w:p>
        </w:tc>
        <w:tc>
          <w:tcPr>
            <w:tcW w:w="1200" w:type="dxa"/>
            <w:noWrap/>
            <w:vAlign w:val="center"/>
            <w:hideMark/>
          </w:tcPr>
          <w:p w14:paraId="3B54F8FC" w14:textId="77777777" w:rsidR="00FE243A" w:rsidRPr="002259D9" w:rsidRDefault="00FE243A" w:rsidP="00FE243A">
            <w:pPr>
              <w:spacing w:before="0" w:after="0"/>
              <w:jc w:val="center"/>
              <w:rPr>
                <w:sz w:val="16"/>
                <w:szCs w:val="16"/>
                <w:lang w:val="es-CO"/>
              </w:rPr>
            </w:pPr>
            <w:r w:rsidRPr="002259D9">
              <w:rPr>
                <w:sz w:val="16"/>
                <w:szCs w:val="16"/>
                <w:lang w:val="es-CO"/>
              </w:rPr>
              <w:t>10032</w:t>
            </w:r>
          </w:p>
        </w:tc>
        <w:tc>
          <w:tcPr>
            <w:tcW w:w="1829" w:type="dxa"/>
            <w:noWrap/>
            <w:vAlign w:val="center"/>
            <w:hideMark/>
          </w:tcPr>
          <w:p w14:paraId="45E0A20E" w14:textId="77777777" w:rsidR="00FE243A" w:rsidRPr="002259D9" w:rsidRDefault="00FE243A" w:rsidP="00FE243A">
            <w:pPr>
              <w:spacing w:before="0" w:after="0"/>
              <w:jc w:val="center"/>
              <w:rPr>
                <w:sz w:val="16"/>
                <w:szCs w:val="16"/>
                <w:lang w:val="es-CO"/>
              </w:rPr>
            </w:pPr>
            <w:r w:rsidRPr="002259D9">
              <w:rPr>
                <w:sz w:val="16"/>
                <w:szCs w:val="16"/>
                <w:lang w:val="es-CO"/>
              </w:rPr>
              <w:t>N0P13</w:t>
            </w:r>
          </w:p>
        </w:tc>
        <w:tc>
          <w:tcPr>
            <w:tcW w:w="1445" w:type="dxa"/>
            <w:vAlign w:val="center"/>
          </w:tcPr>
          <w:p w14:paraId="5F39EE9A" w14:textId="12AD5F5A" w:rsidR="00FE243A" w:rsidRPr="002259D9" w:rsidRDefault="00FE243A" w:rsidP="00FE243A">
            <w:pPr>
              <w:spacing w:before="0" w:after="0"/>
              <w:jc w:val="center"/>
              <w:rPr>
                <w:sz w:val="16"/>
                <w:szCs w:val="16"/>
                <w:lang w:val="es-CO"/>
              </w:rPr>
            </w:pPr>
            <w:r w:rsidRPr="002259D9">
              <w:rPr>
                <w:sz w:val="16"/>
                <w:szCs w:val="16"/>
                <w:lang w:val="es-CO"/>
              </w:rPr>
              <w:t>2023</w:t>
            </w:r>
          </w:p>
        </w:tc>
        <w:tc>
          <w:tcPr>
            <w:tcW w:w="2759" w:type="dxa"/>
            <w:vAlign w:val="center"/>
          </w:tcPr>
          <w:p w14:paraId="62BF0ED4" w14:textId="1EA3BC09" w:rsidR="00FE243A" w:rsidRPr="002259D9" w:rsidRDefault="00FE243A" w:rsidP="00FE243A">
            <w:pPr>
              <w:spacing w:before="0" w:after="0"/>
              <w:rPr>
                <w:sz w:val="16"/>
                <w:szCs w:val="16"/>
                <w:lang w:val="es-CO"/>
              </w:rPr>
            </w:pPr>
            <w:r w:rsidRPr="002259D9">
              <w:rPr>
                <w:sz w:val="16"/>
                <w:szCs w:val="16"/>
                <w:lang w:val="es-CO"/>
              </w:rPr>
              <w:t>En revisión al recurso, el comentario de la CREG hace referencia al módulo de barraje, pero la UC de la fila 1296 corresponde con la casa de control.</w:t>
            </w:r>
          </w:p>
        </w:tc>
      </w:tr>
    </w:tbl>
    <w:p w14:paraId="06FE34B4" w14:textId="77777777" w:rsidR="000871E3" w:rsidRPr="002259D9" w:rsidRDefault="000871E3" w:rsidP="00025C30">
      <w:pPr>
        <w:spacing w:before="0" w:after="240"/>
      </w:pPr>
    </w:p>
    <w:p w14:paraId="62DC79B1" w14:textId="158F8449" w:rsidR="005B4943" w:rsidRPr="002259D9" w:rsidRDefault="005B4943" w:rsidP="005B4943">
      <w:pPr>
        <w:widowControl w:val="0"/>
        <w:tabs>
          <w:tab w:val="left" w:pos="1469"/>
        </w:tabs>
        <w:autoSpaceDE w:val="0"/>
        <w:autoSpaceDN w:val="0"/>
        <w:spacing w:before="1" w:after="0" w:line="259" w:lineRule="auto"/>
        <w:rPr>
          <w:szCs w:val="20"/>
          <w:lang w:val="es-CO"/>
        </w:rPr>
      </w:pPr>
      <w:r w:rsidRPr="002259D9">
        <w:rPr>
          <w:b/>
          <w:bCs/>
          <w:szCs w:val="20"/>
          <w:lang w:val="es-CO"/>
        </w:rPr>
        <w:t>B.11. Comentario CREG:</w:t>
      </w:r>
      <w:r w:rsidRPr="002259D9">
        <w:rPr>
          <w:rFonts w:ascii="Arial" w:hAnsi="Arial"/>
          <w:b/>
        </w:rPr>
        <w:t xml:space="preserve"> </w:t>
      </w:r>
      <w:r w:rsidRPr="002259D9">
        <w:rPr>
          <w:szCs w:val="20"/>
          <w:lang w:val="es-CO"/>
        </w:rPr>
        <w:t>Formato 6 “</w:t>
      </w:r>
      <w:r w:rsidRPr="002259D9">
        <w:rPr>
          <w:i/>
          <w:iCs/>
          <w:szCs w:val="20"/>
          <w:lang w:val="es-CO"/>
        </w:rPr>
        <w:t>De acuerdo con el literal i del numeral 14.1 “Se debe reportar una UC de módulo común por cada nivel de tensión existente en la subestación exceptuando el nivel 1”, se reconoce un reporte por nivel de tensión para el mismo año de entrada en operación y fracción de costo en la SE.”</w:t>
      </w:r>
    </w:p>
    <w:p w14:paraId="6A968A26" w14:textId="7DE67EA8" w:rsidR="00D0230E" w:rsidRPr="002259D9" w:rsidRDefault="00D0230E" w:rsidP="00D0230E">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52667E19" w14:textId="0EB4367C" w:rsidR="00D0230E" w:rsidRPr="002259D9" w:rsidRDefault="00D0230E" w:rsidP="006D6944">
      <w:pPr>
        <w:pStyle w:val="Textoindependiente"/>
        <w:spacing w:before="155"/>
        <w:jc w:val="both"/>
        <w:rPr>
          <w:rFonts w:ascii="Bookman Old Style" w:hAnsi="Bookman Old Style" w:cs="Times New Roman"/>
          <w:b w:val="0"/>
          <w:bCs w:val="0"/>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“formato6_UC_SE” se indica en la “columna Z: Comentario EPM” las observaciones para cada UC en las filas: 49-51, 64-67, 79-80, 85, 89, 91-101, 115-120, 129, 132, 250-255, 267-268, 279-282, 289-290, 297-305, 320-322, 342-343, 346-355, 358, 362, 365, 372-375, 384-385, 396-399, 408, 498-499, 542-549, 562, 564, 571-575, 585-586, 598-601,</w:t>
      </w:r>
      <w:r w:rsidR="006D6944"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634-642, 667-682, 724-727, 741-743, 787, 791-794, 806, 827-830, 839, 841, 844-860,</w:t>
      </w:r>
      <w:r w:rsidR="006D6944"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879-888, 905-924, 950-958, 969-978, 1006-1009, 1018-1019, 1023, 1062-1067, 1075,</w:t>
      </w:r>
      <w:r w:rsidR="006D6944"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1081-1082, 1093-1105, 1121, 1128, 1140, 1146-1150, 1173, 1217-1218, 1223, 1228,</w:t>
      </w:r>
      <w:r w:rsidR="006D6944"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1234-1235, 1239-1244, 1251, 1254, 1271-1273. Según el literal i del numeral 14.1 de la resolución CREG 015/2018 se indica que se debe reportar una UC de módulo común por cada nivel de tensión existente en la subestación exceptuando el NT1; asimismo, el literal</w:t>
      </w:r>
      <w:r w:rsidR="006D6944" w:rsidRPr="002259D9">
        <w:rPr>
          <w:rFonts w:ascii="Bookman Old Style" w:hAnsi="Bookman Old Style" w:cs="Times New Roman"/>
          <w:b w:val="0"/>
          <w:bCs w:val="0"/>
          <w:i/>
          <w:iCs/>
        </w:rPr>
        <w:t xml:space="preserve"> </w:t>
      </w:r>
      <w:r w:rsidRPr="002259D9">
        <w:rPr>
          <w:rFonts w:ascii="Bookman Old Style" w:hAnsi="Bookman Old Style" w:cs="Times New Roman"/>
          <w:b w:val="0"/>
          <w:bCs w:val="0"/>
          <w:i/>
          <w:iCs/>
        </w:rPr>
        <w:t>j. del numeral 14.1 de la resolución CREG 015/2018 indica que el costo de la UC de módulo común se define por bahía y, por tanto, para calcular el valor del módulo común, primero se debe ubicar el tipo de módulo común por nivel de tensión al que pertenece una subestación y luego, multiplicar el número de bahías existentes en la subestación en dicho nivel de tensión, por el valor de la UC correspondiente. Con base en lo indicado anteriormente, se reportó en el plan de inversiones regulatorio una UC de módulo común por cada bahía en el nivel de tensión correspondiente.</w:t>
      </w:r>
    </w:p>
    <w:p w14:paraId="523D8688" w14:textId="3CC4AB20" w:rsidR="003851D1" w:rsidRPr="002259D9" w:rsidRDefault="003851D1" w:rsidP="003851D1">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3483129F" w14:textId="0DF96C09" w:rsidR="00892BC4" w:rsidRPr="002259D9" w:rsidRDefault="00892BC4" w:rsidP="00D0230E">
      <w:pPr>
        <w:pStyle w:val="Textoindependiente"/>
        <w:jc w:val="both"/>
        <w:rPr>
          <w:rFonts w:ascii="Bookman Old Style" w:hAnsi="Bookman Old Style"/>
          <w:b w:val="0"/>
          <w:bCs w:val="0"/>
          <w:szCs w:val="20"/>
          <w:lang w:val="es-CO"/>
        </w:rPr>
      </w:pPr>
      <w:r w:rsidRPr="002259D9">
        <w:rPr>
          <w:rFonts w:ascii="Bookman Old Style" w:hAnsi="Bookman Old Style" w:cs="Times New Roman"/>
          <w:b w:val="0"/>
          <w:bCs w:val="0"/>
        </w:rPr>
        <w:t xml:space="preserve">En virtud del </w:t>
      </w:r>
      <w:r w:rsidRPr="002259D9">
        <w:rPr>
          <w:rFonts w:ascii="Bookman Old Style" w:hAnsi="Bookman Old Style"/>
          <w:b w:val="0"/>
          <w:bCs w:val="0"/>
          <w:szCs w:val="20"/>
          <w:lang w:val="es-CO"/>
        </w:rPr>
        <w:t>literal i del numeral 14.1, solo se reconoce un reporte para módulo común en el mismo nivel de tensión y año de entrada en operación para la SE</w:t>
      </w:r>
      <w:r w:rsidR="007F49D1">
        <w:rPr>
          <w:rFonts w:ascii="Bookman Old Style" w:hAnsi="Bookman Old Style"/>
          <w:b w:val="0"/>
          <w:bCs w:val="0"/>
          <w:szCs w:val="20"/>
          <w:lang w:val="es-CO"/>
        </w:rPr>
        <w:t>. P</w:t>
      </w:r>
      <w:r w:rsidRPr="002259D9">
        <w:rPr>
          <w:rFonts w:ascii="Bookman Old Style" w:hAnsi="Bookman Old Style"/>
          <w:b w:val="0"/>
          <w:bCs w:val="0"/>
          <w:szCs w:val="20"/>
          <w:lang w:val="es-CO"/>
        </w:rPr>
        <w:t xml:space="preserve">or tanto, para la valoración dicho módulo, se tienen en cuenta las bahías reconocidas en el nivel de tensión y las bahías nuevas propuestas en el inventario. Es por lo anterior que la </w:t>
      </w:r>
      <w:r w:rsidR="00C73249">
        <w:rPr>
          <w:rFonts w:ascii="Bookman Old Style" w:hAnsi="Bookman Old Style"/>
          <w:b w:val="0"/>
          <w:bCs w:val="0"/>
          <w:szCs w:val="20"/>
          <w:lang w:val="es-CO"/>
        </w:rPr>
        <w:t>Comisión</w:t>
      </w:r>
      <w:r w:rsidRPr="002259D9">
        <w:rPr>
          <w:rFonts w:ascii="Bookman Old Style" w:hAnsi="Bookman Old Style"/>
          <w:b w:val="0"/>
          <w:bCs w:val="0"/>
          <w:szCs w:val="20"/>
          <w:lang w:val="es-CO"/>
        </w:rPr>
        <w:t xml:space="preserve"> resuelve no incluir los valores duplicados.</w:t>
      </w:r>
    </w:p>
    <w:p w14:paraId="0DF6CCDC" w14:textId="4C8095AF" w:rsidR="00AF03DC" w:rsidRPr="002259D9" w:rsidRDefault="00AD583E" w:rsidP="00025C30">
      <w:pPr>
        <w:spacing w:before="0" w:after="240"/>
      </w:pPr>
      <w:r w:rsidRPr="002259D9">
        <w:rPr>
          <w:b/>
          <w:bCs/>
          <w:szCs w:val="20"/>
          <w:lang w:val="es-CO"/>
        </w:rPr>
        <w:t xml:space="preserve">B.12. </w:t>
      </w:r>
      <w:r w:rsidRPr="002259D9">
        <w:rPr>
          <w:b/>
          <w:bCs/>
        </w:rPr>
        <w:t>Casa de control – N0P13</w:t>
      </w:r>
      <w:r w:rsidRPr="002259D9">
        <w:t>, aunque la CREG no hace una</w:t>
      </w:r>
      <w:r w:rsidRPr="002259D9">
        <w:rPr>
          <w:spacing w:val="1"/>
        </w:rPr>
        <w:t xml:space="preserve"> </w:t>
      </w:r>
      <w:r w:rsidRPr="002259D9">
        <w:t>solicitud u observación puntual, observamos que la UC casa de control está como</w:t>
      </w:r>
      <w:r w:rsidRPr="002259D9">
        <w:rPr>
          <w:spacing w:val="1"/>
        </w:rPr>
        <w:t xml:space="preserve"> </w:t>
      </w:r>
      <w:r w:rsidRPr="002259D9">
        <w:t>activo reconocido; sin embargo, esta UC requiere de los m2 para su reconocimiento</w:t>
      </w:r>
      <w:r w:rsidRPr="002259D9">
        <w:rPr>
          <w:spacing w:val="1"/>
        </w:rPr>
        <w:t xml:space="preserve"> </w:t>
      </w:r>
      <w:r w:rsidRPr="002259D9">
        <w:t>adecuado</w:t>
      </w:r>
      <w:r w:rsidRPr="002259D9">
        <w:rPr>
          <w:spacing w:val="-1"/>
        </w:rPr>
        <w:t xml:space="preserve"> </w:t>
      </w:r>
      <w:r w:rsidRPr="002259D9">
        <w:t>y algunas UC</w:t>
      </w:r>
      <w:r w:rsidRPr="002259D9">
        <w:rPr>
          <w:spacing w:val="-3"/>
        </w:rPr>
        <w:t xml:space="preserve"> </w:t>
      </w:r>
      <w:r w:rsidRPr="002259D9">
        <w:t>aparecen en</w:t>
      </w:r>
      <w:r w:rsidRPr="002259D9">
        <w:rPr>
          <w:spacing w:val="-2"/>
        </w:rPr>
        <w:t xml:space="preserve"> </w:t>
      </w:r>
      <w:r w:rsidRPr="002259D9">
        <w:t>el</w:t>
      </w:r>
      <w:r w:rsidRPr="002259D9">
        <w:rPr>
          <w:spacing w:val="-2"/>
        </w:rPr>
        <w:t xml:space="preserve"> </w:t>
      </w:r>
      <w:r w:rsidRPr="002259D9">
        <w:t>formato</w:t>
      </w:r>
      <w:r w:rsidRPr="002259D9">
        <w:rPr>
          <w:spacing w:val="-5"/>
        </w:rPr>
        <w:t xml:space="preserve"> </w:t>
      </w:r>
      <w:r w:rsidRPr="002259D9">
        <w:t>con área</w:t>
      </w:r>
      <w:r w:rsidRPr="002259D9">
        <w:rPr>
          <w:spacing w:val="-1"/>
        </w:rPr>
        <w:t xml:space="preserve"> </w:t>
      </w:r>
      <w:r w:rsidRPr="002259D9">
        <w:t>reconocida</w:t>
      </w:r>
      <w:r w:rsidRPr="002259D9">
        <w:rPr>
          <w:spacing w:val="-3"/>
        </w:rPr>
        <w:t xml:space="preserve"> </w:t>
      </w:r>
      <w:r w:rsidRPr="002259D9">
        <w:t>“0”.</w:t>
      </w:r>
    </w:p>
    <w:p w14:paraId="22F7D68A" w14:textId="77777777" w:rsidR="00AD583E" w:rsidRPr="002259D9" w:rsidRDefault="00AD583E" w:rsidP="00AD583E">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5FBFFE36" w14:textId="02480613" w:rsidR="0007064B" w:rsidRPr="002259D9" w:rsidRDefault="00AD583E" w:rsidP="00AD583E">
      <w:pPr>
        <w:pStyle w:val="Textoindependiente"/>
        <w:spacing w:before="158"/>
        <w:ind w:right="50"/>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Se evidencian algunas UC “N0P13” del formato 6 con reconocimiento aprobado en “1” y área reconocida en “0”. En el archivo “D-112-21 Inventario reconocido INVA EPM_20_25” hoja “formato6_UC_SE” se indica en la “columna Z: Comentario EPM” las observaciones para cada UC en las filas: 141, 173, 409, 440, 738, 780, 783, 1213, 1252, 1262, 1292, 1297 y 1299. En el campo de observaciones enviado se encuentran las áreas solicitadas en metros cuadrados que corresponden con lo señalado en el capítulo 14 de la resolución 015 de 2018. Asimismo, se aclara que algunas UC cuentan con tipo III y fracción de costo en 100, que indica que la reposición corresponde a una intervención parcial de la casa de control sobre los metros cuadrados indicados que son inferiores a la totalidad de la casa de control.</w:t>
      </w:r>
    </w:p>
    <w:p w14:paraId="0D726F19" w14:textId="34B23ABC" w:rsidR="0007064B" w:rsidRPr="002259D9" w:rsidRDefault="0007064B" w:rsidP="0007064B">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18494D7E" w14:textId="272C496A" w:rsidR="00E2034E" w:rsidRPr="002259D9" w:rsidRDefault="0007064B" w:rsidP="00025C30">
      <w:pPr>
        <w:spacing w:before="0" w:after="240"/>
        <w:rPr>
          <w:bCs/>
          <w:lang w:val="es-CO" w:eastAsia="en-US"/>
        </w:rPr>
      </w:pPr>
      <w:r w:rsidRPr="002259D9">
        <w:rPr>
          <w:bCs/>
          <w:lang w:val="es-CO" w:eastAsia="en-US"/>
        </w:rPr>
        <w:t xml:space="preserve">En respuesta a la solicitud, se aclara que el valor resultante para la casa de control cumple con lo establecido en el literal </w:t>
      </w:r>
      <w:r w:rsidRPr="002259D9">
        <w:rPr>
          <w:bCs/>
          <w:i/>
          <w:iCs/>
          <w:lang w:val="es-CO" w:eastAsia="en-US"/>
        </w:rPr>
        <w:t xml:space="preserve">q </w:t>
      </w:r>
      <w:r w:rsidRPr="002259D9">
        <w:rPr>
          <w:bCs/>
          <w:lang w:val="es-CO" w:eastAsia="en-US"/>
        </w:rPr>
        <w:t>del numeral 14.1 UC asociadas a subestaciones, para lo cual solo se tienen en cuenta las bahías y celdas nuevas aprobadas para la SE para el mismo año de entrada en operación</w:t>
      </w:r>
      <w:r w:rsidR="00B96B8C" w:rsidRPr="002259D9">
        <w:rPr>
          <w:bCs/>
          <w:lang w:val="es-CO" w:eastAsia="en-US"/>
        </w:rPr>
        <w:t>, reportadas en el inventario</w:t>
      </w:r>
      <w:r w:rsidR="007F49D1">
        <w:rPr>
          <w:bCs/>
          <w:lang w:val="es-CO" w:eastAsia="en-US"/>
        </w:rPr>
        <w:t>. P</w:t>
      </w:r>
      <w:r w:rsidR="00E2034E" w:rsidRPr="002259D9">
        <w:rPr>
          <w:bCs/>
          <w:lang w:val="es-CO" w:eastAsia="en-US"/>
        </w:rPr>
        <w:t>or otro lado, no es clara la solicitud en cuanto las intervenciones parciales para la casa de control con fracción de costo de 100</w:t>
      </w:r>
      <w:r w:rsidR="007F49D1">
        <w:rPr>
          <w:bCs/>
          <w:lang w:val="es-CO" w:eastAsia="en-US"/>
        </w:rPr>
        <w:t>. P</w:t>
      </w:r>
      <w:r w:rsidR="007B0D0F" w:rsidRPr="002259D9">
        <w:rPr>
          <w:bCs/>
          <w:lang w:val="es-CO" w:eastAsia="en-US"/>
        </w:rPr>
        <w:t>or tanto</w:t>
      </w:r>
      <w:r w:rsidR="007F49D1">
        <w:rPr>
          <w:bCs/>
          <w:lang w:val="es-CO" w:eastAsia="en-US"/>
        </w:rPr>
        <w:t>,</w:t>
      </w:r>
      <w:r w:rsidR="007B0D0F" w:rsidRPr="002259D9">
        <w:rPr>
          <w:bCs/>
          <w:lang w:val="es-CO" w:eastAsia="en-US"/>
        </w:rPr>
        <w:t xml:space="preserve"> la </w:t>
      </w:r>
      <w:r w:rsidR="00C73249">
        <w:rPr>
          <w:bCs/>
          <w:lang w:val="es-CO" w:eastAsia="en-US"/>
        </w:rPr>
        <w:t>Comisión</w:t>
      </w:r>
      <w:r w:rsidR="007B0D0F" w:rsidRPr="002259D9">
        <w:rPr>
          <w:bCs/>
          <w:lang w:val="es-CO" w:eastAsia="en-US"/>
        </w:rPr>
        <w:t xml:space="preserve"> resuelve no aprobar las UC con las inconsistencias antes mencionadas.</w:t>
      </w:r>
    </w:p>
    <w:p w14:paraId="12F08956" w14:textId="77777777" w:rsidR="003B178F" w:rsidRPr="002259D9" w:rsidRDefault="003B178F" w:rsidP="00025C30">
      <w:pPr>
        <w:spacing w:before="0" w:after="240"/>
        <w:rPr>
          <w:bCs/>
          <w:lang w:val="es-CO" w:eastAsia="en-US"/>
        </w:rPr>
      </w:pPr>
    </w:p>
    <w:p w14:paraId="2C1EAEA3" w14:textId="762F69DD" w:rsidR="00AF03DC" w:rsidRPr="002259D9" w:rsidRDefault="00E2034E" w:rsidP="00025C30">
      <w:pPr>
        <w:spacing w:before="0" w:after="240"/>
        <w:rPr>
          <w:i/>
          <w:iCs/>
        </w:rPr>
      </w:pPr>
      <w:r w:rsidRPr="002259D9">
        <w:rPr>
          <w:b/>
          <w:bCs/>
          <w:szCs w:val="20"/>
          <w:lang w:val="es-CO"/>
        </w:rPr>
        <w:t xml:space="preserve">B.13. Comentario CREG: </w:t>
      </w:r>
      <w:r w:rsidRPr="002259D9">
        <w:t xml:space="preserve">Formato 7 </w:t>
      </w:r>
      <w:r w:rsidRPr="002259D9">
        <w:rPr>
          <w:i/>
          <w:iCs/>
        </w:rPr>
        <w:t>“El proyecto no posee aprobación UPME”</w:t>
      </w:r>
    </w:p>
    <w:p w14:paraId="1C6265D1" w14:textId="2A6027E7" w:rsidR="004C607A" w:rsidRPr="002259D9" w:rsidRDefault="004C607A" w:rsidP="004C607A">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792FBA77" w14:textId="2A24A984" w:rsidR="004C607A" w:rsidRPr="002259D9" w:rsidRDefault="004C607A" w:rsidP="004C607A">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“formato7_UC_lineas” se indica en la “columna V: Comentario EPM” las observaciones para cada UC en las filas: 3763, 3764, 8051, 9620 - 9630, 9632, 9635, 15401, 15402 y 37432. Las UC indicadas no requieren concepto UPME dado que no corresponden a intervenciones en el STR. Las UC relacionadas corresponden a fibra óptica en líneas de NT3 y NT2, se asimiló de esta forma dado que para estos niveles de tensión no existe una UC de fibra óptica.</w:t>
      </w:r>
    </w:p>
    <w:p w14:paraId="06C23822" w14:textId="690939A1" w:rsidR="00A0284E" w:rsidRPr="002259D9" w:rsidRDefault="00A0284E" w:rsidP="00A0284E">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700955D4" w14:textId="21F4B254" w:rsidR="00815DC3" w:rsidRPr="002259D9" w:rsidRDefault="00815DC3" w:rsidP="004C607A">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El OR aclara la solicitud, y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resuelve incluir las UC relacionadas en las filas relacionadas en el soporte EPM.</w:t>
      </w:r>
    </w:p>
    <w:p w14:paraId="6C7E9F14" w14:textId="77777777" w:rsidR="003B178F" w:rsidRPr="002259D9" w:rsidRDefault="003B178F" w:rsidP="004C607A">
      <w:pPr>
        <w:pStyle w:val="Textoindependiente"/>
        <w:jc w:val="both"/>
        <w:rPr>
          <w:rFonts w:ascii="Bookman Old Style" w:hAnsi="Bookman Old Style" w:cs="Times New Roman"/>
          <w:b w:val="0"/>
          <w:bCs w:val="0"/>
        </w:rPr>
      </w:pPr>
    </w:p>
    <w:p w14:paraId="4A4F7872" w14:textId="1208FBB0" w:rsidR="00815DC3" w:rsidRPr="002259D9" w:rsidRDefault="00815DC3" w:rsidP="00815DC3">
      <w:pPr>
        <w:spacing w:before="0" w:after="240"/>
        <w:rPr>
          <w:i/>
          <w:iCs/>
        </w:rPr>
      </w:pPr>
      <w:r w:rsidRPr="002259D9">
        <w:rPr>
          <w:b/>
          <w:bCs/>
          <w:szCs w:val="20"/>
          <w:lang w:val="es-CO"/>
        </w:rPr>
        <w:t xml:space="preserve">B.14. Comentario CREG: </w:t>
      </w:r>
      <w:r w:rsidRPr="002259D9">
        <w:t xml:space="preserve">Formato 8 </w:t>
      </w:r>
      <w:r w:rsidRPr="002259D9">
        <w:rPr>
          <w:i/>
          <w:iCs/>
        </w:rPr>
        <w:t>“No se encuentra reporte en el campo “IUL Línea” en el "formato3_basicaLineas"</w:t>
      </w:r>
    </w:p>
    <w:p w14:paraId="31EAEDD0" w14:textId="172A3E35" w:rsidR="00815DC3" w:rsidRPr="002259D9" w:rsidRDefault="00815DC3" w:rsidP="00815DC3">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34256084" w14:textId="77777777" w:rsidR="00815DC3" w:rsidRPr="002259D9" w:rsidRDefault="00815DC3" w:rsidP="00815DC3">
      <w:pPr>
        <w:pStyle w:val="Textoindependiente"/>
        <w:spacing w:before="162"/>
        <w:jc w:val="both"/>
        <w:rPr>
          <w:rFonts w:ascii="Bookman Old Style" w:hAnsi="Bookman Old Style" w:cs="Times New Roman"/>
          <w:b w:val="0"/>
          <w:bCs w:val="0"/>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“formato8_UC_eq_linea” se indica en la “columna U: Comentario EPM” las observaciones para cada UC en las filas: 4228, 4229, 4230 y 11825. Tres de estos activos son obras requeridas en las instalaciones de uso por un proyecto de conexión. No se relacionó el IUL de línea dado que los activos serán instalados al interior de la subestación de uso y la línea es un activo de conexión. Por otra parte, el activo restante será utilizado para la protección de un transformador de potencia; por lo tanto, no se diligenció el IUL en el formato 3.</w:t>
      </w:r>
    </w:p>
    <w:p w14:paraId="0E358B6C" w14:textId="4369F604" w:rsidR="00326076" w:rsidRPr="002259D9" w:rsidRDefault="00326076" w:rsidP="00326076">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6CEB3613" w14:textId="7428B20F" w:rsidR="00815DC3" w:rsidRPr="002259D9" w:rsidRDefault="00501C0F" w:rsidP="00815DC3">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E</w:t>
      </w:r>
      <w:r w:rsidR="00781011" w:rsidRPr="002259D9">
        <w:rPr>
          <w:rFonts w:ascii="Bookman Old Style" w:hAnsi="Bookman Old Style" w:cs="Times New Roman"/>
          <w:b w:val="0"/>
          <w:bCs w:val="0"/>
        </w:rPr>
        <w:t xml:space="preserve">l literal </w:t>
      </w:r>
      <w:r w:rsidR="00781011" w:rsidRPr="002259D9">
        <w:rPr>
          <w:rFonts w:ascii="Bookman Old Style" w:hAnsi="Bookman Old Style" w:cs="Times New Roman"/>
          <w:b w:val="0"/>
          <w:bCs w:val="0"/>
          <w:i/>
          <w:iCs/>
        </w:rPr>
        <w:t>l</w:t>
      </w:r>
      <w:r w:rsidR="00781011" w:rsidRPr="002259D9">
        <w:rPr>
          <w:rFonts w:ascii="Bookman Old Style" w:hAnsi="Bookman Old Style" w:cs="Times New Roman"/>
          <w:b w:val="0"/>
          <w:bCs w:val="0"/>
        </w:rPr>
        <w:t xml:space="preserve"> del numeral 6.1 del anexo general </w:t>
      </w:r>
      <w:r w:rsidRPr="002259D9">
        <w:rPr>
          <w:rFonts w:ascii="Bookman Old Style" w:hAnsi="Bookman Old Style" w:cs="Times New Roman"/>
          <w:b w:val="0"/>
          <w:bCs w:val="0"/>
        </w:rPr>
        <w:t xml:space="preserve">establece que </w:t>
      </w:r>
      <w:r w:rsidRPr="002259D9">
        <w:rPr>
          <w:rFonts w:ascii="Bookman Old Style" w:hAnsi="Bookman Old Style" w:cs="Times New Roman"/>
          <w:b w:val="0"/>
          <w:bCs w:val="0"/>
          <w:i/>
          <w:iCs/>
        </w:rPr>
        <w:t>“las inversiones deben incluir únicamente activos de uso”</w:t>
      </w:r>
      <w:r w:rsidR="00225A6F" w:rsidRPr="002259D9">
        <w:rPr>
          <w:rFonts w:ascii="Bookman Old Style" w:hAnsi="Bookman Old Style" w:cs="Times New Roman"/>
          <w:b w:val="0"/>
          <w:bCs w:val="0"/>
        </w:rPr>
        <w:t xml:space="preserve">, lo cual aplica para activos que se encuentren </w:t>
      </w:r>
      <w:r w:rsidR="00B66041" w:rsidRPr="002259D9">
        <w:rPr>
          <w:rFonts w:ascii="Bookman Old Style" w:hAnsi="Bookman Old Style" w:cs="Times New Roman"/>
          <w:b w:val="0"/>
          <w:bCs w:val="0"/>
        </w:rPr>
        <w:t xml:space="preserve">en </w:t>
      </w:r>
      <w:r w:rsidR="00225A6F" w:rsidRPr="002259D9">
        <w:rPr>
          <w:rFonts w:ascii="Bookman Old Style" w:hAnsi="Bookman Old Style" w:cs="Times New Roman"/>
          <w:b w:val="0"/>
          <w:bCs w:val="0"/>
        </w:rPr>
        <w:t>las SE, en cuanto a la UC para la protección de un transformador de potencia</w:t>
      </w:r>
      <w:r w:rsidR="004F0840" w:rsidRPr="002259D9">
        <w:rPr>
          <w:rFonts w:ascii="Bookman Old Style" w:hAnsi="Bookman Old Style" w:cs="Times New Roman"/>
          <w:b w:val="0"/>
          <w:bCs w:val="0"/>
        </w:rPr>
        <w:t>, de no tener un IUL asociado el reporte debió realizarse en el formato 9 para equipos de SE.</w:t>
      </w:r>
    </w:p>
    <w:p w14:paraId="1BAD464F" w14:textId="77777777" w:rsidR="003B178F" w:rsidRPr="002259D9" w:rsidRDefault="003B178F" w:rsidP="00815DC3">
      <w:pPr>
        <w:pStyle w:val="Textoindependiente"/>
        <w:jc w:val="both"/>
      </w:pPr>
    </w:p>
    <w:p w14:paraId="13FD303C" w14:textId="3725BFE7" w:rsidR="00E2034E" w:rsidRPr="002259D9" w:rsidRDefault="004F0840" w:rsidP="00025C30">
      <w:pPr>
        <w:spacing w:before="0" w:after="240"/>
      </w:pPr>
      <w:r w:rsidRPr="002259D9">
        <w:rPr>
          <w:b/>
          <w:bCs/>
          <w:szCs w:val="20"/>
          <w:lang w:val="es-CO"/>
        </w:rPr>
        <w:t xml:space="preserve">B.15. Comentario CREG: </w:t>
      </w:r>
      <w:r w:rsidRPr="002259D9">
        <w:t>Formato</w:t>
      </w:r>
      <w:r w:rsidRPr="002259D9">
        <w:rPr>
          <w:spacing w:val="-2"/>
        </w:rPr>
        <w:t xml:space="preserve"> </w:t>
      </w:r>
      <w:r w:rsidRPr="002259D9">
        <w:t>9</w:t>
      </w:r>
      <w:r w:rsidRPr="002259D9">
        <w:rPr>
          <w:spacing w:val="-5"/>
        </w:rPr>
        <w:t xml:space="preserve"> </w:t>
      </w:r>
      <w:r w:rsidRPr="002259D9">
        <w:rPr>
          <w:i/>
          <w:iCs/>
        </w:rPr>
        <w:t>“El proyecto no posee aprobación UPME”</w:t>
      </w:r>
    </w:p>
    <w:p w14:paraId="3C70CB24" w14:textId="60927A6C" w:rsidR="00B66041" w:rsidRPr="002259D9" w:rsidRDefault="00B66041" w:rsidP="00B66041">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6375D915" w14:textId="031168EB" w:rsidR="00B66041" w:rsidRPr="002259D9" w:rsidRDefault="00B66041" w:rsidP="00B66041">
      <w:pPr>
        <w:pStyle w:val="Textoindependiente"/>
        <w:spacing w:before="93"/>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“formato9_UC_equipos_SE” se indica en la “columna S: Comentario EPM” las observaciones para cada UC en las filas: 17289 - 17296, 19127, 31705, 31818, 37313, 37408, 42968 - 42971, 50164, 50165, 50172 y 50173. Para algunas UC se adjunta concepto UPME “20201520037091 SE nueva Santa Rosa” y concepto UPME “20201520039161 Plan de Expansión del Sur del Valle de Aburrá”; las demás UC no requieren concepto UPME dado que las intervenciones no pertenecen al STR, las UC relacionadas corresponden a activos que no sirven de forma exclusiva a este nivel de tensión por lo tanto se consideran del SDL según lo indicado en el numeral b. del numeral 14.1 de la resolución.</w:t>
      </w:r>
    </w:p>
    <w:p w14:paraId="67790548" w14:textId="530FC574" w:rsidR="00D623C2" w:rsidRPr="002259D9" w:rsidRDefault="00D623C2" w:rsidP="00D623C2">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6E6F591F" w14:textId="4943E509" w:rsidR="00B66041" w:rsidRPr="002259D9" w:rsidRDefault="00970465" w:rsidP="00B66041">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Se revis</w:t>
      </w:r>
      <w:r w:rsidR="007F49D1">
        <w:rPr>
          <w:rFonts w:ascii="Bookman Old Style" w:hAnsi="Bookman Old Style" w:cs="Times New Roman"/>
          <w:b w:val="0"/>
          <w:bCs w:val="0"/>
        </w:rPr>
        <w:t>ó</w:t>
      </w:r>
      <w:r w:rsidRPr="002259D9">
        <w:rPr>
          <w:rFonts w:ascii="Bookman Old Style" w:hAnsi="Bookman Old Style" w:cs="Times New Roman"/>
          <w:b w:val="0"/>
          <w:bCs w:val="0"/>
        </w:rPr>
        <w:t xml:space="preserve"> la totalidad de las</w:t>
      </w:r>
      <w:r w:rsidR="00B80EEE" w:rsidRPr="002259D9">
        <w:rPr>
          <w:rFonts w:ascii="Bookman Old Style" w:hAnsi="Bookman Old Style" w:cs="Times New Roman"/>
          <w:b w:val="0"/>
          <w:bCs w:val="0"/>
        </w:rPr>
        <w:t xml:space="preserve"> filas mencionadas y </w:t>
      </w:r>
      <w:r w:rsidR="00EC51FF" w:rsidRPr="002259D9">
        <w:rPr>
          <w:rFonts w:ascii="Bookman Old Style" w:hAnsi="Bookman Old Style" w:cs="Times New Roman"/>
          <w:b w:val="0"/>
          <w:bCs w:val="0"/>
        </w:rPr>
        <w:t xml:space="preserve">la </w:t>
      </w:r>
      <w:r w:rsidR="00C73249">
        <w:rPr>
          <w:rFonts w:ascii="Bookman Old Style" w:hAnsi="Bookman Old Style" w:cs="Times New Roman"/>
          <w:b w:val="0"/>
          <w:bCs w:val="0"/>
        </w:rPr>
        <w:t>Comisión</w:t>
      </w:r>
      <w:r w:rsidR="00EC51FF" w:rsidRPr="002259D9">
        <w:rPr>
          <w:rFonts w:ascii="Bookman Old Style" w:hAnsi="Bookman Old Style" w:cs="Times New Roman"/>
          <w:b w:val="0"/>
          <w:bCs w:val="0"/>
        </w:rPr>
        <w:t xml:space="preserve"> resuelve ap</w:t>
      </w:r>
      <w:r w:rsidR="00B80EEE" w:rsidRPr="002259D9">
        <w:rPr>
          <w:rFonts w:ascii="Bookman Old Style" w:hAnsi="Bookman Old Style" w:cs="Times New Roman"/>
          <w:b w:val="0"/>
          <w:bCs w:val="0"/>
        </w:rPr>
        <w:t xml:space="preserve">robar aquellas UC donde el comentario en el documento anexo por parte del OR, </w:t>
      </w:r>
      <w:r w:rsidR="00EC51FF" w:rsidRPr="002259D9">
        <w:rPr>
          <w:rFonts w:ascii="Bookman Old Style" w:hAnsi="Bookman Old Style" w:cs="Times New Roman"/>
          <w:b w:val="0"/>
          <w:bCs w:val="0"/>
        </w:rPr>
        <w:t>permitió conocer el radicado UPME, o se aclaró la solicitud del OR.</w:t>
      </w:r>
    </w:p>
    <w:p w14:paraId="3E4B064F" w14:textId="77777777" w:rsidR="00F530A8" w:rsidRPr="002259D9" w:rsidRDefault="00F530A8" w:rsidP="00B66041">
      <w:pPr>
        <w:pStyle w:val="Textoindependiente"/>
        <w:jc w:val="both"/>
        <w:rPr>
          <w:rFonts w:ascii="Bookman Old Style" w:hAnsi="Bookman Old Style" w:cs="Times New Roman"/>
          <w:b w:val="0"/>
          <w:bCs w:val="0"/>
        </w:rPr>
      </w:pPr>
    </w:p>
    <w:p w14:paraId="013EBFFC" w14:textId="76C66DF1" w:rsidR="004F0840" w:rsidRPr="002259D9" w:rsidRDefault="00EC51FF" w:rsidP="00025C30">
      <w:pPr>
        <w:spacing w:before="0" w:after="240"/>
      </w:pPr>
      <w:r w:rsidRPr="002259D9">
        <w:rPr>
          <w:b/>
          <w:bCs/>
          <w:szCs w:val="20"/>
          <w:lang w:val="es-CO"/>
        </w:rPr>
        <w:t xml:space="preserve">B.16. Comentario CREG: </w:t>
      </w:r>
      <w:r w:rsidRPr="002259D9">
        <w:rPr>
          <w:szCs w:val="20"/>
          <w:lang w:val="es-CO"/>
        </w:rPr>
        <w:t xml:space="preserve">Formato 10 </w:t>
      </w:r>
      <w:r w:rsidRPr="002259D9">
        <w:t>“</w:t>
      </w:r>
      <w:r w:rsidRPr="002259D9">
        <w:rPr>
          <w:rFonts w:ascii="Arial" w:hAnsi="Arial"/>
          <w:i/>
        </w:rPr>
        <w:t>El</w:t>
      </w:r>
      <w:r w:rsidRPr="002259D9">
        <w:rPr>
          <w:rFonts w:ascii="Arial" w:hAnsi="Arial"/>
          <w:i/>
          <w:spacing w:val="-1"/>
        </w:rPr>
        <w:t xml:space="preserve"> </w:t>
      </w:r>
      <w:r w:rsidRPr="002259D9">
        <w:rPr>
          <w:rFonts w:ascii="Arial" w:hAnsi="Arial"/>
          <w:i/>
        </w:rPr>
        <w:t>proyecto</w:t>
      </w:r>
      <w:r w:rsidRPr="002259D9">
        <w:rPr>
          <w:rFonts w:ascii="Arial" w:hAnsi="Arial"/>
          <w:i/>
          <w:spacing w:val="-5"/>
        </w:rPr>
        <w:t xml:space="preserve"> </w:t>
      </w:r>
      <w:r w:rsidRPr="002259D9">
        <w:rPr>
          <w:rFonts w:ascii="Arial" w:hAnsi="Arial"/>
          <w:i/>
        </w:rPr>
        <w:t>no</w:t>
      </w:r>
      <w:r w:rsidRPr="002259D9">
        <w:rPr>
          <w:rFonts w:ascii="Arial" w:hAnsi="Arial"/>
          <w:i/>
          <w:spacing w:val="-3"/>
        </w:rPr>
        <w:t xml:space="preserve"> </w:t>
      </w:r>
      <w:r w:rsidRPr="002259D9">
        <w:rPr>
          <w:rFonts w:ascii="Arial" w:hAnsi="Arial"/>
          <w:i/>
        </w:rPr>
        <w:t>posee aprobación</w:t>
      </w:r>
      <w:r w:rsidRPr="002259D9">
        <w:rPr>
          <w:rFonts w:ascii="Arial" w:hAnsi="Arial"/>
          <w:i/>
          <w:spacing w:val="-3"/>
        </w:rPr>
        <w:t xml:space="preserve"> </w:t>
      </w:r>
      <w:r w:rsidRPr="002259D9">
        <w:rPr>
          <w:rFonts w:ascii="Arial" w:hAnsi="Arial"/>
          <w:i/>
        </w:rPr>
        <w:t>UPME</w:t>
      </w:r>
      <w:r w:rsidRPr="002259D9">
        <w:t>”</w:t>
      </w:r>
    </w:p>
    <w:p w14:paraId="7D360159" w14:textId="6D47000D" w:rsidR="00815DC3" w:rsidRPr="002259D9" w:rsidRDefault="00306469" w:rsidP="00306469">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las UC indicadas en las filas del anexo enunciadas en este punto, que se encuentra en la carpeta “Anexo - Inventario reconocido INVA 20_25 archivo “D-112-21 Inventario reconocido INVA EPM_20_25”, (ver el enlace Anexos recurso Resolución CREG 136 de 2021 al final de este documento)</w:t>
      </w:r>
    </w:p>
    <w:p w14:paraId="42A7DD45" w14:textId="7E22C346" w:rsidR="00306469" w:rsidRPr="002259D9" w:rsidRDefault="00306469" w:rsidP="00306469">
      <w:pPr>
        <w:pStyle w:val="Textoindependiente"/>
        <w:spacing w:before="179"/>
        <w:jc w:val="both"/>
        <w:rPr>
          <w:rFonts w:ascii="Bookman Old Style" w:hAnsi="Bookman Old Style" w:cs="Times New Roman"/>
          <w:b w:val="0"/>
          <w:bCs w:val="0"/>
        </w:rPr>
      </w:pPr>
      <w:bookmarkStart w:id="1" w:name="_Hlk88080554"/>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En el archivo “D-112-21 Inventario reconocido INVA EPM_20_25” hoja “formato10_CC” se indica en la “columna S: Comentario EPM” las observaciones para cada UC en las filas: 56 – 74, 241 – 254, 281 – 287, 407 – 426, 483, 484, 527 – 544. Para algunas UC se adjunta concepto UPME “20201520039161 Plan de Expansión del Sur del Valle de Aburrá”; en relación con lo anterior, se ajustó las UC de la columna E “Unidad Constructiva” en las filas 68 – 74 para que sea congruente con el concepto aprobado por la UPME. Por otra parte, se considera que otras UC no requieren concepto UPME dado que las intervenciones no pertenecen al STR, las UC relacionadas corresponden a activos que no sirven de forma exclusiva a ese nivel de tensión y por lo tanto se consideran del SDL según lo indicado en el numeral b. del numeral 14.1 de la resolución.</w:t>
      </w:r>
    </w:p>
    <w:bookmarkEnd w:id="1"/>
    <w:p w14:paraId="673EAE8A" w14:textId="4CB66A07" w:rsidR="009B08D8" w:rsidRPr="002259D9" w:rsidRDefault="009B08D8" w:rsidP="009B08D8">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4F962860" w14:textId="7D908038" w:rsidR="00DF2091" w:rsidRPr="002259D9" w:rsidRDefault="00DF2091" w:rsidP="00DF2091">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Se </w:t>
      </w:r>
      <w:r w:rsidR="007F49D1" w:rsidRPr="002259D9">
        <w:rPr>
          <w:rFonts w:ascii="Bookman Old Style" w:hAnsi="Bookman Old Style" w:cs="Times New Roman"/>
          <w:b w:val="0"/>
          <w:bCs w:val="0"/>
        </w:rPr>
        <w:t>revis</w:t>
      </w:r>
      <w:r w:rsidR="007F49D1">
        <w:rPr>
          <w:rFonts w:ascii="Bookman Old Style" w:hAnsi="Bookman Old Style" w:cs="Times New Roman"/>
          <w:b w:val="0"/>
          <w:bCs w:val="0"/>
        </w:rPr>
        <w:t>ó</w:t>
      </w:r>
      <w:r w:rsidR="007F49D1" w:rsidRPr="002259D9">
        <w:rPr>
          <w:rFonts w:ascii="Bookman Old Style" w:hAnsi="Bookman Old Style" w:cs="Times New Roman"/>
          <w:b w:val="0"/>
          <w:bCs w:val="0"/>
        </w:rPr>
        <w:t xml:space="preserve"> </w:t>
      </w:r>
      <w:r w:rsidRPr="002259D9">
        <w:rPr>
          <w:rFonts w:ascii="Bookman Old Style" w:hAnsi="Bookman Old Style" w:cs="Times New Roman"/>
          <w:b w:val="0"/>
          <w:bCs w:val="0"/>
        </w:rPr>
        <w:t xml:space="preserve">la totalidad de las filas mencionadas y la </w:t>
      </w:r>
      <w:r w:rsidR="00C73249">
        <w:rPr>
          <w:rFonts w:ascii="Bookman Old Style" w:hAnsi="Bookman Old Style" w:cs="Times New Roman"/>
          <w:b w:val="0"/>
          <w:bCs w:val="0"/>
        </w:rPr>
        <w:t>Comisión</w:t>
      </w:r>
      <w:r w:rsidRPr="002259D9">
        <w:rPr>
          <w:rFonts w:ascii="Bookman Old Style" w:hAnsi="Bookman Old Style" w:cs="Times New Roman"/>
          <w:b w:val="0"/>
          <w:bCs w:val="0"/>
        </w:rPr>
        <w:t xml:space="preserve"> resuelve aprobar aquellas UC donde el comentario en el documento anexo por parte del OR, permitió conocer el radicado UPME, o se aclaró la solicitud del OR.</w:t>
      </w:r>
    </w:p>
    <w:p w14:paraId="1F76A4E0" w14:textId="77777777" w:rsidR="00DF2091" w:rsidRPr="002259D9" w:rsidRDefault="00DF2091" w:rsidP="00DF2091">
      <w:pPr>
        <w:pStyle w:val="Textoindependiente"/>
        <w:jc w:val="both"/>
        <w:rPr>
          <w:rFonts w:ascii="Bookman Old Style" w:hAnsi="Bookman Old Style" w:cs="Times New Roman"/>
          <w:b w:val="0"/>
          <w:bCs w:val="0"/>
        </w:rPr>
      </w:pPr>
    </w:p>
    <w:p w14:paraId="71B5DC4D" w14:textId="34E54C59" w:rsidR="009B08D8" w:rsidRPr="002259D9" w:rsidRDefault="00DF2091" w:rsidP="009B08D8">
      <w:pPr>
        <w:pStyle w:val="Textoindependiente"/>
        <w:spacing w:before="1"/>
        <w:jc w:val="both"/>
        <w:rPr>
          <w:b w:val="0"/>
          <w:bCs w:val="0"/>
          <w:i/>
          <w:iCs/>
        </w:rPr>
      </w:pPr>
      <w:r w:rsidRPr="002259D9">
        <w:rPr>
          <w:b w:val="0"/>
          <w:bCs w:val="0"/>
          <w:i/>
          <w:iCs/>
        </w:rPr>
        <w:t xml:space="preserve">I.  </w:t>
      </w:r>
      <w:r w:rsidR="009E3B36" w:rsidRPr="002259D9">
        <w:rPr>
          <w:b w:val="0"/>
          <w:bCs w:val="0"/>
          <w:i/>
          <w:iCs/>
        </w:rPr>
        <w:t>UNIDADES CONSTRUCTIVAS UC ESPECIALES AJUSTES PLAN DE INVERSIÓN</w:t>
      </w:r>
    </w:p>
    <w:p w14:paraId="38259C30" w14:textId="32CC0E32" w:rsidR="00DF2091" w:rsidRPr="002259D9" w:rsidRDefault="00277AB2" w:rsidP="009B08D8">
      <w:pPr>
        <w:pStyle w:val="Textoindependiente"/>
        <w:spacing w:before="1"/>
        <w:jc w:val="both"/>
        <w:rPr>
          <w:rFonts w:ascii="Bookman Old Style" w:hAnsi="Bookman Old Style" w:cs="Times New Roman"/>
        </w:rPr>
      </w:pPr>
      <w:r w:rsidRPr="002259D9">
        <w:rPr>
          <w:rFonts w:ascii="Bookman Old Style" w:hAnsi="Bookman Old Style"/>
          <w:szCs w:val="20"/>
          <w:lang w:val="es-CO"/>
        </w:rPr>
        <w:t>B.1</w:t>
      </w:r>
      <w:r w:rsidRPr="002259D9">
        <w:rPr>
          <w:szCs w:val="20"/>
          <w:lang w:val="es-CO"/>
        </w:rPr>
        <w:t>7</w:t>
      </w:r>
      <w:r w:rsidRPr="002259D9">
        <w:rPr>
          <w:rFonts w:ascii="Bookman Old Style" w:hAnsi="Bookman Old Style"/>
          <w:szCs w:val="20"/>
          <w:lang w:val="es-CO"/>
        </w:rPr>
        <w:t>. Centro</w:t>
      </w:r>
      <w:r w:rsidRPr="002259D9">
        <w:rPr>
          <w:rFonts w:ascii="Bookman Old Style" w:hAnsi="Bookman Old Style"/>
          <w:szCs w:val="20"/>
          <w:lang w:val="es-CO"/>
        </w:rPr>
        <w:tab/>
        <w:t>de</w:t>
      </w:r>
      <w:r w:rsidRPr="002259D9">
        <w:rPr>
          <w:rFonts w:ascii="Bookman Old Style" w:hAnsi="Bookman Old Style"/>
          <w:szCs w:val="20"/>
          <w:lang w:val="es-CO"/>
        </w:rPr>
        <w:tab/>
        <w:t>control</w:t>
      </w:r>
      <w:r w:rsidRPr="002259D9">
        <w:rPr>
          <w:rFonts w:ascii="Bookman Old Style" w:hAnsi="Bookman Old Style"/>
          <w:szCs w:val="20"/>
          <w:lang w:val="es-CO"/>
        </w:rPr>
        <w:tab/>
        <w:t>tipo</w:t>
      </w:r>
      <w:r w:rsidRPr="002259D9">
        <w:rPr>
          <w:rFonts w:ascii="Bookman Old Style" w:hAnsi="Bookman Old Style"/>
          <w:szCs w:val="20"/>
          <w:lang w:val="es-CO"/>
        </w:rPr>
        <w:tab/>
        <w:t>4</w:t>
      </w:r>
      <w:r w:rsidRPr="002259D9">
        <w:rPr>
          <w:rFonts w:ascii="Bookman Old Style" w:hAnsi="Bookman Old Style"/>
          <w:szCs w:val="20"/>
          <w:lang w:val="es-CO"/>
        </w:rPr>
        <w:tab/>
        <w:t>(</w:t>
      </w:r>
      <w:proofErr w:type="spellStart"/>
      <w:r w:rsidRPr="002259D9">
        <w:rPr>
          <w:rFonts w:ascii="Bookman Old Style" w:hAnsi="Bookman Old Style"/>
          <w:szCs w:val="20"/>
          <w:lang w:val="es-CO"/>
        </w:rPr>
        <w:t>SCADA+EMS-Completo+DMS</w:t>
      </w:r>
      <w:proofErr w:type="spellEnd"/>
      <w:r w:rsidRPr="002259D9">
        <w:rPr>
          <w:rFonts w:ascii="Bookman Old Style" w:hAnsi="Bookman Old Style"/>
          <w:szCs w:val="20"/>
          <w:lang w:val="es-CO"/>
        </w:rPr>
        <w:t xml:space="preserve"> </w:t>
      </w:r>
      <w:proofErr w:type="spellStart"/>
      <w:r w:rsidRPr="002259D9">
        <w:rPr>
          <w:rFonts w:ascii="Bookman Old Style" w:hAnsi="Bookman Old Style"/>
          <w:szCs w:val="20"/>
          <w:lang w:val="es-CO"/>
        </w:rPr>
        <w:t>Completo+OMS+CMS</w:t>
      </w:r>
      <w:proofErr w:type="spellEnd"/>
      <w:r w:rsidRPr="002259D9">
        <w:rPr>
          <w:rFonts w:ascii="Bookman Old Style" w:hAnsi="Bookman Old Style"/>
          <w:szCs w:val="20"/>
          <w:lang w:val="es-CO"/>
        </w:rPr>
        <w:t>):</w:t>
      </w:r>
    </w:p>
    <w:p w14:paraId="051FDA73" w14:textId="7192C604" w:rsidR="00277AB2" w:rsidRPr="002259D9" w:rsidRDefault="00277AB2" w:rsidP="00277AB2">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Solicitamos a la CREG el reconocimiento de los conceptos indicados los cuales son necesarios para la administración de la ejecución del proyecto.</w:t>
      </w:r>
    </w:p>
    <w:p w14:paraId="40683FCE" w14:textId="4BC86726" w:rsidR="00277AB2" w:rsidRPr="002259D9" w:rsidRDefault="00277AB2" w:rsidP="00277AB2">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Los valores enviados por concepto de Nómina administrativa, viáticos, dirección, seguimiento y control corresponden a la administración para la ejecución del proyecto, si bien este concepto no corresponde a los lineamientos de la Resolución CREG 015/2018 para las UC Especiales, es un concepto que se contempla dentro de gran parte de las UC y que, para este caso del centro de control, corresponde a personal de EPM para la ejecución del proyecto.</w:t>
      </w:r>
    </w:p>
    <w:p w14:paraId="1B8AAA98" w14:textId="2B93D02B" w:rsidR="00277AB2" w:rsidRPr="002259D9" w:rsidRDefault="00277AB2" w:rsidP="00277AB2">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68C64D51" w14:textId="60A5C3C8" w:rsidR="00DB4DE6" w:rsidRPr="002259D9" w:rsidRDefault="00277AB2" w:rsidP="00DB4DE6">
      <w:pPr>
        <w:spacing w:before="0" w:after="0"/>
        <w:rPr>
          <w:rFonts w:cs="Calibri"/>
          <w:color w:val="000000"/>
          <w:sz w:val="18"/>
          <w:szCs w:val="18"/>
          <w:lang w:val="es-CO" w:eastAsia="es-CO"/>
        </w:rPr>
      </w:pPr>
      <w:r w:rsidRPr="002259D9">
        <w:t xml:space="preserve">En revisión de la solicitud del OR, se reitera el comentario inicial para la </w:t>
      </w:r>
      <w:r w:rsidR="00DB4DE6" w:rsidRPr="002259D9">
        <w:t>aprobación</w:t>
      </w:r>
      <w:r w:rsidRPr="002259D9">
        <w:t xml:space="preserve"> de la UC</w:t>
      </w:r>
      <w:r w:rsidR="00DB4DE6" w:rsidRPr="002259D9">
        <w:t>, ya que los conceptos solicitados hacen parte del AOM del OR</w:t>
      </w:r>
      <w:r w:rsidR="007F49D1">
        <w:t>. P</w:t>
      </w:r>
      <w:r w:rsidR="00DB4DE6" w:rsidRPr="002259D9">
        <w:t>or tanto</w:t>
      </w:r>
      <w:r w:rsidR="00D83269" w:rsidRPr="002259D9">
        <w:t>,</w:t>
      </w:r>
      <w:r w:rsidR="00DB4DE6" w:rsidRPr="002259D9">
        <w:t xml:space="preserve"> se confirma el valor de la UC por un valor 19.451.883.458 a pesos de 2017, finalmente el código de la UC será N0P88</w:t>
      </w:r>
      <w:r w:rsidR="00D83269" w:rsidRPr="002259D9">
        <w:t>.</w:t>
      </w:r>
    </w:p>
    <w:p w14:paraId="622A0BC6" w14:textId="75D1FC59" w:rsidR="00277AB2" w:rsidRPr="002259D9" w:rsidRDefault="00277AB2" w:rsidP="00277AB2">
      <w:pPr>
        <w:pStyle w:val="Textoindependiente"/>
        <w:jc w:val="both"/>
        <w:rPr>
          <w:rFonts w:ascii="Bookman Old Style" w:hAnsi="Bookman Old Style" w:cs="Times New Roman"/>
          <w:b w:val="0"/>
          <w:bCs w:val="0"/>
          <w:lang w:val="es-CO"/>
        </w:rPr>
      </w:pPr>
    </w:p>
    <w:p w14:paraId="26C384CF" w14:textId="23351356" w:rsidR="00277AB2" w:rsidRPr="002259D9" w:rsidRDefault="00D83269" w:rsidP="00D83269">
      <w:pPr>
        <w:pStyle w:val="Textoindependiente"/>
        <w:jc w:val="both"/>
        <w:rPr>
          <w:rFonts w:ascii="Bookman Old Style" w:hAnsi="Bookman Old Style"/>
          <w:szCs w:val="20"/>
          <w:lang w:val="es-CO"/>
        </w:rPr>
      </w:pPr>
      <w:r w:rsidRPr="002259D9">
        <w:rPr>
          <w:rFonts w:ascii="Bookman Old Style" w:hAnsi="Bookman Old Style"/>
          <w:szCs w:val="20"/>
          <w:lang w:val="es-CO"/>
        </w:rPr>
        <w:t>B.18 y 19. Enlace de comunicación MPLS</w:t>
      </w:r>
    </w:p>
    <w:p w14:paraId="50BD3D5A" w14:textId="77777777" w:rsidR="00D83269" w:rsidRPr="002259D9" w:rsidRDefault="00D83269" w:rsidP="00D83269">
      <w:pPr>
        <w:pStyle w:val="Textoindependiente"/>
        <w:spacing w:before="93"/>
        <w:jc w:val="both"/>
        <w:rPr>
          <w:rFonts w:ascii="Bookman Old Style" w:hAnsi="Bookman Old Style" w:cs="Times New Roman"/>
          <w:b w:val="0"/>
          <w:bCs w:val="0"/>
        </w:rPr>
      </w:pPr>
      <w:bookmarkStart w:id="2" w:name="_Hlk88124499"/>
      <w:r w:rsidRPr="002259D9">
        <w:rPr>
          <w:rFonts w:ascii="Bookman Old Style" w:hAnsi="Bookman Old Style" w:cs="Times New Roman"/>
          <w:b w:val="0"/>
          <w:bCs w:val="0"/>
        </w:rPr>
        <w:t>Solicitud: Se solicita a la CREG el reconocimiento de la Unidad Constructiva Especial N0P20-1 - Enlace de comunicación MPLS.</w:t>
      </w:r>
    </w:p>
    <w:bookmarkEnd w:id="2"/>
    <w:p w14:paraId="1BD8BD76" w14:textId="256362C7" w:rsidR="00AF03DC" w:rsidRPr="002259D9" w:rsidRDefault="001234AB" w:rsidP="00025C30">
      <w:pPr>
        <w:spacing w:before="0" w:after="240"/>
      </w:pPr>
      <w:r w:rsidRPr="002259D9">
        <w:t>Soporte EPM: En el ítem 18 el OR, envía la información referente a el costo DD</w:t>
      </w:r>
      <w:r w:rsidR="00245F0D" w:rsidRPr="002259D9">
        <w:t>P</w:t>
      </w:r>
      <w:r w:rsidRPr="002259D9">
        <w:t xml:space="preserve"> para los componentes asociados a la UC, así como los valores del montaje, para el ítem 19, el OR especifica que:</w:t>
      </w:r>
    </w:p>
    <w:p w14:paraId="33D8D327" w14:textId="77777777" w:rsidR="001234AB" w:rsidRPr="002259D9" w:rsidRDefault="001234AB" w:rsidP="001234AB">
      <w:pPr>
        <w:spacing w:before="0" w:after="240"/>
        <w:rPr>
          <w:i/>
          <w:iCs/>
        </w:rPr>
      </w:pPr>
      <w:bookmarkStart w:id="3" w:name="_Hlk88126409"/>
      <w:r w:rsidRPr="002259D9">
        <w:rPr>
          <w:i/>
          <w:iCs/>
        </w:rPr>
        <w:t xml:space="preserve">Dentro de los activos que se remuneran en el capítulo 14 de la resolución CREG 015 de 2018, no se identifica un equipo que realice las funciones del Equipo de multiplexación y transporte de información IP/MPLS, que permita realizar ingeniería de tráfico, segregación de canales, priorización del ancho de banda, para soportar los diferentes servicios que requiere la subestación con tiempos de respuesta adecuados, garantizando con ello la seguridad y confiabilidad en la operación. </w:t>
      </w:r>
      <w:bookmarkEnd w:id="3"/>
      <w:r w:rsidRPr="002259D9">
        <w:rPr>
          <w:i/>
          <w:iCs/>
        </w:rPr>
        <w:t>Sobre estos equipos (IP/MPLS) se soportan todos los servicios que confluyen en las subestaciones…</w:t>
      </w:r>
      <w:bookmarkStart w:id="4" w:name="_Hlk88126899"/>
    </w:p>
    <w:p w14:paraId="5823B66A" w14:textId="775931CF" w:rsidR="001234AB" w:rsidRPr="002259D9" w:rsidRDefault="001234AB" w:rsidP="001234AB">
      <w:pPr>
        <w:spacing w:before="0" w:after="240"/>
        <w:rPr>
          <w:i/>
          <w:iCs/>
        </w:rPr>
      </w:pPr>
      <w:r w:rsidRPr="002259D9">
        <w:rPr>
          <w:i/>
          <w:iCs/>
        </w:rPr>
        <w:t xml:space="preserve">Es importante mencionar que el equipo que se remunera en el capítulo 14 de la resolución CREG 015 de 2018 es un equipo </w:t>
      </w:r>
      <w:proofErr w:type="spellStart"/>
      <w:r w:rsidRPr="002259D9">
        <w:rPr>
          <w:i/>
          <w:iCs/>
        </w:rPr>
        <w:t>Router</w:t>
      </w:r>
      <w:proofErr w:type="spellEnd"/>
      <w:r w:rsidRPr="002259D9">
        <w:rPr>
          <w:i/>
          <w:iCs/>
        </w:rPr>
        <w:t>-Firewall que hace parte del sistema de control de la subestación (N0P1 a N0P5), el cual hace referencia a un equipo de enrutamiento IP convencional, en el cual los paquetes IP no se clasifican, no se marcan, no pueden procesarse de manera diferente como lo hace un equipo de transporte MPLS, por lo tanto, este equipo no cuenta con las funcionalidades para realizar ingeniería de tráfico, segregación de canales y priorización del ancho de banda para los diferentes servicios que si permite el IP/MPLS y que son necesarias dadas las exigencias de ancho de banda, demanda de recursos de red y desempeño de las redes actuales.</w:t>
      </w:r>
    </w:p>
    <w:p w14:paraId="214DC70F" w14:textId="3BD227E7" w:rsidR="009042DA" w:rsidRPr="002259D9" w:rsidRDefault="001234AB" w:rsidP="001234AB">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i/>
          <w:iCs/>
        </w:rPr>
        <w:t xml:space="preserve">Si bien los equipos de multiplexación y transporte IP/MPLS son denominados comercialmente como </w:t>
      </w:r>
      <w:proofErr w:type="spellStart"/>
      <w:r w:rsidRPr="002259D9">
        <w:rPr>
          <w:rFonts w:ascii="Bookman Old Style" w:hAnsi="Bookman Old Style" w:cs="Times New Roman"/>
          <w:b w:val="0"/>
          <w:bCs w:val="0"/>
          <w:i/>
          <w:iCs/>
        </w:rPr>
        <w:t>Router</w:t>
      </w:r>
      <w:proofErr w:type="spellEnd"/>
      <w:r w:rsidRPr="002259D9">
        <w:rPr>
          <w:rFonts w:ascii="Bookman Old Style" w:hAnsi="Bookman Old Style" w:cs="Times New Roman"/>
          <w:b w:val="0"/>
          <w:bCs w:val="0"/>
          <w:i/>
          <w:iCs/>
        </w:rPr>
        <w:t xml:space="preserve"> IP/MPLS, estos tienen funcionalidades diferentes a los enrutadores convencionales de nivel 2 reconocidos en la UC sistema de control de la subestación - SCS (N0P1 a N0P5).</w:t>
      </w:r>
    </w:p>
    <w:bookmarkEnd w:id="4"/>
    <w:p w14:paraId="0412794B" w14:textId="5254B868" w:rsidR="009042DA" w:rsidRPr="002259D9" w:rsidRDefault="009042DA" w:rsidP="009042DA">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3EF4BD1D" w14:textId="17334513" w:rsidR="009042DA" w:rsidRPr="002259D9" w:rsidRDefault="009042DA" w:rsidP="009042DA">
      <w:pPr>
        <w:spacing w:before="0" w:after="0"/>
        <w:rPr>
          <w:rFonts w:cs="Calibri"/>
          <w:color w:val="000000"/>
          <w:sz w:val="18"/>
          <w:szCs w:val="18"/>
          <w:lang w:val="es-CO" w:eastAsia="es-CO"/>
        </w:rPr>
      </w:pPr>
      <w:r w:rsidRPr="002259D9">
        <w:t xml:space="preserve">En revisión de la solicitud del OR, se reiteran los comentarios iniciales para la aprobación de la UC, ya que la metodología actual contempla </w:t>
      </w:r>
      <w:proofErr w:type="spellStart"/>
      <w:r w:rsidRPr="002259D9">
        <w:t>UC’s</w:t>
      </w:r>
      <w:proofErr w:type="spellEnd"/>
      <w:r w:rsidRPr="002259D9">
        <w:t xml:space="preserve"> para el tratamiento de la información, y las características </w:t>
      </w:r>
      <w:r w:rsidR="00C73249" w:rsidRPr="002259D9">
        <w:t>espec</w:t>
      </w:r>
      <w:r w:rsidR="00C73249">
        <w:t>í</w:t>
      </w:r>
      <w:r w:rsidR="00C73249" w:rsidRPr="002259D9">
        <w:t xml:space="preserve">ficas </w:t>
      </w:r>
      <w:r w:rsidRPr="002259D9">
        <w:t>solicitadas por el OR afecta su AOM de cara a</w:t>
      </w:r>
      <w:r w:rsidR="00BC134F" w:rsidRPr="002259D9">
        <w:t>l procesamiento interno de los datos.</w:t>
      </w:r>
    </w:p>
    <w:p w14:paraId="64701F74" w14:textId="77777777" w:rsidR="001234AB" w:rsidRPr="002259D9" w:rsidRDefault="001234AB" w:rsidP="00025C30">
      <w:pPr>
        <w:spacing w:before="0" w:after="240"/>
        <w:rPr>
          <w:i/>
          <w:iCs/>
          <w:lang w:val="es-CO"/>
        </w:rPr>
      </w:pPr>
    </w:p>
    <w:p w14:paraId="43BD250D" w14:textId="252BD5C6" w:rsidR="00277AB2" w:rsidRPr="002259D9" w:rsidRDefault="00BC134F" w:rsidP="00025C30">
      <w:pPr>
        <w:spacing w:before="0" w:after="240"/>
        <w:rPr>
          <w:rFonts w:cs="Arial"/>
          <w:b/>
          <w:bCs/>
          <w:szCs w:val="20"/>
          <w:lang w:val="es-CO"/>
        </w:rPr>
      </w:pPr>
      <w:r w:rsidRPr="002259D9">
        <w:rPr>
          <w:rFonts w:cs="Arial"/>
          <w:b/>
          <w:bCs/>
          <w:szCs w:val="20"/>
          <w:lang w:val="es-CO"/>
        </w:rPr>
        <w:t xml:space="preserve">B.20 – 23. </w:t>
      </w:r>
      <w:bookmarkStart w:id="5" w:name="_Hlk88128315"/>
      <w:r w:rsidRPr="002259D9">
        <w:rPr>
          <w:rFonts w:cs="Arial"/>
          <w:b/>
          <w:bCs/>
          <w:szCs w:val="20"/>
          <w:lang w:val="es-CO"/>
        </w:rPr>
        <w:t xml:space="preserve">Transformador Subterráneo Trifásico Urbano Sumergible de 750 </w:t>
      </w:r>
      <w:proofErr w:type="spellStart"/>
      <w:r w:rsidRPr="002259D9">
        <w:rPr>
          <w:rFonts w:cs="Arial"/>
          <w:b/>
          <w:bCs/>
          <w:szCs w:val="20"/>
          <w:lang w:val="es-CO"/>
        </w:rPr>
        <w:t>kVA</w:t>
      </w:r>
      <w:bookmarkEnd w:id="5"/>
      <w:proofErr w:type="spellEnd"/>
    </w:p>
    <w:p w14:paraId="3821E6C9" w14:textId="128B13E8" w:rsidR="00B77671" w:rsidRPr="002259D9" w:rsidRDefault="00B77671" w:rsidP="00B77671">
      <w:pPr>
        <w:pStyle w:val="Textoindependiente"/>
        <w:jc w:val="both"/>
        <w:rPr>
          <w:rFonts w:ascii="Bookman Old Style" w:hAnsi="Bookman Old Style" w:cs="Times New Roman"/>
          <w:b w:val="0"/>
          <w:bCs w:val="0"/>
          <w:i/>
          <w:iCs/>
        </w:rPr>
      </w:pPr>
      <w:bookmarkStart w:id="6" w:name="_Hlk88128675"/>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 xml:space="preserve">Se solicita a la CREG el reconocimiento de la Unidad Constructiva Especial N1T26-1 - Transformador Subterráneo Trifásico Urbano Sumergible de 750 </w:t>
      </w:r>
      <w:proofErr w:type="spellStart"/>
      <w:r w:rsidRPr="002259D9">
        <w:rPr>
          <w:rFonts w:ascii="Bookman Old Style" w:hAnsi="Bookman Old Style" w:cs="Times New Roman"/>
          <w:b w:val="0"/>
          <w:bCs w:val="0"/>
          <w:i/>
          <w:iCs/>
        </w:rPr>
        <w:t>kVA</w:t>
      </w:r>
      <w:proofErr w:type="spellEnd"/>
      <w:r w:rsidRPr="002259D9">
        <w:rPr>
          <w:rFonts w:ascii="Bookman Old Style" w:hAnsi="Bookman Old Style" w:cs="Times New Roman"/>
          <w:b w:val="0"/>
          <w:bCs w:val="0"/>
          <w:i/>
          <w:iCs/>
        </w:rPr>
        <w:t>.</w:t>
      </w:r>
    </w:p>
    <w:p w14:paraId="7C8775D5" w14:textId="24EDB4D5" w:rsidR="00AF1DE0" w:rsidRPr="002259D9" w:rsidRDefault="00AF1DE0" w:rsidP="008D3E2A">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360B82E6" w14:textId="4E3F1B6E" w:rsidR="00B77671" w:rsidRPr="002259D9" w:rsidRDefault="00AF1DE0" w:rsidP="00B77671">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Para los </w:t>
      </w:r>
      <w:r w:rsidR="00573091" w:rsidRPr="002259D9">
        <w:rPr>
          <w:rFonts w:ascii="Bookman Old Style" w:hAnsi="Bookman Old Style" w:cs="Times New Roman"/>
          <w:b w:val="0"/>
          <w:bCs w:val="0"/>
        </w:rPr>
        <w:t>Ítems</w:t>
      </w:r>
      <w:r w:rsidRPr="002259D9">
        <w:rPr>
          <w:rFonts w:ascii="Bookman Old Style" w:hAnsi="Bookman Old Style" w:cs="Times New Roman"/>
          <w:b w:val="0"/>
          <w:bCs w:val="0"/>
        </w:rPr>
        <w:t xml:space="preserve"> del 20-23, el OR envía la documentación faltante, aclara las necesidades técnicas, y los costos asociados a la UC solicitada</w:t>
      </w:r>
      <w:r w:rsidR="00573091" w:rsidRPr="002259D9">
        <w:rPr>
          <w:rFonts w:ascii="Bookman Old Style" w:hAnsi="Bookman Old Style" w:cs="Times New Roman"/>
          <w:b w:val="0"/>
          <w:bCs w:val="0"/>
        </w:rPr>
        <w:t xml:space="preserve">, se revisa la totalidad de la información y la </w:t>
      </w:r>
      <w:r w:rsidR="00C73249">
        <w:rPr>
          <w:rFonts w:ascii="Bookman Old Style" w:hAnsi="Bookman Old Style" w:cs="Times New Roman"/>
          <w:b w:val="0"/>
          <w:bCs w:val="0"/>
        </w:rPr>
        <w:t>Comisión</w:t>
      </w:r>
      <w:r w:rsidR="00573091" w:rsidRPr="002259D9">
        <w:rPr>
          <w:rFonts w:ascii="Bookman Old Style" w:hAnsi="Bookman Old Style" w:cs="Times New Roman"/>
          <w:b w:val="0"/>
          <w:bCs w:val="0"/>
        </w:rPr>
        <w:t xml:space="preserve"> resuelve aprobar la Unidad Constructiva especial</w:t>
      </w:r>
      <w:r w:rsidR="00AE2958" w:rsidRPr="002259D9">
        <w:rPr>
          <w:rFonts w:ascii="Bookman Old Style" w:hAnsi="Bookman Old Style" w:cs="Times New Roman"/>
          <w:b w:val="0"/>
          <w:bCs w:val="0"/>
        </w:rPr>
        <w:t xml:space="preserve"> con código N1T77</w:t>
      </w:r>
      <w:r w:rsidR="00AE6033" w:rsidRPr="002259D9">
        <w:rPr>
          <w:rFonts w:ascii="Bookman Old Style" w:hAnsi="Bookman Old Style" w:cs="Times New Roman"/>
          <w:b w:val="0"/>
          <w:bCs w:val="0"/>
        </w:rPr>
        <w:t>, de acuerdo con el siguiente esquema:</w:t>
      </w:r>
    </w:p>
    <w:p w14:paraId="64D6C8AE" w14:textId="1EDD9A86" w:rsidR="00AE6033" w:rsidRPr="002259D9" w:rsidRDefault="00AE6033" w:rsidP="00B77671">
      <w:pPr>
        <w:pStyle w:val="Textoindependiente"/>
        <w:jc w:val="both"/>
        <w:rPr>
          <w:rFonts w:ascii="Bookman Old Style" w:hAnsi="Bookman Old Style" w:cs="Times New Roman"/>
          <w:b w:val="0"/>
          <w:bCs w:val="0"/>
        </w:rPr>
      </w:pPr>
    </w:p>
    <w:tbl>
      <w:tblPr>
        <w:tblStyle w:val="Tablaconcuadrcula"/>
        <w:tblW w:w="5812" w:type="dxa"/>
        <w:jc w:val="center"/>
        <w:tblLook w:val="04A0" w:firstRow="1" w:lastRow="0" w:firstColumn="1" w:lastColumn="0" w:noHBand="0" w:noVBand="1"/>
      </w:tblPr>
      <w:tblGrid>
        <w:gridCol w:w="3300"/>
        <w:gridCol w:w="2512"/>
      </w:tblGrid>
      <w:tr w:rsidR="00AE6033" w:rsidRPr="002259D9" w14:paraId="57C67AF9" w14:textId="77777777" w:rsidTr="00AE6033">
        <w:trPr>
          <w:trHeight w:val="300"/>
          <w:jc w:val="center"/>
        </w:trPr>
        <w:tc>
          <w:tcPr>
            <w:tcW w:w="3300" w:type="dxa"/>
            <w:noWrap/>
            <w:hideMark/>
          </w:tcPr>
          <w:p w14:paraId="490C931F" w14:textId="77777777" w:rsidR="00AE6033" w:rsidRPr="002259D9" w:rsidRDefault="00AE6033" w:rsidP="00AE6033">
            <w:pPr>
              <w:spacing w:before="0" w:after="0"/>
              <w:jc w:val="center"/>
              <w:rPr>
                <w:b/>
                <w:bCs/>
                <w:sz w:val="20"/>
                <w:szCs w:val="20"/>
                <w:lang w:val="es-CO"/>
              </w:rPr>
            </w:pPr>
            <w:r w:rsidRPr="002259D9">
              <w:rPr>
                <w:b/>
                <w:bCs/>
                <w:sz w:val="20"/>
                <w:szCs w:val="20"/>
                <w:lang w:val="es-CO"/>
              </w:rPr>
              <w:t xml:space="preserve">Detalle </w:t>
            </w:r>
          </w:p>
        </w:tc>
        <w:tc>
          <w:tcPr>
            <w:tcW w:w="2512" w:type="dxa"/>
            <w:noWrap/>
            <w:hideMark/>
          </w:tcPr>
          <w:p w14:paraId="0274D971" w14:textId="77777777" w:rsidR="00AE6033" w:rsidRPr="002259D9" w:rsidRDefault="00AE6033" w:rsidP="00AE6033">
            <w:pPr>
              <w:spacing w:before="0" w:after="0"/>
              <w:jc w:val="center"/>
              <w:rPr>
                <w:b/>
                <w:bCs/>
                <w:sz w:val="20"/>
                <w:szCs w:val="20"/>
                <w:lang w:val="es-CO"/>
              </w:rPr>
            </w:pPr>
            <w:r w:rsidRPr="002259D9">
              <w:rPr>
                <w:b/>
                <w:bCs/>
                <w:sz w:val="20"/>
                <w:szCs w:val="20"/>
                <w:lang w:val="es-CO"/>
              </w:rPr>
              <w:t>Valor</w:t>
            </w:r>
          </w:p>
        </w:tc>
      </w:tr>
      <w:tr w:rsidR="00AE6033" w:rsidRPr="002259D9" w14:paraId="0DDCEB04" w14:textId="77777777" w:rsidTr="00AE6033">
        <w:trPr>
          <w:trHeight w:val="300"/>
          <w:jc w:val="center"/>
        </w:trPr>
        <w:tc>
          <w:tcPr>
            <w:tcW w:w="3300" w:type="dxa"/>
            <w:noWrap/>
            <w:hideMark/>
          </w:tcPr>
          <w:p w14:paraId="746881C4" w14:textId="46697D78" w:rsidR="00AE6033" w:rsidRPr="002259D9" w:rsidRDefault="00AE6033" w:rsidP="00AE6033">
            <w:pPr>
              <w:spacing w:before="0" w:after="0"/>
              <w:jc w:val="center"/>
              <w:rPr>
                <w:sz w:val="16"/>
                <w:szCs w:val="16"/>
                <w:lang w:val="es-CO"/>
              </w:rPr>
            </w:pPr>
            <w:r w:rsidRPr="002259D9">
              <w:rPr>
                <w:sz w:val="16"/>
                <w:szCs w:val="16"/>
                <w:lang w:val="es-CO"/>
              </w:rPr>
              <w:t xml:space="preserve">Transformador </w:t>
            </w:r>
          </w:p>
        </w:tc>
        <w:tc>
          <w:tcPr>
            <w:tcW w:w="2512" w:type="dxa"/>
            <w:noWrap/>
            <w:hideMark/>
          </w:tcPr>
          <w:p w14:paraId="68472ED7" w14:textId="5FD30317" w:rsidR="00AE6033" w:rsidRPr="002259D9" w:rsidRDefault="00AE6033" w:rsidP="00AE6033">
            <w:pPr>
              <w:spacing w:before="0" w:after="0"/>
              <w:jc w:val="center"/>
              <w:rPr>
                <w:sz w:val="16"/>
                <w:szCs w:val="16"/>
                <w:lang w:val="es-CO"/>
              </w:rPr>
            </w:pPr>
            <w:r w:rsidRPr="002259D9">
              <w:rPr>
                <w:sz w:val="16"/>
                <w:szCs w:val="16"/>
                <w:lang w:val="es-CO"/>
              </w:rPr>
              <w:t xml:space="preserve"> $ 449.175.333 </w:t>
            </w:r>
          </w:p>
        </w:tc>
      </w:tr>
      <w:tr w:rsidR="00AE6033" w:rsidRPr="002259D9" w14:paraId="43AAD24C" w14:textId="77777777" w:rsidTr="00AE6033">
        <w:trPr>
          <w:trHeight w:val="300"/>
          <w:jc w:val="center"/>
        </w:trPr>
        <w:tc>
          <w:tcPr>
            <w:tcW w:w="3300" w:type="dxa"/>
            <w:noWrap/>
            <w:hideMark/>
          </w:tcPr>
          <w:p w14:paraId="6F30A40F" w14:textId="77777777" w:rsidR="00AE6033" w:rsidRPr="002259D9" w:rsidRDefault="00AE6033" w:rsidP="00AE6033">
            <w:pPr>
              <w:spacing w:before="0" w:after="0"/>
              <w:jc w:val="center"/>
              <w:rPr>
                <w:sz w:val="16"/>
                <w:szCs w:val="16"/>
                <w:lang w:val="es-CO"/>
              </w:rPr>
            </w:pPr>
            <w:r w:rsidRPr="002259D9">
              <w:rPr>
                <w:sz w:val="16"/>
                <w:szCs w:val="16"/>
                <w:lang w:val="es-CO"/>
              </w:rPr>
              <w:t>Elementos de instalación</w:t>
            </w:r>
          </w:p>
        </w:tc>
        <w:tc>
          <w:tcPr>
            <w:tcW w:w="2512" w:type="dxa"/>
            <w:noWrap/>
            <w:hideMark/>
          </w:tcPr>
          <w:p w14:paraId="3812C8B6" w14:textId="4A1D08B1" w:rsidR="00AE6033" w:rsidRPr="002259D9" w:rsidRDefault="00AE6033" w:rsidP="00AE6033">
            <w:pPr>
              <w:spacing w:before="0" w:after="0"/>
              <w:jc w:val="center"/>
              <w:rPr>
                <w:sz w:val="16"/>
                <w:szCs w:val="16"/>
                <w:lang w:val="es-CO"/>
              </w:rPr>
            </w:pPr>
            <w:r w:rsidRPr="002259D9">
              <w:rPr>
                <w:sz w:val="16"/>
                <w:szCs w:val="16"/>
                <w:lang w:val="es-CO"/>
              </w:rPr>
              <w:t xml:space="preserve"> $</w:t>
            </w:r>
            <w:r w:rsidR="00AE2958" w:rsidRPr="002259D9">
              <w:rPr>
                <w:sz w:val="16"/>
                <w:szCs w:val="16"/>
                <w:lang w:val="es-CO"/>
              </w:rPr>
              <w:t xml:space="preserve"> </w:t>
            </w:r>
            <w:r w:rsidRPr="002259D9">
              <w:rPr>
                <w:sz w:val="16"/>
                <w:szCs w:val="16"/>
                <w:lang w:val="es-CO"/>
              </w:rPr>
              <w:t xml:space="preserve">51.128.782 </w:t>
            </w:r>
          </w:p>
        </w:tc>
      </w:tr>
      <w:tr w:rsidR="00AE6033" w:rsidRPr="002259D9" w14:paraId="26CCC75E" w14:textId="77777777" w:rsidTr="00AE6033">
        <w:trPr>
          <w:trHeight w:val="300"/>
          <w:jc w:val="center"/>
        </w:trPr>
        <w:tc>
          <w:tcPr>
            <w:tcW w:w="3300" w:type="dxa"/>
            <w:noWrap/>
            <w:hideMark/>
          </w:tcPr>
          <w:p w14:paraId="0B5281D5" w14:textId="77777777" w:rsidR="00AE6033" w:rsidRPr="002259D9" w:rsidRDefault="00AE6033" w:rsidP="00AE6033">
            <w:pPr>
              <w:spacing w:before="0" w:after="0"/>
              <w:jc w:val="center"/>
              <w:rPr>
                <w:sz w:val="16"/>
                <w:szCs w:val="16"/>
                <w:lang w:val="es-CO"/>
              </w:rPr>
            </w:pPr>
            <w:r w:rsidRPr="002259D9">
              <w:rPr>
                <w:sz w:val="16"/>
                <w:szCs w:val="16"/>
                <w:lang w:val="es-CO"/>
              </w:rPr>
              <w:t>Instalación</w:t>
            </w:r>
          </w:p>
        </w:tc>
        <w:tc>
          <w:tcPr>
            <w:tcW w:w="2512" w:type="dxa"/>
            <w:noWrap/>
            <w:hideMark/>
          </w:tcPr>
          <w:p w14:paraId="774B8225" w14:textId="71E9CBAD" w:rsidR="00AE6033" w:rsidRPr="002259D9" w:rsidRDefault="00AE6033" w:rsidP="00AE6033">
            <w:pPr>
              <w:spacing w:before="0" w:after="0"/>
              <w:jc w:val="center"/>
              <w:rPr>
                <w:sz w:val="16"/>
                <w:szCs w:val="16"/>
                <w:lang w:val="es-CO"/>
              </w:rPr>
            </w:pPr>
            <w:r w:rsidRPr="002259D9">
              <w:rPr>
                <w:sz w:val="16"/>
                <w:szCs w:val="16"/>
                <w:lang w:val="es-CO"/>
              </w:rPr>
              <w:t xml:space="preserve"> $</w:t>
            </w:r>
            <w:r w:rsidR="00AE2958" w:rsidRPr="002259D9">
              <w:rPr>
                <w:sz w:val="16"/>
                <w:szCs w:val="16"/>
                <w:lang w:val="es-CO"/>
              </w:rPr>
              <w:t xml:space="preserve"> </w:t>
            </w:r>
            <w:r w:rsidRPr="002259D9">
              <w:rPr>
                <w:sz w:val="16"/>
                <w:szCs w:val="16"/>
                <w:lang w:val="es-CO"/>
              </w:rPr>
              <w:t xml:space="preserve">8.388.740 </w:t>
            </w:r>
          </w:p>
        </w:tc>
      </w:tr>
      <w:tr w:rsidR="00AE6033" w:rsidRPr="002259D9" w14:paraId="5DFD0844" w14:textId="77777777" w:rsidTr="00AE6033">
        <w:trPr>
          <w:trHeight w:val="300"/>
          <w:jc w:val="center"/>
        </w:trPr>
        <w:tc>
          <w:tcPr>
            <w:tcW w:w="3300" w:type="dxa"/>
            <w:noWrap/>
            <w:hideMark/>
          </w:tcPr>
          <w:p w14:paraId="190939CB" w14:textId="41B65B56" w:rsidR="00AE6033" w:rsidRPr="002259D9" w:rsidRDefault="00AE2958" w:rsidP="00AE6033">
            <w:pPr>
              <w:spacing w:before="0" w:after="0"/>
              <w:jc w:val="center"/>
              <w:rPr>
                <w:sz w:val="16"/>
                <w:szCs w:val="16"/>
                <w:lang w:val="es-CO"/>
              </w:rPr>
            </w:pPr>
            <w:r w:rsidRPr="002259D9">
              <w:rPr>
                <w:sz w:val="16"/>
                <w:szCs w:val="16"/>
                <w:lang w:val="es-CO"/>
              </w:rPr>
              <w:t>Total,</w:t>
            </w:r>
            <w:r w:rsidR="00AE6033" w:rsidRPr="002259D9">
              <w:rPr>
                <w:sz w:val="16"/>
                <w:szCs w:val="16"/>
                <w:lang w:val="es-CO"/>
              </w:rPr>
              <w:t xml:space="preserve"> pesos (febrero 2020)</w:t>
            </w:r>
          </w:p>
        </w:tc>
        <w:tc>
          <w:tcPr>
            <w:tcW w:w="2512" w:type="dxa"/>
            <w:noWrap/>
            <w:hideMark/>
          </w:tcPr>
          <w:p w14:paraId="11FACFA8" w14:textId="57ECFC22" w:rsidR="00AE6033" w:rsidRPr="002259D9" w:rsidRDefault="00AE6033" w:rsidP="00AE6033">
            <w:pPr>
              <w:spacing w:before="0" w:after="0"/>
              <w:jc w:val="center"/>
              <w:rPr>
                <w:sz w:val="16"/>
                <w:szCs w:val="16"/>
                <w:lang w:val="es-CO"/>
              </w:rPr>
            </w:pPr>
            <w:r w:rsidRPr="002259D9">
              <w:rPr>
                <w:sz w:val="16"/>
                <w:szCs w:val="16"/>
                <w:lang w:val="es-CO"/>
              </w:rPr>
              <w:t xml:space="preserve"> $</w:t>
            </w:r>
            <w:r w:rsidR="00AE2958" w:rsidRPr="002259D9">
              <w:rPr>
                <w:sz w:val="16"/>
                <w:szCs w:val="16"/>
                <w:lang w:val="es-CO"/>
              </w:rPr>
              <w:t xml:space="preserve"> </w:t>
            </w:r>
            <w:r w:rsidRPr="002259D9">
              <w:rPr>
                <w:sz w:val="16"/>
                <w:szCs w:val="16"/>
                <w:lang w:val="es-CO"/>
              </w:rPr>
              <w:t xml:space="preserve">508.692.855 </w:t>
            </w:r>
          </w:p>
        </w:tc>
      </w:tr>
      <w:tr w:rsidR="00AE6033" w:rsidRPr="002259D9" w14:paraId="20CB2EBA" w14:textId="77777777" w:rsidTr="00AE6033">
        <w:trPr>
          <w:trHeight w:val="300"/>
          <w:jc w:val="center"/>
        </w:trPr>
        <w:tc>
          <w:tcPr>
            <w:tcW w:w="3300" w:type="dxa"/>
            <w:noWrap/>
            <w:hideMark/>
          </w:tcPr>
          <w:p w14:paraId="4F33074C" w14:textId="77777777" w:rsidR="00AE6033" w:rsidRPr="002259D9" w:rsidRDefault="00AE6033" w:rsidP="00AE6033">
            <w:pPr>
              <w:spacing w:before="0" w:after="0"/>
              <w:jc w:val="center"/>
              <w:rPr>
                <w:sz w:val="16"/>
                <w:szCs w:val="16"/>
                <w:lang w:val="es-CO"/>
              </w:rPr>
            </w:pPr>
            <w:r w:rsidRPr="002259D9">
              <w:rPr>
                <w:sz w:val="16"/>
                <w:szCs w:val="16"/>
                <w:lang w:val="es-CO"/>
              </w:rPr>
              <w:t>IPP 2020 febrero</w:t>
            </w:r>
          </w:p>
        </w:tc>
        <w:tc>
          <w:tcPr>
            <w:tcW w:w="2512" w:type="dxa"/>
            <w:noWrap/>
            <w:hideMark/>
          </w:tcPr>
          <w:p w14:paraId="73ABCC58" w14:textId="77777777" w:rsidR="00AE6033" w:rsidRPr="002259D9" w:rsidRDefault="00AE6033" w:rsidP="00AE6033">
            <w:pPr>
              <w:spacing w:before="0" w:after="0"/>
              <w:jc w:val="center"/>
              <w:rPr>
                <w:sz w:val="16"/>
                <w:szCs w:val="16"/>
                <w:lang w:val="es-CO"/>
              </w:rPr>
            </w:pPr>
            <w:r w:rsidRPr="002259D9">
              <w:rPr>
                <w:sz w:val="16"/>
                <w:szCs w:val="16"/>
                <w:lang w:val="es-CO"/>
              </w:rPr>
              <w:t>122,34</w:t>
            </w:r>
          </w:p>
        </w:tc>
      </w:tr>
      <w:tr w:rsidR="00AE6033" w:rsidRPr="002259D9" w14:paraId="7251CC8D" w14:textId="77777777" w:rsidTr="00AE6033">
        <w:trPr>
          <w:trHeight w:val="300"/>
          <w:jc w:val="center"/>
        </w:trPr>
        <w:tc>
          <w:tcPr>
            <w:tcW w:w="3300" w:type="dxa"/>
            <w:noWrap/>
            <w:hideMark/>
          </w:tcPr>
          <w:p w14:paraId="2DCC58A2" w14:textId="61CEAA94" w:rsidR="00AE6033" w:rsidRPr="002259D9" w:rsidRDefault="00AE6033" w:rsidP="00AE6033">
            <w:pPr>
              <w:spacing w:before="0" w:after="0"/>
              <w:jc w:val="center"/>
              <w:rPr>
                <w:sz w:val="16"/>
                <w:szCs w:val="16"/>
                <w:lang w:val="es-CO"/>
              </w:rPr>
            </w:pPr>
            <w:r w:rsidRPr="002259D9">
              <w:rPr>
                <w:sz w:val="16"/>
                <w:szCs w:val="16"/>
                <w:lang w:val="es-CO"/>
              </w:rPr>
              <w:t xml:space="preserve">IPP 2017 </w:t>
            </w:r>
            <w:r w:rsidR="00AE2958" w:rsidRPr="002259D9">
              <w:rPr>
                <w:sz w:val="16"/>
                <w:szCs w:val="16"/>
                <w:lang w:val="es-CO"/>
              </w:rPr>
              <w:t>diciembre</w:t>
            </w:r>
          </w:p>
        </w:tc>
        <w:tc>
          <w:tcPr>
            <w:tcW w:w="2512" w:type="dxa"/>
            <w:noWrap/>
            <w:hideMark/>
          </w:tcPr>
          <w:p w14:paraId="13710822" w14:textId="77777777" w:rsidR="00AE6033" w:rsidRPr="002259D9" w:rsidRDefault="00AE6033" w:rsidP="00AE6033">
            <w:pPr>
              <w:spacing w:before="0" w:after="0"/>
              <w:jc w:val="center"/>
              <w:rPr>
                <w:sz w:val="16"/>
                <w:szCs w:val="16"/>
                <w:lang w:val="es-CO"/>
              </w:rPr>
            </w:pPr>
            <w:r w:rsidRPr="002259D9">
              <w:rPr>
                <w:sz w:val="16"/>
                <w:szCs w:val="16"/>
                <w:lang w:val="es-CO"/>
              </w:rPr>
              <w:t>113,41</w:t>
            </w:r>
          </w:p>
        </w:tc>
      </w:tr>
      <w:tr w:rsidR="00AE6033" w:rsidRPr="002259D9" w14:paraId="4E5EC1A7" w14:textId="77777777" w:rsidTr="00AE6033">
        <w:trPr>
          <w:trHeight w:val="300"/>
          <w:jc w:val="center"/>
        </w:trPr>
        <w:tc>
          <w:tcPr>
            <w:tcW w:w="3300" w:type="dxa"/>
            <w:noWrap/>
            <w:hideMark/>
          </w:tcPr>
          <w:p w14:paraId="47213303" w14:textId="5253EA7E" w:rsidR="00AE6033" w:rsidRPr="002259D9" w:rsidRDefault="00AE2958" w:rsidP="00AE6033">
            <w:pPr>
              <w:spacing w:before="0" w:after="0"/>
              <w:jc w:val="center"/>
              <w:rPr>
                <w:sz w:val="16"/>
                <w:szCs w:val="16"/>
                <w:lang w:val="es-CO"/>
              </w:rPr>
            </w:pPr>
            <w:r w:rsidRPr="002259D9">
              <w:rPr>
                <w:sz w:val="16"/>
                <w:szCs w:val="16"/>
                <w:lang w:val="es-CO"/>
              </w:rPr>
              <w:t>Total,</w:t>
            </w:r>
            <w:r w:rsidR="00AE6033" w:rsidRPr="002259D9">
              <w:rPr>
                <w:sz w:val="16"/>
                <w:szCs w:val="16"/>
                <w:lang w:val="es-CO"/>
              </w:rPr>
              <w:t xml:space="preserve"> pesos (</w:t>
            </w:r>
            <w:r w:rsidRPr="002259D9">
              <w:rPr>
                <w:sz w:val="16"/>
                <w:szCs w:val="16"/>
                <w:lang w:val="es-CO"/>
              </w:rPr>
              <w:t>diciembre</w:t>
            </w:r>
            <w:r w:rsidR="00AE6033" w:rsidRPr="002259D9">
              <w:rPr>
                <w:sz w:val="16"/>
                <w:szCs w:val="16"/>
                <w:lang w:val="es-CO"/>
              </w:rPr>
              <w:t xml:space="preserve"> de 2017)</w:t>
            </w:r>
          </w:p>
        </w:tc>
        <w:tc>
          <w:tcPr>
            <w:tcW w:w="2512" w:type="dxa"/>
            <w:noWrap/>
            <w:hideMark/>
          </w:tcPr>
          <w:p w14:paraId="5FAEC23F" w14:textId="0EEB303E" w:rsidR="00AE6033" w:rsidRPr="002259D9" w:rsidRDefault="00AE6033" w:rsidP="00AE6033">
            <w:pPr>
              <w:spacing w:before="0" w:after="0"/>
              <w:jc w:val="center"/>
              <w:rPr>
                <w:sz w:val="16"/>
                <w:szCs w:val="16"/>
                <w:lang w:val="es-CO"/>
              </w:rPr>
            </w:pPr>
            <w:r w:rsidRPr="002259D9">
              <w:rPr>
                <w:sz w:val="16"/>
                <w:szCs w:val="16"/>
                <w:lang w:val="es-CO"/>
              </w:rPr>
              <w:t xml:space="preserve"> $</w:t>
            </w:r>
            <w:r w:rsidR="00AE2958" w:rsidRPr="002259D9">
              <w:rPr>
                <w:sz w:val="16"/>
                <w:szCs w:val="16"/>
                <w:lang w:val="es-CO"/>
              </w:rPr>
              <w:t xml:space="preserve"> </w:t>
            </w:r>
            <w:r w:rsidRPr="002259D9">
              <w:rPr>
                <w:sz w:val="16"/>
                <w:szCs w:val="16"/>
                <w:lang w:val="es-CO"/>
              </w:rPr>
              <w:t xml:space="preserve">471.561.686 </w:t>
            </w:r>
          </w:p>
        </w:tc>
      </w:tr>
    </w:tbl>
    <w:p w14:paraId="367DBBF4" w14:textId="7C1B7B86" w:rsidR="00AE6033" w:rsidRPr="002259D9" w:rsidRDefault="00AE6033" w:rsidP="00B77671">
      <w:pPr>
        <w:pStyle w:val="Textoindependiente"/>
        <w:jc w:val="both"/>
        <w:rPr>
          <w:rFonts w:ascii="Bookman Old Style" w:hAnsi="Bookman Old Style" w:cs="Times New Roman"/>
          <w:b w:val="0"/>
          <w:bCs w:val="0"/>
        </w:rPr>
      </w:pPr>
    </w:p>
    <w:p w14:paraId="455EC994" w14:textId="74C4EC99" w:rsidR="00FD726B" w:rsidRPr="002259D9" w:rsidRDefault="00FD726B" w:rsidP="00B77671">
      <w:pPr>
        <w:pStyle w:val="Textoindependiente"/>
        <w:jc w:val="both"/>
        <w:rPr>
          <w:rFonts w:ascii="Bookman Old Style" w:hAnsi="Bookman Old Style"/>
          <w:szCs w:val="20"/>
          <w:lang w:val="es-CO"/>
        </w:rPr>
      </w:pPr>
      <w:r w:rsidRPr="002259D9">
        <w:rPr>
          <w:rFonts w:ascii="Bookman Old Style" w:hAnsi="Bookman Old Style"/>
          <w:szCs w:val="20"/>
          <w:lang w:val="es-CO"/>
        </w:rPr>
        <w:t>B.24 – 26. Equipo Especial Control energía NT1</w:t>
      </w:r>
    </w:p>
    <w:p w14:paraId="7CCA2F79" w14:textId="27455834" w:rsidR="00FD726B" w:rsidRPr="002259D9" w:rsidRDefault="00FD726B" w:rsidP="00FD726B">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Se solicita a la CREG el reconocimiento de la Unidad Constructiva Especial N1O3-1 - Equipo Especial Control energía NT1.</w:t>
      </w:r>
    </w:p>
    <w:p w14:paraId="45CED0EE" w14:textId="655EA9F9" w:rsidR="00FD726B" w:rsidRPr="002259D9" w:rsidRDefault="00FD726B" w:rsidP="004D2EB4">
      <w:pPr>
        <w:pStyle w:val="Textoindependiente"/>
        <w:spacing w:before="93"/>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 xml:space="preserve">La UC Especial - Equipo Especial Control energía NT1 se considera que es un activo de uso porque permite realizar la conexión de varios clientes (entre 8 y 16 clientes por cada equipo) a la red permitiendo utilizar características particulares de este equipo no disponibles en equipos o activos convencionales. Estas características facilitan gestionar un monitoreo constante de calidad del servicio a través de alarmas en tiempo real que registran diversas variables como por ejemplo la </w:t>
      </w:r>
      <w:proofErr w:type="spellStart"/>
      <w:r w:rsidRPr="002259D9">
        <w:rPr>
          <w:rFonts w:ascii="Bookman Old Style" w:hAnsi="Bookman Old Style" w:cs="Times New Roman"/>
          <w:b w:val="0"/>
          <w:bCs w:val="0"/>
          <w:i/>
          <w:iCs/>
        </w:rPr>
        <w:t>sobrecorriente</w:t>
      </w:r>
      <w:proofErr w:type="spellEnd"/>
      <w:r w:rsidRPr="002259D9">
        <w:rPr>
          <w:rFonts w:ascii="Bookman Old Style" w:hAnsi="Bookman Old Style" w:cs="Times New Roman"/>
          <w:b w:val="0"/>
          <w:bCs w:val="0"/>
          <w:i/>
          <w:iCs/>
        </w:rPr>
        <w:t xml:space="preserve"> y las ausencias de tensión a nivel de clientes o sobre la red secundaria. En caso de presentarse un daño sobre un cliente determinado o sobre el equipo en general, estos equipos de control permiten adelantar la reconexión de clientes de manera remota y disminuir los tiempos de no conexión de los clientes afectados. Las variables registradas o capturadas pueden ser almacenadas dentro del sistema de información, lo que permite revisar la </w:t>
      </w:r>
      <w:proofErr w:type="spellStart"/>
      <w:r w:rsidRPr="002259D9">
        <w:rPr>
          <w:rFonts w:ascii="Bookman Old Style" w:hAnsi="Bookman Old Style" w:cs="Times New Roman"/>
          <w:b w:val="0"/>
          <w:bCs w:val="0"/>
          <w:i/>
          <w:iCs/>
        </w:rPr>
        <w:t>cargabilidad</w:t>
      </w:r>
      <w:proofErr w:type="spellEnd"/>
      <w:r w:rsidRPr="002259D9">
        <w:rPr>
          <w:rFonts w:ascii="Bookman Old Style" w:hAnsi="Bookman Old Style" w:cs="Times New Roman"/>
          <w:b w:val="0"/>
          <w:bCs w:val="0"/>
          <w:i/>
          <w:iCs/>
        </w:rPr>
        <w:t xml:space="preserve"> de sectores definidos dentro de la red y tomar acciones preventivas que permitan la mejora y ampliación de la capacidad de los sectores donde se determinen señales de alerta, además del control de otras cargas y de limitar la capacidad de corrientes en ciertos sectores propensos al hurto de energía. Este equipo también permite realizar la conexión y desconexión de clientes específicos o de la totalidad de los clientes conectados teniendo como objetivo no sólo para el control del pago de los clientes sino también en condiciones requeridas de trabajos sobre sectores de la red, así como riesgos o peligros inminentes que requieran la ausencia de tensión. La instalación de estos equipos lleva a que la red sea cada vez más automatizada permitiendo el monitoreo de diferentes variables y acciones encaminadas a mejorar la prestación del servicio y la gestión de la red de distribución.</w:t>
      </w:r>
    </w:p>
    <w:p w14:paraId="422CD43F" w14:textId="77777777" w:rsidR="004D2EB4" w:rsidRPr="002259D9" w:rsidRDefault="004D2EB4" w:rsidP="004D2EB4">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i/>
          <w:iCs/>
        </w:rPr>
        <w:t>Si bien EPM no está obligada a presentar un Plan de Pérdidas, es nuestro propósito continuar desarrollando acciones encaminadas al mantenimiento de las pérdidas, y en consecuencia propendiendo por mantener los indicadores en los niveles de pérdidas eficientes. Estos equipos, como otros instalados en el sistema (como por ejemplo los integradores de energía) adicional a los propósitos mencionados anteriormente, también contribuyen con el control y mantenimiento de las pérdidas del OR.</w:t>
      </w:r>
    </w:p>
    <w:p w14:paraId="7BABAE63" w14:textId="5C7B9D4C" w:rsidR="004D2EB4" w:rsidRPr="002259D9" w:rsidRDefault="004D2EB4" w:rsidP="004D2EB4">
      <w:pPr>
        <w:pStyle w:val="Textoindependiente"/>
        <w:spacing w:before="93"/>
        <w:jc w:val="both"/>
        <w:rPr>
          <w:rFonts w:ascii="Bookman Old Style" w:hAnsi="Bookman Old Style" w:cs="Times New Roman"/>
          <w:b w:val="0"/>
          <w:bCs w:val="0"/>
          <w:i/>
          <w:iCs/>
        </w:rPr>
      </w:pPr>
      <w:bookmarkStart w:id="7" w:name="_Hlk88487568"/>
      <w:r w:rsidRPr="002259D9">
        <w:rPr>
          <w:rFonts w:ascii="Bookman Old Style" w:hAnsi="Bookman Old Style" w:cs="Times New Roman"/>
          <w:b w:val="0"/>
          <w:bCs w:val="0"/>
          <w:i/>
          <w:iCs/>
        </w:rPr>
        <w:t>Teniendo como base que EPM es consciente de la no obligatoriedad de la presentación de Plan de Pérdidas, la UC Especial - Equipo Especial Control energía NT1 tiene como objetivo final mejorar la información que se genera y procesa durante la operación integral de la red, a través de la recolección de gran cantidad de información durante unos periodos determinados de tiempo, con base en la cantidad de clientes o cargas conectados. Esta información es descargada en diferentes bases de datos, lo cual permite que por medio de diferentes herramientas de análisis de datos puedan determinarse acciones encaminadas a resolver problemas en la red, las cuales no se harían visibles con la información que se tenía antes de su instalación y que solo podría ser recolectada cada vez que se presentara un daño o una visita determinada al sector, recopilándola de forma local. La información suministrada por el equipo podrá ser utilizada por las diferentes áreas de EPM como Mantenimiento, Operación, Control Pérdidas, Operación Comercial entre otros. Además, la instalación del equipo facilita la gestión sobre la red de distribución por parte de los diferentes procesos que la intervienen, especialmente en aquellos sectores que por su condición de difícil gestión y seguridad no pueden ser visitados de manera permanente por el personal operativo que usualmente está encargado de obtener las señales de la red. Al realizar una recolección de datos de manera automática, remota y en diferentes periodos de tiempo se apoya la gestión de pérdidas no técnicas debido a que permite identificar patrones de comportamiento de consumo irregulares o sospechosos por parte de los clientes, no solo por conexiones ilegales sino por otras causales, lo cual permite tomar acciones en tiempos más cortos, reduciendo el riesgo de pérdidas de energía por diversas maneras, con lo cual además se aumenta en la eficiencia del uso del recurso humano de campo.</w:t>
      </w:r>
      <w:bookmarkEnd w:id="7"/>
    </w:p>
    <w:p w14:paraId="21844074" w14:textId="10AB1196" w:rsidR="004D2EB4" w:rsidRPr="002259D9" w:rsidRDefault="004D2EB4" w:rsidP="004D2EB4">
      <w:pPr>
        <w:pStyle w:val="Textoindependiente"/>
        <w:spacing w:before="93"/>
        <w:jc w:val="both"/>
        <w:rPr>
          <w:rFonts w:ascii="Bookman Old Style" w:hAnsi="Bookman Old Style" w:cs="Times New Roman"/>
          <w:b w:val="0"/>
          <w:bCs w:val="0"/>
          <w:i/>
          <w:iCs/>
        </w:rPr>
      </w:pPr>
      <w:bookmarkStart w:id="8" w:name="_Hlk88487618"/>
      <w:r w:rsidRPr="002259D9">
        <w:rPr>
          <w:rFonts w:ascii="Bookman Old Style" w:hAnsi="Bookman Old Style" w:cs="Times New Roman"/>
          <w:b w:val="0"/>
          <w:bCs w:val="0"/>
          <w:i/>
          <w:iCs/>
        </w:rPr>
        <w:t>Acorde con lo expuesto en la solicitud de aprobación del Plan de Inversiones Regulatorio, estos equipos son el resultado de una iniciativa propia de innovación y desarrollo tecnológico, adelantada a través de convenio interinstitucional CT- 2013-002514 entre la firma HANNEXT y EPM, para el cumplimiento de los propósitos mencionados en el punto anterior. Dado el carácter de desarrollo tecnológico propio de la empresa por medio del convenio, hasta ahora no existen proveedores de este tipo de equipos, razón por la cual solamente se entregó una cotización. Vale la pena aclarar que se solicitaron cotizaciones y no se lograron obtener respuesta afirmativa a la posibilidad de proveer e</w:t>
      </w:r>
      <w:bookmarkEnd w:id="8"/>
    </w:p>
    <w:p w14:paraId="265420D7" w14:textId="660C32CF" w:rsidR="008D3E2A" w:rsidRPr="002259D9" w:rsidRDefault="008D3E2A" w:rsidP="008D3E2A">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0DCE6E14" w14:textId="6FEB2462" w:rsidR="008D3E2A" w:rsidRPr="002259D9" w:rsidRDefault="008D3E2A" w:rsidP="00811C5B">
      <w:pPr>
        <w:pStyle w:val="Textoindependiente"/>
        <w:spacing w:before="1"/>
        <w:jc w:val="both"/>
        <w:rPr>
          <w:rFonts w:ascii="Bookman Old Style" w:hAnsi="Bookman Old Style" w:cs="Times New Roman"/>
          <w:b w:val="0"/>
          <w:bCs w:val="0"/>
        </w:rPr>
      </w:pPr>
      <w:r w:rsidRPr="002259D9">
        <w:rPr>
          <w:rFonts w:ascii="Bookman Old Style" w:hAnsi="Bookman Old Style" w:cs="Times New Roman"/>
          <w:b w:val="0"/>
          <w:bCs w:val="0"/>
        </w:rPr>
        <w:t>En revisión de la solicitud del OR, se reiteran los comentarios iniciales para la aprobación de la UC</w:t>
      </w:r>
      <w:r w:rsidR="00C73249">
        <w:rPr>
          <w:rFonts w:ascii="Bookman Old Style" w:hAnsi="Bookman Old Style" w:cs="Times New Roman"/>
          <w:b w:val="0"/>
          <w:bCs w:val="0"/>
        </w:rPr>
        <w:t>. P</w:t>
      </w:r>
      <w:r w:rsidR="00811C5B" w:rsidRPr="002259D9">
        <w:rPr>
          <w:rFonts w:ascii="Bookman Old Style" w:hAnsi="Bookman Old Style" w:cs="Times New Roman"/>
          <w:b w:val="0"/>
          <w:bCs w:val="0"/>
        </w:rPr>
        <w:t xml:space="preserve">or tanto, la </w:t>
      </w:r>
      <w:r w:rsidR="00C73249">
        <w:rPr>
          <w:rFonts w:ascii="Bookman Old Style" w:hAnsi="Bookman Old Style" w:cs="Times New Roman"/>
          <w:b w:val="0"/>
          <w:bCs w:val="0"/>
        </w:rPr>
        <w:t>Comisión</w:t>
      </w:r>
      <w:r w:rsidR="00811C5B" w:rsidRPr="002259D9">
        <w:rPr>
          <w:rFonts w:ascii="Bookman Old Style" w:hAnsi="Bookman Old Style" w:cs="Times New Roman"/>
          <w:b w:val="0"/>
          <w:bCs w:val="0"/>
        </w:rPr>
        <w:t xml:space="preserve"> resuelve no incluir la UC, ya que no cumple con los criterios establecidos en la resolución CREG 015 de 2018 para el tratamiento de activos de uso y Unidades Constructivas especiales. </w:t>
      </w:r>
    </w:p>
    <w:p w14:paraId="380AC5D5" w14:textId="77777777" w:rsidR="00E90B4B" w:rsidRPr="002259D9" w:rsidRDefault="00E90B4B" w:rsidP="00811C5B">
      <w:pPr>
        <w:pStyle w:val="Textoindependiente"/>
        <w:spacing w:before="1"/>
        <w:jc w:val="both"/>
        <w:rPr>
          <w:rFonts w:ascii="Bookman Old Style" w:hAnsi="Bookman Old Style" w:cs="Times New Roman"/>
          <w:b w:val="0"/>
          <w:bCs w:val="0"/>
        </w:rPr>
      </w:pPr>
    </w:p>
    <w:p w14:paraId="219CE243" w14:textId="0F102AC9" w:rsidR="008D3E2A" w:rsidRPr="002259D9" w:rsidRDefault="006C2119" w:rsidP="004D2EB4">
      <w:pPr>
        <w:pStyle w:val="Textoindependiente"/>
        <w:spacing w:before="93"/>
        <w:jc w:val="both"/>
        <w:rPr>
          <w:rFonts w:ascii="Bookman Old Style" w:hAnsi="Bookman Old Style"/>
          <w:szCs w:val="20"/>
          <w:lang w:val="es-CO"/>
        </w:rPr>
      </w:pPr>
      <w:r w:rsidRPr="002259D9">
        <w:rPr>
          <w:rFonts w:ascii="Bookman Old Style" w:hAnsi="Bookman Old Style"/>
          <w:szCs w:val="20"/>
          <w:lang w:val="es-CO"/>
        </w:rPr>
        <w:t>C</w:t>
      </w:r>
      <w:r w:rsidR="006B2513" w:rsidRPr="002259D9">
        <w:rPr>
          <w:rFonts w:ascii="Bookman Old Style" w:hAnsi="Bookman Old Style"/>
          <w:szCs w:val="20"/>
          <w:lang w:val="es-CO"/>
        </w:rPr>
        <w:t>.</w:t>
      </w:r>
      <w:r w:rsidR="00157C7C" w:rsidRPr="002259D9">
        <w:rPr>
          <w:rFonts w:ascii="Bookman Old Style" w:hAnsi="Bookman Old Style"/>
          <w:szCs w:val="20"/>
          <w:lang w:val="es-CO"/>
        </w:rPr>
        <w:t xml:space="preserve"> Ingreso adicional del OR por ajuste al plan de inversiones.</w:t>
      </w:r>
    </w:p>
    <w:p w14:paraId="7D9FB897" w14:textId="1A317C1D" w:rsidR="00FD726B" w:rsidRPr="002259D9" w:rsidRDefault="00D5098E" w:rsidP="002E352A">
      <w:pPr>
        <w:pStyle w:val="Textoindependiente"/>
        <w:spacing w:before="238"/>
        <w:jc w:val="both"/>
        <w:rPr>
          <w:rFonts w:ascii="Bookman Old Style" w:hAnsi="Bookman Old Style" w:cs="Times New Roman"/>
          <w:b w:val="0"/>
          <w:bCs w:val="0"/>
        </w:rPr>
      </w:pPr>
      <w:r w:rsidRPr="002259D9">
        <w:rPr>
          <w:rFonts w:ascii="Bookman Old Style" w:hAnsi="Bookman Old Style" w:cs="Times New Roman"/>
          <w:b w:val="0"/>
          <w:bCs w:val="0"/>
        </w:rPr>
        <w:t xml:space="preserve">Solicitud: </w:t>
      </w:r>
      <w:r w:rsidRPr="002259D9">
        <w:rPr>
          <w:rFonts w:ascii="Bookman Old Style" w:hAnsi="Bookman Old Style" w:cs="Times New Roman"/>
          <w:b w:val="0"/>
          <w:bCs w:val="0"/>
          <w:i/>
          <w:iCs/>
        </w:rPr>
        <w:t>Se solicita a la CREG aclarar ¿cómo y en cuáles variables se deben adicionar los cambios en el incentivo a la calidad del servicio? y ¿cómo el LAC lo incluiría en la liquidación del área de distribución?</w:t>
      </w:r>
    </w:p>
    <w:p w14:paraId="7FA2A457" w14:textId="2B186443" w:rsidR="00CB2E57" w:rsidRPr="002259D9" w:rsidRDefault="00D5098E" w:rsidP="00B77671">
      <w:pPr>
        <w:pStyle w:val="Textoindependiente"/>
        <w:jc w:val="both"/>
        <w:rPr>
          <w:rFonts w:ascii="Bookman Old Style" w:hAnsi="Bookman Old Style" w:cs="Times New Roman"/>
          <w:b w:val="0"/>
          <w:bCs w:val="0"/>
          <w:i/>
          <w:iCs/>
        </w:rPr>
      </w:pPr>
      <w:r w:rsidRPr="002259D9">
        <w:rPr>
          <w:rFonts w:ascii="Bookman Old Style" w:hAnsi="Bookman Old Style" w:cs="Times New Roman"/>
          <w:b w:val="0"/>
          <w:bCs w:val="0"/>
        </w:rPr>
        <w:t xml:space="preserve">Soporte EPM: </w:t>
      </w:r>
      <w:r w:rsidRPr="002259D9">
        <w:rPr>
          <w:rFonts w:ascii="Bookman Old Style" w:hAnsi="Bookman Old Style" w:cs="Times New Roman"/>
          <w:b w:val="0"/>
          <w:bCs w:val="0"/>
          <w:i/>
          <w:iCs/>
        </w:rPr>
        <w:t xml:space="preserve">En el artículo 7 es claro que los ingresos adicionales por el ajuste al plan de inversiones, los cuales afectan las variables </w:t>
      </w:r>
      <w:r w:rsidRPr="002259D9">
        <w:rPr>
          <w:rFonts w:ascii="Bookman Old Style" w:hAnsi="Bookman Old Style" w:cs="Times New Roman"/>
          <w:b w:val="0"/>
          <w:bCs w:val="0"/>
          <w:i/>
          <w:iCs/>
          <w:noProof/>
        </w:rPr>
        <w:drawing>
          <wp:inline distT="0" distB="0" distL="0" distR="0" wp14:anchorId="02D1018B" wp14:editId="2734E8B8">
            <wp:extent cx="457199" cy="143256"/>
            <wp:effectExtent l="0" t="0" r="0" b="0"/>
            <wp:docPr id="71"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33.png"/>
                    <pic:cNvPicPr/>
                  </pic:nvPicPr>
                  <pic:blipFill>
                    <a:blip r:embed="rId13" cstate="print"/>
                    <a:stretch>
                      <a:fillRect/>
                    </a:stretch>
                  </pic:blipFill>
                  <pic:spPr>
                    <a:xfrm>
                      <a:off x="0" y="0"/>
                      <a:ext cx="457199" cy="143256"/>
                    </a:xfrm>
                    <a:prstGeom prst="rect">
                      <a:avLst/>
                    </a:prstGeom>
                  </pic:spPr>
                </pic:pic>
              </a:graphicData>
            </a:graphic>
          </wp:inline>
        </w:drawing>
      </w:r>
      <w:r w:rsidRPr="002259D9">
        <w:rPr>
          <w:rFonts w:ascii="Bookman Old Style" w:hAnsi="Bookman Old Style" w:cs="Times New Roman"/>
          <w:b w:val="0"/>
          <w:bCs w:val="0"/>
          <w:i/>
          <w:iCs/>
        </w:rPr>
        <w:t xml:space="preserve">  y </w:t>
      </w:r>
      <w:r w:rsidRPr="002259D9">
        <w:rPr>
          <w:rFonts w:ascii="Bookman Old Style" w:hAnsi="Bookman Old Style" w:cs="Times New Roman"/>
          <w:b w:val="0"/>
          <w:bCs w:val="0"/>
          <w:i/>
          <w:iCs/>
          <w:noProof/>
        </w:rPr>
        <w:drawing>
          <wp:inline distT="0" distB="0" distL="0" distR="0" wp14:anchorId="33D0AFAA" wp14:editId="67EFEEE9">
            <wp:extent cx="676656" cy="143256"/>
            <wp:effectExtent l="0" t="0" r="0" b="0"/>
            <wp:docPr id="73"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34.png"/>
                    <pic:cNvPicPr/>
                  </pic:nvPicPr>
                  <pic:blipFill>
                    <a:blip r:embed="rId14" cstate="print"/>
                    <a:stretch>
                      <a:fillRect/>
                    </a:stretch>
                  </pic:blipFill>
                  <pic:spPr>
                    <a:xfrm>
                      <a:off x="0" y="0"/>
                      <a:ext cx="676656" cy="143256"/>
                    </a:xfrm>
                    <a:prstGeom prst="rect">
                      <a:avLst/>
                    </a:prstGeom>
                  </pic:spPr>
                </pic:pic>
              </a:graphicData>
            </a:graphic>
          </wp:inline>
        </w:drawing>
      </w:r>
      <w:r w:rsidRPr="002259D9">
        <w:rPr>
          <w:rFonts w:ascii="Bookman Old Style" w:hAnsi="Bookman Old Style" w:cs="Times New Roman"/>
          <w:b w:val="0"/>
          <w:bCs w:val="0"/>
          <w:i/>
          <w:iCs/>
        </w:rPr>
        <w:t xml:space="preserve">  se deben adicionar, dividido entre 12, a la variable </w:t>
      </w:r>
      <w:r w:rsidRPr="002259D9">
        <w:rPr>
          <w:rFonts w:ascii="Bookman Old Style" w:hAnsi="Bookman Old Style" w:cs="Times New Roman"/>
          <w:b w:val="0"/>
          <w:bCs w:val="0"/>
          <w:i/>
          <w:iCs/>
          <w:noProof/>
        </w:rPr>
        <w:drawing>
          <wp:inline distT="0" distB="0" distL="0" distR="0" wp14:anchorId="7AAD5EE5" wp14:editId="681E79DD">
            <wp:extent cx="585215" cy="137160"/>
            <wp:effectExtent l="0" t="0" r="0" b="0"/>
            <wp:docPr id="75"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35.png"/>
                    <pic:cNvPicPr/>
                  </pic:nvPicPr>
                  <pic:blipFill>
                    <a:blip r:embed="rId15" cstate="print"/>
                    <a:stretch>
                      <a:fillRect/>
                    </a:stretch>
                  </pic:blipFill>
                  <pic:spPr>
                    <a:xfrm>
                      <a:off x="0" y="0"/>
                      <a:ext cx="585215" cy="137160"/>
                    </a:xfrm>
                    <a:prstGeom prst="rect">
                      <a:avLst/>
                    </a:prstGeom>
                  </pic:spPr>
                </pic:pic>
              </a:graphicData>
            </a:graphic>
          </wp:inline>
        </w:drawing>
      </w:r>
      <w:r w:rsidRPr="002259D9">
        <w:rPr>
          <w:rFonts w:ascii="Bookman Old Style" w:hAnsi="Bookman Old Style" w:cs="Times New Roman"/>
          <w:b w:val="0"/>
          <w:bCs w:val="0"/>
          <w:i/>
          <w:iCs/>
        </w:rPr>
        <w:t xml:space="preserve"> para nivel de tensión 4 y a la variable </w:t>
      </w:r>
      <w:r w:rsidRPr="002259D9">
        <w:rPr>
          <w:rFonts w:ascii="Bookman Old Style" w:hAnsi="Bookman Old Style" w:cs="Times New Roman"/>
          <w:b w:val="0"/>
          <w:bCs w:val="0"/>
          <w:i/>
          <w:iCs/>
          <w:noProof/>
        </w:rPr>
        <w:drawing>
          <wp:inline distT="0" distB="0" distL="0" distR="0" wp14:anchorId="74360B18" wp14:editId="58548291">
            <wp:extent cx="484631" cy="137159"/>
            <wp:effectExtent l="0" t="0" r="0" b="0"/>
            <wp:docPr id="77"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6.png"/>
                    <pic:cNvPicPr/>
                  </pic:nvPicPr>
                  <pic:blipFill>
                    <a:blip r:embed="rId16" cstate="print"/>
                    <a:stretch>
                      <a:fillRect/>
                    </a:stretch>
                  </pic:blipFill>
                  <pic:spPr>
                    <a:xfrm>
                      <a:off x="0" y="0"/>
                      <a:ext cx="484631" cy="137159"/>
                    </a:xfrm>
                    <a:prstGeom prst="rect">
                      <a:avLst/>
                    </a:prstGeom>
                  </pic:spPr>
                </pic:pic>
              </a:graphicData>
            </a:graphic>
          </wp:inline>
        </w:drawing>
      </w:r>
      <w:r w:rsidRPr="002259D9">
        <w:rPr>
          <w:rFonts w:ascii="Bookman Old Style" w:hAnsi="Bookman Old Style" w:cs="Times New Roman"/>
          <w:b w:val="0"/>
          <w:bCs w:val="0"/>
          <w:i/>
          <w:iCs/>
        </w:rPr>
        <w:t xml:space="preserve"> para los demás niveles de tensión. Sin embargo, en el artículo no es claro dónde se deben agregar los cambios en el incentivo de calidad del servicio </w:t>
      </w:r>
      <w:r w:rsidRPr="002259D9">
        <w:rPr>
          <w:rFonts w:ascii="Bookman Old Style" w:hAnsi="Bookman Old Style" w:cs="Times New Roman"/>
          <w:b w:val="0"/>
          <w:bCs w:val="0"/>
          <w:i/>
          <w:iCs/>
          <w:noProof/>
        </w:rPr>
        <w:drawing>
          <wp:inline distT="0" distB="0" distL="0" distR="0" wp14:anchorId="3D21CF6A" wp14:editId="551EEE12">
            <wp:extent cx="548639" cy="137159"/>
            <wp:effectExtent l="0" t="0" r="0" b="0"/>
            <wp:docPr id="79"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37.png"/>
                    <pic:cNvPicPr/>
                  </pic:nvPicPr>
                  <pic:blipFill>
                    <a:blip r:embed="rId17" cstate="print"/>
                    <a:stretch>
                      <a:fillRect/>
                    </a:stretch>
                  </pic:blipFill>
                  <pic:spPr>
                    <a:xfrm>
                      <a:off x="0" y="0"/>
                      <a:ext cx="548639" cy="137159"/>
                    </a:xfrm>
                    <a:prstGeom prst="rect">
                      <a:avLst/>
                    </a:prstGeom>
                  </pic:spPr>
                </pic:pic>
              </a:graphicData>
            </a:graphic>
          </wp:inline>
        </w:drawing>
      </w:r>
      <w:r w:rsidRPr="002259D9">
        <w:rPr>
          <w:rFonts w:ascii="Bookman Old Style" w:hAnsi="Bookman Old Style" w:cs="Times New Roman"/>
          <w:b w:val="0"/>
          <w:bCs w:val="0"/>
          <w:i/>
          <w:iCs/>
        </w:rPr>
        <w:t xml:space="preserve">, ya que este depende de la variable </w:t>
      </w:r>
      <w:r w:rsidRPr="002259D9">
        <w:rPr>
          <w:rFonts w:ascii="Bookman Old Style" w:hAnsi="Bookman Old Style" w:cs="Times New Roman"/>
          <w:b w:val="0"/>
          <w:bCs w:val="0"/>
          <w:i/>
          <w:iCs/>
          <w:noProof/>
        </w:rPr>
        <w:drawing>
          <wp:inline distT="0" distB="0" distL="0" distR="0" wp14:anchorId="1EA01D34" wp14:editId="7F8D269C">
            <wp:extent cx="594359" cy="137159"/>
            <wp:effectExtent l="0" t="0" r="0" b="0"/>
            <wp:docPr id="8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38.png"/>
                    <pic:cNvPicPr/>
                  </pic:nvPicPr>
                  <pic:blipFill>
                    <a:blip r:embed="rId18" cstate="print"/>
                    <a:stretch>
                      <a:fillRect/>
                    </a:stretch>
                  </pic:blipFill>
                  <pic:spPr>
                    <a:xfrm>
                      <a:off x="0" y="0"/>
                      <a:ext cx="594359" cy="137159"/>
                    </a:xfrm>
                    <a:prstGeom prst="rect">
                      <a:avLst/>
                    </a:prstGeom>
                  </pic:spPr>
                </pic:pic>
              </a:graphicData>
            </a:graphic>
          </wp:inline>
        </w:drawing>
      </w:r>
      <w:r w:rsidRPr="002259D9">
        <w:rPr>
          <w:rFonts w:ascii="Bookman Old Style" w:hAnsi="Bookman Old Style" w:cs="Times New Roman"/>
          <w:b w:val="0"/>
          <w:bCs w:val="0"/>
          <w:i/>
          <w:iCs/>
        </w:rPr>
        <w:t xml:space="preserve"> y </w:t>
      </w:r>
      <w:r w:rsidRPr="002259D9">
        <w:rPr>
          <w:rFonts w:ascii="Bookman Old Style" w:hAnsi="Bookman Old Style" w:cs="Times New Roman"/>
          <w:b w:val="0"/>
          <w:bCs w:val="0"/>
          <w:i/>
          <w:iCs/>
          <w:noProof/>
        </w:rPr>
        <w:drawing>
          <wp:inline distT="0" distB="0" distL="0" distR="0" wp14:anchorId="650F1CE4" wp14:editId="0FD4382A">
            <wp:extent cx="886967" cy="137159"/>
            <wp:effectExtent l="0" t="0" r="0" b="0"/>
            <wp:docPr id="83"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39.png"/>
                    <pic:cNvPicPr/>
                  </pic:nvPicPr>
                  <pic:blipFill>
                    <a:blip r:embed="rId19" cstate="print"/>
                    <a:stretch>
                      <a:fillRect/>
                    </a:stretch>
                  </pic:blipFill>
                  <pic:spPr>
                    <a:xfrm>
                      <a:off x="0" y="0"/>
                      <a:ext cx="886967" cy="137159"/>
                    </a:xfrm>
                    <a:prstGeom prst="rect">
                      <a:avLst/>
                    </a:prstGeom>
                  </pic:spPr>
                </pic:pic>
              </a:graphicData>
            </a:graphic>
          </wp:inline>
        </w:drawing>
      </w:r>
      <w:r w:rsidRPr="002259D9">
        <w:rPr>
          <w:rFonts w:ascii="Bookman Old Style" w:hAnsi="Bookman Old Style" w:cs="Times New Roman"/>
          <w:b w:val="0"/>
          <w:bCs w:val="0"/>
          <w:i/>
          <w:iCs/>
        </w:rPr>
        <w:t xml:space="preserve"> , la cual a su vez se ve afectada por los cambios en la variable </w:t>
      </w:r>
      <w:r w:rsidRPr="002259D9">
        <w:rPr>
          <w:rFonts w:ascii="Bookman Old Style" w:hAnsi="Bookman Old Style" w:cs="Times New Roman"/>
          <w:b w:val="0"/>
          <w:bCs w:val="0"/>
          <w:i/>
          <w:iCs/>
          <w:noProof/>
        </w:rPr>
        <w:drawing>
          <wp:inline distT="0" distB="0" distL="0" distR="0" wp14:anchorId="5B7B54DC" wp14:editId="25735F34">
            <wp:extent cx="704087" cy="137159"/>
            <wp:effectExtent l="0" t="0" r="0" b="0"/>
            <wp:docPr id="85"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40.png"/>
                    <pic:cNvPicPr/>
                  </pic:nvPicPr>
                  <pic:blipFill>
                    <a:blip r:embed="rId20" cstate="print"/>
                    <a:stretch>
                      <a:fillRect/>
                    </a:stretch>
                  </pic:blipFill>
                  <pic:spPr>
                    <a:xfrm>
                      <a:off x="0" y="0"/>
                      <a:ext cx="704087" cy="137159"/>
                    </a:xfrm>
                    <a:prstGeom prst="rect">
                      <a:avLst/>
                    </a:prstGeom>
                  </pic:spPr>
                </pic:pic>
              </a:graphicData>
            </a:graphic>
          </wp:inline>
        </w:drawing>
      </w:r>
      <w:r w:rsidRPr="002259D9">
        <w:rPr>
          <w:rFonts w:ascii="Bookman Old Style" w:hAnsi="Bookman Old Style" w:cs="Times New Roman"/>
          <w:b w:val="0"/>
          <w:bCs w:val="0"/>
          <w:i/>
          <w:iCs/>
        </w:rPr>
        <w:t>.</w:t>
      </w:r>
    </w:p>
    <w:p w14:paraId="7E90C28F" w14:textId="2ADFB186" w:rsidR="0058055D" w:rsidRPr="002259D9" w:rsidRDefault="0058055D" w:rsidP="0058055D">
      <w:pPr>
        <w:pStyle w:val="Textoindependiente"/>
        <w:spacing w:before="1"/>
        <w:jc w:val="both"/>
        <w:rPr>
          <w:rFonts w:ascii="Bookman Old Style" w:hAnsi="Bookman Old Style" w:cs="Times New Roman"/>
        </w:rPr>
      </w:pPr>
      <w:r w:rsidRPr="002259D9">
        <w:rPr>
          <w:rFonts w:ascii="Bookman Old Style" w:hAnsi="Bookman Old Style" w:cs="Times New Roman"/>
        </w:rPr>
        <w:t xml:space="preserve">Análisis de la </w:t>
      </w:r>
      <w:r w:rsidR="00C73249">
        <w:rPr>
          <w:rFonts w:ascii="Bookman Old Style" w:hAnsi="Bookman Old Style" w:cs="Times New Roman"/>
        </w:rPr>
        <w:t>Comisión</w:t>
      </w:r>
    </w:p>
    <w:p w14:paraId="652984DE" w14:textId="3AF27E26" w:rsidR="0050333B" w:rsidRPr="002259D9" w:rsidRDefault="001D7C2B" w:rsidP="001A699E">
      <w:pPr>
        <w:pStyle w:val="Textoindependiente"/>
        <w:jc w:val="both"/>
        <w:rPr>
          <w:rFonts w:ascii="Bookman Old Style" w:hAnsi="Bookman Old Style" w:cs="Times New Roman"/>
          <w:b w:val="0"/>
          <w:bCs w:val="0"/>
        </w:rPr>
      </w:pPr>
      <w:r w:rsidRPr="002259D9">
        <w:rPr>
          <w:rFonts w:ascii="Bookman Old Style" w:hAnsi="Bookman Old Style" w:cs="Times New Roman"/>
          <w:b w:val="0"/>
          <w:bCs w:val="0"/>
        </w:rPr>
        <w:t xml:space="preserve">Con respecto a los incentivos por calidad media, debe haber consistencia en los valores aplicados para calcularlos entre un año y otro. </w:t>
      </w:r>
    </w:p>
    <w:p w14:paraId="71BCDA2C" w14:textId="04DB15B7" w:rsidR="00AF1DE0" w:rsidRPr="002259D9" w:rsidRDefault="001D7C2B" w:rsidP="002E352A">
      <w:pPr>
        <w:pStyle w:val="Tabla"/>
        <w:jc w:val="both"/>
        <w:rPr>
          <w:b w:val="0"/>
          <w:bCs w:val="0"/>
          <w:iCs w:val="0"/>
          <w:sz w:val="24"/>
          <w:szCs w:val="24"/>
        </w:rPr>
      </w:pPr>
      <w:r w:rsidRPr="002259D9">
        <w:rPr>
          <w:b w:val="0"/>
          <w:bCs w:val="0"/>
          <w:iCs w:val="0"/>
          <w:sz w:val="24"/>
          <w:szCs w:val="24"/>
        </w:rPr>
        <w:t>Con base en lo anterior, debe tenerse en cuenta el caso de la variable BRAEN que se utiliza para el cálculo anual de los incentivos fijos y variables por el desempeño de los indicadores SAIDI y SAIFI y que, según la fórmula establecida en el numeral 3.1.1.2 del anexo general de la Resolución CREG 015 de 2018, utiliza, entre otras, la inversión aprobada en el plan de inversiones del OR, INVA, del año t y del año t-1.</w:t>
      </w:r>
    </w:p>
    <w:p w14:paraId="54853367" w14:textId="77777777" w:rsidR="00663D4D" w:rsidRPr="002259D9" w:rsidRDefault="00F00BAD" w:rsidP="002E352A">
      <w:pPr>
        <w:pStyle w:val="Tabla"/>
        <w:jc w:val="both"/>
        <w:rPr>
          <w:b w:val="0"/>
          <w:bCs w:val="0"/>
          <w:iCs w:val="0"/>
          <w:sz w:val="24"/>
          <w:szCs w:val="24"/>
        </w:rPr>
      </w:pPr>
      <w:r w:rsidRPr="002259D9">
        <w:rPr>
          <w:b w:val="0"/>
          <w:bCs w:val="0"/>
          <w:iCs w:val="0"/>
          <w:sz w:val="24"/>
          <w:szCs w:val="24"/>
        </w:rPr>
        <w:t xml:space="preserve">Al respecto, los incentivos del año t, aplicables en el año t+1, se calculan con base en la BRAEN del año t, la cual emplea para su cálculo el INVA del año t y del año t-1. Se entiende que, si el valor del INVA del año t se modifica por el ajuste del plan de inversiones, entonces los incentivos del año t+1 deben calcularse con el valor del INVA del año t sin modificar, es decir, el mismo que se usó para determinar el incentivo del año t. Esto debe hacerse para que el total de los incentivos aplicados en el período tarifario sea consistente con los valores de inversión en activos nuevos realizada por el OR en dicho período. </w:t>
      </w:r>
    </w:p>
    <w:p w14:paraId="68F6340F" w14:textId="77777777" w:rsidR="00663D4D" w:rsidRPr="002259D9" w:rsidRDefault="00F00BAD" w:rsidP="002E352A">
      <w:pPr>
        <w:pStyle w:val="Tabla"/>
        <w:jc w:val="both"/>
        <w:rPr>
          <w:b w:val="0"/>
          <w:bCs w:val="0"/>
          <w:iCs w:val="0"/>
          <w:sz w:val="24"/>
          <w:szCs w:val="24"/>
        </w:rPr>
      </w:pPr>
      <w:r w:rsidRPr="002259D9">
        <w:rPr>
          <w:b w:val="0"/>
          <w:bCs w:val="0"/>
          <w:iCs w:val="0"/>
          <w:sz w:val="24"/>
          <w:szCs w:val="24"/>
        </w:rPr>
        <w:t xml:space="preserve">De otra parte, con respecto al tema de AOM, de acuerdo con lo establecido en el capítulo 4 del anexo general de la Resolución CREG 015 de 2018, el AOM remunerado se calcula a partir del valor base y del AOM correspondiente a las nuevas inversiones. Este último se actualiza cada año a partir del valor acumulado de las nuevas inversiones, variable VACNI. </w:t>
      </w:r>
    </w:p>
    <w:p w14:paraId="292A7878" w14:textId="77777777" w:rsidR="00663D4D" w:rsidRPr="002259D9" w:rsidRDefault="00F00BAD" w:rsidP="002E352A">
      <w:pPr>
        <w:pStyle w:val="Tabla"/>
        <w:jc w:val="both"/>
        <w:rPr>
          <w:b w:val="0"/>
          <w:bCs w:val="0"/>
          <w:iCs w:val="0"/>
          <w:sz w:val="24"/>
          <w:szCs w:val="24"/>
        </w:rPr>
      </w:pPr>
      <w:r w:rsidRPr="002259D9">
        <w:rPr>
          <w:b w:val="0"/>
          <w:bCs w:val="0"/>
          <w:iCs w:val="0"/>
          <w:sz w:val="24"/>
          <w:szCs w:val="24"/>
        </w:rPr>
        <w:t xml:space="preserve">En el numeral 4.2 del citado anexo, en la definición de la variable VACNI se incluye el valor de la variable BRAEN del año anterior, la cual se calcula teniendo en cuenta la variable INVA. Si bien es cierto, que la variable BRAEN se ajusta cada año teniendo en cuenta la inversión real ejecutada, también lo es que si, mediante resolución de la CREG, se llegaren a modificar los valores de la variable INVA correspondientes a más de un año, esos cambios no se ven reflejados en el cálculo anual de la variable VACNI. </w:t>
      </w:r>
    </w:p>
    <w:p w14:paraId="76FC7BBA" w14:textId="77777777" w:rsidR="00DE1532" w:rsidRPr="002259D9" w:rsidRDefault="00F00BAD" w:rsidP="002E352A">
      <w:pPr>
        <w:pStyle w:val="Tabla"/>
        <w:jc w:val="both"/>
        <w:rPr>
          <w:b w:val="0"/>
          <w:bCs w:val="0"/>
          <w:iCs w:val="0"/>
          <w:sz w:val="24"/>
          <w:szCs w:val="24"/>
        </w:rPr>
      </w:pPr>
      <w:r w:rsidRPr="002259D9">
        <w:rPr>
          <w:b w:val="0"/>
          <w:bCs w:val="0"/>
          <w:iCs w:val="0"/>
          <w:sz w:val="24"/>
          <w:szCs w:val="24"/>
        </w:rPr>
        <w:t xml:space="preserve">Con base en lo anterior, para ajustar el valor de los ingresos de un OR relacionados con el AOM cuando, mediante resolución CREG, se aprueben modificaciones a la variable INVA, se hace necesario que el OR reporte las variables BRAEN_RP, para el año de </w:t>
      </w:r>
      <w:proofErr w:type="gramStart"/>
      <w:r w:rsidRPr="002259D9">
        <w:rPr>
          <w:b w:val="0"/>
          <w:bCs w:val="0"/>
          <w:iCs w:val="0"/>
          <w:sz w:val="24"/>
          <w:szCs w:val="24"/>
        </w:rPr>
        <w:t>entrada en vigencia</w:t>
      </w:r>
      <w:proofErr w:type="gramEnd"/>
      <w:r w:rsidRPr="002259D9">
        <w:rPr>
          <w:b w:val="0"/>
          <w:bCs w:val="0"/>
          <w:iCs w:val="0"/>
          <w:sz w:val="24"/>
          <w:szCs w:val="24"/>
        </w:rPr>
        <w:t xml:space="preserve"> de esta resolución y para los años anteriores, con el fin de que el LAC reliquide todos los meses anteriores que se vean afectados por el cambio de esta variable. </w:t>
      </w:r>
    </w:p>
    <w:p w14:paraId="2A7A679A" w14:textId="0D605D23" w:rsidR="00277AB2" w:rsidRPr="002259D9" w:rsidRDefault="00F00BAD" w:rsidP="00F72A1B">
      <w:pPr>
        <w:pStyle w:val="Tabla"/>
        <w:jc w:val="both"/>
      </w:pPr>
      <w:r w:rsidRPr="002259D9">
        <w:rPr>
          <w:b w:val="0"/>
          <w:bCs w:val="0"/>
          <w:iCs w:val="0"/>
          <w:sz w:val="24"/>
          <w:szCs w:val="24"/>
        </w:rPr>
        <w:t>También, a partir de las nuevas variables BRAEN_RP se debe hacer el ajuste a la variable VACNI para que, a partir del mes de inicio de la aplicación de la nueva resolución, el AOM de las nuevas inversiones se calcule con base en la variable VACNI actualizada. Por lo anterior, se concluye que no se requiere incluir una disposición particular acerca del cálculo de los incentivos de calidad del servicio o de los valores de AOM, por la modificación de los planes de inversión de los OR, sino que es responsabilidad de cada OR realizar los cálculos verificando que estos sean coherentes y que tengan consistencia</w:t>
      </w:r>
      <w:r w:rsidR="00564855" w:rsidRPr="002259D9">
        <w:rPr>
          <w:b w:val="0"/>
          <w:bCs w:val="0"/>
          <w:iCs w:val="0"/>
          <w:sz w:val="24"/>
          <w:szCs w:val="24"/>
        </w:rPr>
        <w:t xml:space="preserve"> entre los diferentes años del período tarifario, así como reportar a XM </w:t>
      </w:r>
      <w:r w:rsidR="0055564E">
        <w:rPr>
          <w:b w:val="0"/>
          <w:bCs w:val="0"/>
          <w:iCs w:val="0"/>
          <w:sz w:val="24"/>
          <w:szCs w:val="24"/>
        </w:rPr>
        <w:t xml:space="preserve">S.A. E.S.P. </w:t>
      </w:r>
      <w:r w:rsidR="00564855" w:rsidRPr="002259D9">
        <w:rPr>
          <w:b w:val="0"/>
          <w:bCs w:val="0"/>
          <w:iCs w:val="0"/>
          <w:sz w:val="24"/>
          <w:szCs w:val="24"/>
        </w:rPr>
        <w:t xml:space="preserve">de manera oportuna la información requerida para que la liquidación se haga con información actualizada. </w:t>
      </w:r>
      <w:bookmarkEnd w:id="6"/>
    </w:p>
    <w:p w14:paraId="4E3E804B" w14:textId="774EFFAC" w:rsidR="003932CF" w:rsidRPr="002259D9" w:rsidRDefault="003932CF" w:rsidP="003932CF">
      <w:pPr>
        <w:rPr>
          <w:spacing w:val="-3"/>
        </w:rPr>
      </w:pPr>
      <w:r w:rsidRPr="002259D9">
        <w:rPr>
          <w:spacing w:val="-3"/>
        </w:rPr>
        <w:t xml:space="preserve">Con base en lo anterior, la </w:t>
      </w:r>
      <w:r w:rsidR="00C73249">
        <w:rPr>
          <w:spacing w:val="-3"/>
        </w:rPr>
        <w:t>Comisión</w:t>
      </w:r>
      <w:r w:rsidRPr="002259D9">
        <w:rPr>
          <w:spacing w:val="-3"/>
        </w:rPr>
        <w:t xml:space="preserve"> de Regulación de Energía y Gas, en su sesión </w:t>
      </w:r>
      <w:r w:rsidR="00C02C2E">
        <w:rPr>
          <w:spacing w:val="-3"/>
        </w:rPr>
        <w:t>1150 del 8 de febrero de 2022</w:t>
      </w:r>
      <w:r w:rsidRPr="002259D9">
        <w:rPr>
          <w:spacing w:val="-3"/>
        </w:rPr>
        <w:t>, acordó expedir esta resolución</w:t>
      </w:r>
      <w:r w:rsidR="00F72A1B" w:rsidRPr="002259D9">
        <w:rPr>
          <w:spacing w:val="-3"/>
        </w:rPr>
        <w:t>.</w:t>
      </w:r>
    </w:p>
    <w:p w14:paraId="1392A209" w14:textId="77777777" w:rsidR="00595129" w:rsidRPr="002259D9" w:rsidRDefault="00595129" w:rsidP="00433E81">
      <w:pPr>
        <w:spacing w:before="240" w:after="240"/>
        <w:ind w:right="51"/>
        <w:jc w:val="center"/>
        <w:rPr>
          <w:b/>
        </w:rPr>
      </w:pPr>
      <w:r w:rsidRPr="002259D9">
        <w:rPr>
          <w:b/>
        </w:rPr>
        <w:t>RESUELVE:</w:t>
      </w:r>
    </w:p>
    <w:p w14:paraId="5544F614" w14:textId="0569A496" w:rsidR="00E92880" w:rsidRPr="002259D9" w:rsidRDefault="00D57A78" w:rsidP="00691037">
      <w:pPr>
        <w:pStyle w:val="Artculo"/>
        <w:spacing w:before="200" w:after="200"/>
        <w:ind w:left="0"/>
        <w:outlineLvl w:val="2"/>
        <w:rPr>
          <w:b w:val="0"/>
        </w:rPr>
      </w:pPr>
      <w:r w:rsidRPr="002259D9">
        <w:t xml:space="preserve">Modificar el artículo </w:t>
      </w:r>
      <w:r w:rsidR="00B80E07" w:rsidRPr="002259D9">
        <w:t>2</w:t>
      </w:r>
      <w:r w:rsidRPr="002259D9">
        <w:t xml:space="preserve"> de la Resolución CREG </w:t>
      </w:r>
      <w:r w:rsidR="00B80E07" w:rsidRPr="002259D9">
        <w:t>078</w:t>
      </w:r>
      <w:r w:rsidRPr="002259D9">
        <w:t xml:space="preserve"> de 20</w:t>
      </w:r>
      <w:r w:rsidR="00B80E07" w:rsidRPr="002259D9">
        <w:t>19</w:t>
      </w:r>
      <w:r w:rsidRPr="002259D9">
        <w:t>.</w:t>
      </w:r>
      <w:r w:rsidRPr="002259D9">
        <w:rPr>
          <w:b w:val="0"/>
          <w:bCs/>
        </w:rPr>
        <w:t xml:space="preserve"> El artículo </w:t>
      </w:r>
      <w:r w:rsidR="00B80E07" w:rsidRPr="002259D9">
        <w:rPr>
          <w:b w:val="0"/>
          <w:bCs/>
        </w:rPr>
        <w:t>2</w:t>
      </w:r>
      <w:r w:rsidRPr="002259D9">
        <w:rPr>
          <w:b w:val="0"/>
          <w:bCs/>
        </w:rPr>
        <w:t xml:space="preserve"> de la Resolución CREG </w:t>
      </w:r>
      <w:r w:rsidR="00B80E07" w:rsidRPr="002259D9">
        <w:rPr>
          <w:b w:val="0"/>
          <w:bCs/>
        </w:rPr>
        <w:t>078</w:t>
      </w:r>
      <w:r w:rsidRPr="002259D9">
        <w:rPr>
          <w:b w:val="0"/>
          <w:bCs/>
        </w:rPr>
        <w:t xml:space="preserve"> de 20</w:t>
      </w:r>
      <w:r w:rsidR="00B80E07" w:rsidRPr="002259D9">
        <w:rPr>
          <w:b w:val="0"/>
          <w:bCs/>
        </w:rPr>
        <w:t>19</w:t>
      </w:r>
      <w:r w:rsidR="00691037" w:rsidRPr="002259D9">
        <w:rPr>
          <w:b w:val="0"/>
          <w:bCs/>
        </w:rPr>
        <w:t xml:space="preserve">, modificado por el artículo </w:t>
      </w:r>
      <w:r w:rsidR="00B80E07" w:rsidRPr="002259D9">
        <w:rPr>
          <w:b w:val="0"/>
          <w:bCs/>
        </w:rPr>
        <w:t>1</w:t>
      </w:r>
      <w:r w:rsidR="00691037" w:rsidRPr="002259D9">
        <w:rPr>
          <w:b w:val="0"/>
          <w:bCs/>
        </w:rPr>
        <w:t xml:space="preserve"> de la Resolución CREG </w:t>
      </w:r>
      <w:r w:rsidR="00B80E07" w:rsidRPr="002259D9">
        <w:rPr>
          <w:b w:val="0"/>
          <w:bCs/>
        </w:rPr>
        <w:t>136</w:t>
      </w:r>
      <w:r w:rsidR="00691037" w:rsidRPr="002259D9">
        <w:rPr>
          <w:b w:val="0"/>
          <w:bCs/>
        </w:rPr>
        <w:t xml:space="preserve"> de 20</w:t>
      </w:r>
      <w:r w:rsidR="00B80E07" w:rsidRPr="002259D9">
        <w:rPr>
          <w:b w:val="0"/>
          <w:bCs/>
        </w:rPr>
        <w:t>21</w:t>
      </w:r>
      <w:r w:rsidR="00691037" w:rsidRPr="002259D9">
        <w:rPr>
          <w:b w:val="0"/>
          <w:bCs/>
        </w:rPr>
        <w:t>,</w:t>
      </w:r>
      <w:r w:rsidRPr="002259D9">
        <w:rPr>
          <w:b w:val="0"/>
          <w:bCs/>
        </w:rPr>
        <w:t xml:space="preserve"> quedará as</w:t>
      </w:r>
      <w:r w:rsidR="00691037" w:rsidRPr="002259D9">
        <w:rPr>
          <w:b w:val="0"/>
          <w:bCs/>
        </w:rPr>
        <w:t>í:</w:t>
      </w:r>
    </w:p>
    <w:p w14:paraId="748409A5" w14:textId="25738B94" w:rsidR="00691037" w:rsidRPr="002259D9" w:rsidRDefault="00691037" w:rsidP="00691037">
      <w:pPr>
        <w:pStyle w:val="Artculo"/>
        <w:numPr>
          <w:ilvl w:val="0"/>
          <w:numId w:val="0"/>
        </w:numPr>
        <w:ind w:left="426"/>
        <w:rPr>
          <w:b w:val="0"/>
          <w:bCs/>
          <w:i/>
          <w:iCs/>
          <w:sz w:val="22"/>
          <w:szCs w:val="22"/>
        </w:rPr>
      </w:pPr>
      <w:r w:rsidRPr="002259D9">
        <w:rPr>
          <w:i/>
          <w:iCs/>
          <w:sz w:val="22"/>
          <w:szCs w:val="22"/>
        </w:rPr>
        <w:t>Artículo 2. Base regulatoria de activos eléctricos al inicio del periodo tarifario</w:t>
      </w:r>
      <w:r w:rsidRPr="002259D9">
        <w:rPr>
          <w:b w:val="0"/>
          <w:bCs/>
          <w:i/>
          <w:iCs/>
          <w:sz w:val="22"/>
          <w:szCs w:val="22"/>
        </w:rPr>
        <w:t xml:space="preserve">. La base regulatoria de activos eléctricos al inicio del periodo tarifario, </w:t>
      </w:r>
      <w:proofErr w:type="gramStart"/>
      <w:r w:rsidRPr="002259D9">
        <w:rPr>
          <w:b w:val="0"/>
          <w:bCs/>
          <w:i/>
          <w:iCs/>
          <w:sz w:val="22"/>
          <w:szCs w:val="22"/>
        </w:rPr>
        <w:t>BRAEj,n</w:t>
      </w:r>
      <w:proofErr w:type="gramEnd"/>
      <w:r w:rsidRPr="002259D9">
        <w:rPr>
          <w:b w:val="0"/>
          <w:bCs/>
          <w:i/>
          <w:iCs/>
          <w:sz w:val="22"/>
          <w:szCs w:val="22"/>
        </w:rPr>
        <w:t>,0, es el siguiente:</w:t>
      </w:r>
    </w:p>
    <w:p w14:paraId="726B5B4C" w14:textId="77777777" w:rsidR="00986ECC" w:rsidRPr="002259D9" w:rsidRDefault="00986ECC" w:rsidP="00986ECC">
      <w:pPr>
        <w:pStyle w:val="Artculo"/>
        <w:numPr>
          <w:ilvl w:val="0"/>
          <w:numId w:val="0"/>
        </w:numPr>
        <w:ind w:left="426"/>
        <w:rPr>
          <w:b w:val="0"/>
          <w:bCs/>
          <w:i/>
          <w:iCs/>
        </w:rPr>
      </w:pPr>
      <w:r w:rsidRPr="002259D9">
        <w:rPr>
          <w:b w:val="0"/>
          <w:bCs/>
          <w:i/>
          <w:iCs/>
          <w:sz w:val="22"/>
          <w:szCs w:val="22"/>
        </w:rPr>
        <w:t>Tabla 1 Base regulatoria de activos eléctricos al inicio del periodo tarifario</w:t>
      </w:r>
      <w:r w:rsidRPr="002259D9">
        <w:rPr>
          <w:b w:val="0"/>
          <w:bCs/>
          <w:i/>
          <w:iCs/>
        </w:rPr>
        <w:t xml:space="preserve">. </w:t>
      </w:r>
    </w:p>
    <w:tbl>
      <w:tblPr>
        <w:tblW w:w="0" w:type="auto"/>
        <w:jc w:val="center"/>
        <w:tblCellMar>
          <w:left w:w="70" w:type="dxa"/>
          <w:right w:w="70" w:type="dxa"/>
        </w:tblCellMar>
        <w:tblLook w:val="04A0" w:firstRow="1" w:lastRow="0" w:firstColumn="1" w:lastColumn="0" w:noHBand="0" w:noVBand="1"/>
      </w:tblPr>
      <w:tblGrid>
        <w:gridCol w:w="801"/>
        <w:gridCol w:w="2029"/>
      </w:tblGrid>
      <w:tr w:rsidR="00986ECC" w:rsidRPr="002259D9" w14:paraId="40C6AF66" w14:textId="77777777" w:rsidTr="003B66CA">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B9A57C4" w14:textId="77777777" w:rsidR="00986ECC" w:rsidRPr="002259D9" w:rsidRDefault="00986ECC" w:rsidP="00745B49">
            <w:pPr>
              <w:spacing w:before="0" w:after="0"/>
              <w:jc w:val="left"/>
              <w:rPr>
                <w:rFonts w:cs="Arial"/>
                <w:b/>
                <w:bCs/>
                <w:sz w:val="18"/>
                <w:szCs w:val="18"/>
                <w:lang w:val="es-CO" w:eastAsia="es-CO"/>
              </w:rPr>
            </w:pPr>
            <w:r w:rsidRPr="002259D9">
              <w:rPr>
                <w:rFonts w:cs="Arial"/>
                <w:b/>
                <w:bCs/>
                <w:sz w:val="18"/>
                <w:szCs w:val="18"/>
                <w:lang w:val="es-CO" w:eastAsia="es-CO"/>
              </w:rPr>
              <w:t> </w:t>
            </w:r>
          </w:p>
        </w:tc>
        <w:tc>
          <w:tcPr>
            <w:tcW w:w="2029" w:type="dxa"/>
            <w:tcBorders>
              <w:top w:val="single" w:sz="4" w:space="0" w:color="auto"/>
              <w:left w:val="nil"/>
              <w:bottom w:val="single" w:sz="4" w:space="0" w:color="auto"/>
              <w:right w:val="single" w:sz="4" w:space="0" w:color="auto"/>
            </w:tcBorders>
            <w:shd w:val="clear" w:color="000000" w:fill="FFFFFF"/>
            <w:vAlign w:val="center"/>
            <w:hideMark/>
          </w:tcPr>
          <w:p w14:paraId="0B25B613" w14:textId="77777777" w:rsidR="00986ECC" w:rsidRPr="002259D9" w:rsidRDefault="00986ECC" w:rsidP="00745B49">
            <w:pPr>
              <w:spacing w:before="0" w:after="0"/>
              <w:jc w:val="center"/>
              <w:rPr>
                <w:rFonts w:cs="Arial"/>
                <w:b/>
                <w:bCs/>
                <w:sz w:val="18"/>
                <w:szCs w:val="18"/>
                <w:lang w:val="es-CO" w:eastAsia="es-CO"/>
              </w:rPr>
            </w:pPr>
            <w:r w:rsidRPr="002259D9">
              <w:rPr>
                <w:rFonts w:cs="Arial"/>
                <w:b/>
                <w:bCs/>
                <w:sz w:val="18"/>
                <w:szCs w:val="18"/>
                <w:lang w:val="es-CO" w:eastAsia="es-CO"/>
              </w:rPr>
              <w:t>Pesos de diciembre de 2017</w:t>
            </w:r>
          </w:p>
        </w:tc>
      </w:tr>
      <w:tr w:rsidR="000119BB" w:rsidRPr="002259D9" w14:paraId="26165515"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3B43F" w14:textId="77777777" w:rsidR="000119BB" w:rsidRPr="002259D9" w:rsidRDefault="000119BB" w:rsidP="000119BB">
            <w:pPr>
              <w:spacing w:before="0" w:after="0"/>
              <w:jc w:val="center"/>
              <w:rPr>
                <w:rFonts w:cs="Arial"/>
                <w:i/>
                <w:iCs/>
                <w:sz w:val="16"/>
                <w:szCs w:val="16"/>
                <w:lang w:val="es-CO" w:eastAsia="es-CO"/>
              </w:rPr>
            </w:pPr>
            <w:r w:rsidRPr="002259D9">
              <w:rPr>
                <w:rFonts w:cs="Arial"/>
                <w:i/>
                <w:iCs/>
                <w:sz w:val="16"/>
                <w:szCs w:val="16"/>
                <w:lang w:val="es-CO" w:eastAsia="es-CO"/>
              </w:rPr>
              <w:t>BRAE</w:t>
            </w:r>
            <w:r w:rsidRPr="002259D9">
              <w:rPr>
                <w:rFonts w:cs="Arial"/>
                <w:i/>
                <w:iCs/>
                <w:sz w:val="16"/>
                <w:szCs w:val="16"/>
                <w:vertAlign w:val="subscript"/>
                <w:lang w:val="es-CO" w:eastAsia="es-CO"/>
              </w:rPr>
              <w:t>j,4,0</w:t>
            </w:r>
          </w:p>
        </w:tc>
        <w:tc>
          <w:tcPr>
            <w:tcW w:w="2029" w:type="dxa"/>
            <w:tcBorders>
              <w:top w:val="nil"/>
              <w:left w:val="nil"/>
              <w:bottom w:val="single" w:sz="4" w:space="0" w:color="auto"/>
              <w:right w:val="single" w:sz="4" w:space="0" w:color="auto"/>
            </w:tcBorders>
            <w:shd w:val="clear" w:color="auto" w:fill="auto"/>
            <w:noWrap/>
            <w:vAlign w:val="center"/>
          </w:tcPr>
          <w:p w14:paraId="3D66A6B5" w14:textId="76B1AA07" w:rsidR="000119BB" w:rsidRPr="002259D9" w:rsidRDefault="000119BB" w:rsidP="00524DC3">
            <w:pPr>
              <w:spacing w:before="0" w:after="0"/>
              <w:jc w:val="right"/>
              <w:rPr>
                <w:rFonts w:cs="Arial"/>
                <w:i/>
                <w:iCs/>
                <w:sz w:val="16"/>
                <w:szCs w:val="16"/>
                <w:lang w:val="es-CO" w:eastAsia="es-CO"/>
              </w:rPr>
            </w:pPr>
            <w:r w:rsidRPr="002259D9">
              <w:rPr>
                <w:rFonts w:cs="Arial"/>
                <w:i/>
                <w:iCs/>
                <w:sz w:val="16"/>
                <w:szCs w:val="16"/>
              </w:rPr>
              <w:t>1.228.862.180.539</w:t>
            </w:r>
          </w:p>
        </w:tc>
      </w:tr>
      <w:tr w:rsidR="000119BB" w:rsidRPr="002259D9" w14:paraId="707BC610"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ACC9D" w14:textId="77777777" w:rsidR="000119BB" w:rsidRPr="002259D9" w:rsidRDefault="000119BB" w:rsidP="000119BB">
            <w:pPr>
              <w:spacing w:before="0" w:after="0"/>
              <w:jc w:val="center"/>
              <w:rPr>
                <w:rFonts w:cs="Arial"/>
                <w:i/>
                <w:iCs/>
                <w:sz w:val="16"/>
                <w:szCs w:val="16"/>
                <w:lang w:val="es-CO" w:eastAsia="es-CO"/>
              </w:rPr>
            </w:pPr>
            <w:r w:rsidRPr="002259D9">
              <w:rPr>
                <w:rFonts w:cs="Arial"/>
                <w:i/>
                <w:iCs/>
                <w:sz w:val="16"/>
                <w:szCs w:val="16"/>
                <w:lang w:val="es-CO" w:eastAsia="es-CO"/>
              </w:rPr>
              <w:t>BRAE</w:t>
            </w:r>
            <w:r w:rsidRPr="002259D9">
              <w:rPr>
                <w:rFonts w:cs="Arial"/>
                <w:i/>
                <w:iCs/>
                <w:sz w:val="16"/>
                <w:szCs w:val="16"/>
                <w:vertAlign w:val="subscript"/>
                <w:lang w:val="es-CO" w:eastAsia="es-CO"/>
              </w:rPr>
              <w:t>j,3,0</w:t>
            </w:r>
          </w:p>
        </w:tc>
        <w:tc>
          <w:tcPr>
            <w:tcW w:w="2029" w:type="dxa"/>
            <w:tcBorders>
              <w:top w:val="nil"/>
              <w:left w:val="nil"/>
              <w:bottom w:val="single" w:sz="4" w:space="0" w:color="auto"/>
              <w:right w:val="single" w:sz="4" w:space="0" w:color="auto"/>
            </w:tcBorders>
            <w:shd w:val="clear" w:color="auto" w:fill="auto"/>
            <w:noWrap/>
            <w:vAlign w:val="center"/>
          </w:tcPr>
          <w:p w14:paraId="1C186F8A" w14:textId="18D4C010" w:rsidR="000119BB" w:rsidRPr="002259D9" w:rsidRDefault="000119BB" w:rsidP="00524DC3">
            <w:pPr>
              <w:spacing w:before="0" w:after="0"/>
              <w:jc w:val="right"/>
              <w:rPr>
                <w:rFonts w:cs="Arial"/>
                <w:i/>
                <w:iCs/>
                <w:sz w:val="16"/>
                <w:szCs w:val="16"/>
                <w:lang w:val="es-CO" w:eastAsia="es-CO"/>
              </w:rPr>
            </w:pPr>
            <w:r w:rsidRPr="002259D9">
              <w:rPr>
                <w:rFonts w:cs="Arial"/>
                <w:i/>
                <w:iCs/>
                <w:sz w:val="16"/>
                <w:szCs w:val="16"/>
              </w:rPr>
              <w:t>531.102.300.820</w:t>
            </w:r>
          </w:p>
        </w:tc>
      </w:tr>
      <w:tr w:rsidR="000119BB" w:rsidRPr="002259D9" w14:paraId="5ABD81C3"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6A5836" w14:textId="77777777" w:rsidR="000119BB" w:rsidRPr="002259D9" w:rsidRDefault="000119BB" w:rsidP="000119BB">
            <w:pPr>
              <w:spacing w:before="0" w:after="0"/>
              <w:jc w:val="center"/>
              <w:rPr>
                <w:rFonts w:cs="Arial"/>
                <w:i/>
                <w:iCs/>
                <w:sz w:val="16"/>
                <w:szCs w:val="16"/>
                <w:lang w:val="es-CO" w:eastAsia="es-CO"/>
              </w:rPr>
            </w:pPr>
            <w:r w:rsidRPr="002259D9">
              <w:rPr>
                <w:rFonts w:cs="Arial"/>
                <w:i/>
                <w:iCs/>
                <w:sz w:val="16"/>
                <w:szCs w:val="16"/>
                <w:lang w:val="es-CO" w:eastAsia="es-CO"/>
              </w:rPr>
              <w:t>BRAE</w:t>
            </w:r>
            <w:r w:rsidRPr="002259D9">
              <w:rPr>
                <w:rFonts w:cs="Arial"/>
                <w:i/>
                <w:iCs/>
                <w:sz w:val="16"/>
                <w:szCs w:val="16"/>
                <w:vertAlign w:val="subscript"/>
                <w:lang w:val="es-CO" w:eastAsia="es-CO"/>
              </w:rPr>
              <w:t>j,2,0</w:t>
            </w:r>
          </w:p>
        </w:tc>
        <w:tc>
          <w:tcPr>
            <w:tcW w:w="2029" w:type="dxa"/>
            <w:tcBorders>
              <w:top w:val="nil"/>
              <w:left w:val="nil"/>
              <w:bottom w:val="single" w:sz="4" w:space="0" w:color="auto"/>
              <w:right w:val="single" w:sz="4" w:space="0" w:color="auto"/>
            </w:tcBorders>
            <w:shd w:val="clear" w:color="auto" w:fill="auto"/>
            <w:noWrap/>
            <w:vAlign w:val="center"/>
          </w:tcPr>
          <w:p w14:paraId="25C6E7F6" w14:textId="34D8E07B" w:rsidR="000119BB" w:rsidRPr="002259D9" w:rsidRDefault="000119BB" w:rsidP="00524DC3">
            <w:pPr>
              <w:spacing w:before="0" w:after="0"/>
              <w:jc w:val="right"/>
              <w:rPr>
                <w:rFonts w:cs="Arial"/>
                <w:i/>
                <w:iCs/>
                <w:sz w:val="16"/>
                <w:szCs w:val="16"/>
                <w:lang w:val="es-CO" w:eastAsia="es-CO"/>
              </w:rPr>
            </w:pPr>
            <w:r w:rsidRPr="002259D9">
              <w:rPr>
                <w:rFonts w:cs="Arial"/>
                <w:i/>
                <w:iCs/>
                <w:sz w:val="16"/>
                <w:szCs w:val="16"/>
              </w:rPr>
              <w:t>3.774.460.593.370</w:t>
            </w:r>
          </w:p>
        </w:tc>
      </w:tr>
      <w:tr w:rsidR="000119BB" w:rsidRPr="002259D9" w14:paraId="5C3626D6"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7F4ED" w14:textId="77777777" w:rsidR="000119BB" w:rsidRPr="002259D9" w:rsidRDefault="000119BB" w:rsidP="000119BB">
            <w:pPr>
              <w:spacing w:before="0" w:after="0"/>
              <w:jc w:val="center"/>
              <w:rPr>
                <w:rFonts w:cs="Arial"/>
                <w:i/>
                <w:iCs/>
                <w:sz w:val="16"/>
                <w:szCs w:val="16"/>
                <w:lang w:val="es-CO" w:eastAsia="es-CO"/>
              </w:rPr>
            </w:pPr>
            <w:r w:rsidRPr="002259D9">
              <w:rPr>
                <w:rFonts w:cs="Arial"/>
                <w:i/>
                <w:iCs/>
                <w:sz w:val="16"/>
                <w:szCs w:val="16"/>
                <w:lang w:val="es-CO" w:eastAsia="es-CO"/>
              </w:rPr>
              <w:t>BRAE</w:t>
            </w:r>
            <w:r w:rsidRPr="002259D9">
              <w:rPr>
                <w:rFonts w:cs="Arial"/>
                <w:i/>
                <w:iCs/>
                <w:sz w:val="16"/>
                <w:szCs w:val="16"/>
                <w:vertAlign w:val="subscript"/>
                <w:lang w:val="es-CO" w:eastAsia="es-CO"/>
              </w:rPr>
              <w:t>j,1,0</w:t>
            </w:r>
          </w:p>
        </w:tc>
        <w:tc>
          <w:tcPr>
            <w:tcW w:w="2029" w:type="dxa"/>
            <w:tcBorders>
              <w:top w:val="nil"/>
              <w:left w:val="nil"/>
              <w:bottom w:val="single" w:sz="4" w:space="0" w:color="auto"/>
              <w:right w:val="single" w:sz="4" w:space="0" w:color="auto"/>
            </w:tcBorders>
            <w:shd w:val="clear" w:color="auto" w:fill="auto"/>
            <w:noWrap/>
            <w:vAlign w:val="center"/>
          </w:tcPr>
          <w:p w14:paraId="1EEBEED5" w14:textId="7F28B123" w:rsidR="000119BB" w:rsidRPr="002259D9" w:rsidRDefault="000119BB" w:rsidP="00524DC3">
            <w:pPr>
              <w:spacing w:before="0" w:after="0"/>
              <w:jc w:val="right"/>
              <w:rPr>
                <w:rFonts w:cs="Arial"/>
                <w:i/>
                <w:iCs/>
                <w:sz w:val="16"/>
                <w:szCs w:val="16"/>
                <w:lang w:val="es-CO" w:eastAsia="es-CO"/>
              </w:rPr>
            </w:pPr>
            <w:r w:rsidRPr="002259D9">
              <w:rPr>
                <w:rFonts w:cs="Arial"/>
                <w:i/>
                <w:iCs/>
                <w:sz w:val="16"/>
                <w:szCs w:val="16"/>
              </w:rPr>
              <w:t>1.538.833.610.813</w:t>
            </w:r>
          </w:p>
        </w:tc>
      </w:tr>
    </w:tbl>
    <w:p w14:paraId="46BAD7C1" w14:textId="77777777" w:rsidR="00986ECC" w:rsidRPr="002259D9" w:rsidRDefault="00986ECC" w:rsidP="00986ECC">
      <w:pPr>
        <w:spacing w:before="0" w:after="0"/>
        <w:jc w:val="left"/>
        <w:rPr>
          <w:rFonts w:cs="Arial"/>
        </w:rPr>
      </w:pPr>
    </w:p>
    <w:p w14:paraId="4FED08BF" w14:textId="6E25C846" w:rsidR="00986ECC" w:rsidRPr="002259D9" w:rsidRDefault="00986ECC" w:rsidP="00986ECC">
      <w:pPr>
        <w:spacing w:before="0" w:after="0"/>
        <w:ind w:left="708"/>
        <w:rPr>
          <w:b/>
          <w:bCs/>
          <w:i/>
          <w:iCs/>
          <w:sz w:val="22"/>
          <w:szCs w:val="22"/>
        </w:rPr>
      </w:pPr>
      <w:r w:rsidRPr="002259D9">
        <w:rPr>
          <w:rFonts w:cs="Arial"/>
          <w:b/>
          <w:bCs/>
          <w:i/>
          <w:iCs/>
        </w:rPr>
        <w:t>Parágrafo</w:t>
      </w:r>
      <w:r w:rsidRPr="002259D9">
        <w:rPr>
          <w:rFonts w:cs="Arial"/>
          <w:i/>
          <w:iCs/>
        </w:rPr>
        <w:t>: En aplicación de lo dispuesto en el artículo 6 de la Resolución CREG 015 de 2018, y el artículo 50 de la Resolución CREG 036 de 2019, conforme con la solicitud de</w:t>
      </w:r>
      <w:r w:rsidR="00001670" w:rsidRPr="002259D9">
        <w:rPr>
          <w:rFonts w:cs="Arial"/>
          <w:i/>
          <w:iCs/>
        </w:rPr>
        <w:t xml:space="preserve"> </w:t>
      </w:r>
      <w:r w:rsidR="00F72A1B" w:rsidRPr="002259D9">
        <w:rPr>
          <w:rFonts w:cs="Arial"/>
          <w:i/>
          <w:iCs/>
        </w:rPr>
        <w:t>Empresas Públicas de Medellín</w:t>
      </w:r>
      <w:r w:rsidR="00001670" w:rsidRPr="002259D9">
        <w:rPr>
          <w:rFonts w:cs="Arial"/>
          <w:i/>
          <w:iCs/>
        </w:rPr>
        <w:t xml:space="preserve"> </w:t>
      </w:r>
      <w:r w:rsidRPr="002259D9">
        <w:rPr>
          <w:rFonts w:cs="Arial"/>
          <w:i/>
          <w:iCs/>
        </w:rPr>
        <w:t>E.S.P., el valor de los activos puestos en operación en el 2018 fue incluido en la base regulatoria inicial de activos.</w:t>
      </w:r>
    </w:p>
    <w:p w14:paraId="4A6BE0D1" w14:textId="1BBD2CAE" w:rsidR="00691037" w:rsidRPr="002259D9" w:rsidRDefault="00691037" w:rsidP="00691037">
      <w:pPr>
        <w:pStyle w:val="Artculo"/>
        <w:spacing w:before="200" w:after="200"/>
        <w:ind w:left="0"/>
        <w:outlineLvl w:val="2"/>
        <w:rPr>
          <w:b w:val="0"/>
        </w:rPr>
      </w:pPr>
      <w:r w:rsidRPr="002259D9">
        <w:t xml:space="preserve">Modificar el artículo </w:t>
      </w:r>
      <w:r w:rsidR="00B80E07" w:rsidRPr="002259D9">
        <w:t>3</w:t>
      </w:r>
      <w:r w:rsidRPr="002259D9">
        <w:t xml:space="preserve"> de la Resolución CREG </w:t>
      </w:r>
      <w:r w:rsidR="00B80E07" w:rsidRPr="002259D9">
        <w:t>078</w:t>
      </w:r>
      <w:r w:rsidRPr="002259D9">
        <w:t xml:space="preserve"> de 20</w:t>
      </w:r>
      <w:r w:rsidR="00B80E07" w:rsidRPr="002259D9">
        <w:t>19</w:t>
      </w:r>
      <w:r w:rsidRPr="002259D9">
        <w:t xml:space="preserve">. </w:t>
      </w:r>
      <w:r w:rsidRPr="002259D9">
        <w:rPr>
          <w:b w:val="0"/>
        </w:rPr>
        <w:t xml:space="preserve">El artículo </w:t>
      </w:r>
      <w:r w:rsidR="00B80E07" w:rsidRPr="002259D9">
        <w:rPr>
          <w:b w:val="0"/>
        </w:rPr>
        <w:t>2</w:t>
      </w:r>
      <w:r w:rsidRPr="002259D9">
        <w:rPr>
          <w:b w:val="0"/>
        </w:rPr>
        <w:t xml:space="preserve"> de la Resolución CREG </w:t>
      </w:r>
      <w:r w:rsidR="00B80E07" w:rsidRPr="002259D9">
        <w:rPr>
          <w:b w:val="0"/>
        </w:rPr>
        <w:t>078</w:t>
      </w:r>
      <w:r w:rsidRPr="002259D9">
        <w:rPr>
          <w:b w:val="0"/>
        </w:rPr>
        <w:t xml:space="preserve"> de 20</w:t>
      </w:r>
      <w:r w:rsidR="00B80E07" w:rsidRPr="002259D9">
        <w:rPr>
          <w:b w:val="0"/>
        </w:rPr>
        <w:t>19</w:t>
      </w:r>
      <w:r w:rsidRPr="002259D9">
        <w:rPr>
          <w:b w:val="0"/>
        </w:rPr>
        <w:t xml:space="preserve">, modificado por el artículo </w:t>
      </w:r>
      <w:r w:rsidR="00B80E07" w:rsidRPr="002259D9">
        <w:rPr>
          <w:b w:val="0"/>
        </w:rPr>
        <w:t>2</w:t>
      </w:r>
      <w:r w:rsidRPr="002259D9">
        <w:rPr>
          <w:b w:val="0"/>
        </w:rPr>
        <w:t xml:space="preserve"> la Resolución CREG </w:t>
      </w:r>
      <w:r w:rsidR="00B80E07" w:rsidRPr="002259D9">
        <w:rPr>
          <w:b w:val="0"/>
        </w:rPr>
        <w:t>136</w:t>
      </w:r>
      <w:r w:rsidRPr="002259D9">
        <w:rPr>
          <w:b w:val="0"/>
        </w:rPr>
        <w:t xml:space="preserve"> de 20</w:t>
      </w:r>
      <w:r w:rsidR="00B80E07" w:rsidRPr="002259D9">
        <w:rPr>
          <w:b w:val="0"/>
        </w:rPr>
        <w:t>21</w:t>
      </w:r>
      <w:r w:rsidRPr="002259D9">
        <w:rPr>
          <w:b w:val="0"/>
        </w:rPr>
        <w:t xml:space="preserve">, quedará así: </w:t>
      </w:r>
    </w:p>
    <w:p w14:paraId="5A19F534" w14:textId="1594DA9A" w:rsidR="00691037" w:rsidRPr="002259D9" w:rsidRDefault="00691037" w:rsidP="00691037">
      <w:pPr>
        <w:pStyle w:val="Artculo"/>
        <w:numPr>
          <w:ilvl w:val="0"/>
          <w:numId w:val="0"/>
        </w:numPr>
        <w:ind w:left="425"/>
        <w:rPr>
          <w:b w:val="0"/>
          <w:bCs/>
          <w:i/>
          <w:iCs/>
        </w:rPr>
      </w:pPr>
      <w:r w:rsidRPr="002259D9">
        <w:rPr>
          <w:bCs/>
          <w:i/>
          <w:iCs/>
          <w:sz w:val="22"/>
          <w:szCs w:val="22"/>
        </w:rPr>
        <w:t>Artículo 3. Inversión aprobada en el plan de inversiones.</w:t>
      </w:r>
      <w:r w:rsidRPr="002259D9">
        <w:rPr>
          <w:i/>
          <w:iCs/>
          <w:sz w:val="22"/>
          <w:szCs w:val="22"/>
        </w:rPr>
        <w:t xml:space="preserve"> </w:t>
      </w:r>
      <w:r w:rsidRPr="002259D9">
        <w:rPr>
          <w:b w:val="0"/>
          <w:bCs/>
          <w:i/>
          <w:iCs/>
          <w:sz w:val="22"/>
          <w:szCs w:val="22"/>
        </w:rPr>
        <w:t xml:space="preserve">El valor de las inversiones aprobadas en el plan de inversiones, </w:t>
      </w:r>
      <w:proofErr w:type="spellStart"/>
      <w:proofErr w:type="gramStart"/>
      <w:r w:rsidRPr="002259D9">
        <w:rPr>
          <w:b w:val="0"/>
          <w:bCs/>
          <w:i/>
          <w:iCs/>
          <w:sz w:val="22"/>
          <w:szCs w:val="22"/>
        </w:rPr>
        <w:t>INVA</w:t>
      </w:r>
      <w:r w:rsidRPr="002259D9">
        <w:rPr>
          <w:b w:val="0"/>
          <w:bCs/>
          <w:i/>
          <w:iCs/>
          <w:sz w:val="22"/>
          <w:szCs w:val="22"/>
          <w:vertAlign w:val="subscript"/>
        </w:rPr>
        <w:t>j,n</w:t>
      </w:r>
      <w:proofErr w:type="gramEnd"/>
      <w:r w:rsidRPr="002259D9">
        <w:rPr>
          <w:b w:val="0"/>
          <w:bCs/>
          <w:i/>
          <w:iCs/>
          <w:sz w:val="22"/>
          <w:szCs w:val="22"/>
          <w:vertAlign w:val="subscript"/>
        </w:rPr>
        <w:t>,l,t</w:t>
      </w:r>
      <w:proofErr w:type="spellEnd"/>
      <w:r w:rsidRPr="002259D9">
        <w:rPr>
          <w:b w:val="0"/>
          <w:bCs/>
          <w:i/>
          <w:iCs/>
          <w:sz w:val="22"/>
          <w:szCs w:val="22"/>
        </w:rPr>
        <w:t>, para cada nivel de tensión, es el siguiente</w:t>
      </w:r>
      <w:r w:rsidRPr="002259D9">
        <w:rPr>
          <w:b w:val="0"/>
          <w:bCs/>
          <w:i/>
          <w:iCs/>
        </w:rPr>
        <w:t>:</w:t>
      </w:r>
    </w:p>
    <w:p w14:paraId="246580D1" w14:textId="77777777" w:rsidR="00691037" w:rsidRPr="002259D9" w:rsidRDefault="00691037" w:rsidP="00691037">
      <w:pPr>
        <w:pStyle w:val="Descripcin"/>
        <w:spacing w:before="120" w:after="120"/>
        <w:rPr>
          <w:i/>
          <w:iCs/>
          <w:sz w:val="20"/>
          <w:szCs w:val="18"/>
        </w:rPr>
      </w:pPr>
      <w:r w:rsidRPr="002259D9">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1057"/>
        <w:gridCol w:w="1135"/>
        <w:gridCol w:w="1221"/>
        <w:gridCol w:w="1221"/>
        <w:gridCol w:w="1221"/>
        <w:gridCol w:w="1135"/>
        <w:gridCol w:w="1221"/>
        <w:gridCol w:w="1135"/>
      </w:tblGrid>
      <w:tr w:rsidR="00691037" w:rsidRPr="002259D9" w14:paraId="3EB4960C" w14:textId="77777777" w:rsidTr="008A3CD0">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50B9BA7"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95F4BAF"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7E72F46"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0D5AD5"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628560"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A3B893"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ECAD41"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9BF65E2"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4,l</w:t>
            </w:r>
            <w:proofErr w:type="gramEnd"/>
            <w:r w:rsidRPr="002259D9">
              <w:rPr>
                <w:rFonts w:cs="Arial"/>
                <w:b/>
                <w:bCs/>
                <w:i/>
                <w:iCs/>
                <w:sz w:val="14"/>
                <w:szCs w:val="14"/>
                <w:lang w:val="es-CO" w:eastAsia="es-CO"/>
              </w:rPr>
              <w:t>,7</w:t>
            </w:r>
          </w:p>
        </w:tc>
      </w:tr>
      <w:tr w:rsidR="00CA45B6" w:rsidRPr="002259D9" w14:paraId="431D1516"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30ED2972"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5BC126" w14:textId="20523C63"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1.722.858.936</w:t>
            </w:r>
          </w:p>
        </w:tc>
        <w:tc>
          <w:tcPr>
            <w:tcW w:w="0" w:type="auto"/>
            <w:tcBorders>
              <w:top w:val="nil"/>
              <w:left w:val="nil"/>
              <w:bottom w:val="single" w:sz="4" w:space="0" w:color="auto"/>
              <w:right w:val="single" w:sz="4" w:space="0" w:color="auto"/>
            </w:tcBorders>
            <w:shd w:val="clear" w:color="auto" w:fill="auto"/>
            <w:noWrap/>
            <w:vAlign w:val="center"/>
          </w:tcPr>
          <w:p w14:paraId="7C0D9443" w14:textId="67BBA5E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29.356.377.000</w:t>
            </w:r>
          </w:p>
        </w:tc>
        <w:tc>
          <w:tcPr>
            <w:tcW w:w="0" w:type="auto"/>
            <w:tcBorders>
              <w:top w:val="nil"/>
              <w:left w:val="nil"/>
              <w:bottom w:val="single" w:sz="4" w:space="0" w:color="auto"/>
              <w:right w:val="single" w:sz="4" w:space="0" w:color="auto"/>
            </w:tcBorders>
            <w:shd w:val="clear" w:color="auto" w:fill="auto"/>
            <w:noWrap/>
            <w:vAlign w:val="center"/>
          </w:tcPr>
          <w:p w14:paraId="2FFDB6CB" w14:textId="33988A67"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5A4551" w14:textId="3D413B81"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921F76A" w14:textId="00A1290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71D5FD2" w14:textId="7B5A2F4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CF1CB9C" w14:textId="621B9A2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r>
      <w:tr w:rsidR="00CA45B6" w:rsidRPr="002259D9" w14:paraId="3940E0AB"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4DBEB8AB"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8BF637F" w14:textId="1808FE70"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158BDC7" w14:textId="59567BF9"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4754F70" w14:textId="32489E8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37554DA" w14:textId="430F5C89"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7450EE1" w14:textId="0E40B8D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F58A5DA" w14:textId="7AD8ECA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DF8D6A" w14:textId="37593E33"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r>
      <w:tr w:rsidR="00CA45B6" w:rsidRPr="002259D9" w14:paraId="6A1D85EB"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8F7CCB4"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574BAEF" w14:textId="13667ADD"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4.019.552.585</w:t>
            </w:r>
          </w:p>
        </w:tc>
        <w:tc>
          <w:tcPr>
            <w:tcW w:w="0" w:type="auto"/>
            <w:tcBorders>
              <w:top w:val="nil"/>
              <w:left w:val="nil"/>
              <w:bottom w:val="single" w:sz="4" w:space="0" w:color="auto"/>
              <w:right w:val="single" w:sz="4" w:space="0" w:color="auto"/>
            </w:tcBorders>
            <w:shd w:val="clear" w:color="auto" w:fill="auto"/>
            <w:noWrap/>
            <w:vAlign w:val="center"/>
          </w:tcPr>
          <w:p w14:paraId="0A341661" w14:textId="300F508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7.446.977.547</w:t>
            </w:r>
          </w:p>
        </w:tc>
        <w:tc>
          <w:tcPr>
            <w:tcW w:w="0" w:type="auto"/>
            <w:tcBorders>
              <w:top w:val="nil"/>
              <w:left w:val="nil"/>
              <w:bottom w:val="single" w:sz="4" w:space="0" w:color="auto"/>
              <w:right w:val="single" w:sz="4" w:space="0" w:color="auto"/>
            </w:tcBorders>
            <w:shd w:val="clear" w:color="auto" w:fill="auto"/>
            <w:noWrap/>
            <w:vAlign w:val="center"/>
          </w:tcPr>
          <w:p w14:paraId="0B4B3985" w14:textId="04D6EEE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3.337.366.297</w:t>
            </w:r>
          </w:p>
        </w:tc>
        <w:tc>
          <w:tcPr>
            <w:tcW w:w="0" w:type="auto"/>
            <w:tcBorders>
              <w:top w:val="nil"/>
              <w:left w:val="nil"/>
              <w:bottom w:val="single" w:sz="4" w:space="0" w:color="auto"/>
              <w:right w:val="single" w:sz="4" w:space="0" w:color="auto"/>
            </w:tcBorders>
            <w:shd w:val="clear" w:color="auto" w:fill="auto"/>
            <w:noWrap/>
            <w:vAlign w:val="center"/>
          </w:tcPr>
          <w:p w14:paraId="5FEA5238" w14:textId="7E27F362"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13.969.869.380</w:t>
            </w:r>
          </w:p>
        </w:tc>
        <w:tc>
          <w:tcPr>
            <w:tcW w:w="0" w:type="auto"/>
            <w:tcBorders>
              <w:top w:val="nil"/>
              <w:left w:val="nil"/>
              <w:bottom w:val="single" w:sz="4" w:space="0" w:color="auto"/>
              <w:right w:val="single" w:sz="4" w:space="0" w:color="auto"/>
            </w:tcBorders>
            <w:shd w:val="clear" w:color="auto" w:fill="auto"/>
            <w:noWrap/>
            <w:vAlign w:val="center"/>
          </w:tcPr>
          <w:p w14:paraId="3B61234F" w14:textId="6635EE65"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2.753.326.916</w:t>
            </w:r>
          </w:p>
        </w:tc>
        <w:tc>
          <w:tcPr>
            <w:tcW w:w="0" w:type="auto"/>
            <w:tcBorders>
              <w:top w:val="nil"/>
              <w:left w:val="nil"/>
              <w:bottom w:val="single" w:sz="4" w:space="0" w:color="auto"/>
              <w:right w:val="single" w:sz="4" w:space="0" w:color="auto"/>
            </w:tcBorders>
            <w:shd w:val="clear" w:color="auto" w:fill="auto"/>
            <w:noWrap/>
            <w:vAlign w:val="center"/>
          </w:tcPr>
          <w:p w14:paraId="189455EF" w14:textId="422E55A2"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4.485.521.746</w:t>
            </w:r>
          </w:p>
        </w:tc>
        <w:tc>
          <w:tcPr>
            <w:tcW w:w="0" w:type="auto"/>
            <w:tcBorders>
              <w:top w:val="nil"/>
              <w:left w:val="nil"/>
              <w:bottom w:val="single" w:sz="4" w:space="0" w:color="auto"/>
              <w:right w:val="single" w:sz="4" w:space="0" w:color="auto"/>
            </w:tcBorders>
            <w:shd w:val="clear" w:color="auto" w:fill="auto"/>
            <w:noWrap/>
            <w:vAlign w:val="center"/>
          </w:tcPr>
          <w:p w14:paraId="0DB16933" w14:textId="11D0461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3.206.700.680</w:t>
            </w:r>
          </w:p>
        </w:tc>
      </w:tr>
      <w:tr w:rsidR="00CA45B6" w:rsidRPr="002259D9" w14:paraId="53B2E60D"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9A771A6"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BFA8A5" w14:textId="64A29360"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656.474.870</w:t>
            </w:r>
          </w:p>
        </w:tc>
        <w:tc>
          <w:tcPr>
            <w:tcW w:w="0" w:type="auto"/>
            <w:tcBorders>
              <w:top w:val="nil"/>
              <w:left w:val="nil"/>
              <w:bottom w:val="single" w:sz="4" w:space="0" w:color="auto"/>
              <w:right w:val="single" w:sz="4" w:space="0" w:color="auto"/>
            </w:tcBorders>
            <w:shd w:val="clear" w:color="auto" w:fill="auto"/>
            <w:noWrap/>
            <w:vAlign w:val="center"/>
          </w:tcPr>
          <w:p w14:paraId="0EB5BCC1" w14:textId="36946FFB"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2.429.225.468</w:t>
            </w:r>
          </w:p>
        </w:tc>
        <w:tc>
          <w:tcPr>
            <w:tcW w:w="0" w:type="auto"/>
            <w:tcBorders>
              <w:top w:val="nil"/>
              <w:left w:val="nil"/>
              <w:bottom w:val="single" w:sz="4" w:space="0" w:color="auto"/>
              <w:right w:val="single" w:sz="4" w:space="0" w:color="auto"/>
            </w:tcBorders>
            <w:shd w:val="clear" w:color="auto" w:fill="auto"/>
            <w:noWrap/>
            <w:vAlign w:val="center"/>
          </w:tcPr>
          <w:p w14:paraId="6D16E07F" w14:textId="39C4EE49"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1.015.221.978</w:t>
            </w:r>
          </w:p>
        </w:tc>
        <w:tc>
          <w:tcPr>
            <w:tcW w:w="0" w:type="auto"/>
            <w:tcBorders>
              <w:top w:val="nil"/>
              <w:left w:val="nil"/>
              <w:bottom w:val="single" w:sz="4" w:space="0" w:color="auto"/>
              <w:right w:val="single" w:sz="4" w:space="0" w:color="auto"/>
            </w:tcBorders>
            <w:shd w:val="clear" w:color="auto" w:fill="auto"/>
            <w:noWrap/>
            <w:vAlign w:val="center"/>
          </w:tcPr>
          <w:p w14:paraId="21AF64AB" w14:textId="4BD65DAE"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3.106.801.690</w:t>
            </w:r>
          </w:p>
        </w:tc>
        <w:tc>
          <w:tcPr>
            <w:tcW w:w="0" w:type="auto"/>
            <w:tcBorders>
              <w:top w:val="nil"/>
              <w:left w:val="nil"/>
              <w:bottom w:val="single" w:sz="4" w:space="0" w:color="auto"/>
              <w:right w:val="single" w:sz="4" w:space="0" w:color="auto"/>
            </w:tcBorders>
            <w:shd w:val="clear" w:color="auto" w:fill="auto"/>
            <w:noWrap/>
            <w:vAlign w:val="center"/>
          </w:tcPr>
          <w:p w14:paraId="60B5C9C3" w14:textId="71221957"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1.245.678.450</w:t>
            </w:r>
          </w:p>
        </w:tc>
        <w:tc>
          <w:tcPr>
            <w:tcW w:w="0" w:type="auto"/>
            <w:tcBorders>
              <w:top w:val="nil"/>
              <w:left w:val="nil"/>
              <w:bottom w:val="single" w:sz="4" w:space="0" w:color="auto"/>
              <w:right w:val="single" w:sz="4" w:space="0" w:color="auto"/>
            </w:tcBorders>
            <w:shd w:val="clear" w:color="auto" w:fill="auto"/>
            <w:noWrap/>
            <w:vAlign w:val="center"/>
          </w:tcPr>
          <w:p w14:paraId="390A2F48" w14:textId="7523E01F"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2.182.594.000</w:t>
            </w:r>
          </w:p>
        </w:tc>
        <w:tc>
          <w:tcPr>
            <w:tcW w:w="0" w:type="auto"/>
            <w:tcBorders>
              <w:top w:val="nil"/>
              <w:left w:val="nil"/>
              <w:bottom w:val="single" w:sz="4" w:space="0" w:color="auto"/>
              <w:right w:val="single" w:sz="4" w:space="0" w:color="auto"/>
            </w:tcBorders>
            <w:shd w:val="clear" w:color="auto" w:fill="auto"/>
            <w:noWrap/>
            <w:vAlign w:val="center"/>
          </w:tcPr>
          <w:p w14:paraId="56C4B725" w14:textId="210CC089"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1.115.428.000</w:t>
            </w:r>
          </w:p>
        </w:tc>
      </w:tr>
      <w:tr w:rsidR="00CA45B6" w:rsidRPr="002259D9" w14:paraId="6BD51870"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113051E0"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5C1A6FD" w14:textId="018AF31D"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609.456.644</w:t>
            </w:r>
          </w:p>
        </w:tc>
        <w:tc>
          <w:tcPr>
            <w:tcW w:w="0" w:type="auto"/>
            <w:tcBorders>
              <w:top w:val="nil"/>
              <w:left w:val="nil"/>
              <w:bottom w:val="single" w:sz="4" w:space="0" w:color="auto"/>
              <w:right w:val="single" w:sz="4" w:space="0" w:color="auto"/>
            </w:tcBorders>
            <w:shd w:val="clear" w:color="auto" w:fill="auto"/>
            <w:noWrap/>
            <w:vAlign w:val="center"/>
          </w:tcPr>
          <w:p w14:paraId="712FFC9E" w14:textId="121EA4E6"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528.741.000</w:t>
            </w:r>
          </w:p>
        </w:tc>
        <w:tc>
          <w:tcPr>
            <w:tcW w:w="0" w:type="auto"/>
            <w:tcBorders>
              <w:top w:val="nil"/>
              <w:left w:val="nil"/>
              <w:bottom w:val="single" w:sz="4" w:space="0" w:color="auto"/>
              <w:right w:val="single" w:sz="4" w:space="0" w:color="auto"/>
            </w:tcBorders>
            <w:shd w:val="clear" w:color="auto" w:fill="auto"/>
            <w:noWrap/>
            <w:vAlign w:val="center"/>
          </w:tcPr>
          <w:p w14:paraId="58FB28E4" w14:textId="33AF254F"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372.702.000</w:t>
            </w:r>
          </w:p>
        </w:tc>
        <w:tc>
          <w:tcPr>
            <w:tcW w:w="0" w:type="auto"/>
            <w:tcBorders>
              <w:top w:val="nil"/>
              <w:left w:val="nil"/>
              <w:bottom w:val="single" w:sz="4" w:space="0" w:color="auto"/>
              <w:right w:val="single" w:sz="4" w:space="0" w:color="auto"/>
            </w:tcBorders>
            <w:shd w:val="clear" w:color="auto" w:fill="auto"/>
            <w:noWrap/>
            <w:vAlign w:val="center"/>
          </w:tcPr>
          <w:p w14:paraId="365C9775" w14:textId="184E3C7E"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1.626.336.000</w:t>
            </w:r>
          </w:p>
        </w:tc>
        <w:tc>
          <w:tcPr>
            <w:tcW w:w="0" w:type="auto"/>
            <w:tcBorders>
              <w:top w:val="nil"/>
              <w:left w:val="nil"/>
              <w:bottom w:val="single" w:sz="4" w:space="0" w:color="auto"/>
              <w:right w:val="single" w:sz="4" w:space="0" w:color="auto"/>
            </w:tcBorders>
            <w:shd w:val="clear" w:color="auto" w:fill="auto"/>
            <w:noWrap/>
            <w:vAlign w:val="center"/>
          </w:tcPr>
          <w:p w14:paraId="192B3B2C" w14:textId="4329F19E"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203.292.000</w:t>
            </w:r>
          </w:p>
        </w:tc>
        <w:tc>
          <w:tcPr>
            <w:tcW w:w="0" w:type="auto"/>
            <w:tcBorders>
              <w:top w:val="nil"/>
              <w:left w:val="nil"/>
              <w:bottom w:val="single" w:sz="4" w:space="0" w:color="auto"/>
              <w:right w:val="single" w:sz="4" w:space="0" w:color="auto"/>
            </w:tcBorders>
            <w:shd w:val="clear" w:color="auto" w:fill="auto"/>
            <w:noWrap/>
            <w:vAlign w:val="center"/>
          </w:tcPr>
          <w:p w14:paraId="2A89CE65" w14:textId="65F551AF"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508.230.000</w:t>
            </w:r>
          </w:p>
        </w:tc>
        <w:tc>
          <w:tcPr>
            <w:tcW w:w="0" w:type="auto"/>
            <w:tcBorders>
              <w:top w:val="nil"/>
              <w:left w:val="nil"/>
              <w:bottom w:val="single" w:sz="4" w:space="0" w:color="auto"/>
              <w:right w:val="single" w:sz="4" w:space="0" w:color="auto"/>
            </w:tcBorders>
            <w:shd w:val="clear" w:color="auto" w:fill="auto"/>
            <w:noWrap/>
            <w:vAlign w:val="center"/>
          </w:tcPr>
          <w:p w14:paraId="03BFB024" w14:textId="5FCF0590"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508.230.000</w:t>
            </w:r>
          </w:p>
        </w:tc>
      </w:tr>
      <w:tr w:rsidR="00CA45B6" w:rsidRPr="002259D9" w14:paraId="6F3CEA88"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691765D7"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1AACB56" w14:textId="6306F495"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2.930.131.134</w:t>
            </w:r>
          </w:p>
        </w:tc>
        <w:tc>
          <w:tcPr>
            <w:tcW w:w="0" w:type="auto"/>
            <w:tcBorders>
              <w:top w:val="nil"/>
              <w:left w:val="nil"/>
              <w:bottom w:val="single" w:sz="4" w:space="0" w:color="auto"/>
              <w:right w:val="single" w:sz="4" w:space="0" w:color="auto"/>
            </w:tcBorders>
            <w:shd w:val="clear" w:color="auto" w:fill="auto"/>
            <w:noWrap/>
            <w:vAlign w:val="center"/>
          </w:tcPr>
          <w:p w14:paraId="5047811A" w14:textId="1FBF3791"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1.426.349.000</w:t>
            </w:r>
          </w:p>
        </w:tc>
        <w:tc>
          <w:tcPr>
            <w:tcW w:w="0" w:type="auto"/>
            <w:tcBorders>
              <w:top w:val="nil"/>
              <w:left w:val="nil"/>
              <w:bottom w:val="single" w:sz="4" w:space="0" w:color="auto"/>
              <w:right w:val="single" w:sz="4" w:space="0" w:color="auto"/>
            </w:tcBorders>
            <w:shd w:val="clear" w:color="auto" w:fill="auto"/>
            <w:noWrap/>
            <w:vAlign w:val="center"/>
          </w:tcPr>
          <w:p w14:paraId="62309AA2" w14:textId="38ADC06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30.105.000</w:t>
            </w:r>
          </w:p>
        </w:tc>
        <w:tc>
          <w:tcPr>
            <w:tcW w:w="0" w:type="auto"/>
            <w:tcBorders>
              <w:top w:val="nil"/>
              <w:left w:val="nil"/>
              <w:bottom w:val="single" w:sz="4" w:space="0" w:color="auto"/>
              <w:right w:val="single" w:sz="4" w:space="0" w:color="auto"/>
            </w:tcBorders>
            <w:shd w:val="clear" w:color="auto" w:fill="auto"/>
            <w:noWrap/>
            <w:vAlign w:val="center"/>
          </w:tcPr>
          <w:p w14:paraId="7DA93108" w14:textId="3C4E3A28"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3.340.349.749</w:t>
            </w:r>
          </w:p>
        </w:tc>
        <w:tc>
          <w:tcPr>
            <w:tcW w:w="0" w:type="auto"/>
            <w:tcBorders>
              <w:top w:val="nil"/>
              <w:left w:val="nil"/>
              <w:bottom w:val="single" w:sz="4" w:space="0" w:color="auto"/>
              <w:right w:val="single" w:sz="4" w:space="0" w:color="auto"/>
            </w:tcBorders>
            <w:shd w:val="clear" w:color="auto" w:fill="auto"/>
            <w:noWrap/>
            <w:vAlign w:val="center"/>
          </w:tcPr>
          <w:p w14:paraId="5ECB0D98" w14:textId="1B69A565"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2.012.731.618</w:t>
            </w:r>
          </w:p>
        </w:tc>
        <w:tc>
          <w:tcPr>
            <w:tcW w:w="0" w:type="auto"/>
            <w:tcBorders>
              <w:top w:val="nil"/>
              <w:left w:val="nil"/>
              <w:bottom w:val="single" w:sz="4" w:space="0" w:color="auto"/>
              <w:right w:val="single" w:sz="4" w:space="0" w:color="auto"/>
            </w:tcBorders>
            <w:shd w:val="clear" w:color="auto" w:fill="auto"/>
            <w:noWrap/>
            <w:vAlign w:val="center"/>
          </w:tcPr>
          <w:p w14:paraId="2ED56CA4" w14:textId="3932A63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3.649.796.008</w:t>
            </w:r>
          </w:p>
        </w:tc>
        <w:tc>
          <w:tcPr>
            <w:tcW w:w="0" w:type="auto"/>
            <w:tcBorders>
              <w:top w:val="nil"/>
              <w:left w:val="nil"/>
              <w:bottom w:val="single" w:sz="4" w:space="0" w:color="auto"/>
              <w:right w:val="single" w:sz="4" w:space="0" w:color="auto"/>
            </w:tcBorders>
            <w:shd w:val="clear" w:color="auto" w:fill="auto"/>
            <w:noWrap/>
            <w:vAlign w:val="center"/>
          </w:tcPr>
          <w:p w14:paraId="4CB5A30C" w14:textId="2786D64D"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r>
      <w:tr w:rsidR="00CA45B6" w:rsidRPr="002259D9" w14:paraId="4F8D50D9"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EFE682F"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0EF8174" w14:textId="4BD8F0CF"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3.218.875.715</w:t>
            </w:r>
          </w:p>
        </w:tc>
        <w:tc>
          <w:tcPr>
            <w:tcW w:w="0" w:type="auto"/>
            <w:tcBorders>
              <w:top w:val="nil"/>
              <w:left w:val="nil"/>
              <w:bottom w:val="single" w:sz="4" w:space="0" w:color="auto"/>
              <w:right w:val="single" w:sz="4" w:space="0" w:color="auto"/>
            </w:tcBorders>
            <w:shd w:val="clear" w:color="auto" w:fill="auto"/>
            <w:noWrap/>
            <w:vAlign w:val="center"/>
          </w:tcPr>
          <w:p w14:paraId="11BA2A05" w14:textId="45742F18"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DEAB691" w14:textId="4315B80D"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12.979.281.110</w:t>
            </w:r>
          </w:p>
        </w:tc>
        <w:tc>
          <w:tcPr>
            <w:tcW w:w="0" w:type="auto"/>
            <w:tcBorders>
              <w:top w:val="nil"/>
              <w:left w:val="nil"/>
              <w:bottom w:val="single" w:sz="4" w:space="0" w:color="auto"/>
              <w:right w:val="single" w:sz="4" w:space="0" w:color="auto"/>
            </w:tcBorders>
            <w:shd w:val="clear" w:color="auto" w:fill="auto"/>
            <w:noWrap/>
            <w:vAlign w:val="center"/>
          </w:tcPr>
          <w:p w14:paraId="206AADB9" w14:textId="1C4315EC"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17.113.694.867</w:t>
            </w:r>
          </w:p>
        </w:tc>
        <w:tc>
          <w:tcPr>
            <w:tcW w:w="0" w:type="auto"/>
            <w:tcBorders>
              <w:top w:val="nil"/>
              <w:left w:val="nil"/>
              <w:bottom w:val="single" w:sz="4" w:space="0" w:color="auto"/>
              <w:right w:val="single" w:sz="4" w:space="0" w:color="auto"/>
            </w:tcBorders>
            <w:shd w:val="clear" w:color="auto" w:fill="auto"/>
            <w:noWrap/>
            <w:vAlign w:val="center"/>
          </w:tcPr>
          <w:p w14:paraId="37974BE7" w14:textId="0157469F"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364.884.000</w:t>
            </w:r>
          </w:p>
        </w:tc>
        <w:tc>
          <w:tcPr>
            <w:tcW w:w="0" w:type="auto"/>
            <w:tcBorders>
              <w:top w:val="nil"/>
              <w:left w:val="nil"/>
              <w:bottom w:val="single" w:sz="4" w:space="0" w:color="auto"/>
              <w:right w:val="single" w:sz="4" w:space="0" w:color="auto"/>
            </w:tcBorders>
            <w:shd w:val="clear" w:color="auto" w:fill="auto"/>
            <w:noWrap/>
            <w:vAlign w:val="center"/>
          </w:tcPr>
          <w:p w14:paraId="4247B183" w14:textId="167F9A88"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19.554.481.657</w:t>
            </w:r>
          </w:p>
        </w:tc>
        <w:tc>
          <w:tcPr>
            <w:tcW w:w="0" w:type="auto"/>
            <w:tcBorders>
              <w:top w:val="nil"/>
              <w:left w:val="nil"/>
              <w:bottom w:val="single" w:sz="4" w:space="0" w:color="auto"/>
              <w:right w:val="single" w:sz="4" w:space="0" w:color="auto"/>
            </w:tcBorders>
            <w:shd w:val="clear" w:color="auto" w:fill="auto"/>
            <w:noWrap/>
            <w:vAlign w:val="center"/>
          </w:tcPr>
          <w:p w14:paraId="5371CB33" w14:textId="23AF71FB"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r>
      <w:tr w:rsidR="00CA45B6" w:rsidRPr="002259D9" w14:paraId="605F92DF"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B636F31"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0ADAD41" w14:textId="4E5A4F7D"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DC533C" w14:textId="48E2A5AC"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1D640" w14:textId="5A9AC65C"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6352A98" w14:textId="0CC2E552"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192.859.520</w:t>
            </w:r>
          </w:p>
        </w:tc>
        <w:tc>
          <w:tcPr>
            <w:tcW w:w="0" w:type="auto"/>
            <w:tcBorders>
              <w:top w:val="nil"/>
              <w:left w:val="nil"/>
              <w:bottom w:val="single" w:sz="4" w:space="0" w:color="auto"/>
              <w:right w:val="single" w:sz="4" w:space="0" w:color="auto"/>
            </w:tcBorders>
            <w:shd w:val="clear" w:color="auto" w:fill="auto"/>
            <w:noWrap/>
            <w:vAlign w:val="center"/>
          </w:tcPr>
          <w:p w14:paraId="00AFDECB" w14:textId="6DC9A19C"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02AF7D" w14:textId="0C4A66B2"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1352E2" w14:textId="7C640340"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r>
      <w:tr w:rsidR="00CA45B6" w:rsidRPr="002259D9" w14:paraId="4D0D62CB"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4D926EFF"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5B8FB64" w14:textId="08A2FF1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490DB22" w14:textId="44CB4C81"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4337CD8" w14:textId="09AC80FB"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6494DFA" w14:textId="6A4B91E3"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5412BB0" w14:textId="62E18E0D"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035DDCD" w14:textId="408A540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D8AB34C" w14:textId="6399445B"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0</w:t>
            </w:r>
          </w:p>
        </w:tc>
      </w:tr>
      <w:tr w:rsidR="00CA45B6" w:rsidRPr="002259D9" w14:paraId="4E74D592" w14:textId="77777777" w:rsidTr="00E03449">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1593ED13" w14:textId="77777777" w:rsidR="00CA45B6" w:rsidRPr="002259D9" w:rsidRDefault="00CA45B6" w:rsidP="00CA45B6">
            <w:pPr>
              <w:spacing w:before="0" w:after="0"/>
              <w:jc w:val="center"/>
              <w:rPr>
                <w:rFonts w:cs="Arial"/>
                <w:i/>
                <w:iCs/>
                <w:sz w:val="14"/>
                <w:szCs w:val="14"/>
                <w:lang w:val="es-CO" w:eastAsia="es-CO"/>
              </w:rPr>
            </w:pPr>
            <w:r w:rsidRPr="002259D9">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6FAB7E2" w14:textId="79D1CCF0"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1.145.919.027</w:t>
            </w:r>
          </w:p>
        </w:tc>
        <w:tc>
          <w:tcPr>
            <w:tcW w:w="0" w:type="auto"/>
            <w:tcBorders>
              <w:top w:val="nil"/>
              <w:left w:val="nil"/>
              <w:bottom w:val="single" w:sz="4" w:space="0" w:color="auto"/>
              <w:right w:val="single" w:sz="4" w:space="0" w:color="auto"/>
            </w:tcBorders>
            <w:shd w:val="clear" w:color="auto" w:fill="auto"/>
            <w:noWrap/>
            <w:vAlign w:val="center"/>
          </w:tcPr>
          <w:p w14:paraId="3B6D4BF8" w14:textId="7CA5A35A"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1.570.650.529</w:t>
            </w:r>
          </w:p>
        </w:tc>
        <w:tc>
          <w:tcPr>
            <w:tcW w:w="0" w:type="auto"/>
            <w:tcBorders>
              <w:top w:val="nil"/>
              <w:left w:val="nil"/>
              <w:bottom w:val="single" w:sz="4" w:space="0" w:color="auto"/>
              <w:right w:val="single" w:sz="4" w:space="0" w:color="auto"/>
            </w:tcBorders>
            <w:shd w:val="clear" w:color="auto" w:fill="auto"/>
            <w:noWrap/>
            <w:vAlign w:val="center"/>
          </w:tcPr>
          <w:p w14:paraId="6B082E07" w14:textId="26190196"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7.033.015.098</w:t>
            </w:r>
          </w:p>
        </w:tc>
        <w:tc>
          <w:tcPr>
            <w:tcW w:w="0" w:type="auto"/>
            <w:tcBorders>
              <w:top w:val="nil"/>
              <w:left w:val="nil"/>
              <w:bottom w:val="single" w:sz="4" w:space="0" w:color="auto"/>
              <w:right w:val="single" w:sz="4" w:space="0" w:color="auto"/>
            </w:tcBorders>
            <w:shd w:val="clear" w:color="auto" w:fill="auto"/>
            <w:noWrap/>
            <w:vAlign w:val="center"/>
          </w:tcPr>
          <w:p w14:paraId="33DAA094" w14:textId="529AE900"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2.520.785.074</w:t>
            </w:r>
          </w:p>
        </w:tc>
        <w:tc>
          <w:tcPr>
            <w:tcW w:w="0" w:type="auto"/>
            <w:tcBorders>
              <w:top w:val="nil"/>
              <w:left w:val="nil"/>
              <w:bottom w:val="single" w:sz="4" w:space="0" w:color="auto"/>
              <w:right w:val="single" w:sz="4" w:space="0" w:color="auto"/>
            </w:tcBorders>
            <w:shd w:val="clear" w:color="auto" w:fill="auto"/>
            <w:noWrap/>
            <w:vAlign w:val="center"/>
          </w:tcPr>
          <w:p w14:paraId="654F261B" w14:textId="689F852C"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5.862.401.893</w:t>
            </w:r>
          </w:p>
        </w:tc>
        <w:tc>
          <w:tcPr>
            <w:tcW w:w="0" w:type="auto"/>
            <w:tcBorders>
              <w:top w:val="nil"/>
              <w:left w:val="nil"/>
              <w:bottom w:val="single" w:sz="4" w:space="0" w:color="auto"/>
              <w:right w:val="single" w:sz="4" w:space="0" w:color="auto"/>
            </w:tcBorders>
            <w:shd w:val="clear" w:color="auto" w:fill="auto"/>
            <w:noWrap/>
            <w:vAlign w:val="center"/>
          </w:tcPr>
          <w:p w14:paraId="2875B992" w14:textId="7A7B5E6C"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7.839.680.500</w:t>
            </w:r>
          </w:p>
        </w:tc>
        <w:tc>
          <w:tcPr>
            <w:tcW w:w="0" w:type="auto"/>
            <w:tcBorders>
              <w:top w:val="nil"/>
              <w:left w:val="nil"/>
              <w:bottom w:val="single" w:sz="4" w:space="0" w:color="auto"/>
              <w:right w:val="single" w:sz="4" w:space="0" w:color="auto"/>
            </w:tcBorders>
            <w:shd w:val="clear" w:color="auto" w:fill="auto"/>
            <w:noWrap/>
            <w:vAlign w:val="center"/>
          </w:tcPr>
          <w:p w14:paraId="475CCEC2" w14:textId="2B8FB474" w:rsidR="00CA45B6" w:rsidRPr="002259D9" w:rsidRDefault="00CA45B6" w:rsidP="00524DC3">
            <w:pPr>
              <w:spacing w:before="0" w:after="0"/>
              <w:jc w:val="right"/>
              <w:rPr>
                <w:rFonts w:cs="Arial"/>
                <w:i/>
                <w:iCs/>
                <w:sz w:val="14"/>
                <w:szCs w:val="14"/>
                <w:lang w:val="es-CO" w:eastAsia="es-CO"/>
              </w:rPr>
            </w:pPr>
            <w:r w:rsidRPr="002259D9">
              <w:rPr>
                <w:rFonts w:cs="Arial"/>
                <w:i/>
                <w:iCs/>
                <w:sz w:val="14"/>
                <w:szCs w:val="14"/>
              </w:rPr>
              <w:t>2.279.126.250</w:t>
            </w:r>
          </w:p>
        </w:tc>
      </w:tr>
    </w:tbl>
    <w:p w14:paraId="73322DDC" w14:textId="77777777" w:rsidR="00691037" w:rsidRPr="002259D9" w:rsidRDefault="00691037" w:rsidP="00691037">
      <w:pPr>
        <w:pStyle w:val="Descripcin"/>
        <w:spacing w:before="120" w:after="120"/>
        <w:rPr>
          <w:i/>
          <w:iCs/>
          <w:sz w:val="20"/>
          <w:szCs w:val="18"/>
        </w:rPr>
      </w:pPr>
      <w:r w:rsidRPr="002259D9">
        <w:rPr>
          <w:i/>
          <w:iCs/>
          <w:sz w:val="20"/>
          <w:szCs w:val="18"/>
        </w:rPr>
        <w:t xml:space="preserve">Tabla 3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885"/>
        <w:gridCol w:w="1135"/>
        <w:gridCol w:w="1221"/>
        <w:gridCol w:w="1221"/>
        <w:gridCol w:w="1221"/>
        <w:gridCol w:w="1221"/>
        <w:gridCol w:w="1221"/>
        <w:gridCol w:w="1221"/>
      </w:tblGrid>
      <w:tr w:rsidR="00691037" w:rsidRPr="002259D9" w14:paraId="16BD957D" w14:textId="77777777" w:rsidTr="001D0C52">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395F"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A3D371"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F37F66"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D6B54BA"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9E5A42"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F96506"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A58939"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8E14B7" w14:textId="77777777" w:rsidR="00691037" w:rsidRPr="002259D9" w:rsidRDefault="00691037" w:rsidP="00B201E6">
            <w:pPr>
              <w:spacing w:before="0" w:after="0"/>
              <w:jc w:val="center"/>
              <w:rPr>
                <w:rFonts w:cs="Arial"/>
                <w:b/>
                <w:sz w:val="14"/>
                <w:szCs w:val="14"/>
                <w:lang w:eastAsia="es-CO"/>
              </w:rPr>
            </w:pPr>
            <w:r w:rsidRPr="002259D9">
              <w:rPr>
                <w:rFonts w:cs="Arial"/>
                <w:b/>
                <w:sz w:val="14"/>
                <w:szCs w:val="14"/>
                <w:lang w:eastAsia="es-CO"/>
              </w:rPr>
              <w:t>INVAj,</w:t>
            </w:r>
            <w:proofErr w:type="gramStart"/>
            <w:r w:rsidRPr="002259D9">
              <w:rPr>
                <w:rFonts w:cs="Arial"/>
                <w:b/>
                <w:sz w:val="14"/>
                <w:szCs w:val="14"/>
                <w:lang w:eastAsia="es-CO"/>
              </w:rPr>
              <w:t>3,l</w:t>
            </w:r>
            <w:proofErr w:type="gramEnd"/>
            <w:r w:rsidRPr="002259D9">
              <w:rPr>
                <w:rFonts w:cs="Arial"/>
                <w:b/>
                <w:sz w:val="14"/>
                <w:szCs w:val="14"/>
                <w:lang w:eastAsia="es-CO"/>
              </w:rPr>
              <w:t>,7</w:t>
            </w:r>
          </w:p>
        </w:tc>
      </w:tr>
      <w:tr w:rsidR="00CA45B6" w:rsidRPr="002259D9" w14:paraId="7C002DF9"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21C8A32"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BEE52F8" w14:textId="68BA9E37"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2.951.903.665</w:t>
            </w:r>
          </w:p>
        </w:tc>
        <w:tc>
          <w:tcPr>
            <w:tcW w:w="0" w:type="auto"/>
            <w:tcBorders>
              <w:top w:val="nil"/>
              <w:left w:val="nil"/>
              <w:bottom w:val="single" w:sz="4" w:space="0" w:color="auto"/>
              <w:right w:val="single" w:sz="4" w:space="0" w:color="auto"/>
            </w:tcBorders>
            <w:shd w:val="clear" w:color="auto" w:fill="auto"/>
            <w:noWrap/>
            <w:vAlign w:val="center"/>
          </w:tcPr>
          <w:p w14:paraId="20F1AD6B" w14:textId="79E10B2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2.166.367.500</w:t>
            </w:r>
          </w:p>
        </w:tc>
        <w:tc>
          <w:tcPr>
            <w:tcW w:w="0" w:type="auto"/>
            <w:tcBorders>
              <w:top w:val="nil"/>
              <w:left w:val="nil"/>
              <w:bottom w:val="single" w:sz="4" w:space="0" w:color="auto"/>
              <w:right w:val="single" w:sz="4" w:space="0" w:color="auto"/>
            </w:tcBorders>
            <w:shd w:val="clear" w:color="auto" w:fill="auto"/>
            <w:noWrap/>
            <w:vAlign w:val="center"/>
          </w:tcPr>
          <w:p w14:paraId="7296AAA0" w14:textId="20063F3B"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5.095.003.500</w:t>
            </w:r>
          </w:p>
        </w:tc>
        <w:tc>
          <w:tcPr>
            <w:tcW w:w="0" w:type="auto"/>
            <w:tcBorders>
              <w:top w:val="nil"/>
              <w:left w:val="nil"/>
              <w:bottom w:val="single" w:sz="4" w:space="0" w:color="auto"/>
              <w:right w:val="single" w:sz="4" w:space="0" w:color="auto"/>
            </w:tcBorders>
            <w:shd w:val="clear" w:color="auto" w:fill="auto"/>
            <w:noWrap/>
            <w:vAlign w:val="center"/>
          </w:tcPr>
          <w:p w14:paraId="191CA447" w14:textId="6A05917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7.452.612.000</w:t>
            </w:r>
          </w:p>
        </w:tc>
        <w:tc>
          <w:tcPr>
            <w:tcW w:w="0" w:type="auto"/>
            <w:tcBorders>
              <w:top w:val="nil"/>
              <w:left w:val="nil"/>
              <w:bottom w:val="single" w:sz="4" w:space="0" w:color="auto"/>
              <w:right w:val="single" w:sz="4" w:space="0" w:color="auto"/>
            </w:tcBorders>
            <w:shd w:val="clear" w:color="auto" w:fill="auto"/>
            <w:noWrap/>
            <w:vAlign w:val="center"/>
          </w:tcPr>
          <w:p w14:paraId="7AD6FDD9" w14:textId="362F3151"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2.420.457.000</w:t>
            </w:r>
          </w:p>
        </w:tc>
        <w:tc>
          <w:tcPr>
            <w:tcW w:w="0" w:type="auto"/>
            <w:tcBorders>
              <w:top w:val="nil"/>
              <w:left w:val="nil"/>
              <w:bottom w:val="single" w:sz="4" w:space="0" w:color="auto"/>
              <w:right w:val="single" w:sz="4" w:space="0" w:color="auto"/>
            </w:tcBorders>
            <w:shd w:val="clear" w:color="auto" w:fill="auto"/>
            <w:noWrap/>
            <w:vAlign w:val="center"/>
          </w:tcPr>
          <w:p w14:paraId="24D567AB" w14:textId="1B2416AB"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3.206.326.500</w:t>
            </w:r>
          </w:p>
        </w:tc>
        <w:tc>
          <w:tcPr>
            <w:tcW w:w="0" w:type="auto"/>
            <w:tcBorders>
              <w:top w:val="nil"/>
              <w:left w:val="nil"/>
              <w:bottom w:val="single" w:sz="4" w:space="0" w:color="auto"/>
              <w:right w:val="single" w:sz="4" w:space="0" w:color="auto"/>
            </w:tcBorders>
            <w:shd w:val="clear" w:color="auto" w:fill="auto"/>
            <w:noWrap/>
            <w:vAlign w:val="center"/>
          </w:tcPr>
          <w:p w14:paraId="29F6CC16" w14:textId="096A846D"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849.167.250</w:t>
            </w:r>
          </w:p>
        </w:tc>
      </w:tr>
      <w:tr w:rsidR="00CA45B6" w:rsidRPr="002259D9" w14:paraId="21A73B0E"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DF09C53"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2A9E12A" w14:textId="4777DA0A"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A2FC6E6" w14:textId="51A85AD5"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EE39B4" w14:textId="2E7F2246"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287832" w14:textId="23EC06D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E97ECC9" w14:textId="6CCE3F2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5638D98" w14:textId="17443E5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73BF15D" w14:textId="051E431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r>
      <w:tr w:rsidR="00CA45B6" w:rsidRPr="002259D9" w14:paraId="3D2CB1DA"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7913964"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95378BD" w14:textId="4DC243FB"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4.216.259.000</w:t>
            </w:r>
          </w:p>
        </w:tc>
        <w:tc>
          <w:tcPr>
            <w:tcW w:w="0" w:type="auto"/>
            <w:tcBorders>
              <w:top w:val="nil"/>
              <w:left w:val="nil"/>
              <w:bottom w:val="single" w:sz="4" w:space="0" w:color="auto"/>
              <w:right w:val="single" w:sz="4" w:space="0" w:color="auto"/>
            </w:tcBorders>
            <w:shd w:val="clear" w:color="auto" w:fill="auto"/>
            <w:noWrap/>
            <w:vAlign w:val="center"/>
          </w:tcPr>
          <w:p w14:paraId="624BA21B" w14:textId="7254F377"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3.213.999.300</w:t>
            </w:r>
          </w:p>
        </w:tc>
        <w:tc>
          <w:tcPr>
            <w:tcW w:w="0" w:type="auto"/>
            <w:tcBorders>
              <w:top w:val="nil"/>
              <w:left w:val="nil"/>
              <w:bottom w:val="single" w:sz="4" w:space="0" w:color="auto"/>
              <w:right w:val="single" w:sz="4" w:space="0" w:color="auto"/>
            </w:tcBorders>
            <w:shd w:val="clear" w:color="auto" w:fill="auto"/>
            <w:noWrap/>
            <w:vAlign w:val="center"/>
          </w:tcPr>
          <w:p w14:paraId="0A96CF89" w14:textId="5275DB28"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5.796.863.199</w:t>
            </w:r>
          </w:p>
        </w:tc>
        <w:tc>
          <w:tcPr>
            <w:tcW w:w="0" w:type="auto"/>
            <w:tcBorders>
              <w:top w:val="nil"/>
              <w:left w:val="nil"/>
              <w:bottom w:val="single" w:sz="4" w:space="0" w:color="auto"/>
              <w:right w:val="single" w:sz="4" w:space="0" w:color="auto"/>
            </w:tcBorders>
            <w:shd w:val="clear" w:color="auto" w:fill="auto"/>
            <w:noWrap/>
            <w:vAlign w:val="center"/>
          </w:tcPr>
          <w:p w14:paraId="56A4798F" w14:textId="63BCD35D"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4.948.804.204</w:t>
            </w:r>
          </w:p>
        </w:tc>
        <w:tc>
          <w:tcPr>
            <w:tcW w:w="0" w:type="auto"/>
            <w:tcBorders>
              <w:top w:val="nil"/>
              <w:left w:val="nil"/>
              <w:bottom w:val="single" w:sz="4" w:space="0" w:color="auto"/>
              <w:right w:val="single" w:sz="4" w:space="0" w:color="auto"/>
            </w:tcBorders>
            <w:shd w:val="clear" w:color="auto" w:fill="auto"/>
            <w:noWrap/>
            <w:vAlign w:val="center"/>
          </w:tcPr>
          <w:p w14:paraId="7ED84507" w14:textId="12A19195"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4.390.126.060</w:t>
            </w:r>
          </w:p>
        </w:tc>
        <w:tc>
          <w:tcPr>
            <w:tcW w:w="0" w:type="auto"/>
            <w:tcBorders>
              <w:top w:val="nil"/>
              <w:left w:val="nil"/>
              <w:bottom w:val="single" w:sz="4" w:space="0" w:color="auto"/>
              <w:right w:val="single" w:sz="4" w:space="0" w:color="auto"/>
            </w:tcBorders>
            <w:shd w:val="clear" w:color="auto" w:fill="auto"/>
            <w:noWrap/>
            <w:vAlign w:val="center"/>
          </w:tcPr>
          <w:p w14:paraId="49DD14D4" w14:textId="44B22EB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1.312.522.586</w:t>
            </w:r>
          </w:p>
        </w:tc>
        <w:tc>
          <w:tcPr>
            <w:tcW w:w="0" w:type="auto"/>
            <w:tcBorders>
              <w:top w:val="nil"/>
              <w:left w:val="nil"/>
              <w:bottom w:val="single" w:sz="4" w:space="0" w:color="auto"/>
              <w:right w:val="single" w:sz="4" w:space="0" w:color="auto"/>
            </w:tcBorders>
            <w:shd w:val="clear" w:color="auto" w:fill="auto"/>
            <w:noWrap/>
            <w:vAlign w:val="center"/>
          </w:tcPr>
          <w:p w14:paraId="4174E973" w14:textId="6B695EB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1.684.480.000</w:t>
            </w:r>
          </w:p>
        </w:tc>
      </w:tr>
      <w:tr w:rsidR="00CA45B6" w:rsidRPr="002259D9" w14:paraId="64E5207A"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6AFC033"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6D53B8" w14:textId="57FA3E88"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1.779.251.000</w:t>
            </w:r>
          </w:p>
        </w:tc>
        <w:tc>
          <w:tcPr>
            <w:tcW w:w="0" w:type="auto"/>
            <w:tcBorders>
              <w:top w:val="nil"/>
              <w:left w:val="nil"/>
              <w:bottom w:val="single" w:sz="4" w:space="0" w:color="auto"/>
              <w:right w:val="single" w:sz="4" w:space="0" w:color="auto"/>
            </w:tcBorders>
            <w:shd w:val="clear" w:color="auto" w:fill="auto"/>
            <w:noWrap/>
            <w:vAlign w:val="center"/>
          </w:tcPr>
          <w:p w14:paraId="3031A8F7" w14:textId="7E10D2A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1.391.232.962</w:t>
            </w:r>
          </w:p>
        </w:tc>
        <w:tc>
          <w:tcPr>
            <w:tcW w:w="0" w:type="auto"/>
            <w:tcBorders>
              <w:top w:val="nil"/>
              <w:left w:val="nil"/>
              <w:bottom w:val="single" w:sz="4" w:space="0" w:color="auto"/>
              <w:right w:val="single" w:sz="4" w:space="0" w:color="auto"/>
            </w:tcBorders>
            <w:shd w:val="clear" w:color="auto" w:fill="auto"/>
            <w:noWrap/>
            <w:vAlign w:val="center"/>
          </w:tcPr>
          <w:p w14:paraId="7C2BCD84" w14:textId="57B8F03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1.948.577.404</w:t>
            </w:r>
          </w:p>
        </w:tc>
        <w:tc>
          <w:tcPr>
            <w:tcW w:w="0" w:type="auto"/>
            <w:tcBorders>
              <w:top w:val="nil"/>
              <w:left w:val="nil"/>
              <w:bottom w:val="single" w:sz="4" w:space="0" w:color="auto"/>
              <w:right w:val="single" w:sz="4" w:space="0" w:color="auto"/>
            </w:tcBorders>
            <w:shd w:val="clear" w:color="auto" w:fill="auto"/>
            <w:noWrap/>
            <w:vAlign w:val="center"/>
          </w:tcPr>
          <w:p w14:paraId="37782D3A" w14:textId="68E0D0DD"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1.668.982.836</w:t>
            </w:r>
          </w:p>
        </w:tc>
        <w:tc>
          <w:tcPr>
            <w:tcW w:w="0" w:type="auto"/>
            <w:tcBorders>
              <w:top w:val="nil"/>
              <w:left w:val="nil"/>
              <w:bottom w:val="single" w:sz="4" w:space="0" w:color="auto"/>
              <w:right w:val="single" w:sz="4" w:space="0" w:color="auto"/>
            </w:tcBorders>
            <w:shd w:val="clear" w:color="auto" w:fill="auto"/>
            <w:noWrap/>
            <w:vAlign w:val="center"/>
          </w:tcPr>
          <w:p w14:paraId="186BCFAE" w14:textId="5065BCC3"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3.297.688.559</w:t>
            </w:r>
          </w:p>
        </w:tc>
        <w:tc>
          <w:tcPr>
            <w:tcW w:w="0" w:type="auto"/>
            <w:tcBorders>
              <w:top w:val="nil"/>
              <w:left w:val="nil"/>
              <w:bottom w:val="single" w:sz="4" w:space="0" w:color="auto"/>
              <w:right w:val="single" w:sz="4" w:space="0" w:color="auto"/>
            </w:tcBorders>
            <w:shd w:val="clear" w:color="auto" w:fill="auto"/>
            <w:noWrap/>
            <w:vAlign w:val="center"/>
          </w:tcPr>
          <w:p w14:paraId="7B0B163B" w14:textId="3732919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1.823.660.000</w:t>
            </w:r>
          </w:p>
        </w:tc>
        <w:tc>
          <w:tcPr>
            <w:tcW w:w="0" w:type="auto"/>
            <w:tcBorders>
              <w:top w:val="nil"/>
              <w:left w:val="nil"/>
              <w:bottom w:val="single" w:sz="4" w:space="0" w:color="auto"/>
              <w:right w:val="single" w:sz="4" w:space="0" w:color="auto"/>
            </w:tcBorders>
            <w:shd w:val="clear" w:color="auto" w:fill="auto"/>
            <w:noWrap/>
            <w:vAlign w:val="center"/>
          </w:tcPr>
          <w:p w14:paraId="7360D555" w14:textId="3033BA75"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594.150.000</w:t>
            </w:r>
          </w:p>
        </w:tc>
      </w:tr>
      <w:tr w:rsidR="00CA45B6" w:rsidRPr="002259D9" w14:paraId="1757F1F2"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451BD93D"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869C8BC" w14:textId="4334CCF5"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177.240.000</w:t>
            </w:r>
          </w:p>
        </w:tc>
        <w:tc>
          <w:tcPr>
            <w:tcW w:w="0" w:type="auto"/>
            <w:tcBorders>
              <w:top w:val="nil"/>
              <w:left w:val="nil"/>
              <w:bottom w:val="single" w:sz="4" w:space="0" w:color="auto"/>
              <w:right w:val="single" w:sz="4" w:space="0" w:color="auto"/>
            </w:tcBorders>
            <w:shd w:val="clear" w:color="auto" w:fill="auto"/>
            <w:noWrap/>
            <w:vAlign w:val="center"/>
          </w:tcPr>
          <w:p w14:paraId="6D46AA63" w14:textId="489383AD"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70.896.000</w:t>
            </w:r>
          </w:p>
        </w:tc>
        <w:tc>
          <w:tcPr>
            <w:tcW w:w="0" w:type="auto"/>
            <w:tcBorders>
              <w:top w:val="nil"/>
              <w:left w:val="nil"/>
              <w:bottom w:val="single" w:sz="4" w:space="0" w:color="auto"/>
              <w:right w:val="single" w:sz="4" w:space="0" w:color="auto"/>
            </w:tcBorders>
            <w:shd w:val="clear" w:color="auto" w:fill="auto"/>
            <w:noWrap/>
            <w:vAlign w:val="center"/>
          </w:tcPr>
          <w:p w14:paraId="4B038CDA" w14:textId="5D4356EA"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141.792.000</w:t>
            </w:r>
          </w:p>
        </w:tc>
        <w:tc>
          <w:tcPr>
            <w:tcW w:w="0" w:type="auto"/>
            <w:tcBorders>
              <w:top w:val="nil"/>
              <w:left w:val="nil"/>
              <w:bottom w:val="single" w:sz="4" w:space="0" w:color="auto"/>
              <w:right w:val="single" w:sz="4" w:space="0" w:color="auto"/>
            </w:tcBorders>
            <w:shd w:val="clear" w:color="auto" w:fill="auto"/>
            <w:noWrap/>
            <w:vAlign w:val="center"/>
          </w:tcPr>
          <w:p w14:paraId="623F6ED2" w14:textId="34A20801"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230.412.000</w:t>
            </w:r>
          </w:p>
        </w:tc>
        <w:tc>
          <w:tcPr>
            <w:tcW w:w="0" w:type="auto"/>
            <w:tcBorders>
              <w:top w:val="nil"/>
              <w:left w:val="nil"/>
              <w:bottom w:val="single" w:sz="4" w:space="0" w:color="auto"/>
              <w:right w:val="single" w:sz="4" w:space="0" w:color="auto"/>
            </w:tcBorders>
            <w:shd w:val="clear" w:color="auto" w:fill="auto"/>
            <w:noWrap/>
            <w:vAlign w:val="center"/>
          </w:tcPr>
          <w:p w14:paraId="368B5025" w14:textId="43E3131F"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329.584.000</w:t>
            </w:r>
          </w:p>
        </w:tc>
        <w:tc>
          <w:tcPr>
            <w:tcW w:w="0" w:type="auto"/>
            <w:tcBorders>
              <w:top w:val="nil"/>
              <w:left w:val="nil"/>
              <w:bottom w:val="single" w:sz="4" w:space="0" w:color="auto"/>
              <w:right w:val="single" w:sz="4" w:space="0" w:color="auto"/>
            </w:tcBorders>
            <w:shd w:val="clear" w:color="auto" w:fill="auto"/>
            <w:noWrap/>
            <w:vAlign w:val="center"/>
          </w:tcPr>
          <w:p w14:paraId="198E7DD3" w14:textId="26A29B9F"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177.240.000</w:t>
            </w:r>
          </w:p>
        </w:tc>
        <w:tc>
          <w:tcPr>
            <w:tcW w:w="0" w:type="auto"/>
            <w:tcBorders>
              <w:top w:val="nil"/>
              <w:left w:val="nil"/>
              <w:bottom w:val="single" w:sz="4" w:space="0" w:color="auto"/>
              <w:right w:val="single" w:sz="4" w:space="0" w:color="auto"/>
            </w:tcBorders>
            <w:shd w:val="clear" w:color="auto" w:fill="auto"/>
            <w:noWrap/>
            <w:vAlign w:val="center"/>
          </w:tcPr>
          <w:p w14:paraId="0A7DCE17" w14:textId="6E6806D3"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r>
      <w:tr w:rsidR="00CA45B6" w:rsidRPr="002259D9" w14:paraId="769E7135"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3E97D20"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71EE8B" w14:textId="0DAD196F"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1.133.455.500</w:t>
            </w:r>
          </w:p>
        </w:tc>
        <w:tc>
          <w:tcPr>
            <w:tcW w:w="0" w:type="auto"/>
            <w:tcBorders>
              <w:top w:val="nil"/>
              <w:left w:val="nil"/>
              <w:bottom w:val="single" w:sz="4" w:space="0" w:color="auto"/>
              <w:right w:val="single" w:sz="4" w:space="0" w:color="auto"/>
            </w:tcBorders>
            <w:shd w:val="clear" w:color="auto" w:fill="auto"/>
            <w:noWrap/>
            <w:vAlign w:val="center"/>
          </w:tcPr>
          <w:p w14:paraId="60D933FE" w14:textId="7E0E74C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804.412.129</w:t>
            </w:r>
          </w:p>
        </w:tc>
        <w:tc>
          <w:tcPr>
            <w:tcW w:w="0" w:type="auto"/>
            <w:tcBorders>
              <w:top w:val="nil"/>
              <w:left w:val="nil"/>
              <w:bottom w:val="single" w:sz="4" w:space="0" w:color="auto"/>
              <w:right w:val="single" w:sz="4" w:space="0" w:color="auto"/>
            </w:tcBorders>
            <w:shd w:val="clear" w:color="auto" w:fill="auto"/>
            <w:noWrap/>
            <w:vAlign w:val="center"/>
          </w:tcPr>
          <w:p w14:paraId="07AC8DE4" w14:textId="2F267C2B"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657.865.316</w:t>
            </w:r>
          </w:p>
        </w:tc>
        <w:tc>
          <w:tcPr>
            <w:tcW w:w="0" w:type="auto"/>
            <w:tcBorders>
              <w:top w:val="nil"/>
              <w:left w:val="nil"/>
              <w:bottom w:val="single" w:sz="4" w:space="0" w:color="auto"/>
              <w:right w:val="single" w:sz="4" w:space="0" w:color="auto"/>
            </w:tcBorders>
            <w:shd w:val="clear" w:color="auto" w:fill="auto"/>
            <w:noWrap/>
            <w:vAlign w:val="center"/>
          </w:tcPr>
          <w:p w14:paraId="01CC058D" w14:textId="41DDB1D7"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1.667.593.187</w:t>
            </w:r>
          </w:p>
        </w:tc>
        <w:tc>
          <w:tcPr>
            <w:tcW w:w="0" w:type="auto"/>
            <w:tcBorders>
              <w:top w:val="nil"/>
              <w:left w:val="nil"/>
              <w:bottom w:val="single" w:sz="4" w:space="0" w:color="auto"/>
              <w:right w:val="single" w:sz="4" w:space="0" w:color="auto"/>
            </w:tcBorders>
            <w:shd w:val="clear" w:color="auto" w:fill="auto"/>
            <w:noWrap/>
            <w:vAlign w:val="center"/>
          </w:tcPr>
          <w:p w14:paraId="0AFD9BA9" w14:textId="1C717FF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2.016.012.190</w:t>
            </w:r>
          </w:p>
        </w:tc>
        <w:tc>
          <w:tcPr>
            <w:tcW w:w="0" w:type="auto"/>
            <w:tcBorders>
              <w:top w:val="nil"/>
              <w:left w:val="nil"/>
              <w:bottom w:val="single" w:sz="4" w:space="0" w:color="auto"/>
              <w:right w:val="single" w:sz="4" w:space="0" w:color="auto"/>
            </w:tcBorders>
            <w:shd w:val="clear" w:color="auto" w:fill="auto"/>
            <w:noWrap/>
            <w:vAlign w:val="center"/>
          </w:tcPr>
          <w:p w14:paraId="3E496708" w14:textId="5E9B7F6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750.681.000</w:t>
            </w:r>
          </w:p>
        </w:tc>
        <w:tc>
          <w:tcPr>
            <w:tcW w:w="0" w:type="auto"/>
            <w:tcBorders>
              <w:top w:val="nil"/>
              <w:left w:val="nil"/>
              <w:bottom w:val="single" w:sz="4" w:space="0" w:color="auto"/>
              <w:right w:val="single" w:sz="4" w:space="0" w:color="auto"/>
            </w:tcBorders>
            <w:shd w:val="clear" w:color="auto" w:fill="auto"/>
            <w:noWrap/>
            <w:vAlign w:val="center"/>
          </w:tcPr>
          <w:p w14:paraId="21027710" w14:textId="29A0B03A"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530.481.000</w:t>
            </w:r>
          </w:p>
        </w:tc>
      </w:tr>
      <w:tr w:rsidR="00CA45B6" w:rsidRPr="002259D9" w14:paraId="0E5E4222"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3769FAA3"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C106C5" w14:textId="42DBADDF"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9.164.689.511</w:t>
            </w:r>
          </w:p>
        </w:tc>
        <w:tc>
          <w:tcPr>
            <w:tcW w:w="0" w:type="auto"/>
            <w:tcBorders>
              <w:top w:val="nil"/>
              <w:left w:val="nil"/>
              <w:bottom w:val="single" w:sz="4" w:space="0" w:color="auto"/>
              <w:right w:val="single" w:sz="4" w:space="0" w:color="auto"/>
            </w:tcBorders>
            <w:shd w:val="clear" w:color="auto" w:fill="auto"/>
            <w:noWrap/>
            <w:vAlign w:val="center"/>
          </w:tcPr>
          <w:p w14:paraId="432D9F50" w14:textId="1A6D38A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51.114.611.645</w:t>
            </w:r>
          </w:p>
        </w:tc>
        <w:tc>
          <w:tcPr>
            <w:tcW w:w="0" w:type="auto"/>
            <w:tcBorders>
              <w:top w:val="nil"/>
              <w:left w:val="nil"/>
              <w:bottom w:val="single" w:sz="4" w:space="0" w:color="auto"/>
              <w:right w:val="single" w:sz="4" w:space="0" w:color="auto"/>
            </w:tcBorders>
            <w:shd w:val="clear" w:color="auto" w:fill="auto"/>
            <w:noWrap/>
            <w:vAlign w:val="center"/>
          </w:tcPr>
          <w:p w14:paraId="4845A1B2" w14:textId="63E8210A"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22.629.769.533</w:t>
            </w:r>
          </w:p>
        </w:tc>
        <w:tc>
          <w:tcPr>
            <w:tcW w:w="0" w:type="auto"/>
            <w:tcBorders>
              <w:top w:val="nil"/>
              <w:left w:val="nil"/>
              <w:bottom w:val="single" w:sz="4" w:space="0" w:color="auto"/>
              <w:right w:val="single" w:sz="4" w:space="0" w:color="auto"/>
            </w:tcBorders>
            <w:shd w:val="clear" w:color="auto" w:fill="auto"/>
            <w:noWrap/>
            <w:vAlign w:val="center"/>
          </w:tcPr>
          <w:p w14:paraId="3258F724" w14:textId="04EA467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25.708.330.253</w:t>
            </w:r>
          </w:p>
        </w:tc>
        <w:tc>
          <w:tcPr>
            <w:tcW w:w="0" w:type="auto"/>
            <w:tcBorders>
              <w:top w:val="nil"/>
              <w:left w:val="nil"/>
              <w:bottom w:val="single" w:sz="4" w:space="0" w:color="auto"/>
              <w:right w:val="single" w:sz="4" w:space="0" w:color="auto"/>
            </w:tcBorders>
            <w:shd w:val="clear" w:color="auto" w:fill="auto"/>
            <w:noWrap/>
            <w:vAlign w:val="center"/>
          </w:tcPr>
          <w:p w14:paraId="1A0DF2E0" w14:textId="617117B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34.736.787.693</w:t>
            </w:r>
          </w:p>
        </w:tc>
        <w:tc>
          <w:tcPr>
            <w:tcW w:w="0" w:type="auto"/>
            <w:tcBorders>
              <w:top w:val="nil"/>
              <w:left w:val="nil"/>
              <w:bottom w:val="single" w:sz="4" w:space="0" w:color="auto"/>
              <w:right w:val="single" w:sz="4" w:space="0" w:color="auto"/>
            </w:tcBorders>
            <w:shd w:val="clear" w:color="auto" w:fill="auto"/>
            <w:noWrap/>
            <w:vAlign w:val="center"/>
          </w:tcPr>
          <w:p w14:paraId="242B4A34" w14:textId="737E29C6"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31.501.588.167</w:t>
            </w:r>
          </w:p>
        </w:tc>
        <w:tc>
          <w:tcPr>
            <w:tcW w:w="0" w:type="auto"/>
            <w:tcBorders>
              <w:top w:val="nil"/>
              <w:left w:val="nil"/>
              <w:bottom w:val="single" w:sz="4" w:space="0" w:color="auto"/>
              <w:right w:val="single" w:sz="4" w:space="0" w:color="auto"/>
            </w:tcBorders>
            <w:shd w:val="clear" w:color="auto" w:fill="auto"/>
            <w:noWrap/>
            <w:vAlign w:val="center"/>
          </w:tcPr>
          <w:p w14:paraId="2BCA63AA" w14:textId="358238B9"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19.067.447.865</w:t>
            </w:r>
          </w:p>
        </w:tc>
      </w:tr>
      <w:tr w:rsidR="00CA45B6" w:rsidRPr="002259D9" w14:paraId="21BC428D"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511BCFDE"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302565C" w14:textId="6DC6966F"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BB7D1AC" w14:textId="0FC92D2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77.835.000</w:t>
            </w:r>
          </w:p>
        </w:tc>
        <w:tc>
          <w:tcPr>
            <w:tcW w:w="0" w:type="auto"/>
            <w:tcBorders>
              <w:top w:val="nil"/>
              <w:left w:val="nil"/>
              <w:bottom w:val="single" w:sz="4" w:space="0" w:color="auto"/>
              <w:right w:val="single" w:sz="4" w:space="0" w:color="auto"/>
            </w:tcBorders>
            <w:shd w:val="clear" w:color="auto" w:fill="auto"/>
            <w:noWrap/>
            <w:vAlign w:val="center"/>
          </w:tcPr>
          <w:p w14:paraId="55F3B3E9" w14:textId="57AA9336"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68.292.723</w:t>
            </w:r>
          </w:p>
        </w:tc>
        <w:tc>
          <w:tcPr>
            <w:tcW w:w="0" w:type="auto"/>
            <w:tcBorders>
              <w:top w:val="nil"/>
              <w:left w:val="nil"/>
              <w:bottom w:val="single" w:sz="4" w:space="0" w:color="auto"/>
              <w:right w:val="single" w:sz="4" w:space="0" w:color="auto"/>
            </w:tcBorders>
            <w:shd w:val="clear" w:color="auto" w:fill="auto"/>
            <w:noWrap/>
            <w:vAlign w:val="center"/>
          </w:tcPr>
          <w:p w14:paraId="0149D860" w14:textId="0135ECAD"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229.345.435</w:t>
            </w:r>
          </w:p>
        </w:tc>
        <w:tc>
          <w:tcPr>
            <w:tcW w:w="0" w:type="auto"/>
            <w:tcBorders>
              <w:top w:val="nil"/>
              <w:left w:val="nil"/>
              <w:bottom w:val="single" w:sz="4" w:space="0" w:color="auto"/>
              <w:right w:val="single" w:sz="4" w:space="0" w:color="auto"/>
            </w:tcBorders>
            <w:shd w:val="clear" w:color="auto" w:fill="auto"/>
            <w:noWrap/>
            <w:vAlign w:val="center"/>
          </w:tcPr>
          <w:p w14:paraId="08FE8F7A" w14:textId="098238B1"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1.691.326.227</w:t>
            </w:r>
          </w:p>
        </w:tc>
        <w:tc>
          <w:tcPr>
            <w:tcW w:w="0" w:type="auto"/>
            <w:tcBorders>
              <w:top w:val="nil"/>
              <w:left w:val="nil"/>
              <w:bottom w:val="single" w:sz="4" w:space="0" w:color="auto"/>
              <w:right w:val="single" w:sz="4" w:space="0" w:color="auto"/>
            </w:tcBorders>
            <w:shd w:val="clear" w:color="auto" w:fill="auto"/>
            <w:noWrap/>
            <w:vAlign w:val="center"/>
          </w:tcPr>
          <w:p w14:paraId="28D3026E" w14:textId="2F40CC57"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392.969.538</w:t>
            </w:r>
          </w:p>
        </w:tc>
        <w:tc>
          <w:tcPr>
            <w:tcW w:w="0" w:type="auto"/>
            <w:tcBorders>
              <w:top w:val="nil"/>
              <w:left w:val="nil"/>
              <w:bottom w:val="single" w:sz="4" w:space="0" w:color="auto"/>
              <w:right w:val="single" w:sz="4" w:space="0" w:color="auto"/>
            </w:tcBorders>
            <w:shd w:val="clear" w:color="auto" w:fill="auto"/>
            <w:noWrap/>
            <w:vAlign w:val="center"/>
          </w:tcPr>
          <w:p w14:paraId="42110366" w14:textId="6BFC14E4"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252.789.955</w:t>
            </w:r>
          </w:p>
        </w:tc>
      </w:tr>
      <w:tr w:rsidR="00CA45B6" w:rsidRPr="002259D9" w14:paraId="4F779CAB"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4E51D8F7"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4FD48FC" w14:textId="48A495D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2.725.588.474</w:t>
            </w:r>
          </w:p>
        </w:tc>
        <w:tc>
          <w:tcPr>
            <w:tcW w:w="0" w:type="auto"/>
            <w:tcBorders>
              <w:top w:val="nil"/>
              <w:left w:val="nil"/>
              <w:bottom w:val="single" w:sz="4" w:space="0" w:color="auto"/>
              <w:right w:val="single" w:sz="4" w:space="0" w:color="auto"/>
            </w:tcBorders>
            <w:shd w:val="clear" w:color="auto" w:fill="auto"/>
            <w:noWrap/>
            <w:vAlign w:val="center"/>
          </w:tcPr>
          <w:p w14:paraId="73E5A96F" w14:textId="003F7B4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2.095.250.000</w:t>
            </w:r>
          </w:p>
        </w:tc>
        <w:tc>
          <w:tcPr>
            <w:tcW w:w="0" w:type="auto"/>
            <w:tcBorders>
              <w:top w:val="nil"/>
              <w:left w:val="nil"/>
              <w:bottom w:val="single" w:sz="4" w:space="0" w:color="auto"/>
              <w:right w:val="single" w:sz="4" w:space="0" w:color="auto"/>
            </w:tcBorders>
            <w:shd w:val="clear" w:color="auto" w:fill="auto"/>
            <w:noWrap/>
            <w:vAlign w:val="center"/>
          </w:tcPr>
          <w:p w14:paraId="4CA208E0" w14:textId="5B2048D2"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2.192.054.000</w:t>
            </w:r>
          </w:p>
        </w:tc>
        <w:tc>
          <w:tcPr>
            <w:tcW w:w="0" w:type="auto"/>
            <w:tcBorders>
              <w:top w:val="nil"/>
              <w:left w:val="nil"/>
              <w:bottom w:val="single" w:sz="4" w:space="0" w:color="auto"/>
              <w:right w:val="single" w:sz="4" w:space="0" w:color="auto"/>
            </w:tcBorders>
            <w:shd w:val="clear" w:color="auto" w:fill="auto"/>
            <w:noWrap/>
            <w:vAlign w:val="center"/>
          </w:tcPr>
          <w:p w14:paraId="7F3B5575" w14:textId="27D815A9"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1.556.985.000</w:t>
            </w:r>
          </w:p>
        </w:tc>
        <w:tc>
          <w:tcPr>
            <w:tcW w:w="0" w:type="auto"/>
            <w:tcBorders>
              <w:top w:val="nil"/>
              <w:left w:val="nil"/>
              <w:bottom w:val="single" w:sz="4" w:space="0" w:color="auto"/>
              <w:right w:val="single" w:sz="4" w:space="0" w:color="auto"/>
            </w:tcBorders>
            <w:shd w:val="clear" w:color="auto" w:fill="auto"/>
            <w:noWrap/>
            <w:vAlign w:val="center"/>
          </w:tcPr>
          <w:p w14:paraId="224A72C6" w14:textId="1DBA71C0"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2.579.607.490</w:t>
            </w:r>
          </w:p>
        </w:tc>
        <w:tc>
          <w:tcPr>
            <w:tcW w:w="0" w:type="auto"/>
            <w:tcBorders>
              <w:top w:val="nil"/>
              <w:left w:val="nil"/>
              <w:bottom w:val="single" w:sz="4" w:space="0" w:color="auto"/>
              <w:right w:val="single" w:sz="4" w:space="0" w:color="auto"/>
            </w:tcBorders>
            <w:shd w:val="clear" w:color="auto" w:fill="auto"/>
            <w:noWrap/>
            <w:vAlign w:val="center"/>
          </w:tcPr>
          <w:p w14:paraId="1D21E6C8" w14:textId="6D01BFC5"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1.798.350.000</w:t>
            </w:r>
          </w:p>
        </w:tc>
        <w:tc>
          <w:tcPr>
            <w:tcW w:w="0" w:type="auto"/>
            <w:tcBorders>
              <w:top w:val="nil"/>
              <w:left w:val="nil"/>
              <w:bottom w:val="single" w:sz="4" w:space="0" w:color="auto"/>
              <w:right w:val="single" w:sz="4" w:space="0" w:color="auto"/>
            </w:tcBorders>
            <w:shd w:val="clear" w:color="auto" w:fill="auto"/>
            <w:noWrap/>
            <w:vAlign w:val="center"/>
          </w:tcPr>
          <w:p w14:paraId="389F39C2" w14:textId="28E9845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1.668.963.000</w:t>
            </w:r>
          </w:p>
        </w:tc>
      </w:tr>
      <w:tr w:rsidR="00CA45B6" w:rsidRPr="002259D9" w14:paraId="369615A5" w14:textId="77777777" w:rsidTr="001D0C52">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3AC23A1E" w14:textId="77777777" w:rsidR="00CA45B6" w:rsidRPr="002259D9" w:rsidRDefault="00CA45B6" w:rsidP="00CA45B6">
            <w:pPr>
              <w:spacing w:before="0" w:after="0"/>
              <w:jc w:val="center"/>
              <w:rPr>
                <w:rFonts w:cs="Arial"/>
                <w:i/>
                <w:iCs/>
                <w:sz w:val="14"/>
                <w:szCs w:val="14"/>
                <w:lang w:eastAsia="es-CO"/>
              </w:rPr>
            </w:pPr>
            <w:r w:rsidRPr="002259D9">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3C5D40" w14:textId="73A44534"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1.145.919.027</w:t>
            </w:r>
          </w:p>
        </w:tc>
        <w:tc>
          <w:tcPr>
            <w:tcW w:w="0" w:type="auto"/>
            <w:tcBorders>
              <w:top w:val="nil"/>
              <w:left w:val="nil"/>
              <w:bottom w:val="single" w:sz="4" w:space="0" w:color="auto"/>
              <w:right w:val="single" w:sz="4" w:space="0" w:color="auto"/>
            </w:tcBorders>
            <w:shd w:val="clear" w:color="auto" w:fill="auto"/>
            <w:noWrap/>
            <w:vAlign w:val="center"/>
          </w:tcPr>
          <w:p w14:paraId="4ED23D9C" w14:textId="128C3A6C"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1.570.650.529</w:t>
            </w:r>
          </w:p>
        </w:tc>
        <w:tc>
          <w:tcPr>
            <w:tcW w:w="0" w:type="auto"/>
            <w:tcBorders>
              <w:top w:val="nil"/>
              <w:left w:val="nil"/>
              <w:bottom w:val="single" w:sz="4" w:space="0" w:color="auto"/>
              <w:right w:val="single" w:sz="4" w:space="0" w:color="auto"/>
            </w:tcBorders>
            <w:shd w:val="clear" w:color="auto" w:fill="auto"/>
            <w:noWrap/>
            <w:vAlign w:val="center"/>
          </w:tcPr>
          <w:p w14:paraId="72926FF2" w14:textId="1B517977"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7.033.015.098</w:t>
            </w:r>
          </w:p>
        </w:tc>
        <w:tc>
          <w:tcPr>
            <w:tcW w:w="0" w:type="auto"/>
            <w:tcBorders>
              <w:top w:val="nil"/>
              <w:left w:val="nil"/>
              <w:bottom w:val="single" w:sz="4" w:space="0" w:color="auto"/>
              <w:right w:val="single" w:sz="4" w:space="0" w:color="auto"/>
            </w:tcBorders>
            <w:shd w:val="clear" w:color="auto" w:fill="auto"/>
            <w:noWrap/>
            <w:vAlign w:val="center"/>
          </w:tcPr>
          <w:p w14:paraId="76DD94CA" w14:textId="5E0CD6CE"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2.520.785.074</w:t>
            </w:r>
          </w:p>
        </w:tc>
        <w:tc>
          <w:tcPr>
            <w:tcW w:w="0" w:type="auto"/>
            <w:tcBorders>
              <w:top w:val="nil"/>
              <w:left w:val="nil"/>
              <w:bottom w:val="single" w:sz="4" w:space="0" w:color="auto"/>
              <w:right w:val="single" w:sz="4" w:space="0" w:color="auto"/>
            </w:tcBorders>
            <w:shd w:val="clear" w:color="auto" w:fill="auto"/>
            <w:noWrap/>
            <w:vAlign w:val="center"/>
          </w:tcPr>
          <w:p w14:paraId="2DA20F95" w14:textId="734DDDCF"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5.862.401.893</w:t>
            </w:r>
          </w:p>
        </w:tc>
        <w:tc>
          <w:tcPr>
            <w:tcW w:w="0" w:type="auto"/>
            <w:tcBorders>
              <w:top w:val="nil"/>
              <w:left w:val="nil"/>
              <w:bottom w:val="single" w:sz="4" w:space="0" w:color="auto"/>
              <w:right w:val="single" w:sz="4" w:space="0" w:color="auto"/>
            </w:tcBorders>
            <w:shd w:val="clear" w:color="auto" w:fill="auto"/>
            <w:noWrap/>
            <w:vAlign w:val="center"/>
          </w:tcPr>
          <w:p w14:paraId="3D3C86E5" w14:textId="6A7F9306"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7.839.680.500</w:t>
            </w:r>
          </w:p>
        </w:tc>
        <w:tc>
          <w:tcPr>
            <w:tcW w:w="0" w:type="auto"/>
            <w:tcBorders>
              <w:top w:val="nil"/>
              <w:left w:val="nil"/>
              <w:bottom w:val="single" w:sz="4" w:space="0" w:color="auto"/>
              <w:right w:val="single" w:sz="4" w:space="0" w:color="auto"/>
            </w:tcBorders>
            <w:shd w:val="clear" w:color="auto" w:fill="auto"/>
            <w:noWrap/>
            <w:vAlign w:val="center"/>
          </w:tcPr>
          <w:p w14:paraId="560FC8C5" w14:textId="7873ABFD" w:rsidR="00CA45B6" w:rsidRPr="002259D9" w:rsidRDefault="00CA45B6" w:rsidP="00696A51">
            <w:pPr>
              <w:spacing w:before="0" w:after="0"/>
              <w:jc w:val="right"/>
              <w:rPr>
                <w:rFonts w:cs="Arial"/>
                <w:i/>
                <w:iCs/>
                <w:sz w:val="14"/>
                <w:szCs w:val="14"/>
                <w:lang w:eastAsia="es-CO"/>
              </w:rPr>
            </w:pPr>
            <w:r w:rsidRPr="002259D9">
              <w:rPr>
                <w:rFonts w:cs="Arial"/>
                <w:i/>
                <w:iCs/>
                <w:sz w:val="14"/>
                <w:szCs w:val="14"/>
              </w:rPr>
              <w:t>2.279.126.250</w:t>
            </w:r>
          </w:p>
        </w:tc>
      </w:tr>
    </w:tbl>
    <w:p w14:paraId="36C919E2" w14:textId="77777777" w:rsidR="00691037" w:rsidRPr="002259D9" w:rsidRDefault="00691037" w:rsidP="00691037">
      <w:pPr>
        <w:pStyle w:val="Descripcin"/>
        <w:spacing w:before="120" w:after="120"/>
        <w:rPr>
          <w:i/>
          <w:iCs/>
          <w:sz w:val="20"/>
          <w:szCs w:val="18"/>
        </w:rPr>
      </w:pPr>
      <w:r w:rsidRPr="002259D9">
        <w:rPr>
          <w:i/>
          <w:iCs/>
          <w:sz w:val="20"/>
          <w:szCs w:val="18"/>
        </w:rPr>
        <w:t xml:space="preserve">Tabla 4 Plan de inversiones del nivel de tensión 2, pesos de diciembre de 2017 </w:t>
      </w:r>
    </w:p>
    <w:tbl>
      <w:tblPr>
        <w:tblW w:w="9493" w:type="dxa"/>
        <w:jc w:val="center"/>
        <w:tblCellMar>
          <w:left w:w="70" w:type="dxa"/>
          <w:right w:w="70" w:type="dxa"/>
        </w:tblCellMar>
        <w:tblLook w:val="04A0" w:firstRow="1" w:lastRow="0" w:firstColumn="1" w:lastColumn="0" w:noHBand="0" w:noVBand="1"/>
      </w:tblPr>
      <w:tblGrid>
        <w:gridCol w:w="863"/>
        <w:gridCol w:w="1221"/>
        <w:gridCol w:w="1221"/>
        <w:gridCol w:w="1221"/>
        <w:gridCol w:w="1221"/>
        <w:gridCol w:w="1221"/>
        <w:gridCol w:w="1221"/>
        <w:gridCol w:w="1360"/>
      </w:tblGrid>
      <w:tr w:rsidR="00691037" w:rsidRPr="002259D9" w14:paraId="5B9CEF71" w14:textId="77777777" w:rsidTr="00014D0B">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BCC1"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402729"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2B0AB6"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046D883"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8ECDEBF"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2A3854"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BFBA92"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,6</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0E653488"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2,l</w:t>
            </w:r>
            <w:proofErr w:type="gramEnd"/>
            <w:r w:rsidRPr="002259D9">
              <w:rPr>
                <w:rFonts w:cs="Arial"/>
                <w:b/>
                <w:bCs/>
                <w:i/>
                <w:iCs/>
                <w:sz w:val="14"/>
                <w:szCs w:val="14"/>
                <w:lang w:val="es-CO" w:eastAsia="es-CO"/>
              </w:rPr>
              <w:t>,7</w:t>
            </w:r>
          </w:p>
        </w:tc>
      </w:tr>
      <w:tr w:rsidR="00014D0B" w:rsidRPr="002259D9" w14:paraId="355DECF1"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E9A9812"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BC8B218" w14:textId="70A0D733"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4.761.066.542</w:t>
            </w:r>
          </w:p>
        </w:tc>
        <w:tc>
          <w:tcPr>
            <w:tcW w:w="0" w:type="auto"/>
            <w:tcBorders>
              <w:top w:val="nil"/>
              <w:left w:val="nil"/>
              <w:bottom w:val="single" w:sz="4" w:space="0" w:color="auto"/>
              <w:right w:val="single" w:sz="4" w:space="0" w:color="auto"/>
            </w:tcBorders>
            <w:shd w:val="clear" w:color="auto" w:fill="auto"/>
            <w:noWrap/>
            <w:vAlign w:val="center"/>
          </w:tcPr>
          <w:p w14:paraId="5D652E77" w14:textId="656CAA13"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5.702.605.500</w:t>
            </w:r>
          </w:p>
        </w:tc>
        <w:tc>
          <w:tcPr>
            <w:tcW w:w="0" w:type="auto"/>
            <w:tcBorders>
              <w:top w:val="nil"/>
              <w:left w:val="nil"/>
              <w:bottom w:val="single" w:sz="4" w:space="0" w:color="auto"/>
              <w:right w:val="single" w:sz="4" w:space="0" w:color="auto"/>
            </w:tcBorders>
            <w:shd w:val="clear" w:color="auto" w:fill="auto"/>
            <w:noWrap/>
            <w:vAlign w:val="center"/>
          </w:tcPr>
          <w:p w14:paraId="0DB46CDE" w14:textId="14C58022"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16.923.332.000</w:t>
            </w:r>
          </w:p>
        </w:tc>
        <w:tc>
          <w:tcPr>
            <w:tcW w:w="0" w:type="auto"/>
            <w:tcBorders>
              <w:top w:val="nil"/>
              <w:left w:val="nil"/>
              <w:bottom w:val="single" w:sz="4" w:space="0" w:color="auto"/>
              <w:right w:val="single" w:sz="4" w:space="0" w:color="auto"/>
            </w:tcBorders>
            <w:shd w:val="clear" w:color="auto" w:fill="auto"/>
            <w:noWrap/>
            <w:vAlign w:val="center"/>
          </w:tcPr>
          <w:p w14:paraId="5DC127C2" w14:textId="77D15B09"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7.114.658.500</w:t>
            </w:r>
          </w:p>
        </w:tc>
        <w:tc>
          <w:tcPr>
            <w:tcW w:w="0" w:type="auto"/>
            <w:tcBorders>
              <w:top w:val="nil"/>
              <w:left w:val="nil"/>
              <w:bottom w:val="single" w:sz="4" w:space="0" w:color="auto"/>
              <w:right w:val="single" w:sz="4" w:space="0" w:color="auto"/>
            </w:tcBorders>
            <w:shd w:val="clear" w:color="auto" w:fill="auto"/>
            <w:noWrap/>
            <w:vAlign w:val="center"/>
          </w:tcPr>
          <w:p w14:paraId="561F36A2" w14:textId="359E5B6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9.282.594.500</w:t>
            </w:r>
          </w:p>
        </w:tc>
        <w:tc>
          <w:tcPr>
            <w:tcW w:w="0" w:type="auto"/>
            <w:tcBorders>
              <w:top w:val="nil"/>
              <w:left w:val="nil"/>
              <w:bottom w:val="single" w:sz="4" w:space="0" w:color="auto"/>
              <w:right w:val="single" w:sz="4" w:space="0" w:color="auto"/>
            </w:tcBorders>
            <w:shd w:val="clear" w:color="auto" w:fill="auto"/>
            <w:noWrap/>
            <w:vAlign w:val="center"/>
          </w:tcPr>
          <w:p w14:paraId="067FDA0B" w14:textId="17269236"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3.291.317.500</w:t>
            </w:r>
          </w:p>
        </w:tc>
        <w:tc>
          <w:tcPr>
            <w:tcW w:w="1360" w:type="dxa"/>
            <w:tcBorders>
              <w:top w:val="nil"/>
              <w:left w:val="nil"/>
              <w:bottom w:val="single" w:sz="4" w:space="0" w:color="auto"/>
              <w:right w:val="single" w:sz="4" w:space="0" w:color="auto"/>
            </w:tcBorders>
            <w:shd w:val="clear" w:color="auto" w:fill="auto"/>
            <w:noWrap/>
            <w:vAlign w:val="center"/>
          </w:tcPr>
          <w:p w14:paraId="71DC8EC4" w14:textId="3DC3CFC6"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2.746.839.750</w:t>
            </w:r>
          </w:p>
        </w:tc>
      </w:tr>
      <w:tr w:rsidR="00014D0B" w:rsidRPr="002259D9" w14:paraId="1B0AF2CB"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6F579737"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E5105A1" w14:textId="1C06B493"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551B3A6" w14:textId="484A367B"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A65D00E" w14:textId="6218E6AC"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EEB8060" w14:textId="7056341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A8D42A" w14:textId="36194DDE"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6E041AC" w14:textId="03CD0CB4"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c>
          <w:tcPr>
            <w:tcW w:w="1360" w:type="dxa"/>
            <w:tcBorders>
              <w:top w:val="nil"/>
              <w:left w:val="nil"/>
              <w:bottom w:val="single" w:sz="4" w:space="0" w:color="auto"/>
              <w:right w:val="single" w:sz="4" w:space="0" w:color="auto"/>
            </w:tcBorders>
            <w:shd w:val="clear" w:color="auto" w:fill="auto"/>
            <w:noWrap/>
            <w:vAlign w:val="center"/>
          </w:tcPr>
          <w:p w14:paraId="14444B57" w14:textId="6C6CFAB4"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0</w:t>
            </w:r>
          </w:p>
        </w:tc>
      </w:tr>
      <w:tr w:rsidR="00014D0B" w:rsidRPr="002259D9" w14:paraId="21F07863"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E111357"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1FAFEC" w14:textId="2BDAB6C4"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5.878.962.000</w:t>
            </w:r>
          </w:p>
        </w:tc>
        <w:tc>
          <w:tcPr>
            <w:tcW w:w="0" w:type="auto"/>
            <w:tcBorders>
              <w:top w:val="nil"/>
              <w:left w:val="nil"/>
              <w:bottom w:val="single" w:sz="4" w:space="0" w:color="auto"/>
              <w:right w:val="single" w:sz="4" w:space="0" w:color="auto"/>
            </w:tcBorders>
            <w:shd w:val="clear" w:color="auto" w:fill="auto"/>
            <w:noWrap/>
            <w:vAlign w:val="center"/>
          </w:tcPr>
          <w:p w14:paraId="1AACB6DF" w14:textId="00A23BEC"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3.397.687.064</w:t>
            </w:r>
          </w:p>
        </w:tc>
        <w:tc>
          <w:tcPr>
            <w:tcW w:w="0" w:type="auto"/>
            <w:tcBorders>
              <w:top w:val="nil"/>
              <w:left w:val="nil"/>
              <w:bottom w:val="single" w:sz="4" w:space="0" w:color="auto"/>
              <w:right w:val="single" w:sz="4" w:space="0" w:color="auto"/>
            </w:tcBorders>
            <w:shd w:val="clear" w:color="auto" w:fill="auto"/>
            <w:noWrap/>
            <w:vAlign w:val="center"/>
          </w:tcPr>
          <w:p w14:paraId="6EF03D16" w14:textId="6AE1817B"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5.735.173.809</w:t>
            </w:r>
          </w:p>
        </w:tc>
        <w:tc>
          <w:tcPr>
            <w:tcW w:w="0" w:type="auto"/>
            <w:tcBorders>
              <w:top w:val="nil"/>
              <w:left w:val="nil"/>
              <w:bottom w:val="single" w:sz="4" w:space="0" w:color="auto"/>
              <w:right w:val="single" w:sz="4" w:space="0" w:color="auto"/>
            </w:tcBorders>
            <w:shd w:val="clear" w:color="auto" w:fill="auto"/>
            <w:noWrap/>
            <w:vAlign w:val="center"/>
          </w:tcPr>
          <w:p w14:paraId="1164580D" w14:textId="6831471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6.721.453.095</w:t>
            </w:r>
          </w:p>
        </w:tc>
        <w:tc>
          <w:tcPr>
            <w:tcW w:w="0" w:type="auto"/>
            <w:tcBorders>
              <w:top w:val="nil"/>
              <w:left w:val="nil"/>
              <w:bottom w:val="single" w:sz="4" w:space="0" w:color="auto"/>
              <w:right w:val="single" w:sz="4" w:space="0" w:color="auto"/>
            </w:tcBorders>
            <w:shd w:val="clear" w:color="auto" w:fill="auto"/>
            <w:noWrap/>
            <w:vAlign w:val="center"/>
          </w:tcPr>
          <w:p w14:paraId="5192A34B" w14:textId="4581290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8.515.431.755</w:t>
            </w:r>
          </w:p>
        </w:tc>
        <w:tc>
          <w:tcPr>
            <w:tcW w:w="0" w:type="auto"/>
            <w:tcBorders>
              <w:top w:val="nil"/>
              <w:left w:val="nil"/>
              <w:bottom w:val="single" w:sz="4" w:space="0" w:color="auto"/>
              <w:right w:val="single" w:sz="4" w:space="0" w:color="auto"/>
            </w:tcBorders>
            <w:shd w:val="clear" w:color="auto" w:fill="auto"/>
            <w:noWrap/>
            <w:vAlign w:val="center"/>
          </w:tcPr>
          <w:p w14:paraId="018F5369" w14:textId="070FCC0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6.545.280.862</w:t>
            </w:r>
          </w:p>
        </w:tc>
        <w:tc>
          <w:tcPr>
            <w:tcW w:w="1360" w:type="dxa"/>
            <w:tcBorders>
              <w:top w:val="nil"/>
              <w:left w:val="nil"/>
              <w:bottom w:val="single" w:sz="4" w:space="0" w:color="auto"/>
              <w:right w:val="single" w:sz="4" w:space="0" w:color="auto"/>
            </w:tcBorders>
            <w:shd w:val="clear" w:color="auto" w:fill="auto"/>
            <w:noWrap/>
            <w:vAlign w:val="center"/>
          </w:tcPr>
          <w:p w14:paraId="727F8A7B" w14:textId="04141F1D"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4.581.571.000</w:t>
            </w:r>
          </w:p>
        </w:tc>
      </w:tr>
      <w:tr w:rsidR="00014D0B" w:rsidRPr="002259D9" w14:paraId="6309391F"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1473BF8"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4D44FF1" w14:textId="12FA4FD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8.682.081.000</w:t>
            </w:r>
          </w:p>
        </w:tc>
        <w:tc>
          <w:tcPr>
            <w:tcW w:w="0" w:type="auto"/>
            <w:tcBorders>
              <w:top w:val="nil"/>
              <w:left w:val="nil"/>
              <w:bottom w:val="single" w:sz="4" w:space="0" w:color="auto"/>
              <w:right w:val="single" w:sz="4" w:space="0" w:color="auto"/>
            </w:tcBorders>
            <w:shd w:val="clear" w:color="auto" w:fill="auto"/>
            <w:noWrap/>
            <w:vAlign w:val="center"/>
          </w:tcPr>
          <w:p w14:paraId="200BA8E5" w14:textId="27D5965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8.277.715.000</w:t>
            </w:r>
          </w:p>
        </w:tc>
        <w:tc>
          <w:tcPr>
            <w:tcW w:w="0" w:type="auto"/>
            <w:tcBorders>
              <w:top w:val="nil"/>
              <w:left w:val="nil"/>
              <w:bottom w:val="single" w:sz="4" w:space="0" w:color="auto"/>
              <w:right w:val="single" w:sz="4" w:space="0" w:color="auto"/>
            </w:tcBorders>
            <w:shd w:val="clear" w:color="auto" w:fill="auto"/>
            <w:noWrap/>
            <w:vAlign w:val="center"/>
          </w:tcPr>
          <w:p w14:paraId="7A5B1295" w14:textId="47F55A0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10.933.755.700</w:t>
            </w:r>
          </w:p>
        </w:tc>
        <w:tc>
          <w:tcPr>
            <w:tcW w:w="0" w:type="auto"/>
            <w:tcBorders>
              <w:top w:val="nil"/>
              <w:left w:val="nil"/>
              <w:bottom w:val="single" w:sz="4" w:space="0" w:color="auto"/>
              <w:right w:val="single" w:sz="4" w:space="0" w:color="auto"/>
            </w:tcBorders>
            <w:shd w:val="clear" w:color="auto" w:fill="auto"/>
            <w:noWrap/>
            <w:vAlign w:val="center"/>
          </w:tcPr>
          <w:p w14:paraId="12E4E394" w14:textId="2A8B90E4"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13.186.671.400</w:t>
            </w:r>
          </w:p>
        </w:tc>
        <w:tc>
          <w:tcPr>
            <w:tcW w:w="0" w:type="auto"/>
            <w:tcBorders>
              <w:top w:val="nil"/>
              <w:left w:val="nil"/>
              <w:bottom w:val="single" w:sz="4" w:space="0" w:color="auto"/>
              <w:right w:val="single" w:sz="4" w:space="0" w:color="auto"/>
            </w:tcBorders>
            <w:shd w:val="clear" w:color="auto" w:fill="auto"/>
            <w:noWrap/>
            <w:vAlign w:val="center"/>
          </w:tcPr>
          <w:p w14:paraId="71FB6B92" w14:textId="47424635"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16.661.358.800</w:t>
            </w:r>
          </w:p>
        </w:tc>
        <w:tc>
          <w:tcPr>
            <w:tcW w:w="0" w:type="auto"/>
            <w:tcBorders>
              <w:top w:val="nil"/>
              <w:left w:val="nil"/>
              <w:bottom w:val="single" w:sz="4" w:space="0" w:color="auto"/>
              <w:right w:val="single" w:sz="4" w:space="0" w:color="auto"/>
            </w:tcBorders>
            <w:shd w:val="clear" w:color="auto" w:fill="auto"/>
            <w:noWrap/>
            <w:vAlign w:val="center"/>
          </w:tcPr>
          <w:p w14:paraId="555AB2D4" w14:textId="548C2EC0"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9.418.112.900</w:t>
            </w:r>
          </w:p>
        </w:tc>
        <w:tc>
          <w:tcPr>
            <w:tcW w:w="1360" w:type="dxa"/>
            <w:tcBorders>
              <w:top w:val="nil"/>
              <w:left w:val="nil"/>
              <w:bottom w:val="single" w:sz="4" w:space="0" w:color="auto"/>
              <w:right w:val="single" w:sz="4" w:space="0" w:color="auto"/>
            </w:tcBorders>
            <w:shd w:val="clear" w:color="auto" w:fill="auto"/>
            <w:noWrap/>
            <w:vAlign w:val="center"/>
          </w:tcPr>
          <w:p w14:paraId="138B5359" w14:textId="20EA713D"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7.535.367.400</w:t>
            </w:r>
          </w:p>
        </w:tc>
      </w:tr>
      <w:tr w:rsidR="00014D0B" w:rsidRPr="002259D9" w14:paraId="479E547C"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3E15883"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70D9C44" w14:textId="5D0703CE"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1.137.992.000</w:t>
            </w:r>
          </w:p>
        </w:tc>
        <w:tc>
          <w:tcPr>
            <w:tcW w:w="0" w:type="auto"/>
            <w:tcBorders>
              <w:top w:val="nil"/>
              <w:left w:val="nil"/>
              <w:bottom w:val="single" w:sz="4" w:space="0" w:color="auto"/>
              <w:right w:val="single" w:sz="4" w:space="0" w:color="auto"/>
            </w:tcBorders>
            <w:shd w:val="clear" w:color="auto" w:fill="auto"/>
            <w:noWrap/>
            <w:vAlign w:val="center"/>
          </w:tcPr>
          <w:p w14:paraId="5030AE26" w14:textId="7129DD16"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375.726.000</w:t>
            </w:r>
          </w:p>
        </w:tc>
        <w:tc>
          <w:tcPr>
            <w:tcW w:w="0" w:type="auto"/>
            <w:tcBorders>
              <w:top w:val="nil"/>
              <w:left w:val="nil"/>
              <w:bottom w:val="single" w:sz="4" w:space="0" w:color="auto"/>
              <w:right w:val="single" w:sz="4" w:space="0" w:color="auto"/>
            </w:tcBorders>
            <w:shd w:val="clear" w:color="auto" w:fill="auto"/>
            <w:noWrap/>
            <w:vAlign w:val="center"/>
          </w:tcPr>
          <w:p w14:paraId="7695D2A6" w14:textId="6E137A5E"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391.884.000</w:t>
            </w:r>
          </w:p>
        </w:tc>
        <w:tc>
          <w:tcPr>
            <w:tcW w:w="0" w:type="auto"/>
            <w:tcBorders>
              <w:top w:val="nil"/>
              <w:left w:val="nil"/>
              <w:bottom w:val="single" w:sz="4" w:space="0" w:color="auto"/>
              <w:right w:val="single" w:sz="4" w:space="0" w:color="auto"/>
            </w:tcBorders>
            <w:shd w:val="clear" w:color="auto" w:fill="auto"/>
            <w:noWrap/>
            <w:vAlign w:val="center"/>
          </w:tcPr>
          <w:p w14:paraId="6CBF2B41" w14:textId="7C4A5F35"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724.894.000</w:t>
            </w:r>
          </w:p>
        </w:tc>
        <w:tc>
          <w:tcPr>
            <w:tcW w:w="0" w:type="auto"/>
            <w:tcBorders>
              <w:top w:val="nil"/>
              <w:left w:val="nil"/>
              <w:bottom w:val="single" w:sz="4" w:space="0" w:color="auto"/>
              <w:right w:val="single" w:sz="4" w:space="0" w:color="auto"/>
            </w:tcBorders>
            <w:shd w:val="clear" w:color="auto" w:fill="auto"/>
            <w:noWrap/>
            <w:vAlign w:val="center"/>
          </w:tcPr>
          <w:p w14:paraId="7CEB4DAD" w14:textId="4C336638"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371.227.000</w:t>
            </w:r>
          </w:p>
        </w:tc>
        <w:tc>
          <w:tcPr>
            <w:tcW w:w="0" w:type="auto"/>
            <w:tcBorders>
              <w:top w:val="nil"/>
              <w:left w:val="nil"/>
              <w:bottom w:val="single" w:sz="4" w:space="0" w:color="auto"/>
              <w:right w:val="single" w:sz="4" w:space="0" w:color="auto"/>
            </w:tcBorders>
            <w:shd w:val="clear" w:color="auto" w:fill="auto"/>
            <w:noWrap/>
            <w:vAlign w:val="center"/>
          </w:tcPr>
          <w:p w14:paraId="6A0FE9CB" w14:textId="6AE556D2"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45.899.000</w:t>
            </w:r>
          </w:p>
        </w:tc>
        <w:tc>
          <w:tcPr>
            <w:tcW w:w="1360" w:type="dxa"/>
            <w:tcBorders>
              <w:top w:val="nil"/>
              <w:left w:val="nil"/>
              <w:bottom w:val="single" w:sz="4" w:space="0" w:color="auto"/>
              <w:right w:val="single" w:sz="4" w:space="0" w:color="auto"/>
            </w:tcBorders>
            <w:shd w:val="clear" w:color="auto" w:fill="auto"/>
            <w:noWrap/>
            <w:vAlign w:val="center"/>
          </w:tcPr>
          <w:p w14:paraId="7F890C00" w14:textId="7B40A661"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63.871.000</w:t>
            </w:r>
          </w:p>
        </w:tc>
      </w:tr>
      <w:tr w:rsidR="00014D0B" w:rsidRPr="002259D9" w14:paraId="39633802"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01BF5E3"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BB4BAF6" w14:textId="7A3BCD3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1.202.381.000</w:t>
            </w:r>
          </w:p>
        </w:tc>
        <w:tc>
          <w:tcPr>
            <w:tcW w:w="0" w:type="auto"/>
            <w:tcBorders>
              <w:top w:val="nil"/>
              <w:left w:val="nil"/>
              <w:bottom w:val="single" w:sz="4" w:space="0" w:color="auto"/>
              <w:right w:val="single" w:sz="4" w:space="0" w:color="auto"/>
            </w:tcBorders>
            <w:shd w:val="clear" w:color="auto" w:fill="auto"/>
            <w:noWrap/>
            <w:vAlign w:val="center"/>
          </w:tcPr>
          <w:p w14:paraId="0F7563BC" w14:textId="633DED62"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1.320.079.000</w:t>
            </w:r>
          </w:p>
        </w:tc>
        <w:tc>
          <w:tcPr>
            <w:tcW w:w="0" w:type="auto"/>
            <w:tcBorders>
              <w:top w:val="nil"/>
              <w:left w:val="nil"/>
              <w:bottom w:val="single" w:sz="4" w:space="0" w:color="auto"/>
              <w:right w:val="single" w:sz="4" w:space="0" w:color="auto"/>
            </w:tcBorders>
            <w:shd w:val="clear" w:color="auto" w:fill="auto"/>
            <w:noWrap/>
            <w:vAlign w:val="center"/>
          </w:tcPr>
          <w:p w14:paraId="257FDA39" w14:textId="59C8C069"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590.102.000</w:t>
            </w:r>
          </w:p>
        </w:tc>
        <w:tc>
          <w:tcPr>
            <w:tcW w:w="0" w:type="auto"/>
            <w:tcBorders>
              <w:top w:val="nil"/>
              <w:left w:val="nil"/>
              <w:bottom w:val="single" w:sz="4" w:space="0" w:color="auto"/>
              <w:right w:val="single" w:sz="4" w:space="0" w:color="auto"/>
            </w:tcBorders>
            <w:shd w:val="clear" w:color="auto" w:fill="auto"/>
            <w:noWrap/>
            <w:vAlign w:val="center"/>
          </w:tcPr>
          <w:p w14:paraId="34E375A7" w14:textId="058A66F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1.406.496.000</w:t>
            </w:r>
          </w:p>
        </w:tc>
        <w:tc>
          <w:tcPr>
            <w:tcW w:w="0" w:type="auto"/>
            <w:tcBorders>
              <w:top w:val="nil"/>
              <w:left w:val="nil"/>
              <w:bottom w:val="single" w:sz="4" w:space="0" w:color="auto"/>
              <w:right w:val="single" w:sz="4" w:space="0" w:color="auto"/>
            </w:tcBorders>
            <w:shd w:val="clear" w:color="auto" w:fill="auto"/>
            <w:noWrap/>
            <w:vAlign w:val="center"/>
          </w:tcPr>
          <w:p w14:paraId="1525634F" w14:textId="299DF8DD"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1.648.767.000</w:t>
            </w:r>
          </w:p>
        </w:tc>
        <w:tc>
          <w:tcPr>
            <w:tcW w:w="0" w:type="auto"/>
            <w:tcBorders>
              <w:top w:val="nil"/>
              <w:left w:val="nil"/>
              <w:bottom w:val="single" w:sz="4" w:space="0" w:color="auto"/>
              <w:right w:val="single" w:sz="4" w:space="0" w:color="auto"/>
            </w:tcBorders>
            <w:shd w:val="clear" w:color="auto" w:fill="auto"/>
            <w:noWrap/>
            <w:vAlign w:val="center"/>
          </w:tcPr>
          <w:p w14:paraId="565F86CB" w14:textId="2C6100EA"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423.466.000</w:t>
            </w:r>
          </w:p>
        </w:tc>
        <w:tc>
          <w:tcPr>
            <w:tcW w:w="1360" w:type="dxa"/>
            <w:tcBorders>
              <w:top w:val="nil"/>
              <w:left w:val="nil"/>
              <w:bottom w:val="single" w:sz="4" w:space="0" w:color="auto"/>
              <w:right w:val="single" w:sz="4" w:space="0" w:color="auto"/>
            </w:tcBorders>
            <w:shd w:val="clear" w:color="auto" w:fill="auto"/>
            <w:noWrap/>
            <w:vAlign w:val="center"/>
          </w:tcPr>
          <w:p w14:paraId="29C30352" w14:textId="206CE78D"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423.466.000</w:t>
            </w:r>
          </w:p>
        </w:tc>
      </w:tr>
      <w:tr w:rsidR="00014D0B" w:rsidRPr="002259D9" w14:paraId="5665DB8E"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2E6868B0"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684F81C" w14:textId="0CFBDE33"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82.536.311.144</w:t>
            </w:r>
          </w:p>
        </w:tc>
        <w:tc>
          <w:tcPr>
            <w:tcW w:w="0" w:type="auto"/>
            <w:tcBorders>
              <w:top w:val="nil"/>
              <w:left w:val="nil"/>
              <w:bottom w:val="single" w:sz="4" w:space="0" w:color="auto"/>
              <w:right w:val="single" w:sz="4" w:space="0" w:color="auto"/>
            </w:tcBorders>
            <w:shd w:val="clear" w:color="auto" w:fill="auto"/>
            <w:noWrap/>
            <w:vAlign w:val="center"/>
          </w:tcPr>
          <w:p w14:paraId="662F31A5" w14:textId="3587F311"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86.296.119.565</w:t>
            </w:r>
          </w:p>
        </w:tc>
        <w:tc>
          <w:tcPr>
            <w:tcW w:w="0" w:type="auto"/>
            <w:tcBorders>
              <w:top w:val="nil"/>
              <w:left w:val="nil"/>
              <w:bottom w:val="single" w:sz="4" w:space="0" w:color="auto"/>
              <w:right w:val="single" w:sz="4" w:space="0" w:color="auto"/>
            </w:tcBorders>
            <w:shd w:val="clear" w:color="auto" w:fill="auto"/>
            <w:noWrap/>
            <w:vAlign w:val="center"/>
          </w:tcPr>
          <w:p w14:paraId="3B90814D" w14:textId="3B8490EB"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88.946.383.236</w:t>
            </w:r>
          </w:p>
        </w:tc>
        <w:tc>
          <w:tcPr>
            <w:tcW w:w="0" w:type="auto"/>
            <w:tcBorders>
              <w:top w:val="nil"/>
              <w:left w:val="nil"/>
              <w:bottom w:val="single" w:sz="4" w:space="0" w:color="auto"/>
              <w:right w:val="single" w:sz="4" w:space="0" w:color="auto"/>
            </w:tcBorders>
            <w:shd w:val="clear" w:color="auto" w:fill="auto"/>
            <w:noWrap/>
            <w:vAlign w:val="center"/>
          </w:tcPr>
          <w:p w14:paraId="31BD3234" w14:textId="67B8549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89.748.392.751</w:t>
            </w:r>
          </w:p>
        </w:tc>
        <w:tc>
          <w:tcPr>
            <w:tcW w:w="0" w:type="auto"/>
            <w:tcBorders>
              <w:top w:val="nil"/>
              <w:left w:val="nil"/>
              <w:bottom w:val="single" w:sz="4" w:space="0" w:color="auto"/>
              <w:right w:val="single" w:sz="4" w:space="0" w:color="auto"/>
            </w:tcBorders>
            <w:shd w:val="clear" w:color="auto" w:fill="auto"/>
            <w:noWrap/>
            <w:vAlign w:val="center"/>
          </w:tcPr>
          <w:p w14:paraId="423BB674" w14:textId="25933C05"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83.898.298.414</w:t>
            </w:r>
          </w:p>
        </w:tc>
        <w:tc>
          <w:tcPr>
            <w:tcW w:w="0" w:type="auto"/>
            <w:tcBorders>
              <w:top w:val="nil"/>
              <w:left w:val="nil"/>
              <w:bottom w:val="single" w:sz="4" w:space="0" w:color="auto"/>
              <w:right w:val="single" w:sz="4" w:space="0" w:color="auto"/>
            </w:tcBorders>
            <w:shd w:val="clear" w:color="auto" w:fill="auto"/>
            <w:noWrap/>
            <w:vAlign w:val="center"/>
          </w:tcPr>
          <w:p w14:paraId="07D35783" w14:textId="1C7240A5"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87.790.642.445</w:t>
            </w:r>
          </w:p>
        </w:tc>
        <w:tc>
          <w:tcPr>
            <w:tcW w:w="1360" w:type="dxa"/>
            <w:tcBorders>
              <w:top w:val="nil"/>
              <w:left w:val="nil"/>
              <w:bottom w:val="single" w:sz="4" w:space="0" w:color="auto"/>
              <w:right w:val="single" w:sz="4" w:space="0" w:color="auto"/>
            </w:tcBorders>
            <w:shd w:val="clear" w:color="auto" w:fill="auto"/>
            <w:noWrap/>
            <w:vAlign w:val="center"/>
          </w:tcPr>
          <w:p w14:paraId="51D0E81F" w14:textId="6626AF97"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68.712.697.484</w:t>
            </w:r>
          </w:p>
        </w:tc>
      </w:tr>
      <w:tr w:rsidR="00014D0B" w:rsidRPr="002259D9" w14:paraId="7D714D10"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1CA4BED0"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38FE70" w14:textId="752B0FCA"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17.490.073.875</w:t>
            </w:r>
          </w:p>
        </w:tc>
        <w:tc>
          <w:tcPr>
            <w:tcW w:w="0" w:type="auto"/>
            <w:tcBorders>
              <w:top w:val="nil"/>
              <w:left w:val="nil"/>
              <w:bottom w:val="single" w:sz="4" w:space="0" w:color="auto"/>
              <w:right w:val="single" w:sz="4" w:space="0" w:color="auto"/>
            </w:tcBorders>
            <w:shd w:val="clear" w:color="auto" w:fill="auto"/>
            <w:noWrap/>
            <w:vAlign w:val="center"/>
          </w:tcPr>
          <w:p w14:paraId="6085F676" w14:textId="1009B3B8"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5.948.989.617</w:t>
            </w:r>
          </w:p>
        </w:tc>
        <w:tc>
          <w:tcPr>
            <w:tcW w:w="0" w:type="auto"/>
            <w:tcBorders>
              <w:top w:val="nil"/>
              <w:left w:val="nil"/>
              <w:bottom w:val="single" w:sz="4" w:space="0" w:color="auto"/>
              <w:right w:val="single" w:sz="4" w:space="0" w:color="auto"/>
            </w:tcBorders>
            <w:shd w:val="clear" w:color="auto" w:fill="auto"/>
            <w:noWrap/>
            <w:vAlign w:val="center"/>
          </w:tcPr>
          <w:p w14:paraId="0E4CFCBD" w14:textId="5F404CB8"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20.347.168.278</w:t>
            </w:r>
          </w:p>
        </w:tc>
        <w:tc>
          <w:tcPr>
            <w:tcW w:w="0" w:type="auto"/>
            <w:tcBorders>
              <w:top w:val="nil"/>
              <w:left w:val="nil"/>
              <w:bottom w:val="single" w:sz="4" w:space="0" w:color="auto"/>
              <w:right w:val="single" w:sz="4" w:space="0" w:color="auto"/>
            </w:tcBorders>
            <w:shd w:val="clear" w:color="auto" w:fill="auto"/>
            <w:noWrap/>
            <w:vAlign w:val="center"/>
          </w:tcPr>
          <w:p w14:paraId="3A889968" w14:textId="40CC157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9.249.284.571</w:t>
            </w:r>
          </w:p>
        </w:tc>
        <w:tc>
          <w:tcPr>
            <w:tcW w:w="0" w:type="auto"/>
            <w:tcBorders>
              <w:top w:val="nil"/>
              <w:left w:val="nil"/>
              <w:bottom w:val="single" w:sz="4" w:space="0" w:color="auto"/>
              <w:right w:val="single" w:sz="4" w:space="0" w:color="auto"/>
            </w:tcBorders>
            <w:shd w:val="clear" w:color="auto" w:fill="auto"/>
            <w:noWrap/>
            <w:vAlign w:val="center"/>
          </w:tcPr>
          <w:p w14:paraId="2571EDD8" w14:textId="70617D21"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41.237.931.284</w:t>
            </w:r>
          </w:p>
        </w:tc>
        <w:tc>
          <w:tcPr>
            <w:tcW w:w="0" w:type="auto"/>
            <w:tcBorders>
              <w:top w:val="nil"/>
              <w:left w:val="nil"/>
              <w:bottom w:val="single" w:sz="4" w:space="0" w:color="auto"/>
              <w:right w:val="single" w:sz="4" w:space="0" w:color="auto"/>
            </w:tcBorders>
            <w:shd w:val="clear" w:color="auto" w:fill="auto"/>
            <w:noWrap/>
            <w:vAlign w:val="center"/>
          </w:tcPr>
          <w:p w14:paraId="1EBE40C0" w14:textId="670A4C94"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18.841.353.175</w:t>
            </w:r>
          </w:p>
        </w:tc>
        <w:tc>
          <w:tcPr>
            <w:tcW w:w="1360" w:type="dxa"/>
            <w:tcBorders>
              <w:top w:val="nil"/>
              <w:left w:val="nil"/>
              <w:bottom w:val="single" w:sz="4" w:space="0" w:color="auto"/>
              <w:right w:val="single" w:sz="4" w:space="0" w:color="auto"/>
            </w:tcBorders>
            <w:shd w:val="clear" w:color="auto" w:fill="auto"/>
            <w:noWrap/>
            <w:vAlign w:val="center"/>
          </w:tcPr>
          <w:p w14:paraId="03C6D1F5" w14:textId="1128B1B2"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11.877.791.998</w:t>
            </w:r>
          </w:p>
        </w:tc>
      </w:tr>
      <w:tr w:rsidR="00014D0B" w:rsidRPr="002259D9" w14:paraId="49BC7ABB"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7EA64D54"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CF18CB8" w14:textId="6135AAAA"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25.162.849.600</w:t>
            </w:r>
          </w:p>
        </w:tc>
        <w:tc>
          <w:tcPr>
            <w:tcW w:w="0" w:type="auto"/>
            <w:tcBorders>
              <w:top w:val="nil"/>
              <w:left w:val="nil"/>
              <w:bottom w:val="single" w:sz="4" w:space="0" w:color="auto"/>
              <w:right w:val="single" w:sz="4" w:space="0" w:color="auto"/>
            </w:tcBorders>
            <w:shd w:val="clear" w:color="auto" w:fill="auto"/>
            <w:noWrap/>
            <w:vAlign w:val="center"/>
          </w:tcPr>
          <w:p w14:paraId="69B05CC3" w14:textId="62E13404"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14.647.639.000</w:t>
            </w:r>
          </w:p>
        </w:tc>
        <w:tc>
          <w:tcPr>
            <w:tcW w:w="0" w:type="auto"/>
            <w:tcBorders>
              <w:top w:val="nil"/>
              <w:left w:val="nil"/>
              <w:bottom w:val="single" w:sz="4" w:space="0" w:color="auto"/>
              <w:right w:val="single" w:sz="4" w:space="0" w:color="auto"/>
            </w:tcBorders>
            <w:shd w:val="clear" w:color="auto" w:fill="auto"/>
            <w:noWrap/>
            <w:vAlign w:val="center"/>
          </w:tcPr>
          <w:p w14:paraId="2DE39097" w14:textId="74956BBF"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14.847.779.000</w:t>
            </w:r>
          </w:p>
        </w:tc>
        <w:tc>
          <w:tcPr>
            <w:tcW w:w="0" w:type="auto"/>
            <w:tcBorders>
              <w:top w:val="nil"/>
              <w:left w:val="nil"/>
              <w:bottom w:val="single" w:sz="4" w:space="0" w:color="auto"/>
              <w:right w:val="single" w:sz="4" w:space="0" w:color="auto"/>
            </w:tcBorders>
            <w:shd w:val="clear" w:color="auto" w:fill="auto"/>
            <w:noWrap/>
            <w:vAlign w:val="center"/>
          </w:tcPr>
          <w:p w14:paraId="0E2EABFA" w14:textId="2353669D"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11.096.632.000</w:t>
            </w:r>
          </w:p>
        </w:tc>
        <w:tc>
          <w:tcPr>
            <w:tcW w:w="0" w:type="auto"/>
            <w:tcBorders>
              <w:top w:val="nil"/>
              <w:left w:val="nil"/>
              <w:bottom w:val="single" w:sz="4" w:space="0" w:color="auto"/>
              <w:right w:val="single" w:sz="4" w:space="0" w:color="auto"/>
            </w:tcBorders>
            <w:shd w:val="clear" w:color="auto" w:fill="auto"/>
            <w:noWrap/>
            <w:vAlign w:val="center"/>
          </w:tcPr>
          <w:p w14:paraId="2F88555C" w14:textId="519461FC"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13.587.962.000</w:t>
            </w:r>
          </w:p>
        </w:tc>
        <w:tc>
          <w:tcPr>
            <w:tcW w:w="0" w:type="auto"/>
            <w:tcBorders>
              <w:top w:val="nil"/>
              <w:left w:val="nil"/>
              <w:bottom w:val="single" w:sz="4" w:space="0" w:color="auto"/>
              <w:right w:val="single" w:sz="4" w:space="0" w:color="auto"/>
            </w:tcBorders>
            <w:shd w:val="clear" w:color="auto" w:fill="auto"/>
            <w:noWrap/>
            <w:vAlign w:val="center"/>
          </w:tcPr>
          <w:p w14:paraId="1C3F8576" w14:textId="447FEF4A"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13.068.428.000</w:t>
            </w:r>
          </w:p>
        </w:tc>
        <w:tc>
          <w:tcPr>
            <w:tcW w:w="1360" w:type="dxa"/>
            <w:tcBorders>
              <w:top w:val="nil"/>
              <w:left w:val="nil"/>
              <w:bottom w:val="single" w:sz="4" w:space="0" w:color="auto"/>
              <w:right w:val="single" w:sz="4" w:space="0" w:color="auto"/>
            </w:tcBorders>
            <w:shd w:val="clear" w:color="auto" w:fill="auto"/>
            <w:noWrap/>
            <w:vAlign w:val="center"/>
          </w:tcPr>
          <w:p w14:paraId="4BEFCDF1" w14:textId="7B0BD58D"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12.484.009.000</w:t>
            </w:r>
          </w:p>
        </w:tc>
      </w:tr>
      <w:tr w:rsidR="00014D0B" w:rsidRPr="002259D9" w14:paraId="49A4CF1C" w14:textId="77777777" w:rsidTr="00014D0B">
        <w:trPr>
          <w:trHeight w:val="255"/>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5EBD2C27"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A53B44E" w14:textId="100C831A"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1.145.919.027</w:t>
            </w:r>
          </w:p>
        </w:tc>
        <w:tc>
          <w:tcPr>
            <w:tcW w:w="0" w:type="auto"/>
            <w:tcBorders>
              <w:top w:val="nil"/>
              <w:left w:val="nil"/>
              <w:bottom w:val="single" w:sz="4" w:space="0" w:color="auto"/>
              <w:right w:val="single" w:sz="4" w:space="0" w:color="auto"/>
            </w:tcBorders>
            <w:shd w:val="clear" w:color="auto" w:fill="auto"/>
            <w:noWrap/>
            <w:vAlign w:val="center"/>
          </w:tcPr>
          <w:p w14:paraId="1838C98A" w14:textId="4B0E401B"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1.570.650.529</w:t>
            </w:r>
          </w:p>
        </w:tc>
        <w:tc>
          <w:tcPr>
            <w:tcW w:w="0" w:type="auto"/>
            <w:tcBorders>
              <w:top w:val="nil"/>
              <w:left w:val="nil"/>
              <w:bottom w:val="single" w:sz="4" w:space="0" w:color="auto"/>
              <w:right w:val="single" w:sz="4" w:space="0" w:color="auto"/>
            </w:tcBorders>
            <w:shd w:val="clear" w:color="auto" w:fill="auto"/>
            <w:noWrap/>
            <w:vAlign w:val="center"/>
          </w:tcPr>
          <w:p w14:paraId="55986542" w14:textId="7CBE2678"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7.033.015.098</w:t>
            </w:r>
          </w:p>
        </w:tc>
        <w:tc>
          <w:tcPr>
            <w:tcW w:w="0" w:type="auto"/>
            <w:tcBorders>
              <w:top w:val="nil"/>
              <w:left w:val="nil"/>
              <w:bottom w:val="single" w:sz="4" w:space="0" w:color="auto"/>
              <w:right w:val="single" w:sz="4" w:space="0" w:color="auto"/>
            </w:tcBorders>
            <w:shd w:val="clear" w:color="auto" w:fill="auto"/>
            <w:noWrap/>
            <w:vAlign w:val="center"/>
          </w:tcPr>
          <w:p w14:paraId="527182AC" w14:textId="25D6C18E"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2.520.785.074</w:t>
            </w:r>
          </w:p>
        </w:tc>
        <w:tc>
          <w:tcPr>
            <w:tcW w:w="0" w:type="auto"/>
            <w:tcBorders>
              <w:top w:val="nil"/>
              <w:left w:val="nil"/>
              <w:bottom w:val="single" w:sz="4" w:space="0" w:color="auto"/>
              <w:right w:val="single" w:sz="4" w:space="0" w:color="auto"/>
            </w:tcBorders>
            <w:shd w:val="clear" w:color="auto" w:fill="auto"/>
            <w:noWrap/>
            <w:vAlign w:val="center"/>
          </w:tcPr>
          <w:p w14:paraId="67AED753" w14:textId="3ACC3715"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5.862.401.893</w:t>
            </w:r>
          </w:p>
        </w:tc>
        <w:tc>
          <w:tcPr>
            <w:tcW w:w="0" w:type="auto"/>
            <w:tcBorders>
              <w:top w:val="nil"/>
              <w:left w:val="nil"/>
              <w:bottom w:val="single" w:sz="4" w:space="0" w:color="auto"/>
              <w:right w:val="single" w:sz="4" w:space="0" w:color="auto"/>
            </w:tcBorders>
            <w:shd w:val="clear" w:color="auto" w:fill="auto"/>
            <w:noWrap/>
            <w:vAlign w:val="center"/>
          </w:tcPr>
          <w:p w14:paraId="398778FF" w14:textId="4769F9F1"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7.839.680.500</w:t>
            </w:r>
          </w:p>
        </w:tc>
        <w:tc>
          <w:tcPr>
            <w:tcW w:w="1360" w:type="dxa"/>
            <w:tcBorders>
              <w:top w:val="nil"/>
              <w:left w:val="nil"/>
              <w:bottom w:val="single" w:sz="4" w:space="0" w:color="auto"/>
              <w:right w:val="single" w:sz="4" w:space="0" w:color="auto"/>
            </w:tcBorders>
            <w:shd w:val="clear" w:color="auto" w:fill="auto"/>
            <w:noWrap/>
            <w:vAlign w:val="center"/>
          </w:tcPr>
          <w:p w14:paraId="1D39B36B" w14:textId="47A6802C" w:rsidR="00014D0B" w:rsidRPr="002259D9" w:rsidRDefault="00014D0B" w:rsidP="00696A51">
            <w:pPr>
              <w:spacing w:before="0" w:after="0"/>
              <w:jc w:val="right"/>
              <w:rPr>
                <w:rFonts w:cs="Arial"/>
                <w:i/>
                <w:iCs/>
                <w:sz w:val="14"/>
                <w:szCs w:val="14"/>
                <w:lang w:eastAsia="es-CO"/>
              </w:rPr>
            </w:pPr>
            <w:r w:rsidRPr="002259D9">
              <w:rPr>
                <w:rFonts w:cs="Arial"/>
                <w:i/>
                <w:iCs/>
                <w:sz w:val="14"/>
                <w:szCs w:val="14"/>
              </w:rPr>
              <w:t>2.279.126.250</w:t>
            </w:r>
          </w:p>
        </w:tc>
      </w:tr>
    </w:tbl>
    <w:p w14:paraId="52AA4AB3" w14:textId="77777777" w:rsidR="00691037" w:rsidRPr="002259D9" w:rsidRDefault="00691037" w:rsidP="00691037">
      <w:pPr>
        <w:pStyle w:val="Descripcin"/>
        <w:spacing w:before="120" w:after="120"/>
        <w:rPr>
          <w:i/>
          <w:iCs/>
          <w:sz w:val="20"/>
          <w:szCs w:val="18"/>
        </w:rPr>
      </w:pPr>
      <w:r w:rsidRPr="002259D9">
        <w:rPr>
          <w:i/>
          <w:iCs/>
          <w:sz w:val="20"/>
          <w:szCs w:val="18"/>
        </w:rPr>
        <w:t xml:space="preserve">Tabla 5 Plan de inversiones del nivel de tensión 1, pesos de diciembre de 2017 </w:t>
      </w:r>
    </w:p>
    <w:tbl>
      <w:tblPr>
        <w:tblW w:w="5000" w:type="pct"/>
        <w:jc w:val="center"/>
        <w:tblCellMar>
          <w:left w:w="70" w:type="dxa"/>
          <w:right w:w="70" w:type="dxa"/>
        </w:tblCellMar>
        <w:tblLook w:val="04A0" w:firstRow="1" w:lastRow="0" w:firstColumn="1" w:lastColumn="0" w:noHBand="0" w:noVBand="1"/>
      </w:tblPr>
      <w:tblGrid>
        <w:gridCol w:w="969"/>
        <w:gridCol w:w="1197"/>
        <w:gridCol w:w="1197"/>
        <w:gridCol w:w="1197"/>
        <w:gridCol w:w="1197"/>
        <w:gridCol w:w="1197"/>
        <w:gridCol w:w="1196"/>
        <w:gridCol w:w="1196"/>
      </w:tblGrid>
      <w:tr w:rsidR="00691037" w:rsidRPr="002259D9" w14:paraId="1CFA7B4F" w14:textId="77777777" w:rsidTr="00216A2C">
        <w:trPr>
          <w:trHeight w:val="480"/>
          <w:jc w:val="center"/>
        </w:trPr>
        <w:tc>
          <w:tcPr>
            <w:tcW w:w="5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9396"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Categoría de activos l</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332AC42D"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,1</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0AB4AE4B"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,2</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508F32B6"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,3</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20994430"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,4</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32D9B7A3"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,5</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6566A5A7"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,6</w:t>
            </w:r>
          </w:p>
        </w:tc>
        <w:tc>
          <w:tcPr>
            <w:tcW w:w="640" w:type="pct"/>
            <w:tcBorders>
              <w:top w:val="single" w:sz="4" w:space="0" w:color="auto"/>
              <w:left w:val="nil"/>
              <w:bottom w:val="single" w:sz="4" w:space="0" w:color="auto"/>
              <w:right w:val="single" w:sz="4" w:space="0" w:color="auto"/>
            </w:tcBorders>
            <w:shd w:val="clear" w:color="000000" w:fill="FFFFFF"/>
            <w:noWrap/>
            <w:vAlign w:val="center"/>
            <w:hideMark/>
          </w:tcPr>
          <w:p w14:paraId="2DEDF5C6" w14:textId="77777777" w:rsidR="00691037" w:rsidRPr="002259D9" w:rsidRDefault="00691037" w:rsidP="00B201E6">
            <w:pPr>
              <w:spacing w:before="0" w:after="0"/>
              <w:jc w:val="center"/>
              <w:rPr>
                <w:rFonts w:cs="Arial"/>
                <w:b/>
                <w:bCs/>
                <w:i/>
                <w:iCs/>
                <w:sz w:val="14"/>
                <w:szCs w:val="14"/>
                <w:lang w:val="es-CO" w:eastAsia="es-CO"/>
              </w:rPr>
            </w:pPr>
            <w:r w:rsidRPr="002259D9">
              <w:rPr>
                <w:rFonts w:cs="Arial"/>
                <w:b/>
                <w:bCs/>
                <w:i/>
                <w:iCs/>
                <w:sz w:val="14"/>
                <w:szCs w:val="14"/>
                <w:lang w:val="es-CO" w:eastAsia="es-CO"/>
              </w:rPr>
              <w:t>INVAj,</w:t>
            </w:r>
            <w:proofErr w:type="gramStart"/>
            <w:r w:rsidRPr="002259D9">
              <w:rPr>
                <w:rFonts w:cs="Arial"/>
                <w:b/>
                <w:bCs/>
                <w:i/>
                <w:iCs/>
                <w:sz w:val="14"/>
                <w:szCs w:val="14"/>
                <w:lang w:val="es-CO" w:eastAsia="es-CO"/>
              </w:rPr>
              <w:t>1,l</w:t>
            </w:r>
            <w:proofErr w:type="gramEnd"/>
            <w:r w:rsidRPr="002259D9">
              <w:rPr>
                <w:rFonts w:cs="Arial"/>
                <w:b/>
                <w:bCs/>
                <w:i/>
                <w:iCs/>
                <w:sz w:val="14"/>
                <w:szCs w:val="14"/>
                <w:lang w:val="es-CO" w:eastAsia="es-CO"/>
              </w:rPr>
              <w:t>,7</w:t>
            </w:r>
          </w:p>
        </w:tc>
      </w:tr>
      <w:tr w:rsidR="00014D0B" w:rsidRPr="002259D9" w14:paraId="6E9574CF" w14:textId="77777777" w:rsidTr="00216A2C">
        <w:trPr>
          <w:trHeight w:val="255"/>
          <w:jc w:val="center"/>
        </w:trPr>
        <w:tc>
          <w:tcPr>
            <w:tcW w:w="518" w:type="pct"/>
            <w:tcBorders>
              <w:top w:val="nil"/>
              <w:left w:val="single" w:sz="4" w:space="0" w:color="auto"/>
              <w:bottom w:val="single" w:sz="4" w:space="0" w:color="auto"/>
              <w:right w:val="nil"/>
            </w:tcBorders>
            <w:shd w:val="clear" w:color="000000" w:fill="FFFFFF"/>
            <w:noWrap/>
            <w:vAlign w:val="center"/>
            <w:hideMark/>
          </w:tcPr>
          <w:p w14:paraId="50593906"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11</w:t>
            </w:r>
          </w:p>
        </w:tc>
        <w:tc>
          <w:tcPr>
            <w:tcW w:w="640" w:type="pct"/>
            <w:tcBorders>
              <w:top w:val="nil"/>
              <w:left w:val="single" w:sz="4" w:space="0" w:color="auto"/>
              <w:bottom w:val="single" w:sz="4" w:space="0" w:color="auto"/>
              <w:right w:val="single" w:sz="4" w:space="0" w:color="auto"/>
            </w:tcBorders>
            <w:shd w:val="clear" w:color="auto" w:fill="auto"/>
            <w:noWrap/>
            <w:vAlign w:val="center"/>
          </w:tcPr>
          <w:p w14:paraId="09ED8548" w14:textId="5113FC98"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25.968.378.000</w:t>
            </w:r>
          </w:p>
        </w:tc>
        <w:tc>
          <w:tcPr>
            <w:tcW w:w="640" w:type="pct"/>
            <w:tcBorders>
              <w:top w:val="nil"/>
              <w:left w:val="nil"/>
              <w:bottom w:val="single" w:sz="4" w:space="0" w:color="auto"/>
              <w:right w:val="single" w:sz="4" w:space="0" w:color="auto"/>
            </w:tcBorders>
            <w:shd w:val="clear" w:color="auto" w:fill="auto"/>
            <w:noWrap/>
            <w:vAlign w:val="center"/>
          </w:tcPr>
          <w:p w14:paraId="781ED66C" w14:textId="06CE24F8"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18.492.377.000</w:t>
            </w:r>
          </w:p>
        </w:tc>
        <w:tc>
          <w:tcPr>
            <w:tcW w:w="640" w:type="pct"/>
            <w:tcBorders>
              <w:top w:val="nil"/>
              <w:left w:val="nil"/>
              <w:bottom w:val="single" w:sz="4" w:space="0" w:color="auto"/>
              <w:right w:val="single" w:sz="4" w:space="0" w:color="auto"/>
            </w:tcBorders>
            <w:shd w:val="clear" w:color="auto" w:fill="auto"/>
            <w:noWrap/>
            <w:vAlign w:val="center"/>
          </w:tcPr>
          <w:p w14:paraId="5214E113" w14:textId="2D6CF817"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39.025.994.918</w:t>
            </w:r>
          </w:p>
        </w:tc>
        <w:tc>
          <w:tcPr>
            <w:tcW w:w="640" w:type="pct"/>
            <w:tcBorders>
              <w:top w:val="nil"/>
              <w:left w:val="nil"/>
              <w:bottom w:val="single" w:sz="4" w:space="0" w:color="auto"/>
              <w:right w:val="single" w:sz="4" w:space="0" w:color="auto"/>
            </w:tcBorders>
            <w:shd w:val="clear" w:color="auto" w:fill="auto"/>
            <w:noWrap/>
            <w:vAlign w:val="center"/>
          </w:tcPr>
          <w:p w14:paraId="060B68DA" w14:textId="48765476"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32.978.778.430</w:t>
            </w:r>
          </w:p>
        </w:tc>
        <w:tc>
          <w:tcPr>
            <w:tcW w:w="640" w:type="pct"/>
            <w:tcBorders>
              <w:top w:val="nil"/>
              <w:left w:val="nil"/>
              <w:bottom w:val="single" w:sz="4" w:space="0" w:color="auto"/>
              <w:right w:val="single" w:sz="4" w:space="0" w:color="auto"/>
            </w:tcBorders>
            <w:shd w:val="clear" w:color="auto" w:fill="auto"/>
            <w:noWrap/>
            <w:vAlign w:val="center"/>
          </w:tcPr>
          <w:p w14:paraId="7EC22997" w14:textId="7E92FEFE"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33.046.512.430</w:t>
            </w:r>
          </w:p>
        </w:tc>
        <w:tc>
          <w:tcPr>
            <w:tcW w:w="640" w:type="pct"/>
            <w:tcBorders>
              <w:top w:val="nil"/>
              <w:left w:val="nil"/>
              <w:bottom w:val="single" w:sz="4" w:space="0" w:color="auto"/>
              <w:right w:val="single" w:sz="4" w:space="0" w:color="auto"/>
            </w:tcBorders>
            <w:shd w:val="clear" w:color="auto" w:fill="auto"/>
            <w:noWrap/>
            <w:vAlign w:val="center"/>
          </w:tcPr>
          <w:p w14:paraId="79C2811C" w14:textId="684D4517"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30.110.583.000</w:t>
            </w:r>
          </w:p>
        </w:tc>
        <w:tc>
          <w:tcPr>
            <w:tcW w:w="640" w:type="pct"/>
            <w:tcBorders>
              <w:top w:val="nil"/>
              <w:left w:val="nil"/>
              <w:bottom w:val="single" w:sz="4" w:space="0" w:color="auto"/>
              <w:right w:val="single" w:sz="4" w:space="0" w:color="auto"/>
            </w:tcBorders>
            <w:shd w:val="clear" w:color="auto" w:fill="auto"/>
            <w:noWrap/>
            <w:vAlign w:val="center"/>
          </w:tcPr>
          <w:p w14:paraId="35E007BC" w14:textId="77607611"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32.059.436.000</w:t>
            </w:r>
          </w:p>
        </w:tc>
      </w:tr>
      <w:tr w:rsidR="00014D0B" w:rsidRPr="002259D9" w14:paraId="659CCF5D" w14:textId="77777777" w:rsidTr="00216A2C">
        <w:trPr>
          <w:trHeight w:val="255"/>
          <w:jc w:val="center"/>
        </w:trPr>
        <w:tc>
          <w:tcPr>
            <w:tcW w:w="518" w:type="pct"/>
            <w:tcBorders>
              <w:top w:val="nil"/>
              <w:left w:val="single" w:sz="4" w:space="0" w:color="auto"/>
              <w:bottom w:val="single" w:sz="4" w:space="0" w:color="auto"/>
              <w:right w:val="nil"/>
            </w:tcBorders>
            <w:shd w:val="clear" w:color="000000" w:fill="FFFFFF"/>
            <w:noWrap/>
            <w:vAlign w:val="center"/>
            <w:hideMark/>
          </w:tcPr>
          <w:p w14:paraId="76AF2E45" w14:textId="77777777" w:rsidR="00014D0B" w:rsidRPr="002259D9" w:rsidRDefault="00014D0B" w:rsidP="00014D0B">
            <w:pPr>
              <w:spacing w:before="0" w:after="0"/>
              <w:jc w:val="center"/>
              <w:rPr>
                <w:rFonts w:cs="Arial"/>
                <w:i/>
                <w:iCs/>
                <w:sz w:val="14"/>
                <w:szCs w:val="14"/>
                <w:lang w:val="es-CO" w:eastAsia="es-CO"/>
              </w:rPr>
            </w:pPr>
            <w:r w:rsidRPr="002259D9">
              <w:rPr>
                <w:rFonts w:cs="Arial"/>
                <w:i/>
                <w:iCs/>
                <w:sz w:val="14"/>
                <w:szCs w:val="14"/>
                <w:lang w:val="es-CO" w:eastAsia="es-CO"/>
              </w:rPr>
              <w:t>l = 12</w:t>
            </w:r>
          </w:p>
        </w:tc>
        <w:tc>
          <w:tcPr>
            <w:tcW w:w="640" w:type="pct"/>
            <w:tcBorders>
              <w:top w:val="nil"/>
              <w:left w:val="single" w:sz="4" w:space="0" w:color="auto"/>
              <w:bottom w:val="single" w:sz="4" w:space="0" w:color="auto"/>
              <w:right w:val="single" w:sz="4" w:space="0" w:color="auto"/>
            </w:tcBorders>
            <w:shd w:val="clear" w:color="auto" w:fill="auto"/>
            <w:noWrap/>
            <w:vAlign w:val="center"/>
          </w:tcPr>
          <w:p w14:paraId="398EFDAF" w14:textId="4A9E6DE6"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28.262.534.387</w:t>
            </w:r>
          </w:p>
        </w:tc>
        <w:tc>
          <w:tcPr>
            <w:tcW w:w="640" w:type="pct"/>
            <w:tcBorders>
              <w:top w:val="nil"/>
              <w:left w:val="nil"/>
              <w:bottom w:val="single" w:sz="4" w:space="0" w:color="auto"/>
              <w:right w:val="single" w:sz="4" w:space="0" w:color="auto"/>
            </w:tcBorders>
            <w:shd w:val="clear" w:color="auto" w:fill="auto"/>
            <w:noWrap/>
            <w:vAlign w:val="center"/>
          </w:tcPr>
          <w:p w14:paraId="3DA6FCB7" w14:textId="3AEAF6FB"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39.115.490.464</w:t>
            </w:r>
          </w:p>
        </w:tc>
        <w:tc>
          <w:tcPr>
            <w:tcW w:w="640" w:type="pct"/>
            <w:tcBorders>
              <w:top w:val="nil"/>
              <w:left w:val="nil"/>
              <w:bottom w:val="single" w:sz="4" w:space="0" w:color="auto"/>
              <w:right w:val="single" w:sz="4" w:space="0" w:color="auto"/>
            </w:tcBorders>
            <w:shd w:val="clear" w:color="auto" w:fill="auto"/>
            <w:noWrap/>
            <w:vAlign w:val="center"/>
          </w:tcPr>
          <w:p w14:paraId="4A39BFA9" w14:textId="6311E0A2"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35.747.142.094</w:t>
            </w:r>
          </w:p>
        </w:tc>
        <w:tc>
          <w:tcPr>
            <w:tcW w:w="640" w:type="pct"/>
            <w:tcBorders>
              <w:top w:val="nil"/>
              <w:left w:val="nil"/>
              <w:bottom w:val="single" w:sz="4" w:space="0" w:color="auto"/>
              <w:right w:val="single" w:sz="4" w:space="0" w:color="auto"/>
            </w:tcBorders>
            <w:shd w:val="clear" w:color="auto" w:fill="auto"/>
            <w:noWrap/>
            <w:vAlign w:val="center"/>
          </w:tcPr>
          <w:p w14:paraId="247AA5AA" w14:textId="3FE3A4CE"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34.791.232.003</w:t>
            </w:r>
          </w:p>
        </w:tc>
        <w:tc>
          <w:tcPr>
            <w:tcW w:w="640" w:type="pct"/>
            <w:tcBorders>
              <w:top w:val="nil"/>
              <w:left w:val="nil"/>
              <w:bottom w:val="single" w:sz="4" w:space="0" w:color="auto"/>
              <w:right w:val="single" w:sz="4" w:space="0" w:color="auto"/>
            </w:tcBorders>
            <w:shd w:val="clear" w:color="auto" w:fill="auto"/>
            <w:noWrap/>
            <w:vAlign w:val="center"/>
          </w:tcPr>
          <w:p w14:paraId="10323A7C" w14:textId="1B3659A4"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33.204.602.780</w:t>
            </w:r>
          </w:p>
        </w:tc>
        <w:tc>
          <w:tcPr>
            <w:tcW w:w="640" w:type="pct"/>
            <w:tcBorders>
              <w:top w:val="nil"/>
              <w:left w:val="nil"/>
              <w:bottom w:val="single" w:sz="4" w:space="0" w:color="auto"/>
              <w:right w:val="single" w:sz="4" w:space="0" w:color="auto"/>
            </w:tcBorders>
            <w:shd w:val="clear" w:color="auto" w:fill="auto"/>
            <w:noWrap/>
            <w:vAlign w:val="center"/>
          </w:tcPr>
          <w:p w14:paraId="71FA64B6" w14:textId="0F19A426"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33.156.167.780</w:t>
            </w:r>
          </w:p>
        </w:tc>
        <w:tc>
          <w:tcPr>
            <w:tcW w:w="640" w:type="pct"/>
            <w:tcBorders>
              <w:top w:val="nil"/>
              <w:left w:val="nil"/>
              <w:bottom w:val="single" w:sz="4" w:space="0" w:color="auto"/>
              <w:right w:val="single" w:sz="4" w:space="0" w:color="auto"/>
            </w:tcBorders>
            <w:shd w:val="clear" w:color="auto" w:fill="auto"/>
            <w:noWrap/>
            <w:vAlign w:val="center"/>
          </w:tcPr>
          <w:p w14:paraId="2DF686C4" w14:textId="65BB08CA" w:rsidR="00014D0B" w:rsidRPr="002259D9" w:rsidRDefault="00014D0B" w:rsidP="007A1A93">
            <w:pPr>
              <w:spacing w:before="0" w:after="0"/>
              <w:jc w:val="right"/>
              <w:rPr>
                <w:rFonts w:cs="Arial"/>
                <w:i/>
                <w:iCs/>
                <w:sz w:val="12"/>
                <w:szCs w:val="12"/>
                <w:lang w:eastAsia="es-CO"/>
              </w:rPr>
            </w:pPr>
            <w:r w:rsidRPr="002259D9">
              <w:rPr>
                <w:rFonts w:cs="Arial"/>
                <w:i/>
                <w:iCs/>
                <w:sz w:val="12"/>
                <w:szCs w:val="12"/>
              </w:rPr>
              <w:t>33.139.263.780</w:t>
            </w:r>
          </w:p>
        </w:tc>
      </w:tr>
    </w:tbl>
    <w:p w14:paraId="71D4312A" w14:textId="165579E3" w:rsidR="00691037" w:rsidRPr="002259D9" w:rsidRDefault="00691037" w:rsidP="00691037">
      <w:pPr>
        <w:pStyle w:val="Artculo"/>
        <w:spacing w:after="120"/>
        <w:ind w:left="0"/>
        <w:outlineLvl w:val="2"/>
        <w:rPr>
          <w:b w:val="0"/>
        </w:rPr>
      </w:pPr>
      <w:r w:rsidRPr="002259D9">
        <w:t xml:space="preserve">Modificar el artículo </w:t>
      </w:r>
      <w:r w:rsidR="00B80E07" w:rsidRPr="002259D9">
        <w:t>4</w:t>
      </w:r>
      <w:r w:rsidRPr="002259D9">
        <w:t xml:space="preserve"> de la Resolución CREG </w:t>
      </w:r>
      <w:r w:rsidR="00B80E07" w:rsidRPr="002259D9">
        <w:t>078</w:t>
      </w:r>
      <w:r w:rsidRPr="002259D9">
        <w:t xml:space="preserve"> de 20</w:t>
      </w:r>
      <w:r w:rsidR="00B80E07" w:rsidRPr="002259D9">
        <w:t>19</w:t>
      </w:r>
      <w:r w:rsidRPr="002259D9">
        <w:rPr>
          <w:bCs/>
        </w:rPr>
        <w:t>.</w:t>
      </w:r>
      <w:r w:rsidRPr="002259D9">
        <w:rPr>
          <w:b w:val="0"/>
        </w:rPr>
        <w:t xml:space="preserve"> El artículo </w:t>
      </w:r>
      <w:r w:rsidR="00B80E07" w:rsidRPr="002259D9">
        <w:rPr>
          <w:b w:val="0"/>
        </w:rPr>
        <w:t>4</w:t>
      </w:r>
      <w:r w:rsidRPr="002259D9">
        <w:rPr>
          <w:b w:val="0"/>
        </w:rPr>
        <w:t xml:space="preserve"> de la Resolución CREG </w:t>
      </w:r>
      <w:r w:rsidR="00B80E07" w:rsidRPr="002259D9">
        <w:rPr>
          <w:b w:val="0"/>
        </w:rPr>
        <w:t>078</w:t>
      </w:r>
      <w:r w:rsidRPr="002259D9">
        <w:rPr>
          <w:b w:val="0"/>
        </w:rPr>
        <w:t xml:space="preserve"> de 20</w:t>
      </w:r>
      <w:r w:rsidR="00B80E07" w:rsidRPr="002259D9">
        <w:rPr>
          <w:b w:val="0"/>
        </w:rPr>
        <w:t>19</w:t>
      </w:r>
      <w:r w:rsidR="003A5D8F" w:rsidRPr="002259D9">
        <w:rPr>
          <w:b w:val="0"/>
        </w:rPr>
        <w:t xml:space="preserve">, modificado por el artículo </w:t>
      </w:r>
      <w:r w:rsidR="00B80E07" w:rsidRPr="002259D9">
        <w:rPr>
          <w:b w:val="0"/>
        </w:rPr>
        <w:t>3</w:t>
      </w:r>
      <w:r w:rsidR="003A5D8F" w:rsidRPr="002259D9">
        <w:rPr>
          <w:b w:val="0"/>
        </w:rPr>
        <w:t xml:space="preserve"> de la Resolución CREG </w:t>
      </w:r>
      <w:r w:rsidR="00B80E07" w:rsidRPr="002259D9">
        <w:rPr>
          <w:b w:val="0"/>
        </w:rPr>
        <w:t>136</w:t>
      </w:r>
      <w:r w:rsidR="003A5D8F" w:rsidRPr="002259D9">
        <w:rPr>
          <w:b w:val="0"/>
        </w:rPr>
        <w:t xml:space="preserve"> de 20</w:t>
      </w:r>
      <w:r w:rsidR="00B80E07" w:rsidRPr="002259D9">
        <w:rPr>
          <w:b w:val="0"/>
        </w:rPr>
        <w:t>21</w:t>
      </w:r>
      <w:r w:rsidR="003A5D8F" w:rsidRPr="002259D9">
        <w:rPr>
          <w:b w:val="0"/>
        </w:rPr>
        <w:t xml:space="preserve">, </w:t>
      </w:r>
      <w:r w:rsidRPr="002259D9">
        <w:rPr>
          <w:b w:val="0"/>
        </w:rPr>
        <w:t>quedará así:</w:t>
      </w:r>
    </w:p>
    <w:p w14:paraId="2444ADD2" w14:textId="77777777" w:rsidR="003A5D8F" w:rsidRPr="002259D9" w:rsidRDefault="003A5D8F" w:rsidP="003A5D8F">
      <w:pPr>
        <w:pStyle w:val="Artculo"/>
        <w:numPr>
          <w:ilvl w:val="0"/>
          <w:numId w:val="0"/>
        </w:numPr>
        <w:ind w:left="425"/>
        <w:rPr>
          <w:b w:val="0"/>
          <w:bCs/>
          <w:i/>
          <w:iCs/>
          <w:sz w:val="22"/>
          <w:szCs w:val="22"/>
        </w:rPr>
      </w:pPr>
      <w:r w:rsidRPr="002259D9">
        <w:rPr>
          <w:bCs/>
          <w:i/>
          <w:iCs/>
          <w:sz w:val="22"/>
          <w:szCs w:val="22"/>
        </w:rPr>
        <w:t>Artículo 4. Recuperación de capital de activos de la BRA inicial.</w:t>
      </w:r>
      <w:r w:rsidRPr="002259D9">
        <w:rPr>
          <w:i/>
          <w:iCs/>
          <w:sz w:val="22"/>
          <w:szCs w:val="22"/>
        </w:rPr>
        <w:t xml:space="preserve"> </w:t>
      </w:r>
      <w:r w:rsidRPr="002259D9">
        <w:rPr>
          <w:b w:val="0"/>
          <w:bCs/>
          <w:i/>
          <w:iCs/>
          <w:sz w:val="22"/>
          <w:szCs w:val="22"/>
        </w:rPr>
        <w:t xml:space="preserve">El valor de la recuperación de capital reconocida para los activos incluidos en la base regulatoria inicial de activos, </w:t>
      </w:r>
      <w:proofErr w:type="gramStart"/>
      <w:r w:rsidRPr="002259D9">
        <w:rPr>
          <w:b w:val="0"/>
          <w:bCs/>
          <w:i/>
          <w:iCs/>
          <w:sz w:val="22"/>
          <w:szCs w:val="22"/>
        </w:rPr>
        <w:t>RCBIA</w:t>
      </w:r>
      <w:r w:rsidRPr="002259D9">
        <w:rPr>
          <w:b w:val="0"/>
          <w:bCs/>
          <w:i/>
          <w:iCs/>
          <w:sz w:val="22"/>
          <w:szCs w:val="22"/>
          <w:vertAlign w:val="subscript"/>
        </w:rPr>
        <w:t>j,n</w:t>
      </w:r>
      <w:proofErr w:type="gramEnd"/>
      <w:r w:rsidRPr="002259D9">
        <w:rPr>
          <w:b w:val="0"/>
          <w:bCs/>
          <w:i/>
          <w:iCs/>
          <w:sz w:val="22"/>
          <w:szCs w:val="22"/>
          <w:vertAlign w:val="subscript"/>
        </w:rPr>
        <w:t>,1</w:t>
      </w:r>
      <w:r w:rsidRPr="002259D9">
        <w:rPr>
          <w:b w:val="0"/>
          <w:bCs/>
          <w:i/>
          <w:iCs/>
          <w:sz w:val="22"/>
          <w:szCs w:val="22"/>
        </w:rPr>
        <w:t>, del año 1, para cada nivel de tensión, es el siguiente:</w:t>
      </w:r>
    </w:p>
    <w:p w14:paraId="79CD2A4D" w14:textId="77777777" w:rsidR="003A5D8F" w:rsidRPr="002259D9" w:rsidRDefault="003A5D8F" w:rsidP="008F229C">
      <w:pPr>
        <w:pStyle w:val="Artculo"/>
        <w:numPr>
          <w:ilvl w:val="0"/>
          <w:numId w:val="0"/>
        </w:numPr>
        <w:ind w:left="425"/>
        <w:jc w:val="center"/>
        <w:rPr>
          <w:b w:val="0"/>
          <w:bCs/>
          <w:i/>
          <w:iCs/>
        </w:rPr>
      </w:pPr>
      <w:r w:rsidRPr="002259D9">
        <w:rPr>
          <w:b w:val="0"/>
          <w:bCs/>
          <w:i/>
          <w:iCs/>
        </w:rPr>
        <w:t>Tabla 6 Recuperación de capital de activos de la BRA inicial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2008"/>
      </w:tblGrid>
      <w:tr w:rsidR="003A5D8F" w:rsidRPr="002259D9" w14:paraId="74CF48E2" w14:textId="77777777" w:rsidTr="00C41E68">
        <w:trPr>
          <w:trHeight w:val="480"/>
          <w:jc w:val="center"/>
        </w:trPr>
        <w:tc>
          <w:tcPr>
            <w:tcW w:w="0" w:type="auto"/>
            <w:shd w:val="clear" w:color="000000" w:fill="FFFFFF"/>
            <w:vAlign w:val="center"/>
            <w:hideMark/>
          </w:tcPr>
          <w:p w14:paraId="4EDCC415" w14:textId="77777777" w:rsidR="003A5D8F" w:rsidRPr="002259D9" w:rsidRDefault="003A5D8F"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Variable</w:t>
            </w:r>
          </w:p>
        </w:tc>
        <w:tc>
          <w:tcPr>
            <w:tcW w:w="2008" w:type="dxa"/>
            <w:shd w:val="clear" w:color="000000" w:fill="FFFFFF"/>
            <w:vAlign w:val="center"/>
            <w:hideMark/>
          </w:tcPr>
          <w:p w14:paraId="065B3A11" w14:textId="77777777" w:rsidR="003A5D8F" w:rsidRPr="002259D9" w:rsidRDefault="003A5D8F"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Pesos de diciembre de 2017</w:t>
            </w:r>
          </w:p>
        </w:tc>
      </w:tr>
      <w:tr w:rsidR="00F75E1F" w:rsidRPr="002259D9" w14:paraId="34CB8403" w14:textId="77777777" w:rsidTr="00C41E68">
        <w:trPr>
          <w:trHeight w:val="315"/>
          <w:jc w:val="center"/>
        </w:trPr>
        <w:tc>
          <w:tcPr>
            <w:tcW w:w="0" w:type="auto"/>
            <w:shd w:val="clear" w:color="000000" w:fill="FFFFFF"/>
            <w:noWrap/>
            <w:vAlign w:val="center"/>
            <w:hideMark/>
          </w:tcPr>
          <w:p w14:paraId="4F2BF478" w14:textId="77777777" w:rsidR="00F75E1F" w:rsidRPr="002259D9" w:rsidRDefault="00F75E1F" w:rsidP="00F75E1F">
            <w:pPr>
              <w:spacing w:before="0" w:after="0"/>
              <w:jc w:val="center"/>
              <w:rPr>
                <w:rFonts w:cs="Arial"/>
                <w:i/>
                <w:iCs/>
                <w:sz w:val="18"/>
                <w:szCs w:val="18"/>
                <w:lang w:val="es-CO" w:eastAsia="es-CO"/>
              </w:rPr>
            </w:pPr>
            <w:r w:rsidRPr="002259D9">
              <w:rPr>
                <w:rFonts w:cs="Arial"/>
                <w:i/>
                <w:iCs/>
                <w:sz w:val="18"/>
                <w:szCs w:val="18"/>
                <w:lang w:val="es-CO" w:eastAsia="es-CO"/>
              </w:rPr>
              <w:t>RCBIA</w:t>
            </w:r>
            <w:r w:rsidRPr="002259D9">
              <w:rPr>
                <w:rFonts w:cs="Arial"/>
                <w:i/>
                <w:iCs/>
                <w:sz w:val="18"/>
                <w:szCs w:val="18"/>
                <w:vertAlign w:val="subscript"/>
                <w:lang w:val="es-CO" w:eastAsia="es-CO"/>
              </w:rPr>
              <w:t>j,4,1</w:t>
            </w:r>
          </w:p>
        </w:tc>
        <w:tc>
          <w:tcPr>
            <w:tcW w:w="2008" w:type="dxa"/>
            <w:shd w:val="clear" w:color="auto" w:fill="auto"/>
            <w:noWrap/>
            <w:vAlign w:val="center"/>
          </w:tcPr>
          <w:p w14:paraId="644E8EDC" w14:textId="20764C63" w:rsidR="00F75E1F" w:rsidRPr="002259D9" w:rsidRDefault="00F75E1F" w:rsidP="007A1A93">
            <w:pPr>
              <w:spacing w:before="0" w:after="0"/>
              <w:jc w:val="right"/>
              <w:rPr>
                <w:rFonts w:cs="Arial"/>
                <w:i/>
                <w:iCs/>
                <w:sz w:val="18"/>
                <w:szCs w:val="18"/>
                <w:lang w:eastAsia="es-CO"/>
              </w:rPr>
            </w:pPr>
            <w:r w:rsidRPr="002259D9">
              <w:rPr>
                <w:rFonts w:cs="Arial"/>
                <w:i/>
                <w:iCs/>
                <w:sz w:val="18"/>
                <w:szCs w:val="18"/>
              </w:rPr>
              <w:t>40.965.247.064</w:t>
            </w:r>
          </w:p>
        </w:tc>
      </w:tr>
      <w:tr w:rsidR="00F75E1F" w:rsidRPr="002259D9" w14:paraId="4C51B700" w14:textId="77777777" w:rsidTr="00C41E68">
        <w:trPr>
          <w:trHeight w:val="315"/>
          <w:jc w:val="center"/>
        </w:trPr>
        <w:tc>
          <w:tcPr>
            <w:tcW w:w="0" w:type="auto"/>
            <w:shd w:val="clear" w:color="000000" w:fill="FFFFFF"/>
            <w:noWrap/>
            <w:vAlign w:val="center"/>
            <w:hideMark/>
          </w:tcPr>
          <w:p w14:paraId="7E9424C1" w14:textId="77777777" w:rsidR="00F75E1F" w:rsidRPr="002259D9" w:rsidRDefault="00F75E1F" w:rsidP="00F75E1F">
            <w:pPr>
              <w:spacing w:before="0" w:after="0"/>
              <w:jc w:val="center"/>
              <w:rPr>
                <w:rFonts w:cs="Arial"/>
                <w:i/>
                <w:iCs/>
                <w:sz w:val="18"/>
                <w:szCs w:val="18"/>
                <w:lang w:val="es-CO" w:eastAsia="es-CO"/>
              </w:rPr>
            </w:pPr>
            <w:r w:rsidRPr="002259D9">
              <w:rPr>
                <w:rFonts w:cs="Arial"/>
                <w:i/>
                <w:iCs/>
                <w:sz w:val="18"/>
                <w:szCs w:val="18"/>
                <w:lang w:val="es-CO" w:eastAsia="es-CO"/>
              </w:rPr>
              <w:t>RCBIA</w:t>
            </w:r>
            <w:r w:rsidRPr="002259D9">
              <w:rPr>
                <w:rFonts w:cs="Arial"/>
                <w:i/>
                <w:iCs/>
                <w:sz w:val="18"/>
                <w:szCs w:val="18"/>
                <w:vertAlign w:val="subscript"/>
                <w:lang w:val="es-CO" w:eastAsia="es-CO"/>
              </w:rPr>
              <w:t>j,3,1</w:t>
            </w:r>
          </w:p>
        </w:tc>
        <w:tc>
          <w:tcPr>
            <w:tcW w:w="2008" w:type="dxa"/>
            <w:shd w:val="clear" w:color="auto" w:fill="auto"/>
            <w:noWrap/>
            <w:vAlign w:val="center"/>
          </w:tcPr>
          <w:p w14:paraId="1452ECC3" w14:textId="755D2FC7" w:rsidR="00F75E1F" w:rsidRPr="002259D9" w:rsidRDefault="00F75E1F" w:rsidP="007A1A93">
            <w:pPr>
              <w:spacing w:before="0" w:after="0"/>
              <w:jc w:val="right"/>
              <w:rPr>
                <w:rFonts w:cs="Arial"/>
                <w:i/>
                <w:iCs/>
                <w:sz w:val="18"/>
                <w:szCs w:val="18"/>
                <w:lang w:eastAsia="es-CO"/>
              </w:rPr>
            </w:pPr>
            <w:r w:rsidRPr="002259D9">
              <w:rPr>
                <w:rFonts w:cs="Arial"/>
                <w:i/>
                <w:iCs/>
                <w:sz w:val="18"/>
                <w:szCs w:val="18"/>
              </w:rPr>
              <w:t>17.355.050.368</w:t>
            </w:r>
          </w:p>
        </w:tc>
      </w:tr>
      <w:tr w:rsidR="00F75E1F" w:rsidRPr="002259D9" w14:paraId="2C753500" w14:textId="77777777" w:rsidTr="00C41E68">
        <w:trPr>
          <w:trHeight w:val="315"/>
          <w:jc w:val="center"/>
        </w:trPr>
        <w:tc>
          <w:tcPr>
            <w:tcW w:w="0" w:type="auto"/>
            <w:shd w:val="clear" w:color="000000" w:fill="FFFFFF"/>
            <w:noWrap/>
            <w:vAlign w:val="center"/>
            <w:hideMark/>
          </w:tcPr>
          <w:p w14:paraId="75E663BF" w14:textId="77777777" w:rsidR="00F75E1F" w:rsidRPr="002259D9" w:rsidRDefault="00F75E1F" w:rsidP="00F75E1F">
            <w:pPr>
              <w:spacing w:before="0" w:after="0"/>
              <w:jc w:val="center"/>
              <w:rPr>
                <w:rFonts w:cs="Arial"/>
                <w:i/>
                <w:iCs/>
                <w:sz w:val="18"/>
                <w:szCs w:val="18"/>
                <w:lang w:val="es-CO" w:eastAsia="es-CO"/>
              </w:rPr>
            </w:pPr>
            <w:r w:rsidRPr="002259D9">
              <w:rPr>
                <w:rFonts w:cs="Arial"/>
                <w:i/>
                <w:iCs/>
                <w:sz w:val="18"/>
                <w:szCs w:val="18"/>
                <w:lang w:val="es-CO" w:eastAsia="es-CO"/>
              </w:rPr>
              <w:t>RCBIA</w:t>
            </w:r>
            <w:r w:rsidRPr="002259D9">
              <w:rPr>
                <w:rFonts w:cs="Arial"/>
                <w:i/>
                <w:iCs/>
                <w:sz w:val="18"/>
                <w:szCs w:val="18"/>
                <w:vertAlign w:val="subscript"/>
                <w:lang w:val="es-CO" w:eastAsia="es-CO"/>
              </w:rPr>
              <w:t>j,2,1</w:t>
            </w:r>
          </w:p>
        </w:tc>
        <w:tc>
          <w:tcPr>
            <w:tcW w:w="2008" w:type="dxa"/>
            <w:shd w:val="clear" w:color="auto" w:fill="auto"/>
            <w:noWrap/>
            <w:vAlign w:val="center"/>
          </w:tcPr>
          <w:p w14:paraId="228D940B" w14:textId="12FEDFE1" w:rsidR="00F75E1F" w:rsidRPr="002259D9" w:rsidRDefault="00F75E1F" w:rsidP="007A1A93">
            <w:pPr>
              <w:spacing w:before="0" w:after="0"/>
              <w:jc w:val="right"/>
              <w:rPr>
                <w:rFonts w:cs="Arial"/>
                <w:i/>
                <w:iCs/>
                <w:sz w:val="18"/>
                <w:szCs w:val="18"/>
                <w:lang w:eastAsia="es-CO"/>
              </w:rPr>
            </w:pPr>
            <w:r w:rsidRPr="002259D9">
              <w:rPr>
                <w:rFonts w:cs="Arial"/>
                <w:i/>
                <w:iCs/>
                <w:sz w:val="18"/>
                <w:szCs w:val="18"/>
              </w:rPr>
              <w:t>107.379.017.573</w:t>
            </w:r>
          </w:p>
        </w:tc>
      </w:tr>
      <w:tr w:rsidR="00F75E1F" w:rsidRPr="002259D9" w14:paraId="35D2B6A2" w14:textId="77777777" w:rsidTr="00C41E68">
        <w:trPr>
          <w:trHeight w:val="315"/>
          <w:jc w:val="center"/>
        </w:trPr>
        <w:tc>
          <w:tcPr>
            <w:tcW w:w="0" w:type="auto"/>
            <w:shd w:val="clear" w:color="000000" w:fill="FFFFFF"/>
            <w:noWrap/>
            <w:vAlign w:val="center"/>
            <w:hideMark/>
          </w:tcPr>
          <w:p w14:paraId="277F1406" w14:textId="77777777" w:rsidR="00F75E1F" w:rsidRPr="002259D9" w:rsidRDefault="00F75E1F" w:rsidP="00F75E1F">
            <w:pPr>
              <w:spacing w:before="0" w:after="0"/>
              <w:jc w:val="center"/>
              <w:rPr>
                <w:rFonts w:cs="Arial"/>
                <w:i/>
                <w:iCs/>
                <w:sz w:val="18"/>
                <w:szCs w:val="18"/>
                <w:lang w:val="es-CO" w:eastAsia="es-CO"/>
              </w:rPr>
            </w:pPr>
            <w:r w:rsidRPr="002259D9">
              <w:rPr>
                <w:rFonts w:cs="Arial"/>
                <w:i/>
                <w:iCs/>
                <w:sz w:val="18"/>
                <w:szCs w:val="18"/>
                <w:lang w:val="es-CO" w:eastAsia="es-CO"/>
              </w:rPr>
              <w:t>RCBIA</w:t>
            </w:r>
            <w:r w:rsidRPr="002259D9">
              <w:rPr>
                <w:rFonts w:cs="Arial"/>
                <w:i/>
                <w:iCs/>
                <w:sz w:val="18"/>
                <w:szCs w:val="18"/>
                <w:vertAlign w:val="subscript"/>
                <w:lang w:val="es-CO" w:eastAsia="es-CO"/>
              </w:rPr>
              <w:t>j,1,1</w:t>
            </w:r>
          </w:p>
        </w:tc>
        <w:tc>
          <w:tcPr>
            <w:tcW w:w="2008" w:type="dxa"/>
            <w:shd w:val="clear" w:color="auto" w:fill="auto"/>
            <w:noWrap/>
            <w:vAlign w:val="center"/>
          </w:tcPr>
          <w:p w14:paraId="512FE78C" w14:textId="56DF7482" w:rsidR="00F75E1F" w:rsidRPr="002259D9" w:rsidRDefault="00F75E1F" w:rsidP="007A1A93">
            <w:pPr>
              <w:spacing w:before="0" w:after="0"/>
              <w:jc w:val="right"/>
              <w:rPr>
                <w:rFonts w:cs="Arial"/>
                <w:i/>
                <w:iCs/>
                <w:sz w:val="18"/>
                <w:szCs w:val="18"/>
                <w:lang w:eastAsia="es-CO"/>
              </w:rPr>
            </w:pPr>
            <w:r w:rsidRPr="002259D9">
              <w:rPr>
                <w:rFonts w:cs="Arial"/>
                <w:i/>
                <w:iCs/>
                <w:sz w:val="18"/>
                <w:szCs w:val="18"/>
              </w:rPr>
              <w:t>63.952.759.650</w:t>
            </w:r>
          </w:p>
        </w:tc>
      </w:tr>
    </w:tbl>
    <w:p w14:paraId="177DD3AE" w14:textId="62422532" w:rsidR="003A5D8F" w:rsidRPr="002259D9" w:rsidRDefault="003A5D8F" w:rsidP="003A5D8F">
      <w:pPr>
        <w:pStyle w:val="Artculo"/>
        <w:spacing w:after="120"/>
        <w:ind w:left="0"/>
        <w:outlineLvl w:val="2"/>
        <w:rPr>
          <w:b w:val="0"/>
        </w:rPr>
      </w:pPr>
      <w:r w:rsidRPr="002259D9">
        <w:t xml:space="preserve">Modificar el artículo </w:t>
      </w:r>
      <w:r w:rsidR="007E151C" w:rsidRPr="002259D9">
        <w:t>6</w:t>
      </w:r>
      <w:r w:rsidRPr="002259D9">
        <w:t xml:space="preserve"> de la Resolución CREG </w:t>
      </w:r>
      <w:r w:rsidR="007E151C" w:rsidRPr="002259D9">
        <w:t>078</w:t>
      </w:r>
      <w:r w:rsidRPr="002259D9">
        <w:t xml:space="preserve"> de 20</w:t>
      </w:r>
      <w:r w:rsidR="00E110C2" w:rsidRPr="002259D9">
        <w:t>19</w:t>
      </w:r>
      <w:r w:rsidRPr="002259D9">
        <w:rPr>
          <w:bCs/>
        </w:rPr>
        <w:t>.</w:t>
      </w:r>
      <w:r w:rsidRPr="002259D9">
        <w:rPr>
          <w:b w:val="0"/>
        </w:rPr>
        <w:t xml:space="preserve"> El artículo </w:t>
      </w:r>
      <w:r w:rsidR="00E110C2" w:rsidRPr="002259D9">
        <w:rPr>
          <w:b w:val="0"/>
        </w:rPr>
        <w:t>6</w:t>
      </w:r>
      <w:r w:rsidRPr="002259D9">
        <w:rPr>
          <w:b w:val="0"/>
        </w:rPr>
        <w:t xml:space="preserve"> de la Resolución CREG </w:t>
      </w:r>
      <w:r w:rsidR="008F02A8" w:rsidRPr="002259D9">
        <w:rPr>
          <w:b w:val="0"/>
        </w:rPr>
        <w:t>078</w:t>
      </w:r>
      <w:r w:rsidRPr="002259D9">
        <w:rPr>
          <w:b w:val="0"/>
        </w:rPr>
        <w:t xml:space="preserve"> de 20</w:t>
      </w:r>
      <w:r w:rsidR="00947745" w:rsidRPr="002259D9">
        <w:rPr>
          <w:b w:val="0"/>
        </w:rPr>
        <w:t>19</w:t>
      </w:r>
      <w:r w:rsidRPr="002259D9">
        <w:rPr>
          <w:b w:val="0"/>
        </w:rPr>
        <w:t xml:space="preserve">, modificado por el artículo </w:t>
      </w:r>
      <w:r w:rsidR="00B3680A" w:rsidRPr="002259D9">
        <w:rPr>
          <w:b w:val="0"/>
        </w:rPr>
        <w:t>4</w:t>
      </w:r>
      <w:r w:rsidRPr="002259D9">
        <w:rPr>
          <w:b w:val="0"/>
        </w:rPr>
        <w:t xml:space="preserve"> de la Resolución CREG </w:t>
      </w:r>
      <w:r w:rsidR="00B3680A" w:rsidRPr="002259D9">
        <w:rPr>
          <w:b w:val="0"/>
        </w:rPr>
        <w:t>136</w:t>
      </w:r>
      <w:r w:rsidRPr="002259D9">
        <w:rPr>
          <w:b w:val="0"/>
        </w:rPr>
        <w:t xml:space="preserve"> de 20</w:t>
      </w:r>
      <w:r w:rsidR="00B3680A" w:rsidRPr="002259D9">
        <w:rPr>
          <w:b w:val="0"/>
        </w:rPr>
        <w:t>21</w:t>
      </w:r>
      <w:r w:rsidRPr="002259D9">
        <w:rPr>
          <w:b w:val="0"/>
        </w:rPr>
        <w:t>, quedará así:</w:t>
      </w:r>
    </w:p>
    <w:p w14:paraId="4D36D1F2" w14:textId="77777777" w:rsidR="003A5D8F" w:rsidRPr="002259D9" w:rsidRDefault="003A5D8F" w:rsidP="003A5D8F">
      <w:pPr>
        <w:pStyle w:val="Artculo"/>
        <w:numPr>
          <w:ilvl w:val="0"/>
          <w:numId w:val="0"/>
        </w:numPr>
        <w:ind w:left="425"/>
        <w:rPr>
          <w:b w:val="0"/>
          <w:bCs/>
          <w:i/>
          <w:iCs/>
        </w:rPr>
      </w:pPr>
      <w:r w:rsidRPr="002259D9">
        <w:rPr>
          <w:i/>
          <w:iCs/>
          <w:sz w:val="22"/>
          <w:szCs w:val="22"/>
        </w:rPr>
        <w:t xml:space="preserve">Artículo 6. Base regulatoria de terrenos. </w:t>
      </w:r>
      <w:r w:rsidRPr="002259D9">
        <w:rPr>
          <w:b w:val="0"/>
          <w:bCs/>
          <w:i/>
          <w:iCs/>
          <w:sz w:val="22"/>
          <w:szCs w:val="22"/>
        </w:rPr>
        <w:t xml:space="preserve">El valor de la base regulatoria de terrenos, </w:t>
      </w:r>
      <w:proofErr w:type="gramStart"/>
      <w:r w:rsidRPr="002259D9">
        <w:rPr>
          <w:b w:val="0"/>
          <w:bCs/>
          <w:i/>
          <w:iCs/>
          <w:sz w:val="22"/>
          <w:szCs w:val="22"/>
        </w:rPr>
        <w:t>BRT</w:t>
      </w:r>
      <w:r w:rsidRPr="002259D9">
        <w:rPr>
          <w:b w:val="0"/>
          <w:bCs/>
          <w:i/>
          <w:iCs/>
          <w:sz w:val="22"/>
          <w:szCs w:val="22"/>
          <w:vertAlign w:val="subscript"/>
        </w:rPr>
        <w:t>j,n</w:t>
      </w:r>
      <w:proofErr w:type="gramEnd"/>
      <w:r w:rsidRPr="002259D9">
        <w:rPr>
          <w:b w:val="0"/>
          <w:bCs/>
          <w:i/>
          <w:iCs/>
          <w:sz w:val="22"/>
          <w:szCs w:val="22"/>
          <w:vertAlign w:val="subscript"/>
        </w:rPr>
        <w:t>,1</w:t>
      </w:r>
      <w:r w:rsidRPr="002259D9">
        <w:rPr>
          <w:b w:val="0"/>
          <w:bCs/>
          <w:i/>
          <w:iCs/>
          <w:sz w:val="22"/>
          <w:szCs w:val="22"/>
        </w:rPr>
        <w:t>, del año 1, para los niveles de tensión 4, 3 y 2, es el siguiente</w:t>
      </w:r>
      <w:r w:rsidRPr="002259D9">
        <w:rPr>
          <w:b w:val="0"/>
          <w:bCs/>
          <w:i/>
          <w:iCs/>
        </w:rPr>
        <w:t>:</w:t>
      </w:r>
    </w:p>
    <w:p w14:paraId="4B210F8C" w14:textId="56288B6A" w:rsidR="003A5D8F" w:rsidRPr="002259D9" w:rsidRDefault="003A5D8F" w:rsidP="003A5D8F">
      <w:pPr>
        <w:pStyle w:val="Artculo"/>
        <w:numPr>
          <w:ilvl w:val="0"/>
          <w:numId w:val="0"/>
        </w:numPr>
        <w:ind w:left="425"/>
        <w:jc w:val="center"/>
        <w:rPr>
          <w:b w:val="0"/>
          <w:bCs/>
          <w:i/>
          <w:iCs/>
        </w:rPr>
      </w:pPr>
      <w:r w:rsidRPr="002259D9">
        <w:rPr>
          <w:b w:val="0"/>
          <w:bCs/>
          <w:i/>
          <w:iCs/>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3A5D8F" w:rsidRPr="002259D9" w14:paraId="5A604658" w14:textId="77777777" w:rsidTr="00B201E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E5782" w14:textId="77777777" w:rsidR="003A5D8F" w:rsidRPr="002259D9" w:rsidRDefault="003A5D8F"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144FF46A" w14:textId="77777777" w:rsidR="003A5D8F" w:rsidRPr="002259D9" w:rsidRDefault="003A5D8F"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Pesos de diciembre de 2017</w:t>
            </w:r>
          </w:p>
        </w:tc>
      </w:tr>
      <w:tr w:rsidR="00273BE8" w:rsidRPr="002259D9" w14:paraId="023EEEFC" w14:textId="77777777" w:rsidTr="003A5D8F">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A7794E1"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BRT</w:t>
            </w:r>
            <w:r w:rsidRPr="002259D9">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tcPr>
          <w:p w14:paraId="18975FB2" w14:textId="4D6EB5E6"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1.374.453.236</w:t>
            </w:r>
          </w:p>
        </w:tc>
      </w:tr>
      <w:tr w:rsidR="00273BE8" w:rsidRPr="002259D9" w14:paraId="72A16257" w14:textId="77777777" w:rsidTr="003A5D8F">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362D951"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BRT</w:t>
            </w:r>
            <w:r w:rsidRPr="002259D9">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tcPr>
          <w:p w14:paraId="4237D2DE" w14:textId="2B450BA7"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542.851.912</w:t>
            </w:r>
          </w:p>
        </w:tc>
      </w:tr>
      <w:tr w:rsidR="00273BE8" w:rsidRPr="002259D9" w14:paraId="198B3D6B" w14:textId="77777777" w:rsidTr="003A5D8F">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4469FB0"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BRT</w:t>
            </w:r>
            <w:r w:rsidRPr="002259D9">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tcPr>
          <w:p w14:paraId="1468F4FD" w14:textId="12DCCA01"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23.423.768</w:t>
            </w:r>
          </w:p>
        </w:tc>
      </w:tr>
    </w:tbl>
    <w:p w14:paraId="3690D472" w14:textId="01712A99" w:rsidR="008F229C" w:rsidRPr="002259D9" w:rsidRDefault="008F229C" w:rsidP="008F229C">
      <w:pPr>
        <w:pStyle w:val="Artculo"/>
        <w:spacing w:after="120"/>
        <w:ind w:left="0"/>
        <w:outlineLvl w:val="2"/>
        <w:rPr>
          <w:b w:val="0"/>
        </w:rPr>
      </w:pPr>
      <w:r w:rsidRPr="002259D9">
        <w:t xml:space="preserve">Modificar el artículo </w:t>
      </w:r>
      <w:r w:rsidR="007E151C" w:rsidRPr="002259D9">
        <w:t>7</w:t>
      </w:r>
      <w:r w:rsidRPr="002259D9">
        <w:t xml:space="preserve"> de la Resolución CREG </w:t>
      </w:r>
      <w:r w:rsidR="007E151C" w:rsidRPr="002259D9">
        <w:t>078</w:t>
      </w:r>
      <w:r w:rsidRPr="002259D9">
        <w:t xml:space="preserve"> de 20</w:t>
      </w:r>
      <w:r w:rsidR="007E151C" w:rsidRPr="002259D9">
        <w:t>19</w:t>
      </w:r>
      <w:r w:rsidRPr="002259D9">
        <w:rPr>
          <w:bCs/>
        </w:rPr>
        <w:t>.</w:t>
      </w:r>
      <w:r w:rsidRPr="002259D9">
        <w:rPr>
          <w:b w:val="0"/>
        </w:rPr>
        <w:t xml:space="preserve"> El artículo </w:t>
      </w:r>
      <w:r w:rsidR="007E151C" w:rsidRPr="002259D9">
        <w:rPr>
          <w:b w:val="0"/>
        </w:rPr>
        <w:t>7</w:t>
      </w:r>
      <w:r w:rsidRPr="002259D9">
        <w:rPr>
          <w:b w:val="0"/>
        </w:rPr>
        <w:t xml:space="preserve"> de la Resolución CREG </w:t>
      </w:r>
      <w:r w:rsidR="007E151C" w:rsidRPr="002259D9">
        <w:rPr>
          <w:b w:val="0"/>
        </w:rPr>
        <w:t>078</w:t>
      </w:r>
      <w:r w:rsidRPr="002259D9">
        <w:rPr>
          <w:b w:val="0"/>
        </w:rPr>
        <w:t xml:space="preserve"> de 20</w:t>
      </w:r>
      <w:r w:rsidR="007E151C" w:rsidRPr="002259D9">
        <w:rPr>
          <w:b w:val="0"/>
        </w:rPr>
        <w:t>19</w:t>
      </w:r>
      <w:r w:rsidRPr="002259D9">
        <w:rPr>
          <w:b w:val="0"/>
        </w:rPr>
        <w:t xml:space="preserve">, modificado por el artículo </w:t>
      </w:r>
      <w:r w:rsidR="007E151C" w:rsidRPr="002259D9">
        <w:rPr>
          <w:b w:val="0"/>
        </w:rPr>
        <w:t>5</w:t>
      </w:r>
      <w:r w:rsidRPr="002259D9">
        <w:rPr>
          <w:b w:val="0"/>
        </w:rPr>
        <w:t xml:space="preserve"> de la Resolución CREG </w:t>
      </w:r>
      <w:r w:rsidR="007E151C" w:rsidRPr="002259D9">
        <w:rPr>
          <w:b w:val="0"/>
        </w:rPr>
        <w:t>136</w:t>
      </w:r>
      <w:r w:rsidRPr="002259D9">
        <w:rPr>
          <w:b w:val="0"/>
        </w:rPr>
        <w:t xml:space="preserve"> de 20</w:t>
      </w:r>
      <w:r w:rsidR="007E151C" w:rsidRPr="002259D9">
        <w:rPr>
          <w:b w:val="0"/>
        </w:rPr>
        <w:t>21</w:t>
      </w:r>
      <w:r w:rsidRPr="002259D9">
        <w:rPr>
          <w:b w:val="0"/>
        </w:rPr>
        <w:t>, quedará así:</w:t>
      </w:r>
    </w:p>
    <w:p w14:paraId="6D32F559" w14:textId="2CB370CE" w:rsidR="008F229C" w:rsidRDefault="008F229C" w:rsidP="008F229C">
      <w:pPr>
        <w:ind w:left="708"/>
        <w:rPr>
          <w:bCs/>
          <w:i/>
          <w:iCs/>
          <w:sz w:val="22"/>
          <w:szCs w:val="22"/>
        </w:rPr>
      </w:pPr>
      <w:r w:rsidRPr="002259D9">
        <w:rPr>
          <w:b/>
          <w:i/>
          <w:iCs/>
          <w:sz w:val="22"/>
          <w:szCs w:val="22"/>
        </w:rPr>
        <w:t xml:space="preserve">Artículo 7. AOM base por nivel de tensión. </w:t>
      </w:r>
      <w:r w:rsidRPr="002259D9">
        <w:rPr>
          <w:bCs/>
          <w:i/>
          <w:iCs/>
          <w:sz w:val="22"/>
          <w:szCs w:val="22"/>
        </w:rPr>
        <w:t xml:space="preserve">El valor del AOM base para cada nivel de tensión, </w:t>
      </w:r>
      <w:proofErr w:type="spellStart"/>
      <w:proofErr w:type="gramStart"/>
      <w:r w:rsidRPr="002259D9">
        <w:rPr>
          <w:bCs/>
          <w:i/>
          <w:iCs/>
          <w:sz w:val="22"/>
          <w:szCs w:val="22"/>
        </w:rPr>
        <w:t>AOMbase</w:t>
      </w:r>
      <w:r w:rsidRPr="002259D9">
        <w:rPr>
          <w:bCs/>
          <w:i/>
          <w:iCs/>
          <w:sz w:val="22"/>
          <w:szCs w:val="22"/>
          <w:vertAlign w:val="subscript"/>
        </w:rPr>
        <w:t>j,n</w:t>
      </w:r>
      <w:proofErr w:type="spellEnd"/>
      <w:proofErr w:type="gramEnd"/>
      <w:r w:rsidRPr="002259D9">
        <w:rPr>
          <w:bCs/>
          <w:i/>
          <w:iCs/>
          <w:sz w:val="22"/>
          <w:szCs w:val="22"/>
        </w:rPr>
        <w:t>, es el siguiente:</w:t>
      </w:r>
    </w:p>
    <w:p w14:paraId="7AFB6A78" w14:textId="77777777" w:rsidR="00C02C2E" w:rsidRPr="002259D9" w:rsidRDefault="00C02C2E" w:rsidP="008F229C">
      <w:pPr>
        <w:ind w:left="708"/>
        <w:rPr>
          <w:bCs/>
          <w:i/>
          <w:iCs/>
          <w:sz w:val="22"/>
          <w:szCs w:val="22"/>
        </w:rPr>
      </w:pPr>
    </w:p>
    <w:p w14:paraId="43A0C206" w14:textId="77777777" w:rsidR="008F229C" w:rsidRPr="002259D9" w:rsidRDefault="008F229C" w:rsidP="008F229C">
      <w:pPr>
        <w:pStyle w:val="Descripcin"/>
        <w:rPr>
          <w:i/>
          <w:iCs/>
          <w:szCs w:val="22"/>
        </w:rPr>
      </w:pPr>
      <w:r w:rsidRPr="002259D9">
        <w:rPr>
          <w:i/>
          <w:iCs/>
          <w:szCs w:val="22"/>
        </w:rPr>
        <w:t>Tabla 9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8F229C" w:rsidRPr="002259D9" w14:paraId="2DB9243D" w14:textId="77777777" w:rsidTr="00B201E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039B9" w14:textId="77777777" w:rsidR="008F229C" w:rsidRPr="002259D9" w:rsidRDefault="008F229C"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FF32401" w14:textId="77777777" w:rsidR="008F229C" w:rsidRPr="002259D9" w:rsidRDefault="008F229C"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Pesos de diciembre de 2017</w:t>
            </w:r>
          </w:p>
        </w:tc>
      </w:tr>
      <w:tr w:rsidR="00273BE8" w:rsidRPr="002259D9" w14:paraId="1980B5E7"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2B004F6"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AOMbase</w:t>
            </w:r>
            <w:r w:rsidRPr="002259D9">
              <w:rPr>
                <w:rFonts w:cs="Arial"/>
                <w:i/>
                <w:iCs/>
                <w:sz w:val="18"/>
                <w:szCs w:val="18"/>
                <w:vertAlign w:val="subscript"/>
                <w:lang w:val="es-CO" w:eastAsia="es-CO"/>
              </w:rPr>
              <w:t>j,4</w:t>
            </w:r>
          </w:p>
        </w:tc>
        <w:tc>
          <w:tcPr>
            <w:tcW w:w="1960" w:type="dxa"/>
            <w:tcBorders>
              <w:top w:val="nil"/>
              <w:left w:val="nil"/>
              <w:bottom w:val="single" w:sz="4" w:space="0" w:color="auto"/>
              <w:right w:val="single" w:sz="4" w:space="0" w:color="auto"/>
            </w:tcBorders>
            <w:noWrap/>
            <w:vAlign w:val="center"/>
          </w:tcPr>
          <w:p w14:paraId="25BB322D" w14:textId="515F6863"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37.676.818.483</w:t>
            </w:r>
          </w:p>
        </w:tc>
      </w:tr>
      <w:tr w:rsidR="00273BE8" w:rsidRPr="002259D9" w14:paraId="1E13255C"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9CF1251"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AOMbase</w:t>
            </w:r>
            <w:r w:rsidRPr="002259D9">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noWrap/>
            <w:vAlign w:val="center"/>
          </w:tcPr>
          <w:p w14:paraId="17FE9E7F" w14:textId="5434806B"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16.283.555.065</w:t>
            </w:r>
          </w:p>
        </w:tc>
      </w:tr>
      <w:tr w:rsidR="00273BE8" w:rsidRPr="002259D9" w14:paraId="141E35CF"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F8D0F3D"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AOMbase</w:t>
            </w:r>
            <w:r w:rsidRPr="002259D9">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noWrap/>
            <w:vAlign w:val="center"/>
          </w:tcPr>
          <w:p w14:paraId="418E88AD" w14:textId="7D2F7CA2"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115.724.667.014</w:t>
            </w:r>
          </w:p>
        </w:tc>
      </w:tr>
      <w:tr w:rsidR="00273BE8" w:rsidRPr="002259D9" w14:paraId="439F684D" w14:textId="77777777" w:rsidTr="008F229C">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602FB52" w14:textId="77777777" w:rsidR="00273BE8" w:rsidRPr="002259D9" w:rsidRDefault="00273BE8" w:rsidP="00273BE8">
            <w:pPr>
              <w:spacing w:before="0" w:after="0"/>
              <w:jc w:val="center"/>
              <w:rPr>
                <w:rFonts w:cs="Arial"/>
                <w:i/>
                <w:iCs/>
                <w:sz w:val="18"/>
                <w:szCs w:val="18"/>
                <w:lang w:val="es-CO" w:eastAsia="es-CO"/>
              </w:rPr>
            </w:pPr>
            <w:r w:rsidRPr="002259D9">
              <w:rPr>
                <w:rFonts w:cs="Arial"/>
                <w:i/>
                <w:iCs/>
                <w:sz w:val="18"/>
                <w:szCs w:val="18"/>
                <w:lang w:val="es-CO" w:eastAsia="es-CO"/>
              </w:rPr>
              <w:t>AOMbase</w:t>
            </w:r>
            <w:r w:rsidRPr="002259D9">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noWrap/>
            <w:vAlign w:val="center"/>
          </w:tcPr>
          <w:p w14:paraId="1B7070AD" w14:textId="21CD450B" w:rsidR="00273BE8" w:rsidRPr="002259D9" w:rsidRDefault="00273BE8" w:rsidP="00973846">
            <w:pPr>
              <w:spacing w:before="0" w:after="0"/>
              <w:jc w:val="right"/>
              <w:rPr>
                <w:rFonts w:cs="Arial"/>
                <w:i/>
                <w:iCs/>
                <w:sz w:val="18"/>
                <w:szCs w:val="18"/>
                <w:lang w:eastAsia="es-CO"/>
              </w:rPr>
            </w:pPr>
            <w:r w:rsidRPr="002259D9">
              <w:rPr>
                <w:rFonts w:cs="Arial"/>
                <w:i/>
                <w:iCs/>
                <w:sz w:val="18"/>
                <w:szCs w:val="18"/>
              </w:rPr>
              <w:t>47.180.518.327</w:t>
            </w:r>
          </w:p>
        </w:tc>
      </w:tr>
    </w:tbl>
    <w:p w14:paraId="14184E17" w14:textId="77777777" w:rsidR="00C02C2E" w:rsidRPr="00C02C2E" w:rsidRDefault="00C02C2E" w:rsidP="00C02C2E">
      <w:pPr>
        <w:pStyle w:val="Artculo"/>
        <w:numPr>
          <w:ilvl w:val="0"/>
          <w:numId w:val="0"/>
        </w:numPr>
        <w:spacing w:before="0" w:after="0"/>
        <w:outlineLvl w:val="2"/>
        <w:rPr>
          <w:b w:val="0"/>
          <w:sz w:val="32"/>
          <w:szCs w:val="32"/>
        </w:rPr>
      </w:pPr>
    </w:p>
    <w:p w14:paraId="0E9BA5CB" w14:textId="04ADA179" w:rsidR="008F229C" w:rsidRPr="002259D9" w:rsidRDefault="008F229C" w:rsidP="00C02C2E">
      <w:pPr>
        <w:pStyle w:val="Artculo"/>
        <w:spacing w:before="0" w:after="0"/>
        <w:ind w:left="0"/>
        <w:outlineLvl w:val="2"/>
        <w:rPr>
          <w:b w:val="0"/>
        </w:rPr>
      </w:pPr>
      <w:r w:rsidRPr="002259D9">
        <w:t xml:space="preserve">Modificar el artículo </w:t>
      </w:r>
      <w:r w:rsidR="00046E1A" w:rsidRPr="002259D9">
        <w:t>15</w:t>
      </w:r>
      <w:r w:rsidRPr="002259D9">
        <w:t xml:space="preserve"> de la Resolución CREG </w:t>
      </w:r>
      <w:r w:rsidR="00046E1A" w:rsidRPr="002259D9">
        <w:t>078</w:t>
      </w:r>
      <w:r w:rsidRPr="002259D9">
        <w:t xml:space="preserve"> de 20</w:t>
      </w:r>
      <w:r w:rsidR="00046E1A" w:rsidRPr="002259D9">
        <w:t>19</w:t>
      </w:r>
      <w:r w:rsidRPr="002259D9">
        <w:rPr>
          <w:bCs/>
        </w:rPr>
        <w:t>.</w:t>
      </w:r>
      <w:r w:rsidRPr="002259D9">
        <w:rPr>
          <w:b w:val="0"/>
        </w:rPr>
        <w:t xml:space="preserve"> El artículo </w:t>
      </w:r>
      <w:r w:rsidR="00046E1A" w:rsidRPr="002259D9">
        <w:rPr>
          <w:b w:val="0"/>
        </w:rPr>
        <w:t>15</w:t>
      </w:r>
      <w:r w:rsidR="001D0C52" w:rsidRPr="002259D9">
        <w:rPr>
          <w:b w:val="0"/>
        </w:rPr>
        <w:t xml:space="preserve"> </w:t>
      </w:r>
      <w:r w:rsidRPr="002259D9">
        <w:rPr>
          <w:b w:val="0"/>
        </w:rPr>
        <w:t xml:space="preserve">de la Resolución CREG </w:t>
      </w:r>
      <w:r w:rsidR="00046E1A" w:rsidRPr="002259D9">
        <w:rPr>
          <w:b w:val="0"/>
        </w:rPr>
        <w:t>078</w:t>
      </w:r>
      <w:r w:rsidRPr="002259D9">
        <w:rPr>
          <w:b w:val="0"/>
        </w:rPr>
        <w:t xml:space="preserve"> de 20</w:t>
      </w:r>
      <w:r w:rsidR="00046E1A" w:rsidRPr="002259D9">
        <w:rPr>
          <w:b w:val="0"/>
        </w:rPr>
        <w:t>19</w:t>
      </w:r>
      <w:r w:rsidRPr="002259D9">
        <w:rPr>
          <w:b w:val="0"/>
        </w:rPr>
        <w:t xml:space="preserve">, modificado por el artículo </w:t>
      </w:r>
      <w:r w:rsidR="00046E1A" w:rsidRPr="002259D9">
        <w:rPr>
          <w:b w:val="0"/>
        </w:rPr>
        <w:t>6</w:t>
      </w:r>
      <w:r w:rsidRPr="002259D9">
        <w:rPr>
          <w:b w:val="0"/>
        </w:rPr>
        <w:t xml:space="preserve"> de la Resolución CREG </w:t>
      </w:r>
      <w:r w:rsidR="00046E1A" w:rsidRPr="002259D9">
        <w:rPr>
          <w:b w:val="0"/>
        </w:rPr>
        <w:t>136</w:t>
      </w:r>
      <w:r w:rsidRPr="002259D9">
        <w:rPr>
          <w:b w:val="0"/>
        </w:rPr>
        <w:t xml:space="preserve"> de 20</w:t>
      </w:r>
      <w:r w:rsidR="00046E1A" w:rsidRPr="002259D9">
        <w:rPr>
          <w:b w:val="0"/>
        </w:rPr>
        <w:t>21</w:t>
      </w:r>
      <w:r w:rsidRPr="002259D9">
        <w:rPr>
          <w:b w:val="0"/>
        </w:rPr>
        <w:t>, quedará así:</w:t>
      </w:r>
    </w:p>
    <w:p w14:paraId="04342355" w14:textId="77777777" w:rsidR="008F229C" w:rsidRPr="002259D9" w:rsidRDefault="008F229C" w:rsidP="008F229C">
      <w:pPr>
        <w:pStyle w:val="Descripcin"/>
        <w:ind w:left="708"/>
        <w:jc w:val="both"/>
        <w:rPr>
          <w:i/>
          <w:iCs/>
        </w:rPr>
      </w:pPr>
      <w:r w:rsidRPr="002259D9">
        <w:rPr>
          <w:b/>
          <w:i/>
          <w:iCs/>
          <w:szCs w:val="22"/>
        </w:rPr>
        <w:t xml:space="preserve">Artículo 15. Costos de reposición de referencia. </w:t>
      </w:r>
      <w:r w:rsidRPr="002259D9">
        <w:rPr>
          <w:i/>
          <w:iCs/>
        </w:rPr>
        <w:t xml:space="preserve">El costo de reposición de referencia, </w:t>
      </w:r>
      <w:proofErr w:type="spellStart"/>
      <w:r w:rsidRPr="002259D9">
        <w:rPr>
          <w:i/>
          <w:iCs/>
        </w:rPr>
        <w:t>CRR</w:t>
      </w:r>
      <w:r w:rsidRPr="002259D9">
        <w:rPr>
          <w:i/>
          <w:iCs/>
          <w:vertAlign w:val="subscript"/>
        </w:rPr>
        <w:t>j</w:t>
      </w:r>
      <w:proofErr w:type="spellEnd"/>
      <w:r w:rsidRPr="002259D9">
        <w:rPr>
          <w:i/>
          <w:iCs/>
        </w:rPr>
        <w:t xml:space="preserve">, y los costos de reposición de referencia por nivel de tensión, </w:t>
      </w:r>
      <w:proofErr w:type="spellStart"/>
      <w:proofErr w:type="gramStart"/>
      <w:r w:rsidRPr="002259D9">
        <w:rPr>
          <w:i/>
          <w:iCs/>
        </w:rPr>
        <w:t>Crr</w:t>
      </w:r>
      <w:r w:rsidRPr="002259D9">
        <w:rPr>
          <w:i/>
          <w:iCs/>
          <w:vertAlign w:val="subscript"/>
        </w:rPr>
        <w:t>j,n</w:t>
      </w:r>
      <w:proofErr w:type="spellEnd"/>
      <w:proofErr w:type="gramEnd"/>
      <w:r w:rsidRPr="002259D9">
        <w:rPr>
          <w:i/>
          <w:iCs/>
        </w:rPr>
        <w:t>, son los siguientes:</w:t>
      </w:r>
    </w:p>
    <w:p w14:paraId="5F3C2B66" w14:textId="77777777" w:rsidR="008F229C" w:rsidRPr="002259D9" w:rsidRDefault="008F229C" w:rsidP="008F229C">
      <w:pPr>
        <w:pStyle w:val="Descripcin"/>
        <w:rPr>
          <w:bCs/>
          <w:i/>
          <w:iCs/>
          <w:szCs w:val="22"/>
        </w:rPr>
      </w:pPr>
      <w:r w:rsidRPr="002259D9">
        <w:rPr>
          <w:bCs/>
          <w:i/>
          <w:iCs/>
          <w:szCs w:val="22"/>
        </w:rPr>
        <w:t>Tabla 19 Costo de reposición de referencia</w:t>
      </w:r>
    </w:p>
    <w:tbl>
      <w:tblPr>
        <w:tblW w:w="0" w:type="auto"/>
        <w:jc w:val="center"/>
        <w:tblCellMar>
          <w:left w:w="70" w:type="dxa"/>
          <w:right w:w="70" w:type="dxa"/>
        </w:tblCellMar>
        <w:tblLook w:val="04A0" w:firstRow="1" w:lastRow="0" w:firstColumn="1" w:lastColumn="0" w:noHBand="0" w:noVBand="1"/>
      </w:tblPr>
      <w:tblGrid>
        <w:gridCol w:w="940"/>
        <w:gridCol w:w="2174"/>
      </w:tblGrid>
      <w:tr w:rsidR="008F229C" w:rsidRPr="002259D9" w14:paraId="17330354" w14:textId="77777777" w:rsidTr="003B66CA">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D8C0" w14:textId="77777777" w:rsidR="008F229C" w:rsidRPr="002259D9" w:rsidRDefault="008F229C"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Variable</w:t>
            </w:r>
          </w:p>
        </w:tc>
        <w:tc>
          <w:tcPr>
            <w:tcW w:w="2174" w:type="dxa"/>
            <w:tcBorders>
              <w:top w:val="single" w:sz="4" w:space="0" w:color="auto"/>
              <w:left w:val="nil"/>
              <w:bottom w:val="single" w:sz="4" w:space="0" w:color="auto"/>
              <w:right w:val="single" w:sz="4" w:space="0" w:color="auto"/>
            </w:tcBorders>
            <w:shd w:val="clear" w:color="000000" w:fill="FFFFFF"/>
            <w:vAlign w:val="center"/>
            <w:hideMark/>
          </w:tcPr>
          <w:p w14:paraId="6BDCF86B" w14:textId="77777777" w:rsidR="008F229C" w:rsidRPr="002259D9" w:rsidRDefault="008F229C" w:rsidP="00B201E6">
            <w:pPr>
              <w:spacing w:before="0" w:after="0"/>
              <w:jc w:val="center"/>
              <w:rPr>
                <w:rFonts w:cs="Arial"/>
                <w:b/>
                <w:bCs/>
                <w:i/>
                <w:iCs/>
                <w:sz w:val="18"/>
                <w:szCs w:val="18"/>
                <w:lang w:val="es-CO" w:eastAsia="es-CO"/>
              </w:rPr>
            </w:pPr>
            <w:r w:rsidRPr="002259D9">
              <w:rPr>
                <w:rFonts w:cs="Arial"/>
                <w:b/>
                <w:bCs/>
                <w:i/>
                <w:iCs/>
                <w:sz w:val="18"/>
                <w:szCs w:val="18"/>
                <w:lang w:val="es-CO" w:eastAsia="es-CO"/>
              </w:rPr>
              <w:t>Pesos de diciembre de 2017</w:t>
            </w:r>
          </w:p>
        </w:tc>
      </w:tr>
      <w:tr w:rsidR="008772C7" w:rsidRPr="002259D9" w14:paraId="21E12C42" w14:textId="77777777" w:rsidTr="001D0C52">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137B12" w14:textId="77777777" w:rsidR="008772C7" w:rsidRPr="002259D9" w:rsidRDefault="008772C7" w:rsidP="008772C7">
            <w:pPr>
              <w:spacing w:before="0" w:after="0"/>
              <w:jc w:val="center"/>
              <w:rPr>
                <w:rFonts w:cs="Arial"/>
                <w:i/>
                <w:iCs/>
                <w:sz w:val="18"/>
                <w:szCs w:val="18"/>
                <w:lang w:val="es-CO" w:eastAsia="es-CO"/>
              </w:rPr>
            </w:pPr>
            <w:proofErr w:type="spellStart"/>
            <w:r w:rsidRPr="002259D9">
              <w:rPr>
                <w:rFonts w:cs="Arial"/>
                <w:i/>
                <w:iCs/>
                <w:sz w:val="18"/>
                <w:szCs w:val="18"/>
                <w:lang w:val="es-CO" w:eastAsia="es-CO"/>
              </w:rPr>
              <w:t>CRR</w:t>
            </w:r>
            <w:r w:rsidRPr="002259D9">
              <w:rPr>
                <w:rFonts w:cs="Arial"/>
                <w:i/>
                <w:iCs/>
                <w:color w:val="000000"/>
                <w:sz w:val="18"/>
                <w:szCs w:val="18"/>
                <w:vertAlign w:val="subscript"/>
                <w:lang w:val="es-CO" w:eastAsia="es-CO"/>
              </w:rPr>
              <w:t>j</w:t>
            </w:r>
            <w:proofErr w:type="spellEnd"/>
          </w:p>
        </w:tc>
        <w:tc>
          <w:tcPr>
            <w:tcW w:w="2174" w:type="dxa"/>
            <w:tcBorders>
              <w:top w:val="nil"/>
              <w:left w:val="nil"/>
              <w:bottom w:val="single" w:sz="4" w:space="0" w:color="auto"/>
              <w:right w:val="single" w:sz="4" w:space="0" w:color="auto"/>
            </w:tcBorders>
            <w:shd w:val="clear" w:color="auto" w:fill="auto"/>
            <w:noWrap/>
            <w:vAlign w:val="center"/>
          </w:tcPr>
          <w:p w14:paraId="556514F0" w14:textId="2103BA6F" w:rsidR="008772C7" w:rsidRPr="002259D9" w:rsidRDefault="008772C7" w:rsidP="00973846">
            <w:pPr>
              <w:spacing w:before="0" w:after="0"/>
              <w:jc w:val="right"/>
              <w:rPr>
                <w:rFonts w:cs="Arial"/>
                <w:i/>
                <w:iCs/>
                <w:sz w:val="18"/>
                <w:szCs w:val="18"/>
                <w:lang w:eastAsia="es-CO"/>
              </w:rPr>
            </w:pPr>
            <w:r w:rsidRPr="002259D9">
              <w:rPr>
                <w:rFonts w:cs="Arial"/>
                <w:i/>
                <w:iCs/>
                <w:sz w:val="18"/>
                <w:szCs w:val="18"/>
              </w:rPr>
              <w:t>7.454.265.417.115</w:t>
            </w:r>
          </w:p>
        </w:tc>
      </w:tr>
      <w:tr w:rsidR="008772C7" w:rsidRPr="002259D9" w14:paraId="7F2E3B97"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6B971F" w14:textId="77777777" w:rsidR="008772C7" w:rsidRPr="002259D9" w:rsidRDefault="008772C7" w:rsidP="008772C7">
            <w:pPr>
              <w:spacing w:before="0" w:after="0"/>
              <w:jc w:val="center"/>
              <w:rPr>
                <w:rFonts w:cs="Arial"/>
                <w:i/>
                <w:iCs/>
                <w:sz w:val="18"/>
                <w:szCs w:val="18"/>
                <w:lang w:val="es-CO" w:eastAsia="es-CO"/>
              </w:rPr>
            </w:pPr>
            <w:r w:rsidRPr="002259D9">
              <w:rPr>
                <w:rFonts w:cs="Arial"/>
                <w:i/>
                <w:iCs/>
                <w:sz w:val="18"/>
                <w:szCs w:val="18"/>
                <w:lang w:val="es-CO" w:eastAsia="es-CO"/>
              </w:rPr>
              <w:t>Crr</w:t>
            </w:r>
            <w:r w:rsidRPr="002259D9">
              <w:rPr>
                <w:rFonts w:cs="Arial"/>
                <w:i/>
                <w:iCs/>
                <w:color w:val="000000"/>
                <w:sz w:val="18"/>
                <w:szCs w:val="18"/>
                <w:vertAlign w:val="subscript"/>
                <w:lang w:val="es-CO" w:eastAsia="es-CO"/>
              </w:rPr>
              <w:t>j,4</w:t>
            </w:r>
          </w:p>
        </w:tc>
        <w:tc>
          <w:tcPr>
            <w:tcW w:w="2174" w:type="dxa"/>
            <w:tcBorders>
              <w:top w:val="nil"/>
              <w:left w:val="nil"/>
              <w:bottom w:val="single" w:sz="4" w:space="0" w:color="auto"/>
              <w:right w:val="single" w:sz="4" w:space="0" w:color="auto"/>
            </w:tcBorders>
            <w:shd w:val="clear" w:color="auto" w:fill="auto"/>
            <w:noWrap/>
            <w:vAlign w:val="center"/>
          </w:tcPr>
          <w:p w14:paraId="78917479" w14:textId="2713F776" w:rsidR="008772C7" w:rsidRPr="002259D9" w:rsidRDefault="008772C7" w:rsidP="00973846">
            <w:pPr>
              <w:spacing w:before="0" w:after="0"/>
              <w:jc w:val="right"/>
              <w:rPr>
                <w:rFonts w:cs="Arial"/>
                <w:i/>
                <w:iCs/>
                <w:sz w:val="18"/>
                <w:szCs w:val="18"/>
                <w:lang w:eastAsia="es-CO"/>
              </w:rPr>
            </w:pPr>
            <w:r w:rsidRPr="002259D9">
              <w:rPr>
                <w:rFonts w:cs="Arial"/>
                <w:i/>
                <w:iCs/>
                <w:sz w:val="18"/>
                <w:szCs w:val="18"/>
              </w:rPr>
              <w:t>1.291.107.680.333</w:t>
            </w:r>
          </w:p>
        </w:tc>
      </w:tr>
      <w:tr w:rsidR="008772C7" w:rsidRPr="002259D9" w14:paraId="44372977"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B116F4" w14:textId="77777777" w:rsidR="008772C7" w:rsidRPr="002259D9" w:rsidRDefault="008772C7" w:rsidP="008772C7">
            <w:pPr>
              <w:spacing w:before="0" w:after="0"/>
              <w:jc w:val="center"/>
              <w:rPr>
                <w:rFonts w:cs="Arial"/>
                <w:i/>
                <w:iCs/>
                <w:sz w:val="18"/>
                <w:szCs w:val="18"/>
                <w:lang w:val="es-CO" w:eastAsia="es-CO"/>
              </w:rPr>
            </w:pPr>
            <w:r w:rsidRPr="002259D9">
              <w:rPr>
                <w:rFonts w:cs="Arial"/>
                <w:i/>
                <w:iCs/>
                <w:sz w:val="18"/>
                <w:szCs w:val="18"/>
                <w:lang w:val="es-CO" w:eastAsia="es-CO"/>
              </w:rPr>
              <w:t>Crr</w:t>
            </w:r>
            <w:r w:rsidRPr="002259D9">
              <w:rPr>
                <w:rFonts w:cs="Arial"/>
                <w:i/>
                <w:iCs/>
                <w:color w:val="000000"/>
                <w:sz w:val="18"/>
                <w:szCs w:val="18"/>
                <w:vertAlign w:val="subscript"/>
                <w:lang w:val="es-CO" w:eastAsia="es-CO"/>
              </w:rPr>
              <w:t>j,3</w:t>
            </w:r>
          </w:p>
        </w:tc>
        <w:tc>
          <w:tcPr>
            <w:tcW w:w="2174" w:type="dxa"/>
            <w:tcBorders>
              <w:top w:val="nil"/>
              <w:left w:val="nil"/>
              <w:bottom w:val="single" w:sz="4" w:space="0" w:color="auto"/>
              <w:right w:val="single" w:sz="4" w:space="0" w:color="auto"/>
            </w:tcBorders>
            <w:shd w:val="clear" w:color="auto" w:fill="auto"/>
            <w:noWrap/>
            <w:vAlign w:val="center"/>
          </w:tcPr>
          <w:p w14:paraId="43CA554C" w14:textId="44093A1E" w:rsidR="008772C7" w:rsidRPr="002259D9" w:rsidRDefault="008772C7" w:rsidP="00973846">
            <w:pPr>
              <w:spacing w:before="0" w:after="0"/>
              <w:jc w:val="right"/>
              <w:rPr>
                <w:rFonts w:cs="Arial"/>
                <w:i/>
                <w:iCs/>
                <w:sz w:val="18"/>
                <w:szCs w:val="18"/>
                <w:lang w:eastAsia="es-CO"/>
              </w:rPr>
            </w:pPr>
            <w:r w:rsidRPr="002259D9">
              <w:rPr>
                <w:rFonts w:cs="Arial"/>
                <w:i/>
                <w:iCs/>
                <w:sz w:val="18"/>
                <w:szCs w:val="18"/>
              </w:rPr>
              <w:t>564.280.323.806</w:t>
            </w:r>
          </w:p>
        </w:tc>
      </w:tr>
      <w:tr w:rsidR="008772C7" w:rsidRPr="002259D9" w14:paraId="1CA5B9A8"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3E8071" w14:textId="77777777" w:rsidR="008772C7" w:rsidRPr="002259D9" w:rsidRDefault="008772C7" w:rsidP="008772C7">
            <w:pPr>
              <w:spacing w:before="0" w:after="0"/>
              <w:jc w:val="center"/>
              <w:rPr>
                <w:rFonts w:cs="Arial"/>
                <w:i/>
                <w:iCs/>
                <w:sz w:val="18"/>
                <w:szCs w:val="18"/>
                <w:lang w:val="es-CO" w:eastAsia="es-CO"/>
              </w:rPr>
            </w:pPr>
            <w:r w:rsidRPr="002259D9">
              <w:rPr>
                <w:rFonts w:cs="Arial"/>
                <w:i/>
                <w:iCs/>
                <w:sz w:val="18"/>
                <w:szCs w:val="18"/>
                <w:lang w:val="es-CO" w:eastAsia="es-CO"/>
              </w:rPr>
              <w:t>Crr</w:t>
            </w:r>
            <w:r w:rsidRPr="002259D9">
              <w:rPr>
                <w:rFonts w:cs="Arial"/>
                <w:i/>
                <w:iCs/>
                <w:color w:val="000000"/>
                <w:sz w:val="18"/>
                <w:szCs w:val="18"/>
                <w:vertAlign w:val="subscript"/>
                <w:lang w:val="es-CO" w:eastAsia="es-CO"/>
              </w:rPr>
              <w:t>j,2</w:t>
            </w:r>
          </w:p>
        </w:tc>
        <w:tc>
          <w:tcPr>
            <w:tcW w:w="2174" w:type="dxa"/>
            <w:tcBorders>
              <w:top w:val="nil"/>
              <w:left w:val="nil"/>
              <w:bottom w:val="single" w:sz="4" w:space="0" w:color="auto"/>
              <w:right w:val="single" w:sz="4" w:space="0" w:color="auto"/>
            </w:tcBorders>
            <w:shd w:val="clear" w:color="auto" w:fill="auto"/>
            <w:noWrap/>
            <w:vAlign w:val="center"/>
          </w:tcPr>
          <w:p w14:paraId="5FD22A18" w14:textId="310758FB" w:rsidR="008772C7" w:rsidRPr="002259D9" w:rsidRDefault="008772C7" w:rsidP="00973846">
            <w:pPr>
              <w:spacing w:before="0" w:after="0"/>
              <w:jc w:val="right"/>
              <w:rPr>
                <w:rFonts w:cs="Arial"/>
                <w:i/>
                <w:iCs/>
                <w:sz w:val="18"/>
                <w:szCs w:val="18"/>
                <w:lang w:eastAsia="es-CO"/>
              </w:rPr>
            </w:pPr>
            <w:r w:rsidRPr="002259D9">
              <w:rPr>
                <w:rFonts w:cs="Arial"/>
                <w:i/>
                <w:iCs/>
                <w:sz w:val="18"/>
                <w:szCs w:val="18"/>
              </w:rPr>
              <w:t>3.980.504.477.710</w:t>
            </w:r>
          </w:p>
        </w:tc>
      </w:tr>
      <w:tr w:rsidR="008772C7" w:rsidRPr="002259D9" w14:paraId="409BC82E" w14:textId="77777777" w:rsidTr="003B66CA">
        <w:trPr>
          <w:trHeight w:val="3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D01AD4" w14:textId="77777777" w:rsidR="008772C7" w:rsidRPr="002259D9" w:rsidRDefault="008772C7" w:rsidP="008772C7">
            <w:pPr>
              <w:spacing w:before="0" w:after="0"/>
              <w:jc w:val="center"/>
              <w:rPr>
                <w:rFonts w:cs="Arial"/>
                <w:i/>
                <w:iCs/>
                <w:sz w:val="18"/>
                <w:szCs w:val="18"/>
                <w:lang w:val="es-CO" w:eastAsia="es-CO"/>
              </w:rPr>
            </w:pPr>
            <w:r w:rsidRPr="002259D9">
              <w:rPr>
                <w:rFonts w:cs="Arial"/>
                <w:i/>
                <w:iCs/>
                <w:sz w:val="18"/>
                <w:szCs w:val="18"/>
                <w:lang w:val="es-CO" w:eastAsia="es-CO"/>
              </w:rPr>
              <w:t>Crr</w:t>
            </w:r>
            <w:r w:rsidRPr="002259D9">
              <w:rPr>
                <w:rFonts w:cs="Arial"/>
                <w:i/>
                <w:iCs/>
                <w:color w:val="000000"/>
                <w:sz w:val="18"/>
                <w:szCs w:val="18"/>
                <w:vertAlign w:val="subscript"/>
                <w:lang w:val="es-CO" w:eastAsia="es-CO"/>
              </w:rPr>
              <w:t>j,1</w:t>
            </w:r>
          </w:p>
        </w:tc>
        <w:tc>
          <w:tcPr>
            <w:tcW w:w="2174" w:type="dxa"/>
            <w:tcBorders>
              <w:top w:val="nil"/>
              <w:left w:val="nil"/>
              <w:bottom w:val="single" w:sz="4" w:space="0" w:color="auto"/>
              <w:right w:val="single" w:sz="4" w:space="0" w:color="auto"/>
            </w:tcBorders>
            <w:shd w:val="clear" w:color="auto" w:fill="auto"/>
            <w:noWrap/>
            <w:vAlign w:val="center"/>
          </w:tcPr>
          <w:p w14:paraId="76A204B7" w14:textId="01ED64FD" w:rsidR="008772C7" w:rsidRPr="002259D9" w:rsidRDefault="008772C7" w:rsidP="00973846">
            <w:pPr>
              <w:spacing w:before="0" w:after="0"/>
              <w:jc w:val="right"/>
              <w:rPr>
                <w:rFonts w:cs="Arial"/>
                <w:i/>
                <w:iCs/>
                <w:sz w:val="18"/>
                <w:szCs w:val="18"/>
                <w:lang w:eastAsia="es-CO"/>
              </w:rPr>
            </w:pPr>
            <w:r w:rsidRPr="002259D9">
              <w:rPr>
                <w:rFonts w:cs="Arial"/>
                <w:i/>
                <w:iCs/>
                <w:sz w:val="18"/>
                <w:szCs w:val="18"/>
              </w:rPr>
              <w:t>1.618.372.935.266</w:t>
            </w:r>
          </w:p>
        </w:tc>
      </w:tr>
    </w:tbl>
    <w:p w14:paraId="30FB0367" w14:textId="77777777" w:rsidR="00D67B5F" w:rsidRPr="00D67B5F" w:rsidRDefault="00D67B5F" w:rsidP="00D67B5F">
      <w:pPr>
        <w:pStyle w:val="Artculo"/>
        <w:numPr>
          <w:ilvl w:val="0"/>
          <w:numId w:val="0"/>
        </w:numPr>
        <w:spacing w:before="0" w:after="0"/>
        <w:ind w:left="710"/>
        <w:outlineLvl w:val="2"/>
        <w:rPr>
          <w:b w:val="0"/>
        </w:rPr>
      </w:pPr>
    </w:p>
    <w:p w14:paraId="2FB5F601" w14:textId="666AF9B8" w:rsidR="00874AAA" w:rsidRPr="002259D9" w:rsidRDefault="000D3EE6" w:rsidP="00C02C2E">
      <w:pPr>
        <w:pStyle w:val="Artculo"/>
        <w:spacing w:before="0" w:after="0"/>
        <w:ind w:left="0"/>
        <w:outlineLvl w:val="2"/>
        <w:rPr>
          <w:b w:val="0"/>
        </w:rPr>
      </w:pPr>
      <w:r w:rsidRPr="002259D9">
        <w:rPr>
          <w:bCs/>
        </w:rPr>
        <w:t xml:space="preserve">Modificar el artículo </w:t>
      </w:r>
      <w:r w:rsidR="00661F02">
        <w:rPr>
          <w:bCs/>
        </w:rPr>
        <w:t>8</w:t>
      </w:r>
      <w:r w:rsidR="00661F02" w:rsidRPr="002259D9">
        <w:rPr>
          <w:bCs/>
        </w:rPr>
        <w:t xml:space="preserve"> </w:t>
      </w:r>
      <w:r w:rsidRPr="002259D9">
        <w:rPr>
          <w:bCs/>
        </w:rPr>
        <w:t xml:space="preserve">de la resolución CREG </w:t>
      </w:r>
      <w:r w:rsidR="00046E1A" w:rsidRPr="002259D9">
        <w:rPr>
          <w:bCs/>
        </w:rPr>
        <w:t>136</w:t>
      </w:r>
      <w:r w:rsidRPr="002259D9">
        <w:rPr>
          <w:bCs/>
        </w:rPr>
        <w:t xml:space="preserve"> de 20</w:t>
      </w:r>
      <w:r w:rsidR="00046E1A" w:rsidRPr="002259D9">
        <w:rPr>
          <w:bCs/>
        </w:rPr>
        <w:t>21</w:t>
      </w:r>
      <w:r w:rsidRPr="002259D9">
        <w:rPr>
          <w:bCs/>
        </w:rPr>
        <w:t>.</w:t>
      </w:r>
      <w:r w:rsidR="008F229C" w:rsidRPr="002259D9">
        <w:rPr>
          <w:b w:val="0"/>
        </w:rPr>
        <w:t xml:space="preserve"> </w:t>
      </w:r>
      <w:r w:rsidRPr="002259D9">
        <w:rPr>
          <w:b w:val="0"/>
        </w:rPr>
        <w:t xml:space="preserve">El artículo </w:t>
      </w:r>
      <w:r w:rsidR="00661F02">
        <w:rPr>
          <w:b w:val="0"/>
        </w:rPr>
        <w:t>8</w:t>
      </w:r>
      <w:r w:rsidR="00661F02" w:rsidRPr="002259D9">
        <w:rPr>
          <w:b w:val="0"/>
        </w:rPr>
        <w:t xml:space="preserve"> </w:t>
      </w:r>
      <w:r w:rsidRPr="002259D9">
        <w:rPr>
          <w:b w:val="0"/>
        </w:rPr>
        <w:t xml:space="preserve">de la resolución </w:t>
      </w:r>
      <w:r w:rsidR="00844AE2">
        <w:rPr>
          <w:b w:val="0"/>
        </w:rPr>
        <w:t xml:space="preserve">CREG 136 </w:t>
      </w:r>
      <w:r w:rsidR="00661F02">
        <w:rPr>
          <w:b w:val="0"/>
        </w:rPr>
        <w:t>d</w:t>
      </w:r>
      <w:r w:rsidRPr="002259D9">
        <w:rPr>
          <w:b w:val="0"/>
        </w:rPr>
        <w:t>e 20</w:t>
      </w:r>
      <w:r w:rsidR="00046E1A" w:rsidRPr="002259D9">
        <w:rPr>
          <w:b w:val="0"/>
        </w:rPr>
        <w:t>21</w:t>
      </w:r>
      <w:r w:rsidRPr="002259D9">
        <w:rPr>
          <w:b w:val="0"/>
        </w:rPr>
        <w:t xml:space="preserve"> quedar</w:t>
      </w:r>
      <w:r w:rsidR="000837F5">
        <w:rPr>
          <w:b w:val="0"/>
        </w:rPr>
        <w:t>á</w:t>
      </w:r>
      <w:r w:rsidRPr="002259D9">
        <w:rPr>
          <w:b w:val="0"/>
        </w:rPr>
        <w:t xml:space="preserve"> de la siguiente forma:</w:t>
      </w:r>
    </w:p>
    <w:p w14:paraId="1A54E07D" w14:textId="5257F774" w:rsidR="000D3EE6" w:rsidRPr="002259D9" w:rsidRDefault="000D3EE6" w:rsidP="000D3EE6">
      <w:pPr>
        <w:pStyle w:val="Artculo"/>
        <w:numPr>
          <w:ilvl w:val="0"/>
          <w:numId w:val="0"/>
        </w:numPr>
        <w:ind w:left="708"/>
        <w:rPr>
          <w:b w:val="0"/>
          <w:i/>
          <w:iCs/>
        </w:rPr>
      </w:pPr>
      <w:r w:rsidRPr="002259D9">
        <w:rPr>
          <w:i/>
          <w:iCs/>
          <w:szCs w:val="22"/>
        </w:rPr>
        <w:t xml:space="preserve">Artículo 8. </w:t>
      </w:r>
      <w:r w:rsidR="003B66CA" w:rsidRPr="002259D9">
        <w:rPr>
          <w:i/>
          <w:iCs/>
          <w:szCs w:val="22"/>
        </w:rPr>
        <w:t xml:space="preserve">Ajuste </w:t>
      </w:r>
      <w:r w:rsidRPr="002259D9">
        <w:rPr>
          <w:bCs/>
          <w:i/>
          <w:iCs/>
        </w:rPr>
        <w:t>de ingresos por inversiones de 2018.</w:t>
      </w:r>
      <w:r w:rsidRPr="002259D9">
        <w:rPr>
          <w:b w:val="0"/>
          <w:i/>
          <w:iCs/>
        </w:rPr>
        <w:t xml:space="preserve"> Los valores de la variable </w:t>
      </w:r>
      <w:r w:rsidRPr="002259D9">
        <w:rPr>
          <w:rFonts w:ascii="Symbol" w:hAnsi="Symbol"/>
          <w:b w:val="0"/>
          <w:i/>
          <w:iCs/>
        </w:rPr>
        <w:t>D</w:t>
      </w:r>
      <w:proofErr w:type="spellStart"/>
      <w:proofErr w:type="gramStart"/>
      <w:r w:rsidRPr="002259D9">
        <w:rPr>
          <w:b w:val="0"/>
          <w:i/>
          <w:iCs/>
        </w:rPr>
        <w:t>ING</w:t>
      </w:r>
      <w:r w:rsidRPr="002259D9">
        <w:rPr>
          <w:b w:val="0"/>
          <w:i/>
          <w:iCs/>
          <w:vertAlign w:val="subscript"/>
        </w:rPr>
        <w:t>j,n</w:t>
      </w:r>
      <w:proofErr w:type="spellEnd"/>
      <w:proofErr w:type="gramEnd"/>
      <w:r w:rsidRPr="002259D9">
        <w:rPr>
          <w:b w:val="0"/>
          <w:i/>
          <w:iCs/>
        </w:rPr>
        <w:t xml:space="preserve"> establecida en el numeral 1.3.4.1 del anexo general de la Resolución CREG 015 de 2018 son los siguientes:</w:t>
      </w:r>
    </w:p>
    <w:tbl>
      <w:tblPr>
        <w:tblW w:w="3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2178"/>
      </w:tblGrid>
      <w:tr w:rsidR="0070691F" w:rsidRPr="002259D9" w14:paraId="1BBD9FB5" w14:textId="77777777" w:rsidTr="00FD734A">
        <w:trPr>
          <w:trHeight w:val="480"/>
          <w:tblHeader/>
          <w:jc w:val="center"/>
        </w:trPr>
        <w:tc>
          <w:tcPr>
            <w:tcW w:w="1360" w:type="dxa"/>
            <w:shd w:val="clear" w:color="auto" w:fill="FFFFFF"/>
            <w:vAlign w:val="center"/>
            <w:hideMark/>
          </w:tcPr>
          <w:p w14:paraId="0F8BEB83" w14:textId="77777777" w:rsidR="0070691F" w:rsidRPr="002259D9" w:rsidRDefault="0070691F" w:rsidP="00745B49">
            <w:pPr>
              <w:spacing w:before="0" w:after="0"/>
              <w:jc w:val="center"/>
              <w:rPr>
                <w:rFonts w:cs="Arial"/>
                <w:b/>
                <w:bCs/>
                <w:i/>
                <w:iCs/>
                <w:sz w:val="18"/>
                <w:szCs w:val="18"/>
                <w:lang w:val="es-CO" w:eastAsia="es-CO"/>
              </w:rPr>
            </w:pPr>
            <w:r w:rsidRPr="002259D9">
              <w:rPr>
                <w:rFonts w:cs="Arial"/>
                <w:b/>
                <w:bCs/>
                <w:i/>
                <w:iCs/>
                <w:sz w:val="18"/>
                <w:szCs w:val="18"/>
                <w:lang w:val="es-CO" w:eastAsia="es-CO"/>
              </w:rPr>
              <w:t>Variable</w:t>
            </w:r>
          </w:p>
        </w:tc>
        <w:tc>
          <w:tcPr>
            <w:tcW w:w="2178" w:type="dxa"/>
            <w:shd w:val="clear" w:color="auto" w:fill="FFFFFF"/>
            <w:vAlign w:val="center"/>
            <w:hideMark/>
          </w:tcPr>
          <w:p w14:paraId="05D6C7DA" w14:textId="77777777" w:rsidR="0070691F" w:rsidRPr="002259D9" w:rsidRDefault="0070691F" w:rsidP="00745B49">
            <w:pPr>
              <w:spacing w:before="0" w:after="0"/>
              <w:jc w:val="center"/>
              <w:rPr>
                <w:rFonts w:cs="Arial"/>
                <w:b/>
                <w:bCs/>
                <w:i/>
                <w:iCs/>
                <w:sz w:val="18"/>
                <w:szCs w:val="18"/>
                <w:lang w:val="es-CO" w:eastAsia="es-CO"/>
              </w:rPr>
            </w:pPr>
            <w:r w:rsidRPr="002259D9">
              <w:rPr>
                <w:rFonts w:cs="Arial"/>
                <w:b/>
                <w:bCs/>
                <w:i/>
                <w:iCs/>
                <w:sz w:val="18"/>
                <w:szCs w:val="18"/>
                <w:lang w:val="es-CO" w:eastAsia="es-CO"/>
              </w:rPr>
              <w:t>Pesos de diciembre de 2017</w:t>
            </w:r>
          </w:p>
        </w:tc>
      </w:tr>
      <w:tr w:rsidR="00466B39" w:rsidRPr="002259D9" w14:paraId="3F8E40FE" w14:textId="77777777" w:rsidTr="00FD734A">
        <w:trPr>
          <w:trHeight w:val="315"/>
          <w:tblHeader/>
          <w:jc w:val="center"/>
        </w:trPr>
        <w:tc>
          <w:tcPr>
            <w:tcW w:w="1360" w:type="dxa"/>
            <w:shd w:val="clear" w:color="auto" w:fill="FFFFFF"/>
            <w:noWrap/>
            <w:vAlign w:val="center"/>
            <w:hideMark/>
          </w:tcPr>
          <w:p w14:paraId="54A4AE5B" w14:textId="0AC2DB41" w:rsidR="00466B39" w:rsidRPr="002259D9" w:rsidRDefault="008C336B" w:rsidP="00466B39">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j,4</m:t>
                    </m:r>
                  </m:sub>
                </m:sSub>
              </m:oMath>
            </m:oMathPara>
          </w:p>
        </w:tc>
        <w:tc>
          <w:tcPr>
            <w:tcW w:w="2178" w:type="dxa"/>
            <w:noWrap/>
            <w:vAlign w:val="center"/>
          </w:tcPr>
          <w:p w14:paraId="4CC1BD76" w14:textId="3C818015" w:rsidR="00466B39" w:rsidRPr="002259D9" w:rsidRDefault="00466B39" w:rsidP="007A1A93">
            <w:pPr>
              <w:spacing w:before="0" w:after="0"/>
              <w:jc w:val="right"/>
              <w:rPr>
                <w:rFonts w:cs="Arial"/>
                <w:i/>
                <w:iCs/>
                <w:sz w:val="18"/>
                <w:szCs w:val="18"/>
                <w:lang w:eastAsia="es-CO"/>
              </w:rPr>
            </w:pPr>
            <w:r w:rsidRPr="002259D9">
              <w:rPr>
                <w:rFonts w:cs="Calibri"/>
                <w:sz w:val="18"/>
                <w:szCs w:val="18"/>
              </w:rPr>
              <w:t>617.913.228</w:t>
            </w:r>
          </w:p>
        </w:tc>
      </w:tr>
      <w:tr w:rsidR="00466B39" w:rsidRPr="002259D9" w14:paraId="3FC88580" w14:textId="77777777" w:rsidTr="00FD734A">
        <w:trPr>
          <w:trHeight w:val="315"/>
          <w:tblHeader/>
          <w:jc w:val="center"/>
        </w:trPr>
        <w:tc>
          <w:tcPr>
            <w:tcW w:w="1360" w:type="dxa"/>
            <w:shd w:val="clear" w:color="auto" w:fill="FFFFFF"/>
            <w:noWrap/>
            <w:vAlign w:val="center"/>
            <w:hideMark/>
          </w:tcPr>
          <w:p w14:paraId="4F60240B" w14:textId="06A23F7E" w:rsidR="00466B39" w:rsidRPr="002259D9" w:rsidRDefault="008C336B" w:rsidP="00466B39">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j,3</m:t>
                    </m:r>
                  </m:sub>
                </m:sSub>
              </m:oMath>
            </m:oMathPara>
          </w:p>
        </w:tc>
        <w:tc>
          <w:tcPr>
            <w:tcW w:w="2178" w:type="dxa"/>
            <w:noWrap/>
            <w:vAlign w:val="center"/>
          </w:tcPr>
          <w:p w14:paraId="365396AF" w14:textId="6E90FDC5" w:rsidR="00466B39" w:rsidRPr="002259D9" w:rsidRDefault="00466B39" w:rsidP="007A1A93">
            <w:pPr>
              <w:spacing w:before="0" w:after="0"/>
              <w:jc w:val="right"/>
              <w:rPr>
                <w:rFonts w:cs="Arial"/>
                <w:i/>
                <w:iCs/>
                <w:sz w:val="18"/>
                <w:szCs w:val="18"/>
                <w:lang w:eastAsia="es-CO"/>
              </w:rPr>
            </w:pPr>
            <w:r w:rsidRPr="002259D9">
              <w:rPr>
                <w:rFonts w:cs="Calibri"/>
                <w:sz w:val="18"/>
                <w:szCs w:val="18"/>
              </w:rPr>
              <w:t>4.511.961</w:t>
            </w:r>
          </w:p>
        </w:tc>
      </w:tr>
      <w:tr w:rsidR="00466B39" w:rsidRPr="002259D9" w14:paraId="0CAB126F" w14:textId="77777777" w:rsidTr="00FD734A">
        <w:trPr>
          <w:trHeight w:val="315"/>
          <w:tblHeader/>
          <w:jc w:val="center"/>
        </w:trPr>
        <w:tc>
          <w:tcPr>
            <w:tcW w:w="1360" w:type="dxa"/>
            <w:shd w:val="clear" w:color="auto" w:fill="FFFFFF"/>
            <w:noWrap/>
            <w:vAlign w:val="center"/>
            <w:hideMark/>
          </w:tcPr>
          <w:p w14:paraId="0AB655BF" w14:textId="54B2BA0A" w:rsidR="00466B39" w:rsidRPr="002259D9" w:rsidRDefault="008C336B" w:rsidP="00466B39">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j,2</m:t>
                    </m:r>
                  </m:sub>
                </m:sSub>
              </m:oMath>
            </m:oMathPara>
          </w:p>
        </w:tc>
        <w:tc>
          <w:tcPr>
            <w:tcW w:w="2178" w:type="dxa"/>
            <w:noWrap/>
            <w:vAlign w:val="center"/>
          </w:tcPr>
          <w:p w14:paraId="1004367D" w14:textId="64D545F0" w:rsidR="00466B39" w:rsidRPr="002259D9" w:rsidRDefault="00466B39" w:rsidP="007A1A93">
            <w:pPr>
              <w:spacing w:before="0" w:after="0"/>
              <w:jc w:val="right"/>
              <w:rPr>
                <w:rFonts w:cs="Arial"/>
                <w:i/>
                <w:iCs/>
                <w:sz w:val="18"/>
                <w:szCs w:val="18"/>
                <w:lang w:eastAsia="es-CO"/>
              </w:rPr>
            </w:pPr>
            <w:r w:rsidRPr="002259D9">
              <w:rPr>
                <w:rFonts w:cs="Calibri"/>
                <w:sz w:val="18"/>
                <w:szCs w:val="18"/>
              </w:rPr>
              <w:t>17.254.592.688</w:t>
            </w:r>
          </w:p>
        </w:tc>
      </w:tr>
      <w:tr w:rsidR="00466B39" w:rsidRPr="002259D9" w14:paraId="6EBE0309" w14:textId="77777777" w:rsidTr="00FD734A">
        <w:trPr>
          <w:trHeight w:val="315"/>
          <w:tblHeader/>
          <w:jc w:val="center"/>
        </w:trPr>
        <w:tc>
          <w:tcPr>
            <w:tcW w:w="1360" w:type="dxa"/>
            <w:shd w:val="clear" w:color="auto" w:fill="FFFFFF"/>
            <w:noWrap/>
            <w:vAlign w:val="center"/>
            <w:hideMark/>
          </w:tcPr>
          <w:p w14:paraId="19EEE892" w14:textId="79038E8E" w:rsidR="00466B39" w:rsidRPr="002259D9" w:rsidRDefault="008C336B" w:rsidP="00466B39">
            <w:pPr>
              <w:spacing w:before="0" w:after="0"/>
              <w:jc w:val="center"/>
              <w:rPr>
                <w:rFonts w:cs="Arial"/>
                <w:i/>
                <w:iCs/>
                <w:sz w:val="18"/>
                <w:szCs w:val="18"/>
                <w:lang w:val="es-CO" w:eastAsia="es-CO"/>
              </w:rPr>
            </w:pPr>
            <m:oMathPara>
              <m:oMath>
                <m:sSub>
                  <m:sSubPr>
                    <m:ctrlPr>
                      <w:rPr>
                        <w:rFonts w:ascii="Cambria Math" w:hAnsi="Cambria Math"/>
                        <w:i/>
                        <w:sz w:val="18"/>
                        <w:szCs w:val="18"/>
                        <w:lang w:val="es-ES_tradnl"/>
                      </w:rPr>
                    </m:ctrlPr>
                  </m:sSubPr>
                  <m:e>
                    <m:r>
                      <w:rPr>
                        <w:rFonts w:ascii="Cambria Math" w:hAnsi="Cambria Math"/>
                        <w:sz w:val="18"/>
                        <w:szCs w:val="18"/>
                        <w:lang w:val="es-ES_tradnl"/>
                      </w:rPr>
                      <m:t>∆ING</m:t>
                    </m:r>
                  </m:e>
                  <m:sub>
                    <m:r>
                      <w:rPr>
                        <w:rFonts w:ascii="Cambria Math" w:hAnsi="Cambria Math"/>
                        <w:sz w:val="18"/>
                        <w:szCs w:val="18"/>
                        <w:lang w:val="es-ES_tradnl"/>
                      </w:rPr>
                      <m:t>j,1</m:t>
                    </m:r>
                  </m:sub>
                </m:sSub>
              </m:oMath>
            </m:oMathPara>
          </w:p>
        </w:tc>
        <w:tc>
          <w:tcPr>
            <w:tcW w:w="2178" w:type="dxa"/>
            <w:noWrap/>
            <w:vAlign w:val="center"/>
          </w:tcPr>
          <w:p w14:paraId="7D5CDE03" w14:textId="581C76B8" w:rsidR="00466B39" w:rsidRPr="002259D9" w:rsidRDefault="00466B39" w:rsidP="007A1A93">
            <w:pPr>
              <w:spacing w:before="0" w:after="0"/>
              <w:jc w:val="right"/>
              <w:rPr>
                <w:rFonts w:cs="Arial"/>
                <w:i/>
                <w:iCs/>
                <w:sz w:val="18"/>
                <w:szCs w:val="18"/>
                <w:lang w:eastAsia="es-CO"/>
              </w:rPr>
            </w:pPr>
            <w:r w:rsidRPr="002259D9">
              <w:rPr>
                <w:rFonts w:cs="Calibri"/>
                <w:sz w:val="18"/>
                <w:szCs w:val="18"/>
              </w:rPr>
              <w:t>19.423.642.884</w:t>
            </w:r>
          </w:p>
        </w:tc>
      </w:tr>
    </w:tbl>
    <w:p w14:paraId="28FF684E" w14:textId="2731464E" w:rsidR="00001670" w:rsidRPr="002259D9" w:rsidRDefault="00001670" w:rsidP="00001670">
      <w:pPr>
        <w:pStyle w:val="Artculo"/>
        <w:ind w:left="0"/>
        <w:rPr>
          <w:b w:val="0"/>
          <w:bCs/>
        </w:rPr>
      </w:pPr>
      <w:r w:rsidRPr="002259D9">
        <w:rPr>
          <w:b w:val="0"/>
          <w:bCs/>
        </w:rPr>
        <w:t xml:space="preserve">La presente resolución deberá notificarse al representante legal de </w:t>
      </w:r>
      <w:r w:rsidR="00046E1A" w:rsidRPr="002259D9">
        <w:rPr>
          <w:b w:val="0"/>
          <w:bCs/>
        </w:rPr>
        <w:t>Empresas Públicas de Medellín E.S.P</w:t>
      </w:r>
      <w:r w:rsidRPr="002259D9">
        <w:rPr>
          <w:b w:val="0"/>
          <w:bCs/>
        </w:rPr>
        <w:t>. Contra lo aquí dispuesto no procede recurso alguno toda vez que entienden agotados todos los recursos que por ley son obligatorios.</w:t>
      </w:r>
    </w:p>
    <w:p w14:paraId="329AA3A9" w14:textId="77777777" w:rsidR="001067D3" w:rsidRPr="002259D9" w:rsidRDefault="00585CF8" w:rsidP="00AB59B2">
      <w:pPr>
        <w:spacing w:before="360" w:after="360"/>
        <w:jc w:val="center"/>
        <w:rPr>
          <w:b/>
        </w:rPr>
      </w:pPr>
      <w:r w:rsidRPr="002259D9">
        <w:rPr>
          <w:b/>
        </w:rPr>
        <w:t>NOTIF</w:t>
      </w:r>
      <w:r w:rsidR="00157B49" w:rsidRPr="002259D9">
        <w:rPr>
          <w:b/>
        </w:rPr>
        <w:t>Í</w:t>
      </w:r>
      <w:r w:rsidRPr="002259D9">
        <w:rPr>
          <w:b/>
        </w:rPr>
        <w:t xml:space="preserve">QUESE, </w:t>
      </w:r>
      <w:r w:rsidR="001067D3" w:rsidRPr="002259D9">
        <w:rPr>
          <w:b/>
        </w:rPr>
        <w:t>PUBLÍQUESE Y CÚMPLASE</w:t>
      </w:r>
    </w:p>
    <w:p w14:paraId="2CEB1AEA" w14:textId="31B292CB" w:rsidR="00433E81" w:rsidRPr="002259D9" w:rsidRDefault="003343FE" w:rsidP="007C127E">
      <w:r w:rsidRPr="002259D9">
        <w:t xml:space="preserve">Dado en Bogotá D.C., </w:t>
      </w:r>
      <w:r w:rsidR="00D67B5F" w:rsidRPr="00D67B5F">
        <w:rPr>
          <w:b/>
          <w:bCs/>
        </w:rPr>
        <w:t>08 FEB. 2022</w:t>
      </w:r>
    </w:p>
    <w:p w14:paraId="41617548" w14:textId="1AF4B41D" w:rsidR="00D03B05" w:rsidRDefault="00D03B05" w:rsidP="007C127E"/>
    <w:p w14:paraId="6AA77080" w14:textId="2AB6550E" w:rsidR="00D547E3" w:rsidRDefault="00D547E3" w:rsidP="007C127E"/>
    <w:tbl>
      <w:tblPr>
        <w:tblW w:w="9356" w:type="dxa"/>
        <w:jc w:val="center"/>
        <w:tblCellSpacing w:w="0" w:type="dxa"/>
        <w:tblCellMar>
          <w:left w:w="0" w:type="dxa"/>
          <w:right w:w="0" w:type="dxa"/>
        </w:tblCellMar>
        <w:tblLook w:val="04A0" w:firstRow="1" w:lastRow="0" w:firstColumn="1" w:lastColumn="0" w:noHBand="0" w:noVBand="1"/>
      </w:tblPr>
      <w:tblGrid>
        <w:gridCol w:w="4536"/>
        <w:gridCol w:w="4820"/>
      </w:tblGrid>
      <w:tr w:rsidR="00950BFC" w:rsidRPr="002259D9" w14:paraId="4D99204E" w14:textId="77777777" w:rsidTr="00C02C2E">
        <w:trPr>
          <w:tblCellSpacing w:w="0" w:type="dxa"/>
          <w:jc w:val="center"/>
        </w:trPr>
        <w:tc>
          <w:tcPr>
            <w:tcW w:w="4536" w:type="dxa"/>
          </w:tcPr>
          <w:p w14:paraId="64D31871" w14:textId="6AACF1BD" w:rsidR="00950BFC" w:rsidRPr="002259D9" w:rsidRDefault="0055564E" w:rsidP="00894B89">
            <w:pPr>
              <w:spacing w:before="0" w:after="0"/>
              <w:ind w:left="66"/>
              <w:jc w:val="center"/>
              <w:rPr>
                <w:rFonts w:cs="Arial"/>
                <w:b/>
              </w:rPr>
            </w:pPr>
            <w:r>
              <w:rPr>
                <w:rFonts w:cs="Arial"/>
                <w:b/>
              </w:rPr>
              <w:t>DIEGO MESA PUYO</w:t>
            </w:r>
            <w:r w:rsidR="00B14B95" w:rsidRPr="002259D9">
              <w:rPr>
                <w:rFonts w:cs="Arial"/>
                <w:b/>
              </w:rPr>
              <w:t xml:space="preserve"> </w:t>
            </w:r>
          </w:p>
        </w:tc>
        <w:tc>
          <w:tcPr>
            <w:tcW w:w="4820" w:type="dxa"/>
          </w:tcPr>
          <w:p w14:paraId="115D913A" w14:textId="2264395E" w:rsidR="00950BFC" w:rsidRPr="002259D9" w:rsidRDefault="004F5234" w:rsidP="00DE7B7E">
            <w:pPr>
              <w:spacing w:before="0" w:after="0"/>
              <w:ind w:left="69"/>
              <w:jc w:val="center"/>
              <w:rPr>
                <w:rFonts w:cs="Arial"/>
                <w:b/>
              </w:rPr>
            </w:pPr>
            <w:r w:rsidRPr="002259D9">
              <w:rPr>
                <w:rFonts w:cs="Arial"/>
                <w:b/>
              </w:rPr>
              <w:t>JORGE ALBERTO VALENCIA MARÍN</w:t>
            </w:r>
          </w:p>
        </w:tc>
      </w:tr>
      <w:tr w:rsidR="00950BFC" w:rsidRPr="002259D9" w14:paraId="7FFDAB47" w14:textId="77777777" w:rsidTr="00C02C2E">
        <w:trPr>
          <w:tblCellSpacing w:w="0" w:type="dxa"/>
          <w:jc w:val="center"/>
        </w:trPr>
        <w:tc>
          <w:tcPr>
            <w:tcW w:w="4536" w:type="dxa"/>
            <w:hideMark/>
          </w:tcPr>
          <w:p w14:paraId="0679400F" w14:textId="07C2D8AC" w:rsidR="00950BFC" w:rsidRPr="002259D9" w:rsidRDefault="00950BFC" w:rsidP="00894B89">
            <w:pPr>
              <w:spacing w:before="0" w:after="0"/>
              <w:ind w:left="66"/>
              <w:jc w:val="center"/>
              <w:rPr>
                <w:rFonts w:eastAsia="Arial Unicode MS" w:cs="Arial"/>
                <w:color w:val="000000"/>
              </w:rPr>
            </w:pPr>
            <w:r w:rsidRPr="002259D9">
              <w:rPr>
                <w:rFonts w:cs="Arial"/>
              </w:rPr>
              <w:t>Ministr</w:t>
            </w:r>
            <w:r w:rsidR="009F5E1B" w:rsidRPr="002259D9">
              <w:rPr>
                <w:rFonts w:cs="Arial"/>
              </w:rPr>
              <w:t>o</w:t>
            </w:r>
            <w:r w:rsidRPr="002259D9">
              <w:rPr>
                <w:rFonts w:cs="Arial"/>
              </w:rPr>
              <w:t xml:space="preserve"> de Minas y Energía</w:t>
            </w:r>
          </w:p>
        </w:tc>
        <w:tc>
          <w:tcPr>
            <w:tcW w:w="4820" w:type="dxa"/>
            <w:hideMark/>
          </w:tcPr>
          <w:p w14:paraId="749B2C41" w14:textId="77777777" w:rsidR="00950BFC" w:rsidRPr="002259D9" w:rsidRDefault="00950BFC" w:rsidP="004237FF">
            <w:pPr>
              <w:spacing w:before="0" w:after="0"/>
              <w:jc w:val="center"/>
              <w:rPr>
                <w:rFonts w:eastAsia="Arial Unicode MS" w:cs="Arial"/>
                <w:color w:val="000000"/>
              </w:rPr>
            </w:pPr>
            <w:r w:rsidRPr="002259D9">
              <w:rPr>
                <w:rFonts w:cs="Arial"/>
              </w:rPr>
              <w:t xml:space="preserve">Director </w:t>
            </w:r>
            <w:r w:rsidR="004237FF" w:rsidRPr="002259D9">
              <w:rPr>
                <w:rFonts w:cs="Arial"/>
              </w:rPr>
              <w:t xml:space="preserve">Ejecutivo </w:t>
            </w:r>
          </w:p>
        </w:tc>
      </w:tr>
      <w:tr w:rsidR="00950BFC" w:rsidRPr="00CF2A2D" w14:paraId="7104A71B" w14:textId="77777777" w:rsidTr="00C02C2E">
        <w:trPr>
          <w:tblCellSpacing w:w="0" w:type="dxa"/>
          <w:jc w:val="center"/>
        </w:trPr>
        <w:tc>
          <w:tcPr>
            <w:tcW w:w="4536"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2259D9">
              <w:rPr>
                <w:rFonts w:cs="Arial"/>
              </w:rPr>
              <w:t>Presidente</w:t>
            </w:r>
          </w:p>
        </w:tc>
        <w:tc>
          <w:tcPr>
            <w:tcW w:w="4820"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DE3151">
      <w:pPr>
        <w:ind w:right="425"/>
        <w:rPr>
          <w:i/>
        </w:rPr>
      </w:pPr>
    </w:p>
    <w:sectPr w:rsidR="007C127E" w:rsidRPr="00CF2A2D" w:rsidSect="00DD221B">
      <w:headerReference w:type="default" r:id="rId21"/>
      <w:footerReference w:type="default" r:id="rId22"/>
      <w:headerReference w:type="first" r:id="rId23"/>
      <w:type w:val="continuous"/>
      <w:pgSz w:w="12242" w:h="18722" w:code="123"/>
      <w:pgMar w:top="2268" w:right="1185" w:bottom="127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FA02" w14:textId="77777777" w:rsidR="00540679" w:rsidRDefault="00540679">
      <w:r>
        <w:separator/>
      </w:r>
    </w:p>
    <w:p w14:paraId="659317E2" w14:textId="77777777" w:rsidR="00540679" w:rsidRDefault="00540679"/>
    <w:p w14:paraId="57082E4A" w14:textId="77777777" w:rsidR="00540679" w:rsidRDefault="00540679" w:rsidP="00C851C0"/>
  </w:endnote>
  <w:endnote w:type="continuationSeparator" w:id="0">
    <w:p w14:paraId="325B5331" w14:textId="77777777" w:rsidR="00540679" w:rsidRDefault="00540679">
      <w:r>
        <w:continuationSeparator/>
      </w:r>
    </w:p>
    <w:p w14:paraId="74933C77" w14:textId="77777777" w:rsidR="00540679" w:rsidRDefault="00540679"/>
    <w:p w14:paraId="4F838DE0" w14:textId="77777777" w:rsidR="00540679" w:rsidRDefault="00540679"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A295" w14:textId="77777777" w:rsidR="00540679" w:rsidRDefault="00540679">
      <w:r>
        <w:separator/>
      </w:r>
    </w:p>
    <w:p w14:paraId="4DD5D3D1" w14:textId="77777777" w:rsidR="00540679" w:rsidRDefault="00540679"/>
    <w:p w14:paraId="1F2BE0C7" w14:textId="77777777" w:rsidR="00540679" w:rsidRDefault="00540679" w:rsidP="00C851C0"/>
  </w:footnote>
  <w:footnote w:type="continuationSeparator" w:id="0">
    <w:p w14:paraId="4B831651" w14:textId="77777777" w:rsidR="00540679" w:rsidRDefault="00540679">
      <w:r>
        <w:continuationSeparator/>
      </w:r>
    </w:p>
    <w:p w14:paraId="7EFC0F58" w14:textId="77777777" w:rsidR="00540679" w:rsidRDefault="00540679"/>
    <w:p w14:paraId="26E58EB8" w14:textId="77777777" w:rsidR="00540679" w:rsidRDefault="00540679"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16793EE3"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 xml:space="preserve">No.  </w:t>
    </w:r>
    <w:r w:rsidR="00C02C2E" w:rsidRPr="00C02C2E">
      <w:rPr>
        <w:rFonts w:cs="Arial"/>
        <w:bCs/>
        <w:szCs w:val="24"/>
        <w:u w:val="single"/>
      </w:rPr>
      <w:t>501</w:t>
    </w:r>
    <w:proofErr w:type="gramEnd"/>
    <w:r w:rsidR="00C02C2E" w:rsidRPr="00C02C2E">
      <w:rPr>
        <w:rFonts w:cs="Arial"/>
        <w:bCs/>
        <w:szCs w:val="24"/>
        <w:u w:val="single"/>
      </w:rPr>
      <w:t xml:space="preserve"> 022</w:t>
    </w:r>
    <w:r w:rsidR="00C02C2E">
      <w:rPr>
        <w:rFonts w:cs="Arial"/>
        <w:b w:val="0"/>
        <w:sz w:val="22"/>
        <w:szCs w:val="22"/>
      </w:rPr>
      <w:t xml:space="preserve"> </w:t>
    </w:r>
    <w:r w:rsidRPr="002560C5">
      <w:rPr>
        <w:rFonts w:cs="Arial"/>
        <w:b w:val="0"/>
        <w:sz w:val="22"/>
        <w:szCs w:val="22"/>
      </w:rPr>
      <w:tab/>
      <w:t xml:space="preserve">DE </w:t>
    </w:r>
    <w:r w:rsidR="00C02C2E" w:rsidRPr="00C02C2E">
      <w:rPr>
        <w:rFonts w:cs="Arial"/>
        <w:bCs/>
        <w:szCs w:val="24"/>
        <w:u w:val="single"/>
      </w:rPr>
      <w:t>08 FEB.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8C336B">
      <w:fldChar w:fldCharType="begin"/>
    </w:r>
    <w:r w:rsidR="008C336B">
      <w:instrText xml:space="preserve"> NUMPAGES  \* MERGEFORMAT </w:instrText>
    </w:r>
    <w:r w:rsidR="008C336B">
      <w:fldChar w:fldCharType="separate"/>
    </w:r>
    <w:r w:rsidRPr="00B72FDC">
      <w:rPr>
        <w:rFonts w:cs="Arial"/>
        <w:b w:val="0"/>
        <w:noProof/>
        <w:sz w:val="22"/>
        <w:szCs w:val="22"/>
      </w:rPr>
      <w:t>7</w:t>
    </w:r>
    <w:r w:rsidR="008C336B">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75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1A8B4479" w14:textId="5B7891C3" w:rsidR="005D4EDA" w:rsidRPr="00C02C2E" w:rsidRDefault="00DE3904" w:rsidP="00DD221B">
    <w:pPr>
      <w:pBdr>
        <w:bottom w:val="single" w:sz="4" w:space="1" w:color="auto"/>
      </w:pBdr>
      <w:jc w:val="center"/>
      <w:rPr>
        <w:sz w:val="22"/>
        <w:szCs w:val="22"/>
      </w:rPr>
    </w:pPr>
    <w:r w:rsidRPr="00C02C2E">
      <w:rPr>
        <w:sz w:val="22"/>
        <w:szCs w:val="22"/>
      </w:rPr>
      <w:t xml:space="preserve">Por la cual </w:t>
    </w:r>
    <w:r w:rsidR="006E04F4" w:rsidRPr="00C02C2E">
      <w:rPr>
        <w:sz w:val="22"/>
        <w:szCs w:val="22"/>
      </w:rPr>
      <w:t xml:space="preserve">se resuelve el recurso de reposición interpuesto por </w:t>
    </w:r>
    <w:r w:rsidR="006069A0" w:rsidRPr="00C02C2E">
      <w:rPr>
        <w:sz w:val="22"/>
        <w:szCs w:val="22"/>
      </w:rPr>
      <w:t>Empresas Públicas de Medellín E.S.P</w:t>
    </w:r>
    <w:r w:rsidR="006E04F4" w:rsidRPr="00C02C2E">
      <w:rPr>
        <w:sz w:val="22"/>
        <w:szCs w:val="22"/>
      </w:rPr>
      <w:t xml:space="preserve">., contra la Resolución CREG </w:t>
    </w:r>
    <w:r w:rsidR="006069A0" w:rsidRPr="00C02C2E">
      <w:rPr>
        <w:sz w:val="22"/>
        <w:szCs w:val="22"/>
      </w:rPr>
      <w:t>136</w:t>
    </w:r>
    <w:r w:rsidR="006E04F4" w:rsidRPr="00C02C2E">
      <w:rPr>
        <w:sz w:val="22"/>
        <w:szCs w:val="22"/>
      </w:rPr>
      <w:t xml:space="preserve"> de 2</w:t>
    </w:r>
    <w:r w:rsidR="001D0C52" w:rsidRPr="00C02C2E">
      <w:rPr>
        <w:sz w:val="22"/>
        <w:szCs w:val="22"/>
      </w:rPr>
      <w:t>0</w:t>
    </w:r>
    <w:r w:rsidR="006069A0" w:rsidRPr="00C02C2E">
      <w:rPr>
        <w:sz w:val="22"/>
        <w:szCs w:val="22"/>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82A7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454702FC"/>
    <w:multiLevelType w:val="hybridMultilevel"/>
    <w:tmpl w:val="4E0C7D86"/>
    <w:lvl w:ilvl="0" w:tplc="DE3A09EA">
      <w:start w:val="1"/>
      <w:numFmt w:val="decimal"/>
      <w:lvlText w:val="%1)"/>
      <w:lvlJc w:val="left"/>
      <w:pPr>
        <w:ind w:left="1044" w:hanging="284"/>
      </w:pPr>
      <w:rPr>
        <w:rFonts w:ascii="Arial" w:eastAsia="Arial" w:hAnsi="Arial" w:cs="Arial" w:hint="default"/>
        <w:b/>
        <w:bCs/>
        <w:w w:val="100"/>
        <w:sz w:val="22"/>
        <w:szCs w:val="22"/>
        <w:lang w:val="es-ES" w:eastAsia="en-US" w:bidi="ar-SA"/>
      </w:rPr>
    </w:lvl>
    <w:lvl w:ilvl="1" w:tplc="C3A89BA2">
      <w:numFmt w:val="bullet"/>
      <w:lvlText w:val=""/>
      <w:lvlJc w:val="left"/>
      <w:pPr>
        <w:ind w:left="1481" w:hanging="348"/>
      </w:pPr>
      <w:rPr>
        <w:rFonts w:ascii="Symbol" w:eastAsia="Symbol" w:hAnsi="Symbol" w:cs="Symbol" w:hint="default"/>
        <w:w w:val="100"/>
        <w:sz w:val="22"/>
        <w:szCs w:val="22"/>
        <w:lang w:val="es-ES" w:eastAsia="en-US" w:bidi="ar-SA"/>
      </w:rPr>
    </w:lvl>
    <w:lvl w:ilvl="2" w:tplc="46245B14">
      <w:numFmt w:val="bullet"/>
      <w:lvlText w:val="•"/>
      <w:lvlJc w:val="left"/>
      <w:pPr>
        <w:ind w:left="2486" w:hanging="348"/>
      </w:pPr>
      <w:rPr>
        <w:rFonts w:hint="default"/>
        <w:lang w:val="es-ES" w:eastAsia="en-US" w:bidi="ar-SA"/>
      </w:rPr>
    </w:lvl>
    <w:lvl w:ilvl="3" w:tplc="8D8808BE">
      <w:numFmt w:val="bullet"/>
      <w:lvlText w:val="•"/>
      <w:lvlJc w:val="left"/>
      <w:pPr>
        <w:ind w:left="3493" w:hanging="348"/>
      </w:pPr>
      <w:rPr>
        <w:rFonts w:hint="default"/>
        <w:lang w:val="es-ES" w:eastAsia="en-US" w:bidi="ar-SA"/>
      </w:rPr>
    </w:lvl>
    <w:lvl w:ilvl="4" w:tplc="DC4AA992">
      <w:numFmt w:val="bullet"/>
      <w:lvlText w:val="•"/>
      <w:lvlJc w:val="left"/>
      <w:pPr>
        <w:ind w:left="4500" w:hanging="348"/>
      </w:pPr>
      <w:rPr>
        <w:rFonts w:hint="default"/>
        <w:lang w:val="es-ES" w:eastAsia="en-US" w:bidi="ar-SA"/>
      </w:rPr>
    </w:lvl>
    <w:lvl w:ilvl="5" w:tplc="D0085B5E">
      <w:numFmt w:val="bullet"/>
      <w:lvlText w:val="•"/>
      <w:lvlJc w:val="left"/>
      <w:pPr>
        <w:ind w:left="5506" w:hanging="348"/>
      </w:pPr>
      <w:rPr>
        <w:rFonts w:hint="default"/>
        <w:lang w:val="es-ES" w:eastAsia="en-US" w:bidi="ar-SA"/>
      </w:rPr>
    </w:lvl>
    <w:lvl w:ilvl="6" w:tplc="8E12BD0C">
      <w:numFmt w:val="bullet"/>
      <w:lvlText w:val="•"/>
      <w:lvlJc w:val="left"/>
      <w:pPr>
        <w:ind w:left="6513" w:hanging="348"/>
      </w:pPr>
      <w:rPr>
        <w:rFonts w:hint="default"/>
        <w:lang w:val="es-ES" w:eastAsia="en-US" w:bidi="ar-SA"/>
      </w:rPr>
    </w:lvl>
    <w:lvl w:ilvl="7" w:tplc="13C000DE">
      <w:numFmt w:val="bullet"/>
      <w:lvlText w:val="•"/>
      <w:lvlJc w:val="left"/>
      <w:pPr>
        <w:ind w:left="7520" w:hanging="348"/>
      </w:pPr>
      <w:rPr>
        <w:rFonts w:hint="default"/>
        <w:lang w:val="es-ES" w:eastAsia="en-US" w:bidi="ar-SA"/>
      </w:rPr>
    </w:lvl>
    <w:lvl w:ilvl="8" w:tplc="846CB8F0">
      <w:numFmt w:val="bullet"/>
      <w:lvlText w:val="•"/>
      <w:lvlJc w:val="left"/>
      <w:pPr>
        <w:ind w:left="8526" w:hanging="348"/>
      </w:pPr>
      <w:rPr>
        <w:rFonts w:hint="default"/>
        <w:lang w:val="es-ES" w:eastAsia="en-US" w:bidi="ar-SA"/>
      </w:r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71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2CD2E4D"/>
    <w:multiLevelType w:val="hybridMultilevel"/>
    <w:tmpl w:val="7938F1E0"/>
    <w:lvl w:ilvl="0" w:tplc="CB90DA26">
      <w:start w:val="1"/>
      <w:numFmt w:val="bullet"/>
      <w:lvlText w:val="-"/>
      <w:lvlJc w:val="left"/>
      <w:pPr>
        <w:ind w:left="720" w:hanging="360"/>
      </w:pPr>
      <w:rPr>
        <w:rFonts w:ascii="Bookman Old Style" w:eastAsia="Times New Roman" w:hAnsi="Bookman Old Style"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12"/>
  </w:num>
  <w:num w:numId="6">
    <w:abstractNumId w:val="5"/>
  </w:num>
  <w:num w:numId="7">
    <w:abstractNumId w:val="13"/>
  </w:num>
  <w:num w:numId="8">
    <w:abstractNumId w:val="10"/>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14A8"/>
    <w:rsid w:val="00001670"/>
    <w:rsid w:val="0000191D"/>
    <w:rsid w:val="0000215F"/>
    <w:rsid w:val="00003049"/>
    <w:rsid w:val="00004CB6"/>
    <w:rsid w:val="00005326"/>
    <w:rsid w:val="000056FB"/>
    <w:rsid w:val="00006585"/>
    <w:rsid w:val="00006AE2"/>
    <w:rsid w:val="00006EF5"/>
    <w:rsid w:val="000076A1"/>
    <w:rsid w:val="00011754"/>
    <w:rsid w:val="000119BB"/>
    <w:rsid w:val="0001209B"/>
    <w:rsid w:val="00012259"/>
    <w:rsid w:val="0001368F"/>
    <w:rsid w:val="00014D0B"/>
    <w:rsid w:val="00015F4C"/>
    <w:rsid w:val="00016B85"/>
    <w:rsid w:val="00017396"/>
    <w:rsid w:val="00017FD9"/>
    <w:rsid w:val="000203BE"/>
    <w:rsid w:val="0002117B"/>
    <w:rsid w:val="000227E1"/>
    <w:rsid w:val="00022832"/>
    <w:rsid w:val="00023841"/>
    <w:rsid w:val="00024EEB"/>
    <w:rsid w:val="00025383"/>
    <w:rsid w:val="00025C30"/>
    <w:rsid w:val="00025D05"/>
    <w:rsid w:val="000268D6"/>
    <w:rsid w:val="00027C0A"/>
    <w:rsid w:val="00027C0E"/>
    <w:rsid w:val="000318BC"/>
    <w:rsid w:val="0003225F"/>
    <w:rsid w:val="00032C8E"/>
    <w:rsid w:val="00034669"/>
    <w:rsid w:val="00034A7D"/>
    <w:rsid w:val="00034F65"/>
    <w:rsid w:val="0003547A"/>
    <w:rsid w:val="0003568E"/>
    <w:rsid w:val="000356FD"/>
    <w:rsid w:val="0003695A"/>
    <w:rsid w:val="00040250"/>
    <w:rsid w:val="0004152C"/>
    <w:rsid w:val="00042A98"/>
    <w:rsid w:val="00042A99"/>
    <w:rsid w:val="000432E2"/>
    <w:rsid w:val="0004377A"/>
    <w:rsid w:val="00044542"/>
    <w:rsid w:val="000446EC"/>
    <w:rsid w:val="00045094"/>
    <w:rsid w:val="00045D3D"/>
    <w:rsid w:val="00046E1A"/>
    <w:rsid w:val="0005171B"/>
    <w:rsid w:val="00051D1F"/>
    <w:rsid w:val="000531F1"/>
    <w:rsid w:val="00053BE6"/>
    <w:rsid w:val="0005412E"/>
    <w:rsid w:val="00055984"/>
    <w:rsid w:val="00055B4A"/>
    <w:rsid w:val="00056ECE"/>
    <w:rsid w:val="0005705F"/>
    <w:rsid w:val="0005740C"/>
    <w:rsid w:val="00063454"/>
    <w:rsid w:val="00063657"/>
    <w:rsid w:val="0006566D"/>
    <w:rsid w:val="0007064B"/>
    <w:rsid w:val="00070DAA"/>
    <w:rsid w:val="0007409E"/>
    <w:rsid w:val="00076680"/>
    <w:rsid w:val="00076A1D"/>
    <w:rsid w:val="000771FB"/>
    <w:rsid w:val="0008073E"/>
    <w:rsid w:val="0008115D"/>
    <w:rsid w:val="00081E5F"/>
    <w:rsid w:val="000821D9"/>
    <w:rsid w:val="00082B34"/>
    <w:rsid w:val="00082FE9"/>
    <w:rsid w:val="000831AC"/>
    <w:rsid w:val="000837A5"/>
    <w:rsid w:val="000837F5"/>
    <w:rsid w:val="00083AA8"/>
    <w:rsid w:val="00084F74"/>
    <w:rsid w:val="000857D1"/>
    <w:rsid w:val="000871E3"/>
    <w:rsid w:val="0008751B"/>
    <w:rsid w:val="0008776A"/>
    <w:rsid w:val="0009104E"/>
    <w:rsid w:val="0009196C"/>
    <w:rsid w:val="00091CDB"/>
    <w:rsid w:val="00092903"/>
    <w:rsid w:val="00095EA2"/>
    <w:rsid w:val="000974C2"/>
    <w:rsid w:val="000A1319"/>
    <w:rsid w:val="000A19AC"/>
    <w:rsid w:val="000A2C59"/>
    <w:rsid w:val="000A38CC"/>
    <w:rsid w:val="000A4F1E"/>
    <w:rsid w:val="000B2EC9"/>
    <w:rsid w:val="000B3688"/>
    <w:rsid w:val="000B6491"/>
    <w:rsid w:val="000B65BD"/>
    <w:rsid w:val="000B7990"/>
    <w:rsid w:val="000C06AF"/>
    <w:rsid w:val="000C1951"/>
    <w:rsid w:val="000C1DE0"/>
    <w:rsid w:val="000C21B9"/>
    <w:rsid w:val="000C266A"/>
    <w:rsid w:val="000C5C3A"/>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1549"/>
    <w:rsid w:val="000E2A42"/>
    <w:rsid w:val="000E3D26"/>
    <w:rsid w:val="000E6F5B"/>
    <w:rsid w:val="000F30B5"/>
    <w:rsid w:val="000F3A75"/>
    <w:rsid w:val="000F4463"/>
    <w:rsid w:val="000F47C4"/>
    <w:rsid w:val="000F5392"/>
    <w:rsid w:val="000F563E"/>
    <w:rsid w:val="000F68AA"/>
    <w:rsid w:val="000F6A5E"/>
    <w:rsid w:val="000F7AE9"/>
    <w:rsid w:val="000F7C81"/>
    <w:rsid w:val="0010087D"/>
    <w:rsid w:val="0010101F"/>
    <w:rsid w:val="00101F35"/>
    <w:rsid w:val="0010213B"/>
    <w:rsid w:val="00102339"/>
    <w:rsid w:val="0010333D"/>
    <w:rsid w:val="001054EF"/>
    <w:rsid w:val="00105E02"/>
    <w:rsid w:val="0010658E"/>
    <w:rsid w:val="00106654"/>
    <w:rsid w:val="001067D3"/>
    <w:rsid w:val="00107FFD"/>
    <w:rsid w:val="001106AF"/>
    <w:rsid w:val="00110A03"/>
    <w:rsid w:val="001129C7"/>
    <w:rsid w:val="00112D69"/>
    <w:rsid w:val="00112F16"/>
    <w:rsid w:val="00113700"/>
    <w:rsid w:val="001147FF"/>
    <w:rsid w:val="001177E6"/>
    <w:rsid w:val="00120607"/>
    <w:rsid w:val="001234AB"/>
    <w:rsid w:val="00126B7F"/>
    <w:rsid w:val="0012783F"/>
    <w:rsid w:val="00130D85"/>
    <w:rsid w:val="00132A6C"/>
    <w:rsid w:val="00132FE3"/>
    <w:rsid w:val="001333FC"/>
    <w:rsid w:val="0013384D"/>
    <w:rsid w:val="00133EC9"/>
    <w:rsid w:val="0013526C"/>
    <w:rsid w:val="00135C1F"/>
    <w:rsid w:val="00136F57"/>
    <w:rsid w:val="0014046E"/>
    <w:rsid w:val="001405C6"/>
    <w:rsid w:val="0014064C"/>
    <w:rsid w:val="00141013"/>
    <w:rsid w:val="00142021"/>
    <w:rsid w:val="0014208F"/>
    <w:rsid w:val="0014220A"/>
    <w:rsid w:val="0014256F"/>
    <w:rsid w:val="0014363D"/>
    <w:rsid w:val="00144681"/>
    <w:rsid w:val="00145736"/>
    <w:rsid w:val="001459D6"/>
    <w:rsid w:val="001463D6"/>
    <w:rsid w:val="001478B5"/>
    <w:rsid w:val="00151A0F"/>
    <w:rsid w:val="0015228B"/>
    <w:rsid w:val="00152D9A"/>
    <w:rsid w:val="00152E0C"/>
    <w:rsid w:val="0015338C"/>
    <w:rsid w:val="001541F3"/>
    <w:rsid w:val="00154D0C"/>
    <w:rsid w:val="00155CCF"/>
    <w:rsid w:val="001560A7"/>
    <w:rsid w:val="00156A07"/>
    <w:rsid w:val="00157B49"/>
    <w:rsid w:val="00157C7C"/>
    <w:rsid w:val="00160BCF"/>
    <w:rsid w:val="00161084"/>
    <w:rsid w:val="001610E0"/>
    <w:rsid w:val="001615EB"/>
    <w:rsid w:val="00164E00"/>
    <w:rsid w:val="00166AA9"/>
    <w:rsid w:val="00166B53"/>
    <w:rsid w:val="001710F9"/>
    <w:rsid w:val="001711AE"/>
    <w:rsid w:val="00171B59"/>
    <w:rsid w:val="0017477B"/>
    <w:rsid w:val="001762DD"/>
    <w:rsid w:val="00177652"/>
    <w:rsid w:val="001778BC"/>
    <w:rsid w:val="00177D48"/>
    <w:rsid w:val="0018101B"/>
    <w:rsid w:val="0018241F"/>
    <w:rsid w:val="001827DF"/>
    <w:rsid w:val="00184170"/>
    <w:rsid w:val="00185F79"/>
    <w:rsid w:val="001876F9"/>
    <w:rsid w:val="00190C2D"/>
    <w:rsid w:val="00190D40"/>
    <w:rsid w:val="00190F0B"/>
    <w:rsid w:val="0019132F"/>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699E"/>
    <w:rsid w:val="001A6DB8"/>
    <w:rsid w:val="001A7613"/>
    <w:rsid w:val="001B03F7"/>
    <w:rsid w:val="001B05A4"/>
    <w:rsid w:val="001B17F4"/>
    <w:rsid w:val="001B1C22"/>
    <w:rsid w:val="001B34C6"/>
    <w:rsid w:val="001B7323"/>
    <w:rsid w:val="001C01F5"/>
    <w:rsid w:val="001C08A0"/>
    <w:rsid w:val="001C0C42"/>
    <w:rsid w:val="001C1515"/>
    <w:rsid w:val="001C1D7B"/>
    <w:rsid w:val="001C2018"/>
    <w:rsid w:val="001C25A4"/>
    <w:rsid w:val="001C3593"/>
    <w:rsid w:val="001C36F4"/>
    <w:rsid w:val="001C3877"/>
    <w:rsid w:val="001C4A3C"/>
    <w:rsid w:val="001D0772"/>
    <w:rsid w:val="001D0C52"/>
    <w:rsid w:val="001D31E0"/>
    <w:rsid w:val="001D3333"/>
    <w:rsid w:val="001D516B"/>
    <w:rsid w:val="001D68E3"/>
    <w:rsid w:val="001D7832"/>
    <w:rsid w:val="001D7C2B"/>
    <w:rsid w:val="001E26B9"/>
    <w:rsid w:val="001E3911"/>
    <w:rsid w:val="001E485E"/>
    <w:rsid w:val="001E692F"/>
    <w:rsid w:val="001F2C5B"/>
    <w:rsid w:val="001F2FD8"/>
    <w:rsid w:val="001F4256"/>
    <w:rsid w:val="001F5003"/>
    <w:rsid w:val="001F5AFE"/>
    <w:rsid w:val="001F780F"/>
    <w:rsid w:val="002001AC"/>
    <w:rsid w:val="002012D8"/>
    <w:rsid w:val="002015A0"/>
    <w:rsid w:val="00202B2F"/>
    <w:rsid w:val="002038CE"/>
    <w:rsid w:val="002039D6"/>
    <w:rsid w:val="00204D82"/>
    <w:rsid w:val="0020533E"/>
    <w:rsid w:val="00206407"/>
    <w:rsid w:val="0020684F"/>
    <w:rsid w:val="00207A82"/>
    <w:rsid w:val="00207D99"/>
    <w:rsid w:val="00210DC1"/>
    <w:rsid w:val="0021157A"/>
    <w:rsid w:val="00211D34"/>
    <w:rsid w:val="0021297B"/>
    <w:rsid w:val="00212A1E"/>
    <w:rsid w:val="002133FA"/>
    <w:rsid w:val="00214328"/>
    <w:rsid w:val="00214F04"/>
    <w:rsid w:val="00216A2C"/>
    <w:rsid w:val="00216E6B"/>
    <w:rsid w:val="00217D47"/>
    <w:rsid w:val="002205FF"/>
    <w:rsid w:val="00221054"/>
    <w:rsid w:val="00221277"/>
    <w:rsid w:val="00223E50"/>
    <w:rsid w:val="0022483E"/>
    <w:rsid w:val="00224FC9"/>
    <w:rsid w:val="002259D9"/>
    <w:rsid w:val="00225A6F"/>
    <w:rsid w:val="00227061"/>
    <w:rsid w:val="00227307"/>
    <w:rsid w:val="00227E1E"/>
    <w:rsid w:val="00232EFC"/>
    <w:rsid w:val="0023338E"/>
    <w:rsid w:val="002336A9"/>
    <w:rsid w:val="002352B9"/>
    <w:rsid w:val="0023598E"/>
    <w:rsid w:val="0023621E"/>
    <w:rsid w:val="002367F5"/>
    <w:rsid w:val="00237721"/>
    <w:rsid w:val="00237EDC"/>
    <w:rsid w:val="00240640"/>
    <w:rsid w:val="00242A95"/>
    <w:rsid w:val="00242F2B"/>
    <w:rsid w:val="002436B9"/>
    <w:rsid w:val="00243A0A"/>
    <w:rsid w:val="002444FF"/>
    <w:rsid w:val="00245E5D"/>
    <w:rsid w:val="00245F0D"/>
    <w:rsid w:val="002538E5"/>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3BE8"/>
    <w:rsid w:val="002746D9"/>
    <w:rsid w:val="00274C95"/>
    <w:rsid w:val="00275DAB"/>
    <w:rsid w:val="00276059"/>
    <w:rsid w:val="00277AB2"/>
    <w:rsid w:val="00280F65"/>
    <w:rsid w:val="002821BE"/>
    <w:rsid w:val="002836E2"/>
    <w:rsid w:val="0028662C"/>
    <w:rsid w:val="002903C0"/>
    <w:rsid w:val="002903D1"/>
    <w:rsid w:val="0029121F"/>
    <w:rsid w:val="00291726"/>
    <w:rsid w:val="002922A7"/>
    <w:rsid w:val="002929D2"/>
    <w:rsid w:val="00292FE9"/>
    <w:rsid w:val="00295857"/>
    <w:rsid w:val="00295ACD"/>
    <w:rsid w:val="0029698E"/>
    <w:rsid w:val="002A185D"/>
    <w:rsid w:val="002A51EF"/>
    <w:rsid w:val="002A782A"/>
    <w:rsid w:val="002A7D62"/>
    <w:rsid w:val="002B11E2"/>
    <w:rsid w:val="002B24B8"/>
    <w:rsid w:val="002B3BF8"/>
    <w:rsid w:val="002B5E3C"/>
    <w:rsid w:val="002B6E5C"/>
    <w:rsid w:val="002B71B1"/>
    <w:rsid w:val="002C01FA"/>
    <w:rsid w:val="002C3488"/>
    <w:rsid w:val="002C5612"/>
    <w:rsid w:val="002C66D3"/>
    <w:rsid w:val="002C68ED"/>
    <w:rsid w:val="002C7252"/>
    <w:rsid w:val="002D3778"/>
    <w:rsid w:val="002D3AE9"/>
    <w:rsid w:val="002D3CE7"/>
    <w:rsid w:val="002D4510"/>
    <w:rsid w:val="002D590A"/>
    <w:rsid w:val="002D7D6C"/>
    <w:rsid w:val="002E09F5"/>
    <w:rsid w:val="002E1770"/>
    <w:rsid w:val="002E1AF2"/>
    <w:rsid w:val="002E1F65"/>
    <w:rsid w:val="002E230F"/>
    <w:rsid w:val="002E352A"/>
    <w:rsid w:val="002E635C"/>
    <w:rsid w:val="002E7997"/>
    <w:rsid w:val="002F026E"/>
    <w:rsid w:val="002F0734"/>
    <w:rsid w:val="002F07C7"/>
    <w:rsid w:val="002F17EE"/>
    <w:rsid w:val="002F22EB"/>
    <w:rsid w:val="002F36AF"/>
    <w:rsid w:val="002F3712"/>
    <w:rsid w:val="002F46E7"/>
    <w:rsid w:val="002F5131"/>
    <w:rsid w:val="002F72DB"/>
    <w:rsid w:val="002F75C0"/>
    <w:rsid w:val="002F7B19"/>
    <w:rsid w:val="002F7B35"/>
    <w:rsid w:val="003008A1"/>
    <w:rsid w:val="003026D9"/>
    <w:rsid w:val="00302EFB"/>
    <w:rsid w:val="0030336F"/>
    <w:rsid w:val="003040BE"/>
    <w:rsid w:val="0030641B"/>
    <w:rsid w:val="00306469"/>
    <w:rsid w:val="00307E9C"/>
    <w:rsid w:val="00307F8B"/>
    <w:rsid w:val="00307F96"/>
    <w:rsid w:val="003101DA"/>
    <w:rsid w:val="003111C3"/>
    <w:rsid w:val="00312443"/>
    <w:rsid w:val="00312DDD"/>
    <w:rsid w:val="00313B84"/>
    <w:rsid w:val="00314757"/>
    <w:rsid w:val="00315689"/>
    <w:rsid w:val="00315CD0"/>
    <w:rsid w:val="003163BC"/>
    <w:rsid w:val="00316A27"/>
    <w:rsid w:val="00317410"/>
    <w:rsid w:val="003211CE"/>
    <w:rsid w:val="0032190A"/>
    <w:rsid w:val="00321B6E"/>
    <w:rsid w:val="00322314"/>
    <w:rsid w:val="00326076"/>
    <w:rsid w:val="00326B48"/>
    <w:rsid w:val="0032714E"/>
    <w:rsid w:val="00327412"/>
    <w:rsid w:val="00327443"/>
    <w:rsid w:val="00330E17"/>
    <w:rsid w:val="00331C8C"/>
    <w:rsid w:val="003343C8"/>
    <w:rsid w:val="003343FE"/>
    <w:rsid w:val="003344C3"/>
    <w:rsid w:val="0033564E"/>
    <w:rsid w:val="00335D8A"/>
    <w:rsid w:val="00335EAC"/>
    <w:rsid w:val="0033715F"/>
    <w:rsid w:val="003373A2"/>
    <w:rsid w:val="00337C84"/>
    <w:rsid w:val="00337F57"/>
    <w:rsid w:val="00341EB2"/>
    <w:rsid w:val="003473A2"/>
    <w:rsid w:val="00350A8C"/>
    <w:rsid w:val="00350DE4"/>
    <w:rsid w:val="00351E6B"/>
    <w:rsid w:val="00352C2F"/>
    <w:rsid w:val="0035403A"/>
    <w:rsid w:val="003577FF"/>
    <w:rsid w:val="003619C3"/>
    <w:rsid w:val="00361EF5"/>
    <w:rsid w:val="0036394B"/>
    <w:rsid w:val="0036498F"/>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5DB1"/>
    <w:rsid w:val="00376056"/>
    <w:rsid w:val="00376B28"/>
    <w:rsid w:val="0037710B"/>
    <w:rsid w:val="00377288"/>
    <w:rsid w:val="00377FCD"/>
    <w:rsid w:val="00380F32"/>
    <w:rsid w:val="00381AAD"/>
    <w:rsid w:val="00383AB4"/>
    <w:rsid w:val="003851D1"/>
    <w:rsid w:val="00385A73"/>
    <w:rsid w:val="00386A9A"/>
    <w:rsid w:val="00387C27"/>
    <w:rsid w:val="0039127D"/>
    <w:rsid w:val="0039155D"/>
    <w:rsid w:val="0039172F"/>
    <w:rsid w:val="003923CF"/>
    <w:rsid w:val="0039240B"/>
    <w:rsid w:val="003932CF"/>
    <w:rsid w:val="00393F9F"/>
    <w:rsid w:val="0039473C"/>
    <w:rsid w:val="00396389"/>
    <w:rsid w:val="0039666B"/>
    <w:rsid w:val="00397004"/>
    <w:rsid w:val="00397365"/>
    <w:rsid w:val="00397DA6"/>
    <w:rsid w:val="003A0389"/>
    <w:rsid w:val="003A09A2"/>
    <w:rsid w:val="003A10B4"/>
    <w:rsid w:val="003A1451"/>
    <w:rsid w:val="003A1A65"/>
    <w:rsid w:val="003A31F6"/>
    <w:rsid w:val="003A3A6C"/>
    <w:rsid w:val="003A3E98"/>
    <w:rsid w:val="003A4D67"/>
    <w:rsid w:val="003A5D8F"/>
    <w:rsid w:val="003A6FE1"/>
    <w:rsid w:val="003B1627"/>
    <w:rsid w:val="003B178F"/>
    <w:rsid w:val="003B2C98"/>
    <w:rsid w:val="003B3EF0"/>
    <w:rsid w:val="003B4485"/>
    <w:rsid w:val="003B534A"/>
    <w:rsid w:val="003B5D45"/>
    <w:rsid w:val="003B66CA"/>
    <w:rsid w:val="003B79D4"/>
    <w:rsid w:val="003B7AE8"/>
    <w:rsid w:val="003B7D11"/>
    <w:rsid w:val="003C0474"/>
    <w:rsid w:val="003C156A"/>
    <w:rsid w:val="003C242C"/>
    <w:rsid w:val="003C3447"/>
    <w:rsid w:val="003C4072"/>
    <w:rsid w:val="003C5CAF"/>
    <w:rsid w:val="003C642A"/>
    <w:rsid w:val="003C7C3D"/>
    <w:rsid w:val="003D0607"/>
    <w:rsid w:val="003D076C"/>
    <w:rsid w:val="003D1367"/>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1778"/>
    <w:rsid w:val="003F3C5E"/>
    <w:rsid w:val="003F530D"/>
    <w:rsid w:val="003F54A4"/>
    <w:rsid w:val="003F56F4"/>
    <w:rsid w:val="003F6D67"/>
    <w:rsid w:val="003F70F2"/>
    <w:rsid w:val="003F77E3"/>
    <w:rsid w:val="003F7F77"/>
    <w:rsid w:val="00400A3D"/>
    <w:rsid w:val="0040199C"/>
    <w:rsid w:val="00402C03"/>
    <w:rsid w:val="00402FDC"/>
    <w:rsid w:val="00405029"/>
    <w:rsid w:val="0040781C"/>
    <w:rsid w:val="00407A25"/>
    <w:rsid w:val="00410552"/>
    <w:rsid w:val="004135D1"/>
    <w:rsid w:val="00414FCF"/>
    <w:rsid w:val="004151D9"/>
    <w:rsid w:val="004155FB"/>
    <w:rsid w:val="0041597A"/>
    <w:rsid w:val="00415BAB"/>
    <w:rsid w:val="00415E2E"/>
    <w:rsid w:val="00415ED2"/>
    <w:rsid w:val="0042068C"/>
    <w:rsid w:val="00422C7E"/>
    <w:rsid w:val="00423679"/>
    <w:rsid w:val="004237FF"/>
    <w:rsid w:val="004255DF"/>
    <w:rsid w:val="00425A70"/>
    <w:rsid w:val="00425E93"/>
    <w:rsid w:val="00425F7D"/>
    <w:rsid w:val="00426B5B"/>
    <w:rsid w:val="004272FF"/>
    <w:rsid w:val="00432822"/>
    <w:rsid w:val="00433E81"/>
    <w:rsid w:val="004346E8"/>
    <w:rsid w:val="00435C0D"/>
    <w:rsid w:val="00440421"/>
    <w:rsid w:val="00440840"/>
    <w:rsid w:val="00440DC7"/>
    <w:rsid w:val="00441C8E"/>
    <w:rsid w:val="00441FD9"/>
    <w:rsid w:val="004429D9"/>
    <w:rsid w:val="00442FAB"/>
    <w:rsid w:val="0044318E"/>
    <w:rsid w:val="00443B35"/>
    <w:rsid w:val="00446813"/>
    <w:rsid w:val="00446866"/>
    <w:rsid w:val="00446BEE"/>
    <w:rsid w:val="00446C55"/>
    <w:rsid w:val="0045009B"/>
    <w:rsid w:val="004508F2"/>
    <w:rsid w:val="00450A9D"/>
    <w:rsid w:val="00451303"/>
    <w:rsid w:val="00451615"/>
    <w:rsid w:val="0045178C"/>
    <w:rsid w:val="00452577"/>
    <w:rsid w:val="004526AC"/>
    <w:rsid w:val="0045463B"/>
    <w:rsid w:val="00454AE2"/>
    <w:rsid w:val="00455DAE"/>
    <w:rsid w:val="00455E26"/>
    <w:rsid w:val="00456622"/>
    <w:rsid w:val="0046079C"/>
    <w:rsid w:val="00461628"/>
    <w:rsid w:val="00461D9A"/>
    <w:rsid w:val="00461F0C"/>
    <w:rsid w:val="00464F07"/>
    <w:rsid w:val="00465103"/>
    <w:rsid w:val="00466988"/>
    <w:rsid w:val="00466B39"/>
    <w:rsid w:val="0047092D"/>
    <w:rsid w:val="0047122B"/>
    <w:rsid w:val="00472125"/>
    <w:rsid w:val="00473788"/>
    <w:rsid w:val="00473B7A"/>
    <w:rsid w:val="00474922"/>
    <w:rsid w:val="004771D9"/>
    <w:rsid w:val="00480859"/>
    <w:rsid w:val="00481F5D"/>
    <w:rsid w:val="0048216C"/>
    <w:rsid w:val="00482D44"/>
    <w:rsid w:val="004836D4"/>
    <w:rsid w:val="00483D96"/>
    <w:rsid w:val="00485CA3"/>
    <w:rsid w:val="00486F7C"/>
    <w:rsid w:val="00490183"/>
    <w:rsid w:val="00490CC9"/>
    <w:rsid w:val="004918DA"/>
    <w:rsid w:val="00491B40"/>
    <w:rsid w:val="00492C4A"/>
    <w:rsid w:val="00495EFD"/>
    <w:rsid w:val="00495FD0"/>
    <w:rsid w:val="004960E9"/>
    <w:rsid w:val="00497384"/>
    <w:rsid w:val="00497DC9"/>
    <w:rsid w:val="004A2E88"/>
    <w:rsid w:val="004A5305"/>
    <w:rsid w:val="004A6144"/>
    <w:rsid w:val="004A6D92"/>
    <w:rsid w:val="004B132B"/>
    <w:rsid w:val="004B13C6"/>
    <w:rsid w:val="004B41C9"/>
    <w:rsid w:val="004B7912"/>
    <w:rsid w:val="004B7FAF"/>
    <w:rsid w:val="004C0257"/>
    <w:rsid w:val="004C0564"/>
    <w:rsid w:val="004C05BC"/>
    <w:rsid w:val="004C16EE"/>
    <w:rsid w:val="004C2DAC"/>
    <w:rsid w:val="004C607A"/>
    <w:rsid w:val="004C687E"/>
    <w:rsid w:val="004D040D"/>
    <w:rsid w:val="004D182B"/>
    <w:rsid w:val="004D1B54"/>
    <w:rsid w:val="004D2EB4"/>
    <w:rsid w:val="004D47A0"/>
    <w:rsid w:val="004D4B8C"/>
    <w:rsid w:val="004D5A3A"/>
    <w:rsid w:val="004D6891"/>
    <w:rsid w:val="004D6BC4"/>
    <w:rsid w:val="004D72B2"/>
    <w:rsid w:val="004D7634"/>
    <w:rsid w:val="004E00F7"/>
    <w:rsid w:val="004E1214"/>
    <w:rsid w:val="004E196A"/>
    <w:rsid w:val="004E1C14"/>
    <w:rsid w:val="004E3C11"/>
    <w:rsid w:val="004E410F"/>
    <w:rsid w:val="004E4B5F"/>
    <w:rsid w:val="004E55D4"/>
    <w:rsid w:val="004E5EAA"/>
    <w:rsid w:val="004E611A"/>
    <w:rsid w:val="004E650C"/>
    <w:rsid w:val="004F0840"/>
    <w:rsid w:val="004F0852"/>
    <w:rsid w:val="004F165C"/>
    <w:rsid w:val="004F177E"/>
    <w:rsid w:val="004F17CA"/>
    <w:rsid w:val="004F3DF8"/>
    <w:rsid w:val="004F5234"/>
    <w:rsid w:val="004F5F72"/>
    <w:rsid w:val="004F6360"/>
    <w:rsid w:val="004F6460"/>
    <w:rsid w:val="004F6C0F"/>
    <w:rsid w:val="005010CF"/>
    <w:rsid w:val="00501C0F"/>
    <w:rsid w:val="0050333B"/>
    <w:rsid w:val="005044C6"/>
    <w:rsid w:val="00506494"/>
    <w:rsid w:val="00506AFF"/>
    <w:rsid w:val="00506E54"/>
    <w:rsid w:val="00507DC6"/>
    <w:rsid w:val="00511EF8"/>
    <w:rsid w:val="0051288E"/>
    <w:rsid w:val="00513D79"/>
    <w:rsid w:val="00515D56"/>
    <w:rsid w:val="0051635B"/>
    <w:rsid w:val="00517400"/>
    <w:rsid w:val="00520C93"/>
    <w:rsid w:val="00521271"/>
    <w:rsid w:val="0052144F"/>
    <w:rsid w:val="00521979"/>
    <w:rsid w:val="00523A96"/>
    <w:rsid w:val="005242DD"/>
    <w:rsid w:val="00524DC3"/>
    <w:rsid w:val="00525389"/>
    <w:rsid w:val="00525697"/>
    <w:rsid w:val="00525AEE"/>
    <w:rsid w:val="00526A6A"/>
    <w:rsid w:val="00526C8C"/>
    <w:rsid w:val="0052720E"/>
    <w:rsid w:val="0052725A"/>
    <w:rsid w:val="005300D3"/>
    <w:rsid w:val="0053058C"/>
    <w:rsid w:val="00531373"/>
    <w:rsid w:val="00531F9B"/>
    <w:rsid w:val="0053243E"/>
    <w:rsid w:val="0053520D"/>
    <w:rsid w:val="00536925"/>
    <w:rsid w:val="00540679"/>
    <w:rsid w:val="0054109E"/>
    <w:rsid w:val="00542A10"/>
    <w:rsid w:val="00543038"/>
    <w:rsid w:val="00543B0C"/>
    <w:rsid w:val="00544F82"/>
    <w:rsid w:val="00545DA9"/>
    <w:rsid w:val="005460E7"/>
    <w:rsid w:val="00546568"/>
    <w:rsid w:val="00546CD5"/>
    <w:rsid w:val="005509D2"/>
    <w:rsid w:val="00551C12"/>
    <w:rsid w:val="00553B89"/>
    <w:rsid w:val="00554C96"/>
    <w:rsid w:val="0055564E"/>
    <w:rsid w:val="005557BE"/>
    <w:rsid w:val="00555BA6"/>
    <w:rsid w:val="00555F0E"/>
    <w:rsid w:val="00557262"/>
    <w:rsid w:val="0055791F"/>
    <w:rsid w:val="0056024E"/>
    <w:rsid w:val="00560A68"/>
    <w:rsid w:val="005624BA"/>
    <w:rsid w:val="005628C1"/>
    <w:rsid w:val="00563E79"/>
    <w:rsid w:val="0056428B"/>
    <w:rsid w:val="00564855"/>
    <w:rsid w:val="00564B67"/>
    <w:rsid w:val="00564B8B"/>
    <w:rsid w:val="00564EDF"/>
    <w:rsid w:val="0056570C"/>
    <w:rsid w:val="00566685"/>
    <w:rsid w:val="005673AC"/>
    <w:rsid w:val="00570CC7"/>
    <w:rsid w:val="005711C9"/>
    <w:rsid w:val="005711EC"/>
    <w:rsid w:val="005714A3"/>
    <w:rsid w:val="00571501"/>
    <w:rsid w:val="00571C46"/>
    <w:rsid w:val="00571D26"/>
    <w:rsid w:val="00573091"/>
    <w:rsid w:val="00573CB8"/>
    <w:rsid w:val="00574008"/>
    <w:rsid w:val="005750F5"/>
    <w:rsid w:val="00576BB3"/>
    <w:rsid w:val="0058055D"/>
    <w:rsid w:val="005843A4"/>
    <w:rsid w:val="0058489C"/>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A01FB"/>
    <w:rsid w:val="005A0E0C"/>
    <w:rsid w:val="005A1D71"/>
    <w:rsid w:val="005A234E"/>
    <w:rsid w:val="005A35ED"/>
    <w:rsid w:val="005A3C1C"/>
    <w:rsid w:val="005A3E1C"/>
    <w:rsid w:val="005A4407"/>
    <w:rsid w:val="005A59EF"/>
    <w:rsid w:val="005A5B8B"/>
    <w:rsid w:val="005A648D"/>
    <w:rsid w:val="005A6650"/>
    <w:rsid w:val="005A763B"/>
    <w:rsid w:val="005B1C7E"/>
    <w:rsid w:val="005B2098"/>
    <w:rsid w:val="005B4943"/>
    <w:rsid w:val="005B6CB3"/>
    <w:rsid w:val="005B6E70"/>
    <w:rsid w:val="005B7C48"/>
    <w:rsid w:val="005C00E9"/>
    <w:rsid w:val="005C1C67"/>
    <w:rsid w:val="005C2146"/>
    <w:rsid w:val="005C3BAA"/>
    <w:rsid w:val="005C460B"/>
    <w:rsid w:val="005C488F"/>
    <w:rsid w:val="005C48F2"/>
    <w:rsid w:val="005C51B8"/>
    <w:rsid w:val="005C6976"/>
    <w:rsid w:val="005C7427"/>
    <w:rsid w:val="005C7781"/>
    <w:rsid w:val="005D0A73"/>
    <w:rsid w:val="005D1395"/>
    <w:rsid w:val="005D1C05"/>
    <w:rsid w:val="005D1DE8"/>
    <w:rsid w:val="005D2D58"/>
    <w:rsid w:val="005D3384"/>
    <w:rsid w:val="005D352F"/>
    <w:rsid w:val="005D4EDA"/>
    <w:rsid w:val="005D533D"/>
    <w:rsid w:val="005D5BC6"/>
    <w:rsid w:val="005E0569"/>
    <w:rsid w:val="005E1D6C"/>
    <w:rsid w:val="005E2B7C"/>
    <w:rsid w:val="005E35AF"/>
    <w:rsid w:val="005E4914"/>
    <w:rsid w:val="005E749D"/>
    <w:rsid w:val="005F3416"/>
    <w:rsid w:val="005F39CA"/>
    <w:rsid w:val="005F526D"/>
    <w:rsid w:val="005F6F41"/>
    <w:rsid w:val="005F7013"/>
    <w:rsid w:val="00601011"/>
    <w:rsid w:val="00601DDF"/>
    <w:rsid w:val="00605DA0"/>
    <w:rsid w:val="006069A0"/>
    <w:rsid w:val="00610A14"/>
    <w:rsid w:val="0061112B"/>
    <w:rsid w:val="00611B5C"/>
    <w:rsid w:val="00612816"/>
    <w:rsid w:val="00614138"/>
    <w:rsid w:val="00614509"/>
    <w:rsid w:val="0061581B"/>
    <w:rsid w:val="006166B9"/>
    <w:rsid w:val="00616B17"/>
    <w:rsid w:val="00616F30"/>
    <w:rsid w:val="00620164"/>
    <w:rsid w:val="006203E4"/>
    <w:rsid w:val="00623032"/>
    <w:rsid w:val="006232CE"/>
    <w:rsid w:val="006236DF"/>
    <w:rsid w:val="00624016"/>
    <w:rsid w:val="006254F7"/>
    <w:rsid w:val="00625D9F"/>
    <w:rsid w:val="00625DC6"/>
    <w:rsid w:val="0062630C"/>
    <w:rsid w:val="006263B4"/>
    <w:rsid w:val="0062729D"/>
    <w:rsid w:val="00627335"/>
    <w:rsid w:val="006327E7"/>
    <w:rsid w:val="00632871"/>
    <w:rsid w:val="006341CF"/>
    <w:rsid w:val="00635B22"/>
    <w:rsid w:val="00636835"/>
    <w:rsid w:val="00637F1B"/>
    <w:rsid w:val="00641554"/>
    <w:rsid w:val="0064343E"/>
    <w:rsid w:val="0064391D"/>
    <w:rsid w:val="00644009"/>
    <w:rsid w:val="00644E86"/>
    <w:rsid w:val="00645BF9"/>
    <w:rsid w:val="00646756"/>
    <w:rsid w:val="006508AB"/>
    <w:rsid w:val="00650D7D"/>
    <w:rsid w:val="00651154"/>
    <w:rsid w:val="006516F4"/>
    <w:rsid w:val="00651821"/>
    <w:rsid w:val="00651BBF"/>
    <w:rsid w:val="00651C8E"/>
    <w:rsid w:val="006528E5"/>
    <w:rsid w:val="00654384"/>
    <w:rsid w:val="00656B89"/>
    <w:rsid w:val="00661F02"/>
    <w:rsid w:val="006622B2"/>
    <w:rsid w:val="00663D4D"/>
    <w:rsid w:val="00666A1D"/>
    <w:rsid w:val="006675CD"/>
    <w:rsid w:val="00667AD5"/>
    <w:rsid w:val="0067238D"/>
    <w:rsid w:val="006740B2"/>
    <w:rsid w:val="00674238"/>
    <w:rsid w:val="00674313"/>
    <w:rsid w:val="006747D5"/>
    <w:rsid w:val="00674BDC"/>
    <w:rsid w:val="00675985"/>
    <w:rsid w:val="006769D9"/>
    <w:rsid w:val="00677E6A"/>
    <w:rsid w:val="00680BFA"/>
    <w:rsid w:val="00683EB3"/>
    <w:rsid w:val="00683ED0"/>
    <w:rsid w:val="00684D9B"/>
    <w:rsid w:val="0068510A"/>
    <w:rsid w:val="00685BCB"/>
    <w:rsid w:val="00690172"/>
    <w:rsid w:val="00690820"/>
    <w:rsid w:val="00690CEF"/>
    <w:rsid w:val="00691037"/>
    <w:rsid w:val="0069245B"/>
    <w:rsid w:val="00694E6C"/>
    <w:rsid w:val="00696A51"/>
    <w:rsid w:val="00697556"/>
    <w:rsid w:val="006A1CA8"/>
    <w:rsid w:val="006A1EB6"/>
    <w:rsid w:val="006A2EDF"/>
    <w:rsid w:val="006A44A2"/>
    <w:rsid w:val="006A5D5F"/>
    <w:rsid w:val="006A616B"/>
    <w:rsid w:val="006A677A"/>
    <w:rsid w:val="006A72C7"/>
    <w:rsid w:val="006A7663"/>
    <w:rsid w:val="006B1FDF"/>
    <w:rsid w:val="006B2513"/>
    <w:rsid w:val="006B39EE"/>
    <w:rsid w:val="006B4081"/>
    <w:rsid w:val="006B4647"/>
    <w:rsid w:val="006B4C2B"/>
    <w:rsid w:val="006B5DFE"/>
    <w:rsid w:val="006B6139"/>
    <w:rsid w:val="006B6194"/>
    <w:rsid w:val="006B661E"/>
    <w:rsid w:val="006B6D47"/>
    <w:rsid w:val="006B7078"/>
    <w:rsid w:val="006B719A"/>
    <w:rsid w:val="006C1FD7"/>
    <w:rsid w:val="006C2119"/>
    <w:rsid w:val="006C3E16"/>
    <w:rsid w:val="006C416B"/>
    <w:rsid w:val="006C4912"/>
    <w:rsid w:val="006C56C0"/>
    <w:rsid w:val="006C5AFE"/>
    <w:rsid w:val="006C7715"/>
    <w:rsid w:val="006C7AF6"/>
    <w:rsid w:val="006D0DA3"/>
    <w:rsid w:val="006D2747"/>
    <w:rsid w:val="006D30B1"/>
    <w:rsid w:val="006D3293"/>
    <w:rsid w:val="006D3749"/>
    <w:rsid w:val="006D5E04"/>
    <w:rsid w:val="006D5FAB"/>
    <w:rsid w:val="006D6944"/>
    <w:rsid w:val="006E04F4"/>
    <w:rsid w:val="006E0A54"/>
    <w:rsid w:val="006E155D"/>
    <w:rsid w:val="006E1EEA"/>
    <w:rsid w:val="006E4298"/>
    <w:rsid w:val="006E4C15"/>
    <w:rsid w:val="006E5B45"/>
    <w:rsid w:val="006E5FC3"/>
    <w:rsid w:val="006F0B17"/>
    <w:rsid w:val="006F268E"/>
    <w:rsid w:val="006F2EC8"/>
    <w:rsid w:val="006F33A3"/>
    <w:rsid w:val="006F3970"/>
    <w:rsid w:val="006F4824"/>
    <w:rsid w:val="006F56D0"/>
    <w:rsid w:val="006F5E13"/>
    <w:rsid w:val="006F6D95"/>
    <w:rsid w:val="006F7459"/>
    <w:rsid w:val="006F7CFE"/>
    <w:rsid w:val="00702937"/>
    <w:rsid w:val="00703806"/>
    <w:rsid w:val="00705347"/>
    <w:rsid w:val="00705F85"/>
    <w:rsid w:val="0070691F"/>
    <w:rsid w:val="00706F13"/>
    <w:rsid w:val="007072E8"/>
    <w:rsid w:val="007076FB"/>
    <w:rsid w:val="00710FF1"/>
    <w:rsid w:val="00711973"/>
    <w:rsid w:val="007127EF"/>
    <w:rsid w:val="00712997"/>
    <w:rsid w:val="007134B4"/>
    <w:rsid w:val="007140E5"/>
    <w:rsid w:val="00714A31"/>
    <w:rsid w:val="0071618D"/>
    <w:rsid w:val="0071644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4D21"/>
    <w:rsid w:val="00736A3B"/>
    <w:rsid w:val="00736BDC"/>
    <w:rsid w:val="00740446"/>
    <w:rsid w:val="00742FDA"/>
    <w:rsid w:val="007438A9"/>
    <w:rsid w:val="00743E7F"/>
    <w:rsid w:val="0074491E"/>
    <w:rsid w:val="00745C85"/>
    <w:rsid w:val="00750DD6"/>
    <w:rsid w:val="007511E4"/>
    <w:rsid w:val="0075578E"/>
    <w:rsid w:val="007601EE"/>
    <w:rsid w:val="007602F3"/>
    <w:rsid w:val="0076163F"/>
    <w:rsid w:val="0076247A"/>
    <w:rsid w:val="00762FB0"/>
    <w:rsid w:val="00763175"/>
    <w:rsid w:val="00763381"/>
    <w:rsid w:val="007643B3"/>
    <w:rsid w:val="00767391"/>
    <w:rsid w:val="007705CD"/>
    <w:rsid w:val="0077328E"/>
    <w:rsid w:val="00774ABE"/>
    <w:rsid w:val="00775964"/>
    <w:rsid w:val="0077639F"/>
    <w:rsid w:val="007765FE"/>
    <w:rsid w:val="007766B3"/>
    <w:rsid w:val="00777163"/>
    <w:rsid w:val="00781011"/>
    <w:rsid w:val="007818B0"/>
    <w:rsid w:val="00781E1A"/>
    <w:rsid w:val="00783A35"/>
    <w:rsid w:val="00783FEE"/>
    <w:rsid w:val="00785678"/>
    <w:rsid w:val="00786A7D"/>
    <w:rsid w:val="00787E5A"/>
    <w:rsid w:val="00790375"/>
    <w:rsid w:val="007910F2"/>
    <w:rsid w:val="007928B7"/>
    <w:rsid w:val="00793C5D"/>
    <w:rsid w:val="0079474E"/>
    <w:rsid w:val="00794E2E"/>
    <w:rsid w:val="00795373"/>
    <w:rsid w:val="00795BFB"/>
    <w:rsid w:val="00796FD8"/>
    <w:rsid w:val="007A060C"/>
    <w:rsid w:val="007A1A93"/>
    <w:rsid w:val="007A5E57"/>
    <w:rsid w:val="007A75BE"/>
    <w:rsid w:val="007B093B"/>
    <w:rsid w:val="007B0D0F"/>
    <w:rsid w:val="007B0FAC"/>
    <w:rsid w:val="007B100F"/>
    <w:rsid w:val="007B1CF5"/>
    <w:rsid w:val="007B2760"/>
    <w:rsid w:val="007B53E9"/>
    <w:rsid w:val="007B564B"/>
    <w:rsid w:val="007B5CF2"/>
    <w:rsid w:val="007B6F1D"/>
    <w:rsid w:val="007B71EE"/>
    <w:rsid w:val="007B77CE"/>
    <w:rsid w:val="007C0309"/>
    <w:rsid w:val="007C127E"/>
    <w:rsid w:val="007C1B10"/>
    <w:rsid w:val="007C1B64"/>
    <w:rsid w:val="007C2407"/>
    <w:rsid w:val="007C585E"/>
    <w:rsid w:val="007C5B24"/>
    <w:rsid w:val="007C766D"/>
    <w:rsid w:val="007C79E3"/>
    <w:rsid w:val="007D1AFC"/>
    <w:rsid w:val="007D49D7"/>
    <w:rsid w:val="007D69D2"/>
    <w:rsid w:val="007D6B92"/>
    <w:rsid w:val="007D7877"/>
    <w:rsid w:val="007E09A4"/>
    <w:rsid w:val="007E1112"/>
    <w:rsid w:val="007E151C"/>
    <w:rsid w:val="007E1812"/>
    <w:rsid w:val="007E21CA"/>
    <w:rsid w:val="007E3D47"/>
    <w:rsid w:val="007E4643"/>
    <w:rsid w:val="007E4A8E"/>
    <w:rsid w:val="007E5792"/>
    <w:rsid w:val="007E5B81"/>
    <w:rsid w:val="007E66B1"/>
    <w:rsid w:val="007E71A4"/>
    <w:rsid w:val="007E7A97"/>
    <w:rsid w:val="007F1280"/>
    <w:rsid w:val="007F17F4"/>
    <w:rsid w:val="007F2498"/>
    <w:rsid w:val="007F49D1"/>
    <w:rsid w:val="007F6527"/>
    <w:rsid w:val="007F6C99"/>
    <w:rsid w:val="007F760F"/>
    <w:rsid w:val="007F7C1B"/>
    <w:rsid w:val="00800D21"/>
    <w:rsid w:val="00801F33"/>
    <w:rsid w:val="00802E44"/>
    <w:rsid w:val="00803071"/>
    <w:rsid w:val="00803098"/>
    <w:rsid w:val="0080401E"/>
    <w:rsid w:val="008043BB"/>
    <w:rsid w:val="00804D2E"/>
    <w:rsid w:val="00805A26"/>
    <w:rsid w:val="00806C01"/>
    <w:rsid w:val="00807806"/>
    <w:rsid w:val="00810A93"/>
    <w:rsid w:val="00811C5B"/>
    <w:rsid w:val="00811D3E"/>
    <w:rsid w:val="00812BAE"/>
    <w:rsid w:val="008148CC"/>
    <w:rsid w:val="00815DC3"/>
    <w:rsid w:val="008167FC"/>
    <w:rsid w:val="00817731"/>
    <w:rsid w:val="008211A4"/>
    <w:rsid w:val="00821986"/>
    <w:rsid w:val="00822961"/>
    <w:rsid w:val="0082311D"/>
    <w:rsid w:val="008237CA"/>
    <w:rsid w:val="00823CA6"/>
    <w:rsid w:val="00823E17"/>
    <w:rsid w:val="008251BC"/>
    <w:rsid w:val="0082608A"/>
    <w:rsid w:val="00826E96"/>
    <w:rsid w:val="008272F0"/>
    <w:rsid w:val="008276D9"/>
    <w:rsid w:val="00830FF0"/>
    <w:rsid w:val="0083140E"/>
    <w:rsid w:val="008318F6"/>
    <w:rsid w:val="00831A7D"/>
    <w:rsid w:val="008330DC"/>
    <w:rsid w:val="00834E17"/>
    <w:rsid w:val="00834EFB"/>
    <w:rsid w:val="00837AD4"/>
    <w:rsid w:val="00840E7A"/>
    <w:rsid w:val="00841307"/>
    <w:rsid w:val="00841D80"/>
    <w:rsid w:val="00842049"/>
    <w:rsid w:val="00842644"/>
    <w:rsid w:val="008432E5"/>
    <w:rsid w:val="00843DAD"/>
    <w:rsid w:val="008441EA"/>
    <w:rsid w:val="0084467C"/>
    <w:rsid w:val="00844AE2"/>
    <w:rsid w:val="00845BAD"/>
    <w:rsid w:val="0084693A"/>
    <w:rsid w:val="00850B06"/>
    <w:rsid w:val="008511DC"/>
    <w:rsid w:val="008514DF"/>
    <w:rsid w:val="00853779"/>
    <w:rsid w:val="00854203"/>
    <w:rsid w:val="0085640E"/>
    <w:rsid w:val="008567D4"/>
    <w:rsid w:val="00861829"/>
    <w:rsid w:val="008625B3"/>
    <w:rsid w:val="00862E48"/>
    <w:rsid w:val="00863A37"/>
    <w:rsid w:val="00863AB8"/>
    <w:rsid w:val="00864C35"/>
    <w:rsid w:val="00864F48"/>
    <w:rsid w:val="008671DE"/>
    <w:rsid w:val="00870417"/>
    <w:rsid w:val="0087143B"/>
    <w:rsid w:val="00873150"/>
    <w:rsid w:val="00873A38"/>
    <w:rsid w:val="00873FF9"/>
    <w:rsid w:val="00874329"/>
    <w:rsid w:val="00874613"/>
    <w:rsid w:val="00874AAA"/>
    <w:rsid w:val="00875B5E"/>
    <w:rsid w:val="00876557"/>
    <w:rsid w:val="0087657D"/>
    <w:rsid w:val="008772C7"/>
    <w:rsid w:val="00880654"/>
    <w:rsid w:val="008807A4"/>
    <w:rsid w:val="008807D5"/>
    <w:rsid w:val="00880832"/>
    <w:rsid w:val="00881A25"/>
    <w:rsid w:val="0088369F"/>
    <w:rsid w:val="008836A4"/>
    <w:rsid w:val="00884D80"/>
    <w:rsid w:val="00886D19"/>
    <w:rsid w:val="00886EE1"/>
    <w:rsid w:val="0088727D"/>
    <w:rsid w:val="008874B2"/>
    <w:rsid w:val="00887F31"/>
    <w:rsid w:val="008902C7"/>
    <w:rsid w:val="008902EB"/>
    <w:rsid w:val="00891038"/>
    <w:rsid w:val="00892BC4"/>
    <w:rsid w:val="00892F2C"/>
    <w:rsid w:val="0089340F"/>
    <w:rsid w:val="00893E73"/>
    <w:rsid w:val="008944D2"/>
    <w:rsid w:val="00894B89"/>
    <w:rsid w:val="008951CD"/>
    <w:rsid w:val="00895326"/>
    <w:rsid w:val="00896F62"/>
    <w:rsid w:val="00897C27"/>
    <w:rsid w:val="00897C75"/>
    <w:rsid w:val="008A0F70"/>
    <w:rsid w:val="008A1221"/>
    <w:rsid w:val="008A1461"/>
    <w:rsid w:val="008A1B89"/>
    <w:rsid w:val="008A1EDB"/>
    <w:rsid w:val="008A2111"/>
    <w:rsid w:val="008A2565"/>
    <w:rsid w:val="008A3CD0"/>
    <w:rsid w:val="008A4148"/>
    <w:rsid w:val="008A4BD9"/>
    <w:rsid w:val="008A56AF"/>
    <w:rsid w:val="008A5D96"/>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36B"/>
    <w:rsid w:val="008C3591"/>
    <w:rsid w:val="008C4F64"/>
    <w:rsid w:val="008C54CC"/>
    <w:rsid w:val="008C60B3"/>
    <w:rsid w:val="008C6406"/>
    <w:rsid w:val="008C6D97"/>
    <w:rsid w:val="008C758F"/>
    <w:rsid w:val="008C7A64"/>
    <w:rsid w:val="008C7FA6"/>
    <w:rsid w:val="008D0647"/>
    <w:rsid w:val="008D13D1"/>
    <w:rsid w:val="008D18E6"/>
    <w:rsid w:val="008D18EC"/>
    <w:rsid w:val="008D1DC5"/>
    <w:rsid w:val="008D2C6D"/>
    <w:rsid w:val="008D3144"/>
    <w:rsid w:val="008D3E2A"/>
    <w:rsid w:val="008D3EB5"/>
    <w:rsid w:val="008D42C5"/>
    <w:rsid w:val="008D4ECE"/>
    <w:rsid w:val="008D6D03"/>
    <w:rsid w:val="008D7A9B"/>
    <w:rsid w:val="008E0060"/>
    <w:rsid w:val="008E0439"/>
    <w:rsid w:val="008E0F2A"/>
    <w:rsid w:val="008E121C"/>
    <w:rsid w:val="008E12A0"/>
    <w:rsid w:val="008E1DAF"/>
    <w:rsid w:val="008E1E53"/>
    <w:rsid w:val="008E4655"/>
    <w:rsid w:val="008E4E07"/>
    <w:rsid w:val="008E4F4C"/>
    <w:rsid w:val="008E57B9"/>
    <w:rsid w:val="008E6687"/>
    <w:rsid w:val="008E6D31"/>
    <w:rsid w:val="008E7091"/>
    <w:rsid w:val="008E76AC"/>
    <w:rsid w:val="008E76D4"/>
    <w:rsid w:val="008F02A8"/>
    <w:rsid w:val="008F03AC"/>
    <w:rsid w:val="008F0D84"/>
    <w:rsid w:val="008F1399"/>
    <w:rsid w:val="008F1EB1"/>
    <w:rsid w:val="008F1FDC"/>
    <w:rsid w:val="008F21F6"/>
    <w:rsid w:val="008F229C"/>
    <w:rsid w:val="008F2EB0"/>
    <w:rsid w:val="008F44D5"/>
    <w:rsid w:val="008F6FA2"/>
    <w:rsid w:val="008F72E0"/>
    <w:rsid w:val="00900489"/>
    <w:rsid w:val="00900D5E"/>
    <w:rsid w:val="00900E75"/>
    <w:rsid w:val="00901457"/>
    <w:rsid w:val="00901DFC"/>
    <w:rsid w:val="009026F4"/>
    <w:rsid w:val="00902F64"/>
    <w:rsid w:val="00903386"/>
    <w:rsid w:val="009042DA"/>
    <w:rsid w:val="009049C5"/>
    <w:rsid w:val="00904A12"/>
    <w:rsid w:val="00906A2D"/>
    <w:rsid w:val="009113F1"/>
    <w:rsid w:val="00911F4D"/>
    <w:rsid w:val="00912247"/>
    <w:rsid w:val="00912AA6"/>
    <w:rsid w:val="0091359D"/>
    <w:rsid w:val="00914F06"/>
    <w:rsid w:val="00916AB1"/>
    <w:rsid w:val="00917201"/>
    <w:rsid w:val="00917367"/>
    <w:rsid w:val="00920663"/>
    <w:rsid w:val="00922990"/>
    <w:rsid w:val="00923B14"/>
    <w:rsid w:val="00924D4F"/>
    <w:rsid w:val="00925993"/>
    <w:rsid w:val="00926475"/>
    <w:rsid w:val="00926D9B"/>
    <w:rsid w:val="00930543"/>
    <w:rsid w:val="00930859"/>
    <w:rsid w:val="00931ADD"/>
    <w:rsid w:val="00931E01"/>
    <w:rsid w:val="0093297A"/>
    <w:rsid w:val="00932B77"/>
    <w:rsid w:val="00935218"/>
    <w:rsid w:val="00935985"/>
    <w:rsid w:val="00935EA3"/>
    <w:rsid w:val="00936488"/>
    <w:rsid w:val="009364F2"/>
    <w:rsid w:val="0093786F"/>
    <w:rsid w:val="00940742"/>
    <w:rsid w:val="0094147E"/>
    <w:rsid w:val="00942198"/>
    <w:rsid w:val="00942327"/>
    <w:rsid w:val="009427D5"/>
    <w:rsid w:val="0094299F"/>
    <w:rsid w:val="00942C56"/>
    <w:rsid w:val="00943CA7"/>
    <w:rsid w:val="00944E53"/>
    <w:rsid w:val="0094513B"/>
    <w:rsid w:val="0094571F"/>
    <w:rsid w:val="00947745"/>
    <w:rsid w:val="00950BFC"/>
    <w:rsid w:val="0095183F"/>
    <w:rsid w:val="00951925"/>
    <w:rsid w:val="00951F79"/>
    <w:rsid w:val="009529A6"/>
    <w:rsid w:val="00954404"/>
    <w:rsid w:val="00954C36"/>
    <w:rsid w:val="00954EB1"/>
    <w:rsid w:val="00955866"/>
    <w:rsid w:val="00955948"/>
    <w:rsid w:val="00955F64"/>
    <w:rsid w:val="00957503"/>
    <w:rsid w:val="00961EAC"/>
    <w:rsid w:val="0096279C"/>
    <w:rsid w:val="0096342A"/>
    <w:rsid w:val="00964BE8"/>
    <w:rsid w:val="00965126"/>
    <w:rsid w:val="00965296"/>
    <w:rsid w:val="00965C0B"/>
    <w:rsid w:val="00967498"/>
    <w:rsid w:val="009703FA"/>
    <w:rsid w:val="00970465"/>
    <w:rsid w:val="00971CC1"/>
    <w:rsid w:val="009733BB"/>
    <w:rsid w:val="00973846"/>
    <w:rsid w:val="0097499D"/>
    <w:rsid w:val="00974AB5"/>
    <w:rsid w:val="00975624"/>
    <w:rsid w:val="00976EC7"/>
    <w:rsid w:val="00976FD7"/>
    <w:rsid w:val="009820D7"/>
    <w:rsid w:val="00982701"/>
    <w:rsid w:val="0098286E"/>
    <w:rsid w:val="00982A7B"/>
    <w:rsid w:val="00982FE1"/>
    <w:rsid w:val="00983859"/>
    <w:rsid w:val="00983FB3"/>
    <w:rsid w:val="009843A8"/>
    <w:rsid w:val="009844C9"/>
    <w:rsid w:val="00984655"/>
    <w:rsid w:val="009851BF"/>
    <w:rsid w:val="009851CD"/>
    <w:rsid w:val="00986A5E"/>
    <w:rsid w:val="00986A71"/>
    <w:rsid w:val="00986ECC"/>
    <w:rsid w:val="0098706D"/>
    <w:rsid w:val="0098764A"/>
    <w:rsid w:val="00991B54"/>
    <w:rsid w:val="009935FB"/>
    <w:rsid w:val="0099446F"/>
    <w:rsid w:val="0099448D"/>
    <w:rsid w:val="00996E66"/>
    <w:rsid w:val="009971F5"/>
    <w:rsid w:val="00997985"/>
    <w:rsid w:val="00997E69"/>
    <w:rsid w:val="009A0187"/>
    <w:rsid w:val="009A0748"/>
    <w:rsid w:val="009A235E"/>
    <w:rsid w:val="009A3DAA"/>
    <w:rsid w:val="009A4D1C"/>
    <w:rsid w:val="009A4F41"/>
    <w:rsid w:val="009A7A06"/>
    <w:rsid w:val="009B079A"/>
    <w:rsid w:val="009B08D8"/>
    <w:rsid w:val="009B1328"/>
    <w:rsid w:val="009B303D"/>
    <w:rsid w:val="009B31B2"/>
    <w:rsid w:val="009B45B2"/>
    <w:rsid w:val="009B4F8D"/>
    <w:rsid w:val="009B5752"/>
    <w:rsid w:val="009B57F5"/>
    <w:rsid w:val="009C15AD"/>
    <w:rsid w:val="009C167B"/>
    <w:rsid w:val="009C17D3"/>
    <w:rsid w:val="009C1933"/>
    <w:rsid w:val="009C2AF0"/>
    <w:rsid w:val="009C34FD"/>
    <w:rsid w:val="009C3DB8"/>
    <w:rsid w:val="009C422B"/>
    <w:rsid w:val="009C54D9"/>
    <w:rsid w:val="009C5ED5"/>
    <w:rsid w:val="009C6FF8"/>
    <w:rsid w:val="009C71DA"/>
    <w:rsid w:val="009C7500"/>
    <w:rsid w:val="009C7987"/>
    <w:rsid w:val="009C7F29"/>
    <w:rsid w:val="009D191F"/>
    <w:rsid w:val="009D2A09"/>
    <w:rsid w:val="009D3E69"/>
    <w:rsid w:val="009D4626"/>
    <w:rsid w:val="009D5565"/>
    <w:rsid w:val="009D5B15"/>
    <w:rsid w:val="009D75F9"/>
    <w:rsid w:val="009E06C2"/>
    <w:rsid w:val="009E1320"/>
    <w:rsid w:val="009E1EB8"/>
    <w:rsid w:val="009E3023"/>
    <w:rsid w:val="009E3B36"/>
    <w:rsid w:val="009E3D1C"/>
    <w:rsid w:val="009E5113"/>
    <w:rsid w:val="009E5521"/>
    <w:rsid w:val="009E5968"/>
    <w:rsid w:val="009E5BC5"/>
    <w:rsid w:val="009E7922"/>
    <w:rsid w:val="009F0489"/>
    <w:rsid w:val="009F15BD"/>
    <w:rsid w:val="009F17D8"/>
    <w:rsid w:val="009F1D61"/>
    <w:rsid w:val="009F252B"/>
    <w:rsid w:val="009F457C"/>
    <w:rsid w:val="009F47F4"/>
    <w:rsid w:val="009F4A54"/>
    <w:rsid w:val="009F4BEC"/>
    <w:rsid w:val="009F4F37"/>
    <w:rsid w:val="009F553B"/>
    <w:rsid w:val="009F5874"/>
    <w:rsid w:val="009F59FE"/>
    <w:rsid w:val="009F5D75"/>
    <w:rsid w:val="009F5E1B"/>
    <w:rsid w:val="009F68E2"/>
    <w:rsid w:val="00A0284E"/>
    <w:rsid w:val="00A045AB"/>
    <w:rsid w:val="00A04D18"/>
    <w:rsid w:val="00A04DC8"/>
    <w:rsid w:val="00A0515F"/>
    <w:rsid w:val="00A05CED"/>
    <w:rsid w:val="00A061FC"/>
    <w:rsid w:val="00A06C25"/>
    <w:rsid w:val="00A0708C"/>
    <w:rsid w:val="00A07643"/>
    <w:rsid w:val="00A10393"/>
    <w:rsid w:val="00A10857"/>
    <w:rsid w:val="00A11576"/>
    <w:rsid w:val="00A12211"/>
    <w:rsid w:val="00A122C5"/>
    <w:rsid w:val="00A144D4"/>
    <w:rsid w:val="00A14A31"/>
    <w:rsid w:val="00A16C20"/>
    <w:rsid w:val="00A1772B"/>
    <w:rsid w:val="00A2261B"/>
    <w:rsid w:val="00A23DA6"/>
    <w:rsid w:val="00A240CB"/>
    <w:rsid w:val="00A242DE"/>
    <w:rsid w:val="00A24CB4"/>
    <w:rsid w:val="00A25FD7"/>
    <w:rsid w:val="00A26DEA"/>
    <w:rsid w:val="00A27DCE"/>
    <w:rsid w:val="00A30443"/>
    <w:rsid w:val="00A31B60"/>
    <w:rsid w:val="00A346C0"/>
    <w:rsid w:val="00A35468"/>
    <w:rsid w:val="00A366F9"/>
    <w:rsid w:val="00A3773C"/>
    <w:rsid w:val="00A40669"/>
    <w:rsid w:val="00A40880"/>
    <w:rsid w:val="00A43041"/>
    <w:rsid w:val="00A43AFF"/>
    <w:rsid w:val="00A454E3"/>
    <w:rsid w:val="00A46303"/>
    <w:rsid w:val="00A46C17"/>
    <w:rsid w:val="00A473CD"/>
    <w:rsid w:val="00A47C13"/>
    <w:rsid w:val="00A50DBD"/>
    <w:rsid w:val="00A50DC7"/>
    <w:rsid w:val="00A50F78"/>
    <w:rsid w:val="00A515D6"/>
    <w:rsid w:val="00A51DA4"/>
    <w:rsid w:val="00A529B6"/>
    <w:rsid w:val="00A52D39"/>
    <w:rsid w:val="00A532D3"/>
    <w:rsid w:val="00A537A1"/>
    <w:rsid w:val="00A54E61"/>
    <w:rsid w:val="00A5540E"/>
    <w:rsid w:val="00A56152"/>
    <w:rsid w:val="00A56EFF"/>
    <w:rsid w:val="00A571BF"/>
    <w:rsid w:val="00A5784E"/>
    <w:rsid w:val="00A57FBB"/>
    <w:rsid w:val="00A60C76"/>
    <w:rsid w:val="00A60F91"/>
    <w:rsid w:val="00A619C0"/>
    <w:rsid w:val="00A62CF6"/>
    <w:rsid w:val="00A63466"/>
    <w:rsid w:val="00A6411B"/>
    <w:rsid w:val="00A645DF"/>
    <w:rsid w:val="00A6492A"/>
    <w:rsid w:val="00A64D0B"/>
    <w:rsid w:val="00A66313"/>
    <w:rsid w:val="00A67D72"/>
    <w:rsid w:val="00A7001A"/>
    <w:rsid w:val="00A731C3"/>
    <w:rsid w:val="00A74AD1"/>
    <w:rsid w:val="00A74FDA"/>
    <w:rsid w:val="00A76474"/>
    <w:rsid w:val="00A7793A"/>
    <w:rsid w:val="00A80C05"/>
    <w:rsid w:val="00A80C7B"/>
    <w:rsid w:val="00A82091"/>
    <w:rsid w:val="00A82664"/>
    <w:rsid w:val="00A827B5"/>
    <w:rsid w:val="00A83B99"/>
    <w:rsid w:val="00A83EE1"/>
    <w:rsid w:val="00A8497A"/>
    <w:rsid w:val="00A85C52"/>
    <w:rsid w:val="00A90A5A"/>
    <w:rsid w:val="00A94750"/>
    <w:rsid w:val="00A947C8"/>
    <w:rsid w:val="00A95099"/>
    <w:rsid w:val="00A956C0"/>
    <w:rsid w:val="00A97B3A"/>
    <w:rsid w:val="00AA0FA8"/>
    <w:rsid w:val="00AA2290"/>
    <w:rsid w:val="00AA2722"/>
    <w:rsid w:val="00AA39C3"/>
    <w:rsid w:val="00AA4415"/>
    <w:rsid w:val="00AA4CC7"/>
    <w:rsid w:val="00AA535A"/>
    <w:rsid w:val="00AA5586"/>
    <w:rsid w:val="00AA583A"/>
    <w:rsid w:val="00AA58E3"/>
    <w:rsid w:val="00AA5E8E"/>
    <w:rsid w:val="00AA7048"/>
    <w:rsid w:val="00AB0281"/>
    <w:rsid w:val="00AB0EB1"/>
    <w:rsid w:val="00AB163A"/>
    <w:rsid w:val="00AB1AF2"/>
    <w:rsid w:val="00AB225B"/>
    <w:rsid w:val="00AB25FA"/>
    <w:rsid w:val="00AB2BAD"/>
    <w:rsid w:val="00AB32C0"/>
    <w:rsid w:val="00AB46ED"/>
    <w:rsid w:val="00AB566F"/>
    <w:rsid w:val="00AB59B2"/>
    <w:rsid w:val="00AB604C"/>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47DC"/>
    <w:rsid w:val="00AD4D6E"/>
    <w:rsid w:val="00AD583E"/>
    <w:rsid w:val="00AD7D7C"/>
    <w:rsid w:val="00AE02E3"/>
    <w:rsid w:val="00AE10D4"/>
    <w:rsid w:val="00AE1231"/>
    <w:rsid w:val="00AE168C"/>
    <w:rsid w:val="00AE2958"/>
    <w:rsid w:val="00AE2B11"/>
    <w:rsid w:val="00AE39AB"/>
    <w:rsid w:val="00AE3FBE"/>
    <w:rsid w:val="00AE5145"/>
    <w:rsid w:val="00AE6033"/>
    <w:rsid w:val="00AE6B72"/>
    <w:rsid w:val="00AE7340"/>
    <w:rsid w:val="00AF03DC"/>
    <w:rsid w:val="00AF0BB5"/>
    <w:rsid w:val="00AF0C52"/>
    <w:rsid w:val="00AF1BBD"/>
    <w:rsid w:val="00AF1DE0"/>
    <w:rsid w:val="00AF246E"/>
    <w:rsid w:val="00AF29D5"/>
    <w:rsid w:val="00AF53F4"/>
    <w:rsid w:val="00AF794B"/>
    <w:rsid w:val="00B0256C"/>
    <w:rsid w:val="00B03620"/>
    <w:rsid w:val="00B038E7"/>
    <w:rsid w:val="00B04948"/>
    <w:rsid w:val="00B052C2"/>
    <w:rsid w:val="00B06EEE"/>
    <w:rsid w:val="00B06FFE"/>
    <w:rsid w:val="00B077F9"/>
    <w:rsid w:val="00B10207"/>
    <w:rsid w:val="00B11EAF"/>
    <w:rsid w:val="00B13EF2"/>
    <w:rsid w:val="00B141B8"/>
    <w:rsid w:val="00B141E7"/>
    <w:rsid w:val="00B14B95"/>
    <w:rsid w:val="00B15349"/>
    <w:rsid w:val="00B16417"/>
    <w:rsid w:val="00B16448"/>
    <w:rsid w:val="00B16B69"/>
    <w:rsid w:val="00B20121"/>
    <w:rsid w:val="00B21275"/>
    <w:rsid w:val="00B215CA"/>
    <w:rsid w:val="00B21879"/>
    <w:rsid w:val="00B2435A"/>
    <w:rsid w:val="00B25B86"/>
    <w:rsid w:val="00B26197"/>
    <w:rsid w:val="00B26280"/>
    <w:rsid w:val="00B265A1"/>
    <w:rsid w:val="00B30425"/>
    <w:rsid w:val="00B3194B"/>
    <w:rsid w:val="00B31D3C"/>
    <w:rsid w:val="00B3344F"/>
    <w:rsid w:val="00B33BDD"/>
    <w:rsid w:val="00B3466A"/>
    <w:rsid w:val="00B351B4"/>
    <w:rsid w:val="00B351FA"/>
    <w:rsid w:val="00B35960"/>
    <w:rsid w:val="00B3680A"/>
    <w:rsid w:val="00B36A92"/>
    <w:rsid w:val="00B37A60"/>
    <w:rsid w:val="00B40D0D"/>
    <w:rsid w:val="00B41DF4"/>
    <w:rsid w:val="00B4232B"/>
    <w:rsid w:val="00B42917"/>
    <w:rsid w:val="00B42993"/>
    <w:rsid w:val="00B43325"/>
    <w:rsid w:val="00B43898"/>
    <w:rsid w:val="00B46AC6"/>
    <w:rsid w:val="00B46BCA"/>
    <w:rsid w:val="00B47528"/>
    <w:rsid w:val="00B478AA"/>
    <w:rsid w:val="00B52415"/>
    <w:rsid w:val="00B5285B"/>
    <w:rsid w:val="00B5286A"/>
    <w:rsid w:val="00B554FE"/>
    <w:rsid w:val="00B55692"/>
    <w:rsid w:val="00B55A2C"/>
    <w:rsid w:val="00B56028"/>
    <w:rsid w:val="00B564D0"/>
    <w:rsid w:val="00B565C7"/>
    <w:rsid w:val="00B56AEF"/>
    <w:rsid w:val="00B5711A"/>
    <w:rsid w:val="00B57D8C"/>
    <w:rsid w:val="00B600A4"/>
    <w:rsid w:val="00B600FD"/>
    <w:rsid w:val="00B61D64"/>
    <w:rsid w:val="00B624AC"/>
    <w:rsid w:val="00B64F3D"/>
    <w:rsid w:val="00B65F61"/>
    <w:rsid w:val="00B66041"/>
    <w:rsid w:val="00B665CD"/>
    <w:rsid w:val="00B66E3B"/>
    <w:rsid w:val="00B710D7"/>
    <w:rsid w:val="00B71218"/>
    <w:rsid w:val="00B72E5C"/>
    <w:rsid w:val="00B72FDC"/>
    <w:rsid w:val="00B744B8"/>
    <w:rsid w:val="00B75663"/>
    <w:rsid w:val="00B768AF"/>
    <w:rsid w:val="00B76A1F"/>
    <w:rsid w:val="00B76A53"/>
    <w:rsid w:val="00B77482"/>
    <w:rsid w:val="00B77671"/>
    <w:rsid w:val="00B77CD0"/>
    <w:rsid w:val="00B808E3"/>
    <w:rsid w:val="00B80A4C"/>
    <w:rsid w:val="00B80A53"/>
    <w:rsid w:val="00B80E07"/>
    <w:rsid w:val="00B80EEE"/>
    <w:rsid w:val="00B8131D"/>
    <w:rsid w:val="00B825C2"/>
    <w:rsid w:val="00B82619"/>
    <w:rsid w:val="00B82883"/>
    <w:rsid w:val="00B82DE0"/>
    <w:rsid w:val="00B84993"/>
    <w:rsid w:val="00B84C00"/>
    <w:rsid w:val="00B85325"/>
    <w:rsid w:val="00B85425"/>
    <w:rsid w:val="00B85FD4"/>
    <w:rsid w:val="00B8749B"/>
    <w:rsid w:val="00B87806"/>
    <w:rsid w:val="00B87EC9"/>
    <w:rsid w:val="00B91318"/>
    <w:rsid w:val="00B91533"/>
    <w:rsid w:val="00B91F5D"/>
    <w:rsid w:val="00B93640"/>
    <w:rsid w:val="00B93FF5"/>
    <w:rsid w:val="00B94C9E"/>
    <w:rsid w:val="00B94D33"/>
    <w:rsid w:val="00B965C5"/>
    <w:rsid w:val="00B96B8C"/>
    <w:rsid w:val="00BA0196"/>
    <w:rsid w:val="00BA070B"/>
    <w:rsid w:val="00BA0B49"/>
    <w:rsid w:val="00BA13ED"/>
    <w:rsid w:val="00BA15CB"/>
    <w:rsid w:val="00BA2E21"/>
    <w:rsid w:val="00BA3864"/>
    <w:rsid w:val="00BA4149"/>
    <w:rsid w:val="00BA42D0"/>
    <w:rsid w:val="00BA4427"/>
    <w:rsid w:val="00BA5137"/>
    <w:rsid w:val="00BA5733"/>
    <w:rsid w:val="00BB4335"/>
    <w:rsid w:val="00BB6133"/>
    <w:rsid w:val="00BB6691"/>
    <w:rsid w:val="00BB751A"/>
    <w:rsid w:val="00BC134F"/>
    <w:rsid w:val="00BC1B33"/>
    <w:rsid w:val="00BC24A1"/>
    <w:rsid w:val="00BC3481"/>
    <w:rsid w:val="00BC38FD"/>
    <w:rsid w:val="00BC3C53"/>
    <w:rsid w:val="00BC4C9E"/>
    <w:rsid w:val="00BC5807"/>
    <w:rsid w:val="00BC5BEC"/>
    <w:rsid w:val="00BD28F0"/>
    <w:rsid w:val="00BD30D2"/>
    <w:rsid w:val="00BD3EB5"/>
    <w:rsid w:val="00BD6191"/>
    <w:rsid w:val="00BD7269"/>
    <w:rsid w:val="00BD72C1"/>
    <w:rsid w:val="00BE064B"/>
    <w:rsid w:val="00BE0955"/>
    <w:rsid w:val="00BE2586"/>
    <w:rsid w:val="00BE479B"/>
    <w:rsid w:val="00BE4A70"/>
    <w:rsid w:val="00BE511F"/>
    <w:rsid w:val="00BE52B5"/>
    <w:rsid w:val="00BE5879"/>
    <w:rsid w:val="00BE6240"/>
    <w:rsid w:val="00BE6451"/>
    <w:rsid w:val="00BE6D1B"/>
    <w:rsid w:val="00BE6FCB"/>
    <w:rsid w:val="00BF1944"/>
    <w:rsid w:val="00BF42F6"/>
    <w:rsid w:val="00BF4A8F"/>
    <w:rsid w:val="00BF4B04"/>
    <w:rsid w:val="00BF5A0E"/>
    <w:rsid w:val="00BF695B"/>
    <w:rsid w:val="00BF69C9"/>
    <w:rsid w:val="00BF6CC6"/>
    <w:rsid w:val="00BF737C"/>
    <w:rsid w:val="00BF7F5D"/>
    <w:rsid w:val="00C016C6"/>
    <w:rsid w:val="00C01DF8"/>
    <w:rsid w:val="00C02231"/>
    <w:rsid w:val="00C02BA1"/>
    <w:rsid w:val="00C02C2E"/>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5AFE"/>
    <w:rsid w:val="00C170C2"/>
    <w:rsid w:val="00C17547"/>
    <w:rsid w:val="00C17897"/>
    <w:rsid w:val="00C202E9"/>
    <w:rsid w:val="00C2199B"/>
    <w:rsid w:val="00C21A7C"/>
    <w:rsid w:val="00C22ACF"/>
    <w:rsid w:val="00C22C5F"/>
    <w:rsid w:val="00C23D5E"/>
    <w:rsid w:val="00C24D55"/>
    <w:rsid w:val="00C25033"/>
    <w:rsid w:val="00C273C7"/>
    <w:rsid w:val="00C30D93"/>
    <w:rsid w:val="00C312D2"/>
    <w:rsid w:val="00C3136D"/>
    <w:rsid w:val="00C31381"/>
    <w:rsid w:val="00C32B95"/>
    <w:rsid w:val="00C32CD4"/>
    <w:rsid w:val="00C353C1"/>
    <w:rsid w:val="00C357DB"/>
    <w:rsid w:val="00C362A6"/>
    <w:rsid w:val="00C367C9"/>
    <w:rsid w:val="00C36AE6"/>
    <w:rsid w:val="00C36EB6"/>
    <w:rsid w:val="00C40052"/>
    <w:rsid w:val="00C401AF"/>
    <w:rsid w:val="00C409D5"/>
    <w:rsid w:val="00C41E68"/>
    <w:rsid w:val="00C42B7F"/>
    <w:rsid w:val="00C435C3"/>
    <w:rsid w:val="00C43FAE"/>
    <w:rsid w:val="00C4460E"/>
    <w:rsid w:val="00C44B68"/>
    <w:rsid w:val="00C44B9B"/>
    <w:rsid w:val="00C44CC9"/>
    <w:rsid w:val="00C44E5F"/>
    <w:rsid w:val="00C46B05"/>
    <w:rsid w:val="00C4722C"/>
    <w:rsid w:val="00C50334"/>
    <w:rsid w:val="00C51595"/>
    <w:rsid w:val="00C51B7C"/>
    <w:rsid w:val="00C52727"/>
    <w:rsid w:val="00C53440"/>
    <w:rsid w:val="00C60C51"/>
    <w:rsid w:val="00C616A6"/>
    <w:rsid w:val="00C61B63"/>
    <w:rsid w:val="00C6234B"/>
    <w:rsid w:val="00C63C92"/>
    <w:rsid w:val="00C63EAE"/>
    <w:rsid w:val="00C656EE"/>
    <w:rsid w:val="00C663D8"/>
    <w:rsid w:val="00C70E01"/>
    <w:rsid w:val="00C71203"/>
    <w:rsid w:val="00C73200"/>
    <w:rsid w:val="00C73249"/>
    <w:rsid w:val="00C73260"/>
    <w:rsid w:val="00C743BA"/>
    <w:rsid w:val="00C743C9"/>
    <w:rsid w:val="00C74B5F"/>
    <w:rsid w:val="00C7540C"/>
    <w:rsid w:val="00C7629F"/>
    <w:rsid w:val="00C766ED"/>
    <w:rsid w:val="00C766F0"/>
    <w:rsid w:val="00C76A16"/>
    <w:rsid w:val="00C771BE"/>
    <w:rsid w:val="00C823AC"/>
    <w:rsid w:val="00C83796"/>
    <w:rsid w:val="00C8491F"/>
    <w:rsid w:val="00C84B75"/>
    <w:rsid w:val="00C851C0"/>
    <w:rsid w:val="00C851F5"/>
    <w:rsid w:val="00C856E8"/>
    <w:rsid w:val="00C85990"/>
    <w:rsid w:val="00C8661B"/>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DFD"/>
    <w:rsid w:val="00CA139A"/>
    <w:rsid w:val="00CA19FA"/>
    <w:rsid w:val="00CA2181"/>
    <w:rsid w:val="00CA26DD"/>
    <w:rsid w:val="00CA2899"/>
    <w:rsid w:val="00CA3890"/>
    <w:rsid w:val="00CA3A3D"/>
    <w:rsid w:val="00CA3AA6"/>
    <w:rsid w:val="00CA3EF3"/>
    <w:rsid w:val="00CA45B6"/>
    <w:rsid w:val="00CA4880"/>
    <w:rsid w:val="00CA51FC"/>
    <w:rsid w:val="00CA555C"/>
    <w:rsid w:val="00CA608B"/>
    <w:rsid w:val="00CA77FB"/>
    <w:rsid w:val="00CA793D"/>
    <w:rsid w:val="00CA7942"/>
    <w:rsid w:val="00CB026C"/>
    <w:rsid w:val="00CB0C67"/>
    <w:rsid w:val="00CB11A6"/>
    <w:rsid w:val="00CB2886"/>
    <w:rsid w:val="00CB2A95"/>
    <w:rsid w:val="00CB2E57"/>
    <w:rsid w:val="00CB3293"/>
    <w:rsid w:val="00CB379B"/>
    <w:rsid w:val="00CB3BF4"/>
    <w:rsid w:val="00CB3D9D"/>
    <w:rsid w:val="00CB4074"/>
    <w:rsid w:val="00CB454A"/>
    <w:rsid w:val="00CB4F88"/>
    <w:rsid w:val="00CB5DD0"/>
    <w:rsid w:val="00CC06BA"/>
    <w:rsid w:val="00CC269A"/>
    <w:rsid w:val="00CC314F"/>
    <w:rsid w:val="00CC3725"/>
    <w:rsid w:val="00CC4AD9"/>
    <w:rsid w:val="00CC51D4"/>
    <w:rsid w:val="00CC564F"/>
    <w:rsid w:val="00CC65DA"/>
    <w:rsid w:val="00CC6C62"/>
    <w:rsid w:val="00CD1043"/>
    <w:rsid w:val="00CD13F3"/>
    <w:rsid w:val="00CD14B9"/>
    <w:rsid w:val="00CD17C8"/>
    <w:rsid w:val="00CD1962"/>
    <w:rsid w:val="00CD46B3"/>
    <w:rsid w:val="00CD692C"/>
    <w:rsid w:val="00CD6C8C"/>
    <w:rsid w:val="00CD75CC"/>
    <w:rsid w:val="00CE11CC"/>
    <w:rsid w:val="00CE18A4"/>
    <w:rsid w:val="00CE2AA7"/>
    <w:rsid w:val="00CE31D4"/>
    <w:rsid w:val="00CE4916"/>
    <w:rsid w:val="00CE5896"/>
    <w:rsid w:val="00CE5AA0"/>
    <w:rsid w:val="00CE5E78"/>
    <w:rsid w:val="00CE7B36"/>
    <w:rsid w:val="00CF0103"/>
    <w:rsid w:val="00CF174F"/>
    <w:rsid w:val="00CF18FA"/>
    <w:rsid w:val="00CF21B9"/>
    <w:rsid w:val="00CF2A2D"/>
    <w:rsid w:val="00CF3F39"/>
    <w:rsid w:val="00CF4242"/>
    <w:rsid w:val="00CF61D4"/>
    <w:rsid w:val="00CF6BF9"/>
    <w:rsid w:val="00D004BB"/>
    <w:rsid w:val="00D00748"/>
    <w:rsid w:val="00D0230E"/>
    <w:rsid w:val="00D02A5C"/>
    <w:rsid w:val="00D03800"/>
    <w:rsid w:val="00D03B05"/>
    <w:rsid w:val="00D049B2"/>
    <w:rsid w:val="00D065D3"/>
    <w:rsid w:val="00D1009B"/>
    <w:rsid w:val="00D10DD2"/>
    <w:rsid w:val="00D113D9"/>
    <w:rsid w:val="00D11C4B"/>
    <w:rsid w:val="00D12226"/>
    <w:rsid w:val="00D12AEC"/>
    <w:rsid w:val="00D13799"/>
    <w:rsid w:val="00D14142"/>
    <w:rsid w:val="00D14C94"/>
    <w:rsid w:val="00D17195"/>
    <w:rsid w:val="00D20C48"/>
    <w:rsid w:val="00D215E1"/>
    <w:rsid w:val="00D21DF3"/>
    <w:rsid w:val="00D231C8"/>
    <w:rsid w:val="00D24557"/>
    <w:rsid w:val="00D256FA"/>
    <w:rsid w:val="00D267EC"/>
    <w:rsid w:val="00D26D63"/>
    <w:rsid w:val="00D27672"/>
    <w:rsid w:val="00D27F49"/>
    <w:rsid w:val="00D311DF"/>
    <w:rsid w:val="00D31C4A"/>
    <w:rsid w:val="00D32D99"/>
    <w:rsid w:val="00D32F94"/>
    <w:rsid w:val="00D33ED4"/>
    <w:rsid w:val="00D33F2A"/>
    <w:rsid w:val="00D3421B"/>
    <w:rsid w:val="00D342A6"/>
    <w:rsid w:val="00D343C4"/>
    <w:rsid w:val="00D34440"/>
    <w:rsid w:val="00D3458A"/>
    <w:rsid w:val="00D35A33"/>
    <w:rsid w:val="00D3636B"/>
    <w:rsid w:val="00D36A6A"/>
    <w:rsid w:val="00D372A9"/>
    <w:rsid w:val="00D37634"/>
    <w:rsid w:val="00D400F9"/>
    <w:rsid w:val="00D41024"/>
    <w:rsid w:val="00D428AA"/>
    <w:rsid w:val="00D4312E"/>
    <w:rsid w:val="00D443BE"/>
    <w:rsid w:val="00D459E0"/>
    <w:rsid w:val="00D45CA6"/>
    <w:rsid w:val="00D464BF"/>
    <w:rsid w:val="00D46635"/>
    <w:rsid w:val="00D47773"/>
    <w:rsid w:val="00D5098E"/>
    <w:rsid w:val="00D52BDB"/>
    <w:rsid w:val="00D5356B"/>
    <w:rsid w:val="00D53E26"/>
    <w:rsid w:val="00D547E3"/>
    <w:rsid w:val="00D553D3"/>
    <w:rsid w:val="00D557EE"/>
    <w:rsid w:val="00D55C7E"/>
    <w:rsid w:val="00D57074"/>
    <w:rsid w:val="00D57A78"/>
    <w:rsid w:val="00D60EE3"/>
    <w:rsid w:val="00D60EE7"/>
    <w:rsid w:val="00D61FA7"/>
    <w:rsid w:val="00D623C2"/>
    <w:rsid w:val="00D62A4D"/>
    <w:rsid w:val="00D62F75"/>
    <w:rsid w:val="00D630BE"/>
    <w:rsid w:val="00D6322D"/>
    <w:rsid w:val="00D65EBE"/>
    <w:rsid w:val="00D67B5F"/>
    <w:rsid w:val="00D70E31"/>
    <w:rsid w:val="00D711B2"/>
    <w:rsid w:val="00D72DA3"/>
    <w:rsid w:val="00D755F8"/>
    <w:rsid w:val="00D76752"/>
    <w:rsid w:val="00D77688"/>
    <w:rsid w:val="00D77B01"/>
    <w:rsid w:val="00D82509"/>
    <w:rsid w:val="00D829B1"/>
    <w:rsid w:val="00D83269"/>
    <w:rsid w:val="00D8377A"/>
    <w:rsid w:val="00D84D15"/>
    <w:rsid w:val="00D85297"/>
    <w:rsid w:val="00D85B77"/>
    <w:rsid w:val="00D87054"/>
    <w:rsid w:val="00D87308"/>
    <w:rsid w:val="00D907BA"/>
    <w:rsid w:val="00D9080F"/>
    <w:rsid w:val="00D948CA"/>
    <w:rsid w:val="00D94CCE"/>
    <w:rsid w:val="00D95055"/>
    <w:rsid w:val="00D9508A"/>
    <w:rsid w:val="00D95AA4"/>
    <w:rsid w:val="00D95F72"/>
    <w:rsid w:val="00D979E4"/>
    <w:rsid w:val="00D97D34"/>
    <w:rsid w:val="00DA0339"/>
    <w:rsid w:val="00DA036D"/>
    <w:rsid w:val="00DA3808"/>
    <w:rsid w:val="00DA4271"/>
    <w:rsid w:val="00DA49F7"/>
    <w:rsid w:val="00DA61BD"/>
    <w:rsid w:val="00DA653F"/>
    <w:rsid w:val="00DA6B4D"/>
    <w:rsid w:val="00DA6B6F"/>
    <w:rsid w:val="00DA6EF0"/>
    <w:rsid w:val="00DA78EC"/>
    <w:rsid w:val="00DB020A"/>
    <w:rsid w:val="00DB10E5"/>
    <w:rsid w:val="00DB182C"/>
    <w:rsid w:val="00DB2582"/>
    <w:rsid w:val="00DB390F"/>
    <w:rsid w:val="00DB4DE6"/>
    <w:rsid w:val="00DB5402"/>
    <w:rsid w:val="00DB5B17"/>
    <w:rsid w:val="00DB62A2"/>
    <w:rsid w:val="00DB7020"/>
    <w:rsid w:val="00DC02C0"/>
    <w:rsid w:val="00DC0F46"/>
    <w:rsid w:val="00DC1AB9"/>
    <w:rsid w:val="00DC21C0"/>
    <w:rsid w:val="00DC22D8"/>
    <w:rsid w:val="00DC2DB9"/>
    <w:rsid w:val="00DC30E6"/>
    <w:rsid w:val="00DC32A9"/>
    <w:rsid w:val="00DC3445"/>
    <w:rsid w:val="00DC3BD1"/>
    <w:rsid w:val="00DC4047"/>
    <w:rsid w:val="00DC4BB6"/>
    <w:rsid w:val="00DC5CA3"/>
    <w:rsid w:val="00DC61DA"/>
    <w:rsid w:val="00DC756E"/>
    <w:rsid w:val="00DC7B09"/>
    <w:rsid w:val="00DD096C"/>
    <w:rsid w:val="00DD221B"/>
    <w:rsid w:val="00DD236B"/>
    <w:rsid w:val="00DD3302"/>
    <w:rsid w:val="00DD3943"/>
    <w:rsid w:val="00DD4F0E"/>
    <w:rsid w:val="00DD54ED"/>
    <w:rsid w:val="00DD5C2E"/>
    <w:rsid w:val="00DD5F22"/>
    <w:rsid w:val="00DD763B"/>
    <w:rsid w:val="00DE0C49"/>
    <w:rsid w:val="00DE1532"/>
    <w:rsid w:val="00DE1D45"/>
    <w:rsid w:val="00DE2795"/>
    <w:rsid w:val="00DE3151"/>
    <w:rsid w:val="00DE3904"/>
    <w:rsid w:val="00DE4ACD"/>
    <w:rsid w:val="00DE74ED"/>
    <w:rsid w:val="00DE7B7E"/>
    <w:rsid w:val="00DF0BF0"/>
    <w:rsid w:val="00DF1CB4"/>
    <w:rsid w:val="00DF2091"/>
    <w:rsid w:val="00DF398E"/>
    <w:rsid w:val="00DF3CA2"/>
    <w:rsid w:val="00DF4A8C"/>
    <w:rsid w:val="00DF5747"/>
    <w:rsid w:val="00DF66D1"/>
    <w:rsid w:val="00DF6793"/>
    <w:rsid w:val="00DF6A7B"/>
    <w:rsid w:val="00DF71DC"/>
    <w:rsid w:val="00DF753B"/>
    <w:rsid w:val="00DF7651"/>
    <w:rsid w:val="00DF78A4"/>
    <w:rsid w:val="00DF7E9D"/>
    <w:rsid w:val="00E002F6"/>
    <w:rsid w:val="00E01375"/>
    <w:rsid w:val="00E01463"/>
    <w:rsid w:val="00E01A6B"/>
    <w:rsid w:val="00E02991"/>
    <w:rsid w:val="00E03B99"/>
    <w:rsid w:val="00E044A6"/>
    <w:rsid w:val="00E04F2F"/>
    <w:rsid w:val="00E05232"/>
    <w:rsid w:val="00E052C8"/>
    <w:rsid w:val="00E05DC3"/>
    <w:rsid w:val="00E05E0A"/>
    <w:rsid w:val="00E06018"/>
    <w:rsid w:val="00E060BE"/>
    <w:rsid w:val="00E062E2"/>
    <w:rsid w:val="00E07CB4"/>
    <w:rsid w:val="00E10452"/>
    <w:rsid w:val="00E10E29"/>
    <w:rsid w:val="00E110C2"/>
    <w:rsid w:val="00E1316B"/>
    <w:rsid w:val="00E157B4"/>
    <w:rsid w:val="00E16AAC"/>
    <w:rsid w:val="00E2034E"/>
    <w:rsid w:val="00E24857"/>
    <w:rsid w:val="00E25479"/>
    <w:rsid w:val="00E26F95"/>
    <w:rsid w:val="00E27608"/>
    <w:rsid w:val="00E27BC2"/>
    <w:rsid w:val="00E3092E"/>
    <w:rsid w:val="00E33ED1"/>
    <w:rsid w:val="00E3419F"/>
    <w:rsid w:val="00E341B8"/>
    <w:rsid w:val="00E348B6"/>
    <w:rsid w:val="00E36456"/>
    <w:rsid w:val="00E3651B"/>
    <w:rsid w:val="00E40697"/>
    <w:rsid w:val="00E40B05"/>
    <w:rsid w:val="00E4302C"/>
    <w:rsid w:val="00E43B2C"/>
    <w:rsid w:val="00E43EC3"/>
    <w:rsid w:val="00E4406B"/>
    <w:rsid w:val="00E442C8"/>
    <w:rsid w:val="00E44594"/>
    <w:rsid w:val="00E44D6B"/>
    <w:rsid w:val="00E45320"/>
    <w:rsid w:val="00E474A8"/>
    <w:rsid w:val="00E47A98"/>
    <w:rsid w:val="00E47ECF"/>
    <w:rsid w:val="00E512DA"/>
    <w:rsid w:val="00E521C9"/>
    <w:rsid w:val="00E534CF"/>
    <w:rsid w:val="00E538D3"/>
    <w:rsid w:val="00E553F7"/>
    <w:rsid w:val="00E56D4F"/>
    <w:rsid w:val="00E57794"/>
    <w:rsid w:val="00E60527"/>
    <w:rsid w:val="00E609EA"/>
    <w:rsid w:val="00E61918"/>
    <w:rsid w:val="00E61EC1"/>
    <w:rsid w:val="00E65533"/>
    <w:rsid w:val="00E66A24"/>
    <w:rsid w:val="00E66DB5"/>
    <w:rsid w:val="00E66EF8"/>
    <w:rsid w:val="00E6757C"/>
    <w:rsid w:val="00E70525"/>
    <w:rsid w:val="00E71517"/>
    <w:rsid w:val="00E71527"/>
    <w:rsid w:val="00E719FC"/>
    <w:rsid w:val="00E72226"/>
    <w:rsid w:val="00E73CF4"/>
    <w:rsid w:val="00E7418E"/>
    <w:rsid w:val="00E746CE"/>
    <w:rsid w:val="00E76552"/>
    <w:rsid w:val="00E77C52"/>
    <w:rsid w:val="00E80AA0"/>
    <w:rsid w:val="00E81AA5"/>
    <w:rsid w:val="00E81CB4"/>
    <w:rsid w:val="00E82A33"/>
    <w:rsid w:val="00E8393E"/>
    <w:rsid w:val="00E83DD8"/>
    <w:rsid w:val="00E83F34"/>
    <w:rsid w:val="00E83F58"/>
    <w:rsid w:val="00E8585B"/>
    <w:rsid w:val="00E86C55"/>
    <w:rsid w:val="00E87CCE"/>
    <w:rsid w:val="00E87F41"/>
    <w:rsid w:val="00E90B4B"/>
    <w:rsid w:val="00E90E21"/>
    <w:rsid w:val="00E92880"/>
    <w:rsid w:val="00E9330F"/>
    <w:rsid w:val="00E97083"/>
    <w:rsid w:val="00E973B0"/>
    <w:rsid w:val="00EA20BE"/>
    <w:rsid w:val="00EA396E"/>
    <w:rsid w:val="00EA3F15"/>
    <w:rsid w:val="00EA69C9"/>
    <w:rsid w:val="00EA7847"/>
    <w:rsid w:val="00EA7BB7"/>
    <w:rsid w:val="00EB0F16"/>
    <w:rsid w:val="00EB16F4"/>
    <w:rsid w:val="00EB1F35"/>
    <w:rsid w:val="00EB29E1"/>
    <w:rsid w:val="00EB2AD3"/>
    <w:rsid w:val="00EB2F92"/>
    <w:rsid w:val="00EB352A"/>
    <w:rsid w:val="00EB3D1E"/>
    <w:rsid w:val="00EB432F"/>
    <w:rsid w:val="00EB4C2F"/>
    <w:rsid w:val="00EB5054"/>
    <w:rsid w:val="00EC0085"/>
    <w:rsid w:val="00EC24EC"/>
    <w:rsid w:val="00EC35E4"/>
    <w:rsid w:val="00EC3A37"/>
    <w:rsid w:val="00EC51FF"/>
    <w:rsid w:val="00EC5748"/>
    <w:rsid w:val="00EC5A4B"/>
    <w:rsid w:val="00EC688C"/>
    <w:rsid w:val="00ED0150"/>
    <w:rsid w:val="00ED0D19"/>
    <w:rsid w:val="00ED130C"/>
    <w:rsid w:val="00ED2AFF"/>
    <w:rsid w:val="00ED2C04"/>
    <w:rsid w:val="00ED4549"/>
    <w:rsid w:val="00ED55EA"/>
    <w:rsid w:val="00ED5D82"/>
    <w:rsid w:val="00ED5FF2"/>
    <w:rsid w:val="00ED6FCB"/>
    <w:rsid w:val="00ED7DB3"/>
    <w:rsid w:val="00EE14D6"/>
    <w:rsid w:val="00EE1951"/>
    <w:rsid w:val="00EE259D"/>
    <w:rsid w:val="00EE292B"/>
    <w:rsid w:val="00EE2E6E"/>
    <w:rsid w:val="00EE36B2"/>
    <w:rsid w:val="00EE3FCD"/>
    <w:rsid w:val="00EE4FE4"/>
    <w:rsid w:val="00EE5B34"/>
    <w:rsid w:val="00EE5E86"/>
    <w:rsid w:val="00EE5EA0"/>
    <w:rsid w:val="00EE5FCC"/>
    <w:rsid w:val="00EE62C0"/>
    <w:rsid w:val="00EE64AA"/>
    <w:rsid w:val="00EE76C0"/>
    <w:rsid w:val="00EF3279"/>
    <w:rsid w:val="00EF33E4"/>
    <w:rsid w:val="00EF63BA"/>
    <w:rsid w:val="00F0030B"/>
    <w:rsid w:val="00F0035C"/>
    <w:rsid w:val="00F00B67"/>
    <w:rsid w:val="00F00BAD"/>
    <w:rsid w:val="00F00C90"/>
    <w:rsid w:val="00F01EB4"/>
    <w:rsid w:val="00F02C0E"/>
    <w:rsid w:val="00F044B6"/>
    <w:rsid w:val="00F04810"/>
    <w:rsid w:val="00F04C88"/>
    <w:rsid w:val="00F04F0D"/>
    <w:rsid w:val="00F0759E"/>
    <w:rsid w:val="00F10309"/>
    <w:rsid w:val="00F103D2"/>
    <w:rsid w:val="00F11188"/>
    <w:rsid w:val="00F1149C"/>
    <w:rsid w:val="00F12CCB"/>
    <w:rsid w:val="00F13E43"/>
    <w:rsid w:val="00F1406B"/>
    <w:rsid w:val="00F1479D"/>
    <w:rsid w:val="00F16A43"/>
    <w:rsid w:val="00F1726D"/>
    <w:rsid w:val="00F178D8"/>
    <w:rsid w:val="00F17914"/>
    <w:rsid w:val="00F17B18"/>
    <w:rsid w:val="00F224BD"/>
    <w:rsid w:val="00F2272D"/>
    <w:rsid w:val="00F228EB"/>
    <w:rsid w:val="00F231C2"/>
    <w:rsid w:val="00F2375C"/>
    <w:rsid w:val="00F24229"/>
    <w:rsid w:val="00F246AE"/>
    <w:rsid w:val="00F270E9"/>
    <w:rsid w:val="00F2718C"/>
    <w:rsid w:val="00F304FE"/>
    <w:rsid w:val="00F30572"/>
    <w:rsid w:val="00F3147E"/>
    <w:rsid w:val="00F31863"/>
    <w:rsid w:val="00F3199B"/>
    <w:rsid w:val="00F35DF4"/>
    <w:rsid w:val="00F35F07"/>
    <w:rsid w:val="00F37A1B"/>
    <w:rsid w:val="00F40882"/>
    <w:rsid w:val="00F44512"/>
    <w:rsid w:val="00F46780"/>
    <w:rsid w:val="00F50305"/>
    <w:rsid w:val="00F50AC4"/>
    <w:rsid w:val="00F51218"/>
    <w:rsid w:val="00F51A86"/>
    <w:rsid w:val="00F51C53"/>
    <w:rsid w:val="00F52701"/>
    <w:rsid w:val="00F52E75"/>
    <w:rsid w:val="00F52F1B"/>
    <w:rsid w:val="00F52FDC"/>
    <w:rsid w:val="00F530A8"/>
    <w:rsid w:val="00F532BA"/>
    <w:rsid w:val="00F54493"/>
    <w:rsid w:val="00F5566F"/>
    <w:rsid w:val="00F559EF"/>
    <w:rsid w:val="00F55A19"/>
    <w:rsid w:val="00F56125"/>
    <w:rsid w:val="00F57709"/>
    <w:rsid w:val="00F57CCB"/>
    <w:rsid w:val="00F617E4"/>
    <w:rsid w:val="00F6205E"/>
    <w:rsid w:val="00F62A1B"/>
    <w:rsid w:val="00F64373"/>
    <w:rsid w:val="00F678DC"/>
    <w:rsid w:val="00F70043"/>
    <w:rsid w:val="00F70310"/>
    <w:rsid w:val="00F71096"/>
    <w:rsid w:val="00F71EAD"/>
    <w:rsid w:val="00F72A1B"/>
    <w:rsid w:val="00F72B25"/>
    <w:rsid w:val="00F73E95"/>
    <w:rsid w:val="00F74C38"/>
    <w:rsid w:val="00F75E1F"/>
    <w:rsid w:val="00F75E4D"/>
    <w:rsid w:val="00F7693A"/>
    <w:rsid w:val="00F76BB6"/>
    <w:rsid w:val="00F76C1D"/>
    <w:rsid w:val="00F7760D"/>
    <w:rsid w:val="00F77B04"/>
    <w:rsid w:val="00F77D2D"/>
    <w:rsid w:val="00F800C1"/>
    <w:rsid w:val="00F80317"/>
    <w:rsid w:val="00F821A3"/>
    <w:rsid w:val="00F83568"/>
    <w:rsid w:val="00F84552"/>
    <w:rsid w:val="00F84FAE"/>
    <w:rsid w:val="00F86162"/>
    <w:rsid w:val="00F91043"/>
    <w:rsid w:val="00F91C11"/>
    <w:rsid w:val="00F9246F"/>
    <w:rsid w:val="00F9309A"/>
    <w:rsid w:val="00F9314A"/>
    <w:rsid w:val="00F940B2"/>
    <w:rsid w:val="00F95AF6"/>
    <w:rsid w:val="00F95D08"/>
    <w:rsid w:val="00F9619C"/>
    <w:rsid w:val="00F9742E"/>
    <w:rsid w:val="00FA1462"/>
    <w:rsid w:val="00FA5BD7"/>
    <w:rsid w:val="00FA6288"/>
    <w:rsid w:val="00FA75EC"/>
    <w:rsid w:val="00FB19E8"/>
    <w:rsid w:val="00FB1DA9"/>
    <w:rsid w:val="00FB2144"/>
    <w:rsid w:val="00FB24A5"/>
    <w:rsid w:val="00FB2A38"/>
    <w:rsid w:val="00FB3927"/>
    <w:rsid w:val="00FB397E"/>
    <w:rsid w:val="00FB41DE"/>
    <w:rsid w:val="00FB5CA9"/>
    <w:rsid w:val="00FB5EC8"/>
    <w:rsid w:val="00FB61D1"/>
    <w:rsid w:val="00FB6C27"/>
    <w:rsid w:val="00FB7A02"/>
    <w:rsid w:val="00FC03B0"/>
    <w:rsid w:val="00FC1324"/>
    <w:rsid w:val="00FC237E"/>
    <w:rsid w:val="00FC3939"/>
    <w:rsid w:val="00FC4A76"/>
    <w:rsid w:val="00FC4B39"/>
    <w:rsid w:val="00FC4BFD"/>
    <w:rsid w:val="00FC524D"/>
    <w:rsid w:val="00FC5798"/>
    <w:rsid w:val="00FC58EF"/>
    <w:rsid w:val="00FC5ADC"/>
    <w:rsid w:val="00FC64D4"/>
    <w:rsid w:val="00FC68E2"/>
    <w:rsid w:val="00FC783B"/>
    <w:rsid w:val="00FD1049"/>
    <w:rsid w:val="00FD1785"/>
    <w:rsid w:val="00FD30C0"/>
    <w:rsid w:val="00FD33DF"/>
    <w:rsid w:val="00FD3CBE"/>
    <w:rsid w:val="00FD44DD"/>
    <w:rsid w:val="00FD726B"/>
    <w:rsid w:val="00FD734A"/>
    <w:rsid w:val="00FE16B7"/>
    <w:rsid w:val="00FE243A"/>
    <w:rsid w:val="00FE304A"/>
    <w:rsid w:val="00FE38A0"/>
    <w:rsid w:val="00FE39D7"/>
    <w:rsid w:val="00FE460F"/>
    <w:rsid w:val="00FE4ECD"/>
    <w:rsid w:val="00FE5275"/>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1277"/>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45660131">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69715158">
      <w:bodyDiv w:val="1"/>
      <w:marLeft w:val="0"/>
      <w:marRight w:val="0"/>
      <w:marTop w:val="0"/>
      <w:marBottom w:val="0"/>
      <w:divBdr>
        <w:top w:val="none" w:sz="0" w:space="0" w:color="auto"/>
        <w:left w:val="none" w:sz="0" w:space="0" w:color="auto"/>
        <w:bottom w:val="none" w:sz="0" w:space="0" w:color="auto"/>
        <w:right w:val="none" w:sz="0" w:space="0" w:color="auto"/>
      </w:divBdr>
    </w:div>
    <w:div w:id="675498255">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3858416">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87015108">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698077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3485891">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40209719">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0487515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4891400">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0591998">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D2E3A-B0B2-4DA1-8F53-0B1BC8F9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3.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4.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12732</Words>
  <Characters>70031</Characters>
  <Application>Microsoft Office Word</Application>
  <DocSecurity>0</DocSecurity>
  <Lines>583</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82598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2022-02-11T15:03:00Z</cp:lastPrinted>
  <dcterms:created xsi:type="dcterms:W3CDTF">2022-02-23T22:55:00Z</dcterms:created>
  <dcterms:modified xsi:type="dcterms:W3CDTF">2022-02-23T22:55:00Z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