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3BD2" w:rsidRDefault="000B2957" w:rsidP="00E03BD2">
      <w:pPr>
        <w:pStyle w:val="Encabezado"/>
        <w:tabs>
          <w:tab w:val="clear" w:pos="8504"/>
          <w:tab w:val="left" w:pos="0"/>
          <w:tab w:val="right" w:pos="9356"/>
        </w:tabs>
        <w:ind w:left="0"/>
        <w:jc w:val="both"/>
        <w:rPr>
          <w:rFonts w:ascii="Bookman Old Style" w:hAnsi="Bookman Old Style"/>
          <w:szCs w:val="24"/>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02.4pt;margin-top:-53.35pt;width:52.5pt;height:48.75pt;z-index:251662848" fillcolor="#0c9">
            <v:imagedata r:id="rId9" o:title=""/>
          </v:shape>
          <o:OLEObject Type="Embed" ProgID="PBrush" ShapeID="_x0000_s1027" DrawAspect="Content" ObjectID="_1393909129" r:id="rId10"/>
        </w:pict>
      </w:r>
    </w:p>
    <w:p w:rsidR="00E03BD2" w:rsidRDefault="00E03BD2" w:rsidP="00E03BD2">
      <w:pPr>
        <w:pStyle w:val="Encabezado"/>
        <w:tabs>
          <w:tab w:val="clear" w:pos="8504"/>
          <w:tab w:val="left" w:pos="0"/>
          <w:tab w:val="right" w:pos="9356"/>
        </w:tabs>
        <w:ind w:left="0"/>
        <w:jc w:val="both"/>
        <w:rPr>
          <w:rFonts w:ascii="Bookman Old Style" w:hAnsi="Bookman Old Style"/>
          <w:szCs w:val="24"/>
        </w:rPr>
      </w:pPr>
    </w:p>
    <w:p w:rsidR="00E03BD2" w:rsidRDefault="00E03BD2" w:rsidP="00E03BD2">
      <w:pPr>
        <w:pStyle w:val="Ttulo4"/>
        <w:tabs>
          <w:tab w:val="left" w:pos="0"/>
          <w:tab w:val="right" w:pos="9356"/>
        </w:tabs>
        <w:ind w:left="0"/>
        <w:rPr>
          <w:rFonts w:ascii="Bookman Old Style" w:hAnsi="Bookman Old Style"/>
          <w:b w:val="0"/>
          <w:bCs/>
          <w:noProof/>
          <w:sz w:val="24"/>
          <w:szCs w:val="24"/>
          <w:lang w:val="es-ES"/>
        </w:rPr>
      </w:pPr>
      <w:r>
        <w:rPr>
          <w:rFonts w:ascii="Bookman Old Style" w:hAnsi="Bookman Old Style"/>
          <w:b w:val="0"/>
          <w:bCs/>
          <w:sz w:val="24"/>
          <w:szCs w:val="24"/>
        </w:rPr>
        <w:t>Ministerio de Minas y Energía</w:t>
      </w:r>
    </w:p>
    <w:p w:rsidR="00E03BD2" w:rsidRDefault="00E03BD2" w:rsidP="00E03BD2">
      <w:pPr>
        <w:pStyle w:val="Ttulo4"/>
        <w:tabs>
          <w:tab w:val="left" w:pos="0"/>
          <w:tab w:val="right" w:pos="9356"/>
        </w:tabs>
        <w:ind w:left="0"/>
        <w:rPr>
          <w:rFonts w:ascii="Bookman Old Style" w:hAnsi="Bookman Old Style"/>
          <w:b w:val="0"/>
          <w:bCs/>
          <w:sz w:val="24"/>
          <w:szCs w:val="24"/>
        </w:rPr>
      </w:pPr>
    </w:p>
    <w:p w:rsidR="00E03BD2" w:rsidRDefault="00E03BD2" w:rsidP="00E03BD2">
      <w:pPr>
        <w:pStyle w:val="Ttulo3"/>
        <w:tabs>
          <w:tab w:val="left" w:pos="0"/>
          <w:tab w:val="right" w:pos="9356"/>
        </w:tabs>
        <w:ind w:left="0"/>
        <w:rPr>
          <w:rFonts w:ascii="Bookman Old Style" w:hAnsi="Bookman Old Style" w:cs="Arial"/>
          <w:spacing w:val="20"/>
          <w:szCs w:val="24"/>
        </w:rPr>
      </w:pPr>
      <w:r>
        <w:rPr>
          <w:rFonts w:ascii="Bookman Old Style" w:hAnsi="Bookman Old Style" w:cs="Arial"/>
          <w:spacing w:val="20"/>
          <w:szCs w:val="24"/>
        </w:rPr>
        <w:t>COMISIÓN DE REGULACIÓN DE ENERGÍA Y GAS</w:t>
      </w:r>
    </w:p>
    <w:p w:rsidR="00E03BD2" w:rsidRDefault="00E03BD2" w:rsidP="00E03BD2">
      <w:pPr>
        <w:pStyle w:val="Ttulo5"/>
        <w:tabs>
          <w:tab w:val="left" w:pos="0"/>
          <w:tab w:val="right" w:pos="9356"/>
        </w:tabs>
        <w:ind w:left="0"/>
        <w:rPr>
          <w:rFonts w:ascii="Bookman Old Style" w:hAnsi="Bookman Old Style"/>
          <w:sz w:val="24"/>
          <w:szCs w:val="24"/>
        </w:rPr>
      </w:pPr>
    </w:p>
    <w:p w:rsidR="00E03BD2" w:rsidRDefault="00E03BD2" w:rsidP="00E03BD2">
      <w:pPr>
        <w:pStyle w:val="Ttulo5"/>
        <w:tabs>
          <w:tab w:val="left" w:pos="0"/>
          <w:tab w:val="right" w:pos="9356"/>
        </w:tabs>
        <w:ind w:left="0"/>
        <w:rPr>
          <w:rFonts w:ascii="Bookman Old Style" w:hAnsi="Bookman Old Style"/>
          <w:sz w:val="24"/>
          <w:szCs w:val="24"/>
        </w:rPr>
      </w:pPr>
    </w:p>
    <w:p w:rsidR="00E03BD2" w:rsidRDefault="00E03BD2" w:rsidP="00E03BD2">
      <w:pPr>
        <w:pStyle w:val="Ttulo5"/>
        <w:tabs>
          <w:tab w:val="left" w:pos="0"/>
          <w:tab w:val="right" w:pos="9356"/>
        </w:tabs>
        <w:ind w:left="0"/>
        <w:rPr>
          <w:rFonts w:ascii="Bookman Old Style" w:hAnsi="Bookman Old Style"/>
          <w:sz w:val="24"/>
          <w:szCs w:val="24"/>
        </w:rPr>
      </w:pPr>
      <w:r>
        <w:rPr>
          <w:rFonts w:ascii="Bookman Old Style" w:hAnsi="Bookman Old Style"/>
          <w:sz w:val="24"/>
          <w:szCs w:val="24"/>
        </w:rPr>
        <w:t>RESOLUCIÓN No.                   DE 201</w:t>
      </w:r>
      <w:r w:rsidR="000A4B57">
        <w:rPr>
          <w:rFonts w:ascii="Bookman Old Style" w:hAnsi="Bookman Old Style"/>
          <w:sz w:val="24"/>
          <w:szCs w:val="24"/>
        </w:rPr>
        <w:t>2</w:t>
      </w:r>
    </w:p>
    <w:p w:rsidR="00E03BD2" w:rsidRDefault="00E03BD2" w:rsidP="00E03BD2">
      <w:pPr>
        <w:tabs>
          <w:tab w:val="left" w:pos="0"/>
          <w:tab w:val="right" w:pos="9356"/>
        </w:tabs>
        <w:ind w:left="0"/>
        <w:jc w:val="center"/>
        <w:rPr>
          <w:rFonts w:ascii="Bookman Old Style" w:hAnsi="Bookman Old Style" w:cs="Arial"/>
          <w:b/>
          <w:snapToGrid w:val="0"/>
          <w:color w:val="000000"/>
          <w:lang w:val="es-ES_tradnl"/>
        </w:rPr>
      </w:pPr>
    </w:p>
    <w:p w:rsidR="00E03BD2" w:rsidRDefault="00E03BD2" w:rsidP="00E03BD2">
      <w:pPr>
        <w:pStyle w:val="Ttulo3"/>
        <w:tabs>
          <w:tab w:val="left" w:pos="0"/>
          <w:tab w:val="right" w:pos="9356"/>
        </w:tabs>
        <w:ind w:left="0"/>
        <w:rPr>
          <w:rFonts w:ascii="Bookman Old Style" w:hAnsi="Bookman Old Style"/>
          <w:b w:val="0"/>
          <w:snapToGrid/>
          <w:szCs w:val="24"/>
        </w:rPr>
      </w:pPr>
      <w:r>
        <w:rPr>
          <w:rFonts w:ascii="Bookman Old Style" w:hAnsi="Bookman Old Style"/>
          <w:b w:val="0"/>
          <w:szCs w:val="24"/>
        </w:rPr>
        <w:t>(                                  )</w:t>
      </w:r>
    </w:p>
    <w:p w:rsidR="00E03BD2" w:rsidRDefault="00E03BD2" w:rsidP="00E03BD2">
      <w:pPr>
        <w:tabs>
          <w:tab w:val="left" w:pos="0"/>
          <w:tab w:val="right" w:pos="9356"/>
        </w:tabs>
        <w:ind w:left="0"/>
        <w:jc w:val="both"/>
        <w:rPr>
          <w:rFonts w:ascii="Bookman Old Style" w:hAnsi="Bookman Old Style"/>
          <w:lang w:val="es-ES_tradnl"/>
        </w:rPr>
      </w:pPr>
    </w:p>
    <w:p w:rsidR="00E03BD2" w:rsidRDefault="00E03BD2" w:rsidP="00E03BD2">
      <w:pPr>
        <w:tabs>
          <w:tab w:val="left" w:pos="0"/>
          <w:tab w:val="right" w:pos="9356"/>
        </w:tabs>
        <w:ind w:left="0"/>
        <w:jc w:val="both"/>
        <w:rPr>
          <w:rFonts w:ascii="Bookman Old Style" w:hAnsi="Bookman Old Style"/>
          <w:lang w:val="es-ES_tradnl"/>
        </w:rPr>
      </w:pPr>
      <w:bookmarkStart w:id="0" w:name="_GoBack"/>
      <w:bookmarkEnd w:id="0"/>
    </w:p>
    <w:p w:rsidR="00E03BD2" w:rsidRDefault="00E03BD2" w:rsidP="00E03BD2">
      <w:pPr>
        <w:tabs>
          <w:tab w:val="left" w:pos="0"/>
          <w:tab w:val="right" w:pos="9356"/>
        </w:tabs>
        <w:ind w:left="0"/>
        <w:jc w:val="both"/>
        <w:rPr>
          <w:rFonts w:ascii="Bookman Old Style" w:hAnsi="Bookman Old Style"/>
          <w:lang w:val="es-ES_tradnl"/>
        </w:rPr>
      </w:pPr>
    </w:p>
    <w:p w:rsidR="008E6072" w:rsidRDefault="00E03BD2" w:rsidP="00E03BD2">
      <w:pPr>
        <w:ind w:left="0"/>
        <w:jc w:val="center"/>
        <w:rPr>
          <w:rFonts w:ascii="Bookman Old Style" w:hAnsi="Bookman Old Style" w:cs="Arial"/>
        </w:rPr>
      </w:pPr>
      <w:r>
        <w:rPr>
          <w:rFonts w:ascii="Bookman Old Style" w:hAnsi="Bookman Old Style" w:cs="Arial"/>
        </w:rPr>
        <w:t>Por la cual se aclaran</w:t>
      </w:r>
      <w:r w:rsidR="00D150D2">
        <w:rPr>
          <w:rFonts w:ascii="Bookman Old Style" w:hAnsi="Bookman Old Style" w:cs="Arial"/>
        </w:rPr>
        <w:t xml:space="preserve"> y</w:t>
      </w:r>
      <w:r>
        <w:rPr>
          <w:rFonts w:ascii="Bookman Old Style" w:hAnsi="Bookman Old Style" w:cs="Arial"/>
        </w:rPr>
        <w:t xml:space="preserve"> </w:t>
      </w:r>
      <w:r w:rsidR="00D150D2">
        <w:rPr>
          <w:rFonts w:ascii="Bookman Old Style" w:hAnsi="Bookman Old Style" w:cs="Arial"/>
        </w:rPr>
        <w:t xml:space="preserve">modifican  </w:t>
      </w:r>
      <w:r>
        <w:rPr>
          <w:rFonts w:ascii="Bookman Old Style" w:hAnsi="Bookman Old Style" w:cs="Arial"/>
        </w:rPr>
        <w:t xml:space="preserve">algunas disposiciones de la </w:t>
      </w:r>
    </w:p>
    <w:p w:rsidR="00E03BD2" w:rsidRDefault="00E03BD2" w:rsidP="00E03BD2">
      <w:pPr>
        <w:ind w:left="0"/>
        <w:jc w:val="center"/>
        <w:rPr>
          <w:rFonts w:ascii="Bookman Old Style" w:hAnsi="Bookman Old Style" w:cs="Arial"/>
        </w:rPr>
      </w:pPr>
      <w:r>
        <w:rPr>
          <w:rFonts w:ascii="Bookman Old Style" w:hAnsi="Bookman Old Style" w:cs="Arial"/>
        </w:rPr>
        <w:t>Resolución CREG 172 de</w:t>
      </w:r>
      <w:r w:rsidR="008E6072">
        <w:rPr>
          <w:rFonts w:ascii="Bookman Old Style" w:hAnsi="Bookman Old Style" w:cs="Arial"/>
        </w:rPr>
        <w:t> </w:t>
      </w:r>
      <w:r>
        <w:rPr>
          <w:rFonts w:ascii="Bookman Old Style" w:hAnsi="Bookman Old Style" w:cs="Arial"/>
        </w:rPr>
        <w:t>2011.</w:t>
      </w:r>
    </w:p>
    <w:p w:rsidR="00E03BD2" w:rsidRDefault="00E03BD2" w:rsidP="00E03BD2">
      <w:pPr>
        <w:ind w:left="0"/>
        <w:jc w:val="both"/>
        <w:rPr>
          <w:rFonts w:ascii="Bookman Old Style" w:hAnsi="Bookman Old Style" w:cs="Arial"/>
        </w:rPr>
      </w:pPr>
    </w:p>
    <w:p w:rsidR="00E03BD2" w:rsidRDefault="00E03BD2" w:rsidP="00E03BD2">
      <w:pPr>
        <w:ind w:left="0"/>
        <w:jc w:val="both"/>
        <w:rPr>
          <w:rFonts w:ascii="Bookman Old Style" w:hAnsi="Bookman Old Style"/>
          <w:b/>
        </w:rPr>
      </w:pPr>
    </w:p>
    <w:p w:rsidR="00E03BD2" w:rsidRDefault="00E03BD2" w:rsidP="00E03BD2">
      <w:pPr>
        <w:ind w:left="0"/>
        <w:jc w:val="center"/>
        <w:rPr>
          <w:rFonts w:ascii="Bookman Old Style" w:hAnsi="Bookman Old Style"/>
          <w:b/>
        </w:rPr>
      </w:pPr>
      <w:r>
        <w:rPr>
          <w:rFonts w:ascii="Bookman Old Style" w:hAnsi="Bookman Old Style"/>
          <w:b/>
        </w:rPr>
        <w:t>LA COMISIÓN DE REGULACIÓN DE ENERGÍA Y GAS</w:t>
      </w:r>
    </w:p>
    <w:p w:rsidR="00E03BD2" w:rsidRDefault="00E03BD2" w:rsidP="00E03BD2">
      <w:pPr>
        <w:ind w:left="0"/>
        <w:jc w:val="both"/>
        <w:rPr>
          <w:rFonts w:ascii="Bookman Old Style" w:hAnsi="Bookman Old Style" w:cs="Arial"/>
        </w:rPr>
      </w:pPr>
    </w:p>
    <w:p w:rsidR="00E03BD2" w:rsidRDefault="00E03BD2" w:rsidP="00E03BD2">
      <w:pPr>
        <w:ind w:left="0"/>
        <w:jc w:val="both"/>
        <w:rPr>
          <w:rFonts w:ascii="Bookman Old Style" w:hAnsi="Bookman Old Style" w:cs="Arial"/>
        </w:rPr>
      </w:pPr>
    </w:p>
    <w:p w:rsidR="00E03BD2" w:rsidRDefault="00E03BD2" w:rsidP="00E03BD2">
      <w:pPr>
        <w:ind w:left="0"/>
        <w:jc w:val="both"/>
        <w:rPr>
          <w:rFonts w:ascii="Bookman Old Style" w:hAnsi="Bookman Old Style" w:cs="Arial"/>
        </w:rPr>
      </w:pPr>
      <w:r>
        <w:rPr>
          <w:rFonts w:ascii="Bookman Old Style" w:hAnsi="Bookman Old Style" w:cs="Arial"/>
        </w:rPr>
        <w:t>En ejercicio de las atribuciones legales, en especial las conferidas por las Leyes 142 y 143 de 1994, y los decretos 1524 y 2253 de 1994.</w:t>
      </w:r>
    </w:p>
    <w:p w:rsidR="00E03BD2" w:rsidRDefault="00E03BD2" w:rsidP="00E03BD2">
      <w:pPr>
        <w:ind w:left="0"/>
        <w:jc w:val="both"/>
        <w:rPr>
          <w:rFonts w:ascii="Bookman Old Style" w:hAnsi="Bookman Old Style" w:cs="Arial"/>
        </w:rPr>
      </w:pPr>
    </w:p>
    <w:p w:rsidR="00E03BD2" w:rsidRDefault="00E03BD2" w:rsidP="00E03BD2">
      <w:pPr>
        <w:ind w:left="0"/>
        <w:jc w:val="both"/>
        <w:rPr>
          <w:rFonts w:ascii="Bookman Old Style" w:hAnsi="Bookman Old Style" w:cs="Arial"/>
        </w:rPr>
      </w:pPr>
    </w:p>
    <w:p w:rsidR="00E03BD2" w:rsidRDefault="00E03BD2" w:rsidP="00E03BD2">
      <w:pPr>
        <w:ind w:left="0"/>
        <w:jc w:val="center"/>
        <w:rPr>
          <w:rFonts w:ascii="Bookman Old Style" w:hAnsi="Bookman Old Style" w:cs="Arial"/>
          <w:b/>
        </w:rPr>
      </w:pPr>
      <w:r>
        <w:rPr>
          <w:rFonts w:ascii="Bookman Old Style" w:hAnsi="Bookman Old Style"/>
          <w:b/>
        </w:rPr>
        <w:t>C O N S I D E R A N D O</w:t>
      </w:r>
      <w:r>
        <w:rPr>
          <w:rFonts w:ascii="Bookman Old Style" w:hAnsi="Bookman Old Style" w:cs="Arial"/>
          <w:b/>
        </w:rPr>
        <w:t>:</w:t>
      </w:r>
    </w:p>
    <w:p w:rsidR="00E03BD2" w:rsidRDefault="00E03BD2" w:rsidP="00E03BD2">
      <w:pPr>
        <w:ind w:left="0"/>
        <w:jc w:val="both"/>
        <w:rPr>
          <w:rFonts w:ascii="Bookman Old Style" w:hAnsi="Bookman Old Style" w:cs="Arial"/>
          <w:b/>
        </w:rPr>
      </w:pPr>
    </w:p>
    <w:p w:rsidR="00E03BD2" w:rsidRDefault="00E03BD2" w:rsidP="00E03BD2">
      <w:pPr>
        <w:ind w:left="0"/>
        <w:jc w:val="both"/>
        <w:rPr>
          <w:rFonts w:ascii="Bookman Old Style" w:hAnsi="Bookman Old Style" w:cs="Arial"/>
          <w:b/>
        </w:rPr>
      </w:pPr>
    </w:p>
    <w:p w:rsidR="00E03BD2" w:rsidRDefault="00E03BD2" w:rsidP="00E03BD2">
      <w:pPr>
        <w:ind w:left="0"/>
        <w:jc w:val="both"/>
        <w:rPr>
          <w:rFonts w:ascii="Bookman Old Style" w:hAnsi="Bookman Old Style"/>
        </w:rPr>
      </w:pPr>
      <w:r>
        <w:rPr>
          <w:rFonts w:ascii="Bookman Old Style" w:hAnsi="Bookman Old Style"/>
        </w:rPr>
        <w:t xml:space="preserve">Que la CREG expidió la Resolución CREG 172 de 2011 </w:t>
      </w:r>
      <w:r w:rsidR="00DC5B01">
        <w:rPr>
          <w:rFonts w:ascii="Bookman Old Style" w:hAnsi="Bookman Old Style"/>
          <w:i/>
        </w:rPr>
        <w:t xml:space="preserve">Por </w:t>
      </w:r>
      <w:r>
        <w:rPr>
          <w:rFonts w:ascii="Bookman Old Style" w:hAnsi="Bookman Old Style"/>
          <w:i/>
        </w:rPr>
        <w:t>la cual se establece la metodología para la implementación de los Planes de reducción de pérdidas no técnicas en los Sistemas de Distribución Local</w:t>
      </w:r>
      <w:r>
        <w:rPr>
          <w:rFonts w:ascii="Bookman Old Style" w:hAnsi="Bookman Old Style"/>
        </w:rPr>
        <w:t>;</w:t>
      </w:r>
    </w:p>
    <w:p w:rsidR="00E03BD2" w:rsidRDefault="00E03BD2" w:rsidP="00E03BD2">
      <w:pPr>
        <w:ind w:left="0"/>
        <w:jc w:val="both"/>
        <w:rPr>
          <w:rFonts w:ascii="Bookman Old Style" w:hAnsi="Bookman Old Style"/>
        </w:rPr>
      </w:pPr>
    </w:p>
    <w:p w:rsidR="00E03BD2" w:rsidRDefault="00E03BD2" w:rsidP="00E03BD2">
      <w:pPr>
        <w:ind w:left="0"/>
        <w:jc w:val="both"/>
        <w:rPr>
          <w:rFonts w:ascii="Bookman Old Style" w:hAnsi="Bookman Old Style"/>
        </w:rPr>
      </w:pPr>
      <w:r>
        <w:rPr>
          <w:rFonts w:ascii="Bookman Old Style" w:hAnsi="Bookman Old Style"/>
        </w:rPr>
        <w:t xml:space="preserve">Que se ha identificado la necesidad de hacer </w:t>
      </w:r>
      <w:r w:rsidR="00F44E5C">
        <w:rPr>
          <w:rFonts w:ascii="Bookman Old Style" w:hAnsi="Bookman Old Style"/>
        </w:rPr>
        <w:t xml:space="preserve">las siguientes </w:t>
      </w:r>
      <w:r>
        <w:rPr>
          <w:rFonts w:ascii="Bookman Old Style" w:hAnsi="Bookman Old Style"/>
        </w:rPr>
        <w:t>aclaraciones</w:t>
      </w:r>
      <w:r w:rsidR="00F44E5C">
        <w:rPr>
          <w:rFonts w:ascii="Bookman Old Style" w:hAnsi="Bookman Old Style"/>
        </w:rPr>
        <w:t xml:space="preserve"> </w:t>
      </w:r>
      <w:r w:rsidR="00D150D2">
        <w:rPr>
          <w:rFonts w:ascii="Bookman Old Style" w:hAnsi="Bookman Old Style"/>
        </w:rPr>
        <w:t>a</w:t>
      </w:r>
      <w:r w:rsidR="00F44E5C">
        <w:rPr>
          <w:rFonts w:ascii="Bookman Old Style" w:hAnsi="Bookman Old Style"/>
        </w:rPr>
        <w:t xml:space="preserve"> la Resolución CREG 172 de 2011</w:t>
      </w:r>
      <w:r>
        <w:rPr>
          <w:rFonts w:ascii="Bookman Old Style" w:hAnsi="Bookman Old Style"/>
        </w:rPr>
        <w:t>:</w:t>
      </w:r>
    </w:p>
    <w:p w:rsidR="00E03BD2" w:rsidRDefault="00E03BD2" w:rsidP="00E03BD2">
      <w:pPr>
        <w:ind w:left="0"/>
        <w:jc w:val="both"/>
        <w:rPr>
          <w:rFonts w:ascii="Bookman Old Style" w:hAnsi="Bookman Old Style"/>
        </w:rPr>
      </w:pPr>
    </w:p>
    <w:p w:rsidR="008E6072" w:rsidRDefault="008E6072" w:rsidP="00A04E7D">
      <w:pPr>
        <w:pStyle w:val="Prrafodelista"/>
        <w:numPr>
          <w:ilvl w:val="0"/>
          <w:numId w:val="5"/>
        </w:numPr>
        <w:jc w:val="both"/>
        <w:rPr>
          <w:rFonts w:ascii="Bookman Old Style" w:hAnsi="Bookman Old Style"/>
          <w:sz w:val="24"/>
          <w:szCs w:val="24"/>
        </w:rPr>
      </w:pPr>
      <w:r w:rsidRPr="008E6072">
        <w:rPr>
          <w:rFonts w:ascii="Bookman Old Style" w:hAnsi="Bookman Old Style"/>
          <w:sz w:val="24"/>
          <w:szCs w:val="24"/>
        </w:rPr>
        <w:t xml:space="preserve">En el Numeral 2.1 </w:t>
      </w:r>
      <w:r w:rsidRPr="00E40DAC">
        <w:rPr>
          <w:rFonts w:ascii="Bookman Old Style" w:hAnsi="Bookman Old Style"/>
          <w:sz w:val="24"/>
          <w:szCs w:val="24"/>
        </w:rPr>
        <w:t xml:space="preserve">del Anexo 2 de la Resolución CREG 172 de 2011, </w:t>
      </w:r>
      <w:r>
        <w:rPr>
          <w:rFonts w:ascii="Bookman Old Style" w:hAnsi="Bookman Old Style"/>
          <w:sz w:val="24"/>
          <w:szCs w:val="24"/>
        </w:rPr>
        <w:t xml:space="preserve">el cálculo de la porción que remunera el AOM se debe </w:t>
      </w:r>
      <w:r w:rsidR="003F2829">
        <w:rPr>
          <w:rFonts w:ascii="Bookman Old Style" w:hAnsi="Bookman Old Style"/>
          <w:sz w:val="24"/>
          <w:szCs w:val="24"/>
        </w:rPr>
        <w:t xml:space="preserve">realizar con el mismo factor </w:t>
      </w:r>
      <w:r w:rsidR="001006BB">
        <w:rPr>
          <w:rFonts w:ascii="Bookman Old Style" w:hAnsi="Bookman Old Style"/>
          <w:sz w:val="24"/>
          <w:szCs w:val="24"/>
        </w:rPr>
        <w:t>dispuesto p</w:t>
      </w:r>
      <w:r w:rsidR="003F2829">
        <w:rPr>
          <w:rFonts w:ascii="Bookman Old Style" w:hAnsi="Bookman Old Style"/>
          <w:sz w:val="24"/>
          <w:szCs w:val="24"/>
        </w:rPr>
        <w:t xml:space="preserve">ara </w:t>
      </w:r>
      <w:r w:rsidR="001006BB">
        <w:rPr>
          <w:rFonts w:ascii="Bookman Old Style" w:hAnsi="Bookman Old Style"/>
          <w:sz w:val="24"/>
          <w:szCs w:val="24"/>
        </w:rPr>
        <w:t xml:space="preserve">su inclusión en </w:t>
      </w:r>
      <w:r w:rsidR="003F2829">
        <w:rPr>
          <w:rFonts w:ascii="Bookman Old Style" w:hAnsi="Bookman Old Style"/>
          <w:sz w:val="24"/>
          <w:szCs w:val="24"/>
        </w:rPr>
        <w:t xml:space="preserve">el cálculo de la variable </w:t>
      </w:r>
      <w:proofErr w:type="spellStart"/>
      <w:r w:rsidR="003F2829">
        <w:rPr>
          <w:rFonts w:ascii="Bookman Old Style" w:hAnsi="Bookman Old Style"/>
          <w:sz w:val="24"/>
          <w:szCs w:val="24"/>
        </w:rPr>
        <w:t>CPOR</w:t>
      </w:r>
      <w:r w:rsidR="003F2829" w:rsidRPr="003F2829">
        <w:rPr>
          <w:rFonts w:ascii="Bookman Old Style" w:hAnsi="Bookman Old Style"/>
          <w:sz w:val="24"/>
          <w:szCs w:val="24"/>
          <w:vertAlign w:val="subscript"/>
        </w:rPr>
        <w:t>j</w:t>
      </w:r>
      <w:proofErr w:type="spellEnd"/>
      <w:r w:rsidR="003F2829">
        <w:rPr>
          <w:rFonts w:ascii="Bookman Old Style" w:hAnsi="Bookman Old Style"/>
          <w:sz w:val="24"/>
          <w:szCs w:val="24"/>
          <w:vertAlign w:val="subscript"/>
        </w:rPr>
        <w:t>.</w:t>
      </w:r>
    </w:p>
    <w:p w:rsidR="008E6072" w:rsidRPr="003F2829" w:rsidRDefault="008E6072" w:rsidP="003F2829">
      <w:pPr>
        <w:ind w:left="360"/>
        <w:jc w:val="both"/>
        <w:rPr>
          <w:rFonts w:ascii="Bookman Old Style" w:hAnsi="Bookman Old Style"/>
        </w:rPr>
      </w:pPr>
    </w:p>
    <w:p w:rsidR="00E40DAC" w:rsidRDefault="00E03BD2" w:rsidP="00A04E7D">
      <w:pPr>
        <w:pStyle w:val="Prrafodelista"/>
        <w:numPr>
          <w:ilvl w:val="0"/>
          <w:numId w:val="5"/>
        </w:numPr>
        <w:jc w:val="both"/>
        <w:rPr>
          <w:rFonts w:ascii="Bookman Old Style" w:hAnsi="Bookman Old Style"/>
          <w:sz w:val="24"/>
          <w:szCs w:val="24"/>
        </w:rPr>
      </w:pPr>
      <w:r w:rsidRPr="00E40DAC">
        <w:rPr>
          <w:rFonts w:ascii="Bookman Old Style" w:hAnsi="Bookman Old Style"/>
          <w:sz w:val="24"/>
          <w:szCs w:val="24"/>
        </w:rPr>
        <w:t xml:space="preserve">En el Numeral 2.3.2 del Anexo 2 de la Resolución CREG 172 de 2011, </w:t>
      </w:r>
      <w:r w:rsidR="003764CC">
        <w:rPr>
          <w:rFonts w:ascii="Bookman Old Style" w:hAnsi="Bookman Old Style"/>
          <w:sz w:val="24"/>
          <w:szCs w:val="24"/>
        </w:rPr>
        <w:t xml:space="preserve">para el cálculo de la </w:t>
      </w:r>
      <w:r w:rsidR="00E40DAC">
        <w:rPr>
          <w:rFonts w:ascii="Bookman Old Style" w:hAnsi="Bookman Old Style"/>
          <w:sz w:val="24"/>
          <w:szCs w:val="24"/>
        </w:rPr>
        <w:t>e</w:t>
      </w:r>
      <w:r w:rsidR="00E40DAC" w:rsidRPr="00E40DAC">
        <w:rPr>
          <w:rFonts w:ascii="Bookman Old Style" w:hAnsi="Bookman Old Style"/>
          <w:sz w:val="24"/>
          <w:szCs w:val="24"/>
        </w:rPr>
        <w:t>nergía de entrada para los años t y t</w:t>
      </w:r>
      <w:r w:rsidR="00E40DAC">
        <w:rPr>
          <w:rFonts w:ascii="Bookman Old Style" w:hAnsi="Bookman Old Style"/>
          <w:sz w:val="24"/>
          <w:szCs w:val="24"/>
        </w:rPr>
        <w:noBreakHyphen/>
      </w:r>
      <w:r w:rsidR="00E40DAC" w:rsidRPr="00E40DAC">
        <w:rPr>
          <w:rFonts w:ascii="Bookman Old Style" w:hAnsi="Bookman Old Style"/>
          <w:sz w:val="24"/>
          <w:szCs w:val="24"/>
        </w:rPr>
        <w:t xml:space="preserve">1 </w:t>
      </w:r>
      <w:r w:rsidR="003764CC">
        <w:rPr>
          <w:rFonts w:ascii="Bookman Old Style" w:hAnsi="Bookman Old Style"/>
          <w:sz w:val="24"/>
          <w:szCs w:val="24"/>
        </w:rPr>
        <w:t xml:space="preserve">se deben descontar </w:t>
      </w:r>
      <w:r w:rsidR="003764CC" w:rsidRPr="00E40DAC">
        <w:rPr>
          <w:rFonts w:ascii="Bookman Old Style" w:hAnsi="Bookman Old Style"/>
          <w:sz w:val="24"/>
          <w:szCs w:val="24"/>
        </w:rPr>
        <w:t xml:space="preserve">los flujos de energía </w:t>
      </w:r>
      <w:r w:rsidR="00F44E5C">
        <w:rPr>
          <w:rFonts w:ascii="Bookman Old Style" w:hAnsi="Bookman Old Style"/>
          <w:sz w:val="24"/>
          <w:szCs w:val="24"/>
        </w:rPr>
        <w:t xml:space="preserve">desde </w:t>
      </w:r>
      <w:r w:rsidR="003764CC" w:rsidRPr="00E40DAC">
        <w:rPr>
          <w:rFonts w:ascii="Bookman Old Style" w:hAnsi="Bookman Old Style"/>
          <w:sz w:val="24"/>
          <w:szCs w:val="24"/>
        </w:rPr>
        <w:t xml:space="preserve">niveles de tensión </w:t>
      </w:r>
      <w:r w:rsidR="00F44E5C">
        <w:rPr>
          <w:rFonts w:ascii="Bookman Old Style" w:hAnsi="Bookman Old Style"/>
          <w:sz w:val="24"/>
          <w:szCs w:val="24"/>
        </w:rPr>
        <w:t>superior</w:t>
      </w:r>
      <w:r w:rsidR="00D331AD">
        <w:rPr>
          <w:rFonts w:ascii="Bookman Old Style" w:hAnsi="Bookman Old Style"/>
          <w:sz w:val="24"/>
          <w:szCs w:val="24"/>
        </w:rPr>
        <w:t>es</w:t>
      </w:r>
      <w:r w:rsidR="00F44E5C">
        <w:rPr>
          <w:rFonts w:ascii="Bookman Old Style" w:hAnsi="Bookman Old Style"/>
          <w:sz w:val="24"/>
          <w:szCs w:val="24"/>
        </w:rPr>
        <w:t xml:space="preserve"> </w:t>
      </w:r>
      <w:r w:rsidR="003764CC" w:rsidRPr="00E40DAC">
        <w:rPr>
          <w:rFonts w:ascii="Bookman Old Style" w:hAnsi="Bookman Old Style"/>
          <w:sz w:val="24"/>
          <w:szCs w:val="24"/>
        </w:rPr>
        <w:t>del OR</w:t>
      </w:r>
      <w:r w:rsidR="003764CC">
        <w:rPr>
          <w:rFonts w:ascii="Bookman Old Style" w:hAnsi="Bookman Old Style"/>
          <w:sz w:val="24"/>
          <w:szCs w:val="24"/>
        </w:rPr>
        <w:t xml:space="preserve"> a cambio de </w:t>
      </w:r>
      <w:r w:rsidR="00E40DAC" w:rsidRPr="003764CC">
        <w:rPr>
          <w:rFonts w:ascii="Bookman Old Style" w:hAnsi="Bookman Old Style"/>
          <w:sz w:val="24"/>
          <w:szCs w:val="24"/>
        </w:rPr>
        <w:t xml:space="preserve">la energía de salida a otros OR. </w:t>
      </w:r>
    </w:p>
    <w:p w:rsidR="003764CC" w:rsidRPr="003764CC" w:rsidRDefault="003764CC" w:rsidP="003764CC">
      <w:pPr>
        <w:jc w:val="both"/>
        <w:rPr>
          <w:rFonts w:ascii="Bookman Old Style" w:hAnsi="Bookman Old Style"/>
        </w:rPr>
      </w:pPr>
    </w:p>
    <w:p w:rsidR="00594DF0" w:rsidRDefault="00594DF0" w:rsidP="00A04E7D">
      <w:pPr>
        <w:pStyle w:val="Prrafodelista"/>
        <w:numPr>
          <w:ilvl w:val="0"/>
          <w:numId w:val="5"/>
        </w:numPr>
        <w:jc w:val="both"/>
        <w:rPr>
          <w:rFonts w:ascii="Bookman Old Style" w:hAnsi="Bookman Old Style"/>
          <w:sz w:val="24"/>
          <w:szCs w:val="24"/>
        </w:rPr>
      </w:pPr>
      <w:r>
        <w:rPr>
          <w:rFonts w:ascii="Bookman Old Style" w:hAnsi="Bookman Old Style"/>
          <w:sz w:val="24"/>
          <w:szCs w:val="24"/>
        </w:rPr>
        <w:t>En el Numeral 3.1 del Anexo 3 de la Resolución CREG 172 de 2011</w:t>
      </w:r>
      <w:r w:rsidR="00F44E5C">
        <w:rPr>
          <w:rFonts w:ascii="Bookman Old Style" w:hAnsi="Bookman Old Style"/>
          <w:sz w:val="24"/>
          <w:szCs w:val="24"/>
        </w:rPr>
        <w:t>,</w:t>
      </w:r>
      <w:r>
        <w:rPr>
          <w:rFonts w:ascii="Bookman Old Style" w:hAnsi="Bookman Old Style"/>
          <w:sz w:val="24"/>
          <w:szCs w:val="24"/>
        </w:rPr>
        <w:t xml:space="preserve"> </w:t>
      </w:r>
      <w:r w:rsidR="00D331AD">
        <w:rPr>
          <w:rFonts w:ascii="Bookman Old Style" w:hAnsi="Bookman Old Style"/>
          <w:sz w:val="24"/>
          <w:szCs w:val="24"/>
        </w:rPr>
        <w:t xml:space="preserve">teniendo en cuenta el plazo </w:t>
      </w:r>
      <w:r w:rsidR="00F44E5C">
        <w:rPr>
          <w:rFonts w:ascii="Bookman Old Style" w:hAnsi="Bookman Old Style"/>
          <w:sz w:val="24"/>
          <w:szCs w:val="24"/>
        </w:rPr>
        <w:t xml:space="preserve">para el </w:t>
      </w:r>
      <w:r>
        <w:rPr>
          <w:rFonts w:ascii="Bookman Old Style" w:hAnsi="Bookman Old Style"/>
          <w:sz w:val="24"/>
          <w:szCs w:val="24"/>
        </w:rPr>
        <w:t>cálculo de</w:t>
      </w:r>
      <w:r w:rsidR="00D331AD">
        <w:rPr>
          <w:rFonts w:ascii="Bookman Old Style" w:hAnsi="Bookman Old Style"/>
          <w:sz w:val="24"/>
          <w:szCs w:val="24"/>
        </w:rPr>
        <w:t xml:space="preserve"> la variable </w:t>
      </w:r>
      <w:proofErr w:type="spellStart"/>
      <w:r w:rsidRPr="00785932">
        <w:rPr>
          <w:rFonts w:ascii="Bookman Old Style" w:hAnsi="Bookman Old Style"/>
          <w:i/>
          <w:sz w:val="24"/>
          <w:szCs w:val="24"/>
        </w:rPr>
        <w:t>CPROG</w:t>
      </w:r>
      <w:r w:rsidR="00F44E5C" w:rsidRPr="00785932">
        <w:rPr>
          <w:rFonts w:ascii="Bookman Old Style" w:hAnsi="Bookman Old Style"/>
          <w:i/>
          <w:sz w:val="24"/>
          <w:szCs w:val="24"/>
          <w:vertAlign w:val="subscript"/>
        </w:rPr>
        <w:t>j</w:t>
      </w:r>
      <w:proofErr w:type="gramStart"/>
      <w:r w:rsidR="00F44E5C" w:rsidRPr="00785932">
        <w:rPr>
          <w:rFonts w:ascii="Bookman Old Style" w:hAnsi="Bookman Old Style"/>
          <w:i/>
          <w:sz w:val="24"/>
          <w:szCs w:val="24"/>
          <w:vertAlign w:val="subscript"/>
        </w:rPr>
        <w:t>,m</w:t>
      </w:r>
      <w:proofErr w:type="spellEnd"/>
      <w:proofErr w:type="gramEnd"/>
      <w:r w:rsidR="00D331AD">
        <w:rPr>
          <w:rFonts w:ascii="Bookman Old Style" w:hAnsi="Bookman Old Style"/>
          <w:sz w:val="24"/>
          <w:szCs w:val="24"/>
        </w:rPr>
        <w:t xml:space="preserve">, </w:t>
      </w:r>
      <w:r w:rsidR="00F44E5C">
        <w:rPr>
          <w:rFonts w:ascii="Bookman Old Style" w:hAnsi="Bookman Old Style"/>
          <w:sz w:val="24"/>
          <w:szCs w:val="24"/>
        </w:rPr>
        <w:t xml:space="preserve">se debe </w:t>
      </w:r>
      <w:r w:rsidR="00D331AD">
        <w:rPr>
          <w:rFonts w:ascii="Bookman Old Style" w:hAnsi="Bookman Old Style"/>
          <w:sz w:val="24"/>
          <w:szCs w:val="24"/>
        </w:rPr>
        <w:t xml:space="preserve">utilizar el IPP del mes m-2 en lugar del </w:t>
      </w:r>
      <w:r>
        <w:rPr>
          <w:rFonts w:ascii="Bookman Old Style" w:hAnsi="Bookman Old Style"/>
          <w:sz w:val="24"/>
          <w:szCs w:val="24"/>
        </w:rPr>
        <w:t xml:space="preserve">el IPP del mes </w:t>
      </w:r>
      <w:r w:rsidR="00785932">
        <w:rPr>
          <w:rFonts w:ascii="Bookman Old Style" w:hAnsi="Bookman Old Style"/>
          <w:sz w:val="24"/>
          <w:szCs w:val="24"/>
        </w:rPr>
        <w:t>m-1</w:t>
      </w:r>
      <w:r w:rsidR="00DE387F">
        <w:rPr>
          <w:rFonts w:ascii="Bookman Old Style" w:hAnsi="Bookman Old Style"/>
          <w:sz w:val="24"/>
          <w:szCs w:val="24"/>
        </w:rPr>
        <w:t xml:space="preserve">. </w:t>
      </w:r>
    </w:p>
    <w:p w:rsidR="00AA2DA0" w:rsidRPr="00AA2DA0" w:rsidRDefault="00AA2DA0" w:rsidP="00AA2DA0">
      <w:pPr>
        <w:pStyle w:val="Prrafodelista"/>
        <w:rPr>
          <w:rFonts w:ascii="Bookman Old Style" w:hAnsi="Bookman Old Style"/>
          <w:sz w:val="24"/>
          <w:szCs w:val="24"/>
        </w:rPr>
      </w:pPr>
    </w:p>
    <w:p w:rsidR="00AA2DA0" w:rsidRDefault="00AA2DA0" w:rsidP="00A04E7D">
      <w:pPr>
        <w:pStyle w:val="Prrafodelista"/>
        <w:numPr>
          <w:ilvl w:val="0"/>
          <w:numId w:val="5"/>
        </w:numPr>
        <w:jc w:val="both"/>
        <w:rPr>
          <w:rFonts w:ascii="Bookman Old Style" w:hAnsi="Bookman Old Style"/>
          <w:sz w:val="24"/>
          <w:szCs w:val="24"/>
        </w:rPr>
      </w:pPr>
      <w:r w:rsidRPr="00100739">
        <w:rPr>
          <w:rFonts w:ascii="Bookman Old Style" w:hAnsi="Bookman Old Style"/>
          <w:sz w:val="24"/>
          <w:szCs w:val="24"/>
        </w:rPr>
        <w:t>E</w:t>
      </w:r>
      <w:r w:rsidR="00100739" w:rsidRPr="00100739">
        <w:rPr>
          <w:rFonts w:ascii="Bookman Old Style" w:hAnsi="Bookman Old Style"/>
          <w:sz w:val="24"/>
          <w:szCs w:val="24"/>
        </w:rPr>
        <w:t xml:space="preserve">s necesario ajustar la fórmula </w:t>
      </w:r>
      <w:r w:rsidR="00D331AD">
        <w:rPr>
          <w:rFonts w:ascii="Bookman Old Style" w:hAnsi="Bookman Old Style"/>
          <w:sz w:val="24"/>
          <w:szCs w:val="24"/>
        </w:rPr>
        <w:t xml:space="preserve">para el </w:t>
      </w:r>
      <w:r w:rsidR="00100739" w:rsidRPr="00100739">
        <w:rPr>
          <w:rFonts w:ascii="Bookman Old Style" w:hAnsi="Bookman Old Style"/>
          <w:sz w:val="24"/>
          <w:szCs w:val="24"/>
        </w:rPr>
        <w:t>cálculo de la energía de salida d</w:t>
      </w:r>
      <w:r w:rsidRPr="00100739">
        <w:rPr>
          <w:rFonts w:ascii="Bookman Old Style" w:hAnsi="Bookman Old Style"/>
          <w:sz w:val="24"/>
          <w:szCs w:val="24"/>
        </w:rPr>
        <w:t>el numeral 4.2.4</w:t>
      </w:r>
      <w:r w:rsidR="00142A34">
        <w:rPr>
          <w:rFonts w:ascii="Bookman Old Style" w:hAnsi="Bookman Old Style"/>
          <w:sz w:val="24"/>
          <w:szCs w:val="24"/>
        </w:rPr>
        <w:t xml:space="preserve"> del Anexo 4 de la Resolución CREG 172 de 2011 </w:t>
      </w:r>
      <w:r w:rsidR="00100739" w:rsidRPr="00100739">
        <w:rPr>
          <w:rFonts w:ascii="Bookman Old Style" w:hAnsi="Bookman Old Style"/>
          <w:sz w:val="24"/>
          <w:szCs w:val="24"/>
        </w:rPr>
        <w:t>para que las fuentes de información de ventas</w:t>
      </w:r>
      <w:r w:rsidR="00100739">
        <w:rPr>
          <w:rFonts w:ascii="Bookman Old Style" w:hAnsi="Bookman Old Style"/>
          <w:sz w:val="24"/>
          <w:szCs w:val="24"/>
        </w:rPr>
        <w:t xml:space="preserve"> de energía </w:t>
      </w:r>
      <w:r w:rsidR="00100739" w:rsidRPr="00100739">
        <w:rPr>
          <w:rFonts w:ascii="Bookman Old Style" w:hAnsi="Bookman Old Style"/>
          <w:sz w:val="24"/>
          <w:szCs w:val="24"/>
        </w:rPr>
        <w:t xml:space="preserve">sean las </w:t>
      </w:r>
      <w:r w:rsidR="00D331AD">
        <w:rPr>
          <w:rFonts w:ascii="Bookman Old Style" w:hAnsi="Bookman Old Style"/>
          <w:sz w:val="24"/>
          <w:szCs w:val="24"/>
        </w:rPr>
        <w:t xml:space="preserve">mismas </w:t>
      </w:r>
      <w:r w:rsidR="00100739" w:rsidRPr="00100739">
        <w:rPr>
          <w:rFonts w:ascii="Bookman Old Style" w:hAnsi="Bookman Old Style"/>
          <w:sz w:val="24"/>
          <w:szCs w:val="24"/>
        </w:rPr>
        <w:t>definidas en el numeral 4.3.4</w:t>
      </w:r>
      <w:r w:rsidR="00D331AD">
        <w:rPr>
          <w:rFonts w:ascii="Bookman Old Style" w:hAnsi="Bookman Old Style"/>
          <w:sz w:val="24"/>
          <w:szCs w:val="24"/>
        </w:rPr>
        <w:t xml:space="preserve"> del mismo Anexo.</w:t>
      </w:r>
    </w:p>
    <w:p w:rsidR="00142A34" w:rsidRDefault="00142A34" w:rsidP="00A04E7D">
      <w:pPr>
        <w:pStyle w:val="Prrafodelista"/>
        <w:numPr>
          <w:ilvl w:val="0"/>
          <w:numId w:val="5"/>
        </w:numPr>
        <w:jc w:val="both"/>
        <w:rPr>
          <w:rFonts w:ascii="Bookman Old Style" w:hAnsi="Bookman Old Style"/>
          <w:sz w:val="24"/>
          <w:szCs w:val="24"/>
        </w:rPr>
      </w:pPr>
      <w:r>
        <w:rPr>
          <w:rFonts w:ascii="Bookman Old Style" w:hAnsi="Bookman Old Style"/>
          <w:sz w:val="24"/>
          <w:szCs w:val="24"/>
        </w:rPr>
        <w:lastRenderedPageBreak/>
        <w:t xml:space="preserve">Es necesario ajustar la fórmula </w:t>
      </w:r>
      <w:r w:rsidR="00D331AD">
        <w:rPr>
          <w:rFonts w:ascii="Bookman Old Style" w:hAnsi="Bookman Old Style"/>
          <w:sz w:val="24"/>
          <w:szCs w:val="24"/>
        </w:rPr>
        <w:t xml:space="preserve">para el </w:t>
      </w:r>
      <w:r>
        <w:rPr>
          <w:rFonts w:ascii="Bookman Old Style" w:hAnsi="Bookman Old Style"/>
          <w:sz w:val="24"/>
          <w:szCs w:val="24"/>
        </w:rPr>
        <w:t xml:space="preserve">cálculo de la variable </w:t>
      </w:r>
      <w:proofErr w:type="spellStart"/>
      <w:r w:rsidRPr="00785932">
        <w:rPr>
          <w:rFonts w:ascii="Bookman Old Style" w:hAnsi="Bookman Old Style"/>
          <w:i/>
          <w:sz w:val="24"/>
          <w:szCs w:val="24"/>
        </w:rPr>
        <w:t>PTS</w:t>
      </w:r>
      <w:r w:rsidRPr="00785932">
        <w:rPr>
          <w:rFonts w:ascii="Bookman Old Style" w:hAnsi="Bookman Old Style"/>
          <w:i/>
          <w:sz w:val="24"/>
          <w:szCs w:val="24"/>
          <w:vertAlign w:val="subscript"/>
        </w:rPr>
        <w:t>i</w:t>
      </w:r>
      <w:proofErr w:type="gramStart"/>
      <w:r w:rsidRPr="00785932">
        <w:rPr>
          <w:rFonts w:ascii="Bookman Old Style" w:hAnsi="Bookman Old Style"/>
          <w:i/>
          <w:sz w:val="24"/>
          <w:szCs w:val="24"/>
          <w:vertAlign w:val="subscript"/>
        </w:rPr>
        <w:t>,j,m</w:t>
      </w:r>
      <w:proofErr w:type="spellEnd"/>
      <w:proofErr w:type="gramEnd"/>
      <w:r>
        <w:rPr>
          <w:rFonts w:ascii="Bookman Old Style" w:hAnsi="Bookman Old Style"/>
          <w:sz w:val="24"/>
          <w:szCs w:val="24"/>
        </w:rPr>
        <w:t xml:space="preserve"> del numeral 4.3.1 del Anexo 4 de la Resolución CREG 172 de 2011</w:t>
      </w:r>
      <w:r w:rsidR="00D331AD">
        <w:rPr>
          <w:rFonts w:ascii="Bookman Old Style" w:hAnsi="Bookman Old Style"/>
          <w:sz w:val="24"/>
          <w:szCs w:val="24"/>
        </w:rPr>
        <w:t>,</w:t>
      </w:r>
      <w:r>
        <w:rPr>
          <w:rFonts w:ascii="Bookman Old Style" w:hAnsi="Bookman Old Style"/>
          <w:sz w:val="24"/>
          <w:szCs w:val="24"/>
        </w:rPr>
        <w:t xml:space="preserve"> para que sea compatible con la fórmula con la cual se evalúa el Plan.</w:t>
      </w:r>
    </w:p>
    <w:p w:rsidR="008E5B78" w:rsidRPr="008E5B78" w:rsidRDefault="008E5B78" w:rsidP="008E5B78">
      <w:pPr>
        <w:jc w:val="both"/>
        <w:rPr>
          <w:rFonts w:ascii="Bookman Old Style" w:hAnsi="Bookman Old Style"/>
        </w:rPr>
      </w:pPr>
    </w:p>
    <w:p w:rsidR="00D150D2" w:rsidRDefault="00D150D2" w:rsidP="00E03BD2">
      <w:pPr>
        <w:ind w:left="0"/>
        <w:jc w:val="both"/>
        <w:rPr>
          <w:rFonts w:ascii="Bookman Old Style" w:hAnsi="Bookman Old Style"/>
        </w:rPr>
      </w:pPr>
      <w:r>
        <w:rPr>
          <w:rFonts w:ascii="Bookman Old Style" w:hAnsi="Bookman Old Style"/>
        </w:rPr>
        <w:t xml:space="preserve">Como consecuencia de lo anterior, la Comisión de Regulación de Energía y Gas, CREG ha considerado pertinente hacer las modificaciones que correspondan en la Resolución CREG 172 de 2011.  </w:t>
      </w:r>
    </w:p>
    <w:p w:rsidR="00D150D2" w:rsidRDefault="00D150D2" w:rsidP="00E03BD2">
      <w:pPr>
        <w:ind w:left="0"/>
        <w:jc w:val="both"/>
        <w:rPr>
          <w:rFonts w:ascii="Bookman Old Style" w:hAnsi="Bookman Old Style"/>
        </w:rPr>
      </w:pPr>
    </w:p>
    <w:p w:rsidR="00E03BD2" w:rsidRDefault="00E03BD2" w:rsidP="00E03BD2">
      <w:pPr>
        <w:ind w:left="0"/>
        <w:jc w:val="both"/>
        <w:rPr>
          <w:rFonts w:ascii="Bookman Old Style" w:hAnsi="Bookman Old Style"/>
        </w:rPr>
      </w:pPr>
      <w:r>
        <w:rPr>
          <w:rFonts w:ascii="Bookman Old Style" w:hAnsi="Bookman Old Style"/>
        </w:rPr>
        <w:t>Que de conformidad con lo establecido en el numeral 5 del artículo 1 de la Resolución CREG 097 de 2004, no se hizo público el proyecto de resolución conforme a las disposiciones del artículo 9 del Decreto 2696 de 2004, por tratarse de la corrección de simples errores de hecho que no inciden en el sentido de la decisión;</w:t>
      </w:r>
    </w:p>
    <w:p w:rsidR="00E03BD2" w:rsidRDefault="00E03BD2" w:rsidP="00E03BD2">
      <w:pPr>
        <w:ind w:left="0"/>
        <w:jc w:val="both"/>
        <w:rPr>
          <w:rFonts w:ascii="Bookman Old Style" w:hAnsi="Bookman Old Style"/>
        </w:rPr>
      </w:pPr>
    </w:p>
    <w:p w:rsidR="00E03BD2" w:rsidRDefault="00E03BD2" w:rsidP="00E03BD2">
      <w:pPr>
        <w:ind w:left="0"/>
        <w:jc w:val="both"/>
        <w:rPr>
          <w:rFonts w:ascii="Bookman Old Style" w:hAnsi="Bookman Old Style"/>
        </w:rPr>
      </w:pPr>
      <w:r>
        <w:rPr>
          <w:rFonts w:ascii="Bookman Old Style" w:hAnsi="Bookman Old Style"/>
        </w:rPr>
        <w:t xml:space="preserve">Que la Comisión de Regulación de Energía y Gas, en su sesión </w:t>
      </w:r>
      <w:r w:rsidR="00C850D9">
        <w:rPr>
          <w:rFonts w:ascii="Bookman Old Style" w:hAnsi="Bookman Old Style"/>
        </w:rPr>
        <w:t>No.515</w:t>
      </w:r>
      <w:r>
        <w:rPr>
          <w:rFonts w:ascii="Bookman Old Style" w:hAnsi="Bookman Old Style"/>
        </w:rPr>
        <w:t xml:space="preserve"> de</w:t>
      </w:r>
      <w:r w:rsidR="00C850D9">
        <w:rPr>
          <w:rFonts w:ascii="Bookman Old Style" w:hAnsi="Bookman Old Style"/>
        </w:rPr>
        <w:t xml:space="preserve">l 16 de </w:t>
      </w:r>
      <w:r>
        <w:rPr>
          <w:rFonts w:ascii="Bookman Old Style" w:hAnsi="Bookman Old Style"/>
        </w:rPr>
        <w:t>marzo de 2012, acordó expedir la presente resolución;</w:t>
      </w:r>
    </w:p>
    <w:p w:rsidR="00E03BD2" w:rsidRDefault="00E03BD2" w:rsidP="00E03BD2">
      <w:pPr>
        <w:ind w:left="0"/>
        <w:jc w:val="both"/>
        <w:rPr>
          <w:rFonts w:ascii="Bookman Old Style" w:hAnsi="Bookman Old Style"/>
          <w:b/>
        </w:rPr>
      </w:pPr>
    </w:p>
    <w:p w:rsidR="00B16E46" w:rsidRDefault="00B16E46" w:rsidP="00E03BD2">
      <w:pPr>
        <w:ind w:left="0"/>
        <w:jc w:val="both"/>
        <w:rPr>
          <w:rFonts w:ascii="Bookman Old Style" w:hAnsi="Bookman Old Style"/>
          <w:b/>
        </w:rPr>
      </w:pPr>
    </w:p>
    <w:p w:rsidR="00E03BD2" w:rsidRDefault="00E03BD2" w:rsidP="00E03BD2">
      <w:pPr>
        <w:ind w:left="0"/>
        <w:jc w:val="both"/>
        <w:rPr>
          <w:rFonts w:ascii="Bookman Old Style" w:hAnsi="Bookman Old Style"/>
          <w:b/>
        </w:rPr>
      </w:pPr>
    </w:p>
    <w:p w:rsidR="00E03BD2" w:rsidRDefault="00E03BD2" w:rsidP="00E03BD2">
      <w:pPr>
        <w:ind w:left="0"/>
        <w:jc w:val="center"/>
        <w:rPr>
          <w:rFonts w:ascii="Bookman Old Style" w:hAnsi="Bookman Old Style"/>
          <w:b/>
          <w:spacing w:val="40"/>
        </w:rPr>
      </w:pPr>
      <w:r>
        <w:rPr>
          <w:rFonts w:ascii="Bookman Old Style" w:hAnsi="Bookman Old Style"/>
          <w:b/>
        </w:rPr>
        <w:t xml:space="preserve">R E S U E L V </w:t>
      </w:r>
      <w:r>
        <w:rPr>
          <w:rFonts w:ascii="Bookman Old Style" w:hAnsi="Bookman Old Style"/>
          <w:b/>
          <w:spacing w:val="40"/>
        </w:rPr>
        <w:t>E:</w:t>
      </w:r>
    </w:p>
    <w:p w:rsidR="00E03BD2" w:rsidRDefault="00E03BD2" w:rsidP="00E03BD2">
      <w:pPr>
        <w:ind w:left="0"/>
        <w:jc w:val="both"/>
        <w:rPr>
          <w:rFonts w:ascii="Bookman Old Style" w:hAnsi="Bookman Old Style"/>
          <w:b/>
          <w:spacing w:val="40"/>
        </w:rPr>
      </w:pPr>
    </w:p>
    <w:p w:rsidR="00B16E46" w:rsidRDefault="00B16E46" w:rsidP="00E03BD2">
      <w:pPr>
        <w:ind w:left="0"/>
        <w:jc w:val="both"/>
        <w:rPr>
          <w:rFonts w:ascii="Bookman Old Style" w:hAnsi="Bookman Old Style"/>
          <w:b/>
          <w:spacing w:val="40"/>
        </w:rPr>
      </w:pPr>
    </w:p>
    <w:p w:rsidR="008E6072" w:rsidRDefault="008E6072" w:rsidP="008E6072">
      <w:pPr>
        <w:ind w:left="0"/>
        <w:jc w:val="both"/>
        <w:rPr>
          <w:rFonts w:ascii="Bookman Old Style" w:hAnsi="Bookman Old Style"/>
          <w:b/>
        </w:rPr>
      </w:pPr>
      <w:bookmarkStart w:id="1" w:name="_Toc259626851"/>
    </w:p>
    <w:p w:rsidR="008E6072" w:rsidRDefault="00D150D2" w:rsidP="008E6072">
      <w:pPr>
        <w:pStyle w:val="Artculo"/>
      </w:pPr>
      <w:r>
        <w:t>Modificar e</w:t>
      </w:r>
      <w:r w:rsidR="008E6072" w:rsidRPr="003A7A27">
        <w:t xml:space="preserve">l </w:t>
      </w:r>
      <w:r w:rsidR="008E6072">
        <w:t>numeral 2.1. del Anexo 2 de la Resolución CREG 172 de 2011</w:t>
      </w:r>
      <w:r>
        <w:t xml:space="preserve">, el cual quedará </w:t>
      </w:r>
      <w:r w:rsidR="008E6072" w:rsidRPr="003A7A27">
        <w:t>así:</w:t>
      </w:r>
    </w:p>
    <w:p w:rsidR="008E6072" w:rsidRDefault="008E6072" w:rsidP="008E6072">
      <w:pPr>
        <w:jc w:val="both"/>
        <w:rPr>
          <w:rFonts w:ascii="Bookman Old Style" w:hAnsi="Bookman Old Style"/>
        </w:rPr>
      </w:pPr>
    </w:p>
    <w:p w:rsidR="008E6072" w:rsidRPr="00B16E46" w:rsidRDefault="008E6072" w:rsidP="008E6072">
      <w:pPr>
        <w:pStyle w:val="Ttulo2"/>
        <w:numPr>
          <w:ilvl w:val="1"/>
          <w:numId w:val="7"/>
        </w:numPr>
        <w:ind w:left="567" w:firstLine="0"/>
        <w:rPr>
          <w:i/>
          <w:vertAlign w:val="subscript"/>
        </w:rPr>
      </w:pPr>
      <w:bookmarkStart w:id="2" w:name="_Ref263257801"/>
      <w:bookmarkStart w:id="3" w:name="_Toc310577364"/>
      <w:r w:rsidRPr="00B16E46">
        <w:rPr>
          <w:i/>
        </w:rPr>
        <w:t xml:space="preserve">Calculo de la variable </w:t>
      </w:r>
      <w:bookmarkEnd w:id="2"/>
      <w:proofErr w:type="spellStart"/>
      <w:r w:rsidRPr="00B16E46">
        <w:rPr>
          <w:i/>
        </w:rPr>
        <w:t>CAP</w:t>
      </w:r>
      <w:r w:rsidRPr="00B16E46">
        <w:rPr>
          <w:i/>
          <w:vertAlign w:val="subscript"/>
        </w:rPr>
        <w:t>j</w:t>
      </w:r>
      <w:bookmarkEnd w:id="3"/>
      <w:proofErr w:type="spellEnd"/>
    </w:p>
    <w:p w:rsidR="008E6072" w:rsidRPr="00B16E46" w:rsidRDefault="008E6072" w:rsidP="008E6072">
      <w:pPr>
        <w:rPr>
          <w:i/>
        </w:rPr>
      </w:pPr>
    </w:p>
    <w:p w:rsidR="008E6072" w:rsidRPr="00B16E46" w:rsidRDefault="008E6072" w:rsidP="008E6072">
      <w:pPr>
        <w:jc w:val="both"/>
        <w:rPr>
          <w:rFonts w:ascii="Bookman Old Style" w:hAnsi="Bookman Old Style"/>
          <w:i/>
        </w:rPr>
      </w:pPr>
      <w:r w:rsidRPr="00B16E46">
        <w:rPr>
          <w:rFonts w:ascii="Bookman Old Style" w:hAnsi="Bookman Old Style"/>
          <w:i/>
        </w:rPr>
        <w:t xml:space="preserve">La variable </w:t>
      </w:r>
      <w:proofErr w:type="spellStart"/>
      <w:r w:rsidRPr="00B16E46">
        <w:rPr>
          <w:rFonts w:ascii="Bookman Old Style" w:hAnsi="Bookman Old Style"/>
          <w:i/>
        </w:rPr>
        <w:t>CAP</w:t>
      </w:r>
      <w:r w:rsidRPr="00B16E46">
        <w:rPr>
          <w:rFonts w:ascii="Bookman Old Style" w:hAnsi="Bookman Old Style"/>
          <w:i/>
          <w:vertAlign w:val="subscript"/>
        </w:rPr>
        <w:t>j</w:t>
      </w:r>
      <w:proofErr w:type="spellEnd"/>
      <w:r w:rsidRPr="00B16E46">
        <w:rPr>
          <w:rFonts w:ascii="Bookman Old Style" w:hAnsi="Bookman Old Style"/>
          <w:i/>
        </w:rPr>
        <w:t xml:space="preserve"> corresponde a la anualidad a remunerar al Operador de Red por la ejecución del Plan. Este valor es mayor o igual a cero (0).</w:t>
      </w:r>
    </w:p>
    <w:p w:rsidR="008E6072" w:rsidRPr="00B16E46" w:rsidRDefault="008E6072" w:rsidP="008E6072">
      <w:pPr>
        <w:jc w:val="both"/>
        <w:rPr>
          <w:rFonts w:ascii="Bookman Old Style" w:hAnsi="Bookman Old Style"/>
          <w:i/>
        </w:rPr>
      </w:pPr>
    </w:p>
    <w:p w:rsidR="008E6072" w:rsidRPr="00B16E46" w:rsidRDefault="000B2957" w:rsidP="008E6072">
      <w:pPr>
        <w:jc w:val="center"/>
        <w:rPr>
          <w:rFonts w:ascii="Bookman Old Style" w:hAnsi="Bookman Old Style"/>
          <w:i/>
        </w:rPr>
      </w:pPr>
      <m:oMathPara>
        <m:oMath>
          <m:sSub>
            <m:sSubPr>
              <m:ctrlPr>
                <w:rPr>
                  <w:rFonts w:ascii="Cambria Math" w:hAnsi="Cambria Math"/>
                  <w:i/>
                </w:rPr>
              </m:ctrlPr>
            </m:sSubPr>
            <m:e>
              <m:r>
                <w:rPr>
                  <w:rFonts w:ascii="Cambria Math" w:hAnsi="Cambria Math"/>
                </w:rPr>
                <m:t>CAP</m:t>
              </m:r>
            </m:e>
            <m:sub>
              <m:r>
                <w:rPr>
                  <w:rFonts w:ascii="Cambria Math" w:hAnsi="Cambria Math"/>
                </w:rPr>
                <m:t>j</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CTP</m:t>
                  </m:r>
                </m:e>
                <m:sub>
                  <m: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PPact_u</m:t>
                  </m:r>
                </m:e>
                <m:sub>
                  <m:r>
                    <w:rPr>
                      <w:rFonts w:ascii="Cambria Math" w:hAnsi="Cambria Math"/>
                    </w:rPr>
                    <m:t>j</m:t>
                  </m:r>
                </m:sub>
              </m:sSub>
              <m:r>
                <w:rPr>
                  <w:rFonts w:ascii="Cambria Math" w:hAnsi="Cambria Math"/>
                </w:rPr>
                <m:t>*r</m:t>
              </m:r>
            </m:num>
            <m:den>
              <m:r>
                <w:rPr>
                  <w:rFonts w:ascii="Cambria Math" w:hAnsi="Cambria Math"/>
                </w:rPr>
                <m:t>1-</m:t>
              </m:r>
              <m:sSup>
                <m:sSupPr>
                  <m:ctrlPr>
                    <w:rPr>
                      <w:rFonts w:ascii="Cambria Math" w:hAnsi="Cambria Math"/>
                      <w:i/>
                    </w:rPr>
                  </m:ctrlPr>
                </m:sSupPr>
                <m:e>
                  <m:r>
                    <w:rPr>
                      <w:rFonts w:ascii="Cambria Math" w:hAnsi="Cambria Math"/>
                    </w:rPr>
                    <m:t>(1+r)</m:t>
                  </m:r>
                </m:e>
                <m:sup>
                  <m:r>
                    <w:rPr>
                      <w:rFonts w:ascii="Cambria Math" w:hAnsi="Cambria Math"/>
                    </w:rPr>
                    <m:t>-30</m:t>
                  </m:r>
                </m:sup>
              </m:sSup>
            </m:den>
          </m:f>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CTP</m:t>
                  </m:r>
                </m:e>
                <m:sub>
                  <m: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PPact_nu</m:t>
                  </m:r>
                </m:e>
                <m:sub>
                  <m:r>
                    <w:rPr>
                      <w:rFonts w:ascii="Cambria Math" w:hAnsi="Cambria Math"/>
                    </w:rPr>
                    <m:t>j</m:t>
                  </m:r>
                </m:sub>
              </m:sSub>
              <m:r>
                <w:rPr>
                  <w:rFonts w:ascii="Cambria Math" w:hAnsi="Cambria Math"/>
                </w:rPr>
                <m:t>*r</m:t>
              </m:r>
            </m:num>
            <m:den>
              <m:r>
                <w:rPr>
                  <w:rFonts w:ascii="Cambria Math" w:hAnsi="Cambria Math"/>
                </w:rPr>
                <m:t>1-</m:t>
              </m:r>
              <m:sSup>
                <m:sSupPr>
                  <m:ctrlPr>
                    <w:rPr>
                      <w:rFonts w:ascii="Cambria Math" w:hAnsi="Cambria Math"/>
                      <w:i/>
                    </w:rPr>
                  </m:ctrlPr>
                </m:sSupPr>
                <m:e>
                  <m:r>
                    <w:rPr>
                      <w:rFonts w:ascii="Cambria Math" w:hAnsi="Cambria Math"/>
                    </w:rPr>
                    <m:t>(1+r)</m:t>
                  </m:r>
                </m:e>
                <m:sup>
                  <m:r>
                    <w:rPr>
                      <w:rFonts w:ascii="Cambria Math" w:hAnsi="Cambria Math"/>
                    </w:rPr>
                    <m:t>-5</m:t>
                  </m:r>
                </m:sup>
              </m:sSup>
            </m:den>
          </m:f>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CTP</m:t>
                  </m:r>
                </m:e>
                <m:sub>
                  <m: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PPaom</m:t>
                  </m:r>
                </m:e>
                <m:sub>
                  <m:r>
                    <w:rPr>
                      <w:rFonts w:ascii="Cambria Math" w:hAnsi="Cambria Math"/>
                    </w:rPr>
                    <m:t>j</m:t>
                  </m:r>
                </m:sub>
              </m:sSub>
              <m:r>
                <w:rPr>
                  <w:rFonts w:ascii="Cambria Math" w:hAnsi="Cambria Math"/>
                </w:rPr>
                <m:t>*r</m:t>
              </m:r>
            </m:num>
            <m:den>
              <m:r>
                <w:rPr>
                  <w:rFonts w:ascii="Cambria Math" w:hAnsi="Cambria Math"/>
                </w:rPr>
                <m:t>1-</m:t>
              </m:r>
              <m:sSup>
                <m:sSupPr>
                  <m:ctrlPr>
                    <w:rPr>
                      <w:rFonts w:ascii="Cambria Math" w:hAnsi="Cambria Math"/>
                      <w:i/>
                    </w:rPr>
                  </m:ctrlPr>
                </m:sSupPr>
                <m:e>
                  <m:r>
                    <w:rPr>
                      <w:rFonts w:ascii="Cambria Math" w:hAnsi="Cambria Math"/>
                    </w:rPr>
                    <m:t>(1+r)</m:t>
                  </m:r>
                </m:e>
                <m:sup>
                  <m:r>
                    <w:rPr>
                      <w:rFonts w:ascii="Cambria Math" w:hAnsi="Cambria Math"/>
                    </w:rPr>
                    <m:t>-5</m:t>
                  </m:r>
                </m:sup>
              </m:sSup>
            </m:den>
          </m:f>
          <m:r>
            <w:rPr>
              <w:rFonts w:ascii="Cambria Math" w:hAnsi="Cambria Math"/>
            </w:rPr>
            <m:t>-</m:t>
          </m:r>
          <m:sSub>
            <m:sSubPr>
              <m:ctrlPr>
                <w:rPr>
                  <w:rFonts w:ascii="Cambria Math" w:hAnsi="Cambria Math"/>
                  <w:i/>
                </w:rPr>
              </m:ctrlPr>
            </m:sSubPr>
            <m:e>
              <m:r>
                <w:rPr>
                  <w:rFonts w:ascii="Cambria Math" w:hAnsi="Cambria Math"/>
                </w:rPr>
                <m:t>AOMd</m:t>
              </m:r>
            </m:e>
            <m:sub>
              <m:r>
                <w:rPr>
                  <w:rFonts w:ascii="Cambria Math" w:hAnsi="Cambria Math"/>
                </w:rPr>
                <m:t>j</m:t>
              </m:r>
            </m:sub>
          </m:sSub>
        </m:oMath>
      </m:oMathPara>
    </w:p>
    <w:p w:rsidR="008E6072" w:rsidRPr="00B16E46" w:rsidRDefault="008E6072" w:rsidP="008E6072">
      <w:pPr>
        <w:jc w:val="both"/>
        <w:rPr>
          <w:rFonts w:ascii="Bookman Old Style" w:hAnsi="Bookman Old Style"/>
          <w:i/>
        </w:rPr>
      </w:pPr>
    </w:p>
    <w:p w:rsidR="008E6072" w:rsidRPr="00B16E46" w:rsidRDefault="008E6072" w:rsidP="008E6072">
      <w:pPr>
        <w:jc w:val="both"/>
        <w:rPr>
          <w:rFonts w:ascii="Bookman Old Style" w:hAnsi="Bookman Old Style"/>
          <w:i/>
        </w:rPr>
      </w:pPr>
    </w:p>
    <w:p w:rsidR="008E6072" w:rsidRPr="00B16E46" w:rsidRDefault="008E6072" w:rsidP="008E6072">
      <w:pPr>
        <w:jc w:val="both"/>
        <w:rPr>
          <w:rFonts w:ascii="Bookman Old Style" w:hAnsi="Bookman Old Style"/>
          <w:i/>
        </w:rPr>
      </w:pPr>
      <w:r w:rsidRPr="00B16E46">
        <w:rPr>
          <w:rFonts w:ascii="Bookman Old Style" w:hAnsi="Bookman Old Style"/>
          <w:i/>
        </w:rPr>
        <w:t xml:space="preserve">Con: </w:t>
      </w:r>
    </w:p>
    <w:p w:rsidR="008E6072" w:rsidRPr="00B16E46" w:rsidRDefault="000B2957" w:rsidP="008E6072">
      <w:pPr>
        <w:jc w:val="center"/>
        <w:rPr>
          <w:rFonts w:ascii="Bookman Old Style" w:hAnsi="Bookman Old Style"/>
          <w:i/>
        </w:rPr>
      </w:pPr>
      <m:oMathPara>
        <m:oMathParaPr>
          <m:jc m:val="center"/>
        </m:oMathParaPr>
        <m:oMath>
          <m:sSub>
            <m:sSubPr>
              <m:ctrlPr>
                <w:rPr>
                  <w:rFonts w:ascii="Cambria Math" w:hAnsi="Cambria Math"/>
                  <w:i/>
                </w:rPr>
              </m:ctrlPr>
            </m:sSubPr>
            <m:e>
              <m:r>
                <w:rPr>
                  <w:rFonts w:ascii="Cambria Math" w:hAnsi="Cambria Math"/>
                </w:rPr>
                <m:t>PPact_u</m:t>
              </m:r>
            </m:e>
            <m:sub>
              <m:r>
                <w:rPr>
                  <w:rFonts w:ascii="Cambria Math" w:hAnsi="Cambria Math"/>
                </w:rPr>
                <m:t>j</m:t>
              </m:r>
            </m:sub>
          </m:sSub>
          <m:r>
            <w:rPr>
              <w:rFonts w:ascii="Cambria Math" w:hAnsi="Cambria Math"/>
            </w:rPr>
            <m:t>=</m:t>
          </m:r>
          <m:f>
            <m:fPr>
              <m:ctrlPr>
                <w:rPr>
                  <w:rFonts w:ascii="Cambria Math" w:hAnsi="Cambria Math"/>
                  <w:i/>
                </w:rPr>
              </m:ctrlPr>
            </m:fPr>
            <m:num>
              <m:nary>
                <m:naryPr>
                  <m:chr m:val="∑"/>
                  <m:limLoc m:val="undOvr"/>
                  <m:ctrlPr>
                    <w:rPr>
                      <w:rFonts w:ascii="Cambria Math" w:hAnsi="Cambria Math"/>
                      <w:i/>
                    </w:rPr>
                  </m:ctrlPr>
                </m:naryPr>
                <m:sub>
                  <m:r>
                    <w:rPr>
                      <w:rFonts w:ascii="Cambria Math" w:hAnsi="Cambria Math"/>
                    </w:rPr>
                    <m:t>k=1</m:t>
                  </m:r>
                </m:sub>
                <m:sup>
                  <m:r>
                    <w:rPr>
                      <w:rFonts w:ascii="Cambria Math" w:hAnsi="Cambria Math"/>
                    </w:rPr>
                    <m:t>5</m:t>
                  </m:r>
                </m:sup>
                <m:e>
                  <m:f>
                    <m:fPr>
                      <m:ctrlPr>
                        <w:rPr>
                          <w:rFonts w:ascii="Cambria Math" w:hAnsi="Arial" w:cs="Arial"/>
                          <w:i/>
                        </w:rPr>
                      </m:ctrlPr>
                    </m:fPr>
                    <m:num>
                      <m:sSub>
                        <m:sSubPr>
                          <m:ctrlPr>
                            <w:rPr>
                              <w:rFonts w:ascii="Cambria Math" w:hAnsi="Arial" w:cs="Arial"/>
                              <w:i/>
                            </w:rPr>
                          </m:ctrlPr>
                        </m:sSubPr>
                        <m:e>
                          <m:r>
                            <w:rPr>
                              <w:rFonts w:ascii="Cambria Math" w:hAnsi="Arial" w:cs="Arial"/>
                            </w:rPr>
                            <m:t>INVu</m:t>
                          </m:r>
                        </m:e>
                        <m:sub>
                          <m:r>
                            <w:rPr>
                              <w:rFonts w:ascii="Cambria Math" w:hAnsi="Arial" w:cs="Arial"/>
                            </w:rPr>
                            <m:t>k</m:t>
                          </m:r>
                        </m:sub>
                      </m:sSub>
                    </m:num>
                    <m:den>
                      <m:sSup>
                        <m:sSupPr>
                          <m:ctrlPr>
                            <w:rPr>
                              <w:rFonts w:ascii="Cambria Math" w:hAnsi="Arial" w:cs="Arial"/>
                              <w:i/>
                            </w:rPr>
                          </m:ctrlPr>
                        </m:sSupPr>
                        <m:e>
                          <m:r>
                            <w:rPr>
                              <w:rFonts w:ascii="Cambria Math" w:hAnsi="Arial" w:cs="Arial"/>
                            </w:rPr>
                            <m:t>(1+r)</m:t>
                          </m:r>
                        </m:e>
                        <m:sup>
                          <m:r>
                            <w:rPr>
                              <w:rFonts w:ascii="Cambria Math" w:hAnsi="Arial" w:cs="Arial"/>
                            </w:rPr>
                            <m:t>k</m:t>
                          </m:r>
                        </m:sup>
                      </m:sSup>
                    </m:den>
                  </m:f>
                </m:e>
              </m:nary>
            </m:num>
            <m:den>
              <m:sSub>
                <m:sSubPr>
                  <m:ctrlPr>
                    <w:rPr>
                      <w:rFonts w:ascii="Cambria Math" w:hAnsi="Cambria Math"/>
                      <w:i/>
                    </w:rPr>
                  </m:ctrlPr>
                </m:sSubPr>
                <m:e>
                  <m:r>
                    <w:rPr>
                      <w:rFonts w:ascii="Cambria Math" w:hAnsi="Cambria Math"/>
                    </w:rPr>
                    <m:t>CPOR</m:t>
                  </m:r>
                </m:e>
                <m:sub>
                  <m:r>
                    <w:rPr>
                      <w:rFonts w:ascii="Cambria Math" w:hAnsi="Cambria Math"/>
                    </w:rPr>
                    <m:t>j</m:t>
                  </m:r>
                </m:sub>
              </m:sSub>
            </m:den>
          </m:f>
        </m:oMath>
      </m:oMathPara>
    </w:p>
    <w:p w:rsidR="008E6072" w:rsidRPr="00B16E46" w:rsidRDefault="008E6072" w:rsidP="008E6072">
      <w:pPr>
        <w:jc w:val="both"/>
        <w:rPr>
          <w:rFonts w:ascii="Bookman Old Style" w:hAnsi="Bookman Old Style"/>
          <w:i/>
        </w:rPr>
      </w:pPr>
    </w:p>
    <w:p w:rsidR="008E6072" w:rsidRPr="00B16E46" w:rsidRDefault="000B2957" w:rsidP="008E6072">
      <w:pPr>
        <w:jc w:val="center"/>
        <w:rPr>
          <w:rFonts w:ascii="Bookman Old Style" w:hAnsi="Bookman Old Style"/>
          <w:i/>
        </w:rPr>
      </w:pPr>
      <m:oMathPara>
        <m:oMath>
          <m:sSub>
            <m:sSubPr>
              <m:ctrlPr>
                <w:rPr>
                  <w:rFonts w:ascii="Cambria Math" w:hAnsi="Cambria Math"/>
                  <w:i/>
                </w:rPr>
              </m:ctrlPr>
            </m:sSubPr>
            <m:e>
              <m:r>
                <w:rPr>
                  <w:rFonts w:ascii="Cambria Math" w:hAnsi="Cambria Math"/>
                </w:rPr>
                <m:t>PPact_nu</m:t>
              </m:r>
            </m:e>
            <m:sub>
              <m:r>
                <w:rPr>
                  <w:rFonts w:ascii="Cambria Math" w:hAnsi="Cambria Math"/>
                </w:rPr>
                <m:t>j</m:t>
              </m:r>
            </m:sub>
          </m:sSub>
          <m:r>
            <w:rPr>
              <w:rFonts w:ascii="Cambria Math" w:hAnsi="Cambria Math"/>
            </w:rPr>
            <m:t>=</m:t>
          </m:r>
          <m:f>
            <m:fPr>
              <m:ctrlPr>
                <w:rPr>
                  <w:rFonts w:ascii="Cambria Math" w:hAnsi="Cambria Math"/>
                  <w:i/>
                </w:rPr>
              </m:ctrlPr>
            </m:fPr>
            <m:num>
              <m:nary>
                <m:naryPr>
                  <m:chr m:val="∑"/>
                  <m:limLoc m:val="undOvr"/>
                  <m:ctrlPr>
                    <w:rPr>
                      <w:rFonts w:ascii="Cambria Math" w:hAnsi="Cambria Math"/>
                      <w:i/>
                    </w:rPr>
                  </m:ctrlPr>
                </m:naryPr>
                <m:sub>
                  <m:r>
                    <w:rPr>
                      <w:rFonts w:ascii="Cambria Math" w:hAnsi="Cambria Math"/>
                    </w:rPr>
                    <m:t>k=1</m:t>
                  </m:r>
                </m:sub>
                <m:sup>
                  <m:r>
                    <w:rPr>
                      <w:rFonts w:ascii="Cambria Math" w:hAnsi="Cambria Math"/>
                    </w:rPr>
                    <m:t>5</m:t>
                  </m:r>
                </m:sup>
                <m:e>
                  <m:f>
                    <m:fPr>
                      <m:ctrlPr>
                        <w:rPr>
                          <w:rFonts w:ascii="Cambria Math" w:hAnsi="Arial" w:cs="Arial"/>
                          <w:i/>
                        </w:rPr>
                      </m:ctrlPr>
                    </m:fPr>
                    <m:num>
                      <m:sSub>
                        <m:sSubPr>
                          <m:ctrlPr>
                            <w:rPr>
                              <w:rFonts w:ascii="Cambria Math" w:hAnsi="Arial" w:cs="Arial"/>
                              <w:i/>
                            </w:rPr>
                          </m:ctrlPr>
                        </m:sSubPr>
                        <m:e>
                          <m:r>
                            <w:rPr>
                              <w:rFonts w:ascii="Cambria Math" w:hAnsi="Arial" w:cs="Arial"/>
                            </w:rPr>
                            <m:t>INVnu</m:t>
                          </m:r>
                        </m:e>
                        <m:sub>
                          <m:r>
                            <w:rPr>
                              <w:rFonts w:ascii="Cambria Math" w:hAnsi="Arial" w:cs="Arial"/>
                            </w:rPr>
                            <m:t>k</m:t>
                          </m:r>
                        </m:sub>
                      </m:sSub>
                    </m:num>
                    <m:den>
                      <m:sSup>
                        <m:sSupPr>
                          <m:ctrlPr>
                            <w:rPr>
                              <w:rFonts w:ascii="Cambria Math" w:hAnsi="Arial" w:cs="Arial"/>
                              <w:i/>
                            </w:rPr>
                          </m:ctrlPr>
                        </m:sSupPr>
                        <m:e>
                          <m:r>
                            <w:rPr>
                              <w:rFonts w:ascii="Cambria Math" w:hAnsi="Arial" w:cs="Arial"/>
                            </w:rPr>
                            <m:t>(1+r)</m:t>
                          </m:r>
                        </m:e>
                        <m:sup>
                          <m:r>
                            <w:rPr>
                              <w:rFonts w:ascii="Cambria Math" w:hAnsi="Arial" w:cs="Arial"/>
                            </w:rPr>
                            <m:t>k</m:t>
                          </m:r>
                        </m:sup>
                      </m:sSup>
                    </m:den>
                  </m:f>
                </m:e>
              </m:nary>
            </m:num>
            <m:den>
              <m:sSub>
                <m:sSubPr>
                  <m:ctrlPr>
                    <w:rPr>
                      <w:rFonts w:ascii="Cambria Math" w:hAnsi="Cambria Math"/>
                      <w:i/>
                    </w:rPr>
                  </m:ctrlPr>
                </m:sSubPr>
                <m:e>
                  <m:r>
                    <w:rPr>
                      <w:rFonts w:ascii="Cambria Math" w:hAnsi="Cambria Math"/>
                    </w:rPr>
                    <m:t>CPOR</m:t>
                  </m:r>
                </m:e>
                <m:sub>
                  <m:r>
                    <w:rPr>
                      <w:rFonts w:ascii="Cambria Math" w:hAnsi="Cambria Math"/>
                    </w:rPr>
                    <m:t>j</m:t>
                  </m:r>
                </m:sub>
              </m:sSub>
            </m:den>
          </m:f>
        </m:oMath>
      </m:oMathPara>
    </w:p>
    <w:p w:rsidR="008E6072" w:rsidRPr="00B16E46" w:rsidRDefault="008E6072" w:rsidP="008E6072">
      <w:pPr>
        <w:jc w:val="both"/>
        <w:rPr>
          <w:rFonts w:ascii="Bookman Old Style" w:hAnsi="Bookman Old Style"/>
          <w:i/>
        </w:rPr>
      </w:pPr>
    </w:p>
    <w:p w:rsidR="008E6072" w:rsidRPr="00B16E46" w:rsidRDefault="000B2957" w:rsidP="008E6072">
      <w:pPr>
        <w:jc w:val="center"/>
        <w:rPr>
          <w:rFonts w:ascii="Bookman Old Style" w:hAnsi="Bookman Old Style"/>
          <w:i/>
        </w:rPr>
      </w:pPr>
      <m:oMathPara>
        <m:oMath>
          <m:sSub>
            <m:sSubPr>
              <m:ctrlPr>
                <w:rPr>
                  <w:rFonts w:ascii="Cambria Math" w:hAnsi="Cambria Math"/>
                  <w:i/>
                </w:rPr>
              </m:ctrlPr>
            </m:sSubPr>
            <m:e>
              <m:r>
                <w:rPr>
                  <w:rFonts w:ascii="Cambria Math" w:hAnsi="Cambria Math"/>
                </w:rPr>
                <m:t>PPaom</m:t>
              </m:r>
            </m:e>
            <m:sub>
              <m:r>
                <w:rPr>
                  <w:rFonts w:ascii="Cambria Math" w:hAnsi="Cambria Math"/>
                </w:rPr>
                <m:t>j</m:t>
              </m:r>
            </m:sub>
          </m:sSub>
          <m:r>
            <w:rPr>
              <w:rFonts w:ascii="Cambria Math" w:hAnsi="Cambria Math"/>
            </w:rPr>
            <m:t>=</m:t>
          </m:r>
          <m:f>
            <m:fPr>
              <m:ctrlPr>
                <w:rPr>
                  <w:rFonts w:ascii="Cambria Math" w:hAnsi="Cambria Math"/>
                  <w:i/>
                </w:rPr>
              </m:ctrlPr>
            </m:fPr>
            <m:num>
              <m:nary>
                <m:naryPr>
                  <m:chr m:val="∑"/>
                  <m:limLoc m:val="undOvr"/>
                  <m:ctrlPr>
                    <w:rPr>
                      <w:rFonts w:ascii="Cambria Math" w:hAnsi="Cambria Math"/>
                      <w:i/>
                    </w:rPr>
                  </m:ctrlPr>
                </m:naryPr>
                <m:sub>
                  <m:r>
                    <w:rPr>
                      <w:rFonts w:ascii="Cambria Math" w:hAnsi="Cambria Math"/>
                    </w:rPr>
                    <m:t>k=1</m:t>
                  </m:r>
                </m:sub>
                <m:sup>
                  <m:r>
                    <w:rPr>
                      <w:rFonts w:ascii="Cambria Math" w:hAnsi="Cambria Math"/>
                    </w:rPr>
                    <m:t>5</m:t>
                  </m:r>
                </m:sup>
                <m:e>
                  <m:f>
                    <m:fPr>
                      <m:ctrlPr>
                        <w:rPr>
                          <w:rFonts w:ascii="Cambria Math" w:hAnsi="Arial" w:cs="Arial"/>
                          <w:i/>
                        </w:rPr>
                      </m:ctrlPr>
                    </m:fPr>
                    <m:num>
                      <m:sSub>
                        <m:sSubPr>
                          <m:ctrlPr>
                            <w:rPr>
                              <w:rFonts w:ascii="Cambria Math" w:hAnsi="Arial" w:cs="Arial"/>
                              <w:i/>
                            </w:rPr>
                          </m:ctrlPr>
                        </m:sSubPr>
                        <m:e>
                          <m:r>
                            <w:rPr>
                              <w:rFonts w:ascii="Cambria Math" w:hAnsi="Arial" w:cs="Arial"/>
                            </w:rPr>
                            <m:t>AOM</m:t>
                          </m:r>
                        </m:e>
                        <m:sub>
                          <m:r>
                            <w:rPr>
                              <w:rFonts w:ascii="Cambria Math" w:hAnsi="Arial" w:cs="Arial"/>
                            </w:rPr>
                            <m:t>k</m:t>
                          </m:r>
                        </m:sub>
                      </m:sSub>
                    </m:num>
                    <m:den>
                      <m:sSup>
                        <m:sSupPr>
                          <m:ctrlPr>
                            <w:rPr>
                              <w:rFonts w:ascii="Cambria Math" w:hAnsi="Arial" w:cs="Arial"/>
                              <w:i/>
                            </w:rPr>
                          </m:ctrlPr>
                        </m:sSupPr>
                        <m:e>
                          <m:r>
                            <w:rPr>
                              <w:rFonts w:ascii="Cambria Math" w:hAnsi="Arial" w:cs="Arial"/>
                            </w:rPr>
                            <m:t>(1+r)</m:t>
                          </m:r>
                        </m:e>
                        <m:sup>
                          <m:r>
                            <w:rPr>
                              <w:rFonts w:ascii="Cambria Math" w:hAnsi="Arial" w:cs="Arial"/>
                            </w:rPr>
                            <m:t>k</m:t>
                          </m:r>
                        </m:sup>
                      </m:sSup>
                    </m:den>
                  </m:f>
                </m:e>
              </m:nary>
            </m:num>
            <m:den>
              <m:sSub>
                <m:sSubPr>
                  <m:ctrlPr>
                    <w:rPr>
                      <w:rFonts w:ascii="Cambria Math" w:hAnsi="Cambria Math"/>
                      <w:i/>
                    </w:rPr>
                  </m:ctrlPr>
                </m:sSubPr>
                <m:e>
                  <m:r>
                    <w:rPr>
                      <w:rFonts w:ascii="Cambria Math" w:hAnsi="Cambria Math"/>
                    </w:rPr>
                    <m:t>CPOR</m:t>
                  </m:r>
                </m:e>
                <m:sub>
                  <m:r>
                    <w:rPr>
                      <w:rFonts w:ascii="Cambria Math" w:hAnsi="Cambria Math"/>
                    </w:rPr>
                    <m:t>j</m:t>
                  </m:r>
                </m:sub>
              </m:sSub>
            </m:den>
          </m:f>
        </m:oMath>
      </m:oMathPara>
    </w:p>
    <w:p w:rsidR="008E6072" w:rsidRPr="00B16E46" w:rsidRDefault="008E6072" w:rsidP="008E6072">
      <w:pPr>
        <w:jc w:val="both"/>
        <w:rPr>
          <w:rFonts w:ascii="Bookman Old Style" w:hAnsi="Bookman Old Style"/>
          <w:i/>
        </w:rPr>
      </w:pPr>
    </w:p>
    <w:p w:rsidR="008E6072" w:rsidRPr="00B16E46" w:rsidRDefault="000B2957" w:rsidP="008E6072">
      <w:pPr>
        <w:jc w:val="center"/>
        <w:rPr>
          <w:rFonts w:ascii="Bookman Old Style" w:hAnsi="Bookman Old Style"/>
          <w:i/>
        </w:rPr>
      </w:pPr>
      <m:oMathPara>
        <m:oMathParaPr>
          <m:jc m:val="center"/>
        </m:oMathParaPr>
        <m:oMath>
          <m:sSub>
            <m:sSubPr>
              <m:ctrlPr>
                <w:rPr>
                  <w:rFonts w:ascii="Cambria Math" w:hAnsi="Cambria Math"/>
                  <w:i/>
                </w:rPr>
              </m:ctrlPr>
            </m:sSubPr>
            <m:e>
              <m:r>
                <w:rPr>
                  <w:rFonts w:ascii="Cambria Math" w:hAnsi="Cambria Math"/>
                </w:rPr>
                <m:t>AOMd</m:t>
              </m:r>
            </m:e>
            <m:sub>
              <m:r>
                <w:rPr>
                  <w:rFonts w:ascii="Cambria Math" w:hAnsi="Cambria Math"/>
                </w:rPr>
                <m:t>j</m:t>
              </m:r>
            </m:sub>
          </m:sSub>
          <m:r>
            <w:rPr>
              <w:rFonts w:ascii="Cambria Math" w:hAnsi="Cambria Math"/>
            </w:rPr>
            <m:t xml:space="preserve">= </m:t>
          </m:r>
          <m:f>
            <m:fPr>
              <m:ctrlPr>
                <w:rPr>
                  <w:rFonts w:ascii="Cambria Math" w:hAnsi="Cambria Math"/>
                  <w:i/>
                </w:rPr>
              </m:ctrlPr>
            </m:fPr>
            <m:num>
              <m:d>
                <m:dPr>
                  <m:begChr m:val="["/>
                  <m:endChr m:val="]"/>
                  <m:ctrlPr>
                    <w:rPr>
                      <w:rFonts w:ascii="Cambria Math" w:hAnsi="Cambria Math"/>
                      <w:i/>
                    </w:rPr>
                  </m:ctrlPr>
                </m:dPr>
                <m:e>
                  <m:nary>
                    <m:naryPr>
                      <m:chr m:val="∑"/>
                      <m:limLoc m:val="undOvr"/>
                      <m:ctrlPr>
                        <w:rPr>
                          <w:rFonts w:ascii="Cambria Math" w:hAnsi="Cambria Math"/>
                          <w:i/>
                        </w:rPr>
                      </m:ctrlPr>
                    </m:naryPr>
                    <m:sub>
                      <m:r>
                        <w:rPr>
                          <w:rFonts w:ascii="Cambria Math" w:hAnsi="Cambria Math"/>
                        </w:rPr>
                        <m:t>k=1</m:t>
                      </m:r>
                    </m:sub>
                    <m:sup>
                      <m:r>
                        <w:rPr>
                          <w:rFonts w:ascii="Cambria Math" w:hAnsi="Cambria Math"/>
                        </w:rPr>
                        <m:t>K</m:t>
                      </m:r>
                    </m:sup>
                    <m:e>
                      <m:sSub>
                        <m:sSubPr>
                          <m:ctrlPr>
                            <w:rPr>
                              <w:rFonts w:ascii="Cambria Math" w:hAnsi="Arial" w:cs="Arial"/>
                              <w:i/>
                            </w:rPr>
                          </m:ctrlPr>
                        </m:sSubPr>
                        <m:e>
                          <m:r>
                            <w:rPr>
                              <w:rFonts w:ascii="Cambria Math" w:hAnsi="Arial" w:cs="Arial"/>
                            </w:rPr>
                            <m:t>AOMP</m:t>
                          </m:r>
                        </m:e>
                        <m:sub>
                          <m:r>
                            <w:rPr>
                              <w:rFonts w:ascii="Cambria Math" w:hAnsi="Arial" w:cs="Arial"/>
                            </w:rPr>
                            <m:t>j,k</m:t>
                          </m:r>
                        </m:sub>
                      </m:sSub>
                    </m:e>
                  </m:nary>
                </m:e>
              </m:d>
            </m:num>
            <m:den>
              <m:r>
                <w:rPr>
                  <w:rFonts w:ascii="Cambria Math" w:hAnsi="Cambria Math"/>
                </w:rPr>
                <m:t>K</m:t>
              </m:r>
            </m:den>
          </m:f>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PAOM</m:t>
                  </m:r>
                </m:e>
                <m:sub>
                  <m:r>
                    <w:rPr>
                      <w:rFonts w:ascii="Cambria Math" w:hAnsi="Cambria Math"/>
                    </w:rPr>
                    <m:t>j,ref</m:t>
                  </m:r>
                </m:sub>
              </m:sSub>
            </m:num>
            <m:den>
              <m:sSub>
                <m:sSubPr>
                  <m:ctrlPr>
                    <w:rPr>
                      <w:rFonts w:ascii="Cambria Math" w:hAnsi="Cambria Math"/>
                      <w:i/>
                    </w:rPr>
                  </m:ctrlPr>
                </m:sSubPr>
                <m:e>
                  <m:r>
                    <w:rPr>
                      <w:rFonts w:ascii="Cambria Math" w:hAnsi="Cambria Math"/>
                    </w:rPr>
                    <m:t>PAOMG</m:t>
                  </m:r>
                </m:e>
                <m:sub>
                  <m:r>
                    <w:rPr>
                      <w:rFonts w:ascii="Cambria Math" w:hAnsi="Cambria Math"/>
                    </w:rPr>
                    <m:t>j,04-07</m:t>
                  </m:r>
                </m:sub>
              </m:sSub>
            </m:den>
          </m:f>
        </m:oMath>
      </m:oMathPara>
    </w:p>
    <w:p w:rsidR="008E6072" w:rsidRPr="00B16E46" w:rsidRDefault="008E6072" w:rsidP="008E6072">
      <w:pPr>
        <w:jc w:val="both"/>
        <w:rPr>
          <w:rFonts w:ascii="Bookman Old Style" w:hAnsi="Bookman Old Style"/>
          <w:i/>
        </w:rPr>
      </w:pPr>
      <w:r w:rsidRPr="00B16E46">
        <w:rPr>
          <w:rFonts w:ascii="Bookman Old Style" w:hAnsi="Bookman Old Style"/>
          <w:i/>
        </w:rPr>
        <w:lastRenderedPageBreak/>
        <w:t>Donde:</w:t>
      </w:r>
    </w:p>
    <w:p w:rsidR="008E6072" w:rsidRPr="00B16E46" w:rsidRDefault="008E6072" w:rsidP="008E6072">
      <w:pPr>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proofErr w:type="spellStart"/>
      <w:r w:rsidRPr="00B16E46">
        <w:rPr>
          <w:rFonts w:ascii="Bookman Old Style" w:hAnsi="Bookman Old Style"/>
          <w:i/>
        </w:rPr>
        <w:t>CTP</w:t>
      </w:r>
      <w:r w:rsidRPr="00B16E46">
        <w:rPr>
          <w:rFonts w:ascii="Bookman Old Style" w:hAnsi="Bookman Old Style"/>
          <w:i/>
          <w:vertAlign w:val="subscript"/>
        </w:rPr>
        <w:t>j</w:t>
      </w:r>
      <w:proofErr w:type="spellEnd"/>
      <w:r w:rsidRPr="00B16E46">
        <w:rPr>
          <w:rFonts w:ascii="Bookman Old Style" w:hAnsi="Bookman Old Style"/>
          <w:i/>
        </w:rPr>
        <w:t>:</w:t>
      </w:r>
      <w:r w:rsidRPr="00B16E46">
        <w:rPr>
          <w:rFonts w:ascii="Bookman Old Style" w:hAnsi="Bookman Old Style"/>
          <w:i/>
        </w:rPr>
        <w:tab/>
        <w:t xml:space="preserve">Costo total del Plan para el OR j, en pesos de diciembre de 2010, calculado de acuerdo con lo establecido en el numeral </w:t>
      </w:r>
      <w:r w:rsidR="00B16E46">
        <w:rPr>
          <w:rFonts w:ascii="Bookman Old Style" w:hAnsi="Bookman Old Style"/>
          <w:i/>
        </w:rPr>
        <w:t>2.2</w:t>
      </w:r>
      <w:r w:rsidRPr="00B16E46">
        <w:rPr>
          <w:rFonts w:ascii="Bookman Old Style" w:hAnsi="Bookman Old Style"/>
          <w:i/>
        </w:rPr>
        <w:t xml:space="preserve"> de este Anexo. </w:t>
      </w:r>
    </w:p>
    <w:p w:rsidR="008E6072" w:rsidRPr="00B16E46" w:rsidRDefault="008E6072" w:rsidP="008E6072">
      <w:pPr>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proofErr w:type="spellStart"/>
      <w:r w:rsidRPr="00B16E46">
        <w:rPr>
          <w:rFonts w:ascii="Bookman Old Style" w:hAnsi="Bookman Old Style"/>
          <w:i/>
        </w:rPr>
        <w:t>PPact_u</w:t>
      </w:r>
      <w:r w:rsidRPr="00B16E46">
        <w:rPr>
          <w:rFonts w:ascii="Bookman Old Style" w:hAnsi="Bookman Old Style"/>
          <w:i/>
          <w:vertAlign w:val="subscript"/>
        </w:rPr>
        <w:t>j</w:t>
      </w:r>
      <w:proofErr w:type="spellEnd"/>
      <w:r w:rsidRPr="00B16E46">
        <w:rPr>
          <w:rFonts w:ascii="Bookman Old Style" w:hAnsi="Bookman Old Style"/>
          <w:i/>
        </w:rPr>
        <w:t>:</w:t>
      </w:r>
      <w:r w:rsidRPr="00B16E46">
        <w:rPr>
          <w:rFonts w:ascii="Bookman Old Style" w:hAnsi="Bookman Old Style"/>
          <w:i/>
        </w:rPr>
        <w:tab/>
        <w:t>Participación de la inversión en activos clasificados como Activos de Uso de la actividad de distribución, utilizados para la ejecución del Plan, respecto del costo del Plan presentado por el OR.</w:t>
      </w:r>
    </w:p>
    <w:p w:rsidR="008E6072" w:rsidRPr="00B16E46" w:rsidRDefault="008E6072" w:rsidP="008E6072">
      <w:pPr>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proofErr w:type="spellStart"/>
      <w:r w:rsidRPr="00B16E46">
        <w:rPr>
          <w:rFonts w:ascii="Bookman Old Style" w:hAnsi="Bookman Old Style"/>
          <w:i/>
        </w:rPr>
        <w:t>PPact_nu</w:t>
      </w:r>
      <w:r w:rsidRPr="00B16E46">
        <w:rPr>
          <w:rFonts w:ascii="Bookman Old Style" w:hAnsi="Bookman Old Style"/>
          <w:i/>
          <w:vertAlign w:val="subscript"/>
        </w:rPr>
        <w:t>j</w:t>
      </w:r>
      <w:proofErr w:type="spellEnd"/>
      <w:r w:rsidRPr="00B16E46">
        <w:rPr>
          <w:rFonts w:ascii="Bookman Old Style" w:hAnsi="Bookman Old Style"/>
          <w:i/>
        </w:rPr>
        <w:t>:</w:t>
      </w:r>
      <w:r w:rsidRPr="00B16E46">
        <w:rPr>
          <w:rFonts w:ascii="Bookman Old Style" w:hAnsi="Bookman Old Style"/>
          <w:i/>
        </w:rPr>
        <w:tab/>
        <w:t>Participación de la inversión en activos que no son considerados Activos de Uso de la actividad de distribución, utilizados para la ejecución del Plan, respecto del costo del Plan presentado por el OR.</w:t>
      </w:r>
    </w:p>
    <w:p w:rsidR="008E6072" w:rsidRPr="00B16E46" w:rsidRDefault="008E6072" w:rsidP="008E6072">
      <w:pPr>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proofErr w:type="spellStart"/>
      <w:r w:rsidRPr="00B16E46">
        <w:rPr>
          <w:rFonts w:ascii="Bookman Old Style" w:hAnsi="Bookman Old Style"/>
          <w:i/>
        </w:rPr>
        <w:t>PPaom</w:t>
      </w:r>
      <w:r w:rsidRPr="00B16E46">
        <w:rPr>
          <w:rFonts w:ascii="Bookman Old Style" w:hAnsi="Bookman Old Style"/>
          <w:i/>
          <w:vertAlign w:val="subscript"/>
        </w:rPr>
        <w:t>j</w:t>
      </w:r>
      <w:proofErr w:type="spellEnd"/>
      <w:r w:rsidRPr="00B16E46">
        <w:rPr>
          <w:rFonts w:ascii="Bookman Old Style" w:hAnsi="Bookman Old Style"/>
          <w:i/>
        </w:rPr>
        <w:t>:</w:t>
      </w:r>
      <w:r w:rsidRPr="00B16E46">
        <w:rPr>
          <w:rFonts w:ascii="Bookman Old Style" w:hAnsi="Bookman Old Style"/>
          <w:i/>
        </w:rPr>
        <w:tab/>
        <w:t>Participación de los costos y gastos, utilizados para la ejecución del Plan, respecto del costo del Plan presentado por el OR.</w:t>
      </w:r>
    </w:p>
    <w:p w:rsidR="008E6072" w:rsidRPr="00B16E46" w:rsidRDefault="008E6072" w:rsidP="008E6072">
      <w:pPr>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proofErr w:type="spellStart"/>
      <w:r w:rsidRPr="00B16E46">
        <w:rPr>
          <w:rFonts w:ascii="Bookman Old Style" w:hAnsi="Bookman Old Style"/>
          <w:i/>
        </w:rPr>
        <w:t>INVu</w:t>
      </w:r>
      <w:r w:rsidRPr="00B16E46">
        <w:rPr>
          <w:rFonts w:ascii="Bookman Old Style" w:hAnsi="Bookman Old Style"/>
          <w:i/>
          <w:vertAlign w:val="subscript"/>
        </w:rPr>
        <w:t>k</w:t>
      </w:r>
      <w:proofErr w:type="spellEnd"/>
      <w:r w:rsidRPr="00B16E46">
        <w:rPr>
          <w:rFonts w:ascii="Bookman Old Style" w:hAnsi="Bookman Old Style"/>
          <w:i/>
        </w:rPr>
        <w:t>:</w:t>
      </w:r>
      <w:r w:rsidRPr="00B16E46">
        <w:rPr>
          <w:rFonts w:ascii="Bookman Old Style" w:hAnsi="Bookman Old Style"/>
          <w:i/>
        </w:rPr>
        <w:tab/>
        <w:t>Inversión en el año k en activos que son clasificados como activos de uso de la actividad de distribución, utilizados para la ejecución del Plan.</w:t>
      </w:r>
    </w:p>
    <w:p w:rsidR="008E6072" w:rsidRPr="00B16E46" w:rsidRDefault="008E6072" w:rsidP="008E6072">
      <w:pPr>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proofErr w:type="spellStart"/>
      <w:r w:rsidRPr="00B16E46">
        <w:rPr>
          <w:rFonts w:ascii="Bookman Old Style" w:hAnsi="Bookman Old Style"/>
          <w:i/>
        </w:rPr>
        <w:t>INVnu</w:t>
      </w:r>
      <w:r w:rsidRPr="00B16E46">
        <w:rPr>
          <w:rFonts w:ascii="Bookman Old Style" w:hAnsi="Bookman Old Style"/>
          <w:i/>
          <w:vertAlign w:val="subscript"/>
        </w:rPr>
        <w:t>k</w:t>
      </w:r>
      <w:proofErr w:type="spellEnd"/>
      <w:r w:rsidRPr="00B16E46">
        <w:rPr>
          <w:rFonts w:ascii="Bookman Old Style" w:hAnsi="Bookman Old Style"/>
          <w:i/>
        </w:rPr>
        <w:t>:</w:t>
      </w:r>
      <w:r w:rsidRPr="00B16E46">
        <w:rPr>
          <w:rFonts w:ascii="Bookman Old Style" w:hAnsi="Bookman Old Style"/>
          <w:i/>
        </w:rPr>
        <w:tab/>
        <w:t>Inversión en el año k en activos que no son clasificados como activos de uso de la actividad de distribución, utilizados para la ejecución del Plan.</w:t>
      </w:r>
      <w:r w:rsidRPr="00B16E46">
        <w:rPr>
          <w:rFonts w:ascii="Bookman Old Style" w:hAnsi="Bookman Old Style"/>
          <w:i/>
        </w:rPr>
        <w:tab/>
      </w:r>
    </w:p>
    <w:p w:rsidR="008E6072" w:rsidRPr="00B16E46" w:rsidRDefault="008E6072" w:rsidP="008E6072">
      <w:pPr>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proofErr w:type="spellStart"/>
      <w:r w:rsidRPr="00B16E46">
        <w:rPr>
          <w:rFonts w:ascii="Bookman Old Style" w:hAnsi="Bookman Old Style"/>
          <w:i/>
        </w:rPr>
        <w:t>AOM</w:t>
      </w:r>
      <w:r w:rsidRPr="00B16E46">
        <w:rPr>
          <w:rFonts w:ascii="Bookman Old Style" w:hAnsi="Bookman Old Style"/>
          <w:i/>
          <w:vertAlign w:val="subscript"/>
        </w:rPr>
        <w:t>k</w:t>
      </w:r>
      <w:proofErr w:type="spellEnd"/>
      <w:r w:rsidRPr="00B16E46">
        <w:rPr>
          <w:rFonts w:ascii="Bookman Old Style" w:hAnsi="Bookman Old Style"/>
          <w:i/>
        </w:rPr>
        <w:t>:</w:t>
      </w:r>
      <w:r w:rsidRPr="00B16E46">
        <w:rPr>
          <w:rFonts w:ascii="Bookman Old Style" w:hAnsi="Bookman Old Style"/>
          <w:i/>
        </w:rPr>
        <w:tab/>
        <w:t>Costos y gastos en el año k, utilizados para la ejecución del Plan.</w:t>
      </w:r>
    </w:p>
    <w:p w:rsidR="008E6072" w:rsidRPr="00B16E46" w:rsidRDefault="008E6072" w:rsidP="008E6072">
      <w:pPr>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proofErr w:type="spellStart"/>
      <w:r w:rsidRPr="00B16E46">
        <w:rPr>
          <w:rFonts w:ascii="Bookman Old Style" w:hAnsi="Bookman Old Style"/>
          <w:i/>
        </w:rPr>
        <w:t>CPOR</w:t>
      </w:r>
      <w:r w:rsidRPr="00B16E46">
        <w:rPr>
          <w:rFonts w:ascii="Bookman Old Style" w:hAnsi="Bookman Old Style"/>
          <w:i/>
          <w:vertAlign w:val="subscript"/>
        </w:rPr>
        <w:t>j</w:t>
      </w:r>
      <w:proofErr w:type="spellEnd"/>
      <w:r w:rsidRPr="00B16E46">
        <w:rPr>
          <w:rFonts w:ascii="Bookman Old Style" w:hAnsi="Bookman Old Style"/>
          <w:i/>
        </w:rPr>
        <w:t xml:space="preserve">: </w:t>
      </w:r>
      <w:r w:rsidRPr="00B16E46">
        <w:rPr>
          <w:rFonts w:ascii="Bookman Old Style" w:hAnsi="Bookman Old Style"/>
          <w:i/>
        </w:rPr>
        <w:tab/>
        <w:t>Valor presente del costo total del Plan, en pesos de diciembre de 2010, presentado por el OR j para su aprobación. Calculado con la Tasa de Retorno del 13,0 %.</w:t>
      </w:r>
    </w:p>
    <w:p w:rsidR="008E6072" w:rsidRPr="00B16E46" w:rsidRDefault="008E6072" w:rsidP="008E6072">
      <w:pPr>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proofErr w:type="gramStart"/>
      <w:r w:rsidRPr="00B16E46">
        <w:rPr>
          <w:rFonts w:ascii="Bookman Old Style" w:hAnsi="Bookman Old Style"/>
          <w:i/>
        </w:rPr>
        <w:t>r</w:t>
      </w:r>
      <w:proofErr w:type="gramEnd"/>
      <w:r w:rsidRPr="00B16E46">
        <w:rPr>
          <w:rFonts w:ascii="Bookman Old Style" w:hAnsi="Bookman Old Style"/>
          <w:i/>
        </w:rPr>
        <w:t>:</w:t>
      </w:r>
      <w:r w:rsidRPr="00B16E46">
        <w:rPr>
          <w:rFonts w:ascii="Bookman Old Style" w:hAnsi="Bookman Old Style"/>
          <w:i/>
        </w:rPr>
        <w:tab/>
        <w:t xml:space="preserve">Tasa de Retorno para la remuneración con la Metodología de Ingreso Regulado utilizada en la Resolución CREG 097 de 2008. Es igual a 13,0 %. </w:t>
      </w:r>
    </w:p>
    <w:p w:rsidR="008E6072" w:rsidRPr="00B16E46" w:rsidRDefault="008E6072" w:rsidP="008E6072">
      <w:pPr>
        <w:tabs>
          <w:tab w:val="left" w:pos="993"/>
        </w:tabs>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proofErr w:type="spellStart"/>
      <w:r w:rsidRPr="00B16E46">
        <w:rPr>
          <w:rFonts w:ascii="Bookman Old Style" w:hAnsi="Bookman Old Style"/>
          <w:i/>
        </w:rPr>
        <w:t>AOMd</w:t>
      </w:r>
      <w:r w:rsidRPr="00B16E46">
        <w:rPr>
          <w:rFonts w:ascii="Bookman Old Style" w:hAnsi="Bookman Old Style"/>
          <w:i/>
          <w:vertAlign w:val="subscript"/>
        </w:rPr>
        <w:t>j</w:t>
      </w:r>
      <w:proofErr w:type="spellEnd"/>
      <w:r w:rsidRPr="00B16E46">
        <w:rPr>
          <w:rFonts w:ascii="Bookman Old Style" w:hAnsi="Bookman Old Style"/>
          <w:i/>
        </w:rPr>
        <w:t>:</w:t>
      </w:r>
      <w:r w:rsidRPr="00B16E46">
        <w:rPr>
          <w:rFonts w:ascii="Bookman Old Style" w:hAnsi="Bookman Old Style"/>
          <w:i/>
        </w:rPr>
        <w:tab/>
        <w:t>Promedio anual de costos y gastos asociados con la recuperación de pérdidas de energía reconocidos en el AOM de la actividad de distribución de energía eléctrica según lo establecido en la Resolución CREG 097 de 2008.</w:t>
      </w:r>
    </w:p>
    <w:p w:rsidR="008E6072" w:rsidRPr="00B16E46" w:rsidRDefault="008E6072" w:rsidP="008E6072">
      <w:pPr>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r w:rsidRPr="00B16E46">
        <w:rPr>
          <w:rFonts w:ascii="Bookman Old Style" w:hAnsi="Bookman Old Style"/>
          <w:i/>
        </w:rPr>
        <w:t>PAOMG</w:t>
      </w:r>
      <w:r w:rsidRPr="00B16E46">
        <w:rPr>
          <w:rFonts w:ascii="Bookman Old Style" w:hAnsi="Bookman Old Style"/>
          <w:i/>
          <w:vertAlign w:val="subscript"/>
        </w:rPr>
        <w:t>j</w:t>
      </w:r>
      <w:proofErr w:type="gramStart"/>
      <w:r w:rsidRPr="00B16E46">
        <w:rPr>
          <w:rFonts w:ascii="Bookman Old Style" w:hAnsi="Bookman Old Style"/>
          <w:i/>
          <w:vertAlign w:val="subscript"/>
        </w:rPr>
        <w:t>,04</w:t>
      </w:r>
      <w:proofErr w:type="gramEnd"/>
      <w:r w:rsidRPr="00B16E46">
        <w:rPr>
          <w:rFonts w:ascii="Bookman Old Style" w:hAnsi="Bookman Old Style"/>
          <w:i/>
          <w:vertAlign w:val="subscript"/>
        </w:rPr>
        <w:t>-07</w:t>
      </w:r>
      <w:r w:rsidRPr="00B16E46">
        <w:rPr>
          <w:rFonts w:ascii="Bookman Old Style" w:hAnsi="Bookman Old Style"/>
          <w:i/>
        </w:rPr>
        <w:t>:</w:t>
      </w:r>
      <w:r w:rsidRPr="00B16E46">
        <w:rPr>
          <w:rFonts w:ascii="Bookman Old Style" w:hAnsi="Bookman Old Style"/>
          <w:i/>
        </w:rPr>
        <w:tab/>
        <w:t xml:space="preserve">Porcentaje de AOM gastado por el OR j, en el periodo 2004-2007. Valor utilizado en la aprobación de cargos por uso de acuerdo con la Resolución CREG 097 de 2008. </w:t>
      </w:r>
    </w:p>
    <w:p w:rsidR="008E6072" w:rsidRPr="00B16E46" w:rsidRDefault="008E6072" w:rsidP="008E6072">
      <w:pPr>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proofErr w:type="spellStart"/>
      <w:r w:rsidRPr="00B16E46">
        <w:rPr>
          <w:rFonts w:ascii="Bookman Old Style" w:hAnsi="Bookman Old Style"/>
          <w:i/>
        </w:rPr>
        <w:t>PAOM</w:t>
      </w:r>
      <w:r w:rsidRPr="00B16E46">
        <w:rPr>
          <w:rFonts w:ascii="Bookman Old Style" w:hAnsi="Bookman Old Style"/>
          <w:i/>
          <w:vertAlign w:val="subscript"/>
        </w:rPr>
        <w:t>j</w:t>
      </w:r>
      <w:proofErr w:type="gramStart"/>
      <w:r w:rsidRPr="00B16E46">
        <w:rPr>
          <w:rFonts w:ascii="Bookman Old Style" w:hAnsi="Bookman Old Style"/>
          <w:i/>
          <w:vertAlign w:val="subscript"/>
        </w:rPr>
        <w:t>,ref</w:t>
      </w:r>
      <w:proofErr w:type="spellEnd"/>
      <w:proofErr w:type="gramEnd"/>
      <w:r w:rsidRPr="00B16E46">
        <w:rPr>
          <w:rFonts w:ascii="Bookman Old Style" w:hAnsi="Bookman Old Style"/>
          <w:i/>
        </w:rPr>
        <w:t>:</w:t>
      </w:r>
      <w:r w:rsidRPr="00B16E46">
        <w:rPr>
          <w:rFonts w:ascii="Bookman Old Style" w:hAnsi="Bookman Old Style"/>
          <w:i/>
        </w:rPr>
        <w:tab/>
        <w:t>Porcentaje de AOM de referencia para el OR j. Valor utilizado en la aprobación de cargos por uso de acuerdo con la Resolución CREG 097 de 2008</w:t>
      </w:r>
      <w:r w:rsidR="00B16E46">
        <w:rPr>
          <w:rFonts w:ascii="Bookman Old Style" w:hAnsi="Bookman Old Style"/>
          <w:i/>
        </w:rPr>
        <w:t>.</w:t>
      </w:r>
    </w:p>
    <w:p w:rsidR="008E6072" w:rsidRPr="00B16E46" w:rsidRDefault="008E6072" w:rsidP="008E6072">
      <w:pPr>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proofErr w:type="spellStart"/>
      <w:r w:rsidRPr="00B16E46">
        <w:rPr>
          <w:rFonts w:ascii="Bookman Old Style" w:hAnsi="Bookman Old Style"/>
          <w:i/>
        </w:rPr>
        <w:t>AOMP</w:t>
      </w:r>
      <w:r w:rsidRPr="00B16E46">
        <w:rPr>
          <w:rFonts w:ascii="Bookman Old Style" w:hAnsi="Bookman Old Style"/>
          <w:i/>
          <w:vertAlign w:val="subscript"/>
        </w:rPr>
        <w:t>j</w:t>
      </w:r>
      <w:proofErr w:type="gramStart"/>
      <w:r w:rsidRPr="00B16E46">
        <w:rPr>
          <w:rFonts w:ascii="Bookman Old Style" w:hAnsi="Bookman Old Style"/>
          <w:i/>
          <w:vertAlign w:val="subscript"/>
        </w:rPr>
        <w:t>,k</w:t>
      </w:r>
      <w:proofErr w:type="spellEnd"/>
      <w:proofErr w:type="gramEnd"/>
      <w:r w:rsidRPr="00B16E46">
        <w:rPr>
          <w:rFonts w:ascii="Bookman Old Style" w:hAnsi="Bookman Old Style"/>
          <w:i/>
        </w:rPr>
        <w:t>:</w:t>
      </w:r>
      <w:r w:rsidRPr="00B16E46">
        <w:rPr>
          <w:rFonts w:ascii="Bookman Old Style" w:hAnsi="Bookman Old Style"/>
          <w:i/>
        </w:rPr>
        <w:tab/>
        <w:t xml:space="preserve">Gastos del OR j en Planes de reducción de pérdidas de energía, durante los años k (de 2004 al 2007), donde k es el número de años con información reportada. Esta información corresponde a la entregada por los OR en respuesta a la Circular CREG 019 de 2010, en pesos de diciembre de 2010.  </w:t>
      </w:r>
    </w:p>
    <w:p w:rsidR="008E6072" w:rsidRPr="00B16E46" w:rsidRDefault="008E6072" w:rsidP="00B16E46">
      <w:pPr>
        <w:ind w:left="2127" w:hanging="1560"/>
        <w:jc w:val="both"/>
        <w:rPr>
          <w:rFonts w:ascii="Bookman Old Style" w:hAnsi="Bookman Old Style"/>
          <w:i/>
        </w:rPr>
      </w:pPr>
    </w:p>
    <w:p w:rsidR="008E6072" w:rsidRPr="00B16E46" w:rsidRDefault="008E6072" w:rsidP="00B16E46">
      <w:pPr>
        <w:ind w:left="2127" w:hanging="3"/>
        <w:jc w:val="both"/>
        <w:rPr>
          <w:rFonts w:ascii="Bookman Old Style" w:hAnsi="Bookman Old Style"/>
          <w:i/>
        </w:rPr>
      </w:pPr>
      <w:r w:rsidRPr="00B16E46">
        <w:rPr>
          <w:rFonts w:ascii="Bookman Old Style" w:hAnsi="Bookman Old Style"/>
          <w:i/>
        </w:rPr>
        <w:t>En el caso de que un OR no haya reportado información en respuesta a esta Circular, esta variable se calculará de la siguiente manera:</w:t>
      </w:r>
    </w:p>
    <w:p w:rsidR="008E6072" w:rsidRPr="00B16E46" w:rsidRDefault="008E6072" w:rsidP="008E6072">
      <w:pPr>
        <w:jc w:val="both"/>
        <w:rPr>
          <w:rFonts w:ascii="Bookman Old Style" w:hAnsi="Bookman Old Style"/>
          <w:i/>
        </w:rPr>
      </w:pPr>
    </w:p>
    <w:p w:rsidR="008E6072" w:rsidRPr="00B16E46" w:rsidRDefault="000B2957" w:rsidP="008E6072">
      <w:pPr>
        <w:jc w:val="center"/>
        <w:rPr>
          <w:rFonts w:ascii="Bookman Old Style" w:hAnsi="Bookman Old Style"/>
          <w:i/>
        </w:rPr>
      </w:pPr>
      <m:oMathPara>
        <m:oMath>
          <m:sSub>
            <m:sSubPr>
              <m:ctrlPr>
                <w:rPr>
                  <w:rFonts w:ascii="Cambria Math" w:hAnsi="Cambria Math"/>
                  <w:i/>
                </w:rPr>
              </m:ctrlPr>
            </m:sSubPr>
            <m:e>
              <m:r>
                <w:rPr>
                  <w:rFonts w:ascii="Cambria Math" w:hAnsi="Cambria Math"/>
                </w:rPr>
                <m:t>AOMP</m:t>
              </m:r>
            </m:e>
            <m:sub>
              <m:r>
                <w:rPr>
                  <w:rFonts w:ascii="Cambria Math" w:hAnsi="Cambria Math"/>
                </w:rPr>
                <m:t>j,k</m:t>
              </m:r>
            </m:sub>
          </m:sSub>
          <m:r>
            <w:rPr>
              <w:rFonts w:ascii="Cambria Math" w:hAnsi="Cambria Math"/>
            </w:rPr>
            <m:t>=PA*</m:t>
          </m:r>
          <m:sSub>
            <m:sSubPr>
              <m:ctrlPr>
                <w:rPr>
                  <w:rFonts w:ascii="Cambria Math" w:hAnsi="Cambria Math"/>
                  <w:i/>
                </w:rPr>
              </m:ctrlPr>
            </m:sSubPr>
            <m:e>
              <m:r>
                <w:rPr>
                  <w:rFonts w:ascii="Cambria Math" w:hAnsi="Cambria Math"/>
                </w:rPr>
                <m:t>AOMG</m:t>
              </m:r>
              <m:r>
                <w:rPr>
                  <w:rFonts w:ascii="Cambria Math" w:hAnsi="Cambria Math"/>
                  <w:vertAlign w:val="subscript"/>
                </w:rPr>
                <m:t xml:space="preserve"> </m:t>
              </m:r>
            </m:e>
            <m:sub>
              <m:r>
                <w:rPr>
                  <w:rFonts w:ascii="Cambria Math" w:hAnsi="Cambria Math"/>
                </w:rPr>
                <m:t>j,04-07</m:t>
              </m:r>
            </m:sub>
          </m:sSub>
        </m:oMath>
      </m:oMathPara>
    </w:p>
    <w:p w:rsidR="008E6072" w:rsidRPr="00B16E46" w:rsidRDefault="008E6072" w:rsidP="008E6072">
      <w:pPr>
        <w:jc w:val="both"/>
        <w:rPr>
          <w:rFonts w:ascii="Bookman Old Style" w:hAnsi="Bookman Old Style"/>
          <w:i/>
        </w:rPr>
      </w:pPr>
    </w:p>
    <w:p w:rsidR="008E6072" w:rsidRPr="00B16E46" w:rsidRDefault="00B16E46" w:rsidP="008E6072">
      <w:pPr>
        <w:jc w:val="center"/>
        <w:rPr>
          <w:rFonts w:ascii="Bookman Old Style" w:hAnsi="Bookman Old Style"/>
          <w:i/>
        </w:rPr>
      </w:pPr>
      <m:oMathPara>
        <m:oMath>
          <m:r>
            <w:rPr>
              <w:rFonts w:ascii="Cambria Math" w:hAnsi="Cambria Math"/>
            </w:rPr>
            <m:t>PA=Percentil 75⁡</m:t>
          </m:r>
          <m:d>
            <m:dPr>
              <m:begChr m:val="{"/>
              <m:endChr m:val="}"/>
              <m:ctrlPr>
                <w:rPr>
                  <w:rFonts w:ascii="Cambria Math" w:hAnsi="Cambria Math"/>
                  <w:i/>
                </w:rPr>
              </m:ctrlPr>
            </m:dPr>
            <m:e>
              <m:f>
                <m:fPr>
                  <m:ctrlPr>
                    <w:rPr>
                      <w:rFonts w:ascii="Cambria Math" w:hAnsi="Cambria Math"/>
                      <w:i/>
                    </w:rPr>
                  </m:ctrlPr>
                </m:fPr>
                <m:num>
                  <m:nary>
                    <m:naryPr>
                      <m:chr m:val="∑"/>
                      <m:limLoc m:val="undOvr"/>
                      <m:ctrlPr>
                        <w:rPr>
                          <w:rFonts w:ascii="Cambria Math" w:hAnsi="Cambria Math"/>
                          <w:i/>
                        </w:rPr>
                      </m:ctrlPr>
                    </m:naryPr>
                    <m:sub>
                      <m:r>
                        <w:rPr>
                          <w:rFonts w:ascii="Cambria Math" w:hAnsi="Cambria Math"/>
                        </w:rPr>
                        <m:t>k=1</m:t>
                      </m:r>
                    </m:sub>
                    <m:sup>
                      <m:r>
                        <w:rPr>
                          <w:rFonts w:ascii="Cambria Math" w:hAnsi="Cambria Math"/>
                        </w:rPr>
                        <m:t>K</m:t>
                      </m:r>
                    </m:sup>
                    <m:e>
                      <m:sSub>
                        <m:sSubPr>
                          <m:ctrlPr>
                            <w:rPr>
                              <w:rFonts w:ascii="Cambria Math" w:hAnsi="Arial" w:cs="Arial"/>
                              <w:i/>
                            </w:rPr>
                          </m:ctrlPr>
                        </m:sSubPr>
                        <m:e>
                          <m:r>
                            <w:rPr>
                              <w:rFonts w:ascii="Cambria Math" w:hAnsi="Arial" w:cs="Arial"/>
                            </w:rPr>
                            <m:t>AOMP</m:t>
                          </m:r>
                        </m:e>
                        <m:sub>
                          <m:r>
                            <w:rPr>
                              <w:rFonts w:ascii="Cambria Math" w:hAnsi="Arial" w:cs="Arial"/>
                            </w:rPr>
                            <m:t>j,k</m:t>
                          </m:r>
                        </m:sub>
                      </m:sSub>
                    </m:e>
                  </m:nary>
                </m:num>
                <m:den>
                  <m:sSub>
                    <m:sSubPr>
                      <m:ctrlPr>
                        <w:rPr>
                          <w:rFonts w:ascii="Cambria Math" w:hAnsi="Arial" w:cs="Arial"/>
                          <w:i/>
                        </w:rPr>
                      </m:ctrlPr>
                    </m:sSubPr>
                    <m:e>
                      <m:r>
                        <w:rPr>
                          <w:rFonts w:ascii="Cambria Math" w:hAnsi="Arial" w:cs="Arial"/>
                        </w:rPr>
                        <m:t>K</m:t>
                      </m:r>
                      <m:r>
                        <w:rPr>
                          <w:rFonts w:ascii="Cambria Math" w:hAnsi="Cambria Math" w:cs="Cambria Math"/>
                        </w:rPr>
                        <m:t>*</m:t>
                      </m:r>
                      <m:r>
                        <w:rPr>
                          <w:rFonts w:ascii="Cambria Math" w:hAnsi="Arial" w:cs="Arial"/>
                        </w:rPr>
                        <m:t>AOMG</m:t>
                      </m:r>
                    </m:e>
                    <m:sub>
                      <m:r>
                        <w:rPr>
                          <w:rFonts w:ascii="Cambria Math" w:hAnsi="Arial" w:cs="Arial"/>
                        </w:rPr>
                        <m:t>j,04</m:t>
                      </m:r>
                      <m:r>
                        <w:rPr>
                          <w:rFonts w:ascii="Cambria Math" w:hAnsi="Arial" w:cs="Arial"/>
                        </w:rPr>
                        <m:t>-</m:t>
                      </m:r>
                      <m:r>
                        <w:rPr>
                          <w:rFonts w:ascii="Cambria Math" w:hAnsi="Arial" w:cs="Arial"/>
                        </w:rPr>
                        <m:t>07</m:t>
                      </m:r>
                    </m:sub>
                  </m:sSub>
                </m:den>
              </m:f>
            </m:e>
          </m:d>
        </m:oMath>
      </m:oMathPara>
    </w:p>
    <w:p w:rsidR="008E6072" w:rsidRPr="00B16E46" w:rsidRDefault="008E6072" w:rsidP="008E6072">
      <w:pPr>
        <w:jc w:val="both"/>
        <w:rPr>
          <w:rFonts w:ascii="Bookman Old Style" w:hAnsi="Bookman Old Style"/>
          <w:i/>
        </w:rPr>
      </w:pPr>
    </w:p>
    <w:p w:rsidR="008E6072" w:rsidRPr="00B16E46" w:rsidRDefault="008E6072" w:rsidP="008E6072">
      <w:pPr>
        <w:jc w:val="both"/>
        <w:rPr>
          <w:rFonts w:ascii="Bookman Old Style" w:hAnsi="Bookman Old Style"/>
          <w:i/>
        </w:rPr>
      </w:pPr>
      <w:r w:rsidRPr="00B16E46">
        <w:rPr>
          <w:rFonts w:ascii="Bookman Old Style" w:hAnsi="Bookman Old Style"/>
          <w:i/>
        </w:rPr>
        <w:t>Donde:</w:t>
      </w:r>
    </w:p>
    <w:p w:rsidR="008E6072" w:rsidRPr="00B16E46" w:rsidRDefault="008E6072" w:rsidP="008E6072">
      <w:pPr>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r w:rsidRPr="00B16E46">
        <w:rPr>
          <w:rFonts w:ascii="Bookman Old Style" w:hAnsi="Bookman Old Style"/>
          <w:i/>
        </w:rPr>
        <w:t>PA:</w:t>
      </w:r>
      <w:r w:rsidRPr="00B16E46">
        <w:rPr>
          <w:rFonts w:ascii="Bookman Old Style" w:hAnsi="Bookman Old Style"/>
          <w:i/>
        </w:rPr>
        <w:tab/>
        <w:t>Máximo porcentaje de gastos en reducción de pérdidas respecto al AOM gastado durante el periodo 2004-2007, calculado para los Operadores de Red j que presentaron información en respuesta a la Circular CREG 019 de 2010.</w:t>
      </w:r>
    </w:p>
    <w:p w:rsidR="008E6072" w:rsidRPr="00B16E46" w:rsidRDefault="008E6072" w:rsidP="00B216EB">
      <w:pPr>
        <w:ind w:left="1985" w:hanging="1418"/>
        <w:jc w:val="both"/>
        <w:rPr>
          <w:rFonts w:ascii="Bookman Old Style" w:hAnsi="Bookman Old Style"/>
          <w:i/>
        </w:rPr>
      </w:pPr>
    </w:p>
    <w:p w:rsidR="008E6072" w:rsidRPr="00B16E46" w:rsidRDefault="008E6072" w:rsidP="00B16E46">
      <w:pPr>
        <w:ind w:left="2127" w:hanging="1560"/>
        <w:jc w:val="both"/>
        <w:rPr>
          <w:rFonts w:ascii="Bookman Old Style" w:hAnsi="Bookman Old Style"/>
          <w:i/>
        </w:rPr>
      </w:pPr>
      <w:r w:rsidRPr="00B16E46">
        <w:rPr>
          <w:rFonts w:ascii="Bookman Old Style" w:hAnsi="Bookman Old Style"/>
          <w:i/>
        </w:rPr>
        <w:t>AOMG</w:t>
      </w:r>
      <w:r w:rsidRPr="00B16E46">
        <w:rPr>
          <w:rFonts w:ascii="Bookman Old Style" w:hAnsi="Bookman Old Style"/>
          <w:i/>
          <w:vertAlign w:val="subscript"/>
        </w:rPr>
        <w:t>j</w:t>
      </w:r>
      <w:proofErr w:type="gramStart"/>
      <w:r w:rsidRPr="00B16E46">
        <w:rPr>
          <w:rFonts w:ascii="Bookman Old Style" w:hAnsi="Bookman Old Style"/>
          <w:i/>
          <w:vertAlign w:val="subscript"/>
        </w:rPr>
        <w:t>,04</w:t>
      </w:r>
      <w:proofErr w:type="gramEnd"/>
      <w:r w:rsidRPr="00B16E46">
        <w:rPr>
          <w:rFonts w:ascii="Bookman Old Style" w:hAnsi="Bookman Old Style"/>
          <w:i/>
          <w:vertAlign w:val="subscript"/>
        </w:rPr>
        <w:t>-07</w:t>
      </w:r>
      <w:r w:rsidRPr="00B16E46">
        <w:rPr>
          <w:rFonts w:ascii="Bookman Old Style" w:hAnsi="Bookman Old Style"/>
          <w:i/>
        </w:rPr>
        <w:t>:</w:t>
      </w:r>
      <w:r w:rsidR="00B16E46">
        <w:rPr>
          <w:rFonts w:ascii="Bookman Old Style" w:hAnsi="Bookman Old Style"/>
          <w:i/>
        </w:rPr>
        <w:tab/>
      </w:r>
      <w:r w:rsidRPr="00B16E46">
        <w:rPr>
          <w:rFonts w:ascii="Bookman Old Style" w:hAnsi="Bookman Old Style"/>
          <w:i/>
        </w:rPr>
        <w:t>AOM gastado por el OR j, que presentó información en respuesta a la Circular CREG 019 de 2010, en el periodo 2004-2007. Valor utilizado en la aprobación de cargos por uso de acuerdo con la Resolución CREG 097 de 2008.</w:t>
      </w:r>
    </w:p>
    <w:p w:rsidR="008E6072" w:rsidRDefault="008E6072" w:rsidP="00B216EB">
      <w:pPr>
        <w:ind w:left="1985" w:hanging="1418"/>
        <w:jc w:val="both"/>
        <w:rPr>
          <w:rFonts w:ascii="Bookman Old Style" w:hAnsi="Bookman Old Style"/>
        </w:rPr>
      </w:pPr>
    </w:p>
    <w:p w:rsidR="008E6072" w:rsidRDefault="008E6072" w:rsidP="000B4E51">
      <w:pPr>
        <w:ind w:left="0"/>
        <w:jc w:val="both"/>
        <w:rPr>
          <w:rFonts w:ascii="Bookman Old Style" w:hAnsi="Bookman Old Style"/>
          <w:b/>
        </w:rPr>
      </w:pPr>
    </w:p>
    <w:bookmarkEnd w:id="1"/>
    <w:p w:rsidR="00743283" w:rsidRDefault="00D150D2" w:rsidP="00743283">
      <w:pPr>
        <w:pStyle w:val="Artculo"/>
      </w:pPr>
      <w:r w:rsidRPr="00D150D2">
        <w:t>Modificar el</w:t>
      </w:r>
      <w:r w:rsidR="00743283" w:rsidRPr="003A7A27">
        <w:t xml:space="preserve"> </w:t>
      </w:r>
      <w:r w:rsidR="00743283">
        <w:t xml:space="preserve">numeral 2.3.2 del </w:t>
      </w:r>
      <w:r w:rsidR="00204D40">
        <w:t xml:space="preserve">Anexo </w:t>
      </w:r>
      <w:r w:rsidR="00743283">
        <w:t>2 de la Resolución CREG 172 de 2011</w:t>
      </w:r>
      <w:r>
        <w:t xml:space="preserve">, el cual </w:t>
      </w:r>
      <w:r w:rsidR="00743283" w:rsidRPr="003A7A27">
        <w:t>queda</w:t>
      </w:r>
      <w:r>
        <w:t xml:space="preserve">rá </w:t>
      </w:r>
      <w:r w:rsidR="00743283" w:rsidRPr="003A7A27">
        <w:t>así:</w:t>
      </w:r>
    </w:p>
    <w:p w:rsidR="00743283" w:rsidRDefault="00743283" w:rsidP="00743283">
      <w:pPr>
        <w:pStyle w:val="Artculo"/>
        <w:numPr>
          <w:ilvl w:val="0"/>
          <w:numId w:val="0"/>
        </w:numPr>
      </w:pPr>
    </w:p>
    <w:p w:rsidR="000B4E51" w:rsidRPr="00DB12A1" w:rsidRDefault="000B4E51" w:rsidP="00A04E7D">
      <w:pPr>
        <w:pStyle w:val="Ttulo3"/>
        <w:numPr>
          <w:ilvl w:val="2"/>
          <w:numId w:val="6"/>
        </w:numPr>
        <w:spacing w:before="240" w:after="360"/>
        <w:ind w:left="1276" w:hanging="850"/>
        <w:jc w:val="both"/>
        <w:rPr>
          <w:rFonts w:ascii="Bookman Old Style" w:hAnsi="Bookman Old Style"/>
          <w:i/>
          <w:szCs w:val="24"/>
        </w:rPr>
      </w:pPr>
      <w:bookmarkStart w:id="4" w:name="_Toc310577368"/>
      <w:bookmarkStart w:id="5" w:name="_Ref300150040"/>
      <w:bookmarkStart w:id="6" w:name="_Ref300150067"/>
      <w:r w:rsidRPr="00DB12A1">
        <w:rPr>
          <w:rFonts w:ascii="Bookman Old Style" w:hAnsi="Bookman Old Style"/>
          <w:i/>
          <w:szCs w:val="24"/>
        </w:rPr>
        <w:t xml:space="preserve">Variables del </w:t>
      </w:r>
      <w:r w:rsidR="0006350C" w:rsidRPr="00DB12A1">
        <w:rPr>
          <w:rFonts w:ascii="Bookman Old Style" w:hAnsi="Bookman Old Style"/>
          <w:i/>
          <w:szCs w:val="24"/>
        </w:rPr>
        <w:t xml:space="preserve">Modelo </w:t>
      </w:r>
      <w:r w:rsidRPr="00DB12A1">
        <w:rPr>
          <w:rFonts w:ascii="Bookman Old Style" w:hAnsi="Bookman Old Style"/>
          <w:i/>
          <w:szCs w:val="24"/>
        </w:rPr>
        <w:t xml:space="preserve">de </w:t>
      </w:r>
      <w:r w:rsidR="0006350C" w:rsidRPr="00DB12A1">
        <w:rPr>
          <w:rFonts w:ascii="Bookman Old Style" w:hAnsi="Bookman Old Style"/>
          <w:i/>
          <w:szCs w:val="24"/>
        </w:rPr>
        <w:t xml:space="preserve">Estimación </w:t>
      </w:r>
      <w:r w:rsidRPr="00DB12A1">
        <w:rPr>
          <w:rFonts w:ascii="Bookman Old Style" w:hAnsi="Bookman Old Style"/>
          <w:i/>
          <w:szCs w:val="24"/>
        </w:rPr>
        <w:t xml:space="preserve">del </w:t>
      </w:r>
      <w:r w:rsidR="0006350C" w:rsidRPr="00DB12A1">
        <w:rPr>
          <w:rFonts w:ascii="Bookman Old Style" w:hAnsi="Bookman Old Style"/>
          <w:i/>
          <w:szCs w:val="24"/>
        </w:rPr>
        <w:t xml:space="preserve">Costo Eficiente </w:t>
      </w:r>
      <w:r w:rsidRPr="00DB12A1">
        <w:rPr>
          <w:rFonts w:ascii="Bookman Old Style" w:hAnsi="Bookman Old Style"/>
          <w:i/>
          <w:szCs w:val="24"/>
        </w:rPr>
        <w:t>del Plan</w:t>
      </w:r>
      <w:bookmarkEnd w:id="4"/>
      <w:r w:rsidRPr="00DB12A1">
        <w:rPr>
          <w:rFonts w:ascii="Bookman Old Style" w:hAnsi="Bookman Old Style"/>
          <w:i/>
          <w:szCs w:val="24"/>
        </w:rPr>
        <w:t xml:space="preserve"> </w:t>
      </w:r>
      <w:bookmarkEnd w:id="5"/>
      <w:bookmarkEnd w:id="6"/>
    </w:p>
    <w:p w:rsidR="000B4E51" w:rsidRPr="00DB12A1" w:rsidRDefault="000B4E51" w:rsidP="00F373C5">
      <w:pPr>
        <w:ind w:left="709" w:hanging="283"/>
        <w:jc w:val="both"/>
        <w:rPr>
          <w:rFonts w:ascii="Bookman Old Style" w:hAnsi="Bookman Old Style"/>
          <w:i/>
        </w:rPr>
      </w:pPr>
      <w:r w:rsidRPr="00DB12A1">
        <w:rPr>
          <w:rFonts w:ascii="Bookman Old Style" w:hAnsi="Bookman Old Style"/>
          <w:i/>
        </w:rPr>
        <w:t xml:space="preserve">Para definir la variable CPCE se utilizará la siguiente información: </w:t>
      </w:r>
    </w:p>
    <w:p w:rsidR="000B4E51" w:rsidRPr="00DB12A1" w:rsidRDefault="000B4E51" w:rsidP="00F373C5">
      <w:pPr>
        <w:ind w:left="709" w:hanging="283"/>
        <w:jc w:val="both"/>
        <w:rPr>
          <w:rFonts w:ascii="Bookman Old Style" w:hAnsi="Bookman Old Style"/>
          <w:i/>
        </w:rPr>
      </w:pPr>
    </w:p>
    <w:p w:rsidR="000B4E51" w:rsidRPr="00DB12A1" w:rsidRDefault="000B4E51" w:rsidP="00A04E7D">
      <w:pPr>
        <w:pStyle w:val="Prrafodelista"/>
        <w:numPr>
          <w:ilvl w:val="0"/>
          <w:numId w:val="4"/>
        </w:numPr>
        <w:ind w:left="709" w:hanging="283"/>
        <w:jc w:val="both"/>
        <w:rPr>
          <w:rFonts w:ascii="Bookman Old Style" w:hAnsi="Bookman Old Style"/>
          <w:i/>
          <w:sz w:val="24"/>
          <w:szCs w:val="24"/>
        </w:rPr>
      </w:pPr>
      <w:r w:rsidRPr="00DB12A1">
        <w:rPr>
          <w:rFonts w:ascii="Bookman Old Style" w:hAnsi="Bookman Old Style"/>
          <w:i/>
          <w:sz w:val="24"/>
          <w:szCs w:val="24"/>
        </w:rPr>
        <w:t xml:space="preserve">Tasa de descuento: Tasa de retorno para la remuneración con la Metodología de Ingreso Regulado utilizada en la Resolución CREG 097 de 2008. Es igual a 13,0 %. </w:t>
      </w:r>
    </w:p>
    <w:p w:rsidR="000B4E51" w:rsidRPr="00DB12A1" w:rsidRDefault="000B4E51" w:rsidP="00F373C5">
      <w:pPr>
        <w:ind w:left="709" w:hanging="283"/>
        <w:jc w:val="both"/>
        <w:rPr>
          <w:rFonts w:ascii="Bookman Old Style" w:hAnsi="Bookman Old Style"/>
          <w:i/>
        </w:rPr>
      </w:pPr>
    </w:p>
    <w:p w:rsidR="000B4E51" w:rsidRPr="00DB12A1" w:rsidRDefault="000B4E51" w:rsidP="00A04E7D">
      <w:pPr>
        <w:pStyle w:val="Prrafodelista"/>
        <w:numPr>
          <w:ilvl w:val="0"/>
          <w:numId w:val="4"/>
        </w:numPr>
        <w:ind w:left="709" w:hanging="283"/>
        <w:jc w:val="both"/>
        <w:rPr>
          <w:rFonts w:ascii="Bookman Old Style" w:hAnsi="Bookman Old Style"/>
          <w:i/>
          <w:sz w:val="24"/>
          <w:szCs w:val="24"/>
        </w:rPr>
      </w:pPr>
      <w:r w:rsidRPr="00DB12A1">
        <w:rPr>
          <w:rFonts w:ascii="Bookman Old Style" w:hAnsi="Bookman Old Style"/>
          <w:i/>
          <w:sz w:val="24"/>
          <w:szCs w:val="24"/>
        </w:rPr>
        <w:t>Crecimiento vegetativo de la demanda: Crecimiento promedio de las ventas de energía registradas en el mercado de comercialización, durante los cinco años anteriores al de la presentación del Plan.</w:t>
      </w:r>
    </w:p>
    <w:p w:rsidR="000B4E51" w:rsidRPr="00DB12A1" w:rsidRDefault="000B4E51" w:rsidP="00F373C5">
      <w:pPr>
        <w:pStyle w:val="Prrafodelista"/>
        <w:ind w:left="709" w:hanging="283"/>
        <w:jc w:val="both"/>
        <w:rPr>
          <w:rFonts w:ascii="Bookman Old Style" w:hAnsi="Bookman Old Style"/>
          <w:i/>
          <w:sz w:val="24"/>
          <w:szCs w:val="24"/>
        </w:rPr>
      </w:pPr>
    </w:p>
    <w:p w:rsidR="000B4E51" w:rsidRPr="00DB12A1" w:rsidRDefault="000B4E51" w:rsidP="00A04E7D">
      <w:pPr>
        <w:pStyle w:val="Prrafodelista"/>
        <w:numPr>
          <w:ilvl w:val="0"/>
          <w:numId w:val="4"/>
        </w:numPr>
        <w:ind w:left="709" w:hanging="283"/>
        <w:jc w:val="both"/>
        <w:rPr>
          <w:rFonts w:ascii="Bookman Old Style" w:hAnsi="Bookman Old Style"/>
          <w:i/>
          <w:sz w:val="24"/>
          <w:szCs w:val="24"/>
        </w:rPr>
      </w:pPr>
      <w:r w:rsidRPr="00DB12A1">
        <w:rPr>
          <w:rFonts w:ascii="Bookman Old Style" w:hAnsi="Bookman Old Style"/>
          <w:i/>
          <w:sz w:val="24"/>
          <w:szCs w:val="24"/>
        </w:rPr>
        <w:t>Mínima inversión: Mínimo costo en $/</w:t>
      </w:r>
      <w:proofErr w:type="spellStart"/>
      <w:r w:rsidRPr="00DB12A1">
        <w:rPr>
          <w:rFonts w:ascii="Bookman Old Style" w:hAnsi="Bookman Old Style"/>
          <w:i/>
          <w:sz w:val="24"/>
          <w:szCs w:val="24"/>
        </w:rPr>
        <w:t>kWh</w:t>
      </w:r>
      <w:proofErr w:type="spellEnd"/>
      <w:r w:rsidRPr="00DB12A1">
        <w:rPr>
          <w:rFonts w:ascii="Bookman Old Style" w:hAnsi="Bookman Old Style"/>
          <w:i/>
          <w:sz w:val="24"/>
          <w:szCs w:val="24"/>
        </w:rPr>
        <w:t xml:space="preserve">, con el cual el </w:t>
      </w:r>
      <w:r w:rsidR="0006350C" w:rsidRPr="00DB12A1">
        <w:rPr>
          <w:rFonts w:ascii="Bookman Old Style" w:hAnsi="Bookman Old Style"/>
          <w:i/>
          <w:sz w:val="24"/>
          <w:szCs w:val="24"/>
        </w:rPr>
        <w:t xml:space="preserve">Modelo </w:t>
      </w:r>
      <w:r w:rsidRPr="00DB12A1">
        <w:rPr>
          <w:rFonts w:ascii="Bookman Old Style" w:hAnsi="Bookman Old Style"/>
          <w:i/>
          <w:sz w:val="24"/>
          <w:szCs w:val="24"/>
        </w:rPr>
        <w:t xml:space="preserve">de </w:t>
      </w:r>
      <w:r w:rsidR="0006350C" w:rsidRPr="00DB12A1">
        <w:rPr>
          <w:rFonts w:ascii="Bookman Old Style" w:hAnsi="Bookman Old Style"/>
          <w:i/>
          <w:sz w:val="24"/>
          <w:szCs w:val="24"/>
        </w:rPr>
        <w:t xml:space="preserve">Estimación del Costo Eficiente </w:t>
      </w:r>
      <w:r w:rsidRPr="00DB12A1">
        <w:rPr>
          <w:rFonts w:ascii="Bookman Old Style" w:hAnsi="Bookman Old Style"/>
          <w:i/>
          <w:sz w:val="24"/>
          <w:szCs w:val="24"/>
        </w:rPr>
        <w:t>obtiene una ruta factible para obtener el nivel de pérdidas propuesto por el OR al finalizar el Plan.  Este valor debe ser mayor que cero (0).</w:t>
      </w:r>
    </w:p>
    <w:p w:rsidR="000B4E51" w:rsidRPr="00DB12A1" w:rsidRDefault="000B4E51" w:rsidP="00F373C5">
      <w:pPr>
        <w:ind w:left="709" w:hanging="283"/>
        <w:jc w:val="both"/>
        <w:rPr>
          <w:rFonts w:ascii="Bookman Old Style" w:hAnsi="Bookman Old Style"/>
          <w:i/>
          <w:lang w:val="es-CO"/>
        </w:rPr>
      </w:pPr>
    </w:p>
    <w:p w:rsidR="000B4E51" w:rsidRPr="00DB12A1" w:rsidRDefault="000B4E51" w:rsidP="00A04E7D">
      <w:pPr>
        <w:pStyle w:val="Prrafodelista"/>
        <w:numPr>
          <w:ilvl w:val="0"/>
          <w:numId w:val="4"/>
        </w:numPr>
        <w:ind w:left="709" w:hanging="283"/>
        <w:jc w:val="both"/>
        <w:rPr>
          <w:rFonts w:ascii="Bookman Old Style" w:hAnsi="Bookman Old Style"/>
          <w:i/>
          <w:sz w:val="24"/>
          <w:szCs w:val="24"/>
        </w:rPr>
      </w:pPr>
      <w:r w:rsidRPr="00DB12A1">
        <w:rPr>
          <w:rFonts w:ascii="Bookman Old Style" w:hAnsi="Bookman Old Style"/>
          <w:i/>
          <w:sz w:val="24"/>
          <w:szCs w:val="24"/>
        </w:rPr>
        <w:lastRenderedPageBreak/>
        <w:t>Máxima inversión: Máximo costo en $/</w:t>
      </w:r>
      <w:proofErr w:type="spellStart"/>
      <w:r w:rsidRPr="00DB12A1">
        <w:rPr>
          <w:rFonts w:ascii="Bookman Old Style" w:hAnsi="Bookman Old Style"/>
          <w:i/>
          <w:sz w:val="24"/>
          <w:szCs w:val="24"/>
        </w:rPr>
        <w:t>kWh</w:t>
      </w:r>
      <w:proofErr w:type="spellEnd"/>
      <w:r w:rsidRPr="00DB12A1">
        <w:rPr>
          <w:rFonts w:ascii="Bookman Old Style" w:hAnsi="Bookman Old Style"/>
          <w:i/>
          <w:sz w:val="24"/>
          <w:szCs w:val="24"/>
        </w:rPr>
        <w:t xml:space="preserve">, con el cual el </w:t>
      </w:r>
      <w:r w:rsidR="0006350C" w:rsidRPr="00DB12A1">
        <w:rPr>
          <w:rFonts w:ascii="Bookman Old Style" w:hAnsi="Bookman Old Style"/>
          <w:i/>
          <w:sz w:val="24"/>
          <w:szCs w:val="24"/>
        </w:rPr>
        <w:t>Modelo de Estimación del Costo Eficiente</w:t>
      </w:r>
      <w:r w:rsidRPr="00DB12A1">
        <w:rPr>
          <w:rFonts w:ascii="Bookman Old Style" w:hAnsi="Bookman Old Style"/>
          <w:i/>
          <w:sz w:val="24"/>
          <w:szCs w:val="24"/>
        </w:rPr>
        <w:t xml:space="preserve"> obtiene una ruta factible para obtener el nivel de pérdidas propuesto por el OR al finalizar el Plan.  Este valor debe ser mayor que cero (0).</w:t>
      </w:r>
    </w:p>
    <w:p w:rsidR="000B4E51" w:rsidRPr="00DB12A1" w:rsidRDefault="000B4E51" w:rsidP="00F373C5">
      <w:pPr>
        <w:ind w:left="709" w:hanging="283"/>
        <w:jc w:val="both"/>
        <w:rPr>
          <w:rFonts w:ascii="Bookman Old Style" w:hAnsi="Bookman Old Style"/>
          <w:i/>
        </w:rPr>
      </w:pPr>
    </w:p>
    <w:p w:rsidR="000B4E51" w:rsidRPr="00DB12A1" w:rsidRDefault="000B4E51" w:rsidP="00A04E7D">
      <w:pPr>
        <w:pStyle w:val="Prrafodelista"/>
        <w:numPr>
          <w:ilvl w:val="0"/>
          <w:numId w:val="4"/>
        </w:numPr>
        <w:ind w:left="709" w:hanging="283"/>
        <w:jc w:val="both"/>
        <w:rPr>
          <w:rFonts w:ascii="Bookman Old Style" w:hAnsi="Bookman Old Style"/>
          <w:i/>
          <w:sz w:val="24"/>
          <w:szCs w:val="24"/>
        </w:rPr>
      </w:pPr>
      <w:r w:rsidRPr="00DB12A1">
        <w:rPr>
          <w:rFonts w:ascii="Bookman Old Style" w:hAnsi="Bookman Old Style"/>
          <w:i/>
          <w:sz w:val="24"/>
          <w:szCs w:val="24"/>
        </w:rPr>
        <w:t>Opciones de inversión: corresponde al número de opciones para conformar el árbol de decisión, cuyo máximo valor es treinta (30).</w:t>
      </w:r>
    </w:p>
    <w:p w:rsidR="000B4E51" w:rsidRPr="00DB12A1" w:rsidRDefault="000B4E51" w:rsidP="00F373C5">
      <w:pPr>
        <w:ind w:left="709" w:hanging="283"/>
        <w:jc w:val="both"/>
        <w:rPr>
          <w:rFonts w:ascii="Bookman Old Style" w:hAnsi="Bookman Old Style"/>
          <w:i/>
          <w:lang w:val="es-CO"/>
        </w:rPr>
      </w:pPr>
    </w:p>
    <w:p w:rsidR="00F373C5" w:rsidRPr="00DB12A1" w:rsidRDefault="00F373C5" w:rsidP="00A04E7D">
      <w:pPr>
        <w:pStyle w:val="Prrafodelista"/>
        <w:numPr>
          <w:ilvl w:val="0"/>
          <w:numId w:val="4"/>
        </w:numPr>
        <w:ind w:left="709" w:hanging="283"/>
        <w:jc w:val="both"/>
        <w:rPr>
          <w:rFonts w:ascii="Bookman Old Style" w:hAnsi="Bookman Old Style"/>
          <w:i/>
          <w:sz w:val="24"/>
          <w:szCs w:val="24"/>
        </w:rPr>
      </w:pPr>
      <w:r w:rsidRPr="00DB12A1">
        <w:rPr>
          <w:rFonts w:ascii="Bookman Old Style" w:hAnsi="Bookman Old Style"/>
          <w:i/>
          <w:sz w:val="24"/>
          <w:szCs w:val="24"/>
        </w:rPr>
        <w:t xml:space="preserve">Energía de entrada para los años t y t-1: Cantidad de energía, en </w:t>
      </w:r>
      <w:proofErr w:type="spellStart"/>
      <w:r w:rsidRPr="00DB12A1">
        <w:rPr>
          <w:rFonts w:ascii="Bookman Old Style" w:hAnsi="Bookman Old Style"/>
          <w:i/>
          <w:sz w:val="24"/>
          <w:szCs w:val="24"/>
        </w:rPr>
        <w:t>kWh</w:t>
      </w:r>
      <w:proofErr w:type="spellEnd"/>
      <w:r w:rsidRPr="00DB12A1">
        <w:rPr>
          <w:rFonts w:ascii="Bookman Old Style" w:hAnsi="Bookman Old Style"/>
          <w:i/>
          <w:sz w:val="24"/>
          <w:szCs w:val="24"/>
        </w:rPr>
        <w:t xml:space="preserve">, calculada con base en la metodología definida en el numeral 4.2.3 del ANEXO 4 de la presente resolución, menos el flujo de energía desde niveles de tensión superiores en el sistema del OR. </w:t>
      </w:r>
    </w:p>
    <w:p w:rsidR="000B4E51" w:rsidRPr="00DB12A1" w:rsidRDefault="000B4E51" w:rsidP="00F373C5">
      <w:pPr>
        <w:ind w:left="709" w:hanging="283"/>
        <w:jc w:val="both"/>
        <w:rPr>
          <w:rFonts w:ascii="Bookman Old Style" w:hAnsi="Bookman Old Style"/>
          <w:i/>
          <w:lang w:val="es-CO"/>
        </w:rPr>
      </w:pPr>
    </w:p>
    <w:p w:rsidR="000B4E51" w:rsidRPr="00DB12A1" w:rsidRDefault="00F373C5" w:rsidP="00A04E7D">
      <w:pPr>
        <w:pStyle w:val="Prrafodelista"/>
        <w:numPr>
          <w:ilvl w:val="0"/>
          <w:numId w:val="4"/>
        </w:numPr>
        <w:ind w:left="709" w:hanging="283"/>
        <w:jc w:val="both"/>
        <w:rPr>
          <w:rFonts w:ascii="Bookman Old Style" w:hAnsi="Bookman Old Style"/>
          <w:i/>
          <w:sz w:val="24"/>
          <w:szCs w:val="24"/>
        </w:rPr>
      </w:pPr>
      <w:r w:rsidRPr="00DB12A1">
        <w:rPr>
          <w:rFonts w:ascii="Bookman Old Style" w:hAnsi="Bookman Old Style"/>
          <w:i/>
          <w:sz w:val="24"/>
          <w:szCs w:val="24"/>
        </w:rPr>
        <w:t xml:space="preserve">Energía de salida para los años t y t-1: Cantidad de energía, en </w:t>
      </w:r>
      <w:proofErr w:type="spellStart"/>
      <w:r w:rsidRPr="00DB12A1">
        <w:rPr>
          <w:rFonts w:ascii="Bookman Old Style" w:hAnsi="Bookman Old Style"/>
          <w:i/>
          <w:sz w:val="24"/>
          <w:szCs w:val="24"/>
        </w:rPr>
        <w:t>kWh</w:t>
      </w:r>
      <w:proofErr w:type="spellEnd"/>
      <w:r w:rsidRPr="00DB12A1">
        <w:rPr>
          <w:rFonts w:ascii="Bookman Old Style" w:hAnsi="Bookman Old Style"/>
          <w:i/>
          <w:sz w:val="24"/>
          <w:szCs w:val="24"/>
        </w:rPr>
        <w:t>,  calculada con base en la metodología definida en el numeral 4.2.4 del ANEXO 4 de la presente resolución.</w:t>
      </w:r>
    </w:p>
    <w:p w:rsidR="000B4E51" w:rsidRPr="00DB12A1" w:rsidRDefault="000B4E51" w:rsidP="00F373C5">
      <w:pPr>
        <w:ind w:left="709" w:hanging="283"/>
        <w:jc w:val="both"/>
        <w:rPr>
          <w:rFonts w:ascii="Bookman Old Style" w:hAnsi="Bookman Old Style"/>
          <w:i/>
          <w:lang w:val="es-CO"/>
        </w:rPr>
      </w:pPr>
    </w:p>
    <w:p w:rsidR="00F373C5" w:rsidRPr="00DB12A1" w:rsidRDefault="00F373C5" w:rsidP="00A04E7D">
      <w:pPr>
        <w:pStyle w:val="Prrafodelista"/>
        <w:numPr>
          <w:ilvl w:val="0"/>
          <w:numId w:val="4"/>
        </w:numPr>
        <w:ind w:left="709" w:hanging="283"/>
        <w:jc w:val="both"/>
        <w:rPr>
          <w:rFonts w:ascii="Bookman Old Style" w:hAnsi="Bookman Old Style"/>
          <w:i/>
          <w:sz w:val="24"/>
          <w:szCs w:val="24"/>
        </w:rPr>
      </w:pPr>
      <w:r w:rsidRPr="00DB12A1">
        <w:rPr>
          <w:rFonts w:ascii="Bookman Old Style" w:hAnsi="Bookman Old Style"/>
          <w:i/>
          <w:sz w:val="24"/>
          <w:szCs w:val="24"/>
        </w:rPr>
        <w:t>Nivel de pérdidas años t y t-1: Porcentaje de pérdidas totales del sistema calculado con base en la metodología definida en el numeral 4.2.1 del ANEXO 4 de la presente resolución.</w:t>
      </w:r>
    </w:p>
    <w:p w:rsidR="000B4E51" w:rsidRPr="00DB12A1" w:rsidRDefault="000B4E51" w:rsidP="00F373C5">
      <w:pPr>
        <w:ind w:left="709" w:hanging="283"/>
        <w:jc w:val="both"/>
        <w:rPr>
          <w:rFonts w:ascii="Bookman Old Style" w:hAnsi="Bookman Old Style"/>
          <w:i/>
          <w:lang w:val="es-CO"/>
        </w:rPr>
      </w:pPr>
    </w:p>
    <w:p w:rsidR="000B4E51" w:rsidRPr="00DB12A1" w:rsidRDefault="000B4E51" w:rsidP="00A04E7D">
      <w:pPr>
        <w:pStyle w:val="Prrafodelista"/>
        <w:numPr>
          <w:ilvl w:val="0"/>
          <w:numId w:val="4"/>
        </w:numPr>
        <w:ind w:left="709" w:hanging="283"/>
        <w:jc w:val="both"/>
        <w:rPr>
          <w:rFonts w:ascii="Bookman Old Style" w:hAnsi="Bookman Old Style"/>
          <w:i/>
          <w:sz w:val="24"/>
          <w:szCs w:val="24"/>
        </w:rPr>
      </w:pPr>
      <w:r w:rsidRPr="00DB12A1">
        <w:rPr>
          <w:rFonts w:ascii="Bookman Old Style" w:hAnsi="Bookman Old Style"/>
          <w:i/>
          <w:sz w:val="24"/>
          <w:szCs w:val="24"/>
        </w:rPr>
        <w:t>Inversión años t y t-1: Corresponde a la información entregada por el OR en la solicitud de aprobación del Plan.</w:t>
      </w:r>
    </w:p>
    <w:p w:rsidR="000B4E51" w:rsidRPr="00DB12A1" w:rsidRDefault="000B4E51" w:rsidP="00F373C5">
      <w:pPr>
        <w:ind w:left="709" w:hanging="283"/>
        <w:jc w:val="both"/>
        <w:rPr>
          <w:rFonts w:ascii="Bookman Old Style" w:hAnsi="Bookman Old Style"/>
          <w:i/>
          <w:lang w:val="es-CO"/>
        </w:rPr>
      </w:pPr>
    </w:p>
    <w:p w:rsidR="000B4E51" w:rsidRPr="00DB12A1" w:rsidRDefault="000B4E51" w:rsidP="00A04E7D">
      <w:pPr>
        <w:pStyle w:val="Prrafodelista"/>
        <w:numPr>
          <w:ilvl w:val="0"/>
          <w:numId w:val="4"/>
        </w:numPr>
        <w:ind w:left="709" w:hanging="283"/>
        <w:jc w:val="both"/>
        <w:rPr>
          <w:rFonts w:ascii="Bookman Old Style" w:hAnsi="Bookman Old Style"/>
          <w:i/>
          <w:sz w:val="24"/>
          <w:szCs w:val="24"/>
        </w:rPr>
      </w:pPr>
      <w:r w:rsidRPr="00DB12A1">
        <w:rPr>
          <w:rFonts w:ascii="Bookman Old Style" w:hAnsi="Bookman Old Style"/>
          <w:i/>
          <w:sz w:val="24"/>
          <w:szCs w:val="24"/>
        </w:rPr>
        <w:t>El año t corresponde al anterior al de la presentación de la solicitud de aprobación del Plan.</w:t>
      </w:r>
    </w:p>
    <w:p w:rsidR="00F373C5" w:rsidRDefault="00F373C5" w:rsidP="00F373C5">
      <w:pPr>
        <w:ind w:left="0"/>
        <w:jc w:val="both"/>
        <w:rPr>
          <w:rFonts w:ascii="Bookman Old Style" w:hAnsi="Bookman Old Style"/>
          <w:b/>
        </w:rPr>
      </w:pPr>
    </w:p>
    <w:p w:rsidR="008E6072" w:rsidRDefault="008E6072" w:rsidP="00F373C5">
      <w:pPr>
        <w:ind w:left="0"/>
        <w:jc w:val="both"/>
        <w:rPr>
          <w:rFonts w:ascii="Bookman Old Style" w:hAnsi="Bookman Old Style"/>
          <w:b/>
        </w:rPr>
      </w:pPr>
    </w:p>
    <w:p w:rsidR="00F373C5" w:rsidRDefault="00D150D2" w:rsidP="00A04E7D">
      <w:pPr>
        <w:pStyle w:val="Artculo"/>
      </w:pPr>
      <w:r w:rsidRPr="00D150D2">
        <w:t>Modificar e</w:t>
      </w:r>
      <w:r w:rsidR="00F373C5" w:rsidRPr="00D150D2">
        <w:t>l numeral</w:t>
      </w:r>
      <w:r w:rsidR="00F373C5">
        <w:t xml:space="preserve"> 3.</w:t>
      </w:r>
      <w:r w:rsidR="00204D40">
        <w:t>1</w:t>
      </w:r>
      <w:r w:rsidR="00F373C5">
        <w:t xml:space="preserve"> del </w:t>
      </w:r>
      <w:r w:rsidR="00204D40">
        <w:t>Anexo 3</w:t>
      </w:r>
      <w:r w:rsidR="00F373C5">
        <w:t xml:space="preserve"> de la Resolución CREG 172 de 2011</w:t>
      </w:r>
      <w:r>
        <w:t xml:space="preserve">, el cual </w:t>
      </w:r>
      <w:r w:rsidR="00F373C5" w:rsidRPr="003A7A27">
        <w:t>queda</w:t>
      </w:r>
      <w:r>
        <w:t xml:space="preserve">rá </w:t>
      </w:r>
      <w:r w:rsidR="00F373C5" w:rsidRPr="003A7A27">
        <w:t>así:</w:t>
      </w:r>
    </w:p>
    <w:p w:rsidR="00204D40" w:rsidRDefault="00204D40" w:rsidP="00204D40">
      <w:pPr>
        <w:pStyle w:val="Ttulo2"/>
        <w:numPr>
          <w:ilvl w:val="0"/>
          <w:numId w:val="0"/>
        </w:numPr>
        <w:ind w:left="720"/>
        <w:rPr>
          <w:rFonts w:cs="Arial"/>
          <w:b w:val="0"/>
          <w:spacing w:val="0"/>
        </w:rPr>
      </w:pPr>
    </w:p>
    <w:p w:rsidR="00204D40" w:rsidRPr="00DB12A1" w:rsidRDefault="00204D40" w:rsidP="00DB12A1">
      <w:pPr>
        <w:ind w:left="426"/>
        <w:rPr>
          <w:rFonts w:ascii="Bookman Old Style" w:hAnsi="Bookman Old Style" w:cs="Arial"/>
          <w:b/>
          <w:i/>
        </w:rPr>
      </w:pPr>
      <w:r w:rsidRPr="00DB12A1">
        <w:rPr>
          <w:rFonts w:ascii="Bookman Old Style" w:hAnsi="Bookman Old Style" w:cs="Arial"/>
          <w:b/>
          <w:i/>
        </w:rPr>
        <w:t>3.1 Determinación del cargo mensual</w:t>
      </w:r>
    </w:p>
    <w:p w:rsidR="00204D40" w:rsidRPr="00DB12A1" w:rsidRDefault="00204D40" w:rsidP="00594DF0">
      <w:pPr>
        <w:ind w:left="0"/>
        <w:jc w:val="both"/>
        <w:rPr>
          <w:rFonts w:ascii="Bookman Old Style" w:hAnsi="Bookman Old Style"/>
          <w:i/>
        </w:rPr>
      </w:pPr>
    </w:p>
    <w:p w:rsidR="00594DF0" w:rsidRPr="00DB12A1" w:rsidRDefault="00594DF0" w:rsidP="00204D40">
      <w:pPr>
        <w:ind w:left="426"/>
        <w:jc w:val="both"/>
        <w:rPr>
          <w:rFonts w:ascii="Bookman Old Style" w:hAnsi="Bookman Old Style"/>
          <w:i/>
        </w:rPr>
      </w:pPr>
      <w:r w:rsidRPr="00DB12A1">
        <w:rPr>
          <w:rFonts w:ascii="Bookman Old Style" w:hAnsi="Bookman Old Style"/>
          <w:i/>
        </w:rPr>
        <w:t>El cargo que debe ser cobrado a los usuarios finales en cada mercado de comercialización será calculado y publicado por el LAC los primeros siete (7) días de cada mes, de la siguiente manera:</w:t>
      </w:r>
    </w:p>
    <w:p w:rsidR="00594DF0" w:rsidRPr="00DB12A1" w:rsidRDefault="00594DF0" w:rsidP="00204D40">
      <w:pPr>
        <w:pStyle w:val="articulo"/>
        <w:ind w:left="426" w:firstLine="0"/>
        <w:rPr>
          <w:i/>
        </w:rPr>
      </w:pPr>
    </w:p>
    <w:p w:rsidR="00594DF0" w:rsidRPr="00DB12A1" w:rsidRDefault="000B2957" w:rsidP="00204D40">
      <w:pPr>
        <w:ind w:left="426"/>
        <w:jc w:val="center"/>
        <w:rPr>
          <w:rFonts w:ascii="Bookman Old Style" w:hAnsi="Bookman Old Style"/>
          <w:i/>
        </w:rPr>
      </w:pPr>
      <m:oMathPara>
        <m:oMath>
          <m:sSub>
            <m:sSubPr>
              <m:ctrlPr>
                <w:rPr>
                  <w:rFonts w:ascii="Cambria Math" w:hAnsi="Cambria Math"/>
                  <w:i/>
                  <w:sz w:val="22"/>
                  <w:szCs w:val="22"/>
                </w:rPr>
              </m:ctrlPr>
            </m:sSubPr>
            <m:e>
              <m:r>
                <w:rPr>
                  <w:rFonts w:ascii="Cambria Math" w:hAnsi="Cambria Math"/>
                  <w:sz w:val="22"/>
                  <w:szCs w:val="22"/>
                </w:rPr>
                <m:t>CPROG</m:t>
              </m:r>
            </m:e>
            <m:sub>
              <m:r>
                <w:rPr>
                  <w:rFonts w:ascii="Cambria Math" w:hAnsi="Cambria Math"/>
                  <w:sz w:val="22"/>
                  <w:szCs w:val="22"/>
                </w:rPr>
                <m:t>j,m</m:t>
              </m:r>
            </m:sub>
          </m:sSub>
          <m:r>
            <w:rPr>
              <w:rFonts w:ascii="Cambria Math" w:hAnsi="Cambria Math"/>
              <w:sz w:val="22"/>
              <w:szCs w:val="22"/>
            </w:rPr>
            <m:t>=</m:t>
          </m:r>
          <m:f>
            <m:fPr>
              <m:ctrlPr>
                <w:rPr>
                  <w:rFonts w:ascii="Cambria Math" w:hAnsi="Cambria Math"/>
                  <w:i/>
                  <w:sz w:val="22"/>
                  <w:szCs w:val="22"/>
                </w:rPr>
              </m:ctrlPr>
            </m:fPr>
            <m:num>
              <m:sSub>
                <m:sSubPr>
                  <m:ctrlPr>
                    <w:rPr>
                      <w:rFonts w:ascii="Cambria Math" w:hAnsi="Cambria Math"/>
                      <w:i/>
                      <w:sz w:val="22"/>
                      <w:szCs w:val="22"/>
                    </w:rPr>
                  </m:ctrlPr>
                </m:sSubPr>
                <m:e>
                  <m:r>
                    <w:rPr>
                      <w:rFonts w:ascii="Cambria Math" w:hAnsi="Cambria Math"/>
                      <w:sz w:val="22"/>
                      <w:szCs w:val="22"/>
                    </w:rPr>
                    <m:t>CAP</m:t>
                  </m:r>
                </m:e>
                <m:sub>
                  <m:r>
                    <w:rPr>
                      <w:rFonts w:ascii="Cambria Math" w:hAnsi="Cambria Math"/>
                      <w:sz w:val="22"/>
                      <w:szCs w:val="22"/>
                    </w:rPr>
                    <m:t>j</m:t>
                  </m:r>
                </m:sub>
              </m:sSub>
            </m:num>
            <m:den>
              <m:sSub>
                <m:sSubPr>
                  <m:ctrlPr>
                    <w:rPr>
                      <w:rFonts w:ascii="Cambria Math" w:hAnsi="Cambria Math"/>
                      <w:i/>
                      <w:sz w:val="22"/>
                      <w:szCs w:val="22"/>
                    </w:rPr>
                  </m:ctrlPr>
                </m:sSubPr>
                <m:e>
                  <m:nary>
                    <m:naryPr>
                      <m:chr m:val="∑"/>
                      <m:limLoc m:val="undOvr"/>
                      <m:ctrlPr>
                        <w:rPr>
                          <w:rFonts w:ascii="Cambria Math" w:hAnsi="Cambria Math"/>
                          <w:i/>
                          <w:sz w:val="22"/>
                          <w:szCs w:val="22"/>
                        </w:rPr>
                      </m:ctrlPr>
                    </m:naryPr>
                    <m:sub>
                      <m:r>
                        <w:rPr>
                          <w:rFonts w:ascii="Cambria Math" w:hAnsi="Cambria Math"/>
                          <w:sz w:val="22"/>
                          <w:szCs w:val="22"/>
                        </w:rPr>
                        <m:t>m=-14</m:t>
                      </m:r>
                    </m:sub>
                    <m:sup>
                      <m:r>
                        <w:rPr>
                          <w:rFonts w:ascii="Cambria Math" w:hAnsi="Cambria Math"/>
                          <w:sz w:val="22"/>
                          <w:szCs w:val="22"/>
                        </w:rPr>
                        <m:t>m-3</m:t>
                      </m:r>
                    </m:sup>
                    <m:e>
                      <m:r>
                        <w:rPr>
                          <w:rFonts w:ascii="Cambria Math" w:hAnsi="Cambria Math"/>
                          <w:sz w:val="22"/>
                          <w:szCs w:val="22"/>
                        </w:rPr>
                        <m:t>VSTN</m:t>
                      </m:r>
                    </m:e>
                  </m:nary>
                </m:e>
                <m:sub>
                  <m:r>
                    <w:rPr>
                      <w:rFonts w:ascii="Cambria Math" w:hAnsi="Cambria Math"/>
                      <w:sz w:val="22"/>
                      <w:szCs w:val="22"/>
                    </w:rPr>
                    <m:t>j,m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VCP</m:t>
                  </m:r>
                </m:e>
                <m:sub>
                  <m:r>
                    <w:rPr>
                      <w:rFonts w:ascii="Cambria Math" w:hAnsi="Cambria Math"/>
                      <w:sz w:val="22"/>
                      <w:szCs w:val="22"/>
                    </w:rPr>
                    <m:t>j</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VCI</m:t>
                  </m:r>
                </m:e>
                <m:sub>
                  <m:r>
                    <w:rPr>
                      <w:rFonts w:ascii="Cambria Math" w:hAnsi="Cambria Math"/>
                      <w:sz w:val="22"/>
                      <w:szCs w:val="22"/>
                    </w:rPr>
                    <m:t>j</m:t>
                  </m:r>
                </m:sub>
              </m:sSub>
            </m:den>
          </m:f>
          <m:r>
            <w:rPr>
              <w:rFonts w:ascii="Cambria Math" w:hAnsi="Cambria Math"/>
              <w:sz w:val="22"/>
              <w:szCs w:val="22"/>
            </w:rPr>
            <m:t>*</m:t>
          </m:r>
          <m:f>
            <m:fPr>
              <m:ctrlPr>
                <w:rPr>
                  <w:rFonts w:ascii="Cambria Math" w:hAnsi="Cambria Math"/>
                  <w:i/>
                  <w:sz w:val="22"/>
                  <w:szCs w:val="22"/>
                </w:rPr>
              </m:ctrlPr>
            </m:fPr>
            <m:num>
              <m:sSub>
                <m:sSubPr>
                  <m:ctrlPr>
                    <w:rPr>
                      <w:rFonts w:ascii="Cambria Math" w:hAnsi="Cambria Math"/>
                      <w:i/>
                      <w:sz w:val="22"/>
                      <w:szCs w:val="22"/>
                    </w:rPr>
                  </m:ctrlPr>
                </m:sSubPr>
                <m:e>
                  <m:r>
                    <w:rPr>
                      <w:rFonts w:ascii="Cambria Math" w:hAnsi="Cambria Math"/>
                      <w:sz w:val="22"/>
                      <w:szCs w:val="22"/>
                    </w:rPr>
                    <m:t>IPP</m:t>
                  </m:r>
                </m:e>
                <m:sub>
                  <m:r>
                    <w:rPr>
                      <w:rFonts w:ascii="Cambria Math" w:hAnsi="Cambria Math"/>
                      <w:sz w:val="22"/>
                      <w:szCs w:val="22"/>
                    </w:rPr>
                    <m:t>m-2</m:t>
                  </m:r>
                </m:sub>
              </m:sSub>
            </m:num>
            <m:den>
              <m:sSub>
                <m:sSubPr>
                  <m:ctrlPr>
                    <w:rPr>
                      <w:rFonts w:ascii="Cambria Math" w:hAnsi="Cambria Math"/>
                      <w:i/>
                      <w:sz w:val="22"/>
                      <w:szCs w:val="22"/>
                    </w:rPr>
                  </m:ctrlPr>
                </m:sSubPr>
                <m:e>
                  <m:r>
                    <w:rPr>
                      <w:rFonts w:ascii="Cambria Math" w:hAnsi="Cambria Math"/>
                      <w:sz w:val="22"/>
                      <w:szCs w:val="22"/>
                    </w:rPr>
                    <m:t>IPP</m:t>
                  </m:r>
                </m:e>
                <m:sub>
                  <m:r>
                    <w:rPr>
                      <w:rFonts w:ascii="Cambria Math" w:hAnsi="Cambria Math"/>
                      <w:sz w:val="22"/>
                      <w:szCs w:val="22"/>
                    </w:rPr>
                    <m:t>0</m:t>
                  </m:r>
                </m:sub>
              </m:sSub>
            </m:den>
          </m:f>
        </m:oMath>
      </m:oMathPara>
    </w:p>
    <w:p w:rsidR="00594DF0" w:rsidRPr="00DB12A1" w:rsidRDefault="00594DF0" w:rsidP="00204D40">
      <w:pPr>
        <w:spacing w:before="120"/>
        <w:ind w:left="426"/>
        <w:jc w:val="both"/>
        <w:rPr>
          <w:rFonts w:ascii="Bookman Old Style" w:hAnsi="Bookman Old Style"/>
          <w:i/>
          <w:iCs/>
        </w:rPr>
      </w:pPr>
      <w:r w:rsidRPr="00DB12A1">
        <w:rPr>
          <w:rFonts w:ascii="Bookman Old Style" w:hAnsi="Bookman Old Style"/>
          <w:i/>
          <w:iCs/>
        </w:rPr>
        <w:t>Donde:</w:t>
      </w:r>
    </w:p>
    <w:p w:rsidR="00594DF0" w:rsidRPr="00DB12A1" w:rsidRDefault="00594DF0" w:rsidP="00204D40">
      <w:pPr>
        <w:pStyle w:val="articulo"/>
        <w:ind w:left="1701" w:hanging="1275"/>
        <w:rPr>
          <w:i/>
        </w:rPr>
      </w:pPr>
      <w:proofErr w:type="spellStart"/>
      <w:r w:rsidRPr="00DB12A1">
        <w:rPr>
          <w:i/>
          <w:iCs/>
        </w:rPr>
        <w:t>CPROG</w:t>
      </w:r>
      <w:r w:rsidRPr="00DB12A1">
        <w:rPr>
          <w:i/>
          <w:iCs/>
          <w:vertAlign w:val="subscript"/>
        </w:rPr>
        <w:t>j</w:t>
      </w:r>
      <w:proofErr w:type="gramStart"/>
      <w:r w:rsidRPr="00DB12A1">
        <w:rPr>
          <w:i/>
          <w:iCs/>
          <w:vertAlign w:val="subscript"/>
        </w:rPr>
        <w:t>,m</w:t>
      </w:r>
      <w:proofErr w:type="spellEnd"/>
      <w:proofErr w:type="gramEnd"/>
      <w:r w:rsidRPr="00DB12A1">
        <w:rPr>
          <w:i/>
        </w:rPr>
        <w:t>:</w:t>
      </w:r>
      <w:r w:rsidRPr="00DB12A1">
        <w:rPr>
          <w:i/>
        </w:rPr>
        <w:tab/>
      </w:r>
      <w:r w:rsidR="00204D40" w:rsidRPr="00DB12A1">
        <w:rPr>
          <w:i/>
        </w:rPr>
        <w:t xml:space="preserve"> </w:t>
      </w:r>
      <w:r w:rsidR="00204D40" w:rsidRPr="00DB12A1">
        <w:rPr>
          <w:i/>
        </w:rPr>
        <w:tab/>
      </w:r>
      <w:r w:rsidRPr="00DB12A1">
        <w:rPr>
          <w:i/>
        </w:rPr>
        <w:t>Cargo en $/</w:t>
      </w:r>
      <w:proofErr w:type="spellStart"/>
      <w:r w:rsidRPr="00DB12A1">
        <w:rPr>
          <w:i/>
        </w:rPr>
        <w:t>kWh</w:t>
      </w:r>
      <w:proofErr w:type="spellEnd"/>
      <w:r w:rsidRPr="00DB12A1">
        <w:rPr>
          <w:i/>
        </w:rPr>
        <w:t xml:space="preserve"> por concepto del Plan, del mercado de comercialización j, aplicable en el mes m. El cargo publicado por el LAC aplicará para el siguiente mes al de su publicación.</w:t>
      </w:r>
    </w:p>
    <w:p w:rsidR="00594DF0" w:rsidRPr="00DB12A1" w:rsidRDefault="00594DF0" w:rsidP="00204D40">
      <w:pPr>
        <w:pStyle w:val="articulo"/>
        <w:ind w:left="1701" w:hanging="1275"/>
        <w:rPr>
          <w:i/>
        </w:rPr>
      </w:pPr>
      <w:proofErr w:type="spellStart"/>
      <w:r w:rsidRPr="00DB12A1">
        <w:rPr>
          <w:i/>
        </w:rPr>
        <w:t>CAP</w:t>
      </w:r>
      <w:r w:rsidRPr="00DB12A1">
        <w:rPr>
          <w:i/>
          <w:vertAlign w:val="subscript"/>
        </w:rPr>
        <w:t>j</w:t>
      </w:r>
      <w:proofErr w:type="spellEnd"/>
      <w:r w:rsidRPr="00DB12A1">
        <w:rPr>
          <w:i/>
        </w:rPr>
        <w:t>:</w:t>
      </w:r>
      <w:r w:rsidRPr="00DB12A1">
        <w:rPr>
          <w:i/>
        </w:rPr>
        <w:tab/>
      </w:r>
      <w:r w:rsidR="00204D40" w:rsidRPr="00DB12A1">
        <w:rPr>
          <w:i/>
        </w:rPr>
        <w:tab/>
      </w:r>
      <w:r w:rsidRPr="00DB12A1">
        <w:rPr>
          <w:i/>
        </w:rPr>
        <w:t>Costo anual del Plan</w:t>
      </w:r>
      <w:r w:rsidR="006E403F">
        <w:rPr>
          <w:i/>
        </w:rPr>
        <w:t xml:space="preserve"> </w:t>
      </w:r>
      <w:r w:rsidRPr="00DB12A1">
        <w:rPr>
          <w:i/>
        </w:rPr>
        <w:t xml:space="preserve">($), del mercado de comercialización j, aprobado al OR, calculado según lo expuesto en el numeral </w:t>
      </w:r>
      <w:r w:rsidR="00F004AF">
        <w:rPr>
          <w:i/>
        </w:rPr>
        <w:t>2.1</w:t>
      </w:r>
      <w:r w:rsidRPr="00DB12A1">
        <w:rPr>
          <w:i/>
        </w:rPr>
        <w:t xml:space="preserve"> del </w:t>
      </w:r>
      <w:r w:rsidR="00B16E46">
        <w:rPr>
          <w:i/>
        </w:rPr>
        <w:t>Anexo 2</w:t>
      </w:r>
      <w:r w:rsidRPr="00DB12A1">
        <w:rPr>
          <w:i/>
        </w:rPr>
        <w:t xml:space="preserve"> de la presente resolución.</w:t>
      </w:r>
    </w:p>
    <w:p w:rsidR="00594DF0" w:rsidRPr="00DB12A1" w:rsidRDefault="00594DF0" w:rsidP="00204D40">
      <w:pPr>
        <w:pStyle w:val="articulo"/>
        <w:ind w:left="1701" w:hanging="1275"/>
        <w:rPr>
          <w:i/>
        </w:rPr>
      </w:pPr>
      <w:proofErr w:type="spellStart"/>
      <w:r w:rsidRPr="00DB12A1">
        <w:rPr>
          <w:i/>
        </w:rPr>
        <w:lastRenderedPageBreak/>
        <w:t>VSTN</w:t>
      </w:r>
      <w:r w:rsidRPr="00DB12A1">
        <w:rPr>
          <w:i/>
          <w:vertAlign w:val="subscript"/>
        </w:rPr>
        <w:t>j</w:t>
      </w:r>
      <w:proofErr w:type="gramStart"/>
      <w:r w:rsidRPr="00DB12A1">
        <w:rPr>
          <w:i/>
          <w:vertAlign w:val="subscript"/>
        </w:rPr>
        <w:t>,m</w:t>
      </w:r>
      <w:proofErr w:type="spellEnd"/>
      <w:proofErr w:type="gramEnd"/>
      <w:r w:rsidRPr="00DB12A1">
        <w:rPr>
          <w:i/>
        </w:rPr>
        <w:t xml:space="preserve">:  </w:t>
      </w:r>
      <w:r w:rsidRPr="00DB12A1">
        <w:rPr>
          <w:i/>
        </w:rPr>
        <w:tab/>
      </w:r>
      <w:r w:rsidR="00204D40" w:rsidRPr="00DB12A1">
        <w:rPr>
          <w:i/>
        </w:rPr>
        <w:tab/>
      </w:r>
      <w:r w:rsidRPr="00DB12A1">
        <w:rPr>
          <w:i/>
        </w:rPr>
        <w:t xml:space="preserve">Ventas a usuarios conectados directamente al STN asociados al mercado de comercialización j en el mes m, en </w:t>
      </w:r>
      <w:proofErr w:type="spellStart"/>
      <w:r w:rsidRPr="00DB12A1">
        <w:rPr>
          <w:i/>
        </w:rPr>
        <w:t>kWh</w:t>
      </w:r>
      <w:proofErr w:type="spellEnd"/>
      <w:r w:rsidRPr="00DB12A1">
        <w:rPr>
          <w:i/>
        </w:rPr>
        <w:t xml:space="preserve">.  </w:t>
      </w:r>
      <w:r w:rsidRPr="00DB12A1">
        <w:rPr>
          <w:i/>
        </w:rPr>
        <w:tab/>
      </w:r>
    </w:p>
    <w:p w:rsidR="00594DF0" w:rsidRPr="00DB12A1" w:rsidRDefault="00594DF0" w:rsidP="00204D40">
      <w:pPr>
        <w:pStyle w:val="articulo"/>
        <w:ind w:left="1701" w:hanging="1275"/>
        <w:rPr>
          <w:i/>
        </w:rPr>
      </w:pPr>
      <w:r w:rsidRPr="00DB12A1">
        <w:rPr>
          <w:i/>
        </w:rPr>
        <w:tab/>
      </w:r>
      <w:r w:rsidR="00204D40" w:rsidRPr="00DB12A1">
        <w:rPr>
          <w:i/>
        </w:rPr>
        <w:tab/>
      </w:r>
      <w:r w:rsidRPr="00DB12A1">
        <w:rPr>
          <w:i/>
        </w:rPr>
        <w:t>Corresponde a las lecturas tomadas directamente de los medidores de los usuarios conectados directamente al STN, sin referir al STN, tomadas de los registros del LAC. Cuando el medidor no se encuentre en el lado del STN, la medida se debe referir con los factores aprobados para el respectivo sistema.</w:t>
      </w:r>
    </w:p>
    <w:p w:rsidR="00594DF0" w:rsidRPr="00DB12A1" w:rsidRDefault="00594DF0" w:rsidP="00204D40">
      <w:pPr>
        <w:pStyle w:val="articulo"/>
        <w:ind w:left="1701" w:hanging="1275"/>
        <w:rPr>
          <w:i/>
        </w:rPr>
      </w:pPr>
      <w:r w:rsidRPr="00DB12A1">
        <w:rPr>
          <w:i/>
        </w:rPr>
        <w:tab/>
      </w:r>
      <w:r w:rsidR="00204D40" w:rsidRPr="00DB12A1">
        <w:rPr>
          <w:i/>
        </w:rPr>
        <w:tab/>
      </w:r>
      <w:r w:rsidRPr="00DB12A1">
        <w:rPr>
          <w:i/>
        </w:rPr>
        <w:t>Cuando para una frontera no se disponga de la información de un mes determinado se utilizará el promedio registrado para los últimos seis (6) meses de dicha frontera o la mejor información disponible en el LAC.</w:t>
      </w:r>
    </w:p>
    <w:p w:rsidR="00594DF0" w:rsidRPr="00DB12A1" w:rsidRDefault="00594DF0" w:rsidP="00204D40">
      <w:pPr>
        <w:ind w:left="1701" w:hanging="1275"/>
        <w:jc w:val="both"/>
        <w:rPr>
          <w:rFonts w:ascii="Bookman Old Style" w:hAnsi="Bookman Old Style"/>
          <w:i/>
        </w:rPr>
      </w:pPr>
    </w:p>
    <w:p w:rsidR="00594DF0" w:rsidRPr="00DB12A1" w:rsidRDefault="00594DF0" w:rsidP="00204D40">
      <w:pPr>
        <w:ind w:left="1701" w:hanging="1275"/>
        <w:jc w:val="both"/>
        <w:rPr>
          <w:rFonts w:ascii="Bookman Old Style" w:hAnsi="Bookman Old Style"/>
          <w:i/>
        </w:rPr>
      </w:pPr>
      <w:proofErr w:type="spellStart"/>
      <w:r w:rsidRPr="00DB12A1">
        <w:rPr>
          <w:rFonts w:ascii="Bookman Old Style" w:hAnsi="Bookman Old Style"/>
          <w:i/>
        </w:rPr>
        <w:t>VCP</w:t>
      </w:r>
      <w:r w:rsidRPr="00DB12A1">
        <w:rPr>
          <w:rFonts w:ascii="Bookman Old Style" w:hAnsi="Bookman Old Style"/>
          <w:i/>
          <w:vertAlign w:val="subscript"/>
        </w:rPr>
        <w:t>j</w:t>
      </w:r>
      <w:proofErr w:type="spellEnd"/>
      <w:r w:rsidRPr="00DB12A1">
        <w:rPr>
          <w:rFonts w:ascii="Bookman Old Style" w:hAnsi="Bookman Old Style"/>
          <w:i/>
          <w:vertAlign w:val="subscript"/>
        </w:rPr>
        <w:t>,</w:t>
      </w:r>
      <w:r w:rsidRPr="00DB12A1">
        <w:rPr>
          <w:rFonts w:ascii="Bookman Old Style" w:hAnsi="Bookman Old Style"/>
          <w:i/>
        </w:rPr>
        <w:t xml:space="preserve">   </w:t>
      </w:r>
      <w:r w:rsidRPr="00DB12A1">
        <w:rPr>
          <w:rFonts w:ascii="Bookman Old Style" w:hAnsi="Bookman Old Style"/>
          <w:i/>
        </w:rPr>
        <w:tab/>
        <w:t xml:space="preserve">Ventas en el mercado de comercialización servido por el OR j,  durante doce (12) meses, en </w:t>
      </w:r>
      <w:proofErr w:type="spellStart"/>
      <w:r w:rsidRPr="00DB12A1">
        <w:rPr>
          <w:rFonts w:ascii="Bookman Old Style" w:hAnsi="Bookman Old Style"/>
          <w:i/>
        </w:rPr>
        <w:t>kWh</w:t>
      </w:r>
      <w:proofErr w:type="spellEnd"/>
      <w:r w:rsidRPr="00DB12A1">
        <w:rPr>
          <w:rFonts w:ascii="Bookman Old Style" w:hAnsi="Bookman Old Style"/>
          <w:i/>
        </w:rPr>
        <w:t xml:space="preserve">, realizadas por los comercializadores diferentes al </w:t>
      </w:r>
      <w:proofErr w:type="spellStart"/>
      <w:r w:rsidRPr="00DB12A1">
        <w:rPr>
          <w:rFonts w:ascii="Bookman Old Style" w:hAnsi="Bookman Old Style"/>
          <w:i/>
        </w:rPr>
        <w:t>incumbente</w:t>
      </w:r>
      <w:proofErr w:type="spellEnd"/>
      <w:r w:rsidRPr="00DB12A1">
        <w:rPr>
          <w:rFonts w:ascii="Bookman Old Style" w:hAnsi="Bookman Old Style"/>
          <w:i/>
        </w:rPr>
        <w:t xml:space="preserve">, calculado de la siguiente manera: </w:t>
      </w:r>
    </w:p>
    <w:p w:rsidR="00594DF0" w:rsidRPr="00D96BEF" w:rsidRDefault="000B2957" w:rsidP="00204D40">
      <w:pPr>
        <w:ind w:left="426"/>
        <w:jc w:val="center"/>
        <w:rPr>
          <w:rFonts w:ascii="Bookman Old Style" w:hAnsi="Bookman Old Style"/>
          <w:i/>
        </w:rPr>
      </w:pPr>
      <m:oMathPara>
        <m:oMath>
          <m:sSub>
            <m:sSubPr>
              <m:ctrlPr>
                <w:rPr>
                  <w:rFonts w:ascii="Cambria Math" w:hAnsi="Cambria Math"/>
                  <w:i/>
                  <w:sz w:val="22"/>
                  <w:szCs w:val="22"/>
                </w:rPr>
              </m:ctrlPr>
            </m:sSubPr>
            <m:e>
              <m:r>
                <w:rPr>
                  <w:rFonts w:ascii="Cambria Math" w:hAnsi="Cambria Math"/>
                  <w:sz w:val="22"/>
                  <w:szCs w:val="22"/>
                </w:rPr>
                <m:t>VCP</m:t>
              </m:r>
            </m:e>
            <m:sub>
              <m:r>
                <w:rPr>
                  <w:rFonts w:ascii="Cambria Math" w:hAnsi="Cambria Math"/>
                  <w:sz w:val="22"/>
                  <w:szCs w:val="22"/>
                </w:rPr>
                <m:t>j</m:t>
              </m:r>
            </m:sub>
          </m:sSub>
          <m:r>
            <w:rPr>
              <w:rFonts w:ascii="Cambria Math" w:hAnsi="Cambria Math"/>
              <w:sz w:val="22"/>
              <w:szCs w:val="22"/>
            </w:rPr>
            <m:t>=</m:t>
          </m:r>
          <m:nary>
            <m:naryPr>
              <m:chr m:val="∑"/>
              <m:limLoc m:val="undOvr"/>
              <m:ctrlPr>
                <w:rPr>
                  <w:rFonts w:ascii="Cambria Math" w:hAnsi="Cambria Math"/>
                  <w:i/>
                  <w:sz w:val="22"/>
                  <w:szCs w:val="22"/>
                </w:rPr>
              </m:ctrlPr>
            </m:naryPr>
            <m:sub>
              <m:r>
                <w:rPr>
                  <w:rFonts w:ascii="Cambria Math" w:hAnsi="Cambria Math"/>
                  <w:sz w:val="22"/>
                  <w:szCs w:val="22"/>
                </w:rPr>
                <m:t>m=-14</m:t>
              </m:r>
            </m:sub>
            <m:sup>
              <m:r>
                <w:rPr>
                  <w:rFonts w:ascii="Cambria Math" w:hAnsi="Cambria Math"/>
                  <w:sz w:val="22"/>
                  <w:szCs w:val="22"/>
                </w:rPr>
                <m:t>-3</m:t>
              </m:r>
            </m:sup>
            <m:e>
              <m:nary>
                <m:naryPr>
                  <m:chr m:val="∑"/>
                  <m:limLoc m:val="undOvr"/>
                  <m:ctrlPr>
                    <w:rPr>
                      <w:rFonts w:ascii="Cambria Math" w:hAnsi="Cambria Math"/>
                      <w:i/>
                      <w:sz w:val="22"/>
                      <w:szCs w:val="22"/>
                    </w:rPr>
                  </m:ctrlPr>
                </m:naryPr>
                <m:sub>
                  <m:r>
                    <w:rPr>
                      <w:rFonts w:ascii="Cambria Math" w:hAnsi="Cambria Math"/>
                      <w:sz w:val="22"/>
                      <w:szCs w:val="22"/>
                    </w:rPr>
                    <m:t>n=1</m:t>
                  </m:r>
                </m:sub>
                <m:sup>
                  <m:r>
                    <w:rPr>
                      <w:rFonts w:ascii="Cambria Math" w:hAnsi="Cambria Math"/>
                      <w:sz w:val="22"/>
                      <w:szCs w:val="22"/>
                    </w:rPr>
                    <m:t>4</m:t>
                  </m:r>
                </m:sup>
                <m:e>
                  <m:nary>
                    <m:naryPr>
                      <m:chr m:val="∑"/>
                      <m:limLoc m:val="undOvr"/>
                      <m:ctrlPr>
                        <w:rPr>
                          <w:rFonts w:ascii="Cambria Math" w:hAnsi="Cambria Math"/>
                          <w:i/>
                          <w:sz w:val="22"/>
                          <w:szCs w:val="22"/>
                        </w:rPr>
                      </m:ctrlPr>
                    </m:naryPr>
                    <m:sub>
                      <m:r>
                        <w:rPr>
                          <w:rFonts w:ascii="Cambria Math" w:hAnsi="Cambria Math"/>
                          <w:sz w:val="22"/>
                          <w:szCs w:val="22"/>
                        </w:rPr>
                        <m:t>i=1</m:t>
                      </m:r>
                    </m:sub>
                    <m:sup>
                      <m:r>
                        <w:rPr>
                          <w:rFonts w:ascii="Cambria Math" w:hAnsi="Cambria Math"/>
                          <w:sz w:val="22"/>
                          <w:szCs w:val="22"/>
                        </w:rPr>
                        <m:t>Ip</m:t>
                      </m:r>
                    </m:sup>
                    <m:e>
                      <m:sSub>
                        <m:sSubPr>
                          <m:ctrlPr>
                            <w:rPr>
                              <w:rFonts w:ascii="Cambria Math" w:hAnsi="Cambria Math"/>
                              <w:i/>
                              <w:sz w:val="22"/>
                              <w:szCs w:val="22"/>
                            </w:rPr>
                          </m:ctrlPr>
                        </m:sSubPr>
                        <m:e>
                          <m:r>
                            <w:rPr>
                              <w:rFonts w:ascii="Cambria Math" w:hAnsi="Cambria Math"/>
                              <w:sz w:val="22"/>
                              <w:szCs w:val="22"/>
                            </w:rPr>
                            <m:t>vcp</m:t>
                          </m:r>
                        </m:e>
                        <m:sub>
                          <m:r>
                            <w:rPr>
                              <w:rFonts w:ascii="Cambria Math" w:hAnsi="Cambria Math"/>
                              <w:sz w:val="22"/>
                              <w:szCs w:val="22"/>
                            </w:rPr>
                            <m:t>m,n,i</m:t>
                          </m:r>
                        </m:sub>
                      </m:sSub>
                    </m:e>
                  </m:nary>
                </m:e>
              </m:nary>
            </m:e>
          </m:nary>
        </m:oMath>
      </m:oMathPara>
    </w:p>
    <w:p w:rsidR="00594DF0" w:rsidRPr="00DB12A1" w:rsidRDefault="00594DF0" w:rsidP="00204D40">
      <w:pPr>
        <w:ind w:left="426"/>
        <w:jc w:val="both"/>
        <w:rPr>
          <w:rFonts w:ascii="Bookman Old Style" w:hAnsi="Bookman Old Style"/>
          <w:i/>
          <w:lang w:val="es-CO"/>
        </w:rPr>
      </w:pPr>
      <w:r w:rsidRPr="00DB12A1">
        <w:rPr>
          <w:rFonts w:ascii="Bookman Old Style" w:hAnsi="Bookman Old Style"/>
          <w:i/>
          <w:lang w:val="es-CO"/>
        </w:rPr>
        <w:t>Donde:</w:t>
      </w:r>
    </w:p>
    <w:p w:rsidR="00594DF0" w:rsidRPr="00DB12A1" w:rsidRDefault="00594DF0" w:rsidP="00204D40">
      <w:pPr>
        <w:ind w:left="426"/>
        <w:jc w:val="both"/>
        <w:rPr>
          <w:rFonts w:ascii="Bookman Old Style" w:hAnsi="Bookman Old Style"/>
          <w:i/>
          <w:lang w:val="es-CO"/>
        </w:rPr>
      </w:pPr>
    </w:p>
    <w:p w:rsidR="00594DF0" w:rsidRPr="00DB12A1" w:rsidRDefault="00594DF0" w:rsidP="00204D40">
      <w:pPr>
        <w:ind w:left="1701" w:hanging="1275"/>
        <w:jc w:val="both"/>
        <w:rPr>
          <w:rFonts w:ascii="Bookman Old Style" w:hAnsi="Bookman Old Style"/>
          <w:i/>
        </w:rPr>
      </w:pPr>
      <w:proofErr w:type="spellStart"/>
      <w:proofErr w:type="gramStart"/>
      <w:r w:rsidRPr="00DB12A1">
        <w:rPr>
          <w:rFonts w:ascii="Bookman Old Style" w:hAnsi="Bookman Old Style"/>
          <w:i/>
        </w:rPr>
        <w:t>vcp</w:t>
      </w:r>
      <w:r w:rsidRPr="00DB12A1">
        <w:rPr>
          <w:rFonts w:ascii="Bookman Old Style" w:hAnsi="Bookman Old Style"/>
          <w:i/>
          <w:vertAlign w:val="subscript"/>
        </w:rPr>
        <w:t>m,</w:t>
      </w:r>
      <w:proofErr w:type="gramEnd"/>
      <w:r w:rsidRPr="00DB12A1">
        <w:rPr>
          <w:rFonts w:ascii="Bookman Old Style" w:hAnsi="Bookman Old Style"/>
          <w:i/>
          <w:vertAlign w:val="subscript"/>
        </w:rPr>
        <w:t>n,i</w:t>
      </w:r>
      <w:proofErr w:type="spellEnd"/>
      <w:r w:rsidRPr="00DB12A1">
        <w:rPr>
          <w:rFonts w:ascii="Bookman Old Style" w:hAnsi="Bookman Old Style"/>
          <w:i/>
        </w:rPr>
        <w:tab/>
        <w:t xml:space="preserve">Energía registrada en el SIC para las fronteras comerciales de responsabilidad del comercializador i diferente al comercializador </w:t>
      </w:r>
      <w:proofErr w:type="spellStart"/>
      <w:r w:rsidRPr="00DB12A1">
        <w:rPr>
          <w:rFonts w:ascii="Bookman Old Style" w:hAnsi="Bookman Old Style"/>
          <w:i/>
        </w:rPr>
        <w:t>incumbente</w:t>
      </w:r>
      <w:proofErr w:type="spellEnd"/>
      <w:r w:rsidRPr="00DB12A1">
        <w:rPr>
          <w:rFonts w:ascii="Bookman Old Style" w:hAnsi="Bookman Old Style"/>
          <w:i/>
        </w:rPr>
        <w:t xml:space="preserve">, durante el mes m, en el nivel de tensión n, en el mercado de comercialización atendido por el OR j, en </w:t>
      </w:r>
      <w:proofErr w:type="spellStart"/>
      <w:r w:rsidRPr="00DB12A1">
        <w:rPr>
          <w:rFonts w:ascii="Bookman Old Style" w:hAnsi="Bookman Old Style"/>
          <w:i/>
        </w:rPr>
        <w:t>kWh</w:t>
      </w:r>
      <w:proofErr w:type="spellEnd"/>
      <w:r w:rsidRPr="00DB12A1">
        <w:rPr>
          <w:rFonts w:ascii="Bookman Old Style" w:hAnsi="Bookman Old Style"/>
          <w:i/>
        </w:rPr>
        <w:t xml:space="preserve">. </w:t>
      </w:r>
    </w:p>
    <w:p w:rsidR="00594DF0" w:rsidRPr="00DB12A1" w:rsidRDefault="00594DF0" w:rsidP="00204D40">
      <w:pPr>
        <w:ind w:left="1701" w:hanging="1275"/>
        <w:jc w:val="both"/>
        <w:rPr>
          <w:rFonts w:ascii="Bookman Old Style" w:hAnsi="Bookman Old Style"/>
          <w:i/>
        </w:rPr>
      </w:pPr>
    </w:p>
    <w:p w:rsidR="00594DF0" w:rsidRPr="00DB12A1" w:rsidRDefault="00204D40" w:rsidP="00204D40">
      <w:pPr>
        <w:ind w:left="1701" w:hanging="1275"/>
        <w:jc w:val="both"/>
        <w:rPr>
          <w:rFonts w:ascii="Bookman Old Style" w:hAnsi="Bookman Old Style"/>
          <w:i/>
        </w:rPr>
      </w:pPr>
      <w:r w:rsidRPr="00DB12A1">
        <w:rPr>
          <w:rFonts w:ascii="Bookman Old Style" w:hAnsi="Bookman Old Style"/>
          <w:i/>
        </w:rPr>
        <w:tab/>
      </w:r>
      <w:r w:rsidR="00594DF0" w:rsidRPr="00DB12A1">
        <w:rPr>
          <w:rFonts w:ascii="Bookman Old Style" w:hAnsi="Bookman Old Style"/>
          <w:i/>
        </w:rPr>
        <w:t>Cuando no se disponga de la información para un mes determinado, se utilizará el promedio de los valores registrados para los últimos seis (6) meses o la mejor información disponible.</w:t>
      </w:r>
    </w:p>
    <w:p w:rsidR="00594DF0" w:rsidRPr="00DB12A1" w:rsidRDefault="00594DF0" w:rsidP="00204D40">
      <w:pPr>
        <w:ind w:left="1701" w:hanging="1275"/>
        <w:jc w:val="both"/>
        <w:rPr>
          <w:rFonts w:ascii="Bookman Old Style" w:hAnsi="Bookman Old Style"/>
          <w:i/>
        </w:rPr>
      </w:pPr>
    </w:p>
    <w:p w:rsidR="00594DF0" w:rsidRPr="00DB12A1" w:rsidRDefault="00594DF0" w:rsidP="00204D40">
      <w:pPr>
        <w:ind w:left="1701" w:hanging="1275"/>
        <w:jc w:val="both"/>
        <w:rPr>
          <w:rFonts w:ascii="Bookman Old Style" w:hAnsi="Bookman Old Style"/>
          <w:i/>
          <w:iCs/>
        </w:rPr>
      </w:pPr>
      <w:proofErr w:type="spellStart"/>
      <w:r w:rsidRPr="00DB12A1">
        <w:rPr>
          <w:rFonts w:ascii="Bookman Old Style" w:hAnsi="Bookman Old Style"/>
          <w:i/>
          <w:iCs/>
        </w:rPr>
        <w:t>Ip</w:t>
      </w:r>
      <w:proofErr w:type="spellEnd"/>
      <w:r w:rsidRPr="00DB12A1">
        <w:rPr>
          <w:rFonts w:ascii="Bookman Old Style" w:hAnsi="Bookman Old Style"/>
          <w:i/>
          <w:iCs/>
        </w:rPr>
        <w:t>:</w:t>
      </w:r>
      <w:r w:rsidRPr="00DB12A1">
        <w:rPr>
          <w:rFonts w:ascii="Bookman Old Style" w:hAnsi="Bookman Old Style"/>
          <w:i/>
          <w:iCs/>
        </w:rPr>
        <w:tab/>
        <w:t xml:space="preserve">Número total de Comercializadores distintos al </w:t>
      </w:r>
      <w:proofErr w:type="spellStart"/>
      <w:r w:rsidRPr="00DB12A1">
        <w:rPr>
          <w:rFonts w:ascii="Bookman Old Style" w:hAnsi="Bookman Old Style"/>
          <w:i/>
          <w:iCs/>
        </w:rPr>
        <w:t>incumbente</w:t>
      </w:r>
      <w:proofErr w:type="spellEnd"/>
      <w:r w:rsidRPr="00DB12A1">
        <w:rPr>
          <w:rFonts w:ascii="Bookman Old Style" w:hAnsi="Bookman Old Style"/>
          <w:i/>
          <w:iCs/>
        </w:rPr>
        <w:t xml:space="preserve"> en el mercado de comercialización del OR j.</w:t>
      </w:r>
    </w:p>
    <w:p w:rsidR="00594DF0" w:rsidRPr="00DB12A1" w:rsidRDefault="00594DF0" w:rsidP="00204D40">
      <w:pPr>
        <w:ind w:left="1701" w:hanging="1275"/>
        <w:jc w:val="both"/>
        <w:rPr>
          <w:rFonts w:ascii="Bookman Old Style" w:hAnsi="Bookman Old Style"/>
          <w:i/>
        </w:rPr>
      </w:pPr>
    </w:p>
    <w:p w:rsidR="00594DF0" w:rsidRPr="00DB12A1" w:rsidRDefault="00594DF0" w:rsidP="00204D40">
      <w:pPr>
        <w:ind w:left="1701" w:hanging="1275"/>
        <w:jc w:val="both"/>
        <w:rPr>
          <w:rFonts w:ascii="Bookman Old Style" w:hAnsi="Bookman Old Style"/>
          <w:i/>
        </w:rPr>
      </w:pPr>
      <w:proofErr w:type="spellStart"/>
      <w:r w:rsidRPr="00DB12A1">
        <w:rPr>
          <w:rFonts w:ascii="Bookman Old Style" w:hAnsi="Bookman Old Style"/>
          <w:i/>
        </w:rPr>
        <w:t>VCI</w:t>
      </w:r>
      <w:r w:rsidRPr="00DB12A1">
        <w:rPr>
          <w:rFonts w:ascii="Bookman Old Style" w:hAnsi="Bookman Old Style"/>
          <w:i/>
          <w:vertAlign w:val="subscript"/>
        </w:rPr>
        <w:t>j</w:t>
      </w:r>
      <w:proofErr w:type="spellEnd"/>
      <w:r w:rsidRPr="00DB12A1">
        <w:rPr>
          <w:rFonts w:ascii="Bookman Old Style" w:hAnsi="Bookman Old Style"/>
          <w:i/>
          <w:vertAlign w:val="subscript"/>
        </w:rPr>
        <w:t>,</w:t>
      </w:r>
      <w:r w:rsidRPr="00DB12A1">
        <w:rPr>
          <w:rFonts w:ascii="Bookman Old Style" w:hAnsi="Bookman Old Style"/>
          <w:i/>
        </w:rPr>
        <w:t xml:space="preserve">   </w:t>
      </w:r>
      <w:r w:rsidRPr="00DB12A1">
        <w:rPr>
          <w:rFonts w:ascii="Bookman Old Style" w:hAnsi="Bookman Old Style"/>
          <w:i/>
        </w:rPr>
        <w:tab/>
        <w:t xml:space="preserve">Ventas en el mercado de comercialización servido por el OR j, durante doce (12) meses, en </w:t>
      </w:r>
      <w:proofErr w:type="spellStart"/>
      <w:r w:rsidRPr="00DB12A1">
        <w:rPr>
          <w:rFonts w:ascii="Bookman Old Style" w:hAnsi="Bookman Old Style"/>
          <w:i/>
        </w:rPr>
        <w:t>kWh</w:t>
      </w:r>
      <w:proofErr w:type="spellEnd"/>
      <w:r w:rsidRPr="00DB12A1">
        <w:rPr>
          <w:rFonts w:ascii="Bookman Old Style" w:hAnsi="Bookman Old Style"/>
          <w:i/>
        </w:rPr>
        <w:t xml:space="preserve">, realizadas por el comercializador </w:t>
      </w:r>
      <w:proofErr w:type="spellStart"/>
      <w:r w:rsidRPr="00DB12A1">
        <w:rPr>
          <w:rFonts w:ascii="Bookman Old Style" w:hAnsi="Bookman Old Style"/>
          <w:i/>
        </w:rPr>
        <w:t>incumbente</w:t>
      </w:r>
      <w:proofErr w:type="spellEnd"/>
      <w:r w:rsidRPr="00DB12A1">
        <w:rPr>
          <w:rFonts w:ascii="Bookman Old Style" w:hAnsi="Bookman Old Style"/>
          <w:i/>
        </w:rPr>
        <w:t xml:space="preserve">, calculado de la siguiente manera: </w:t>
      </w:r>
    </w:p>
    <w:p w:rsidR="00594DF0" w:rsidRPr="00DB12A1" w:rsidRDefault="00594DF0" w:rsidP="00204D40">
      <w:pPr>
        <w:ind w:left="426"/>
        <w:jc w:val="both"/>
        <w:rPr>
          <w:rFonts w:ascii="Bookman Old Style" w:hAnsi="Bookman Old Style"/>
          <w:i/>
        </w:rPr>
      </w:pPr>
    </w:p>
    <w:p w:rsidR="00594DF0" w:rsidRPr="00DB12A1" w:rsidRDefault="000B2957" w:rsidP="00204D40">
      <w:pPr>
        <w:ind w:left="426"/>
        <w:jc w:val="center"/>
        <w:rPr>
          <w:rFonts w:ascii="Bookman Old Style" w:hAnsi="Bookman Old Style"/>
          <w:i/>
        </w:rPr>
      </w:pPr>
      <m:oMathPara>
        <m:oMath>
          <m:sSub>
            <m:sSubPr>
              <m:ctrlPr>
                <w:rPr>
                  <w:rFonts w:ascii="Cambria Math" w:hAnsi="Cambria Math"/>
                  <w:i/>
                  <w:sz w:val="22"/>
                  <w:szCs w:val="22"/>
                </w:rPr>
              </m:ctrlPr>
            </m:sSubPr>
            <m:e>
              <m:r>
                <w:rPr>
                  <w:rFonts w:ascii="Cambria Math" w:hAnsi="Cambria Math"/>
                  <w:sz w:val="22"/>
                  <w:szCs w:val="22"/>
                </w:rPr>
                <m:t>VCI</m:t>
              </m:r>
            </m:e>
            <m:sub>
              <m:r>
                <w:rPr>
                  <w:rFonts w:ascii="Cambria Math" w:hAnsi="Cambria Math"/>
                  <w:sz w:val="22"/>
                  <w:szCs w:val="22"/>
                </w:rPr>
                <m:t>j</m:t>
              </m:r>
            </m:sub>
          </m:sSub>
          <m:r>
            <w:rPr>
              <w:rFonts w:ascii="Cambria Math" w:hAnsi="Cambria Math"/>
              <w:sz w:val="22"/>
              <w:szCs w:val="22"/>
            </w:rPr>
            <m:t>=</m:t>
          </m:r>
          <m:nary>
            <m:naryPr>
              <m:chr m:val="∑"/>
              <m:limLoc m:val="undOvr"/>
              <m:ctrlPr>
                <w:rPr>
                  <w:rFonts w:ascii="Cambria Math" w:hAnsi="Cambria Math"/>
                  <w:i/>
                  <w:sz w:val="22"/>
                  <w:szCs w:val="22"/>
                </w:rPr>
              </m:ctrlPr>
            </m:naryPr>
            <m:sub>
              <m:r>
                <w:rPr>
                  <w:rFonts w:ascii="Cambria Math" w:hAnsi="Cambria Math"/>
                  <w:sz w:val="22"/>
                  <w:szCs w:val="22"/>
                </w:rPr>
                <m:t>m=-14</m:t>
              </m:r>
            </m:sub>
            <m:sup>
              <m:r>
                <w:rPr>
                  <w:rFonts w:ascii="Cambria Math" w:hAnsi="Cambria Math"/>
                  <w:sz w:val="22"/>
                  <w:szCs w:val="22"/>
                </w:rPr>
                <m:t>-3</m:t>
              </m:r>
            </m:sup>
            <m:e>
              <m:nary>
                <m:naryPr>
                  <m:chr m:val="∑"/>
                  <m:limLoc m:val="undOvr"/>
                  <m:ctrlPr>
                    <w:rPr>
                      <w:rFonts w:ascii="Cambria Math" w:hAnsi="Cambria Math"/>
                      <w:i/>
                      <w:sz w:val="22"/>
                      <w:szCs w:val="22"/>
                    </w:rPr>
                  </m:ctrlPr>
                </m:naryPr>
                <m:sub>
                  <m:r>
                    <w:rPr>
                      <w:rFonts w:ascii="Cambria Math" w:hAnsi="Cambria Math"/>
                      <w:sz w:val="22"/>
                      <w:szCs w:val="22"/>
                    </w:rPr>
                    <m:t>n=1</m:t>
                  </m:r>
                </m:sub>
                <m:sup>
                  <m:r>
                    <w:rPr>
                      <w:rFonts w:ascii="Cambria Math" w:hAnsi="Cambria Math"/>
                      <w:sz w:val="22"/>
                      <w:szCs w:val="22"/>
                    </w:rPr>
                    <m:t>4</m:t>
                  </m:r>
                </m:sup>
                <m:e>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vciR</m:t>
                      </m:r>
                    </m:e>
                    <m:sub>
                      <m:r>
                        <w:rPr>
                          <w:rFonts w:ascii="Cambria Math" w:hAnsi="Cambria Math"/>
                          <w:sz w:val="22"/>
                          <w:szCs w:val="22"/>
                        </w:rPr>
                        <m:t>m,n</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vciNR</m:t>
                      </m:r>
                    </m:e>
                    <m:sub>
                      <m:r>
                        <w:rPr>
                          <w:rFonts w:ascii="Cambria Math" w:hAnsi="Cambria Math"/>
                          <w:sz w:val="22"/>
                          <w:szCs w:val="22"/>
                        </w:rPr>
                        <m:t>m,n</m:t>
                      </m:r>
                    </m:sub>
                  </m:sSub>
                  <m:r>
                    <w:rPr>
                      <w:rFonts w:ascii="Cambria Math" w:hAnsi="Cambria Math"/>
                      <w:sz w:val="22"/>
                      <w:szCs w:val="22"/>
                    </w:rPr>
                    <m:t>)</m:t>
                  </m:r>
                </m:e>
              </m:nary>
            </m:e>
          </m:nary>
        </m:oMath>
      </m:oMathPara>
    </w:p>
    <w:p w:rsidR="00594DF0" w:rsidRDefault="00594DF0" w:rsidP="00204D40">
      <w:pPr>
        <w:ind w:left="426"/>
        <w:jc w:val="both"/>
        <w:rPr>
          <w:rFonts w:ascii="Bookman Old Style" w:hAnsi="Bookman Old Style"/>
          <w:i/>
          <w:lang w:val="es-CO"/>
        </w:rPr>
      </w:pPr>
    </w:p>
    <w:p w:rsidR="00C850D9" w:rsidRPr="00DB12A1" w:rsidRDefault="00C850D9" w:rsidP="00204D40">
      <w:pPr>
        <w:ind w:left="426"/>
        <w:jc w:val="both"/>
        <w:rPr>
          <w:rFonts w:ascii="Bookman Old Style" w:hAnsi="Bookman Old Style"/>
          <w:i/>
          <w:lang w:val="es-CO"/>
        </w:rPr>
      </w:pPr>
    </w:p>
    <w:p w:rsidR="00594DF0" w:rsidRPr="00DB12A1" w:rsidRDefault="00594DF0" w:rsidP="00204D40">
      <w:pPr>
        <w:ind w:left="1701" w:hanging="1275"/>
        <w:jc w:val="both"/>
        <w:rPr>
          <w:rFonts w:ascii="Bookman Old Style" w:hAnsi="Bookman Old Style"/>
          <w:i/>
        </w:rPr>
      </w:pPr>
      <w:proofErr w:type="spellStart"/>
      <w:proofErr w:type="gramStart"/>
      <w:r w:rsidRPr="00DB12A1">
        <w:rPr>
          <w:rFonts w:ascii="Bookman Old Style" w:hAnsi="Bookman Old Style"/>
          <w:i/>
        </w:rPr>
        <w:t>vciR</w:t>
      </w:r>
      <w:r w:rsidRPr="00DB12A1">
        <w:rPr>
          <w:rFonts w:ascii="Bookman Old Style" w:hAnsi="Bookman Old Style"/>
          <w:i/>
          <w:vertAlign w:val="subscript"/>
        </w:rPr>
        <w:t>m,</w:t>
      </w:r>
      <w:proofErr w:type="gramEnd"/>
      <w:r w:rsidRPr="00DB12A1">
        <w:rPr>
          <w:rFonts w:ascii="Bookman Old Style" w:hAnsi="Bookman Old Style"/>
          <w:i/>
          <w:vertAlign w:val="subscript"/>
        </w:rPr>
        <w:t>n</w:t>
      </w:r>
      <w:proofErr w:type="spellEnd"/>
      <w:r w:rsidRPr="00DB12A1">
        <w:rPr>
          <w:rFonts w:ascii="Bookman Old Style" w:hAnsi="Bookman Old Style"/>
          <w:i/>
        </w:rPr>
        <w:tab/>
        <w:t xml:space="preserve">Ventas durante el mes m, en el nivel de tensión n, del comercializador </w:t>
      </w:r>
      <w:proofErr w:type="spellStart"/>
      <w:r w:rsidRPr="00DB12A1">
        <w:rPr>
          <w:rFonts w:ascii="Bookman Old Style" w:hAnsi="Bookman Old Style"/>
          <w:i/>
        </w:rPr>
        <w:t>incumbente</w:t>
      </w:r>
      <w:proofErr w:type="spellEnd"/>
      <w:r w:rsidRPr="00DB12A1">
        <w:rPr>
          <w:rFonts w:ascii="Bookman Old Style" w:hAnsi="Bookman Old Style"/>
          <w:i/>
        </w:rPr>
        <w:t>, para usuarios regulados.</w:t>
      </w:r>
    </w:p>
    <w:p w:rsidR="00594DF0" w:rsidRPr="00DB12A1" w:rsidRDefault="00594DF0" w:rsidP="00204D40">
      <w:pPr>
        <w:ind w:left="1701" w:hanging="1275"/>
        <w:jc w:val="both"/>
        <w:rPr>
          <w:rFonts w:ascii="Bookman Old Style" w:hAnsi="Bookman Old Style"/>
          <w:i/>
        </w:rPr>
      </w:pPr>
    </w:p>
    <w:p w:rsidR="00594DF0" w:rsidRPr="00DB12A1" w:rsidRDefault="00204D40" w:rsidP="00204D40">
      <w:pPr>
        <w:ind w:left="1701" w:hanging="1275"/>
        <w:jc w:val="both"/>
        <w:rPr>
          <w:rFonts w:ascii="Bookman Old Style" w:hAnsi="Bookman Old Style"/>
          <w:i/>
        </w:rPr>
      </w:pPr>
      <w:r w:rsidRPr="00DB12A1">
        <w:rPr>
          <w:rFonts w:ascii="Bookman Old Style" w:hAnsi="Bookman Old Style"/>
          <w:i/>
        </w:rPr>
        <w:tab/>
      </w:r>
      <w:r w:rsidR="00594DF0" w:rsidRPr="00DB12A1">
        <w:rPr>
          <w:rFonts w:ascii="Bookman Old Style" w:hAnsi="Bookman Old Style"/>
          <w:i/>
        </w:rPr>
        <w:t xml:space="preserve">Corresponde al consumo de energía eléctrica en </w:t>
      </w:r>
      <w:proofErr w:type="spellStart"/>
      <w:r w:rsidR="00594DF0" w:rsidRPr="00DB12A1">
        <w:rPr>
          <w:rFonts w:ascii="Bookman Old Style" w:hAnsi="Bookman Old Style"/>
          <w:i/>
        </w:rPr>
        <w:t>kWh</w:t>
      </w:r>
      <w:proofErr w:type="spellEnd"/>
      <w:r w:rsidR="00594DF0" w:rsidRPr="00DB12A1">
        <w:rPr>
          <w:rFonts w:ascii="Bookman Old Style" w:hAnsi="Bookman Old Style"/>
          <w:i/>
        </w:rPr>
        <w:t xml:space="preserve"> que es facturado y reportado al SUI para el respectivo periodo. Cuando no se disponga de la información para un mes determinado, se utilizará el promedio registrado en el SUI para los últimos seis (6) meses o la mejor información disponible.</w:t>
      </w:r>
    </w:p>
    <w:p w:rsidR="00594DF0" w:rsidRPr="00DB12A1" w:rsidRDefault="00594DF0" w:rsidP="00204D40">
      <w:pPr>
        <w:ind w:left="1701" w:hanging="1275"/>
        <w:jc w:val="both"/>
        <w:rPr>
          <w:rFonts w:ascii="Bookman Old Style" w:hAnsi="Bookman Old Style"/>
          <w:i/>
        </w:rPr>
      </w:pPr>
      <w:proofErr w:type="spellStart"/>
      <w:proofErr w:type="gramStart"/>
      <w:r w:rsidRPr="00DB12A1">
        <w:rPr>
          <w:rFonts w:ascii="Bookman Old Style" w:hAnsi="Bookman Old Style"/>
          <w:i/>
        </w:rPr>
        <w:lastRenderedPageBreak/>
        <w:t>vciNR</w:t>
      </w:r>
      <w:r w:rsidRPr="00DB12A1">
        <w:rPr>
          <w:rFonts w:ascii="Bookman Old Style" w:hAnsi="Bookman Old Style"/>
          <w:i/>
          <w:vertAlign w:val="subscript"/>
        </w:rPr>
        <w:t>m,</w:t>
      </w:r>
      <w:proofErr w:type="gramEnd"/>
      <w:r w:rsidRPr="00DB12A1">
        <w:rPr>
          <w:rFonts w:ascii="Bookman Old Style" w:hAnsi="Bookman Old Style"/>
          <w:i/>
          <w:vertAlign w:val="subscript"/>
        </w:rPr>
        <w:t>n</w:t>
      </w:r>
      <w:proofErr w:type="spellEnd"/>
      <w:r w:rsidRPr="00DB12A1">
        <w:rPr>
          <w:rFonts w:ascii="Bookman Old Style" w:hAnsi="Bookman Old Style"/>
          <w:i/>
        </w:rPr>
        <w:tab/>
        <w:t xml:space="preserve">Ventas durante el mes m, en el nivel de tensión n, del comercializador </w:t>
      </w:r>
      <w:proofErr w:type="spellStart"/>
      <w:r w:rsidRPr="00DB12A1">
        <w:rPr>
          <w:rFonts w:ascii="Bookman Old Style" w:hAnsi="Bookman Old Style"/>
          <w:i/>
        </w:rPr>
        <w:t>incumbente</w:t>
      </w:r>
      <w:proofErr w:type="spellEnd"/>
      <w:r w:rsidRPr="00DB12A1">
        <w:rPr>
          <w:rFonts w:ascii="Bookman Old Style" w:hAnsi="Bookman Old Style"/>
          <w:i/>
        </w:rPr>
        <w:t>, para usuarios no regulados.</w:t>
      </w:r>
    </w:p>
    <w:p w:rsidR="00594DF0" w:rsidRPr="00DB12A1" w:rsidRDefault="00594DF0" w:rsidP="00204D40">
      <w:pPr>
        <w:ind w:left="1701" w:hanging="1275"/>
        <w:jc w:val="both"/>
        <w:rPr>
          <w:rFonts w:ascii="Bookman Old Style" w:hAnsi="Bookman Old Style"/>
          <w:i/>
        </w:rPr>
      </w:pPr>
    </w:p>
    <w:p w:rsidR="00594DF0" w:rsidRPr="00DB12A1" w:rsidRDefault="00204D40" w:rsidP="00204D40">
      <w:pPr>
        <w:ind w:left="1701" w:hanging="1275"/>
        <w:jc w:val="both"/>
        <w:rPr>
          <w:rFonts w:ascii="Bookman Old Style" w:hAnsi="Bookman Old Style"/>
          <w:i/>
        </w:rPr>
      </w:pPr>
      <w:r w:rsidRPr="00DB12A1">
        <w:rPr>
          <w:rFonts w:ascii="Bookman Old Style" w:hAnsi="Bookman Old Style"/>
          <w:i/>
        </w:rPr>
        <w:tab/>
      </w:r>
      <w:r w:rsidR="00594DF0" w:rsidRPr="00DB12A1">
        <w:rPr>
          <w:rFonts w:ascii="Bookman Old Style" w:hAnsi="Bookman Old Style"/>
          <w:i/>
        </w:rPr>
        <w:t xml:space="preserve">Corresponde a la energía registrada en el SIC para las fronteras comerciales de usuarios no Regulados </w:t>
      </w:r>
      <w:r w:rsidR="006E403F">
        <w:rPr>
          <w:rFonts w:ascii="Bookman Old Style" w:hAnsi="Bookman Old Style"/>
          <w:i/>
        </w:rPr>
        <w:t xml:space="preserve">de </w:t>
      </w:r>
      <w:r w:rsidR="00594DF0" w:rsidRPr="00DB12A1">
        <w:rPr>
          <w:rFonts w:ascii="Bookman Old Style" w:hAnsi="Bookman Old Style"/>
          <w:i/>
        </w:rPr>
        <w:t xml:space="preserve">responsabilidad del comercializador </w:t>
      </w:r>
      <w:proofErr w:type="spellStart"/>
      <w:r w:rsidR="00594DF0" w:rsidRPr="00DB12A1">
        <w:rPr>
          <w:rFonts w:ascii="Bookman Old Style" w:hAnsi="Bookman Old Style"/>
          <w:i/>
        </w:rPr>
        <w:t>incumbente</w:t>
      </w:r>
      <w:proofErr w:type="spellEnd"/>
      <w:r w:rsidR="00594DF0" w:rsidRPr="00DB12A1">
        <w:rPr>
          <w:rFonts w:ascii="Bookman Old Style" w:hAnsi="Bookman Old Style"/>
          <w:i/>
        </w:rPr>
        <w:t xml:space="preserve">, durante el mes m, en el nivel de tensión n, en el mercado de comercialización atendido por el OR j, en </w:t>
      </w:r>
      <w:proofErr w:type="spellStart"/>
      <w:r w:rsidR="00594DF0" w:rsidRPr="00DB12A1">
        <w:rPr>
          <w:rFonts w:ascii="Bookman Old Style" w:hAnsi="Bookman Old Style"/>
          <w:i/>
        </w:rPr>
        <w:t>kWh</w:t>
      </w:r>
      <w:proofErr w:type="spellEnd"/>
      <w:r w:rsidR="00594DF0" w:rsidRPr="00DB12A1">
        <w:rPr>
          <w:rFonts w:ascii="Bookman Old Style" w:hAnsi="Bookman Old Style"/>
          <w:i/>
        </w:rPr>
        <w:t>.</w:t>
      </w:r>
    </w:p>
    <w:p w:rsidR="00594DF0" w:rsidRPr="00DB12A1" w:rsidRDefault="00594DF0" w:rsidP="00204D40">
      <w:pPr>
        <w:ind w:left="1701" w:hanging="1275"/>
        <w:jc w:val="both"/>
        <w:rPr>
          <w:rFonts w:ascii="Bookman Old Style" w:hAnsi="Bookman Old Style"/>
          <w:i/>
        </w:rPr>
      </w:pPr>
    </w:p>
    <w:p w:rsidR="00594DF0" w:rsidRPr="00DB12A1" w:rsidRDefault="00204D40" w:rsidP="00204D40">
      <w:pPr>
        <w:ind w:left="1701" w:hanging="1275"/>
        <w:jc w:val="both"/>
        <w:rPr>
          <w:rFonts w:ascii="Bookman Old Style" w:hAnsi="Bookman Old Style"/>
          <w:i/>
        </w:rPr>
      </w:pPr>
      <w:r w:rsidRPr="00DB12A1">
        <w:rPr>
          <w:rFonts w:ascii="Bookman Old Style" w:hAnsi="Bookman Old Style"/>
          <w:i/>
        </w:rPr>
        <w:tab/>
      </w:r>
      <w:r w:rsidR="00594DF0" w:rsidRPr="00DB12A1">
        <w:rPr>
          <w:rFonts w:ascii="Bookman Old Style" w:hAnsi="Bookman Old Style"/>
          <w:i/>
        </w:rPr>
        <w:t>Cuando no se disponga de la información para un mes determinado, se utilizará el promedio de los valores registrados para los últimos seis (6) meses o la mejor información disponible.</w:t>
      </w:r>
    </w:p>
    <w:p w:rsidR="00594DF0" w:rsidRPr="00DB12A1" w:rsidRDefault="00594DF0" w:rsidP="00204D40">
      <w:pPr>
        <w:pStyle w:val="articulo"/>
        <w:ind w:left="1701" w:hanging="1275"/>
        <w:rPr>
          <w:i/>
        </w:rPr>
      </w:pPr>
      <w:r w:rsidRPr="00DB12A1">
        <w:rPr>
          <w:i/>
        </w:rPr>
        <w:t>IPP</w:t>
      </w:r>
      <w:r w:rsidRPr="00DB12A1">
        <w:rPr>
          <w:i/>
          <w:vertAlign w:val="subscript"/>
        </w:rPr>
        <w:t>m-</w:t>
      </w:r>
      <w:r w:rsidR="006D0EB2">
        <w:rPr>
          <w:i/>
          <w:vertAlign w:val="subscript"/>
        </w:rPr>
        <w:t>2</w:t>
      </w:r>
      <w:r w:rsidRPr="00DB12A1">
        <w:rPr>
          <w:i/>
          <w:vertAlign w:val="subscript"/>
        </w:rPr>
        <w:tab/>
      </w:r>
      <w:r w:rsidR="00204D40" w:rsidRPr="00DB12A1">
        <w:rPr>
          <w:i/>
          <w:vertAlign w:val="subscript"/>
        </w:rPr>
        <w:tab/>
      </w:r>
      <w:r w:rsidRPr="00DB12A1">
        <w:rPr>
          <w:i/>
        </w:rPr>
        <w:t>Índice de Precios al Productor Total Nacional correspondiente al mes m-</w:t>
      </w:r>
      <w:r w:rsidR="006D0EB2">
        <w:rPr>
          <w:i/>
        </w:rPr>
        <w:t>2</w:t>
      </w:r>
      <w:r w:rsidRPr="00DB12A1">
        <w:rPr>
          <w:i/>
        </w:rPr>
        <w:t>.</w:t>
      </w:r>
    </w:p>
    <w:p w:rsidR="00594DF0" w:rsidRPr="00DB12A1" w:rsidRDefault="00594DF0" w:rsidP="00204D40">
      <w:pPr>
        <w:ind w:left="1701" w:hanging="1275"/>
        <w:rPr>
          <w:i/>
        </w:rPr>
      </w:pPr>
    </w:p>
    <w:p w:rsidR="00594DF0" w:rsidRPr="00DB12A1" w:rsidRDefault="00594DF0" w:rsidP="00204D40">
      <w:pPr>
        <w:pStyle w:val="articulo"/>
        <w:spacing w:before="0"/>
        <w:ind w:left="1701" w:hanging="1275"/>
        <w:rPr>
          <w:i/>
        </w:rPr>
      </w:pPr>
      <w:proofErr w:type="spellStart"/>
      <w:r w:rsidRPr="00DB12A1">
        <w:rPr>
          <w:i/>
        </w:rPr>
        <w:t>IPP</w:t>
      </w:r>
      <w:r w:rsidRPr="00DB12A1">
        <w:rPr>
          <w:i/>
          <w:vertAlign w:val="subscript"/>
        </w:rPr>
        <w:t>o</w:t>
      </w:r>
      <w:proofErr w:type="spellEnd"/>
      <w:r w:rsidRPr="00DB12A1">
        <w:rPr>
          <w:i/>
        </w:rPr>
        <w:tab/>
      </w:r>
      <w:r w:rsidR="00204D40" w:rsidRPr="00DB12A1">
        <w:rPr>
          <w:i/>
        </w:rPr>
        <w:tab/>
      </w:r>
      <w:r w:rsidRPr="00DB12A1">
        <w:rPr>
          <w:i/>
        </w:rPr>
        <w:t>Índice de Precios al Productor Total Nacional correspondiente al mes de diciembre de 2010.</w:t>
      </w:r>
    </w:p>
    <w:p w:rsidR="00FF0997" w:rsidRDefault="00FF0997" w:rsidP="00FF0997">
      <w:pPr>
        <w:ind w:left="0"/>
        <w:jc w:val="both"/>
        <w:rPr>
          <w:rFonts w:ascii="Bookman Old Style" w:hAnsi="Bookman Old Style"/>
          <w:b/>
        </w:rPr>
      </w:pPr>
    </w:p>
    <w:p w:rsidR="008E6072" w:rsidRDefault="008E6072" w:rsidP="00FF0997">
      <w:pPr>
        <w:ind w:left="0"/>
        <w:jc w:val="both"/>
        <w:rPr>
          <w:rFonts w:ascii="Bookman Old Style" w:hAnsi="Bookman Old Style"/>
          <w:b/>
        </w:rPr>
      </w:pPr>
    </w:p>
    <w:p w:rsidR="00FF0997" w:rsidRDefault="00D150D2" w:rsidP="00A04E7D">
      <w:pPr>
        <w:pStyle w:val="Artculo"/>
      </w:pPr>
      <w:r w:rsidRPr="00D150D2">
        <w:t>Modificar e</w:t>
      </w:r>
      <w:r w:rsidR="00FF0997" w:rsidRPr="00D150D2">
        <w:t>l</w:t>
      </w:r>
      <w:r w:rsidR="00FF0997" w:rsidRPr="003A7A27">
        <w:t xml:space="preserve"> </w:t>
      </w:r>
      <w:r w:rsidR="00FF0997">
        <w:t>numeral 4.2.4 del Anexo 4 de la Resolución CREG 172 de 2011</w:t>
      </w:r>
      <w:r w:rsidR="00D96BEF">
        <w:t xml:space="preserve">, el cual </w:t>
      </w:r>
      <w:r w:rsidR="00FF0997" w:rsidRPr="003A7A27">
        <w:t>queda</w:t>
      </w:r>
      <w:r>
        <w:t>rá</w:t>
      </w:r>
      <w:r w:rsidR="00FF0997" w:rsidRPr="003A7A27">
        <w:t xml:space="preserve"> así:</w:t>
      </w:r>
    </w:p>
    <w:p w:rsidR="00E12B49" w:rsidRDefault="00E12B49" w:rsidP="00E12B49">
      <w:pPr>
        <w:ind w:left="1410" w:hanging="1410"/>
        <w:jc w:val="both"/>
        <w:rPr>
          <w:rFonts w:ascii="Bookman Old Style" w:hAnsi="Bookman Old Style"/>
        </w:rPr>
      </w:pPr>
    </w:p>
    <w:p w:rsidR="00E12B49" w:rsidRPr="00D7289B" w:rsidRDefault="00E12B49" w:rsidP="007E412B">
      <w:pPr>
        <w:pStyle w:val="Ttulo3"/>
        <w:ind w:left="426"/>
        <w:jc w:val="both"/>
        <w:rPr>
          <w:rFonts w:ascii="Bookman Old Style" w:hAnsi="Bookman Old Style"/>
          <w:i/>
          <w:szCs w:val="24"/>
        </w:rPr>
      </w:pPr>
      <w:bookmarkStart w:id="7" w:name="_Ref277706484"/>
      <w:bookmarkStart w:id="8" w:name="_Toc310577388"/>
      <w:r w:rsidRPr="00D7289B">
        <w:rPr>
          <w:rFonts w:ascii="Bookman Old Style" w:hAnsi="Bookman Old Style"/>
          <w:i/>
          <w:szCs w:val="24"/>
        </w:rPr>
        <w:t>4.2.4 Cálculo de la energía de salida para cada Nivel de Tensión</w:t>
      </w:r>
      <w:bookmarkEnd w:id="7"/>
      <w:bookmarkEnd w:id="8"/>
      <w:r w:rsidRPr="00D7289B">
        <w:rPr>
          <w:rFonts w:ascii="Bookman Old Style" w:hAnsi="Bookman Old Style"/>
          <w:i/>
          <w:szCs w:val="24"/>
        </w:rPr>
        <w:t xml:space="preserve"> </w:t>
      </w:r>
    </w:p>
    <w:p w:rsidR="00E12B49" w:rsidRPr="00D7289B" w:rsidRDefault="00E12B49" w:rsidP="007E412B">
      <w:pPr>
        <w:ind w:left="426" w:firstLine="708"/>
        <w:rPr>
          <w:i/>
          <w:lang w:val="es-ES_tradnl"/>
        </w:rPr>
      </w:pPr>
    </w:p>
    <w:p w:rsidR="00E12B49" w:rsidRPr="00D7289B" w:rsidRDefault="00E12B49" w:rsidP="007E412B">
      <w:pPr>
        <w:ind w:left="426"/>
        <w:jc w:val="both"/>
        <w:rPr>
          <w:rFonts w:ascii="Bookman Old Style" w:hAnsi="Bookman Old Style"/>
          <w:i/>
        </w:rPr>
      </w:pPr>
      <w:r w:rsidRPr="00D7289B">
        <w:rPr>
          <w:rFonts w:ascii="Bookman Old Style" w:hAnsi="Bookman Old Style"/>
          <w:i/>
        </w:rPr>
        <w:t>La energía de salida en cada uno de los Niveles de Tensión del sistema del OR j, se calcula como:</w:t>
      </w:r>
    </w:p>
    <w:p w:rsidR="00E12B49" w:rsidRPr="00D7289B" w:rsidRDefault="00E12B49" w:rsidP="007E412B">
      <w:pPr>
        <w:pStyle w:val="Continuarlista"/>
        <w:ind w:left="426"/>
        <w:rPr>
          <w:i/>
        </w:rPr>
      </w:pPr>
    </w:p>
    <w:p w:rsidR="00E12B49" w:rsidRPr="00D7289B" w:rsidRDefault="000B2957" w:rsidP="00E12B49">
      <w:pPr>
        <w:pStyle w:val="Continuarlista"/>
        <w:jc w:val="center"/>
        <w:rPr>
          <w:i/>
        </w:rPr>
      </w:pPr>
      <m:oMathPara>
        <m:oMath>
          <m:sSub>
            <m:sSubPr>
              <m:ctrlPr>
                <w:rPr>
                  <w:rFonts w:ascii="Cambria Math" w:hAnsi="Cambria Math"/>
                  <w:i/>
                  <w:sz w:val="22"/>
                  <w:szCs w:val="22"/>
                </w:rPr>
              </m:ctrlPr>
            </m:sSubPr>
            <m:e>
              <m:r>
                <w:rPr>
                  <w:rFonts w:ascii="Cambria Math" w:hAnsi="Cambria Math"/>
                  <w:sz w:val="22"/>
                  <w:szCs w:val="22"/>
                </w:rPr>
                <m:t>Es</m:t>
              </m:r>
            </m:e>
            <m:sub>
              <m:r>
                <w:rPr>
                  <w:rFonts w:ascii="Cambria Math" w:hAnsi="Cambria Math"/>
                  <w:sz w:val="22"/>
                  <w:szCs w:val="22"/>
                </w:rPr>
                <m:t>j,n,s</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EsVFC</m:t>
              </m:r>
            </m:e>
            <m:sub>
              <m:r>
                <w:rPr>
                  <w:rFonts w:ascii="Cambria Math" w:hAnsi="Cambria Math"/>
                  <w:sz w:val="22"/>
                  <w:szCs w:val="22"/>
                </w:rPr>
                <m:t>j,n,s</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EsVSFC</m:t>
              </m:r>
            </m:e>
            <m:sub>
              <m:r>
                <w:rPr>
                  <w:rFonts w:ascii="Cambria Math" w:hAnsi="Cambria Math"/>
                  <w:sz w:val="22"/>
                  <w:szCs w:val="22"/>
                </w:rPr>
                <m:t>j,n,s</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FsSTN</m:t>
              </m:r>
            </m:e>
            <m:sub>
              <m:r>
                <w:rPr>
                  <w:rFonts w:ascii="Cambria Math" w:hAnsi="Cambria Math"/>
                  <w:sz w:val="22"/>
                  <w:szCs w:val="22"/>
                </w:rPr>
                <m:t>j,n,s</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FsOR</m:t>
              </m:r>
            </m:e>
            <m:sub>
              <m:r>
                <w:rPr>
                  <w:rFonts w:ascii="Cambria Math" w:hAnsi="Cambria Math"/>
                  <w:sz w:val="22"/>
                  <w:szCs w:val="22"/>
                </w:rPr>
                <m:t>j,n,s</m:t>
              </m:r>
            </m:sub>
          </m:sSub>
        </m:oMath>
      </m:oMathPara>
    </w:p>
    <w:p w:rsidR="00D96BEF" w:rsidRDefault="00D96BEF" w:rsidP="007E412B">
      <w:pPr>
        <w:pStyle w:val="Continuarlista"/>
        <w:ind w:left="1418" w:hanging="992"/>
        <w:rPr>
          <w:i/>
        </w:rPr>
      </w:pPr>
    </w:p>
    <w:p w:rsidR="00E12B49" w:rsidRPr="00D7289B" w:rsidRDefault="00E12B49" w:rsidP="007E412B">
      <w:pPr>
        <w:pStyle w:val="Continuarlista"/>
        <w:ind w:left="1418" w:hanging="992"/>
        <w:rPr>
          <w:i/>
        </w:rPr>
      </w:pPr>
      <w:r w:rsidRPr="00D7289B">
        <w:rPr>
          <w:i/>
        </w:rPr>
        <w:t>Donde:</w:t>
      </w:r>
    </w:p>
    <w:p w:rsidR="00E12B49" w:rsidRPr="00D7289B" w:rsidRDefault="00E12B49" w:rsidP="007E412B">
      <w:pPr>
        <w:ind w:left="1843" w:hanging="1417"/>
        <w:jc w:val="both"/>
        <w:rPr>
          <w:rFonts w:ascii="Bookman Old Style" w:hAnsi="Bookman Old Style"/>
          <w:i/>
        </w:rPr>
      </w:pPr>
      <w:proofErr w:type="spellStart"/>
      <w:r w:rsidRPr="00D7289B">
        <w:rPr>
          <w:rFonts w:ascii="Bookman Old Style" w:hAnsi="Bookman Old Style"/>
          <w:i/>
        </w:rPr>
        <w:t>Es</w:t>
      </w:r>
      <w:r w:rsidRPr="00D7289B">
        <w:rPr>
          <w:rFonts w:ascii="Bookman Old Style" w:hAnsi="Bookman Old Style"/>
          <w:i/>
          <w:vertAlign w:val="subscript"/>
        </w:rPr>
        <w:t>j</w:t>
      </w:r>
      <w:proofErr w:type="gramStart"/>
      <w:r w:rsidRPr="00D7289B">
        <w:rPr>
          <w:rFonts w:ascii="Bookman Old Style" w:hAnsi="Bookman Old Style"/>
          <w:i/>
          <w:vertAlign w:val="subscript"/>
        </w:rPr>
        <w:t>,n,</w:t>
      </w:r>
      <w:r w:rsidR="00482E08" w:rsidRPr="00D7289B">
        <w:rPr>
          <w:rFonts w:ascii="Bookman Old Style" w:hAnsi="Bookman Old Style"/>
          <w:i/>
          <w:vertAlign w:val="subscript"/>
        </w:rPr>
        <w:t>s</w:t>
      </w:r>
      <w:proofErr w:type="spellEnd"/>
      <w:proofErr w:type="gramEnd"/>
      <w:r w:rsidRPr="00D7289B">
        <w:rPr>
          <w:rFonts w:ascii="Bookman Old Style" w:hAnsi="Bookman Old Style"/>
          <w:i/>
        </w:rPr>
        <w:t xml:space="preserve"> </w:t>
      </w:r>
      <w:r w:rsidRPr="00D7289B">
        <w:rPr>
          <w:rFonts w:ascii="Bookman Old Style" w:hAnsi="Bookman Old Style"/>
          <w:i/>
        </w:rPr>
        <w:tab/>
        <w:t xml:space="preserve">Energía de salida del sistema del OR j en el Nivel de Tensión n, durante </w:t>
      </w:r>
      <w:r w:rsidR="00482E08" w:rsidRPr="00D7289B">
        <w:rPr>
          <w:rFonts w:ascii="Bookman Old Style" w:hAnsi="Bookman Old Style"/>
          <w:i/>
        </w:rPr>
        <w:t>los</w:t>
      </w:r>
      <w:r w:rsidRPr="00D7289B">
        <w:rPr>
          <w:rFonts w:ascii="Bookman Old Style" w:hAnsi="Bookman Old Style"/>
          <w:i/>
        </w:rPr>
        <w:t xml:space="preserve"> </w:t>
      </w:r>
      <w:r w:rsidR="00482E08" w:rsidRPr="00D7289B">
        <w:rPr>
          <w:rFonts w:ascii="Bookman Old Style" w:hAnsi="Bookman Old Style"/>
          <w:i/>
        </w:rPr>
        <w:t>periodos de evaluación s y s-1</w:t>
      </w:r>
      <w:r w:rsidRPr="00D7289B">
        <w:rPr>
          <w:rFonts w:ascii="Bookman Old Style" w:hAnsi="Bookman Old Style"/>
          <w:i/>
        </w:rPr>
        <w:t xml:space="preserve">, expresada en </w:t>
      </w:r>
      <w:proofErr w:type="spellStart"/>
      <w:r w:rsidRPr="00D7289B">
        <w:rPr>
          <w:rFonts w:ascii="Bookman Old Style" w:hAnsi="Bookman Old Style"/>
          <w:i/>
        </w:rPr>
        <w:t>kWh</w:t>
      </w:r>
      <w:proofErr w:type="spellEnd"/>
      <w:r w:rsidRPr="00D7289B">
        <w:rPr>
          <w:rFonts w:ascii="Bookman Old Style" w:hAnsi="Bookman Old Style"/>
          <w:i/>
        </w:rPr>
        <w:t>.</w:t>
      </w:r>
      <w:r w:rsidR="00482E08" w:rsidRPr="00D7289B">
        <w:rPr>
          <w:rFonts w:ascii="Bookman Old Style" w:hAnsi="Bookman Old Style"/>
          <w:i/>
        </w:rPr>
        <w:t xml:space="preserve"> </w:t>
      </w:r>
    </w:p>
    <w:p w:rsidR="00E12B49" w:rsidRPr="00D7289B" w:rsidRDefault="00E12B49" w:rsidP="00E12B49">
      <w:pPr>
        <w:jc w:val="both"/>
        <w:rPr>
          <w:rFonts w:ascii="Bookman Old Style" w:hAnsi="Bookman Old Style"/>
          <w:i/>
        </w:rPr>
      </w:pPr>
    </w:p>
    <w:p w:rsidR="00E12B49" w:rsidRPr="00D7289B" w:rsidRDefault="00E12B49" w:rsidP="007E412B">
      <w:pPr>
        <w:ind w:left="1843" w:hanging="1417"/>
        <w:jc w:val="both"/>
        <w:rPr>
          <w:rFonts w:ascii="Bookman Old Style" w:hAnsi="Bookman Old Style"/>
          <w:i/>
          <w:lang w:val="es-CO"/>
        </w:rPr>
      </w:pPr>
      <w:proofErr w:type="spellStart"/>
      <w:r w:rsidRPr="00D7289B">
        <w:rPr>
          <w:rFonts w:ascii="Bookman Old Style" w:hAnsi="Bookman Old Style"/>
          <w:i/>
        </w:rPr>
        <w:t>EsVFC</w:t>
      </w:r>
      <w:r w:rsidRPr="00D7289B">
        <w:rPr>
          <w:rFonts w:ascii="Bookman Old Style" w:hAnsi="Bookman Old Style"/>
          <w:i/>
          <w:vertAlign w:val="subscript"/>
        </w:rPr>
        <w:t>j</w:t>
      </w:r>
      <w:proofErr w:type="gramStart"/>
      <w:r w:rsidRPr="00D7289B">
        <w:rPr>
          <w:rFonts w:ascii="Bookman Old Style" w:hAnsi="Bookman Old Style"/>
          <w:i/>
          <w:vertAlign w:val="subscript"/>
        </w:rPr>
        <w:t>,n,</w:t>
      </w:r>
      <w:r w:rsidR="007E412B" w:rsidRPr="00D7289B">
        <w:rPr>
          <w:rFonts w:ascii="Bookman Old Style" w:hAnsi="Bookman Old Style"/>
          <w:i/>
          <w:vertAlign w:val="subscript"/>
        </w:rPr>
        <w:t>s</w:t>
      </w:r>
      <w:proofErr w:type="spellEnd"/>
      <w:proofErr w:type="gramEnd"/>
      <w:r w:rsidRPr="00D7289B">
        <w:rPr>
          <w:rFonts w:ascii="Bookman Old Style" w:hAnsi="Bookman Old Style"/>
          <w:i/>
        </w:rPr>
        <w:t xml:space="preserve">   </w:t>
      </w:r>
      <w:r w:rsidRPr="00D7289B">
        <w:rPr>
          <w:rFonts w:ascii="Bookman Old Style" w:hAnsi="Bookman Old Style"/>
          <w:i/>
        </w:rPr>
        <w:tab/>
        <w:t xml:space="preserve">Ventas de energía en las fronteras comerciales del Nivel de Tensión n, del mercado de comercialización servido por el OR j, </w:t>
      </w:r>
      <w:r w:rsidR="007E412B" w:rsidRPr="00D7289B">
        <w:rPr>
          <w:rFonts w:ascii="Bookman Old Style" w:hAnsi="Bookman Old Style"/>
          <w:i/>
        </w:rPr>
        <w:t>durante los periodos de evaluación s y s-1</w:t>
      </w:r>
      <w:r w:rsidRPr="00D7289B">
        <w:rPr>
          <w:rFonts w:ascii="Bookman Old Style" w:hAnsi="Bookman Old Style"/>
          <w:i/>
        </w:rPr>
        <w:t xml:space="preserve">. Corresponde a la suma de las medidas en las fronteras comerciales registradas en el SIC para el mercado de comercialización servido por el OR j, sin referir al STN, para la venta de energía a usuarios no regulados de todos los comercializadores del mercado y de las de usuarios regulados de los comercializadores distintos al </w:t>
      </w:r>
      <w:proofErr w:type="spellStart"/>
      <w:r w:rsidRPr="00D7289B">
        <w:rPr>
          <w:rFonts w:ascii="Bookman Old Style" w:hAnsi="Bookman Old Style"/>
          <w:i/>
        </w:rPr>
        <w:t>incumbente</w:t>
      </w:r>
      <w:proofErr w:type="spellEnd"/>
      <w:r w:rsidRPr="00D7289B">
        <w:rPr>
          <w:rFonts w:ascii="Bookman Old Style" w:hAnsi="Bookman Old Style"/>
          <w:i/>
        </w:rPr>
        <w:t>. Incluye la energía entregada a los auxiliares de las subestaciones que no están conectadas directamente al STN.</w:t>
      </w:r>
    </w:p>
    <w:p w:rsidR="00E12B49" w:rsidRPr="00D7289B" w:rsidRDefault="00E12B49" w:rsidP="007E412B">
      <w:pPr>
        <w:ind w:left="1843" w:hanging="1417"/>
        <w:jc w:val="both"/>
        <w:rPr>
          <w:rFonts w:ascii="Bookman Old Style" w:hAnsi="Bookman Old Style"/>
          <w:i/>
        </w:rPr>
      </w:pPr>
    </w:p>
    <w:p w:rsidR="00E12B49" w:rsidRPr="00D7289B" w:rsidRDefault="00E12B49" w:rsidP="007E412B">
      <w:pPr>
        <w:ind w:left="1843" w:hanging="1417"/>
        <w:jc w:val="both"/>
        <w:rPr>
          <w:rFonts w:ascii="Bookman Old Style" w:hAnsi="Bookman Old Style"/>
          <w:i/>
        </w:rPr>
      </w:pPr>
      <w:proofErr w:type="spellStart"/>
      <w:r w:rsidRPr="00D7289B">
        <w:rPr>
          <w:rFonts w:ascii="Bookman Old Style" w:hAnsi="Bookman Old Style"/>
          <w:i/>
        </w:rPr>
        <w:t>EsVSFC</w:t>
      </w:r>
      <w:r w:rsidRPr="00D7289B">
        <w:rPr>
          <w:rFonts w:ascii="Bookman Old Style" w:hAnsi="Bookman Old Style"/>
          <w:i/>
          <w:vertAlign w:val="subscript"/>
        </w:rPr>
        <w:t>j</w:t>
      </w:r>
      <w:proofErr w:type="gramStart"/>
      <w:r w:rsidRPr="00D7289B">
        <w:rPr>
          <w:rFonts w:ascii="Bookman Old Style" w:hAnsi="Bookman Old Style"/>
          <w:i/>
          <w:vertAlign w:val="subscript"/>
        </w:rPr>
        <w:t>,n,</w:t>
      </w:r>
      <w:r w:rsidR="007E412B" w:rsidRPr="00D7289B">
        <w:rPr>
          <w:rFonts w:ascii="Bookman Old Style" w:hAnsi="Bookman Old Style"/>
          <w:i/>
          <w:vertAlign w:val="subscript"/>
        </w:rPr>
        <w:t>s</w:t>
      </w:r>
      <w:proofErr w:type="spellEnd"/>
      <w:proofErr w:type="gramEnd"/>
      <w:r w:rsidRPr="00D7289B">
        <w:rPr>
          <w:rFonts w:ascii="Bookman Old Style" w:hAnsi="Bookman Old Style"/>
          <w:i/>
        </w:rPr>
        <w:t xml:space="preserve"> </w:t>
      </w:r>
      <w:r w:rsidR="007E412B" w:rsidRPr="00D7289B">
        <w:rPr>
          <w:rFonts w:ascii="Bookman Old Style" w:hAnsi="Bookman Old Style"/>
          <w:i/>
        </w:rPr>
        <w:tab/>
      </w:r>
      <w:r w:rsidRPr="00D7289B">
        <w:rPr>
          <w:rFonts w:ascii="Bookman Old Style" w:hAnsi="Bookman Old Style"/>
          <w:i/>
        </w:rPr>
        <w:t>Ventas de energía en el sistema del OR j, en el Nivel de Tensión n,</w:t>
      </w:r>
      <w:r w:rsidR="007E412B" w:rsidRPr="00D7289B">
        <w:rPr>
          <w:rFonts w:ascii="Bookman Old Style" w:hAnsi="Bookman Old Style"/>
          <w:i/>
        </w:rPr>
        <w:t xml:space="preserve"> durante los periodos de evaluación s y s-1</w:t>
      </w:r>
      <w:r w:rsidRPr="00D7289B">
        <w:rPr>
          <w:rFonts w:ascii="Bookman Old Style" w:hAnsi="Bookman Old Style"/>
          <w:i/>
        </w:rPr>
        <w:t xml:space="preserve">. </w:t>
      </w:r>
      <w:r w:rsidR="00D7289B" w:rsidRPr="00D7289B">
        <w:rPr>
          <w:rFonts w:ascii="Bookman Old Style" w:hAnsi="Bookman Old Style"/>
          <w:i/>
        </w:rPr>
        <w:t xml:space="preserve">Es </w:t>
      </w:r>
      <w:r w:rsidRPr="00D7289B">
        <w:rPr>
          <w:rFonts w:ascii="Bookman Old Style" w:hAnsi="Bookman Old Style"/>
          <w:i/>
        </w:rPr>
        <w:t xml:space="preserve">el consumo de energía eléctrica en </w:t>
      </w:r>
      <w:proofErr w:type="spellStart"/>
      <w:r w:rsidRPr="00D7289B">
        <w:rPr>
          <w:rFonts w:ascii="Bookman Old Style" w:hAnsi="Bookman Old Style"/>
          <w:i/>
        </w:rPr>
        <w:t>kWh</w:t>
      </w:r>
      <w:proofErr w:type="spellEnd"/>
      <w:r w:rsidRPr="00D7289B">
        <w:rPr>
          <w:rFonts w:ascii="Bookman Old Style" w:hAnsi="Bookman Old Style"/>
          <w:i/>
        </w:rPr>
        <w:t xml:space="preserve">, de usuarios regulados del comercializador </w:t>
      </w:r>
      <w:proofErr w:type="spellStart"/>
      <w:r w:rsidRPr="00D7289B">
        <w:rPr>
          <w:rFonts w:ascii="Bookman Old Style" w:hAnsi="Bookman Old Style"/>
          <w:i/>
        </w:rPr>
        <w:t>incumbente</w:t>
      </w:r>
      <w:proofErr w:type="spellEnd"/>
      <w:r w:rsidRPr="00D7289B">
        <w:rPr>
          <w:rFonts w:ascii="Bookman Old Style" w:hAnsi="Bookman Old Style"/>
          <w:i/>
        </w:rPr>
        <w:t>, que es facturado y reportado al SUI. Este valor incluye la energía entregada a los auxiliares de las subestaciones que no están conectadas directamente al STN.</w:t>
      </w:r>
    </w:p>
    <w:p w:rsidR="00E12B49" w:rsidRPr="00D7289B" w:rsidRDefault="00E12B49" w:rsidP="007E412B">
      <w:pPr>
        <w:ind w:left="1843" w:hanging="1417"/>
        <w:jc w:val="both"/>
        <w:rPr>
          <w:rFonts w:ascii="Bookman Old Style" w:hAnsi="Bookman Old Style"/>
          <w:i/>
        </w:rPr>
      </w:pPr>
      <w:proofErr w:type="spellStart"/>
      <w:r w:rsidRPr="00D7289B">
        <w:rPr>
          <w:rFonts w:ascii="Bookman Old Style" w:hAnsi="Bookman Old Style"/>
          <w:i/>
        </w:rPr>
        <w:lastRenderedPageBreak/>
        <w:t>FsSTN</w:t>
      </w:r>
      <w:r w:rsidRPr="00D7289B">
        <w:rPr>
          <w:rFonts w:ascii="Bookman Old Style" w:hAnsi="Bookman Old Style"/>
          <w:i/>
          <w:vertAlign w:val="subscript"/>
        </w:rPr>
        <w:t>j</w:t>
      </w:r>
      <w:proofErr w:type="gramStart"/>
      <w:r w:rsidRPr="00D7289B">
        <w:rPr>
          <w:rFonts w:ascii="Bookman Old Style" w:hAnsi="Bookman Old Style"/>
          <w:i/>
          <w:vertAlign w:val="subscript"/>
        </w:rPr>
        <w:t>,n,</w:t>
      </w:r>
      <w:r w:rsidR="00D7289B" w:rsidRPr="00D7289B">
        <w:rPr>
          <w:rFonts w:ascii="Bookman Old Style" w:hAnsi="Bookman Old Style"/>
          <w:i/>
          <w:vertAlign w:val="subscript"/>
        </w:rPr>
        <w:t>s</w:t>
      </w:r>
      <w:proofErr w:type="spellEnd"/>
      <w:proofErr w:type="gramEnd"/>
      <w:r w:rsidRPr="00D7289B">
        <w:rPr>
          <w:rFonts w:ascii="Bookman Old Style" w:hAnsi="Bookman Old Style"/>
          <w:i/>
        </w:rPr>
        <w:t xml:space="preserve">  </w:t>
      </w:r>
      <w:r w:rsidRPr="00D7289B">
        <w:rPr>
          <w:rFonts w:ascii="Bookman Old Style" w:hAnsi="Bookman Old Style"/>
          <w:i/>
        </w:rPr>
        <w:tab/>
        <w:t xml:space="preserve">Flujo de energía de salida en el Nivel de Tensión n desde los puntos de conexión del OR j al STN, </w:t>
      </w:r>
      <w:r w:rsidR="00D7289B" w:rsidRPr="00D7289B">
        <w:rPr>
          <w:rFonts w:ascii="Bookman Old Style" w:hAnsi="Bookman Old Style"/>
          <w:i/>
        </w:rPr>
        <w:t>durante los periodos de evaluación s y s-1</w:t>
      </w:r>
      <w:r w:rsidRPr="00D7289B">
        <w:rPr>
          <w:rFonts w:ascii="Bookman Old Style" w:hAnsi="Bookman Old Style"/>
          <w:i/>
        </w:rPr>
        <w:t xml:space="preserve">, expresada en  </w:t>
      </w:r>
      <w:proofErr w:type="spellStart"/>
      <w:r w:rsidRPr="00D7289B">
        <w:rPr>
          <w:rFonts w:ascii="Bookman Old Style" w:hAnsi="Bookman Old Style"/>
          <w:i/>
        </w:rPr>
        <w:t>kWh</w:t>
      </w:r>
      <w:proofErr w:type="spellEnd"/>
      <w:r w:rsidRPr="00D7289B">
        <w:rPr>
          <w:rFonts w:ascii="Bookman Old Style" w:hAnsi="Bookman Old Style"/>
          <w:i/>
        </w:rPr>
        <w:t>. Corresponde a la suma de las energías medidas en las fronteras comerciales, sin referir al STN, registradas en el SIC para los puntos de conexión del OR j al STN.</w:t>
      </w:r>
    </w:p>
    <w:p w:rsidR="00E12B49" w:rsidRPr="00D7289B" w:rsidRDefault="00E12B49" w:rsidP="007E412B">
      <w:pPr>
        <w:ind w:left="1843" w:hanging="1417"/>
        <w:jc w:val="both"/>
        <w:rPr>
          <w:rFonts w:ascii="Bookman Old Style" w:hAnsi="Bookman Old Style"/>
          <w:i/>
        </w:rPr>
      </w:pPr>
    </w:p>
    <w:p w:rsidR="00E12B49" w:rsidRDefault="00E12B49" w:rsidP="007E412B">
      <w:pPr>
        <w:ind w:left="1843" w:hanging="1417"/>
        <w:jc w:val="both"/>
        <w:rPr>
          <w:rFonts w:ascii="Bookman Old Style" w:hAnsi="Bookman Old Style"/>
          <w:i/>
        </w:rPr>
      </w:pPr>
      <w:proofErr w:type="spellStart"/>
      <w:r w:rsidRPr="00D7289B">
        <w:rPr>
          <w:rFonts w:ascii="Bookman Old Style" w:hAnsi="Bookman Old Style"/>
          <w:i/>
        </w:rPr>
        <w:t>FsOR</w:t>
      </w:r>
      <w:r w:rsidRPr="00D7289B">
        <w:rPr>
          <w:rFonts w:ascii="Bookman Old Style" w:hAnsi="Bookman Old Style"/>
          <w:i/>
          <w:vertAlign w:val="subscript"/>
        </w:rPr>
        <w:t>j</w:t>
      </w:r>
      <w:proofErr w:type="gramStart"/>
      <w:r w:rsidRPr="00D7289B">
        <w:rPr>
          <w:rFonts w:ascii="Bookman Old Style" w:hAnsi="Bookman Old Style"/>
          <w:i/>
          <w:vertAlign w:val="subscript"/>
        </w:rPr>
        <w:t>,n,</w:t>
      </w:r>
      <w:r w:rsidR="00D7289B" w:rsidRPr="00D7289B">
        <w:rPr>
          <w:rFonts w:ascii="Bookman Old Style" w:hAnsi="Bookman Old Style"/>
          <w:i/>
          <w:vertAlign w:val="subscript"/>
        </w:rPr>
        <w:t>s</w:t>
      </w:r>
      <w:proofErr w:type="spellEnd"/>
      <w:proofErr w:type="gramEnd"/>
      <w:r w:rsidRPr="00D7289B">
        <w:rPr>
          <w:rFonts w:ascii="Bookman Old Style" w:hAnsi="Bookman Old Style"/>
          <w:i/>
        </w:rPr>
        <w:t xml:space="preserve">  </w:t>
      </w:r>
      <w:r w:rsidRPr="00D7289B">
        <w:rPr>
          <w:rFonts w:ascii="Bookman Old Style" w:hAnsi="Bookman Old Style"/>
          <w:i/>
        </w:rPr>
        <w:tab/>
        <w:t xml:space="preserve">Flujo de energía de salida desde el sistema del OR j en el Nivel de Tensión n, a otros STR y/o SDL, </w:t>
      </w:r>
      <w:r w:rsidR="00D7289B" w:rsidRPr="00D7289B">
        <w:rPr>
          <w:rFonts w:ascii="Bookman Old Style" w:hAnsi="Bookman Old Style"/>
          <w:i/>
        </w:rPr>
        <w:t>durante los periodos de evaluación s y s-1</w:t>
      </w:r>
      <w:r w:rsidRPr="00D7289B">
        <w:rPr>
          <w:rFonts w:ascii="Bookman Old Style" w:hAnsi="Bookman Old Style"/>
          <w:i/>
        </w:rPr>
        <w:t xml:space="preserve">, expresada en </w:t>
      </w:r>
      <w:proofErr w:type="spellStart"/>
      <w:r w:rsidRPr="00D7289B">
        <w:rPr>
          <w:rFonts w:ascii="Bookman Old Style" w:hAnsi="Bookman Old Style"/>
          <w:i/>
        </w:rPr>
        <w:t>kWh</w:t>
      </w:r>
      <w:proofErr w:type="spellEnd"/>
      <w:r w:rsidRPr="00D7289B">
        <w:rPr>
          <w:rFonts w:ascii="Bookman Old Style" w:hAnsi="Bookman Old Style"/>
          <w:i/>
        </w:rPr>
        <w:t>. Corresponde a la suma de las energías medidas en las fronteras comerciales entre OR, sin referir al STN, registradas en el SIC.</w:t>
      </w:r>
    </w:p>
    <w:p w:rsidR="008E5B78" w:rsidRPr="00D7289B" w:rsidRDefault="008E5B78" w:rsidP="007E412B">
      <w:pPr>
        <w:ind w:left="1843" w:hanging="1417"/>
        <w:jc w:val="both"/>
        <w:rPr>
          <w:rFonts w:ascii="Bookman Old Style" w:hAnsi="Bookman Old Style"/>
          <w:i/>
        </w:rPr>
      </w:pPr>
    </w:p>
    <w:p w:rsidR="00E12B49" w:rsidRPr="00D7289B" w:rsidRDefault="00E12B49" w:rsidP="007E412B">
      <w:pPr>
        <w:ind w:left="1843" w:hanging="1417"/>
        <w:jc w:val="both"/>
        <w:rPr>
          <w:rFonts w:ascii="Bookman Old Style" w:hAnsi="Bookman Old Style"/>
          <w:i/>
        </w:rPr>
      </w:pPr>
      <w:proofErr w:type="gramStart"/>
      <w:r w:rsidRPr="00D7289B">
        <w:rPr>
          <w:rFonts w:ascii="Bookman Old Style" w:hAnsi="Bookman Old Style"/>
          <w:i/>
        </w:rPr>
        <w:t>n</w:t>
      </w:r>
      <w:proofErr w:type="gramEnd"/>
      <w:r w:rsidRPr="00D7289B">
        <w:rPr>
          <w:rFonts w:ascii="Bookman Old Style" w:hAnsi="Bookman Old Style"/>
          <w:i/>
        </w:rPr>
        <w:t xml:space="preserve">  </w:t>
      </w:r>
      <w:r w:rsidRPr="00D7289B">
        <w:rPr>
          <w:rFonts w:ascii="Bookman Old Style" w:hAnsi="Bookman Old Style"/>
          <w:i/>
        </w:rPr>
        <w:tab/>
        <w:t>Corresponde al Nivel de Tensión para el cual se determina la energía de salida. Toma los valores de 1, 2, 3 y 4.</w:t>
      </w:r>
    </w:p>
    <w:p w:rsidR="00E12B49" w:rsidRPr="00D7289B" w:rsidRDefault="00E12B49" w:rsidP="007E412B">
      <w:pPr>
        <w:ind w:left="1843" w:hanging="1417"/>
        <w:jc w:val="both"/>
        <w:rPr>
          <w:rFonts w:ascii="Bookman Old Style" w:hAnsi="Bookman Old Style"/>
          <w:i/>
        </w:rPr>
      </w:pPr>
    </w:p>
    <w:p w:rsidR="00E12B49" w:rsidRPr="00D7289B" w:rsidRDefault="00E12B49" w:rsidP="00D7289B">
      <w:pPr>
        <w:ind w:left="426"/>
        <w:jc w:val="both"/>
        <w:rPr>
          <w:rFonts w:ascii="Bookman Old Style" w:hAnsi="Bookman Old Style"/>
          <w:i/>
        </w:rPr>
      </w:pPr>
      <w:r w:rsidRPr="00D7289B">
        <w:rPr>
          <w:rFonts w:ascii="Bookman Old Style" w:hAnsi="Bookman Old Style"/>
          <w:i/>
        </w:rPr>
        <w:t xml:space="preserve">En el cálculo de la variable </w:t>
      </w:r>
      <m:oMath>
        <m:sSub>
          <m:sSubPr>
            <m:ctrlPr>
              <w:rPr>
                <w:rFonts w:ascii="Cambria Math" w:hAnsi="Cambria Math"/>
                <w:i/>
                <w:sz w:val="22"/>
                <w:szCs w:val="22"/>
              </w:rPr>
            </m:ctrlPr>
          </m:sSubPr>
          <m:e>
            <m:r>
              <w:rPr>
                <w:rFonts w:ascii="Cambria Math" w:hAnsi="Cambria Math"/>
                <w:sz w:val="22"/>
                <w:szCs w:val="22"/>
              </w:rPr>
              <m:t>Es</m:t>
            </m:r>
          </m:e>
          <m:sub>
            <m:r>
              <w:rPr>
                <w:rFonts w:ascii="Cambria Math" w:hAnsi="Cambria Math"/>
                <w:sz w:val="22"/>
                <w:szCs w:val="22"/>
              </w:rPr>
              <m:t>j,n,s</m:t>
            </m:r>
          </m:sub>
        </m:sSub>
      </m:oMath>
      <w:r w:rsidRPr="00D7289B">
        <w:rPr>
          <w:rFonts w:ascii="Bookman Old Style" w:hAnsi="Bookman Old Style"/>
          <w:i/>
        </w:rPr>
        <w:t xml:space="preserve"> no se debe tener en cuenta la energía recuperada.</w:t>
      </w:r>
    </w:p>
    <w:p w:rsidR="001E5E65" w:rsidRPr="00C850D9" w:rsidRDefault="001E5E65" w:rsidP="001E5E65">
      <w:pPr>
        <w:ind w:left="0"/>
        <w:jc w:val="both"/>
        <w:rPr>
          <w:rFonts w:ascii="Bookman Old Style" w:hAnsi="Bookman Old Style"/>
          <w:b/>
          <w:sz w:val="36"/>
        </w:rPr>
      </w:pPr>
    </w:p>
    <w:p w:rsidR="001E5E65" w:rsidRDefault="00D150D2" w:rsidP="00A04E7D">
      <w:pPr>
        <w:pStyle w:val="Artculo"/>
      </w:pPr>
      <w:r w:rsidRPr="00D150D2">
        <w:t>Modificar e</w:t>
      </w:r>
      <w:r w:rsidR="001E5E65" w:rsidRPr="003A7A27">
        <w:t xml:space="preserve">l </w:t>
      </w:r>
      <w:r w:rsidR="001E5E65">
        <w:t>numeral 4.3.1. del Anexo 4 de la Resolución CREG 172 de 2011</w:t>
      </w:r>
      <w:r w:rsidR="00D96BEF">
        <w:t xml:space="preserve">, el cual </w:t>
      </w:r>
      <w:r w:rsidR="001E5E65" w:rsidRPr="003A7A27">
        <w:t>queda</w:t>
      </w:r>
      <w:r>
        <w:t>rá</w:t>
      </w:r>
      <w:r w:rsidR="001E5E65" w:rsidRPr="003A7A27">
        <w:t xml:space="preserve"> así:</w:t>
      </w:r>
    </w:p>
    <w:p w:rsidR="001E5E65" w:rsidRPr="000B4E51" w:rsidRDefault="001E5E65" w:rsidP="001E5E65">
      <w:pPr>
        <w:ind w:left="1410" w:hanging="1410"/>
        <w:jc w:val="both"/>
        <w:rPr>
          <w:rFonts w:ascii="Bookman Old Style" w:hAnsi="Bookman Old Style"/>
        </w:rPr>
      </w:pPr>
    </w:p>
    <w:p w:rsidR="001E5E65" w:rsidRPr="00EE1F2B" w:rsidRDefault="001E5E65" w:rsidP="001E5E65">
      <w:pPr>
        <w:rPr>
          <w:rFonts w:ascii="Bookman Old Style" w:hAnsi="Bookman Old Style"/>
          <w:b/>
          <w:i/>
        </w:rPr>
      </w:pPr>
      <w:bookmarkStart w:id="9" w:name="_Ref277705537"/>
      <w:bookmarkStart w:id="10" w:name="_Toc310577385"/>
      <w:r w:rsidRPr="00EE1F2B">
        <w:rPr>
          <w:rFonts w:ascii="Bookman Old Style" w:hAnsi="Bookman Old Style"/>
          <w:b/>
          <w:i/>
        </w:rPr>
        <w:t>4.3.1 Pérdidas totales de energía de la senda</w:t>
      </w:r>
      <w:bookmarkEnd w:id="9"/>
      <w:bookmarkEnd w:id="10"/>
    </w:p>
    <w:p w:rsidR="001E5E65" w:rsidRPr="00EE1F2B" w:rsidRDefault="001E5E65" w:rsidP="001E5E65">
      <w:pPr>
        <w:rPr>
          <w:i/>
        </w:rPr>
      </w:pPr>
    </w:p>
    <w:p w:rsidR="001E5E65" w:rsidRDefault="001E5E65" w:rsidP="001E5E65">
      <w:pPr>
        <w:jc w:val="both"/>
        <w:rPr>
          <w:rFonts w:ascii="Bookman Old Style" w:hAnsi="Bookman Old Style"/>
          <w:i/>
        </w:rPr>
      </w:pPr>
      <w:r w:rsidRPr="00EE1F2B">
        <w:rPr>
          <w:rFonts w:ascii="Bookman Old Style" w:hAnsi="Bookman Old Style"/>
          <w:i/>
        </w:rPr>
        <w:t>Las pérdidas totales de energía asociadas a la senda aprobada a un OR j son:</w:t>
      </w:r>
    </w:p>
    <w:p w:rsidR="005908FE" w:rsidRDefault="005908FE" w:rsidP="001E5E65">
      <w:pPr>
        <w:jc w:val="both"/>
        <w:rPr>
          <w:rFonts w:ascii="Bookman Old Style" w:hAnsi="Bookman Old Style"/>
          <w:i/>
        </w:rPr>
      </w:pPr>
    </w:p>
    <w:p w:rsidR="005908FE" w:rsidRPr="00EE1F2B" w:rsidRDefault="000B2957" w:rsidP="005908FE">
      <w:pPr>
        <w:jc w:val="center"/>
        <w:rPr>
          <w:rFonts w:ascii="Bookman Old Style" w:hAnsi="Bookman Old Style"/>
          <w:i/>
        </w:rPr>
      </w:pPr>
      <m:oMathPara>
        <m:oMath>
          <m:sSub>
            <m:sSubPr>
              <m:ctrlPr>
                <w:rPr>
                  <w:rFonts w:ascii="Cambria Math" w:hAnsi="Cambria Math"/>
                  <w:i/>
                  <w:sz w:val="22"/>
                  <w:szCs w:val="22"/>
                </w:rPr>
              </m:ctrlPr>
            </m:sSubPr>
            <m:e>
              <m:r>
                <w:rPr>
                  <w:rFonts w:ascii="Cambria Math" w:hAnsi="Cambria Math"/>
                  <w:sz w:val="22"/>
                  <w:szCs w:val="22"/>
                </w:rPr>
                <m:t>PTS</m:t>
              </m:r>
            </m:e>
            <m:sub>
              <m:r>
                <w:rPr>
                  <w:rFonts w:ascii="Cambria Math" w:hAnsi="Cambria Math"/>
                  <w:sz w:val="22"/>
                  <w:szCs w:val="22"/>
                </w:rPr>
                <m:t>i,j,m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IPTS</m:t>
              </m:r>
            </m:e>
            <m:sub>
              <m:r>
                <w:rPr>
                  <w:rFonts w:ascii="Cambria Math" w:hAnsi="Cambria Math"/>
                  <w:sz w:val="22"/>
                  <w:szCs w:val="22"/>
                </w:rPr>
                <m:t>j,s-1</m:t>
              </m:r>
            </m:sub>
          </m:sSub>
          <m:r>
            <w:rPr>
              <w:rFonts w:ascii="Cambria Math" w:hAnsi="Cambria Math"/>
              <w:sz w:val="22"/>
              <w:szCs w:val="22"/>
            </w:rPr>
            <m:t>*</m:t>
          </m:r>
          <m:nary>
            <m:naryPr>
              <m:chr m:val="∑"/>
              <m:limLoc m:val="undOvr"/>
              <m:ctrlPr>
                <w:rPr>
                  <w:rFonts w:ascii="Cambria Math" w:hAnsi="Cambria Math"/>
                  <w:i/>
                  <w:sz w:val="22"/>
                  <w:szCs w:val="22"/>
                </w:rPr>
              </m:ctrlPr>
            </m:naryPr>
            <m:sub>
              <m:r>
                <w:rPr>
                  <w:rFonts w:ascii="Cambria Math" w:hAnsi="Cambria Math"/>
                  <w:sz w:val="22"/>
                  <w:szCs w:val="22"/>
                </w:rPr>
                <m:t>n=1</m:t>
              </m:r>
            </m:sub>
            <m:sup>
              <m:r>
                <w:rPr>
                  <w:rFonts w:ascii="Cambria Math" w:hAnsi="Cambria Math"/>
                  <w:sz w:val="22"/>
                  <w:szCs w:val="22"/>
                </w:rPr>
                <m:t>4</m:t>
              </m:r>
            </m:sup>
            <m:e>
              <m:d>
                <m:dPr>
                  <m:ctrlPr>
                    <w:rPr>
                      <w:rFonts w:ascii="Cambria Math" w:hAnsi="Cambria Math"/>
                      <w:i/>
                      <w:sz w:val="22"/>
                      <w:szCs w:val="22"/>
                    </w:rPr>
                  </m:ctrlPr>
                </m:dPr>
                <m:e>
                  <m:sSub>
                    <m:sSubPr>
                      <m:ctrlPr>
                        <w:rPr>
                          <w:rFonts w:ascii="Cambria Math" w:hAnsi="Cambria Math"/>
                          <w:i/>
                          <w:sz w:val="22"/>
                          <w:szCs w:val="22"/>
                        </w:rPr>
                      </m:ctrlPr>
                    </m:sSubPr>
                    <m:e>
                      <m:r>
                        <w:rPr>
                          <w:rFonts w:ascii="Cambria Math" w:hAnsi="Cambria Math"/>
                          <w:sz w:val="22"/>
                          <w:szCs w:val="22"/>
                        </w:rPr>
                        <m:t>Ee</m:t>
                      </m:r>
                    </m:e>
                    <m:sub>
                      <m:r>
                        <w:rPr>
                          <w:rFonts w:ascii="Cambria Math" w:hAnsi="Cambria Math"/>
                          <w:sz w:val="22"/>
                          <w:szCs w:val="22"/>
                        </w:rPr>
                        <m:t>j,n,m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FeNS</m:t>
                      </m:r>
                    </m:e>
                    <m:sub>
                      <m:r>
                        <w:rPr>
                          <w:rFonts w:ascii="Cambria Math" w:hAnsi="Cambria Math"/>
                          <w:sz w:val="22"/>
                          <w:szCs w:val="22"/>
                        </w:rPr>
                        <m:t>j,n,m</m:t>
                      </m:r>
                    </m:sub>
                  </m:sSub>
                  <m:r>
                    <w:rPr>
                      <w:rFonts w:ascii="Cambria Math" w:hAnsi="Cambria Math"/>
                      <w:sz w:val="22"/>
                      <w:szCs w:val="22"/>
                    </w:rPr>
                    <m:t>-</m:t>
                  </m:r>
                  <m:sSub>
                    <m:sSubPr>
                      <m:ctrlPr>
                        <w:rPr>
                          <w:rFonts w:ascii="Cambria Math" w:hAnsi="Cambria Math"/>
                          <w:i/>
                        </w:rPr>
                      </m:ctrlPr>
                    </m:sSubPr>
                    <m:e>
                      <m:r>
                        <w:rPr>
                          <w:rFonts w:ascii="Cambria Math" w:hAnsi="Cambria Math"/>
                        </w:rPr>
                        <m:t>FsOR</m:t>
                      </m:r>
                    </m:e>
                    <m:sub>
                      <m:r>
                        <w:rPr>
                          <w:rFonts w:ascii="Cambria Math" w:hAnsi="Cambria Math"/>
                        </w:rPr>
                        <m:t>j,n,m</m:t>
                      </m:r>
                    </m:sub>
                  </m:sSub>
                </m:e>
              </m:d>
            </m:e>
          </m:nary>
        </m:oMath>
      </m:oMathPara>
    </w:p>
    <w:p w:rsidR="005908FE" w:rsidRPr="00EE1F2B" w:rsidRDefault="005908FE" w:rsidP="001E5E65">
      <w:pPr>
        <w:jc w:val="both"/>
        <w:rPr>
          <w:rFonts w:ascii="Bookman Old Style" w:hAnsi="Bookman Old Style"/>
          <w:i/>
        </w:rPr>
      </w:pPr>
    </w:p>
    <w:p w:rsidR="001E5E65" w:rsidRPr="00EE1F2B" w:rsidRDefault="001E5E65" w:rsidP="001E5E65">
      <w:pPr>
        <w:jc w:val="both"/>
        <w:rPr>
          <w:rFonts w:ascii="Bookman Old Style" w:hAnsi="Bookman Old Style"/>
          <w:i/>
        </w:rPr>
      </w:pPr>
      <w:r w:rsidRPr="00EE1F2B">
        <w:rPr>
          <w:rFonts w:ascii="Bookman Old Style" w:hAnsi="Bookman Old Style"/>
          <w:i/>
        </w:rPr>
        <w:t>Donde:</w:t>
      </w:r>
    </w:p>
    <w:p w:rsidR="001E5E65" w:rsidRPr="00EE1F2B" w:rsidRDefault="001E5E65" w:rsidP="001E5E65">
      <w:pPr>
        <w:jc w:val="both"/>
        <w:rPr>
          <w:rFonts w:ascii="Bookman Old Style" w:hAnsi="Bookman Old Style"/>
          <w:i/>
        </w:rPr>
      </w:pPr>
    </w:p>
    <w:p w:rsidR="001E5E65" w:rsidRPr="00EE1F2B" w:rsidRDefault="001E5E65" w:rsidP="001E5E65">
      <w:pPr>
        <w:ind w:left="1701" w:hanging="1134"/>
        <w:jc w:val="both"/>
        <w:rPr>
          <w:rFonts w:ascii="Bookman Old Style" w:hAnsi="Bookman Old Style"/>
          <w:i/>
        </w:rPr>
      </w:pPr>
      <w:proofErr w:type="spellStart"/>
      <w:r w:rsidRPr="00EE1F2B">
        <w:rPr>
          <w:rFonts w:ascii="Bookman Old Style" w:hAnsi="Bookman Old Style"/>
          <w:i/>
        </w:rPr>
        <w:t>PTS</w:t>
      </w:r>
      <w:r w:rsidRPr="00EE1F2B">
        <w:rPr>
          <w:rFonts w:ascii="Bookman Old Style" w:hAnsi="Bookman Old Style"/>
          <w:i/>
          <w:vertAlign w:val="subscript"/>
        </w:rPr>
        <w:t>i</w:t>
      </w:r>
      <w:proofErr w:type="gramStart"/>
      <w:r w:rsidRPr="00EE1F2B">
        <w:rPr>
          <w:rFonts w:ascii="Bookman Old Style" w:hAnsi="Bookman Old Style"/>
          <w:i/>
          <w:vertAlign w:val="subscript"/>
        </w:rPr>
        <w:t>,j,m</w:t>
      </w:r>
      <w:proofErr w:type="spellEnd"/>
      <w:proofErr w:type="gramEnd"/>
      <w:r w:rsidRPr="00EE1F2B">
        <w:rPr>
          <w:rFonts w:ascii="Bookman Old Style" w:hAnsi="Bookman Old Style"/>
          <w:i/>
        </w:rPr>
        <w:tab/>
        <w:t xml:space="preserve">Pérdidas totales de energía de la senda, en el mercado de comercialización i, servido por el OR j, para el mes m del periodo de evaluación s, expresadas en </w:t>
      </w:r>
      <w:proofErr w:type="spellStart"/>
      <w:r w:rsidRPr="00EE1F2B">
        <w:rPr>
          <w:rFonts w:ascii="Bookman Old Style" w:hAnsi="Bookman Old Style"/>
          <w:i/>
        </w:rPr>
        <w:t>kWh</w:t>
      </w:r>
      <w:proofErr w:type="spellEnd"/>
      <w:r w:rsidRPr="00EE1F2B">
        <w:rPr>
          <w:rFonts w:ascii="Bookman Old Style" w:hAnsi="Bookman Old Style"/>
          <w:i/>
        </w:rPr>
        <w:t xml:space="preserve">. </w:t>
      </w:r>
    </w:p>
    <w:p w:rsidR="001E5E65" w:rsidRPr="00EE1F2B" w:rsidRDefault="001E5E65" w:rsidP="001E5E65">
      <w:pPr>
        <w:ind w:left="1701" w:hanging="1134"/>
        <w:jc w:val="both"/>
        <w:rPr>
          <w:rFonts w:ascii="Bookman Old Style" w:hAnsi="Bookman Old Style"/>
          <w:i/>
        </w:rPr>
      </w:pPr>
    </w:p>
    <w:p w:rsidR="001E5E65" w:rsidRPr="00EE1F2B" w:rsidRDefault="001E5E65" w:rsidP="001E5E65">
      <w:pPr>
        <w:ind w:left="1701" w:hanging="1134"/>
        <w:jc w:val="both"/>
        <w:rPr>
          <w:rFonts w:ascii="Bookman Old Style" w:hAnsi="Bookman Old Style"/>
          <w:i/>
        </w:rPr>
      </w:pPr>
      <w:r w:rsidRPr="00EE1F2B">
        <w:rPr>
          <w:rFonts w:ascii="Bookman Old Style" w:hAnsi="Bookman Old Style"/>
          <w:i/>
        </w:rPr>
        <w:t>IPTS</w:t>
      </w:r>
      <w:r w:rsidRPr="00EE1F2B">
        <w:rPr>
          <w:rFonts w:ascii="Bookman Old Style" w:hAnsi="Bookman Old Style"/>
          <w:i/>
          <w:vertAlign w:val="subscript"/>
        </w:rPr>
        <w:t>j</w:t>
      </w:r>
      <w:proofErr w:type="gramStart"/>
      <w:r w:rsidRPr="00EE1F2B">
        <w:rPr>
          <w:rFonts w:ascii="Bookman Old Style" w:hAnsi="Bookman Old Style"/>
          <w:i/>
          <w:vertAlign w:val="subscript"/>
        </w:rPr>
        <w:t>,s</w:t>
      </w:r>
      <w:proofErr w:type="gramEnd"/>
      <w:r w:rsidRPr="00EE1F2B">
        <w:rPr>
          <w:rFonts w:ascii="Bookman Old Style" w:hAnsi="Bookman Old Style"/>
          <w:i/>
          <w:vertAlign w:val="subscript"/>
        </w:rPr>
        <w:t>-1</w:t>
      </w:r>
      <w:r w:rsidRPr="00EE1F2B">
        <w:rPr>
          <w:rFonts w:ascii="Bookman Old Style" w:hAnsi="Bookman Old Style"/>
          <w:i/>
        </w:rPr>
        <w:tab/>
        <w:t>Índice de pérdidas totales de energía de la senda, en el mercado de comercialización i, servido por el OR j, aprobado para el periodo de evaluación s-1.</w:t>
      </w:r>
    </w:p>
    <w:p w:rsidR="001E5E65" w:rsidRPr="00EE1F2B" w:rsidRDefault="001E5E65" w:rsidP="001E5E65">
      <w:pPr>
        <w:ind w:left="1701" w:hanging="1134"/>
        <w:jc w:val="both"/>
        <w:rPr>
          <w:rFonts w:ascii="Bookman Old Style" w:hAnsi="Bookman Old Style"/>
          <w:i/>
        </w:rPr>
      </w:pPr>
    </w:p>
    <w:p w:rsidR="001E5E65" w:rsidRPr="00EE1F2B" w:rsidRDefault="001E5E65" w:rsidP="001E5E65">
      <w:pPr>
        <w:ind w:left="1701" w:hanging="1134"/>
        <w:jc w:val="both"/>
        <w:rPr>
          <w:rFonts w:ascii="Bookman Old Style" w:hAnsi="Bookman Old Style"/>
          <w:i/>
        </w:rPr>
      </w:pPr>
      <w:proofErr w:type="spellStart"/>
      <w:r w:rsidRPr="00EE1F2B">
        <w:rPr>
          <w:rFonts w:ascii="Bookman Old Style" w:hAnsi="Bookman Old Style"/>
          <w:i/>
        </w:rPr>
        <w:t>Ee</w:t>
      </w:r>
      <w:r w:rsidRPr="00EE1F2B">
        <w:rPr>
          <w:rFonts w:ascii="Bookman Old Style" w:hAnsi="Bookman Old Style"/>
          <w:i/>
          <w:vertAlign w:val="subscript"/>
        </w:rPr>
        <w:t>j</w:t>
      </w:r>
      <w:proofErr w:type="gramStart"/>
      <w:r w:rsidRPr="00EE1F2B">
        <w:rPr>
          <w:rFonts w:ascii="Bookman Old Style" w:hAnsi="Bookman Old Style"/>
          <w:i/>
          <w:vertAlign w:val="subscript"/>
        </w:rPr>
        <w:t>,n,m</w:t>
      </w:r>
      <w:proofErr w:type="spellEnd"/>
      <w:proofErr w:type="gramEnd"/>
      <w:r w:rsidRPr="00EE1F2B">
        <w:rPr>
          <w:rFonts w:ascii="Bookman Old Style" w:hAnsi="Bookman Old Style"/>
          <w:i/>
        </w:rPr>
        <w:tab/>
        <w:t xml:space="preserve">Energía de entrada al sistema del OR j en el Nivel de Tensión n durante el mes m, expresada en </w:t>
      </w:r>
      <w:proofErr w:type="spellStart"/>
      <w:r w:rsidRPr="00EE1F2B">
        <w:rPr>
          <w:rFonts w:ascii="Bookman Old Style" w:hAnsi="Bookman Old Style"/>
          <w:i/>
        </w:rPr>
        <w:t>kWh</w:t>
      </w:r>
      <w:proofErr w:type="spellEnd"/>
      <w:r w:rsidRPr="00EE1F2B">
        <w:rPr>
          <w:rFonts w:ascii="Bookman Old Style" w:hAnsi="Bookman Old Style"/>
          <w:i/>
        </w:rPr>
        <w:t>. Calculada como se establece en el numeral 4.3.3.</w:t>
      </w:r>
    </w:p>
    <w:p w:rsidR="001E5E65" w:rsidRPr="00EE1F2B" w:rsidRDefault="001E5E65" w:rsidP="001E5E65">
      <w:pPr>
        <w:ind w:left="1701" w:hanging="1134"/>
        <w:jc w:val="both"/>
        <w:rPr>
          <w:rFonts w:ascii="Bookman Old Style" w:hAnsi="Bookman Old Style"/>
          <w:i/>
        </w:rPr>
      </w:pPr>
    </w:p>
    <w:p w:rsidR="001E5E65" w:rsidRPr="00EE1F2B" w:rsidRDefault="001E5E65" w:rsidP="001E5E65">
      <w:pPr>
        <w:ind w:left="1701" w:hanging="1134"/>
        <w:jc w:val="both"/>
        <w:rPr>
          <w:rFonts w:ascii="Bookman Old Style" w:hAnsi="Bookman Old Style"/>
          <w:i/>
        </w:rPr>
      </w:pPr>
      <w:proofErr w:type="spellStart"/>
      <w:r w:rsidRPr="00EE1F2B">
        <w:rPr>
          <w:rFonts w:ascii="Bookman Old Style" w:hAnsi="Bookman Old Style"/>
          <w:i/>
        </w:rPr>
        <w:t>Fe</w:t>
      </w:r>
      <w:r w:rsidRPr="00EE1F2B">
        <w:rPr>
          <w:rFonts w:ascii="Bookman Old Style" w:hAnsi="Bookman Old Style"/>
          <w:i/>
          <w:vertAlign w:val="subscript"/>
        </w:rPr>
        <w:t>NS</w:t>
      </w:r>
      <w:proofErr w:type="gramStart"/>
      <w:r w:rsidRPr="00EE1F2B">
        <w:rPr>
          <w:rFonts w:ascii="Bookman Old Style" w:hAnsi="Bookman Old Style"/>
          <w:i/>
          <w:vertAlign w:val="subscript"/>
        </w:rPr>
        <w:t>,j,n,m</w:t>
      </w:r>
      <w:proofErr w:type="spellEnd"/>
      <w:proofErr w:type="gramEnd"/>
      <w:r w:rsidRPr="00EE1F2B">
        <w:rPr>
          <w:rFonts w:ascii="Bookman Old Style" w:hAnsi="Bookman Old Style"/>
          <w:i/>
        </w:rPr>
        <w:t xml:space="preserve"> </w:t>
      </w:r>
      <w:r w:rsidRPr="00EE1F2B">
        <w:rPr>
          <w:rFonts w:ascii="Bookman Old Style" w:hAnsi="Bookman Old Style"/>
          <w:i/>
        </w:rPr>
        <w:tab/>
        <w:t xml:space="preserve">Flujo de energía desde Niveles de Tensión superiores en el sistema del OR j, al Nivel de Tensión n, durante el mes m,  expresada en </w:t>
      </w:r>
      <w:proofErr w:type="spellStart"/>
      <w:r w:rsidRPr="00EE1F2B">
        <w:rPr>
          <w:rFonts w:ascii="Bookman Old Style" w:hAnsi="Bookman Old Style"/>
          <w:i/>
        </w:rPr>
        <w:t>kWh</w:t>
      </w:r>
      <w:proofErr w:type="spellEnd"/>
      <w:r w:rsidRPr="00EE1F2B">
        <w:rPr>
          <w:rFonts w:ascii="Bookman Old Style" w:hAnsi="Bookman Old Style"/>
          <w:i/>
        </w:rPr>
        <w:t xml:space="preserve">. Calculada como se establece en el numeral 4.3.6 </w:t>
      </w:r>
    </w:p>
    <w:p w:rsidR="001E5E65" w:rsidRPr="00EE1F2B" w:rsidRDefault="001E5E65" w:rsidP="001E5E65">
      <w:pPr>
        <w:jc w:val="both"/>
        <w:rPr>
          <w:rFonts w:ascii="Bookman Old Style" w:hAnsi="Bookman Old Style"/>
          <w:i/>
        </w:rPr>
      </w:pPr>
    </w:p>
    <w:p w:rsidR="000D39CF" w:rsidRPr="00EE1F2B" w:rsidRDefault="000D39CF" w:rsidP="000D39CF">
      <w:pPr>
        <w:ind w:left="1701" w:hanging="1134"/>
        <w:jc w:val="both"/>
        <w:rPr>
          <w:rFonts w:ascii="Bookman Old Style" w:hAnsi="Bookman Old Style"/>
          <w:i/>
          <w:lang w:val="es-CO"/>
        </w:rPr>
      </w:pPr>
      <w:proofErr w:type="spellStart"/>
      <w:r w:rsidRPr="00EE1F2B">
        <w:rPr>
          <w:rFonts w:ascii="Bookman Old Style" w:hAnsi="Bookman Old Style"/>
          <w:i/>
        </w:rPr>
        <w:lastRenderedPageBreak/>
        <w:t>FsOR</w:t>
      </w:r>
      <w:r w:rsidRPr="00EE1F2B">
        <w:rPr>
          <w:rFonts w:ascii="Bookman Old Style" w:hAnsi="Bookman Old Style"/>
          <w:i/>
          <w:vertAlign w:val="subscript"/>
        </w:rPr>
        <w:t>j</w:t>
      </w:r>
      <w:proofErr w:type="gramStart"/>
      <w:r w:rsidRPr="00EE1F2B">
        <w:rPr>
          <w:rFonts w:ascii="Bookman Old Style" w:hAnsi="Bookman Old Style"/>
          <w:i/>
          <w:vertAlign w:val="subscript"/>
        </w:rPr>
        <w:t>,n,m</w:t>
      </w:r>
      <w:proofErr w:type="spellEnd"/>
      <w:proofErr w:type="gramEnd"/>
      <w:r w:rsidRPr="00EE1F2B">
        <w:rPr>
          <w:rFonts w:ascii="Bookman Old Style" w:hAnsi="Bookman Old Style"/>
          <w:i/>
        </w:rPr>
        <w:t xml:space="preserve"> </w:t>
      </w:r>
      <w:r w:rsidR="00BD1DBA">
        <w:rPr>
          <w:rFonts w:ascii="Bookman Old Style" w:hAnsi="Bookman Old Style"/>
          <w:i/>
        </w:rPr>
        <w:tab/>
      </w:r>
      <w:r w:rsidRPr="00EE1F2B">
        <w:rPr>
          <w:rFonts w:ascii="Bookman Old Style" w:hAnsi="Bookman Old Style"/>
          <w:i/>
        </w:rPr>
        <w:t xml:space="preserve">Flujo de energía de salida desde el sistema del OR j en el Nivel de Tensión n, a otros STR y/o SDL, durante el mes m,  expresado en </w:t>
      </w:r>
      <w:proofErr w:type="spellStart"/>
      <w:r w:rsidRPr="00EE1F2B">
        <w:rPr>
          <w:rFonts w:ascii="Bookman Old Style" w:hAnsi="Bookman Old Style"/>
          <w:i/>
        </w:rPr>
        <w:t>kWh</w:t>
      </w:r>
      <w:proofErr w:type="spellEnd"/>
      <w:r w:rsidRPr="00EE1F2B">
        <w:rPr>
          <w:rFonts w:ascii="Bookman Old Style" w:hAnsi="Bookman Old Style"/>
          <w:i/>
        </w:rPr>
        <w:t>. Corresponde a la suma de las energías medidas en las fronteras comerciales entre OR, sin referir al STN, registradas en el ASIC.</w:t>
      </w:r>
    </w:p>
    <w:p w:rsidR="000D39CF" w:rsidRPr="00EE1F2B" w:rsidRDefault="000D39CF" w:rsidP="001E5E65">
      <w:pPr>
        <w:jc w:val="both"/>
        <w:rPr>
          <w:rFonts w:ascii="Bookman Old Style" w:hAnsi="Bookman Old Style"/>
          <w:i/>
          <w:lang w:val="es-CO"/>
        </w:rPr>
      </w:pPr>
    </w:p>
    <w:p w:rsidR="00BD1DBA" w:rsidRDefault="003248F9" w:rsidP="001E5E65">
      <w:pPr>
        <w:jc w:val="both"/>
        <w:rPr>
          <w:rFonts w:ascii="Bookman Old Style" w:hAnsi="Bookman Old Style"/>
          <w:i/>
        </w:rPr>
      </w:pPr>
      <w:r>
        <w:rPr>
          <w:rFonts w:ascii="Bookman Old Style" w:hAnsi="Bookman Old Style"/>
          <w:i/>
        </w:rPr>
        <w:t>P</w:t>
      </w:r>
      <w:r w:rsidR="00BF7B83">
        <w:rPr>
          <w:rFonts w:ascii="Bookman Old Style" w:hAnsi="Bookman Old Style"/>
          <w:i/>
        </w:rPr>
        <w:t>ara los OR a los que se les apruebe el índice IPT</w:t>
      </w:r>
      <w:r w:rsidR="00BF7B83" w:rsidRPr="00BD1DBA">
        <w:rPr>
          <w:rFonts w:ascii="Bookman Old Style" w:hAnsi="Bookman Old Style"/>
          <w:i/>
          <w:vertAlign w:val="subscript"/>
        </w:rPr>
        <w:t>j</w:t>
      </w:r>
      <w:proofErr w:type="gramStart"/>
      <w:r w:rsidR="00BF7B83" w:rsidRPr="00BD1DBA">
        <w:rPr>
          <w:rFonts w:ascii="Bookman Old Style" w:hAnsi="Bookman Old Style"/>
          <w:i/>
          <w:vertAlign w:val="subscript"/>
        </w:rPr>
        <w:t>,0</w:t>
      </w:r>
      <w:proofErr w:type="gramEnd"/>
      <w:r w:rsidR="00BF7B83">
        <w:rPr>
          <w:rFonts w:ascii="Bookman Old Style" w:hAnsi="Bookman Old Style"/>
          <w:i/>
        </w:rPr>
        <w:t xml:space="preserve"> sin considerar las ventas de energía del nivel de tensión 4, según lo establecido en </w:t>
      </w:r>
      <w:r w:rsidR="00BF7B83" w:rsidRPr="00D17140">
        <w:rPr>
          <w:rFonts w:ascii="Bookman Old Style" w:hAnsi="Bookman Old Style"/>
          <w:i/>
        </w:rPr>
        <w:t>el numeral 4.1.1 del presente Anexo</w:t>
      </w:r>
      <w:r w:rsidR="00BF7B83">
        <w:rPr>
          <w:rFonts w:ascii="Bookman Old Style" w:hAnsi="Bookman Old Style"/>
          <w:i/>
        </w:rPr>
        <w:t xml:space="preserve">, </w:t>
      </w:r>
      <w:r>
        <w:rPr>
          <w:rFonts w:ascii="Bookman Old Style" w:hAnsi="Bookman Old Style"/>
          <w:i/>
        </w:rPr>
        <w:t xml:space="preserve">en </w:t>
      </w:r>
      <w:r w:rsidR="00C467B7">
        <w:rPr>
          <w:rFonts w:ascii="Bookman Old Style" w:hAnsi="Bookman Old Style"/>
          <w:i/>
        </w:rPr>
        <w:t xml:space="preserve">el cálculo de la variable </w:t>
      </w:r>
      <w:proofErr w:type="spellStart"/>
      <w:r w:rsidR="00C467B7">
        <w:rPr>
          <w:rFonts w:ascii="Bookman Old Style" w:hAnsi="Bookman Old Style"/>
          <w:i/>
        </w:rPr>
        <w:t>PTS</w:t>
      </w:r>
      <w:r w:rsidR="00C467B7" w:rsidRPr="00010373">
        <w:rPr>
          <w:rFonts w:ascii="Bookman Old Style" w:hAnsi="Bookman Old Style"/>
          <w:i/>
          <w:vertAlign w:val="subscript"/>
        </w:rPr>
        <w:t>i,j,m</w:t>
      </w:r>
      <w:proofErr w:type="spellEnd"/>
      <w:r w:rsidR="00C467B7">
        <w:rPr>
          <w:rFonts w:ascii="Bookman Old Style" w:hAnsi="Bookman Old Style"/>
          <w:i/>
        </w:rPr>
        <w:t xml:space="preserve"> </w:t>
      </w:r>
      <w:r w:rsidR="008F1FB2">
        <w:rPr>
          <w:rFonts w:ascii="Bookman Old Style" w:hAnsi="Bookman Old Style"/>
          <w:i/>
        </w:rPr>
        <w:t xml:space="preserve">no se incluirán </w:t>
      </w:r>
      <w:r w:rsidR="00BD1DBA">
        <w:rPr>
          <w:rFonts w:ascii="Bookman Old Style" w:hAnsi="Bookman Old Style"/>
          <w:i/>
        </w:rPr>
        <w:t>l</w:t>
      </w:r>
      <w:r w:rsidR="00BD1DBA" w:rsidRPr="00EE1F2B">
        <w:rPr>
          <w:rFonts w:ascii="Bookman Old Style" w:hAnsi="Bookman Old Style"/>
          <w:i/>
        </w:rPr>
        <w:t>as ventas en el nivel de tensión 4 en la energía de salida y de la energía de entrada se debe descontar las ventas de energía de nivel de tensión 4 afectadas por las pérdidas reconocidas</w:t>
      </w:r>
      <w:r w:rsidR="00C467B7">
        <w:rPr>
          <w:rFonts w:ascii="Bookman Old Style" w:hAnsi="Bookman Old Style"/>
          <w:i/>
        </w:rPr>
        <w:t>.</w:t>
      </w:r>
    </w:p>
    <w:p w:rsidR="008E5B78" w:rsidRPr="00C850D9" w:rsidRDefault="008E5B78" w:rsidP="000B4E51">
      <w:pPr>
        <w:jc w:val="both"/>
        <w:rPr>
          <w:rFonts w:ascii="Bookman Old Style" w:hAnsi="Bookman Old Style"/>
          <w:sz w:val="32"/>
        </w:rPr>
      </w:pPr>
    </w:p>
    <w:p w:rsidR="00546F21" w:rsidRDefault="00D150D2" w:rsidP="00A04E7D">
      <w:pPr>
        <w:pStyle w:val="Artculo"/>
      </w:pPr>
      <w:r w:rsidRPr="00D150D2">
        <w:t>Modificar e</w:t>
      </w:r>
      <w:r w:rsidR="00546F21" w:rsidRPr="003A7A27">
        <w:t xml:space="preserve">l </w:t>
      </w:r>
      <w:r w:rsidR="00546F21">
        <w:t>Artículo 7 de la Resolución CREG 172 de 2011</w:t>
      </w:r>
      <w:r>
        <w:t xml:space="preserve">, el cual </w:t>
      </w:r>
      <w:r w:rsidR="00546F21">
        <w:t xml:space="preserve"> </w:t>
      </w:r>
      <w:r w:rsidR="00546F21" w:rsidRPr="003A7A27">
        <w:t>queda</w:t>
      </w:r>
      <w:r>
        <w:t>rá</w:t>
      </w:r>
      <w:r w:rsidR="00546F21" w:rsidRPr="003A7A27">
        <w:t xml:space="preserve"> así:</w:t>
      </w:r>
    </w:p>
    <w:p w:rsidR="00546F21" w:rsidRDefault="00546F21" w:rsidP="00546F21">
      <w:pPr>
        <w:jc w:val="both"/>
        <w:rPr>
          <w:rFonts w:ascii="Bookman Old Style" w:hAnsi="Bookman Old Style"/>
        </w:rPr>
      </w:pPr>
    </w:p>
    <w:p w:rsidR="00546F21" w:rsidRPr="00546F21" w:rsidRDefault="00546F21" w:rsidP="00546F21">
      <w:pPr>
        <w:jc w:val="both"/>
        <w:rPr>
          <w:rFonts w:ascii="Bookman Old Style" w:hAnsi="Bookman Old Style"/>
          <w:i/>
          <w:lang w:val="es-CO"/>
        </w:rPr>
      </w:pPr>
      <w:r w:rsidRPr="00546F21">
        <w:rPr>
          <w:rFonts w:ascii="Bookman Old Style" w:hAnsi="Bookman Old Style"/>
          <w:b/>
          <w:i/>
          <w:lang w:val="es-CO"/>
        </w:rPr>
        <w:t>Art</w:t>
      </w:r>
      <w:r>
        <w:rPr>
          <w:rFonts w:ascii="Bookman Old Style" w:hAnsi="Bookman Old Style"/>
          <w:b/>
          <w:i/>
          <w:lang w:val="es-CO"/>
        </w:rPr>
        <w:t>ículo 7</w:t>
      </w:r>
      <w:r w:rsidRPr="00546F21">
        <w:rPr>
          <w:rFonts w:ascii="Bookman Old Style" w:hAnsi="Bookman Old Style"/>
          <w:b/>
          <w:i/>
          <w:lang w:val="es-CO"/>
        </w:rPr>
        <w:t xml:space="preserve">. Plazo para la presentación de los Planes de Reducción de Pérdidas no Técnicas. </w:t>
      </w:r>
      <w:r w:rsidR="004E3F58">
        <w:rPr>
          <w:rFonts w:ascii="Bookman Old Style" w:hAnsi="Bookman Old Style"/>
          <w:i/>
          <w:lang w:val="es-CO"/>
        </w:rPr>
        <w:t>L</w:t>
      </w:r>
      <w:r w:rsidRPr="00546F21">
        <w:rPr>
          <w:rFonts w:ascii="Bookman Old Style" w:hAnsi="Bookman Old Style"/>
          <w:i/>
          <w:lang w:val="es-CO"/>
        </w:rPr>
        <w:t>os OR con pérdidas de nivel de tensión 1 superiores a las vigentes reconocidas, deben presentar a la CREG su Plan</w:t>
      </w:r>
      <w:r w:rsidR="004E3F58">
        <w:rPr>
          <w:rFonts w:ascii="Bookman Old Style" w:hAnsi="Bookman Old Style"/>
          <w:i/>
          <w:lang w:val="es-CO"/>
        </w:rPr>
        <w:t xml:space="preserve"> a más tardar el 27 de abril de 2012</w:t>
      </w:r>
      <w:r w:rsidRPr="00546F21">
        <w:rPr>
          <w:rFonts w:ascii="Bookman Old Style" w:hAnsi="Bookman Old Style"/>
          <w:i/>
          <w:lang w:val="es-CO"/>
        </w:rPr>
        <w:t>.</w:t>
      </w:r>
    </w:p>
    <w:p w:rsidR="00546F21" w:rsidRPr="00546F21" w:rsidRDefault="00546F21" w:rsidP="00546F21">
      <w:pPr>
        <w:jc w:val="both"/>
        <w:rPr>
          <w:rFonts w:ascii="Bookman Old Style" w:hAnsi="Bookman Old Style"/>
          <w:i/>
          <w:lang w:val="es-CO"/>
        </w:rPr>
      </w:pPr>
    </w:p>
    <w:p w:rsidR="00546F21" w:rsidRPr="00546F21" w:rsidRDefault="00546F21" w:rsidP="00546F21">
      <w:pPr>
        <w:jc w:val="both"/>
        <w:rPr>
          <w:rFonts w:ascii="Bookman Old Style" w:hAnsi="Bookman Old Style"/>
          <w:i/>
          <w:lang w:val="es-CO"/>
        </w:rPr>
      </w:pPr>
      <w:r w:rsidRPr="00546F21">
        <w:rPr>
          <w:rFonts w:ascii="Bookman Old Style" w:hAnsi="Bookman Old Style"/>
          <w:b/>
          <w:i/>
          <w:lang w:val="es-CO"/>
        </w:rPr>
        <w:t xml:space="preserve">Parágrafo. </w:t>
      </w:r>
      <w:r w:rsidRPr="00546F21">
        <w:rPr>
          <w:rFonts w:ascii="Bookman Old Style" w:hAnsi="Bookman Old Style"/>
          <w:i/>
          <w:lang w:val="es-CO"/>
        </w:rPr>
        <w:t xml:space="preserve">En caso de que el OR no presente un Plan en el plazo determinado, la variable </w:t>
      </w:r>
      <w:proofErr w:type="spellStart"/>
      <w:r w:rsidRPr="00546F21">
        <w:rPr>
          <w:rFonts w:ascii="Bookman Old Style" w:hAnsi="Bookman Old Style"/>
          <w:i/>
          <w:lang w:val="es-CO"/>
        </w:rPr>
        <w:t>CPROG</w:t>
      </w:r>
      <w:r w:rsidRPr="000D17BD">
        <w:rPr>
          <w:rFonts w:ascii="Bookman Old Style" w:hAnsi="Bookman Old Style"/>
          <w:i/>
          <w:vertAlign w:val="subscript"/>
          <w:lang w:val="es-CO"/>
        </w:rPr>
        <w:t>j</w:t>
      </w:r>
      <w:proofErr w:type="gramStart"/>
      <w:r w:rsidRPr="000D17BD">
        <w:rPr>
          <w:rFonts w:ascii="Bookman Old Style" w:hAnsi="Bookman Old Style"/>
          <w:i/>
          <w:vertAlign w:val="subscript"/>
          <w:lang w:val="es-CO"/>
        </w:rPr>
        <w:t>,m</w:t>
      </w:r>
      <w:proofErr w:type="spellEnd"/>
      <w:proofErr w:type="gramEnd"/>
      <w:r w:rsidRPr="00546F21">
        <w:rPr>
          <w:rFonts w:ascii="Bookman Old Style" w:hAnsi="Bookman Old Style"/>
          <w:i/>
          <w:lang w:val="es-CO"/>
        </w:rPr>
        <w:t xml:space="preserve"> será igual a cero y la variable P</w:t>
      </w:r>
      <w:r w:rsidRPr="000D17BD">
        <w:rPr>
          <w:rFonts w:ascii="Bookman Old Style" w:hAnsi="Bookman Old Style"/>
          <w:i/>
          <w:vertAlign w:val="subscript"/>
          <w:lang w:val="es-CO"/>
        </w:rPr>
        <w:t>j,1</w:t>
      </w:r>
      <w:r w:rsidRPr="00546F21">
        <w:rPr>
          <w:rFonts w:ascii="Bookman Old Style" w:hAnsi="Bookman Old Style"/>
          <w:i/>
          <w:lang w:val="es-CO"/>
        </w:rPr>
        <w:t xml:space="preserve"> se determinará según lo establecido en el numeral 5.2.2 del ANEXO 5 de la presente resolución. </w:t>
      </w:r>
    </w:p>
    <w:p w:rsidR="00546F21" w:rsidRPr="00546F21" w:rsidRDefault="00546F21" w:rsidP="00546F21">
      <w:pPr>
        <w:jc w:val="both"/>
        <w:rPr>
          <w:rFonts w:ascii="Bookman Old Style" w:hAnsi="Bookman Old Style"/>
          <w:i/>
          <w:lang w:val="es-CO"/>
        </w:rPr>
      </w:pPr>
    </w:p>
    <w:p w:rsidR="00EF6D78" w:rsidRDefault="00EF6D78" w:rsidP="00EF6D78">
      <w:pPr>
        <w:ind w:left="0"/>
        <w:jc w:val="both"/>
        <w:rPr>
          <w:rFonts w:ascii="Bookman Old Style" w:hAnsi="Bookman Old Style"/>
          <w:b/>
        </w:rPr>
      </w:pPr>
    </w:p>
    <w:p w:rsidR="00EF6D78" w:rsidRPr="00EF6D78" w:rsidRDefault="00EF6D78" w:rsidP="00EF6D78">
      <w:pPr>
        <w:pStyle w:val="Artculo"/>
      </w:pPr>
      <w:r w:rsidRPr="00EF6D78">
        <w:t xml:space="preserve">La presente </w:t>
      </w:r>
      <w:r w:rsidR="00D150D2">
        <w:t>R</w:t>
      </w:r>
      <w:r w:rsidRPr="00EF6D78">
        <w:t>esolución rige a partir de su publicación en el Diario Oficial.</w:t>
      </w:r>
    </w:p>
    <w:p w:rsidR="00EF6D78" w:rsidRDefault="00EF6D78" w:rsidP="00EF6D78">
      <w:pPr>
        <w:pStyle w:val="Artculo"/>
        <w:numPr>
          <w:ilvl w:val="0"/>
          <w:numId w:val="0"/>
        </w:numPr>
      </w:pPr>
    </w:p>
    <w:p w:rsidR="00EF6D78" w:rsidRPr="005F46C2" w:rsidRDefault="00EF6D78" w:rsidP="00EF6D78">
      <w:pPr>
        <w:rPr>
          <w:rFonts w:ascii="Bookman Old Style" w:hAnsi="Bookman Old Style"/>
        </w:rPr>
      </w:pPr>
    </w:p>
    <w:p w:rsidR="00EF6D78" w:rsidRPr="005F46C2" w:rsidRDefault="00EF6D78" w:rsidP="00EF6D78">
      <w:pPr>
        <w:jc w:val="center"/>
        <w:rPr>
          <w:rFonts w:ascii="Bookman Old Style" w:hAnsi="Bookman Old Style"/>
          <w:b/>
        </w:rPr>
      </w:pPr>
      <w:r w:rsidRPr="005F46C2">
        <w:rPr>
          <w:rFonts w:ascii="Bookman Old Style" w:hAnsi="Bookman Old Style"/>
          <w:b/>
        </w:rPr>
        <w:t>PUBLÍQUESE Y CÚMPLASE</w:t>
      </w:r>
    </w:p>
    <w:p w:rsidR="00EF6D78" w:rsidRPr="005F46C2" w:rsidRDefault="00EF6D78" w:rsidP="00EF6D78">
      <w:pPr>
        <w:rPr>
          <w:rFonts w:ascii="Bookman Old Style" w:hAnsi="Bookman Old Style"/>
        </w:rPr>
      </w:pPr>
    </w:p>
    <w:p w:rsidR="00EF6D78" w:rsidRPr="005F46C2" w:rsidRDefault="00EF6D78" w:rsidP="00C850D9">
      <w:pPr>
        <w:ind w:left="0"/>
        <w:rPr>
          <w:rFonts w:ascii="Bookman Old Style" w:hAnsi="Bookman Old Style"/>
        </w:rPr>
      </w:pPr>
      <w:r w:rsidRPr="005F46C2">
        <w:rPr>
          <w:rFonts w:ascii="Bookman Old Style" w:hAnsi="Bookman Old Style"/>
        </w:rPr>
        <w:t>Dado en Bogotá, D. C.</w:t>
      </w:r>
    </w:p>
    <w:p w:rsidR="00EF6D78" w:rsidRPr="005F46C2" w:rsidRDefault="00EF6D78" w:rsidP="00EF6D78">
      <w:pPr>
        <w:rPr>
          <w:rFonts w:ascii="Bookman Old Style" w:hAnsi="Bookman Old Style"/>
        </w:rPr>
      </w:pPr>
    </w:p>
    <w:p w:rsidR="00546F21" w:rsidRPr="005F46C2" w:rsidRDefault="00546F21" w:rsidP="000B4E51">
      <w:pPr>
        <w:jc w:val="both"/>
        <w:rPr>
          <w:rFonts w:ascii="Bookman Old Style" w:hAnsi="Bookman Old Style"/>
          <w:lang w:val="es-CO"/>
        </w:rPr>
      </w:pPr>
    </w:p>
    <w:p w:rsidR="00350D9E" w:rsidRPr="006A597A" w:rsidRDefault="00350D9E" w:rsidP="00350D9E">
      <w:pPr>
        <w:spacing w:line="216" w:lineRule="auto"/>
        <w:ind w:left="0"/>
        <w:jc w:val="both"/>
        <w:rPr>
          <w:rFonts w:ascii="Bookman Old Style" w:hAnsi="Bookman Old Style"/>
          <w:sz w:val="16"/>
        </w:rPr>
      </w:pPr>
    </w:p>
    <w:p w:rsidR="00422D86" w:rsidRDefault="00422D86" w:rsidP="00350D9E">
      <w:pPr>
        <w:spacing w:line="216" w:lineRule="auto"/>
        <w:ind w:left="0"/>
        <w:jc w:val="both"/>
        <w:rPr>
          <w:rFonts w:ascii="Bookman Old Style" w:hAnsi="Bookman Old Style"/>
        </w:rPr>
      </w:pPr>
    </w:p>
    <w:p w:rsidR="00350D9E" w:rsidRDefault="00350D9E" w:rsidP="00350D9E">
      <w:pPr>
        <w:spacing w:line="216" w:lineRule="auto"/>
        <w:ind w:left="0"/>
        <w:jc w:val="both"/>
        <w:rPr>
          <w:rFonts w:ascii="Bookman Old Style" w:hAnsi="Bookman Old Style"/>
        </w:rPr>
      </w:pPr>
    </w:p>
    <w:tbl>
      <w:tblPr>
        <w:tblW w:w="0" w:type="auto"/>
        <w:jc w:val="center"/>
        <w:tblInd w:w="-293" w:type="dxa"/>
        <w:tblLayout w:type="fixed"/>
        <w:tblCellMar>
          <w:left w:w="70" w:type="dxa"/>
          <w:right w:w="70" w:type="dxa"/>
        </w:tblCellMar>
        <w:tblLook w:val="04A0" w:firstRow="1" w:lastRow="0" w:firstColumn="1" w:lastColumn="0" w:noHBand="0" w:noVBand="1"/>
      </w:tblPr>
      <w:tblGrid>
        <w:gridCol w:w="4820"/>
        <w:gridCol w:w="4374"/>
      </w:tblGrid>
      <w:tr w:rsidR="00350D9E" w:rsidTr="00350D9E">
        <w:trPr>
          <w:trHeight w:val="329"/>
          <w:jc w:val="center"/>
        </w:trPr>
        <w:tc>
          <w:tcPr>
            <w:tcW w:w="4820" w:type="dxa"/>
            <w:vAlign w:val="center"/>
            <w:hideMark/>
          </w:tcPr>
          <w:p w:rsidR="00350D9E" w:rsidRDefault="00350D9E" w:rsidP="00C850D9">
            <w:pPr>
              <w:suppressAutoHyphens/>
              <w:spacing w:line="216" w:lineRule="auto"/>
              <w:ind w:left="0"/>
              <w:jc w:val="center"/>
              <w:rPr>
                <w:rFonts w:ascii="Bookman Old Style" w:hAnsi="Bookman Old Style" w:cs="Arial"/>
                <w:b/>
                <w:spacing w:val="-3"/>
              </w:rPr>
            </w:pPr>
            <w:r>
              <w:rPr>
                <w:rFonts w:ascii="Bookman Old Style" w:hAnsi="Bookman Old Style" w:cs="Arial"/>
                <w:b/>
                <w:bCs/>
              </w:rPr>
              <w:t>TOM</w:t>
            </w:r>
            <w:r w:rsidR="00C850D9">
              <w:rPr>
                <w:rFonts w:ascii="Bookman Old Style" w:hAnsi="Bookman Old Style" w:cs="Arial"/>
                <w:b/>
                <w:bCs/>
              </w:rPr>
              <w:t>Á</w:t>
            </w:r>
            <w:r>
              <w:rPr>
                <w:rFonts w:ascii="Bookman Old Style" w:hAnsi="Bookman Old Style" w:cs="Arial"/>
                <w:b/>
                <w:bCs/>
              </w:rPr>
              <w:t>S GONZ</w:t>
            </w:r>
            <w:r w:rsidR="00C850D9">
              <w:rPr>
                <w:rFonts w:ascii="Bookman Old Style" w:hAnsi="Bookman Old Style" w:cs="Arial"/>
                <w:b/>
                <w:bCs/>
              </w:rPr>
              <w:t>Á</w:t>
            </w:r>
            <w:r>
              <w:rPr>
                <w:rFonts w:ascii="Bookman Old Style" w:hAnsi="Bookman Old Style" w:cs="Arial"/>
                <w:b/>
                <w:bCs/>
              </w:rPr>
              <w:t>LEZ ESTRADA</w:t>
            </w:r>
          </w:p>
        </w:tc>
        <w:tc>
          <w:tcPr>
            <w:tcW w:w="4374" w:type="dxa"/>
            <w:vAlign w:val="center"/>
            <w:hideMark/>
          </w:tcPr>
          <w:p w:rsidR="00350D9E" w:rsidRDefault="00D150D2" w:rsidP="00C850D9">
            <w:pPr>
              <w:suppressAutoHyphens/>
              <w:spacing w:line="216" w:lineRule="auto"/>
              <w:ind w:left="-9"/>
              <w:jc w:val="center"/>
              <w:rPr>
                <w:rFonts w:ascii="Bookman Old Style" w:hAnsi="Bookman Old Style" w:cs="Arial"/>
                <w:b/>
                <w:spacing w:val="-3"/>
              </w:rPr>
            </w:pPr>
            <w:r>
              <w:rPr>
                <w:rFonts w:ascii="Bookman Old Style" w:hAnsi="Bookman Old Style" w:cs="Arial"/>
                <w:b/>
                <w:spacing w:val="-3"/>
              </w:rPr>
              <w:t>GERM</w:t>
            </w:r>
            <w:r w:rsidR="00C850D9">
              <w:rPr>
                <w:rFonts w:ascii="Bookman Old Style" w:hAnsi="Bookman Old Style" w:cs="Arial"/>
                <w:b/>
                <w:spacing w:val="-3"/>
              </w:rPr>
              <w:t>Á</w:t>
            </w:r>
            <w:r w:rsidR="00E1369E">
              <w:rPr>
                <w:rFonts w:ascii="Bookman Old Style" w:hAnsi="Bookman Old Style" w:cs="Arial"/>
                <w:b/>
                <w:spacing w:val="-3"/>
              </w:rPr>
              <w:t>N CASTRO FERREIRA</w:t>
            </w:r>
          </w:p>
        </w:tc>
      </w:tr>
      <w:tr w:rsidR="00350D9E" w:rsidTr="00350D9E">
        <w:trPr>
          <w:trHeight w:val="329"/>
          <w:jc w:val="center"/>
        </w:trPr>
        <w:tc>
          <w:tcPr>
            <w:tcW w:w="4820" w:type="dxa"/>
            <w:vAlign w:val="center"/>
            <w:hideMark/>
          </w:tcPr>
          <w:p w:rsidR="00350D9E" w:rsidRDefault="00350D9E" w:rsidP="00B425EB">
            <w:pPr>
              <w:suppressAutoHyphens/>
              <w:spacing w:line="216" w:lineRule="auto"/>
              <w:ind w:left="0"/>
              <w:jc w:val="center"/>
              <w:rPr>
                <w:rFonts w:ascii="Bookman Old Style" w:hAnsi="Bookman Old Style" w:cs="Arial"/>
                <w:spacing w:val="-3"/>
              </w:rPr>
            </w:pPr>
            <w:r>
              <w:rPr>
                <w:rFonts w:ascii="Bookman Old Style" w:hAnsi="Bookman Old Style" w:cs="Arial"/>
                <w:spacing w:val="-3"/>
              </w:rPr>
              <w:t>Viceministro de Energía</w:t>
            </w:r>
          </w:p>
        </w:tc>
        <w:tc>
          <w:tcPr>
            <w:tcW w:w="4374" w:type="dxa"/>
            <w:vAlign w:val="center"/>
            <w:hideMark/>
          </w:tcPr>
          <w:p w:rsidR="00350D9E" w:rsidRDefault="00350D9E" w:rsidP="00350D9E">
            <w:pPr>
              <w:suppressAutoHyphens/>
              <w:spacing w:line="216" w:lineRule="auto"/>
              <w:ind w:left="-9"/>
              <w:jc w:val="center"/>
              <w:rPr>
                <w:rFonts w:ascii="Bookman Old Style" w:hAnsi="Bookman Old Style" w:cs="Arial"/>
                <w:spacing w:val="-3"/>
              </w:rPr>
            </w:pPr>
            <w:r>
              <w:rPr>
                <w:rFonts w:ascii="Bookman Old Style" w:hAnsi="Bookman Old Style" w:cs="Arial"/>
                <w:spacing w:val="-3"/>
              </w:rPr>
              <w:t>Director Ejecutivo</w:t>
            </w:r>
          </w:p>
        </w:tc>
      </w:tr>
      <w:tr w:rsidR="00350D9E" w:rsidTr="00350D9E">
        <w:trPr>
          <w:trHeight w:val="329"/>
          <w:jc w:val="center"/>
        </w:trPr>
        <w:tc>
          <w:tcPr>
            <w:tcW w:w="4820" w:type="dxa"/>
            <w:vAlign w:val="center"/>
            <w:hideMark/>
          </w:tcPr>
          <w:p w:rsidR="00350D9E" w:rsidRDefault="00350D9E" w:rsidP="00350D9E">
            <w:pPr>
              <w:suppressAutoHyphens/>
              <w:spacing w:line="216" w:lineRule="auto"/>
              <w:ind w:left="0"/>
              <w:jc w:val="center"/>
              <w:rPr>
                <w:rFonts w:ascii="Bookman Old Style" w:hAnsi="Bookman Old Style" w:cs="Arial"/>
                <w:spacing w:val="-3"/>
              </w:rPr>
            </w:pPr>
            <w:r>
              <w:rPr>
                <w:rFonts w:ascii="Bookman Old Style" w:hAnsi="Bookman Old Style" w:cs="Arial"/>
                <w:spacing w:val="-3"/>
              </w:rPr>
              <w:t>Delegado del Ministro de Minas y Energía</w:t>
            </w:r>
          </w:p>
          <w:p w:rsidR="00350D9E" w:rsidRDefault="00350D9E" w:rsidP="00350D9E">
            <w:pPr>
              <w:suppressAutoHyphens/>
              <w:spacing w:line="216" w:lineRule="auto"/>
              <w:ind w:left="0"/>
              <w:jc w:val="center"/>
              <w:rPr>
                <w:rFonts w:ascii="Bookman Old Style" w:hAnsi="Bookman Old Style" w:cs="Arial"/>
                <w:spacing w:val="-3"/>
              </w:rPr>
            </w:pPr>
            <w:r>
              <w:rPr>
                <w:rFonts w:ascii="Bookman Old Style" w:hAnsi="Bookman Old Style" w:cs="Arial"/>
                <w:spacing w:val="-3"/>
              </w:rPr>
              <w:t>Presidente</w:t>
            </w:r>
          </w:p>
        </w:tc>
        <w:tc>
          <w:tcPr>
            <w:tcW w:w="4374" w:type="dxa"/>
            <w:vAlign w:val="center"/>
          </w:tcPr>
          <w:p w:rsidR="00350D9E" w:rsidRDefault="00350D9E" w:rsidP="00350D9E">
            <w:pPr>
              <w:tabs>
                <w:tab w:val="left" w:pos="-720"/>
              </w:tabs>
              <w:suppressAutoHyphens/>
              <w:spacing w:line="216" w:lineRule="auto"/>
              <w:jc w:val="both"/>
              <w:rPr>
                <w:rFonts w:ascii="Bookman Old Style" w:hAnsi="Bookman Old Style" w:cs="Arial"/>
                <w:b/>
                <w:spacing w:val="-3"/>
              </w:rPr>
            </w:pPr>
          </w:p>
        </w:tc>
      </w:tr>
    </w:tbl>
    <w:p w:rsidR="00350D9E" w:rsidRDefault="00350D9E" w:rsidP="00DA69D9">
      <w:pPr>
        <w:ind w:left="0"/>
        <w:jc w:val="both"/>
        <w:rPr>
          <w:rFonts w:ascii="Bookman Old Style" w:hAnsi="Bookman Old Style"/>
        </w:rPr>
      </w:pPr>
    </w:p>
    <w:sectPr w:rsidR="00350D9E"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50D2" w:rsidRDefault="00D150D2">
      <w:r>
        <w:separator/>
      </w:r>
    </w:p>
  </w:endnote>
  <w:endnote w:type="continuationSeparator" w:id="0">
    <w:p w:rsidR="00D150D2" w:rsidRDefault="00D150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DejaVu Sans">
    <w:charset w:val="00"/>
    <w:family w:val="auto"/>
    <w:pitch w:val="variable"/>
  </w:font>
  <w:font w:name="Arial Black">
    <w:panose1 w:val="020B0A040201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50D2" w:rsidRDefault="00D150D2">
      <w:r>
        <w:separator/>
      </w:r>
    </w:p>
  </w:footnote>
  <w:footnote w:type="continuationSeparator" w:id="0">
    <w:p w:rsidR="00D150D2" w:rsidRDefault="00D150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0D2" w:rsidRDefault="00D150D2" w:rsidP="00951F79">
    <w:pPr>
      <w:pStyle w:val="Ttulo1"/>
      <w:ind w:right="6"/>
      <w:jc w:val="left"/>
      <w:rPr>
        <w:rFonts w:ascii="Bookman Old Style" w:hAnsi="Bookman Old Style" w:cs="Arial"/>
        <w:b w:val="0"/>
        <w:sz w:val="22"/>
        <w:szCs w:val="22"/>
      </w:rPr>
    </w:pPr>
  </w:p>
  <w:p w:rsidR="00D150D2" w:rsidRPr="00951F79" w:rsidRDefault="00D150D2"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0B2957">
      <w:rPr>
        <w:rFonts w:ascii="Bookman Old Style" w:hAnsi="Bookman Old Style" w:cs="Arial"/>
        <w:b w:val="0"/>
        <w:noProof/>
        <w:sz w:val="22"/>
        <w:szCs w:val="22"/>
      </w:rPr>
      <w:t>9</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0B2957" w:rsidRPr="000B2957">
        <w:rPr>
          <w:rFonts w:ascii="Bookman Old Style" w:hAnsi="Bookman Old Style" w:cs="Arial"/>
          <w:b w:val="0"/>
          <w:noProof/>
          <w:sz w:val="22"/>
          <w:szCs w:val="22"/>
        </w:rPr>
        <w:t>9</w:t>
      </w:r>
    </w:fldSimple>
  </w:p>
  <w:p w:rsidR="00D150D2" w:rsidRDefault="00D150D2"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181A5D46" wp14:editId="4678FC4E">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D150D2" w:rsidRPr="00045D3D" w:rsidRDefault="00D150D2" w:rsidP="00AD01E4">
    <w:pPr>
      <w:pBdr>
        <w:bottom w:val="single" w:sz="4" w:space="1" w:color="auto"/>
      </w:pBdr>
      <w:ind w:left="142" w:right="148"/>
      <w:rPr>
        <w:b/>
      </w:rPr>
    </w:pPr>
    <w:r w:rsidRPr="004861AB">
      <w:rPr>
        <w:rFonts w:ascii="Bookman Old Style" w:hAnsi="Bookman Old Style" w:cs="Arial"/>
        <w:sz w:val="22"/>
        <w:szCs w:val="22"/>
      </w:rPr>
      <w:t xml:space="preserve">Por la cual se aclaran </w:t>
    </w:r>
    <w:r>
      <w:rPr>
        <w:rFonts w:ascii="Bookman Old Style" w:hAnsi="Bookman Old Style" w:cs="Arial"/>
        <w:sz w:val="22"/>
        <w:szCs w:val="22"/>
      </w:rPr>
      <w:t xml:space="preserve">y modifican </w:t>
    </w:r>
    <w:r w:rsidRPr="004861AB">
      <w:rPr>
        <w:rFonts w:ascii="Bookman Old Style" w:hAnsi="Bookman Old Style" w:cs="Arial"/>
        <w:sz w:val="22"/>
        <w:szCs w:val="22"/>
      </w:rPr>
      <w:t>algunas disposiciones de la Resolución CREG 172 de 2011.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0D2" w:rsidRDefault="00D150D2"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D150D2" w:rsidRDefault="00D150D2">
    <w:pPr>
      <w:pStyle w:val="Encabezado"/>
      <w:jc w:val="center"/>
      <w:rPr>
        <w:rFonts w:ascii="Arial" w:hAnsi="Arial" w:cs="Arial"/>
        <w:spacing w:val="20"/>
        <w:sz w:val="20"/>
      </w:rPr>
    </w:pPr>
  </w:p>
  <w:p w:rsidR="00D150D2" w:rsidRDefault="00D150D2"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nsid w:val="156B4BA6"/>
    <w:multiLevelType w:val="hybridMultilevel"/>
    <w:tmpl w:val="7ABACD60"/>
    <w:name w:val="WW8Num64232"/>
    <w:lvl w:ilvl="0" w:tplc="0C0A0001">
      <w:start w:val="1"/>
      <w:numFmt w:val="lowerLetter"/>
      <w:lvlText w:val="%1)"/>
      <w:lvlJc w:val="left"/>
      <w:pPr>
        <w:ind w:left="720" w:hanging="360"/>
      </w:pPr>
      <w:rPr>
        <w:rFonts w:cs="Arial" w:hint="default"/>
        <w:b/>
        <w:color w:val="auto"/>
      </w:rPr>
    </w:lvl>
    <w:lvl w:ilvl="1" w:tplc="0C0A0003" w:tentative="1">
      <w:start w:val="1"/>
      <w:numFmt w:val="lowerLetter"/>
      <w:lvlText w:val="%2."/>
      <w:lvlJc w:val="left"/>
      <w:pPr>
        <w:ind w:left="1440" w:hanging="360"/>
      </w:pPr>
    </w:lvl>
    <w:lvl w:ilvl="2" w:tplc="0C0A0005" w:tentative="1">
      <w:start w:val="1"/>
      <w:numFmt w:val="lowerRoman"/>
      <w:lvlText w:val="%3."/>
      <w:lvlJc w:val="right"/>
      <w:pPr>
        <w:ind w:left="2160" w:hanging="180"/>
      </w:pPr>
    </w:lvl>
    <w:lvl w:ilvl="3" w:tplc="0C0A0001" w:tentative="1">
      <w:start w:val="1"/>
      <w:numFmt w:val="decimal"/>
      <w:lvlText w:val="%4."/>
      <w:lvlJc w:val="left"/>
      <w:pPr>
        <w:ind w:left="2880" w:hanging="360"/>
      </w:pPr>
    </w:lvl>
    <w:lvl w:ilvl="4" w:tplc="0C0A0003" w:tentative="1">
      <w:start w:val="1"/>
      <w:numFmt w:val="lowerLetter"/>
      <w:lvlText w:val="%5."/>
      <w:lvlJc w:val="left"/>
      <w:pPr>
        <w:ind w:left="3600" w:hanging="360"/>
      </w:pPr>
    </w:lvl>
    <w:lvl w:ilvl="5" w:tplc="0C0A0005" w:tentative="1">
      <w:start w:val="1"/>
      <w:numFmt w:val="lowerRoman"/>
      <w:lvlText w:val="%6."/>
      <w:lvlJc w:val="right"/>
      <w:pPr>
        <w:ind w:left="4320" w:hanging="180"/>
      </w:pPr>
    </w:lvl>
    <w:lvl w:ilvl="6" w:tplc="0C0A0001" w:tentative="1">
      <w:start w:val="1"/>
      <w:numFmt w:val="decimal"/>
      <w:lvlText w:val="%7."/>
      <w:lvlJc w:val="left"/>
      <w:pPr>
        <w:ind w:left="5040" w:hanging="360"/>
      </w:pPr>
    </w:lvl>
    <w:lvl w:ilvl="7" w:tplc="0C0A0003" w:tentative="1">
      <w:start w:val="1"/>
      <w:numFmt w:val="lowerLetter"/>
      <w:lvlText w:val="%8."/>
      <w:lvlJc w:val="left"/>
      <w:pPr>
        <w:ind w:left="5760" w:hanging="360"/>
      </w:pPr>
    </w:lvl>
    <w:lvl w:ilvl="8" w:tplc="0C0A0005" w:tentative="1">
      <w:start w:val="1"/>
      <w:numFmt w:val="lowerRoman"/>
      <w:lvlText w:val="%9."/>
      <w:lvlJc w:val="right"/>
      <w:pPr>
        <w:ind w:left="6480" w:hanging="180"/>
      </w:pPr>
    </w:lvl>
  </w:abstractNum>
  <w:abstractNum w:abstractNumId="3">
    <w:nsid w:val="17526398"/>
    <w:multiLevelType w:val="multilevel"/>
    <w:tmpl w:val="9C6205C8"/>
    <w:lvl w:ilvl="0">
      <w:start w:val="1"/>
      <w:numFmt w:val="decimal"/>
      <w:lvlText w:val="ANEXO %1"/>
      <w:lvlJc w:val="left"/>
      <w:pPr>
        <w:ind w:left="360" w:hanging="360"/>
      </w:pPr>
      <w:rPr>
        <w:rFonts w:hint="default"/>
        <w:b/>
        <w:i w:val="0"/>
      </w:rPr>
    </w:lvl>
    <w:lvl w:ilvl="1">
      <w:start w:val="1"/>
      <w:numFmt w:val="decimal"/>
      <w:pStyle w:val="Ttulo2"/>
      <w:lvlText w:val="%1.%2"/>
      <w:lvlJc w:val="left"/>
      <w:pPr>
        <w:ind w:left="576" w:hanging="576"/>
      </w:pPr>
      <w:rPr>
        <w:vertAlign w:val="baseline"/>
      </w:rPr>
    </w:lvl>
    <w:lvl w:ilvl="2">
      <w:start w:val="1"/>
      <w:numFmt w:val="decimal"/>
      <w:lvlText w:val="%1.%2.%3"/>
      <w:lvlJc w:val="left"/>
      <w:pPr>
        <w:ind w:left="1004"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nsid w:val="2F366216"/>
    <w:multiLevelType w:val="hybridMultilevel"/>
    <w:tmpl w:val="5C405D4C"/>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5">
    <w:nsid w:val="38E02349"/>
    <w:multiLevelType w:val="multilevel"/>
    <w:tmpl w:val="BDD63202"/>
    <w:lvl w:ilvl="0">
      <w:start w:val="2"/>
      <w:numFmt w:val="decimal"/>
      <w:lvlText w:val="%1"/>
      <w:lvlJc w:val="left"/>
      <w:pPr>
        <w:ind w:left="645" w:hanging="645"/>
      </w:pPr>
      <w:rPr>
        <w:rFonts w:hint="default"/>
      </w:rPr>
    </w:lvl>
    <w:lvl w:ilvl="1">
      <w:start w:val="3"/>
      <w:numFmt w:val="decimal"/>
      <w:lvlText w:val="%1.%2"/>
      <w:lvlJc w:val="left"/>
      <w:pPr>
        <w:ind w:left="1216" w:hanging="720"/>
      </w:pPr>
      <w:rPr>
        <w:rFonts w:hint="default"/>
      </w:rPr>
    </w:lvl>
    <w:lvl w:ilvl="2">
      <w:start w:val="2"/>
      <w:numFmt w:val="decimal"/>
      <w:lvlText w:val="%1.%2.%3"/>
      <w:lvlJc w:val="left"/>
      <w:pPr>
        <w:ind w:left="1712"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6">
    <w:nsid w:val="46BE2F0F"/>
    <w:multiLevelType w:val="hybridMultilevel"/>
    <w:tmpl w:val="11AA2ECA"/>
    <w:name w:val="Lista4322222"/>
    <w:lvl w:ilvl="0" w:tplc="07E05BCA">
      <w:start w:val="1"/>
      <w:numFmt w:val="decimal"/>
      <w:lvlText w:val="%1."/>
      <w:lvlJc w:val="left"/>
      <w:pPr>
        <w:ind w:left="720" w:hanging="360"/>
      </w:pPr>
      <w:rPr>
        <w:rFonts w:hint="default"/>
      </w:rPr>
    </w:lvl>
    <w:lvl w:ilvl="1" w:tplc="CD9430A6" w:tentative="1">
      <w:start w:val="1"/>
      <w:numFmt w:val="lowerLetter"/>
      <w:lvlText w:val="%2."/>
      <w:lvlJc w:val="left"/>
      <w:pPr>
        <w:ind w:left="1440" w:hanging="360"/>
      </w:pPr>
    </w:lvl>
    <w:lvl w:ilvl="2" w:tplc="A3940E8A" w:tentative="1">
      <w:start w:val="1"/>
      <w:numFmt w:val="lowerRoman"/>
      <w:lvlText w:val="%3."/>
      <w:lvlJc w:val="right"/>
      <w:pPr>
        <w:ind w:left="2160" w:hanging="180"/>
      </w:pPr>
    </w:lvl>
    <w:lvl w:ilvl="3" w:tplc="187A6DB8" w:tentative="1">
      <w:start w:val="1"/>
      <w:numFmt w:val="decimal"/>
      <w:lvlText w:val="%4."/>
      <w:lvlJc w:val="left"/>
      <w:pPr>
        <w:ind w:left="2880" w:hanging="360"/>
      </w:pPr>
    </w:lvl>
    <w:lvl w:ilvl="4" w:tplc="B1CEA2E0" w:tentative="1">
      <w:start w:val="1"/>
      <w:numFmt w:val="lowerLetter"/>
      <w:lvlText w:val="%5."/>
      <w:lvlJc w:val="left"/>
      <w:pPr>
        <w:ind w:left="3600" w:hanging="360"/>
      </w:pPr>
    </w:lvl>
    <w:lvl w:ilvl="5" w:tplc="DD268AD8" w:tentative="1">
      <w:start w:val="1"/>
      <w:numFmt w:val="lowerRoman"/>
      <w:lvlText w:val="%6."/>
      <w:lvlJc w:val="right"/>
      <w:pPr>
        <w:ind w:left="4320" w:hanging="180"/>
      </w:pPr>
    </w:lvl>
    <w:lvl w:ilvl="6" w:tplc="FE7A34A2" w:tentative="1">
      <w:start w:val="1"/>
      <w:numFmt w:val="decimal"/>
      <w:lvlText w:val="%7."/>
      <w:lvlJc w:val="left"/>
      <w:pPr>
        <w:ind w:left="5040" w:hanging="360"/>
      </w:pPr>
    </w:lvl>
    <w:lvl w:ilvl="7" w:tplc="AFCA5AC2" w:tentative="1">
      <w:start w:val="1"/>
      <w:numFmt w:val="lowerLetter"/>
      <w:lvlText w:val="%8."/>
      <w:lvlJc w:val="left"/>
      <w:pPr>
        <w:ind w:left="5760" w:hanging="360"/>
      </w:pPr>
    </w:lvl>
    <w:lvl w:ilvl="8" w:tplc="179AB3D2" w:tentative="1">
      <w:start w:val="1"/>
      <w:numFmt w:val="lowerRoman"/>
      <w:lvlText w:val="%9."/>
      <w:lvlJc w:val="right"/>
      <w:pPr>
        <w:ind w:left="6480" w:hanging="180"/>
      </w:pPr>
    </w:lvl>
  </w:abstractNum>
  <w:abstractNum w:abstractNumId="7">
    <w:nsid w:val="51C77DD7"/>
    <w:multiLevelType w:val="multilevel"/>
    <w:tmpl w:val="89CA7306"/>
    <w:lvl w:ilvl="0">
      <w:start w:val="2"/>
      <w:numFmt w:val="decimal"/>
      <w:lvlText w:val="%1"/>
      <w:lvlJc w:val="left"/>
      <w:pPr>
        <w:ind w:left="405" w:hanging="405"/>
      </w:pPr>
      <w:rPr>
        <w:rFonts w:hint="default"/>
      </w:rPr>
    </w:lvl>
    <w:lvl w:ilvl="1">
      <w:start w:val="1"/>
      <w:numFmt w:val="decimal"/>
      <w:lvlText w:val="%1.%2"/>
      <w:lvlJc w:val="left"/>
      <w:pPr>
        <w:ind w:left="405" w:hanging="405"/>
      </w:pPr>
      <w:rPr>
        <w:rFonts w:hint="default"/>
        <w:vertAlign w:val="baseline"/>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52EF74C9"/>
    <w:multiLevelType w:val="hybridMultilevel"/>
    <w:tmpl w:val="E18656F6"/>
    <w:lvl w:ilvl="0" w:tplc="70DC267A">
      <w:start w:val="1"/>
      <w:numFmt w:val="decimal"/>
      <w:pStyle w:val="Artculo"/>
      <w:lvlText w:val="Artículo %1."/>
      <w:lvlJc w:val="left"/>
      <w:pPr>
        <w:ind w:left="2204" w:hanging="360"/>
      </w:pPr>
      <w:rPr>
        <w:rFonts w:ascii="Bookman Old Style" w:hAnsi="Bookman Old Style" w:cs="Times New Roman" w:hint="default"/>
        <w:b/>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9">
    <w:nsid w:val="5FC00230"/>
    <w:multiLevelType w:val="hybridMultilevel"/>
    <w:tmpl w:val="116E1F1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1"/>
  </w:num>
  <w:num w:numId="2">
    <w:abstractNumId w:val="8"/>
  </w:num>
  <w:num w:numId="3">
    <w:abstractNumId w:val="3"/>
  </w:num>
  <w:num w:numId="4">
    <w:abstractNumId w:val="9"/>
  </w:num>
  <w:num w:numId="5">
    <w:abstractNumId w:val="4"/>
  </w:num>
  <w:num w:numId="6">
    <w:abstractNumId w:val="5"/>
  </w:num>
  <w:num w:numId="7">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6AE2"/>
    <w:rsid w:val="000075B9"/>
    <w:rsid w:val="000076A1"/>
    <w:rsid w:val="00010373"/>
    <w:rsid w:val="00011A72"/>
    <w:rsid w:val="00012259"/>
    <w:rsid w:val="00025383"/>
    <w:rsid w:val="00036985"/>
    <w:rsid w:val="00041B54"/>
    <w:rsid w:val="00045D3D"/>
    <w:rsid w:val="000577E1"/>
    <w:rsid w:val="0006350C"/>
    <w:rsid w:val="00063657"/>
    <w:rsid w:val="0006600D"/>
    <w:rsid w:val="00076680"/>
    <w:rsid w:val="00076A1D"/>
    <w:rsid w:val="00077527"/>
    <w:rsid w:val="0008073E"/>
    <w:rsid w:val="00091CDB"/>
    <w:rsid w:val="00092426"/>
    <w:rsid w:val="00094219"/>
    <w:rsid w:val="00094FC1"/>
    <w:rsid w:val="000A1503"/>
    <w:rsid w:val="000A19AC"/>
    <w:rsid w:val="000A4B57"/>
    <w:rsid w:val="000B1944"/>
    <w:rsid w:val="000B2957"/>
    <w:rsid w:val="000B2EC9"/>
    <w:rsid w:val="000B4E51"/>
    <w:rsid w:val="000D17BD"/>
    <w:rsid w:val="000D26F8"/>
    <w:rsid w:val="000D39CF"/>
    <w:rsid w:val="000E26E9"/>
    <w:rsid w:val="000F39A1"/>
    <w:rsid w:val="001006BB"/>
    <w:rsid w:val="00100739"/>
    <w:rsid w:val="0010689B"/>
    <w:rsid w:val="00114D4A"/>
    <w:rsid w:val="001159F3"/>
    <w:rsid w:val="00127CE6"/>
    <w:rsid w:val="0013442B"/>
    <w:rsid w:val="0013526C"/>
    <w:rsid w:val="00136FDF"/>
    <w:rsid w:val="001405C6"/>
    <w:rsid w:val="00141013"/>
    <w:rsid w:val="00142A34"/>
    <w:rsid w:val="00150339"/>
    <w:rsid w:val="00156DB2"/>
    <w:rsid w:val="00157FD9"/>
    <w:rsid w:val="0017291B"/>
    <w:rsid w:val="00183ECF"/>
    <w:rsid w:val="001921CF"/>
    <w:rsid w:val="00192CBF"/>
    <w:rsid w:val="00192FF1"/>
    <w:rsid w:val="001A5F1B"/>
    <w:rsid w:val="001B1C22"/>
    <w:rsid w:val="001B34C6"/>
    <w:rsid w:val="001D7832"/>
    <w:rsid w:val="001D7EFA"/>
    <w:rsid w:val="001E5E65"/>
    <w:rsid w:val="001F6E1B"/>
    <w:rsid w:val="0020105F"/>
    <w:rsid w:val="00204D40"/>
    <w:rsid w:val="002066BA"/>
    <w:rsid w:val="002067EF"/>
    <w:rsid w:val="00210DC1"/>
    <w:rsid w:val="00211D34"/>
    <w:rsid w:val="00214F04"/>
    <w:rsid w:val="0026368E"/>
    <w:rsid w:val="002646F1"/>
    <w:rsid w:val="00266CD6"/>
    <w:rsid w:val="00275DAB"/>
    <w:rsid w:val="0029253B"/>
    <w:rsid w:val="002A782A"/>
    <w:rsid w:val="002B11E2"/>
    <w:rsid w:val="002B24B8"/>
    <w:rsid w:val="002B3288"/>
    <w:rsid w:val="002D3AE9"/>
    <w:rsid w:val="002D4510"/>
    <w:rsid w:val="002F0734"/>
    <w:rsid w:val="002F1F62"/>
    <w:rsid w:val="002F46E7"/>
    <w:rsid w:val="00301B84"/>
    <w:rsid w:val="00305842"/>
    <w:rsid w:val="003101DA"/>
    <w:rsid w:val="003111CA"/>
    <w:rsid w:val="00314715"/>
    <w:rsid w:val="00314757"/>
    <w:rsid w:val="003163BC"/>
    <w:rsid w:val="003211CE"/>
    <w:rsid w:val="003248F9"/>
    <w:rsid w:val="00325E06"/>
    <w:rsid w:val="003271B2"/>
    <w:rsid w:val="00333A36"/>
    <w:rsid w:val="00350D9E"/>
    <w:rsid w:val="0035403A"/>
    <w:rsid w:val="0035627D"/>
    <w:rsid w:val="00360FA9"/>
    <w:rsid w:val="003635CB"/>
    <w:rsid w:val="0036394B"/>
    <w:rsid w:val="00366DB6"/>
    <w:rsid w:val="003709B5"/>
    <w:rsid w:val="003759C2"/>
    <w:rsid w:val="003764CC"/>
    <w:rsid w:val="00380888"/>
    <w:rsid w:val="00380962"/>
    <w:rsid w:val="003867C2"/>
    <w:rsid w:val="00397365"/>
    <w:rsid w:val="003A31F6"/>
    <w:rsid w:val="003A3455"/>
    <w:rsid w:val="003A496E"/>
    <w:rsid w:val="003B54EA"/>
    <w:rsid w:val="003C0750"/>
    <w:rsid w:val="003C3447"/>
    <w:rsid w:val="003D076C"/>
    <w:rsid w:val="003E2CE0"/>
    <w:rsid w:val="003E78B5"/>
    <w:rsid w:val="003F0DF9"/>
    <w:rsid w:val="003F2829"/>
    <w:rsid w:val="003F5A6C"/>
    <w:rsid w:val="00414C52"/>
    <w:rsid w:val="0041585A"/>
    <w:rsid w:val="00415BAB"/>
    <w:rsid w:val="00415ED2"/>
    <w:rsid w:val="004165DF"/>
    <w:rsid w:val="0042068C"/>
    <w:rsid w:val="004228CD"/>
    <w:rsid w:val="00422D86"/>
    <w:rsid w:val="004232E6"/>
    <w:rsid w:val="00436F01"/>
    <w:rsid w:val="0044318E"/>
    <w:rsid w:val="00443B35"/>
    <w:rsid w:val="0045414E"/>
    <w:rsid w:val="00455259"/>
    <w:rsid w:val="0047122B"/>
    <w:rsid w:val="0047244E"/>
    <w:rsid w:val="00472E1D"/>
    <w:rsid w:val="00473B7A"/>
    <w:rsid w:val="00482E08"/>
    <w:rsid w:val="004861AB"/>
    <w:rsid w:val="004960E9"/>
    <w:rsid w:val="004A2E88"/>
    <w:rsid w:val="004A2F7E"/>
    <w:rsid w:val="004A3D15"/>
    <w:rsid w:val="004A40CF"/>
    <w:rsid w:val="004A5305"/>
    <w:rsid w:val="004B7AB9"/>
    <w:rsid w:val="004D0991"/>
    <w:rsid w:val="004D5EAB"/>
    <w:rsid w:val="004D7634"/>
    <w:rsid w:val="004E3F58"/>
    <w:rsid w:val="004E611A"/>
    <w:rsid w:val="005003EF"/>
    <w:rsid w:val="00501843"/>
    <w:rsid w:val="00504C02"/>
    <w:rsid w:val="0052323C"/>
    <w:rsid w:val="005300D3"/>
    <w:rsid w:val="005331DF"/>
    <w:rsid w:val="00541E5B"/>
    <w:rsid w:val="00542821"/>
    <w:rsid w:val="00544F82"/>
    <w:rsid w:val="00546F21"/>
    <w:rsid w:val="00547E7A"/>
    <w:rsid w:val="005509D2"/>
    <w:rsid w:val="005519A7"/>
    <w:rsid w:val="005562EC"/>
    <w:rsid w:val="0056519A"/>
    <w:rsid w:val="005908FE"/>
    <w:rsid w:val="00593076"/>
    <w:rsid w:val="00593C4F"/>
    <w:rsid w:val="005946A8"/>
    <w:rsid w:val="00594DF0"/>
    <w:rsid w:val="005A4407"/>
    <w:rsid w:val="005A59EF"/>
    <w:rsid w:val="005A5BFB"/>
    <w:rsid w:val="005B1231"/>
    <w:rsid w:val="005B1C7E"/>
    <w:rsid w:val="005B4088"/>
    <w:rsid w:val="005C284B"/>
    <w:rsid w:val="005C6976"/>
    <w:rsid w:val="005E2F54"/>
    <w:rsid w:val="005F3414"/>
    <w:rsid w:val="005F46C2"/>
    <w:rsid w:val="005F60BD"/>
    <w:rsid w:val="005F6F41"/>
    <w:rsid w:val="00604C10"/>
    <w:rsid w:val="00613841"/>
    <w:rsid w:val="0062037A"/>
    <w:rsid w:val="0062370D"/>
    <w:rsid w:val="00625DC6"/>
    <w:rsid w:val="006325C5"/>
    <w:rsid w:val="0063658B"/>
    <w:rsid w:val="00640DA9"/>
    <w:rsid w:val="0064391D"/>
    <w:rsid w:val="00651821"/>
    <w:rsid w:val="00652988"/>
    <w:rsid w:val="00654384"/>
    <w:rsid w:val="0065562B"/>
    <w:rsid w:val="006651B4"/>
    <w:rsid w:val="00666233"/>
    <w:rsid w:val="006675CD"/>
    <w:rsid w:val="006712CA"/>
    <w:rsid w:val="00676C0B"/>
    <w:rsid w:val="00684D9B"/>
    <w:rsid w:val="00697556"/>
    <w:rsid w:val="006A597A"/>
    <w:rsid w:val="006B4647"/>
    <w:rsid w:val="006B4C2B"/>
    <w:rsid w:val="006B6194"/>
    <w:rsid w:val="006B6D47"/>
    <w:rsid w:val="006C5AFE"/>
    <w:rsid w:val="006D0EB2"/>
    <w:rsid w:val="006E3A5B"/>
    <w:rsid w:val="006E403F"/>
    <w:rsid w:val="006E50BB"/>
    <w:rsid w:val="006E792E"/>
    <w:rsid w:val="006F6D95"/>
    <w:rsid w:val="006F7DCF"/>
    <w:rsid w:val="00706F13"/>
    <w:rsid w:val="007072E8"/>
    <w:rsid w:val="00710A3E"/>
    <w:rsid w:val="00714C78"/>
    <w:rsid w:val="00715994"/>
    <w:rsid w:val="0071618D"/>
    <w:rsid w:val="00725FA4"/>
    <w:rsid w:val="00732476"/>
    <w:rsid w:val="00733627"/>
    <w:rsid w:val="00740446"/>
    <w:rsid w:val="00743283"/>
    <w:rsid w:val="007438A9"/>
    <w:rsid w:val="0074491E"/>
    <w:rsid w:val="00761E79"/>
    <w:rsid w:val="0076247A"/>
    <w:rsid w:val="00775964"/>
    <w:rsid w:val="007765FE"/>
    <w:rsid w:val="007843AE"/>
    <w:rsid w:val="00785932"/>
    <w:rsid w:val="00794E2E"/>
    <w:rsid w:val="00795BFB"/>
    <w:rsid w:val="00795E23"/>
    <w:rsid w:val="0079743F"/>
    <w:rsid w:val="007B2760"/>
    <w:rsid w:val="007D230E"/>
    <w:rsid w:val="007E412B"/>
    <w:rsid w:val="00806C01"/>
    <w:rsid w:val="008148CC"/>
    <w:rsid w:val="008170DF"/>
    <w:rsid w:val="008211A4"/>
    <w:rsid w:val="00857A4A"/>
    <w:rsid w:val="00864C08"/>
    <w:rsid w:val="00866F33"/>
    <w:rsid w:val="00873150"/>
    <w:rsid w:val="0087657D"/>
    <w:rsid w:val="008807D5"/>
    <w:rsid w:val="00880832"/>
    <w:rsid w:val="00883A44"/>
    <w:rsid w:val="00886EE1"/>
    <w:rsid w:val="0088727D"/>
    <w:rsid w:val="00887827"/>
    <w:rsid w:val="0089470C"/>
    <w:rsid w:val="00895C5A"/>
    <w:rsid w:val="00897C75"/>
    <w:rsid w:val="008B6CE9"/>
    <w:rsid w:val="008C00BA"/>
    <w:rsid w:val="008C1130"/>
    <w:rsid w:val="008C283D"/>
    <w:rsid w:val="008D18E6"/>
    <w:rsid w:val="008D1B73"/>
    <w:rsid w:val="008D7A9B"/>
    <w:rsid w:val="008E0060"/>
    <w:rsid w:val="008E38FD"/>
    <w:rsid w:val="008E5B78"/>
    <w:rsid w:val="008E6072"/>
    <w:rsid w:val="008E76AC"/>
    <w:rsid w:val="008F1A26"/>
    <w:rsid w:val="008F1FB2"/>
    <w:rsid w:val="008F21F6"/>
    <w:rsid w:val="008F7B6F"/>
    <w:rsid w:val="009129A4"/>
    <w:rsid w:val="00914768"/>
    <w:rsid w:val="00914C5D"/>
    <w:rsid w:val="009227DC"/>
    <w:rsid w:val="00923E7A"/>
    <w:rsid w:val="009322B8"/>
    <w:rsid w:val="00932BB4"/>
    <w:rsid w:val="00943D96"/>
    <w:rsid w:val="00951F79"/>
    <w:rsid w:val="00961C3E"/>
    <w:rsid w:val="00962DD6"/>
    <w:rsid w:val="009642C6"/>
    <w:rsid w:val="00974AB5"/>
    <w:rsid w:val="00980634"/>
    <w:rsid w:val="0098574C"/>
    <w:rsid w:val="0098706D"/>
    <w:rsid w:val="009935FB"/>
    <w:rsid w:val="009C1741"/>
    <w:rsid w:val="009C3EE0"/>
    <w:rsid w:val="009D31AA"/>
    <w:rsid w:val="009D7190"/>
    <w:rsid w:val="009E1566"/>
    <w:rsid w:val="009F4A54"/>
    <w:rsid w:val="009F4BEC"/>
    <w:rsid w:val="009F5874"/>
    <w:rsid w:val="00A04E7D"/>
    <w:rsid w:val="00A208B5"/>
    <w:rsid w:val="00A25FD7"/>
    <w:rsid w:val="00A37A12"/>
    <w:rsid w:val="00A43AFF"/>
    <w:rsid w:val="00A458E7"/>
    <w:rsid w:val="00A54BB3"/>
    <w:rsid w:val="00A61512"/>
    <w:rsid w:val="00A7793A"/>
    <w:rsid w:val="00A82C40"/>
    <w:rsid w:val="00AA2DA0"/>
    <w:rsid w:val="00AA4CC7"/>
    <w:rsid w:val="00AA5E8E"/>
    <w:rsid w:val="00AB4706"/>
    <w:rsid w:val="00AB5E46"/>
    <w:rsid w:val="00AB6CA7"/>
    <w:rsid w:val="00AD01E4"/>
    <w:rsid w:val="00AD0858"/>
    <w:rsid w:val="00AD413B"/>
    <w:rsid w:val="00AE7340"/>
    <w:rsid w:val="00AF181B"/>
    <w:rsid w:val="00AF1BBD"/>
    <w:rsid w:val="00AF6024"/>
    <w:rsid w:val="00B10207"/>
    <w:rsid w:val="00B11B0E"/>
    <w:rsid w:val="00B141E7"/>
    <w:rsid w:val="00B16E46"/>
    <w:rsid w:val="00B216EB"/>
    <w:rsid w:val="00B27560"/>
    <w:rsid w:val="00B3027F"/>
    <w:rsid w:val="00B33E05"/>
    <w:rsid w:val="00B351B4"/>
    <w:rsid w:val="00B405DE"/>
    <w:rsid w:val="00B425EB"/>
    <w:rsid w:val="00B46BCA"/>
    <w:rsid w:val="00B478AA"/>
    <w:rsid w:val="00B55041"/>
    <w:rsid w:val="00B64BF4"/>
    <w:rsid w:val="00B76198"/>
    <w:rsid w:val="00B87806"/>
    <w:rsid w:val="00B87EC9"/>
    <w:rsid w:val="00B95880"/>
    <w:rsid w:val="00BB7629"/>
    <w:rsid w:val="00BC38FD"/>
    <w:rsid w:val="00BD0059"/>
    <w:rsid w:val="00BD1DBA"/>
    <w:rsid w:val="00BF0265"/>
    <w:rsid w:val="00BF2841"/>
    <w:rsid w:val="00BF52BE"/>
    <w:rsid w:val="00BF7B83"/>
    <w:rsid w:val="00C034CB"/>
    <w:rsid w:val="00C051A8"/>
    <w:rsid w:val="00C054BC"/>
    <w:rsid w:val="00C10CD7"/>
    <w:rsid w:val="00C161DB"/>
    <w:rsid w:val="00C17897"/>
    <w:rsid w:val="00C342E7"/>
    <w:rsid w:val="00C409D5"/>
    <w:rsid w:val="00C435C3"/>
    <w:rsid w:val="00C467B7"/>
    <w:rsid w:val="00C53260"/>
    <w:rsid w:val="00C532AD"/>
    <w:rsid w:val="00C56108"/>
    <w:rsid w:val="00C6234B"/>
    <w:rsid w:val="00C63637"/>
    <w:rsid w:val="00C63EAE"/>
    <w:rsid w:val="00C71CEF"/>
    <w:rsid w:val="00C7629F"/>
    <w:rsid w:val="00C766A3"/>
    <w:rsid w:val="00C804B4"/>
    <w:rsid w:val="00C850D9"/>
    <w:rsid w:val="00C8661B"/>
    <w:rsid w:val="00C9033F"/>
    <w:rsid w:val="00CA139A"/>
    <w:rsid w:val="00CA2899"/>
    <w:rsid w:val="00CA3A3D"/>
    <w:rsid w:val="00CA72AC"/>
    <w:rsid w:val="00CA77FB"/>
    <w:rsid w:val="00CB379B"/>
    <w:rsid w:val="00CB5DD0"/>
    <w:rsid w:val="00CB6627"/>
    <w:rsid w:val="00CC14C1"/>
    <w:rsid w:val="00CC4242"/>
    <w:rsid w:val="00CC51D4"/>
    <w:rsid w:val="00CC65DA"/>
    <w:rsid w:val="00CE1039"/>
    <w:rsid w:val="00CE1EC2"/>
    <w:rsid w:val="00CF21B9"/>
    <w:rsid w:val="00CF6BF9"/>
    <w:rsid w:val="00D03800"/>
    <w:rsid w:val="00D065D3"/>
    <w:rsid w:val="00D0704A"/>
    <w:rsid w:val="00D14C94"/>
    <w:rsid w:val="00D150D2"/>
    <w:rsid w:val="00D16D33"/>
    <w:rsid w:val="00D17140"/>
    <w:rsid w:val="00D31AC4"/>
    <w:rsid w:val="00D3307A"/>
    <w:rsid w:val="00D331AD"/>
    <w:rsid w:val="00D342A6"/>
    <w:rsid w:val="00D45CA6"/>
    <w:rsid w:val="00D4638F"/>
    <w:rsid w:val="00D464BF"/>
    <w:rsid w:val="00D53E26"/>
    <w:rsid w:val="00D71510"/>
    <w:rsid w:val="00D7289B"/>
    <w:rsid w:val="00D74A6F"/>
    <w:rsid w:val="00D9413E"/>
    <w:rsid w:val="00D96BEF"/>
    <w:rsid w:val="00DA1B43"/>
    <w:rsid w:val="00DA2F0A"/>
    <w:rsid w:val="00DA69D9"/>
    <w:rsid w:val="00DB02CF"/>
    <w:rsid w:val="00DB12A1"/>
    <w:rsid w:val="00DC0BC0"/>
    <w:rsid w:val="00DC5B01"/>
    <w:rsid w:val="00DD4F0E"/>
    <w:rsid w:val="00DE387F"/>
    <w:rsid w:val="00DF0364"/>
    <w:rsid w:val="00DF0BF0"/>
    <w:rsid w:val="00DF0F6F"/>
    <w:rsid w:val="00DF3CA2"/>
    <w:rsid w:val="00E01463"/>
    <w:rsid w:val="00E03BD2"/>
    <w:rsid w:val="00E05E0A"/>
    <w:rsid w:val="00E060BE"/>
    <w:rsid w:val="00E0722F"/>
    <w:rsid w:val="00E108FB"/>
    <w:rsid w:val="00E12B49"/>
    <w:rsid w:val="00E1369E"/>
    <w:rsid w:val="00E13D5D"/>
    <w:rsid w:val="00E14CC4"/>
    <w:rsid w:val="00E15920"/>
    <w:rsid w:val="00E21414"/>
    <w:rsid w:val="00E31CFC"/>
    <w:rsid w:val="00E40DAC"/>
    <w:rsid w:val="00E413EC"/>
    <w:rsid w:val="00E534CF"/>
    <w:rsid w:val="00E55B4A"/>
    <w:rsid w:val="00E55F88"/>
    <w:rsid w:val="00E57869"/>
    <w:rsid w:val="00E60C09"/>
    <w:rsid w:val="00E74DBA"/>
    <w:rsid w:val="00E74E77"/>
    <w:rsid w:val="00E770DF"/>
    <w:rsid w:val="00E81CB4"/>
    <w:rsid w:val="00E8585B"/>
    <w:rsid w:val="00E96EE1"/>
    <w:rsid w:val="00EA3F15"/>
    <w:rsid w:val="00EA7847"/>
    <w:rsid w:val="00EB263B"/>
    <w:rsid w:val="00EB2746"/>
    <w:rsid w:val="00EB4C2F"/>
    <w:rsid w:val="00EC5024"/>
    <w:rsid w:val="00ED590E"/>
    <w:rsid w:val="00EE1F2B"/>
    <w:rsid w:val="00EE2E6E"/>
    <w:rsid w:val="00EF47F2"/>
    <w:rsid w:val="00EF6D78"/>
    <w:rsid w:val="00F004AF"/>
    <w:rsid w:val="00F0759E"/>
    <w:rsid w:val="00F16A43"/>
    <w:rsid w:val="00F32F56"/>
    <w:rsid w:val="00F373C5"/>
    <w:rsid w:val="00F44E5C"/>
    <w:rsid w:val="00F46780"/>
    <w:rsid w:val="00F50148"/>
    <w:rsid w:val="00F545EA"/>
    <w:rsid w:val="00F55370"/>
    <w:rsid w:val="00F66D96"/>
    <w:rsid w:val="00F67C83"/>
    <w:rsid w:val="00F72A24"/>
    <w:rsid w:val="00F76B34"/>
    <w:rsid w:val="00F821A3"/>
    <w:rsid w:val="00F9314A"/>
    <w:rsid w:val="00F940B2"/>
    <w:rsid w:val="00F94F14"/>
    <w:rsid w:val="00FA20C4"/>
    <w:rsid w:val="00FA21AF"/>
    <w:rsid w:val="00FB257C"/>
    <w:rsid w:val="00FC58EF"/>
    <w:rsid w:val="00FD33DF"/>
    <w:rsid w:val="00FD35D1"/>
    <w:rsid w:val="00FD4EE8"/>
    <w:rsid w:val="00FE39D7"/>
    <w:rsid w:val="00FE6AFD"/>
    <w:rsid w:val="00FF099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0" w:qFormat="1"/>
    <w:lsdException w:name="index 1" w:uiPriority="0"/>
    <w:lsdException w:name="index 2" w:uiPriority="0"/>
    <w:lsdException w:name="index 3" w:uiPriority="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index heading" w:uiPriority="0"/>
    <w:lsdException w:name="caption" w:uiPriority="0" w:qFormat="1"/>
    <w:lsdException w:name="table of figures" w:uiPriority="0"/>
    <w:lsdException w:name="page number" w:uiPriority="0"/>
    <w:lsdException w:name="List" w:uiPriority="0"/>
    <w:lsdException w:name="List Bullet" w:uiPriority="0"/>
    <w:lsdException w:name="List Bullet 2" w:uiPriority="0"/>
    <w:lsdException w:name="List Bullet 4" w:uiPriority="0"/>
    <w:lsdException w:name="Title" w:semiHidden="0" w:uiPriority="0" w:unhideWhenUsed="0" w:qFormat="1"/>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First Indent" w:uiPriority="0"/>
    <w:lsdException w:name="Body Text 2"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Bottom of Form"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aliases w:val="ANEXO"/>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basedOn w:val="Ttulo1"/>
    <w:next w:val="Normal"/>
    <w:link w:val="Ttulo2Car"/>
    <w:autoRedefine/>
    <w:qFormat/>
    <w:rsid w:val="009C3EE0"/>
    <w:pPr>
      <w:numPr>
        <w:ilvl w:val="1"/>
        <w:numId w:val="3"/>
      </w:numPr>
      <w:ind w:left="0" w:firstLine="0"/>
      <w:jc w:val="both"/>
      <w:outlineLvl w:val="1"/>
    </w:pPr>
    <w:rPr>
      <w:rFonts w:ascii="Bookman Old Style" w:hAnsi="Bookman Old Style"/>
      <w:spacing w:val="4"/>
      <w:szCs w:val="24"/>
      <w:lang w:val="es-ES"/>
    </w:rPr>
  </w:style>
  <w:style w:type="paragraph" w:styleId="Ttulo3">
    <w:name w:val="heading 3"/>
    <w:basedOn w:val="Normal"/>
    <w:next w:val="Normal"/>
    <w:link w:val="Ttulo3Car"/>
    <w:uiPriority w:val="9"/>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iPriority w:val="9"/>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unhideWhenUsed/>
    <w:qFormat/>
    <w:rsid w:val="006B4647"/>
    <w:pPr>
      <w:spacing w:before="240" w:after="60"/>
      <w:outlineLvl w:val="6"/>
    </w:pPr>
    <w:rPr>
      <w:rFonts w:ascii="Calibri" w:hAnsi="Calibri"/>
    </w:rPr>
  </w:style>
  <w:style w:type="paragraph" w:styleId="Ttulo8">
    <w:name w:val="heading 8"/>
    <w:basedOn w:val="Normal"/>
    <w:next w:val="Normal"/>
    <w:link w:val="Ttulo8Car"/>
    <w:uiPriority w:val="9"/>
    <w:qFormat/>
    <w:rsid w:val="000B4E51"/>
    <w:pPr>
      <w:keepNext/>
      <w:spacing w:before="160" w:after="160"/>
      <w:ind w:left="1440" w:hanging="1440"/>
      <w:jc w:val="center"/>
      <w:outlineLvl w:val="7"/>
    </w:pPr>
    <w:rPr>
      <w:rFonts w:ascii="Arial" w:hAnsi="Arial" w:cs="Arial"/>
      <w:b/>
      <w:sz w:val="22"/>
      <w:szCs w:val="20"/>
      <w:lang w:val="es-CO"/>
    </w:rPr>
  </w:style>
  <w:style w:type="paragraph" w:styleId="Ttulo9">
    <w:name w:val="heading 9"/>
    <w:basedOn w:val="Normal"/>
    <w:next w:val="Normal"/>
    <w:link w:val="Ttulo9Car"/>
    <w:qFormat/>
    <w:rsid w:val="000B4E51"/>
    <w:pPr>
      <w:keepNext/>
      <w:spacing w:before="160" w:after="160"/>
      <w:ind w:left="1584" w:hanging="1584"/>
      <w:jc w:val="both"/>
      <w:outlineLvl w:val="8"/>
    </w:pPr>
    <w:rPr>
      <w:rFonts w:ascii="Arial" w:hAnsi="Arial"/>
      <w:sz w:val="22"/>
      <w:szCs w:val="20"/>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qFormat/>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uiPriority w:val="99"/>
    <w:rsid w:val="003101DA"/>
    <w:pPr>
      <w:jc w:val="center"/>
      <w:outlineLvl w:val="0"/>
    </w:pPr>
    <w:rPr>
      <w:rFonts w:ascii="Arial" w:hAnsi="Arial" w:cs="Arial"/>
      <w:b/>
      <w:bCs/>
      <w:spacing w:val="-3"/>
    </w:rPr>
  </w:style>
  <w:style w:type="paragraph" w:styleId="Textodeglobo">
    <w:name w:val="Balloon Text"/>
    <w:basedOn w:val="Normal"/>
    <w:link w:val="TextodegloboCar"/>
    <w:uiPriority w:val="99"/>
    <w:unhideWhenUsed/>
    <w:rsid w:val="00725FA4"/>
    <w:rPr>
      <w:rFonts w:ascii="Tahoma" w:hAnsi="Tahoma" w:cs="Tahoma"/>
      <w:sz w:val="16"/>
      <w:szCs w:val="16"/>
    </w:rPr>
  </w:style>
  <w:style w:type="character" w:customStyle="1" w:styleId="TextodegloboCar">
    <w:name w:val="Texto de globo Car"/>
    <w:link w:val="Textodeglobo"/>
    <w:uiPriority w:val="99"/>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uiPriority w:val="9"/>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uiPriority w:val="99"/>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uiPriority w:val="9"/>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qFormat/>
    <w:rsid w:val="001405C6"/>
    <w:pPr>
      <w:ind w:left="708"/>
    </w:pPr>
    <w:rPr>
      <w:sz w:val="20"/>
      <w:szCs w:val="20"/>
      <w:lang w:val="es-CO"/>
    </w:rPr>
  </w:style>
  <w:style w:type="character" w:customStyle="1" w:styleId="PrrafodelistaCar">
    <w:name w:val="Párrafo de lista Car"/>
    <w:link w:val="Prrafodelista"/>
    <w:rsid w:val="001405C6"/>
    <w:rPr>
      <w:lang w:val="es-CO"/>
    </w:rPr>
  </w:style>
  <w:style w:type="paragraph" w:styleId="TDC1">
    <w:name w:val="toc 1"/>
    <w:basedOn w:val="Normal"/>
    <w:next w:val="Normal"/>
    <w:autoRedefine/>
    <w:uiPriority w:val="39"/>
    <w:qFormat/>
    <w:rsid w:val="00D3307A"/>
    <w:pPr>
      <w:tabs>
        <w:tab w:val="left" w:pos="1560"/>
        <w:tab w:val="right" w:leader="dot" w:pos="9214"/>
      </w:tabs>
      <w:spacing w:before="120"/>
      <w:ind w:left="1560" w:right="142" w:hanging="1560"/>
      <w:jc w:val="both"/>
    </w:pPr>
    <w:rPr>
      <w:rFonts w:ascii="Bookman Old Style" w:hAnsi="Bookman Old Style"/>
      <w:b/>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after="120" w:line="480" w:lineRule="auto"/>
    </w:pPr>
  </w:style>
  <w:style w:type="character" w:customStyle="1" w:styleId="Textoindependiente2Car">
    <w:name w:val="Texto independiente 2 Car"/>
    <w:link w:val="Textoindependiente2"/>
    <w:semiHidden/>
    <w:rsid w:val="00006AE2"/>
    <w:rPr>
      <w:sz w:val="24"/>
      <w:szCs w:val="24"/>
    </w:rPr>
  </w:style>
  <w:style w:type="paragraph" w:styleId="Epgrafe">
    <w:name w:val="caption"/>
    <w:basedOn w:val="Normal"/>
    <w:next w:val="Normal"/>
    <w:link w:val="EpgrafeCar"/>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nhideWhenUsed/>
    <w:rsid w:val="00E01463"/>
    <w:pPr>
      <w:spacing w:after="120"/>
      <w:ind w:left="283"/>
    </w:pPr>
  </w:style>
  <w:style w:type="character" w:customStyle="1" w:styleId="SangradetextonormalCar">
    <w:name w:val="Sangría de texto normal Car"/>
    <w:link w:val="Sangradetextonormal"/>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nhideWhenUsed/>
    <w:rsid w:val="00E060BE"/>
    <w:pPr>
      <w:spacing w:after="120" w:line="480" w:lineRule="auto"/>
      <w:ind w:left="283"/>
    </w:pPr>
  </w:style>
  <w:style w:type="character" w:customStyle="1" w:styleId="Sangra2detindependienteCar">
    <w:name w:val="Sangría 2 de t. independiente Car"/>
    <w:link w:val="Sangra2detindependiente"/>
    <w:rsid w:val="00E060BE"/>
    <w:rPr>
      <w:sz w:val="24"/>
      <w:szCs w:val="24"/>
      <w:lang w:val="es-ES" w:eastAsia="es-ES"/>
    </w:rPr>
  </w:style>
  <w:style w:type="character" w:customStyle="1" w:styleId="Ttulo2Car">
    <w:name w:val="Título 2 Car"/>
    <w:link w:val="Ttulo2"/>
    <w:rsid w:val="009C3EE0"/>
    <w:rPr>
      <w:rFonts w:ascii="Bookman Old Style" w:hAnsi="Bookman Old Style"/>
      <w:b/>
      <w:spacing w:val="4"/>
      <w:sz w:val="24"/>
      <w:szCs w:val="24"/>
      <w:lang w:val="es-ES" w:eastAsia="es-ES"/>
    </w:rPr>
  </w:style>
  <w:style w:type="character" w:customStyle="1" w:styleId="Ttulo8Car">
    <w:name w:val="Título 8 Car"/>
    <w:link w:val="Ttulo8"/>
    <w:uiPriority w:val="9"/>
    <w:rsid w:val="000B4E51"/>
    <w:rPr>
      <w:rFonts w:ascii="Arial" w:hAnsi="Arial" w:cs="Arial"/>
      <w:b/>
      <w:sz w:val="22"/>
      <w:lang w:eastAsia="es-ES"/>
    </w:rPr>
  </w:style>
  <w:style w:type="character" w:customStyle="1" w:styleId="Ttulo9Car">
    <w:name w:val="Título 9 Car"/>
    <w:link w:val="Ttulo9"/>
    <w:rsid w:val="000B4E51"/>
    <w:rPr>
      <w:rFonts w:ascii="Arial" w:hAnsi="Arial"/>
      <w:sz w:val="22"/>
      <w:lang w:eastAsia="es-ES"/>
    </w:rPr>
  </w:style>
  <w:style w:type="character" w:customStyle="1" w:styleId="Ttulo1Car">
    <w:name w:val="Título 1 Car"/>
    <w:aliases w:val="ANEXO Car"/>
    <w:link w:val="Ttulo1"/>
    <w:rsid w:val="000B4E51"/>
    <w:rPr>
      <w:rFonts w:ascii="CG Times" w:hAnsi="CG Times"/>
      <w:b/>
      <w:sz w:val="24"/>
      <w:lang w:eastAsia="es-ES"/>
    </w:rPr>
  </w:style>
  <w:style w:type="character" w:customStyle="1" w:styleId="PiedepginaCar">
    <w:name w:val="Pie de página Car"/>
    <w:link w:val="Piedepgina"/>
    <w:rsid w:val="000B4E51"/>
    <w:rPr>
      <w:sz w:val="24"/>
      <w:szCs w:val="24"/>
      <w:lang w:val="es-ES" w:eastAsia="es-ES"/>
    </w:rPr>
  </w:style>
  <w:style w:type="character" w:customStyle="1" w:styleId="EpgrafeCar">
    <w:name w:val="Epígrafe Car"/>
    <w:link w:val="Epgrafe"/>
    <w:rsid w:val="000B4E51"/>
    <w:rPr>
      <w:rFonts w:ascii="Arial" w:hAnsi="Arial"/>
      <w:lang w:val="es-ES" w:eastAsia="es-ES"/>
    </w:rPr>
  </w:style>
  <w:style w:type="paragraph" w:customStyle="1" w:styleId="Artculo">
    <w:name w:val="Artículo"/>
    <w:basedOn w:val="Normal"/>
    <w:link w:val="ArtculoCar"/>
    <w:autoRedefine/>
    <w:qFormat/>
    <w:rsid w:val="0052323C"/>
    <w:pPr>
      <w:numPr>
        <w:numId w:val="2"/>
      </w:numPr>
      <w:ind w:left="0" w:firstLine="0"/>
      <w:jc w:val="both"/>
    </w:pPr>
    <w:rPr>
      <w:rFonts w:ascii="Bookman Old Style" w:hAnsi="Bookman Old Style" w:cs="Arial"/>
    </w:rPr>
  </w:style>
  <w:style w:type="character" w:customStyle="1" w:styleId="ArtculoCar">
    <w:name w:val="Artículo Car"/>
    <w:link w:val="Artculo"/>
    <w:rsid w:val="0052323C"/>
    <w:rPr>
      <w:rFonts w:ascii="Bookman Old Style" w:hAnsi="Bookman Old Style" w:cs="Arial"/>
      <w:sz w:val="24"/>
      <w:szCs w:val="24"/>
      <w:lang w:val="es-ES" w:eastAsia="es-ES"/>
    </w:rPr>
  </w:style>
  <w:style w:type="character" w:styleId="Hipervnculo">
    <w:name w:val="Hyperlink"/>
    <w:uiPriority w:val="99"/>
    <w:rsid w:val="000B4E51"/>
    <w:rPr>
      <w:color w:val="0000FF"/>
      <w:u w:val="single"/>
    </w:rPr>
  </w:style>
  <w:style w:type="character" w:styleId="Hipervnculovisitado">
    <w:name w:val="FollowedHyperlink"/>
    <w:rsid w:val="000B4E51"/>
    <w:rPr>
      <w:color w:val="800080"/>
      <w:u w:val="single"/>
    </w:rPr>
  </w:style>
  <w:style w:type="paragraph" w:styleId="Textonotapie">
    <w:name w:val="footnote text"/>
    <w:basedOn w:val="Normal"/>
    <w:link w:val="TextonotapieCar"/>
    <w:semiHidden/>
    <w:rsid w:val="000B4E51"/>
    <w:pPr>
      <w:spacing w:before="160" w:after="160"/>
      <w:ind w:left="0"/>
      <w:jc w:val="both"/>
    </w:pPr>
    <w:rPr>
      <w:rFonts w:ascii="Arial" w:hAnsi="Arial"/>
      <w:sz w:val="22"/>
      <w:szCs w:val="20"/>
      <w:lang w:val="es-CO"/>
    </w:rPr>
  </w:style>
  <w:style w:type="character" w:customStyle="1" w:styleId="TextonotapieCar">
    <w:name w:val="Texto nota pie Car"/>
    <w:link w:val="Textonotapie"/>
    <w:semiHidden/>
    <w:rsid w:val="000B4E51"/>
    <w:rPr>
      <w:rFonts w:ascii="Arial" w:hAnsi="Arial"/>
      <w:sz w:val="22"/>
      <w:lang w:eastAsia="es-ES"/>
    </w:rPr>
  </w:style>
  <w:style w:type="character" w:styleId="Refdenotaalpie">
    <w:name w:val="footnote reference"/>
    <w:uiPriority w:val="99"/>
    <w:semiHidden/>
    <w:rsid w:val="000B4E51"/>
    <w:rPr>
      <w:vertAlign w:val="superscript"/>
    </w:rPr>
  </w:style>
  <w:style w:type="paragraph" w:styleId="Listaconvietas">
    <w:name w:val="List Bullet"/>
    <w:basedOn w:val="Normal"/>
    <w:autoRedefine/>
    <w:rsid w:val="000B4E51"/>
    <w:pPr>
      <w:tabs>
        <w:tab w:val="num" w:pos="360"/>
      </w:tabs>
      <w:spacing w:before="160" w:after="160"/>
      <w:ind w:left="360" w:hanging="360"/>
      <w:jc w:val="both"/>
    </w:pPr>
    <w:rPr>
      <w:rFonts w:ascii="CG Times" w:hAnsi="CG Times"/>
      <w:sz w:val="22"/>
      <w:szCs w:val="20"/>
      <w:lang w:val="es-CO"/>
    </w:rPr>
  </w:style>
  <w:style w:type="paragraph" w:styleId="Listaconvietas2">
    <w:name w:val="List Bullet 2"/>
    <w:basedOn w:val="Normal"/>
    <w:autoRedefine/>
    <w:semiHidden/>
    <w:rsid w:val="000B4E51"/>
    <w:pPr>
      <w:tabs>
        <w:tab w:val="num" w:pos="643"/>
      </w:tabs>
      <w:spacing w:before="160" w:after="160"/>
      <w:ind w:left="643" w:hanging="360"/>
      <w:jc w:val="both"/>
    </w:pPr>
    <w:rPr>
      <w:rFonts w:ascii="CG Times" w:hAnsi="CG Times"/>
      <w:sz w:val="22"/>
      <w:szCs w:val="20"/>
      <w:lang w:val="es-CO"/>
    </w:rPr>
  </w:style>
  <w:style w:type="paragraph" w:styleId="Listaconvietas4">
    <w:name w:val="List Bullet 4"/>
    <w:basedOn w:val="Normal"/>
    <w:autoRedefine/>
    <w:semiHidden/>
    <w:rsid w:val="000B4E51"/>
    <w:pPr>
      <w:tabs>
        <w:tab w:val="num" w:pos="1209"/>
      </w:tabs>
      <w:spacing w:before="160" w:after="160"/>
      <w:ind w:left="1209" w:hanging="360"/>
      <w:jc w:val="both"/>
    </w:pPr>
    <w:rPr>
      <w:rFonts w:ascii="CG Times" w:hAnsi="CG Times"/>
      <w:sz w:val="22"/>
      <w:szCs w:val="20"/>
      <w:lang w:val="es-CO"/>
    </w:rPr>
  </w:style>
  <w:style w:type="paragraph" w:styleId="TDC2">
    <w:name w:val="toc 2"/>
    <w:basedOn w:val="Normal"/>
    <w:next w:val="Normal"/>
    <w:autoRedefine/>
    <w:uiPriority w:val="39"/>
    <w:qFormat/>
    <w:rsid w:val="00D3307A"/>
    <w:pPr>
      <w:tabs>
        <w:tab w:val="left" w:pos="1701"/>
        <w:tab w:val="right" w:leader="dot" w:pos="9214"/>
      </w:tabs>
      <w:spacing w:before="160"/>
      <w:ind w:left="1560" w:hanging="709"/>
    </w:pPr>
    <w:rPr>
      <w:rFonts w:ascii="Bookman Old Style" w:hAnsi="Bookman Old Style"/>
      <w:bCs/>
      <w:noProof/>
      <w:szCs w:val="20"/>
      <w:lang w:val="es-CO"/>
    </w:rPr>
  </w:style>
  <w:style w:type="paragraph" w:styleId="TDC3">
    <w:name w:val="toc 3"/>
    <w:basedOn w:val="Normal"/>
    <w:next w:val="Normal"/>
    <w:autoRedefine/>
    <w:uiPriority w:val="39"/>
    <w:qFormat/>
    <w:rsid w:val="00E74DBA"/>
    <w:pPr>
      <w:tabs>
        <w:tab w:val="left" w:pos="2268"/>
        <w:tab w:val="right" w:leader="dot" w:pos="9214"/>
      </w:tabs>
      <w:spacing w:before="100"/>
      <w:ind w:left="2268" w:right="142" w:hanging="708"/>
      <w:jc w:val="both"/>
    </w:pPr>
    <w:rPr>
      <w:rFonts w:ascii="Bookman Old Style" w:hAnsi="Bookman Old Style"/>
      <w:noProof/>
      <w:szCs w:val="20"/>
      <w:lang w:val="es-CO"/>
    </w:rPr>
  </w:style>
  <w:style w:type="paragraph" w:styleId="TDC4">
    <w:name w:val="toc 4"/>
    <w:basedOn w:val="Normal"/>
    <w:next w:val="Normal"/>
    <w:autoRedefine/>
    <w:uiPriority w:val="39"/>
    <w:rsid w:val="000B4E51"/>
    <w:pPr>
      <w:ind w:left="480"/>
      <w:jc w:val="both"/>
    </w:pPr>
    <w:rPr>
      <w:rFonts w:ascii="Calibri" w:hAnsi="Calibri"/>
      <w:sz w:val="20"/>
      <w:szCs w:val="20"/>
      <w:lang w:val="es-CO"/>
    </w:rPr>
  </w:style>
  <w:style w:type="paragraph" w:styleId="TDC5">
    <w:name w:val="toc 5"/>
    <w:basedOn w:val="Normal"/>
    <w:next w:val="Normal"/>
    <w:autoRedefine/>
    <w:uiPriority w:val="39"/>
    <w:rsid w:val="000B4E51"/>
    <w:pPr>
      <w:ind w:left="720"/>
      <w:jc w:val="both"/>
    </w:pPr>
    <w:rPr>
      <w:rFonts w:ascii="Calibri" w:hAnsi="Calibri"/>
      <w:sz w:val="20"/>
      <w:szCs w:val="20"/>
      <w:lang w:val="es-CO"/>
    </w:rPr>
  </w:style>
  <w:style w:type="paragraph" w:styleId="TDC6">
    <w:name w:val="toc 6"/>
    <w:basedOn w:val="Normal"/>
    <w:next w:val="Normal"/>
    <w:autoRedefine/>
    <w:uiPriority w:val="39"/>
    <w:rsid w:val="000B4E51"/>
    <w:pPr>
      <w:ind w:left="960"/>
      <w:jc w:val="both"/>
    </w:pPr>
    <w:rPr>
      <w:rFonts w:ascii="Calibri" w:hAnsi="Calibri"/>
      <w:sz w:val="20"/>
      <w:szCs w:val="20"/>
      <w:lang w:val="es-CO"/>
    </w:rPr>
  </w:style>
  <w:style w:type="paragraph" w:styleId="TDC7">
    <w:name w:val="toc 7"/>
    <w:basedOn w:val="Normal"/>
    <w:next w:val="Normal"/>
    <w:autoRedefine/>
    <w:uiPriority w:val="39"/>
    <w:rsid w:val="000B4E51"/>
    <w:pPr>
      <w:tabs>
        <w:tab w:val="right" w:pos="9111"/>
      </w:tabs>
      <w:spacing w:before="240"/>
      <w:ind w:left="0"/>
      <w:jc w:val="both"/>
    </w:pPr>
    <w:rPr>
      <w:rFonts w:ascii="Arial" w:hAnsi="Arial"/>
      <w:b/>
      <w:sz w:val="22"/>
      <w:szCs w:val="20"/>
      <w:lang w:val="es-CO"/>
    </w:rPr>
  </w:style>
  <w:style w:type="paragraph" w:styleId="TDC8">
    <w:name w:val="toc 8"/>
    <w:basedOn w:val="Normal"/>
    <w:next w:val="Normal"/>
    <w:autoRedefine/>
    <w:uiPriority w:val="39"/>
    <w:rsid w:val="000B4E51"/>
    <w:pPr>
      <w:tabs>
        <w:tab w:val="right" w:leader="dot" w:pos="9111"/>
      </w:tabs>
      <w:ind w:left="0"/>
      <w:jc w:val="both"/>
    </w:pPr>
    <w:rPr>
      <w:rFonts w:ascii="Arial" w:hAnsi="Arial"/>
      <w:b/>
      <w:sz w:val="22"/>
      <w:szCs w:val="20"/>
      <w:lang w:val="es-CO"/>
    </w:rPr>
  </w:style>
  <w:style w:type="paragraph" w:styleId="TDC9">
    <w:name w:val="toc 9"/>
    <w:basedOn w:val="Normal"/>
    <w:next w:val="Normal"/>
    <w:autoRedefine/>
    <w:uiPriority w:val="39"/>
    <w:rsid w:val="000B4E51"/>
    <w:pPr>
      <w:ind w:left="1680"/>
      <w:jc w:val="both"/>
    </w:pPr>
    <w:rPr>
      <w:rFonts w:ascii="Calibri" w:hAnsi="Calibri"/>
      <w:sz w:val="20"/>
      <w:szCs w:val="20"/>
      <w:lang w:val="es-CO"/>
    </w:rPr>
  </w:style>
  <w:style w:type="paragraph" w:customStyle="1" w:styleId="Textodenotaalfinal">
    <w:name w:val="Texto de nota al final"/>
    <w:basedOn w:val="Normal"/>
    <w:rsid w:val="000B4E51"/>
    <w:pPr>
      <w:widowControl w:val="0"/>
      <w:spacing w:before="160" w:after="160"/>
      <w:ind w:left="0"/>
      <w:jc w:val="both"/>
    </w:pPr>
    <w:rPr>
      <w:rFonts w:ascii="Courier New" w:hAnsi="Courier New"/>
      <w:sz w:val="22"/>
      <w:szCs w:val="20"/>
      <w:lang w:val="es-ES_tradnl"/>
    </w:rPr>
  </w:style>
  <w:style w:type="paragraph" w:styleId="Sangra3detindependiente">
    <w:name w:val="Body Text Indent 3"/>
    <w:basedOn w:val="Normal"/>
    <w:link w:val="Sangra3detindependienteCar"/>
    <w:rsid w:val="000B4E51"/>
    <w:pPr>
      <w:spacing w:before="160" w:after="160"/>
      <w:ind w:left="2880" w:hanging="2880"/>
      <w:jc w:val="both"/>
    </w:pPr>
    <w:rPr>
      <w:rFonts w:ascii="Bookman Old Style" w:hAnsi="Bookman Old Style"/>
      <w:spacing w:val="-4"/>
      <w:sz w:val="22"/>
      <w:szCs w:val="20"/>
      <w:lang w:val="es-CO"/>
    </w:rPr>
  </w:style>
  <w:style w:type="character" w:customStyle="1" w:styleId="Sangra3detindependienteCar">
    <w:name w:val="Sangría 3 de t. independiente Car"/>
    <w:link w:val="Sangra3detindependiente"/>
    <w:rsid w:val="000B4E51"/>
    <w:rPr>
      <w:rFonts w:ascii="Bookman Old Style" w:hAnsi="Bookman Old Style"/>
      <w:spacing w:val="-4"/>
      <w:sz w:val="22"/>
      <w:lang w:eastAsia="es-ES"/>
    </w:rPr>
  </w:style>
  <w:style w:type="paragraph" w:styleId="Cita">
    <w:name w:val="Quote"/>
    <w:basedOn w:val="Normal"/>
    <w:next w:val="Normal"/>
    <w:link w:val="CitaCar"/>
    <w:uiPriority w:val="29"/>
    <w:qFormat/>
    <w:rsid w:val="000B4E51"/>
    <w:pPr>
      <w:spacing w:after="120"/>
      <w:ind w:left="0" w:right="616"/>
      <w:jc w:val="both"/>
    </w:pPr>
    <w:rPr>
      <w:rFonts w:ascii="Arial" w:eastAsia="Calibri" w:hAnsi="Arial" w:cs="Arial"/>
      <w:i/>
      <w:iCs/>
      <w:color w:val="000000"/>
      <w:sz w:val="20"/>
      <w:szCs w:val="22"/>
      <w:lang w:val="es-CO" w:eastAsia="en-US"/>
    </w:rPr>
  </w:style>
  <w:style w:type="character" w:customStyle="1" w:styleId="CitaCar">
    <w:name w:val="Cita Car"/>
    <w:link w:val="Cita"/>
    <w:uiPriority w:val="29"/>
    <w:rsid w:val="000B4E51"/>
    <w:rPr>
      <w:rFonts w:ascii="Arial" w:eastAsia="Calibri" w:hAnsi="Arial" w:cs="Arial"/>
      <w:i/>
      <w:iCs/>
      <w:color w:val="000000"/>
      <w:szCs w:val="22"/>
      <w:lang w:eastAsia="en-US"/>
    </w:rPr>
  </w:style>
  <w:style w:type="character" w:styleId="Refdecomentario">
    <w:name w:val="annotation reference"/>
    <w:uiPriority w:val="99"/>
    <w:semiHidden/>
    <w:unhideWhenUsed/>
    <w:rsid w:val="000B4E51"/>
    <w:rPr>
      <w:sz w:val="16"/>
      <w:szCs w:val="16"/>
    </w:rPr>
  </w:style>
  <w:style w:type="paragraph" w:styleId="Textocomentario">
    <w:name w:val="annotation text"/>
    <w:basedOn w:val="Normal"/>
    <w:link w:val="TextocomentarioCar"/>
    <w:uiPriority w:val="99"/>
    <w:unhideWhenUsed/>
    <w:rsid w:val="000B4E51"/>
    <w:pPr>
      <w:spacing w:before="160" w:after="160"/>
      <w:ind w:left="0"/>
      <w:jc w:val="both"/>
    </w:pPr>
    <w:rPr>
      <w:rFonts w:ascii="Arial" w:hAnsi="Arial"/>
      <w:sz w:val="20"/>
      <w:szCs w:val="20"/>
      <w:lang w:val="es-CO"/>
    </w:rPr>
  </w:style>
  <w:style w:type="character" w:customStyle="1" w:styleId="TextocomentarioCar">
    <w:name w:val="Texto comentario Car"/>
    <w:link w:val="Textocomentario"/>
    <w:uiPriority w:val="99"/>
    <w:rsid w:val="000B4E51"/>
    <w:rPr>
      <w:rFonts w:ascii="Arial" w:hAnsi="Arial"/>
      <w:lang w:eastAsia="es-ES"/>
    </w:rPr>
  </w:style>
  <w:style w:type="paragraph" w:styleId="Asuntodelcomentario">
    <w:name w:val="annotation subject"/>
    <w:basedOn w:val="Textocomentario"/>
    <w:next w:val="Textocomentario"/>
    <w:link w:val="AsuntodelcomentarioCar"/>
    <w:semiHidden/>
    <w:unhideWhenUsed/>
    <w:rsid w:val="000B4E51"/>
    <w:rPr>
      <w:b/>
      <w:bCs/>
    </w:rPr>
  </w:style>
  <w:style w:type="character" w:customStyle="1" w:styleId="AsuntodelcomentarioCar">
    <w:name w:val="Asunto del comentario Car"/>
    <w:link w:val="Asuntodelcomentario"/>
    <w:semiHidden/>
    <w:rsid w:val="000B4E51"/>
    <w:rPr>
      <w:rFonts w:ascii="Arial" w:hAnsi="Arial"/>
      <w:b/>
      <w:bCs/>
      <w:lang w:eastAsia="es-ES"/>
    </w:rPr>
  </w:style>
  <w:style w:type="character" w:styleId="Textoennegrita">
    <w:name w:val="Strong"/>
    <w:uiPriority w:val="22"/>
    <w:qFormat/>
    <w:rsid w:val="000B4E51"/>
    <w:rPr>
      <w:b/>
      <w:bCs/>
    </w:rPr>
  </w:style>
  <w:style w:type="paragraph" w:styleId="TtulodeTDC">
    <w:name w:val="TOC Heading"/>
    <w:basedOn w:val="Ttulo1"/>
    <w:next w:val="Normal"/>
    <w:uiPriority w:val="39"/>
    <w:unhideWhenUsed/>
    <w:qFormat/>
    <w:rsid w:val="000B4E51"/>
    <w:pPr>
      <w:keepLines/>
      <w:spacing w:before="480" w:after="360" w:line="276" w:lineRule="auto"/>
      <w:ind w:left="0" w:hanging="357"/>
      <w:jc w:val="left"/>
      <w:outlineLvl w:val="9"/>
    </w:pPr>
    <w:rPr>
      <w:rFonts w:ascii="Cambria" w:hAnsi="Cambria"/>
      <w:bCs/>
      <w:caps/>
      <w:color w:val="365F91"/>
      <w:spacing w:val="4"/>
      <w:sz w:val="28"/>
      <w:szCs w:val="28"/>
      <w:lang w:val="es-ES" w:eastAsia="en-US"/>
    </w:rPr>
  </w:style>
  <w:style w:type="paragraph" w:styleId="Mapadeldocumento">
    <w:name w:val="Document Map"/>
    <w:basedOn w:val="Normal"/>
    <w:link w:val="MapadeldocumentoCar"/>
    <w:uiPriority w:val="99"/>
    <w:unhideWhenUsed/>
    <w:rsid w:val="000B4E51"/>
    <w:pPr>
      <w:spacing w:before="160" w:after="160"/>
      <w:ind w:left="0"/>
      <w:jc w:val="both"/>
    </w:pPr>
    <w:rPr>
      <w:rFonts w:ascii="Tahoma" w:hAnsi="Tahoma" w:cs="Tahoma"/>
      <w:sz w:val="16"/>
      <w:szCs w:val="16"/>
      <w:lang w:val="es-CO"/>
    </w:rPr>
  </w:style>
  <w:style w:type="character" w:customStyle="1" w:styleId="MapadeldocumentoCar">
    <w:name w:val="Mapa del documento Car"/>
    <w:link w:val="Mapadeldocumento"/>
    <w:uiPriority w:val="99"/>
    <w:rsid w:val="000B4E51"/>
    <w:rPr>
      <w:rFonts w:ascii="Tahoma" w:hAnsi="Tahoma" w:cs="Tahoma"/>
      <w:sz w:val="16"/>
      <w:szCs w:val="16"/>
      <w:lang w:eastAsia="es-ES"/>
    </w:rPr>
  </w:style>
  <w:style w:type="paragraph" w:customStyle="1" w:styleId="Anexo">
    <w:name w:val="Anexo"/>
    <w:basedOn w:val="Normal"/>
    <w:link w:val="AnexoCar"/>
    <w:qFormat/>
    <w:rsid w:val="000B4E51"/>
    <w:pPr>
      <w:suppressAutoHyphens/>
      <w:ind w:left="1429" w:hanging="360"/>
      <w:jc w:val="both"/>
    </w:pPr>
    <w:rPr>
      <w:rFonts w:ascii="Bookman Old Style" w:hAnsi="Bookman Old Style" w:cs="Arial"/>
      <w:b/>
      <w:bCs/>
      <w:spacing w:val="-4"/>
    </w:rPr>
  </w:style>
  <w:style w:type="character" w:customStyle="1" w:styleId="AnexoCar">
    <w:name w:val="Anexo Car"/>
    <w:link w:val="Anexo"/>
    <w:rsid w:val="000B4E51"/>
    <w:rPr>
      <w:rFonts w:ascii="Bookman Old Style" w:hAnsi="Bookman Old Style" w:cs="Arial"/>
      <w:b/>
      <w:bCs/>
      <w:spacing w:val="-4"/>
      <w:sz w:val="24"/>
      <w:szCs w:val="24"/>
      <w:lang w:val="es-ES" w:eastAsia="es-ES"/>
    </w:rPr>
  </w:style>
  <w:style w:type="paragraph" w:customStyle="1" w:styleId="PliegoTitulo1">
    <w:name w:val="Pliego_Titulo1"/>
    <w:basedOn w:val="Pliego-Normal"/>
    <w:next w:val="Pliego-Normal"/>
    <w:rsid w:val="000B4E51"/>
    <w:pPr>
      <w:tabs>
        <w:tab w:val="num" w:pos="432"/>
      </w:tabs>
      <w:ind w:left="432" w:hanging="432"/>
      <w:jc w:val="center"/>
    </w:pPr>
    <w:rPr>
      <w:b/>
    </w:rPr>
  </w:style>
  <w:style w:type="paragraph" w:customStyle="1" w:styleId="Pliego-Normal">
    <w:name w:val="Pliego-Normal"/>
    <w:basedOn w:val="Normal"/>
    <w:rsid w:val="000B4E51"/>
    <w:pPr>
      <w:widowControl w:val="0"/>
      <w:adjustRightInd w:val="0"/>
      <w:ind w:left="0"/>
      <w:jc w:val="both"/>
      <w:textAlignment w:val="baseline"/>
    </w:pPr>
    <w:rPr>
      <w:rFonts w:ascii="Garamond" w:hAnsi="Garamond"/>
      <w:bCs/>
      <w:sz w:val="22"/>
      <w:szCs w:val="20"/>
      <w:lang w:val="es-ES_tradnl"/>
    </w:rPr>
  </w:style>
  <w:style w:type="paragraph" w:styleId="NormalWeb">
    <w:name w:val="Normal (Web)"/>
    <w:basedOn w:val="Normal"/>
    <w:uiPriority w:val="99"/>
    <w:rsid w:val="000B4E51"/>
    <w:pPr>
      <w:widowControl w:val="0"/>
      <w:adjustRightInd w:val="0"/>
      <w:spacing w:before="100" w:beforeAutospacing="1" w:after="100" w:afterAutospacing="1"/>
      <w:ind w:left="0"/>
      <w:jc w:val="both"/>
      <w:textAlignment w:val="baseline"/>
    </w:pPr>
    <w:rPr>
      <w:rFonts w:ascii="Bookman Old Style" w:hAnsi="Bookman Old Style"/>
    </w:rPr>
  </w:style>
  <w:style w:type="paragraph" w:styleId="ndice1">
    <w:name w:val="index 1"/>
    <w:basedOn w:val="Normal"/>
    <w:next w:val="Normal"/>
    <w:autoRedefine/>
    <w:semiHidden/>
    <w:rsid w:val="000B4E51"/>
    <w:pPr>
      <w:widowControl w:val="0"/>
      <w:adjustRightInd w:val="0"/>
      <w:ind w:left="0"/>
      <w:jc w:val="both"/>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0B4E51"/>
    <w:pPr>
      <w:widowControl w:val="0"/>
      <w:pBdr>
        <w:top w:val="single" w:sz="6" w:space="1" w:color="auto"/>
      </w:pBdr>
      <w:adjustRightInd w:val="0"/>
      <w:ind w:left="0"/>
      <w:jc w:val="center"/>
      <w:textAlignment w:val="baseline"/>
    </w:pPr>
    <w:rPr>
      <w:rFonts w:ascii="Arial" w:hAnsi="Arial" w:cs="Arial"/>
      <w:vanish/>
      <w:color w:val="000000"/>
      <w:sz w:val="16"/>
      <w:szCs w:val="16"/>
    </w:rPr>
  </w:style>
  <w:style w:type="character" w:customStyle="1" w:styleId="z-FinaldelformularioCar">
    <w:name w:val="z-Final del formulario Car"/>
    <w:link w:val="z-Finaldelformulario"/>
    <w:rsid w:val="000B4E51"/>
    <w:rPr>
      <w:rFonts w:ascii="Arial" w:hAnsi="Arial" w:cs="Arial"/>
      <w:vanish/>
      <w:color w:val="000000"/>
      <w:sz w:val="16"/>
      <w:szCs w:val="16"/>
      <w:lang w:val="es-ES" w:eastAsia="es-ES"/>
    </w:rPr>
  </w:style>
  <w:style w:type="paragraph" w:customStyle="1" w:styleId="NormalTesis">
    <w:name w:val="Normal Tesis"/>
    <w:basedOn w:val="Textoindependiente"/>
    <w:rsid w:val="000B4E51"/>
    <w:pPr>
      <w:widowControl w:val="0"/>
      <w:adjustRightInd w:val="0"/>
      <w:spacing w:line="360" w:lineRule="auto"/>
      <w:ind w:left="0"/>
      <w:jc w:val="both"/>
      <w:textAlignment w:val="baseline"/>
    </w:pPr>
    <w:rPr>
      <w:b w:val="0"/>
      <w:bCs w:val="0"/>
      <w:sz w:val="22"/>
    </w:rPr>
  </w:style>
  <w:style w:type="paragraph" w:customStyle="1" w:styleId="Citas">
    <w:name w:val="Citas"/>
    <w:basedOn w:val="Normal"/>
    <w:rsid w:val="000B4E51"/>
    <w:pPr>
      <w:ind w:left="708" w:right="618"/>
      <w:jc w:val="both"/>
    </w:pPr>
    <w:rPr>
      <w:rFonts w:ascii="Bookman Old Style" w:hAnsi="Bookman Old Style" w:cs="Arial"/>
      <w:i/>
      <w:iCs/>
      <w:szCs w:val="20"/>
    </w:rPr>
  </w:style>
  <w:style w:type="paragraph" w:customStyle="1" w:styleId="articulo">
    <w:name w:val="articulo"/>
    <w:basedOn w:val="Normal"/>
    <w:next w:val="Normal"/>
    <w:autoRedefine/>
    <w:rsid w:val="000B4E51"/>
    <w:pPr>
      <w:tabs>
        <w:tab w:val="left" w:pos="-720"/>
        <w:tab w:val="left" w:pos="1560"/>
      </w:tabs>
      <w:suppressAutoHyphens/>
      <w:spacing w:before="240"/>
      <w:ind w:left="1560" w:hanging="1560"/>
      <w:jc w:val="both"/>
    </w:pPr>
    <w:rPr>
      <w:rFonts w:ascii="Bookman Old Style" w:hAnsi="Bookman Old Style" w:cs="Arial"/>
      <w:bCs/>
      <w:spacing w:val="-4"/>
    </w:rPr>
  </w:style>
  <w:style w:type="character" w:styleId="Textodelmarcadordeposicin">
    <w:name w:val="Placeholder Text"/>
    <w:uiPriority w:val="99"/>
    <w:semiHidden/>
    <w:rsid w:val="000B4E51"/>
    <w:rPr>
      <w:color w:val="808080"/>
    </w:rPr>
  </w:style>
  <w:style w:type="paragraph" w:customStyle="1" w:styleId="EstiloPrrafodelistaJustificado">
    <w:name w:val="Estilo Párrafo de lista + Justificado"/>
    <w:basedOn w:val="Prrafodelista"/>
    <w:rsid w:val="000B4E51"/>
    <w:pPr>
      <w:spacing w:before="120"/>
      <w:ind w:left="720" w:hanging="360"/>
      <w:jc w:val="both"/>
    </w:pPr>
    <w:rPr>
      <w:rFonts w:ascii="Bookman Old Style" w:hAnsi="Bookman Old Style"/>
      <w:spacing w:val="4"/>
      <w:sz w:val="24"/>
      <w:lang w:val="es-ES"/>
    </w:rPr>
  </w:style>
  <w:style w:type="paragraph" w:customStyle="1" w:styleId="Vietas">
    <w:name w:val="Viñetas"/>
    <w:basedOn w:val="Prrafodelista"/>
    <w:rsid w:val="000B4E51"/>
    <w:pPr>
      <w:spacing w:before="120"/>
      <w:ind w:left="720" w:hanging="360"/>
      <w:jc w:val="both"/>
    </w:pPr>
    <w:rPr>
      <w:rFonts w:ascii="Bookman Old Style" w:hAnsi="Bookman Old Style"/>
      <w:spacing w:val="4"/>
      <w:sz w:val="24"/>
      <w:lang w:val="es-ES"/>
    </w:rPr>
  </w:style>
  <w:style w:type="paragraph" w:customStyle="1" w:styleId="Listaletras">
    <w:name w:val="Lista letras"/>
    <w:basedOn w:val="Sangra2detindependiente"/>
    <w:link w:val="ListaletrasCar"/>
    <w:qFormat/>
    <w:rsid w:val="000B4E51"/>
    <w:pPr>
      <w:spacing w:before="160" w:after="160" w:line="240" w:lineRule="auto"/>
      <w:ind w:left="0" w:hanging="567"/>
      <w:jc w:val="both"/>
      <w:outlineLvl w:val="0"/>
    </w:pPr>
    <w:rPr>
      <w:rFonts w:ascii="Bookman Old Style" w:hAnsi="Bookman Old Style"/>
      <w:b/>
      <w:sz w:val="22"/>
      <w:szCs w:val="20"/>
      <w:lang w:val="es-CO"/>
    </w:rPr>
  </w:style>
  <w:style w:type="character" w:customStyle="1" w:styleId="ListaletrasCar">
    <w:name w:val="Lista letras Car"/>
    <w:link w:val="Listaletras"/>
    <w:rsid w:val="000B4E51"/>
    <w:rPr>
      <w:rFonts w:ascii="Bookman Old Style" w:hAnsi="Bookman Old Style"/>
      <w:b/>
      <w:sz w:val="22"/>
      <w:lang w:eastAsia="es-ES"/>
    </w:rPr>
  </w:style>
  <w:style w:type="paragraph" w:customStyle="1" w:styleId="Textoindependiente31">
    <w:name w:val="Texto independiente 31"/>
    <w:basedOn w:val="Normal"/>
    <w:rsid w:val="000B4E51"/>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 w:type="paragraph" w:customStyle="1" w:styleId="Estilo2">
    <w:name w:val="Estilo2"/>
    <w:basedOn w:val="Ttulo1"/>
    <w:rsid w:val="000B4E51"/>
    <w:pPr>
      <w:adjustRightInd w:val="0"/>
      <w:spacing w:before="240" w:after="360"/>
      <w:ind w:left="0"/>
      <w:textAlignment w:val="baseline"/>
    </w:pPr>
    <w:rPr>
      <w:rFonts w:ascii="Bookman Old Style" w:hAnsi="Bookman Old Style"/>
      <w:bCs/>
      <w:caps/>
      <w:spacing w:val="4"/>
      <w:szCs w:val="24"/>
      <w:lang w:val="es-ES"/>
    </w:rPr>
  </w:style>
  <w:style w:type="paragraph" w:styleId="Continuarlista">
    <w:name w:val="List Continue"/>
    <w:basedOn w:val="Normal"/>
    <w:rsid w:val="000B4E51"/>
    <w:pPr>
      <w:widowControl w:val="0"/>
      <w:adjustRightInd w:val="0"/>
      <w:spacing w:after="120"/>
      <w:ind w:left="283"/>
      <w:contextualSpacing/>
      <w:jc w:val="both"/>
      <w:textAlignment w:val="baseline"/>
    </w:pPr>
    <w:rPr>
      <w:rFonts w:ascii="Bookman Old Style" w:hAnsi="Bookman Old Style"/>
    </w:rPr>
  </w:style>
  <w:style w:type="character" w:customStyle="1" w:styleId="Fuentedeprrafopredeter1">
    <w:name w:val="Fuente de párrafo predeter.1"/>
    <w:rsid w:val="000B4E51"/>
  </w:style>
  <w:style w:type="character" w:customStyle="1" w:styleId="FootnoteCharacters">
    <w:name w:val="Footnote Characters"/>
    <w:rsid w:val="000B4E51"/>
    <w:rPr>
      <w:vertAlign w:val="superscript"/>
    </w:rPr>
  </w:style>
  <w:style w:type="character" w:customStyle="1" w:styleId="Refdenotaalpie1">
    <w:name w:val="Ref. de nota al pie1"/>
    <w:rsid w:val="000B4E51"/>
    <w:rPr>
      <w:vertAlign w:val="superscript"/>
    </w:rPr>
  </w:style>
  <w:style w:type="character" w:customStyle="1" w:styleId="Refdecomentario1">
    <w:name w:val="Ref. de comentario1"/>
    <w:rsid w:val="000B4E51"/>
    <w:rPr>
      <w:sz w:val="16"/>
    </w:rPr>
  </w:style>
  <w:style w:type="paragraph" w:customStyle="1" w:styleId="Heading">
    <w:name w:val="Heading"/>
    <w:basedOn w:val="Normal"/>
    <w:next w:val="Textoindependiente"/>
    <w:rsid w:val="000B4E51"/>
    <w:pPr>
      <w:keepNext/>
      <w:suppressAutoHyphens/>
      <w:spacing w:before="240" w:after="120"/>
      <w:ind w:left="0"/>
      <w:jc w:val="both"/>
    </w:pPr>
    <w:rPr>
      <w:rFonts w:ascii="Arial" w:eastAsia="DejaVu Sans" w:hAnsi="Arial" w:cs="DejaVu Sans"/>
      <w:sz w:val="28"/>
      <w:szCs w:val="28"/>
      <w:lang w:val="es-CO" w:eastAsia="ar-SA"/>
    </w:rPr>
  </w:style>
  <w:style w:type="paragraph" w:styleId="Lista">
    <w:name w:val="List"/>
    <w:basedOn w:val="Normal"/>
    <w:rsid w:val="000B4E51"/>
    <w:pPr>
      <w:suppressAutoHyphens/>
      <w:ind w:left="283" w:hanging="283"/>
      <w:jc w:val="both"/>
    </w:pPr>
    <w:rPr>
      <w:rFonts w:ascii="Bookman Old Style" w:hAnsi="Bookman Old Style"/>
      <w:sz w:val="22"/>
      <w:szCs w:val="20"/>
      <w:lang w:val="es-CO" w:eastAsia="ar-SA"/>
    </w:rPr>
  </w:style>
  <w:style w:type="paragraph" w:customStyle="1" w:styleId="Index">
    <w:name w:val="Index"/>
    <w:basedOn w:val="Normal"/>
    <w:rsid w:val="000B4E51"/>
    <w:pPr>
      <w:suppressLineNumbers/>
      <w:suppressAutoHyphens/>
      <w:ind w:left="0"/>
      <w:jc w:val="both"/>
    </w:pPr>
    <w:rPr>
      <w:rFonts w:ascii="Bookman Old Style" w:hAnsi="Bookman Old Style"/>
      <w:sz w:val="22"/>
      <w:szCs w:val="20"/>
      <w:lang w:val="es-CO" w:eastAsia="ar-SA"/>
    </w:rPr>
  </w:style>
  <w:style w:type="paragraph" w:styleId="Ttulodendice">
    <w:name w:val="index heading"/>
    <w:basedOn w:val="Normal"/>
    <w:next w:val="ndice1"/>
    <w:rsid w:val="000B4E51"/>
    <w:pPr>
      <w:suppressAutoHyphens/>
      <w:spacing w:before="120" w:after="120"/>
      <w:ind w:left="0"/>
      <w:jc w:val="both"/>
    </w:pPr>
    <w:rPr>
      <w:b/>
      <w:i/>
      <w:sz w:val="20"/>
      <w:szCs w:val="20"/>
      <w:lang w:val="es-CO" w:eastAsia="ar-SA"/>
    </w:rPr>
  </w:style>
  <w:style w:type="paragraph" w:styleId="ndice2">
    <w:name w:val="index 2"/>
    <w:basedOn w:val="Normal"/>
    <w:next w:val="Normal"/>
    <w:rsid w:val="000B4E51"/>
    <w:pPr>
      <w:suppressAutoHyphens/>
      <w:ind w:left="480" w:hanging="240"/>
      <w:jc w:val="both"/>
    </w:pPr>
    <w:rPr>
      <w:sz w:val="20"/>
      <w:szCs w:val="20"/>
      <w:lang w:val="es-CO" w:eastAsia="ar-SA"/>
    </w:rPr>
  </w:style>
  <w:style w:type="paragraph" w:styleId="ndice3">
    <w:name w:val="index 3"/>
    <w:basedOn w:val="Normal"/>
    <w:next w:val="Normal"/>
    <w:rsid w:val="000B4E51"/>
    <w:pPr>
      <w:suppressAutoHyphens/>
      <w:ind w:left="720" w:hanging="240"/>
      <w:jc w:val="both"/>
    </w:pPr>
    <w:rPr>
      <w:sz w:val="20"/>
      <w:szCs w:val="20"/>
      <w:lang w:val="es-CO" w:eastAsia="ar-SA"/>
    </w:rPr>
  </w:style>
  <w:style w:type="paragraph" w:customStyle="1" w:styleId="Figuras">
    <w:name w:val="Figuras"/>
    <w:basedOn w:val="Textoindependiente"/>
    <w:rsid w:val="000B4E51"/>
    <w:pPr>
      <w:suppressAutoHyphens/>
      <w:ind w:left="0"/>
    </w:pPr>
    <w:rPr>
      <w:rFonts w:cs="Times New Roman"/>
      <w:b w:val="0"/>
      <w:bCs w:val="0"/>
      <w:i/>
      <w:iCs/>
      <w:sz w:val="22"/>
      <w:szCs w:val="20"/>
      <w:lang w:val="es-CO" w:eastAsia="ar-SA"/>
    </w:rPr>
  </w:style>
  <w:style w:type="paragraph" w:customStyle="1" w:styleId="Text">
    <w:name w:val="Text"/>
    <w:basedOn w:val="Normal"/>
    <w:rsid w:val="000B4E51"/>
    <w:pPr>
      <w:suppressLineNumbers/>
      <w:suppressAutoHyphens/>
      <w:spacing w:before="120" w:after="120"/>
      <w:ind w:left="0"/>
      <w:jc w:val="both"/>
    </w:pPr>
    <w:rPr>
      <w:rFonts w:ascii="Bookman Old Style" w:hAnsi="Bookman Old Style"/>
      <w:i/>
      <w:iCs/>
      <w:lang w:val="es-CO" w:eastAsia="ar-SA"/>
    </w:rPr>
  </w:style>
  <w:style w:type="paragraph" w:styleId="Textoindependienteprimerasangra">
    <w:name w:val="Body Text First Indent"/>
    <w:basedOn w:val="Textoindependiente"/>
    <w:link w:val="TextoindependienteprimerasangraCar"/>
    <w:rsid w:val="000B4E51"/>
    <w:pPr>
      <w:suppressAutoHyphens/>
      <w:ind w:left="0" w:firstLine="283"/>
    </w:pPr>
    <w:rPr>
      <w:rFonts w:ascii="Times New Roman" w:hAnsi="Times New Roman" w:cs="Times New Roman"/>
      <w:bCs w:val="0"/>
      <w:i/>
      <w:sz w:val="28"/>
      <w:szCs w:val="20"/>
      <w:lang w:val="es-CO" w:eastAsia="ar-SA"/>
    </w:rPr>
  </w:style>
  <w:style w:type="character" w:customStyle="1" w:styleId="TextoindependienteprimerasangraCar">
    <w:name w:val="Texto independiente primera sangría Car"/>
    <w:link w:val="Textoindependienteprimerasangra"/>
    <w:rsid w:val="000B4E51"/>
    <w:rPr>
      <w:rFonts w:ascii="Arial" w:hAnsi="Arial" w:cs="Arial"/>
      <w:b/>
      <w:bCs w:val="0"/>
      <w:i/>
      <w:sz w:val="28"/>
      <w:szCs w:val="24"/>
      <w:lang w:eastAsia="ar-SA"/>
    </w:rPr>
  </w:style>
  <w:style w:type="paragraph" w:customStyle="1" w:styleId="Notes">
    <w:name w:val="Notes"/>
    <w:rsid w:val="000B4E51"/>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jc w:val="both"/>
    </w:pPr>
    <w:rPr>
      <w:rFonts w:ascii="DejaVu Sans" w:eastAsia="DejaVu Sans" w:hAnsi="DejaVu Sans"/>
      <w:color w:val="000000"/>
      <w:sz w:val="24"/>
      <w:szCs w:val="24"/>
      <w:lang w:eastAsia="es-ES"/>
    </w:rPr>
  </w:style>
  <w:style w:type="paragraph" w:customStyle="1" w:styleId="Tabla">
    <w:name w:val="Tabla"/>
    <w:basedOn w:val="Epgrafe"/>
    <w:link w:val="TablaCar"/>
    <w:qFormat/>
    <w:rsid w:val="000B4E51"/>
    <w:pPr>
      <w:keepNext/>
      <w:widowControl/>
      <w:suppressAutoHyphens/>
      <w:adjustRightInd/>
      <w:spacing w:after="200" w:line="240" w:lineRule="auto"/>
      <w:textAlignment w:val="auto"/>
    </w:pPr>
    <w:rPr>
      <w:b/>
      <w:bCs/>
      <w:iCs/>
    </w:rPr>
  </w:style>
  <w:style w:type="character" w:customStyle="1" w:styleId="TablaCar">
    <w:name w:val="Tabla Car"/>
    <w:link w:val="Tabla"/>
    <w:rsid w:val="000B4E51"/>
    <w:rPr>
      <w:rFonts w:ascii="Arial" w:hAnsi="Arial"/>
      <w:b/>
      <w:bCs/>
      <w:iCs/>
      <w:lang w:val="es-ES" w:eastAsia="es-ES"/>
    </w:rPr>
  </w:style>
  <w:style w:type="paragraph" w:customStyle="1" w:styleId="DatosDocumento">
    <w:name w:val="Datos Documento"/>
    <w:basedOn w:val="Normal"/>
    <w:rsid w:val="000B4E51"/>
    <w:pPr>
      <w:ind w:left="0"/>
      <w:jc w:val="right"/>
    </w:pPr>
    <w:rPr>
      <w:rFonts w:ascii="Arial" w:hAnsi="Arial" w:cs="Arial"/>
      <w:szCs w:val="20"/>
    </w:rPr>
  </w:style>
  <w:style w:type="paragraph" w:customStyle="1" w:styleId="TituloDocumento">
    <w:name w:val="Titulo Documento"/>
    <w:basedOn w:val="Normal"/>
    <w:rsid w:val="000B4E51"/>
    <w:pPr>
      <w:ind w:left="0"/>
      <w:jc w:val="right"/>
    </w:pPr>
    <w:rPr>
      <w:rFonts w:ascii="Arial Black" w:hAnsi="Arial Black" w:cs="Arial"/>
      <w:sz w:val="48"/>
      <w:szCs w:val="20"/>
    </w:rPr>
  </w:style>
  <w:style w:type="paragraph" w:customStyle="1" w:styleId="SubtituloDocumento">
    <w:name w:val="Subtitulo Documento"/>
    <w:basedOn w:val="Normal"/>
    <w:rsid w:val="000B4E51"/>
    <w:pPr>
      <w:ind w:left="0"/>
      <w:jc w:val="right"/>
    </w:pPr>
    <w:rPr>
      <w:rFonts w:ascii="Arial Black" w:hAnsi="Arial Black" w:cs="Arial"/>
      <w:sz w:val="32"/>
      <w:szCs w:val="20"/>
    </w:rPr>
  </w:style>
  <w:style w:type="paragraph" w:customStyle="1" w:styleId="TtuloInforme">
    <w:name w:val="Título Informe"/>
    <w:basedOn w:val="Normal"/>
    <w:next w:val="Normal"/>
    <w:rsid w:val="000B4E51"/>
    <w:pPr>
      <w:spacing w:before="120" w:after="120"/>
      <w:ind w:left="0"/>
      <w:jc w:val="center"/>
    </w:pPr>
    <w:rPr>
      <w:rFonts w:ascii="Arial" w:hAnsi="Arial" w:cs="Arial"/>
      <w:color w:val="FF6309"/>
      <w:sz w:val="28"/>
      <w:szCs w:val="28"/>
    </w:rPr>
  </w:style>
  <w:style w:type="character" w:customStyle="1" w:styleId="TtuloInformeChar">
    <w:name w:val="Título Informe Char"/>
    <w:rsid w:val="000B4E51"/>
    <w:rPr>
      <w:rFonts w:ascii="Arial" w:hAnsi="Arial" w:cs="Arial"/>
      <w:noProof w:val="0"/>
      <w:color w:val="FF6309"/>
      <w:sz w:val="28"/>
      <w:szCs w:val="28"/>
      <w:lang w:val="es-ES" w:eastAsia="es-ES" w:bidi="ar-SA"/>
    </w:rPr>
  </w:style>
  <w:style w:type="paragraph" w:customStyle="1" w:styleId="SubtuloInforme">
    <w:name w:val="Subítulo Informe"/>
    <w:basedOn w:val="Normal"/>
    <w:next w:val="Normal"/>
    <w:rsid w:val="000B4E51"/>
    <w:pPr>
      <w:spacing w:before="120" w:after="120"/>
      <w:ind w:left="0"/>
      <w:jc w:val="both"/>
    </w:pPr>
    <w:rPr>
      <w:rFonts w:ascii="Arial" w:hAnsi="Arial" w:cs="Arial"/>
      <w:color w:val="808080"/>
    </w:rPr>
  </w:style>
  <w:style w:type="character" w:customStyle="1" w:styleId="SubtuloInformeChar">
    <w:name w:val="Subítulo Informe Char"/>
    <w:rsid w:val="000B4E51"/>
    <w:rPr>
      <w:rFonts w:ascii="Arial" w:hAnsi="Arial" w:cs="Arial"/>
      <w:noProof w:val="0"/>
      <w:color w:val="808080"/>
      <w:sz w:val="24"/>
      <w:szCs w:val="24"/>
      <w:lang w:val="es-ES" w:eastAsia="es-ES" w:bidi="ar-SA"/>
    </w:rPr>
  </w:style>
  <w:style w:type="paragraph" w:customStyle="1" w:styleId="EstiloEpgrafeCentrado">
    <w:name w:val="Estilo Epígrafe + Centrado"/>
    <w:basedOn w:val="Epgrafe"/>
    <w:autoRedefine/>
    <w:rsid w:val="000B4E51"/>
    <w:pPr>
      <w:widowControl/>
      <w:adjustRightInd/>
      <w:spacing w:before="0" w:after="240" w:line="240" w:lineRule="auto"/>
      <w:textAlignment w:val="auto"/>
    </w:pPr>
    <w:rPr>
      <w:i/>
      <w:iCs/>
      <w:color w:val="808080"/>
    </w:rPr>
  </w:style>
  <w:style w:type="paragraph" w:styleId="Tabladeilustraciones">
    <w:name w:val="table of figures"/>
    <w:basedOn w:val="Normal"/>
    <w:next w:val="Normal"/>
    <w:rsid w:val="000B4E51"/>
    <w:pPr>
      <w:spacing w:before="120" w:after="120"/>
      <w:ind w:left="0"/>
      <w:jc w:val="both"/>
    </w:pPr>
    <w:rPr>
      <w:rFonts w:ascii="Arial" w:hAnsi="Arial" w:cs="Arial"/>
      <w:sz w:val="20"/>
      <w:szCs w:val="20"/>
    </w:rPr>
  </w:style>
  <w:style w:type="paragraph" w:customStyle="1" w:styleId="CUERPOTEXTO">
    <w:name w:val="CUERPO TEXTO"/>
    <w:rsid w:val="000B4E51"/>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paragraph" w:styleId="Revisin">
    <w:name w:val="Revision"/>
    <w:hidden/>
    <w:uiPriority w:val="99"/>
    <w:semiHidden/>
    <w:rsid w:val="000B4E51"/>
    <w:rPr>
      <w:rFonts w:ascii="Bookman Old Style" w:hAnsi="Bookman Old Style"/>
      <w:sz w:val="24"/>
      <w:szCs w:val="24"/>
      <w:lang w:val="es-ES" w:eastAsia="es-ES"/>
    </w:rPr>
  </w:style>
  <w:style w:type="paragraph" w:styleId="Saludo">
    <w:name w:val="Salutation"/>
    <w:basedOn w:val="Normal"/>
    <w:next w:val="Normal"/>
    <w:link w:val="SaludoCar"/>
    <w:uiPriority w:val="99"/>
    <w:unhideWhenUsed/>
    <w:rsid w:val="000B4E51"/>
    <w:pPr>
      <w:widowControl w:val="0"/>
      <w:adjustRightInd w:val="0"/>
      <w:spacing w:before="240" w:after="240"/>
      <w:ind w:left="0"/>
      <w:jc w:val="both"/>
      <w:textAlignment w:val="baseline"/>
    </w:pPr>
    <w:rPr>
      <w:rFonts w:ascii="Bookman Old Style" w:hAnsi="Bookman Old Style"/>
      <w:lang w:val="es-CO"/>
    </w:rPr>
  </w:style>
  <w:style w:type="character" w:customStyle="1" w:styleId="SaludoCar">
    <w:name w:val="Saludo Car"/>
    <w:link w:val="Saludo"/>
    <w:uiPriority w:val="99"/>
    <w:rsid w:val="000B4E51"/>
    <w:rPr>
      <w:rFonts w:ascii="Bookman Old Style" w:hAnsi="Bookman Old Style"/>
      <w:sz w:val="24"/>
      <w:szCs w:val="24"/>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0" w:qFormat="1"/>
    <w:lsdException w:name="index 1" w:uiPriority="0"/>
    <w:lsdException w:name="index 2" w:uiPriority="0"/>
    <w:lsdException w:name="index 3" w:uiPriority="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index heading" w:uiPriority="0"/>
    <w:lsdException w:name="caption" w:uiPriority="0" w:qFormat="1"/>
    <w:lsdException w:name="table of figures" w:uiPriority="0"/>
    <w:lsdException w:name="page number" w:uiPriority="0"/>
    <w:lsdException w:name="List" w:uiPriority="0"/>
    <w:lsdException w:name="List Bullet" w:uiPriority="0"/>
    <w:lsdException w:name="List Bullet 2" w:uiPriority="0"/>
    <w:lsdException w:name="List Bullet 4" w:uiPriority="0"/>
    <w:lsdException w:name="Title" w:semiHidden="0" w:uiPriority="0" w:unhideWhenUsed="0" w:qFormat="1"/>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First Indent" w:uiPriority="0"/>
    <w:lsdException w:name="Body Text 2"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Bottom of Form"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aliases w:val="ANEXO"/>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basedOn w:val="Ttulo1"/>
    <w:next w:val="Normal"/>
    <w:link w:val="Ttulo2Car"/>
    <w:autoRedefine/>
    <w:qFormat/>
    <w:rsid w:val="009C3EE0"/>
    <w:pPr>
      <w:numPr>
        <w:ilvl w:val="1"/>
        <w:numId w:val="3"/>
      </w:numPr>
      <w:ind w:left="0" w:firstLine="0"/>
      <w:jc w:val="both"/>
      <w:outlineLvl w:val="1"/>
    </w:pPr>
    <w:rPr>
      <w:rFonts w:ascii="Bookman Old Style" w:hAnsi="Bookman Old Style"/>
      <w:spacing w:val="4"/>
      <w:szCs w:val="24"/>
      <w:lang w:val="es-ES"/>
    </w:rPr>
  </w:style>
  <w:style w:type="paragraph" w:styleId="Ttulo3">
    <w:name w:val="heading 3"/>
    <w:basedOn w:val="Normal"/>
    <w:next w:val="Normal"/>
    <w:link w:val="Ttulo3Car"/>
    <w:uiPriority w:val="9"/>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iPriority w:val="9"/>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unhideWhenUsed/>
    <w:qFormat/>
    <w:rsid w:val="006B4647"/>
    <w:pPr>
      <w:spacing w:before="240" w:after="60"/>
      <w:outlineLvl w:val="6"/>
    </w:pPr>
    <w:rPr>
      <w:rFonts w:ascii="Calibri" w:hAnsi="Calibri"/>
    </w:rPr>
  </w:style>
  <w:style w:type="paragraph" w:styleId="Ttulo8">
    <w:name w:val="heading 8"/>
    <w:basedOn w:val="Normal"/>
    <w:next w:val="Normal"/>
    <w:link w:val="Ttulo8Car"/>
    <w:uiPriority w:val="9"/>
    <w:qFormat/>
    <w:rsid w:val="000B4E51"/>
    <w:pPr>
      <w:keepNext/>
      <w:spacing w:before="160" w:after="160"/>
      <w:ind w:left="1440" w:hanging="1440"/>
      <w:jc w:val="center"/>
      <w:outlineLvl w:val="7"/>
    </w:pPr>
    <w:rPr>
      <w:rFonts w:ascii="Arial" w:hAnsi="Arial" w:cs="Arial"/>
      <w:b/>
      <w:sz w:val="22"/>
      <w:szCs w:val="20"/>
      <w:lang w:val="es-CO"/>
    </w:rPr>
  </w:style>
  <w:style w:type="paragraph" w:styleId="Ttulo9">
    <w:name w:val="heading 9"/>
    <w:basedOn w:val="Normal"/>
    <w:next w:val="Normal"/>
    <w:link w:val="Ttulo9Car"/>
    <w:qFormat/>
    <w:rsid w:val="000B4E51"/>
    <w:pPr>
      <w:keepNext/>
      <w:spacing w:before="160" w:after="160"/>
      <w:ind w:left="1584" w:hanging="1584"/>
      <w:jc w:val="both"/>
      <w:outlineLvl w:val="8"/>
    </w:pPr>
    <w:rPr>
      <w:rFonts w:ascii="Arial" w:hAnsi="Arial"/>
      <w:sz w:val="22"/>
      <w:szCs w:val="20"/>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qFormat/>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uiPriority w:val="99"/>
    <w:rsid w:val="003101DA"/>
    <w:pPr>
      <w:jc w:val="center"/>
      <w:outlineLvl w:val="0"/>
    </w:pPr>
    <w:rPr>
      <w:rFonts w:ascii="Arial" w:hAnsi="Arial" w:cs="Arial"/>
      <w:b/>
      <w:bCs/>
      <w:spacing w:val="-3"/>
    </w:rPr>
  </w:style>
  <w:style w:type="paragraph" w:styleId="Textodeglobo">
    <w:name w:val="Balloon Text"/>
    <w:basedOn w:val="Normal"/>
    <w:link w:val="TextodegloboCar"/>
    <w:uiPriority w:val="99"/>
    <w:unhideWhenUsed/>
    <w:rsid w:val="00725FA4"/>
    <w:rPr>
      <w:rFonts w:ascii="Tahoma" w:hAnsi="Tahoma" w:cs="Tahoma"/>
      <w:sz w:val="16"/>
      <w:szCs w:val="16"/>
    </w:rPr>
  </w:style>
  <w:style w:type="character" w:customStyle="1" w:styleId="TextodegloboCar">
    <w:name w:val="Texto de globo Car"/>
    <w:link w:val="Textodeglobo"/>
    <w:uiPriority w:val="99"/>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uiPriority w:val="9"/>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uiPriority w:val="99"/>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uiPriority w:val="9"/>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qFormat/>
    <w:rsid w:val="001405C6"/>
    <w:pPr>
      <w:ind w:left="708"/>
    </w:pPr>
    <w:rPr>
      <w:sz w:val="20"/>
      <w:szCs w:val="20"/>
      <w:lang w:val="es-CO"/>
    </w:rPr>
  </w:style>
  <w:style w:type="character" w:customStyle="1" w:styleId="PrrafodelistaCar">
    <w:name w:val="Párrafo de lista Car"/>
    <w:link w:val="Prrafodelista"/>
    <w:rsid w:val="001405C6"/>
    <w:rPr>
      <w:lang w:val="es-CO"/>
    </w:rPr>
  </w:style>
  <w:style w:type="paragraph" w:styleId="TDC1">
    <w:name w:val="toc 1"/>
    <w:basedOn w:val="Normal"/>
    <w:next w:val="Normal"/>
    <w:autoRedefine/>
    <w:uiPriority w:val="39"/>
    <w:qFormat/>
    <w:rsid w:val="00D3307A"/>
    <w:pPr>
      <w:tabs>
        <w:tab w:val="left" w:pos="1560"/>
        <w:tab w:val="right" w:leader="dot" w:pos="9214"/>
      </w:tabs>
      <w:spacing w:before="120"/>
      <w:ind w:left="1560" w:right="142" w:hanging="1560"/>
      <w:jc w:val="both"/>
    </w:pPr>
    <w:rPr>
      <w:rFonts w:ascii="Bookman Old Style" w:hAnsi="Bookman Old Style"/>
      <w:b/>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after="120" w:line="480" w:lineRule="auto"/>
    </w:pPr>
  </w:style>
  <w:style w:type="character" w:customStyle="1" w:styleId="Textoindependiente2Car">
    <w:name w:val="Texto independiente 2 Car"/>
    <w:link w:val="Textoindependiente2"/>
    <w:semiHidden/>
    <w:rsid w:val="00006AE2"/>
    <w:rPr>
      <w:sz w:val="24"/>
      <w:szCs w:val="24"/>
    </w:rPr>
  </w:style>
  <w:style w:type="paragraph" w:styleId="Epgrafe">
    <w:name w:val="caption"/>
    <w:basedOn w:val="Normal"/>
    <w:next w:val="Normal"/>
    <w:link w:val="EpgrafeCar"/>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nhideWhenUsed/>
    <w:rsid w:val="00E01463"/>
    <w:pPr>
      <w:spacing w:after="120"/>
      <w:ind w:left="283"/>
    </w:pPr>
  </w:style>
  <w:style w:type="character" w:customStyle="1" w:styleId="SangradetextonormalCar">
    <w:name w:val="Sangría de texto normal Car"/>
    <w:link w:val="Sangradetextonormal"/>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nhideWhenUsed/>
    <w:rsid w:val="00E060BE"/>
    <w:pPr>
      <w:spacing w:after="120" w:line="480" w:lineRule="auto"/>
      <w:ind w:left="283"/>
    </w:pPr>
  </w:style>
  <w:style w:type="character" w:customStyle="1" w:styleId="Sangra2detindependienteCar">
    <w:name w:val="Sangría 2 de t. independiente Car"/>
    <w:link w:val="Sangra2detindependiente"/>
    <w:rsid w:val="00E060BE"/>
    <w:rPr>
      <w:sz w:val="24"/>
      <w:szCs w:val="24"/>
      <w:lang w:val="es-ES" w:eastAsia="es-ES"/>
    </w:rPr>
  </w:style>
  <w:style w:type="character" w:customStyle="1" w:styleId="Ttulo2Car">
    <w:name w:val="Título 2 Car"/>
    <w:link w:val="Ttulo2"/>
    <w:rsid w:val="009C3EE0"/>
    <w:rPr>
      <w:rFonts w:ascii="Bookman Old Style" w:hAnsi="Bookman Old Style"/>
      <w:b/>
      <w:spacing w:val="4"/>
      <w:sz w:val="24"/>
      <w:szCs w:val="24"/>
      <w:lang w:val="es-ES" w:eastAsia="es-ES"/>
    </w:rPr>
  </w:style>
  <w:style w:type="character" w:customStyle="1" w:styleId="Ttulo8Car">
    <w:name w:val="Título 8 Car"/>
    <w:link w:val="Ttulo8"/>
    <w:uiPriority w:val="9"/>
    <w:rsid w:val="000B4E51"/>
    <w:rPr>
      <w:rFonts w:ascii="Arial" w:hAnsi="Arial" w:cs="Arial"/>
      <w:b/>
      <w:sz w:val="22"/>
      <w:lang w:eastAsia="es-ES"/>
    </w:rPr>
  </w:style>
  <w:style w:type="character" w:customStyle="1" w:styleId="Ttulo9Car">
    <w:name w:val="Título 9 Car"/>
    <w:link w:val="Ttulo9"/>
    <w:rsid w:val="000B4E51"/>
    <w:rPr>
      <w:rFonts w:ascii="Arial" w:hAnsi="Arial"/>
      <w:sz w:val="22"/>
      <w:lang w:eastAsia="es-ES"/>
    </w:rPr>
  </w:style>
  <w:style w:type="character" w:customStyle="1" w:styleId="Ttulo1Car">
    <w:name w:val="Título 1 Car"/>
    <w:aliases w:val="ANEXO Car"/>
    <w:link w:val="Ttulo1"/>
    <w:rsid w:val="000B4E51"/>
    <w:rPr>
      <w:rFonts w:ascii="CG Times" w:hAnsi="CG Times"/>
      <w:b/>
      <w:sz w:val="24"/>
      <w:lang w:eastAsia="es-ES"/>
    </w:rPr>
  </w:style>
  <w:style w:type="character" w:customStyle="1" w:styleId="PiedepginaCar">
    <w:name w:val="Pie de página Car"/>
    <w:link w:val="Piedepgina"/>
    <w:rsid w:val="000B4E51"/>
    <w:rPr>
      <w:sz w:val="24"/>
      <w:szCs w:val="24"/>
      <w:lang w:val="es-ES" w:eastAsia="es-ES"/>
    </w:rPr>
  </w:style>
  <w:style w:type="character" w:customStyle="1" w:styleId="EpgrafeCar">
    <w:name w:val="Epígrafe Car"/>
    <w:link w:val="Epgrafe"/>
    <w:rsid w:val="000B4E51"/>
    <w:rPr>
      <w:rFonts w:ascii="Arial" w:hAnsi="Arial"/>
      <w:lang w:val="es-ES" w:eastAsia="es-ES"/>
    </w:rPr>
  </w:style>
  <w:style w:type="paragraph" w:customStyle="1" w:styleId="Artculo">
    <w:name w:val="Artículo"/>
    <w:basedOn w:val="Normal"/>
    <w:link w:val="ArtculoCar"/>
    <w:autoRedefine/>
    <w:qFormat/>
    <w:rsid w:val="0052323C"/>
    <w:pPr>
      <w:numPr>
        <w:numId w:val="2"/>
      </w:numPr>
      <w:ind w:left="0" w:firstLine="0"/>
      <w:jc w:val="both"/>
    </w:pPr>
    <w:rPr>
      <w:rFonts w:ascii="Bookman Old Style" w:hAnsi="Bookman Old Style" w:cs="Arial"/>
    </w:rPr>
  </w:style>
  <w:style w:type="character" w:customStyle="1" w:styleId="ArtculoCar">
    <w:name w:val="Artículo Car"/>
    <w:link w:val="Artculo"/>
    <w:rsid w:val="0052323C"/>
    <w:rPr>
      <w:rFonts w:ascii="Bookman Old Style" w:hAnsi="Bookman Old Style" w:cs="Arial"/>
      <w:sz w:val="24"/>
      <w:szCs w:val="24"/>
      <w:lang w:val="es-ES" w:eastAsia="es-ES"/>
    </w:rPr>
  </w:style>
  <w:style w:type="character" w:styleId="Hipervnculo">
    <w:name w:val="Hyperlink"/>
    <w:uiPriority w:val="99"/>
    <w:rsid w:val="000B4E51"/>
    <w:rPr>
      <w:color w:val="0000FF"/>
      <w:u w:val="single"/>
    </w:rPr>
  </w:style>
  <w:style w:type="character" w:styleId="Hipervnculovisitado">
    <w:name w:val="FollowedHyperlink"/>
    <w:rsid w:val="000B4E51"/>
    <w:rPr>
      <w:color w:val="800080"/>
      <w:u w:val="single"/>
    </w:rPr>
  </w:style>
  <w:style w:type="paragraph" w:styleId="Textonotapie">
    <w:name w:val="footnote text"/>
    <w:basedOn w:val="Normal"/>
    <w:link w:val="TextonotapieCar"/>
    <w:semiHidden/>
    <w:rsid w:val="000B4E51"/>
    <w:pPr>
      <w:spacing w:before="160" w:after="160"/>
      <w:ind w:left="0"/>
      <w:jc w:val="both"/>
    </w:pPr>
    <w:rPr>
      <w:rFonts w:ascii="Arial" w:hAnsi="Arial"/>
      <w:sz w:val="22"/>
      <w:szCs w:val="20"/>
      <w:lang w:val="es-CO"/>
    </w:rPr>
  </w:style>
  <w:style w:type="character" w:customStyle="1" w:styleId="TextonotapieCar">
    <w:name w:val="Texto nota pie Car"/>
    <w:link w:val="Textonotapie"/>
    <w:semiHidden/>
    <w:rsid w:val="000B4E51"/>
    <w:rPr>
      <w:rFonts w:ascii="Arial" w:hAnsi="Arial"/>
      <w:sz w:val="22"/>
      <w:lang w:eastAsia="es-ES"/>
    </w:rPr>
  </w:style>
  <w:style w:type="character" w:styleId="Refdenotaalpie">
    <w:name w:val="footnote reference"/>
    <w:uiPriority w:val="99"/>
    <w:semiHidden/>
    <w:rsid w:val="000B4E51"/>
    <w:rPr>
      <w:vertAlign w:val="superscript"/>
    </w:rPr>
  </w:style>
  <w:style w:type="paragraph" w:styleId="Listaconvietas">
    <w:name w:val="List Bullet"/>
    <w:basedOn w:val="Normal"/>
    <w:autoRedefine/>
    <w:rsid w:val="000B4E51"/>
    <w:pPr>
      <w:tabs>
        <w:tab w:val="num" w:pos="360"/>
      </w:tabs>
      <w:spacing w:before="160" w:after="160"/>
      <w:ind w:left="360" w:hanging="360"/>
      <w:jc w:val="both"/>
    </w:pPr>
    <w:rPr>
      <w:rFonts w:ascii="CG Times" w:hAnsi="CG Times"/>
      <w:sz w:val="22"/>
      <w:szCs w:val="20"/>
      <w:lang w:val="es-CO"/>
    </w:rPr>
  </w:style>
  <w:style w:type="paragraph" w:styleId="Listaconvietas2">
    <w:name w:val="List Bullet 2"/>
    <w:basedOn w:val="Normal"/>
    <w:autoRedefine/>
    <w:semiHidden/>
    <w:rsid w:val="000B4E51"/>
    <w:pPr>
      <w:tabs>
        <w:tab w:val="num" w:pos="643"/>
      </w:tabs>
      <w:spacing w:before="160" w:after="160"/>
      <w:ind w:left="643" w:hanging="360"/>
      <w:jc w:val="both"/>
    </w:pPr>
    <w:rPr>
      <w:rFonts w:ascii="CG Times" w:hAnsi="CG Times"/>
      <w:sz w:val="22"/>
      <w:szCs w:val="20"/>
      <w:lang w:val="es-CO"/>
    </w:rPr>
  </w:style>
  <w:style w:type="paragraph" w:styleId="Listaconvietas4">
    <w:name w:val="List Bullet 4"/>
    <w:basedOn w:val="Normal"/>
    <w:autoRedefine/>
    <w:semiHidden/>
    <w:rsid w:val="000B4E51"/>
    <w:pPr>
      <w:tabs>
        <w:tab w:val="num" w:pos="1209"/>
      </w:tabs>
      <w:spacing w:before="160" w:after="160"/>
      <w:ind w:left="1209" w:hanging="360"/>
      <w:jc w:val="both"/>
    </w:pPr>
    <w:rPr>
      <w:rFonts w:ascii="CG Times" w:hAnsi="CG Times"/>
      <w:sz w:val="22"/>
      <w:szCs w:val="20"/>
      <w:lang w:val="es-CO"/>
    </w:rPr>
  </w:style>
  <w:style w:type="paragraph" w:styleId="TDC2">
    <w:name w:val="toc 2"/>
    <w:basedOn w:val="Normal"/>
    <w:next w:val="Normal"/>
    <w:autoRedefine/>
    <w:uiPriority w:val="39"/>
    <w:qFormat/>
    <w:rsid w:val="00D3307A"/>
    <w:pPr>
      <w:tabs>
        <w:tab w:val="left" w:pos="1701"/>
        <w:tab w:val="right" w:leader="dot" w:pos="9214"/>
      </w:tabs>
      <w:spacing w:before="160"/>
      <w:ind w:left="1560" w:hanging="709"/>
    </w:pPr>
    <w:rPr>
      <w:rFonts w:ascii="Bookman Old Style" w:hAnsi="Bookman Old Style"/>
      <w:bCs/>
      <w:noProof/>
      <w:szCs w:val="20"/>
      <w:lang w:val="es-CO"/>
    </w:rPr>
  </w:style>
  <w:style w:type="paragraph" w:styleId="TDC3">
    <w:name w:val="toc 3"/>
    <w:basedOn w:val="Normal"/>
    <w:next w:val="Normal"/>
    <w:autoRedefine/>
    <w:uiPriority w:val="39"/>
    <w:qFormat/>
    <w:rsid w:val="00E74DBA"/>
    <w:pPr>
      <w:tabs>
        <w:tab w:val="left" w:pos="2268"/>
        <w:tab w:val="right" w:leader="dot" w:pos="9214"/>
      </w:tabs>
      <w:spacing w:before="100"/>
      <w:ind w:left="2268" w:right="142" w:hanging="708"/>
      <w:jc w:val="both"/>
    </w:pPr>
    <w:rPr>
      <w:rFonts w:ascii="Bookman Old Style" w:hAnsi="Bookman Old Style"/>
      <w:noProof/>
      <w:szCs w:val="20"/>
      <w:lang w:val="es-CO"/>
    </w:rPr>
  </w:style>
  <w:style w:type="paragraph" w:styleId="TDC4">
    <w:name w:val="toc 4"/>
    <w:basedOn w:val="Normal"/>
    <w:next w:val="Normal"/>
    <w:autoRedefine/>
    <w:uiPriority w:val="39"/>
    <w:rsid w:val="000B4E51"/>
    <w:pPr>
      <w:ind w:left="480"/>
      <w:jc w:val="both"/>
    </w:pPr>
    <w:rPr>
      <w:rFonts w:ascii="Calibri" w:hAnsi="Calibri"/>
      <w:sz w:val="20"/>
      <w:szCs w:val="20"/>
      <w:lang w:val="es-CO"/>
    </w:rPr>
  </w:style>
  <w:style w:type="paragraph" w:styleId="TDC5">
    <w:name w:val="toc 5"/>
    <w:basedOn w:val="Normal"/>
    <w:next w:val="Normal"/>
    <w:autoRedefine/>
    <w:uiPriority w:val="39"/>
    <w:rsid w:val="000B4E51"/>
    <w:pPr>
      <w:ind w:left="720"/>
      <w:jc w:val="both"/>
    </w:pPr>
    <w:rPr>
      <w:rFonts w:ascii="Calibri" w:hAnsi="Calibri"/>
      <w:sz w:val="20"/>
      <w:szCs w:val="20"/>
      <w:lang w:val="es-CO"/>
    </w:rPr>
  </w:style>
  <w:style w:type="paragraph" w:styleId="TDC6">
    <w:name w:val="toc 6"/>
    <w:basedOn w:val="Normal"/>
    <w:next w:val="Normal"/>
    <w:autoRedefine/>
    <w:uiPriority w:val="39"/>
    <w:rsid w:val="000B4E51"/>
    <w:pPr>
      <w:ind w:left="960"/>
      <w:jc w:val="both"/>
    </w:pPr>
    <w:rPr>
      <w:rFonts w:ascii="Calibri" w:hAnsi="Calibri"/>
      <w:sz w:val="20"/>
      <w:szCs w:val="20"/>
      <w:lang w:val="es-CO"/>
    </w:rPr>
  </w:style>
  <w:style w:type="paragraph" w:styleId="TDC7">
    <w:name w:val="toc 7"/>
    <w:basedOn w:val="Normal"/>
    <w:next w:val="Normal"/>
    <w:autoRedefine/>
    <w:uiPriority w:val="39"/>
    <w:rsid w:val="000B4E51"/>
    <w:pPr>
      <w:tabs>
        <w:tab w:val="right" w:pos="9111"/>
      </w:tabs>
      <w:spacing w:before="240"/>
      <w:ind w:left="0"/>
      <w:jc w:val="both"/>
    </w:pPr>
    <w:rPr>
      <w:rFonts w:ascii="Arial" w:hAnsi="Arial"/>
      <w:b/>
      <w:sz w:val="22"/>
      <w:szCs w:val="20"/>
      <w:lang w:val="es-CO"/>
    </w:rPr>
  </w:style>
  <w:style w:type="paragraph" w:styleId="TDC8">
    <w:name w:val="toc 8"/>
    <w:basedOn w:val="Normal"/>
    <w:next w:val="Normal"/>
    <w:autoRedefine/>
    <w:uiPriority w:val="39"/>
    <w:rsid w:val="000B4E51"/>
    <w:pPr>
      <w:tabs>
        <w:tab w:val="right" w:leader="dot" w:pos="9111"/>
      </w:tabs>
      <w:ind w:left="0"/>
      <w:jc w:val="both"/>
    </w:pPr>
    <w:rPr>
      <w:rFonts w:ascii="Arial" w:hAnsi="Arial"/>
      <w:b/>
      <w:sz w:val="22"/>
      <w:szCs w:val="20"/>
      <w:lang w:val="es-CO"/>
    </w:rPr>
  </w:style>
  <w:style w:type="paragraph" w:styleId="TDC9">
    <w:name w:val="toc 9"/>
    <w:basedOn w:val="Normal"/>
    <w:next w:val="Normal"/>
    <w:autoRedefine/>
    <w:uiPriority w:val="39"/>
    <w:rsid w:val="000B4E51"/>
    <w:pPr>
      <w:ind w:left="1680"/>
      <w:jc w:val="both"/>
    </w:pPr>
    <w:rPr>
      <w:rFonts w:ascii="Calibri" w:hAnsi="Calibri"/>
      <w:sz w:val="20"/>
      <w:szCs w:val="20"/>
      <w:lang w:val="es-CO"/>
    </w:rPr>
  </w:style>
  <w:style w:type="paragraph" w:customStyle="1" w:styleId="Textodenotaalfinal">
    <w:name w:val="Texto de nota al final"/>
    <w:basedOn w:val="Normal"/>
    <w:rsid w:val="000B4E51"/>
    <w:pPr>
      <w:widowControl w:val="0"/>
      <w:spacing w:before="160" w:after="160"/>
      <w:ind w:left="0"/>
      <w:jc w:val="both"/>
    </w:pPr>
    <w:rPr>
      <w:rFonts w:ascii="Courier New" w:hAnsi="Courier New"/>
      <w:sz w:val="22"/>
      <w:szCs w:val="20"/>
      <w:lang w:val="es-ES_tradnl"/>
    </w:rPr>
  </w:style>
  <w:style w:type="paragraph" w:styleId="Sangra3detindependiente">
    <w:name w:val="Body Text Indent 3"/>
    <w:basedOn w:val="Normal"/>
    <w:link w:val="Sangra3detindependienteCar"/>
    <w:rsid w:val="000B4E51"/>
    <w:pPr>
      <w:spacing w:before="160" w:after="160"/>
      <w:ind w:left="2880" w:hanging="2880"/>
      <w:jc w:val="both"/>
    </w:pPr>
    <w:rPr>
      <w:rFonts w:ascii="Bookman Old Style" w:hAnsi="Bookman Old Style"/>
      <w:spacing w:val="-4"/>
      <w:sz w:val="22"/>
      <w:szCs w:val="20"/>
      <w:lang w:val="es-CO"/>
    </w:rPr>
  </w:style>
  <w:style w:type="character" w:customStyle="1" w:styleId="Sangra3detindependienteCar">
    <w:name w:val="Sangría 3 de t. independiente Car"/>
    <w:link w:val="Sangra3detindependiente"/>
    <w:rsid w:val="000B4E51"/>
    <w:rPr>
      <w:rFonts w:ascii="Bookman Old Style" w:hAnsi="Bookman Old Style"/>
      <w:spacing w:val="-4"/>
      <w:sz w:val="22"/>
      <w:lang w:eastAsia="es-ES"/>
    </w:rPr>
  </w:style>
  <w:style w:type="paragraph" w:styleId="Cita">
    <w:name w:val="Quote"/>
    <w:basedOn w:val="Normal"/>
    <w:next w:val="Normal"/>
    <w:link w:val="CitaCar"/>
    <w:uiPriority w:val="29"/>
    <w:qFormat/>
    <w:rsid w:val="000B4E51"/>
    <w:pPr>
      <w:spacing w:after="120"/>
      <w:ind w:left="0" w:right="616"/>
      <w:jc w:val="both"/>
    </w:pPr>
    <w:rPr>
      <w:rFonts w:ascii="Arial" w:eastAsia="Calibri" w:hAnsi="Arial" w:cs="Arial"/>
      <w:i/>
      <w:iCs/>
      <w:color w:val="000000"/>
      <w:sz w:val="20"/>
      <w:szCs w:val="22"/>
      <w:lang w:val="es-CO" w:eastAsia="en-US"/>
    </w:rPr>
  </w:style>
  <w:style w:type="character" w:customStyle="1" w:styleId="CitaCar">
    <w:name w:val="Cita Car"/>
    <w:link w:val="Cita"/>
    <w:uiPriority w:val="29"/>
    <w:rsid w:val="000B4E51"/>
    <w:rPr>
      <w:rFonts w:ascii="Arial" w:eastAsia="Calibri" w:hAnsi="Arial" w:cs="Arial"/>
      <w:i/>
      <w:iCs/>
      <w:color w:val="000000"/>
      <w:szCs w:val="22"/>
      <w:lang w:eastAsia="en-US"/>
    </w:rPr>
  </w:style>
  <w:style w:type="character" w:styleId="Refdecomentario">
    <w:name w:val="annotation reference"/>
    <w:uiPriority w:val="99"/>
    <w:semiHidden/>
    <w:unhideWhenUsed/>
    <w:rsid w:val="000B4E51"/>
    <w:rPr>
      <w:sz w:val="16"/>
      <w:szCs w:val="16"/>
    </w:rPr>
  </w:style>
  <w:style w:type="paragraph" w:styleId="Textocomentario">
    <w:name w:val="annotation text"/>
    <w:basedOn w:val="Normal"/>
    <w:link w:val="TextocomentarioCar"/>
    <w:uiPriority w:val="99"/>
    <w:unhideWhenUsed/>
    <w:rsid w:val="000B4E51"/>
    <w:pPr>
      <w:spacing w:before="160" w:after="160"/>
      <w:ind w:left="0"/>
      <w:jc w:val="both"/>
    </w:pPr>
    <w:rPr>
      <w:rFonts w:ascii="Arial" w:hAnsi="Arial"/>
      <w:sz w:val="20"/>
      <w:szCs w:val="20"/>
      <w:lang w:val="es-CO"/>
    </w:rPr>
  </w:style>
  <w:style w:type="character" w:customStyle="1" w:styleId="TextocomentarioCar">
    <w:name w:val="Texto comentario Car"/>
    <w:link w:val="Textocomentario"/>
    <w:uiPriority w:val="99"/>
    <w:rsid w:val="000B4E51"/>
    <w:rPr>
      <w:rFonts w:ascii="Arial" w:hAnsi="Arial"/>
      <w:lang w:eastAsia="es-ES"/>
    </w:rPr>
  </w:style>
  <w:style w:type="paragraph" w:styleId="Asuntodelcomentario">
    <w:name w:val="annotation subject"/>
    <w:basedOn w:val="Textocomentario"/>
    <w:next w:val="Textocomentario"/>
    <w:link w:val="AsuntodelcomentarioCar"/>
    <w:semiHidden/>
    <w:unhideWhenUsed/>
    <w:rsid w:val="000B4E51"/>
    <w:rPr>
      <w:b/>
      <w:bCs/>
    </w:rPr>
  </w:style>
  <w:style w:type="character" w:customStyle="1" w:styleId="AsuntodelcomentarioCar">
    <w:name w:val="Asunto del comentario Car"/>
    <w:link w:val="Asuntodelcomentario"/>
    <w:semiHidden/>
    <w:rsid w:val="000B4E51"/>
    <w:rPr>
      <w:rFonts w:ascii="Arial" w:hAnsi="Arial"/>
      <w:b/>
      <w:bCs/>
      <w:lang w:eastAsia="es-ES"/>
    </w:rPr>
  </w:style>
  <w:style w:type="character" w:styleId="Textoennegrita">
    <w:name w:val="Strong"/>
    <w:uiPriority w:val="22"/>
    <w:qFormat/>
    <w:rsid w:val="000B4E51"/>
    <w:rPr>
      <w:b/>
      <w:bCs/>
    </w:rPr>
  </w:style>
  <w:style w:type="paragraph" w:styleId="TtulodeTDC">
    <w:name w:val="TOC Heading"/>
    <w:basedOn w:val="Ttulo1"/>
    <w:next w:val="Normal"/>
    <w:uiPriority w:val="39"/>
    <w:unhideWhenUsed/>
    <w:qFormat/>
    <w:rsid w:val="000B4E51"/>
    <w:pPr>
      <w:keepLines/>
      <w:spacing w:before="480" w:after="360" w:line="276" w:lineRule="auto"/>
      <w:ind w:left="0" w:hanging="357"/>
      <w:jc w:val="left"/>
      <w:outlineLvl w:val="9"/>
    </w:pPr>
    <w:rPr>
      <w:rFonts w:ascii="Cambria" w:hAnsi="Cambria"/>
      <w:bCs/>
      <w:caps/>
      <w:color w:val="365F91"/>
      <w:spacing w:val="4"/>
      <w:sz w:val="28"/>
      <w:szCs w:val="28"/>
      <w:lang w:val="es-ES" w:eastAsia="en-US"/>
    </w:rPr>
  </w:style>
  <w:style w:type="paragraph" w:styleId="Mapadeldocumento">
    <w:name w:val="Document Map"/>
    <w:basedOn w:val="Normal"/>
    <w:link w:val="MapadeldocumentoCar"/>
    <w:uiPriority w:val="99"/>
    <w:unhideWhenUsed/>
    <w:rsid w:val="000B4E51"/>
    <w:pPr>
      <w:spacing w:before="160" w:after="160"/>
      <w:ind w:left="0"/>
      <w:jc w:val="both"/>
    </w:pPr>
    <w:rPr>
      <w:rFonts w:ascii="Tahoma" w:hAnsi="Tahoma" w:cs="Tahoma"/>
      <w:sz w:val="16"/>
      <w:szCs w:val="16"/>
      <w:lang w:val="es-CO"/>
    </w:rPr>
  </w:style>
  <w:style w:type="character" w:customStyle="1" w:styleId="MapadeldocumentoCar">
    <w:name w:val="Mapa del documento Car"/>
    <w:link w:val="Mapadeldocumento"/>
    <w:uiPriority w:val="99"/>
    <w:rsid w:val="000B4E51"/>
    <w:rPr>
      <w:rFonts w:ascii="Tahoma" w:hAnsi="Tahoma" w:cs="Tahoma"/>
      <w:sz w:val="16"/>
      <w:szCs w:val="16"/>
      <w:lang w:eastAsia="es-ES"/>
    </w:rPr>
  </w:style>
  <w:style w:type="paragraph" w:customStyle="1" w:styleId="Anexo">
    <w:name w:val="Anexo"/>
    <w:basedOn w:val="Normal"/>
    <w:link w:val="AnexoCar"/>
    <w:qFormat/>
    <w:rsid w:val="000B4E51"/>
    <w:pPr>
      <w:suppressAutoHyphens/>
      <w:ind w:left="1429" w:hanging="360"/>
      <w:jc w:val="both"/>
    </w:pPr>
    <w:rPr>
      <w:rFonts w:ascii="Bookman Old Style" w:hAnsi="Bookman Old Style" w:cs="Arial"/>
      <w:b/>
      <w:bCs/>
      <w:spacing w:val="-4"/>
    </w:rPr>
  </w:style>
  <w:style w:type="character" w:customStyle="1" w:styleId="AnexoCar">
    <w:name w:val="Anexo Car"/>
    <w:link w:val="Anexo"/>
    <w:rsid w:val="000B4E51"/>
    <w:rPr>
      <w:rFonts w:ascii="Bookman Old Style" w:hAnsi="Bookman Old Style" w:cs="Arial"/>
      <w:b/>
      <w:bCs/>
      <w:spacing w:val="-4"/>
      <w:sz w:val="24"/>
      <w:szCs w:val="24"/>
      <w:lang w:val="es-ES" w:eastAsia="es-ES"/>
    </w:rPr>
  </w:style>
  <w:style w:type="paragraph" w:customStyle="1" w:styleId="PliegoTitulo1">
    <w:name w:val="Pliego_Titulo1"/>
    <w:basedOn w:val="Pliego-Normal"/>
    <w:next w:val="Pliego-Normal"/>
    <w:rsid w:val="000B4E51"/>
    <w:pPr>
      <w:tabs>
        <w:tab w:val="num" w:pos="432"/>
      </w:tabs>
      <w:ind w:left="432" w:hanging="432"/>
      <w:jc w:val="center"/>
    </w:pPr>
    <w:rPr>
      <w:b/>
    </w:rPr>
  </w:style>
  <w:style w:type="paragraph" w:customStyle="1" w:styleId="Pliego-Normal">
    <w:name w:val="Pliego-Normal"/>
    <w:basedOn w:val="Normal"/>
    <w:rsid w:val="000B4E51"/>
    <w:pPr>
      <w:widowControl w:val="0"/>
      <w:adjustRightInd w:val="0"/>
      <w:ind w:left="0"/>
      <w:jc w:val="both"/>
      <w:textAlignment w:val="baseline"/>
    </w:pPr>
    <w:rPr>
      <w:rFonts w:ascii="Garamond" w:hAnsi="Garamond"/>
      <w:bCs/>
      <w:sz w:val="22"/>
      <w:szCs w:val="20"/>
      <w:lang w:val="es-ES_tradnl"/>
    </w:rPr>
  </w:style>
  <w:style w:type="paragraph" w:styleId="NormalWeb">
    <w:name w:val="Normal (Web)"/>
    <w:basedOn w:val="Normal"/>
    <w:uiPriority w:val="99"/>
    <w:rsid w:val="000B4E51"/>
    <w:pPr>
      <w:widowControl w:val="0"/>
      <w:adjustRightInd w:val="0"/>
      <w:spacing w:before="100" w:beforeAutospacing="1" w:after="100" w:afterAutospacing="1"/>
      <w:ind w:left="0"/>
      <w:jc w:val="both"/>
      <w:textAlignment w:val="baseline"/>
    </w:pPr>
    <w:rPr>
      <w:rFonts w:ascii="Bookman Old Style" w:hAnsi="Bookman Old Style"/>
    </w:rPr>
  </w:style>
  <w:style w:type="paragraph" w:styleId="ndice1">
    <w:name w:val="index 1"/>
    <w:basedOn w:val="Normal"/>
    <w:next w:val="Normal"/>
    <w:autoRedefine/>
    <w:semiHidden/>
    <w:rsid w:val="000B4E51"/>
    <w:pPr>
      <w:widowControl w:val="0"/>
      <w:adjustRightInd w:val="0"/>
      <w:ind w:left="0"/>
      <w:jc w:val="both"/>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0B4E51"/>
    <w:pPr>
      <w:widowControl w:val="0"/>
      <w:pBdr>
        <w:top w:val="single" w:sz="6" w:space="1" w:color="auto"/>
      </w:pBdr>
      <w:adjustRightInd w:val="0"/>
      <w:ind w:left="0"/>
      <w:jc w:val="center"/>
      <w:textAlignment w:val="baseline"/>
    </w:pPr>
    <w:rPr>
      <w:rFonts w:ascii="Arial" w:hAnsi="Arial" w:cs="Arial"/>
      <w:vanish/>
      <w:color w:val="000000"/>
      <w:sz w:val="16"/>
      <w:szCs w:val="16"/>
    </w:rPr>
  </w:style>
  <w:style w:type="character" w:customStyle="1" w:styleId="z-FinaldelformularioCar">
    <w:name w:val="z-Final del formulario Car"/>
    <w:link w:val="z-Finaldelformulario"/>
    <w:rsid w:val="000B4E51"/>
    <w:rPr>
      <w:rFonts w:ascii="Arial" w:hAnsi="Arial" w:cs="Arial"/>
      <w:vanish/>
      <w:color w:val="000000"/>
      <w:sz w:val="16"/>
      <w:szCs w:val="16"/>
      <w:lang w:val="es-ES" w:eastAsia="es-ES"/>
    </w:rPr>
  </w:style>
  <w:style w:type="paragraph" w:customStyle="1" w:styleId="NormalTesis">
    <w:name w:val="Normal Tesis"/>
    <w:basedOn w:val="Textoindependiente"/>
    <w:rsid w:val="000B4E51"/>
    <w:pPr>
      <w:widowControl w:val="0"/>
      <w:adjustRightInd w:val="0"/>
      <w:spacing w:line="360" w:lineRule="auto"/>
      <w:ind w:left="0"/>
      <w:jc w:val="both"/>
      <w:textAlignment w:val="baseline"/>
    </w:pPr>
    <w:rPr>
      <w:b w:val="0"/>
      <w:bCs w:val="0"/>
      <w:sz w:val="22"/>
    </w:rPr>
  </w:style>
  <w:style w:type="paragraph" w:customStyle="1" w:styleId="Citas">
    <w:name w:val="Citas"/>
    <w:basedOn w:val="Normal"/>
    <w:rsid w:val="000B4E51"/>
    <w:pPr>
      <w:ind w:left="708" w:right="618"/>
      <w:jc w:val="both"/>
    </w:pPr>
    <w:rPr>
      <w:rFonts w:ascii="Bookman Old Style" w:hAnsi="Bookman Old Style" w:cs="Arial"/>
      <w:i/>
      <w:iCs/>
      <w:szCs w:val="20"/>
    </w:rPr>
  </w:style>
  <w:style w:type="paragraph" w:customStyle="1" w:styleId="articulo">
    <w:name w:val="articulo"/>
    <w:basedOn w:val="Normal"/>
    <w:next w:val="Normal"/>
    <w:autoRedefine/>
    <w:rsid w:val="000B4E51"/>
    <w:pPr>
      <w:tabs>
        <w:tab w:val="left" w:pos="-720"/>
        <w:tab w:val="left" w:pos="1560"/>
      </w:tabs>
      <w:suppressAutoHyphens/>
      <w:spacing w:before="240"/>
      <w:ind w:left="1560" w:hanging="1560"/>
      <w:jc w:val="both"/>
    </w:pPr>
    <w:rPr>
      <w:rFonts w:ascii="Bookman Old Style" w:hAnsi="Bookman Old Style" w:cs="Arial"/>
      <w:bCs/>
      <w:spacing w:val="-4"/>
    </w:rPr>
  </w:style>
  <w:style w:type="character" w:styleId="Textodelmarcadordeposicin">
    <w:name w:val="Placeholder Text"/>
    <w:uiPriority w:val="99"/>
    <w:semiHidden/>
    <w:rsid w:val="000B4E51"/>
    <w:rPr>
      <w:color w:val="808080"/>
    </w:rPr>
  </w:style>
  <w:style w:type="paragraph" w:customStyle="1" w:styleId="EstiloPrrafodelistaJustificado">
    <w:name w:val="Estilo Párrafo de lista + Justificado"/>
    <w:basedOn w:val="Prrafodelista"/>
    <w:rsid w:val="000B4E51"/>
    <w:pPr>
      <w:spacing w:before="120"/>
      <w:ind w:left="720" w:hanging="360"/>
      <w:jc w:val="both"/>
    </w:pPr>
    <w:rPr>
      <w:rFonts w:ascii="Bookman Old Style" w:hAnsi="Bookman Old Style"/>
      <w:spacing w:val="4"/>
      <w:sz w:val="24"/>
      <w:lang w:val="es-ES"/>
    </w:rPr>
  </w:style>
  <w:style w:type="paragraph" w:customStyle="1" w:styleId="Vietas">
    <w:name w:val="Viñetas"/>
    <w:basedOn w:val="Prrafodelista"/>
    <w:rsid w:val="000B4E51"/>
    <w:pPr>
      <w:spacing w:before="120"/>
      <w:ind w:left="720" w:hanging="360"/>
      <w:jc w:val="both"/>
    </w:pPr>
    <w:rPr>
      <w:rFonts w:ascii="Bookman Old Style" w:hAnsi="Bookman Old Style"/>
      <w:spacing w:val="4"/>
      <w:sz w:val="24"/>
      <w:lang w:val="es-ES"/>
    </w:rPr>
  </w:style>
  <w:style w:type="paragraph" w:customStyle="1" w:styleId="Listaletras">
    <w:name w:val="Lista letras"/>
    <w:basedOn w:val="Sangra2detindependiente"/>
    <w:link w:val="ListaletrasCar"/>
    <w:qFormat/>
    <w:rsid w:val="000B4E51"/>
    <w:pPr>
      <w:spacing w:before="160" w:after="160" w:line="240" w:lineRule="auto"/>
      <w:ind w:left="0" w:hanging="567"/>
      <w:jc w:val="both"/>
      <w:outlineLvl w:val="0"/>
    </w:pPr>
    <w:rPr>
      <w:rFonts w:ascii="Bookman Old Style" w:hAnsi="Bookman Old Style"/>
      <w:b/>
      <w:sz w:val="22"/>
      <w:szCs w:val="20"/>
      <w:lang w:val="es-CO"/>
    </w:rPr>
  </w:style>
  <w:style w:type="character" w:customStyle="1" w:styleId="ListaletrasCar">
    <w:name w:val="Lista letras Car"/>
    <w:link w:val="Listaletras"/>
    <w:rsid w:val="000B4E51"/>
    <w:rPr>
      <w:rFonts w:ascii="Bookman Old Style" w:hAnsi="Bookman Old Style"/>
      <w:b/>
      <w:sz w:val="22"/>
      <w:lang w:eastAsia="es-ES"/>
    </w:rPr>
  </w:style>
  <w:style w:type="paragraph" w:customStyle="1" w:styleId="Textoindependiente31">
    <w:name w:val="Texto independiente 31"/>
    <w:basedOn w:val="Normal"/>
    <w:rsid w:val="000B4E51"/>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 w:type="paragraph" w:customStyle="1" w:styleId="Estilo2">
    <w:name w:val="Estilo2"/>
    <w:basedOn w:val="Ttulo1"/>
    <w:rsid w:val="000B4E51"/>
    <w:pPr>
      <w:adjustRightInd w:val="0"/>
      <w:spacing w:before="240" w:after="360"/>
      <w:ind w:left="0"/>
      <w:textAlignment w:val="baseline"/>
    </w:pPr>
    <w:rPr>
      <w:rFonts w:ascii="Bookman Old Style" w:hAnsi="Bookman Old Style"/>
      <w:bCs/>
      <w:caps/>
      <w:spacing w:val="4"/>
      <w:szCs w:val="24"/>
      <w:lang w:val="es-ES"/>
    </w:rPr>
  </w:style>
  <w:style w:type="paragraph" w:styleId="Continuarlista">
    <w:name w:val="List Continue"/>
    <w:basedOn w:val="Normal"/>
    <w:rsid w:val="000B4E51"/>
    <w:pPr>
      <w:widowControl w:val="0"/>
      <w:adjustRightInd w:val="0"/>
      <w:spacing w:after="120"/>
      <w:ind w:left="283"/>
      <w:contextualSpacing/>
      <w:jc w:val="both"/>
      <w:textAlignment w:val="baseline"/>
    </w:pPr>
    <w:rPr>
      <w:rFonts w:ascii="Bookman Old Style" w:hAnsi="Bookman Old Style"/>
    </w:rPr>
  </w:style>
  <w:style w:type="character" w:customStyle="1" w:styleId="Fuentedeprrafopredeter1">
    <w:name w:val="Fuente de párrafo predeter.1"/>
    <w:rsid w:val="000B4E51"/>
  </w:style>
  <w:style w:type="character" w:customStyle="1" w:styleId="FootnoteCharacters">
    <w:name w:val="Footnote Characters"/>
    <w:rsid w:val="000B4E51"/>
    <w:rPr>
      <w:vertAlign w:val="superscript"/>
    </w:rPr>
  </w:style>
  <w:style w:type="character" w:customStyle="1" w:styleId="Refdenotaalpie1">
    <w:name w:val="Ref. de nota al pie1"/>
    <w:rsid w:val="000B4E51"/>
    <w:rPr>
      <w:vertAlign w:val="superscript"/>
    </w:rPr>
  </w:style>
  <w:style w:type="character" w:customStyle="1" w:styleId="Refdecomentario1">
    <w:name w:val="Ref. de comentario1"/>
    <w:rsid w:val="000B4E51"/>
    <w:rPr>
      <w:sz w:val="16"/>
    </w:rPr>
  </w:style>
  <w:style w:type="paragraph" w:customStyle="1" w:styleId="Heading">
    <w:name w:val="Heading"/>
    <w:basedOn w:val="Normal"/>
    <w:next w:val="Textoindependiente"/>
    <w:rsid w:val="000B4E51"/>
    <w:pPr>
      <w:keepNext/>
      <w:suppressAutoHyphens/>
      <w:spacing w:before="240" w:after="120"/>
      <w:ind w:left="0"/>
      <w:jc w:val="both"/>
    </w:pPr>
    <w:rPr>
      <w:rFonts w:ascii="Arial" w:eastAsia="DejaVu Sans" w:hAnsi="Arial" w:cs="DejaVu Sans"/>
      <w:sz w:val="28"/>
      <w:szCs w:val="28"/>
      <w:lang w:val="es-CO" w:eastAsia="ar-SA"/>
    </w:rPr>
  </w:style>
  <w:style w:type="paragraph" w:styleId="Lista">
    <w:name w:val="List"/>
    <w:basedOn w:val="Normal"/>
    <w:rsid w:val="000B4E51"/>
    <w:pPr>
      <w:suppressAutoHyphens/>
      <w:ind w:left="283" w:hanging="283"/>
      <w:jc w:val="both"/>
    </w:pPr>
    <w:rPr>
      <w:rFonts w:ascii="Bookman Old Style" w:hAnsi="Bookman Old Style"/>
      <w:sz w:val="22"/>
      <w:szCs w:val="20"/>
      <w:lang w:val="es-CO" w:eastAsia="ar-SA"/>
    </w:rPr>
  </w:style>
  <w:style w:type="paragraph" w:customStyle="1" w:styleId="Index">
    <w:name w:val="Index"/>
    <w:basedOn w:val="Normal"/>
    <w:rsid w:val="000B4E51"/>
    <w:pPr>
      <w:suppressLineNumbers/>
      <w:suppressAutoHyphens/>
      <w:ind w:left="0"/>
      <w:jc w:val="both"/>
    </w:pPr>
    <w:rPr>
      <w:rFonts w:ascii="Bookman Old Style" w:hAnsi="Bookman Old Style"/>
      <w:sz w:val="22"/>
      <w:szCs w:val="20"/>
      <w:lang w:val="es-CO" w:eastAsia="ar-SA"/>
    </w:rPr>
  </w:style>
  <w:style w:type="paragraph" w:styleId="Ttulodendice">
    <w:name w:val="index heading"/>
    <w:basedOn w:val="Normal"/>
    <w:next w:val="ndice1"/>
    <w:rsid w:val="000B4E51"/>
    <w:pPr>
      <w:suppressAutoHyphens/>
      <w:spacing w:before="120" w:after="120"/>
      <w:ind w:left="0"/>
      <w:jc w:val="both"/>
    </w:pPr>
    <w:rPr>
      <w:b/>
      <w:i/>
      <w:sz w:val="20"/>
      <w:szCs w:val="20"/>
      <w:lang w:val="es-CO" w:eastAsia="ar-SA"/>
    </w:rPr>
  </w:style>
  <w:style w:type="paragraph" w:styleId="ndice2">
    <w:name w:val="index 2"/>
    <w:basedOn w:val="Normal"/>
    <w:next w:val="Normal"/>
    <w:rsid w:val="000B4E51"/>
    <w:pPr>
      <w:suppressAutoHyphens/>
      <w:ind w:left="480" w:hanging="240"/>
      <w:jc w:val="both"/>
    </w:pPr>
    <w:rPr>
      <w:sz w:val="20"/>
      <w:szCs w:val="20"/>
      <w:lang w:val="es-CO" w:eastAsia="ar-SA"/>
    </w:rPr>
  </w:style>
  <w:style w:type="paragraph" w:styleId="ndice3">
    <w:name w:val="index 3"/>
    <w:basedOn w:val="Normal"/>
    <w:next w:val="Normal"/>
    <w:rsid w:val="000B4E51"/>
    <w:pPr>
      <w:suppressAutoHyphens/>
      <w:ind w:left="720" w:hanging="240"/>
      <w:jc w:val="both"/>
    </w:pPr>
    <w:rPr>
      <w:sz w:val="20"/>
      <w:szCs w:val="20"/>
      <w:lang w:val="es-CO" w:eastAsia="ar-SA"/>
    </w:rPr>
  </w:style>
  <w:style w:type="paragraph" w:customStyle="1" w:styleId="Figuras">
    <w:name w:val="Figuras"/>
    <w:basedOn w:val="Textoindependiente"/>
    <w:rsid w:val="000B4E51"/>
    <w:pPr>
      <w:suppressAutoHyphens/>
      <w:ind w:left="0"/>
    </w:pPr>
    <w:rPr>
      <w:rFonts w:cs="Times New Roman"/>
      <w:b w:val="0"/>
      <w:bCs w:val="0"/>
      <w:i/>
      <w:iCs/>
      <w:sz w:val="22"/>
      <w:szCs w:val="20"/>
      <w:lang w:val="es-CO" w:eastAsia="ar-SA"/>
    </w:rPr>
  </w:style>
  <w:style w:type="paragraph" w:customStyle="1" w:styleId="Text">
    <w:name w:val="Text"/>
    <w:basedOn w:val="Normal"/>
    <w:rsid w:val="000B4E51"/>
    <w:pPr>
      <w:suppressLineNumbers/>
      <w:suppressAutoHyphens/>
      <w:spacing w:before="120" w:after="120"/>
      <w:ind w:left="0"/>
      <w:jc w:val="both"/>
    </w:pPr>
    <w:rPr>
      <w:rFonts w:ascii="Bookman Old Style" w:hAnsi="Bookman Old Style"/>
      <w:i/>
      <w:iCs/>
      <w:lang w:val="es-CO" w:eastAsia="ar-SA"/>
    </w:rPr>
  </w:style>
  <w:style w:type="paragraph" w:styleId="Textoindependienteprimerasangra">
    <w:name w:val="Body Text First Indent"/>
    <w:basedOn w:val="Textoindependiente"/>
    <w:link w:val="TextoindependienteprimerasangraCar"/>
    <w:rsid w:val="000B4E51"/>
    <w:pPr>
      <w:suppressAutoHyphens/>
      <w:ind w:left="0" w:firstLine="283"/>
    </w:pPr>
    <w:rPr>
      <w:rFonts w:ascii="Times New Roman" w:hAnsi="Times New Roman" w:cs="Times New Roman"/>
      <w:bCs w:val="0"/>
      <w:i/>
      <w:sz w:val="28"/>
      <w:szCs w:val="20"/>
      <w:lang w:val="es-CO" w:eastAsia="ar-SA"/>
    </w:rPr>
  </w:style>
  <w:style w:type="character" w:customStyle="1" w:styleId="TextoindependienteprimerasangraCar">
    <w:name w:val="Texto independiente primera sangría Car"/>
    <w:link w:val="Textoindependienteprimerasangra"/>
    <w:rsid w:val="000B4E51"/>
    <w:rPr>
      <w:rFonts w:ascii="Arial" w:hAnsi="Arial" w:cs="Arial"/>
      <w:b/>
      <w:bCs w:val="0"/>
      <w:i/>
      <w:sz w:val="28"/>
      <w:szCs w:val="24"/>
      <w:lang w:eastAsia="ar-SA"/>
    </w:rPr>
  </w:style>
  <w:style w:type="paragraph" w:customStyle="1" w:styleId="Notes">
    <w:name w:val="Notes"/>
    <w:rsid w:val="000B4E51"/>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jc w:val="both"/>
    </w:pPr>
    <w:rPr>
      <w:rFonts w:ascii="DejaVu Sans" w:eastAsia="DejaVu Sans" w:hAnsi="DejaVu Sans"/>
      <w:color w:val="000000"/>
      <w:sz w:val="24"/>
      <w:szCs w:val="24"/>
      <w:lang w:eastAsia="es-ES"/>
    </w:rPr>
  </w:style>
  <w:style w:type="paragraph" w:customStyle="1" w:styleId="Tabla">
    <w:name w:val="Tabla"/>
    <w:basedOn w:val="Epgrafe"/>
    <w:link w:val="TablaCar"/>
    <w:qFormat/>
    <w:rsid w:val="000B4E51"/>
    <w:pPr>
      <w:keepNext/>
      <w:widowControl/>
      <w:suppressAutoHyphens/>
      <w:adjustRightInd/>
      <w:spacing w:after="200" w:line="240" w:lineRule="auto"/>
      <w:textAlignment w:val="auto"/>
    </w:pPr>
    <w:rPr>
      <w:b/>
      <w:bCs/>
      <w:iCs/>
    </w:rPr>
  </w:style>
  <w:style w:type="character" w:customStyle="1" w:styleId="TablaCar">
    <w:name w:val="Tabla Car"/>
    <w:link w:val="Tabla"/>
    <w:rsid w:val="000B4E51"/>
    <w:rPr>
      <w:rFonts w:ascii="Arial" w:hAnsi="Arial"/>
      <w:b/>
      <w:bCs/>
      <w:iCs/>
      <w:lang w:val="es-ES" w:eastAsia="es-ES"/>
    </w:rPr>
  </w:style>
  <w:style w:type="paragraph" w:customStyle="1" w:styleId="DatosDocumento">
    <w:name w:val="Datos Documento"/>
    <w:basedOn w:val="Normal"/>
    <w:rsid w:val="000B4E51"/>
    <w:pPr>
      <w:ind w:left="0"/>
      <w:jc w:val="right"/>
    </w:pPr>
    <w:rPr>
      <w:rFonts w:ascii="Arial" w:hAnsi="Arial" w:cs="Arial"/>
      <w:szCs w:val="20"/>
    </w:rPr>
  </w:style>
  <w:style w:type="paragraph" w:customStyle="1" w:styleId="TituloDocumento">
    <w:name w:val="Titulo Documento"/>
    <w:basedOn w:val="Normal"/>
    <w:rsid w:val="000B4E51"/>
    <w:pPr>
      <w:ind w:left="0"/>
      <w:jc w:val="right"/>
    </w:pPr>
    <w:rPr>
      <w:rFonts w:ascii="Arial Black" w:hAnsi="Arial Black" w:cs="Arial"/>
      <w:sz w:val="48"/>
      <w:szCs w:val="20"/>
    </w:rPr>
  </w:style>
  <w:style w:type="paragraph" w:customStyle="1" w:styleId="SubtituloDocumento">
    <w:name w:val="Subtitulo Documento"/>
    <w:basedOn w:val="Normal"/>
    <w:rsid w:val="000B4E51"/>
    <w:pPr>
      <w:ind w:left="0"/>
      <w:jc w:val="right"/>
    </w:pPr>
    <w:rPr>
      <w:rFonts w:ascii="Arial Black" w:hAnsi="Arial Black" w:cs="Arial"/>
      <w:sz w:val="32"/>
      <w:szCs w:val="20"/>
    </w:rPr>
  </w:style>
  <w:style w:type="paragraph" w:customStyle="1" w:styleId="TtuloInforme">
    <w:name w:val="Título Informe"/>
    <w:basedOn w:val="Normal"/>
    <w:next w:val="Normal"/>
    <w:rsid w:val="000B4E51"/>
    <w:pPr>
      <w:spacing w:before="120" w:after="120"/>
      <w:ind w:left="0"/>
      <w:jc w:val="center"/>
    </w:pPr>
    <w:rPr>
      <w:rFonts w:ascii="Arial" w:hAnsi="Arial" w:cs="Arial"/>
      <w:color w:val="FF6309"/>
      <w:sz w:val="28"/>
      <w:szCs w:val="28"/>
    </w:rPr>
  </w:style>
  <w:style w:type="character" w:customStyle="1" w:styleId="TtuloInformeChar">
    <w:name w:val="Título Informe Char"/>
    <w:rsid w:val="000B4E51"/>
    <w:rPr>
      <w:rFonts w:ascii="Arial" w:hAnsi="Arial" w:cs="Arial"/>
      <w:noProof w:val="0"/>
      <w:color w:val="FF6309"/>
      <w:sz w:val="28"/>
      <w:szCs w:val="28"/>
      <w:lang w:val="es-ES" w:eastAsia="es-ES" w:bidi="ar-SA"/>
    </w:rPr>
  </w:style>
  <w:style w:type="paragraph" w:customStyle="1" w:styleId="SubtuloInforme">
    <w:name w:val="Subítulo Informe"/>
    <w:basedOn w:val="Normal"/>
    <w:next w:val="Normal"/>
    <w:rsid w:val="000B4E51"/>
    <w:pPr>
      <w:spacing w:before="120" w:after="120"/>
      <w:ind w:left="0"/>
      <w:jc w:val="both"/>
    </w:pPr>
    <w:rPr>
      <w:rFonts w:ascii="Arial" w:hAnsi="Arial" w:cs="Arial"/>
      <w:color w:val="808080"/>
    </w:rPr>
  </w:style>
  <w:style w:type="character" w:customStyle="1" w:styleId="SubtuloInformeChar">
    <w:name w:val="Subítulo Informe Char"/>
    <w:rsid w:val="000B4E51"/>
    <w:rPr>
      <w:rFonts w:ascii="Arial" w:hAnsi="Arial" w:cs="Arial"/>
      <w:noProof w:val="0"/>
      <w:color w:val="808080"/>
      <w:sz w:val="24"/>
      <w:szCs w:val="24"/>
      <w:lang w:val="es-ES" w:eastAsia="es-ES" w:bidi="ar-SA"/>
    </w:rPr>
  </w:style>
  <w:style w:type="paragraph" w:customStyle="1" w:styleId="EstiloEpgrafeCentrado">
    <w:name w:val="Estilo Epígrafe + Centrado"/>
    <w:basedOn w:val="Epgrafe"/>
    <w:autoRedefine/>
    <w:rsid w:val="000B4E51"/>
    <w:pPr>
      <w:widowControl/>
      <w:adjustRightInd/>
      <w:spacing w:before="0" w:after="240" w:line="240" w:lineRule="auto"/>
      <w:textAlignment w:val="auto"/>
    </w:pPr>
    <w:rPr>
      <w:i/>
      <w:iCs/>
      <w:color w:val="808080"/>
    </w:rPr>
  </w:style>
  <w:style w:type="paragraph" w:styleId="Tabladeilustraciones">
    <w:name w:val="table of figures"/>
    <w:basedOn w:val="Normal"/>
    <w:next w:val="Normal"/>
    <w:rsid w:val="000B4E51"/>
    <w:pPr>
      <w:spacing w:before="120" w:after="120"/>
      <w:ind w:left="0"/>
      <w:jc w:val="both"/>
    </w:pPr>
    <w:rPr>
      <w:rFonts w:ascii="Arial" w:hAnsi="Arial" w:cs="Arial"/>
      <w:sz w:val="20"/>
      <w:szCs w:val="20"/>
    </w:rPr>
  </w:style>
  <w:style w:type="paragraph" w:customStyle="1" w:styleId="CUERPOTEXTO">
    <w:name w:val="CUERPO TEXTO"/>
    <w:rsid w:val="000B4E51"/>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paragraph" w:styleId="Revisin">
    <w:name w:val="Revision"/>
    <w:hidden/>
    <w:uiPriority w:val="99"/>
    <w:semiHidden/>
    <w:rsid w:val="000B4E51"/>
    <w:rPr>
      <w:rFonts w:ascii="Bookman Old Style" w:hAnsi="Bookman Old Style"/>
      <w:sz w:val="24"/>
      <w:szCs w:val="24"/>
      <w:lang w:val="es-ES" w:eastAsia="es-ES"/>
    </w:rPr>
  </w:style>
  <w:style w:type="paragraph" w:styleId="Saludo">
    <w:name w:val="Salutation"/>
    <w:basedOn w:val="Normal"/>
    <w:next w:val="Normal"/>
    <w:link w:val="SaludoCar"/>
    <w:uiPriority w:val="99"/>
    <w:unhideWhenUsed/>
    <w:rsid w:val="000B4E51"/>
    <w:pPr>
      <w:widowControl w:val="0"/>
      <w:adjustRightInd w:val="0"/>
      <w:spacing w:before="240" w:after="240"/>
      <w:ind w:left="0"/>
      <w:jc w:val="both"/>
      <w:textAlignment w:val="baseline"/>
    </w:pPr>
    <w:rPr>
      <w:rFonts w:ascii="Bookman Old Style" w:hAnsi="Bookman Old Style"/>
      <w:lang w:val="es-CO"/>
    </w:rPr>
  </w:style>
  <w:style w:type="character" w:customStyle="1" w:styleId="SaludoCar">
    <w:name w:val="Saludo Car"/>
    <w:link w:val="Saludo"/>
    <w:uiPriority w:val="99"/>
    <w:rsid w:val="000B4E51"/>
    <w:rPr>
      <w:rFonts w:ascii="Bookman Old Style" w:hAnsi="Bookman Old Style"/>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2706355">
      <w:bodyDiv w:val="1"/>
      <w:marLeft w:val="0"/>
      <w:marRight w:val="0"/>
      <w:marTop w:val="0"/>
      <w:marBottom w:val="0"/>
      <w:divBdr>
        <w:top w:val="none" w:sz="0" w:space="0" w:color="auto"/>
        <w:left w:val="none" w:sz="0" w:space="0" w:color="auto"/>
        <w:bottom w:val="none" w:sz="0" w:space="0" w:color="auto"/>
        <w:right w:val="none" w:sz="0" w:space="0" w:color="auto"/>
      </w:divBdr>
    </w:div>
    <w:div w:id="1295405369">
      <w:bodyDiv w:val="1"/>
      <w:marLeft w:val="0"/>
      <w:marRight w:val="0"/>
      <w:marTop w:val="0"/>
      <w:marBottom w:val="0"/>
      <w:divBdr>
        <w:top w:val="none" w:sz="0" w:space="0" w:color="auto"/>
        <w:left w:val="none" w:sz="0" w:space="0" w:color="auto"/>
        <w:bottom w:val="none" w:sz="0" w:space="0" w:color="auto"/>
        <w:right w:val="none" w:sz="0" w:space="0" w:color="auto"/>
      </w:divBdr>
    </w:div>
    <w:div w:id="1401054214">
      <w:bodyDiv w:val="1"/>
      <w:marLeft w:val="0"/>
      <w:marRight w:val="0"/>
      <w:marTop w:val="0"/>
      <w:marBottom w:val="0"/>
      <w:divBdr>
        <w:top w:val="none" w:sz="0" w:space="0" w:color="auto"/>
        <w:left w:val="none" w:sz="0" w:space="0" w:color="auto"/>
        <w:bottom w:val="none" w:sz="0" w:space="0" w:color="auto"/>
        <w:right w:val="none" w:sz="0" w:space="0" w:color="auto"/>
      </w:divBdr>
    </w:div>
    <w:div w:id="1634824749">
      <w:bodyDiv w:val="1"/>
      <w:marLeft w:val="0"/>
      <w:marRight w:val="0"/>
      <w:marTop w:val="0"/>
      <w:marBottom w:val="0"/>
      <w:divBdr>
        <w:top w:val="none" w:sz="0" w:space="0" w:color="auto"/>
        <w:left w:val="none" w:sz="0" w:space="0" w:color="auto"/>
        <w:bottom w:val="none" w:sz="0" w:space="0" w:color="auto"/>
        <w:right w:val="none" w:sz="0" w:space="0" w:color="auto"/>
      </w:divBdr>
    </w:div>
    <w:div w:id="1674726452">
      <w:bodyDiv w:val="1"/>
      <w:marLeft w:val="0"/>
      <w:marRight w:val="0"/>
      <w:marTop w:val="0"/>
      <w:marBottom w:val="0"/>
      <w:divBdr>
        <w:top w:val="none" w:sz="0" w:space="0" w:color="auto"/>
        <w:left w:val="none" w:sz="0" w:space="0" w:color="auto"/>
        <w:bottom w:val="none" w:sz="0" w:space="0" w:color="auto"/>
        <w:right w:val="none" w:sz="0" w:space="0" w:color="auto"/>
      </w:divBdr>
    </w:div>
    <w:div w:id="1802305680">
      <w:bodyDiv w:val="1"/>
      <w:marLeft w:val="0"/>
      <w:marRight w:val="0"/>
      <w:marTop w:val="0"/>
      <w:marBottom w:val="0"/>
      <w:divBdr>
        <w:top w:val="none" w:sz="0" w:space="0" w:color="auto"/>
        <w:left w:val="none" w:sz="0" w:space="0" w:color="auto"/>
        <w:bottom w:val="none" w:sz="0" w:space="0" w:color="auto"/>
        <w:right w:val="none" w:sz="0" w:space="0" w:color="auto"/>
      </w:divBdr>
    </w:div>
    <w:div w:id="1849908953">
      <w:bodyDiv w:val="1"/>
      <w:marLeft w:val="0"/>
      <w:marRight w:val="0"/>
      <w:marTop w:val="0"/>
      <w:marBottom w:val="0"/>
      <w:divBdr>
        <w:top w:val="none" w:sz="0" w:space="0" w:color="auto"/>
        <w:left w:val="none" w:sz="0" w:space="0" w:color="auto"/>
        <w:bottom w:val="none" w:sz="0" w:space="0" w:color="auto"/>
        <w:right w:val="none" w:sz="0" w:space="0" w:color="auto"/>
      </w:divBdr>
    </w:div>
    <w:div w:id="2002542419">
      <w:bodyDiv w:val="1"/>
      <w:marLeft w:val="0"/>
      <w:marRight w:val="0"/>
      <w:marTop w:val="0"/>
      <w:marBottom w:val="0"/>
      <w:divBdr>
        <w:top w:val="none" w:sz="0" w:space="0" w:color="auto"/>
        <w:left w:val="none" w:sz="0" w:space="0" w:color="auto"/>
        <w:bottom w:val="none" w:sz="0" w:space="0" w:color="auto"/>
        <w:right w:val="none" w:sz="0" w:space="0" w:color="auto"/>
      </w:divBdr>
    </w:div>
    <w:div w:id="2071534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E35C2C-481E-49F8-8271-9612E2CAA8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9</Pages>
  <Words>2796</Words>
  <Characters>14233</Characters>
  <Application>Microsoft Office Word</Application>
  <DocSecurity>0</DocSecurity>
  <Lines>118</Lines>
  <Paragraphs>33</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16996</CharactersWithSpaces>
  <SharedDoc>false</SharedDoc>
  <HLinks>
    <vt:vector size="300" baseType="variant">
      <vt:variant>
        <vt:i4>1310768</vt:i4>
      </vt:variant>
      <vt:variant>
        <vt:i4>443</vt:i4>
      </vt:variant>
      <vt:variant>
        <vt:i4>0</vt:i4>
      </vt:variant>
      <vt:variant>
        <vt:i4>5</vt:i4>
      </vt:variant>
      <vt:variant>
        <vt:lpwstr/>
      </vt:variant>
      <vt:variant>
        <vt:lpwstr>_Toc310577409</vt:lpwstr>
      </vt:variant>
      <vt:variant>
        <vt:i4>1310768</vt:i4>
      </vt:variant>
      <vt:variant>
        <vt:i4>437</vt:i4>
      </vt:variant>
      <vt:variant>
        <vt:i4>0</vt:i4>
      </vt:variant>
      <vt:variant>
        <vt:i4>5</vt:i4>
      </vt:variant>
      <vt:variant>
        <vt:lpwstr/>
      </vt:variant>
      <vt:variant>
        <vt:lpwstr>_Toc310577408</vt:lpwstr>
      </vt:variant>
      <vt:variant>
        <vt:i4>1310768</vt:i4>
      </vt:variant>
      <vt:variant>
        <vt:i4>431</vt:i4>
      </vt:variant>
      <vt:variant>
        <vt:i4>0</vt:i4>
      </vt:variant>
      <vt:variant>
        <vt:i4>5</vt:i4>
      </vt:variant>
      <vt:variant>
        <vt:lpwstr/>
      </vt:variant>
      <vt:variant>
        <vt:lpwstr>_Toc310577407</vt:lpwstr>
      </vt:variant>
      <vt:variant>
        <vt:i4>1310768</vt:i4>
      </vt:variant>
      <vt:variant>
        <vt:i4>425</vt:i4>
      </vt:variant>
      <vt:variant>
        <vt:i4>0</vt:i4>
      </vt:variant>
      <vt:variant>
        <vt:i4>5</vt:i4>
      </vt:variant>
      <vt:variant>
        <vt:lpwstr/>
      </vt:variant>
      <vt:variant>
        <vt:lpwstr>_Toc310577406</vt:lpwstr>
      </vt:variant>
      <vt:variant>
        <vt:i4>1310768</vt:i4>
      </vt:variant>
      <vt:variant>
        <vt:i4>419</vt:i4>
      </vt:variant>
      <vt:variant>
        <vt:i4>0</vt:i4>
      </vt:variant>
      <vt:variant>
        <vt:i4>5</vt:i4>
      </vt:variant>
      <vt:variant>
        <vt:lpwstr/>
      </vt:variant>
      <vt:variant>
        <vt:lpwstr>_Toc310577405</vt:lpwstr>
      </vt:variant>
      <vt:variant>
        <vt:i4>1310768</vt:i4>
      </vt:variant>
      <vt:variant>
        <vt:i4>413</vt:i4>
      </vt:variant>
      <vt:variant>
        <vt:i4>0</vt:i4>
      </vt:variant>
      <vt:variant>
        <vt:i4>5</vt:i4>
      </vt:variant>
      <vt:variant>
        <vt:lpwstr/>
      </vt:variant>
      <vt:variant>
        <vt:lpwstr>_Toc310577404</vt:lpwstr>
      </vt:variant>
      <vt:variant>
        <vt:i4>1310768</vt:i4>
      </vt:variant>
      <vt:variant>
        <vt:i4>407</vt:i4>
      </vt:variant>
      <vt:variant>
        <vt:i4>0</vt:i4>
      </vt:variant>
      <vt:variant>
        <vt:i4>5</vt:i4>
      </vt:variant>
      <vt:variant>
        <vt:lpwstr/>
      </vt:variant>
      <vt:variant>
        <vt:lpwstr>_Toc310577403</vt:lpwstr>
      </vt:variant>
      <vt:variant>
        <vt:i4>1310768</vt:i4>
      </vt:variant>
      <vt:variant>
        <vt:i4>401</vt:i4>
      </vt:variant>
      <vt:variant>
        <vt:i4>0</vt:i4>
      </vt:variant>
      <vt:variant>
        <vt:i4>5</vt:i4>
      </vt:variant>
      <vt:variant>
        <vt:lpwstr/>
      </vt:variant>
      <vt:variant>
        <vt:lpwstr>_Toc310577402</vt:lpwstr>
      </vt:variant>
      <vt:variant>
        <vt:i4>1310768</vt:i4>
      </vt:variant>
      <vt:variant>
        <vt:i4>395</vt:i4>
      </vt:variant>
      <vt:variant>
        <vt:i4>0</vt:i4>
      </vt:variant>
      <vt:variant>
        <vt:i4>5</vt:i4>
      </vt:variant>
      <vt:variant>
        <vt:lpwstr/>
      </vt:variant>
      <vt:variant>
        <vt:lpwstr>_Toc310577401</vt:lpwstr>
      </vt:variant>
      <vt:variant>
        <vt:i4>1310768</vt:i4>
      </vt:variant>
      <vt:variant>
        <vt:i4>389</vt:i4>
      </vt:variant>
      <vt:variant>
        <vt:i4>0</vt:i4>
      </vt:variant>
      <vt:variant>
        <vt:i4>5</vt:i4>
      </vt:variant>
      <vt:variant>
        <vt:lpwstr/>
      </vt:variant>
      <vt:variant>
        <vt:lpwstr>_Toc310577400</vt:lpwstr>
      </vt:variant>
      <vt:variant>
        <vt:i4>1900599</vt:i4>
      </vt:variant>
      <vt:variant>
        <vt:i4>383</vt:i4>
      </vt:variant>
      <vt:variant>
        <vt:i4>0</vt:i4>
      </vt:variant>
      <vt:variant>
        <vt:i4>5</vt:i4>
      </vt:variant>
      <vt:variant>
        <vt:lpwstr/>
      </vt:variant>
      <vt:variant>
        <vt:lpwstr>_Toc310577399</vt:lpwstr>
      </vt:variant>
      <vt:variant>
        <vt:i4>1900599</vt:i4>
      </vt:variant>
      <vt:variant>
        <vt:i4>377</vt:i4>
      </vt:variant>
      <vt:variant>
        <vt:i4>0</vt:i4>
      </vt:variant>
      <vt:variant>
        <vt:i4>5</vt:i4>
      </vt:variant>
      <vt:variant>
        <vt:lpwstr/>
      </vt:variant>
      <vt:variant>
        <vt:lpwstr>_Toc310577398</vt:lpwstr>
      </vt:variant>
      <vt:variant>
        <vt:i4>1900599</vt:i4>
      </vt:variant>
      <vt:variant>
        <vt:i4>371</vt:i4>
      </vt:variant>
      <vt:variant>
        <vt:i4>0</vt:i4>
      </vt:variant>
      <vt:variant>
        <vt:i4>5</vt:i4>
      </vt:variant>
      <vt:variant>
        <vt:lpwstr/>
      </vt:variant>
      <vt:variant>
        <vt:lpwstr>_Toc310577397</vt:lpwstr>
      </vt:variant>
      <vt:variant>
        <vt:i4>1900599</vt:i4>
      </vt:variant>
      <vt:variant>
        <vt:i4>365</vt:i4>
      </vt:variant>
      <vt:variant>
        <vt:i4>0</vt:i4>
      </vt:variant>
      <vt:variant>
        <vt:i4>5</vt:i4>
      </vt:variant>
      <vt:variant>
        <vt:lpwstr/>
      </vt:variant>
      <vt:variant>
        <vt:lpwstr>_Toc310577396</vt:lpwstr>
      </vt:variant>
      <vt:variant>
        <vt:i4>1900599</vt:i4>
      </vt:variant>
      <vt:variant>
        <vt:i4>359</vt:i4>
      </vt:variant>
      <vt:variant>
        <vt:i4>0</vt:i4>
      </vt:variant>
      <vt:variant>
        <vt:i4>5</vt:i4>
      </vt:variant>
      <vt:variant>
        <vt:lpwstr/>
      </vt:variant>
      <vt:variant>
        <vt:lpwstr>_Toc310577395</vt:lpwstr>
      </vt:variant>
      <vt:variant>
        <vt:i4>1900599</vt:i4>
      </vt:variant>
      <vt:variant>
        <vt:i4>353</vt:i4>
      </vt:variant>
      <vt:variant>
        <vt:i4>0</vt:i4>
      </vt:variant>
      <vt:variant>
        <vt:i4>5</vt:i4>
      </vt:variant>
      <vt:variant>
        <vt:lpwstr/>
      </vt:variant>
      <vt:variant>
        <vt:lpwstr>_Toc310577394</vt:lpwstr>
      </vt:variant>
      <vt:variant>
        <vt:i4>1900599</vt:i4>
      </vt:variant>
      <vt:variant>
        <vt:i4>347</vt:i4>
      </vt:variant>
      <vt:variant>
        <vt:i4>0</vt:i4>
      </vt:variant>
      <vt:variant>
        <vt:i4>5</vt:i4>
      </vt:variant>
      <vt:variant>
        <vt:lpwstr/>
      </vt:variant>
      <vt:variant>
        <vt:lpwstr>_Toc310577393</vt:lpwstr>
      </vt:variant>
      <vt:variant>
        <vt:i4>1900599</vt:i4>
      </vt:variant>
      <vt:variant>
        <vt:i4>341</vt:i4>
      </vt:variant>
      <vt:variant>
        <vt:i4>0</vt:i4>
      </vt:variant>
      <vt:variant>
        <vt:i4>5</vt:i4>
      </vt:variant>
      <vt:variant>
        <vt:lpwstr/>
      </vt:variant>
      <vt:variant>
        <vt:lpwstr>_Toc310577392</vt:lpwstr>
      </vt:variant>
      <vt:variant>
        <vt:i4>1900599</vt:i4>
      </vt:variant>
      <vt:variant>
        <vt:i4>335</vt:i4>
      </vt:variant>
      <vt:variant>
        <vt:i4>0</vt:i4>
      </vt:variant>
      <vt:variant>
        <vt:i4>5</vt:i4>
      </vt:variant>
      <vt:variant>
        <vt:lpwstr/>
      </vt:variant>
      <vt:variant>
        <vt:lpwstr>_Toc310577391</vt:lpwstr>
      </vt:variant>
      <vt:variant>
        <vt:i4>1900599</vt:i4>
      </vt:variant>
      <vt:variant>
        <vt:i4>329</vt:i4>
      </vt:variant>
      <vt:variant>
        <vt:i4>0</vt:i4>
      </vt:variant>
      <vt:variant>
        <vt:i4>5</vt:i4>
      </vt:variant>
      <vt:variant>
        <vt:lpwstr/>
      </vt:variant>
      <vt:variant>
        <vt:lpwstr>_Toc310577390</vt:lpwstr>
      </vt:variant>
      <vt:variant>
        <vt:i4>1835063</vt:i4>
      </vt:variant>
      <vt:variant>
        <vt:i4>323</vt:i4>
      </vt:variant>
      <vt:variant>
        <vt:i4>0</vt:i4>
      </vt:variant>
      <vt:variant>
        <vt:i4>5</vt:i4>
      </vt:variant>
      <vt:variant>
        <vt:lpwstr/>
      </vt:variant>
      <vt:variant>
        <vt:lpwstr>_Toc310577389</vt:lpwstr>
      </vt:variant>
      <vt:variant>
        <vt:i4>1835063</vt:i4>
      </vt:variant>
      <vt:variant>
        <vt:i4>317</vt:i4>
      </vt:variant>
      <vt:variant>
        <vt:i4>0</vt:i4>
      </vt:variant>
      <vt:variant>
        <vt:i4>5</vt:i4>
      </vt:variant>
      <vt:variant>
        <vt:lpwstr/>
      </vt:variant>
      <vt:variant>
        <vt:lpwstr>_Toc310577388</vt:lpwstr>
      </vt:variant>
      <vt:variant>
        <vt:i4>1835063</vt:i4>
      </vt:variant>
      <vt:variant>
        <vt:i4>311</vt:i4>
      </vt:variant>
      <vt:variant>
        <vt:i4>0</vt:i4>
      </vt:variant>
      <vt:variant>
        <vt:i4>5</vt:i4>
      </vt:variant>
      <vt:variant>
        <vt:lpwstr/>
      </vt:variant>
      <vt:variant>
        <vt:lpwstr>_Toc310577387</vt:lpwstr>
      </vt:variant>
      <vt:variant>
        <vt:i4>1835063</vt:i4>
      </vt:variant>
      <vt:variant>
        <vt:i4>305</vt:i4>
      </vt:variant>
      <vt:variant>
        <vt:i4>0</vt:i4>
      </vt:variant>
      <vt:variant>
        <vt:i4>5</vt:i4>
      </vt:variant>
      <vt:variant>
        <vt:lpwstr/>
      </vt:variant>
      <vt:variant>
        <vt:lpwstr>_Toc310577386</vt:lpwstr>
      </vt:variant>
      <vt:variant>
        <vt:i4>1835063</vt:i4>
      </vt:variant>
      <vt:variant>
        <vt:i4>299</vt:i4>
      </vt:variant>
      <vt:variant>
        <vt:i4>0</vt:i4>
      </vt:variant>
      <vt:variant>
        <vt:i4>5</vt:i4>
      </vt:variant>
      <vt:variant>
        <vt:lpwstr/>
      </vt:variant>
      <vt:variant>
        <vt:lpwstr>_Toc310577385</vt:lpwstr>
      </vt:variant>
      <vt:variant>
        <vt:i4>1835063</vt:i4>
      </vt:variant>
      <vt:variant>
        <vt:i4>293</vt:i4>
      </vt:variant>
      <vt:variant>
        <vt:i4>0</vt:i4>
      </vt:variant>
      <vt:variant>
        <vt:i4>5</vt:i4>
      </vt:variant>
      <vt:variant>
        <vt:lpwstr/>
      </vt:variant>
      <vt:variant>
        <vt:lpwstr>_Toc310577384</vt:lpwstr>
      </vt:variant>
      <vt:variant>
        <vt:i4>1835063</vt:i4>
      </vt:variant>
      <vt:variant>
        <vt:i4>287</vt:i4>
      </vt:variant>
      <vt:variant>
        <vt:i4>0</vt:i4>
      </vt:variant>
      <vt:variant>
        <vt:i4>5</vt:i4>
      </vt:variant>
      <vt:variant>
        <vt:lpwstr/>
      </vt:variant>
      <vt:variant>
        <vt:lpwstr>_Toc310577383</vt:lpwstr>
      </vt:variant>
      <vt:variant>
        <vt:i4>1835063</vt:i4>
      </vt:variant>
      <vt:variant>
        <vt:i4>281</vt:i4>
      </vt:variant>
      <vt:variant>
        <vt:i4>0</vt:i4>
      </vt:variant>
      <vt:variant>
        <vt:i4>5</vt:i4>
      </vt:variant>
      <vt:variant>
        <vt:lpwstr/>
      </vt:variant>
      <vt:variant>
        <vt:lpwstr>_Toc310577382</vt:lpwstr>
      </vt:variant>
      <vt:variant>
        <vt:i4>1835063</vt:i4>
      </vt:variant>
      <vt:variant>
        <vt:i4>275</vt:i4>
      </vt:variant>
      <vt:variant>
        <vt:i4>0</vt:i4>
      </vt:variant>
      <vt:variant>
        <vt:i4>5</vt:i4>
      </vt:variant>
      <vt:variant>
        <vt:lpwstr/>
      </vt:variant>
      <vt:variant>
        <vt:lpwstr>_Toc310577381</vt:lpwstr>
      </vt:variant>
      <vt:variant>
        <vt:i4>1835063</vt:i4>
      </vt:variant>
      <vt:variant>
        <vt:i4>269</vt:i4>
      </vt:variant>
      <vt:variant>
        <vt:i4>0</vt:i4>
      </vt:variant>
      <vt:variant>
        <vt:i4>5</vt:i4>
      </vt:variant>
      <vt:variant>
        <vt:lpwstr/>
      </vt:variant>
      <vt:variant>
        <vt:lpwstr>_Toc310577380</vt:lpwstr>
      </vt:variant>
      <vt:variant>
        <vt:i4>1245239</vt:i4>
      </vt:variant>
      <vt:variant>
        <vt:i4>263</vt:i4>
      </vt:variant>
      <vt:variant>
        <vt:i4>0</vt:i4>
      </vt:variant>
      <vt:variant>
        <vt:i4>5</vt:i4>
      </vt:variant>
      <vt:variant>
        <vt:lpwstr/>
      </vt:variant>
      <vt:variant>
        <vt:lpwstr>_Toc310577379</vt:lpwstr>
      </vt:variant>
      <vt:variant>
        <vt:i4>1245239</vt:i4>
      </vt:variant>
      <vt:variant>
        <vt:i4>257</vt:i4>
      </vt:variant>
      <vt:variant>
        <vt:i4>0</vt:i4>
      </vt:variant>
      <vt:variant>
        <vt:i4>5</vt:i4>
      </vt:variant>
      <vt:variant>
        <vt:lpwstr/>
      </vt:variant>
      <vt:variant>
        <vt:lpwstr>_Toc310577378</vt:lpwstr>
      </vt:variant>
      <vt:variant>
        <vt:i4>1245239</vt:i4>
      </vt:variant>
      <vt:variant>
        <vt:i4>251</vt:i4>
      </vt:variant>
      <vt:variant>
        <vt:i4>0</vt:i4>
      </vt:variant>
      <vt:variant>
        <vt:i4>5</vt:i4>
      </vt:variant>
      <vt:variant>
        <vt:lpwstr/>
      </vt:variant>
      <vt:variant>
        <vt:lpwstr>_Toc310577377</vt:lpwstr>
      </vt:variant>
      <vt:variant>
        <vt:i4>1245239</vt:i4>
      </vt:variant>
      <vt:variant>
        <vt:i4>245</vt:i4>
      </vt:variant>
      <vt:variant>
        <vt:i4>0</vt:i4>
      </vt:variant>
      <vt:variant>
        <vt:i4>5</vt:i4>
      </vt:variant>
      <vt:variant>
        <vt:lpwstr/>
      </vt:variant>
      <vt:variant>
        <vt:lpwstr>_Toc310577376</vt:lpwstr>
      </vt:variant>
      <vt:variant>
        <vt:i4>1245239</vt:i4>
      </vt:variant>
      <vt:variant>
        <vt:i4>239</vt:i4>
      </vt:variant>
      <vt:variant>
        <vt:i4>0</vt:i4>
      </vt:variant>
      <vt:variant>
        <vt:i4>5</vt:i4>
      </vt:variant>
      <vt:variant>
        <vt:lpwstr/>
      </vt:variant>
      <vt:variant>
        <vt:lpwstr>_Toc310577375</vt:lpwstr>
      </vt:variant>
      <vt:variant>
        <vt:i4>1245239</vt:i4>
      </vt:variant>
      <vt:variant>
        <vt:i4>233</vt:i4>
      </vt:variant>
      <vt:variant>
        <vt:i4>0</vt:i4>
      </vt:variant>
      <vt:variant>
        <vt:i4>5</vt:i4>
      </vt:variant>
      <vt:variant>
        <vt:lpwstr/>
      </vt:variant>
      <vt:variant>
        <vt:lpwstr>_Toc310577374</vt:lpwstr>
      </vt:variant>
      <vt:variant>
        <vt:i4>1245239</vt:i4>
      </vt:variant>
      <vt:variant>
        <vt:i4>227</vt:i4>
      </vt:variant>
      <vt:variant>
        <vt:i4>0</vt:i4>
      </vt:variant>
      <vt:variant>
        <vt:i4>5</vt:i4>
      </vt:variant>
      <vt:variant>
        <vt:lpwstr/>
      </vt:variant>
      <vt:variant>
        <vt:lpwstr>_Toc310577373</vt:lpwstr>
      </vt:variant>
      <vt:variant>
        <vt:i4>1245239</vt:i4>
      </vt:variant>
      <vt:variant>
        <vt:i4>221</vt:i4>
      </vt:variant>
      <vt:variant>
        <vt:i4>0</vt:i4>
      </vt:variant>
      <vt:variant>
        <vt:i4>5</vt:i4>
      </vt:variant>
      <vt:variant>
        <vt:lpwstr/>
      </vt:variant>
      <vt:variant>
        <vt:lpwstr>_Toc310577372</vt:lpwstr>
      </vt:variant>
      <vt:variant>
        <vt:i4>1245239</vt:i4>
      </vt:variant>
      <vt:variant>
        <vt:i4>215</vt:i4>
      </vt:variant>
      <vt:variant>
        <vt:i4>0</vt:i4>
      </vt:variant>
      <vt:variant>
        <vt:i4>5</vt:i4>
      </vt:variant>
      <vt:variant>
        <vt:lpwstr/>
      </vt:variant>
      <vt:variant>
        <vt:lpwstr>_Toc310577371</vt:lpwstr>
      </vt:variant>
      <vt:variant>
        <vt:i4>1245239</vt:i4>
      </vt:variant>
      <vt:variant>
        <vt:i4>209</vt:i4>
      </vt:variant>
      <vt:variant>
        <vt:i4>0</vt:i4>
      </vt:variant>
      <vt:variant>
        <vt:i4>5</vt:i4>
      </vt:variant>
      <vt:variant>
        <vt:lpwstr/>
      </vt:variant>
      <vt:variant>
        <vt:lpwstr>_Toc310577370</vt:lpwstr>
      </vt:variant>
      <vt:variant>
        <vt:i4>1179703</vt:i4>
      </vt:variant>
      <vt:variant>
        <vt:i4>203</vt:i4>
      </vt:variant>
      <vt:variant>
        <vt:i4>0</vt:i4>
      </vt:variant>
      <vt:variant>
        <vt:i4>5</vt:i4>
      </vt:variant>
      <vt:variant>
        <vt:lpwstr/>
      </vt:variant>
      <vt:variant>
        <vt:lpwstr>_Toc310577369</vt:lpwstr>
      </vt:variant>
      <vt:variant>
        <vt:i4>1179703</vt:i4>
      </vt:variant>
      <vt:variant>
        <vt:i4>197</vt:i4>
      </vt:variant>
      <vt:variant>
        <vt:i4>0</vt:i4>
      </vt:variant>
      <vt:variant>
        <vt:i4>5</vt:i4>
      </vt:variant>
      <vt:variant>
        <vt:lpwstr/>
      </vt:variant>
      <vt:variant>
        <vt:lpwstr>_Toc310577368</vt:lpwstr>
      </vt:variant>
      <vt:variant>
        <vt:i4>1179703</vt:i4>
      </vt:variant>
      <vt:variant>
        <vt:i4>191</vt:i4>
      </vt:variant>
      <vt:variant>
        <vt:i4>0</vt:i4>
      </vt:variant>
      <vt:variant>
        <vt:i4>5</vt:i4>
      </vt:variant>
      <vt:variant>
        <vt:lpwstr/>
      </vt:variant>
      <vt:variant>
        <vt:lpwstr>_Toc310577367</vt:lpwstr>
      </vt:variant>
      <vt:variant>
        <vt:i4>1179703</vt:i4>
      </vt:variant>
      <vt:variant>
        <vt:i4>185</vt:i4>
      </vt:variant>
      <vt:variant>
        <vt:i4>0</vt:i4>
      </vt:variant>
      <vt:variant>
        <vt:i4>5</vt:i4>
      </vt:variant>
      <vt:variant>
        <vt:lpwstr/>
      </vt:variant>
      <vt:variant>
        <vt:lpwstr>_Toc310577366</vt:lpwstr>
      </vt:variant>
      <vt:variant>
        <vt:i4>1179703</vt:i4>
      </vt:variant>
      <vt:variant>
        <vt:i4>179</vt:i4>
      </vt:variant>
      <vt:variant>
        <vt:i4>0</vt:i4>
      </vt:variant>
      <vt:variant>
        <vt:i4>5</vt:i4>
      </vt:variant>
      <vt:variant>
        <vt:lpwstr/>
      </vt:variant>
      <vt:variant>
        <vt:lpwstr>_Toc310577365</vt:lpwstr>
      </vt:variant>
      <vt:variant>
        <vt:i4>1179703</vt:i4>
      </vt:variant>
      <vt:variant>
        <vt:i4>173</vt:i4>
      </vt:variant>
      <vt:variant>
        <vt:i4>0</vt:i4>
      </vt:variant>
      <vt:variant>
        <vt:i4>5</vt:i4>
      </vt:variant>
      <vt:variant>
        <vt:lpwstr/>
      </vt:variant>
      <vt:variant>
        <vt:lpwstr>_Toc310577364</vt:lpwstr>
      </vt:variant>
      <vt:variant>
        <vt:i4>1179703</vt:i4>
      </vt:variant>
      <vt:variant>
        <vt:i4>167</vt:i4>
      </vt:variant>
      <vt:variant>
        <vt:i4>0</vt:i4>
      </vt:variant>
      <vt:variant>
        <vt:i4>5</vt:i4>
      </vt:variant>
      <vt:variant>
        <vt:lpwstr/>
      </vt:variant>
      <vt:variant>
        <vt:lpwstr>_Toc310577363</vt:lpwstr>
      </vt:variant>
      <vt:variant>
        <vt:i4>1179703</vt:i4>
      </vt:variant>
      <vt:variant>
        <vt:i4>161</vt:i4>
      </vt:variant>
      <vt:variant>
        <vt:i4>0</vt:i4>
      </vt:variant>
      <vt:variant>
        <vt:i4>5</vt:i4>
      </vt:variant>
      <vt:variant>
        <vt:lpwstr/>
      </vt:variant>
      <vt:variant>
        <vt:lpwstr>_Toc310577362</vt:lpwstr>
      </vt:variant>
      <vt:variant>
        <vt:i4>1179703</vt:i4>
      </vt:variant>
      <vt:variant>
        <vt:i4>155</vt:i4>
      </vt:variant>
      <vt:variant>
        <vt:i4>0</vt:i4>
      </vt:variant>
      <vt:variant>
        <vt:i4>5</vt:i4>
      </vt:variant>
      <vt:variant>
        <vt:lpwstr/>
      </vt:variant>
      <vt:variant>
        <vt:lpwstr>_Toc310577361</vt:lpwstr>
      </vt:variant>
      <vt:variant>
        <vt:i4>1179703</vt:i4>
      </vt:variant>
      <vt:variant>
        <vt:i4>149</vt:i4>
      </vt:variant>
      <vt:variant>
        <vt:i4>0</vt:i4>
      </vt:variant>
      <vt:variant>
        <vt:i4>5</vt:i4>
      </vt:variant>
      <vt:variant>
        <vt:lpwstr/>
      </vt:variant>
      <vt:variant>
        <vt:lpwstr>_Toc310577360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3</cp:revision>
  <cp:lastPrinted>2012-03-16T14:55:00Z</cp:lastPrinted>
  <dcterms:created xsi:type="dcterms:W3CDTF">2012-03-22T13:12:00Z</dcterms:created>
  <dcterms:modified xsi:type="dcterms:W3CDTF">2012-03-22T13:12:00Z</dcterms:modified>
</cp:coreProperties>
</file>