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6DE87" w14:textId="77777777" w:rsidR="00625DC6" w:rsidRPr="00E060BE" w:rsidRDefault="00DD42CA"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w14:anchorId="42389A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3.65pt;margin-top:-53.35pt;width:45.75pt;height:48.75pt;z-index:251657728" fillcolor="#0c9">
            <v:imagedata r:id="rId8" o:title="" cropright="8426f"/>
          </v:shape>
          <o:OLEObject Type="Embed" ProgID="PBrush" ShapeID="_x0000_s1026" DrawAspect="Content" ObjectID="_1620047979" r:id="rId9"/>
        </w:object>
      </w:r>
    </w:p>
    <w:p w14:paraId="01875467" w14:textId="77777777" w:rsidR="00CA77FB" w:rsidRPr="008A165F" w:rsidRDefault="00CA77FB" w:rsidP="008A165F">
      <w:pPr>
        <w:widowControl w:val="0"/>
        <w:adjustRightInd w:val="0"/>
        <w:ind w:left="0" w:right="20"/>
        <w:jc w:val="center"/>
        <w:rPr>
          <w:rFonts w:ascii="Bookman Old Style" w:hAnsi="Bookman Old Style" w:cs="Arial"/>
        </w:rPr>
      </w:pPr>
      <w:r w:rsidRPr="008A165F">
        <w:rPr>
          <w:rFonts w:ascii="Bookman Old Style" w:hAnsi="Bookman Old Style" w:cs="Arial"/>
        </w:rPr>
        <w:t>Ministerio de Minas y Energía</w:t>
      </w:r>
    </w:p>
    <w:p w14:paraId="3FBD9210" w14:textId="77777777" w:rsidR="00CA77FB" w:rsidRPr="00E060BE" w:rsidRDefault="00CA77FB" w:rsidP="00012259">
      <w:pPr>
        <w:pStyle w:val="Ttulo4"/>
        <w:tabs>
          <w:tab w:val="left" w:pos="0"/>
          <w:tab w:val="right" w:pos="9356"/>
        </w:tabs>
        <w:ind w:left="0"/>
        <w:rPr>
          <w:rFonts w:ascii="Bookman Old Style" w:hAnsi="Bookman Old Style"/>
          <w:b w:val="0"/>
          <w:bCs/>
          <w:sz w:val="24"/>
          <w:szCs w:val="24"/>
        </w:rPr>
      </w:pPr>
    </w:p>
    <w:p w14:paraId="669954D1" w14:textId="77777777" w:rsidR="00CA77FB" w:rsidRPr="00E060BE" w:rsidRDefault="00CA77FB" w:rsidP="00012259">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14:paraId="2357B589" w14:textId="77777777" w:rsidR="00CA77FB" w:rsidRPr="00E060BE" w:rsidRDefault="00CA77FB" w:rsidP="00012259">
      <w:pPr>
        <w:pStyle w:val="Ttulo5"/>
        <w:tabs>
          <w:tab w:val="left" w:pos="0"/>
          <w:tab w:val="right" w:pos="9356"/>
        </w:tabs>
        <w:ind w:left="0"/>
        <w:rPr>
          <w:rFonts w:ascii="Bookman Old Style" w:hAnsi="Bookman Old Style"/>
          <w:sz w:val="24"/>
          <w:szCs w:val="24"/>
        </w:rPr>
      </w:pPr>
    </w:p>
    <w:p w14:paraId="74DB1B58" w14:textId="31884344" w:rsidR="00CA77FB" w:rsidRPr="00E060BE" w:rsidRDefault="00CA77FB" w:rsidP="00012259">
      <w:pPr>
        <w:pStyle w:val="Ttulo5"/>
        <w:tabs>
          <w:tab w:val="left" w:pos="0"/>
          <w:tab w:val="right" w:pos="9356"/>
        </w:tabs>
        <w:ind w:left="0"/>
        <w:rPr>
          <w:rFonts w:ascii="Bookman Old Style" w:hAnsi="Bookman Old Style"/>
          <w:sz w:val="24"/>
          <w:szCs w:val="24"/>
        </w:rPr>
      </w:pPr>
      <w:r w:rsidRPr="00E060BE">
        <w:rPr>
          <w:rFonts w:ascii="Bookman Old Style" w:hAnsi="Bookman Old Style"/>
          <w:sz w:val="24"/>
          <w:szCs w:val="24"/>
        </w:rPr>
        <w:t xml:space="preserve">RESOLUCIÓN No. </w:t>
      </w:r>
      <w:r w:rsidR="00795BFB" w:rsidRPr="00E060BE">
        <w:rPr>
          <w:rFonts w:ascii="Bookman Old Style" w:hAnsi="Bookman Old Style"/>
          <w:sz w:val="24"/>
          <w:szCs w:val="24"/>
        </w:rPr>
        <w:t xml:space="preserve">                  </w:t>
      </w:r>
      <w:r w:rsidRPr="00E060BE">
        <w:rPr>
          <w:rFonts w:ascii="Bookman Old Style" w:hAnsi="Bookman Old Style"/>
          <w:sz w:val="24"/>
          <w:szCs w:val="24"/>
        </w:rPr>
        <w:t>DE 20</w:t>
      </w:r>
      <w:r w:rsidR="00795BFB" w:rsidRPr="00E060BE">
        <w:rPr>
          <w:rFonts w:ascii="Bookman Old Style" w:hAnsi="Bookman Old Style"/>
          <w:sz w:val="24"/>
          <w:szCs w:val="24"/>
        </w:rPr>
        <w:t>1</w:t>
      </w:r>
      <w:r w:rsidR="00727DE2">
        <w:rPr>
          <w:rFonts w:ascii="Bookman Old Style" w:hAnsi="Bookman Old Style"/>
          <w:sz w:val="24"/>
          <w:szCs w:val="24"/>
        </w:rPr>
        <w:t>9</w:t>
      </w:r>
    </w:p>
    <w:p w14:paraId="14B4EA32" w14:textId="77777777" w:rsidR="00CA77FB" w:rsidRPr="00E060BE" w:rsidRDefault="00CA77FB" w:rsidP="00012259">
      <w:pPr>
        <w:tabs>
          <w:tab w:val="left" w:pos="0"/>
          <w:tab w:val="right" w:pos="9356"/>
        </w:tabs>
        <w:ind w:left="0"/>
        <w:jc w:val="center"/>
        <w:rPr>
          <w:rFonts w:ascii="Bookman Old Style" w:hAnsi="Bookman Old Style" w:cs="Arial"/>
          <w:b/>
          <w:snapToGrid w:val="0"/>
          <w:color w:val="000000"/>
          <w:lang w:val="es-ES_tradnl"/>
        </w:rPr>
      </w:pPr>
    </w:p>
    <w:p w14:paraId="7B8930F0" w14:textId="77777777" w:rsidR="00CA77FB" w:rsidRPr="00E060BE" w:rsidRDefault="00CA77FB" w:rsidP="00012259">
      <w:pPr>
        <w:pStyle w:val="Ttulo3"/>
        <w:tabs>
          <w:tab w:val="left" w:pos="0"/>
          <w:tab w:val="right" w:pos="9356"/>
        </w:tabs>
        <w:ind w:left="0"/>
        <w:rPr>
          <w:rFonts w:ascii="Bookman Old Style" w:hAnsi="Bookman Old Style"/>
          <w:b w:val="0"/>
          <w:szCs w:val="24"/>
        </w:rPr>
      </w:pPr>
      <w:r w:rsidRPr="00E060BE">
        <w:rPr>
          <w:rFonts w:ascii="Bookman Old Style" w:hAnsi="Bookman Old Style"/>
          <w:b w:val="0"/>
          <w:szCs w:val="24"/>
        </w:rPr>
        <w:t>(                                  )</w:t>
      </w:r>
    </w:p>
    <w:p w14:paraId="592770E8" w14:textId="77777777" w:rsidR="00CA77FB" w:rsidRPr="00E060BE" w:rsidRDefault="00CA77FB" w:rsidP="00012259">
      <w:pPr>
        <w:tabs>
          <w:tab w:val="left" w:pos="0"/>
          <w:tab w:val="right" w:pos="9356"/>
        </w:tabs>
        <w:ind w:left="0"/>
        <w:jc w:val="center"/>
        <w:rPr>
          <w:rFonts w:ascii="Bookman Old Style" w:hAnsi="Bookman Old Style"/>
          <w:lang w:val="es-ES_tradnl"/>
        </w:rPr>
      </w:pPr>
    </w:p>
    <w:p w14:paraId="39A9D63F" w14:textId="372EBAF2" w:rsidR="00B351B4" w:rsidRDefault="00B351B4" w:rsidP="00012259">
      <w:pPr>
        <w:ind w:left="0"/>
        <w:rPr>
          <w:rFonts w:ascii="Bookman Old Style" w:hAnsi="Bookman Old Style"/>
          <w:bCs/>
          <w:lang w:val="es-CO"/>
        </w:rPr>
      </w:pPr>
    </w:p>
    <w:p w14:paraId="16C69515" w14:textId="77777777" w:rsidR="00937BCF" w:rsidRPr="00E060BE" w:rsidRDefault="00937BCF" w:rsidP="00012259">
      <w:pPr>
        <w:ind w:left="0"/>
        <w:rPr>
          <w:rFonts w:ascii="Bookman Old Style" w:hAnsi="Bookman Old Style"/>
          <w:bCs/>
          <w:lang w:val="es-CO"/>
        </w:rPr>
      </w:pPr>
    </w:p>
    <w:p w14:paraId="438CFE16" w14:textId="6CF1B9FA" w:rsidR="00D66C02" w:rsidRPr="00D66C02" w:rsidRDefault="00D66C02" w:rsidP="00535716">
      <w:pPr>
        <w:widowControl w:val="0"/>
        <w:adjustRightInd w:val="0"/>
        <w:ind w:left="0" w:right="20"/>
        <w:jc w:val="both"/>
        <w:rPr>
          <w:rFonts w:ascii="Bookman Old Style" w:hAnsi="Bookman Old Style" w:cs="Arial"/>
          <w:lang w:val="es-ES_tradnl"/>
        </w:rPr>
      </w:pPr>
      <w:r w:rsidRPr="00D66C02">
        <w:rPr>
          <w:rFonts w:ascii="Bookman Old Style" w:hAnsi="Bookman Old Style" w:cs="Arial"/>
        </w:rPr>
        <w:t xml:space="preserve">Por la cual se resuelve el recurso de reposición interpuesto por la empresa </w:t>
      </w:r>
      <w:r w:rsidR="00535716">
        <w:rPr>
          <w:rFonts w:ascii="Bookman Old Style" w:hAnsi="Bookman Old Style" w:cs="Arial"/>
        </w:rPr>
        <w:t xml:space="preserve">INGENIERIA Y SERVICIOS S.A. E.S.P. </w:t>
      </w:r>
      <w:r w:rsidRPr="00D66C02">
        <w:rPr>
          <w:rFonts w:ascii="Bookman Old Style" w:hAnsi="Bookman Old Style" w:cs="Arial"/>
        </w:rPr>
        <w:t xml:space="preserve">contra la Resolución </w:t>
      </w:r>
      <w:r w:rsidR="009E6E6D">
        <w:rPr>
          <w:rFonts w:ascii="Bookman Old Style" w:hAnsi="Bookman Old Style" w:cs="Arial"/>
        </w:rPr>
        <w:t>CREG 112 de 2018</w:t>
      </w:r>
      <w:r w:rsidRPr="00D66C02">
        <w:rPr>
          <w:rFonts w:ascii="Bookman Old Style" w:hAnsi="Bookman Old Style" w:cs="Arial"/>
        </w:rPr>
        <w:t>, “</w:t>
      </w:r>
      <w:r w:rsidR="00535716" w:rsidRPr="001954E9">
        <w:rPr>
          <w:rFonts w:ascii="Bookman Old Style" w:hAnsi="Bookman Old Style" w:cs="Arial"/>
          <w:lang w:val="es-ES_tradnl"/>
        </w:rPr>
        <w:t xml:space="preserve">Por la cual se aprueba </w:t>
      </w:r>
      <w:r w:rsidR="0079049B" w:rsidRPr="0079049B">
        <w:rPr>
          <w:rFonts w:ascii="Bookman Old Style" w:hAnsi="Bookman Old Style" w:cs="Arial"/>
          <w:lang w:val="es-ES_tradnl"/>
        </w:rPr>
        <w:t>el cargo máximo base de comercialización de gas combustible por redes de tubería, para el mercado relevante conformado por los municipios de Córdoba, Guaitarilla y Pupiales en el departamento de Nariño, según solicitud tarifaria presentada por la empresa INGENIERIA Y SERVICIOS S.A. E.S.P.</w:t>
      </w:r>
      <w:r w:rsidR="00535716">
        <w:rPr>
          <w:rFonts w:ascii="Bookman Old Style" w:hAnsi="Bookman Old Style" w:cs="Arial"/>
          <w:lang w:val="es-ES_tradnl"/>
        </w:rPr>
        <w:t>”</w:t>
      </w:r>
      <w:r w:rsidR="00535716" w:rsidRPr="006B3722">
        <w:rPr>
          <w:rFonts w:ascii="Bookman Old Style" w:hAnsi="Bookman Old Style" w:cs="Arial"/>
          <w:lang w:val="es-ES_tradnl"/>
        </w:rPr>
        <w:t>.</w:t>
      </w:r>
    </w:p>
    <w:p w14:paraId="12FC6B9C" w14:textId="77777777" w:rsidR="00045D3D" w:rsidRPr="00C435C3" w:rsidRDefault="00045D3D" w:rsidP="00045D3D">
      <w:pPr>
        <w:ind w:left="0"/>
        <w:jc w:val="center"/>
        <w:rPr>
          <w:rFonts w:ascii="Bookman Old Style" w:hAnsi="Bookman Old Style"/>
        </w:rPr>
      </w:pPr>
    </w:p>
    <w:p w14:paraId="78B8FC70" w14:textId="77777777" w:rsidR="00045D3D" w:rsidRPr="00C435C3" w:rsidRDefault="00045D3D" w:rsidP="00045D3D">
      <w:pPr>
        <w:ind w:right="51"/>
        <w:rPr>
          <w:rFonts w:ascii="Bookman Old Style" w:hAnsi="Bookman Old Style"/>
        </w:rPr>
      </w:pPr>
    </w:p>
    <w:p w14:paraId="6BB93A70" w14:textId="77777777" w:rsidR="00045D3D" w:rsidRPr="00C435C3" w:rsidRDefault="00045D3D" w:rsidP="008A165F">
      <w:pPr>
        <w:ind w:left="0" w:right="51"/>
        <w:jc w:val="center"/>
        <w:rPr>
          <w:rFonts w:ascii="Bookman Old Style" w:hAnsi="Bookman Old Style"/>
          <w:b/>
        </w:rPr>
      </w:pPr>
      <w:r w:rsidRPr="00C435C3">
        <w:rPr>
          <w:rFonts w:ascii="Bookman Old Style" w:hAnsi="Bookman Old Style"/>
          <w:b/>
        </w:rPr>
        <w:t>LA COMISIÓN DE REGULACIÓN DE ENERGÍA Y GAS</w:t>
      </w:r>
    </w:p>
    <w:p w14:paraId="3C03CE4D" w14:textId="77777777" w:rsidR="00045D3D" w:rsidRPr="00C435C3" w:rsidRDefault="00045D3D" w:rsidP="00045D3D">
      <w:pPr>
        <w:ind w:left="0" w:right="51"/>
        <w:rPr>
          <w:rFonts w:ascii="Bookman Old Style" w:hAnsi="Bookman Old Style"/>
        </w:rPr>
      </w:pPr>
    </w:p>
    <w:p w14:paraId="790E444C" w14:textId="2F7224E6" w:rsidR="00045D3D" w:rsidRPr="008A165F" w:rsidRDefault="00045D3D" w:rsidP="00475E85">
      <w:pPr>
        <w:adjustRightInd w:val="0"/>
        <w:spacing w:before="240" w:after="240"/>
        <w:ind w:left="708" w:hanging="708"/>
        <w:jc w:val="center"/>
        <w:rPr>
          <w:rFonts w:ascii="Bookman Old Style" w:hAnsi="Bookman Old Style" w:cs="Arial"/>
        </w:rPr>
      </w:pPr>
      <w:r w:rsidRPr="008A165F">
        <w:rPr>
          <w:rFonts w:ascii="Bookman Old Style" w:hAnsi="Bookman Old Style" w:cs="Arial"/>
        </w:rPr>
        <w:t xml:space="preserve">En ejercicio de sus atribuciones constitucionales y legales, en especial la conferida por la </w:t>
      </w:r>
      <w:r w:rsidR="002352B9" w:rsidRPr="008A165F">
        <w:rPr>
          <w:rFonts w:ascii="Bookman Old Style" w:hAnsi="Bookman Old Style" w:cs="Arial"/>
        </w:rPr>
        <w:t>l</w:t>
      </w:r>
      <w:r w:rsidRPr="008A165F">
        <w:rPr>
          <w:rFonts w:ascii="Bookman Old Style" w:hAnsi="Bookman Old Style" w:cs="Arial"/>
        </w:rPr>
        <w:t xml:space="preserve">ey 142 de 1994, y en desarrollo de los </w:t>
      </w:r>
      <w:r w:rsidR="002352B9" w:rsidRPr="008A165F">
        <w:rPr>
          <w:rFonts w:ascii="Bookman Old Style" w:hAnsi="Bookman Old Style" w:cs="Arial"/>
        </w:rPr>
        <w:t>d</w:t>
      </w:r>
      <w:r w:rsidRPr="008A165F">
        <w:rPr>
          <w:rFonts w:ascii="Bookman Old Style" w:hAnsi="Bookman Old Style" w:cs="Arial"/>
        </w:rPr>
        <w:t>ecretos 1524</w:t>
      </w:r>
      <w:r w:rsidR="002B30E9">
        <w:rPr>
          <w:rFonts w:ascii="Bookman Old Style" w:hAnsi="Bookman Old Style" w:cs="Arial"/>
        </w:rPr>
        <w:t>,</w:t>
      </w:r>
      <w:r w:rsidRPr="008A165F">
        <w:rPr>
          <w:rFonts w:ascii="Bookman Old Style" w:hAnsi="Bookman Old Style" w:cs="Arial"/>
        </w:rPr>
        <w:t xml:space="preserve"> 2253 de 1994</w:t>
      </w:r>
      <w:r w:rsidR="002B30E9">
        <w:rPr>
          <w:rFonts w:ascii="Bookman Old Style" w:hAnsi="Bookman Old Style" w:cs="Arial"/>
        </w:rPr>
        <w:t xml:space="preserve"> </w:t>
      </w:r>
      <w:r w:rsidR="006C444F">
        <w:rPr>
          <w:rFonts w:ascii="Bookman Old Style" w:hAnsi="Bookman Old Style" w:cs="Arial"/>
        </w:rPr>
        <w:t xml:space="preserve">y 1260 de 2013 </w:t>
      </w:r>
      <w:r w:rsidR="002B30E9">
        <w:rPr>
          <w:rFonts w:ascii="Bookman Old Style" w:hAnsi="Bookman Old Style" w:cs="Arial"/>
        </w:rPr>
        <w:t>y</w:t>
      </w:r>
      <w:r w:rsidRPr="008A165F">
        <w:rPr>
          <w:rFonts w:ascii="Bookman Old Style" w:hAnsi="Bookman Old Style" w:cs="Arial"/>
        </w:rPr>
        <w:t>.</w:t>
      </w:r>
    </w:p>
    <w:p w14:paraId="335F2021" w14:textId="77777777" w:rsidR="00045D3D" w:rsidRDefault="00045D3D" w:rsidP="00045D3D">
      <w:pPr>
        <w:ind w:right="51"/>
        <w:rPr>
          <w:rFonts w:ascii="Bookman Old Style" w:hAnsi="Bookman Old Style"/>
        </w:rPr>
      </w:pPr>
    </w:p>
    <w:p w14:paraId="63606A07" w14:textId="77777777" w:rsidR="00045D3D" w:rsidRPr="00C435C3" w:rsidRDefault="00045D3D" w:rsidP="001103A5">
      <w:pPr>
        <w:ind w:left="0" w:right="51"/>
        <w:jc w:val="center"/>
        <w:rPr>
          <w:rFonts w:ascii="Bookman Old Style" w:hAnsi="Bookman Old Style"/>
          <w:b/>
        </w:rPr>
      </w:pPr>
      <w:r w:rsidRPr="00C435C3">
        <w:rPr>
          <w:rFonts w:ascii="Bookman Old Style" w:hAnsi="Bookman Old Style"/>
          <w:b/>
        </w:rPr>
        <w:t>C O N S I D E R A N D O</w:t>
      </w:r>
      <w:r w:rsidR="001103A5">
        <w:rPr>
          <w:rFonts w:ascii="Bookman Old Style" w:hAnsi="Bookman Old Style"/>
          <w:b/>
        </w:rPr>
        <w:t xml:space="preserve"> </w:t>
      </w:r>
      <w:r>
        <w:rPr>
          <w:rFonts w:ascii="Bookman Old Style" w:hAnsi="Bookman Old Style"/>
          <w:b/>
        </w:rPr>
        <w:t xml:space="preserve"> Q U E</w:t>
      </w:r>
      <w:r w:rsidRPr="00C435C3">
        <w:rPr>
          <w:rFonts w:ascii="Bookman Old Style" w:hAnsi="Bookman Old Style"/>
          <w:b/>
        </w:rPr>
        <w:t>:</w:t>
      </w:r>
    </w:p>
    <w:p w14:paraId="04D078CC" w14:textId="77777777" w:rsidR="00045D3D" w:rsidRPr="00C435C3" w:rsidRDefault="00045D3D" w:rsidP="00045D3D">
      <w:pPr>
        <w:ind w:right="51"/>
        <w:jc w:val="center"/>
        <w:rPr>
          <w:rFonts w:ascii="Bookman Old Style" w:hAnsi="Bookman Old Style"/>
          <w:b/>
        </w:rPr>
      </w:pPr>
    </w:p>
    <w:p w14:paraId="1BE171E0" w14:textId="77777777" w:rsidR="00626EED" w:rsidRPr="00626EED" w:rsidRDefault="00626EED" w:rsidP="00245A33">
      <w:pPr>
        <w:pStyle w:val="Ttulo5"/>
        <w:numPr>
          <w:ilvl w:val="0"/>
          <w:numId w:val="2"/>
        </w:numPr>
        <w:tabs>
          <w:tab w:val="clear" w:pos="1080"/>
          <w:tab w:val="num" w:pos="851"/>
        </w:tabs>
        <w:spacing w:before="360" w:after="240"/>
        <w:ind w:left="567" w:hanging="567"/>
        <w:jc w:val="both"/>
        <w:rPr>
          <w:rFonts w:ascii="Bookman Old Style" w:hAnsi="Bookman Old Style"/>
          <w:sz w:val="24"/>
          <w:szCs w:val="24"/>
        </w:rPr>
      </w:pPr>
      <w:r w:rsidRPr="00626EED">
        <w:rPr>
          <w:rFonts w:ascii="Bookman Old Style" w:hAnsi="Bookman Old Style"/>
          <w:sz w:val="24"/>
          <w:szCs w:val="24"/>
        </w:rPr>
        <w:t>ANTECEDENTES</w:t>
      </w:r>
    </w:p>
    <w:p w14:paraId="3F35651A" w14:textId="265BEBD8" w:rsidR="00F00CA1" w:rsidRDefault="00474A7C" w:rsidP="00474A7C">
      <w:pPr>
        <w:adjustRightInd w:val="0"/>
        <w:spacing w:before="240" w:after="240"/>
        <w:ind w:left="0"/>
        <w:jc w:val="both"/>
        <w:rPr>
          <w:rFonts w:ascii="Bookman Old Style" w:hAnsi="Bookman Old Style"/>
          <w:shd w:val="clear" w:color="auto" w:fill="FFFFFF"/>
        </w:rPr>
      </w:pPr>
      <w:r w:rsidRPr="00474A7C">
        <w:rPr>
          <w:rFonts w:ascii="Bookman Old Style" w:hAnsi="Bookman Old Style"/>
          <w:shd w:val="clear" w:color="auto" w:fill="FFFFFF"/>
        </w:rPr>
        <w:t xml:space="preserve">A través de la Resolución </w:t>
      </w:r>
      <w:r w:rsidR="00F00CA1">
        <w:rPr>
          <w:rFonts w:ascii="Bookman Old Style" w:hAnsi="Bookman Old Style"/>
          <w:shd w:val="clear" w:color="auto" w:fill="FFFFFF"/>
        </w:rPr>
        <w:t>CREG 011 de 2003</w:t>
      </w:r>
      <w:r w:rsidR="007D672B">
        <w:rPr>
          <w:rFonts w:ascii="Bookman Old Style" w:hAnsi="Bookman Old Style"/>
          <w:shd w:val="clear" w:color="auto" w:fill="FFFFFF"/>
        </w:rPr>
        <w:t xml:space="preserve"> </w:t>
      </w:r>
      <w:r w:rsidR="007D672B" w:rsidRPr="007D672B">
        <w:rPr>
          <w:rFonts w:ascii="Bookman Old Style" w:hAnsi="Bookman Old Style"/>
          <w:shd w:val="clear" w:color="auto" w:fill="FFFFFF"/>
        </w:rPr>
        <w:t>se establecen los criterios generales para remunerar las actividades de distribución y comercialización de gas combustible, y las fórmulas generales para la prestación del servicio público domiciliario de distribución de gas combustible por redes de tubería.</w:t>
      </w:r>
    </w:p>
    <w:p w14:paraId="54BF119B" w14:textId="6AB07B29" w:rsidR="00F00CA1" w:rsidRDefault="007D672B" w:rsidP="00474A7C">
      <w:pPr>
        <w:adjustRightInd w:val="0"/>
        <w:spacing w:before="240" w:after="240"/>
        <w:ind w:left="0"/>
        <w:jc w:val="both"/>
        <w:rPr>
          <w:rFonts w:ascii="Bookman Old Style" w:hAnsi="Bookman Old Style"/>
          <w:shd w:val="clear" w:color="auto" w:fill="FFFFFF"/>
        </w:rPr>
      </w:pPr>
      <w:r>
        <w:rPr>
          <w:rFonts w:ascii="Bookman Old Style" w:hAnsi="Bookman Old Style"/>
          <w:shd w:val="clear" w:color="auto" w:fill="FFFFFF"/>
        </w:rPr>
        <w:t xml:space="preserve">El </w:t>
      </w:r>
      <w:r w:rsidR="00225E54">
        <w:rPr>
          <w:rFonts w:ascii="Bookman Old Style" w:hAnsi="Bookman Old Style"/>
          <w:shd w:val="clear" w:color="auto" w:fill="FFFFFF"/>
        </w:rPr>
        <w:t>a</w:t>
      </w:r>
      <w:r>
        <w:rPr>
          <w:rFonts w:ascii="Bookman Old Style" w:hAnsi="Bookman Old Style"/>
          <w:shd w:val="clear" w:color="auto" w:fill="FFFFFF"/>
        </w:rPr>
        <w:t>rtículo 23 de la citada resolución, establece la metodología para el cálculo del cargo máximo base de comercialización.</w:t>
      </w:r>
    </w:p>
    <w:p w14:paraId="50567A33" w14:textId="127D7C47" w:rsidR="00474A7C" w:rsidRDefault="00A36E15" w:rsidP="002405D6">
      <w:pPr>
        <w:adjustRightInd w:val="0"/>
        <w:spacing w:before="240" w:after="240"/>
        <w:ind w:left="0"/>
        <w:jc w:val="both"/>
        <w:rPr>
          <w:rFonts w:ascii="Bookman Old Style" w:hAnsi="Bookman Old Style"/>
          <w:shd w:val="clear" w:color="auto" w:fill="FFFFFF"/>
        </w:rPr>
      </w:pPr>
      <w:r>
        <w:rPr>
          <w:rFonts w:ascii="Bookman Old Style" w:hAnsi="Bookman Old Style"/>
          <w:shd w:val="clear" w:color="auto" w:fill="FFFFFF"/>
        </w:rPr>
        <w:t xml:space="preserve">La empresa INGENIERÍA Y SERVICIOS S.A. E.S.P., </w:t>
      </w:r>
      <w:r w:rsidRPr="00A36E15">
        <w:rPr>
          <w:rFonts w:ascii="Bookman Old Style" w:hAnsi="Bookman Old Style"/>
          <w:shd w:val="clear" w:color="auto" w:fill="FFFFFF"/>
        </w:rPr>
        <w:t xml:space="preserve">a través de la comunicación radicada en la CREG bajo el número </w:t>
      </w:r>
      <w:r w:rsidRPr="00937BCF">
        <w:rPr>
          <w:rFonts w:ascii="Bookman Old Style" w:hAnsi="Bookman Old Style"/>
          <w:shd w:val="clear" w:color="auto" w:fill="FFFFFF"/>
        </w:rPr>
        <w:t>E-2017-</w:t>
      </w:r>
      <w:r w:rsidR="00AA31F3" w:rsidRPr="00937BCF">
        <w:rPr>
          <w:rFonts w:ascii="Bookman Old Style" w:hAnsi="Bookman Old Style"/>
          <w:shd w:val="clear" w:color="auto" w:fill="FFFFFF"/>
        </w:rPr>
        <w:t>012045</w:t>
      </w:r>
      <w:r w:rsidR="00AA31F3">
        <w:rPr>
          <w:rFonts w:ascii="Bookman Old Style" w:hAnsi="Bookman Old Style"/>
          <w:shd w:val="clear" w:color="auto" w:fill="FFFFFF"/>
        </w:rPr>
        <w:t xml:space="preserve"> de diciembre 26 de 2017</w:t>
      </w:r>
      <w:r w:rsidRPr="00A36E15">
        <w:rPr>
          <w:rFonts w:ascii="Bookman Old Style" w:hAnsi="Bookman Old Style"/>
          <w:shd w:val="clear" w:color="auto" w:fill="FFFFFF"/>
        </w:rPr>
        <w:t>, solicitó aprobación de</w:t>
      </w:r>
      <w:r w:rsidR="0087325C">
        <w:rPr>
          <w:rFonts w:ascii="Bookman Old Style" w:hAnsi="Bookman Old Style"/>
          <w:shd w:val="clear" w:color="auto" w:fill="FFFFFF"/>
        </w:rPr>
        <w:t>l cargo</w:t>
      </w:r>
      <w:r w:rsidRPr="00A36E15">
        <w:rPr>
          <w:rFonts w:ascii="Bookman Old Style" w:hAnsi="Bookman Old Style"/>
          <w:shd w:val="clear" w:color="auto" w:fill="FFFFFF"/>
        </w:rPr>
        <w:t xml:space="preserve"> de </w:t>
      </w:r>
      <w:r w:rsidR="0087325C">
        <w:rPr>
          <w:rFonts w:ascii="Bookman Old Style" w:hAnsi="Bookman Old Style"/>
          <w:shd w:val="clear" w:color="auto" w:fill="FFFFFF"/>
        </w:rPr>
        <w:t>comercialización</w:t>
      </w:r>
      <w:r w:rsidRPr="00A36E15">
        <w:rPr>
          <w:rFonts w:ascii="Bookman Old Style" w:hAnsi="Bookman Old Style"/>
          <w:shd w:val="clear" w:color="auto" w:fill="FFFFFF"/>
        </w:rPr>
        <w:t xml:space="preserve">, para el mercado relevante conformado por </w:t>
      </w:r>
      <w:r w:rsidR="00AA31F3">
        <w:rPr>
          <w:rFonts w:ascii="Bookman Old Style" w:hAnsi="Bookman Old Style"/>
          <w:shd w:val="clear" w:color="auto" w:fill="FFFFFF"/>
        </w:rPr>
        <w:t>los municipios de Córdoba, Guaitarilla y Pupiales en el departamento de Nariño.</w:t>
      </w:r>
    </w:p>
    <w:p w14:paraId="3818100A" w14:textId="72EF66F1" w:rsidR="00474A7C" w:rsidRPr="00075624" w:rsidRDefault="00657782" w:rsidP="00075624">
      <w:pPr>
        <w:adjustRightInd w:val="0"/>
        <w:spacing w:before="240" w:after="240"/>
        <w:ind w:left="0" w:right="23"/>
        <w:jc w:val="both"/>
        <w:rPr>
          <w:rFonts w:ascii="Bookman Old Style" w:hAnsi="Bookman Old Style"/>
          <w:i/>
        </w:rPr>
      </w:pPr>
      <w:r>
        <w:rPr>
          <w:rFonts w:ascii="Bookman Old Style" w:hAnsi="Bookman Old Style"/>
        </w:rPr>
        <w:t>L</w:t>
      </w:r>
      <w:r w:rsidRPr="00626EED">
        <w:rPr>
          <w:rFonts w:ascii="Bookman Old Style" w:hAnsi="Bookman Old Style"/>
        </w:rPr>
        <w:t>a Comisión de Regulación de</w:t>
      </w:r>
      <w:r>
        <w:rPr>
          <w:rFonts w:ascii="Bookman Old Style" w:hAnsi="Bookman Old Style"/>
        </w:rPr>
        <w:t xml:space="preserve"> Energía y Gas, en su sesión 870</w:t>
      </w:r>
      <w:r w:rsidRPr="00626EED">
        <w:rPr>
          <w:rFonts w:ascii="Bookman Old Style" w:hAnsi="Bookman Old Style"/>
        </w:rPr>
        <w:t xml:space="preserve"> del </w:t>
      </w:r>
      <w:r>
        <w:rPr>
          <w:rFonts w:ascii="Bookman Old Style" w:hAnsi="Bookman Old Style"/>
        </w:rPr>
        <w:t>31</w:t>
      </w:r>
      <w:r w:rsidRPr="00626EED">
        <w:rPr>
          <w:rFonts w:ascii="Bookman Old Style" w:hAnsi="Bookman Old Style"/>
        </w:rPr>
        <w:t xml:space="preserve"> de </w:t>
      </w:r>
      <w:r>
        <w:rPr>
          <w:rFonts w:ascii="Bookman Old Style" w:hAnsi="Bookman Old Style"/>
        </w:rPr>
        <w:t>julio</w:t>
      </w:r>
      <w:r w:rsidRPr="00626EED">
        <w:rPr>
          <w:rFonts w:ascii="Bookman Old Style" w:hAnsi="Bookman Old Style"/>
        </w:rPr>
        <w:t xml:space="preserve"> de 201</w:t>
      </w:r>
      <w:r>
        <w:rPr>
          <w:rFonts w:ascii="Bookman Old Style" w:hAnsi="Bookman Old Style"/>
        </w:rPr>
        <w:t>8</w:t>
      </w:r>
      <w:r w:rsidRPr="00626EED">
        <w:rPr>
          <w:rFonts w:ascii="Bookman Old Style" w:hAnsi="Bookman Old Style"/>
        </w:rPr>
        <w:t>, acord</w:t>
      </w:r>
      <w:r>
        <w:rPr>
          <w:rFonts w:ascii="Bookman Old Style" w:hAnsi="Bookman Old Style"/>
        </w:rPr>
        <w:t xml:space="preserve">ó expedir la Resolución </w:t>
      </w:r>
      <w:r w:rsidR="009E6E6D">
        <w:rPr>
          <w:rFonts w:ascii="Bookman Old Style" w:hAnsi="Bookman Old Style"/>
        </w:rPr>
        <w:t>CREG 112 de 2018</w:t>
      </w:r>
      <w:r w:rsidRPr="00626EED">
        <w:rPr>
          <w:rFonts w:ascii="Bookman Old Style" w:hAnsi="Bookman Old Style"/>
        </w:rPr>
        <w:t xml:space="preserve"> </w:t>
      </w:r>
      <w:r w:rsidRPr="00E9554A">
        <w:rPr>
          <w:rFonts w:ascii="Bookman Old Style" w:hAnsi="Bookman Old Style"/>
          <w:i/>
        </w:rPr>
        <w:t>“</w:t>
      </w:r>
      <w:r w:rsidR="0087325C" w:rsidRPr="0087325C">
        <w:rPr>
          <w:rFonts w:ascii="Bookman Old Style" w:hAnsi="Bookman Old Style"/>
          <w:i/>
        </w:rPr>
        <w:t xml:space="preserve">Por la cual se aprueba el cargo máximo base de comercialización de gas combustible por redes de tubería, para el mercado relevante conformado por los municipios de Córdoba, Guaitarilla </w:t>
      </w:r>
      <w:r w:rsidR="0087325C" w:rsidRPr="0087325C">
        <w:rPr>
          <w:rFonts w:ascii="Bookman Old Style" w:hAnsi="Bookman Old Style"/>
          <w:i/>
        </w:rPr>
        <w:lastRenderedPageBreak/>
        <w:t>y Pupiales en el departamento de Nariño, según solicitud tarifaria presentada por la empresa INGENIERIA Y SERVICIOS S.A. E.S.P.</w:t>
      </w:r>
      <w:r w:rsidR="0087325C">
        <w:rPr>
          <w:rFonts w:ascii="Bookman Old Style" w:hAnsi="Bookman Old Style"/>
          <w:i/>
        </w:rPr>
        <w:t>”</w:t>
      </w:r>
    </w:p>
    <w:p w14:paraId="7882C70F" w14:textId="05A2C967" w:rsidR="00626EED" w:rsidRDefault="00F148D2" w:rsidP="00626EED">
      <w:pPr>
        <w:adjustRightInd w:val="0"/>
        <w:spacing w:before="240" w:after="240"/>
        <w:ind w:left="0" w:right="23"/>
        <w:jc w:val="both"/>
        <w:rPr>
          <w:rFonts w:ascii="Bookman Old Style" w:hAnsi="Bookman Old Style"/>
        </w:rPr>
      </w:pPr>
      <w:r>
        <w:rPr>
          <w:rFonts w:ascii="Bookman Old Style" w:hAnsi="Bookman Old Style"/>
        </w:rPr>
        <w:t xml:space="preserve">La Resolución </w:t>
      </w:r>
      <w:r w:rsidR="009E6E6D">
        <w:rPr>
          <w:rFonts w:ascii="Bookman Old Style" w:hAnsi="Bookman Old Style"/>
        </w:rPr>
        <w:t>CREG 112 de 2018</w:t>
      </w:r>
      <w:r w:rsidR="00626EED" w:rsidRPr="00626EED">
        <w:rPr>
          <w:rFonts w:ascii="Bookman Old Style" w:hAnsi="Bookman Old Style"/>
        </w:rPr>
        <w:t xml:space="preserve"> fue notificada </w:t>
      </w:r>
      <w:r w:rsidR="00075624">
        <w:rPr>
          <w:rFonts w:ascii="Bookman Old Style" w:hAnsi="Bookman Old Style"/>
        </w:rPr>
        <w:t>al</w:t>
      </w:r>
      <w:r>
        <w:rPr>
          <w:rFonts w:ascii="Bookman Old Style" w:hAnsi="Bookman Old Style"/>
        </w:rPr>
        <w:t xml:space="preserve"> gerente</w:t>
      </w:r>
      <w:r w:rsidR="00626EED" w:rsidRPr="00626EED">
        <w:rPr>
          <w:rFonts w:ascii="Bookman Old Style" w:hAnsi="Bookman Old Style"/>
        </w:rPr>
        <w:t xml:space="preserve"> de la empresa </w:t>
      </w:r>
      <w:r w:rsidR="00535716">
        <w:rPr>
          <w:rFonts w:ascii="Bookman Old Style" w:hAnsi="Bookman Old Style"/>
        </w:rPr>
        <w:t>INGENIERIA Y SERVICIOS S.A. E.S.P.</w:t>
      </w:r>
      <w:r w:rsidR="00075624">
        <w:rPr>
          <w:rFonts w:ascii="Bookman Old Style" w:hAnsi="Bookman Old Style"/>
        </w:rPr>
        <w:t xml:space="preserve"> </w:t>
      </w:r>
      <w:r w:rsidR="00626EED" w:rsidRPr="00626EED">
        <w:rPr>
          <w:rFonts w:ascii="Bookman Old Style" w:hAnsi="Bookman Old Style"/>
        </w:rPr>
        <w:t xml:space="preserve">el día </w:t>
      </w:r>
      <w:r w:rsidR="00075624">
        <w:rPr>
          <w:rFonts w:ascii="Bookman Old Style" w:hAnsi="Bookman Old Style"/>
        </w:rPr>
        <w:t>30</w:t>
      </w:r>
      <w:r w:rsidR="00626EED" w:rsidRPr="00626EED">
        <w:rPr>
          <w:rFonts w:ascii="Bookman Old Style" w:hAnsi="Bookman Old Style"/>
        </w:rPr>
        <w:t xml:space="preserve"> de </w:t>
      </w:r>
      <w:r w:rsidR="00075624">
        <w:rPr>
          <w:rFonts w:ascii="Bookman Old Style" w:hAnsi="Bookman Old Style"/>
        </w:rPr>
        <w:t>agosto</w:t>
      </w:r>
      <w:r w:rsidR="00626EED" w:rsidRPr="00626EED">
        <w:rPr>
          <w:rFonts w:ascii="Bookman Old Style" w:hAnsi="Bookman Old Style"/>
        </w:rPr>
        <w:t xml:space="preserve"> de 2018</w:t>
      </w:r>
      <w:r>
        <w:rPr>
          <w:rFonts w:ascii="Bookman Old Style" w:hAnsi="Bookman Old Style"/>
        </w:rPr>
        <w:t>,</w:t>
      </w:r>
      <w:r w:rsidR="00626EED" w:rsidRPr="00626EED">
        <w:rPr>
          <w:rFonts w:ascii="Bookman Old Style" w:hAnsi="Bookman Old Style"/>
        </w:rPr>
        <w:t xml:space="preserve"> tal como consta en el radicado CREG I-2018-00</w:t>
      </w:r>
      <w:r w:rsidR="00075624">
        <w:rPr>
          <w:rFonts w:ascii="Bookman Old Style" w:hAnsi="Bookman Old Style"/>
        </w:rPr>
        <w:t>482</w:t>
      </w:r>
      <w:r w:rsidR="0042021B">
        <w:rPr>
          <w:rFonts w:ascii="Bookman Old Style" w:hAnsi="Bookman Old Style"/>
        </w:rPr>
        <w:t>1</w:t>
      </w:r>
      <w:r w:rsidR="00626EED" w:rsidRPr="00626EED">
        <w:rPr>
          <w:rFonts w:ascii="Bookman Old Style" w:hAnsi="Bookman Old Style"/>
        </w:rPr>
        <w:t>.</w:t>
      </w:r>
    </w:p>
    <w:p w14:paraId="4C1B87F4" w14:textId="051BEEB6" w:rsidR="00DE0495" w:rsidRDefault="00626EED" w:rsidP="00626EED">
      <w:pPr>
        <w:adjustRightInd w:val="0"/>
        <w:spacing w:before="240" w:after="240"/>
        <w:ind w:left="0" w:right="23"/>
        <w:jc w:val="both"/>
        <w:rPr>
          <w:rFonts w:ascii="Bookman Old Style" w:hAnsi="Bookman Old Style"/>
        </w:rPr>
      </w:pPr>
      <w:r w:rsidRPr="00626EED">
        <w:rPr>
          <w:rFonts w:ascii="Bookman Old Style" w:hAnsi="Bookman Old Style"/>
        </w:rPr>
        <w:t>Surtido el trámite de notificación de la referida decisión y estando dentro del término legal,</w:t>
      </w:r>
      <w:r w:rsidR="00F148D2">
        <w:rPr>
          <w:rFonts w:ascii="Bookman Old Style" w:hAnsi="Bookman Old Style"/>
        </w:rPr>
        <w:t xml:space="preserve"> </w:t>
      </w:r>
      <w:r w:rsidRPr="00626EED">
        <w:rPr>
          <w:rFonts w:ascii="Bookman Old Style" w:hAnsi="Bookman Old Style"/>
        </w:rPr>
        <w:t xml:space="preserve">el representante legal de </w:t>
      </w:r>
      <w:r w:rsidR="00535716">
        <w:rPr>
          <w:rFonts w:ascii="Bookman Old Style" w:hAnsi="Bookman Old Style"/>
        </w:rPr>
        <w:t>INGENIERIA Y SERVICIOS S.A. E.S.P.</w:t>
      </w:r>
      <w:r w:rsidR="00197207">
        <w:rPr>
          <w:rFonts w:ascii="Bookman Old Style" w:hAnsi="Bookman Old Style"/>
        </w:rPr>
        <w:t xml:space="preserve"> </w:t>
      </w:r>
      <w:r w:rsidRPr="00626EED">
        <w:rPr>
          <w:rFonts w:ascii="Bookman Old Style" w:hAnsi="Bookman Old Style"/>
        </w:rPr>
        <w:t xml:space="preserve">interpuso recurso de reposición contra la mencionada resolución el </w:t>
      </w:r>
      <w:r w:rsidR="00A2302C">
        <w:rPr>
          <w:rFonts w:ascii="Bookman Old Style" w:hAnsi="Bookman Old Style"/>
        </w:rPr>
        <w:t>06</w:t>
      </w:r>
      <w:r w:rsidRPr="00626EED">
        <w:rPr>
          <w:rFonts w:ascii="Bookman Old Style" w:hAnsi="Bookman Old Style"/>
        </w:rPr>
        <w:t xml:space="preserve"> de </w:t>
      </w:r>
      <w:r w:rsidR="00A2302C">
        <w:rPr>
          <w:rFonts w:ascii="Bookman Old Style" w:hAnsi="Bookman Old Style"/>
        </w:rPr>
        <w:t xml:space="preserve">septiembre </w:t>
      </w:r>
      <w:r w:rsidRPr="00626EED">
        <w:rPr>
          <w:rFonts w:ascii="Bookman Old Style" w:hAnsi="Bookman Old Style"/>
        </w:rPr>
        <w:t>de 2018</w:t>
      </w:r>
      <w:r w:rsidR="00E35ABE">
        <w:rPr>
          <w:rFonts w:ascii="Bookman Old Style" w:hAnsi="Bookman Old Style"/>
        </w:rPr>
        <w:t xml:space="preserve"> mediante radicado</w:t>
      </w:r>
      <w:r w:rsidR="00475E85">
        <w:rPr>
          <w:rFonts w:ascii="Bookman Old Style" w:hAnsi="Bookman Old Style"/>
        </w:rPr>
        <w:t>s</w:t>
      </w:r>
      <w:r w:rsidR="00E35ABE">
        <w:rPr>
          <w:rFonts w:ascii="Bookman Old Style" w:hAnsi="Bookman Old Style"/>
        </w:rPr>
        <w:t xml:space="preserve"> CREG E-2018-00</w:t>
      </w:r>
      <w:r w:rsidR="00A2302C">
        <w:rPr>
          <w:rFonts w:ascii="Bookman Old Style" w:hAnsi="Bookman Old Style"/>
        </w:rPr>
        <w:t>9</w:t>
      </w:r>
      <w:r w:rsidR="0042021B">
        <w:rPr>
          <w:rFonts w:ascii="Bookman Old Style" w:hAnsi="Bookman Old Style"/>
        </w:rPr>
        <w:t>101</w:t>
      </w:r>
      <w:r w:rsidR="00475E85">
        <w:rPr>
          <w:rFonts w:ascii="Bookman Old Style" w:hAnsi="Bookman Old Style"/>
        </w:rPr>
        <w:t xml:space="preserve"> y E-2018-00</w:t>
      </w:r>
      <w:r w:rsidR="00A2302C">
        <w:rPr>
          <w:rFonts w:ascii="Bookman Old Style" w:hAnsi="Bookman Old Style"/>
        </w:rPr>
        <w:t>910</w:t>
      </w:r>
      <w:r w:rsidR="0042021B">
        <w:rPr>
          <w:rFonts w:ascii="Bookman Old Style" w:hAnsi="Bookman Old Style"/>
        </w:rPr>
        <w:t>2</w:t>
      </w:r>
      <w:r w:rsidR="00E35ABE">
        <w:rPr>
          <w:rFonts w:ascii="Bookman Old Style" w:hAnsi="Bookman Old Style"/>
        </w:rPr>
        <w:t>.</w:t>
      </w:r>
    </w:p>
    <w:p w14:paraId="573B7F12" w14:textId="77777777" w:rsidR="00EB1039" w:rsidRDefault="003E4D0A" w:rsidP="00EB1039">
      <w:pPr>
        <w:spacing w:before="240" w:after="240"/>
        <w:ind w:left="0"/>
        <w:jc w:val="both"/>
        <w:rPr>
          <w:rFonts w:ascii="Bookman Old Style" w:hAnsi="Bookman Old Style"/>
          <w:lang w:val="es-ES_tradnl"/>
        </w:rPr>
      </w:pPr>
      <w:r>
        <w:rPr>
          <w:rFonts w:ascii="Bookman Old Style" w:hAnsi="Bookman Old Style"/>
          <w:lang w:val="es-ES_tradnl"/>
        </w:rPr>
        <w:t>Como soporte del recurso de reposición, la empresa solicita que se tengan en cuenta las siguientes pruebas:</w:t>
      </w:r>
      <w:r w:rsidR="003724AC">
        <w:rPr>
          <w:rFonts w:ascii="Bookman Old Style" w:hAnsi="Bookman Old Style"/>
          <w:lang w:val="es-ES_tradnl"/>
        </w:rPr>
        <w:t xml:space="preserve"> </w:t>
      </w:r>
    </w:p>
    <w:p w14:paraId="2086B0CE" w14:textId="2E338641" w:rsidR="00EB1039" w:rsidRPr="00382A13" w:rsidRDefault="00A2302C" w:rsidP="00323CA3">
      <w:pPr>
        <w:pStyle w:val="Prrafodelista"/>
        <w:numPr>
          <w:ilvl w:val="0"/>
          <w:numId w:val="10"/>
        </w:numPr>
        <w:spacing w:before="240" w:after="240"/>
        <w:ind w:left="567" w:hanging="567"/>
        <w:jc w:val="both"/>
        <w:rPr>
          <w:rFonts w:ascii="Bookman Old Style" w:hAnsi="Bookman Old Style"/>
          <w:sz w:val="24"/>
          <w:szCs w:val="24"/>
          <w:lang w:val="es-ES_tradnl"/>
        </w:rPr>
      </w:pPr>
      <w:r>
        <w:rPr>
          <w:rFonts w:ascii="Bookman Old Style" w:hAnsi="Bookman Old Style"/>
          <w:sz w:val="24"/>
          <w:szCs w:val="24"/>
          <w:lang w:val="es-ES_tradnl"/>
        </w:rPr>
        <w:t>Estudio de proyección de demanda para el mercado de gas conformado por los municipios de Córdoba, Guaitarilla y Pupiales (Nariño).</w:t>
      </w:r>
    </w:p>
    <w:p w14:paraId="3B4681E2" w14:textId="69A44F3B" w:rsidR="00740006" w:rsidRPr="00740006" w:rsidRDefault="00740006" w:rsidP="00323CA3">
      <w:pPr>
        <w:pStyle w:val="Prrafodelista"/>
        <w:numPr>
          <w:ilvl w:val="0"/>
          <w:numId w:val="10"/>
        </w:numPr>
        <w:spacing w:before="240" w:after="240"/>
        <w:ind w:left="567" w:hanging="567"/>
        <w:jc w:val="both"/>
        <w:rPr>
          <w:rFonts w:ascii="Bookman Old Style" w:hAnsi="Bookman Old Style"/>
          <w:sz w:val="24"/>
          <w:szCs w:val="24"/>
          <w:lang w:val="es-ES_tradnl"/>
        </w:rPr>
      </w:pPr>
      <w:r w:rsidRPr="00740006">
        <w:rPr>
          <w:rFonts w:ascii="Bookman Old Style" w:hAnsi="Bookman Old Style"/>
          <w:bCs/>
          <w:sz w:val="24"/>
          <w:szCs w:val="24"/>
          <w:lang w:val="es-ES_tradnl"/>
        </w:rPr>
        <w:t>Resolución CREG 114 de 2007</w:t>
      </w:r>
      <w:r>
        <w:rPr>
          <w:rFonts w:ascii="Bookman Old Style" w:hAnsi="Bookman Old Style"/>
          <w:bCs/>
          <w:sz w:val="24"/>
          <w:szCs w:val="24"/>
          <w:lang w:val="es-ES_tradnl"/>
        </w:rPr>
        <w:t>.</w:t>
      </w:r>
    </w:p>
    <w:p w14:paraId="482EB4A0" w14:textId="36D89CE2" w:rsidR="00740006" w:rsidRDefault="00740006" w:rsidP="00740006">
      <w:pPr>
        <w:pStyle w:val="Prrafodelista"/>
        <w:numPr>
          <w:ilvl w:val="0"/>
          <w:numId w:val="10"/>
        </w:numPr>
        <w:spacing w:before="240" w:after="240"/>
        <w:ind w:left="567" w:hanging="567"/>
        <w:jc w:val="both"/>
        <w:rPr>
          <w:rFonts w:ascii="Bookman Old Style" w:hAnsi="Bookman Old Style"/>
          <w:sz w:val="24"/>
          <w:szCs w:val="24"/>
          <w:lang w:val="es-ES_tradnl"/>
        </w:rPr>
      </w:pPr>
      <w:r w:rsidRPr="00740006">
        <w:rPr>
          <w:rFonts w:ascii="Bookman Old Style" w:hAnsi="Bookman Old Style"/>
          <w:sz w:val="24"/>
          <w:szCs w:val="24"/>
          <w:lang w:val="es-ES_tradnl"/>
        </w:rPr>
        <w:t>Tabla DataCluster publicada en el año 2010</w:t>
      </w:r>
      <w:r>
        <w:rPr>
          <w:rFonts w:ascii="Bookman Old Style" w:hAnsi="Bookman Old Style"/>
          <w:sz w:val="24"/>
          <w:szCs w:val="24"/>
          <w:lang w:val="es-ES_tradnl"/>
        </w:rPr>
        <w:t>.</w:t>
      </w:r>
    </w:p>
    <w:p w14:paraId="13D771E9" w14:textId="3B35FC71" w:rsidR="00740006" w:rsidRDefault="00740006" w:rsidP="00740006">
      <w:pPr>
        <w:pStyle w:val="Prrafodelista"/>
        <w:numPr>
          <w:ilvl w:val="0"/>
          <w:numId w:val="10"/>
        </w:numPr>
        <w:spacing w:before="240" w:after="240"/>
        <w:ind w:left="567" w:hanging="567"/>
        <w:jc w:val="both"/>
        <w:rPr>
          <w:rFonts w:ascii="Bookman Old Style" w:hAnsi="Bookman Old Style"/>
          <w:sz w:val="24"/>
          <w:szCs w:val="24"/>
          <w:lang w:val="es-ES_tradnl"/>
        </w:rPr>
      </w:pPr>
      <w:r w:rsidRPr="00740006">
        <w:rPr>
          <w:rFonts w:ascii="Bookman Old Style" w:hAnsi="Bookman Old Style"/>
          <w:sz w:val="24"/>
          <w:szCs w:val="24"/>
          <w:lang w:val="es-ES_tradnl"/>
        </w:rPr>
        <w:t>Copia del Convenio GGC 645 de 2017</w:t>
      </w:r>
      <w:r>
        <w:rPr>
          <w:rFonts w:ascii="Bookman Old Style" w:hAnsi="Bookman Old Style"/>
          <w:sz w:val="24"/>
          <w:szCs w:val="24"/>
          <w:lang w:val="es-ES_tradnl"/>
        </w:rPr>
        <w:t>.</w:t>
      </w:r>
    </w:p>
    <w:p w14:paraId="53683BA7" w14:textId="77777777" w:rsidR="00626EED" w:rsidRPr="00626EED" w:rsidRDefault="00626EED" w:rsidP="00245A33">
      <w:pPr>
        <w:pStyle w:val="Ttulo5"/>
        <w:numPr>
          <w:ilvl w:val="0"/>
          <w:numId w:val="2"/>
        </w:numPr>
        <w:tabs>
          <w:tab w:val="clear" w:pos="1080"/>
          <w:tab w:val="num" w:pos="567"/>
        </w:tabs>
        <w:spacing w:before="360" w:after="240"/>
        <w:ind w:left="567" w:hanging="567"/>
        <w:jc w:val="both"/>
        <w:rPr>
          <w:rFonts w:ascii="Bookman Old Style" w:hAnsi="Bookman Old Style"/>
          <w:sz w:val="24"/>
          <w:szCs w:val="24"/>
          <w:lang w:eastAsia="es-ES_tradnl"/>
        </w:rPr>
      </w:pPr>
      <w:r w:rsidRPr="00626EED">
        <w:rPr>
          <w:rFonts w:ascii="Bookman Old Style" w:hAnsi="Bookman Old Style"/>
          <w:sz w:val="24"/>
          <w:szCs w:val="24"/>
          <w:lang w:eastAsia="es-ES_tradnl"/>
        </w:rPr>
        <w:t>CONSIDERACIONES DEL RECURRENTE</w:t>
      </w:r>
    </w:p>
    <w:p w14:paraId="0E5845E5" w14:textId="179B918A" w:rsidR="000739E4" w:rsidRDefault="00E8464A" w:rsidP="00AF2987">
      <w:pPr>
        <w:adjustRightInd w:val="0"/>
        <w:spacing w:before="240" w:after="240"/>
        <w:ind w:left="0" w:right="23"/>
        <w:jc w:val="both"/>
        <w:rPr>
          <w:rFonts w:ascii="Bookman Old Style" w:hAnsi="Bookman Old Style"/>
        </w:rPr>
      </w:pPr>
      <w:r>
        <w:rPr>
          <w:rFonts w:ascii="Bookman Old Style" w:hAnsi="Bookman Old Style"/>
        </w:rPr>
        <w:t xml:space="preserve">Argumenta </w:t>
      </w:r>
      <w:r w:rsidR="00DB24AD">
        <w:rPr>
          <w:rFonts w:ascii="Bookman Old Style" w:hAnsi="Bookman Old Style"/>
        </w:rPr>
        <w:t xml:space="preserve">el recurrente que </w:t>
      </w:r>
      <w:r w:rsidR="000739E4">
        <w:rPr>
          <w:rFonts w:ascii="Bookman Old Style" w:hAnsi="Bookman Old Style"/>
        </w:rPr>
        <w:t>l</w:t>
      </w:r>
      <w:r w:rsidR="000739E4" w:rsidRPr="000739E4">
        <w:rPr>
          <w:rFonts w:ascii="Bookman Old Style" w:hAnsi="Bookman Old Style"/>
        </w:rPr>
        <w:t xml:space="preserve">a </w:t>
      </w:r>
      <w:r w:rsidR="000739E4">
        <w:rPr>
          <w:rFonts w:ascii="Bookman Old Style" w:hAnsi="Bookman Old Style"/>
        </w:rPr>
        <w:t>Comisión</w:t>
      </w:r>
      <w:r w:rsidR="000739E4" w:rsidRPr="000739E4">
        <w:rPr>
          <w:rFonts w:ascii="Bookman Old Style" w:hAnsi="Bookman Old Style"/>
        </w:rPr>
        <w:t xml:space="preserve"> definió como cargo de comercialización el valor de </w:t>
      </w:r>
      <w:r w:rsidR="000739E4">
        <w:rPr>
          <w:rFonts w:ascii="Bookman Old Style" w:hAnsi="Bookman Old Style"/>
        </w:rPr>
        <w:t>$1.680,02</w:t>
      </w:r>
      <w:r w:rsidR="000739E4" w:rsidRPr="000739E4">
        <w:rPr>
          <w:rFonts w:ascii="Bookman Old Style" w:hAnsi="Bookman Old Style"/>
        </w:rPr>
        <w:t xml:space="preserve"> por factura para este nuevo mercado. No obst</w:t>
      </w:r>
      <w:r w:rsidR="000739E4">
        <w:rPr>
          <w:rFonts w:ascii="Bookman Old Style" w:hAnsi="Bookman Old Style"/>
        </w:rPr>
        <w:t>ante, analizados los elementos q</w:t>
      </w:r>
      <w:r w:rsidR="000739E4" w:rsidRPr="000739E4">
        <w:rPr>
          <w:rFonts w:ascii="Bookman Old Style" w:hAnsi="Bookman Old Style"/>
        </w:rPr>
        <w:t>ue se tomaron en cu</w:t>
      </w:r>
      <w:r w:rsidR="000739E4">
        <w:rPr>
          <w:rFonts w:ascii="Bookman Old Style" w:hAnsi="Bookman Old Style"/>
        </w:rPr>
        <w:t>e</w:t>
      </w:r>
      <w:r w:rsidR="000739E4" w:rsidRPr="000739E4">
        <w:rPr>
          <w:rFonts w:ascii="Bookman Old Style" w:hAnsi="Bookman Old Style"/>
        </w:rPr>
        <w:t>nta para realizar</w:t>
      </w:r>
      <w:r w:rsidR="000739E4">
        <w:rPr>
          <w:rFonts w:ascii="Bookman Old Style" w:hAnsi="Bookman Old Style"/>
        </w:rPr>
        <w:t xml:space="preserve"> los cálculos, tanto en la r</w:t>
      </w:r>
      <w:r w:rsidR="000739E4" w:rsidRPr="000739E4">
        <w:rPr>
          <w:rFonts w:ascii="Bookman Old Style" w:hAnsi="Bookman Old Style"/>
        </w:rPr>
        <w:t xml:space="preserve">esolución, como </w:t>
      </w:r>
      <w:r w:rsidR="000739E4">
        <w:rPr>
          <w:rFonts w:ascii="Bookman Old Style" w:hAnsi="Bookman Old Style"/>
        </w:rPr>
        <w:t>del</w:t>
      </w:r>
      <w:r w:rsidR="000739E4" w:rsidRPr="000739E4">
        <w:rPr>
          <w:rFonts w:ascii="Bookman Old Style" w:hAnsi="Bookman Old Style"/>
        </w:rPr>
        <w:t xml:space="preserve"> respectivo documento soporte, se constató que la CREG realizó la aplicación de la comparación de mercado para la determinación del cargo con un mercado que no cumple con las condiciones de similaridad del mercado nuevo sobre el cual se solicitó, lo cual es condición </w:t>
      </w:r>
      <w:r w:rsidR="000739E4" w:rsidRPr="000739E4">
        <w:rPr>
          <w:rFonts w:ascii="Bookman Old Style" w:hAnsi="Bookman Old Style"/>
          <w:i/>
        </w:rPr>
        <w:t>sine qua non</w:t>
      </w:r>
      <w:r w:rsidR="000739E4" w:rsidRPr="000739E4">
        <w:rPr>
          <w:rFonts w:ascii="Bookman Old Style" w:hAnsi="Bookman Old Style"/>
        </w:rPr>
        <w:t xml:space="preserve"> en el desarrollo de este tipo de operaciones tarifarias, de acuerdo</w:t>
      </w:r>
      <w:r w:rsidR="000739E4">
        <w:rPr>
          <w:rFonts w:ascii="Bookman Old Style" w:hAnsi="Bookman Old Style"/>
        </w:rPr>
        <w:t xml:space="preserve"> </w:t>
      </w:r>
      <w:r w:rsidR="000739E4" w:rsidRPr="000739E4">
        <w:rPr>
          <w:rFonts w:ascii="Bookman Old Style" w:hAnsi="Bookman Old Style"/>
        </w:rPr>
        <w:t>a</w:t>
      </w:r>
      <w:r w:rsidR="000739E4">
        <w:rPr>
          <w:rFonts w:ascii="Bookman Old Style" w:hAnsi="Bookman Old Style"/>
        </w:rPr>
        <w:t xml:space="preserve"> </w:t>
      </w:r>
      <w:r w:rsidR="000739E4" w:rsidRPr="000739E4">
        <w:rPr>
          <w:rFonts w:ascii="Bookman Old Style" w:hAnsi="Bookman Old Style"/>
        </w:rPr>
        <w:t>la regulación vigente</w:t>
      </w:r>
      <w:r w:rsidR="000739E4">
        <w:rPr>
          <w:rFonts w:ascii="Bookman Old Style" w:hAnsi="Bookman Old Style"/>
        </w:rPr>
        <w:t>.</w:t>
      </w:r>
    </w:p>
    <w:p w14:paraId="7315DAB1" w14:textId="462B20E4" w:rsidR="00C57F64" w:rsidRDefault="00225E54" w:rsidP="00AF2987">
      <w:pPr>
        <w:adjustRightInd w:val="0"/>
        <w:spacing w:before="240" w:after="240"/>
        <w:ind w:left="0" w:right="23"/>
        <w:jc w:val="both"/>
        <w:rPr>
          <w:rFonts w:ascii="Bookman Old Style" w:hAnsi="Bookman Old Style"/>
        </w:rPr>
      </w:pPr>
      <w:r>
        <w:rPr>
          <w:rFonts w:ascii="Bookman Old Style" w:hAnsi="Bookman Old Style"/>
        </w:rPr>
        <w:t>Señala</w:t>
      </w:r>
      <w:r w:rsidR="00E633CA">
        <w:rPr>
          <w:rFonts w:ascii="Bookman Old Style" w:hAnsi="Bookman Old Style"/>
        </w:rPr>
        <w:t xml:space="preserve"> que </w:t>
      </w:r>
      <w:r w:rsidR="00C57F64">
        <w:rPr>
          <w:rFonts w:ascii="Bookman Old Style" w:hAnsi="Bookman Old Style"/>
        </w:rPr>
        <w:t xml:space="preserve">según la información radicada en la Comisión mediante el radicado CREG E-2017-012045, la densidad </w:t>
      </w:r>
      <w:r w:rsidR="00C57F64" w:rsidRPr="00C57F64">
        <w:rPr>
          <w:rFonts w:ascii="Bookman Old Style" w:hAnsi="Bookman Old Style"/>
        </w:rPr>
        <w:t>promedio para el mercado de comercialización conformado por los municipios de Córdoba, Guaitarilla y Pupiales en el departamento de Nariño, es de 62,253</w:t>
      </w:r>
      <w:r w:rsidR="00C57F64">
        <w:rPr>
          <w:rFonts w:ascii="Bookman Old Style" w:hAnsi="Bookman Old Style"/>
        </w:rPr>
        <w:t xml:space="preserve"> usuarios/km de red (correspondiente</w:t>
      </w:r>
      <w:r w:rsidR="00C57F64" w:rsidRPr="00C57F64">
        <w:rPr>
          <w:rFonts w:ascii="Bookman Old Style" w:hAnsi="Bookman Old Style"/>
        </w:rPr>
        <w:t xml:space="preserve"> al resultado de 4.223,8 usuarios dividido en 67,848 Km de red, información del año 5).</w:t>
      </w:r>
    </w:p>
    <w:p w14:paraId="794D8462" w14:textId="7F99A8C9" w:rsidR="00C57F64" w:rsidRDefault="00F97B94" w:rsidP="00AF2987">
      <w:pPr>
        <w:adjustRightInd w:val="0"/>
        <w:spacing w:before="240" w:after="240"/>
        <w:ind w:left="0" w:right="23"/>
        <w:jc w:val="both"/>
        <w:rPr>
          <w:rFonts w:ascii="Bookman Old Style" w:hAnsi="Bookman Old Style"/>
        </w:rPr>
      </w:pPr>
      <w:r>
        <w:rPr>
          <w:rFonts w:ascii="Bookman Old Style" w:hAnsi="Bookman Old Style"/>
        </w:rPr>
        <w:t xml:space="preserve">Expone </w:t>
      </w:r>
      <w:r w:rsidR="001763DE">
        <w:rPr>
          <w:rFonts w:ascii="Bookman Old Style" w:hAnsi="Bookman Old Style"/>
        </w:rPr>
        <w:t>que,</w:t>
      </w:r>
      <w:r w:rsidR="0079633D">
        <w:rPr>
          <w:rFonts w:ascii="Bookman Old Style" w:hAnsi="Bookman Old Style"/>
        </w:rPr>
        <w:t xml:space="preserve"> p</w:t>
      </w:r>
      <w:r w:rsidR="001763DE">
        <w:rPr>
          <w:rFonts w:ascii="Bookman Old Style" w:hAnsi="Bookman Old Style"/>
        </w:rPr>
        <w:t>ara aplicar</w:t>
      </w:r>
      <w:r w:rsidR="0079633D" w:rsidRPr="0079633D">
        <w:rPr>
          <w:rFonts w:ascii="Bookman Old Style" w:hAnsi="Bookman Old Style"/>
        </w:rPr>
        <w:t xml:space="preserve"> la metodología de asignación de cargo de comercialización por comparación de mercados similares, el documento CREG 083 de 31 de Julio de 2018, que acompaña la resolución CREG 112 de 2018, en el numeral 3.2.1 define como mercado similar el mercado al cual se le aprobó el cargo de comercialización a través de las resoluciones CREG 041 de 2009, CREG </w:t>
      </w:r>
      <w:r w:rsidR="0079633D" w:rsidRPr="0079633D">
        <w:rPr>
          <w:rFonts w:ascii="Bookman Old Style" w:hAnsi="Bookman Old Style"/>
        </w:rPr>
        <w:lastRenderedPageBreak/>
        <w:t>124 de 2011 y CREG 190 de 2011.</w:t>
      </w:r>
      <w:r w:rsidR="0079633D">
        <w:rPr>
          <w:rFonts w:ascii="Bookman Old Style" w:hAnsi="Bookman Old Style"/>
        </w:rPr>
        <w:t xml:space="preserve"> Donde, </w:t>
      </w:r>
      <w:r w:rsidR="0025094E">
        <w:rPr>
          <w:rFonts w:ascii="Bookman Old Style" w:hAnsi="Bookman Old Style"/>
        </w:rPr>
        <w:t xml:space="preserve">al realizar la validación </w:t>
      </w:r>
      <w:r w:rsidR="00345BBB">
        <w:rPr>
          <w:rFonts w:ascii="Bookman Old Style" w:hAnsi="Bookman Old Style"/>
        </w:rPr>
        <w:t xml:space="preserve">de </w:t>
      </w:r>
      <w:r w:rsidR="0079633D">
        <w:rPr>
          <w:rFonts w:ascii="Bookman Old Style" w:hAnsi="Bookman Old Style"/>
        </w:rPr>
        <w:t>la densidad promedio</w:t>
      </w:r>
      <w:r w:rsidR="0079633D" w:rsidRPr="0079633D">
        <w:rPr>
          <w:rFonts w:ascii="Bookman Old Style" w:hAnsi="Bookman Old Style"/>
        </w:rPr>
        <w:t xml:space="preserve"> para </w:t>
      </w:r>
      <w:r w:rsidR="0079633D">
        <w:rPr>
          <w:rFonts w:ascii="Bookman Old Style" w:hAnsi="Bookman Old Style"/>
        </w:rPr>
        <w:t>el</w:t>
      </w:r>
      <w:r w:rsidR="0079633D" w:rsidRPr="0079633D">
        <w:rPr>
          <w:rFonts w:ascii="Bookman Old Style" w:hAnsi="Bookman Old Style"/>
        </w:rPr>
        <w:t xml:space="preserve"> mercado de comercialización de la Resolución 04</w:t>
      </w:r>
      <w:r w:rsidR="0079633D">
        <w:rPr>
          <w:rFonts w:ascii="Bookman Old Style" w:hAnsi="Bookman Old Style"/>
        </w:rPr>
        <w:t>1 de 2009 es de 43,425 usuarios/</w:t>
      </w:r>
      <w:r w:rsidR="0079633D" w:rsidRPr="0079633D">
        <w:rPr>
          <w:rFonts w:ascii="Bookman Old Style" w:hAnsi="Bookman Old Style"/>
        </w:rPr>
        <w:t>km de red.</w:t>
      </w:r>
    </w:p>
    <w:p w14:paraId="371EFACE" w14:textId="2F99A47B" w:rsidR="000F2813" w:rsidRDefault="00E855C9" w:rsidP="00AF2987">
      <w:pPr>
        <w:adjustRightInd w:val="0"/>
        <w:spacing w:before="240" w:after="240"/>
        <w:ind w:left="0" w:right="23"/>
        <w:jc w:val="both"/>
        <w:rPr>
          <w:rFonts w:ascii="Bookman Old Style" w:hAnsi="Bookman Old Style"/>
        </w:rPr>
      </w:pPr>
      <w:r>
        <w:rPr>
          <w:rFonts w:ascii="Bookman Old Style" w:hAnsi="Bookman Old Style"/>
        </w:rPr>
        <w:t>Adiciona que no</w:t>
      </w:r>
      <w:r w:rsidRPr="00E855C9">
        <w:rPr>
          <w:rFonts w:ascii="Bookman Old Style" w:hAnsi="Bookman Old Style"/>
        </w:rPr>
        <w:t xml:space="preserve"> existe similitud entre el mercado de comercialización conformado por los municipios de Córdoba,</w:t>
      </w:r>
      <w:r>
        <w:rPr>
          <w:rFonts w:ascii="Bookman Old Style" w:hAnsi="Bookman Old Style"/>
        </w:rPr>
        <w:t xml:space="preserve"> </w:t>
      </w:r>
      <w:r w:rsidRPr="00E855C9">
        <w:rPr>
          <w:rFonts w:ascii="Bookman Old Style" w:hAnsi="Bookman Old Style"/>
        </w:rPr>
        <w:t>Guaitarilla</w:t>
      </w:r>
      <w:r>
        <w:rPr>
          <w:rFonts w:ascii="Bookman Old Style" w:hAnsi="Bookman Old Style"/>
        </w:rPr>
        <w:t xml:space="preserve"> </w:t>
      </w:r>
      <w:r w:rsidRPr="00E855C9">
        <w:rPr>
          <w:rFonts w:ascii="Bookman Old Style" w:hAnsi="Bookman Old Style"/>
        </w:rPr>
        <w:t>y</w:t>
      </w:r>
      <w:r>
        <w:rPr>
          <w:rFonts w:ascii="Bookman Old Style" w:hAnsi="Bookman Old Style"/>
        </w:rPr>
        <w:t xml:space="preserve"> P</w:t>
      </w:r>
      <w:r w:rsidRPr="00E855C9">
        <w:rPr>
          <w:rFonts w:ascii="Bookman Old Style" w:hAnsi="Bookman Old Style"/>
        </w:rPr>
        <w:t>upiales en el departamento de Nariño con los m</w:t>
      </w:r>
      <w:r>
        <w:rPr>
          <w:rFonts w:ascii="Bookman Old Style" w:hAnsi="Bookman Old Style"/>
        </w:rPr>
        <w:t xml:space="preserve">ercados de las Resoluciones CREG </w:t>
      </w:r>
      <w:r w:rsidRPr="00E855C9">
        <w:rPr>
          <w:rFonts w:ascii="Bookman Old Style" w:hAnsi="Bookman Old Style"/>
        </w:rPr>
        <w:t>04</w:t>
      </w:r>
      <w:r>
        <w:rPr>
          <w:rFonts w:ascii="Bookman Old Style" w:hAnsi="Bookman Old Style"/>
        </w:rPr>
        <w:t xml:space="preserve">1 </w:t>
      </w:r>
      <w:r w:rsidRPr="00E855C9">
        <w:rPr>
          <w:rFonts w:ascii="Bookman Old Style" w:hAnsi="Bookman Old Style"/>
        </w:rPr>
        <w:t>de</w:t>
      </w:r>
      <w:r>
        <w:rPr>
          <w:rFonts w:ascii="Bookman Old Style" w:hAnsi="Bookman Old Style"/>
        </w:rPr>
        <w:t xml:space="preserve"> </w:t>
      </w:r>
      <w:r w:rsidRPr="00E855C9">
        <w:rPr>
          <w:rFonts w:ascii="Bookman Old Style" w:hAnsi="Bookman Old Style"/>
        </w:rPr>
        <w:t>2009</w:t>
      </w:r>
      <w:r>
        <w:rPr>
          <w:rFonts w:ascii="Bookman Old Style" w:hAnsi="Bookman Old Style"/>
        </w:rPr>
        <w:t xml:space="preserve"> </w:t>
      </w:r>
      <w:r w:rsidRPr="00E855C9">
        <w:rPr>
          <w:rFonts w:ascii="Bookman Old Style" w:hAnsi="Bookman Old Style"/>
        </w:rPr>
        <w:t>y</w:t>
      </w:r>
      <w:r>
        <w:rPr>
          <w:rFonts w:ascii="Bookman Old Style" w:hAnsi="Bookman Old Style"/>
        </w:rPr>
        <w:t xml:space="preserve"> </w:t>
      </w:r>
      <w:r w:rsidRPr="00E855C9">
        <w:rPr>
          <w:rFonts w:ascii="Bookman Old Style" w:hAnsi="Bookman Old Style"/>
        </w:rPr>
        <w:t>124 de 2011, en cuanto</w:t>
      </w:r>
      <w:r>
        <w:rPr>
          <w:rFonts w:ascii="Bookman Old Style" w:hAnsi="Bookman Old Style"/>
        </w:rPr>
        <w:t xml:space="preserve"> </w:t>
      </w:r>
      <w:r w:rsidRPr="00E855C9">
        <w:rPr>
          <w:rFonts w:ascii="Bookman Old Style" w:hAnsi="Bookman Old Style"/>
        </w:rPr>
        <w:t>a</w:t>
      </w:r>
      <w:r>
        <w:rPr>
          <w:rFonts w:ascii="Bookman Old Style" w:hAnsi="Bookman Old Style"/>
        </w:rPr>
        <w:t xml:space="preserve"> </w:t>
      </w:r>
      <w:r w:rsidRPr="00E855C9">
        <w:rPr>
          <w:rFonts w:ascii="Bookman Old Style" w:hAnsi="Bookman Old Style"/>
        </w:rPr>
        <w:t xml:space="preserve">la cantidad de municipios que los conforman </w:t>
      </w:r>
      <w:r>
        <w:rPr>
          <w:rFonts w:ascii="Bookman Old Style" w:hAnsi="Bookman Old Style"/>
        </w:rPr>
        <w:t>y a</w:t>
      </w:r>
      <w:r w:rsidRPr="00E855C9">
        <w:rPr>
          <w:rFonts w:ascii="Bookman Old Style" w:hAnsi="Bookman Old Style"/>
        </w:rPr>
        <w:t xml:space="preserve"> las cantidades en km de redes</w:t>
      </w:r>
      <w:r>
        <w:rPr>
          <w:rFonts w:ascii="Bookman Old Style" w:hAnsi="Bookman Old Style"/>
        </w:rPr>
        <w:t>.</w:t>
      </w:r>
    </w:p>
    <w:p w14:paraId="055417D2" w14:textId="76B4A5F2" w:rsidR="000F2813" w:rsidRDefault="008F1F3E" w:rsidP="00AF2987">
      <w:pPr>
        <w:adjustRightInd w:val="0"/>
        <w:spacing w:before="240" w:after="240"/>
        <w:ind w:left="0" w:right="23"/>
        <w:jc w:val="both"/>
        <w:rPr>
          <w:rFonts w:ascii="Bookman Old Style" w:hAnsi="Bookman Old Style"/>
        </w:rPr>
      </w:pPr>
      <w:r>
        <w:rPr>
          <w:rFonts w:ascii="Bookman Old Style" w:hAnsi="Bookman Old Style"/>
        </w:rPr>
        <w:t xml:space="preserve">Así mismo señala, </w:t>
      </w:r>
      <w:r w:rsidR="00831990">
        <w:rPr>
          <w:rFonts w:ascii="Bookman Old Style" w:hAnsi="Bookman Old Style"/>
        </w:rPr>
        <w:t xml:space="preserve">que </w:t>
      </w:r>
      <w:r w:rsidR="00831990" w:rsidRPr="00831990">
        <w:rPr>
          <w:rFonts w:ascii="Bookman Old Style" w:hAnsi="Bookman Old Style"/>
        </w:rPr>
        <w:t>una vez analizada la información de vinculación de usuarios presentada en la solicitud de cargos para el mercado conformado por los municipios de Córdoba, Guaitarilla y Pupiales en el departamento de Nariño, con los cuales se calculó el cargo de distribución de la resolución CREG 111 de 2018, evidenc</w:t>
      </w:r>
      <w:r w:rsidR="00831990">
        <w:rPr>
          <w:rFonts w:ascii="Bookman Old Style" w:hAnsi="Bookman Old Style"/>
        </w:rPr>
        <w:t>ió</w:t>
      </w:r>
      <w:r w:rsidR="00831990" w:rsidRPr="00831990">
        <w:rPr>
          <w:rFonts w:ascii="Bookman Old Style" w:hAnsi="Bookman Old Style"/>
        </w:rPr>
        <w:t xml:space="preserve"> la necesidad de presentar recurso al cargo de distribución de este mercado, modificando precisamente la proyección de vinculación de usuarios por año, aspecto que incide directamente en el cálculo del Cargo de Comercialización objeto de este recurso.</w:t>
      </w:r>
      <w:r w:rsidR="00831990">
        <w:rPr>
          <w:rFonts w:ascii="Bookman Old Style" w:hAnsi="Bookman Old Style"/>
        </w:rPr>
        <w:t xml:space="preserve"> </w:t>
      </w:r>
      <w:r w:rsidR="00831990" w:rsidRPr="00831990">
        <w:rPr>
          <w:rFonts w:ascii="Bookman Old Style" w:hAnsi="Bookman Old Style"/>
        </w:rPr>
        <w:t>Es decir, la densidad promedio para el mercado de comercialización es de 43,697 usuarios/km de red.</w:t>
      </w:r>
    </w:p>
    <w:p w14:paraId="34238F11" w14:textId="0B4F2B9B" w:rsidR="00831990" w:rsidRDefault="002616F7" w:rsidP="00AF2987">
      <w:pPr>
        <w:adjustRightInd w:val="0"/>
        <w:spacing w:before="240" w:after="240"/>
        <w:ind w:left="0" w:right="23"/>
        <w:jc w:val="both"/>
        <w:rPr>
          <w:rFonts w:ascii="Bookman Old Style" w:hAnsi="Bookman Old Style"/>
        </w:rPr>
      </w:pPr>
      <w:r>
        <w:rPr>
          <w:rFonts w:ascii="Bookman Old Style" w:hAnsi="Bookman Old Style"/>
        </w:rPr>
        <w:t xml:space="preserve">Por último, pone en consideración de la Comisión reconocer la similitud del mercado </w:t>
      </w:r>
      <w:r w:rsidRPr="00831990">
        <w:rPr>
          <w:rFonts w:ascii="Bookman Old Style" w:hAnsi="Bookman Old Style"/>
        </w:rPr>
        <w:t>conformado por los municipios de Córdoba, Guaitarilla y Pupiales en el departamento de Nariño</w:t>
      </w:r>
      <w:r>
        <w:rPr>
          <w:rFonts w:ascii="Bookman Old Style" w:hAnsi="Bookman Old Style"/>
        </w:rPr>
        <w:t xml:space="preserve">, con el aprobado mediante la Resolución CREG 114 de 2007 que corresponde al </w:t>
      </w:r>
      <w:r w:rsidRPr="002616F7">
        <w:rPr>
          <w:rFonts w:ascii="Bookman Old Style" w:hAnsi="Bookman Old Style"/>
        </w:rPr>
        <w:t>mercado relevante conformado por los municipios de Nátaga y Col</w:t>
      </w:r>
      <w:r>
        <w:rPr>
          <w:rFonts w:ascii="Bookman Old Style" w:hAnsi="Bookman Old Style"/>
        </w:rPr>
        <w:t>ombia en el departamento del Hui</w:t>
      </w:r>
      <w:r w:rsidR="0076136B">
        <w:rPr>
          <w:rFonts w:ascii="Bookman Old Style" w:hAnsi="Bookman Old Style"/>
        </w:rPr>
        <w:t xml:space="preserve">la, donde la densidad </w:t>
      </w:r>
      <w:r w:rsidR="00A67D7A">
        <w:rPr>
          <w:rFonts w:ascii="Bookman Old Style" w:hAnsi="Bookman Old Style"/>
        </w:rPr>
        <w:t>corresponde a 43,685 usuarios/km de red de acuerdo con la información utilizada por la CREG en el modelo DEA.</w:t>
      </w:r>
    </w:p>
    <w:p w14:paraId="0334AF55" w14:textId="33AFDF51" w:rsidR="00831990" w:rsidRDefault="00125D06" w:rsidP="00AF2987">
      <w:pPr>
        <w:adjustRightInd w:val="0"/>
        <w:spacing w:before="240" w:after="240"/>
        <w:ind w:left="0" w:right="23"/>
        <w:jc w:val="both"/>
        <w:rPr>
          <w:rFonts w:ascii="Bookman Old Style" w:hAnsi="Bookman Old Style"/>
        </w:rPr>
      </w:pPr>
      <w:r>
        <w:rPr>
          <w:rFonts w:ascii="Bookman Old Style" w:hAnsi="Bookman Old Style"/>
        </w:rPr>
        <w:t xml:space="preserve">Argumenta que </w:t>
      </w:r>
      <w:r w:rsidRPr="00125D06">
        <w:rPr>
          <w:rFonts w:ascii="Bookman Old Style" w:hAnsi="Bookman Old Style"/>
        </w:rPr>
        <w:t xml:space="preserve">no reconocer la similitud </w:t>
      </w:r>
      <w:r>
        <w:rPr>
          <w:rFonts w:ascii="Bookman Old Style" w:hAnsi="Bookman Old Style"/>
        </w:rPr>
        <w:t>del</w:t>
      </w:r>
      <w:r w:rsidRPr="00125D06">
        <w:rPr>
          <w:rFonts w:ascii="Bookman Old Style" w:hAnsi="Bookman Old Style"/>
        </w:rPr>
        <w:t xml:space="preserve"> mercado</w:t>
      </w:r>
      <w:r>
        <w:rPr>
          <w:rFonts w:ascii="Bookman Old Style" w:hAnsi="Bookman Old Style"/>
        </w:rPr>
        <w:t xml:space="preserve"> </w:t>
      </w:r>
      <w:r w:rsidRPr="00831990">
        <w:rPr>
          <w:rFonts w:ascii="Bookman Old Style" w:hAnsi="Bookman Old Style"/>
        </w:rPr>
        <w:t>de Córdoba, Guaitarilla y Pupiales</w:t>
      </w:r>
      <w:r w:rsidRPr="00125D06">
        <w:rPr>
          <w:rFonts w:ascii="Bookman Old Style" w:hAnsi="Bookman Old Style"/>
        </w:rPr>
        <w:t xml:space="preserve"> con el conformado</w:t>
      </w:r>
      <w:r>
        <w:rPr>
          <w:rFonts w:ascii="Bookman Old Style" w:hAnsi="Bookman Old Style"/>
        </w:rPr>
        <w:t xml:space="preserve"> </w:t>
      </w:r>
      <w:r w:rsidRPr="00125D06">
        <w:rPr>
          <w:rFonts w:ascii="Bookman Old Style" w:hAnsi="Bookman Old Style"/>
        </w:rPr>
        <w:t>por</w:t>
      </w:r>
      <w:r>
        <w:rPr>
          <w:rFonts w:ascii="Bookman Old Style" w:hAnsi="Bookman Old Style"/>
        </w:rPr>
        <w:t xml:space="preserve"> </w:t>
      </w:r>
      <w:r w:rsidRPr="00125D06">
        <w:rPr>
          <w:rFonts w:ascii="Bookman Old Style" w:hAnsi="Bookman Old Style"/>
        </w:rPr>
        <w:t>la Resolución</w:t>
      </w:r>
      <w:r>
        <w:rPr>
          <w:rFonts w:ascii="Bookman Old Style" w:hAnsi="Bookman Old Style"/>
        </w:rPr>
        <w:t xml:space="preserve"> C</w:t>
      </w:r>
      <w:r w:rsidRPr="00125D06">
        <w:rPr>
          <w:rFonts w:ascii="Bookman Old Style" w:hAnsi="Bookman Old Style"/>
        </w:rPr>
        <w:t>REG 114</w:t>
      </w:r>
      <w:r>
        <w:rPr>
          <w:rFonts w:ascii="Bookman Old Style" w:hAnsi="Bookman Old Style"/>
        </w:rPr>
        <w:t xml:space="preserve"> </w:t>
      </w:r>
      <w:r w:rsidRPr="00125D06">
        <w:rPr>
          <w:rFonts w:ascii="Bookman Old Style" w:hAnsi="Bookman Old Style"/>
        </w:rPr>
        <w:t>de</w:t>
      </w:r>
      <w:r>
        <w:rPr>
          <w:rFonts w:ascii="Bookman Old Style" w:hAnsi="Bookman Old Style"/>
        </w:rPr>
        <w:t xml:space="preserve"> </w:t>
      </w:r>
      <w:r w:rsidRPr="00125D06">
        <w:rPr>
          <w:rFonts w:ascii="Bookman Old Style" w:hAnsi="Bookman Old Style"/>
        </w:rPr>
        <w:t>2007, viola</w:t>
      </w:r>
      <w:r>
        <w:rPr>
          <w:rFonts w:ascii="Bookman Old Style" w:hAnsi="Bookman Old Style"/>
        </w:rPr>
        <w:t xml:space="preserve"> </w:t>
      </w:r>
      <w:r w:rsidRPr="00125D06">
        <w:rPr>
          <w:rFonts w:ascii="Bookman Old Style" w:hAnsi="Bookman Old Style"/>
        </w:rPr>
        <w:t>el principio de suficiencia financiera, en</w:t>
      </w:r>
      <w:r>
        <w:rPr>
          <w:rFonts w:ascii="Bookman Old Style" w:hAnsi="Bookman Old Style"/>
        </w:rPr>
        <w:t xml:space="preserve"> el entendido q</w:t>
      </w:r>
      <w:r w:rsidRPr="00125D06">
        <w:rPr>
          <w:rFonts w:ascii="Bookman Old Style" w:hAnsi="Bookman Old Style"/>
        </w:rPr>
        <w:t>ue un carg</w:t>
      </w:r>
      <w:r>
        <w:rPr>
          <w:rFonts w:ascii="Bookman Old Style" w:hAnsi="Bookman Old Style"/>
        </w:rPr>
        <w:t>o menor basado en otro mercado q</w:t>
      </w:r>
      <w:r w:rsidRPr="00125D06">
        <w:rPr>
          <w:rFonts w:ascii="Bookman Old Style" w:hAnsi="Bookman Old Style"/>
        </w:rPr>
        <w:t>ue no es realmente similar</w:t>
      </w:r>
      <w:r>
        <w:rPr>
          <w:rFonts w:ascii="Bookman Old Style" w:hAnsi="Bookman Old Style"/>
        </w:rPr>
        <w:t xml:space="preserve"> </w:t>
      </w:r>
      <w:r w:rsidRPr="00125D06">
        <w:rPr>
          <w:rFonts w:ascii="Bookman Old Style" w:hAnsi="Bookman Old Style"/>
        </w:rPr>
        <w:t xml:space="preserve">al </w:t>
      </w:r>
      <w:r w:rsidR="00225E54">
        <w:rPr>
          <w:rFonts w:ascii="Bookman Old Style" w:hAnsi="Bookman Old Style"/>
        </w:rPr>
        <w:t>de la empresa</w:t>
      </w:r>
      <w:r w:rsidRPr="00125D06">
        <w:rPr>
          <w:rFonts w:ascii="Bookman Old Style" w:hAnsi="Bookman Old Style"/>
        </w:rPr>
        <w:t>, no garantiza la recuperación de los</w:t>
      </w:r>
      <w:r>
        <w:rPr>
          <w:rFonts w:ascii="Bookman Old Style" w:hAnsi="Bookman Old Style"/>
        </w:rPr>
        <w:t xml:space="preserve"> </w:t>
      </w:r>
      <w:r w:rsidRPr="00125D06">
        <w:rPr>
          <w:rFonts w:ascii="Bookman Old Style" w:hAnsi="Bookman Old Style"/>
        </w:rPr>
        <w:t>costos</w:t>
      </w:r>
      <w:r>
        <w:rPr>
          <w:rFonts w:ascii="Bookman Old Style" w:hAnsi="Bookman Old Style"/>
        </w:rPr>
        <w:t xml:space="preserve"> </w:t>
      </w:r>
      <w:r w:rsidRPr="00125D06">
        <w:rPr>
          <w:rFonts w:ascii="Bookman Old Style" w:hAnsi="Bookman Old Style"/>
        </w:rPr>
        <w:t>y</w:t>
      </w:r>
      <w:r>
        <w:rPr>
          <w:rFonts w:ascii="Bookman Old Style" w:hAnsi="Bookman Old Style"/>
        </w:rPr>
        <w:t xml:space="preserve"> </w:t>
      </w:r>
      <w:r w:rsidRPr="00125D06">
        <w:rPr>
          <w:rFonts w:ascii="Bookman Old Style" w:hAnsi="Bookman Old Style"/>
        </w:rPr>
        <w:t>gastos propios de operación en la actividad de comercialización, generando ineficiencias sobre todo en el mejoramiento de la calidad,</w:t>
      </w:r>
      <w:r>
        <w:rPr>
          <w:rFonts w:ascii="Bookman Old Style" w:hAnsi="Bookman Old Style"/>
        </w:rPr>
        <w:t xml:space="preserve"> </w:t>
      </w:r>
      <w:r w:rsidRPr="00125D06">
        <w:rPr>
          <w:rFonts w:ascii="Bookman Old Style" w:hAnsi="Bookman Old Style"/>
        </w:rPr>
        <w:t>continuidad</w:t>
      </w:r>
      <w:r>
        <w:rPr>
          <w:rFonts w:ascii="Bookman Old Style" w:hAnsi="Bookman Old Style"/>
        </w:rPr>
        <w:t xml:space="preserve"> </w:t>
      </w:r>
      <w:r w:rsidRPr="00125D06">
        <w:rPr>
          <w:rFonts w:ascii="Bookman Old Style" w:hAnsi="Bookman Old Style"/>
        </w:rPr>
        <w:t>y</w:t>
      </w:r>
      <w:r>
        <w:rPr>
          <w:rFonts w:ascii="Bookman Old Style" w:hAnsi="Bookman Old Style"/>
        </w:rPr>
        <w:t xml:space="preserve"> </w:t>
      </w:r>
      <w:r w:rsidRPr="00125D06">
        <w:rPr>
          <w:rFonts w:ascii="Bookman Old Style" w:hAnsi="Bookman Old Style"/>
        </w:rPr>
        <w:t>seguridad del servicio de gas</w:t>
      </w:r>
      <w:r>
        <w:rPr>
          <w:rFonts w:ascii="Bookman Old Style" w:hAnsi="Bookman Old Style"/>
        </w:rPr>
        <w:t xml:space="preserve"> </w:t>
      </w:r>
      <w:r w:rsidRPr="00125D06">
        <w:rPr>
          <w:rFonts w:ascii="Bookman Old Style" w:hAnsi="Bookman Old Style"/>
        </w:rPr>
        <w:t>a</w:t>
      </w:r>
      <w:r>
        <w:rPr>
          <w:rFonts w:ascii="Bookman Old Style" w:hAnsi="Bookman Old Style"/>
        </w:rPr>
        <w:t xml:space="preserve"> </w:t>
      </w:r>
      <w:r w:rsidRPr="00125D06">
        <w:rPr>
          <w:rFonts w:ascii="Bookman Old Style" w:hAnsi="Bookman Old Style"/>
        </w:rPr>
        <w:t>los usuarios.</w:t>
      </w:r>
    </w:p>
    <w:p w14:paraId="46C8BAAC" w14:textId="5CB9E5C3" w:rsidR="00BE7619" w:rsidRDefault="00BE7619" w:rsidP="00AF2987">
      <w:pPr>
        <w:adjustRightInd w:val="0"/>
        <w:spacing w:before="240" w:after="240"/>
        <w:ind w:left="0" w:right="23"/>
        <w:jc w:val="both"/>
        <w:rPr>
          <w:rFonts w:ascii="Bookman Old Style" w:hAnsi="Bookman Old Style"/>
        </w:rPr>
      </w:pPr>
      <w:r>
        <w:rPr>
          <w:rFonts w:ascii="Bookman Old Style" w:hAnsi="Bookman Old Style"/>
        </w:rPr>
        <w:t xml:space="preserve">Por último, hace </w:t>
      </w:r>
      <w:r w:rsidRPr="00BE7619">
        <w:rPr>
          <w:rFonts w:ascii="Bookman Old Style" w:hAnsi="Bookman Old Style"/>
        </w:rPr>
        <w:t>parte integral de</w:t>
      </w:r>
      <w:r>
        <w:rPr>
          <w:rFonts w:ascii="Bookman Old Style" w:hAnsi="Bookman Old Style"/>
        </w:rPr>
        <w:t>l</w:t>
      </w:r>
      <w:r w:rsidRPr="00BE7619">
        <w:rPr>
          <w:rFonts w:ascii="Bookman Old Style" w:hAnsi="Bookman Old Style"/>
        </w:rPr>
        <w:t xml:space="preserve"> recurso</w:t>
      </w:r>
      <w:r>
        <w:rPr>
          <w:rFonts w:ascii="Bookman Old Style" w:hAnsi="Bookman Old Style"/>
        </w:rPr>
        <w:t>:</w:t>
      </w:r>
      <w:r w:rsidRPr="00BE7619">
        <w:rPr>
          <w:rFonts w:ascii="Bookman Old Style" w:hAnsi="Bookman Old Style"/>
        </w:rPr>
        <w:t xml:space="preserve"> i) </w:t>
      </w:r>
      <w:r w:rsidR="006E65B3">
        <w:rPr>
          <w:rFonts w:ascii="Bookman Old Style" w:hAnsi="Bookman Old Style"/>
        </w:rPr>
        <w:t>estudio de proyección de d</w:t>
      </w:r>
      <w:r w:rsidR="006E65B3" w:rsidRPr="006E65B3">
        <w:rPr>
          <w:rFonts w:ascii="Bookman Old Style" w:hAnsi="Bookman Old Style"/>
        </w:rPr>
        <w:t>emanda para el mercado de gas conformado por los municipios de Córdoba</w:t>
      </w:r>
      <w:r w:rsidR="006E65B3">
        <w:rPr>
          <w:rFonts w:ascii="Bookman Old Style" w:hAnsi="Bookman Old Style"/>
        </w:rPr>
        <w:t>, Guaitarilla y Pupiales en Nariño, ii) Resolución CREG 114 de 2007, iii)</w:t>
      </w:r>
      <w:r w:rsidR="006E65B3" w:rsidRPr="006E65B3">
        <w:rPr>
          <w:rFonts w:ascii="Bookman Old Style" w:hAnsi="Bookman Old Style"/>
        </w:rPr>
        <w:t xml:space="preserve"> Tabla DataCluster publicada en el año 2010</w:t>
      </w:r>
      <w:r w:rsidR="006E65B3">
        <w:rPr>
          <w:rFonts w:ascii="Bookman Old Style" w:hAnsi="Bookman Old Style"/>
        </w:rPr>
        <w:t xml:space="preserve"> y iv)</w:t>
      </w:r>
      <w:r w:rsidR="006E65B3" w:rsidRPr="006E65B3">
        <w:rPr>
          <w:rFonts w:ascii="Bookman Old Style" w:hAnsi="Bookman Old Style"/>
        </w:rPr>
        <w:t xml:space="preserve"> Copia del Convenio GGC 645 de 2017</w:t>
      </w:r>
      <w:r w:rsidR="006E65B3">
        <w:rPr>
          <w:rFonts w:ascii="Bookman Old Style" w:hAnsi="Bookman Old Style"/>
        </w:rPr>
        <w:t>.</w:t>
      </w:r>
    </w:p>
    <w:p w14:paraId="444746BA" w14:textId="2B6D5BE8" w:rsidR="00626EED" w:rsidRPr="00626EED" w:rsidRDefault="00E16DC8" w:rsidP="00245A33">
      <w:pPr>
        <w:pStyle w:val="Ttulo5"/>
        <w:numPr>
          <w:ilvl w:val="0"/>
          <w:numId w:val="2"/>
        </w:numPr>
        <w:tabs>
          <w:tab w:val="clear" w:pos="1080"/>
          <w:tab w:val="num" w:pos="567"/>
        </w:tabs>
        <w:spacing w:before="360" w:after="240"/>
        <w:ind w:left="567" w:hanging="567"/>
        <w:jc w:val="both"/>
        <w:rPr>
          <w:rFonts w:ascii="Bookman Old Style" w:eastAsia="Calibri" w:hAnsi="Bookman Old Style"/>
          <w:sz w:val="24"/>
          <w:szCs w:val="24"/>
          <w:lang w:eastAsia="es-CO"/>
        </w:rPr>
      </w:pPr>
      <w:r>
        <w:rPr>
          <w:rFonts w:ascii="Bookman Old Style" w:eastAsia="Calibri" w:hAnsi="Bookman Old Style"/>
          <w:sz w:val="24"/>
          <w:szCs w:val="24"/>
          <w:lang w:eastAsia="es-CO"/>
        </w:rPr>
        <w:t xml:space="preserve">PETICIÓN DE </w:t>
      </w:r>
      <w:r w:rsidR="00D701CB">
        <w:rPr>
          <w:rFonts w:ascii="Bookman Old Style" w:eastAsia="Calibri" w:hAnsi="Bookman Old Style"/>
          <w:sz w:val="24"/>
          <w:szCs w:val="24"/>
          <w:lang w:eastAsia="es-CO"/>
        </w:rPr>
        <w:t>INGENIERIA Y SERVICIOS</w:t>
      </w:r>
      <w:r w:rsidR="00626EED" w:rsidRPr="00626EED">
        <w:rPr>
          <w:rFonts w:ascii="Bookman Old Style" w:eastAsia="Calibri" w:hAnsi="Bookman Old Style"/>
          <w:sz w:val="24"/>
          <w:szCs w:val="24"/>
          <w:lang w:eastAsia="es-CO"/>
        </w:rPr>
        <w:t xml:space="preserve"> S.A. E.S.P.</w:t>
      </w:r>
    </w:p>
    <w:p w14:paraId="64E9900C" w14:textId="101C5DEA" w:rsidR="0076136B" w:rsidRPr="0053306F" w:rsidRDefault="0076136B" w:rsidP="0076136B">
      <w:pPr>
        <w:pStyle w:val="Prrafodelista"/>
        <w:numPr>
          <w:ilvl w:val="0"/>
          <w:numId w:val="12"/>
        </w:numPr>
        <w:adjustRightInd w:val="0"/>
        <w:spacing w:before="240" w:after="240"/>
        <w:ind w:right="23"/>
        <w:jc w:val="both"/>
        <w:rPr>
          <w:rFonts w:ascii="Bookman Old Style" w:hAnsi="Bookman Old Style"/>
          <w:sz w:val="24"/>
          <w:szCs w:val="24"/>
          <w:lang w:val="es-ES"/>
        </w:rPr>
      </w:pPr>
      <w:r>
        <w:rPr>
          <w:rFonts w:ascii="Bookman Old Style" w:hAnsi="Bookman Old Style"/>
          <w:sz w:val="24"/>
          <w:szCs w:val="24"/>
          <w:lang w:val="es-ES"/>
        </w:rPr>
        <w:t>S</w:t>
      </w:r>
      <w:r w:rsidRPr="0076136B">
        <w:rPr>
          <w:rFonts w:ascii="Bookman Old Style" w:hAnsi="Bookman Old Style"/>
          <w:sz w:val="24"/>
          <w:szCs w:val="24"/>
          <w:lang w:val="es-ES"/>
        </w:rPr>
        <w:t xml:space="preserve">e solicita modificar el artículo 2. Cargo Máximo Base de Comercialización de la Resolución CREG 112 de 2018, reconociendo el valor de $3.345,6 ($/factura) a precios del 31 de diciembre de 2016, para el mercado relevante conformado por los municipios de Córdoba, Guaitarilla y Pupiales en el departamento de Nariño; bajo la comparación con un mercado realmente similar como el de la Resolución CREG 114 de 2007 </w:t>
      </w:r>
      <w:r w:rsidRPr="0076136B">
        <w:rPr>
          <w:rFonts w:ascii="Bookman Old Style" w:hAnsi="Bookman Old Style"/>
          <w:sz w:val="24"/>
          <w:szCs w:val="24"/>
          <w:lang w:val="es-ES"/>
        </w:rPr>
        <w:lastRenderedPageBreak/>
        <w:t>conformado por los municipios de Nataga y Col</w:t>
      </w:r>
      <w:r>
        <w:rPr>
          <w:rFonts w:ascii="Bookman Old Style" w:hAnsi="Bookman Old Style"/>
          <w:sz w:val="24"/>
          <w:szCs w:val="24"/>
          <w:lang w:val="es-ES"/>
        </w:rPr>
        <w:t>ombia en el departamento de Huil</w:t>
      </w:r>
      <w:r w:rsidRPr="0076136B">
        <w:rPr>
          <w:rFonts w:ascii="Bookman Old Style" w:hAnsi="Bookman Old Style"/>
          <w:sz w:val="24"/>
          <w:szCs w:val="24"/>
          <w:lang w:val="es-ES"/>
        </w:rPr>
        <w:t xml:space="preserve">a, por cuanto su densidad es de 43,685 usuarios/km </w:t>
      </w:r>
      <w:r w:rsidRPr="0053306F">
        <w:rPr>
          <w:rFonts w:ascii="Bookman Old Style" w:hAnsi="Bookman Old Style"/>
          <w:sz w:val="24"/>
          <w:szCs w:val="24"/>
          <w:lang w:val="es-ES"/>
        </w:rPr>
        <w:t>de red, de acuerdo con la información utilizada por la CREG en el modelo DEA, como se puede observar en la tabla anexa DataCluster publicada en el año 2010.</w:t>
      </w:r>
    </w:p>
    <w:p w14:paraId="64622D0B" w14:textId="40A78E9F" w:rsidR="00DD3BDF" w:rsidRPr="00DD3BDF" w:rsidRDefault="00F165C7" w:rsidP="00F165C7">
      <w:pPr>
        <w:pStyle w:val="Prrafodelista"/>
        <w:numPr>
          <w:ilvl w:val="0"/>
          <w:numId w:val="12"/>
        </w:numPr>
        <w:adjustRightInd w:val="0"/>
        <w:spacing w:before="240" w:after="240"/>
        <w:ind w:right="23"/>
        <w:jc w:val="both"/>
        <w:rPr>
          <w:rFonts w:ascii="Bookman Old Style" w:hAnsi="Bookman Old Style"/>
          <w:sz w:val="24"/>
          <w:szCs w:val="24"/>
          <w:lang w:val="es-ES"/>
        </w:rPr>
      </w:pPr>
      <w:r w:rsidRPr="00F165C7">
        <w:rPr>
          <w:rFonts w:ascii="Bookman Old Style" w:hAnsi="Bookman Old Style"/>
          <w:sz w:val="24"/>
          <w:szCs w:val="24"/>
          <w:lang w:val="es-ES"/>
        </w:rPr>
        <w:t>De forma subsidiaria, y dados los antecedentes presentados, para el mercado de Córdoba, Guaitarilla y Pupiales en el departamento de Nariño, en las condiciones inicia</w:t>
      </w:r>
      <w:r>
        <w:rPr>
          <w:rFonts w:ascii="Bookman Old Style" w:hAnsi="Bookman Old Style"/>
          <w:sz w:val="24"/>
          <w:szCs w:val="24"/>
          <w:lang w:val="es-ES"/>
        </w:rPr>
        <w:t>les de vinculación de usuarios</w:t>
      </w:r>
      <w:r w:rsidRPr="00F165C7">
        <w:rPr>
          <w:rFonts w:ascii="Bookman Old Style" w:hAnsi="Bookman Old Style"/>
          <w:sz w:val="24"/>
          <w:szCs w:val="24"/>
          <w:lang w:val="es-ES"/>
        </w:rPr>
        <w:t>, consideramos que el mercado similar por relación de usuarios promedio y km de red promedio es el de La Unión Antioquia (Usuario/Km = 62,251) cuyos cargos fueron aprobados por las resoluciones CREG 054 de 2009 y CREG 079 de 2009.</w:t>
      </w:r>
    </w:p>
    <w:p w14:paraId="6D752042" w14:textId="77777777" w:rsidR="00626EED" w:rsidRDefault="00626EED" w:rsidP="00245A33">
      <w:pPr>
        <w:pStyle w:val="Ttulo5"/>
        <w:numPr>
          <w:ilvl w:val="0"/>
          <w:numId w:val="2"/>
        </w:numPr>
        <w:tabs>
          <w:tab w:val="clear" w:pos="1080"/>
        </w:tabs>
        <w:spacing w:before="360" w:after="240"/>
        <w:ind w:left="567" w:hanging="567"/>
        <w:jc w:val="both"/>
        <w:rPr>
          <w:rFonts w:ascii="Bookman Old Style" w:eastAsia="Calibri" w:hAnsi="Bookman Old Style"/>
          <w:sz w:val="24"/>
          <w:szCs w:val="24"/>
          <w:lang w:eastAsia="es-CO"/>
        </w:rPr>
      </w:pPr>
      <w:r w:rsidRPr="00626EED">
        <w:rPr>
          <w:rFonts w:ascii="Bookman Old Style" w:eastAsia="Calibri" w:hAnsi="Bookman Old Style"/>
          <w:sz w:val="24"/>
          <w:szCs w:val="24"/>
          <w:lang w:eastAsia="es-CO"/>
        </w:rPr>
        <w:t>ANÁLISIS DE LA CREG</w:t>
      </w:r>
    </w:p>
    <w:p w14:paraId="355A1AC3" w14:textId="65D5220E" w:rsidR="00CF057C" w:rsidRDefault="008D73D1" w:rsidP="00E51704">
      <w:pPr>
        <w:spacing w:before="240" w:after="240"/>
        <w:ind w:left="0"/>
        <w:jc w:val="both"/>
        <w:rPr>
          <w:rFonts w:ascii="Bookman Old Style" w:hAnsi="Bookman Old Style"/>
          <w:lang w:val="es-ES_tradnl"/>
        </w:rPr>
      </w:pPr>
      <w:r>
        <w:rPr>
          <w:rFonts w:ascii="Bookman Old Style" w:hAnsi="Bookman Old Style"/>
          <w:lang w:val="es-ES_tradnl"/>
        </w:rPr>
        <w:t>P</w:t>
      </w:r>
      <w:r w:rsidR="002C518D" w:rsidRPr="003E4D0A">
        <w:rPr>
          <w:rFonts w:ascii="Bookman Old Style" w:hAnsi="Bookman Old Style"/>
          <w:lang w:val="es-ES_tradnl"/>
        </w:rPr>
        <w:t>ara el análisis</w:t>
      </w:r>
      <w:r w:rsidR="002C518D">
        <w:rPr>
          <w:rFonts w:ascii="Bookman Old Style" w:hAnsi="Bookman Old Style"/>
          <w:lang w:val="es-ES_tradnl"/>
        </w:rPr>
        <w:t xml:space="preserve"> del recurso de reposición se consideraron</w:t>
      </w:r>
      <w:r w:rsidR="001D34FF">
        <w:rPr>
          <w:rFonts w:ascii="Bookman Old Style" w:hAnsi="Bookman Old Style"/>
          <w:lang w:val="es-ES_tradnl"/>
        </w:rPr>
        <w:t xml:space="preserve"> como suficientes </w:t>
      </w:r>
      <w:r w:rsidR="00CF057C">
        <w:rPr>
          <w:rFonts w:ascii="Bookman Old Style" w:hAnsi="Bookman Old Style"/>
          <w:lang w:val="es-ES_tradnl"/>
        </w:rPr>
        <w:t>las pruebas suministradas por la empresa INGENIERÍA Y SERVICIOS S.A. E.S.P.</w:t>
      </w:r>
      <w:r w:rsidR="006C56C5">
        <w:rPr>
          <w:rFonts w:ascii="Bookman Old Style" w:hAnsi="Bookman Old Style"/>
          <w:lang w:val="es-ES_tradnl"/>
        </w:rPr>
        <w:t>:</w:t>
      </w:r>
    </w:p>
    <w:p w14:paraId="6C4B11E3" w14:textId="77777777" w:rsidR="00CF057C" w:rsidRDefault="00CF057C" w:rsidP="006C56C5">
      <w:pPr>
        <w:pStyle w:val="Prrafodelista"/>
        <w:numPr>
          <w:ilvl w:val="0"/>
          <w:numId w:val="17"/>
        </w:numPr>
        <w:spacing w:before="240" w:after="240"/>
        <w:jc w:val="both"/>
        <w:rPr>
          <w:rFonts w:ascii="Bookman Old Style" w:hAnsi="Bookman Old Style"/>
          <w:sz w:val="24"/>
          <w:szCs w:val="24"/>
          <w:lang w:val="es-ES_tradnl"/>
        </w:rPr>
      </w:pPr>
      <w:r w:rsidRPr="00CF057C">
        <w:rPr>
          <w:rFonts w:ascii="Bookman Old Style" w:hAnsi="Bookman Old Style"/>
          <w:sz w:val="24"/>
          <w:szCs w:val="24"/>
          <w:lang w:val="es-ES_tradnl"/>
        </w:rPr>
        <w:t xml:space="preserve">Estudio de proyección de demanda para el mercado de gas conformado por los municipios de Córdoba, Guaitarilla y Pupiales (Nariño). </w:t>
      </w:r>
    </w:p>
    <w:p w14:paraId="57EC100D" w14:textId="6A69B872" w:rsidR="00CF057C" w:rsidRDefault="00FD76E9" w:rsidP="006C56C5">
      <w:pPr>
        <w:pStyle w:val="Prrafodelista"/>
        <w:numPr>
          <w:ilvl w:val="0"/>
          <w:numId w:val="17"/>
        </w:numPr>
        <w:spacing w:before="240" w:after="240"/>
        <w:jc w:val="both"/>
        <w:rPr>
          <w:rFonts w:ascii="Bookman Old Style" w:hAnsi="Bookman Old Style"/>
          <w:sz w:val="24"/>
          <w:szCs w:val="24"/>
          <w:lang w:val="es-ES_tradnl"/>
        </w:rPr>
      </w:pPr>
      <w:r>
        <w:rPr>
          <w:rFonts w:ascii="Bookman Old Style" w:hAnsi="Bookman Old Style"/>
          <w:sz w:val="24"/>
          <w:szCs w:val="24"/>
          <w:lang w:val="es-ES_tradnl"/>
        </w:rPr>
        <w:t>Resolución CREG 114 de 2007</w:t>
      </w:r>
      <w:r w:rsidR="00CF057C">
        <w:rPr>
          <w:rFonts w:ascii="Bookman Old Style" w:hAnsi="Bookman Old Style"/>
          <w:sz w:val="24"/>
          <w:szCs w:val="24"/>
          <w:lang w:val="es-ES_tradnl"/>
        </w:rPr>
        <w:t>.</w:t>
      </w:r>
    </w:p>
    <w:p w14:paraId="74D5D975" w14:textId="05D42AC4" w:rsidR="00FD76E9" w:rsidRDefault="0053306F" w:rsidP="006C56C5">
      <w:pPr>
        <w:pStyle w:val="Prrafodelista"/>
        <w:numPr>
          <w:ilvl w:val="0"/>
          <w:numId w:val="17"/>
        </w:numPr>
        <w:spacing w:before="240" w:after="240"/>
        <w:jc w:val="both"/>
        <w:rPr>
          <w:rFonts w:ascii="Bookman Old Style" w:hAnsi="Bookman Old Style"/>
          <w:sz w:val="24"/>
          <w:szCs w:val="24"/>
          <w:lang w:val="es-ES_tradnl"/>
        </w:rPr>
      </w:pPr>
      <w:r>
        <w:rPr>
          <w:rFonts w:ascii="Bookman Old Style" w:hAnsi="Bookman Old Style"/>
          <w:sz w:val="24"/>
          <w:szCs w:val="24"/>
          <w:lang w:val="es-ES_tradnl"/>
        </w:rPr>
        <w:t>Tab</w:t>
      </w:r>
      <w:r w:rsidR="00FD76E9">
        <w:rPr>
          <w:rFonts w:ascii="Bookman Old Style" w:hAnsi="Bookman Old Style"/>
          <w:sz w:val="24"/>
          <w:szCs w:val="24"/>
          <w:lang w:val="es-ES_tradnl"/>
        </w:rPr>
        <w:t>l</w:t>
      </w:r>
      <w:r>
        <w:rPr>
          <w:rFonts w:ascii="Bookman Old Style" w:hAnsi="Bookman Old Style"/>
          <w:sz w:val="24"/>
          <w:szCs w:val="24"/>
          <w:lang w:val="es-ES_tradnl"/>
        </w:rPr>
        <w:t>a</w:t>
      </w:r>
      <w:r w:rsidR="00FD76E9">
        <w:rPr>
          <w:rFonts w:ascii="Bookman Old Style" w:hAnsi="Bookman Old Style"/>
          <w:sz w:val="24"/>
          <w:szCs w:val="24"/>
          <w:lang w:val="es-ES_tradnl"/>
        </w:rPr>
        <w:t xml:space="preserve"> DataCluster publicada en el año 2010.</w:t>
      </w:r>
    </w:p>
    <w:p w14:paraId="24E3D92C" w14:textId="5AD377CF" w:rsidR="00FD76E9" w:rsidRPr="00382A13" w:rsidRDefault="00D56FB8" w:rsidP="006C56C5">
      <w:pPr>
        <w:pStyle w:val="Prrafodelista"/>
        <w:numPr>
          <w:ilvl w:val="0"/>
          <w:numId w:val="17"/>
        </w:numPr>
        <w:spacing w:before="240" w:after="240"/>
        <w:jc w:val="both"/>
        <w:rPr>
          <w:rFonts w:ascii="Bookman Old Style" w:hAnsi="Bookman Old Style"/>
          <w:sz w:val="24"/>
          <w:szCs w:val="24"/>
          <w:lang w:val="es-ES_tradnl"/>
        </w:rPr>
      </w:pPr>
      <w:r>
        <w:rPr>
          <w:rFonts w:ascii="Bookman Old Style" w:hAnsi="Bookman Old Style"/>
          <w:sz w:val="24"/>
          <w:szCs w:val="24"/>
          <w:lang w:val="es-ES_tradnl"/>
        </w:rPr>
        <w:t>Copia del convenio GGC 645 de 2017.</w:t>
      </w:r>
    </w:p>
    <w:p w14:paraId="338BAF19" w14:textId="77777777" w:rsidR="00927E2D" w:rsidRDefault="00927E2D" w:rsidP="00E51704">
      <w:pPr>
        <w:spacing w:before="240" w:after="240"/>
        <w:ind w:left="0"/>
        <w:jc w:val="both"/>
        <w:rPr>
          <w:rFonts w:ascii="Bookman Old Style" w:hAnsi="Bookman Old Style"/>
          <w:lang w:val="es-ES_tradnl"/>
        </w:rPr>
      </w:pPr>
      <w:r w:rsidRPr="00927E2D">
        <w:rPr>
          <w:rFonts w:ascii="Bookman Old Style" w:hAnsi="Bookman Old Style"/>
          <w:lang w:val="es-ES_tradnl"/>
        </w:rPr>
        <w:t>Con los elementos descritos, la Comisión procede a analizar la petición de la empresa INGENIERÍA Y SERVICIOS S.A. E.S.P., así:</w:t>
      </w:r>
    </w:p>
    <w:p w14:paraId="41451483" w14:textId="79A29AF8" w:rsidR="00185D79" w:rsidRDefault="00927E2D" w:rsidP="00E51704">
      <w:pPr>
        <w:spacing w:before="240" w:after="240"/>
        <w:ind w:left="0"/>
        <w:jc w:val="both"/>
        <w:rPr>
          <w:rFonts w:ascii="Bookman Old Style" w:hAnsi="Bookman Old Style"/>
          <w:lang w:val="es-ES_tradnl"/>
        </w:rPr>
      </w:pPr>
      <w:r>
        <w:rPr>
          <w:rFonts w:ascii="Bookman Old Style" w:hAnsi="Bookman Old Style"/>
          <w:lang w:val="es-ES_tradnl"/>
        </w:rPr>
        <w:t>A</w:t>
      </w:r>
      <w:r w:rsidR="00185D79">
        <w:rPr>
          <w:rFonts w:ascii="Bookman Old Style" w:hAnsi="Bookman Old Style"/>
          <w:lang w:val="es-ES_tradnl"/>
        </w:rPr>
        <w:t xml:space="preserve"> trav</w:t>
      </w:r>
      <w:r w:rsidR="00B26185">
        <w:rPr>
          <w:rFonts w:ascii="Bookman Old Style" w:hAnsi="Bookman Old Style"/>
          <w:lang w:val="es-ES_tradnl"/>
        </w:rPr>
        <w:t xml:space="preserve">és del radicado CREG E-2017-012045 </w:t>
      </w:r>
      <w:r w:rsidR="00FC5C4A">
        <w:rPr>
          <w:rFonts w:ascii="Bookman Old Style" w:hAnsi="Bookman Old Style"/>
          <w:lang w:val="es-ES_tradnl"/>
        </w:rPr>
        <w:t xml:space="preserve">del 26 de diciembre </w:t>
      </w:r>
      <w:r w:rsidR="00B26185">
        <w:rPr>
          <w:rFonts w:ascii="Bookman Old Style" w:hAnsi="Bookman Old Style"/>
          <w:lang w:val="es-ES_tradnl"/>
        </w:rPr>
        <w:t xml:space="preserve">la empresa INGENIERÍA Y SERVICIOS S.A. E.S.P. </w:t>
      </w:r>
      <w:r w:rsidR="00FC5C4A">
        <w:rPr>
          <w:rFonts w:ascii="Bookman Old Style" w:hAnsi="Bookman Old Style"/>
          <w:lang w:val="es-ES_tradnl"/>
        </w:rPr>
        <w:t>solicitó la aprobación de</w:t>
      </w:r>
      <w:r w:rsidR="00B36B57">
        <w:rPr>
          <w:rFonts w:ascii="Bookman Old Style" w:hAnsi="Bookman Old Style"/>
          <w:lang w:val="es-ES_tradnl"/>
        </w:rPr>
        <w:t xml:space="preserve"> </w:t>
      </w:r>
      <w:r w:rsidR="00FC5C4A">
        <w:rPr>
          <w:rFonts w:ascii="Bookman Old Style" w:hAnsi="Bookman Old Style"/>
          <w:lang w:val="es-ES_tradnl"/>
        </w:rPr>
        <w:t>l</w:t>
      </w:r>
      <w:r w:rsidR="00B36B57">
        <w:rPr>
          <w:rFonts w:ascii="Bookman Old Style" w:hAnsi="Bookman Old Style"/>
          <w:lang w:val="es-ES_tradnl"/>
        </w:rPr>
        <w:t>os</w:t>
      </w:r>
      <w:r w:rsidR="00FC5C4A">
        <w:rPr>
          <w:rFonts w:ascii="Bookman Old Style" w:hAnsi="Bookman Old Style"/>
          <w:lang w:val="es-ES_tradnl"/>
        </w:rPr>
        <w:t xml:space="preserve"> cargo</w:t>
      </w:r>
      <w:r w:rsidR="00B36B57">
        <w:rPr>
          <w:rFonts w:ascii="Bookman Old Style" w:hAnsi="Bookman Old Style"/>
          <w:lang w:val="es-ES_tradnl"/>
        </w:rPr>
        <w:t>s</w:t>
      </w:r>
      <w:r w:rsidR="00FC5C4A">
        <w:rPr>
          <w:rFonts w:ascii="Bookman Old Style" w:hAnsi="Bookman Old Style"/>
          <w:lang w:val="es-ES_tradnl"/>
        </w:rPr>
        <w:t xml:space="preserve"> de </w:t>
      </w:r>
      <w:r w:rsidR="00B36B57">
        <w:rPr>
          <w:rFonts w:ascii="Bookman Old Style" w:hAnsi="Bookman Old Style"/>
          <w:lang w:val="es-ES_tradnl"/>
        </w:rPr>
        <w:t xml:space="preserve">i) </w:t>
      </w:r>
      <w:r w:rsidR="00FC5C4A">
        <w:rPr>
          <w:rFonts w:ascii="Bookman Old Style" w:hAnsi="Bookman Old Style"/>
          <w:lang w:val="es-ES_tradnl"/>
        </w:rPr>
        <w:t xml:space="preserve">distribución y </w:t>
      </w:r>
      <w:r w:rsidR="00B36B57">
        <w:rPr>
          <w:rFonts w:ascii="Bookman Old Style" w:hAnsi="Bookman Old Style"/>
          <w:lang w:val="es-ES_tradnl"/>
        </w:rPr>
        <w:t xml:space="preserve">ii) </w:t>
      </w:r>
      <w:r w:rsidR="00FC5C4A">
        <w:rPr>
          <w:rFonts w:ascii="Bookman Old Style" w:hAnsi="Bookman Old Style"/>
          <w:lang w:val="es-ES_tradnl"/>
        </w:rPr>
        <w:t xml:space="preserve">comercialización del GLP </w:t>
      </w:r>
      <w:r w:rsidR="00B36B57">
        <w:rPr>
          <w:rFonts w:ascii="Bookman Old Style" w:hAnsi="Bookman Old Style"/>
          <w:lang w:val="es-ES_tradnl"/>
        </w:rPr>
        <w:t xml:space="preserve">por redes </w:t>
      </w:r>
      <w:r w:rsidR="00FC5C4A">
        <w:rPr>
          <w:rFonts w:ascii="Bookman Old Style" w:hAnsi="Bookman Old Style"/>
          <w:lang w:val="es-ES_tradnl"/>
        </w:rPr>
        <w:t>para el mercado relevante conformado por los municipios de Córdoba, Guaitarilla y Pupiales en el departamento de Nariño.</w:t>
      </w:r>
      <w:r w:rsidR="00104017">
        <w:rPr>
          <w:rFonts w:ascii="Bookman Old Style" w:hAnsi="Bookman Old Style"/>
          <w:lang w:val="es-ES_tradnl"/>
        </w:rPr>
        <w:t xml:space="preserve"> donde, dicho proyecto cuenta con aporte de recursos públicos otorgados por el Ministerio de Minas y Energía a trav</w:t>
      </w:r>
      <w:r w:rsidR="006F4673">
        <w:rPr>
          <w:rFonts w:ascii="Bookman Old Style" w:hAnsi="Bookman Old Style"/>
          <w:lang w:val="es-ES_tradnl"/>
        </w:rPr>
        <w:t>és del convenio GGC 645 de 2017.</w:t>
      </w:r>
    </w:p>
    <w:p w14:paraId="4E188C60" w14:textId="522DD21F" w:rsidR="00104017" w:rsidRDefault="00E61413" w:rsidP="00E61413">
      <w:pPr>
        <w:spacing w:before="240" w:after="240"/>
        <w:ind w:left="0"/>
        <w:jc w:val="both"/>
        <w:rPr>
          <w:rFonts w:ascii="Bookman Old Style" w:hAnsi="Bookman Old Style"/>
          <w:lang w:val="es-ES_tradnl"/>
        </w:rPr>
      </w:pPr>
      <w:r>
        <w:rPr>
          <w:rFonts w:ascii="Bookman Old Style" w:hAnsi="Bookman Old Style"/>
          <w:lang w:val="es-ES_tradnl"/>
        </w:rPr>
        <w:t xml:space="preserve">Así mismo, la empresa INGENIERÍA Y SERVICIOS S.A. E.S.P. tal y como lo manifiesta en el recurso modificó la proyección de vinculación de usuarios por año, tanto para los cargos </w:t>
      </w:r>
      <w:r w:rsidR="006F4673">
        <w:rPr>
          <w:rFonts w:ascii="Bookman Old Style" w:hAnsi="Bookman Old Style"/>
          <w:lang w:val="es-ES_tradnl"/>
        </w:rPr>
        <w:t xml:space="preserve">de comercialización </w:t>
      </w:r>
      <w:r>
        <w:rPr>
          <w:rFonts w:ascii="Bookman Old Style" w:hAnsi="Bookman Old Style"/>
          <w:lang w:val="es-ES_tradnl"/>
        </w:rPr>
        <w:t xml:space="preserve">aprobados mediante la Resolución CREG 112 de 2018, como para los </w:t>
      </w:r>
      <w:r w:rsidR="00345C5F">
        <w:rPr>
          <w:rFonts w:ascii="Bookman Old Style" w:hAnsi="Bookman Old Style"/>
          <w:lang w:val="es-ES_tradnl"/>
        </w:rPr>
        <w:t xml:space="preserve">cargos </w:t>
      </w:r>
      <w:r>
        <w:rPr>
          <w:rFonts w:ascii="Bookman Old Style" w:hAnsi="Bookman Old Style"/>
          <w:lang w:val="es-ES_tradnl"/>
        </w:rPr>
        <w:t>de distribución por redes de tuber</w:t>
      </w:r>
      <w:r w:rsidR="00345C5F">
        <w:rPr>
          <w:rFonts w:ascii="Bookman Old Style" w:hAnsi="Bookman Old Style"/>
          <w:lang w:val="es-ES_tradnl"/>
        </w:rPr>
        <w:t>ía aprobados mediante la Resolución CREG 111 de 2018</w:t>
      </w:r>
      <w:r w:rsidR="00345C5F" w:rsidRPr="008C424B">
        <w:rPr>
          <w:rFonts w:ascii="Bookman Old Style" w:hAnsi="Bookman Old Style"/>
          <w:lang w:val="es-ES_tradnl"/>
        </w:rPr>
        <w:t>. Es impo</w:t>
      </w:r>
      <w:r w:rsidR="00937BCF">
        <w:rPr>
          <w:rFonts w:ascii="Bookman Old Style" w:hAnsi="Bookman Old Style"/>
          <w:lang w:val="es-ES_tradnl"/>
        </w:rPr>
        <w:t xml:space="preserve">rtante considerar dicho </w:t>
      </w:r>
      <w:r w:rsidR="008F1F3E">
        <w:rPr>
          <w:rFonts w:ascii="Bookman Old Style" w:hAnsi="Bookman Old Style"/>
          <w:lang w:val="es-ES_tradnl"/>
        </w:rPr>
        <w:t>aspecto</w:t>
      </w:r>
      <w:r w:rsidR="00345C5F" w:rsidRPr="008C424B">
        <w:rPr>
          <w:rFonts w:ascii="Bookman Old Style" w:hAnsi="Bookman Old Style"/>
          <w:lang w:val="es-ES_tradnl"/>
        </w:rPr>
        <w:t>, toda vez, que de existir un cambio en la proyección de las demandas el cargo de comercialización calculado para el</w:t>
      </w:r>
      <w:r w:rsidR="00345C5F">
        <w:rPr>
          <w:rFonts w:ascii="Bookman Old Style" w:hAnsi="Bookman Old Style"/>
          <w:lang w:val="es-ES_tradnl"/>
        </w:rPr>
        <w:t xml:space="preserve"> mercado relevante de Córdoba, Guaitarilla y Pupiales en el departamento de Nariño, cambiaría.</w:t>
      </w:r>
    </w:p>
    <w:p w14:paraId="7F920E0A" w14:textId="77B7D284" w:rsidR="005F2B1F" w:rsidRDefault="005F2B1F" w:rsidP="00E61413">
      <w:pPr>
        <w:spacing w:before="240" w:after="240"/>
        <w:ind w:left="0"/>
        <w:jc w:val="both"/>
        <w:rPr>
          <w:rFonts w:ascii="Bookman Old Style" w:hAnsi="Bookman Old Style"/>
          <w:lang w:val="es-ES_tradnl"/>
        </w:rPr>
      </w:pPr>
      <w:r>
        <w:rPr>
          <w:rFonts w:ascii="Bookman Old Style" w:hAnsi="Bookman Old Style"/>
          <w:lang w:val="es-ES_tradnl"/>
        </w:rPr>
        <w:lastRenderedPageBreak/>
        <w:t>Ahora bien, la metodología para determinar la proyección de la demanda de los mercados relevantes está contenida en el Anexo 13 de la Resolución CREG 202 de 2013.</w:t>
      </w:r>
    </w:p>
    <w:p w14:paraId="40119F8A" w14:textId="2AE7CC98" w:rsidR="0055126A" w:rsidRDefault="005F2B1F" w:rsidP="00E51704">
      <w:pPr>
        <w:spacing w:before="240" w:after="240"/>
        <w:ind w:left="0"/>
        <w:jc w:val="both"/>
        <w:rPr>
          <w:rFonts w:ascii="Bookman Old Style" w:hAnsi="Bookman Old Style"/>
          <w:lang w:val="es-ES_tradnl"/>
        </w:rPr>
      </w:pPr>
      <w:r>
        <w:rPr>
          <w:rFonts w:ascii="Bookman Old Style" w:hAnsi="Bookman Old Style"/>
          <w:lang w:val="es-ES_tradnl"/>
        </w:rPr>
        <w:t>Por lo anterior</w:t>
      </w:r>
      <w:r w:rsidR="00E61413">
        <w:rPr>
          <w:rFonts w:ascii="Bookman Old Style" w:hAnsi="Bookman Old Style"/>
          <w:lang w:val="es-ES_tradnl"/>
        </w:rPr>
        <w:t>, l</w:t>
      </w:r>
      <w:r w:rsidR="00342F89">
        <w:rPr>
          <w:rFonts w:ascii="Bookman Old Style" w:hAnsi="Bookman Old Style"/>
          <w:lang w:val="es-ES_tradnl"/>
        </w:rPr>
        <w:t>a Comisión consider</w:t>
      </w:r>
      <w:r w:rsidR="008F1F3E">
        <w:rPr>
          <w:rFonts w:ascii="Bookman Old Style" w:hAnsi="Bookman Old Style"/>
          <w:lang w:val="es-ES_tradnl"/>
        </w:rPr>
        <w:t>ó</w:t>
      </w:r>
      <w:r w:rsidR="00342F89">
        <w:rPr>
          <w:rFonts w:ascii="Bookman Old Style" w:hAnsi="Bookman Old Style"/>
          <w:lang w:val="es-ES_tradnl"/>
        </w:rPr>
        <w:t xml:space="preserve"> que por tratarse de un proyecto que cuenta con recursos públicos otorgados por el Ministerio de Minas y Energía a través del convenio GGC 645 de 2017, es necesario</w:t>
      </w:r>
      <w:r w:rsidR="009E3E66">
        <w:rPr>
          <w:rFonts w:ascii="Bookman Old Style" w:hAnsi="Bookman Old Style"/>
          <w:lang w:val="es-ES_tradnl"/>
        </w:rPr>
        <w:t xml:space="preserve"> </w:t>
      </w:r>
      <w:r w:rsidR="00B37299">
        <w:rPr>
          <w:rFonts w:ascii="Bookman Old Style" w:hAnsi="Bookman Old Style"/>
          <w:lang w:val="es-ES_tradnl"/>
        </w:rPr>
        <w:t>conocer</w:t>
      </w:r>
      <w:r w:rsidR="009E3E66">
        <w:rPr>
          <w:rFonts w:ascii="Bookman Old Style" w:hAnsi="Bookman Old Style"/>
          <w:lang w:val="es-ES_tradnl"/>
        </w:rPr>
        <w:t xml:space="preserve"> si las </w:t>
      </w:r>
      <w:r w:rsidR="008F1F3E">
        <w:rPr>
          <w:rFonts w:ascii="Bookman Old Style" w:hAnsi="Bookman Old Style"/>
          <w:lang w:val="es-ES_tradnl"/>
        </w:rPr>
        <w:t xml:space="preserve">nuevas </w:t>
      </w:r>
      <w:r w:rsidR="009E3E66">
        <w:rPr>
          <w:rFonts w:ascii="Bookman Old Style" w:hAnsi="Bookman Old Style"/>
          <w:lang w:val="es-ES_tradnl"/>
        </w:rPr>
        <w:t xml:space="preserve">proyecciones </w:t>
      </w:r>
      <w:r w:rsidR="00345C5F">
        <w:rPr>
          <w:rFonts w:ascii="Bookman Old Style" w:hAnsi="Bookman Old Style"/>
          <w:lang w:val="es-ES_tradnl"/>
        </w:rPr>
        <w:t>reportadas</w:t>
      </w:r>
      <w:r w:rsidR="009E3E66">
        <w:rPr>
          <w:rFonts w:ascii="Bookman Old Style" w:hAnsi="Bookman Old Style"/>
          <w:lang w:val="es-ES_tradnl"/>
        </w:rPr>
        <w:t xml:space="preserve"> por la empresa INGENIERÍA Y SERVICIOS S.A. E.S.P.</w:t>
      </w:r>
      <w:r w:rsidR="0055126A">
        <w:rPr>
          <w:rFonts w:ascii="Bookman Old Style" w:hAnsi="Bookman Old Style"/>
          <w:lang w:val="es-ES_tradnl"/>
        </w:rPr>
        <w:t>,</w:t>
      </w:r>
      <w:r w:rsidR="009E3E66">
        <w:rPr>
          <w:rFonts w:ascii="Bookman Old Style" w:hAnsi="Bookman Old Style"/>
          <w:lang w:val="es-ES_tradnl"/>
        </w:rPr>
        <w:t xml:space="preserve"> </w:t>
      </w:r>
      <w:r w:rsidR="00BE07B8">
        <w:rPr>
          <w:rFonts w:ascii="Bookman Old Style" w:hAnsi="Bookman Old Style"/>
          <w:lang w:val="es-ES_tradnl"/>
        </w:rPr>
        <w:t>co</w:t>
      </w:r>
      <w:r w:rsidR="008F1F3E">
        <w:rPr>
          <w:rFonts w:ascii="Bookman Old Style" w:hAnsi="Bookman Old Style"/>
          <w:lang w:val="es-ES_tradnl"/>
        </w:rPr>
        <w:t xml:space="preserve">n ocasión de los recursos interpuestos </w:t>
      </w:r>
      <w:r w:rsidR="009E3E66">
        <w:rPr>
          <w:rFonts w:ascii="Bookman Old Style" w:hAnsi="Bookman Old Style"/>
          <w:lang w:val="es-ES_tradnl"/>
        </w:rPr>
        <w:t xml:space="preserve">cumplen con lo dispuesto en la Resolución CREG 202 de 2013. </w:t>
      </w:r>
    </w:p>
    <w:p w14:paraId="2BACA67B" w14:textId="4FC75234" w:rsidR="000064DC" w:rsidRDefault="00E8464A" w:rsidP="000064DC">
      <w:pPr>
        <w:spacing w:before="240" w:after="240"/>
        <w:ind w:left="0"/>
        <w:jc w:val="both"/>
        <w:rPr>
          <w:rFonts w:ascii="Bookman Old Style" w:hAnsi="Bookman Old Style"/>
          <w:lang w:val="es-ES_tradnl"/>
        </w:rPr>
      </w:pPr>
      <w:r>
        <w:rPr>
          <w:rFonts w:ascii="Bookman Old Style" w:hAnsi="Bookman Old Style"/>
          <w:lang w:val="es-ES_tradnl"/>
        </w:rPr>
        <w:t>Así las cosas</w:t>
      </w:r>
      <w:r w:rsidR="000064DC">
        <w:rPr>
          <w:rFonts w:ascii="Bookman Old Style" w:hAnsi="Bookman Old Style"/>
          <w:lang w:val="es-ES_tradnl"/>
        </w:rPr>
        <w:t xml:space="preserve">, mediante auto de pruebas proferido el día </w:t>
      </w:r>
      <w:r w:rsidR="006A032F" w:rsidRPr="006A032F">
        <w:rPr>
          <w:rFonts w:ascii="Bookman Old Style" w:hAnsi="Bookman Old Style"/>
          <w:lang w:val="es-ES_tradnl"/>
        </w:rPr>
        <w:t>27</w:t>
      </w:r>
      <w:r w:rsidR="000064DC" w:rsidRPr="006A032F">
        <w:rPr>
          <w:rFonts w:ascii="Bookman Old Style" w:hAnsi="Bookman Old Style"/>
          <w:lang w:val="es-ES_tradnl"/>
        </w:rPr>
        <w:t xml:space="preserve"> de diciembre de 2018, esta Comisión </w:t>
      </w:r>
      <w:r w:rsidR="008F1F3E">
        <w:rPr>
          <w:rFonts w:ascii="Bookman Old Style" w:hAnsi="Bookman Old Style"/>
          <w:lang w:val="es-ES_tradnl"/>
        </w:rPr>
        <w:t xml:space="preserve">decidió </w:t>
      </w:r>
      <w:r w:rsidR="000064DC" w:rsidRPr="006A032F">
        <w:rPr>
          <w:rFonts w:ascii="Bookman Old Style" w:hAnsi="Bookman Old Style"/>
          <w:lang w:val="es-ES_tradnl"/>
        </w:rPr>
        <w:t>solicit</w:t>
      </w:r>
      <w:r w:rsidR="008F1F3E">
        <w:rPr>
          <w:rFonts w:ascii="Bookman Old Style" w:hAnsi="Bookman Old Style"/>
          <w:lang w:val="es-ES_tradnl"/>
        </w:rPr>
        <w:t>ar</w:t>
      </w:r>
      <w:r w:rsidR="000064DC" w:rsidRPr="006A032F">
        <w:rPr>
          <w:rFonts w:ascii="Bookman Old Style" w:hAnsi="Bookman Old Style"/>
          <w:lang w:val="es-ES_tradnl"/>
        </w:rPr>
        <w:t xml:space="preserve"> a la Unidad de Planeación Minero Energética</w:t>
      </w:r>
      <w:r w:rsidR="000064DC">
        <w:rPr>
          <w:rFonts w:ascii="Bookman Old Style" w:hAnsi="Bookman Old Style"/>
          <w:lang w:val="es-ES_tradnl"/>
        </w:rPr>
        <w:t xml:space="preserve"> –UPME, evaluar si </w:t>
      </w:r>
      <w:r w:rsidR="000064DC" w:rsidRPr="00200F03">
        <w:rPr>
          <w:rFonts w:ascii="Bookman Old Style" w:hAnsi="Bookman Old Style"/>
          <w:lang w:val="es-ES_tradnl"/>
        </w:rPr>
        <w:t xml:space="preserve">las proyecciones presentadas por la empresa INGENIERÍA Y SERVICIOS S.A. E.S.P. en </w:t>
      </w:r>
      <w:r w:rsidR="008F1F3E">
        <w:rPr>
          <w:rFonts w:ascii="Bookman Old Style" w:hAnsi="Bookman Old Style"/>
          <w:lang w:val="es-ES_tradnl"/>
        </w:rPr>
        <w:t>los</w:t>
      </w:r>
      <w:r w:rsidR="000064DC" w:rsidRPr="00200F03">
        <w:rPr>
          <w:rFonts w:ascii="Bookman Old Style" w:hAnsi="Bookman Old Style"/>
          <w:lang w:val="es-ES_tradnl"/>
        </w:rPr>
        <w:t xml:space="preserve"> recurso</w:t>
      </w:r>
      <w:r w:rsidR="008F1F3E">
        <w:rPr>
          <w:rFonts w:ascii="Bookman Old Style" w:hAnsi="Bookman Old Style"/>
          <w:lang w:val="es-ES_tradnl"/>
        </w:rPr>
        <w:t>s</w:t>
      </w:r>
      <w:r w:rsidR="000064DC" w:rsidRPr="00200F03">
        <w:rPr>
          <w:rFonts w:ascii="Bookman Old Style" w:hAnsi="Bookman Old Style"/>
          <w:lang w:val="es-ES_tradnl"/>
        </w:rPr>
        <w:t xml:space="preserve"> </w:t>
      </w:r>
      <w:r w:rsidR="008F1F3E">
        <w:rPr>
          <w:rFonts w:ascii="Bookman Old Style" w:hAnsi="Bookman Old Style"/>
          <w:lang w:val="es-ES_tradnl"/>
        </w:rPr>
        <w:t xml:space="preserve">interpuestos </w:t>
      </w:r>
      <w:r w:rsidR="000064DC" w:rsidRPr="00200F03">
        <w:rPr>
          <w:rFonts w:ascii="Bookman Old Style" w:hAnsi="Bookman Old Style"/>
          <w:lang w:val="es-ES_tradnl"/>
        </w:rPr>
        <w:t>cumple</w:t>
      </w:r>
      <w:r w:rsidR="008F1F3E">
        <w:rPr>
          <w:rFonts w:ascii="Bookman Old Style" w:hAnsi="Bookman Old Style"/>
          <w:lang w:val="es-ES_tradnl"/>
        </w:rPr>
        <w:t>n</w:t>
      </w:r>
      <w:r w:rsidR="000064DC" w:rsidRPr="00200F03">
        <w:rPr>
          <w:rFonts w:ascii="Bookman Old Style" w:hAnsi="Bookman Old Style"/>
          <w:lang w:val="es-ES_tradnl"/>
        </w:rPr>
        <w:t xml:space="preserve"> con lo dispuesto en el ANEXO 13 de la Resolución CREG 202 de 2013 para el mercado conformado por los municipios de Córdoba, Guaitarilla y Pupiales, departamento de Nariño.</w:t>
      </w:r>
    </w:p>
    <w:p w14:paraId="197B7E19" w14:textId="77777777" w:rsidR="000064DC" w:rsidRDefault="000064DC" w:rsidP="000064DC">
      <w:pPr>
        <w:spacing w:before="240" w:after="240"/>
        <w:ind w:left="0"/>
        <w:jc w:val="both"/>
        <w:rPr>
          <w:rFonts w:ascii="Bookman Old Style" w:hAnsi="Bookman Old Style"/>
          <w:lang w:val="es-ES_tradnl"/>
        </w:rPr>
      </w:pPr>
      <w:r>
        <w:rPr>
          <w:rFonts w:ascii="Bookman Old Style" w:hAnsi="Bookman Old Style"/>
          <w:lang w:val="es-ES_tradnl"/>
        </w:rPr>
        <w:t>A través de la comunicación con radicado CREG E-2019-001783 del 12 de febrero de 2019, la UPME da respuesta al auto de prueba informando lo siguiente:</w:t>
      </w:r>
    </w:p>
    <w:p w14:paraId="31A14E83" w14:textId="77777777" w:rsidR="000064DC" w:rsidRPr="00A43BCA" w:rsidRDefault="000064DC" w:rsidP="000064DC">
      <w:pPr>
        <w:spacing w:before="240" w:after="240"/>
        <w:ind w:right="567"/>
        <w:jc w:val="both"/>
        <w:rPr>
          <w:rFonts w:ascii="Bookman Old Style" w:hAnsi="Bookman Old Style"/>
          <w:i/>
          <w:lang w:val="es-ES_tradnl"/>
        </w:rPr>
      </w:pPr>
      <w:r w:rsidRPr="00A43BCA">
        <w:rPr>
          <w:rFonts w:ascii="Bookman Old Style" w:hAnsi="Bookman Old Style"/>
          <w:i/>
          <w:lang w:val="es-ES_tradnl"/>
        </w:rPr>
        <w:t>“Luego de evaluar los datos de proyección de usuarios presentados por la empresa INGENIERÍA Y SERVICIOS S.A. E.S.P. en el recurso de reposición con radicados CREG E-2018- 009099 y E-2018-009100, se determina que NO CUMPLE debido a que, por ser un proyecto que recibe recursos del programa “Distribución de recursos para pagos por menores tarifas sector GLP distribuidos en cilindros y tanques estacionarios a nivel nacional”, administrados por el Ministerio de Minas y Energía, tanto la proyección de usuarios como la proyección de la demanda presentada para la solicitud tarifaria deben ser iguales a las presentadas a la Oficina de Gestión de Proyectos de Fondos de la UPME, ya que con esos datos se evaluó la viabilidad del proyecto. Aunque con el cambio que solicita INGENIERÍA Y SERVICIOS S.A. E.S.P., el proyecto continúa siendo viable, el valor de la tarifa se incrementa afectando negativamente a los usuarios del proyecto.</w:t>
      </w:r>
    </w:p>
    <w:p w14:paraId="200ACB46" w14:textId="5E33AA8C" w:rsidR="000064DC" w:rsidRDefault="000064DC" w:rsidP="006A032F">
      <w:pPr>
        <w:ind w:right="567"/>
        <w:jc w:val="both"/>
        <w:rPr>
          <w:rFonts w:ascii="Bookman Old Style" w:hAnsi="Bookman Old Style"/>
          <w:i/>
          <w:lang w:val="es-ES_tradnl"/>
        </w:rPr>
      </w:pPr>
      <w:r w:rsidRPr="00A43BCA">
        <w:rPr>
          <w:rFonts w:ascii="Bookman Old Style" w:hAnsi="Bookman Old Style"/>
          <w:i/>
          <w:lang w:val="es-ES_tradnl"/>
        </w:rPr>
        <w:t xml:space="preserve">Cabe aclarar que, al revisar la metodología de proyección de la demanda para los proyectos de gas combustible, no sólo se verifica el cumplimiento de lo expuesto en el Anexo 13 de la Resolución CREG 202 de 2013, sino que también se verifica si pertenece a un proyecto que haya solicitado financiación del Estado. De ser así, se contrasta la información de la demanda y del número de usuarios, para comprobar que la metodología cumpla la condición de que los datos presentados en la proyección sean iguales a las condiciones expuestas en el proyecto presentado ante la Oficina de Gestión de Proyectos de Fondos. Para el caso en cuestión el proyecto presentado fue “Implementación de gas GLP por redes en los Municipios de Córdoba, Guaitarilla y Pupiales del </w:t>
      </w:r>
      <w:r w:rsidRPr="00A43BCA">
        <w:rPr>
          <w:rFonts w:ascii="Bookman Old Style" w:hAnsi="Bookman Old Style"/>
          <w:i/>
          <w:lang w:val="es-ES_tradnl"/>
        </w:rPr>
        <w:lastRenderedPageBreak/>
        <w:t>Departamento de Nariño”, que hace parte del Convenio GGC 645 de 2017 suscrito entre el Ministerio de Minas y Energía y la empresa INGENIERÍA Y SERVICIOS S.A. E.S.P.”</w:t>
      </w:r>
    </w:p>
    <w:p w14:paraId="7F229951" w14:textId="6D0DE228" w:rsidR="006A032F" w:rsidRDefault="006A032F" w:rsidP="00B37299">
      <w:pPr>
        <w:ind w:left="0" w:right="567"/>
        <w:jc w:val="both"/>
        <w:rPr>
          <w:rFonts w:ascii="Bookman Old Style" w:hAnsi="Bookman Old Style"/>
          <w:i/>
          <w:lang w:val="es-ES_tradnl"/>
        </w:rPr>
      </w:pPr>
    </w:p>
    <w:p w14:paraId="5BACD335" w14:textId="2CA97CAB" w:rsidR="00B37299" w:rsidRDefault="00B37299" w:rsidP="00B37299">
      <w:pPr>
        <w:adjustRightInd w:val="0"/>
        <w:ind w:left="0" w:right="23"/>
        <w:jc w:val="both"/>
        <w:rPr>
          <w:rFonts w:ascii="Bookman Old Style" w:hAnsi="Bookman Old Style" w:cs="Arial"/>
        </w:rPr>
      </w:pPr>
      <w:r>
        <w:rPr>
          <w:rFonts w:ascii="Bookman Old Style" w:hAnsi="Bookman Old Style" w:cs="Arial"/>
        </w:rPr>
        <w:t>En con</w:t>
      </w:r>
      <w:r w:rsidR="008F1F3E">
        <w:rPr>
          <w:rFonts w:ascii="Bookman Old Style" w:hAnsi="Bookman Old Style" w:cs="Arial"/>
        </w:rPr>
        <w:t>secuencia</w:t>
      </w:r>
      <w:r>
        <w:rPr>
          <w:rFonts w:ascii="Bookman Old Style" w:hAnsi="Bookman Old Style" w:cs="Arial"/>
        </w:rPr>
        <w:t xml:space="preserve">, realizar el ajuste a la proyección de la demanda solicitado por el recurrente para el mercado relevante objeto de análisis, no es posible, toda vez que por ser un proyecto que cuenta con recursos públicos </w:t>
      </w:r>
      <w:r w:rsidRPr="00A70C93">
        <w:rPr>
          <w:rFonts w:ascii="Bookman Old Style" w:hAnsi="Bookman Old Style" w:cs="Arial"/>
        </w:rPr>
        <w:t xml:space="preserve">del </w:t>
      </w:r>
      <w:r>
        <w:rPr>
          <w:rFonts w:ascii="Bookman Old Style" w:hAnsi="Bookman Old Style" w:cs="Arial"/>
        </w:rPr>
        <w:t>MME</w:t>
      </w:r>
      <w:r w:rsidRPr="00A70C93">
        <w:rPr>
          <w:rFonts w:ascii="Bookman Old Style" w:hAnsi="Bookman Old Style" w:cs="Arial"/>
        </w:rPr>
        <w:t>, tanto la</w:t>
      </w:r>
      <w:r>
        <w:rPr>
          <w:rFonts w:ascii="Bookman Old Style" w:hAnsi="Bookman Old Style" w:cs="Arial"/>
        </w:rPr>
        <w:t>s</w:t>
      </w:r>
      <w:r w:rsidRPr="00A70C93">
        <w:rPr>
          <w:rFonts w:ascii="Bookman Old Style" w:hAnsi="Bookman Old Style" w:cs="Arial"/>
        </w:rPr>
        <w:t xml:space="preserve"> proyecci</w:t>
      </w:r>
      <w:r>
        <w:rPr>
          <w:rFonts w:ascii="Bookman Old Style" w:hAnsi="Bookman Old Style" w:cs="Arial"/>
        </w:rPr>
        <w:t>ones</w:t>
      </w:r>
      <w:r w:rsidRPr="00A70C93">
        <w:rPr>
          <w:rFonts w:ascii="Bookman Old Style" w:hAnsi="Bookman Old Style" w:cs="Arial"/>
        </w:rPr>
        <w:t xml:space="preserve"> de usuarios como </w:t>
      </w:r>
      <w:r>
        <w:rPr>
          <w:rFonts w:ascii="Bookman Old Style" w:hAnsi="Bookman Old Style" w:cs="Arial"/>
        </w:rPr>
        <w:t>de</w:t>
      </w:r>
      <w:r w:rsidRPr="00A70C93">
        <w:rPr>
          <w:rFonts w:ascii="Bookman Old Style" w:hAnsi="Bookman Old Style" w:cs="Arial"/>
        </w:rPr>
        <w:t xml:space="preserve"> demanda </w:t>
      </w:r>
      <w:r>
        <w:rPr>
          <w:rFonts w:ascii="Bookman Old Style" w:hAnsi="Bookman Old Style" w:cs="Arial"/>
        </w:rPr>
        <w:t>reportadas</w:t>
      </w:r>
      <w:r w:rsidRPr="00A70C93">
        <w:rPr>
          <w:rFonts w:ascii="Bookman Old Style" w:hAnsi="Bookman Old Style" w:cs="Arial"/>
        </w:rPr>
        <w:t xml:space="preserve"> </w:t>
      </w:r>
      <w:r>
        <w:rPr>
          <w:rFonts w:ascii="Bookman Old Style" w:hAnsi="Bookman Old Style" w:cs="Arial"/>
        </w:rPr>
        <w:t xml:space="preserve">en </w:t>
      </w:r>
      <w:r w:rsidRPr="00A70C93">
        <w:rPr>
          <w:rFonts w:ascii="Bookman Old Style" w:hAnsi="Bookman Old Style" w:cs="Arial"/>
        </w:rPr>
        <w:t>la solicitud tarifaria deben ser igual</w:t>
      </w:r>
      <w:r>
        <w:rPr>
          <w:rFonts w:ascii="Bookman Old Style" w:hAnsi="Bookman Old Style" w:cs="Arial"/>
        </w:rPr>
        <w:t>es</w:t>
      </w:r>
      <w:r w:rsidRPr="00A70C93">
        <w:rPr>
          <w:rFonts w:ascii="Bookman Old Style" w:hAnsi="Bookman Old Style" w:cs="Arial"/>
        </w:rPr>
        <w:t xml:space="preserve"> a las </w:t>
      </w:r>
      <w:r>
        <w:rPr>
          <w:rFonts w:ascii="Bookman Old Style" w:hAnsi="Bookman Old Style" w:cs="Arial"/>
        </w:rPr>
        <w:t>radicadas ante la</w:t>
      </w:r>
      <w:r w:rsidRPr="00A70C93">
        <w:rPr>
          <w:rFonts w:ascii="Bookman Old Style" w:hAnsi="Bookman Old Style" w:cs="Arial"/>
        </w:rPr>
        <w:t xml:space="preserve"> UPME, ya que con </w:t>
      </w:r>
      <w:r>
        <w:rPr>
          <w:rFonts w:ascii="Bookman Old Style" w:hAnsi="Bookman Old Style" w:cs="Arial"/>
        </w:rPr>
        <w:t>ellas</w:t>
      </w:r>
      <w:r w:rsidRPr="00A70C93">
        <w:rPr>
          <w:rFonts w:ascii="Bookman Old Style" w:hAnsi="Bookman Old Style" w:cs="Arial"/>
        </w:rPr>
        <w:t xml:space="preserve"> se evaluó la viabilidad del proyecto</w:t>
      </w:r>
      <w:r>
        <w:rPr>
          <w:rFonts w:ascii="Bookman Old Style" w:hAnsi="Bookman Old Style" w:cs="Arial"/>
        </w:rPr>
        <w:t>.</w:t>
      </w:r>
    </w:p>
    <w:p w14:paraId="48A9F7EA" w14:textId="27A358F3" w:rsidR="00B37299" w:rsidRPr="00F66C42" w:rsidRDefault="00B37299" w:rsidP="00B37299">
      <w:pPr>
        <w:ind w:left="0" w:right="567"/>
        <w:jc w:val="both"/>
        <w:rPr>
          <w:rFonts w:ascii="Bookman Old Style" w:hAnsi="Bookman Old Style" w:cs="Arial"/>
        </w:rPr>
      </w:pPr>
    </w:p>
    <w:p w14:paraId="409827E3" w14:textId="614A7C5C" w:rsidR="00B37299" w:rsidRDefault="007D6BA5" w:rsidP="00F66C42">
      <w:pPr>
        <w:tabs>
          <w:tab w:val="left" w:pos="8364"/>
          <w:tab w:val="left" w:pos="8505"/>
        </w:tabs>
        <w:ind w:left="0"/>
        <w:jc w:val="both"/>
        <w:rPr>
          <w:rFonts w:ascii="Bookman Old Style" w:hAnsi="Bookman Old Style" w:cs="Arial"/>
        </w:rPr>
      </w:pPr>
      <w:r>
        <w:rPr>
          <w:rFonts w:ascii="Bookman Old Style" w:hAnsi="Bookman Old Style" w:cs="Arial"/>
        </w:rPr>
        <w:t>Ahora bien, c</w:t>
      </w:r>
      <w:r w:rsidR="00254E09" w:rsidRPr="00F66C42">
        <w:rPr>
          <w:rFonts w:ascii="Bookman Old Style" w:hAnsi="Bookman Old Style" w:cs="Arial"/>
        </w:rPr>
        <w:t>ontinuando con el an</w:t>
      </w:r>
      <w:r w:rsidR="00F66C42">
        <w:rPr>
          <w:rFonts w:ascii="Bookman Old Style" w:hAnsi="Bookman Old Style" w:cs="Arial"/>
        </w:rPr>
        <w:t>álisis de</w:t>
      </w:r>
      <w:r>
        <w:rPr>
          <w:rFonts w:ascii="Bookman Old Style" w:hAnsi="Bookman Old Style" w:cs="Arial"/>
        </w:rPr>
        <w:t xml:space="preserve"> las argumentaciones expuestas por el recurrente</w:t>
      </w:r>
      <w:r w:rsidR="00F66C42">
        <w:rPr>
          <w:rFonts w:ascii="Bookman Old Style" w:hAnsi="Bookman Old Style" w:cs="Arial"/>
        </w:rPr>
        <w:t>,</w:t>
      </w:r>
      <w:r w:rsidR="00254E09" w:rsidRPr="00F66C42">
        <w:rPr>
          <w:rFonts w:ascii="Bookman Old Style" w:hAnsi="Bookman Old Style" w:cs="Arial"/>
        </w:rPr>
        <w:t xml:space="preserve"> </w:t>
      </w:r>
      <w:r>
        <w:rPr>
          <w:rFonts w:ascii="Bookman Old Style" w:hAnsi="Bookman Old Style" w:cs="Arial"/>
        </w:rPr>
        <w:t xml:space="preserve">se considera pertinente mencionar que </w:t>
      </w:r>
      <w:r w:rsidR="00254E09" w:rsidRPr="00F66C42">
        <w:rPr>
          <w:rFonts w:ascii="Bookman Old Style" w:hAnsi="Bookman Old Style" w:cs="Arial"/>
        </w:rPr>
        <w:t>la metodología para el c</w:t>
      </w:r>
      <w:r w:rsidR="00F66C42">
        <w:rPr>
          <w:rFonts w:ascii="Bookman Old Style" w:hAnsi="Bookman Old Style" w:cs="Arial"/>
        </w:rPr>
        <w:t>álculo del c</w:t>
      </w:r>
      <w:r w:rsidR="00254E09" w:rsidRPr="00F66C42">
        <w:rPr>
          <w:rFonts w:ascii="Bookman Old Style" w:hAnsi="Bookman Old Style" w:cs="Arial"/>
        </w:rPr>
        <w:t xml:space="preserve">argo máximo base de comercialización </w:t>
      </w:r>
      <w:r w:rsidR="00F66C42">
        <w:rPr>
          <w:rFonts w:ascii="Bookman Old Style" w:hAnsi="Bookman Old Style" w:cs="Arial"/>
        </w:rPr>
        <w:t>se establece en la Resolución CREG 011 de 2003, así:</w:t>
      </w:r>
    </w:p>
    <w:p w14:paraId="265A0613" w14:textId="3566F02A" w:rsidR="00F66C42" w:rsidRDefault="00F66C42" w:rsidP="00F66C42">
      <w:pPr>
        <w:tabs>
          <w:tab w:val="left" w:pos="8364"/>
          <w:tab w:val="left" w:pos="8505"/>
        </w:tabs>
        <w:ind w:left="0"/>
        <w:jc w:val="both"/>
        <w:rPr>
          <w:rFonts w:ascii="Bookman Old Style" w:hAnsi="Bookman Old Style" w:cs="Arial"/>
        </w:rPr>
      </w:pPr>
    </w:p>
    <w:p w14:paraId="76AA821F" w14:textId="77B3A097" w:rsidR="00F66C42" w:rsidRPr="00F66C42" w:rsidRDefault="007D6BA5" w:rsidP="00F66C42">
      <w:pPr>
        <w:tabs>
          <w:tab w:val="left" w:pos="8364"/>
          <w:tab w:val="left" w:pos="8505"/>
        </w:tabs>
        <w:ind w:right="567"/>
        <w:jc w:val="both"/>
        <w:rPr>
          <w:rFonts w:ascii="Bookman Old Style" w:hAnsi="Bookman Old Style"/>
          <w:i/>
          <w:lang w:val="es-ES_tradnl"/>
        </w:rPr>
      </w:pPr>
      <w:r>
        <w:rPr>
          <w:rFonts w:ascii="Bookman Old Style" w:hAnsi="Bookman Old Style"/>
          <w:i/>
          <w:lang w:val="es-ES_tradnl"/>
        </w:rPr>
        <w:t>“</w:t>
      </w:r>
      <w:r w:rsidR="00F66C42">
        <w:rPr>
          <w:rFonts w:ascii="Bookman Old Style" w:hAnsi="Bookman Old Style"/>
          <w:i/>
          <w:lang w:val="es-ES_tradnl"/>
        </w:rPr>
        <w:t xml:space="preserve">Artículo 23. </w:t>
      </w:r>
      <w:r w:rsidR="00F66C42" w:rsidRPr="00F66C42">
        <w:rPr>
          <w:rFonts w:ascii="Bookman Old Style" w:hAnsi="Bookman Old Style"/>
          <w:i/>
          <w:lang w:val="es-ES_tradnl"/>
        </w:rPr>
        <w:t>METODOLOGÍA PARA EL CÁLCULO DEL CARGO MÁXIMO BASE DE COMERCIALIZACIÓN. El cargo máximo base de comercialización C</w:t>
      </w:r>
      <w:r w:rsidR="00026D4C">
        <w:rPr>
          <w:rFonts w:ascii="Bookman Old Style" w:hAnsi="Bookman Old Style"/>
          <w:i/>
          <w:lang w:val="es-ES_tradnl"/>
        </w:rPr>
        <w:t>o</w:t>
      </w:r>
      <w:r w:rsidR="00F66C42" w:rsidRPr="00F66C42">
        <w:rPr>
          <w:rFonts w:ascii="Bookman Old Style" w:hAnsi="Bookman Old Style"/>
          <w:i/>
          <w:lang w:val="es-ES_tradnl"/>
        </w:rPr>
        <w:t xml:space="preserve"> se determinará como el cociente de la suma de los componentes a) y b) descritos a continuación, sobre el número de facturas del año para el cual se tomaron los parámetros de cálculo de dichos componentes.</w:t>
      </w:r>
    </w:p>
    <w:p w14:paraId="064EE8E9" w14:textId="77777777" w:rsidR="00F66C42" w:rsidRPr="00F66C42" w:rsidRDefault="00F66C42" w:rsidP="00F66C42">
      <w:pPr>
        <w:tabs>
          <w:tab w:val="left" w:pos="8364"/>
          <w:tab w:val="left" w:pos="8505"/>
        </w:tabs>
        <w:ind w:right="567"/>
        <w:jc w:val="both"/>
        <w:rPr>
          <w:rFonts w:ascii="Bookman Old Style" w:hAnsi="Bookman Old Style"/>
          <w:i/>
          <w:lang w:val="es-ES_tradnl"/>
        </w:rPr>
      </w:pPr>
    </w:p>
    <w:p w14:paraId="1C49D9AF" w14:textId="1FFD9C2D" w:rsidR="00F66C42" w:rsidRPr="00F66C42" w:rsidRDefault="00F66C42" w:rsidP="00F66C42">
      <w:pPr>
        <w:pStyle w:val="Prrafodelista"/>
        <w:numPr>
          <w:ilvl w:val="0"/>
          <w:numId w:val="20"/>
        </w:numPr>
        <w:tabs>
          <w:tab w:val="left" w:pos="8364"/>
          <w:tab w:val="left" w:pos="8505"/>
        </w:tabs>
        <w:ind w:right="567"/>
        <w:jc w:val="both"/>
        <w:rPr>
          <w:rFonts w:ascii="Bookman Old Style" w:hAnsi="Bookman Old Style"/>
          <w:i/>
          <w:sz w:val="24"/>
          <w:szCs w:val="24"/>
          <w:lang w:val="es-ES_tradnl"/>
        </w:rPr>
      </w:pPr>
      <w:r w:rsidRPr="00F66C42">
        <w:rPr>
          <w:rFonts w:ascii="Bookman Old Style" w:hAnsi="Bookman Old Style"/>
          <w:i/>
          <w:sz w:val="24"/>
          <w:szCs w:val="24"/>
          <w:lang w:val="es-ES_tradnl"/>
        </w:rPr>
        <w:t xml:space="preserve">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 </w:t>
      </w:r>
    </w:p>
    <w:p w14:paraId="5830DA67" w14:textId="77777777" w:rsidR="00F66C42" w:rsidRPr="00F66C42" w:rsidRDefault="00F66C42" w:rsidP="00F66C42">
      <w:pPr>
        <w:tabs>
          <w:tab w:val="left" w:pos="8364"/>
          <w:tab w:val="left" w:pos="8505"/>
        </w:tabs>
        <w:ind w:right="567"/>
        <w:jc w:val="both"/>
        <w:rPr>
          <w:rFonts w:ascii="Bookman Old Style" w:hAnsi="Bookman Old Style"/>
          <w:i/>
          <w:lang w:val="es-ES_tradnl"/>
        </w:rPr>
      </w:pPr>
    </w:p>
    <w:p w14:paraId="6537745D" w14:textId="5B280691" w:rsidR="00F66C42" w:rsidRPr="00F66C42" w:rsidRDefault="00F66C42" w:rsidP="00F66C42">
      <w:pPr>
        <w:pStyle w:val="Prrafodelista"/>
        <w:numPr>
          <w:ilvl w:val="0"/>
          <w:numId w:val="20"/>
        </w:numPr>
        <w:tabs>
          <w:tab w:val="left" w:pos="8364"/>
          <w:tab w:val="left" w:pos="8505"/>
        </w:tabs>
        <w:ind w:right="567"/>
        <w:jc w:val="both"/>
        <w:rPr>
          <w:rFonts w:ascii="Bookman Old Style" w:hAnsi="Bookman Old Style"/>
          <w:i/>
          <w:sz w:val="24"/>
          <w:szCs w:val="24"/>
          <w:lang w:val="es-ES_tradnl"/>
        </w:rPr>
      </w:pPr>
      <w:r w:rsidRPr="00F66C42">
        <w:rPr>
          <w:rFonts w:ascii="Bookman Old Style" w:hAnsi="Bookman Old Style"/>
          <w:i/>
          <w:sz w:val="24"/>
          <w:szCs w:val="24"/>
          <w:lang w:val="es-ES_tradnl"/>
        </w:rPr>
        <w:t>El ingreso anual del Comercializador correspondiente al año en el cual se efectuaron los cálculos de los gastos de AOM multiplicado por un margen de comercialización de 1.67%. El ingreso anual incluirá el valor facturado para todos los componentes del Mst o del Msm, según sea el caso.</w:t>
      </w:r>
    </w:p>
    <w:p w14:paraId="1B77F08D" w14:textId="77777777" w:rsidR="00F66C42" w:rsidRPr="00F66C42" w:rsidRDefault="00F66C42" w:rsidP="00F66C42">
      <w:pPr>
        <w:tabs>
          <w:tab w:val="left" w:pos="8364"/>
          <w:tab w:val="left" w:pos="8505"/>
        </w:tabs>
        <w:ind w:right="567"/>
        <w:jc w:val="both"/>
        <w:rPr>
          <w:rFonts w:ascii="Bookman Old Style" w:hAnsi="Bookman Old Style"/>
          <w:i/>
          <w:lang w:val="es-ES_tradnl"/>
        </w:rPr>
      </w:pPr>
    </w:p>
    <w:p w14:paraId="6353FFC0" w14:textId="070F275D" w:rsidR="00F66C42" w:rsidRPr="00026D4C" w:rsidRDefault="00F66C42" w:rsidP="00F66C42">
      <w:pPr>
        <w:tabs>
          <w:tab w:val="left" w:pos="8364"/>
          <w:tab w:val="left" w:pos="8505"/>
        </w:tabs>
        <w:ind w:right="567"/>
        <w:jc w:val="both"/>
        <w:rPr>
          <w:rFonts w:ascii="Bookman Old Style" w:hAnsi="Bookman Old Style"/>
          <w:i/>
          <w:u w:val="single"/>
          <w:lang w:val="es-ES_tradnl"/>
        </w:rPr>
      </w:pPr>
      <w:r w:rsidRPr="00026D4C">
        <w:rPr>
          <w:rFonts w:ascii="Bookman Old Style" w:hAnsi="Bookman Old Style"/>
          <w:i/>
          <w:u w:val="single"/>
          <w:lang w:val="es-ES_tradnl"/>
        </w:rPr>
        <w:t>Parágrafo 1: Para el caso de Comercializadores que no cuenten con la anterior información, se les fijará un Cargo de Comercialización igual al de otro Comercializador que atienda un mercado similar.</w:t>
      </w:r>
    </w:p>
    <w:p w14:paraId="2887613D" w14:textId="77777777" w:rsidR="00F66C42" w:rsidRPr="00F66C42" w:rsidRDefault="00F66C42" w:rsidP="00F66C42">
      <w:pPr>
        <w:tabs>
          <w:tab w:val="left" w:pos="8364"/>
          <w:tab w:val="left" w:pos="8505"/>
        </w:tabs>
        <w:ind w:right="567"/>
        <w:jc w:val="both"/>
        <w:rPr>
          <w:rFonts w:ascii="Bookman Old Style" w:hAnsi="Bookman Old Style"/>
          <w:i/>
          <w:lang w:val="es-ES_tradnl"/>
        </w:rPr>
      </w:pPr>
    </w:p>
    <w:p w14:paraId="49185925" w14:textId="7E1274B8" w:rsidR="00F66C42" w:rsidRPr="00F66C42" w:rsidRDefault="00F66C42" w:rsidP="00F66C42">
      <w:pPr>
        <w:tabs>
          <w:tab w:val="left" w:pos="8364"/>
          <w:tab w:val="left" w:pos="8505"/>
        </w:tabs>
        <w:ind w:right="567"/>
        <w:jc w:val="both"/>
        <w:rPr>
          <w:rFonts w:ascii="Bookman Old Style" w:hAnsi="Bookman Old Style"/>
          <w:i/>
          <w:lang w:val="es-ES_tradnl"/>
        </w:rPr>
      </w:pPr>
      <w:r w:rsidRPr="00F66C42">
        <w:rPr>
          <w:rFonts w:ascii="Bookman Old Style" w:hAnsi="Bookman Old Style"/>
          <w:i/>
          <w:lang w:val="es-ES_tradnl"/>
        </w:rPr>
        <w:t>Parágrafo 2: El valor de Co así calculado se referirá a la Fecha Base de la solicitud tarifaria.</w:t>
      </w:r>
      <w:r w:rsidR="007D6BA5">
        <w:rPr>
          <w:rFonts w:ascii="Bookman Old Style" w:hAnsi="Bookman Old Style"/>
          <w:i/>
          <w:lang w:val="es-ES_tradnl"/>
        </w:rPr>
        <w:t>”</w:t>
      </w:r>
    </w:p>
    <w:p w14:paraId="013DC720" w14:textId="67342F5D" w:rsidR="00254E09" w:rsidRDefault="00254E09" w:rsidP="00B37299">
      <w:pPr>
        <w:ind w:left="0" w:right="567"/>
        <w:jc w:val="both"/>
        <w:rPr>
          <w:rFonts w:ascii="Bookman Old Style" w:hAnsi="Bookman Old Style"/>
          <w:lang w:val="es-ES_tradnl"/>
        </w:rPr>
      </w:pPr>
    </w:p>
    <w:p w14:paraId="5809FB7E" w14:textId="3257E96B" w:rsidR="00026D4C" w:rsidRDefault="00026D4C" w:rsidP="00B37299">
      <w:pPr>
        <w:ind w:left="0" w:right="567"/>
        <w:jc w:val="both"/>
        <w:rPr>
          <w:rFonts w:ascii="Bookman Old Style" w:hAnsi="Bookman Old Style"/>
          <w:lang w:val="es-ES_tradnl"/>
        </w:rPr>
      </w:pPr>
      <w:r>
        <w:rPr>
          <w:rFonts w:ascii="Bookman Old Style" w:hAnsi="Bookman Old Style"/>
          <w:lang w:val="es-ES_tradnl"/>
        </w:rPr>
        <w:tab/>
        <w:t>Subrayado fuera de texto.</w:t>
      </w:r>
    </w:p>
    <w:p w14:paraId="2E47C05D" w14:textId="4FF44CDE" w:rsidR="008467B5" w:rsidRDefault="007D6BA5" w:rsidP="00AE31AA">
      <w:pPr>
        <w:tabs>
          <w:tab w:val="left" w:pos="3360"/>
        </w:tabs>
        <w:spacing w:before="240" w:after="240"/>
        <w:ind w:left="0"/>
        <w:jc w:val="both"/>
        <w:rPr>
          <w:rFonts w:ascii="Bookman Old Style" w:hAnsi="Bookman Old Style"/>
          <w:lang w:val="es-ES_tradnl"/>
        </w:rPr>
      </w:pPr>
      <w:r>
        <w:rPr>
          <w:rFonts w:ascii="Bookman Old Style" w:hAnsi="Bookman Old Style"/>
          <w:lang w:val="es-ES_tradnl"/>
        </w:rPr>
        <w:t xml:space="preserve">En tal sentido, como el </w:t>
      </w:r>
      <w:r w:rsidR="008467B5" w:rsidRPr="008467B5">
        <w:rPr>
          <w:rFonts w:ascii="Bookman Old Style" w:hAnsi="Bookman Old Style"/>
          <w:lang w:val="es-ES_tradnl"/>
        </w:rPr>
        <w:t xml:space="preserve">mercado relevante compuesto por los municipios de Córdoba, Guaitarilla y Pupiales en el departamento de Nariño, no cuenta con la información requerida para el cálculo del cargo de comercialización de conformidad con lo establecido en el parágrafo 1 del </w:t>
      </w:r>
      <w:r w:rsidR="008C424B">
        <w:rPr>
          <w:rFonts w:ascii="Bookman Old Style" w:hAnsi="Bookman Old Style"/>
          <w:lang w:val="es-ES_tradnl"/>
        </w:rPr>
        <w:t>a</w:t>
      </w:r>
      <w:r w:rsidR="008467B5" w:rsidRPr="008467B5">
        <w:rPr>
          <w:rFonts w:ascii="Bookman Old Style" w:hAnsi="Bookman Old Style"/>
          <w:lang w:val="es-ES_tradnl"/>
        </w:rPr>
        <w:t xml:space="preserve">rtículo 23 de la Resolución </w:t>
      </w:r>
      <w:r w:rsidR="008467B5" w:rsidRPr="008467B5">
        <w:rPr>
          <w:rFonts w:ascii="Bookman Old Style" w:hAnsi="Bookman Old Style"/>
          <w:lang w:val="es-ES_tradnl"/>
        </w:rPr>
        <w:lastRenderedPageBreak/>
        <w:t>CRE</w:t>
      </w:r>
      <w:r w:rsidR="008467B5">
        <w:rPr>
          <w:rFonts w:ascii="Bookman Old Style" w:hAnsi="Bookman Old Style"/>
          <w:lang w:val="es-ES_tradnl"/>
        </w:rPr>
        <w:t xml:space="preserve">G </w:t>
      </w:r>
      <w:r w:rsidR="003D31C7">
        <w:rPr>
          <w:rFonts w:ascii="Bookman Old Style" w:hAnsi="Bookman Old Style"/>
          <w:lang w:val="es-ES_tradnl"/>
        </w:rPr>
        <w:t>0</w:t>
      </w:r>
      <w:r w:rsidR="008467B5">
        <w:rPr>
          <w:rFonts w:ascii="Bookman Old Style" w:hAnsi="Bookman Old Style"/>
          <w:lang w:val="es-ES_tradnl"/>
        </w:rPr>
        <w:t>11 de 2003, la Comisión fijó</w:t>
      </w:r>
      <w:r w:rsidR="008467B5" w:rsidRPr="008467B5">
        <w:rPr>
          <w:rFonts w:ascii="Bookman Old Style" w:hAnsi="Bookman Old Style"/>
          <w:lang w:val="es-ES_tradnl"/>
        </w:rPr>
        <w:t xml:space="preserve"> un cargo de comercialización igual al de un mercado </w:t>
      </w:r>
      <w:r w:rsidR="00972289">
        <w:rPr>
          <w:rFonts w:ascii="Bookman Old Style" w:hAnsi="Bookman Old Style"/>
          <w:lang w:val="es-ES_tradnl"/>
        </w:rPr>
        <w:t>semejante</w:t>
      </w:r>
      <w:r w:rsidR="008467B5" w:rsidRPr="008467B5">
        <w:rPr>
          <w:rFonts w:ascii="Bookman Old Style" w:hAnsi="Bookman Old Style"/>
          <w:lang w:val="es-ES_tradnl"/>
        </w:rPr>
        <w:t>.</w:t>
      </w:r>
    </w:p>
    <w:p w14:paraId="37F7C7A3" w14:textId="0204B29C" w:rsidR="00BD2C72" w:rsidRDefault="007025D9" w:rsidP="007025D9">
      <w:pPr>
        <w:tabs>
          <w:tab w:val="left" w:pos="3360"/>
        </w:tabs>
        <w:spacing w:before="240" w:after="240"/>
        <w:ind w:left="0"/>
        <w:jc w:val="both"/>
        <w:rPr>
          <w:rFonts w:ascii="Bookman Old Style" w:hAnsi="Bookman Old Style"/>
          <w:lang w:val="es-ES_tradnl"/>
        </w:rPr>
      </w:pPr>
      <w:r>
        <w:rPr>
          <w:rFonts w:ascii="Bookman Old Style" w:hAnsi="Bookman Old Style"/>
          <w:lang w:val="es-ES_tradnl"/>
        </w:rPr>
        <w:t xml:space="preserve">Para </w:t>
      </w:r>
      <w:r w:rsidR="007D6BA5">
        <w:rPr>
          <w:rFonts w:ascii="Bookman Old Style" w:hAnsi="Bookman Old Style"/>
          <w:lang w:val="es-ES_tradnl"/>
        </w:rPr>
        <w:t>lo anterior</w:t>
      </w:r>
      <w:r>
        <w:rPr>
          <w:rFonts w:ascii="Bookman Old Style" w:hAnsi="Bookman Old Style"/>
          <w:lang w:val="es-ES_tradnl"/>
        </w:rPr>
        <w:t xml:space="preserve">, la metodología realiza un análisis de clústeres </w:t>
      </w:r>
      <w:r w:rsidR="00B70613">
        <w:rPr>
          <w:rFonts w:ascii="Bookman Old Style" w:hAnsi="Bookman Old Style"/>
          <w:lang w:val="es-ES_tradnl"/>
        </w:rPr>
        <w:t xml:space="preserve">donde se agrupan las empresas por tamaño. Una vez identificados los grupos o clústeres se revisa al interior de cada </w:t>
      </w:r>
      <w:r w:rsidR="00B749FF">
        <w:rPr>
          <w:rFonts w:ascii="Bookman Old Style" w:hAnsi="Bookman Old Style"/>
          <w:lang w:val="es-ES_tradnl"/>
        </w:rPr>
        <w:t>grupo</w:t>
      </w:r>
      <w:r w:rsidR="00B70613">
        <w:rPr>
          <w:rFonts w:ascii="Bookman Old Style" w:hAnsi="Bookman Old Style"/>
          <w:lang w:val="es-ES_tradnl"/>
        </w:rPr>
        <w:t xml:space="preserve"> cual es la empresa similar en densidad</w:t>
      </w:r>
      <w:r w:rsidR="00D23FC2">
        <w:rPr>
          <w:rFonts w:ascii="Bookman Old Style" w:hAnsi="Bookman Old Style"/>
          <w:lang w:val="es-ES_tradnl"/>
        </w:rPr>
        <w:t xml:space="preserve"> y</w:t>
      </w:r>
      <w:r w:rsidR="00B749FF">
        <w:rPr>
          <w:rFonts w:ascii="Bookman Old Style" w:hAnsi="Bookman Old Style"/>
          <w:lang w:val="es-ES_tradnl"/>
        </w:rPr>
        <w:t xml:space="preserve"> se asigna el cargo de comercialización </w:t>
      </w:r>
      <w:r w:rsidR="00D23FC2">
        <w:rPr>
          <w:rFonts w:ascii="Bookman Old Style" w:hAnsi="Bookman Old Style"/>
          <w:lang w:val="es-ES_tradnl"/>
        </w:rPr>
        <w:t>correspondiente al nuevo mercado de comercialización solicitado.</w:t>
      </w:r>
      <w:r w:rsidR="00726771">
        <w:rPr>
          <w:rFonts w:ascii="Bookman Old Style" w:hAnsi="Bookman Old Style"/>
          <w:lang w:val="es-ES_tradnl"/>
        </w:rPr>
        <w:t xml:space="preserve"> </w:t>
      </w:r>
      <w:r w:rsidR="007D6BA5">
        <w:rPr>
          <w:rFonts w:ascii="Bookman Old Style" w:hAnsi="Bookman Old Style"/>
          <w:lang w:val="es-ES_tradnl"/>
        </w:rPr>
        <w:t>L</w:t>
      </w:r>
      <w:r w:rsidR="00BD2C72">
        <w:rPr>
          <w:rFonts w:ascii="Bookman Old Style" w:hAnsi="Bookman Old Style"/>
          <w:lang w:val="es-ES_tradnl"/>
        </w:rPr>
        <w:t>a densidad corresponde a la relación entre los usuarios y los kil</w:t>
      </w:r>
      <w:r w:rsidR="00726771">
        <w:rPr>
          <w:rFonts w:ascii="Bookman Old Style" w:hAnsi="Bookman Old Style"/>
          <w:lang w:val="es-ES_tradnl"/>
        </w:rPr>
        <w:t xml:space="preserve">ómetros de red. </w:t>
      </w:r>
    </w:p>
    <w:p w14:paraId="1AEB18D1" w14:textId="39837464" w:rsidR="007D6BA5" w:rsidRDefault="007D6BA5" w:rsidP="007025D9">
      <w:pPr>
        <w:tabs>
          <w:tab w:val="left" w:pos="3360"/>
        </w:tabs>
        <w:spacing w:before="240" w:after="240"/>
        <w:ind w:left="0"/>
        <w:jc w:val="both"/>
        <w:rPr>
          <w:rFonts w:ascii="Bookman Old Style" w:hAnsi="Bookman Old Style"/>
          <w:lang w:val="es-ES_tradnl"/>
        </w:rPr>
      </w:pPr>
      <w:r>
        <w:rPr>
          <w:rFonts w:ascii="Bookman Old Style" w:hAnsi="Bookman Old Style"/>
          <w:lang w:val="es-ES_tradnl"/>
        </w:rPr>
        <w:t>En el presente asunto, a</w:t>
      </w:r>
      <w:r w:rsidR="00BD2C72">
        <w:rPr>
          <w:rFonts w:ascii="Bookman Old Style" w:hAnsi="Bookman Old Style"/>
          <w:lang w:val="es-ES_tradnl"/>
        </w:rPr>
        <w:t xml:space="preserve">l realizar la revisión </w:t>
      </w:r>
      <w:r w:rsidR="00726771">
        <w:rPr>
          <w:rFonts w:ascii="Bookman Old Style" w:hAnsi="Bookman Old Style"/>
          <w:lang w:val="es-ES_tradnl"/>
        </w:rPr>
        <w:t>del cálculo, esta Comisión encontró que los kilómetros de red considerados para el cómputo de la densidad corresponden al tipo de inversión inherente a la operación</w:t>
      </w:r>
      <w:r>
        <w:rPr>
          <w:rFonts w:ascii="Bookman Old Style" w:hAnsi="Bookman Old Style"/>
          <w:lang w:val="es-ES_tradnl"/>
        </w:rPr>
        <w:t xml:space="preserve"> pero </w:t>
      </w:r>
      <w:r w:rsidR="00726771">
        <w:rPr>
          <w:rFonts w:ascii="Bookman Old Style" w:hAnsi="Bookman Old Style"/>
          <w:lang w:val="es-ES_tradnl"/>
        </w:rPr>
        <w:t>omiti</w:t>
      </w:r>
      <w:r>
        <w:rPr>
          <w:rFonts w:ascii="Bookman Old Style" w:hAnsi="Bookman Old Style"/>
          <w:lang w:val="es-ES_tradnl"/>
        </w:rPr>
        <w:t xml:space="preserve">ó </w:t>
      </w:r>
      <w:r w:rsidR="00726771">
        <w:rPr>
          <w:rFonts w:ascii="Bookman Old Style" w:hAnsi="Bookman Old Style"/>
          <w:lang w:val="es-ES_tradnl"/>
        </w:rPr>
        <w:t xml:space="preserve">los kilómetros de red relacionados como activos especiales. </w:t>
      </w:r>
      <w:r w:rsidRPr="00743CA5">
        <w:rPr>
          <w:rFonts w:ascii="Bookman Old Style" w:hAnsi="Bookman Old Style"/>
          <w:lang w:val="es-ES_tradnl"/>
        </w:rPr>
        <w:t xml:space="preserve">Esta situación incide </w:t>
      </w:r>
      <w:r w:rsidR="00E8464A" w:rsidRPr="00743CA5">
        <w:rPr>
          <w:rFonts w:ascii="Bookman Old Style" w:hAnsi="Bookman Old Style"/>
          <w:lang w:val="es-ES_tradnl"/>
        </w:rPr>
        <w:t>directamente en el cálculo de la densidad.</w:t>
      </w:r>
    </w:p>
    <w:p w14:paraId="5D847975" w14:textId="3AC10BB6" w:rsidR="00285160" w:rsidRDefault="00726771" w:rsidP="007025D9">
      <w:pPr>
        <w:tabs>
          <w:tab w:val="left" w:pos="3360"/>
        </w:tabs>
        <w:spacing w:before="240" w:after="240"/>
        <w:ind w:left="0"/>
        <w:jc w:val="both"/>
        <w:rPr>
          <w:rFonts w:ascii="Bookman Old Style" w:hAnsi="Bookman Old Style"/>
          <w:lang w:val="es-ES_tradnl"/>
        </w:rPr>
      </w:pPr>
      <w:r>
        <w:rPr>
          <w:rFonts w:ascii="Bookman Old Style" w:hAnsi="Bookman Old Style"/>
          <w:lang w:val="es-ES_tradnl"/>
        </w:rPr>
        <w:t xml:space="preserve">Por lo tanto, corregido el cálculo </w:t>
      </w:r>
      <w:r w:rsidR="004C13AA" w:rsidRPr="004C13AA">
        <w:rPr>
          <w:rFonts w:ascii="Bookman Old Style" w:hAnsi="Bookman Old Style"/>
          <w:lang w:val="es-ES_tradnl"/>
        </w:rPr>
        <w:t xml:space="preserve">se asigna para el mercado relevante compuesto por los municipios de Córdoba, Guaitarilla y Pupiales en el departamento de Nariño, el cargo de comercialización que fue aprobado mediante </w:t>
      </w:r>
      <w:r w:rsidR="00B9386C">
        <w:rPr>
          <w:rFonts w:ascii="Bookman Old Style" w:hAnsi="Bookman Old Style"/>
          <w:lang w:val="es-ES_tradnl"/>
        </w:rPr>
        <w:t xml:space="preserve">la Resolución CREG 054 de 2009 que tiene características similares. Este cargo </w:t>
      </w:r>
      <w:r w:rsidR="004C13AA" w:rsidRPr="004C13AA">
        <w:rPr>
          <w:rFonts w:ascii="Bookman Old Style" w:hAnsi="Bookman Old Style"/>
          <w:lang w:val="es-ES_tradnl"/>
        </w:rPr>
        <w:t>es ajustado con el IPC para llevarlo de pesos del 31 de diciembre de 2009, a pesos del 31 de diciembre de 2016.</w:t>
      </w:r>
    </w:p>
    <w:p w14:paraId="613C0090" w14:textId="6152FA48" w:rsidR="00626EED" w:rsidRPr="00626EED" w:rsidRDefault="00DE7CAE" w:rsidP="00D1599A">
      <w:pPr>
        <w:spacing w:before="240" w:after="240"/>
        <w:ind w:left="0"/>
        <w:jc w:val="both"/>
        <w:rPr>
          <w:rFonts w:ascii="Bookman Old Style" w:hAnsi="Bookman Old Style"/>
          <w:lang w:val="es-ES_tradnl"/>
        </w:rPr>
      </w:pPr>
      <w:r>
        <w:rPr>
          <w:rFonts w:ascii="Bookman Old Style" w:hAnsi="Bookman Old Style"/>
          <w:lang w:val="es-ES_tradnl"/>
        </w:rPr>
        <w:t>Así, l</w:t>
      </w:r>
      <w:r w:rsidR="00626EED" w:rsidRPr="00626EED">
        <w:rPr>
          <w:rFonts w:ascii="Bookman Old Style" w:hAnsi="Bookman Old Style"/>
          <w:lang w:val="es-ES_tradnl"/>
        </w:rPr>
        <w:t xml:space="preserve">a Comisión de Regulación de Energía y Gas en su sesión </w:t>
      </w:r>
      <w:r w:rsidR="00937BCF">
        <w:rPr>
          <w:rFonts w:ascii="Bookman Old Style" w:hAnsi="Bookman Old Style"/>
          <w:lang w:val="es-ES_tradnl"/>
        </w:rPr>
        <w:t>916</w:t>
      </w:r>
      <w:r w:rsidR="00626EED" w:rsidRPr="00626EED">
        <w:rPr>
          <w:rFonts w:ascii="Bookman Old Style" w:hAnsi="Bookman Old Style"/>
          <w:lang w:val="es-ES_tradnl"/>
        </w:rPr>
        <w:t xml:space="preserve"> del </w:t>
      </w:r>
      <w:r w:rsidR="00937BCF">
        <w:rPr>
          <w:rFonts w:ascii="Bookman Old Style" w:hAnsi="Bookman Old Style"/>
          <w:lang w:val="es-ES_tradnl"/>
        </w:rPr>
        <w:t>3</w:t>
      </w:r>
      <w:r w:rsidR="00D1599A">
        <w:rPr>
          <w:rFonts w:ascii="Bookman Old Style" w:hAnsi="Bookman Old Style"/>
          <w:lang w:val="es-ES_tradnl"/>
        </w:rPr>
        <w:t xml:space="preserve"> de </w:t>
      </w:r>
      <w:r w:rsidR="00937BCF">
        <w:rPr>
          <w:rFonts w:ascii="Bookman Old Style" w:hAnsi="Bookman Old Style"/>
          <w:lang w:val="es-ES_tradnl"/>
        </w:rPr>
        <w:t>mayo de 2019</w:t>
      </w:r>
      <w:r w:rsidR="00626EED" w:rsidRPr="00626EED">
        <w:rPr>
          <w:rFonts w:ascii="Bookman Old Style" w:hAnsi="Bookman Old Style"/>
          <w:lang w:val="es-ES_tradnl"/>
        </w:rPr>
        <w:t>, acordó expedir la presente resolución.</w:t>
      </w:r>
    </w:p>
    <w:p w14:paraId="55EE8288" w14:textId="77777777" w:rsidR="00045D3D" w:rsidRDefault="00045D3D" w:rsidP="00045D3D">
      <w:pPr>
        <w:suppressAutoHyphens/>
        <w:jc w:val="center"/>
        <w:rPr>
          <w:rFonts w:ascii="Bookman Old Style" w:hAnsi="Bookman Old Style"/>
          <w:b/>
          <w:spacing w:val="-3"/>
        </w:rPr>
      </w:pPr>
    </w:p>
    <w:p w14:paraId="3A127CAA" w14:textId="77777777" w:rsidR="00045D3D" w:rsidRPr="00C435C3" w:rsidRDefault="00045D3D" w:rsidP="00045D3D">
      <w:pPr>
        <w:suppressAutoHyphens/>
        <w:jc w:val="center"/>
        <w:rPr>
          <w:rFonts w:ascii="Bookman Old Style" w:hAnsi="Bookman Old Style"/>
          <w:spacing w:val="-3"/>
        </w:rPr>
      </w:pPr>
      <w:r w:rsidRPr="00C435C3">
        <w:rPr>
          <w:rFonts w:ascii="Bookman Old Style" w:hAnsi="Bookman Old Style"/>
          <w:b/>
          <w:spacing w:val="-3"/>
        </w:rPr>
        <w:t>R E S U E L V E:</w:t>
      </w:r>
    </w:p>
    <w:p w14:paraId="724556C1" w14:textId="77777777" w:rsidR="00045D3D" w:rsidRDefault="00045D3D" w:rsidP="00045D3D">
      <w:pPr>
        <w:jc w:val="center"/>
        <w:rPr>
          <w:rFonts w:ascii="Bookman Old Style" w:hAnsi="Bookman Old Style"/>
        </w:rPr>
      </w:pPr>
    </w:p>
    <w:p w14:paraId="698480F3" w14:textId="58778227" w:rsidR="00D1599A" w:rsidRDefault="00045D3D" w:rsidP="0053787E">
      <w:pPr>
        <w:ind w:left="0"/>
        <w:jc w:val="both"/>
        <w:rPr>
          <w:rFonts w:ascii="Bookman Old Style" w:eastAsia="Calibri" w:hAnsi="Bookman Old Style" w:cs="Century Gothic"/>
          <w:lang w:eastAsia="es-CO"/>
        </w:rPr>
      </w:pPr>
      <w:r w:rsidRPr="00D1599A">
        <w:rPr>
          <w:rFonts w:ascii="Bookman Old Style" w:hAnsi="Bookman Old Style"/>
          <w:b/>
        </w:rPr>
        <w:t xml:space="preserve">ARTÍCULO 1. </w:t>
      </w:r>
      <w:r w:rsidR="00CB6C90">
        <w:rPr>
          <w:rFonts w:ascii="Bookman Old Style" w:eastAsia="Calibri" w:hAnsi="Bookman Old Style" w:cs="Century Gothic"/>
          <w:lang w:eastAsia="es-CO"/>
        </w:rPr>
        <w:t>Reponer</w:t>
      </w:r>
      <w:r w:rsidR="00D529BE">
        <w:rPr>
          <w:rFonts w:ascii="Bookman Old Style" w:eastAsia="Calibri" w:hAnsi="Bookman Old Style" w:cs="Century Gothic"/>
          <w:lang w:eastAsia="es-CO"/>
        </w:rPr>
        <w:t xml:space="preserve"> el </w:t>
      </w:r>
      <w:r w:rsidR="00CB6C90">
        <w:rPr>
          <w:rFonts w:ascii="Bookman Old Style" w:eastAsia="Calibri" w:hAnsi="Bookman Old Style" w:cs="Century Gothic"/>
          <w:lang w:eastAsia="es-CO"/>
        </w:rPr>
        <w:t>a</w:t>
      </w:r>
      <w:r w:rsidR="00D529BE">
        <w:rPr>
          <w:rFonts w:ascii="Bookman Old Style" w:eastAsia="Calibri" w:hAnsi="Bookman Old Style" w:cs="Century Gothic"/>
          <w:lang w:eastAsia="es-CO"/>
        </w:rPr>
        <w:t>rtículo 2 de la Resolución CREG 112 de 2018, el cual quedará así:</w:t>
      </w:r>
    </w:p>
    <w:p w14:paraId="43964E86" w14:textId="1256862E" w:rsidR="00D529BE" w:rsidRDefault="00D529BE" w:rsidP="0053787E">
      <w:pPr>
        <w:ind w:left="0"/>
        <w:jc w:val="both"/>
        <w:rPr>
          <w:rFonts w:ascii="Bookman Old Style" w:eastAsia="Calibri" w:hAnsi="Bookman Old Style" w:cs="Century Gothic"/>
          <w:lang w:eastAsia="es-CO"/>
        </w:rPr>
      </w:pPr>
    </w:p>
    <w:p w14:paraId="65924E7B" w14:textId="23B499E0" w:rsidR="00D529BE" w:rsidRPr="00772807" w:rsidRDefault="00D529BE" w:rsidP="00D529BE">
      <w:pPr>
        <w:widowControl w:val="0"/>
        <w:adjustRightInd w:val="0"/>
        <w:ind w:left="0" w:right="20"/>
        <w:jc w:val="both"/>
        <w:rPr>
          <w:rFonts w:ascii="Bookman Old Style" w:hAnsi="Bookman Old Style" w:cs="Arial"/>
        </w:rPr>
      </w:pPr>
      <w:r>
        <w:rPr>
          <w:rFonts w:ascii="Bookman Old Style" w:hAnsi="Bookman Old Style" w:cs="Arial"/>
          <w:b/>
        </w:rPr>
        <w:t>“</w:t>
      </w:r>
      <w:r w:rsidRPr="00772807">
        <w:rPr>
          <w:rFonts w:ascii="Bookman Old Style" w:hAnsi="Bookman Old Style" w:cs="Arial"/>
          <w:b/>
        </w:rPr>
        <w:t xml:space="preserve">ARTÍCULO </w:t>
      </w:r>
      <w:r>
        <w:rPr>
          <w:rFonts w:ascii="Bookman Old Style" w:hAnsi="Bookman Old Style" w:cs="Arial"/>
          <w:b/>
        </w:rPr>
        <w:t>2</w:t>
      </w:r>
      <w:r w:rsidRPr="00772807">
        <w:rPr>
          <w:rFonts w:ascii="Bookman Old Style" w:hAnsi="Bookman Old Style" w:cs="Arial"/>
          <w:b/>
        </w:rPr>
        <w:t>. Cargo Máximo Base de Comercialización.</w:t>
      </w:r>
      <w:r w:rsidRPr="00772807">
        <w:rPr>
          <w:rFonts w:ascii="Bookman Old Style" w:hAnsi="Bookman Old Style" w:cs="Arial"/>
        </w:rPr>
        <w:t xml:space="preserve"> A partir de la vigencia de la presente Resolución, el cargo máximo base de comercialización aplicable en el Mercado Relevante de que trata el </w:t>
      </w:r>
      <w:r>
        <w:rPr>
          <w:rFonts w:ascii="Bookman Old Style" w:hAnsi="Bookman Old Style" w:cs="Arial"/>
        </w:rPr>
        <w:t>a</w:t>
      </w:r>
      <w:r w:rsidRPr="00772807">
        <w:rPr>
          <w:rFonts w:ascii="Bookman Old Style" w:hAnsi="Bookman Old Style" w:cs="Arial"/>
        </w:rPr>
        <w:t xml:space="preserve">rtículo </w:t>
      </w:r>
      <w:r>
        <w:rPr>
          <w:rFonts w:ascii="Bookman Old Style" w:hAnsi="Bookman Old Style" w:cs="Arial"/>
        </w:rPr>
        <w:t>1</w:t>
      </w:r>
      <w:r w:rsidRPr="00772807">
        <w:rPr>
          <w:rFonts w:ascii="Bookman Old Style" w:hAnsi="Bookman Old Style" w:cs="Arial"/>
        </w:rPr>
        <w:t xml:space="preserve"> de la presente Resolución, es el siguiente:</w:t>
      </w:r>
    </w:p>
    <w:p w14:paraId="38D9A438" w14:textId="77777777" w:rsidR="00D529BE" w:rsidRPr="0012200E" w:rsidRDefault="00D529BE" w:rsidP="00D529BE">
      <w:pPr>
        <w:widowControl w:val="0"/>
        <w:adjustRightInd w:val="0"/>
        <w:spacing w:before="120"/>
        <w:ind w:left="0" w:right="20"/>
        <w:jc w:val="both"/>
        <w:rPr>
          <w:rFonts w:ascii="Bookman Old Style" w:hAnsi="Bookman Old Style" w:cs="Arial"/>
          <w:sz w:val="18"/>
          <w:lang w:val="x-none"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33"/>
        <w:gridCol w:w="1615"/>
      </w:tblGrid>
      <w:tr w:rsidR="00D529BE" w:rsidRPr="00772807" w14:paraId="34469424" w14:textId="77777777" w:rsidTr="007F5493">
        <w:trPr>
          <w:trHeight w:val="531"/>
          <w:jc w:val="center"/>
        </w:trPr>
        <w:tc>
          <w:tcPr>
            <w:tcW w:w="3333" w:type="dxa"/>
            <w:tcBorders>
              <w:top w:val="single" w:sz="4" w:space="0" w:color="auto"/>
              <w:left w:val="single" w:sz="4" w:space="0" w:color="auto"/>
              <w:bottom w:val="single" w:sz="4" w:space="0" w:color="auto"/>
              <w:right w:val="single" w:sz="4" w:space="0" w:color="auto"/>
            </w:tcBorders>
            <w:shd w:val="clear" w:color="auto" w:fill="D9D9D9"/>
            <w:vAlign w:val="center"/>
          </w:tcPr>
          <w:p w14:paraId="107DC287" w14:textId="77777777" w:rsidR="00D529BE" w:rsidRPr="007F1EA3" w:rsidRDefault="00D529BE" w:rsidP="007F5493">
            <w:pPr>
              <w:keepNext/>
              <w:widowControl w:val="0"/>
              <w:shd w:val="clear" w:color="auto" w:fill="F2F2F2"/>
              <w:tabs>
                <w:tab w:val="left" w:pos="708"/>
              </w:tabs>
              <w:adjustRightInd w:val="0"/>
              <w:spacing w:before="360"/>
              <w:ind w:left="0"/>
              <w:jc w:val="center"/>
              <w:outlineLvl w:val="3"/>
              <w:rPr>
                <w:rFonts w:ascii="Bookman Old Style" w:hAnsi="Bookman Old Style" w:cs="Arial"/>
                <w:b/>
                <w:sz w:val="22"/>
                <w:szCs w:val="22"/>
              </w:rPr>
            </w:pPr>
            <w:r w:rsidRPr="007F1EA3">
              <w:rPr>
                <w:rFonts w:ascii="Bookman Old Style" w:hAnsi="Bookman Old Style" w:cs="Arial"/>
                <w:b/>
                <w:sz w:val="22"/>
                <w:szCs w:val="22"/>
              </w:rPr>
              <w:t>Cargo de Comercialización ($/ factura)</w:t>
            </w:r>
          </w:p>
          <w:p w14:paraId="439C61C6" w14:textId="77777777" w:rsidR="00D529BE" w:rsidRPr="00772807" w:rsidRDefault="00D529BE" w:rsidP="007F5493">
            <w:pPr>
              <w:widowControl w:val="0"/>
              <w:adjustRightInd w:val="0"/>
              <w:spacing w:line="360" w:lineRule="atLeast"/>
              <w:ind w:left="0"/>
              <w:jc w:val="both"/>
              <w:rPr>
                <w:lang w:val="es-CO"/>
              </w:rPr>
            </w:pPr>
          </w:p>
        </w:tc>
        <w:tc>
          <w:tcPr>
            <w:tcW w:w="1615" w:type="dxa"/>
            <w:tcBorders>
              <w:top w:val="single" w:sz="4" w:space="0" w:color="auto"/>
              <w:left w:val="single" w:sz="4" w:space="0" w:color="auto"/>
              <w:bottom w:val="single" w:sz="4" w:space="0" w:color="auto"/>
              <w:right w:val="single" w:sz="4" w:space="0" w:color="auto"/>
            </w:tcBorders>
            <w:vAlign w:val="center"/>
            <w:hideMark/>
          </w:tcPr>
          <w:p w14:paraId="615FD3A0" w14:textId="4C67CCBB" w:rsidR="00D529BE" w:rsidRPr="008048A4" w:rsidRDefault="00D529BE" w:rsidP="00D529BE">
            <w:pPr>
              <w:ind w:left="0" w:right="20"/>
              <w:jc w:val="center"/>
              <w:rPr>
                <w:rFonts w:ascii="Bookman Old Style" w:hAnsi="Bookman Old Style" w:cs="Arial"/>
                <w:sz w:val="22"/>
                <w:szCs w:val="22"/>
                <w:lang w:val="es-CO"/>
              </w:rPr>
            </w:pPr>
            <w:r w:rsidRPr="008048A4">
              <w:rPr>
                <w:rFonts w:ascii="Bookman Old Style" w:hAnsi="Bookman Old Style" w:cs="Arial"/>
                <w:sz w:val="22"/>
                <w:szCs w:val="22"/>
                <w:lang w:val="es-CO"/>
              </w:rPr>
              <w:t>$</w:t>
            </w:r>
            <w:r>
              <w:rPr>
                <w:rFonts w:ascii="Bookman Old Style" w:hAnsi="Bookman Old Style" w:cs="Arial"/>
                <w:sz w:val="22"/>
                <w:szCs w:val="22"/>
                <w:lang w:val="es-ES_tradnl"/>
              </w:rPr>
              <w:t>2.481</w:t>
            </w:r>
            <w:r w:rsidR="009D6A4C">
              <w:rPr>
                <w:rFonts w:ascii="Bookman Old Style" w:hAnsi="Bookman Old Style" w:cs="Arial"/>
                <w:sz w:val="22"/>
                <w:szCs w:val="22"/>
                <w:lang w:val="es-ES_tradnl"/>
              </w:rPr>
              <w:t>,77</w:t>
            </w:r>
          </w:p>
        </w:tc>
      </w:tr>
    </w:tbl>
    <w:p w14:paraId="12ADFBF4" w14:textId="77777777" w:rsidR="00D529BE" w:rsidRPr="00D0649A" w:rsidRDefault="00D529BE" w:rsidP="00D529BE">
      <w:pPr>
        <w:widowControl w:val="0"/>
        <w:adjustRightInd w:val="0"/>
        <w:spacing w:before="120"/>
        <w:ind w:left="1983" w:right="20" w:firstLine="141"/>
        <w:jc w:val="both"/>
        <w:rPr>
          <w:rFonts w:ascii="Bookman Old Style" w:hAnsi="Bookman Old Style" w:cs="Arial"/>
          <w:sz w:val="18"/>
          <w:lang w:val="x-none" w:eastAsia="x-none"/>
        </w:rPr>
      </w:pPr>
      <w:r w:rsidRPr="003E0840">
        <w:rPr>
          <w:rFonts w:ascii="Bookman Old Style" w:hAnsi="Bookman Old Style" w:cs="Arial"/>
          <w:sz w:val="16"/>
          <w:lang w:val="x-none" w:eastAsia="x-none"/>
        </w:rPr>
        <w:t>Cifras en pesos del 31 de diciembre de 20</w:t>
      </w:r>
      <w:r w:rsidRPr="003E0840">
        <w:rPr>
          <w:rFonts w:ascii="Bookman Old Style" w:hAnsi="Bookman Old Style" w:cs="Arial"/>
          <w:sz w:val="16"/>
          <w:lang w:val="es-CO" w:eastAsia="x-none"/>
        </w:rPr>
        <w:t>16</w:t>
      </w:r>
    </w:p>
    <w:p w14:paraId="37A76F12" w14:textId="77777777" w:rsidR="00D529BE" w:rsidRPr="003841F0" w:rsidRDefault="00D529BE" w:rsidP="00D529BE">
      <w:pPr>
        <w:widowControl w:val="0"/>
        <w:adjustRightInd w:val="0"/>
        <w:ind w:left="0" w:right="20"/>
        <w:jc w:val="both"/>
        <w:rPr>
          <w:rFonts w:ascii="Bookman Old Style" w:hAnsi="Bookman Old Style" w:cs="Arial"/>
          <w:b/>
          <w:bCs/>
        </w:rPr>
      </w:pPr>
    </w:p>
    <w:p w14:paraId="2D5CDE8E" w14:textId="228B78BB" w:rsidR="00D529BE" w:rsidRPr="00772807" w:rsidRDefault="00D529BE" w:rsidP="00D529BE">
      <w:pPr>
        <w:widowControl w:val="0"/>
        <w:adjustRightInd w:val="0"/>
        <w:ind w:left="0" w:right="20"/>
        <w:jc w:val="both"/>
        <w:rPr>
          <w:rFonts w:ascii="Bookman Old Style" w:hAnsi="Bookman Old Style" w:cs="Arial"/>
        </w:rPr>
      </w:pPr>
      <w:r w:rsidRPr="00772807">
        <w:rPr>
          <w:rFonts w:ascii="Bookman Old Style" w:hAnsi="Bookman Old Style" w:cs="Arial"/>
          <w:b/>
          <w:bCs/>
        </w:rPr>
        <w:t>Parágrafo.</w:t>
      </w:r>
      <w:r w:rsidRPr="00772807">
        <w:rPr>
          <w:rFonts w:ascii="Bookman Old Style" w:hAnsi="Bookman Old Style" w:cs="Arial"/>
        </w:rPr>
        <w:t xml:space="preserve"> El Cargo de Comercialización se actualizará de conformidad con lo establecido en el </w:t>
      </w:r>
      <w:r>
        <w:rPr>
          <w:rFonts w:ascii="Bookman Old Style" w:hAnsi="Bookman Old Style" w:cs="Arial"/>
        </w:rPr>
        <w:t>a</w:t>
      </w:r>
      <w:r w:rsidRPr="00772807">
        <w:rPr>
          <w:rFonts w:ascii="Bookman Old Style" w:hAnsi="Bookman Old Style" w:cs="Arial"/>
        </w:rPr>
        <w:t>rtículo 24 de la Resolución CREG</w:t>
      </w:r>
      <w:r>
        <w:rPr>
          <w:rFonts w:ascii="Bookman Old Style" w:hAnsi="Bookman Old Style" w:cs="Arial"/>
        </w:rPr>
        <w:t xml:space="preserve"> 011 de 2003</w:t>
      </w:r>
      <w:r w:rsidR="00937BCF">
        <w:rPr>
          <w:rFonts w:ascii="Bookman Old Style" w:hAnsi="Bookman Old Style" w:cs="Arial"/>
        </w:rPr>
        <w:t>”.</w:t>
      </w:r>
    </w:p>
    <w:p w14:paraId="1C663C99" w14:textId="77777777" w:rsidR="00D529BE" w:rsidRPr="004B4DBD" w:rsidRDefault="00D529BE" w:rsidP="0053787E">
      <w:pPr>
        <w:ind w:left="0"/>
        <w:jc w:val="both"/>
        <w:rPr>
          <w:rFonts w:ascii="Bookman Old Style" w:hAnsi="Bookman Old Style" w:cs="Arial"/>
        </w:rPr>
      </w:pPr>
    </w:p>
    <w:p w14:paraId="2EFE123E" w14:textId="77777777" w:rsidR="0053787E" w:rsidRDefault="0053787E" w:rsidP="0053787E">
      <w:pPr>
        <w:ind w:left="0"/>
        <w:jc w:val="both"/>
        <w:rPr>
          <w:rFonts w:ascii="Bookman Old Style" w:hAnsi="Bookman Old Style" w:cs="Arial"/>
        </w:rPr>
      </w:pPr>
    </w:p>
    <w:p w14:paraId="43FDE5F9" w14:textId="77777777" w:rsidR="00937BCF" w:rsidRDefault="00937BCF" w:rsidP="00CB6C90">
      <w:pPr>
        <w:ind w:left="0"/>
        <w:jc w:val="both"/>
        <w:rPr>
          <w:rFonts w:ascii="Bookman Old Style" w:hAnsi="Bookman Old Style"/>
          <w:b/>
        </w:rPr>
      </w:pPr>
    </w:p>
    <w:p w14:paraId="34CEF601" w14:textId="77777777" w:rsidR="00937BCF" w:rsidRDefault="00937BCF" w:rsidP="00CB6C90">
      <w:pPr>
        <w:ind w:left="0"/>
        <w:jc w:val="both"/>
        <w:rPr>
          <w:rFonts w:ascii="Bookman Old Style" w:hAnsi="Bookman Old Style"/>
          <w:b/>
        </w:rPr>
      </w:pPr>
    </w:p>
    <w:p w14:paraId="033691AF" w14:textId="7832AB47" w:rsidR="00CB6C90" w:rsidRDefault="00045D3D" w:rsidP="00CB6C90">
      <w:pPr>
        <w:ind w:left="0"/>
        <w:jc w:val="both"/>
        <w:rPr>
          <w:rFonts w:ascii="Bookman Old Style" w:hAnsi="Bookman Old Style"/>
          <w:b/>
        </w:rPr>
      </w:pPr>
      <w:r w:rsidRPr="002A782A">
        <w:rPr>
          <w:rFonts w:ascii="Bookman Old Style" w:hAnsi="Bookman Old Style"/>
          <w:b/>
        </w:rPr>
        <w:t xml:space="preserve">ARTÍCULO </w:t>
      </w:r>
      <w:r w:rsidR="00937BCF">
        <w:rPr>
          <w:rFonts w:ascii="Bookman Old Style" w:hAnsi="Bookman Old Style"/>
          <w:b/>
        </w:rPr>
        <w:t>2</w:t>
      </w:r>
      <w:r w:rsidRPr="002A782A">
        <w:rPr>
          <w:rFonts w:ascii="Bookman Old Style" w:hAnsi="Bookman Old Style"/>
          <w:b/>
        </w:rPr>
        <w:t>.</w:t>
      </w:r>
      <w:r w:rsidR="008730C1" w:rsidRPr="008730C1">
        <w:rPr>
          <w:rFonts w:ascii="Bookman Old Style" w:hAnsi="Bookman Old Style"/>
        </w:rPr>
        <w:t xml:space="preserve"> </w:t>
      </w:r>
      <w:r w:rsidR="008730C1" w:rsidRPr="007F2DB5">
        <w:rPr>
          <w:rFonts w:ascii="Bookman Old Style" w:hAnsi="Bookman Old Style"/>
        </w:rPr>
        <w:t>La presente resolución deberá notificarse al</w:t>
      </w:r>
      <w:r w:rsidR="00CB6C90">
        <w:rPr>
          <w:rFonts w:ascii="Bookman Old Style" w:hAnsi="Bookman Old Style"/>
        </w:rPr>
        <w:t xml:space="preserve"> señor Fabio Santos en su calidad de representante legal de l</w:t>
      </w:r>
      <w:r w:rsidR="008730C1" w:rsidRPr="007F2DB5">
        <w:rPr>
          <w:rFonts w:ascii="Bookman Old Style" w:hAnsi="Bookman Old Style"/>
        </w:rPr>
        <w:t xml:space="preserve">a empresa </w:t>
      </w:r>
      <w:r w:rsidR="008730C1">
        <w:rPr>
          <w:rFonts w:ascii="Bookman Old Style" w:hAnsi="Bookman Old Style"/>
        </w:rPr>
        <w:t>INGENIERIA Y SERVICIOS S.A. E.S.P.</w:t>
      </w:r>
      <w:r w:rsidR="00CB6C90">
        <w:rPr>
          <w:rFonts w:ascii="Bookman Old Style" w:hAnsi="Bookman Old Style"/>
        </w:rPr>
        <w:t xml:space="preserve"> o quien haga sus veces</w:t>
      </w:r>
      <w:r w:rsidR="008730C1">
        <w:rPr>
          <w:rFonts w:ascii="Bookman Old Style" w:hAnsi="Bookman Old Style"/>
        </w:rPr>
        <w:t xml:space="preserve"> </w:t>
      </w:r>
      <w:r w:rsidR="008730C1" w:rsidRPr="007F2DB5">
        <w:rPr>
          <w:rFonts w:ascii="Bookman Old Style" w:hAnsi="Bookman Old Style"/>
        </w:rPr>
        <w:t xml:space="preserve">y </w:t>
      </w:r>
      <w:r w:rsidR="00CB6C90">
        <w:rPr>
          <w:rFonts w:ascii="Bookman Old Style" w:hAnsi="Bookman Old Style"/>
        </w:rPr>
        <w:t xml:space="preserve">deberá </w:t>
      </w:r>
      <w:r w:rsidR="008730C1" w:rsidRPr="007F2DB5">
        <w:rPr>
          <w:rFonts w:ascii="Bookman Old Style" w:hAnsi="Bookman Old Style"/>
        </w:rPr>
        <w:t xml:space="preserve">publicarse en el </w:t>
      </w:r>
      <w:r w:rsidR="008730C1" w:rsidRPr="007F2DB5">
        <w:rPr>
          <w:rFonts w:ascii="Bookman Old Style" w:hAnsi="Bookman Old Style"/>
          <w:i/>
        </w:rPr>
        <w:t>Diario Oficial</w:t>
      </w:r>
      <w:r w:rsidR="008730C1" w:rsidRPr="007F2DB5">
        <w:rPr>
          <w:rFonts w:ascii="Bookman Old Style" w:hAnsi="Bookman Old Style"/>
        </w:rPr>
        <w:t xml:space="preserve">. </w:t>
      </w:r>
      <w:r w:rsidR="00CB6C90" w:rsidRPr="007931CC">
        <w:rPr>
          <w:rFonts w:ascii="Bookman Old Style" w:hAnsi="Bookman Old Style"/>
        </w:rPr>
        <w:t>Contra lo aquí dispuesto no procede recurso alguno por haber finalizado la actuación administrativa correspondiente a la presentación de recursos previsto en la Ley.</w:t>
      </w:r>
    </w:p>
    <w:p w14:paraId="5F7F87D7" w14:textId="77777777" w:rsidR="00CB6C90" w:rsidRDefault="00CB6C90" w:rsidP="00CB6C90">
      <w:pPr>
        <w:ind w:left="0"/>
        <w:jc w:val="both"/>
        <w:rPr>
          <w:rFonts w:ascii="Bookman Old Style" w:hAnsi="Bookman Old Style"/>
          <w:b/>
        </w:rPr>
      </w:pPr>
    </w:p>
    <w:p w14:paraId="48E86A7F" w14:textId="77777777" w:rsidR="008730C1" w:rsidRDefault="008730C1" w:rsidP="0052303E">
      <w:pPr>
        <w:ind w:left="0"/>
        <w:jc w:val="both"/>
        <w:rPr>
          <w:rFonts w:ascii="Bookman Old Style" w:hAnsi="Bookman Old Style"/>
          <w:b/>
        </w:rPr>
      </w:pPr>
    </w:p>
    <w:p w14:paraId="1C343A7A" w14:textId="77777777" w:rsidR="00045D3D" w:rsidRPr="00C435C3" w:rsidRDefault="002903C0" w:rsidP="00045D3D">
      <w:pPr>
        <w:jc w:val="center"/>
        <w:rPr>
          <w:rFonts w:ascii="Bookman Old Style" w:hAnsi="Bookman Old Style"/>
          <w:b/>
        </w:rPr>
      </w:pPr>
      <w:r>
        <w:rPr>
          <w:rFonts w:ascii="Bookman Old Style" w:hAnsi="Bookman Old Style"/>
          <w:b/>
        </w:rPr>
        <w:t xml:space="preserve">NOTIFÍQUESE, </w:t>
      </w:r>
      <w:r w:rsidR="00045D3D" w:rsidRPr="00C435C3">
        <w:rPr>
          <w:rFonts w:ascii="Bookman Old Style" w:hAnsi="Bookman Old Style"/>
          <w:b/>
        </w:rPr>
        <w:t>PU</w:t>
      </w:r>
      <w:r w:rsidR="00CA03C8">
        <w:rPr>
          <w:rFonts w:ascii="Bookman Old Style" w:hAnsi="Bookman Old Style"/>
          <w:b/>
        </w:rPr>
        <w:t>B</w:t>
      </w:r>
      <w:r w:rsidR="00045D3D" w:rsidRPr="00C435C3">
        <w:rPr>
          <w:rFonts w:ascii="Bookman Old Style" w:hAnsi="Bookman Old Style"/>
          <w:b/>
        </w:rPr>
        <w:t>LÍQUESE Y CÚMPLASE</w:t>
      </w:r>
    </w:p>
    <w:p w14:paraId="1AB4148B" w14:textId="77777777" w:rsidR="00045D3D" w:rsidRPr="00C435C3" w:rsidRDefault="00045D3D" w:rsidP="00045D3D">
      <w:pPr>
        <w:rPr>
          <w:rFonts w:ascii="Bookman Old Style" w:hAnsi="Bookman Old Style"/>
        </w:rPr>
      </w:pPr>
    </w:p>
    <w:p w14:paraId="0984D125" w14:textId="403F4353" w:rsidR="00045D3D" w:rsidRDefault="00045D3D" w:rsidP="00045D3D">
      <w:pPr>
        <w:ind w:left="0"/>
        <w:rPr>
          <w:rFonts w:ascii="Bookman Old Style" w:hAnsi="Bookman Old Style"/>
        </w:rPr>
      </w:pPr>
      <w:r>
        <w:rPr>
          <w:rFonts w:ascii="Bookman Old Style" w:hAnsi="Bookman Old Style"/>
        </w:rPr>
        <w:t>Dada en Bogotá, D.C.</w:t>
      </w:r>
      <w:r w:rsidR="00CA3AA6">
        <w:rPr>
          <w:rFonts w:ascii="Bookman Old Style" w:hAnsi="Bookman Old Style"/>
        </w:rPr>
        <w:t xml:space="preserve"> a</w:t>
      </w:r>
    </w:p>
    <w:p w14:paraId="56069FB7" w14:textId="74C32C9D" w:rsidR="001B6E72" w:rsidRDefault="001B6E72" w:rsidP="00045D3D">
      <w:pPr>
        <w:ind w:left="0"/>
        <w:rPr>
          <w:rFonts w:ascii="Bookman Old Style" w:hAnsi="Bookman Old Style"/>
        </w:rPr>
      </w:pPr>
    </w:p>
    <w:p w14:paraId="7E9383E9" w14:textId="414F3ED1" w:rsidR="001B6E72" w:rsidRDefault="001B6E72" w:rsidP="00045D3D">
      <w:pPr>
        <w:ind w:left="0"/>
        <w:rPr>
          <w:rFonts w:ascii="Bookman Old Style" w:hAnsi="Bookman Old Style"/>
        </w:rPr>
      </w:pPr>
    </w:p>
    <w:p w14:paraId="1829B9A3" w14:textId="56F87371" w:rsidR="001B6E72" w:rsidRDefault="001B6E72" w:rsidP="00045D3D">
      <w:pPr>
        <w:ind w:left="0"/>
        <w:rPr>
          <w:rFonts w:ascii="Bookman Old Style" w:hAnsi="Bookman Old Style"/>
        </w:rPr>
      </w:pPr>
    </w:p>
    <w:p w14:paraId="14719F67" w14:textId="77777777" w:rsidR="001B6E72" w:rsidRDefault="001B6E72" w:rsidP="00045D3D">
      <w:pPr>
        <w:ind w:left="0"/>
        <w:rPr>
          <w:rFonts w:ascii="Bookman Old Style" w:hAnsi="Bookman Old Style"/>
        </w:rPr>
      </w:pPr>
    </w:p>
    <w:p w14:paraId="47583835" w14:textId="77777777" w:rsidR="00045D3D" w:rsidRDefault="00045D3D" w:rsidP="00045D3D">
      <w:pPr>
        <w:ind w:left="0"/>
        <w:rPr>
          <w:rFonts w:ascii="Bookman Old Style" w:hAnsi="Bookman Old Style"/>
        </w:rPr>
      </w:pPr>
    </w:p>
    <w:tbl>
      <w:tblPr>
        <w:tblW w:w="9640" w:type="dxa"/>
        <w:tblCellSpacing w:w="0" w:type="dxa"/>
        <w:tblInd w:w="-142" w:type="dxa"/>
        <w:shd w:val="clear" w:color="auto" w:fill="FFFFFF"/>
        <w:tblCellMar>
          <w:left w:w="0" w:type="dxa"/>
          <w:right w:w="0" w:type="dxa"/>
        </w:tblCellMar>
        <w:tblLook w:val="04A0" w:firstRow="1" w:lastRow="0" w:firstColumn="1" w:lastColumn="0" w:noHBand="0" w:noVBand="1"/>
      </w:tblPr>
      <w:tblGrid>
        <w:gridCol w:w="5104"/>
        <w:gridCol w:w="4536"/>
      </w:tblGrid>
      <w:tr w:rsidR="001B6E72" w:rsidRPr="00B64D62" w14:paraId="1280B281" w14:textId="77777777" w:rsidTr="008D5CBF">
        <w:trPr>
          <w:tblCellSpacing w:w="0" w:type="dxa"/>
        </w:trPr>
        <w:tc>
          <w:tcPr>
            <w:tcW w:w="5104" w:type="dxa"/>
            <w:shd w:val="clear" w:color="auto" w:fill="FFFFFF"/>
            <w:hideMark/>
          </w:tcPr>
          <w:p w14:paraId="25F76EFD" w14:textId="77777777" w:rsidR="001B6E72" w:rsidRPr="00B64D62" w:rsidRDefault="001B6E72" w:rsidP="008D5CBF">
            <w:pPr>
              <w:ind w:left="0"/>
              <w:jc w:val="center"/>
              <w:rPr>
                <w:rFonts w:ascii="Bookman Old Style" w:hAnsi="Bookman Old Style" w:cs="Arial"/>
                <w:b/>
                <w:sz w:val="23"/>
                <w:szCs w:val="23"/>
                <w:lang w:val="es-CO" w:eastAsia="es-CO"/>
              </w:rPr>
            </w:pPr>
            <w:r w:rsidRPr="00B64D62">
              <w:rPr>
                <w:rFonts w:ascii="Bookman Old Style" w:hAnsi="Bookman Old Style"/>
                <w:b/>
              </w:rPr>
              <w:t>DIEGO MESA PUYO</w:t>
            </w:r>
          </w:p>
        </w:tc>
        <w:tc>
          <w:tcPr>
            <w:tcW w:w="4536" w:type="dxa"/>
            <w:shd w:val="clear" w:color="auto" w:fill="FFFFFF"/>
            <w:hideMark/>
          </w:tcPr>
          <w:p w14:paraId="2069B63B" w14:textId="77777777" w:rsidR="001B6E72" w:rsidRPr="00B64D62" w:rsidRDefault="001B6E72" w:rsidP="008D5CBF">
            <w:pPr>
              <w:ind w:left="142"/>
              <w:jc w:val="center"/>
              <w:rPr>
                <w:rFonts w:ascii="Bookman Old Style" w:hAnsi="Bookman Old Style" w:cs="Arial"/>
                <w:sz w:val="23"/>
                <w:szCs w:val="23"/>
                <w:lang w:val="es-CO" w:eastAsia="es-CO"/>
              </w:rPr>
            </w:pPr>
            <w:r w:rsidRPr="00B64D62">
              <w:rPr>
                <w:rFonts w:ascii="Bookman Old Style" w:hAnsi="Bookman Old Style" w:cs="Arial"/>
                <w:b/>
                <w:bCs/>
                <w:szCs w:val="23"/>
                <w:lang w:val="es-CO" w:eastAsia="es-CO"/>
              </w:rPr>
              <w:t>CHRISTIAN JARAMILLO HERRERA</w:t>
            </w:r>
          </w:p>
        </w:tc>
      </w:tr>
      <w:tr w:rsidR="001B6E72" w:rsidRPr="00B64D62" w14:paraId="00D9AA2F" w14:textId="77777777" w:rsidTr="008D5CBF">
        <w:trPr>
          <w:tblCellSpacing w:w="0" w:type="dxa"/>
        </w:trPr>
        <w:tc>
          <w:tcPr>
            <w:tcW w:w="5104" w:type="dxa"/>
            <w:shd w:val="clear" w:color="auto" w:fill="FFFFFF"/>
            <w:hideMark/>
          </w:tcPr>
          <w:p w14:paraId="6E4CB3C3" w14:textId="77777777" w:rsidR="001B6E72" w:rsidRPr="00B64D62" w:rsidRDefault="001B6E72" w:rsidP="008D5CBF">
            <w:pPr>
              <w:ind w:left="0"/>
              <w:jc w:val="center"/>
              <w:rPr>
                <w:rFonts w:ascii="Bookman Old Style" w:hAnsi="Bookman Old Style" w:cs="Arial"/>
                <w:lang w:val="es-CO" w:eastAsia="es-CO"/>
              </w:rPr>
            </w:pPr>
            <w:r w:rsidRPr="00B64D62">
              <w:rPr>
                <w:rFonts w:ascii="Bookman Old Style" w:hAnsi="Bookman Old Style"/>
              </w:rPr>
              <w:t>Viceministro de Energía, delegado de la Ministra de Minas y Energía</w:t>
            </w:r>
          </w:p>
        </w:tc>
        <w:tc>
          <w:tcPr>
            <w:tcW w:w="4536" w:type="dxa"/>
            <w:shd w:val="clear" w:color="auto" w:fill="FFFFFF"/>
            <w:hideMark/>
          </w:tcPr>
          <w:p w14:paraId="0F9922D3" w14:textId="77777777" w:rsidR="001B6E72" w:rsidRPr="00B64D62" w:rsidRDefault="001B6E72" w:rsidP="008D5CBF">
            <w:pPr>
              <w:ind w:left="142"/>
              <w:jc w:val="center"/>
              <w:rPr>
                <w:rFonts w:ascii="Bookman Old Style" w:hAnsi="Bookman Old Style" w:cs="Arial"/>
                <w:lang w:val="es-CO" w:eastAsia="es-CO"/>
              </w:rPr>
            </w:pPr>
            <w:r w:rsidRPr="00B64D62">
              <w:rPr>
                <w:rFonts w:ascii="Bookman Old Style" w:hAnsi="Bookman Old Style" w:cs="Arial"/>
                <w:lang w:val="es-CO" w:eastAsia="es-CO"/>
              </w:rPr>
              <w:t>Director Ejecutivo</w:t>
            </w:r>
          </w:p>
        </w:tc>
      </w:tr>
      <w:tr w:rsidR="001B6E72" w:rsidRPr="00B64D62" w14:paraId="7E5A466F" w14:textId="77777777" w:rsidTr="008D5CBF">
        <w:trPr>
          <w:tblCellSpacing w:w="0" w:type="dxa"/>
        </w:trPr>
        <w:tc>
          <w:tcPr>
            <w:tcW w:w="5104" w:type="dxa"/>
            <w:shd w:val="clear" w:color="auto" w:fill="FFFFFF"/>
            <w:hideMark/>
          </w:tcPr>
          <w:p w14:paraId="39628306" w14:textId="77777777" w:rsidR="001B6E72" w:rsidRPr="00B64D62" w:rsidRDefault="001B6E72" w:rsidP="008D5CBF">
            <w:pPr>
              <w:ind w:left="0"/>
              <w:jc w:val="center"/>
              <w:rPr>
                <w:rFonts w:ascii="Bookman Old Style" w:hAnsi="Bookman Old Style" w:cs="Arial"/>
                <w:lang w:val="es-CO" w:eastAsia="es-CO"/>
              </w:rPr>
            </w:pPr>
            <w:r w:rsidRPr="00B64D62">
              <w:rPr>
                <w:rFonts w:ascii="Bookman Old Style" w:hAnsi="Bookman Old Style" w:cs="Arial"/>
                <w:lang w:val="es-CO" w:eastAsia="es-CO"/>
              </w:rPr>
              <w:t>Presidente</w:t>
            </w:r>
          </w:p>
        </w:tc>
        <w:tc>
          <w:tcPr>
            <w:tcW w:w="4536" w:type="dxa"/>
            <w:shd w:val="clear" w:color="auto" w:fill="FFFFFF"/>
            <w:hideMark/>
          </w:tcPr>
          <w:p w14:paraId="13494EA2" w14:textId="77777777" w:rsidR="001B6E72" w:rsidRPr="00B64D62" w:rsidRDefault="001B6E72" w:rsidP="008D5CBF">
            <w:pPr>
              <w:ind w:left="142"/>
              <w:rPr>
                <w:rFonts w:ascii="Bookman Old Style" w:hAnsi="Bookman Old Style" w:cs="Arial"/>
                <w:lang w:val="es-CO" w:eastAsia="es-CO"/>
              </w:rPr>
            </w:pPr>
            <w:r w:rsidRPr="00B64D62">
              <w:rPr>
                <w:rFonts w:ascii="Bookman Old Style" w:hAnsi="Bookman Old Style" w:cs="Arial"/>
                <w:noProof/>
                <w:lang w:val="es-CO" w:eastAsia="es-CO"/>
              </w:rPr>
              <w:drawing>
                <wp:inline distT="0" distB="0" distL="0" distR="0" wp14:anchorId="684D0942" wp14:editId="6E690968">
                  <wp:extent cx="9525" cy="9525"/>
                  <wp:effectExtent l="0" t="0" r="0" b="0"/>
                  <wp:docPr id="3" name="Imagen 3"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polo.creg.gov.co/icons/ecblank.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1E7112D6" w14:textId="77777777" w:rsidR="00045D3D" w:rsidRDefault="00045D3D" w:rsidP="00045D3D">
      <w:pPr>
        <w:ind w:left="0"/>
        <w:rPr>
          <w:rFonts w:ascii="Bookman Old Style" w:hAnsi="Bookman Old Style"/>
        </w:rPr>
      </w:pPr>
    </w:p>
    <w:p w14:paraId="72EC5D74" w14:textId="07856978" w:rsidR="00D1599A" w:rsidRDefault="00D1599A" w:rsidP="00045D3D">
      <w:pPr>
        <w:ind w:left="0"/>
        <w:rPr>
          <w:rFonts w:ascii="Bookman Old Style" w:hAnsi="Bookman Old Style"/>
        </w:rPr>
      </w:pPr>
    </w:p>
    <w:p w14:paraId="2B930521" w14:textId="77777777" w:rsidR="00E060BE" w:rsidRPr="00E060BE" w:rsidRDefault="00E060BE" w:rsidP="00D1599A">
      <w:pPr>
        <w:ind w:left="0"/>
        <w:rPr>
          <w:rFonts w:ascii="Bookman Old Style" w:hAnsi="Bookman Old Style" w:cs="Arial"/>
        </w:rPr>
      </w:pPr>
    </w:p>
    <w:sectPr w:rsidR="00E060BE" w:rsidRPr="00E060BE"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FC598" w14:textId="77777777" w:rsidR="004137F6" w:rsidRDefault="004137F6">
      <w:r>
        <w:separator/>
      </w:r>
    </w:p>
  </w:endnote>
  <w:endnote w:type="continuationSeparator" w:id="0">
    <w:p w14:paraId="7F1F0543" w14:textId="77777777" w:rsidR="004137F6" w:rsidRDefault="00413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281F8" w14:textId="77777777" w:rsidR="004137F6" w:rsidRDefault="004137F6">
      <w:r>
        <w:separator/>
      </w:r>
    </w:p>
  </w:footnote>
  <w:footnote w:type="continuationSeparator" w:id="0">
    <w:p w14:paraId="5F76789C" w14:textId="77777777" w:rsidR="004137F6" w:rsidRDefault="004137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E67B8" w14:textId="77777777" w:rsidR="007F5493" w:rsidRDefault="007F5493" w:rsidP="00951F79">
    <w:pPr>
      <w:pStyle w:val="Ttulo1"/>
      <w:ind w:right="6"/>
      <w:jc w:val="left"/>
      <w:rPr>
        <w:rFonts w:ascii="Bookman Old Style" w:hAnsi="Bookman Old Style" w:cs="Arial"/>
        <w:b w:val="0"/>
        <w:sz w:val="22"/>
        <w:szCs w:val="22"/>
      </w:rPr>
    </w:pPr>
  </w:p>
  <w:p w14:paraId="1FEDA09D" w14:textId="00BFEEBA" w:rsidR="007F5493" w:rsidRPr="00951F79" w:rsidRDefault="007F5493"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DD42CA">
      <w:rPr>
        <w:rFonts w:ascii="Bookman Old Style" w:hAnsi="Bookman Old Style" w:cs="Arial"/>
        <w:b w:val="0"/>
        <w:noProof/>
        <w:sz w:val="22"/>
        <w:szCs w:val="22"/>
      </w:rPr>
      <w:t>8</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DD42CA">
      <w:fldChar w:fldCharType="begin"/>
    </w:r>
    <w:r w:rsidR="00DD42CA">
      <w:instrText xml:space="preserve"> NUMPAGES  \* MERGEFORMAT </w:instrText>
    </w:r>
    <w:r w:rsidR="00DD42CA">
      <w:fldChar w:fldCharType="separate"/>
    </w:r>
    <w:r w:rsidR="00DD42CA" w:rsidRPr="00DD42CA">
      <w:rPr>
        <w:rFonts w:ascii="Bookman Old Style" w:hAnsi="Bookman Old Style" w:cs="Arial"/>
        <w:b w:val="0"/>
        <w:noProof/>
        <w:sz w:val="22"/>
        <w:szCs w:val="22"/>
      </w:rPr>
      <w:t>8</w:t>
    </w:r>
    <w:r w:rsidR="00DD42CA">
      <w:rPr>
        <w:rFonts w:ascii="Bookman Old Style" w:hAnsi="Bookman Old Style" w:cs="Arial"/>
        <w:b w:val="0"/>
        <w:noProof/>
        <w:sz w:val="22"/>
        <w:szCs w:val="22"/>
      </w:rPr>
      <w:fldChar w:fldCharType="end"/>
    </w:r>
  </w:p>
  <w:p w14:paraId="7A37654C" w14:textId="77777777" w:rsidR="007F5493" w:rsidRDefault="007F5493"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14:anchorId="6B86AD05" wp14:editId="28A87FFF">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4A8E2"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3A575D89" w14:textId="77777777" w:rsidR="00937BCF" w:rsidRPr="00937BCF" w:rsidRDefault="00937BCF" w:rsidP="00937BCF">
    <w:pPr>
      <w:widowControl w:val="0"/>
      <w:adjustRightInd w:val="0"/>
      <w:ind w:left="0" w:right="20"/>
      <w:jc w:val="both"/>
      <w:rPr>
        <w:rFonts w:ascii="Bookman Old Style" w:hAnsi="Bookman Old Style" w:cs="Arial"/>
        <w:sz w:val="22"/>
        <w:szCs w:val="22"/>
        <w:lang w:val="es-ES_tradnl"/>
      </w:rPr>
    </w:pPr>
    <w:r w:rsidRPr="00937BCF">
      <w:rPr>
        <w:rFonts w:ascii="Bookman Old Style" w:hAnsi="Bookman Old Style" w:cs="Arial"/>
        <w:sz w:val="22"/>
        <w:szCs w:val="22"/>
      </w:rPr>
      <w:t>Por la cual se resuelve el recurso de reposición interpuesto por la empresa INGENIERIA Y SERVICIOS S.A. E.S.P. contra la Resolución CREG 112 de 2018, “</w:t>
    </w:r>
    <w:r w:rsidRPr="00937BCF">
      <w:rPr>
        <w:rFonts w:ascii="Bookman Old Style" w:hAnsi="Bookman Old Style" w:cs="Arial"/>
        <w:sz w:val="22"/>
        <w:szCs w:val="22"/>
        <w:lang w:val="es-ES_tradnl"/>
      </w:rPr>
      <w:t>Por la cual se aprueba el cargo máximo base de comercialización de gas combustible por redes de tubería, para el mercado relevante conformado por los municipios de Córdoba, Guaitarilla y Pupiales en el departamento de Nariño, según solicitud tarifaria presentada por la empresa INGENIERIA Y SERVICIOS S.A. E.S.P.”.</w:t>
    </w:r>
  </w:p>
  <w:p w14:paraId="44C9FB9A" w14:textId="4457D02A" w:rsidR="007F5493" w:rsidRPr="00D15E40" w:rsidRDefault="007F5493" w:rsidP="00D15E40">
    <w:pPr>
      <w:widowControl w:val="0"/>
      <w:pBdr>
        <w:bottom w:val="single" w:sz="4" w:space="1" w:color="auto"/>
      </w:pBdr>
      <w:adjustRightInd w:val="0"/>
      <w:ind w:left="0" w:right="20"/>
      <w:jc w:val="both"/>
      <w:rPr>
        <w:rFonts w:ascii="Bookman Old Style" w:hAnsi="Bookman Old Style" w:cs="Arial"/>
        <w:sz w:val="12"/>
        <w:szCs w:val="12"/>
        <w:lang w:val="es-ES_tradnl"/>
      </w:rPr>
    </w:pPr>
  </w:p>
  <w:p w14:paraId="7D32F116" w14:textId="77777777" w:rsidR="007F5493" w:rsidRPr="008C7E52" w:rsidRDefault="007F5493" w:rsidP="00A36E15">
    <w:pPr>
      <w:widowControl w:val="0"/>
      <w:adjustRightInd w:val="0"/>
      <w:ind w:left="0" w:right="20"/>
      <w:jc w:val="both"/>
      <w:rPr>
        <w:b/>
        <w:sz w:val="4"/>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5E191" w14:textId="77777777" w:rsidR="007F5493" w:rsidRDefault="007F5493" w:rsidP="008A165F">
    <w:pPr>
      <w:pStyle w:val="Encabezado"/>
      <w:ind w:hanging="567"/>
      <w:jc w:val="center"/>
      <w:rPr>
        <w:rFonts w:ascii="Arial" w:hAnsi="Arial" w:cs="Arial"/>
        <w:spacing w:val="20"/>
        <w:sz w:val="20"/>
      </w:rPr>
    </w:pPr>
    <w:r>
      <w:rPr>
        <w:rFonts w:ascii="Arial" w:hAnsi="Arial" w:cs="Arial"/>
        <w:spacing w:val="20"/>
        <w:sz w:val="20"/>
      </w:rPr>
      <w:t>República de Colombia</w:t>
    </w:r>
  </w:p>
  <w:p w14:paraId="313B3737" w14:textId="77777777" w:rsidR="007F5493" w:rsidRDefault="007F5493">
    <w:pPr>
      <w:pStyle w:val="Encabezado"/>
      <w:jc w:val="center"/>
      <w:rPr>
        <w:rFonts w:ascii="Arial" w:hAnsi="Arial" w:cs="Arial"/>
        <w:spacing w:val="20"/>
        <w:sz w:val="20"/>
      </w:rPr>
    </w:pPr>
  </w:p>
  <w:p w14:paraId="47C21405" w14:textId="77777777" w:rsidR="007F5493" w:rsidRDefault="007F5493"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634311C2" wp14:editId="1F0D1B3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AE25B"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09C11CC"/>
    <w:multiLevelType w:val="hybridMultilevel"/>
    <w:tmpl w:val="6BB8D352"/>
    <w:lvl w:ilvl="0" w:tplc="987EA3B2">
      <w:start w:val="1"/>
      <w:numFmt w:val="lowerRoman"/>
      <w:lvlText w:val="%1."/>
      <w:lvlJc w:val="righ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3" w15:restartNumberingAfterBreak="0">
    <w:nsid w:val="04141FF5"/>
    <w:multiLevelType w:val="hybridMultilevel"/>
    <w:tmpl w:val="25104474"/>
    <w:lvl w:ilvl="0" w:tplc="240A000F">
      <w:start w:val="1"/>
      <w:numFmt w:val="decimal"/>
      <w:lvlText w:val="%1."/>
      <w:lvlJc w:val="left"/>
      <w:pPr>
        <w:tabs>
          <w:tab w:val="num" w:pos="1080"/>
        </w:tabs>
        <w:ind w:left="1080" w:hanging="720"/>
      </w:pPr>
      <w:rPr>
        <w:rFonts w:hint="default"/>
      </w:rPr>
    </w:lvl>
    <w:lvl w:ilvl="1" w:tplc="36249162">
      <w:start w:val="1"/>
      <w:numFmt w:val="decimal"/>
      <w:lvlText w:val="%2."/>
      <w:lvlJc w:val="left"/>
      <w:pPr>
        <w:ind w:left="1485" w:hanging="405"/>
      </w:pPr>
      <w:rPr>
        <w:rFonts w:hint="default"/>
        <w:b/>
      </w:r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4" w15:restartNumberingAfterBreak="0">
    <w:nsid w:val="0CBB0465"/>
    <w:multiLevelType w:val="hybridMultilevel"/>
    <w:tmpl w:val="423458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8C7110C"/>
    <w:multiLevelType w:val="hybridMultilevel"/>
    <w:tmpl w:val="075CC2D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D4D304F"/>
    <w:multiLevelType w:val="hybridMultilevel"/>
    <w:tmpl w:val="101A3A54"/>
    <w:lvl w:ilvl="0" w:tplc="03BCC496">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F0C2313"/>
    <w:multiLevelType w:val="hybridMultilevel"/>
    <w:tmpl w:val="78E42628"/>
    <w:lvl w:ilvl="0" w:tplc="240A001B">
      <w:start w:val="1"/>
      <w:numFmt w:val="lowerRoman"/>
      <w:lvlText w:val="%1."/>
      <w:lvlJc w:val="righ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8" w15:restartNumberingAfterBreak="0">
    <w:nsid w:val="3761348B"/>
    <w:multiLevelType w:val="hybridMultilevel"/>
    <w:tmpl w:val="25268878"/>
    <w:lvl w:ilvl="0" w:tplc="44C0DFD0">
      <w:start w:val="1"/>
      <w:numFmt w:val="lowerLetter"/>
      <w:lvlText w:val="%1)"/>
      <w:lvlJc w:val="left"/>
      <w:pPr>
        <w:tabs>
          <w:tab w:val="num" w:pos="738"/>
        </w:tabs>
        <w:ind w:left="738" w:hanging="454"/>
      </w:pPr>
      <w:rPr>
        <w:rFonts w:ascii="Bookman Old Style" w:hAnsi="Bookman Old Style" w:hint="default"/>
        <w:b w:val="0"/>
        <w:i w:val="0"/>
        <w:caps w:val="0"/>
        <w:strike w:val="0"/>
        <w:dstrike w:val="0"/>
        <w:vanish w:val="0"/>
        <w:color w:val="auto"/>
        <w:sz w:val="24"/>
        <w:effect w:val="none"/>
        <w:vertAlign w:val="baseline"/>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3AC610E7"/>
    <w:multiLevelType w:val="hybridMultilevel"/>
    <w:tmpl w:val="A6AA46D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05C39A3"/>
    <w:multiLevelType w:val="hybridMultilevel"/>
    <w:tmpl w:val="AD52A7BA"/>
    <w:lvl w:ilvl="0" w:tplc="240A0017">
      <w:start w:val="1"/>
      <w:numFmt w:val="lowerLetter"/>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1" w15:restartNumberingAfterBreak="0">
    <w:nsid w:val="474260BE"/>
    <w:multiLevelType w:val="hybridMultilevel"/>
    <w:tmpl w:val="07800A12"/>
    <w:lvl w:ilvl="0" w:tplc="240A0001">
      <w:start w:val="128"/>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B0F3E27"/>
    <w:multiLevelType w:val="hybridMultilevel"/>
    <w:tmpl w:val="3946AC0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3856273"/>
    <w:multiLevelType w:val="hybridMultilevel"/>
    <w:tmpl w:val="070A6690"/>
    <w:name w:val="WW8Num6423"/>
    <w:lvl w:ilvl="0" w:tplc="BC34A7B4">
      <w:start w:val="1"/>
      <w:numFmt w:val="upperRoman"/>
      <w:lvlText w:val="%1."/>
      <w:lvlJc w:val="left"/>
      <w:pPr>
        <w:tabs>
          <w:tab w:val="num" w:pos="1080"/>
        </w:tabs>
        <w:ind w:left="1080" w:hanging="720"/>
      </w:pPr>
      <w:rPr>
        <w:rFonts w:hint="default"/>
      </w:rPr>
    </w:lvl>
    <w:lvl w:ilvl="1" w:tplc="36249162">
      <w:start w:val="1"/>
      <w:numFmt w:val="decimal"/>
      <w:lvlText w:val="%2."/>
      <w:lvlJc w:val="left"/>
      <w:pPr>
        <w:ind w:left="1485" w:hanging="405"/>
      </w:pPr>
      <w:rPr>
        <w:rFonts w:hint="default"/>
        <w:b/>
      </w:r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4" w15:restartNumberingAfterBreak="0">
    <w:nsid w:val="5418656F"/>
    <w:multiLevelType w:val="hybridMultilevel"/>
    <w:tmpl w:val="4548616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F5C1758"/>
    <w:multiLevelType w:val="hybridMultilevel"/>
    <w:tmpl w:val="4C548790"/>
    <w:lvl w:ilvl="0" w:tplc="FCA4B878">
      <w:start w:val="1"/>
      <w:numFmt w:val="lowerLetter"/>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6" w15:restartNumberingAfterBreak="0">
    <w:nsid w:val="733339DD"/>
    <w:multiLevelType w:val="multilevel"/>
    <w:tmpl w:val="498851FC"/>
    <w:lvl w:ilvl="0">
      <w:start w:val="9"/>
      <w:numFmt w:val="decimal"/>
      <w:lvlText w:val="%1."/>
      <w:lvlJc w:val="left"/>
      <w:pPr>
        <w:ind w:left="720" w:hanging="72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424" w:hanging="2160"/>
      </w:pPr>
      <w:rPr>
        <w:rFonts w:hint="default"/>
      </w:rPr>
    </w:lvl>
  </w:abstractNum>
  <w:abstractNum w:abstractNumId="17" w15:restartNumberingAfterBreak="0">
    <w:nsid w:val="79336E3E"/>
    <w:multiLevelType w:val="hybridMultilevel"/>
    <w:tmpl w:val="2C38CD04"/>
    <w:lvl w:ilvl="0" w:tplc="ADCAB276">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C825354"/>
    <w:multiLevelType w:val="hybridMultilevel"/>
    <w:tmpl w:val="BB3C7E4E"/>
    <w:lvl w:ilvl="0" w:tplc="240A0013">
      <w:start w:val="1"/>
      <w:numFmt w:val="upperRoman"/>
      <w:lvlText w:val="%1."/>
      <w:lvlJc w:val="righ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9" w15:restartNumberingAfterBreak="0">
    <w:nsid w:val="7F1A6DAE"/>
    <w:multiLevelType w:val="hybridMultilevel"/>
    <w:tmpl w:val="F662D56E"/>
    <w:lvl w:ilvl="0" w:tplc="A7747FFA">
      <w:start w:val="4"/>
      <w:numFmt w:val="lowerRoman"/>
      <w:lvlText w:val="%1."/>
      <w:lvlJc w:val="right"/>
      <w:pPr>
        <w:ind w:left="1287"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FFD71D2"/>
    <w:multiLevelType w:val="hybridMultilevel"/>
    <w:tmpl w:val="5240E964"/>
    <w:lvl w:ilvl="0" w:tplc="778472C4">
      <w:start w:val="1"/>
      <w:numFmt w:val="low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13"/>
  </w:num>
  <w:num w:numId="3">
    <w:abstractNumId w:val="3"/>
  </w:num>
  <w:num w:numId="4">
    <w:abstractNumId w:val="9"/>
  </w:num>
  <w:num w:numId="5">
    <w:abstractNumId w:val="8"/>
  </w:num>
  <w:num w:numId="6">
    <w:abstractNumId w:val="16"/>
  </w:num>
  <w:num w:numId="7">
    <w:abstractNumId w:val="14"/>
  </w:num>
  <w:num w:numId="8">
    <w:abstractNumId w:val="11"/>
  </w:num>
  <w:num w:numId="9">
    <w:abstractNumId w:val="5"/>
  </w:num>
  <w:num w:numId="10">
    <w:abstractNumId w:val="20"/>
  </w:num>
  <w:num w:numId="11">
    <w:abstractNumId w:val="4"/>
  </w:num>
  <w:num w:numId="12">
    <w:abstractNumId w:val="12"/>
  </w:num>
  <w:num w:numId="13">
    <w:abstractNumId w:val="10"/>
  </w:num>
  <w:num w:numId="14">
    <w:abstractNumId w:val="18"/>
  </w:num>
  <w:num w:numId="15">
    <w:abstractNumId w:val="6"/>
  </w:num>
  <w:num w:numId="16">
    <w:abstractNumId w:val="17"/>
  </w:num>
  <w:num w:numId="17">
    <w:abstractNumId w:val="2"/>
  </w:num>
  <w:num w:numId="18">
    <w:abstractNumId w:val="7"/>
  </w:num>
  <w:num w:numId="19">
    <w:abstractNumId w:val="19"/>
  </w:num>
  <w:num w:numId="20">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C19"/>
    <w:rsid w:val="00002B3D"/>
    <w:rsid w:val="000064DC"/>
    <w:rsid w:val="00006AE2"/>
    <w:rsid w:val="000076A1"/>
    <w:rsid w:val="00012259"/>
    <w:rsid w:val="000226CC"/>
    <w:rsid w:val="00025383"/>
    <w:rsid w:val="00026D4C"/>
    <w:rsid w:val="00031B62"/>
    <w:rsid w:val="000430C4"/>
    <w:rsid w:val="00043601"/>
    <w:rsid w:val="00045D3D"/>
    <w:rsid w:val="00052C82"/>
    <w:rsid w:val="00056911"/>
    <w:rsid w:val="00063657"/>
    <w:rsid w:val="00065EFE"/>
    <w:rsid w:val="0006621E"/>
    <w:rsid w:val="000739E4"/>
    <w:rsid w:val="00073AF2"/>
    <w:rsid w:val="00075624"/>
    <w:rsid w:val="00076680"/>
    <w:rsid w:val="00076A1D"/>
    <w:rsid w:val="0008073E"/>
    <w:rsid w:val="000862BD"/>
    <w:rsid w:val="00091CDB"/>
    <w:rsid w:val="000A19AC"/>
    <w:rsid w:val="000B2EC9"/>
    <w:rsid w:val="000C1CC2"/>
    <w:rsid w:val="000C4BE4"/>
    <w:rsid w:val="000C5DA8"/>
    <w:rsid w:val="000D00BC"/>
    <w:rsid w:val="000D0E3D"/>
    <w:rsid w:val="000D26F8"/>
    <w:rsid w:val="000D588F"/>
    <w:rsid w:val="000D661E"/>
    <w:rsid w:val="000F2813"/>
    <w:rsid w:val="00101F4F"/>
    <w:rsid w:val="00102423"/>
    <w:rsid w:val="00103A23"/>
    <w:rsid w:val="00104017"/>
    <w:rsid w:val="00104E6C"/>
    <w:rsid w:val="00104FA1"/>
    <w:rsid w:val="00106654"/>
    <w:rsid w:val="00107537"/>
    <w:rsid w:val="001103A5"/>
    <w:rsid w:val="00113EE0"/>
    <w:rsid w:val="00123461"/>
    <w:rsid w:val="00125D06"/>
    <w:rsid w:val="00130B0E"/>
    <w:rsid w:val="0013526C"/>
    <w:rsid w:val="00136597"/>
    <w:rsid w:val="001405C6"/>
    <w:rsid w:val="00141013"/>
    <w:rsid w:val="00144D54"/>
    <w:rsid w:val="001570F3"/>
    <w:rsid w:val="0016298E"/>
    <w:rsid w:val="00172F09"/>
    <w:rsid w:val="00173B98"/>
    <w:rsid w:val="0017547B"/>
    <w:rsid w:val="001763DE"/>
    <w:rsid w:val="00176990"/>
    <w:rsid w:val="001839E9"/>
    <w:rsid w:val="00183DEF"/>
    <w:rsid w:val="00185D79"/>
    <w:rsid w:val="00192CBF"/>
    <w:rsid w:val="00192FF1"/>
    <w:rsid w:val="00193EE8"/>
    <w:rsid w:val="00197207"/>
    <w:rsid w:val="001A5F1B"/>
    <w:rsid w:val="001B1C22"/>
    <w:rsid w:val="001B34C6"/>
    <w:rsid w:val="001B3F64"/>
    <w:rsid w:val="001B6E72"/>
    <w:rsid w:val="001C3024"/>
    <w:rsid w:val="001D1712"/>
    <w:rsid w:val="001D34FF"/>
    <w:rsid w:val="001D3D65"/>
    <w:rsid w:val="001D5385"/>
    <w:rsid w:val="001D7832"/>
    <w:rsid w:val="001E543D"/>
    <w:rsid w:val="00200F03"/>
    <w:rsid w:val="00205C2B"/>
    <w:rsid w:val="00210DC1"/>
    <w:rsid w:val="00211D34"/>
    <w:rsid w:val="00214F04"/>
    <w:rsid w:val="0021525A"/>
    <w:rsid w:val="00222A6B"/>
    <w:rsid w:val="00225E54"/>
    <w:rsid w:val="00230A8B"/>
    <w:rsid w:val="002352B9"/>
    <w:rsid w:val="00236CDF"/>
    <w:rsid w:val="002405D6"/>
    <w:rsid w:val="00244D6F"/>
    <w:rsid w:val="00245A33"/>
    <w:rsid w:val="00250534"/>
    <w:rsid w:val="0025094E"/>
    <w:rsid w:val="00254E09"/>
    <w:rsid w:val="002603E6"/>
    <w:rsid w:val="0026133D"/>
    <w:rsid w:val="002616F7"/>
    <w:rsid w:val="00266CD6"/>
    <w:rsid w:val="002673AC"/>
    <w:rsid w:val="00272DC3"/>
    <w:rsid w:val="00275DAB"/>
    <w:rsid w:val="00285160"/>
    <w:rsid w:val="0028692A"/>
    <w:rsid w:val="002903C0"/>
    <w:rsid w:val="0029694E"/>
    <w:rsid w:val="002A689A"/>
    <w:rsid w:val="002A782A"/>
    <w:rsid w:val="002A7FD7"/>
    <w:rsid w:val="002B06FD"/>
    <w:rsid w:val="002B11E2"/>
    <w:rsid w:val="002B1BF3"/>
    <w:rsid w:val="002B24B8"/>
    <w:rsid w:val="002B30E9"/>
    <w:rsid w:val="002B3E5E"/>
    <w:rsid w:val="002B5482"/>
    <w:rsid w:val="002C32DB"/>
    <w:rsid w:val="002C518D"/>
    <w:rsid w:val="002D3AE9"/>
    <w:rsid w:val="002D434C"/>
    <w:rsid w:val="002D44B4"/>
    <w:rsid w:val="002D4510"/>
    <w:rsid w:val="002E7F46"/>
    <w:rsid w:val="002F0734"/>
    <w:rsid w:val="002F29F7"/>
    <w:rsid w:val="002F46E7"/>
    <w:rsid w:val="002F5267"/>
    <w:rsid w:val="003101DA"/>
    <w:rsid w:val="00310201"/>
    <w:rsid w:val="003111C3"/>
    <w:rsid w:val="00314757"/>
    <w:rsid w:val="003163BC"/>
    <w:rsid w:val="0031712B"/>
    <w:rsid w:val="003211CE"/>
    <w:rsid w:val="00323CA3"/>
    <w:rsid w:val="003260B3"/>
    <w:rsid w:val="003322DF"/>
    <w:rsid w:val="00332C65"/>
    <w:rsid w:val="00334335"/>
    <w:rsid w:val="00342F89"/>
    <w:rsid w:val="00345BBB"/>
    <w:rsid w:val="00345C5F"/>
    <w:rsid w:val="0035403A"/>
    <w:rsid w:val="0036394B"/>
    <w:rsid w:val="00364EEE"/>
    <w:rsid w:val="00366DB6"/>
    <w:rsid w:val="00366E5B"/>
    <w:rsid w:val="003709B5"/>
    <w:rsid w:val="0037220F"/>
    <w:rsid w:val="003724AC"/>
    <w:rsid w:val="003759C2"/>
    <w:rsid w:val="00377184"/>
    <w:rsid w:val="00382002"/>
    <w:rsid w:val="00382A13"/>
    <w:rsid w:val="00397365"/>
    <w:rsid w:val="003A31F6"/>
    <w:rsid w:val="003A3EF0"/>
    <w:rsid w:val="003A63CC"/>
    <w:rsid w:val="003B1388"/>
    <w:rsid w:val="003B7FC2"/>
    <w:rsid w:val="003C2BB5"/>
    <w:rsid w:val="003C3447"/>
    <w:rsid w:val="003C4618"/>
    <w:rsid w:val="003D076C"/>
    <w:rsid w:val="003D31C7"/>
    <w:rsid w:val="003E4D0A"/>
    <w:rsid w:val="003E5A75"/>
    <w:rsid w:val="003E5B84"/>
    <w:rsid w:val="003E6625"/>
    <w:rsid w:val="003E707B"/>
    <w:rsid w:val="003E78B5"/>
    <w:rsid w:val="003F1C37"/>
    <w:rsid w:val="0040053E"/>
    <w:rsid w:val="004137F6"/>
    <w:rsid w:val="00414667"/>
    <w:rsid w:val="0041553C"/>
    <w:rsid w:val="00415BAB"/>
    <w:rsid w:val="00415ED2"/>
    <w:rsid w:val="004163FE"/>
    <w:rsid w:val="0042021B"/>
    <w:rsid w:val="0042068C"/>
    <w:rsid w:val="00425111"/>
    <w:rsid w:val="00426AD0"/>
    <w:rsid w:val="00427CDD"/>
    <w:rsid w:val="00442FE3"/>
    <w:rsid w:val="0044318E"/>
    <w:rsid w:val="00443B35"/>
    <w:rsid w:val="0047122B"/>
    <w:rsid w:val="00473B7A"/>
    <w:rsid w:val="00474A7C"/>
    <w:rsid w:val="00475E85"/>
    <w:rsid w:val="004763A0"/>
    <w:rsid w:val="004900AD"/>
    <w:rsid w:val="004960E9"/>
    <w:rsid w:val="004A2E88"/>
    <w:rsid w:val="004A3E09"/>
    <w:rsid w:val="004A5305"/>
    <w:rsid w:val="004B2EB5"/>
    <w:rsid w:val="004B437F"/>
    <w:rsid w:val="004B4D48"/>
    <w:rsid w:val="004B4DBD"/>
    <w:rsid w:val="004C13AA"/>
    <w:rsid w:val="004C23DB"/>
    <w:rsid w:val="004D113D"/>
    <w:rsid w:val="004D267B"/>
    <w:rsid w:val="004D73BE"/>
    <w:rsid w:val="004D7634"/>
    <w:rsid w:val="004E44E3"/>
    <w:rsid w:val="004E4A0B"/>
    <w:rsid w:val="004E611A"/>
    <w:rsid w:val="004F0183"/>
    <w:rsid w:val="004F4A00"/>
    <w:rsid w:val="004F6460"/>
    <w:rsid w:val="00504F2A"/>
    <w:rsid w:val="00507F3C"/>
    <w:rsid w:val="005129F5"/>
    <w:rsid w:val="00513DF4"/>
    <w:rsid w:val="00522684"/>
    <w:rsid w:val="0052303E"/>
    <w:rsid w:val="00523267"/>
    <w:rsid w:val="005300D3"/>
    <w:rsid w:val="0053306F"/>
    <w:rsid w:val="00535716"/>
    <w:rsid w:val="00537303"/>
    <w:rsid w:val="0053787E"/>
    <w:rsid w:val="00542A10"/>
    <w:rsid w:val="00544F82"/>
    <w:rsid w:val="005509D2"/>
    <w:rsid w:val="0055126A"/>
    <w:rsid w:val="005516C2"/>
    <w:rsid w:val="005622E2"/>
    <w:rsid w:val="005638A4"/>
    <w:rsid w:val="00571785"/>
    <w:rsid w:val="00581C8A"/>
    <w:rsid w:val="00585B50"/>
    <w:rsid w:val="00587A28"/>
    <w:rsid w:val="00593C4F"/>
    <w:rsid w:val="005946A8"/>
    <w:rsid w:val="005A0D14"/>
    <w:rsid w:val="005A4407"/>
    <w:rsid w:val="005A59EF"/>
    <w:rsid w:val="005B1C7E"/>
    <w:rsid w:val="005C2A66"/>
    <w:rsid w:val="005C6976"/>
    <w:rsid w:val="005C6B10"/>
    <w:rsid w:val="005D3695"/>
    <w:rsid w:val="005D506E"/>
    <w:rsid w:val="005E384A"/>
    <w:rsid w:val="005F2B1F"/>
    <w:rsid w:val="005F3F26"/>
    <w:rsid w:val="005F4A89"/>
    <w:rsid w:val="005F5D91"/>
    <w:rsid w:val="005F6F41"/>
    <w:rsid w:val="00613AC4"/>
    <w:rsid w:val="006174B1"/>
    <w:rsid w:val="006224F1"/>
    <w:rsid w:val="00622687"/>
    <w:rsid w:val="006250AE"/>
    <w:rsid w:val="00625DC6"/>
    <w:rsid w:val="00626EED"/>
    <w:rsid w:val="00630DE7"/>
    <w:rsid w:val="00634D3D"/>
    <w:rsid w:val="0064391D"/>
    <w:rsid w:val="00646E83"/>
    <w:rsid w:val="00651821"/>
    <w:rsid w:val="00654384"/>
    <w:rsid w:val="00657782"/>
    <w:rsid w:val="0066365E"/>
    <w:rsid w:val="00666288"/>
    <w:rsid w:val="006675CD"/>
    <w:rsid w:val="00670CE4"/>
    <w:rsid w:val="006723D4"/>
    <w:rsid w:val="00675EBB"/>
    <w:rsid w:val="00677507"/>
    <w:rsid w:val="00680D87"/>
    <w:rsid w:val="00681C5A"/>
    <w:rsid w:val="00684339"/>
    <w:rsid w:val="00684A8B"/>
    <w:rsid w:val="00684D9B"/>
    <w:rsid w:val="0068510A"/>
    <w:rsid w:val="00697556"/>
    <w:rsid w:val="006A032F"/>
    <w:rsid w:val="006B09C3"/>
    <w:rsid w:val="006B4647"/>
    <w:rsid w:val="006B4C2B"/>
    <w:rsid w:val="006B6194"/>
    <w:rsid w:val="006B6D47"/>
    <w:rsid w:val="006C35B0"/>
    <w:rsid w:val="006C3F07"/>
    <w:rsid w:val="006C444F"/>
    <w:rsid w:val="006C56C5"/>
    <w:rsid w:val="006C5AFE"/>
    <w:rsid w:val="006D1FE9"/>
    <w:rsid w:val="006D4823"/>
    <w:rsid w:val="006D66F1"/>
    <w:rsid w:val="006D7B5D"/>
    <w:rsid w:val="006E0241"/>
    <w:rsid w:val="006E65B3"/>
    <w:rsid w:val="006E702F"/>
    <w:rsid w:val="006F2EC8"/>
    <w:rsid w:val="006F4673"/>
    <w:rsid w:val="006F4944"/>
    <w:rsid w:val="006F6D95"/>
    <w:rsid w:val="007025D9"/>
    <w:rsid w:val="00706F13"/>
    <w:rsid w:val="007072E8"/>
    <w:rsid w:val="007139FF"/>
    <w:rsid w:val="0071618D"/>
    <w:rsid w:val="00722030"/>
    <w:rsid w:val="00725FA4"/>
    <w:rsid w:val="00726771"/>
    <w:rsid w:val="00726EB6"/>
    <w:rsid w:val="00727DE2"/>
    <w:rsid w:val="007327FD"/>
    <w:rsid w:val="00732E22"/>
    <w:rsid w:val="00740006"/>
    <w:rsid w:val="0074028D"/>
    <w:rsid w:val="007403EC"/>
    <w:rsid w:val="00740446"/>
    <w:rsid w:val="007438A9"/>
    <w:rsid w:val="00743CA5"/>
    <w:rsid w:val="00743F6E"/>
    <w:rsid w:val="0074491E"/>
    <w:rsid w:val="0076136B"/>
    <w:rsid w:val="0076247A"/>
    <w:rsid w:val="00765A53"/>
    <w:rsid w:val="00775964"/>
    <w:rsid w:val="007765FE"/>
    <w:rsid w:val="00780394"/>
    <w:rsid w:val="00781C2A"/>
    <w:rsid w:val="00783CB8"/>
    <w:rsid w:val="00786D8B"/>
    <w:rsid w:val="0079049B"/>
    <w:rsid w:val="00793844"/>
    <w:rsid w:val="00794E2E"/>
    <w:rsid w:val="00795BFB"/>
    <w:rsid w:val="0079633D"/>
    <w:rsid w:val="007A0300"/>
    <w:rsid w:val="007A18BB"/>
    <w:rsid w:val="007A1B8F"/>
    <w:rsid w:val="007A3A79"/>
    <w:rsid w:val="007A770B"/>
    <w:rsid w:val="007B0383"/>
    <w:rsid w:val="007B2760"/>
    <w:rsid w:val="007B4944"/>
    <w:rsid w:val="007C2D69"/>
    <w:rsid w:val="007C3F68"/>
    <w:rsid w:val="007D672B"/>
    <w:rsid w:val="007D6BA5"/>
    <w:rsid w:val="007E3A5A"/>
    <w:rsid w:val="007F2DB5"/>
    <w:rsid w:val="007F5493"/>
    <w:rsid w:val="008049CA"/>
    <w:rsid w:val="00806C01"/>
    <w:rsid w:val="00813184"/>
    <w:rsid w:val="008148CC"/>
    <w:rsid w:val="008211A4"/>
    <w:rsid w:val="00831990"/>
    <w:rsid w:val="00837ABC"/>
    <w:rsid w:val="00843ACF"/>
    <w:rsid w:val="008467B5"/>
    <w:rsid w:val="0084693A"/>
    <w:rsid w:val="00854D89"/>
    <w:rsid w:val="008709E2"/>
    <w:rsid w:val="008730C1"/>
    <w:rsid w:val="00873150"/>
    <w:rsid w:val="0087325C"/>
    <w:rsid w:val="0087657D"/>
    <w:rsid w:val="008807D5"/>
    <w:rsid w:val="00880832"/>
    <w:rsid w:val="008810F3"/>
    <w:rsid w:val="0088380D"/>
    <w:rsid w:val="00886EE1"/>
    <w:rsid w:val="0088727D"/>
    <w:rsid w:val="00892705"/>
    <w:rsid w:val="008962EE"/>
    <w:rsid w:val="00897C75"/>
    <w:rsid w:val="008A165F"/>
    <w:rsid w:val="008A20A8"/>
    <w:rsid w:val="008A42A6"/>
    <w:rsid w:val="008A5BDC"/>
    <w:rsid w:val="008A7A9C"/>
    <w:rsid w:val="008C1130"/>
    <w:rsid w:val="008C424B"/>
    <w:rsid w:val="008C7E52"/>
    <w:rsid w:val="008D18E6"/>
    <w:rsid w:val="008D73D1"/>
    <w:rsid w:val="008D7A9B"/>
    <w:rsid w:val="008E0060"/>
    <w:rsid w:val="008E7091"/>
    <w:rsid w:val="008E76AC"/>
    <w:rsid w:val="008F1F3E"/>
    <w:rsid w:val="008F21F6"/>
    <w:rsid w:val="008F4BEA"/>
    <w:rsid w:val="0090058D"/>
    <w:rsid w:val="00902269"/>
    <w:rsid w:val="0090717B"/>
    <w:rsid w:val="00912D41"/>
    <w:rsid w:val="009176F4"/>
    <w:rsid w:val="009211EF"/>
    <w:rsid w:val="009260EF"/>
    <w:rsid w:val="0092637D"/>
    <w:rsid w:val="00927E2D"/>
    <w:rsid w:val="009352C7"/>
    <w:rsid w:val="00937BCF"/>
    <w:rsid w:val="00940085"/>
    <w:rsid w:val="00941A7B"/>
    <w:rsid w:val="00945830"/>
    <w:rsid w:val="00951F79"/>
    <w:rsid w:val="009637E2"/>
    <w:rsid w:val="00970D32"/>
    <w:rsid w:val="00972289"/>
    <w:rsid w:val="00974AB5"/>
    <w:rsid w:val="00976C50"/>
    <w:rsid w:val="00977864"/>
    <w:rsid w:val="0098706D"/>
    <w:rsid w:val="009874DB"/>
    <w:rsid w:val="00990F5B"/>
    <w:rsid w:val="00991FDF"/>
    <w:rsid w:val="009935FB"/>
    <w:rsid w:val="009A0CFC"/>
    <w:rsid w:val="009A5536"/>
    <w:rsid w:val="009A5A3F"/>
    <w:rsid w:val="009B1707"/>
    <w:rsid w:val="009B212E"/>
    <w:rsid w:val="009C52F1"/>
    <w:rsid w:val="009D6A4C"/>
    <w:rsid w:val="009E3E66"/>
    <w:rsid w:val="009E6E6D"/>
    <w:rsid w:val="009E7E57"/>
    <w:rsid w:val="009E7EFC"/>
    <w:rsid w:val="009F4A54"/>
    <w:rsid w:val="009F4BEC"/>
    <w:rsid w:val="009F5874"/>
    <w:rsid w:val="00A00D79"/>
    <w:rsid w:val="00A010CB"/>
    <w:rsid w:val="00A10671"/>
    <w:rsid w:val="00A12210"/>
    <w:rsid w:val="00A207E7"/>
    <w:rsid w:val="00A2302C"/>
    <w:rsid w:val="00A25FD7"/>
    <w:rsid w:val="00A36E15"/>
    <w:rsid w:val="00A4279C"/>
    <w:rsid w:val="00A43AFF"/>
    <w:rsid w:val="00A43BCA"/>
    <w:rsid w:val="00A52D07"/>
    <w:rsid w:val="00A64305"/>
    <w:rsid w:val="00A67D7A"/>
    <w:rsid w:val="00A70C93"/>
    <w:rsid w:val="00A7464E"/>
    <w:rsid w:val="00A7793A"/>
    <w:rsid w:val="00A81E0B"/>
    <w:rsid w:val="00A9568A"/>
    <w:rsid w:val="00AA0D9F"/>
    <w:rsid w:val="00AA2326"/>
    <w:rsid w:val="00AA2940"/>
    <w:rsid w:val="00AA31F3"/>
    <w:rsid w:val="00AA4CC7"/>
    <w:rsid w:val="00AA5E8E"/>
    <w:rsid w:val="00AA7CA4"/>
    <w:rsid w:val="00AB280C"/>
    <w:rsid w:val="00AB2BAD"/>
    <w:rsid w:val="00AB429E"/>
    <w:rsid w:val="00AB6CA7"/>
    <w:rsid w:val="00AB6DFC"/>
    <w:rsid w:val="00AC1439"/>
    <w:rsid w:val="00AC5029"/>
    <w:rsid w:val="00AD01E4"/>
    <w:rsid w:val="00AD0858"/>
    <w:rsid w:val="00AD15B6"/>
    <w:rsid w:val="00AE02E3"/>
    <w:rsid w:val="00AE0893"/>
    <w:rsid w:val="00AE1E9B"/>
    <w:rsid w:val="00AE31AA"/>
    <w:rsid w:val="00AE3286"/>
    <w:rsid w:val="00AE48F4"/>
    <w:rsid w:val="00AE7340"/>
    <w:rsid w:val="00AF14CC"/>
    <w:rsid w:val="00AF1B75"/>
    <w:rsid w:val="00AF1BBD"/>
    <w:rsid w:val="00AF2987"/>
    <w:rsid w:val="00AF2C41"/>
    <w:rsid w:val="00AF63A0"/>
    <w:rsid w:val="00B10207"/>
    <w:rsid w:val="00B141E7"/>
    <w:rsid w:val="00B17C21"/>
    <w:rsid w:val="00B26185"/>
    <w:rsid w:val="00B315C5"/>
    <w:rsid w:val="00B351B4"/>
    <w:rsid w:val="00B36B57"/>
    <w:rsid w:val="00B37299"/>
    <w:rsid w:val="00B44ACF"/>
    <w:rsid w:val="00B46BCA"/>
    <w:rsid w:val="00B478AA"/>
    <w:rsid w:val="00B54287"/>
    <w:rsid w:val="00B57301"/>
    <w:rsid w:val="00B57F46"/>
    <w:rsid w:val="00B62CF7"/>
    <w:rsid w:val="00B70613"/>
    <w:rsid w:val="00B74686"/>
    <w:rsid w:val="00B749FF"/>
    <w:rsid w:val="00B765B4"/>
    <w:rsid w:val="00B85BA6"/>
    <w:rsid w:val="00B87806"/>
    <w:rsid w:val="00B87EC9"/>
    <w:rsid w:val="00B90B6F"/>
    <w:rsid w:val="00B9386C"/>
    <w:rsid w:val="00B95CCA"/>
    <w:rsid w:val="00BB3060"/>
    <w:rsid w:val="00BB5045"/>
    <w:rsid w:val="00BC22FD"/>
    <w:rsid w:val="00BC38FD"/>
    <w:rsid w:val="00BC4761"/>
    <w:rsid w:val="00BC4F1B"/>
    <w:rsid w:val="00BD25C6"/>
    <w:rsid w:val="00BD2C72"/>
    <w:rsid w:val="00BD5716"/>
    <w:rsid w:val="00BE07B8"/>
    <w:rsid w:val="00BE0A4F"/>
    <w:rsid w:val="00BE35C1"/>
    <w:rsid w:val="00BE3DE4"/>
    <w:rsid w:val="00BE7619"/>
    <w:rsid w:val="00BF4A2B"/>
    <w:rsid w:val="00C005CB"/>
    <w:rsid w:val="00C034CB"/>
    <w:rsid w:val="00C041A1"/>
    <w:rsid w:val="00C051A8"/>
    <w:rsid w:val="00C054BC"/>
    <w:rsid w:val="00C0612E"/>
    <w:rsid w:val="00C06F77"/>
    <w:rsid w:val="00C17897"/>
    <w:rsid w:val="00C3150E"/>
    <w:rsid w:val="00C35E8E"/>
    <w:rsid w:val="00C409D5"/>
    <w:rsid w:val="00C435C3"/>
    <w:rsid w:val="00C4426C"/>
    <w:rsid w:val="00C44E5F"/>
    <w:rsid w:val="00C51B7C"/>
    <w:rsid w:val="00C576A1"/>
    <w:rsid w:val="00C57F64"/>
    <w:rsid w:val="00C606B0"/>
    <w:rsid w:val="00C6234B"/>
    <w:rsid w:val="00C63EAE"/>
    <w:rsid w:val="00C64CBD"/>
    <w:rsid w:val="00C73260"/>
    <w:rsid w:val="00C7629F"/>
    <w:rsid w:val="00C80084"/>
    <w:rsid w:val="00C84A67"/>
    <w:rsid w:val="00C8661B"/>
    <w:rsid w:val="00C87190"/>
    <w:rsid w:val="00C95B02"/>
    <w:rsid w:val="00CA03C8"/>
    <w:rsid w:val="00CA139A"/>
    <w:rsid w:val="00CA22FA"/>
    <w:rsid w:val="00CA2899"/>
    <w:rsid w:val="00CA3A3D"/>
    <w:rsid w:val="00CA3AA6"/>
    <w:rsid w:val="00CA7182"/>
    <w:rsid w:val="00CA77FB"/>
    <w:rsid w:val="00CB379B"/>
    <w:rsid w:val="00CB57C9"/>
    <w:rsid w:val="00CB5DD0"/>
    <w:rsid w:val="00CB6C90"/>
    <w:rsid w:val="00CC51D4"/>
    <w:rsid w:val="00CC5D45"/>
    <w:rsid w:val="00CC65DA"/>
    <w:rsid w:val="00CD3DDB"/>
    <w:rsid w:val="00CD7769"/>
    <w:rsid w:val="00CE4880"/>
    <w:rsid w:val="00CE52F1"/>
    <w:rsid w:val="00CF057C"/>
    <w:rsid w:val="00CF21B9"/>
    <w:rsid w:val="00CF3859"/>
    <w:rsid w:val="00CF397E"/>
    <w:rsid w:val="00CF6BF9"/>
    <w:rsid w:val="00CF7D05"/>
    <w:rsid w:val="00D03800"/>
    <w:rsid w:val="00D065D3"/>
    <w:rsid w:val="00D1494F"/>
    <w:rsid w:val="00D14C94"/>
    <w:rsid w:val="00D1599A"/>
    <w:rsid w:val="00D15E40"/>
    <w:rsid w:val="00D16510"/>
    <w:rsid w:val="00D1695A"/>
    <w:rsid w:val="00D2375A"/>
    <w:rsid w:val="00D23FC2"/>
    <w:rsid w:val="00D24D8C"/>
    <w:rsid w:val="00D275E2"/>
    <w:rsid w:val="00D342A6"/>
    <w:rsid w:val="00D36275"/>
    <w:rsid w:val="00D4229D"/>
    <w:rsid w:val="00D4539C"/>
    <w:rsid w:val="00D45CA6"/>
    <w:rsid w:val="00D464BF"/>
    <w:rsid w:val="00D529BE"/>
    <w:rsid w:val="00D53E26"/>
    <w:rsid w:val="00D56D35"/>
    <w:rsid w:val="00D56FB8"/>
    <w:rsid w:val="00D57292"/>
    <w:rsid w:val="00D605D9"/>
    <w:rsid w:val="00D61749"/>
    <w:rsid w:val="00D66C02"/>
    <w:rsid w:val="00D701CB"/>
    <w:rsid w:val="00D755C5"/>
    <w:rsid w:val="00D7595B"/>
    <w:rsid w:val="00DB182C"/>
    <w:rsid w:val="00DB24AD"/>
    <w:rsid w:val="00DC6150"/>
    <w:rsid w:val="00DD067D"/>
    <w:rsid w:val="00DD0AF6"/>
    <w:rsid w:val="00DD3BDF"/>
    <w:rsid w:val="00DD42CA"/>
    <w:rsid w:val="00DD4A8A"/>
    <w:rsid w:val="00DD4F0E"/>
    <w:rsid w:val="00DE0495"/>
    <w:rsid w:val="00DE7CAE"/>
    <w:rsid w:val="00DF0BF0"/>
    <w:rsid w:val="00DF3CA2"/>
    <w:rsid w:val="00DF6302"/>
    <w:rsid w:val="00E01463"/>
    <w:rsid w:val="00E03109"/>
    <w:rsid w:val="00E05D97"/>
    <w:rsid w:val="00E05E0A"/>
    <w:rsid w:val="00E060BE"/>
    <w:rsid w:val="00E16DC8"/>
    <w:rsid w:val="00E2233B"/>
    <w:rsid w:val="00E232C1"/>
    <w:rsid w:val="00E234E5"/>
    <w:rsid w:val="00E241B4"/>
    <w:rsid w:val="00E24851"/>
    <w:rsid w:val="00E26704"/>
    <w:rsid w:val="00E301B2"/>
    <w:rsid w:val="00E3333E"/>
    <w:rsid w:val="00E35ABE"/>
    <w:rsid w:val="00E36A09"/>
    <w:rsid w:val="00E41433"/>
    <w:rsid w:val="00E505C0"/>
    <w:rsid w:val="00E51704"/>
    <w:rsid w:val="00E534CF"/>
    <w:rsid w:val="00E57E2E"/>
    <w:rsid w:val="00E61413"/>
    <w:rsid w:val="00E62975"/>
    <w:rsid w:val="00E633CA"/>
    <w:rsid w:val="00E65441"/>
    <w:rsid w:val="00E65995"/>
    <w:rsid w:val="00E67BDE"/>
    <w:rsid w:val="00E767B8"/>
    <w:rsid w:val="00E80977"/>
    <w:rsid w:val="00E81CB4"/>
    <w:rsid w:val="00E8464A"/>
    <w:rsid w:val="00E855C9"/>
    <w:rsid w:val="00E8585B"/>
    <w:rsid w:val="00E87F41"/>
    <w:rsid w:val="00E934CC"/>
    <w:rsid w:val="00E9554A"/>
    <w:rsid w:val="00E95C8C"/>
    <w:rsid w:val="00E96974"/>
    <w:rsid w:val="00EA2A18"/>
    <w:rsid w:val="00EA2AA8"/>
    <w:rsid w:val="00EA3F15"/>
    <w:rsid w:val="00EA7847"/>
    <w:rsid w:val="00EB1039"/>
    <w:rsid w:val="00EB3C85"/>
    <w:rsid w:val="00EB4C2F"/>
    <w:rsid w:val="00EC29D1"/>
    <w:rsid w:val="00EC42FA"/>
    <w:rsid w:val="00EC5C62"/>
    <w:rsid w:val="00ED4C2F"/>
    <w:rsid w:val="00ED6DF5"/>
    <w:rsid w:val="00EE2E6E"/>
    <w:rsid w:val="00EE40B5"/>
    <w:rsid w:val="00EE7794"/>
    <w:rsid w:val="00EF07F2"/>
    <w:rsid w:val="00EF2D18"/>
    <w:rsid w:val="00EF7474"/>
    <w:rsid w:val="00F00A5C"/>
    <w:rsid w:val="00F00CA1"/>
    <w:rsid w:val="00F024E3"/>
    <w:rsid w:val="00F0759E"/>
    <w:rsid w:val="00F108E7"/>
    <w:rsid w:val="00F135A4"/>
    <w:rsid w:val="00F142BF"/>
    <w:rsid w:val="00F148D2"/>
    <w:rsid w:val="00F165C7"/>
    <w:rsid w:val="00F16A43"/>
    <w:rsid w:val="00F1760A"/>
    <w:rsid w:val="00F26710"/>
    <w:rsid w:val="00F26854"/>
    <w:rsid w:val="00F37A10"/>
    <w:rsid w:val="00F41D98"/>
    <w:rsid w:val="00F44A04"/>
    <w:rsid w:val="00F46780"/>
    <w:rsid w:val="00F47349"/>
    <w:rsid w:val="00F52070"/>
    <w:rsid w:val="00F52971"/>
    <w:rsid w:val="00F6559D"/>
    <w:rsid w:val="00F66C42"/>
    <w:rsid w:val="00F67E7F"/>
    <w:rsid w:val="00F77D2D"/>
    <w:rsid w:val="00F81738"/>
    <w:rsid w:val="00F821A3"/>
    <w:rsid w:val="00F839DF"/>
    <w:rsid w:val="00F86844"/>
    <w:rsid w:val="00F9314A"/>
    <w:rsid w:val="00F932F0"/>
    <w:rsid w:val="00F940B2"/>
    <w:rsid w:val="00F97B94"/>
    <w:rsid w:val="00FB06CC"/>
    <w:rsid w:val="00FB3027"/>
    <w:rsid w:val="00FB4BE4"/>
    <w:rsid w:val="00FB5EC2"/>
    <w:rsid w:val="00FC1DF3"/>
    <w:rsid w:val="00FC58EF"/>
    <w:rsid w:val="00FC5C4A"/>
    <w:rsid w:val="00FD0121"/>
    <w:rsid w:val="00FD33DF"/>
    <w:rsid w:val="00FD5118"/>
    <w:rsid w:val="00FD655C"/>
    <w:rsid w:val="00FD6C71"/>
    <w:rsid w:val="00FD76E9"/>
    <w:rsid w:val="00FE39D7"/>
    <w:rsid w:val="00FE3F8E"/>
    <w:rsid w:val="00FE6A6E"/>
    <w:rsid w:val="00FF1BBE"/>
    <w:rsid w:val="00FF20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26414A"/>
  <w15:chartTrackingRefBased/>
  <w15:docId w15:val="{E01BE117-BFB7-4DBD-A567-F9A735E30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626EED"/>
    <w:pPr>
      <w:keepNext/>
      <w:keepLines/>
      <w:spacing w:before="40"/>
      <w:ind w:left="0"/>
      <w:jc w:val="both"/>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101DA"/>
    <w:pPr>
      <w:tabs>
        <w:tab w:val="center" w:pos="4252"/>
        <w:tab w:val="right" w:pos="8504"/>
      </w:tabs>
    </w:pPr>
    <w:rPr>
      <w:rFonts w:ascii="CG Times" w:hAnsi="CG Times"/>
      <w:szCs w:val="20"/>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uiPriority w:val="99"/>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uiPriority w:val="99"/>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uiPriority w:val="99"/>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006AE2"/>
    <w:pPr>
      <w:spacing w:after="120" w:line="480" w:lineRule="auto"/>
    </w:pPr>
  </w:style>
  <w:style w:type="character" w:customStyle="1" w:styleId="Textoindependiente2Car">
    <w:name w:val="Texto independiente 2 Car"/>
    <w:link w:val="Textoindependiente2"/>
    <w:uiPriority w:val="99"/>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11"/>
    <w:qFormat/>
    <w:rsid w:val="003A31F6"/>
    <w:pPr>
      <w:ind w:left="0"/>
    </w:pPr>
    <w:rPr>
      <w:rFonts w:ascii="Century Gothic" w:hAnsi="Century Gothic"/>
      <w:b/>
      <w:bCs/>
    </w:rPr>
  </w:style>
  <w:style w:type="character" w:customStyle="1" w:styleId="SubttuloCar">
    <w:name w:val="Subtítulo Car"/>
    <w:link w:val="Subttulo"/>
    <w:uiPriority w:val="11"/>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character" w:customStyle="1" w:styleId="Ttulo2Car">
    <w:name w:val="Título 2 Car"/>
    <w:basedOn w:val="Fuentedeprrafopredeter"/>
    <w:link w:val="Ttulo2"/>
    <w:uiPriority w:val="9"/>
    <w:semiHidden/>
    <w:rsid w:val="00626EED"/>
    <w:rPr>
      <w:rFonts w:asciiTheme="majorHAnsi" w:eastAsiaTheme="majorEastAsia" w:hAnsiTheme="majorHAnsi" w:cstheme="majorBidi"/>
      <w:color w:val="2E74B5" w:themeColor="accent1" w:themeShade="BF"/>
      <w:sz w:val="26"/>
      <w:szCs w:val="26"/>
      <w:lang w:val="es-ES" w:eastAsia="es-ES"/>
    </w:rPr>
  </w:style>
  <w:style w:type="character" w:customStyle="1" w:styleId="Ttulo1Car">
    <w:name w:val="Título 1 Car"/>
    <w:link w:val="Ttulo1"/>
    <w:rsid w:val="00626EED"/>
    <w:rPr>
      <w:rFonts w:ascii="CG Times" w:hAnsi="CG Times"/>
      <w:b/>
      <w:sz w:val="24"/>
      <w:lang w:eastAsia="es-ES"/>
    </w:rPr>
  </w:style>
  <w:style w:type="paragraph" w:styleId="Textocomentario">
    <w:name w:val="annotation text"/>
    <w:basedOn w:val="Normal"/>
    <w:link w:val="TextocomentarioCar"/>
    <w:uiPriority w:val="99"/>
    <w:semiHidden/>
    <w:rsid w:val="00626EED"/>
    <w:pPr>
      <w:ind w:left="0"/>
      <w:jc w:val="both"/>
    </w:pPr>
    <w:rPr>
      <w:rFonts w:ascii="CG Times" w:hAnsi="CG Times"/>
      <w:sz w:val="20"/>
      <w:szCs w:val="20"/>
      <w:lang w:val="es-CO"/>
    </w:rPr>
  </w:style>
  <w:style w:type="character" w:customStyle="1" w:styleId="TextocomentarioCar">
    <w:name w:val="Texto comentario Car"/>
    <w:basedOn w:val="Fuentedeprrafopredeter"/>
    <w:link w:val="Textocomentario"/>
    <w:uiPriority w:val="99"/>
    <w:semiHidden/>
    <w:rsid w:val="00626EED"/>
    <w:rPr>
      <w:rFonts w:ascii="CG Times" w:hAnsi="CG Times"/>
      <w:lang w:eastAsia="es-ES"/>
    </w:rPr>
  </w:style>
  <w:style w:type="paragraph" w:styleId="Textonotapie">
    <w:name w:val="footnote text"/>
    <w:aliases w:val="Footnote Text Char Char Char Char Char,Footnote Text Char Char Char Char,Footnote reference,FA Fu,texto de nota al pie,Footnote Text Char Char Char,Footnote Text Char,Footnote Text Char Char Char Char Char Char Char Char,texto de nota al "/>
    <w:basedOn w:val="Normal"/>
    <w:link w:val="TextonotapieCar"/>
    <w:uiPriority w:val="99"/>
    <w:semiHidden/>
    <w:rsid w:val="00626EED"/>
    <w:pPr>
      <w:ind w:left="0"/>
      <w:jc w:val="both"/>
    </w:pPr>
    <w:rPr>
      <w:rFonts w:ascii="Bookman Old Style" w:eastAsia="SimSun" w:hAnsi="Bookman Old Style"/>
      <w:sz w:val="20"/>
      <w:szCs w:val="20"/>
      <w:lang w:val="es-CO" w:eastAsia="zh-CN"/>
    </w:rPr>
  </w:style>
  <w:style w:type="character" w:customStyle="1" w:styleId="TextonotapieCar">
    <w:name w:val="Texto nota pie Car"/>
    <w:aliases w:val="Footnote Text Char Char Char Char Char Car1,Footnote Text Char Char Char Char Car1,Footnote reference Car1,FA Fu Car1,texto de nota al pie Car1,Footnote Text Char Char Char Car1,Footnote Text Char Car1,texto de nota al  Car1"/>
    <w:basedOn w:val="Fuentedeprrafopredeter"/>
    <w:link w:val="Textonotapie"/>
    <w:uiPriority w:val="99"/>
    <w:semiHidden/>
    <w:rsid w:val="00626EED"/>
    <w:rPr>
      <w:rFonts w:ascii="Bookman Old Style" w:eastAsia="SimSun" w:hAnsi="Bookman Old Style"/>
      <w:lang w:eastAsia="zh-CN"/>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fr,Ref"/>
    <w:rsid w:val="00626EED"/>
    <w:rPr>
      <w:vertAlign w:val="superscript"/>
    </w:rPr>
  </w:style>
  <w:style w:type="paragraph" w:styleId="NormalWeb">
    <w:name w:val="Normal (Web)"/>
    <w:basedOn w:val="Normal"/>
    <w:uiPriority w:val="99"/>
    <w:unhideWhenUsed/>
    <w:rsid w:val="00626EED"/>
    <w:pPr>
      <w:spacing w:before="100" w:beforeAutospacing="1" w:after="100" w:afterAutospacing="1"/>
      <w:ind w:left="0"/>
      <w:jc w:val="both"/>
    </w:pPr>
    <w:rPr>
      <w:rFonts w:ascii="Bookman Old Style" w:hAnsi="Bookman Old Style"/>
      <w:color w:val="000000"/>
      <w:lang w:val="es-CO" w:eastAsia="es-CO"/>
    </w:rPr>
  </w:style>
  <w:style w:type="character" w:customStyle="1" w:styleId="PiedepginaCar">
    <w:name w:val="Pie de página Car"/>
    <w:link w:val="Piedepgina"/>
    <w:uiPriority w:val="99"/>
    <w:rsid w:val="00626EED"/>
    <w:rPr>
      <w:sz w:val="24"/>
      <w:szCs w:val="24"/>
      <w:lang w:val="es-ES" w:eastAsia="es-ES"/>
    </w:rPr>
  </w:style>
  <w:style w:type="character" w:customStyle="1" w:styleId="CharStyle9">
    <w:name w:val="Char Style 9"/>
    <w:link w:val="Style2"/>
    <w:uiPriority w:val="99"/>
    <w:locked/>
    <w:rsid w:val="00626EED"/>
    <w:rPr>
      <w:rFonts w:ascii="Arial" w:hAnsi="Arial" w:cs="Arial"/>
      <w:sz w:val="14"/>
      <w:szCs w:val="14"/>
      <w:shd w:val="clear" w:color="auto" w:fill="FFFFFF"/>
    </w:rPr>
  </w:style>
  <w:style w:type="paragraph" w:customStyle="1" w:styleId="Style2">
    <w:name w:val="Style 2"/>
    <w:basedOn w:val="Normal"/>
    <w:link w:val="CharStyle9"/>
    <w:uiPriority w:val="99"/>
    <w:rsid w:val="00626EED"/>
    <w:pPr>
      <w:widowControl w:val="0"/>
      <w:shd w:val="clear" w:color="auto" w:fill="FFFFFF"/>
      <w:spacing w:before="120" w:line="240" w:lineRule="atLeast"/>
      <w:ind w:left="0" w:hanging="1420"/>
      <w:jc w:val="both"/>
    </w:pPr>
    <w:rPr>
      <w:rFonts w:ascii="Arial" w:hAnsi="Arial" w:cs="Arial"/>
      <w:sz w:val="14"/>
      <w:szCs w:val="14"/>
      <w:lang w:val="es-CO" w:eastAsia="es-CO"/>
    </w:rPr>
  </w:style>
  <w:style w:type="character" w:styleId="Refdecomentario">
    <w:name w:val="annotation reference"/>
    <w:uiPriority w:val="99"/>
    <w:semiHidden/>
    <w:unhideWhenUsed/>
    <w:rsid w:val="00626EED"/>
    <w:rPr>
      <w:sz w:val="16"/>
      <w:szCs w:val="16"/>
    </w:rPr>
  </w:style>
  <w:style w:type="paragraph" w:customStyle="1" w:styleId="Estilo2">
    <w:name w:val="Estilo2"/>
    <w:basedOn w:val="Normal"/>
    <w:link w:val="Estilo2Car"/>
    <w:rsid w:val="00626EED"/>
    <w:pPr>
      <w:keepNext/>
      <w:widowControl w:val="0"/>
      <w:tabs>
        <w:tab w:val="num" w:pos="2357"/>
      </w:tabs>
      <w:adjustRightInd w:val="0"/>
      <w:spacing w:before="240" w:after="240"/>
      <w:ind w:left="917"/>
      <w:jc w:val="both"/>
      <w:textAlignment w:val="baseline"/>
      <w:outlineLvl w:val="0"/>
    </w:pPr>
    <w:rPr>
      <w:rFonts w:ascii="Bookman Old Style" w:hAnsi="Bookman Old Style"/>
      <w:b/>
      <w:bCs/>
      <w:lang w:eastAsia="ar-SA"/>
    </w:rPr>
  </w:style>
  <w:style w:type="character" w:customStyle="1" w:styleId="Estilo2Car">
    <w:name w:val="Estilo2 Car"/>
    <w:link w:val="Estilo2"/>
    <w:rsid w:val="00626EED"/>
    <w:rPr>
      <w:rFonts w:ascii="Bookman Old Style" w:hAnsi="Bookman Old Style"/>
      <w:b/>
      <w:bCs/>
      <w:sz w:val="24"/>
      <w:szCs w:val="24"/>
      <w:lang w:val="es-ES" w:eastAsia="ar-SA"/>
    </w:rPr>
  </w:style>
  <w:style w:type="paragraph" w:styleId="Revisin">
    <w:name w:val="Revision"/>
    <w:hidden/>
    <w:uiPriority w:val="99"/>
    <w:semiHidden/>
    <w:rsid w:val="00626EED"/>
    <w:rPr>
      <w:sz w:val="24"/>
      <w:szCs w:val="24"/>
      <w:lang w:val="es-ES" w:eastAsia="es-ES"/>
    </w:rPr>
  </w:style>
  <w:style w:type="paragraph" w:styleId="Cita">
    <w:name w:val="Quote"/>
    <w:basedOn w:val="Normal"/>
    <w:next w:val="Normal"/>
    <w:link w:val="CitaCar"/>
    <w:uiPriority w:val="29"/>
    <w:qFormat/>
    <w:rsid w:val="00626EED"/>
    <w:pPr>
      <w:spacing w:before="120" w:after="120"/>
      <w:ind w:right="567"/>
      <w:jc w:val="both"/>
    </w:pPr>
    <w:rPr>
      <w:rFonts w:ascii="Bookman Old Style" w:hAnsi="Bookman Old Style"/>
      <w:i/>
      <w:iCs/>
      <w:color w:val="000000" w:themeColor="text1"/>
      <w:sz w:val="20"/>
    </w:rPr>
  </w:style>
  <w:style w:type="character" w:customStyle="1" w:styleId="CitaCar">
    <w:name w:val="Cita Car"/>
    <w:basedOn w:val="Fuentedeprrafopredeter"/>
    <w:link w:val="Cita"/>
    <w:uiPriority w:val="29"/>
    <w:rsid w:val="00626EED"/>
    <w:rPr>
      <w:rFonts w:ascii="Bookman Old Style" w:hAnsi="Bookman Old Style"/>
      <w:i/>
      <w:iCs/>
      <w:color w:val="000000" w:themeColor="text1"/>
      <w:szCs w:val="24"/>
      <w:lang w:val="es-ES" w:eastAsia="es-ES"/>
    </w:rPr>
  </w:style>
  <w:style w:type="character" w:customStyle="1" w:styleId="CharStyle3">
    <w:name w:val="Char Style 3"/>
    <w:basedOn w:val="Fuentedeprrafopredeter"/>
    <w:uiPriority w:val="99"/>
    <w:locked/>
    <w:rsid w:val="00626EED"/>
    <w:rPr>
      <w:rFonts w:ascii="Arial" w:hAnsi="Arial" w:cs="Arial"/>
      <w:i/>
      <w:iCs/>
      <w:sz w:val="23"/>
      <w:szCs w:val="23"/>
      <w:u w:val="none"/>
    </w:rPr>
  </w:style>
  <w:style w:type="character" w:customStyle="1" w:styleId="CharStyle5">
    <w:name w:val="Char Style 5"/>
    <w:basedOn w:val="CharStyle3"/>
    <w:uiPriority w:val="99"/>
    <w:rsid w:val="00626EED"/>
    <w:rPr>
      <w:rFonts w:ascii="Arial" w:hAnsi="Arial" w:cs="Arial"/>
      <w:b/>
      <w:bCs/>
      <w:i/>
      <w:iCs/>
      <w:sz w:val="23"/>
      <w:szCs w:val="23"/>
      <w:u w:val="none"/>
    </w:rPr>
  </w:style>
  <w:style w:type="character" w:customStyle="1" w:styleId="CharStyle24">
    <w:name w:val="Char Style 24"/>
    <w:basedOn w:val="Fuentedeprrafopredeter"/>
    <w:uiPriority w:val="99"/>
    <w:rsid w:val="00626EED"/>
    <w:rPr>
      <w:rFonts w:ascii="Arial" w:hAnsi="Arial" w:cs="Arial"/>
      <w:b/>
      <w:bCs/>
      <w:i/>
      <w:iCs/>
      <w:sz w:val="13"/>
      <w:szCs w:val="13"/>
      <w:u w:val="none"/>
    </w:rPr>
  </w:style>
  <w:style w:type="character" w:customStyle="1" w:styleId="CharStyle20">
    <w:name w:val="Char Style 20"/>
    <w:basedOn w:val="Fuentedeprrafopredeter"/>
    <w:link w:val="Style19"/>
    <w:uiPriority w:val="99"/>
    <w:locked/>
    <w:rsid w:val="00626EED"/>
    <w:rPr>
      <w:rFonts w:ascii="Arial" w:hAnsi="Arial" w:cs="Arial"/>
      <w:sz w:val="30"/>
      <w:szCs w:val="30"/>
      <w:shd w:val="clear" w:color="auto" w:fill="FFFFFF"/>
    </w:rPr>
  </w:style>
  <w:style w:type="character" w:customStyle="1" w:styleId="CharStyle86Exact">
    <w:name w:val="Char Style 86 Exact"/>
    <w:basedOn w:val="Fuentedeprrafopredeter"/>
    <w:link w:val="Style85"/>
    <w:uiPriority w:val="99"/>
    <w:locked/>
    <w:rsid w:val="00626EED"/>
    <w:rPr>
      <w:rFonts w:ascii="Arial" w:hAnsi="Arial" w:cs="Arial"/>
      <w:b/>
      <w:bCs/>
      <w:spacing w:val="-3"/>
      <w:shd w:val="clear" w:color="auto" w:fill="FFFFFF"/>
    </w:rPr>
  </w:style>
  <w:style w:type="character" w:customStyle="1" w:styleId="CharStyle97Exact">
    <w:name w:val="Char Style 97 Exact"/>
    <w:basedOn w:val="Fuentedeprrafopredeter"/>
    <w:link w:val="Style96"/>
    <w:uiPriority w:val="99"/>
    <w:locked/>
    <w:rsid w:val="00626EED"/>
    <w:rPr>
      <w:rFonts w:ascii="Arial" w:hAnsi="Arial" w:cs="Arial"/>
      <w:spacing w:val="-5"/>
      <w:sz w:val="22"/>
      <w:szCs w:val="22"/>
      <w:shd w:val="clear" w:color="auto" w:fill="FFFFFF"/>
    </w:rPr>
  </w:style>
  <w:style w:type="character" w:customStyle="1" w:styleId="CharStyle100Exact">
    <w:name w:val="Char Style 100 Exact"/>
    <w:basedOn w:val="Fuentedeprrafopredeter"/>
    <w:uiPriority w:val="99"/>
    <w:rsid w:val="00626EED"/>
    <w:rPr>
      <w:rFonts w:ascii="Arial" w:hAnsi="Arial" w:cs="Arial"/>
      <w:spacing w:val="-5"/>
      <w:sz w:val="22"/>
      <w:szCs w:val="22"/>
      <w:u w:val="none"/>
    </w:rPr>
  </w:style>
  <w:style w:type="paragraph" w:customStyle="1" w:styleId="Style19">
    <w:name w:val="Style 19"/>
    <w:basedOn w:val="Normal"/>
    <w:link w:val="CharStyle20"/>
    <w:uiPriority w:val="99"/>
    <w:rsid w:val="00626EED"/>
    <w:pPr>
      <w:widowControl w:val="0"/>
      <w:shd w:val="clear" w:color="auto" w:fill="FFFFFF"/>
      <w:spacing w:line="240" w:lineRule="atLeast"/>
      <w:ind w:left="0" w:hanging="380"/>
    </w:pPr>
    <w:rPr>
      <w:rFonts w:ascii="Arial" w:hAnsi="Arial" w:cs="Arial"/>
      <w:sz w:val="30"/>
      <w:szCs w:val="30"/>
      <w:lang w:val="es-CO" w:eastAsia="es-CO"/>
    </w:rPr>
  </w:style>
  <w:style w:type="paragraph" w:customStyle="1" w:styleId="Style85">
    <w:name w:val="Style 85"/>
    <w:basedOn w:val="Normal"/>
    <w:link w:val="CharStyle86Exact"/>
    <w:uiPriority w:val="99"/>
    <w:rsid w:val="00626EED"/>
    <w:pPr>
      <w:widowControl w:val="0"/>
      <w:shd w:val="clear" w:color="auto" w:fill="FFFFFF"/>
      <w:spacing w:after="60" w:line="240" w:lineRule="atLeast"/>
      <w:ind w:left="0"/>
      <w:jc w:val="right"/>
    </w:pPr>
    <w:rPr>
      <w:rFonts w:ascii="Arial" w:hAnsi="Arial" w:cs="Arial"/>
      <w:b/>
      <w:bCs/>
      <w:spacing w:val="-3"/>
      <w:sz w:val="20"/>
      <w:szCs w:val="20"/>
      <w:lang w:val="es-CO" w:eastAsia="es-CO"/>
    </w:rPr>
  </w:style>
  <w:style w:type="paragraph" w:customStyle="1" w:styleId="Style96">
    <w:name w:val="Style 96"/>
    <w:basedOn w:val="Normal"/>
    <w:link w:val="CharStyle97Exact"/>
    <w:uiPriority w:val="99"/>
    <w:rsid w:val="00626EED"/>
    <w:pPr>
      <w:widowControl w:val="0"/>
      <w:shd w:val="clear" w:color="auto" w:fill="FFFFFF"/>
      <w:spacing w:line="360" w:lineRule="exact"/>
      <w:ind w:left="0"/>
      <w:jc w:val="both"/>
    </w:pPr>
    <w:rPr>
      <w:rFonts w:ascii="Arial" w:hAnsi="Arial" w:cs="Arial"/>
      <w:spacing w:val="-5"/>
      <w:sz w:val="22"/>
      <w:szCs w:val="22"/>
      <w:lang w:val="es-CO" w:eastAsia="es-CO"/>
    </w:rPr>
  </w:style>
  <w:style w:type="character" w:customStyle="1" w:styleId="CharStyle4">
    <w:name w:val="Char Style 4"/>
    <w:basedOn w:val="CharStyle3"/>
    <w:uiPriority w:val="99"/>
    <w:rsid w:val="00626EED"/>
    <w:rPr>
      <w:rFonts w:ascii="Arial" w:hAnsi="Arial" w:cs="Arial"/>
      <w:i/>
      <w:iCs/>
      <w:sz w:val="23"/>
      <w:szCs w:val="23"/>
      <w:u w:val="none"/>
    </w:rPr>
  </w:style>
  <w:style w:type="character" w:customStyle="1" w:styleId="CharStyle7">
    <w:name w:val="Char Style 7"/>
    <w:basedOn w:val="Fuentedeprrafopredeter"/>
    <w:link w:val="Style6"/>
    <w:uiPriority w:val="99"/>
    <w:rsid w:val="00626EED"/>
    <w:rPr>
      <w:i/>
      <w:iCs/>
      <w:sz w:val="23"/>
      <w:szCs w:val="23"/>
      <w:shd w:val="clear" w:color="auto" w:fill="FFFFFF"/>
    </w:rPr>
  </w:style>
  <w:style w:type="character" w:customStyle="1" w:styleId="CharStyle8">
    <w:name w:val="Char Style 8"/>
    <w:basedOn w:val="CharStyle7"/>
    <w:uiPriority w:val="99"/>
    <w:rsid w:val="00626EED"/>
    <w:rPr>
      <w:i w:val="0"/>
      <w:iCs w:val="0"/>
      <w:sz w:val="23"/>
      <w:szCs w:val="23"/>
      <w:shd w:val="clear" w:color="auto" w:fill="FFFFFF"/>
    </w:rPr>
  </w:style>
  <w:style w:type="paragraph" w:customStyle="1" w:styleId="Style6">
    <w:name w:val="Style 6"/>
    <w:basedOn w:val="Normal"/>
    <w:link w:val="CharStyle7"/>
    <w:uiPriority w:val="99"/>
    <w:rsid w:val="00626EED"/>
    <w:pPr>
      <w:widowControl w:val="0"/>
      <w:shd w:val="clear" w:color="auto" w:fill="FFFFFF"/>
      <w:spacing w:before="300" w:after="480" w:line="273" w:lineRule="exact"/>
      <w:ind w:left="0" w:hanging="360"/>
      <w:jc w:val="both"/>
    </w:pPr>
    <w:rPr>
      <w:i/>
      <w:iCs/>
      <w:sz w:val="23"/>
      <w:szCs w:val="23"/>
      <w:lang w:val="es-CO" w:eastAsia="es-CO"/>
    </w:rPr>
  </w:style>
  <w:style w:type="character" w:customStyle="1" w:styleId="CharStyle10">
    <w:name w:val="Char Style 10"/>
    <w:basedOn w:val="CharStyle3"/>
    <w:uiPriority w:val="99"/>
    <w:rsid w:val="00626EED"/>
    <w:rPr>
      <w:rFonts w:ascii="Arial" w:hAnsi="Arial" w:cs="Arial"/>
      <w:b/>
      <w:bCs/>
      <w:i w:val="0"/>
      <w:iCs w:val="0"/>
      <w:sz w:val="24"/>
      <w:szCs w:val="24"/>
      <w:u w:val="none"/>
    </w:rPr>
  </w:style>
  <w:style w:type="character" w:customStyle="1" w:styleId="CharStyle11">
    <w:name w:val="Char Style 11"/>
    <w:basedOn w:val="CharStyle3"/>
    <w:uiPriority w:val="99"/>
    <w:rsid w:val="00626EED"/>
    <w:rPr>
      <w:rFonts w:ascii="Arial" w:hAnsi="Arial" w:cs="Arial"/>
      <w:b/>
      <w:bCs/>
      <w:i w:val="0"/>
      <w:iCs w:val="0"/>
      <w:sz w:val="16"/>
      <w:szCs w:val="16"/>
      <w:u w:val="none"/>
    </w:rPr>
  </w:style>
  <w:style w:type="character" w:customStyle="1" w:styleId="CharStyle12">
    <w:name w:val="Char Style 12"/>
    <w:basedOn w:val="CharStyle3"/>
    <w:link w:val="Style11"/>
    <w:uiPriority w:val="99"/>
    <w:rsid w:val="00626EED"/>
    <w:rPr>
      <w:rFonts w:ascii="Arial" w:hAnsi="Arial" w:cs="Arial"/>
      <w:b/>
      <w:bCs/>
      <w:i w:val="0"/>
      <w:iCs w:val="0"/>
      <w:sz w:val="17"/>
      <w:szCs w:val="17"/>
      <w:u w:val="none"/>
    </w:rPr>
  </w:style>
  <w:style w:type="character" w:customStyle="1" w:styleId="CharStyle13">
    <w:name w:val="Char Style 13"/>
    <w:basedOn w:val="CharStyle3"/>
    <w:uiPriority w:val="99"/>
    <w:rsid w:val="00626EED"/>
    <w:rPr>
      <w:rFonts w:ascii="Arial" w:hAnsi="Arial" w:cs="Arial"/>
      <w:i w:val="0"/>
      <w:iCs w:val="0"/>
      <w:sz w:val="17"/>
      <w:szCs w:val="17"/>
      <w:u w:val="none"/>
    </w:rPr>
  </w:style>
  <w:style w:type="paragraph" w:styleId="Asuntodelcomentario">
    <w:name w:val="annotation subject"/>
    <w:basedOn w:val="Textocomentario"/>
    <w:next w:val="Textocomentario"/>
    <w:link w:val="AsuntodelcomentarioCar"/>
    <w:uiPriority w:val="99"/>
    <w:semiHidden/>
    <w:unhideWhenUsed/>
    <w:rsid w:val="00626EED"/>
    <w:rPr>
      <w:rFonts w:ascii="Bookman Old Style" w:hAnsi="Bookman Old Style"/>
      <w:b/>
      <w:bCs/>
      <w:lang w:val="es-ES"/>
    </w:rPr>
  </w:style>
  <w:style w:type="character" w:customStyle="1" w:styleId="AsuntodelcomentarioCar">
    <w:name w:val="Asunto del comentario Car"/>
    <w:basedOn w:val="TextocomentarioCar"/>
    <w:link w:val="Asuntodelcomentario"/>
    <w:uiPriority w:val="99"/>
    <w:semiHidden/>
    <w:rsid w:val="00626EED"/>
    <w:rPr>
      <w:rFonts w:ascii="Bookman Old Style" w:hAnsi="Bookman Old Style"/>
      <w:b/>
      <w:bCs/>
      <w:lang w:val="es-ES" w:eastAsia="es-ES"/>
    </w:rPr>
  </w:style>
  <w:style w:type="character" w:customStyle="1" w:styleId="CharStyle15">
    <w:name w:val="Char Style 15"/>
    <w:basedOn w:val="Fuentedeprrafopredeter"/>
    <w:link w:val="Style14"/>
    <w:uiPriority w:val="99"/>
    <w:rsid w:val="00626EED"/>
    <w:rPr>
      <w:rFonts w:ascii="Arial" w:hAnsi="Arial" w:cs="Arial"/>
      <w:b/>
      <w:bCs/>
      <w:sz w:val="22"/>
      <w:szCs w:val="22"/>
      <w:shd w:val="clear" w:color="auto" w:fill="FFFFFF"/>
    </w:rPr>
  </w:style>
  <w:style w:type="character" w:customStyle="1" w:styleId="CharStyle17">
    <w:name w:val="Char Style 17"/>
    <w:basedOn w:val="Fuentedeprrafopredeter"/>
    <w:link w:val="Style16"/>
    <w:uiPriority w:val="99"/>
    <w:rsid w:val="00626EED"/>
    <w:rPr>
      <w:rFonts w:ascii="Arial" w:hAnsi="Arial" w:cs="Arial"/>
      <w:b/>
      <w:bCs/>
      <w:sz w:val="22"/>
      <w:szCs w:val="22"/>
      <w:shd w:val="clear" w:color="auto" w:fill="FFFFFF"/>
    </w:rPr>
  </w:style>
  <w:style w:type="paragraph" w:customStyle="1" w:styleId="Style14">
    <w:name w:val="Style 14"/>
    <w:basedOn w:val="Normal"/>
    <w:link w:val="CharStyle15"/>
    <w:uiPriority w:val="99"/>
    <w:rsid w:val="00626EED"/>
    <w:pPr>
      <w:widowControl w:val="0"/>
      <w:shd w:val="clear" w:color="auto" w:fill="FFFFFF"/>
      <w:spacing w:line="340" w:lineRule="exact"/>
      <w:ind w:left="0"/>
      <w:jc w:val="both"/>
      <w:outlineLvl w:val="2"/>
    </w:pPr>
    <w:rPr>
      <w:rFonts w:ascii="Arial" w:hAnsi="Arial" w:cs="Arial"/>
      <w:b/>
      <w:bCs/>
      <w:sz w:val="22"/>
      <w:szCs w:val="22"/>
      <w:lang w:val="es-CO" w:eastAsia="es-CO"/>
    </w:rPr>
  </w:style>
  <w:style w:type="paragraph" w:customStyle="1" w:styleId="Style16">
    <w:name w:val="Style 16"/>
    <w:basedOn w:val="Normal"/>
    <w:link w:val="CharStyle17"/>
    <w:uiPriority w:val="99"/>
    <w:rsid w:val="00626EED"/>
    <w:pPr>
      <w:widowControl w:val="0"/>
      <w:shd w:val="clear" w:color="auto" w:fill="FFFFFF"/>
      <w:spacing w:after="240" w:line="340" w:lineRule="exact"/>
      <w:ind w:left="0"/>
      <w:jc w:val="both"/>
      <w:outlineLvl w:val="2"/>
    </w:pPr>
    <w:rPr>
      <w:rFonts w:ascii="Arial" w:hAnsi="Arial" w:cs="Arial"/>
      <w:b/>
      <w:bCs/>
      <w:sz w:val="22"/>
      <w:szCs w:val="22"/>
      <w:lang w:val="es-CO" w:eastAsia="es-CO"/>
    </w:rPr>
  </w:style>
  <w:style w:type="character" w:styleId="Hipervnculo">
    <w:name w:val="Hyperlink"/>
    <w:basedOn w:val="Fuentedeprrafopredeter"/>
    <w:uiPriority w:val="99"/>
    <w:unhideWhenUsed/>
    <w:rsid w:val="00626EED"/>
    <w:rPr>
      <w:color w:val="0563C1" w:themeColor="hyperlink"/>
      <w:u w:val="single"/>
    </w:rPr>
  </w:style>
  <w:style w:type="character" w:customStyle="1" w:styleId="CharacterStyle1">
    <w:name w:val="Character Style 1"/>
    <w:uiPriority w:val="99"/>
    <w:rsid w:val="00626EED"/>
    <w:rPr>
      <w:sz w:val="20"/>
    </w:rPr>
  </w:style>
  <w:style w:type="table" w:customStyle="1" w:styleId="Tablaconcuadrcula11">
    <w:name w:val="Tabla con cuadrícula11"/>
    <w:basedOn w:val="Tablanormal"/>
    <w:uiPriority w:val="59"/>
    <w:rsid w:val="00626EED"/>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 1"/>
    <w:uiPriority w:val="99"/>
    <w:rsid w:val="00626EED"/>
    <w:pPr>
      <w:widowControl w:val="0"/>
      <w:autoSpaceDE w:val="0"/>
      <w:autoSpaceDN w:val="0"/>
      <w:adjustRightInd w:val="0"/>
    </w:pPr>
    <w:rPr>
      <w:lang w:val="en-US"/>
    </w:rPr>
  </w:style>
  <w:style w:type="character" w:customStyle="1" w:styleId="TextonotapieCar1">
    <w:name w:val="Texto nota pie Car1"/>
    <w:aliases w:val="Footnote Text Char Char Char Char Char Car,Footnote Text Char Char Char Char Car,Footnote reference Car,FA Fu Car,texto de nota al pie Car,Footnote Text Char Char Char Car,Footnote Text Char Car,texto de nota al  Car"/>
    <w:uiPriority w:val="99"/>
    <w:semiHidden/>
    <w:locked/>
    <w:rsid w:val="00626EED"/>
    <w:rPr>
      <w:rFonts w:ascii="Arial" w:hAnsi="Arial"/>
      <w:lang w:val="es-ES_tradnl"/>
    </w:rPr>
  </w:style>
  <w:style w:type="paragraph" w:customStyle="1" w:styleId="NormalDocSoporte">
    <w:name w:val="Normal DocSoporte"/>
    <w:basedOn w:val="Normal"/>
    <w:link w:val="NormalDocSoporteCar"/>
    <w:qFormat/>
    <w:rsid w:val="00626EED"/>
    <w:pPr>
      <w:widowControl w:val="0"/>
      <w:adjustRightInd w:val="0"/>
      <w:spacing w:before="200" w:after="200"/>
      <w:ind w:left="0" w:right="23"/>
      <w:jc w:val="both"/>
    </w:pPr>
    <w:rPr>
      <w:rFonts w:ascii="Arial" w:hAnsi="Arial" w:cs="Arial"/>
      <w:sz w:val="22"/>
      <w:szCs w:val="22"/>
      <w:lang w:val="es-CO"/>
    </w:rPr>
  </w:style>
  <w:style w:type="character" w:customStyle="1" w:styleId="NormalDocSoporteCar">
    <w:name w:val="Normal DocSoporte Car"/>
    <w:link w:val="NormalDocSoporte"/>
    <w:rsid w:val="00626EED"/>
    <w:rPr>
      <w:rFonts w:ascii="Arial" w:hAnsi="Arial" w:cs="Arial"/>
      <w:sz w:val="22"/>
      <w:szCs w:val="22"/>
      <w:lang w:eastAsia="es-ES"/>
    </w:rPr>
  </w:style>
  <w:style w:type="paragraph" w:styleId="Descripcin">
    <w:name w:val="caption"/>
    <w:basedOn w:val="Normal"/>
    <w:next w:val="Normal"/>
    <w:uiPriority w:val="35"/>
    <w:qFormat/>
    <w:rsid w:val="004900AD"/>
    <w:pPr>
      <w:spacing w:after="200"/>
      <w:ind w:left="0"/>
    </w:pPr>
    <w:rPr>
      <w:rFonts w:ascii="Arial" w:hAnsi="Arial"/>
      <w:i/>
      <w:iCs/>
      <w:color w:val="44546A" w:themeColor="text2"/>
      <w:sz w:val="18"/>
      <w:szCs w:val="18"/>
      <w:lang w:val="es-CO"/>
    </w:rPr>
  </w:style>
  <w:style w:type="character" w:customStyle="1" w:styleId="CharStyle21">
    <w:name w:val="Char Style 21"/>
    <w:basedOn w:val="Fuentedeprrafopredeter"/>
    <w:link w:val="Style20"/>
    <w:uiPriority w:val="99"/>
    <w:rsid w:val="00173B98"/>
    <w:rPr>
      <w:rFonts w:ascii="Arial" w:hAnsi="Arial" w:cs="Arial"/>
      <w:shd w:val="clear" w:color="auto" w:fill="FFFFFF"/>
    </w:rPr>
  </w:style>
  <w:style w:type="character" w:customStyle="1" w:styleId="CharStyle22">
    <w:name w:val="Char Style 22"/>
    <w:basedOn w:val="CharStyle21"/>
    <w:uiPriority w:val="99"/>
    <w:rsid w:val="00173B98"/>
    <w:rPr>
      <w:rFonts w:ascii="Arial" w:hAnsi="Arial" w:cs="Arial"/>
      <w:color w:val="424851"/>
      <w:shd w:val="clear" w:color="auto" w:fill="FFFFFF"/>
    </w:rPr>
  </w:style>
  <w:style w:type="paragraph" w:customStyle="1" w:styleId="Style20">
    <w:name w:val="Style 20"/>
    <w:basedOn w:val="Normal"/>
    <w:link w:val="CharStyle21"/>
    <w:uiPriority w:val="99"/>
    <w:rsid w:val="00173B98"/>
    <w:pPr>
      <w:widowControl w:val="0"/>
      <w:shd w:val="clear" w:color="auto" w:fill="FFFFFF"/>
      <w:spacing w:before="540" w:after="540" w:line="240" w:lineRule="atLeast"/>
      <w:ind w:left="0" w:hanging="1360"/>
      <w:jc w:val="both"/>
    </w:pPr>
    <w:rPr>
      <w:rFonts w:ascii="Arial" w:hAnsi="Arial" w:cs="Arial"/>
      <w:sz w:val="20"/>
      <w:szCs w:val="20"/>
      <w:lang w:val="es-CO" w:eastAsia="es-CO"/>
    </w:rPr>
  </w:style>
  <w:style w:type="paragraph" w:customStyle="1" w:styleId="Style11">
    <w:name w:val="Style 11"/>
    <w:basedOn w:val="Normal"/>
    <w:link w:val="CharStyle12"/>
    <w:uiPriority w:val="99"/>
    <w:rsid w:val="00740006"/>
    <w:pPr>
      <w:widowControl w:val="0"/>
      <w:shd w:val="clear" w:color="auto" w:fill="FFFFFF"/>
      <w:spacing w:after="480" w:line="600" w:lineRule="exact"/>
      <w:ind w:left="0" w:hanging="1380"/>
    </w:pPr>
    <w:rPr>
      <w:rFonts w:ascii="Arial" w:hAnsi="Arial" w:cs="Arial"/>
      <w:b/>
      <w:bCs/>
      <w:sz w:val="17"/>
      <w:szCs w:val="17"/>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1925">
      <w:bodyDiv w:val="1"/>
      <w:marLeft w:val="0"/>
      <w:marRight w:val="0"/>
      <w:marTop w:val="0"/>
      <w:marBottom w:val="0"/>
      <w:divBdr>
        <w:top w:val="none" w:sz="0" w:space="0" w:color="auto"/>
        <w:left w:val="none" w:sz="0" w:space="0" w:color="auto"/>
        <w:bottom w:val="none" w:sz="0" w:space="0" w:color="auto"/>
        <w:right w:val="none" w:sz="0" w:space="0" w:color="auto"/>
      </w:divBdr>
    </w:div>
    <w:div w:id="717167024">
      <w:bodyDiv w:val="1"/>
      <w:marLeft w:val="0"/>
      <w:marRight w:val="0"/>
      <w:marTop w:val="0"/>
      <w:marBottom w:val="0"/>
      <w:divBdr>
        <w:top w:val="none" w:sz="0" w:space="0" w:color="auto"/>
        <w:left w:val="none" w:sz="0" w:space="0" w:color="auto"/>
        <w:bottom w:val="none" w:sz="0" w:space="0" w:color="auto"/>
        <w:right w:val="none" w:sz="0" w:space="0" w:color="auto"/>
      </w:divBdr>
    </w:div>
    <w:div w:id="1053693669">
      <w:bodyDiv w:val="1"/>
      <w:marLeft w:val="0"/>
      <w:marRight w:val="0"/>
      <w:marTop w:val="0"/>
      <w:marBottom w:val="0"/>
      <w:divBdr>
        <w:top w:val="none" w:sz="0" w:space="0" w:color="auto"/>
        <w:left w:val="none" w:sz="0" w:space="0" w:color="auto"/>
        <w:bottom w:val="none" w:sz="0" w:space="0" w:color="auto"/>
        <w:right w:val="none" w:sz="0" w:space="0" w:color="auto"/>
      </w:divBdr>
    </w:div>
    <w:div w:id="1482230845">
      <w:bodyDiv w:val="1"/>
      <w:marLeft w:val="0"/>
      <w:marRight w:val="0"/>
      <w:marTop w:val="0"/>
      <w:marBottom w:val="0"/>
      <w:divBdr>
        <w:top w:val="none" w:sz="0" w:space="0" w:color="auto"/>
        <w:left w:val="none" w:sz="0" w:space="0" w:color="auto"/>
        <w:bottom w:val="none" w:sz="0" w:space="0" w:color="auto"/>
        <w:right w:val="none" w:sz="0" w:space="0" w:color="auto"/>
      </w:divBdr>
    </w:div>
    <w:div w:id="1698315035">
      <w:bodyDiv w:val="1"/>
      <w:marLeft w:val="0"/>
      <w:marRight w:val="0"/>
      <w:marTop w:val="0"/>
      <w:marBottom w:val="0"/>
      <w:divBdr>
        <w:top w:val="none" w:sz="0" w:space="0" w:color="auto"/>
        <w:left w:val="none" w:sz="0" w:space="0" w:color="auto"/>
        <w:bottom w:val="none" w:sz="0" w:space="0" w:color="auto"/>
        <w:right w:val="none" w:sz="0" w:space="0" w:color="auto"/>
      </w:divBdr>
    </w:div>
    <w:div w:id="1698509383">
      <w:bodyDiv w:val="1"/>
      <w:marLeft w:val="0"/>
      <w:marRight w:val="0"/>
      <w:marTop w:val="0"/>
      <w:marBottom w:val="0"/>
      <w:divBdr>
        <w:top w:val="none" w:sz="0" w:space="0" w:color="auto"/>
        <w:left w:val="none" w:sz="0" w:space="0" w:color="auto"/>
        <w:bottom w:val="none" w:sz="0" w:space="0" w:color="auto"/>
        <w:right w:val="none" w:sz="0" w:space="0" w:color="auto"/>
      </w:divBdr>
    </w:div>
    <w:div w:id="171141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EDD53-61CA-48A6-A636-F445A5C03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8</Pages>
  <Words>2697</Words>
  <Characters>14838</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2019-05-14T19:49:00Z</cp:lastPrinted>
  <dcterms:created xsi:type="dcterms:W3CDTF">2019-05-22T21:33:00Z</dcterms:created>
  <dcterms:modified xsi:type="dcterms:W3CDTF">2019-05-22T21:33:00Z</dcterms:modified>
</cp:coreProperties>
</file>