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C76B" w14:textId="77777777" w:rsidR="00625DC6" w:rsidRPr="00E060BE" w:rsidRDefault="00B04D29"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B39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695564220" r:id="rId12"/>
        </w:object>
      </w:r>
    </w:p>
    <w:p w14:paraId="571C3294" w14:textId="77777777" w:rsidR="00DF2CD7" w:rsidRPr="001A11B2" w:rsidRDefault="00DF2CD7" w:rsidP="00DF2CD7">
      <w:pPr>
        <w:pStyle w:val="Ttulo4"/>
        <w:tabs>
          <w:tab w:val="left" w:pos="0"/>
          <w:tab w:val="right" w:pos="9356"/>
        </w:tabs>
        <w:ind w:left="0"/>
        <w:rPr>
          <w:rFonts w:ascii="Bookman Old Style" w:hAnsi="Bookman Old Style"/>
          <w:b w:val="0"/>
          <w:bCs/>
          <w:noProof/>
          <w:sz w:val="24"/>
          <w:szCs w:val="24"/>
          <w:lang w:val="es-ES"/>
        </w:rPr>
      </w:pPr>
      <w:r w:rsidRPr="001A11B2">
        <w:rPr>
          <w:rFonts w:ascii="Bookman Old Style" w:hAnsi="Bookman Old Style"/>
          <w:b w:val="0"/>
          <w:bCs/>
          <w:sz w:val="24"/>
          <w:szCs w:val="24"/>
        </w:rPr>
        <w:t>Ministerio de Minas y Energía</w:t>
      </w:r>
    </w:p>
    <w:p w14:paraId="6FCD4861" w14:textId="77777777" w:rsidR="00DF2CD7" w:rsidRPr="001A11B2" w:rsidRDefault="00DF2CD7" w:rsidP="00DF2CD7">
      <w:pPr>
        <w:pStyle w:val="Ttulo4"/>
        <w:tabs>
          <w:tab w:val="left" w:pos="0"/>
          <w:tab w:val="right" w:pos="9356"/>
        </w:tabs>
        <w:ind w:left="0"/>
        <w:rPr>
          <w:rFonts w:ascii="Bookman Old Style" w:hAnsi="Bookman Old Style"/>
          <w:b w:val="0"/>
          <w:bCs/>
          <w:sz w:val="24"/>
          <w:szCs w:val="24"/>
        </w:rPr>
      </w:pPr>
    </w:p>
    <w:p w14:paraId="18D2AD7D" w14:textId="77777777" w:rsidR="00DF2CD7" w:rsidRPr="001A11B2" w:rsidRDefault="00DF2CD7" w:rsidP="00DF2CD7">
      <w:pPr>
        <w:pStyle w:val="Ttulo3"/>
        <w:ind w:left="0"/>
        <w:rPr>
          <w:rFonts w:ascii="Bookman Old Style" w:hAnsi="Bookman Old Style"/>
        </w:rPr>
      </w:pPr>
      <w:r w:rsidRPr="001A11B2">
        <w:rPr>
          <w:rFonts w:ascii="Bookman Old Style" w:hAnsi="Bookman Old Style"/>
        </w:rPr>
        <w:t>COMISIÓN DE REGULACIÓN DE ENERGÍA Y GAS</w:t>
      </w:r>
    </w:p>
    <w:p w14:paraId="65564902" w14:textId="77777777" w:rsidR="00DF2CD7" w:rsidRPr="001A11B2" w:rsidRDefault="00DF2CD7" w:rsidP="00DF2CD7">
      <w:pPr>
        <w:pStyle w:val="Ttulo5"/>
        <w:tabs>
          <w:tab w:val="left" w:pos="0"/>
          <w:tab w:val="right" w:pos="9356"/>
        </w:tabs>
        <w:ind w:left="0"/>
        <w:rPr>
          <w:rFonts w:ascii="Bookman Old Style" w:hAnsi="Bookman Old Style"/>
          <w:sz w:val="24"/>
          <w:szCs w:val="24"/>
        </w:rPr>
      </w:pPr>
    </w:p>
    <w:p w14:paraId="2122C977" w14:textId="4F3A798A" w:rsidR="00DF2CD7" w:rsidRPr="001A11B2" w:rsidRDefault="00DF2CD7" w:rsidP="00DF2CD7">
      <w:pPr>
        <w:pStyle w:val="Ttulo5"/>
        <w:tabs>
          <w:tab w:val="left" w:pos="0"/>
          <w:tab w:val="right" w:pos="9356"/>
        </w:tabs>
        <w:ind w:left="0"/>
        <w:rPr>
          <w:rFonts w:ascii="Bookman Old Style" w:hAnsi="Bookman Old Style"/>
          <w:sz w:val="24"/>
          <w:szCs w:val="24"/>
        </w:rPr>
      </w:pPr>
      <w:r w:rsidRPr="001A11B2">
        <w:rPr>
          <w:rFonts w:ascii="Bookman Old Style" w:hAnsi="Bookman Old Style"/>
          <w:sz w:val="24"/>
          <w:szCs w:val="24"/>
        </w:rPr>
        <w:t>RESOLUCIÓ</w:t>
      </w:r>
      <w:r w:rsidR="00D53D9C">
        <w:rPr>
          <w:rFonts w:ascii="Bookman Old Style" w:hAnsi="Bookman Old Style"/>
          <w:sz w:val="24"/>
          <w:szCs w:val="24"/>
        </w:rPr>
        <w:t xml:space="preserve">N No. </w:t>
      </w:r>
      <w:r w:rsidR="00933389" w:rsidRPr="00933389">
        <w:rPr>
          <w:rFonts w:ascii="Bookman Old Style" w:hAnsi="Bookman Old Style"/>
          <w:sz w:val="32"/>
          <w:szCs w:val="32"/>
        </w:rPr>
        <w:t>179</w:t>
      </w:r>
      <w:r w:rsidR="00D53D9C">
        <w:rPr>
          <w:rFonts w:ascii="Bookman Old Style" w:hAnsi="Bookman Old Style"/>
          <w:sz w:val="24"/>
          <w:szCs w:val="24"/>
        </w:rPr>
        <w:t xml:space="preserve">   DE 20</w:t>
      </w:r>
      <w:r w:rsidR="00475195">
        <w:rPr>
          <w:rFonts w:ascii="Bookman Old Style" w:hAnsi="Bookman Old Style"/>
          <w:sz w:val="24"/>
          <w:szCs w:val="24"/>
        </w:rPr>
        <w:t>21</w:t>
      </w:r>
    </w:p>
    <w:p w14:paraId="4E97AE13" w14:textId="77777777" w:rsidR="00DF2CD7" w:rsidRPr="001A11B2" w:rsidRDefault="00DF2CD7" w:rsidP="00DF2CD7">
      <w:pPr>
        <w:tabs>
          <w:tab w:val="left" w:pos="0"/>
          <w:tab w:val="right" w:pos="9356"/>
        </w:tabs>
        <w:ind w:left="0"/>
        <w:jc w:val="center"/>
        <w:rPr>
          <w:rFonts w:ascii="Bookman Old Style" w:hAnsi="Bookman Old Style" w:cs="Arial"/>
          <w:b/>
          <w:snapToGrid w:val="0"/>
          <w:color w:val="000000"/>
          <w:lang w:val="es-ES_tradnl"/>
        </w:rPr>
      </w:pPr>
    </w:p>
    <w:p w14:paraId="484F21C1" w14:textId="2291E803" w:rsidR="00DF2CD7" w:rsidRPr="001A11B2" w:rsidRDefault="00DF2CD7" w:rsidP="00DF2CD7">
      <w:pPr>
        <w:pStyle w:val="Ttulo3"/>
        <w:ind w:left="0"/>
      </w:pPr>
      <w:r w:rsidRPr="001A11B2">
        <w:t xml:space="preserve">(    </w:t>
      </w:r>
      <w:r w:rsidR="00933389" w:rsidRPr="00933389">
        <w:rPr>
          <w:rFonts w:ascii="Bookman Old Style" w:hAnsi="Bookman Old Style"/>
          <w:sz w:val="32"/>
          <w:szCs w:val="32"/>
        </w:rPr>
        <w:t>08 OCT. 2021</w:t>
      </w:r>
      <w:r w:rsidR="00933389" w:rsidRPr="001A11B2">
        <w:t xml:space="preserve">  </w:t>
      </w:r>
      <w:r w:rsidRPr="001A11B2">
        <w:t>)</w:t>
      </w:r>
    </w:p>
    <w:p w14:paraId="1ECEBFBC" w14:textId="77777777" w:rsidR="00DF2CD7" w:rsidRPr="001A11B2" w:rsidRDefault="00DF2CD7" w:rsidP="00DF2CD7">
      <w:pPr>
        <w:tabs>
          <w:tab w:val="left" w:pos="0"/>
          <w:tab w:val="right" w:pos="9356"/>
        </w:tabs>
        <w:ind w:left="0"/>
        <w:jc w:val="center"/>
        <w:rPr>
          <w:rFonts w:ascii="Bookman Old Style" w:hAnsi="Bookman Old Style"/>
          <w:lang w:val="es-ES_tradnl"/>
        </w:rPr>
      </w:pPr>
    </w:p>
    <w:p w14:paraId="7C9E41DF" w14:textId="77777777" w:rsidR="006B2722" w:rsidRDefault="006B2722" w:rsidP="006B2722">
      <w:pPr>
        <w:pStyle w:val="Prrafodelista"/>
        <w:tabs>
          <w:tab w:val="left" w:pos="0"/>
        </w:tabs>
        <w:ind w:left="0" w:right="47"/>
        <w:jc w:val="both"/>
        <w:rPr>
          <w:rFonts w:ascii="Bookman Old Style" w:hAnsi="Bookman Old Style" w:cs="Arial"/>
          <w:i/>
          <w:sz w:val="24"/>
          <w:szCs w:val="24"/>
        </w:rPr>
      </w:pPr>
    </w:p>
    <w:p w14:paraId="5E51F927" w14:textId="38560E16" w:rsidR="00045D3D" w:rsidRPr="00C435C3" w:rsidRDefault="00411E78" w:rsidP="00045D3D">
      <w:pPr>
        <w:ind w:left="0"/>
        <w:jc w:val="center"/>
        <w:rPr>
          <w:rFonts w:ascii="Bookman Old Style" w:hAnsi="Bookman Old Style"/>
        </w:rPr>
      </w:pPr>
      <w:r w:rsidRPr="206E009C">
        <w:rPr>
          <w:rFonts w:ascii="Bookman Old Style" w:hAnsi="Bookman Old Style"/>
        </w:rPr>
        <w:t xml:space="preserve">Fórmula </w:t>
      </w:r>
      <w:r w:rsidR="002B70E4" w:rsidRPr="206E009C">
        <w:rPr>
          <w:rFonts w:ascii="Bookman Old Style" w:hAnsi="Bookman Old Style"/>
        </w:rPr>
        <w:t xml:space="preserve">de traslado </w:t>
      </w:r>
      <w:r w:rsidR="00A45BEA" w:rsidRPr="206E009C">
        <w:rPr>
          <w:rFonts w:ascii="Bookman Old Style" w:hAnsi="Bookman Old Style"/>
        </w:rPr>
        <w:t xml:space="preserve">en el componente de compras de energía al usuario regulado </w:t>
      </w:r>
      <w:r w:rsidR="002B70E4" w:rsidRPr="206E009C">
        <w:rPr>
          <w:rFonts w:ascii="Bookman Old Style" w:hAnsi="Bookman Old Style"/>
        </w:rPr>
        <w:t xml:space="preserve">de los </w:t>
      </w:r>
      <w:r w:rsidR="2CEA2940" w:rsidRPr="206E009C">
        <w:rPr>
          <w:rFonts w:ascii="Bookman Old Style" w:hAnsi="Bookman Old Style"/>
        </w:rPr>
        <w:t xml:space="preserve">contratos resultantes </w:t>
      </w:r>
      <w:r w:rsidR="002B70E4" w:rsidRPr="206E009C">
        <w:rPr>
          <w:rFonts w:ascii="Bookman Old Style" w:hAnsi="Bookman Old Style"/>
        </w:rPr>
        <w:t>de</w:t>
      </w:r>
      <w:r w:rsidR="017574EC" w:rsidRPr="206E009C">
        <w:rPr>
          <w:rFonts w:ascii="Bookman Old Style" w:hAnsi="Bookman Old Style"/>
        </w:rPr>
        <w:t>l</w:t>
      </w:r>
      <w:r w:rsidR="002B70E4" w:rsidRPr="206E009C">
        <w:rPr>
          <w:rFonts w:ascii="Bookman Old Style" w:hAnsi="Bookman Old Style"/>
        </w:rPr>
        <w:t xml:space="preserve"> mecanismo </w:t>
      </w:r>
      <w:r w:rsidRPr="206E009C">
        <w:rPr>
          <w:rFonts w:ascii="Bookman Old Style" w:hAnsi="Bookman Old Style"/>
        </w:rPr>
        <w:t xml:space="preserve">de contratación </w:t>
      </w:r>
      <w:r w:rsidR="70AD0573" w:rsidRPr="206E009C">
        <w:rPr>
          <w:rFonts w:ascii="Bookman Old Style" w:hAnsi="Bookman Old Style"/>
        </w:rPr>
        <w:t>convocado mediante</w:t>
      </w:r>
      <w:r w:rsidRPr="206E009C">
        <w:rPr>
          <w:rFonts w:ascii="Bookman Old Style" w:hAnsi="Bookman Old Style"/>
        </w:rPr>
        <w:t xml:space="preserve"> la Resolución 40</w:t>
      </w:r>
      <w:r w:rsidR="4D9AC78A" w:rsidRPr="206E009C">
        <w:rPr>
          <w:rFonts w:ascii="Bookman Old Style" w:hAnsi="Bookman Old Style"/>
        </w:rPr>
        <w:t>179</w:t>
      </w:r>
      <w:r w:rsidRPr="206E009C">
        <w:rPr>
          <w:rFonts w:ascii="Bookman Old Style" w:hAnsi="Bookman Old Style"/>
        </w:rPr>
        <w:t xml:space="preserve"> de 20</w:t>
      </w:r>
      <w:r w:rsidR="32904773" w:rsidRPr="206E009C">
        <w:rPr>
          <w:rFonts w:ascii="Bookman Old Style" w:hAnsi="Bookman Old Style"/>
        </w:rPr>
        <w:t>21</w:t>
      </w:r>
      <w:r w:rsidRPr="206E009C">
        <w:rPr>
          <w:rFonts w:ascii="Bookman Old Style" w:hAnsi="Bookman Old Style"/>
        </w:rPr>
        <w:t xml:space="preserve"> del Ministerio de Minas y Energía </w:t>
      </w:r>
    </w:p>
    <w:p w14:paraId="09D031CD" w14:textId="77777777" w:rsidR="00722E22" w:rsidRDefault="00722E22" w:rsidP="00045D3D">
      <w:pPr>
        <w:ind w:right="51"/>
        <w:jc w:val="center"/>
        <w:rPr>
          <w:rFonts w:ascii="Bookman Old Style" w:hAnsi="Bookman Old Style"/>
          <w:b/>
        </w:rPr>
      </w:pPr>
    </w:p>
    <w:p w14:paraId="131336C7"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632937B3" w14:textId="77777777" w:rsidR="00045D3D" w:rsidRPr="00C435C3" w:rsidRDefault="00045D3D" w:rsidP="00045D3D">
      <w:pPr>
        <w:ind w:left="0" w:right="51"/>
        <w:rPr>
          <w:rFonts w:ascii="Bookman Old Style" w:hAnsi="Bookman Old Style"/>
        </w:rPr>
      </w:pPr>
    </w:p>
    <w:p w14:paraId="3F4AABD7" w14:textId="77777777" w:rsidR="00045D3D" w:rsidRPr="00C435C3" w:rsidRDefault="00045D3D" w:rsidP="00045D3D">
      <w:pPr>
        <w:ind w:left="0" w:right="51"/>
        <w:rPr>
          <w:rFonts w:ascii="Bookman Old Style" w:hAnsi="Bookman Old Style"/>
        </w:rPr>
      </w:pPr>
    </w:p>
    <w:p w14:paraId="2EAF1A78" w14:textId="115595C7"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eyes 142 y 143 de 1994, y en desarrollo del</w:t>
      </w:r>
      <w:r w:rsidR="00B66FB7">
        <w:rPr>
          <w:rFonts w:ascii="Bookman Old Style" w:hAnsi="Bookman Old Style"/>
          <w:b w:val="0"/>
        </w:rPr>
        <w:t xml:space="preserve"> D</w:t>
      </w:r>
      <w:r w:rsidRPr="00C435C3">
        <w:rPr>
          <w:rFonts w:ascii="Bookman Old Style" w:hAnsi="Bookman Old Style"/>
          <w:b w:val="0"/>
        </w:rPr>
        <w:t xml:space="preserve">ecreto 1524 </w:t>
      </w:r>
      <w:r w:rsidR="00785E91" w:rsidRPr="00785E91">
        <w:rPr>
          <w:rFonts w:ascii="Bookman Old Style" w:hAnsi="Bookman Old Style"/>
          <w:b w:val="0"/>
        </w:rPr>
        <w:t>y 2253 de 1994, el Decreto 1260 de 2013</w:t>
      </w:r>
      <w:r w:rsidR="00A45BEA">
        <w:rPr>
          <w:rFonts w:ascii="Bookman Old Style" w:hAnsi="Bookman Old Style"/>
          <w:b w:val="0"/>
        </w:rPr>
        <w:t>,</w:t>
      </w:r>
      <w:r w:rsidR="00B66FB7">
        <w:rPr>
          <w:rFonts w:ascii="Bookman Old Style" w:hAnsi="Bookman Old Style"/>
          <w:b w:val="0"/>
        </w:rPr>
        <w:t xml:space="preserve"> el Decreto 0570 de 2018</w:t>
      </w:r>
      <w:r w:rsidR="001C7EF2">
        <w:rPr>
          <w:rFonts w:ascii="Bookman Old Style" w:hAnsi="Bookman Old Style"/>
          <w:b w:val="0"/>
        </w:rPr>
        <w:t>,</w:t>
      </w:r>
      <w:r w:rsidR="00A45BEA">
        <w:rPr>
          <w:rFonts w:ascii="Bookman Old Style" w:hAnsi="Bookman Old Style"/>
          <w:b w:val="0"/>
        </w:rPr>
        <w:t xml:space="preserve"> y la</w:t>
      </w:r>
      <w:r w:rsidR="001C7EF2">
        <w:rPr>
          <w:rFonts w:ascii="Bookman Old Style" w:hAnsi="Bookman Old Style"/>
          <w:b w:val="0"/>
        </w:rPr>
        <w:t>s</w:t>
      </w:r>
      <w:r w:rsidR="00A45BEA">
        <w:rPr>
          <w:rFonts w:ascii="Bookman Old Style" w:hAnsi="Bookman Old Style"/>
          <w:b w:val="0"/>
        </w:rPr>
        <w:t xml:space="preserve"> </w:t>
      </w:r>
      <w:r w:rsidR="001C7EF2">
        <w:rPr>
          <w:rFonts w:ascii="Bookman Old Style" w:hAnsi="Bookman Old Style"/>
          <w:b w:val="0"/>
        </w:rPr>
        <w:t xml:space="preserve">resoluciones </w:t>
      </w:r>
      <w:r w:rsidR="00A45BEA">
        <w:rPr>
          <w:rFonts w:ascii="Bookman Old Style" w:hAnsi="Bookman Old Style"/>
          <w:b w:val="0"/>
        </w:rPr>
        <w:t xml:space="preserve">40590 de 2019 </w:t>
      </w:r>
      <w:r w:rsidR="00FB6466">
        <w:rPr>
          <w:rFonts w:ascii="Bookman Old Style" w:hAnsi="Bookman Old Style"/>
          <w:b w:val="0"/>
        </w:rPr>
        <w:t xml:space="preserve">y 40179 de 2021 </w:t>
      </w:r>
      <w:r w:rsidR="00A45BEA">
        <w:rPr>
          <w:rFonts w:ascii="Bookman Old Style" w:hAnsi="Bookman Old Style"/>
          <w:b w:val="0"/>
        </w:rPr>
        <w:t>del Ministerio de Minas y Energía</w:t>
      </w:r>
      <w:r w:rsidR="00B66FB7">
        <w:rPr>
          <w:rFonts w:ascii="Bookman Old Style" w:hAnsi="Bookman Old Style"/>
          <w:b w:val="0"/>
        </w:rPr>
        <w:t>.</w:t>
      </w:r>
    </w:p>
    <w:p w14:paraId="0E972C63" w14:textId="77777777" w:rsidR="00045D3D" w:rsidRDefault="00045D3D" w:rsidP="00045D3D">
      <w:pPr>
        <w:ind w:right="51"/>
        <w:rPr>
          <w:rFonts w:ascii="Bookman Old Style" w:hAnsi="Bookman Old Style"/>
        </w:rPr>
      </w:pPr>
    </w:p>
    <w:p w14:paraId="588E8DAE" w14:textId="77777777" w:rsidR="00045D3D" w:rsidRDefault="00045D3D" w:rsidP="00045D3D">
      <w:pPr>
        <w:ind w:right="51"/>
        <w:rPr>
          <w:rFonts w:ascii="Bookman Old Style" w:hAnsi="Bookman Old Style"/>
        </w:rPr>
      </w:pPr>
    </w:p>
    <w:p w14:paraId="6FDE437F"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785E91">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3CD03F92" w14:textId="77777777" w:rsidR="00045D3D" w:rsidRPr="00C435C3" w:rsidRDefault="00045D3D" w:rsidP="00045D3D">
      <w:pPr>
        <w:ind w:right="51"/>
        <w:jc w:val="center"/>
        <w:rPr>
          <w:rFonts w:ascii="Bookman Old Style" w:hAnsi="Bookman Old Style"/>
          <w:b/>
        </w:rPr>
      </w:pPr>
    </w:p>
    <w:p w14:paraId="1C239530" w14:textId="4D8BFE4C" w:rsidR="00785E91" w:rsidRPr="000B73A9" w:rsidRDefault="007A4A18" w:rsidP="00785E91">
      <w:pPr>
        <w:ind w:left="0"/>
        <w:jc w:val="both"/>
        <w:rPr>
          <w:rFonts w:ascii="Bookman Old Style" w:hAnsi="Bookman Old Style" w:cs="Arial"/>
          <w:szCs w:val="20"/>
          <w:lang w:val="es-CO"/>
        </w:rPr>
      </w:pPr>
      <w:r>
        <w:rPr>
          <w:rFonts w:ascii="Bookman Old Style" w:hAnsi="Bookman Old Style" w:cs="Arial"/>
          <w:szCs w:val="20"/>
          <w:lang w:val="es-CO"/>
        </w:rPr>
        <w:t>E</w:t>
      </w:r>
      <w:r w:rsidR="00785E91" w:rsidRPr="000B73A9">
        <w:rPr>
          <w:rFonts w:ascii="Bookman Old Style" w:hAnsi="Bookman Old Style" w:cs="Arial"/>
          <w:szCs w:val="20"/>
          <w:lang w:val="es-CO"/>
        </w:rPr>
        <w:t xml:space="preserve">l artículo 365 de la </w:t>
      </w:r>
      <w:r>
        <w:rPr>
          <w:rFonts w:ascii="Bookman Old Style" w:hAnsi="Bookman Old Style" w:cs="Arial"/>
          <w:szCs w:val="20"/>
          <w:lang w:val="es-CO"/>
        </w:rPr>
        <w:t xml:space="preserve">Constitución </w:t>
      </w:r>
      <w:r w:rsidR="00785E91" w:rsidRPr="000B73A9">
        <w:rPr>
          <w:rFonts w:ascii="Bookman Old Style" w:hAnsi="Bookman Old Style" w:cs="Arial"/>
          <w:szCs w:val="20"/>
          <w:lang w:val="es-CO"/>
        </w:rPr>
        <w:t>Política</w:t>
      </w:r>
      <w:r w:rsidR="00B66FB7">
        <w:rPr>
          <w:rFonts w:ascii="Bookman Old Style" w:hAnsi="Bookman Old Style" w:cs="Arial"/>
          <w:szCs w:val="20"/>
          <w:lang w:val="es-CO"/>
        </w:rPr>
        <w:t xml:space="preserve"> establece que</w:t>
      </w:r>
      <w:r w:rsidR="00785E91" w:rsidRPr="000B73A9">
        <w:rPr>
          <w:rFonts w:ascii="Bookman Old Style" w:hAnsi="Bookman Old Style" w:cs="Arial"/>
          <w:szCs w:val="20"/>
          <w:lang w:val="es-CO"/>
        </w:rPr>
        <w:t xml:space="preserve"> los servicios públicos son inherentes a la finalidad s</w:t>
      </w:r>
      <w:r w:rsidR="00D36951">
        <w:rPr>
          <w:rFonts w:ascii="Bookman Old Style" w:hAnsi="Bookman Old Style" w:cs="Arial"/>
          <w:szCs w:val="20"/>
          <w:lang w:val="es-CO"/>
        </w:rPr>
        <w:t>ocial del Estado</w:t>
      </w:r>
      <w:r w:rsidR="001C7EF2">
        <w:rPr>
          <w:rFonts w:ascii="Bookman Old Style" w:hAnsi="Bookman Old Style" w:cs="Arial"/>
          <w:szCs w:val="20"/>
          <w:lang w:val="es-CO"/>
        </w:rPr>
        <w:t>,</w:t>
      </w:r>
      <w:r w:rsidR="00D36951">
        <w:rPr>
          <w:rFonts w:ascii="Bookman Old Style" w:hAnsi="Bookman Old Style" w:cs="Arial"/>
          <w:szCs w:val="20"/>
          <w:lang w:val="es-CO"/>
        </w:rPr>
        <w:t xml:space="preserve"> y es deber de e</w:t>
      </w:r>
      <w:r w:rsidR="00785E91" w:rsidRPr="000B73A9">
        <w:rPr>
          <w:rFonts w:ascii="Bookman Old Style" w:hAnsi="Bookman Old Style" w:cs="Arial"/>
          <w:szCs w:val="20"/>
          <w:lang w:val="es-CO"/>
        </w:rPr>
        <w:t xml:space="preserve">ste asegurar su prestación eficiente a todos los habitantes del territorio nacional. </w:t>
      </w:r>
    </w:p>
    <w:p w14:paraId="1C1F216A" w14:textId="77777777" w:rsidR="00785E91" w:rsidRPr="000B73A9" w:rsidRDefault="00785E91" w:rsidP="00785E91">
      <w:pPr>
        <w:ind w:left="0"/>
        <w:jc w:val="both"/>
        <w:rPr>
          <w:rFonts w:ascii="Bookman Old Style" w:hAnsi="Bookman Old Style" w:cs="Arial"/>
          <w:szCs w:val="20"/>
          <w:lang w:val="es-CO"/>
        </w:rPr>
      </w:pPr>
    </w:p>
    <w:p w14:paraId="7151A437" w14:textId="255E3BB6" w:rsidR="00785E91" w:rsidRDefault="00CE4A26" w:rsidP="00785E91">
      <w:pPr>
        <w:ind w:left="0"/>
        <w:jc w:val="both"/>
        <w:rPr>
          <w:rFonts w:ascii="Bookman Old Style" w:hAnsi="Bookman Old Style" w:cs="Arial"/>
          <w:szCs w:val="20"/>
          <w:lang w:val="es-CO"/>
        </w:rPr>
      </w:pPr>
      <w:r w:rsidRPr="006D0F6D">
        <w:rPr>
          <w:rFonts w:ascii="Bookman Old Style" w:hAnsi="Bookman Old Style" w:cs="Arial"/>
          <w:szCs w:val="20"/>
          <w:lang w:val="es-CO"/>
        </w:rPr>
        <w:t>El</w:t>
      </w:r>
      <w:r w:rsidR="00B66FB7" w:rsidRPr="006D0F6D">
        <w:rPr>
          <w:rFonts w:ascii="Bookman Old Style" w:hAnsi="Bookman Old Style" w:cs="Arial"/>
          <w:szCs w:val="20"/>
          <w:lang w:val="es-CO"/>
        </w:rPr>
        <w:t xml:space="preserve"> artículo 3 de </w:t>
      </w:r>
      <w:r w:rsidR="00785E91" w:rsidRPr="006D0F6D">
        <w:rPr>
          <w:rFonts w:ascii="Bookman Old Style" w:hAnsi="Bookman Old Style" w:cs="Arial"/>
          <w:szCs w:val="20"/>
          <w:lang w:val="es-CO"/>
        </w:rPr>
        <w:t>la </w:t>
      </w:r>
      <w:hyperlink r:id="rId13" w:tooltip="Haga clic para abrir TODA la Ley 142 de 1994" w:history="1">
        <w:r w:rsidR="00785E91" w:rsidRPr="006D0F6D">
          <w:rPr>
            <w:rFonts w:ascii="Bookman Old Style" w:hAnsi="Bookman Old Style" w:cs="Arial"/>
            <w:szCs w:val="20"/>
            <w:lang w:val="es-CO"/>
          </w:rPr>
          <w:t>Ley 142 de 1994</w:t>
        </w:r>
      </w:hyperlink>
      <w:r w:rsidR="00785E91" w:rsidRPr="006D0F6D">
        <w:rPr>
          <w:rFonts w:ascii="Bookman Old Style" w:hAnsi="Bookman Old Style" w:cs="Arial"/>
          <w:szCs w:val="20"/>
          <w:lang w:val="es-CO"/>
        </w:rPr>
        <w:t xml:space="preserve"> </w:t>
      </w:r>
      <w:r w:rsidR="00837EBB" w:rsidRPr="006D0F6D">
        <w:rPr>
          <w:rFonts w:ascii="Bookman Old Style" w:hAnsi="Bookman Old Style" w:cs="Arial"/>
          <w:szCs w:val="20"/>
          <w:lang w:val="es-CO"/>
        </w:rPr>
        <w:t xml:space="preserve">establece que </w:t>
      </w:r>
      <w:r w:rsidR="00785E91" w:rsidRPr="006D0F6D">
        <w:rPr>
          <w:rFonts w:ascii="Bookman Old Style" w:hAnsi="Bookman Old Style" w:cs="Arial"/>
          <w:szCs w:val="20"/>
          <w:lang w:val="es-CO"/>
        </w:rPr>
        <w:t>la regulación de los servicios públicos es una forma de intervención del Estado en la economía. La</w:t>
      </w:r>
      <w:r w:rsidR="00785E91" w:rsidRPr="000B73A9">
        <w:rPr>
          <w:rFonts w:ascii="Bookman Old Style" w:hAnsi="Bookman Old Style" w:cs="Arial"/>
          <w:szCs w:val="20"/>
          <w:lang w:val="es-CO"/>
        </w:rPr>
        <w:t xml:space="preserve"> función de regulación está orientada</w:t>
      </w:r>
      <w:r w:rsidR="001C7EF2">
        <w:rPr>
          <w:rFonts w:ascii="Bookman Old Style" w:hAnsi="Bookman Old Style" w:cs="Arial"/>
          <w:szCs w:val="20"/>
          <w:lang w:val="es-CO"/>
        </w:rPr>
        <w:t>,</w:t>
      </w:r>
      <w:r w:rsidR="00785E91" w:rsidRPr="000B73A9">
        <w:rPr>
          <w:rFonts w:ascii="Bookman Old Style" w:hAnsi="Bookman Old Style" w:cs="Arial"/>
          <w:szCs w:val="20"/>
          <w:lang w:val="es-CO"/>
        </w:rPr>
        <w:t xml:space="preserve"> no solo a corregir fallas del mercado</w:t>
      </w:r>
      <w:r w:rsidR="001C7EF2">
        <w:rPr>
          <w:rFonts w:ascii="Bookman Old Style" w:hAnsi="Bookman Old Style" w:cs="Arial"/>
          <w:szCs w:val="20"/>
          <w:lang w:val="es-CO"/>
        </w:rPr>
        <w:t>,</w:t>
      </w:r>
      <w:r w:rsidR="00785E91" w:rsidRPr="000B73A9">
        <w:rPr>
          <w:rFonts w:ascii="Bookman Old Style" w:hAnsi="Bookman Old Style" w:cs="Arial"/>
          <w:szCs w:val="20"/>
          <w:lang w:val="es-CO"/>
        </w:rPr>
        <w:t xml:space="preserve"> si</w:t>
      </w:r>
      <w:r w:rsidR="001C7EF2">
        <w:rPr>
          <w:rFonts w:ascii="Bookman Old Style" w:hAnsi="Bookman Old Style" w:cs="Arial"/>
          <w:szCs w:val="20"/>
          <w:lang w:val="es-CO"/>
        </w:rPr>
        <w:t xml:space="preserve"> </w:t>
      </w:r>
      <w:r w:rsidR="00785E91" w:rsidRPr="000B73A9">
        <w:rPr>
          <w:rFonts w:ascii="Bookman Old Style" w:hAnsi="Bookman Old Style" w:cs="Arial"/>
          <w:szCs w:val="20"/>
          <w:lang w:val="es-CO"/>
        </w:rPr>
        <w:t>no a desarrollar los fines esenciales de los servicios públicos.</w:t>
      </w:r>
      <w:r w:rsidR="00B66FB7">
        <w:rPr>
          <w:rFonts w:ascii="Bookman Old Style" w:hAnsi="Bookman Old Style" w:cs="Arial"/>
          <w:szCs w:val="20"/>
          <w:lang w:val="es-CO"/>
        </w:rPr>
        <w:t xml:space="preserve"> De igual forma</w:t>
      </w:r>
      <w:r>
        <w:rPr>
          <w:rFonts w:ascii="Bookman Old Style" w:hAnsi="Bookman Old Style" w:cs="Arial"/>
          <w:szCs w:val="20"/>
          <w:lang w:val="es-CO"/>
        </w:rPr>
        <w:t>,</w:t>
      </w:r>
      <w:r w:rsidR="00B66FB7">
        <w:rPr>
          <w:rFonts w:ascii="Bookman Old Style" w:hAnsi="Bookman Old Style" w:cs="Arial"/>
          <w:szCs w:val="20"/>
          <w:lang w:val="es-CO"/>
        </w:rPr>
        <w:t xml:space="preserve"> señala que </w:t>
      </w:r>
      <w:r w:rsidR="00785E91" w:rsidRPr="000B73A9">
        <w:rPr>
          <w:rFonts w:ascii="Bookman Old Style" w:hAnsi="Bookman Old Style" w:cs="Arial"/>
          <w:szCs w:val="20"/>
          <w:lang w:val="es-CO"/>
        </w:rPr>
        <w:t>dentro de los fines que persigue la intervención del Estado en la prestación de los servicios públicos domiciliarios se encuentra</w:t>
      </w:r>
      <w:r w:rsidR="007A4A18">
        <w:rPr>
          <w:rFonts w:ascii="Bookman Old Style" w:hAnsi="Bookman Old Style" w:cs="Arial"/>
          <w:szCs w:val="20"/>
          <w:lang w:val="es-CO"/>
        </w:rPr>
        <w:t>n:</w:t>
      </w:r>
      <w:r>
        <w:rPr>
          <w:rFonts w:ascii="Bookman Old Style" w:hAnsi="Bookman Old Style" w:cs="Arial"/>
          <w:szCs w:val="20"/>
          <w:lang w:val="es-CO"/>
        </w:rPr>
        <w:t xml:space="preserve"> </w:t>
      </w:r>
      <w:r w:rsidR="00785E91" w:rsidRPr="000B73A9">
        <w:rPr>
          <w:rFonts w:ascii="Bookman Old Style" w:hAnsi="Bookman Old Style" w:cs="Arial"/>
          <w:szCs w:val="20"/>
          <w:lang w:val="es-CO"/>
        </w:rPr>
        <w:t>la prestación eficiente, continua e ininterrumpida, la libre competencia</w:t>
      </w:r>
      <w:r>
        <w:rPr>
          <w:rFonts w:ascii="Bookman Old Style" w:hAnsi="Bookman Old Style" w:cs="Arial"/>
          <w:szCs w:val="20"/>
          <w:lang w:val="es-CO"/>
        </w:rPr>
        <w:t xml:space="preserve"> y</w:t>
      </w:r>
      <w:r w:rsidR="00785E91" w:rsidRPr="000B73A9">
        <w:rPr>
          <w:rFonts w:ascii="Bookman Old Style" w:hAnsi="Bookman Old Style" w:cs="Arial"/>
          <w:szCs w:val="20"/>
          <w:lang w:val="es-CO"/>
        </w:rPr>
        <w:t xml:space="preserve"> la no utilización abusiva de la posición dominante. </w:t>
      </w:r>
    </w:p>
    <w:p w14:paraId="6415C179" w14:textId="77777777" w:rsidR="00B66FB7" w:rsidRDefault="00B66FB7" w:rsidP="00785E91">
      <w:pPr>
        <w:ind w:left="0"/>
        <w:jc w:val="both"/>
        <w:rPr>
          <w:rFonts w:ascii="Bookman Old Style" w:hAnsi="Bookman Old Style" w:cs="Arial"/>
          <w:szCs w:val="20"/>
          <w:lang w:val="es-CO"/>
        </w:rPr>
      </w:pPr>
    </w:p>
    <w:p w14:paraId="31AC2396" w14:textId="1B5FA353" w:rsidR="00B66FB7" w:rsidRDefault="00B66FB7" w:rsidP="00B66FB7">
      <w:pPr>
        <w:tabs>
          <w:tab w:val="left" w:pos="-284"/>
        </w:tabs>
        <w:ind w:left="0"/>
        <w:jc w:val="both"/>
        <w:rPr>
          <w:rFonts w:ascii="Bookman Old Style" w:hAnsi="Bookman Old Style" w:cs="Arial"/>
          <w:szCs w:val="20"/>
          <w:lang w:val="es-CO"/>
        </w:rPr>
      </w:pPr>
      <w:r w:rsidRPr="000B73A9">
        <w:rPr>
          <w:rFonts w:ascii="Bookman Old Style" w:hAnsi="Bookman Old Style" w:cs="Arial"/>
          <w:szCs w:val="20"/>
          <w:lang w:val="es-CO"/>
        </w:rPr>
        <w:t xml:space="preserve">El </w:t>
      </w:r>
      <w:r w:rsidR="00CE4A26">
        <w:rPr>
          <w:rFonts w:ascii="Bookman Old Style" w:hAnsi="Bookman Old Style" w:cs="Arial"/>
          <w:szCs w:val="20"/>
          <w:lang w:val="es-CO"/>
        </w:rPr>
        <w:t>a</w:t>
      </w:r>
      <w:r w:rsidRPr="000B73A9">
        <w:rPr>
          <w:rFonts w:ascii="Bookman Old Style" w:hAnsi="Bookman Old Style" w:cs="Arial"/>
          <w:szCs w:val="20"/>
          <w:lang w:val="es-CO"/>
        </w:rPr>
        <w:t>rtículo 73.11 de la Ley 142 de 1994 atribuyó a la Comisión de Regulación de Energía y Gas</w:t>
      </w:r>
      <w:r w:rsidR="00CE4A26">
        <w:rPr>
          <w:rFonts w:ascii="Bookman Old Style" w:hAnsi="Bookman Old Style" w:cs="Arial"/>
          <w:szCs w:val="20"/>
          <w:lang w:val="es-CO"/>
        </w:rPr>
        <w:t xml:space="preserve"> (CREG)</w:t>
      </w:r>
      <w:r w:rsidRPr="000B73A9">
        <w:rPr>
          <w:rFonts w:ascii="Bookman Old Style" w:hAnsi="Bookman Old Style" w:cs="Arial"/>
          <w:szCs w:val="20"/>
          <w:lang w:val="es-CO"/>
        </w:rPr>
        <w:t xml:space="preserve"> la facultad de establecer las fórmulas para la fijación de las tarifas del servicio público domiciliario de energía eléctrica</w:t>
      </w:r>
      <w:r>
        <w:rPr>
          <w:rFonts w:ascii="Bookman Old Style" w:hAnsi="Bookman Old Style" w:cs="Arial"/>
          <w:szCs w:val="20"/>
          <w:lang w:val="es-CO"/>
        </w:rPr>
        <w:t>. Con respecto al régimen tarifario, esta misma Ley faculta a la CREG para</w:t>
      </w:r>
      <w:r w:rsidRPr="000B73A9">
        <w:rPr>
          <w:rFonts w:ascii="Bookman Old Style" w:hAnsi="Bookman Old Style" w:cs="Arial"/>
          <w:szCs w:val="20"/>
          <w:lang w:val="es-CO"/>
        </w:rPr>
        <w:t xml:space="preserve"> establecer las reglas relativas a procedimientos, metodologías, </w:t>
      </w:r>
      <w:r w:rsidR="001C7EF2" w:rsidRPr="000B73A9">
        <w:rPr>
          <w:rFonts w:ascii="Bookman Old Style" w:hAnsi="Bookman Old Style" w:cs="Arial"/>
          <w:szCs w:val="20"/>
          <w:lang w:val="es-CO"/>
        </w:rPr>
        <w:t>f</w:t>
      </w:r>
      <w:r w:rsidR="001C7EF2">
        <w:rPr>
          <w:rFonts w:ascii="Bookman Old Style" w:hAnsi="Bookman Old Style" w:cs="Arial"/>
          <w:szCs w:val="20"/>
          <w:lang w:val="es-CO"/>
        </w:rPr>
        <w:t>ó</w:t>
      </w:r>
      <w:r w:rsidR="001C7EF2" w:rsidRPr="000B73A9">
        <w:rPr>
          <w:rFonts w:ascii="Bookman Old Style" w:hAnsi="Bookman Old Style" w:cs="Arial"/>
          <w:szCs w:val="20"/>
          <w:lang w:val="es-CO"/>
        </w:rPr>
        <w:t>rmulas</w:t>
      </w:r>
      <w:r w:rsidRPr="000B73A9">
        <w:rPr>
          <w:rFonts w:ascii="Bookman Old Style" w:hAnsi="Bookman Old Style" w:cs="Arial"/>
          <w:szCs w:val="20"/>
          <w:lang w:val="es-CO"/>
        </w:rPr>
        <w:t>, estructuras, facturación, opciones, valores y, en general, todos los aspectos que determinan el cobro de las tarifas.</w:t>
      </w:r>
    </w:p>
    <w:p w14:paraId="33DE0929" w14:textId="77777777" w:rsidR="00B66FB7" w:rsidRDefault="00B66FB7" w:rsidP="00785E91">
      <w:pPr>
        <w:ind w:left="0"/>
        <w:jc w:val="both"/>
        <w:rPr>
          <w:rFonts w:ascii="Bookman Old Style" w:hAnsi="Bookman Old Style" w:cs="Arial"/>
          <w:szCs w:val="20"/>
          <w:lang w:val="es-CO"/>
        </w:rPr>
      </w:pPr>
    </w:p>
    <w:p w14:paraId="6812314D" w14:textId="0133CC1A" w:rsidR="00785E91" w:rsidRDefault="00785E91" w:rsidP="00785E91">
      <w:pPr>
        <w:ind w:left="0"/>
        <w:jc w:val="both"/>
        <w:rPr>
          <w:rFonts w:ascii="Bookman Old Style" w:hAnsi="Bookman Old Style" w:cs="Arial"/>
          <w:szCs w:val="20"/>
          <w:lang w:val="es-CO"/>
        </w:rPr>
      </w:pPr>
      <w:r w:rsidRPr="000B73A9">
        <w:rPr>
          <w:rFonts w:ascii="Bookman Old Style" w:hAnsi="Bookman Old Style" w:cs="Arial"/>
          <w:szCs w:val="20"/>
          <w:lang w:val="es-CO"/>
        </w:rPr>
        <w:t>La Ley 142 de 1994</w:t>
      </w:r>
      <w:r w:rsidR="001C7EF2">
        <w:rPr>
          <w:rFonts w:ascii="Bookman Old Style" w:hAnsi="Bookman Old Style" w:cs="Arial"/>
          <w:szCs w:val="20"/>
          <w:lang w:val="es-CO"/>
        </w:rPr>
        <w:t>,</w:t>
      </w:r>
      <w:r w:rsidRPr="000B73A9">
        <w:rPr>
          <w:rFonts w:ascii="Bookman Old Style" w:hAnsi="Bookman Old Style" w:cs="Arial"/>
          <w:szCs w:val="20"/>
          <w:lang w:val="es-CO"/>
        </w:rPr>
        <w:t xml:space="preserve"> en su artículo 74.1</w:t>
      </w:r>
      <w:r w:rsidR="001C7EF2">
        <w:rPr>
          <w:rFonts w:ascii="Bookman Old Style" w:hAnsi="Bookman Old Style" w:cs="Arial"/>
          <w:szCs w:val="20"/>
          <w:lang w:val="es-CO"/>
        </w:rPr>
        <w:t>,</w:t>
      </w:r>
      <w:r w:rsidRPr="000B73A9">
        <w:rPr>
          <w:rFonts w:ascii="Bookman Old Style" w:hAnsi="Bookman Old Style" w:cs="Arial"/>
          <w:szCs w:val="20"/>
          <w:lang w:val="es-CO"/>
        </w:rPr>
        <w:t xml:space="preserve"> establece que es función de la </w:t>
      </w:r>
      <w:r w:rsidR="00410E0C">
        <w:rPr>
          <w:rFonts w:ascii="Bookman Old Style" w:hAnsi="Bookman Old Style" w:cs="Arial"/>
          <w:szCs w:val="20"/>
          <w:lang w:val="es-CO"/>
        </w:rPr>
        <w:t>C</w:t>
      </w:r>
      <w:r w:rsidRPr="000B73A9">
        <w:rPr>
          <w:rFonts w:ascii="Bookman Old Style" w:hAnsi="Bookman Old Style" w:cs="Arial"/>
          <w:szCs w:val="20"/>
          <w:lang w:val="es-CO"/>
        </w:rPr>
        <w:t xml:space="preserve">REG regular el ejercicio de las actividades del sector de energía para asegurar la </w:t>
      </w:r>
      <w:r w:rsidR="00722E22">
        <w:rPr>
          <w:rFonts w:ascii="Bookman Old Style" w:hAnsi="Bookman Old Style" w:cs="Arial"/>
          <w:szCs w:val="20"/>
          <w:lang w:val="es-CO"/>
        </w:rPr>
        <w:t>d</w:t>
      </w:r>
      <w:r w:rsidRPr="000B73A9">
        <w:rPr>
          <w:rFonts w:ascii="Bookman Old Style" w:hAnsi="Bookman Old Style" w:cs="Arial"/>
          <w:szCs w:val="20"/>
          <w:lang w:val="es-CO"/>
        </w:rPr>
        <w:t xml:space="preserve">isponibilidad de una oferta energética eficiente, propiciar la competencia, </w:t>
      </w:r>
      <w:r w:rsidRPr="000B73A9">
        <w:rPr>
          <w:rFonts w:ascii="Bookman Old Style" w:hAnsi="Bookman Old Style" w:cs="Arial"/>
          <w:szCs w:val="20"/>
          <w:lang w:val="es-CO"/>
        </w:rPr>
        <w:lastRenderedPageBreak/>
        <w:t xml:space="preserve">adoptar medidas para impedir abusos de posición dominante y buscar la liberación gradual de los mercados hacia la libre competencia. </w:t>
      </w:r>
    </w:p>
    <w:p w14:paraId="1CFA34C9" w14:textId="77777777" w:rsidR="003D4B0F" w:rsidRDefault="003D4B0F" w:rsidP="00785E91">
      <w:pPr>
        <w:ind w:left="0"/>
        <w:jc w:val="both"/>
        <w:rPr>
          <w:rFonts w:ascii="Bookman Old Style" w:hAnsi="Bookman Old Style" w:cs="Arial"/>
          <w:szCs w:val="20"/>
          <w:lang w:val="es-CO"/>
        </w:rPr>
      </w:pPr>
    </w:p>
    <w:p w14:paraId="45C7C661" w14:textId="3B29B1C6" w:rsidR="00785E91" w:rsidRPr="000B73A9" w:rsidRDefault="00785E91" w:rsidP="00785E91">
      <w:pPr>
        <w:tabs>
          <w:tab w:val="left" w:pos="-284"/>
        </w:tabs>
        <w:ind w:left="0"/>
        <w:jc w:val="both"/>
        <w:rPr>
          <w:rFonts w:ascii="Bookman Old Style" w:hAnsi="Bookman Old Style" w:cs="Arial"/>
          <w:szCs w:val="20"/>
          <w:lang w:val="es-CO"/>
        </w:rPr>
      </w:pPr>
      <w:r w:rsidRPr="000B73A9">
        <w:rPr>
          <w:rFonts w:ascii="Bookman Old Style" w:hAnsi="Bookman Old Style" w:cs="Arial"/>
          <w:szCs w:val="20"/>
          <w:lang w:val="es-CO"/>
        </w:rPr>
        <w:t>Según lo definido en el artículo 87.1 de la Ley 142 de 1994, la eficiencia económica es uno de los criterios necesarios para definir un régimen tarifario. Según este numeral, la eficiencia permite que las fórmulas tarifarias tengan en cuenta los costos y los aumentos de productividad</w:t>
      </w:r>
      <w:r w:rsidR="001C7EF2">
        <w:rPr>
          <w:rFonts w:ascii="Bookman Old Style" w:hAnsi="Bookman Old Style" w:cs="Arial"/>
          <w:szCs w:val="20"/>
          <w:lang w:val="es-CO"/>
        </w:rPr>
        <w:t>,</w:t>
      </w:r>
      <w:r w:rsidRPr="000B73A9">
        <w:rPr>
          <w:rFonts w:ascii="Bookman Old Style" w:hAnsi="Bookman Old Style" w:cs="Arial"/>
          <w:szCs w:val="20"/>
          <w:lang w:val="es-CO"/>
        </w:rPr>
        <w:t xml:space="preserve"> para luego ser distribuidos entre la empresa y los usuarios, tal y como ocurre en un mercado </w:t>
      </w:r>
      <w:r w:rsidR="0023420A">
        <w:rPr>
          <w:rFonts w:ascii="Bookman Old Style" w:hAnsi="Bookman Old Style" w:cs="Arial"/>
          <w:szCs w:val="20"/>
          <w:lang w:val="es-CO"/>
        </w:rPr>
        <w:t xml:space="preserve">en competencia. </w:t>
      </w:r>
      <w:r w:rsidRPr="000B73A9">
        <w:rPr>
          <w:rFonts w:ascii="Bookman Old Style" w:hAnsi="Bookman Old Style" w:cs="Arial"/>
          <w:szCs w:val="20"/>
          <w:lang w:val="es-CO"/>
        </w:rPr>
        <w:t xml:space="preserve">El mismo criterio exige, además, que no se trasladen a los usuarios los costos de una gestión ineficiente. </w:t>
      </w:r>
    </w:p>
    <w:p w14:paraId="1C125C65" w14:textId="77777777" w:rsidR="00785E91" w:rsidRPr="000B73A9" w:rsidRDefault="00785E91" w:rsidP="00785E91">
      <w:pPr>
        <w:tabs>
          <w:tab w:val="left" w:pos="-284"/>
        </w:tabs>
        <w:ind w:left="0"/>
        <w:jc w:val="both"/>
        <w:rPr>
          <w:rFonts w:ascii="Bookman Old Style" w:hAnsi="Bookman Old Style" w:cs="Arial"/>
          <w:szCs w:val="20"/>
          <w:lang w:val="es-CO"/>
        </w:rPr>
      </w:pPr>
    </w:p>
    <w:p w14:paraId="076F4A6A" w14:textId="4995D8D7" w:rsidR="00785E91" w:rsidRPr="000B73A9" w:rsidRDefault="00785E91" w:rsidP="00785E91">
      <w:pPr>
        <w:ind w:left="0" w:right="-93"/>
        <w:jc w:val="both"/>
        <w:rPr>
          <w:rFonts w:ascii="Bookman Old Style" w:eastAsia="Calibri" w:hAnsi="Bookman Old Style" w:cs="Arial"/>
          <w:lang w:val="es-ES_tradnl" w:eastAsia="en-US"/>
        </w:rPr>
      </w:pPr>
      <w:r w:rsidRPr="000B73A9">
        <w:rPr>
          <w:rFonts w:ascii="Bookman Old Style" w:eastAsia="Calibri" w:hAnsi="Bookman Old Style" w:cs="Arial"/>
          <w:lang w:val="es-ES_tradnl" w:eastAsia="en-US"/>
        </w:rPr>
        <w:t>En relación con este criterio y su relación con la prestación eficiente del servicio</w:t>
      </w:r>
      <w:r w:rsidR="001C7EF2">
        <w:rPr>
          <w:rFonts w:ascii="Bookman Old Style" w:eastAsia="Calibri" w:hAnsi="Bookman Old Style" w:cs="Arial"/>
          <w:lang w:val="es-ES_tradnl" w:eastAsia="en-US"/>
        </w:rPr>
        <w:t>,</w:t>
      </w:r>
      <w:r w:rsidRPr="000B73A9">
        <w:rPr>
          <w:rFonts w:ascii="Bookman Old Style" w:eastAsia="Calibri" w:hAnsi="Bookman Old Style" w:cs="Arial"/>
          <w:lang w:val="es-ES_tradnl" w:eastAsia="en-US"/>
        </w:rPr>
        <w:t xml:space="preserve"> la H. Corte Constitucional ha precisado lo siguiente:</w:t>
      </w:r>
    </w:p>
    <w:p w14:paraId="53866F11" w14:textId="77777777" w:rsidR="00785E91" w:rsidRPr="000B73A9" w:rsidRDefault="00785E91" w:rsidP="00785E91">
      <w:pPr>
        <w:ind w:left="0" w:right="-93"/>
        <w:jc w:val="both"/>
        <w:rPr>
          <w:rFonts w:ascii="Bookman Old Style" w:eastAsia="Calibri" w:hAnsi="Bookman Old Style" w:cs="Arial"/>
          <w:i/>
          <w:lang w:val="es-ES_tradnl" w:eastAsia="en-US"/>
        </w:rPr>
      </w:pPr>
    </w:p>
    <w:p w14:paraId="675FBF9B" w14:textId="77777777" w:rsidR="00785E91" w:rsidRPr="000B73A9" w:rsidRDefault="00785E91" w:rsidP="00933389">
      <w:pPr>
        <w:ind w:left="284"/>
        <w:jc w:val="both"/>
        <w:rPr>
          <w:rFonts w:ascii="Bookman Old Style" w:eastAsia="Calibri" w:hAnsi="Bookman Old Style" w:cs="Arial"/>
          <w:b/>
          <w:i/>
          <w:sz w:val="22"/>
          <w:szCs w:val="22"/>
          <w:u w:val="single"/>
          <w:lang w:val="es-ES_tradnl" w:eastAsia="en-US"/>
        </w:rPr>
      </w:pPr>
      <w:r w:rsidRPr="000B73A9">
        <w:rPr>
          <w:rFonts w:ascii="Bookman Old Style" w:eastAsia="Calibri" w:hAnsi="Bookman Old Style" w:cs="Arial"/>
          <w:i/>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w:t>
      </w:r>
      <w:r w:rsidRPr="00EA7481">
        <w:rPr>
          <w:rFonts w:ascii="Bookman Old Style" w:eastAsia="Calibri" w:hAnsi="Bookman Old Style" w:cs="Arial"/>
          <w:i/>
          <w:sz w:val="22"/>
          <w:szCs w:val="22"/>
          <w:lang w:val="es-ES_tradnl" w:eastAsia="en-US"/>
        </w:rPr>
        <w:t xml:space="preserve">superiores a los de sus competidores. </w:t>
      </w:r>
      <w:r w:rsidRPr="00EA7481">
        <w:rPr>
          <w:rFonts w:ascii="Bookman Old Style" w:eastAsia="Calibri" w:hAnsi="Bookman Old Style" w:cs="Arial"/>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r w:rsidR="00EA7481" w:rsidRPr="00EA7481">
        <w:rPr>
          <w:rFonts w:ascii="Bookman Old Style" w:eastAsia="Calibri" w:hAnsi="Bookman Old Style" w:cs="Arial"/>
          <w:i/>
          <w:sz w:val="22"/>
          <w:szCs w:val="22"/>
          <w:u w:val="single"/>
          <w:lang w:val="es-ES_tradnl" w:eastAsia="en-US"/>
        </w:rPr>
        <w:t>( Subrayado fuera del texto)</w:t>
      </w:r>
      <w:r w:rsidR="00EA7481">
        <w:rPr>
          <w:rFonts w:ascii="Bookman Old Style" w:eastAsia="Calibri" w:hAnsi="Bookman Old Style" w:cs="Arial"/>
          <w:b/>
          <w:i/>
          <w:sz w:val="22"/>
          <w:szCs w:val="22"/>
          <w:u w:val="single"/>
          <w:lang w:val="es-ES_tradnl" w:eastAsia="en-US"/>
        </w:rPr>
        <w:t>”</w:t>
      </w:r>
    </w:p>
    <w:p w14:paraId="5F4694BE" w14:textId="77777777" w:rsidR="00785E91" w:rsidRPr="000B73A9" w:rsidRDefault="00785E91" w:rsidP="00785E91">
      <w:pPr>
        <w:ind w:left="284" w:right="284"/>
        <w:jc w:val="both"/>
        <w:rPr>
          <w:rFonts w:ascii="Bookman Old Style" w:eastAsia="Calibri" w:hAnsi="Bookman Old Style" w:cs="Arial"/>
          <w:i/>
          <w:sz w:val="22"/>
          <w:szCs w:val="22"/>
          <w:lang w:val="es-ES_tradnl" w:eastAsia="en-US"/>
        </w:rPr>
      </w:pPr>
    </w:p>
    <w:p w14:paraId="31C52B65" w14:textId="3E5FC58A" w:rsidR="00EA7481" w:rsidRPr="000B73A9" w:rsidRDefault="00EA7481" w:rsidP="00EA7481">
      <w:pPr>
        <w:tabs>
          <w:tab w:val="left" w:pos="-284"/>
        </w:tabs>
        <w:ind w:left="0"/>
        <w:jc w:val="both"/>
        <w:rPr>
          <w:rFonts w:ascii="Bookman Old Style" w:hAnsi="Bookman Old Style" w:cs="Arial"/>
          <w:szCs w:val="20"/>
          <w:lang w:val="es-CO"/>
        </w:rPr>
      </w:pPr>
      <w:r w:rsidRPr="000B73A9">
        <w:rPr>
          <w:rFonts w:ascii="Bookman Old Style" w:hAnsi="Bookman Old Style" w:cs="Arial"/>
          <w:szCs w:val="20"/>
          <w:lang w:val="es-CO"/>
        </w:rPr>
        <w:t>De acuerdo con el artículo 90 de la Ley 142, la CREG tiene competencia para incluir elementos en las fórmulas tarifarias. Todos los elementos deben observar</w:t>
      </w:r>
      <w:r w:rsidR="001C7EF2">
        <w:rPr>
          <w:rFonts w:ascii="Bookman Old Style" w:hAnsi="Bookman Old Style" w:cs="Arial"/>
          <w:szCs w:val="20"/>
          <w:lang w:val="es-CO"/>
        </w:rPr>
        <w:t>,</w:t>
      </w:r>
      <w:r w:rsidRPr="000B73A9">
        <w:rPr>
          <w:rFonts w:ascii="Bookman Old Style" w:hAnsi="Bookman Old Style" w:cs="Arial"/>
          <w:szCs w:val="20"/>
          <w:lang w:val="es-CO"/>
        </w:rPr>
        <w:t xml:space="preserve"> entre otros, los criterios tarifarios previstos en el artículo 87 de la Ley 142 de 1994.</w:t>
      </w:r>
    </w:p>
    <w:p w14:paraId="741E8A85" w14:textId="77777777" w:rsidR="00785E91" w:rsidRPr="003D4B0F" w:rsidRDefault="00785E91" w:rsidP="00785E91">
      <w:pPr>
        <w:tabs>
          <w:tab w:val="left" w:pos="-284"/>
        </w:tabs>
        <w:ind w:left="0"/>
        <w:jc w:val="both"/>
        <w:rPr>
          <w:rFonts w:ascii="Bookman Old Style" w:hAnsi="Bookman Old Style" w:cs="Arial"/>
          <w:lang w:val="es-CO"/>
        </w:rPr>
      </w:pPr>
    </w:p>
    <w:p w14:paraId="52B4FF6F" w14:textId="7B2A0184" w:rsidR="00785E91" w:rsidRPr="000B73A9" w:rsidRDefault="00785E91" w:rsidP="00785E91">
      <w:pPr>
        <w:ind w:left="0"/>
        <w:jc w:val="both"/>
        <w:rPr>
          <w:rFonts w:ascii="Bookman Old Style" w:hAnsi="Bookman Old Style" w:cs="Arial"/>
          <w:szCs w:val="20"/>
          <w:lang w:val="es-CO"/>
        </w:rPr>
      </w:pPr>
      <w:r w:rsidRPr="000B73A9">
        <w:rPr>
          <w:rFonts w:ascii="Bookman Old Style" w:hAnsi="Bookman Old Style" w:cs="Arial"/>
          <w:szCs w:val="20"/>
          <w:lang w:val="es-CO"/>
        </w:rPr>
        <w:t>El artículo 6 de la Ley 143 de 1994 señaló que las actividades relacionadas con el servicio de electricidad se regirían</w:t>
      </w:r>
      <w:r w:rsidR="001C7EF2">
        <w:rPr>
          <w:rFonts w:ascii="Bookman Old Style" w:hAnsi="Bookman Old Style" w:cs="Arial"/>
          <w:szCs w:val="20"/>
          <w:lang w:val="es-CO"/>
        </w:rPr>
        <w:t>,</w:t>
      </w:r>
      <w:r w:rsidRPr="000B73A9">
        <w:rPr>
          <w:rFonts w:ascii="Bookman Old Style" w:hAnsi="Bookman Old Style" w:cs="Arial"/>
          <w:szCs w:val="20"/>
          <w:lang w:val="es-CO"/>
        </w:rPr>
        <w:t xml:space="preserve"> entre otros principios, por el de adaptabilidad. Este principio conduce a la incorporación de los avances de la ciencia y de la tecnología que aporten mayor calidad y eficiencia en la prestación del servicio al menor costo económico.</w:t>
      </w:r>
    </w:p>
    <w:p w14:paraId="04B82D8E" w14:textId="77777777" w:rsidR="00785E91" w:rsidRPr="000B73A9" w:rsidRDefault="00785E91" w:rsidP="00785E91">
      <w:pPr>
        <w:ind w:left="0"/>
        <w:jc w:val="both"/>
        <w:rPr>
          <w:rFonts w:ascii="Bookman Old Style" w:hAnsi="Bookman Old Style" w:cs="Arial"/>
          <w:szCs w:val="20"/>
          <w:lang w:val="es-CO"/>
        </w:rPr>
      </w:pPr>
    </w:p>
    <w:p w14:paraId="28B8471A" w14:textId="5A7210DE" w:rsidR="00B66FB7" w:rsidRDefault="00B66FB7" w:rsidP="00B66FB7">
      <w:pPr>
        <w:ind w:left="0"/>
        <w:jc w:val="both"/>
        <w:rPr>
          <w:rFonts w:ascii="Bookman Old Style" w:hAnsi="Bookman Old Style" w:cs="Arial"/>
          <w:szCs w:val="20"/>
          <w:lang w:val="es-CO"/>
        </w:rPr>
      </w:pPr>
      <w:r>
        <w:rPr>
          <w:rFonts w:ascii="Bookman Old Style" w:hAnsi="Bookman Old Style" w:cs="Arial"/>
          <w:szCs w:val="20"/>
          <w:lang w:val="es-CO"/>
        </w:rPr>
        <w:t>E</w:t>
      </w:r>
      <w:r w:rsidRPr="000B73A9">
        <w:rPr>
          <w:rFonts w:ascii="Bookman Old Style" w:hAnsi="Bookman Old Style" w:cs="Arial"/>
          <w:szCs w:val="20"/>
          <w:lang w:val="es-CO"/>
        </w:rPr>
        <w:t>l artículo 23 de la Ley 143 de 1994 define</w:t>
      </w:r>
      <w:r w:rsidR="001C7EF2">
        <w:rPr>
          <w:rFonts w:ascii="Bookman Old Style" w:hAnsi="Bookman Old Style" w:cs="Arial"/>
          <w:szCs w:val="20"/>
          <w:lang w:val="es-CO"/>
        </w:rPr>
        <w:t>,</w:t>
      </w:r>
      <w:r w:rsidRPr="000B73A9">
        <w:rPr>
          <w:rFonts w:ascii="Bookman Old Style" w:hAnsi="Bookman Old Style" w:cs="Arial"/>
          <w:szCs w:val="20"/>
          <w:lang w:val="es-CO"/>
        </w:rPr>
        <w:t xml:space="preserve"> dentro de las funciones de la CREG</w:t>
      </w:r>
      <w:r w:rsidR="001C7EF2">
        <w:rPr>
          <w:rFonts w:ascii="Bookman Old Style" w:hAnsi="Bookman Old Style" w:cs="Arial"/>
          <w:szCs w:val="20"/>
          <w:lang w:val="es-CO"/>
        </w:rPr>
        <w:t>,</w:t>
      </w:r>
      <w:r w:rsidRPr="000B73A9">
        <w:rPr>
          <w:rFonts w:ascii="Bookman Old Style" w:hAnsi="Bookman Old Style" w:cs="Arial"/>
          <w:szCs w:val="20"/>
          <w:lang w:val="es-CO"/>
        </w:rPr>
        <w:t xml:space="preserve"> la de establecer condiciones para una oferta energética eficiente, capaz de abastecer la demanda bajo criterios sociales, económicos, ambientales y de viabilidad financiera, promover y preservar la competencia. Así mismo</w:t>
      </w:r>
      <w:r w:rsidR="001C7EF2">
        <w:rPr>
          <w:rFonts w:ascii="Bookman Old Style" w:hAnsi="Bookman Old Style" w:cs="Arial"/>
          <w:szCs w:val="20"/>
          <w:lang w:val="es-CO"/>
        </w:rPr>
        <w:t>,</w:t>
      </w:r>
      <w:r w:rsidRPr="000B73A9">
        <w:rPr>
          <w:rFonts w:ascii="Bookman Old Style" w:hAnsi="Bookman Old Style" w:cs="Arial"/>
          <w:szCs w:val="20"/>
          <w:lang w:val="es-CO"/>
        </w:rPr>
        <w:t xml:space="preserve"> en el precitado artículo, se asignó a la Comisión la función de aprobar las fórmulas tarifarias y las metodologías para el cálculo de las tarifas aplicables a los usuarios regulados.</w:t>
      </w:r>
    </w:p>
    <w:p w14:paraId="408C71DC" w14:textId="77777777" w:rsidR="005C7414" w:rsidRDefault="005C7414" w:rsidP="00B66FB7">
      <w:pPr>
        <w:ind w:left="0"/>
        <w:jc w:val="both"/>
        <w:rPr>
          <w:rFonts w:ascii="Bookman Old Style" w:hAnsi="Bookman Old Style" w:cs="Arial"/>
          <w:szCs w:val="20"/>
          <w:lang w:val="es-CO"/>
        </w:rPr>
      </w:pPr>
    </w:p>
    <w:p w14:paraId="66F8CE59" w14:textId="77777777" w:rsidR="00B66FB7" w:rsidRPr="003D4B0F" w:rsidRDefault="00B66FB7" w:rsidP="00B66FB7">
      <w:pPr>
        <w:tabs>
          <w:tab w:val="left" w:pos="-284"/>
        </w:tabs>
        <w:ind w:left="0"/>
        <w:jc w:val="both"/>
        <w:rPr>
          <w:rFonts w:ascii="Bookman Old Style" w:hAnsi="Bookman Old Style" w:cs="Arial"/>
          <w:i/>
          <w:lang w:val="es-CO"/>
        </w:rPr>
      </w:pPr>
      <w:r w:rsidRPr="003D4B0F">
        <w:rPr>
          <w:rFonts w:ascii="Bookman Old Style" w:hAnsi="Bookman Old Style" w:cs="Arial"/>
          <w:lang w:val="es-CO"/>
        </w:rPr>
        <w:t xml:space="preserve">Según el </w:t>
      </w:r>
      <w:r w:rsidR="00B03A23">
        <w:rPr>
          <w:rFonts w:ascii="Bookman Old Style" w:hAnsi="Bookman Old Style" w:cs="Arial"/>
          <w:lang w:val="es-CO"/>
        </w:rPr>
        <w:t>a</w:t>
      </w:r>
      <w:r w:rsidRPr="003D4B0F">
        <w:rPr>
          <w:rFonts w:ascii="Bookman Old Style" w:hAnsi="Bookman Old Style" w:cs="Arial"/>
          <w:lang w:val="es-CO"/>
        </w:rPr>
        <w:t>rtículo 42 de la Ley 143 de 1994</w:t>
      </w:r>
      <w:r w:rsidR="005C7414">
        <w:rPr>
          <w:rFonts w:ascii="Bookman Old Style" w:hAnsi="Bookman Old Style" w:cs="Arial"/>
          <w:lang w:val="es-CO"/>
        </w:rPr>
        <w:t>,</w:t>
      </w:r>
      <w:r w:rsidRPr="003D4B0F">
        <w:rPr>
          <w:rFonts w:ascii="Bookman Old Style" w:hAnsi="Bookman Old Style" w:cs="Arial"/>
          <w:lang w:val="es-CO"/>
        </w:rPr>
        <w:t xml:space="preserve"> </w:t>
      </w:r>
      <w:r w:rsidRPr="005C7414">
        <w:rPr>
          <w:rFonts w:ascii="Bookman Old Style" w:hAnsi="Bookman Old Style" w:cs="Arial"/>
          <w:lang w:val="es-CO"/>
        </w:rPr>
        <w:t xml:space="preserve">las ventas de electricidad a usuarios finales regulados serán retribuidas, sin excepción, por medio </w:t>
      </w:r>
      <w:r w:rsidR="005C7414" w:rsidRPr="005C7414">
        <w:rPr>
          <w:rFonts w:ascii="Bookman Old Style" w:hAnsi="Bookman Old Style" w:cs="Arial"/>
          <w:lang w:val="es-CO"/>
        </w:rPr>
        <w:t>de tarifas sujetas a regulación</w:t>
      </w:r>
      <w:r w:rsidRPr="005C7414">
        <w:rPr>
          <w:rFonts w:ascii="Bookman Old Style" w:hAnsi="Bookman Old Style" w:cs="Arial"/>
          <w:lang w:val="es-CO"/>
        </w:rPr>
        <w:t>.</w:t>
      </w:r>
    </w:p>
    <w:p w14:paraId="72112CD5" w14:textId="77777777" w:rsidR="00B66FB7" w:rsidRDefault="00B66FB7" w:rsidP="00785E91">
      <w:pPr>
        <w:ind w:left="0"/>
        <w:jc w:val="both"/>
        <w:rPr>
          <w:rFonts w:ascii="Bookman Old Style" w:hAnsi="Bookman Old Style" w:cs="Arial"/>
        </w:rPr>
      </w:pPr>
    </w:p>
    <w:p w14:paraId="17F1D4ED" w14:textId="7E2E7202" w:rsidR="00B66FB7" w:rsidRPr="00766E80" w:rsidRDefault="00B66FB7" w:rsidP="00B66FB7">
      <w:pPr>
        <w:ind w:left="0"/>
        <w:jc w:val="both"/>
        <w:rPr>
          <w:rFonts w:ascii="Bookman Old Style" w:hAnsi="Bookman Old Style" w:cs="Arial"/>
        </w:rPr>
      </w:pPr>
      <w:r w:rsidRPr="00766E80">
        <w:rPr>
          <w:rFonts w:ascii="Bookman Old Style" w:hAnsi="Bookman Old Style" w:cs="Arial"/>
        </w:rPr>
        <w:t xml:space="preserve">Con la Resolución CREG 119 de 2007 la Comisión aprobó la fórmula tarifaria general que </w:t>
      </w:r>
      <w:r w:rsidR="00D34116">
        <w:rPr>
          <w:rFonts w:ascii="Bookman Old Style" w:hAnsi="Bookman Old Style" w:cs="Arial"/>
        </w:rPr>
        <w:t>permite a los comercializadores</w:t>
      </w:r>
      <w:r w:rsidRPr="00766E80">
        <w:rPr>
          <w:rFonts w:ascii="Bookman Old Style" w:hAnsi="Bookman Old Style" w:cs="Arial"/>
        </w:rPr>
        <w:t xml:space="preserve"> de electricidad establecer los costos de prestación del servicio a usuarios regulados en el </w:t>
      </w:r>
      <w:r w:rsidR="001C7EF2" w:rsidRPr="00766E80">
        <w:rPr>
          <w:rFonts w:ascii="Bookman Old Style" w:hAnsi="Bookman Old Style" w:cs="Arial"/>
        </w:rPr>
        <w:t>Sistema Interconectado Nacional</w:t>
      </w:r>
      <w:r w:rsidRPr="00766E80">
        <w:rPr>
          <w:rFonts w:ascii="Bookman Old Style" w:hAnsi="Bookman Old Style" w:cs="Arial"/>
        </w:rPr>
        <w:t>.</w:t>
      </w:r>
    </w:p>
    <w:p w14:paraId="297022D4" w14:textId="77777777" w:rsidR="00722E22" w:rsidRDefault="00722E22" w:rsidP="00B66FB7">
      <w:pPr>
        <w:ind w:left="0"/>
        <w:jc w:val="both"/>
        <w:rPr>
          <w:rFonts w:ascii="Bookman Old Style" w:hAnsi="Bookman Old Style" w:cs="Arial"/>
        </w:rPr>
      </w:pPr>
    </w:p>
    <w:p w14:paraId="4DF4FACD" w14:textId="7D9631D2" w:rsidR="00B66FB7" w:rsidRDefault="00B66FB7" w:rsidP="00B66FB7">
      <w:pPr>
        <w:ind w:left="0"/>
        <w:jc w:val="both"/>
        <w:rPr>
          <w:rFonts w:ascii="Bookman Old Style" w:hAnsi="Bookman Old Style" w:cs="Arial"/>
        </w:rPr>
      </w:pPr>
      <w:r w:rsidRPr="00766E80">
        <w:rPr>
          <w:rFonts w:ascii="Bookman Old Style" w:hAnsi="Bookman Old Style" w:cs="Arial"/>
        </w:rPr>
        <w:lastRenderedPageBreak/>
        <w:t>La Resolución CREG 030 de 2018 reguló</w:t>
      </w:r>
      <w:r w:rsidR="001C7EF2">
        <w:rPr>
          <w:rFonts w:ascii="Bookman Old Style" w:hAnsi="Bookman Old Style" w:cs="Arial"/>
        </w:rPr>
        <w:t xml:space="preserve"> la</w:t>
      </w:r>
      <w:r w:rsidRPr="00766E80">
        <w:rPr>
          <w:rFonts w:ascii="Bookman Old Style" w:hAnsi="Bookman Old Style" w:cs="Arial"/>
        </w:rPr>
        <w:t xml:space="preserve"> autogeneración a pequeña escala y definió </w:t>
      </w:r>
      <w:r w:rsidR="001C7EF2">
        <w:rPr>
          <w:rFonts w:ascii="Bookman Old Style" w:hAnsi="Bookman Old Style" w:cs="Arial"/>
        </w:rPr>
        <w:t xml:space="preserve">el </w:t>
      </w:r>
      <w:r w:rsidRPr="00766E80">
        <w:rPr>
          <w:rFonts w:ascii="Bookman Old Style" w:hAnsi="Bookman Old Style" w:cs="Arial"/>
        </w:rPr>
        <w:t xml:space="preserve">traslado de las compras de energía en la tarifa del usuario final en el componente G del CU, </w:t>
      </w:r>
      <w:r w:rsidR="00B03A23">
        <w:rPr>
          <w:rFonts w:ascii="Bookman Old Style" w:hAnsi="Bookman Old Style" w:cs="Arial"/>
        </w:rPr>
        <w:t xml:space="preserve">modificando el </w:t>
      </w:r>
      <w:r w:rsidRPr="00766E80">
        <w:rPr>
          <w:rFonts w:ascii="Bookman Old Style" w:hAnsi="Bookman Old Style" w:cs="Arial"/>
        </w:rPr>
        <w:t>artículo 6 de la Resolución CREG 119 de 2007.</w:t>
      </w:r>
    </w:p>
    <w:p w14:paraId="4A4677DE" w14:textId="77777777" w:rsidR="00415905" w:rsidRPr="00933389" w:rsidRDefault="00415905" w:rsidP="00785E91">
      <w:pPr>
        <w:ind w:left="0"/>
        <w:jc w:val="both"/>
        <w:rPr>
          <w:rFonts w:ascii="Bookman Old Style" w:hAnsi="Bookman Old Style" w:cs="Arial"/>
          <w:sz w:val="22"/>
          <w:szCs w:val="22"/>
        </w:rPr>
      </w:pPr>
    </w:p>
    <w:p w14:paraId="0C7160FC" w14:textId="77777777" w:rsidR="005C7414" w:rsidRDefault="005C7414" w:rsidP="005C7414">
      <w:pPr>
        <w:ind w:left="0"/>
        <w:jc w:val="both"/>
        <w:rPr>
          <w:rFonts w:ascii="Bookman Old Style" w:hAnsi="Bookman Old Style" w:cs="Arial"/>
          <w:lang w:val="es-ES_tradnl"/>
        </w:rPr>
      </w:pPr>
      <w:r w:rsidRPr="005C7414">
        <w:rPr>
          <w:rFonts w:ascii="Bookman Old Style" w:hAnsi="Bookman Old Style" w:cs="Arial"/>
          <w:lang w:val="es-ES_tradnl"/>
        </w:rPr>
        <w:t>El Gobierno Nacional expidió el Decreto 0570 de 2018</w:t>
      </w:r>
      <w:r>
        <w:rPr>
          <w:rFonts w:ascii="Bookman Old Style" w:hAnsi="Bookman Old Style" w:cs="Arial"/>
          <w:lang w:val="es-ES_tradnl"/>
        </w:rPr>
        <w:t>, en donde se establecen los lineamientos de política pública para la contratación a largo plazo de proyectos de generación de energía eléctrica. En el mencionado decreto se delega a la CREG como la entidad encargada de definir el esquema para trasladar los costos eficientes de compra resultantes de la aplicación del mecanismo.</w:t>
      </w:r>
    </w:p>
    <w:p w14:paraId="74A25526" w14:textId="77777777" w:rsidR="005C7414" w:rsidRPr="00933389" w:rsidRDefault="005C7414" w:rsidP="00785E91">
      <w:pPr>
        <w:ind w:left="0"/>
        <w:jc w:val="both"/>
        <w:rPr>
          <w:rFonts w:ascii="Bookman Old Style" w:hAnsi="Bookman Old Style" w:cs="Arial"/>
          <w:sz w:val="22"/>
          <w:szCs w:val="22"/>
          <w:lang w:val="es-ES_tradnl"/>
        </w:rPr>
      </w:pPr>
    </w:p>
    <w:p w14:paraId="2640E73A" w14:textId="52DF3C27" w:rsidR="00003C78" w:rsidRDefault="00003C78" w:rsidP="00003C78">
      <w:pPr>
        <w:ind w:left="0"/>
        <w:jc w:val="both"/>
        <w:rPr>
          <w:rFonts w:ascii="Bookman Old Style" w:hAnsi="Bookman Old Style" w:cs="Arial"/>
          <w:lang w:val="es-ES_tradnl"/>
        </w:rPr>
      </w:pPr>
      <w:r>
        <w:rPr>
          <w:rFonts w:ascii="Bookman Old Style" w:hAnsi="Bookman Old Style" w:cs="Arial"/>
          <w:lang w:val="es-ES_tradnl"/>
        </w:rPr>
        <w:t>E</w:t>
      </w:r>
      <w:r w:rsidRPr="005C7414">
        <w:rPr>
          <w:rFonts w:ascii="Bookman Old Style" w:hAnsi="Bookman Old Style" w:cs="Arial"/>
          <w:lang w:val="es-ES_tradnl"/>
        </w:rPr>
        <w:t>l Ministerio de Minas y Energía expidió la Resolución 40590 de 2019</w:t>
      </w:r>
      <w:r w:rsidR="001C7EF2">
        <w:rPr>
          <w:rFonts w:ascii="Bookman Old Style" w:hAnsi="Bookman Old Style" w:cs="Arial"/>
          <w:lang w:val="es-ES_tradnl"/>
        </w:rPr>
        <w:t>,</w:t>
      </w:r>
      <w:r w:rsidRPr="005C7414">
        <w:rPr>
          <w:rFonts w:ascii="Bookman Old Style" w:hAnsi="Bookman Old Style" w:cs="Arial"/>
          <w:lang w:val="es-ES_tradnl"/>
        </w:rPr>
        <w:t xml:space="preserve"> mediante la </w:t>
      </w:r>
      <w:r>
        <w:rPr>
          <w:rFonts w:ascii="Bookman Old Style" w:hAnsi="Bookman Old Style" w:cs="Arial"/>
          <w:lang w:val="es-ES_tradnl"/>
        </w:rPr>
        <w:t>cual estableció</w:t>
      </w:r>
      <w:r w:rsidRPr="005C7414">
        <w:rPr>
          <w:rFonts w:ascii="Bookman Old Style" w:hAnsi="Bookman Old Style" w:cs="Arial"/>
          <w:lang w:val="es-ES_tradnl"/>
        </w:rPr>
        <w:t xml:space="preserve"> un nuevo mecanismo de subasta para la compraventa de contratos de energía de largo plazo</w:t>
      </w:r>
      <w:r w:rsidR="001C7EF2">
        <w:rPr>
          <w:rFonts w:ascii="Bookman Old Style" w:hAnsi="Bookman Old Style" w:cs="Arial"/>
          <w:lang w:val="es-ES_tradnl"/>
        </w:rPr>
        <w:t>,</w:t>
      </w:r>
      <w:r w:rsidRPr="005C7414">
        <w:rPr>
          <w:rFonts w:ascii="Bookman Old Style" w:hAnsi="Bookman Old Style" w:cs="Arial"/>
          <w:lang w:val="es-ES_tradnl"/>
        </w:rPr>
        <w:t xml:space="preserve"> </w:t>
      </w:r>
      <w:r>
        <w:rPr>
          <w:rFonts w:ascii="Bookman Old Style" w:hAnsi="Bookman Old Style" w:cs="Arial"/>
          <w:lang w:val="es-ES_tradnl"/>
        </w:rPr>
        <w:t>y derogó</w:t>
      </w:r>
      <w:r w:rsidRPr="005C7414">
        <w:rPr>
          <w:rFonts w:ascii="Bookman Old Style" w:hAnsi="Bookman Old Style" w:cs="Arial"/>
          <w:lang w:val="es-ES_tradnl"/>
        </w:rPr>
        <w:t xml:space="preserve"> la Resolución 40791 de 2018</w:t>
      </w:r>
      <w:r w:rsidR="001C7EF2">
        <w:rPr>
          <w:rFonts w:ascii="Bookman Old Style" w:hAnsi="Bookman Old Style" w:cs="Arial"/>
          <w:lang w:val="es-ES_tradnl"/>
        </w:rPr>
        <w:t>,</w:t>
      </w:r>
      <w:r w:rsidRPr="005C7414">
        <w:rPr>
          <w:rFonts w:ascii="Bookman Old Style" w:hAnsi="Bookman Old Style" w:cs="Arial"/>
          <w:lang w:val="es-ES_tradnl"/>
        </w:rPr>
        <w:t xml:space="preserve"> así como sus modificaciones.</w:t>
      </w:r>
      <w:r>
        <w:rPr>
          <w:rFonts w:ascii="Bookman Old Style" w:hAnsi="Bookman Old Style" w:cs="Arial"/>
          <w:lang w:val="es-ES_tradnl"/>
        </w:rPr>
        <w:t xml:space="preserve">  La Resolución 40590 de 2019 fue modificada por la Resolución 40678 de 2019 y por la Resolución 40141 de 2021.</w:t>
      </w:r>
    </w:p>
    <w:p w14:paraId="7A4F8507" w14:textId="57AF5248" w:rsidR="00E42336" w:rsidRPr="00933389" w:rsidRDefault="00E42336" w:rsidP="00003C78">
      <w:pPr>
        <w:ind w:left="0"/>
        <w:jc w:val="both"/>
        <w:rPr>
          <w:rFonts w:ascii="Bookman Old Style" w:hAnsi="Bookman Old Style" w:cs="Arial"/>
          <w:sz w:val="22"/>
          <w:szCs w:val="22"/>
          <w:lang w:val="es-ES_tradnl"/>
        </w:rPr>
      </w:pPr>
    </w:p>
    <w:p w14:paraId="7BF46DFE" w14:textId="50B0CA21" w:rsidR="00E42336" w:rsidRDefault="00E42336" w:rsidP="00003C78">
      <w:pPr>
        <w:ind w:left="0"/>
        <w:jc w:val="both"/>
        <w:rPr>
          <w:rFonts w:ascii="Bookman Old Style" w:hAnsi="Bookman Old Style" w:cs="Arial"/>
          <w:lang w:val="es-ES_tradnl"/>
        </w:rPr>
      </w:pPr>
      <w:r>
        <w:rPr>
          <w:rFonts w:ascii="Bookman Old Style" w:hAnsi="Bookman Old Style" w:cs="Arial"/>
          <w:lang w:val="es-ES_tradnl"/>
        </w:rPr>
        <w:t>En la Resolución CREG 129 de 2019 la Comisión definió la “</w:t>
      </w:r>
      <w:r w:rsidRPr="00EC4888">
        <w:rPr>
          <w:rFonts w:ascii="Bookman Old Style" w:hAnsi="Bookman Old Style" w:cs="Arial"/>
          <w:i/>
          <w:iCs/>
          <w:lang w:val="es-ES_tradnl"/>
        </w:rPr>
        <w:t>Fórmula de traslado en el componente de compras de energía al usuario regulado de los precios del mecanismo de contratación establecido en la Resolución 40590 de 2019 del Ministerio de Minas y Energía</w:t>
      </w:r>
      <w:r>
        <w:rPr>
          <w:rFonts w:ascii="Bookman Old Style" w:hAnsi="Bookman Old Style" w:cs="Arial"/>
          <w:i/>
          <w:iCs/>
          <w:lang w:val="es-ES_tradnl"/>
        </w:rPr>
        <w:t>”</w:t>
      </w:r>
    </w:p>
    <w:p w14:paraId="22F3546B" w14:textId="77777777" w:rsidR="00003C78" w:rsidRPr="00933389" w:rsidRDefault="00003C78" w:rsidP="00003C78">
      <w:pPr>
        <w:ind w:left="0"/>
        <w:jc w:val="both"/>
        <w:rPr>
          <w:rFonts w:ascii="Bookman Old Style" w:hAnsi="Bookman Old Style" w:cs="Arial"/>
          <w:sz w:val="22"/>
          <w:szCs w:val="22"/>
          <w:lang w:val="es-ES_tradnl"/>
        </w:rPr>
      </w:pPr>
    </w:p>
    <w:p w14:paraId="2CF2B51A" w14:textId="3933107F" w:rsidR="00E77C50" w:rsidRDefault="00003C78" w:rsidP="00003C78">
      <w:pPr>
        <w:ind w:left="0"/>
        <w:jc w:val="both"/>
        <w:rPr>
          <w:rFonts w:ascii="Bookman Old Style" w:hAnsi="Bookman Old Style" w:cs="Arial"/>
          <w:lang w:val="es-ES_tradnl"/>
        </w:rPr>
      </w:pPr>
      <w:r>
        <w:rPr>
          <w:rFonts w:ascii="Bookman Old Style" w:hAnsi="Bookman Old Style" w:cs="Arial"/>
          <w:lang w:val="es-ES_tradnl"/>
        </w:rPr>
        <w:t>Mediante l</w:t>
      </w:r>
      <w:r w:rsidRPr="00611D2F">
        <w:rPr>
          <w:rFonts w:ascii="Bookman Old Style" w:hAnsi="Bookman Old Style" w:cs="Arial"/>
          <w:lang w:val="es-ES_tradnl"/>
        </w:rPr>
        <w:t>a Resolución 4</w:t>
      </w:r>
      <w:r>
        <w:rPr>
          <w:rFonts w:ascii="Bookman Old Style" w:hAnsi="Bookman Old Style" w:cs="Arial"/>
          <w:lang w:val="es-ES_tradnl"/>
        </w:rPr>
        <w:t>0141</w:t>
      </w:r>
      <w:r w:rsidRPr="00611D2F">
        <w:rPr>
          <w:rFonts w:ascii="Bookman Old Style" w:hAnsi="Bookman Old Style" w:cs="Arial"/>
          <w:lang w:val="es-ES_tradnl"/>
        </w:rPr>
        <w:t xml:space="preserve"> </w:t>
      </w:r>
      <w:r>
        <w:rPr>
          <w:rFonts w:ascii="Bookman Old Style" w:hAnsi="Bookman Old Style" w:cs="Arial"/>
          <w:lang w:val="es-ES_tradnl"/>
        </w:rPr>
        <w:t>del 7</w:t>
      </w:r>
      <w:r w:rsidRPr="00611D2F">
        <w:rPr>
          <w:rFonts w:ascii="Bookman Old Style" w:hAnsi="Bookman Old Style" w:cs="Arial"/>
          <w:lang w:val="es-ES_tradnl"/>
        </w:rPr>
        <w:t xml:space="preserve"> de</w:t>
      </w:r>
      <w:r>
        <w:rPr>
          <w:rFonts w:ascii="Bookman Old Style" w:hAnsi="Bookman Old Style" w:cs="Arial"/>
          <w:lang w:val="es-ES_tradnl"/>
        </w:rPr>
        <w:t xml:space="preserve"> mayo</w:t>
      </w:r>
      <w:r w:rsidRPr="00611D2F">
        <w:rPr>
          <w:rFonts w:ascii="Bookman Old Style" w:hAnsi="Bookman Old Style" w:cs="Arial"/>
          <w:lang w:val="es-ES_tradnl"/>
        </w:rPr>
        <w:t xml:space="preserve"> de 20</w:t>
      </w:r>
      <w:r>
        <w:rPr>
          <w:rFonts w:ascii="Bookman Old Style" w:hAnsi="Bookman Old Style" w:cs="Arial"/>
          <w:lang w:val="es-ES_tradnl"/>
        </w:rPr>
        <w:t>21 del Ministerio de Minas y Energía</w:t>
      </w:r>
      <w:r w:rsidRPr="00611D2F">
        <w:rPr>
          <w:rFonts w:ascii="Bookman Old Style" w:hAnsi="Bookman Old Style" w:cs="Arial"/>
          <w:lang w:val="es-ES_tradnl"/>
        </w:rPr>
        <w:t>,</w:t>
      </w:r>
      <w:r>
        <w:rPr>
          <w:rFonts w:ascii="Bookman Old Style" w:hAnsi="Bookman Old Style" w:cs="Arial"/>
          <w:lang w:val="es-ES_tradnl"/>
        </w:rPr>
        <w:t xml:space="preserve"> se designó a</w:t>
      </w:r>
      <w:r w:rsidR="00546153">
        <w:rPr>
          <w:rFonts w:ascii="Bookman Old Style" w:hAnsi="Bookman Old Style" w:cs="Arial"/>
          <w:lang w:val="es-ES_tradnl"/>
        </w:rPr>
        <w:t>l</w:t>
      </w:r>
      <w:r>
        <w:rPr>
          <w:rFonts w:ascii="Bookman Old Style" w:hAnsi="Bookman Old Style" w:cs="Arial"/>
          <w:lang w:val="es-ES_tradnl"/>
        </w:rPr>
        <w:t xml:space="preserve"> </w:t>
      </w:r>
      <w:r w:rsidRPr="001C1ABC">
        <w:rPr>
          <w:rFonts w:ascii="Bookman Old Style" w:hAnsi="Bookman Old Style" w:cs="Arial"/>
          <w:lang w:val="es-ES_tradnl"/>
        </w:rPr>
        <w:t xml:space="preserve">Administrador </w:t>
      </w:r>
      <w:r>
        <w:rPr>
          <w:rFonts w:ascii="Bookman Old Style" w:hAnsi="Bookman Old Style" w:cs="Arial"/>
          <w:lang w:val="es-ES_tradnl"/>
        </w:rPr>
        <w:t>d</w:t>
      </w:r>
      <w:r w:rsidRPr="001C1ABC">
        <w:rPr>
          <w:rFonts w:ascii="Bookman Old Style" w:hAnsi="Bookman Old Style" w:cs="Arial"/>
          <w:lang w:val="es-ES_tradnl"/>
        </w:rPr>
        <w:t xml:space="preserve">e Intercambios Comerciales </w:t>
      </w:r>
      <w:r>
        <w:rPr>
          <w:rFonts w:ascii="Bookman Old Style" w:hAnsi="Bookman Old Style" w:cs="Arial"/>
          <w:lang w:val="es-ES_tradnl"/>
        </w:rPr>
        <w:t>– ASIC - como administrador de la subasta de contratación de largo plazo de energía eléctrica a desarrollarse en el 2021</w:t>
      </w:r>
      <w:r w:rsidRPr="00611D2F">
        <w:rPr>
          <w:rFonts w:ascii="Bookman Old Style" w:hAnsi="Bookman Old Style" w:cs="Arial"/>
          <w:lang w:val="es-ES_tradnl"/>
        </w:rPr>
        <w:t>.</w:t>
      </w:r>
    </w:p>
    <w:p w14:paraId="761A7B56" w14:textId="77777777" w:rsidR="00E77C50" w:rsidRPr="00933389" w:rsidRDefault="00E77C50" w:rsidP="00E74A13">
      <w:pPr>
        <w:ind w:left="0"/>
        <w:jc w:val="both"/>
        <w:rPr>
          <w:rFonts w:ascii="Bookman Old Style" w:hAnsi="Bookman Old Style" w:cs="Arial"/>
          <w:sz w:val="22"/>
          <w:szCs w:val="22"/>
          <w:lang w:val="es-ES_tradnl"/>
        </w:rPr>
      </w:pPr>
    </w:p>
    <w:p w14:paraId="1C7C4401" w14:textId="3F096B30" w:rsidR="00AD664A" w:rsidRDefault="00B77636" w:rsidP="00E74A13">
      <w:pPr>
        <w:ind w:left="0"/>
        <w:jc w:val="both"/>
        <w:rPr>
          <w:rFonts w:ascii="Bookman Old Style" w:hAnsi="Bookman Old Style" w:cs="Arial"/>
          <w:lang w:val="es-ES_tradnl"/>
        </w:rPr>
      </w:pPr>
      <w:r>
        <w:rPr>
          <w:rFonts w:ascii="Bookman Old Style" w:hAnsi="Bookman Old Style" w:cs="Arial"/>
          <w:lang w:val="es-ES_tradnl"/>
        </w:rPr>
        <w:t xml:space="preserve">La Resolución CREG </w:t>
      </w:r>
      <w:r w:rsidR="00353521">
        <w:rPr>
          <w:rFonts w:ascii="Bookman Old Style" w:hAnsi="Bookman Old Style" w:cs="Arial"/>
          <w:lang w:val="es-ES_tradnl"/>
        </w:rPr>
        <w:t>023 de 2021</w:t>
      </w:r>
      <w:r w:rsidR="002A23FD">
        <w:rPr>
          <w:rFonts w:ascii="Bookman Old Style" w:hAnsi="Bookman Old Style" w:cs="Arial"/>
          <w:lang w:val="es-ES_tradnl"/>
        </w:rPr>
        <w:t xml:space="preserve"> ordenó hacer </w:t>
      </w:r>
      <w:r w:rsidR="00DB1D3A">
        <w:rPr>
          <w:rFonts w:ascii="Bookman Old Style" w:hAnsi="Bookman Old Style" w:cs="Arial"/>
          <w:lang w:val="es-ES_tradnl"/>
        </w:rPr>
        <w:t>público un proyecto de resolución en donde se</w:t>
      </w:r>
      <w:r w:rsidR="00DB1D3A" w:rsidRPr="00DB1D3A">
        <w:rPr>
          <w:rFonts w:ascii="Bookman Old Style" w:hAnsi="Bookman Old Style" w:cs="Arial"/>
          <w:lang w:val="es-ES_tradnl"/>
        </w:rPr>
        <w:t xml:space="preserve"> </w:t>
      </w:r>
      <w:r w:rsidR="00ED6A07">
        <w:rPr>
          <w:rFonts w:ascii="Bookman Old Style" w:hAnsi="Bookman Old Style" w:cs="Arial"/>
          <w:lang w:val="es-ES_tradnl"/>
        </w:rPr>
        <w:t>“</w:t>
      </w:r>
      <w:r w:rsidR="00DB1D3A" w:rsidRPr="00DB1D3A">
        <w:rPr>
          <w:rFonts w:ascii="Bookman Old Style" w:hAnsi="Bookman Old Style" w:cs="Arial"/>
          <w:lang w:val="es-ES_tradnl"/>
        </w:rPr>
        <w:t xml:space="preserve">define la fórmula de traslado en el componente de compras de energía G del CU con el fin de incluir las compras que realicen los comercializadores en el mecanismo </w:t>
      </w:r>
      <w:proofErr w:type="spellStart"/>
      <w:r w:rsidR="00DB1D3A" w:rsidRPr="00DB1D3A">
        <w:rPr>
          <w:rFonts w:ascii="Bookman Old Style" w:hAnsi="Bookman Old Style" w:cs="Arial"/>
          <w:lang w:val="es-ES_tradnl"/>
        </w:rPr>
        <w:t>Derivex</w:t>
      </w:r>
      <w:proofErr w:type="spellEnd"/>
      <w:r w:rsidR="00DB1D3A" w:rsidRPr="00DB1D3A">
        <w:rPr>
          <w:rFonts w:ascii="Bookman Old Style" w:hAnsi="Bookman Old Style" w:cs="Arial"/>
          <w:lang w:val="es-ES_tradnl"/>
        </w:rPr>
        <w:t>-CRCC, en otros mecanismos autorizados como resultado de la aplicación de la Resolución CREG 114 de 2018</w:t>
      </w:r>
      <w:r w:rsidR="001C7EF2">
        <w:rPr>
          <w:rFonts w:ascii="Bookman Old Style" w:hAnsi="Bookman Old Style" w:cs="Arial"/>
          <w:lang w:val="es-ES_tradnl"/>
        </w:rPr>
        <w:t>,</w:t>
      </w:r>
      <w:r w:rsidR="00DB1D3A" w:rsidRPr="00DB1D3A">
        <w:rPr>
          <w:rFonts w:ascii="Bookman Old Style" w:hAnsi="Bookman Old Style" w:cs="Arial"/>
          <w:lang w:val="es-ES_tradnl"/>
        </w:rPr>
        <w:t xml:space="preserve"> o en aquellos administrados por el Ministerio de Minas y Energía, para la atención de demanda regulada</w:t>
      </w:r>
      <w:r w:rsidR="00ED6A07">
        <w:rPr>
          <w:rFonts w:ascii="Bookman Old Style" w:hAnsi="Bookman Old Style" w:cs="Arial"/>
          <w:lang w:val="es-ES_tradnl"/>
        </w:rPr>
        <w:t>”</w:t>
      </w:r>
      <w:r w:rsidR="00416163">
        <w:rPr>
          <w:rFonts w:ascii="Bookman Old Style" w:hAnsi="Bookman Old Style" w:cs="Arial"/>
          <w:lang w:val="es-ES_tradnl"/>
        </w:rPr>
        <w:t xml:space="preserve">. </w:t>
      </w:r>
      <w:r w:rsidR="00546153">
        <w:rPr>
          <w:rFonts w:ascii="Bookman Old Style" w:hAnsi="Bookman Old Style" w:cs="Arial"/>
          <w:lang w:val="es-ES_tradnl"/>
        </w:rPr>
        <w:t>D</w:t>
      </w:r>
      <w:r w:rsidR="00416163">
        <w:rPr>
          <w:rFonts w:ascii="Bookman Old Style" w:hAnsi="Bookman Old Style" w:cs="Arial"/>
          <w:lang w:val="es-ES_tradnl"/>
        </w:rPr>
        <w:t>icha resolución</w:t>
      </w:r>
      <w:r w:rsidR="00EE13BF">
        <w:rPr>
          <w:rFonts w:ascii="Bookman Old Style" w:hAnsi="Bookman Old Style" w:cs="Arial"/>
          <w:lang w:val="es-ES_tradnl"/>
        </w:rPr>
        <w:t>,</w:t>
      </w:r>
      <w:r w:rsidR="00416163">
        <w:rPr>
          <w:rFonts w:ascii="Bookman Old Style" w:hAnsi="Bookman Old Style" w:cs="Arial"/>
          <w:lang w:val="es-ES_tradnl"/>
        </w:rPr>
        <w:t xml:space="preserve"> </w:t>
      </w:r>
      <w:r w:rsidR="007C46CA">
        <w:rPr>
          <w:rFonts w:ascii="Bookman Old Style" w:hAnsi="Bookman Old Style" w:cs="Arial"/>
          <w:lang w:val="es-ES_tradnl"/>
        </w:rPr>
        <w:t>en el</w:t>
      </w:r>
      <w:r w:rsidR="007D309B">
        <w:rPr>
          <w:rFonts w:ascii="Bookman Old Style" w:hAnsi="Bookman Old Style" w:cs="Arial"/>
          <w:lang w:val="es-ES_tradnl"/>
        </w:rPr>
        <w:t xml:space="preserve"> artículo 2</w:t>
      </w:r>
      <w:r w:rsidR="001C7EF2">
        <w:rPr>
          <w:rFonts w:ascii="Bookman Old Style" w:hAnsi="Bookman Old Style" w:cs="Arial"/>
          <w:lang w:val="es-ES_tradnl"/>
        </w:rPr>
        <w:t>,</w:t>
      </w:r>
      <w:r w:rsidR="007D309B">
        <w:rPr>
          <w:rFonts w:ascii="Bookman Old Style" w:hAnsi="Bookman Old Style" w:cs="Arial"/>
          <w:lang w:val="es-ES_tradnl"/>
        </w:rPr>
        <w:t xml:space="preserve"> describ</w:t>
      </w:r>
      <w:r w:rsidR="00E21262">
        <w:rPr>
          <w:rFonts w:ascii="Bookman Old Style" w:hAnsi="Bookman Old Style" w:cs="Arial"/>
          <w:lang w:val="es-ES_tradnl"/>
        </w:rPr>
        <w:t>e que las subastas administradas por el Ministerio de Minas y Energía</w:t>
      </w:r>
      <w:r w:rsidR="005A2ADF">
        <w:rPr>
          <w:rFonts w:ascii="Bookman Old Style" w:hAnsi="Bookman Old Style" w:cs="Arial"/>
          <w:lang w:val="es-ES_tradnl"/>
        </w:rPr>
        <w:t xml:space="preserve"> hace</w:t>
      </w:r>
      <w:r w:rsidR="003A0D93">
        <w:rPr>
          <w:rFonts w:ascii="Bookman Old Style" w:hAnsi="Bookman Old Style" w:cs="Arial"/>
          <w:lang w:val="es-ES_tradnl"/>
        </w:rPr>
        <w:t>n</w:t>
      </w:r>
      <w:r w:rsidR="005A2ADF">
        <w:rPr>
          <w:rFonts w:ascii="Bookman Old Style" w:hAnsi="Bookman Old Style" w:cs="Arial"/>
          <w:lang w:val="es-ES_tradnl"/>
        </w:rPr>
        <w:t xml:space="preserve"> parte de los mecanismos de comercialización autorizados para realizar compras de energía con destino a la demanda reg</w:t>
      </w:r>
      <w:r w:rsidR="00116276">
        <w:rPr>
          <w:rFonts w:ascii="Bookman Old Style" w:hAnsi="Bookman Old Style" w:cs="Arial"/>
          <w:lang w:val="es-ES_tradnl"/>
        </w:rPr>
        <w:t>ulad</w:t>
      </w:r>
      <w:r w:rsidR="001C7EF2">
        <w:rPr>
          <w:rFonts w:ascii="Bookman Old Style" w:hAnsi="Bookman Old Style" w:cs="Arial"/>
          <w:lang w:val="es-ES_tradnl"/>
        </w:rPr>
        <w:t>a</w:t>
      </w:r>
      <w:r w:rsidR="00AD664A">
        <w:rPr>
          <w:rFonts w:ascii="Bookman Old Style" w:hAnsi="Bookman Old Style" w:cs="Arial"/>
          <w:lang w:val="es-ES_tradnl"/>
        </w:rPr>
        <w:t>.</w:t>
      </w:r>
    </w:p>
    <w:p w14:paraId="2FB378B1" w14:textId="77777777" w:rsidR="00AD664A" w:rsidRPr="00933389" w:rsidRDefault="00AD664A" w:rsidP="00E74A13">
      <w:pPr>
        <w:ind w:left="0"/>
        <w:jc w:val="both"/>
        <w:rPr>
          <w:rFonts w:ascii="Bookman Old Style" w:hAnsi="Bookman Old Style" w:cs="Arial"/>
          <w:sz w:val="22"/>
          <w:szCs w:val="22"/>
          <w:lang w:val="es-ES_tradnl"/>
        </w:rPr>
      </w:pPr>
    </w:p>
    <w:p w14:paraId="0BDF7B66" w14:textId="6761E794" w:rsidR="00323246" w:rsidRDefault="00546153" w:rsidP="00E74A13">
      <w:pPr>
        <w:ind w:left="0"/>
        <w:jc w:val="both"/>
        <w:rPr>
          <w:rFonts w:ascii="Bookman Old Style" w:hAnsi="Bookman Old Style" w:cs="Arial"/>
          <w:lang w:val="es-ES_tradnl"/>
        </w:rPr>
      </w:pPr>
      <w:r>
        <w:rPr>
          <w:rFonts w:ascii="Bookman Old Style" w:hAnsi="Bookman Old Style" w:cs="Arial"/>
          <w:lang w:val="es-ES_tradnl"/>
        </w:rPr>
        <w:t xml:space="preserve">Durante </w:t>
      </w:r>
      <w:r w:rsidR="00671395">
        <w:rPr>
          <w:rFonts w:ascii="Bookman Old Style" w:hAnsi="Bookman Old Style" w:cs="Arial"/>
          <w:lang w:val="es-ES_tradnl"/>
        </w:rPr>
        <w:t>el p</w:t>
      </w:r>
      <w:r w:rsidR="001C7EF2">
        <w:rPr>
          <w:rFonts w:ascii="Bookman Old Style" w:hAnsi="Bookman Old Style" w:cs="Arial"/>
          <w:lang w:val="es-ES_tradnl"/>
        </w:rPr>
        <w:t>eríodo</w:t>
      </w:r>
      <w:r w:rsidR="00671395">
        <w:rPr>
          <w:rFonts w:ascii="Bookman Old Style" w:hAnsi="Bookman Old Style" w:cs="Arial"/>
          <w:lang w:val="es-ES_tradnl"/>
        </w:rPr>
        <w:t xml:space="preserve"> de consulta de la Resolución CREG </w:t>
      </w:r>
      <w:r w:rsidR="0039434C">
        <w:rPr>
          <w:rFonts w:ascii="Bookman Old Style" w:hAnsi="Bookman Old Style" w:cs="Arial"/>
          <w:lang w:val="es-ES_tradnl"/>
        </w:rPr>
        <w:t>023 de 2021, se allegaron diferentes comentarios por parte de los agentes</w:t>
      </w:r>
      <w:r w:rsidR="009F368B">
        <w:rPr>
          <w:rFonts w:ascii="Bookman Old Style" w:hAnsi="Bookman Old Style" w:cs="Arial"/>
          <w:lang w:val="es-ES_tradnl"/>
        </w:rPr>
        <w:t>,</w:t>
      </w:r>
      <w:r w:rsidR="0039434C">
        <w:rPr>
          <w:rFonts w:ascii="Bookman Old Style" w:hAnsi="Bookman Old Style" w:cs="Arial"/>
          <w:lang w:val="es-ES_tradnl"/>
        </w:rPr>
        <w:t xml:space="preserve"> pero </w:t>
      </w:r>
      <w:r w:rsidR="009F368B">
        <w:rPr>
          <w:rFonts w:ascii="Bookman Old Style" w:hAnsi="Bookman Old Style" w:cs="Arial"/>
          <w:lang w:val="es-ES_tradnl"/>
        </w:rPr>
        <w:t xml:space="preserve">ninguno de ellos </w:t>
      </w:r>
      <w:r w:rsidR="00EC33F1">
        <w:rPr>
          <w:rFonts w:ascii="Bookman Old Style" w:hAnsi="Bookman Old Style" w:cs="Arial"/>
          <w:lang w:val="es-ES_tradnl"/>
        </w:rPr>
        <w:t>se refirió</w:t>
      </w:r>
      <w:r w:rsidR="0039434C">
        <w:rPr>
          <w:rFonts w:ascii="Bookman Old Style" w:hAnsi="Bookman Old Style" w:cs="Arial"/>
          <w:lang w:val="es-ES_tradnl"/>
        </w:rPr>
        <w:t xml:space="preserve"> directamente </w:t>
      </w:r>
      <w:r w:rsidR="007A48BD">
        <w:rPr>
          <w:rFonts w:ascii="Bookman Old Style" w:hAnsi="Bookman Old Style" w:cs="Arial"/>
          <w:lang w:val="es-ES_tradnl"/>
        </w:rPr>
        <w:t>a</w:t>
      </w:r>
      <w:r w:rsidR="00AB2C93">
        <w:rPr>
          <w:rFonts w:ascii="Bookman Old Style" w:hAnsi="Bookman Old Style" w:cs="Arial"/>
          <w:lang w:val="es-ES_tradnl"/>
        </w:rPr>
        <w:t xml:space="preserve">l objeto de la presente resolución. </w:t>
      </w:r>
      <w:r w:rsidR="00AF39F0">
        <w:rPr>
          <w:rFonts w:ascii="Bookman Old Style" w:hAnsi="Bookman Old Style" w:cs="Arial"/>
          <w:lang w:val="es-ES_tradnl"/>
        </w:rPr>
        <w:t xml:space="preserve">En consecuencia, </w:t>
      </w:r>
      <w:r w:rsidR="004B4C05">
        <w:rPr>
          <w:rFonts w:ascii="Bookman Old Style" w:hAnsi="Bookman Old Style" w:cs="Arial"/>
          <w:lang w:val="es-ES_tradnl"/>
        </w:rPr>
        <w:t>los comentarios a di</w:t>
      </w:r>
      <w:r w:rsidR="003259B8">
        <w:rPr>
          <w:rFonts w:ascii="Bookman Old Style" w:hAnsi="Bookman Old Style" w:cs="Arial"/>
          <w:lang w:val="es-ES_tradnl"/>
        </w:rPr>
        <w:t>c</w:t>
      </w:r>
      <w:r w:rsidR="009A1226">
        <w:rPr>
          <w:rFonts w:ascii="Bookman Old Style" w:hAnsi="Bookman Old Style" w:cs="Arial"/>
          <w:lang w:val="es-ES_tradnl"/>
        </w:rPr>
        <w:t>ha consulta serán</w:t>
      </w:r>
      <w:r w:rsidR="00AB3AE9">
        <w:rPr>
          <w:rFonts w:ascii="Bookman Old Style" w:hAnsi="Bookman Old Style" w:cs="Arial"/>
          <w:lang w:val="es-ES_tradnl"/>
        </w:rPr>
        <w:t xml:space="preserve"> resueltos en la resolución por la cual se defina la fórmula de traslado en el</w:t>
      </w:r>
      <w:r w:rsidR="008878FB">
        <w:rPr>
          <w:rFonts w:ascii="Bookman Old Style" w:hAnsi="Bookman Old Style" w:cs="Arial"/>
          <w:lang w:val="es-ES_tradnl"/>
        </w:rPr>
        <w:t xml:space="preserve"> componente de energía G del CU</w:t>
      </w:r>
      <w:r w:rsidR="00C2362A">
        <w:rPr>
          <w:rFonts w:ascii="Bookman Old Style" w:hAnsi="Bookman Old Style" w:cs="Arial"/>
          <w:lang w:val="es-ES_tradnl"/>
        </w:rPr>
        <w:t xml:space="preserve"> </w:t>
      </w:r>
      <w:r w:rsidR="009C06AC">
        <w:rPr>
          <w:rFonts w:ascii="Bookman Old Style" w:hAnsi="Bookman Old Style" w:cs="Arial"/>
          <w:lang w:val="es-ES_tradnl"/>
        </w:rPr>
        <w:t>incluyendo los</w:t>
      </w:r>
      <w:r w:rsidR="007D1A03">
        <w:rPr>
          <w:rFonts w:ascii="Bookman Old Style" w:hAnsi="Bookman Old Style" w:cs="Arial"/>
          <w:lang w:val="es-ES_tradnl"/>
        </w:rPr>
        <w:t xml:space="preserve"> diferentes </w:t>
      </w:r>
      <w:r w:rsidR="002C62AF">
        <w:rPr>
          <w:rFonts w:ascii="Bookman Old Style" w:hAnsi="Bookman Old Style" w:cs="Arial"/>
          <w:lang w:val="es-ES_tradnl"/>
        </w:rPr>
        <w:t xml:space="preserve">mecanismos </w:t>
      </w:r>
      <w:r w:rsidR="009E6203">
        <w:rPr>
          <w:rFonts w:ascii="Bookman Old Style" w:hAnsi="Bookman Old Style" w:cs="Arial"/>
          <w:lang w:val="es-ES_tradnl"/>
        </w:rPr>
        <w:t>de comercialización de energía autorizados.</w:t>
      </w:r>
    </w:p>
    <w:p w14:paraId="335BB6A9" w14:textId="546EDE3D" w:rsidR="00323246" w:rsidRPr="00933389" w:rsidRDefault="00323246" w:rsidP="00E74A13">
      <w:pPr>
        <w:ind w:left="0"/>
        <w:jc w:val="both"/>
        <w:rPr>
          <w:rFonts w:ascii="Bookman Old Style" w:hAnsi="Bookman Old Style" w:cs="Arial"/>
          <w:sz w:val="22"/>
          <w:szCs w:val="22"/>
          <w:lang w:val="es-ES_tradnl"/>
        </w:rPr>
      </w:pPr>
    </w:p>
    <w:p w14:paraId="5B60BA38" w14:textId="12EFFB2A" w:rsidR="0058787C" w:rsidRDefault="0058787C" w:rsidP="0058787C">
      <w:pPr>
        <w:ind w:left="0"/>
        <w:jc w:val="both"/>
        <w:rPr>
          <w:rFonts w:ascii="Bookman Old Style" w:hAnsi="Bookman Old Style" w:cs="Arial"/>
          <w:lang w:val="es-ES_tradnl"/>
        </w:rPr>
      </w:pPr>
      <w:r>
        <w:rPr>
          <w:rFonts w:ascii="Bookman Old Style" w:hAnsi="Bookman Old Style" w:cs="Arial"/>
          <w:lang w:val="es-ES_tradnl"/>
        </w:rPr>
        <w:t xml:space="preserve">La Comisión de Regulación de Energía y Gas, en su </w:t>
      </w:r>
      <w:r w:rsidRPr="00442209">
        <w:rPr>
          <w:rFonts w:ascii="Bookman Old Style" w:hAnsi="Bookman Old Style" w:cs="Arial"/>
          <w:lang w:val="es-ES_tradnl"/>
        </w:rPr>
        <w:t>Sesión 1123 del 14 de septiembre de 202</w:t>
      </w:r>
      <w:r w:rsidRPr="007A683A">
        <w:rPr>
          <w:rFonts w:ascii="Bookman Old Style" w:hAnsi="Bookman Old Style" w:cs="Arial"/>
          <w:lang w:val="es-ES_tradnl"/>
        </w:rPr>
        <w:t>1</w:t>
      </w:r>
      <w:r>
        <w:rPr>
          <w:rFonts w:ascii="Bookman Old Style" w:hAnsi="Bookman Old Style" w:cs="Arial"/>
          <w:lang w:val="es-ES_tradnl"/>
        </w:rPr>
        <w:t xml:space="preserve"> acordó aprobar esta </w:t>
      </w:r>
      <w:r w:rsidR="008A67E0">
        <w:rPr>
          <w:rFonts w:ascii="Bookman Old Style" w:hAnsi="Bookman Old Style" w:cs="Arial"/>
          <w:lang w:val="es-ES_tradnl"/>
        </w:rPr>
        <w:t>r</w:t>
      </w:r>
      <w:r>
        <w:rPr>
          <w:rFonts w:ascii="Bookman Old Style" w:hAnsi="Bookman Old Style" w:cs="Arial"/>
          <w:lang w:val="es-ES_tradnl"/>
        </w:rPr>
        <w:t xml:space="preserve">esolución para su envío a la </w:t>
      </w:r>
      <w:r w:rsidRPr="00763C5F">
        <w:rPr>
          <w:rFonts w:ascii="Bookman Old Style" w:hAnsi="Bookman Old Style" w:cs="Arial"/>
          <w:lang w:val="es-ES_tradnl"/>
        </w:rPr>
        <w:t>Superintendencia de Industria y Comercio, SIC</w:t>
      </w:r>
      <w:r>
        <w:rPr>
          <w:rFonts w:ascii="Bookman Old Style" w:hAnsi="Bookman Old Style" w:cs="Arial"/>
          <w:lang w:val="es-ES_tradnl"/>
        </w:rPr>
        <w:t>.</w:t>
      </w:r>
    </w:p>
    <w:p w14:paraId="3C50A7E5" w14:textId="7D45DEF2" w:rsidR="0058787C" w:rsidRDefault="0058787C" w:rsidP="00E74A13">
      <w:pPr>
        <w:ind w:left="0"/>
        <w:jc w:val="both"/>
        <w:rPr>
          <w:rFonts w:ascii="Bookman Old Style" w:hAnsi="Bookman Old Style" w:cs="Arial"/>
          <w:lang w:val="es-ES_tradnl"/>
        </w:rPr>
      </w:pPr>
    </w:p>
    <w:p w14:paraId="4B38FED4" w14:textId="30CB831C" w:rsidR="00B77636" w:rsidRDefault="00323246" w:rsidP="00E74A13">
      <w:pPr>
        <w:ind w:left="0"/>
        <w:jc w:val="both"/>
        <w:rPr>
          <w:rFonts w:ascii="Bookman Old Style" w:hAnsi="Bookman Old Style" w:cs="Arial"/>
          <w:lang w:val="es-ES_tradnl"/>
        </w:rPr>
      </w:pPr>
      <w:r w:rsidRPr="00607D91">
        <w:rPr>
          <w:rFonts w:ascii="Bookman Old Style" w:hAnsi="Bookman Old Style" w:cs="Arial"/>
          <w:lang w:val="es-ES_tradnl"/>
        </w:rPr>
        <w:t>Conforme al Decreto 1074 de 2015</w:t>
      </w:r>
      <w:r w:rsidR="00F50FB6" w:rsidRPr="00607D91">
        <w:rPr>
          <w:rFonts w:ascii="Bookman Old Style" w:hAnsi="Bookman Old Style" w:cs="Arial"/>
          <w:lang w:val="es-ES_tradnl"/>
        </w:rPr>
        <w:t>,</w:t>
      </w:r>
      <w:r w:rsidRPr="00607D91">
        <w:rPr>
          <w:rFonts w:ascii="Bookman Old Style" w:hAnsi="Bookman Old Style" w:cs="Arial"/>
          <w:lang w:val="es-ES_tradnl"/>
        </w:rPr>
        <w:t xml:space="preserve"> la Resolución SIC </w:t>
      </w:r>
      <w:r w:rsidR="006E684E" w:rsidRPr="00607D91">
        <w:rPr>
          <w:rFonts w:ascii="Bookman Old Style" w:hAnsi="Bookman Old Style" w:cs="Arial"/>
          <w:lang w:val="es-ES_tradnl"/>
        </w:rPr>
        <w:t>44649 de 2010</w:t>
      </w:r>
      <w:r w:rsidR="001C7EF2">
        <w:rPr>
          <w:rFonts w:ascii="Bookman Old Style" w:hAnsi="Bookman Old Style" w:cs="Arial"/>
          <w:lang w:val="es-ES_tradnl"/>
        </w:rPr>
        <w:t>,</w:t>
      </w:r>
      <w:r w:rsidR="00642797" w:rsidRPr="00607D91">
        <w:rPr>
          <w:rFonts w:ascii="Bookman Old Style" w:hAnsi="Bookman Old Style" w:cs="Arial"/>
          <w:lang w:val="es-ES_tradnl"/>
        </w:rPr>
        <w:t xml:space="preserve"> y </w:t>
      </w:r>
      <w:r w:rsidR="00A56FB7" w:rsidRPr="00607D91">
        <w:rPr>
          <w:rFonts w:ascii="Bookman Old Style" w:hAnsi="Bookman Old Style" w:cs="Arial"/>
          <w:lang w:val="es-ES_tradnl"/>
        </w:rPr>
        <w:t xml:space="preserve">en cumplimiento de la instrucción impartida por </w:t>
      </w:r>
      <w:r w:rsidR="00642797" w:rsidRPr="00607D91">
        <w:rPr>
          <w:rFonts w:ascii="Bookman Old Style" w:hAnsi="Bookman Old Style" w:cs="Arial"/>
          <w:lang w:val="es-ES_tradnl"/>
        </w:rPr>
        <w:t xml:space="preserve">la SIC </w:t>
      </w:r>
      <w:r w:rsidR="00A56FB7" w:rsidRPr="00607D91">
        <w:rPr>
          <w:rFonts w:ascii="Bookman Old Style" w:hAnsi="Bookman Old Style" w:cs="Arial"/>
          <w:lang w:val="es-ES_tradnl"/>
        </w:rPr>
        <w:t xml:space="preserve">con ocasión </w:t>
      </w:r>
      <w:r w:rsidR="00FF32E3" w:rsidRPr="00607D91">
        <w:rPr>
          <w:rFonts w:ascii="Bookman Old Style" w:hAnsi="Bookman Old Style" w:cs="Arial"/>
          <w:lang w:val="es-ES_tradnl"/>
        </w:rPr>
        <w:t>del</w:t>
      </w:r>
      <w:r w:rsidR="00A56FB7" w:rsidRPr="00607D91">
        <w:rPr>
          <w:rFonts w:ascii="Bookman Old Style" w:hAnsi="Bookman Old Style" w:cs="Arial"/>
          <w:lang w:val="es-ES_tradnl"/>
        </w:rPr>
        <w:t xml:space="preserve"> concepto de abogacía </w:t>
      </w:r>
      <w:r w:rsidR="00ED7224" w:rsidRPr="00607D91">
        <w:rPr>
          <w:rFonts w:ascii="Bookman Old Style" w:hAnsi="Bookman Old Style" w:cs="Arial"/>
          <w:lang w:val="es-ES_tradnl"/>
        </w:rPr>
        <w:t xml:space="preserve">de </w:t>
      </w:r>
      <w:r w:rsidR="00A56FB7" w:rsidRPr="00607D91">
        <w:rPr>
          <w:rFonts w:ascii="Bookman Old Style" w:hAnsi="Bookman Old Style" w:cs="Arial"/>
          <w:lang w:val="es-ES_tradnl"/>
        </w:rPr>
        <w:t>la competencia</w:t>
      </w:r>
      <w:r w:rsidR="00FF32E3" w:rsidRPr="00607D91">
        <w:rPr>
          <w:rFonts w:ascii="Bookman Old Style" w:hAnsi="Bookman Old Style" w:cs="Arial"/>
          <w:lang w:val="es-ES_tradnl"/>
        </w:rPr>
        <w:t>,</w:t>
      </w:r>
      <w:r w:rsidR="00A56FB7" w:rsidRPr="00607D91">
        <w:rPr>
          <w:rFonts w:ascii="Bookman Old Style" w:hAnsi="Bookman Old Style" w:cs="Arial"/>
          <w:lang w:val="es-ES_tradnl"/>
        </w:rPr>
        <w:t xml:space="preserve"> radicado número 21-143069-1-0, remitido por el Ministerio de Minas y Energía </w:t>
      </w:r>
      <w:r w:rsidR="00FF32E3" w:rsidRPr="00607D91">
        <w:rPr>
          <w:rFonts w:ascii="Bookman Old Style" w:hAnsi="Bookman Old Style" w:cs="Arial"/>
          <w:lang w:val="es-ES_tradnl"/>
        </w:rPr>
        <w:t xml:space="preserve">a la Comisión, radicado </w:t>
      </w:r>
      <w:r w:rsidR="00461E60" w:rsidRPr="00607D91">
        <w:rPr>
          <w:rFonts w:ascii="Bookman Old Style" w:hAnsi="Bookman Old Style" w:cs="Arial"/>
          <w:lang w:val="es-ES_tradnl"/>
        </w:rPr>
        <w:t xml:space="preserve">CREG </w:t>
      </w:r>
      <w:r w:rsidR="00A56FB7" w:rsidRPr="00607D91">
        <w:rPr>
          <w:rFonts w:ascii="Bookman Old Style" w:hAnsi="Bookman Old Style" w:cs="Arial"/>
          <w:lang w:val="es-ES_tradnl"/>
        </w:rPr>
        <w:t>E-2021-006875</w:t>
      </w:r>
      <w:r w:rsidR="00FF32E3" w:rsidRPr="00607D91">
        <w:rPr>
          <w:rFonts w:ascii="Bookman Old Style" w:hAnsi="Bookman Old Style" w:cs="Arial"/>
          <w:lang w:val="es-ES_tradnl"/>
        </w:rPr>
        <w:t>,</w:t>
      </w:r>
      <w:r w:rsidR="00F50FB6" w:rsidRPr="00607D91">
        <w:rPr>
          <w:rFonts w:ascii="Bookman Old Style" w:hAnsi="Bookman Old Style" w:cs="Arial"/>
          <w:lang w:val="es-ES_tradnl"/>
        </w:rPr>
        <w:t xml:space="preserve"> </w:t>
      </w:r>
      <w:r w:rsidR="008E206D" w:rsidRPr="00607D91">
        <w:rPr>
          <w:rFonts w:ascii="Bookman Old Style" w:hAnsi="Bookman Old Style" w:cs="Arial"/>
          <w:lang w:val="es-ES_tradnl"/>
        </w:rPr>
        <w:t xml:space="preserve">se </w:t>
      </w:r>
      <w:r w:rsidR="00F50FB6" w:rsidRPr="00607D91">
        <w:rPr>
          <w:rFonts w:ascii="Bookman Old Style" w:hAnsi="Bookman Old Style" w:cs="Arial"/>
          <w:lang w:val="es-ES_tradnl"/>
        </w:rPr>
        <w:t>env</w:t>
      </w:r>
      <w:r w:rsidR="00A15085" w:rsidRPr="00607D91">
        <w:rPr>
          <w:rFonts w:ascii="Bookman Old Style" w:hAnsi="Bookman Old Style" w:cs="Arial"/>
          <w:lang w:val="es-ES_tradnl"/>
        </w:rPr>
        <w:t>ió</w:t>
      </w:r>
      <w:r w:rsidR="00F50FB6" w:rsidRPr="00607D91">
        <w:rPr>
          <w:rFonts w:ascii="Bookman Old Style" w:hAnsi="Bookman Old Style" w:cs="Arial"/>
          <w:lang w:val="es-ES_tradnl"/>
        </w:rPr>
        <w:t xml:space="preserve"> el presente acto administrativo a la Superintendencia de Industria y Comercio para la evaluación de la incidencia sobre la competencia</w:t>
      </w:r>
      <w:r w:rsidR="00F50FB6" w:rsidRPr="00A15085">
        <w:rPr>
          <w:rFonts w:ascii="Bookman Old Style" w:hAnsi="Bookman Old Style" w:cs="Arial"/>
          <w:lang w:val="es-ES_tradnl"/>
        </w:rPr>
        <w:t>.</w:t>
      </w:r>
    </w:p>
    <w:p w14:paraId="388830F6" w14:textId="5BCB2FD2" w:rsidR="00A15085" w:rsidRDefault="00A15085" w:rsidP="00E74A13">
      <w:pPr>
        <w:ind w:left="0"/>
        <w:jc w:val="both"/>
        <w:rPr>
          <w:rFonts w:ascii="Bookman Old Style" w:hAnsi="Bookman Old Style" w:cs="Arial"/>
          <w:lang w:val="es-ES_tradnl"/>
        </w:rPr>
      </w:pPr>
    </w:p>
    <w:p w14:paraId="1CF67F0E" w14:textId="0A718558" w:rsidR="00A15085" w:rsidRDefault="00A15085" w:rsidP="00E74A13">
      <w:pPr>
        <w:ind w:left="0"/>
        <w:jc w:val="both"/>
        <w:rPr>
          <w:rFonts w:ascii="Bookman Old Style" w:hAnsi="Bookman Old Style" w:cs="Arial"/>
          <w:i/>
          <w:iCs/>
          <w:lang w:val="es-ES_tradnl"/>
        </w:rPr>
      </w:pPr>
      <w:r>
        <w:rPr>
          <w:rFonts w:ascii="Bookman Old Style" w:hAnsi="Bookman Old Style" w:cs="Arial"/>
          <w:lang w:val="es-ES_tradnl"/>
        </w:rPr>
        <w:t>Mediante radicado CREG E-2021-011787 esta Comisión recibió el concepto expedido por la autoridad de competencia</w:t>
      </w:r>
      <w:r w:rsidR="0017364A">
        <w:rPr>
          <w:rFonts w:ascii="Bookman Old Style" w:hAnsi="Bookman Old Style" w:cs="Arial"/>
          <w:lang w:val="es-ES_tradnl"/>
        </w:rPr>
        <w:t>, cuya conclusión fue presentada</w:t>
      </w:r>
      <w:r>
        <w:rPr>
          <w:rFonts w:ascii="Bookman Old Style" w:hAnsi="Bookman Old Style" w:cs="Arial"/>
          <w:lang w:val="es-ES_tradnl"/>
        </w:rPr>
        <w:t xml:space="preserve"> en los siguientes términos: </w:t>
      </w:r>
      <w:r w:rsidRPr="00607D91">
        <w:rPr>
          <w:rFonts w:ascii="Bookman Old Style" w:hAnsi="Bookman Old Style" w:cs="Arial"/>
          <w:i/>
          <w:iCs/>
          <w:lang w:val="es-ES_tradnl"/>
        </w:rPr>
        <w:t>“(…) ante las herramientas establecidas para contener o mitigar los posibles impactos negativos que producto de la determinación de la tarifa pueden presentarse frente al consumidor final, esta Superintendencia no formulará recomendaciones frente al Proyecto”.</w:t>
      </w:r>
    </w:p>
    <w:p w14:paraId="40152EFA" w14:textId="77777777" w:rsidR="001C7EF2" w:rsidRDefault="001C7EF2" w:rsidP="00E74A13">
      <w:pPr>
        <w:ind w:left="0"/>
        <w:jc w:val="both"/>
        <w:rPr>
          <w:rFonts w:ascii="Bookman Old Style" w:hAnsi="Bookman Old Style" w:cs="Arial"/>
          <w:lang w:val="es-ES_tradnl"/>
        </w:rPr>
      </w:pPr>
    </w:p>
    <w:p w14:paraId="2A8DBE78" w14:textId="77B87C2C" w:rsidR="00E90A4C" w:rsidRPr="00C435C3" w:rsidRDefault="00E90A4C" w:rsidP="00E90A4C">
      <w:pPr>
        <w:ind w:left="0"/>
        <w:jc w:val="both"/>
        <w:rPr>
          <w:rFonts w:ascii="Bookman Old Style" w:hAnsi="Bookman Old Style"/>
        </w:rPr>
      </w:pPr>
      <w:r w:rsidRPr="00786AF0">
        <w:rPr>
          <w:rFonts w:ascii="Bookman Old Style" w:hAnsi="Bookman Old Style"/>
        </w:rPr>
        <w:t xml:space="preserve">La Comisión de Regulación de Energía y Gas, en su sesión </w:t>
      </w:r>
      <w:r w:rsidR="00977397" w:rsidRPr="00786AF0">
        <w:rPr>
          <w:rFonts w:ascii="Bookman Old Style" w:hAnsi="Bookman Old Style"/>
        </w:rPr>
        <w:t>112</w:t>
      </w:r>
      <w:r w:rsidR="006C4CCE" w:rsidRPr="00786AF0">
        <w:rPr>
          <w:rFonts w:ascii="Bookman Old Style" w:hAnsi="Bookman Old Style"/>
        </w:rPr>
        <w:t>8</w:t>
      </w:r>
      <w:r w:rsidR="00B60D70" w:rsidRPr="00786AF0">
        <w:rPr>
          <w:rFonts w:ascii="Bookman Old Style" w:hAnsi="Bookman Old Style"/>
        </w:rPr>
        <w:t xml:space="preserve"> </w:t>
      </w:r>
      <w:r w:rsidRPr="00786AF0">
        <w:rPr>
          <w:rFonts w:ascii="Bookman Old Style" w:hAnsi="Bookman Old Style"/>
        </w:rPr>
        <w:t xml:space="preserve">del </w:t>
      </w:r>
      <w:r w:rsidR="006C4CCE" w:rsidRPr="00786AF0">
        <w:rPr>
          <w:rFonts w:ascii="Bookman Old Style" w:hAnsi="Bookman Old Style"/>
        </w:rPr>
        <w:t>8</w:t>
      </w:r>
      <w:r w:rsidRPr="00786AF0">
        <w:rPr>
          <w:rFonts w:ascii="Bookman Old Style" w:hAnsi="Bookman Old Style"/>
        </w:rPr>
        <w:t xml:space="preserve"> de </w:t>
      </w:r>
      <w:r w:rsidR="006C4CCE" w:rsidRPr="00786AF0">
        <w:rPr>
          <w:rFonts w:ascii="Bookman Old Style" w:hAnsi="Bookman Old Style"/>
        </w:rPr>
        <w:t xml:space="preserve">octubre </w:t>
      </w:r>
      <w:r w:rsidRPr="00786AF0">
        <w:rPr>
          <w:rFonts w:ascii="Bookman Old Style" w:hAnsi="Bookman Old Style"/>
        </w:rPr>
        <w:t xml:space="preserve">de </w:t>
      </w:r>
      <w:r w:rsidR="00B60D70" w:rsidRPr="00786AF0">
        <w:rPr>
          <w:rFonts w:ascii="Bookman Old Style" w:hAnsi="Bookman Old Style"/>
        </w:rPr>
        <w:t>2021</w:t>
      </w:r>
      <w:r w:rsidRPr="00786AF0">
        <w:rPr>
          <w:rFonts w:ascii="Bookman Old Style" w:hAnsi="Bookman Old Style"/>
        </w:rPr>
        <w:t>, acordó expedir la presente resolución</w:t>
      </w:r>
      <w:r w:rsidR="002861E1" w:rsidRPr="00786AF0">
        <w:rPr>
          <w:rFonts w:ascii="Bookman Old Style" w:hAnsi="Bookman Old Style"/>
        </w:rPr>
        <w:t>.</w:t>
      </w:r>
      <w:r w:rsidR="0058787C">
        <w:rPr>
          <w:rFonts w:ascii="Bookman Old Style" w:hAnsi="Bookman Old Style"/>
        </w:rPr>
        <w:t xml:space="preserve"> </w:t>
      </w:r>
      <w:r w:rsidR="0058787C">
        <w:rPr>
          <w:rFonts w:ascii="Bookman Old Style" w:hAnsi="Bookman Old Style" w:cs="Arial"/>
          <w:lang w:val="es-ES_tradnl"/>
        </w:rPr>
        <w:t xml:space="preserve">Los análisis de la CREG que sustentan las decisiones que aquí se adoptan, se presentan en el documento CREG </w:t>
      </w:r>
      <w:r w:rsidR="00933389">
        <w:rPr>
          <w:rFonts w:ascii="Bookman Old Style" w:hAnsi="Bookman Old Style" w:cs="Arial"/>
          <w:lang w:val="es-ES_tradnl"/>
        </w:rPr>
        <w:t>144</w:t>
      </w:r>
      <w:r w:rsidR="0058787C">
        <w:rPr>
          <w:rFonts w:ascii="Bookman Old Style" w:hAnsi="Bookman Old Style" w:cs="Arial"/>
          <w:lang w:val="es-ES_tradnl"/>
        </w:rPr>
        <w:t xml:space="preserve"> que acompaña esta resolución</w:t>
      </w:r>
    </w:p>
    <w:p w14:paraId="590C082B" w14:textId="77777777" w:rsidR="00415905" w:rsidRDefault="00415905" w:rsidP="00E74A13">
      <w:pPr>
        <w:ind w:left="0"/>
        <w:jc w:val="both"/>
        <w:rPr>
          <w:rFonts w:ascii="Bookman Old Style" w:hAnsi="Bookman Old Style" w:cs="Arial"/>
          <w:lang w:val="es-ES_tradnl"/>
        </w:rPr>
      </w:pPr>
    </w:p>
    <w:p w14:paraId="3DA23E66"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1440B4A9" w14:textId="77777777" w:rsidR="00045D3D" w:rsidRDefault="00045D3D" w:rsidP="00045D3D">
      <w:pPr>
        <w:jc w:val="center"/>
        <w:rPr>
          <w:rFonts w:ascii="Bookman Old Style" w:hAnsi="Bookman Old Style"/>
        </w:rPr>
      </w:pPr>
    </w:p>
    <w:p w14:paraId="115F7690" w14:textId="77BE058E" w:rsidR="00791EF8" w:rsidRDefault="00FF07E5" w:rsidP="00791EF8">
      <w:pPr>
        <w:pStyle w:val="Prrafodelista"/>
        <w:numPr>
          <w:ilvl w:val="0"/>
          <w:numId w:val="33"/>
        </w:numPr>
        <w:tabs>
          <w:tab w:val="left" w:pos="0"/>
        </w:tabs>
        <w:ind w:left="0" w:firstLine="0"/>
        <w:jc w:val="both"/>
        <w:rPr>
          <w:rFonts w:ascii="Bookman Old Style" w:hAnsi="Bookman Old Style"/>
          <w:sz w:val="24"/>
        </w:rPr>
      </w:pPr>
      <w:r w:rsidRPr="00882C61">
        <w:rPr>
          <w:rFonts w:ascii="Bookman Old Style" w:hAnsi="Bookman Old Style" w:cs="Arial"/>
          <w:b/>
          <w:sz w:val="24"/>
          <w:szCs w:val="24"/>
          <w:lang w:val="es-ES_tradnl"/>
        </w:rPr>
        <w:t>Objeto</w:t>
      </w:r>
      <w:r w:rsidRPr="00882C61">
        <w:rPr>
          <w:rFonts w:ascii="Bookman Old Style" w:hAnsi="Bookman Old Style" w:cs="Arial"/>
          <w:sz w:val="24"/>
          <w:szCs w:val="24"/>
          <w:lang w:val="es-ES_tradnl"/>
        </w:rPr>
        <w:t>. E</w:t>
      </w:r>
      <w:r w:rsidRPr="00882C61">
        <w:rPr>
          <w:rFonts w:ascii="Bookman Old Style" w:hAnsi="Bookman Old Style"/>
          <w:sz w:val="24"/>
        </w:rPr>
        <w:t xml:space="preserve">n </w:t>
      </w:r>
      <w:r w:rsidR="00882C61">
        <w:rPr>
          <w:rFonts w:ascii="Bookman Old Style" w:hAnsi="Bookman Old Style"/>
          <w:sz w:val="24"/>
        </w:rPr>
        <w:t>cumplimiento de lo señalado en el artículo</w:t>
      </w:r>
      <w:r w:rsidR="00CB1407">
        <w:rPr>
          <w:rFonts w:ascii="Bookman Old Style" w:hAnsi="Bookman Old Style"/>
          <w:sz w:val="24"/>
        </w:rPr>
        <w:t xml:space="preserve"> 2.2.3.8.7.6 del Decreto 1073 de 2015</w:t>
      </w:r>
      <w:r w:rsidR="00882C61" w:rsidRPr="009B135D">
        <w:rPr>
          <w:rFonts w:ascii="Bookman Old Style" w:hAnsi="Bookman Old Style"/>
          <w:sz w:val="24"/>
        </w:rPr>
        <w:t xml:space="preserve">, en esta resolución se </w:t>
      </w:r>
      <w:r w:rsidR="00CB1407" w:rsidRPr="009B135D">
        <w:rPr>
          <w:rFonts w:ascii="Bookman Old Style" w:hAnsi="Bookman Old Style"/>
          <w:sz w:val="24"/>
        </w:rPr>
        <w:t>establece</w:t>
      </w:r>
      <w:r w:rsidR="00544C1D">
        <w:rPr>
          <w:rFonts w:ascii="Bookman Old Style" w:hAnsi="Bookman Old Style"/>
          <w:sz w:val="24"/>
        </w:rPr>
        <w:t xml:space="preserve"> la forma de determinar </w:t>
      </w:r>
      <w:r w:rsidR="001C0F2D">
        <w:rPr>
          <w:rFonts w:ascii="Bookman Old Style" w:hAnsi="Bookman Old Style"/>
          <w:sz w:val="24"/>
        </w:rPr>
        <w:t xml:space="preserve">los precios y las cantidades a considerar en </w:t>
      </w:r>
      <w:r w:rsidR="00882C61" w:rsidRPr="009B135D">
        <w:rPr>
          <w:rFonts w:ascii="Bookman Old Style" w:hAnsi="Bookman Old Style"/>
          <w:sz w:val="24"/>
        </w:rPr>
        <w:t xml:space="preserve">la fórmula de traslado </w:t>
      </w:r>
      <w:r w:rsidR="00EB4AFA" w:rsidRPr="009B135D">
        <w:rPr>
          <w:rFonts w:ascii="Bookman Old Style" w:hAnsi="Bookman Old Style"/>
          <w:sz w:val="24"/>
        </w:rPr>
        <w:t xml:space="preserve">en el componente de compras de energía (G) </w:t>
      </w:r>
      <w:r w:rsidR="00544C1D">
        <w:rPr>
          <w:rFonts w:ascii="Bookman Old Style" w:hAnsi="Bookman Old Style"/>
          <w:sz w:val="24"/>
        </w:rPr>
        <w:t>d</w:t>
      </w:r>
      <w:r w:rsidR="00EB4AFA" w:rsidRPr="009B135D">
        <w:rPr>
          <w:rFonts w:ascii="Bookman Old Style" w:hAnsi="Bookman Old Style"/>
          <w:sz w:val="24"/>
        </w:rPr>
        <w:t>el costo unitario de prestación del servicio al usuario regulado (CU)</w:t>
      </w:r>
      <w:r w:rsidR="001323F3">
        <w:rPr>
          <w:rFonts w:ascii="Bookman Old Style" w:hAnsi="Bookman Old Style"/>
          <w:sz w:val="24"/>
        </w:rPr>
        <w:t>,</w:t>
      </w:r>
      <w:r w:rsidR="00EB4AFA">
        <w:rPr>
          <w:rFonts w:ascii="Bookman Old Style" w:hAnsi="Bookman Old Style"/>
          <w:sz w:val="24"/>
        </w:rPr>
        <w:t xml:space="preserve"> </w:t>
      </w:r>
      <w:r w:rsidR="008F7C06">
        <w:rPr>
          <w:rFonts w:ascii="Bookman Old Style" w:hAnsi="Bookman Old Style"/>
          <w:sz w:val="24"/>
        </w:rPr>
        <w:t>resultantes de</w:t>
      </w:r>
      <w:r w:rsidR="002371DA">
        <w:rPr>
          <w:rFonts w:ascii="Bookman Old Style" w:hAnsi="Bookman Old Style"/>
          <w:sz w:val="24"/>
        </w:rPr>
        <w:t xml:space="preserve"> </w:t>
      </w:r>
      <w:r w:rsidR="00CB1407" w:rsidRPr="009B135D">
        <w:rPr>
          <w:rFonts w:ascii="Bookman Old Style" w:hAnsi="Bookman Old Style"/>
          <w:sz w:val="24"/>
        </w:rPr>
        <w:t xml:space="preserve">los contratos </w:t>
      </w:r>
      <w:r w:rsidR="00DA20B6">
        <w:rPr>
          <w:rFonts w:ascii="Bookman Old Style" w:hAnsi="Bookman Old Style"/>
          <w:sz w:val="24"/>
        </w:rPr>
        <w:t>del mecanismo</w:t>
      </w:r>
      <w:r w:rsidR="001323F3">
        <w:rPr>
          <w:rFonts w:ascii="Bookman Old Style" w:hAnsi="Bookman Old Style"/>
          <w:sz w:val="24"/>
        </w:rPr>
        <w:t xml:space="preserve"> convocado</w:t>
      </w:r>
      <w:r w:rsidR="00DA20B6">
        <w:rPr>
          <w:rFonts w:ascii="Bookman Old Style" w:hAnsi="Bookman Old Style"/>
          <w:sz w:val="24"/>
        </w:rPr>
        <w:t xml:space="preserve"> mediante Resolución 40179 de</w:t>
      </w:r>
      <w:r w:rsidR="00E618D7">
        <w:rPr>
          <w:rFonts w:ascii="Bookman Old Style" w:hAnsi="Bookman Old Style"/>
          <w:sz w:val="24"/>
        </w:rPr>
        <w:t xml:space="preserve"> 2021</w:t>
      </w:r>
      <w:r w:rsidR="00DA20B6" w:rsidRPr="00DA20B6">
        <w:rPr>
          <w:rFonts w:ascii="Bookman Old Style" w:hAnsi="Bookman Old Style"/>
          <w:sz w:val="24"/>
        </w:rPr>
        <w:t xml:space="preserve"> </w:t>
      </w:r>
      <w:r w:rsidR="00DA20B6">
        <w:rPr>
          <w:rFonts w:ascii="Bookman Old Style" w:hAnsi="Bookman Old Style"/>
          <w:sz w:val="24"/>
        </w:rPr>
        <w:t>del Ministerio de Minas y Energía</w:t>
      </w:r>
      <w:r w:rsidRPr="009B135D">
        <w:rPr>
          <w:rFonts w:ascii="Bookman Old Style" w:hAnsi="Bookman Old Style"/>
          <w:sz w:val="24"/>
        </w:rPr>
        <w:t xml:space="preserve">. </w:t>
      </w:r>
    </w:p>
    <w:p w14:paraId="16542A83" w14:textId="77777777" w:rsidR="00791EF8" w:rsidRDefault="00791EF8" w:rsidP="00791EF8">
      <w:pPr>
        <w:pStyle w:val="Prrafodelista"/>
        <w:tabs>
          <w:tab w:val="left" w:pos="0"/>
        </w:tabs>
        <w:ind w:left="0"/>
        <w:jc w:val="both"/>
        <w:rPr>
          <w:rFonts w:ascii="Bookman Old Style" w:hAnsi="Bookman Old Style"/>
          <w:sz w:val="24"/>
        </w:rPr>
      </w:pPr>
    </w:p>
    <w:p w14:paraId="35EF9FE8" w14:textId="138BB2B5" w:rsidR="00791EF8" w:rsidRDefault="00791EF8" w:rsidP="00791EF8">
      <w:pPr>
        <w:pStyle w:val="Prrafodelista"/>
        <w:numPr>
          <w:ilvl w:val="0"/>
          <w:numId w:val="33"/>
        </w:numPr>
        <w:tabs>
          <w:tab w:val="left" w:pos="0"/>
        </w:tabs>
        <w:ind w:left="0" w:firstLine="0"/>
        <w:jc w:val="both"/>
        <w:rPr>
          <w:rFonts w:ascii="Bookman Old Style" w:hAnsi="Bookman Old Style"/>
          <w:sz w:val="24"/>
        </w:rPr>
      </w:pPr>
      <w:r w:rsidRPr="00F26EB6">
        <w:rPr>
          <w:rFonts w:ascii="Bookman Old Style" w:hAnsi="Bookman Old Style" w:cs="Arial"/>
          <w:b/>
          <w:sz w:val="24"/>
          <w:szCs w:val="24"/>
          <w:lang w:val="es-ES_tradnl"/>
        </w:rPr>
        <w:t>Reconocimiento de costos agregados en la fórmula tarifaria para el usuario regulado.</w:t>
      </w:r>
      <w:r w:rsidRPr="00791EF8">
        <w:rPr>
          <w:rFonts w:ascii="Bookman Old Style" w:hAnsi="Bookman Old Style"/>
        </w:rPr>
        <w:t xml:space="preserve"> </w:t>
      </w:r>
      <w:r w:rsidRPr="00791EF8">
        <w:rPr>
          <w:rFonts w:ascii="Bookman Old Style" w:hAnsi="Bookman Old Style"/>
          <w:sz w:val="24"/>
        </w:rPr>
        <w:t xml:space="preserve">Los comercializadores que atienden demanda regulada y que suscriban contratos resultantes </w:t>
      </w:r>
      <w:r w:rsidR="00F72BB3">
        <w:rPr>
          <w:rFonts w:ascii="Bookman Old Style" w:hAnsi="Bookman Old Style"/>
          <w:sz w:val="24"/>
        </w:rPr>
        <w:t>del mecanismo convocado mediante Resolución 40179 de 2021</w:t>
      </w:r>
      <w:r w:rsidR="00F72BB3" w:rsidRPr="00DA20B6">
        <w:rPr>
          <w:rFonts w:ascii="Bookman Old Style" w:hAnsi="Bookman Old Style"/>
          <w:sz w:val="24"/>
        </w:rPr>
        <w:t xml:space="preserve"> </w:t>
      </w:r>
      <w:r w:rsidR="00F72BB3">
        <w:rPr>
          <w:rFonts w:ascii="Bookman Old Style" w:hAnsi="Bookman Old Style"/>
          <w:sz w:val="24"/>
        </w:rPr>
        <w:t>del Ministerio de Minas y Energía</w:t>
      </w:r>
      <w:r w:rsidR="00EB4AFA">
        <w:rPr>
          <w:rFonts w:ascii="Bookman Old Style" w:hAnsi="Bookman Old Style"/>
          <w:sz w:val="24"/>
        </w:rPr>
        <w:t>,</w:t>
      </w:r>
      <w:r w:rsidR="00756880">
        <w:rPr>
          <w:rFonts w:ascii="Bookman Old Style" w:hAnsi="Bookman Old Style"/>
          <w:sz w:val="24"/>
        </w:rPr>
        <w:t xml:space="preserve"> </w:t>
      </w:r>
      <w:r w:rsidRPr="00791EF8">
        <w:rPr>
          <w:rFonts w:ascii="Bookman Old Style" w:hAnsi="Bookman Old Style"/>
          <w:sz w:val="24"/>
        </w:rPr>
        <w:t>pueden trasladar los precios</w:t>
      </w:r>
      <w:r w:rsidR="008B532C">
        <w:rPr>
          <w:rFonts w:ascii="Bookman Old Style" w:hAnsi="Bookman Old Style"/>
          <w:sz w:val="24"/>
        </w:rPr>
        <w:t xml:space="preserve"> y cantidades</w:t>
      </w:r>
      <w:r w:rsidR="00F17A59">
        <w:rPr>
          <w:rFonts w:ascii="Bookman Old Style" w:hAnsi="Bookman Old Style"/>
          <w:sz w:val="24"/>
        </w:rPr>
        <w:t xml:space="preserve"> </w:t>
      </w:r>
      <w:r w:rsidRPr="00791EF8">
        <w:rPr>
          <w:rFonts w:ascii="Bookman Old Style" w:hAnsi="Bookman Old Style"/>
          <w:sz w:val="24"/>
        </w:rPr>
        <w:t xml:space="preserve">en </w:t>
      </w:r>
      <w:r w:rsidRPr="00F26EB6">
        <w:rPr>
          <w:rFonts w:ascii="Bookman Old Style" w:hAnsi="Bookman Old Style"/>
          <w:sz w:val="24"/>
        </w:rPr>
        <w:t>el componente de costo de energía (G) del costo unitario de prestación del servicio (CU),</w:t>
      </w:r>
      <w:r w:rsidR="00F17A59">
        <w:rPr>
          <w:rFonts w:ascii="Bookman Old Style" w:hAnsi="Bookman Old Style"/>
          <w:sz w:val="24"/>
        </w:rPr>
        <w:t xml:space="preserve"> de conformidad con las </w:t>
      </w:r>
      <w:r w:rsidR="00435B1A">
        <w:rPr>
          <w:rFonts w:ascii="Bookman Old Style" w:hAnsi="Bookman Old Style"/>
          <w:sz w:val="24"/>
        </w:rPr>
        <w:t>fórmulas y condiciones</w:t>
      </w:r>
      <w:r w:rsidR="00F17A59">
        <w:rPr>
          <w:rFonts w:ascii="Bookman Old Style" w:hAnsi="Bookman Old Style"/>
          <w:sz w:val="24"/>
        </w:rPr>
        <w:t xml:space="preserve"> establecidas en la Resolución CREG 129 de 2019</w:t>
      </w:r>
      <w:r w:rsidR="001315C4">
        <w:rPr>
          <w:rFonts w:ascii="Bookman Old Style" w:hAnsi="Bookman Old Style"/>
          <w:sz w:val="24"/>
        </w:rPr>
        <w:t xml:space="preserve">, o aquella que la </w:t>
      </w:r>
      <w:r w:rsidR="000724AE">
        <w:rPr>
          <w:rFonts w:ascii="Bookman Old Style" w:hAnsi="Bookman Old Style"/>
          <w:sz w:val="24"/>
        </w:rPr>
        <w:t>modifique, adicione o sustituya</w:t>
      </w:r>
      <w:r w:rsidRPr="00791EF8">
        <w:rPr>
          <w:rFonts w:ascii="Bookman Old Style" w:hAnsi="Bookman Old Style"/>
          <w:sz w:val="24"/>
        </w:rPr>
        <w:t>.</w:t>
      </w:r>
    </w:p>
    <w:p w14:paraId="3C408DD4" w14:textId="77777777" w:rsidR="007514D0" w:rsidRDefault="007514D0" w:rsidP="008F6B07">
      <w:pPr>
        <w:pStyle w:val="Prrafodelista"/>
        <w:tabs>
          <w:tab w:val="left" w:pos="0"/>
          <w:tab w:val="left" w:pos="284"/>
        </w:tabs>
        <w:ind w:left="0"/>
        <w:jc w:val="both"/>
        <w:rPr>
          <w:rFonts w:ascii="Bookman Old Style" w:hAnsi="Bookman Old Style"/>
          <w:b/>
          <w:sz w:val="24"/>
          <w:szCs w:val="24"/>
        </w:rPr>
      </w:pPr>
    </w:p>
    <w:p w14:paraId="138DE14C" w14:textId="094D6184" w:rsidR="00FF07E5" w:rsidRPr="008C1C7B" w:rsidRDefault="00FF07E5" w:rsidP="00FF07E5">
      <w:pPr>
        <w:pStyle w:val="Prrafodelista"/>
        <w:numPr>
          <w:ilvl w:val="0"/>
          <w:numId w:val="33"/>
        </w:numPr>
        <w:tabs>
          <w:tab w:val="left" w:pos="0"/>
          <w:tab w:val="left" w:pos="284"/>
        </w:tabs>
        <w:ind w:left="0" w:firstLine="0"/>
        <w:jc w:val="both"/>
        <w:rPr>
          <w:rFonts w:ascii="Bookman Old Style" w:hAnsi="Bookman Old Style"/>
          <w:b/>
          <w:sz w:val="24"/>
          <w:szCs w:val="24"/>
        </w:rPr>
      </w:pPr>
      <w:r w:rsidRPr="008C1C7B">
        <w:rPr>
          <w:rFonts w:ascii="Bookman Old Style" w:hAnsi="Bookman Old Style"/>
          <w:b/>
          <w:sz w:val="24"/>
          <w:szCs w:val="24"/>
        </w:rPr>
        <w:t>Vigencia.</w:t>
      </w:r>
      <w:r w:rsidRPr="008C1C7B">
        <w:rPr>
          <w:rFonts w:ascii="Bookman Old Style" w:hAnsi="Bookman Old Style"/>
          <w:sz w:val="24"/>
          <w:szCs w:val="24"/>
        </w:rPr>
        <w:t xml:space="preserve"> La presente resolución rige a partir de su publicación en el </w:t>
      </w:r>
      <w:r w:rsidRPr="008C1C7B">
        <w:rPr>
          <w:rFonts w:ascii="Bookman Old Style" w:hAnsi="Bookman Old Style"/>
          <w:i/>
          <w:sz w:val="24"/>
          <w:szCs w:val="24"/>
        </w:rPr>
        <w:t>Diario Oficial</w:t>
      </w:r>
      <w:r w:rsidRPr="008C1C7B">
        <w:rPr>
          <w:rFonts w:ascii="Bookman Old Style" w:hAnsi="Bookman Old Style"/>
          <w:sz w:val="24"/>
          <w:szCs w:val="24"/>
        </w:rPr>
        <w:t>.</w:t>
      </w:r>
    </w:p>
    <w:p w14:paraId="4508EDEF" w14:textId="77777777" w:rsidR="006C2A67" w:rsidRDefault="006C2A67" w:rsidP="00045D3D">
      <w:pPr>
        <w:jc w:val="center"/>
        <w:rPr>
          <w:rFonts w:ascii="Bookman Old Style" w:hAnsi="Bookman Old Style"/>
          <w:b/>
        </w:rPr>
      </w:pPr>
    </w:p>
    <w:p w14:paraId="55A6046D" w14:textId="16B785F3" w:rsidR="00246929" w:rsidRPr="00933389" w:rsidRDefault="00045D3D" w:rsidP="00933389">
      <w:pPr>
        <w:jc w:val="center"/>
        <w:rPr>
          <w:rFonts w:ascii="Bookman Old Style" w:hAnsi="Bookman Old Style"/>
          <w:b/>
        </w:rPr>
      </w:pPr>
      <w:r w:rsidRPr="00C435C3">
        <w:rPr>
          <w:rFonts w:ascii="Bookman Old Style" w:hAnsi="Bookman Old Style"/>
          <w:b/>
        </w:rPr>
        <w:t>PU</w:t>
      </w:r>
      <w:r w:rsidR="00CA03C8">
        <w:rPr>
          <w:rFonts w:ascii="Bookman Old Style" w:hAnsi="Bookman Old Style"/>
          <w:b/>
        </w:rPr>
        <w:t>B</w:t>
      </w:r>
      <w:r w:rsidRPr="00C435C3">
        <w:rPr>
          <w:rFonts w:ascii="Bookman Old Style" w:hAnsi="Bookman Old Style"/>
          <w:b/>
        </w:rPr>
        <w:t>LÍQUESE Y CÚMPLASE</w:t>
      </w:r>
    </w:p>
    <w:p w14:paraId="564C8783" w14:textId="77777777" w:rsidR="00933389" w:rsidRDefault="00933389" w:rsidP="00246929">
      <w:pPr>
        <w:ind w:left="0"/>
        <w:rPr>
          <w:rFonts w:ascii="Bookman Old Style" w:hAnsi="Bookman Old Style"/>
        </w:rPr>
      </w:pPr>
    </w:p>
    <w:p w14:paraId="1660A3F8" w14:textId="719AAF85" w:rsidR="00722E22" w:rsidRPr="00933389" w:rsidRDefault="002E200E" w:rsidP="00246929">
      <w:pPr>
        <w:ind w:left="0"/>
        <w:rPr>
          <w:rFonts w:ascii="Bookman Old Style" w:hAnsi="Bookman Old Style"/>
          <w:b/>
          <w:bCs/>
        </w:rPr>
      </w:pPr>
      <w:r w:rsidRPr="00C12792">
        <w:rPr>
          <w:rFonts w:ascii="Bookman Old Style" w:hAnsi="Bookman Old Style"/>
        </w:rPr>
        <w:t xml:space="preserve">Dada en Bogotá D.C, </w:t>
      </w:r>
      <w:r w:rsidR="00933389" w:rsidRPr="00933389">
        <w:rPr>
          <w:rFonts w:ascii="Bookman Old Style" w:hAnsi="Bookman Old Style"/>
          <w:b/>
          <w:bCs/>
        </w:rPr>
        <w:t>08 OCT. 2021</w:t>
      </w:r>
    </w:p>
    <w:p w14:paraId="147F1865" w14:textId="77777777" w:rsidR="000958B5" w:rsidRDefault="000958B5" w:rsidP="00246929">
      <w:pPr>
        <w:ind w:left="0"/>
        <w:rPr>
          <w:rFonts w:ascii="Bookman Old Style" w:hAnsi="Bookman Old Style"/>
        </w:rPr>
      </w:pPr>
    </w:p>
    <w:p w14:paraId="44C4666C" w14:textId="77777777" w:rsidR="00933389" w:rsidRPr="00933389" w:rsidRDefault="00933389" w:rsidP="00246929">
      <w:pPr>
        <w:ind w:left="0"/>
        <w:rPr>
          <w:rFonts w:ascii="Bookman Old Style" w:hAnsi="Bookman Old Style"/>
          <w:sz w:val="36"/>
          <w:szCs w:val="36"/>
        </w:rPr>
      </w:pPr>
    </w:p>
    <w:p w14:paraId="7944ACCA" w14:textId="77777777" w:rsidR="00246929" w:rsidRPr="00C435C3" w:rsidRDefault="00246929" w:rsidP="00246929">
      <w:pPr>
        <w:ind w:left="0"/>
        <w:rPr>
          <w:rFonts w:ascii="Bookman Old Style" w:hAnsi="Bookman Old Style"/>
        </w:rPr>
      </w:pPr>
    </w:p>
    <w:tbl>
      <w:tblPr>
        <w:tblW w:w="9512" w:type="dxa"/>
        <w:jc w:val="center"/>
        <w:tblCellSpacing w:w="0" w:type="dxa"/>
        <w:tblCellMar>
          <w:left w:w="0" w:type="dxa"/>
          <w:right w:w="0" w:type="dxa"/>
        </w:tblCellMar>
        <w:tblLook w:val="04A0" w:firstRow="1" w:lastRow="0" w:firstColumn="1" w:lastColumn="0" w:noHBand="0" w:noVBand="1"/>
      </w:tblPr>
      <w:tblGrid>
        <w:gridCol w:w="4827"/>
        <w:gridCol w:w="4685"/>
      </w:tblGrid>
      <w:tr w:rsidR="00722E22" w:rsidRPr="00BF69C9" w14:paraId="79F4B21E" w14:textId="77777777" w:rsidTr="00933389">
        <w:trPr>
          <w:trHeight w:val="265"/>
          <w:tblCellSpacing w:w="0" w:type="dxa"/>
          <w:jc w:val="center"/>
        </w:trPr>
        <w:tc>
          <w:tcPr>
            <w:tcW w:w="4827" w:type="dxa"/>
          </w:tcPr>
          <w:p w14:paraId="5AA5BFB6" w14:textId="6F84E969" w:rsidR="00722E22" w:rsidRPr="00722E22" w:rsidRDefault="002D5562" w:rsidP="00B22954">
            <w:pPr>
              <w:ind w:left="66"/>
              <w:jc w:val="center"/>
              <w:rPr>
                <w:rFonts w:ascii="Bookman Old Style" w:hAnsi="Bookman Old Style" w:cs="Arial"/>
                <w:b/>
              </w:rPr>
            </w:pPr>
            <w:r>
              <w:rPr>
                <w:rFonts w:ascii="Bookman Old Style" w:hAnsi="Bookman Old Style" w:cs="Arial"/>
                <w:b/>
              </w:rPr>
              <w:t xml:space="preserve">DIEGO MESA PUYO </w:t>
            </w:r>
          </w:p>
        </w:tc>
        <w:tc>
          <w:tcPr>
            <w:tcW w:w="4685" w:type="dxa"/>
          </w:tcPr>
          <w:p w14:paraId="23B88C8D" w14:textId="433335B9" w:rsidR="00722E22" w:rsidRPr="00722E22" w:rsidRDefault="002D5562" w:rsidP="00B22954">
            <w:pPr>
              <w:ind w:left="69"/>
              <w:jc w:val="center"/>
              <w:rPr>
                <w:rFonts w:ascii="Bookman Old Style" w:hAnsi="Bookman Old Style" w:cs="Arial"/>
                <w:b/>
              </w:rPr>
            </w:pPr>
            <w:r>
              <w:rPr>
                <w:rFonts w:ascii="Bookman Old Style" w:hAnsi="Bookman Old Style" w:cs="Arial"/>
                <w:b/>
              </w:rPr>
              <w:t xml:space="preserve">JORGE ALBERTO VALENCIA MARÍN </w:t>
            </w:r>
          </w:p>
        </w:tc>
      </w:tr>
      <w:tr w:rsidR="00722E22" w:rsidRPr="00BF69C9" w14:paraId="28365AD2" w14:textId="77777777" w:rsidTr="00933389">
        <w:trPr>
          <w:trHeight w:val="517"/>
          <w:tblCellSpacing w:w="0" w:type="dxa"/>
          <w:jc w:val="center"/>
        </w:trPr>
        <w:tc>
          <w:tcPr>
            <w:tcW w:w="4827" w:type="dxa"/>
            <w:hideMark/>
          </w:tcPr>
          <w:p w14:paraId="665953E8" w14:textId="1A1E0DF1" w:rsidR="001F598F" w:rsidRDefault="002D5562" w:rsidP="00B22954">
            <w:pPr>
              <w:ind w:left="66"/>
              <w:jc w:val="center"/>
              <w:rPr>
                <w:rFonts w:ascii="Bookman Old Style" w:hAnsi="Bookman Old Style" w:cs="Arial"/>
              </w:rPr>
            </w:pPr>
            <w:r>
              <w:rPr>
                <w:rFonts w:ascii="Bookman Old Style" w:hAnsi="Bookman Old Style" w:cs="Arial"/>
              </w:rPr>
              <w:t>M</w:t>
            </w:r>
            <w:r w:rsidR="00722E22" w:rsidRPr="00722E22">
              <w:rPr>
                <w:rFonts w:ascii="Bookman Old Style" w:hAnsi="Bookman Old Style" w:cs="Arial"/>
              </w:rPr>
              <w:t xml:space="preserve">inistro de </w:t>
            </w:r>
            <w:r>
              <w:rPr>
                <w:rFonts w:ascii="Bookman Old Style" w:hAnsi="Bookman Old Style" w:cs="Arial"/>
              </w:rPr>
              <w:t xml:space="preserve">Minas y </w:t>
            </w:r>
            <w:r w:rsidR="00722E22" w:rsidRPr="00722E22">
              <w:rPr>
                <w:rFonts w:ascii="Bookman Old Style" w:hAnsi="Bookman Old Style" w:cs="Arial"/>
              </w:rPr>
              <w:t>Energía</w:t>
            </w:r>
          </w:p>
          <w:p w14:paraId="3B62323E" w14:textId="6CE7E933" w:rsidR="00722E22" w:rsidRPr="00722E22" w:rsidRDefault="002D5562" w:rsidP="00B22954">
            <w:pPr>
              <w:ind w:left="66"/>
              <w:jc w:val="center"/>
              <w:rPr>
                <w:rFonts w:ascii="Bookman Old Style" w:eastAsia="Arial Unicode MS" w:hAnsi="Bookman Old Style" w:cs="Arial"/>
                <w:color w:val="000000"/>
              </w:rPr>
            </w:pPr>
            <w:r>
              <w:rPr>
                <w:rFonts w:ascii="Bookman Old Style" w:eastAsia="Arial Unicode MS" w:hAnsi="Bookman Old Style" w:cs="Arial"/>
                <w:color w:val="000000"/>
              </w:rPr>
              <w:t>Presidente</w:t>
            </w:r>
          </w:p>
        </w:tc>
        <w:tc>
          <w:tcPr>
            <w:tcW w:w="4685" w:type="dxa"/>
            <w:hideMark/>
          </w:tcPr>
          <w:p w14:paraId="412E4C6A" w14:textId="21C10434" w:rsidR="00722E22" w:rsidRPr="00722E22" w:rsidRDefault="00722E22" w:rsidP="00EC4888">
            <w:pPr>
              <w:ind w:left="69"/>
              <w:jc w:val="center"/>
              <w:rPr>
                <w:rFonts w:ascii="Bookman Old Style" w:eastAsia="Arial Unicode MS" w:hAnsi="Bookman Old Style" w:cs="Arial"/>
                <w:color w:val="000000"/>
              </w:rPr>
            </w:pPr>
            <w:r w:rsidRPr="00722E22">
              <w:rPr>
                <w:rFonts w:ascii="Bookman Old Style" w:hAnsi="Bookman Old Style" w:cs="Arial"/>
              </w:rPr>
              <w:t>Director Ejecutiv</w:t>
            </w:r>
            <w:r w:rsidR="002D5562">
              <w:rPr>
                <w:rFonts w:ascii="Bookman Old Style" w:hAnsi="Bookman Old Style" w:cs="Arial"/>
              </w:rPr>
              <w:t>o</w:t>
            </w:r>
          </w:p>
        </w:tc>
      </w:tr>
      <w:tr w:rsidR="00722E22" w:rsidRPr="00CF2A2D" w14:paraId="7E73D407" w14:textId="77777777" w:rsidTr="00933389">
        <w:trPr>
          <w:trHeight w:val="265"/>
          <w:tblCellSpacing w:w="0" w:type="dxa"/>
          <w:jc w:val="center"/>
        </w:trPr>
        <w:tc>
          <w:tcPr>
            <w:tcW w:w="4827" w:type="dxa"/>
            <w:hideMark/>
          </w:tcPr>
          <w:p w14:paraId="4846FBBC" w14:textId="17EA2B76" w:rsidR="00722E22" w:rsidRPr="00722E22" w:rsidRDefault="00722E22" w:rsidP="00B22954">
            <w:pPr>
              <w:ind w:left="66"/>
              <w:jc w:val="center"/>
              <w:rPr>
                <w:rFonts w:ascii="Bookman Old Style" w:eastAsia="Arial Unicode MS" w:hAnsi="Bookman Old Style" w:cs="Arial"/>
                <w:color w:val="000000"/>
              </w:rPr>
            </w:pPr>
          </w:p>
        </w:tc>
        <w:tc>
          <w:tcPr>
            <w:tcW w:w="4685" w:type="dxa"/>
          </w:tcPr>
          <w:p w14:paraId="66344625" w14:textId="77777777" w:rsidR="00722E22" w:rsidRPr="00722E22" w:rsidRDefault="00722E22" w:rsidP="00B22954">
            <w:pPr>
              <w:jc w:val="center"/>
              <w:rPr>
                <w:rFonts w:ascii="Bookman Old Style" w:eastAsia="Arial Unicode MS" w:hAnsi="Bookman Old Style" w:cs="Arial"/>
                <w:color w:val="000000"/>
              </w:rPr>
            </w:pPr>
          </w:p>
        </w:tc>
      </w:tr>
    </w:tbl>
    <w:p w14:paraId="3C9A0189" w14:textId="77777777" w:rsidR="00FF07E5" w:rsidRDefault="00FF07E5" w:rsidP="0070210E">
      <w:pPr>
        <w:ind w:left="0"/>
        <w:rPr>
          <w:rFonts w:ascii="Bookman Old Style" w:hAnsi="Bookman Old Style"/>
        </w:rPr>
      </w:pPr>
    </w:p>
    <w:sectPr w:rsidR="00FF07E5" w:rsidSect="00722E22">
      <w:headerReference w:type="default" r:id="rId14"/>
      <w:headerReference w:type="first" r:id="rId15"/>
      <w:type w:val="continuous"/>
      <w:pgSz w:w="12242" w:h="18722" w:code="123"/>
      <w:pgMar w:top="256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E5CF" w14:textId="77777777" w:rsidR="005F5DBB" w:rsidRDefault="005F5DBB">
      <w:r>
        <w:separator/>
      </w:r>
    </w:p>
  </w:endnote>
  <w:endnote w:type="continuationSeparator" w:id="0">
    <w:p w14:paraId="451267F5" w14:textId="77777777" w:rsidR="005F5DBB" w:rsidRDefault="005F5DBB">
      <w:r>
        <w:continuationSeparator/>
      </w:r>
    </w:p>
  </w:endnote>
  <w:endnote w:type="continuationNotice" w:id="1">
    <w:p w14:paraId="04C9BF97" w14:textId="77777777" w:rsidR="005F5DBB" w:rsidRDefault="005F5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DF0B" w14:textId="77777777" w:rsidR="005F5DBB" w:rsidRDefault="005F5DBB">
      <w:r>
        <w:separator/>
      </w:r>
    </w:p>
  </w:footnote>
  <w:footnote w:type="continuationSeparator" w:id="0">
    <w:p w14:paraId="080C5B9B" w14:textId="77777777" w:rsidR="005F5DBB" w:rsidRDefault="005F5DBB">
      <w:r>
        <w:continuationSeparator/>
      </w:r>
    </w:p>
  </w:footnote>
  <w:footnote w:type="continuationNotice" w:id="1">
    <w:p w14:paraId="25115C9F" w14:textId="77777777" w:rsidR="005F5DBB" w:rsidRDefault="005F5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4C21" w14:textId="77777777" w:rsidR="00544055" w:rsidRPr="00722E22" w:rsidRDefault="00544055" w:rsidP="00951F79">
    <w:pPr>
      <w:pStyle w:val="Ttulo1"/>
      <w:ind w:right="6"/>
      <w:jc w:val="left"/>
      <w:rPr>
        <w:rFonts w:ascii="Bookman Old Style" w:hAnsi="Bookman Old Style" w:cs="Arial"/>
        <w:b w:val="0"/>
        <w:sz w:val="22"/>
        <w:szCs w:val="22"/>
      </w:rPr>
    </w:pPr>
  </w:p>
  <w:p w14:paraId="2D779071" w14:textId="3E9AFB7E" w:rsidR="00544055" w:rsidRPr="00951F79" w:rsidRDefault="0054405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933389" w:rsidRPr="00933389">
      <w:rPr>
        <w:rFonts w:ascii="Bookman Old Style" w:hAnsi="Bookman Old Style" w:cs="Arial"/>
        <w:bCs/>
        <w:szCs w:val="24"/>
        <w:u w:val="single"/>
      </w:rPr>
      <w:t>179</w:t>
    </w:r>
    <w:r w:rsidR="00933389">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933389" w:rsidRPr="00933389">
      <w:rPr>
        <w:rFonts w:ascii="Bookman Old Style" w:hAnsi="Bookman Old Style" w:cs="Arial"/>
        <w:bCs/>
        <w:szCs w:val="24"/>
        <w:u w:val="single"/>
      </w:rPr>
      <w:t>08 OCT. 2021</w:t>
    </w:r>
    <w:r w:rsidR="00933389">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F3937">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04D29">
      <w:fldChar w:fldCharType="begin"/>
    </w:r>
    <w:r w:rsidR="00B04D29">
      <w:instrText xml:space="preserve"> NUMPAGES  \* MERGEFORMAT </w:instrText>
    </w:r>
    <w:r w:rsidR="00B04D29">
      <w:fldChar w:fldCharType="separate"/>
    </w:r>
    <w:r w:rsidR="002F3937" w:rsidRPr="002F3937">
      <w:rPr>
        <w:rFonts w:ascii="Bookman Old Style" w:hAnsi="Bookman Old Style" w:cs="Arial"/>
        <w:b w:val="0"/>
        <w:noProof/>
        <w:sz w:val="22"/>
        <w:szCs w:val="22"/>
      </w:rPr>
      <w:t>10</w:t>
    </w:r>
    <w:r w:rsidR="00B04D29">
      <w:rPr>
        <w:rFonts w:ascii="Bookman Old Style" w:hAnsi="Bookman Old Style" w:cs="Arial"/>
        <w:b w:val="0"/>
        <w:noProof/>
        <w:sz w:val="22"/>
        <w:szCs w:val="22"/>
      </w:rPr>
      <w:fldChar w:fldCharType="end"/>
    </w:r>
  </w:p>
  <w:p w14:paraId="5EECFBAB" w14:textId="77777777" w:rsidR="00544055" w:rsidRDefault="0054405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3F69E07B" wp14:editId="5BD5B42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AFEA9A0">
            <v:rect id="Rectangle 1"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551F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w:pict>
        </mc:Fallback>
      </mc:AlternateContent>
    </w:r>
  </w:p>
  <w:p w14:paraId="447FA6F0" w14:textId="77777777" w:rsidR="00722E22" w:rsidRDefault="00722E22" w:rsidP="00722E22">
    <w:pPr>
      <w:pBdr>
        <w:bottom w:val="single" w:sz="12" w:space="3" w:color="auto"/>
      </w:pBdr>
      <w:ind w:left="0"/>
      <w:jc w:val="both"/>
      <w:rPr>
        <w:rFonts w:ascii="Bookman Old Style" w:hAnsi="Bookman Old Style"/>
        <w:sz w:val="22"/>
        <w:szCs w:val="22"/>
      </w:rPr>
    </w:pPr>
    <w:r w:rsidRPr="00722E22">
      <w:rPr>
        <w:rFonts w:ascii="Bookman Old Style" w:hAnsi="Bookman Old Style"/>
        <w:sz w:val="22"/>
        <w:szCs w:val="22"/>
      </w:rPr>
      <w:t>Fórmula de traslado en el componente de compras de energía al usuario regulado de los precios del mecanismo de contratación establecido en la Resolución 40590 de 2019 del Ministerio de Minas y Energía</w:t>
    </w:r>
    <w:r w:rsidR="00544055" w:rsidRPr="00722E22">
      <w:rPr>
        <w:rFonts w:ascii="Bookman Old Style" w:hAnsi="Bookman Old Style"/>
        <w:sz w:val="22"/>
        <w:szCs w:val="22"/>
      </w:rPr>
      <w:t>.</w:t>
    </w:r>
  </w:p>
  <w:p w14:paraId="70341A87" w14:textId="77777777" w:rsidR="00722E22" w:rsidRDefault="00722E22" w:rsidP="00722E22">
    <w:pPr>
      <w:pBdr>
        <w:bottom w:val="single" w:sz="12" w:space="3" w:color="auto"/>
      </w:pBdr>
      <w:ind w:left="0"/>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4314" w14:textId="77777777" w:rsidR="00544055" w:rsidRDefault="00544055"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0574250" w14:textId="77777777" w:rsidR="00544055" w:rsidRDefault="00544055">
    <w:pPr>
      <w:pStyle w:val="Encabezado"/>
      <w:jc w:val="center"/>
      <w:rPr>
        <w:rFonts w:ascii="Arial" w:hAnsi="Arial" w:cs="Arial"/>
        <w:spacing w:val="20"/>
        <w:sz w:val="20"/>
      </w:rPr>
    </w:pPr>
  </w:p>
  <w:p w14:paraId="0E97CE0F" w14:textId="77777777" w:rsidR="00544055" w:rsidRDefault="0054405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06C7A4F" wp14:editId="4C9CE92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33BC36">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031AB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2801E2"/>
    <w:multiLevelType w:val="hybridMultilevel"/>
    <w:tmpl w:val="DBD61922"/>
    <w:lvl w:ilvl="0" w:tplc="240A000F">
      <w:start w:val="1"/>
      <w:numFmt w:val="decimal"/>
      <w:lvlText w:val="%1."/>
      <w:lvlJc w:val="left"/>
      <w:pPr>
        <w:ind w:left="1287" w:hanging="360"/>
      </w:pPr>
    </w:lvl>
    <w:lvl w:ilvl="1" w:tplc="240A0019">
      <w:start w:val="1"/>
      <w:numFmt w:val="lowerLetter"/>
      <w:lvlText w:val="%2."/>
      <w:lvlJc w:val="left"/>
      <w:pPr>
        <w:ind w:left="2007" w:hanging="360"/>
      </w:pPr>
    </w:lvl>
    <w:lvl w:ilvl="2" w:tplc="240A001B">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A4E167B"/>
    <w:multiLevelType w:val="hybridMultilevel"/>
    <w:tmpl w:val="C9F430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F34E68"/>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B704D3"/>
    <w:multiLevelType w:val="hybridMultilevel"/>
    <w:tmpl w:val="BAC22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9F1C7E"/>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543BDE"/>
    <w:multiLevelType w:val="hybridMultilevel"/>
    <w:tmpl w:val="88C69FD6"/>
    <w:lvl w:ilvl="0" w:tplc="7EC2704A">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36397C"/>
    <w:multiLevelType w:val="hybridMultilevel"/>
    <w:tmpl w:val="7A2C4BCA"/>
    <w:lvl w:ilvl="0" w:tplc="240A0001">
      <w:start w:val="1"/>
      <w:numFmt w:val="bullet"/>
      <w:lvlText w:val=""/>
      <w:lvlJc w:val="left"/>
      <w:pPr>
        <w:ind w:left="1522" w:hanging="360"/>
      </w:pPr>
      <w:rPr>
        <w:rFonts w:ascii="Symbol" w:hAnsi="Symbol" w:hint="default"/>
      </w:rPr>
    </w:lvl>
    <w:lvl w:ilvl="1" w:tplc="240A0003" w:tentative="1">
      <w:start w:val="1"/>
      <w:numFmt w:val="bullet"/>
      <w:lvlText w:val="o"/>
      <w:lvlJc w:val="left"/>
      <w:pPr>
        <w:ind w:left="2242" w:hanging="360"/>
      </w:pPr>
      <w:rPr>
        <w:rFonts w:ascii="Courier New" w:hAnsi="Courier New" w:cs="Courier New" w:hint="default"/>
      </w:rPr>
    </w:lvl>
    <w:lvl w:ilvl="2" w:tplc="240A0005" w:tentative="1">
      <w:start w:val="1"/>
      <w:numFmt w:val="bullet"/>
      <w:lvlText w:val=""/>
      <w:lvlJc w:val="left"/>
      <w:pPr>
        <w:ind w:left="2962" w:hanging="360"/>
      </w:pPr>
      <w:rPr>
        <w:rFonts w:ascii="Wingdings" w:hAnsi="Wingdings" w:hint="default"/>
      </w:rPr>
    </w:lvl>
    <w:lvl w:ilvl="3" w:tplc="240A0001" w:tentative="1">
      <w:start w:val="1"/>
      <w:numFmt w:val="bullet"/>
      <w:lvlText w:val=""/>
      <w:lvlJc w:val="left"/>
      <w:pPr>
        <w:ind w:left="3682" w:hanging="360"/>
      </w:pPr>
      <w:rPr>
        <w:rFonts w:ascii="Symbol" w:hAnsi="Symbol" w:hint="default"/>
      </w:rPr>
    </w:lvl>
    <w:lvl w:ilvl="4" w:tplc="240A0003" w:tentative="1">
      <w:start w:val="1"/>
      <w:numFmt w:val="bullet"/>
      <w:lvlText w:val="o"/>
      <w:lvlJc w:val="left"/>
      <w:pPr>
        <w:ind w:left="4402" w:hanging="360"/>
      </w:pPr>
      <w:rPr>
        <w:rFonts w:ascii="Courier New" w:hAnsi="Courier New" w:cs="Courier New" w:hint="default"/>
      </w:rPr>
    </w:lvl>
    <w:lvl w:ilvl="5" w:tplc="240A0005" w:tentative="1">
      <w:start w:val="1"/>
      <w:numFmt w:val="bullet"/>
      <w:lvlText w:val=""/>
      <w:lvlJc w:val="left"/>
      <w:pPr>
        <w:ind w:left="5122" w:hanging="360"/>
      </w:pPr>
      <w:rPr>
        <w:rFonts w:ascii="Wingdings" w:hAnsi="Wingdings" w:hint="default"/>
      </w:rPr>
    </w:lvl>
    <w:lvl w:ilvl="6" w:tplc="240A0001" w:tentative="1">
      <w:start w:val="1"/>
      <w:numFmt w:val="bullet"/>
      <w:lvlText w:val=""/>
      <w:lvlJc w:val="left"/>
      <w:pPr>
        <w:ind w:left="5842" w:hanging="360"/>
      </w:pPr>
      <w:rPr>
        <w:rFonts w:ascii="Symbol" w:hAnsi="Symbol" w:hint="default"/>
      </w:rPr>
    </w:lvl>
    <w:lvl w:ilvl="7" w:tplc="240A0003" w:tentative="1">
      <w:start w:val="1"/>
      <w:numFmt w:val="bullet"/>
      <w:lvlText w:val="o"/>
      <w:lvlJc w:val="left"/>
      <w:pPr>
        <w:ind w:left="6562" w:hanging="360"/>
      </w:pPr>
      <w:rPr>
        <w:rFonts w:ascii="Courier New" w:hAnsi="Courier New" w:cs="Courier New" w:hint="default"/>
      </w:rPr>
    </w:lvl>
    <w:lvl w:ilvl="8" w:tplc="240A0005" w:tentative="1">
      <w:start w:val="1"/>
      <w:numFmt w:val="bullet"/>
      <w:lvlText w:val=""/>
      <w:lvlJc w:val="left"/>
      <w:pPr>
        <w:ind w:left="7282" w:hanging="360"/>
      </w:pPr>
      <w:rPr>
        <w:rFonts w:ascii="Wingdings" w:hAnsi="Wingdings" w:hint="default"/>
      </w:rPr>
    </w:lvl>
  </w:abstractNum>
  <w:abstractNum w:abstractNumId="13" w15:restartNumberingAfterBreak="0">
    <w:nsid w:val="24D95FE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ED1131"/>
    <w:multiLevelType w:val="hybridMultilevel"/>
    <w:tmpl w:val="D27A25D0"/>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6F3645B"/>
    <w:multiLevelType w:val="hybridMultilevel"/>
    <w:tmpl w:val="1694859A"/>
    <w:lvl w:ilvl="0" w:tplc="C40C8C5C">
      <w:numFmt w:val="bullet"/>
      <w:lvlText w:val=""/>
      <w:lvlJc w:val="left"/>
      <w:pPr>
        <w:ind w:left="645" w:hanging="360"/>
      </w:pPr>
      <w:rPr>
        <w:rFonts w:ascii="Symbol" w:eastAsia="Times New Roman" w:hAnsi="Symbol" w:cs="Times New Roman" w:hint="default"/>
      </w:rPr>
    </w:lvl>
    <w:lvl w:ilvl="1" w:tplc="240A0003" w:tentative="1">
      <w:start w:val="1"/>
      <w:numFmt w:val="bullet"/>
      <w:lvlText w:val="o"/>
      <w:lvlJc w:val="left"/>
      <w:pPr>
        <w:ind w:left="1365" w:hanging="360"/>
      </w:pPr>
      <w:rPr>
        <w:rFonts w:ascii="Courier New" w:hAnsi="Courier New" w:cs="Courier New" w:hint="default"/>
      </w:rPr>
    </w:lvl>
    <w:lvl w:ilvl="2" w:tplc="240A0005" w:tentative="1">
      <w:start w:val="1"/>
      <w:numFmt w:val="bullet"/>
      <w:lvlText w:val=""/>
      <w:lvlJc w:val="left"/>
      <w:pPr>
        <w:ind w:left="2085" w:hanging="360"/>
      </w:pPr>
      <w:rPr>
        <w:rFonts w:ascii="Wingdings" w:hAnsi="Wingdings" w:hint="default"/>
      </w:rPr>
    </w:lvl>
    <w:lvl w:ilvl="3" w:tplc="240A0001" w:tentative="1">
      <w:start w:val="1"/>
      <w:numFmt w:val="bullet"/>
      <w:lvlText w:val=""/>
      <w:lvlJc w:val="left"/>
      <w:pPr>
        <w:ind w:left="2805" w:hanging="360"/>
      </w:pPr>
      <w:rPr>
        <w:rFonts w:ascii="Symbol" w:hAnsi="Symbol" w:hint="default"/>
      </w:rPr>
    </w:lvl>
    <w:lvl w:ilvl="4" w:tplc="240A0003" w:tentative="1">
      <w:start w:val="1"/>
      <w:numFmt w:val="bullet"/>
      <w:lvlText w:val="o"/>
      <w:lvlJc w:val="left"/>
      <w:pPr>
        <w:ind w:left="3525" w:hanging="360"/>
      </w:pPr>
      <w:rPr>
        <w:rFonts w:ascii="Courier New" w:hAnsi="Courier New" w:cs="Courier New" w:hint="default"/>
      </w:rPr>
    </w:lvl>
    <w:lvl w:ilvl="5" w:tplc="240A0005" w:tentative="1">
      <w:start w:val="1"/>
      <w:numFmt w:val="bullet"/>
      <w:lvlText w:val=""/>
      <w:lvlJc w:val="left"/>
      <w:pPr>
        <w:ind w:left="4245" w:hanging="360"/>
      </w:pPr>
      <w:rPr>
        <w:rFonts w:ascii="Wingdings" w:hAnsi="Wingdings" w:hint="default"/>
      </w:rPr>
    </w:lvl>
    <w:lvl w:ilvl="6" w:tplc="240A0001" w:tentative="1">
      <w:start w:val="1"/>
      <w:numFmt w:val="bullet"/>
      <w:lvlText w:val=""/>
      <w:lvlJc w:val="left"/>
      <w:pPr>
        <w:ind w:left="4965" w:hanging="360"/>
      </w:pPr>
      <w:rPr>
        <w:rFonts w:ascii="Symbol" w:hAnsi="Symbol" w:hint="default"/>
      </w:rPr>
    </w:lvl>
    <w:lvl w:ilvl="7" w:tplc="240A0003" w:tentative="1">
      <w:start w:val="1"/>
      <w:numFmt w:val="bullet"/>
      <w:lvlText w:val="o"/>
      <w:lvlJc w:val="left"/>
      <w:pPr>
        <w:ind w:left="5685" w:hanging="360"/>
      </w:pPr>
      <w:rPr>
        <w:rFonts w:ascii="Courier New" w:hAnsi="Courier New" w:cs="Courier New" w:hint="default"/>
      </w:rPr>
    </w:lvl>
    <w:lvl w:ilvl="8" w:tplc="240A0005" w:tentative="1">
      <w:start w:val="1"/>
      <w:numFmt w:val="bullet"/>
      <w:lvlText w:val=""/>
      <w:lvlJc w:val="left"/>
      <w:pPr>
        <w:ind w:left="6405" w:hanging="360"/>
      </w:pPr>
      <w:rPr>
        <w:rFonts w:ascii="Wingdings" w:hAnsi="Wingdings" w:hint="default"/>
      </w:rPr>
    </w:lvl>
  </w:abstractNum>
  <w:abstractNum w:abstractNumId="18" w15:restartNumberingAfterBreak="0">
    <w:nsid w:val="299161C9"/>
    <w:multiLevelType w:val="hybridMultilevel"/>
    <w:tmpl w:val="E5C09086"/>
    <w:lvl w:ilvl="0" w:tplc="CB0AE6F4">
      <w:start w:val="1"/>
      <w:numFmt w:val="decimal"/>
      <w:lvlText w:val="%1."/>
      <w:lvlJc w:val="left"/>
      <w:pPr>
        <w:ind w:left="1800" w:hanging="360"/>
      </w:pPr>
      <w:rPr>
        <w:rFonts w:hint="default"/>
        <w:b/>
      </w:r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 w15:restartNumberingAfterBreak="0">
    <w:nsid w:val="2BEE0B56"/>
    <w:multiLevelType w:val="multilevel"/>
    <w:tmpl w:val="7F7AFB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63922"/>
    <w:multiLevelType w:val="hybridMultilevel"/>
    <w:tmpl w:val="23327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7" w15:restartNumberingAfterBreak="0">
    <w:nsid w:val="4A2F3B3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D56427"/>
    <w:multiLevelType w:val="hybridMultilevel"/>
    <w:tmpl w:val="DC10F046"/>
    <w:lvl w:ilvl="0" w:tplc="240A0019">
      <w:start w:val="1"/>
      <w:numFmt w:val="lowerLetter"/>
      <w:lvlText w:val="%1."/>
      <w:lvlJc w:val="left"/>
      <w:pPr>
        <w:ind w:left="1647" w:hanging="360"/>
      </w:pPr>
    </w:lvl>
    <w:lvl w:ilvl="1" w:tplc="3C5A937A">
      <w:start w:val="1"/>
      <w:numFmt w:val="decimal"/>
      <w:lvlText w:val="%2."/>
      <w:lvlJc w:val="left"/>
      <w:pPr>
        <w:ind w:left="2407" w:hanging="400"/>
      </w:pPr>
      <w:rPr>
        <w:rFonts w:hint="default"/>
        <w:b/>
      </w:r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29"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559E657D"/>
    <w:multiLevelType w:val="hybridMultilevel"/>
    <w:tmpl w:val="C61803D6"/>
    <w:lvl w:ilvl="0" w:tplc="9ED4A45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1F1FB5"/>
    <w:multiLevelType w:val="hybridMultilevel"/>
    <w:tmpl w:val="46C2CFBA"/>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32"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5F4B150F"/>
    <w:multiLevelType w:val="hybridMultilevel"/>
    <w:tmpl w:val="562099D2"/>
    <w:lvl w:ilvl="0" w:tplc="820C94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54562F2"/>
    <w:multiLevelType w:val="hybridMultilevel"/>
    <w:tmpl w:val="4C1C4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15:restartNumberingAfterBreak="0">
    <w:nsid w:val="6E185A88"/>
    <w:multiLevelType w:val="multilevel"/>
    <w:tmpl w:val="87C28E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F23FCF"/>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42"/>
  </w:num>
  <w:num w:numId="4">
    <w:abstractNumId w:val="14"/>
  </w:num>
  <w:num w:numId="5">
    <w:abstractNumId w:val="33"/>
  </w:num>
  <w:num w:numId="6">
    <w:abstractNumId w:val="5"/>
  </w:num>
  <w:num w:numId="7">
    <w:abstractNumId w:val="4"/>
  </w:num>
  <w:num w:numId="8">
    <w:abstractNumId w:val="36"/>
  </w:num>
  <w:num w:numId="9">
    <w:abstractNumId w:val="34"/>
  </w:num>
  <w:num w:numId="10">
    <w:abstractNumId w:val="25"/>
  </w:num>
  <w:num w:numId="11">
    <w:abstractNumId w:val="43"/>
  </w:num>
  <w:num w:numId="12">
    <w:abstractNumId w:val="40"/>
  </w:num>
  <w:num w:numId="13">
    <w:abstractNumId w:val="22"/>
  </w:num>
  <w:num w:numId="14">
    <w:abstractNumId w:val="3"/>
  </w:num>
  <w:num w:numId="15">
    <w:abstractNumId w:val="26"/>
  </w:num>
  <w:num w:numId="16">
    <w:abstractNumId w:val="1"/>
  </w:num>
  <w:num w:numId="17">
    <w:abstractNumId w:val="21"/>
  </w:num>
  <w:num w:numId="18">
    <w:abstractNumId w:val="0"/>
  </w:num>
  <w:num w:numId="19">
    <w:abstractNumId w:val="38"/>
  </w:num>
  <w:num w:numId="20">
    <w:abstractNumId w:val="29"/>
  </w:num>
  <w:num w:numId="21">
    <w:abstractNumId w:val="15"/>
  </w:num>
  <w:num w:numId="22">
    <w:abstractNumId w:val="20"/>
  </w:num>
  <w:num w:numId="23">
    <w:abstractNumId w:val="32"/>
  </w:num>
  <w:num w:numId="24">
    <w:abstractNumId w:val="2"/>
  </w:num>
  <w:num w:numId="25">
    <w:abstractNumId w:val="28"/>
  </w:num>
  <w:num w:numId="26">
    <w:abstractNumId w:val="31"/>
  </w:num>
  <w:num w:numId="27">
    <w:abstractNumId w:val="41"/>
  </w:num>
  <w:num w:numId="28">
    <w:abstractNumId w:val="27"/>
  </w:num>
  <w:num w:numId="29">
    <w:abstractNumId w:val="13"/>
  </w:num>
  <w:num w:numId="30">
    <w:abstractNumId w:val="32"/>
    <w:lvlOverride w:ilvl="0">
      <w:startOverride w:val="1"/>
    </w:lvlOverride>
  </w:num>
  <w:num w:numId="31">
    <w:abstractNumId w:val="32"/>
    <w:lvlOverride w:ilvl="0">
      <w:startOverride w:val="1"/>
    </w:lvlOverride>
  </w:num>
  <w:num w:numId="32">
    <w:abstractNumId w:val="10"/>
  </w:num>
  <w:num w:numId="33">
    <w:abstractNumId w:val="7"/>
  </w:num>
  <w:num w:numId="34">
    <w:abstractNumId w:val="19"/>
  </w:num>
  <w:num w:numId="35">
    <w:abstractNumId w:val="6"/>
  </w:num>
  <w:num w:numId="36">
    <w:abstractNumId w:val="12"/>
  </w:num>
  <w:num w:numId="37">
    <w:abstractNumId w:val="9"/>
  </w:num>
  <w:num w:numId="38">
    <w:abstractNumId w:val="39"/>
  </w:num>
  <w:num w:numId="39">
    <w:abstractNumId w:val="11"/>
  </w:num>
  <w:num w:numId="40">
    <w:abstractNumId w:val="35"/>
  </w:num>
  <w:num w:numId="41">
    <w:abstractNumId w:val="18"/>
  </w:num>
  <w:num w:numId="42">
    <w:abstractNumId w:val="23"/>
  </w:num>
  <w:num w:numId="43">
    <w:abstractNumId w:val="30"/>
  </w:num>
  <w:num w:numId="44">
    <w:abstractNumId w:val="17"/>
  </w:num>
  <w:num w:numId="45">
    <w:abstractNumId w:val="3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3C78"/>
    <w:rsid w:val="00006AE2"/>
    <w:rsid w:val="000076A1"/>
    <w:rsid w:val="00007D5F"/>
    <w:rsid w:val="00012259"/>
    <w:rsid w:val="0001333F"/>
    <w:rsid w:val="000134BC"/>
    <w:rsid w:val="00021561"/>
    <w:rsid w:val="00024208"/>
    <w:rsid w:val="00025383"/>
    <w:rsid w:val="00027F1A"/>
    <w:rsid w:val="00034B45"/>
    <w:rsid w:val="00045D3D"/>
    <w:rsid w:val="00051E7C"/>
    <w:rsid w:val="000631AE"/>
    <w:rsid w:val="00063657"/>
    <w:rsid w:val="000666AB"/>
    <w:rsid w:val="000675D6"/>
    <w:rsid w:val="00067C79"/>
    <w:rsid w:val="000724AE"/>
    <w:rsid w:val="00076680"/>
    <w:rsid w:val="00076A1D"/>
    <w:rsid w:val="0008073E"/>
    <w:rsid w:val="00081207"/>
    <w:rsid w:val="00091CDB"/>
    <w:rsid w:val="000958B5"/>
    <w:rsid w:val="000A19AC"/>
    <w:rsid w:val="000B02FF"/>
    <w:rsid w:val="000B2EC9"/>
    <w:rsid w:val="000B66A6"/>
    <w:rsid w:val="000C0340"/>
    <w:rsid w:val="000C09F0"/>
    <w:rsid w:val="000C1FB2"/>
    <w:rsid w:val="000C33FC"/>
    <w:rsid w:val="000D20D7"/>
    <w:rsid w:val="000D26F8"/>
    <w:rsid w:val="000F3F58"/>
    <w:rsid w:val="0010461B"/>
    <w:rsid w:val="00106654"/>
    <w:rsid w:val="00114B6C"/>
    <w:rsid w:val="00116276"/>
    <w:rsid w:val="00117F4A"/>
    <w:rsid w:val="00123040"/>
    <w:rsid w:val="00123238"/>
    <w:rsid w:val="001247C9"/>
    <w:rsid w:val="00126F52"/>
    <w:rsid w:val="001315C4"/>
    <w:rsid w:val="001323F3"/>
    <w:rsid w:val="00133805"/>
    <w:rsid w:val="00133C2E"/>
    <w:rsid w:val="0013526C"/>
    <w:rsid w:val="00135FE0"/>
    <w:rsid w:val="001375AB"/>
    <w:rsid w:val="001405C6"/>
    <w:rsid w:val="00141013"/>
    <w:rsid w:val="0014651F"/>
    <w:rsid w:val="001523D4"/>
    <w:rsid w:val="00153C1E"/>
    <w:rsid w:val="00155E9A"/>
    <w:rsid w:val="00172F9F"/>
    <w:rsid w:val="0017364A"/>
    <w:rsid w:val="00177292"/>
    <w:rsid w:val="00182AB1"/>
    <w:rsid w:val="00192CBF"/>
    <w:rsid w:val="00192FF1"/>
    <w:rsid w:val="001A4478"/>
    <w:rsid w:val="001A5F1B"/>
    <w:rsid w:val="001B1C22"/>
    <w:rsid w:val="001B34C6"/>
    <w:rsid w:val="001B6DA6"/>
    <w:rsid w:val="001C0F2D"/>
    <w:rsid w:val="001C1D3F"/>
    <w:rsid w:val="001C7EF2"/>
    <w:rsid w:val="001D2084"/>
    <w:rsid w:val="001D7832"/>
    <w:rsid w:val="001E3149"/>
    <w:rsid w:val="001E33AE"/>
    <w:rsid w:val="001F1DF8"/>
    <w:rsid w:val="001F2BAB"/>
    <w:rsid w:val="001F543E"/>
    <w:rsid w:val="001F598F"/>
    <w:rsid w:val="0020281D"/>
    <w:rsid w:val="00210DC1"/>
    <w:rsid w:val="00211235"/>
    <w:rsid w:val="00211D34"/>
    <w:rsid w:val="00214F04"/>
    <w:rsid w:val="002161CB"/>
    <w:rsid w:val="00227820"/>
    <w:rsid w:val="00230B06"/>
    <w:rsid w:val="0023420A"/>
    <w:rsid w:val="002352B9"/>
    <w:rsid w:val="002371DA"/>
    <w:rsid w:val="0024135D"/>
    <w:rsid w:val="00245F21"/>
    <w:rsid w:val="00246929"/>
    <w:rsid w:val="00251DC4"/>
    <w:rsid w:val="00254494"/>
    <w:rsid w:val="00254ECC"/>
    <w:rsid w:val="00266CD6"/>
    <w:rsid w:val="002673AC"/>
    <w:rsid w:val="002710F5"/>
    <w:rsid w:val="002734A8"/>
    <w:rsid w:val="00275DAB"/>
    <w:rsid w:val="00282A84"/>
    <w:rsid w:val="002861E1"/>
    <w:rsid w:val="002903C0"/>
    <w:rsid w:val="002A231C"/>
    <w:rsid w:val="002A23FD"/>
    <w:rsid w:val="002A782A"/>
    <w:rsid w:val="002B11E2"/>
    <w:rsid w:val="002B24B8"/>
    <w:rsid w:val="002B70E4"/>
    <w:rsid w:val="002C00C5"/>
    <w:rsid w:val="002C110D"/>
    <w:rsid w:val="002C62AF"/>
    <w:rsid w:val="002D3AE9"/>
    <w:rsid w:val="002D4510"/>
    <w:rsid w:val="002D5562"/>
    <w:rsid w:val="002E036E"/>
    <w:rsid w:val="002E200E"/>
    <w:rsid w:val="002E3C8A"/>
    <w:rsid w:val="002E41B4"/>
    <w:rsid w:val="002E6AA1"/>
    <w:rsid w:val="002F0734"/>
    <w:rsid w:val="002F0EC9"/>
    <w:rsid w:val="002F3937"/>
    <w:rsid w:val="002F46E7"/>
    <w:rsid w:val="0030099D"/>
    <w:rsid w:val="00307894"/>
    <w:rsid w:val="003101DA"/>
    <w:rsid w:val="003111C3"/>
    <w:rsid w:val="00312ABB"/>
    <w:rsid w:val="00314757"/>
    <w:rsid w:val="003163BC"/>
    <w:rsid w:val="003211CE"/>
    <w:rsid w:val="00323246"/>
    <w:rsid w:val="003259B8"/>
    <w:rsid w:val="00327371"/>
    <w:rsid w:val="00334FC4"/>
    <w:rsid w:val="00337008"/>
    <w:rsid w:val="0033702A"/>
    <w:rsid w:val="00337EB5"/>
    <w:rsid w:val="00344DD9"/>
    <w:rsid w:val="00345D60"/>
    <w:rsid w:val="00347E90"/>
    <w:rsid w:val="00350E78"/>
    <w:rsid w:val="00353521"/>
    <w:rsid w:val="0035403A"/>
    <w:rsid w:val="0036394B"/>
    <w:rsid w:val="00366DB6"/>
    <w:rsid w:val="0037073F"/>
    <w:rsid w:val="00370799"/>
    <w:rsid w:val="003709B5"/>
    <w:rsid w:val="003759C2"/>
    <w:rsid w:val="003811F8"/>
    <w:rsid w:val="0039434C"/>
    <w:rsid w:val="00394CD3"/>
    <w:rsid w:val="00397365"/>
    <w:rsid w:val="003A0D93"/>
    <w:rsid w:val="003A31F6"/>
    <w:rsid w:val="003A6389"/>
    <w:rsid w:val="003B18EC"/>
    <w:rsid w:val="003B6055"/>
    <w:rsid w:val="003C3447"/>
    <w:rsid w:val="003D076C"/>
    <w:rsid w:val="003D4B0F"/>
    <w:rsid w:val="003E12C3"/>
    <w:rsid w:val="003E78B5"/>
    <w:rsid w:val="003F02CE"/>
    <w:rsid w:val="003F7032"/>
    <w:rsid w:val="00407C94"/>
    <w:rsid w:val="00410E0C"/>
    <w:rsid w:val="00410EFE"/>
    <w:rsid w:val="00411E78"/>
    <w:rsid w:val="00415905"/>
    <w:rsid w:val="00415BAB"/>
    <w:rsid w:val="00415ED2"/>
    <w:rsid w:val="00416163"/>
    <w:rsid w:val="0042068C"/>
    <w:rsid w:val="004277F2"/>
    <w:rsid w:val="00432C1E"/>
    <w:rsid w:val="00435B1A"/>
    <w:rsid w:val="00435D79"/>
    <w:rsid w:val="0044318E"/>
    <w:rsid w:val="00443B35"/>
    <w:rsid w:val="00451B33"/>
    <w:rsid w:val="00461E60"/>
    <w:rsid w:val="00464B6F"/>
    <w:rsid w:val="00465A70"/>
    <w:rsid w:val="00466234"/>
    <w:rsid w:val="00466269"/>
    <w:rsid w:val="0047122B"/>
    <w:rsid w:val="00473B7A"/>
    <w:rsid w:val="00475195"/>
    <w:rsid w:val="00487406"/>
    <w:rsid w:val="004960E9"/>
    <w:rsid w:val="004A14D9"/>
    <w:rsid w:val="004A2E88"/>
    <w:rsid w:val="004A4EC7"/>
    <w:rsid w:val="004A5305"/>
    <w:rsid w:val="004A58F9"/>
    <w:rsid w:val="004B0B3A"/>
    <w:rsid w:val="004B24D0"/>
    <w:rsid w:val="004B4C05"/>
    <w:rsid w:val="004D2348"/>
    <w:rsid w:val="004D2890"/>
    <w:rsid w:val="004D347A"/>
    <w:rsid w:val="004D5355"/>
    <w:rsid w:val="004D7634"/>
    <w:rsid w:val="004E2497"/>
    <w:rsid w:val="004E611A"/>
    <w:rsid w:val="004F5841"/>
    <w:rsid w:val="004F6460"/>
    <w:rsid w:val="00510208"/>
    <w:rsid w:val="00515D2C"/>
    <w:rsid w:val="00520904"/>
    <w:rsid w:val="00525E79"/>
    <w:rsid w:val="005300D3"/>
    <w:rsid w:val="005411C9"/>
    <w:rsid w:val="00542A10"/>
    <w:rsid w:val="00543959"/>
    <w:rsid w:val="00544055"/>
    <w:rsid w:val="00544C1D"/>
    <w:rsid w:val="00544F82"/>
    <w:rsid w:val="00546153"/>
    <w:rsid w:val="005509D2"/>
    <w:rsid w:val="00553AD6"/>
    <w:rsid w:val="00560208"/>
    <w:rsid w:val="0057713A"/>
    <w:rsid w:val="00582B9C"/>
    <w:rsid w:val="0058787C"/>
    <w:rsid w:val="00590172"/>
    <w:rsid w:val="0059170C"/>
    <w:rsid w:val="00593C4F"/>
    <w:rsid w:val="005946A8"/>
    <w:rsid w:val="00596B84"/>
    <w:rsid w:val="005A1883"/>
    <w:rsid w:val="005A2ADF"/>
    <w:rsid w:val="005A4407"/>
    <w:rsid w:val="005A59EF"/>
    <w:rsid w:val="005A6182"/>
    <w:rsid w:val="005A74A6"/>
    <w:rsid w:val="005B1C7E"/>
    <w:rsid w:val="005B54D6"/>
    <w:rsid w:val="005B662D"/>
    <w:rsid w:val="005C0254"/>
    <w:rsid w:val="005C4B83"/>
    <w:rsid w:val="005C6976"/>
    <w:rsid w:val="005C72B5"/>
    <w:rsid w:val="005C7414"/>
    <w:rsid w:val="005D3884"/>
    <w:rsid w:val="005D4914"/>
    <w:rsid w:val="005D62A4"/>
    <w:rsid w:val="005F3098"/>
    <w:rsid w:val="005F5DBB"/>
    <w:rsid w:val="005F6F41"/>
    <w:rsid w:val="00602F23"/>
    <w:rsid w:val="00607D91"/>
    <w:rsid w:val="006215CC"/>
    <w:rsid w:val="00625DC6"/>
    <w:rsid w:val="006344F0"/>
    <w:rsid w:val="0064054E"/>
    <w:rsid w:val="00640B15"/>
    <w:rsid w:val="00642797"/>
    <w:rsid w:val="00642C6F"/>
    <w:rsid w:val="0064391D"/>
    <w:rsid w:val="00651821"/>
    <w:rsid w:val="00654384"/>
    <w:rsid w:val="00654EB9"/>
    <w:rsid w:val="00660F20"/>
    <w:rsid w:val="006616FD"/>
    <w:rsid w:val="00662418"/>
    <w:rsid w:val="00664A85"/>
    <w:rsid w:val="006675CD"/>
    <w:rsid w:val="0067058B"/>
    <w:rsid w:val="00671395"/>
    <w:rsid w:val="00674078"/>
    <w:rsid w:val="00683BDF"/>
    <w:rsid w:val="00684D9B"/>
    <w:rsid w:val="0068510A"/>
    <w:rsid w:val="00691A6A"/>
    <w:rsid w:val="006928D7"/>
    <w:rsid w:val="00697556"/>
    <w:rsid w:val="006A1DE6"/>
    <w:rsid w:val="006A2EE6"/>
    <w:rsid w:val="006A64E0"/>
    <w:rsid w:val="006B09FF"/>
    <w:rsid w:val="006B2722"/>
    <w:rsid w:val="006B4647"/>
    <w:rsid w:val="006B4C2B"/>
    <w:rsid w:val="006B5559"/>
    <w:rsid w:val="006B6194"/>
    <w:rsid w:val="006B6D47"/>
    <w:rsid w:val="006C2A67"/>
    <w:rsid w:val="006C4CCE"/>
    <w:rsid w:val="006C5AFE"/>
    <w:rsid w:val="006D0F6D"/>
    <w:rsid w:val="006D662B"/>
    <w:rsid w:val="006E40B7"/>
    <w:rsid w:val="006E4E81"/>
    <w:rsid w:val="006E684E"/>
    <w:rsid w:val="006E6A60"/>
    <w:rsid w:val="006F2EC8"/>
    <w:rsid w:val="006F6D95"/>
    <w:rsid w:val="0070210E"/>
    <w:rsid w:val="00706F13"/>
    <w:rsid w:val="007072E8"/>
    <w:rsid w:val="0071618D"/>
    <w:rsid w:val="00722E22"/>
    <w:rsid w:val="00725FA4"/>
    <w:rsid w:val="00740446"/>
    <w:rsid w:val="007438A9"/>
    <w:rsid w:val="0074491E"/>
    <w:rsid w:val="007514D0"/>
    <w:rsid w:val="007519F8"/>
    <w:rsid w:val="00756880"/>
    <w:rsid w:val="0076247A"/>
    <w:rsid w:val="00775964"/>
    <w:rsid w:val="007765FE"/>
    <w:rsid w:val="00776DF9"/>
    <w:rsid w:val="00777747"/>
    <w:rsid w:val="007857C1"/>
    <w:rsid w:val="00785E91"/>
    <w:rsid w:val="00786AF0"/>
    <w:rsid w:val="00786BF6"/>
    <w:rsid w:val="00791EF8"/>
    <w:rsid w:val="00793758"/>
    <w:rsid w:val="0079401F"/>
    <w:rsid w:val="00794E2E"/>
    <w:rsid w:val="00795BFB"/>
    <w:rsid w:val="007A1162"/>
    <w:rsid w:val="007A48BD"/>
    <w:rsid w:val="007A4A18"/>
    <w:rsid w:val="007A69D2"/>
    <w:rsid w:val="007B0431"/>
    <w:rsid w:val="007B2760"/>
    <w:rsid w:val="007C0036"/>
    <w:rsid w:val="007C0C8B"/>
    <w:rsid w:val="007C46CA"/>
    <w:rsid w:val="007C4D30"/>
    <w:rsid w:val="007C7C84"/>
    <w:rsid w:val="007D1A03"/>
    <w:rsid w:val="007D309B"/>
    <w:rsid w:val="007D69FA"/>
    <w:rsid w:val="007D72AE"/>
    <w:rsid w:val="007E421F"/>
    <w:rsid w:val="007F04DA"/>
    <w:rsid w:val="007F521F"/>
    <w:rsid w:val="00803E5F"/>
    <w:rsid w:val="00806C01"/>
    <w:rsid w:val="008074C9"/>
    <w:rsid w:val="0081125B"/>
    <w:rsid w:val="00812264"/>
    <w:rsid w:val="00813BE7"/>
    <w:rsid w:val="008148CC"/>
    <w:rsid w:val="008211A4"/>
    <w:rsid w:val="008378F9"/>
    <w:rsid w:val="00837EBB"/>
    <w:rsid w:val="0084693A"/>
    <w:rsid w:val="0085180C"/>
    <w:rsid w:val="00856B1B"/>
    <w:rsid w:val="00867420"/>
    <w:rsid w:val="00873150"/>
    <w:rsid w:val="0087657D"/>
    <w:rsid w:val="0087659D"/>
    <w:rsid w:val="008766FC"/>
    <w:rsid w:val="00876953"/>
    <w:rsid w:val="008807D5"/>
    <w:rsid w:val="00880832"/>
    <w:rsid w:val="00882C61"/>
    <w:rsid w:val="00885879"/>
    <w:rsid w:val="00886EE1"/>
    <w:rsid w:val="0088727D"/>
    <w:rsid w:val="008878FB"/>
    <w:rsid w:val="00895819"/>
    <w:rsid w:val="00896BDB"/>
    <w:rsid w:val="00897C75"/>
    <w:rsid w:val="008A3B37"/>
    <w:rsid w:val="008A67E0"/>
    <w:rsid w:val="008A7037"/>
    <w:rsid w:val="008B075F"/>
    <w:rsid w:val="008B0A03"/>
    <w:rsid w:val="008B10C3"/>
    <w:rsid w:val="008B532C"/>
    <w:rsid w:val="008C1130"/>
    <w:rsid w:val="008C18C6"/>
    <w:rsid w:val="008C1C7B"/>
    <w:rsid w:val="008C5DA7"/>
    <w:rsid w:val="008C71D2"/>
    <w:rsid w:val="008D18E6"/>
    <w:rsid w:val="008D2EE2"/>
    <w:rsid w:val="008D3771"/>
    <w:rsid w:val="008D7A9B"/>
    <w:rsid w:val="008E0060"/>
    <w:rsid w:val="008E206D"/>
    <w:rsid w:val="008E360C"/>
    <w:rsid w:val="008E7091"/>
    <w:rsid w:val="008E76AC"/>
    <w:rsid w:val="008F21F6"/>
    <w:rsid w:val="008F6B07"/>
    <w:rsid w:val="008F7C06"/>
    <w:rsid w:val="00905B39"/>
    <w:rsid w:val="00921870"/>
    <w:rsid w:val="009315A8"/>
    <w:rsid w:val="009325BB"/>
    <w:rsid w:val="00933389"/>
    <w:rsid w:val="00951F79"/>
    <w:rsid w:val="009537CD"/>
    <w:rsid w:val="00957194"/>
    <w:rsid w:val="00960CE9"/>
    <w:rsid w:val="00962414"/>
    <w:rsid w:val="009654B8"/>
    <w:rsid w:val="0097463B"/>
    <w:rsid w:val="00974AB5"/>
    <w:rsid w:val="00977397"/>
    <w:rsid w:val="009805CD"/>
    <w:rsid w:val="00982BDC"/>
    <w:rsid w:val="0098706D"/>
    <w:rsid w:val="00991C29"/>
    <w:rsid w:val="009935FB"/>
    <w:rsid w:val="00997AB6"/>
    <w:rsid w:val="009A1226"/>
    <w:rsid w:val="009B135D"/>
    <w:rsid w:val="009B14BF"/>
    <w:rsid w:val="009B2F67"/>
    <w:rsid w:val="009B443C"/>
    <w:rsid w:val="009C06AC"/>
    <w:rsid w:val="009C2787"/>
    <w:rsid w:val="009C612F"/>
    <w:rsid w:val="009C6640"/>
    <w:rsid w:val="009D0682"/>
    <w:rsid w:val="009E2EB0"/>
    <w:rsid w:val="009E6203"/>
    <w:rsid w:val="009F170F"/>
    <w:rsid w:val="009F368B"/>
    <w:rsid w:val="009F4A54"/>
    <w:rsid w:val="009F4BEC"/>
    <w:rsid w:val="009F5874"/>
    <w:rsid w:val="00A02BB9"/>
    <w:rsid w:val="00A15085"/>
    <w:rsid w:val="00A179DD"/>
    <w:rsid w:val="00A22AF4"/>
    <w:rsid w:val="00A25FD7"/>
    <w:rsid w:val="00A322CF"/>
    <w:rsid w:val="00A42534"/>
    <w:rsid w:val="00A43AFF"/>
    <w:rsid w:val="00A44789"/>
    <w:rsid w:val="00A45BEA"/>
    <w:rsid w:val="00A51FD9"/>
    <w:rsid w:val="00A557D8"/>
    <w:rsid w:val="00A55DD4"/>
    <w:rsid w:val="00A56FB7"/>
    <w:rsid w:val="00A644B1"/>
    <w:rsid w:val="00A71FDB"/>
    <w:rsid w:val="00A736C3"/>
    <w:rsid w:val="00A7793A"/>
    <w:rsid w:val="00A90689"/>
    <w:rsid w:val="00A96C85"/>
    <w:rsid w:val="00AA0674"/>
    <w:rsid w:val="00AA4CC7"/>
    <w:rsid w:val="00AA5E8E"/>
    <w:rsid w:val="00AB04E5"/>
    <w:rsid w:val="00AB2BAD"/>
    <w:rsid w:val="00AB2C93"/>
    <w:rsid w:val="00AB3AE9"/>
    <w:rsid w:val="00AB6CA7"/>
    <w:rsid w:val="00AC50FF"/>
    <w:rsid w:val="00AC7E8C"/>
    <w:rsid w:val="00AD01E4"/>
    <w:rsid w:val="00AD0858"/>
    <w:rsid w:val="00AD1538"/>
    <w:rsid w:val="00AD664A"/>
    <w:rsid w:val="00AE02E3"/>
    <w:rsid w:val="00AE7340"/>
    <w:rsid w:val="00AF1526"/>
    <w:rsid w:val="00AF1BBD"/>
    <w:rsid w:val="00AF2784"/>
    <w:rsid w:val="00AF39F0"/>
    <w:rsid w:val="00B03A23"/>
    <w:rsid w:val="00B04D29"/>
    <w:rsid w:val="00B05891"/>
    <w:rsid w:val="00B10207"/>
    <w:rsid w:val="00B141E7"/>
    <w:rsid w:val="00B20D8E"/>
    <w:rsid w:val="00B21011"/>
    <w:rsid w:val="00B230DB"/>
    <w:rsid w:val="00B23DA8"/>
    <w:rsid w:val="00B351B4"/>
    <w:rsid w:val="00B368C1"/>
    <w:rsid w:val="00B41E66"/>
    <w:rsid w:val="00B45CD8"/>
    <w:rsid w:val="00B46BCA"/>
    <w:rsid w:val="00B478AA"/>
    <w:rsid w:val="00B51531"/>
    <w:rsid w:val="00B5376A"/>
    <w:rsid w:val="00B567F8"/>
    <w:rsid w:val="00B60D70"/>
    <w:rsid w:val="00B6562C"/>
    <w:rsid w:val="00B66FB7"/>
    <w:rsid w:val="00B702B3"/>
    <w:rsid w:val="00B77636"/>
    <w:rsid w:val="00B84F72"/>
    <w:rsid w:val="00B875BC"/>
    <w:rsid w:val="00B87806"/>
    <w:rsid w:val="00B87EC9"/>
    <w:rsid w:val="00B91F7B"/>
    <w:rsid w:val="00B938BD"/>
    <w:rsid w:val="00B94B5C"/>
    <w:rsid w:val="00BA3410"/>
    <w:rsid w:val="00BB673D"/>
    <w:rsid w:val="00BC1061"/>
    <w:rsid w:val="00BC38FD"/>
    <w:rsid w:val="00BC606A"/>
    <w:rsid w:val="00BE288F"/>
    <w:rsid w:val="00BF1F1A"/>
    <w:rsid w:val="00C0244F"/>
    <w:rsid w:val="00C034CB"/>
    <w:rsid w:val="00C051A8"/>
    <w:rsid w:val="00C054BC"/>
    <w:rsid w:val="00C0681D"/>
    <w:rsid w:val="00C077BB"/>
    <w:rsid w:val="00C12792"/>
    <w:rsid w:val="00C17897"/>
    <w:rsid w:val="00C2093A"/>
    <w:rsid w:val="00C2362A"/>
    <w:rsid w:val="00C239D2"/>
    <w:rsid w:val="00C3173D"/>
    <w:rsid w:val="00C32BBC"/>
    <w:rsid w:val="00C409D5"/>
    <w:rsid w:val="00C435C3"/>
    <w:rsid w:val="00C4486D"/>
    <w:rsid w:val="00C44E54"/>
    <w:rsid w:val="00C44E5F"/>
    <w:rsid w:val="00C44EF2"/>
    <w:rsid w:val="00C47DA4"/>
    <w:rsid w:val="00C51B7C"/>
    <w:rsid w:val="00C56158"/>
    <w:rsid w:val="00C617E6"/>
    <w:rsid w:val="00C6234B"/>
    <w:rsid w:val="00C63EAE"/>
    <w:rsid w:val="00C70FC9"/>
    <w:rsid w:val="00C73260"/>
    <w:rsid w:val="00C7629F"/>
    <w:rsid w:val="00C8661B"/>
    <w:rsid w:val="00C96097"/>
    <w:rsid w:val="00CA03C8"/>
    <w:rsid w:val="00CA0491"/>
    <w:rsid w:val="00CA0DF3"/>
    <w:rsid w:val="00CA139A"/>
    <w:rsid w:val="00CA1A93"/>
    <w:rsid w:val="00CA2899"/>
    <w:rsid w:val="00CA3A3D"/>
    <w:rsid w:val="00CA3AA6"/>
    <w:rsid w:val="00CA4926"/>
    <w:rsid w:val="00CA4B2F"/>
    <w:rsid w:val="00CA631B"/>
    <w:rsid w:val="00CA77FB"/>
    <w:rsid w:val="00CB0944"/>
    <w:rsid w:val="00CB1407"/>
    <w:rsid w:val="00CB379B"/>
    <w:rsid w:val="00CB5400"/>
    <w:rsid w:val="00CB5DD0"/>
    <w:rsid w:val="00CB5F4E"/>
    <w:rsid w:val="00CC51D4"/>
    <w:rsid w:val="00CC65DA"/>
    <w:rsid w:val="00CE4A26"/>
    <w:rsid w:val="00CF21B9"/>
    <w:rsid w:val="00CF3F1F"/>
    <w:rsid w:val="00CF5076"/>
    <w:rsid w:val="00CF5339"/>
    <w:rsid w:val="00CF6BF9"/>
    <w:rsid w:val="00D03800"/>
    <w:rsid w:val="00D05EE0"/>
    <w:rsid w:val="00D065D3"/>
    <w:rsid w:val="00D11479"/>
    <w:rsid w:val="00D11F2B"/>
    <w:rsid w:val="00D14C94"/>
    <w:rsid w:val="00D22DA3"/>
    <w:rsid w:val="00D34116"/>
    <w:rsid w:val="00D342A6"/>
    <w:rsid w:val="00D3586C"/>
    <w:rsid w:val="00D36951"/>
    <w:rsid w:val="00D43011"/>
    <w:rsid w:val="00D44F42"/>
    <w:rsid w:val="00D45CA6"/>
    <w:rsid w:val="00D464BF"/>
    <w:rsid w:val="00D53D9C"/>
    <w:rsid w:val="00D53E26"/>
    <w:rsid w:val="00D65774"/>
    <w:rsid w:val="00D66884"/>
    <w:rsid w:val="00D83D44"/>
    <w:rsid w:val="00D86966"/>
    <w:rsid w:val="00DA1579"/>
    <w:rsid w:val="00DA20B6"/>
    <w:rsid w:val="00DA382B"/>
    <w:rsid w:val="00DB182C"/>
    <w:rsid w:val="00DB1D3A"/>
    <w:rsid w:val="00DC04E0"/>
    <w:rsid w:val="00DC6851"/>
    <w:rsid w:val="00DD438F"/>
    <w:rsid w:val="00DD4F0E"/>
    <w:rsid w:val="00DD6F0F"/>
    <w:rsid w:val="00DE0EAF"/>
    <w:rsid w:val="00DE292F"/>
    <w:rsid w:val="00DE43A3"/>
    <w:rsid w:val="00DF0BF0"/>
    <w:rsid w:val="00DF2CD7"/>
    <w:rsid w:val="00DF3CA2"/>
    <w:rsid w:val="00E01463"/>
    <w:rsid w:val="00E05E0A"/>
    <w:rsid w:val="00E060BE"/>
    <w:rsid w:val="00E16667"/>
    <w:rsid w:val="00E16FA1"/>
    <w:rsid w:val="00E21262"/>
    <w:rsid w:val="00E32450"/>
    <w:rsid w:val="00E37D4A"/>
    <w:rsid w:val="00E42336"/>
    <w:rsid w:val="00E4351A"/>
    <w:rsid w:val="00E4711F"/>
    <w:rsid w:val="00E517C4"/>
    <w:rsid w:val="00E534CF"/>
    <w:rsid w:val="00E56DE1"/>
    <w:rsid w:val="00E618D7"/>
    <w:rsid w:val="00E625D8"/>
    <w:rsid w:val="00E67172"/>
    <w:rsid w:val="00E745C1"/>
    <w:rsid w:val="00E74A13"/>
    <w:rsid w:val="00E77C50"/>
    <w:rsid w:val="00E81CB4"/>
    <w:rsid w:val="00E8235C"/>
    <w:rsid w:val="00E8585B"/>
    <w:rsid w:val="00E865BD"/>
    <w:rsid w:val="00E874E5"/>
    <w:rsid w:val="00E87F41"/>
    <w:rsid w:val="00E90A4C"/>
    <w:rsid w:val="00EA2F07"/>
    <w:rsid w:val="00EA3F15"/>
    <w:rsid w:val="00EA4A9F"/>
    <w:rsid w:val="00EA7481"/>
    <w:rsid w:val="00EA7847"/>
    <w:rsid w:val="00EA7EB1"/>
    <w:rsid w:val="00EB464F"/>
    <w:rsid w:val="00EB4AFA"/>
    <w:rsid w:val="00EB4C2F"/>
    <w:rsid w:val="00EC33F1"/>
    <w:rsid w:val="00EC4888"/>
    <w:rsid w:val="00ED6A07"/>
    <w:rsid w:val="00ED7224"/>
    <w:rsid w:val="00EE13BF"/>
    <w:rsid w:val="00EE2E6E"/>
    <w:rsid w:val="00EE4803"/>
    <w:rsid w:val="00F03EF9"/>
    <w:rsid w:val="00F04D54"/>
    <w:rsid w:val="00F0545E"/>
    <w:rsid w:val="00F0759E"/>
    <w:rsid w:val="00F12950"/>
    <w:rsid w:val="00F16A43"/>
    <w:rsid w:val="00F17A59"/>
    <w:rsid w:val="00F26AC9"/>
    <w:rsid w:val="00F26EB6"/>
    <w:rsid w:val="00F2765F"/>
    <w:rsid w:val="00F43B25"/>
    <w:rsid w:val="00F46780"/>
    <w:rsid w:val="00F50FB6"/>
    <w:rsid w:val="00F51E45"/>
    <w:rsid w:val="00F52111"/>
    <w:rsid w:val="00F55A4B"/>
    <w:rsid w:val="00F72BB3"/>
    <w:rsid w:val="00F749B3"/>
    <w:rsid w:val="00F77D2D"/>
    <w:rsid w:val="00F821A3"/>
    <w:rsid w:val="00F85784"/>
    <w:rsid w:val="00F9314A"/>
    <w:rsid w:val="00F940B2"/>
    <w:rsid w:val="00FA117B"/>
    <w:rsid w:val="00FB56EC"/>
    <w:rsid w:val="00FB6466"/>
    <w:rsid w:val="00FC58EF"/>
    <w:rsid w:val="00FD03CD"/>
    <w:rsid w:val="00FD0865"/>
    <w:rsid w:val="00FD20E4"/>
    <w:rsid w:val="00FD33DF"/>
    <w:rsid w:val="00FE0DD8"/>
    <w:rsid w:val="00FE39D7"/>
    <w:rsid w:val="00FF07E5"/>
    <w:rsid w:val="00FF28A5"/>
    <w:rsid w:val="00FF2CCC"/>
    <w:rsid w:val="00FF32E3"/>
    <w:rsid w:val="00FF67B8"/>
    <w:rsid w:val="017574EC"/>
    <w:rsid w:val="01B4AEC8"/>
    <w:rsid w:val="206E009C"/>
    <w:rsid w:val="2CEA2940"/>
    <w:rsid w:val="32904773"/>
    <w:rsid w:val="4D9AC78A"/>
    <w:rsid w:val="70AD05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B65D40"/>
  <w15:chartTrackingRefBased/>
  <w15:docId w15:val="{58EB9C1C-D554-40B0-B54C-325747AD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785E91"/>
    <w:rPr>
      <w:vertAlign w:val="superscript"/>
    </w:rPr>
  </w:style>
  <w:style w:type="paragraph" w:styleId="Textonotapie">
    <w:name w:val="footnote text"/>
    <w:basedOn w:val="Normal"/>
    <w:link w:val="TextonotapieCar"/>
    <w:uiPriority w:val="99"/>
    <w:semiHidden/>
    <w:rsid w:val="00785E91"/>
    <w:pPr>
      <w:ind w:left="0"/>
      <w:jc w:val="both"/>
    </w:pPr>
    <w:rPr>
      <w:rFonts w:ascii="CG Times (W1)" w:hAnsi="CG Times (W1)"/>
      <w:sz w:val="20"/>
      <w:szCs w:val="20"/>
      <w:lang w:val="es-ES_tradnl"/>
    </w:rPr>
  </w:style>
  <w:style w:type="character" w:customStyle="1" w:styleId="TextonotapieCar">
    <w:name w:val="Texto nota pie Car"/>
    <w:link w:val="Textonotapie"/>
    <w:uiPriority w:val="99"/>
    <w:semiHidden/>
    <w:rsid w:val="00785E91"/>
    <w:rPr>
      <w:rFonts w:ascii="CG Times (W1)" w:hAnsi="CG Times (W1)"/>
      <w:lang w:val="es-ES_tradnl" w:eastAsia="es-ES"/>
    </w:rPr>
  </w:style>
  <w:style w:type="paragraph" w:customStyle="1" w:styleId="Numeracin">
    <w:name w:val="Numeración"/>
    <w:basedOn w:val="Prrafodelista"/>
    <w:link w:val="NumeracinCar"/>
    <w:qFormat/>
    <w:rsid w:val="00FF07E5"/>
    <w:pPr>
      <w:numPr>
        <w:numId w:val="23"/>
      </w:numPr>
      <w:tabs>
        <w:tab w:val="left" w:pos="284"/>
      </w:tabs>
      <w:spacing w:before="120" w:after="120"/>
      <w:ind w:left="924" w:hanging="357"/>
      <w:jc w:val="both"/>
    </w:pPr>
    <w:rPr>
      <w:rFonts w:ascii="Bookman Old Style" w:hAnsi="Bookman Old Style"/>
      <w:sz w:val="24"/>
    </w:rPr>
  </w:style>
  <w:style w:type="character" w:customStyle="1" w:styleId="NumeracinCar">
    <w:name w:val="Numeración Car"/>
    <w:link w:val="Numeracin"/>
    <w:rsid w:val="00FF07E5"/>
    <w:rPr>
      <w:rFonts w:ascii="Bookman Old Style" w:hAnsi="Bookman Old Style"/>
      <w:sz w:val="24"/>
      <w:lang w:eastAsia="es-ES"/>
    </w:rPr>
  </w:style>
  <w:style w:type="character" w:styleId="Refdecomentario">
    <w:name w:val="annotation reference"/>
    <w:uiPriority w:val="99"/>
    <w:semiHidden/>
    <w:unhideWhenUsed/>
    <w:rsid w:val="00560208"/>
    <w:rPr>
      <w:sz w:val="16"/>
      <w:szCs w:val="16"/>
    </w:rPr>
  </w:style>
  <w:style w:type="paragraph" w:styleId="Textocomentario">
    <w:name w:val="annotation text"/>
    <w:basedOn w:val="Normal"/>
    <w:link w:val="TextocomentarioCar"/>
    <w:uiPriority w:val="99"/>
    <w:unhideWhenUsed/>
    <w:rsid w:val="00560208"/>
    <w:rPr>
      <w:sz w:val="20"/>
      <w:szCs w:val="20"/>
    </w:rPr>
  </w:style>
  <w:style w:type="character" w:customStyle="1" w:styleId="TextocomentarioCar">
    <w:name w:val="Texto comentario Car"/>
    <w:link w:val="Textocomentario"/>
    <w:uiPriority w:val="99"/>
    <w:rsid w:val="00560208"/>
    <w:rPr>
      <w:lang w:val="es-ES" w:eastAsia="es-ES"/>
    </w:rPr>
  </w:style>
  <w:style w:type="character" w:styleId="Textodelmarcadordeposicin">
    <w:name w:val="Placeholder Text"/>
    <w:basedOn w:val="Fuentedeprrafopredeter"/>
    <w:uiPriority w:val="99"/>
    <w:semiHidden/>
    <w:rsid w:val="00D66884"/>
    <w:rPr>
      <w:color w:val="808080"/>
    </w:rPr>
  </w:style>
  <w:style w:type="character" w:styleId="Hipervnculo">
    <w:name w:val="Hyperlink"/>
    <w:basedOn w:val="Fuentedeprrafopredeter"/>
    <w:uiPriority w:val="99"/>
    <w:unhideWhenUsed/>
    <w:rsid w:val="003D4B0F"/>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FA117B"/>
    <w:rPr>
      <w:b/>
      <w:bCs/>
    </w:rPr>
  </w:style>
  <w:style w:type="character" w:customStyle="1" w:styleId="AsuntodelcomentarioCar">
    <w:name w:val="Asunto del comentario Car"/>
    <w:basedOn w:val="TextocomentarioCar"/>
    <w:link w:val="Asuntodelcomentario"/>
    <w:uiPriority w:val="99"/>
    <w:semiHidden/>
    <w:rsid w:val="00FA117B"/>
    <w:rPr>
      <w:b/>
      <w:bCs/>
      <w:lang w:val="es-ES" w:eastAsia="es-ES"/>
    </w:rPr>
  </w:style>
  <w:style w:type="paragraph" w:styleId="NormalWeb">
    <w:name w:val="Normal (Web)"/>
    <w:basedOn w:val="Normal"/>
    <w:uiPriority w:val="99"/>
    <w:semiHidden/>
    <w:unhideWhenUsed/>
    <w:rsid w:val="00D22DA3"/>
    <w:pPr>
      <w:spacing w:before="100" w:beforeAutospacing="1" w:after="100" w:afterAutospacing="1"/>
      <w:ind w:left="0"/>
    </w:pPr>
    <w:rPr>
      <w:lang w:val="es-CO" w:eastAsia="es-CO"/>
    </w:rPr>
  </w:style>
  <w:style w:type="paragraph" w:styleId="Revisin">
    <w:name w:val="Revision"/>
    <w:hidden/>
    <w:uiPriority w:val="99"/>
    <w:semiHidden/>
    <w:rsid w:val="005A188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1197">
      <w:bodyDiv w:val="1"/>
      <w:marLeft w:val="0"/>
      <w:marRight w:val="0"/>
      <w:marTop w:val="0"/>
      <w:marBottom w:val="0"/>
      <w:divBdr>
        <w:top w:val="none" w:sz="0" w:space="0" w:color="auto"/>
        <w:left w:val="none" w:sz="0" w:space="0" w:color="auto"/>
        <w:bottom w:val="none" w:sz="0" w:space="0" w:color="auto"/>
        <w:right w:val="none" w:sz="0" w:space="0" w:color="auto"/>
      </w:divBdr>
    </w:div>
    <w:div w:id="604921521">
      <w:bodyDiv w:val="1"/>
      <w:marLeft w:val="0"/>
      <w:marRight w:val="0"/>
      <w:marTop w:val="0"/>
      <w:marBottom w:val="0"/>
      <w:divBdr>
        <w:top w:val="none" w:sz="0" w:space="0" w:color="auto"/>
        <w:left w:val="none" w:sz="0" w:space="0" w:color="auto"/>
        <w:bottom w:val="none" w:sz="0" w:space="0" w:color="auto"/>
        <w:right w:val="none" w:sz="0" w:space="0" w:color="auto"/>
      </w:divBdr>
    </w:div>
    <w:div w:id="1282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base.biz/lexbase/normas/leyes/1994/L0142de199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6" ma:contentTypeDescription="Crear nuevo documento." ma:contentTypeScope="" ma:versionID="ad9f67129c7c1b57f3e379657ef6ee3d">
  <xsd:schema xmlns:xsd="http://www.w3.org/2001/XMLSchema" xmlns:xs="http://www.w3.org/2001/XMLSchema" xmlns:p="http://schemas.microsoft.com/office/2006/metadata/properties" xmlns:ns2="dc013113-1dca-4df1-85dc-f9b02cbd6c8a" targetNamespace="http://schemas.microsoft.com/office/2006/metadata/properties" ma:root="true" ma:fieldsID="a45fadda117c48f7ecaf60d7c5d56dc1" ns2:_="">
    <xsd:import namespace="dc013113-1dca-4df1-85dc-f9b02cbd6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EDE67-2F0A-4466-9F2C-E60BCD75C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E0118-A77D-4C6D-8485-1B3AAE779D82}">
  <ds:schemaRefs>
    <ds:schemaRef ds:uri="http://schemas.openxmlformats.org/officeDocument/2006/bibliography"/>
  </ds:schemaRefs>
</ds:datastoreItem>
</file>

<file path=customXml/itemProps3.xml><?xml version="1.0" encoding="utf-8"?>
<ds:datastoreItem xmlns:ds="http://schemas.openxmlformats.org/officeDocument/2006/customXml" ds:itemID="{E4597776-C6BF-436E-AD76-A5D884F1C3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F6056-1495-4A1F-A4E5-E2BE94163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1626</Words>
  <Characters>8943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10548</CharactersWithSpaces>
  <SharedDoc>false</SharedDoc>
  <HLinks>
    <vt:vector size="6" baseType="variant">
      <vt:variant>
        <vt:i4>4259861</vt:i4>
      </vt:variant>
      <vt:variant>
        <vt:i4>0</vt:i4>
      </vt:variant>
      <vt:variant>
        <vt:i4>0</vt:i4>
      </vt:variant>
      <vt:variant>
        <vt:i4>5</vt:i4>
      </vt:variant>
      <vt:variant>
        <vt:lpwstr>http://www.lexbase.biz/lexbase/normas/leyes/1994/L0142de1994.htm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2021-10-11T14:39:00Z</cp:lastPrinted>
  <dcterms:created xsi:type="dcterms:W3CDTF">2021-10-12T22:17:00Z</dcterms:created>
  <dcterms:modified xsi:type="dcterms:W3CDTF">2021-10-12T22:17:00Z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0x010100F9DDBF8EA4AC10409E5DD136B884FF26</vt:lpwstr>
  </property>
</Properties>
</file>