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07548D" w:rsidRDefault="00903670"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4014" r:id="rId9"/>
        </w:object>
      </w: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w:t>
      </w:r>
      <w:r w:rsidR="00533F5A">
        <w:rPr>
          <w:rFonts w:ascii="Bookman Old Style" w:hAnsi="Bookman Old Style"/>
          <w:bCs/>
          <w:lang w:val="es-CO"/>
        </w:rPr>
        <w:t xml:space="preserve">Empresa Mixta de Gas S.A.S. E.S.P. </w:t>
      </w:r>
      <w:r w:rsidRPr="00D7035A">
        <w:rPr>
          <w:rFonts w:ascii="Bookman Old Style" w:hAnsi="Bookman Old Style"/>
          <w:bCs/>
          <w:lang w:val="es-CO"/>
        </w:rPr>
        <w:t xml:space="preserve">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903670"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903670"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903670"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903670"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903670"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903670"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P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sz w:val="22"/>
                <w:szCs w:val="22"/>
              </w:rPr>
              <w:t>Capacidad total de envase en cilindros de propiedad del distribuidor i, en el periodo t, medida en kilogramos, registrado en el SUI.</w:t>
            </w:r>
          </w:p>
          <w:p w:rsidR="0042167A" w:rsidRPr="0042167A" w:rsidRDefault="0042167A" w:rsidP="0042167A">
            <w:pPr>
              <w:ind w:left="0"/>
              <w:jc w:val="both"/>
              <w:rPr>
                <w:rFonts w:ascii="Bookman Old Style" w:hAnsi="Bookman Old Style"/>
                <w:sz w:val="22"/>
                <w:szCs w:val="22"/>
                <w:lang w:val="es-CO"/>
              </w:rPr>
            </w:pP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p w:rsidR="00A71646" w:rsidRPr="0042167A" w:rsidRDefault="00A71646" w:rsidP="0042167A">
      <w:pPr>
        <w:jc w:val="both"/>
        <w:rPr>
          <w:rFonts w:ascii="Bookman Old Style" w:hAnsi="Bookman Old Style" w:cs="Arial"/>
          <w:sz w:val="22"/>
          <w:szCs w:val="22"/>
        </w:rPr>
      </w:pP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A71646"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lastRenderedPageBreak/>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42167A">
        <w:rPr>
          <w:rFonts w:ascii="Bookman Old Style" w:eastAsia="MS Mincho" w:hAnsi="Bookman Old Style" w:cs="Arial"/>
          <w:lang w:val="es-ES_tradnl" w:eastAsia="en-US"/>
        </w:rPr>
        <w:lastRenderedPageBreak/>
        <w:t>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9539FE">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lastRenderedPageBreak/>
        <w:t>Atendiendo esta disposición, la Comisión de Regulación de Energía y Gas mediante comunicación con radicado CREG S-2018-000942 de 5 de marzo de 2018 2017</w:t>
      </w:r>
      <w:r w:rsidR="00FB7A7A">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B7A7A">
        <w:rPr>
          <w:rFonts w:ascii="Bookman Old Style" w:eastAsia="MS Mincho" w:hAnsi="Bookman Old Style" w:cs="Arial"/>
          <w:vertAlign w:val="superscript"/>
          <w:lang w:val="es-ES_tradnl" w:eastAsia="en-US"/>
        </w:rPr>
        <w:footnoteReference w:id="3"/>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A71646" w:rsidRDefault="0042167A" w:rsidP="0042167A">
      <w:pPr>
        <w:ind w:right="284"/>
        <w:jc w:val="both"/>
        <w:rPr>
          <w:rFonts w:ascii="Bookman Old Style" w:hAnsi="Bookman Old Style"/>
          <w:i/>
          <w:sz w:val="22"/>
          <w:szCs w:val="22"/>
        </w:rPr>
      </w:pPr>
      <w:r w:rsidRPr="00A71646">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A71646" w:rsidRDefault="0042167A" w:rsidP="0042167A">
      <w:pPr>
        <w:ind w:right="284"/>
        <w:jc w:val="both"/>
        <w:rPr>
          <w:rFonts w:ascii="Bookman Old Style" w:hAnsi="Bookman Old Style"/>
          <w:i/>
          <w:sz w:val="22"/>
          <w:szCs w:val="22"/>
        </w:rPr>
      </w:pPr>
    </w:p>
    <w:p w:rsidR="0042167A" w:rsidRPr="00A71646" w:rsidRDefault="0042167A" w:rsidP="0042167A">
      <w:pPr>
        <w:numPr>
          <w:ilvl w:val="0"/>
          <w:numId w:val="6"/>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Fecha de consulta de información: 26 de marzo de 2018.</w:t>
      </w:r>
    </w:p>
    <w:p w:rsidR="0042167A" w:rsidRPr="00A71646" w:rsidRDefault="0042167A" w:rsidP="0042167A">
      <w:pPr>
        <w:numPr>
          <w:ilvl w:val="0"/>
          <w:numId w:val="6"/>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En el CD adjunto, se encuentran dos carpetas así:</w:t>
      </w:r>
    </w:p>
    <w:p w:rsidR="0042167A" w:rsidRPr="00A71646" w:rsidRDefault="0042167A" w:rsidP="0042167A">
      <w:pPr>
        <w:numPr>
          <w:ilvl w:val="0"/>
          <w:numId w:val="5"/>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A71646" w:rsidRDefault="0042167A" w:rsidP="0042167A">
      <w:pPr>
        <w:numPr>
          <w:ilvl w:val="0"/>
          <w:numId w:val="5"/>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Pr="00A71646" w:rsidRDefault="0042167A" w:rsidP="0042167A">
      <w:pPr>
        <w:ind w:right="284"/>
        <w:jc w:val="both"/>
        <w:rPr>
          <w:rFonts w:ascii="Bookman Old Style" w:hAnsi="Bookman Old Style"/>
          <w:i/>
          <w:sz w:val="22"/>
          <w:szCs w:val="22"/>
        </w:rPr>
      </w:pPr>
      <w:r w:rsidRPr="00A71646">
        <w:rPr>
          <w:rFonts w:ascii="Bookman Old Style" w:hAnsi="Bookman Old Style"/>
          <w:i/>
          <w:sz w:val="22"/>
          <w:szCs w:val="22"/>
        </w:rPr>
        <w:t>CILINDROS</w:t>
      </w:r>
    </w:p>
    <w:p w:rsidR="0042167A" w:rsidRPr="00A71646" w:rsidRDefault="0042167A" w:rsidP="0042167A">
      <w:pPr>
        <w:ind w:right="284"/>
        <w:jc w:val="both"/>
        <w:rPr>
          <w:rFonts w:ascii="Bookman Old Style" w:hAnsi="Bookman Old Style"/>
          <w:i/>
          <w:sz w:val="22"/>
          <w:szCs w:val="22"/>
        </w:rPr>
      </w:pPr>
      <w:r w:rsidRPr="00A71646">
        <w:rPr>
          <w:rFonts w:ascii="Bookman Old Style" w:hAnsi="Bookman Old Style"/>
          <w:i/>
          <w:sz w:val="22"/>
          <w:szCs w:val="22"/>
        </w:rPr>
        <w:t>En resumen, la información enviada a la CREG es la siguiente:</w:t>
      </w:r>
    </w:p>
    <w:p w:rsidR="0042167A" w:rsidRPr="00A71646" w:rsidRDefault="0042167A" w:rsidP="0042167A">
      <w:pPr>
        <w:numPr>
          <w:ilvl w:val="0"/>
          <w:numId w:val="7"/>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lastRenderedPageBreak/>
        <w:t>Cantidad de empresas con cilindros en base de datos:</w:t>
      </w:r>
      <w:r w:rsidRPr="00A71646">
        <w:rPr>
          <w:rFonts w:ascii="Bookman Old Style" w:hAnsi="Bookman Old Style"/>
          <w:i/>
          <w:sz w:val="22"/>
          <w:szCs w:val="22"/>
        </w:rPr>
        <w:tab/>
        <w:t>48</w:t>
      </w:r>
    </w:p>
    <w:p w:rsidR="0042167A" w:rsidRPr="00A71646" w:rsidRDefault="0042167A" w:rsidP="0042167A">
      <w:pPr>
        <w:numPr>
          <w:ilvl w:val="0"/>
          <w:numId w:val="7"/>
        </w:numPr>
        <w:spacing w:after="200" w:line="276" w:lineRule="auto"/>
        <w:ind w:right="284"/>
        <w:contextualSpacing/>
        <w:rPr>
          <w:rFonts w:ascii="Bookman Old Style" w:hAnsi="Bookman Old Style"/>
          <w:i/>
          <w:sz w:val="22"/>
          <w:szCs w:val="22"/>
        </w:rPr>
      </w:pPr>
      <w:r w:rsidRPr="00A71646">
        <w:rPr>
          <w:rFonts w:ascii="Bookman Old Style" w:hAnsi="Bookman Old Style"/>
          <w:i/>
          <w:sz w:val="22"/>
          <w:szCs w:val="22"/>
        </w:rPr>
        <w:t>Cantidad de marcas que</w:t>
      </w:r>
      <w:r w:rsidR="00AA6298" w:rsidRPr="00A71646">
        <w:rPr>
          <w:rFonts w:ascii="Bookman Old Style" w:hAnsi="Bookman Old Style"/>
          <w:i/>
          <w:sz w:val="22"/>
          <w:szCs w:val="22"/>
        </w:rPr>
        <w:t xml:space="preserve"> registran cilindros en la base </w:t>
      </w:r>
      <w:r w:rsidRPr="00A71646">
        <w:rPr>
          <w:rFonts w:ascii="Bookman Old Style" w:hAnsi="Bookman Old Style"/>
          <w:i/>
          <w:sz w:val="22"/>
          <w:szCs w:val="22"/>
        </w:rPr>
        <w:t>de datos: 74</w:t>
      </w:r>
    </w:p>
    <w:p w:rsidR="0042167A" w:rsidRPr="00A71646" w:rsidRDefault="0042167A" w:rsidP="0042167A">
      <w:pPr>
        <w:numPr>
          <w:ilvl w:val="0"/>
          <w:numId w:val="7"/>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Cantidad de cilindros en la base de datos: 10.254.954</w:t>
      </w:r>
    </w:p>
    <w:p w:rsidR="0042167A" w:rsidRPr="00A71646"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TANQUES ESTACIONARIOS</w:t>
      </w:r>
    </w:p>
    <w:p w:rsidR="0042167A" w:rsidRPr="00A71646" w:rsidRDefault="0042167A" w:rsidP="0042167A">
      <w:pPr>
        <w:widowControl w:val="0"/>
        <w:ind w:right="284"/>
        <w:rPr>
          <w:rFonts w:ascii="Bookman Old Style" w:eastAsia="Calibri" w:hAnsi="Bookman Old Style" w:cs="Arial"/>
          <w:i/>
          <w:sz w:val="22"/>
          <w:szCs w:val="22"/>
          <w:lang w:val="es-CO" w:eastAsia="en-US"/>
        </w:rPr>
      </w:pPr>
    </w:p>
    <w:p w:rsidR="0042167A" w:rsidRPr="00A71646"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A71646" w:rsidRDefault="0042167A" w:rsidP="0042167A">
      <w:pPr>
        <w:widowControl w:val="0"/>
        <w:ind w:right="284"/>
        <w:jc w:val="both"/>
        <w:rPr>
          <w:rFonts w:ascii="Bookman Old Style" w:eastAsia="Calibri" w:hAnsi="Bookman Old Style" w:cs="Arial"/>
          <w:i/>
          <w:sz w:val="22"/>
          <w:szCs w:val="22"/>
          <w:lang w:val="es-CO" w:eastAsia="en-US"/>
        </w:rPr>
      </w:pPr>
    </w:p>
    <w:p w:rsidR="0042167A" w:rsidRPr="00A71646"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A71646" w:rsidRDefault="0042167A" w:rsidP="0042167A">
      <w:pPr>
        <w:widowControl w:val="0"/>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A71646" w:rsidRDefault="0042167A" w:rsidP="0042167A">
      <w:pPr>
        <w:widowControl w:val="0"/>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A71646"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A71646"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A71646">
        <w:rPr>
          <w:rFonts w:ascii="Bookman Old Style" w:eastAsia="Calibri" w:hAnsi="Bookman Old Style" w:cs="Arial"/>
          <w:i/>
          <w:sz w:val="22"/>
          <w:szCs w:val="22"/>
          <w:lang w:val="es-CO" w:eastAsia="en-US"/>
        </w:rPr>
        <w:t xml:space="preserve"> </w:t>
      </w:r>
      <w:r w:rsidRPr="00A71646">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A71646"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A71646"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A71646" w:rsidRDefault="0042167A" w:rsidP="0042167A">
      <w:pPr>
        <w:widowControl w:val="0"/>
        <w:ind w:right="284"/>
        <w:jc w:val="both"/>
        <w:rPr>
          <w:rFonts w:ascii="Bookman Old Style" w:eastAsia="Calibri" w:hAnsi="Bookman Old Style" w:cs="Arial"/>
          <w:i/>
          <w:sz w:val="22"/>
          <w:szCs w:val="22"/>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A71646" w:rsidTr="0042167A">
        <w:trPr>
          <w:trHeight w:hRule="exact" w:val="317"/>
          <w:jc w:val="center"/>
        </w:trPr>
        <w:tc>
          <w:tcPr>
            <w:tcW w:w="1421" w:type="dxa"/>
            <w:tcBorders>
              <w:top w:val="single" w:sz="4" w:space="0" w:color="auto"/>
              <w:left w:val="single" w:sz="4" w:space="0" w:color="auto"/>
              <w:bottom w:val="nil"/>
              <w:right w:val="nil"/>
            </w:tcBorders>
            <w:shd w:val="clear" w:color="auto" w:fill="FFFFFF"/>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A71646" w:rsidRDefault="0042167A" w:rsidP="0042167A">
            <w:pPr>
              <w:framePr w:w="6970" w:wrap="notBeside" w:vAnchor="text" w:hAnchor="text" w:xAlign="center" w:y="1"/>
              <w:widowControl w:val="0"/>
              <w:ind w:right="284"/>
              <w:jc w:val="center"/>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EMPRESA</w:t>
            </w:r>
          </w:p>
        </w:tc>
      </w:tr>
      <w:tr w:rsidR="0042167A" w:rsidRPr="00A71646"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GRANADOS GOMEZ Y CIA S.A. E S P.</w:t>
            </w:r>
          </w:p>
        </w:tc>
      </w:tr>
      <w:tr w:rsidR="0042167A" w:rsidRPr="00A71646"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 xml:space="preserve">GASES DEL CAGUAN </w:t>
            </w:r>
            <w:r w:rsidRPr="00A71646">
              <w:rPr>
                <w:rFonts w:ascii="Bookman Old Style" w:eastAsia="Calibri" w:hAnsi="Bookman Old Style" w:cs="Arial"/>
                <w:i/>
                <w:color w:val="000000"/>
                <w:sz w:val="22"/>
                <w:szCs w:val="22"/>
                <w:shd w:val="clear" w:color="auto" w:fill="FFFFFF"/>
                <w:lang w:val="es-CO" w:eastAsia="en-US"/>
              </w:rPr>
              <w:t xml:space="preserve">S. </w:t>
            </w:r>
            <w:r w:rsidRPr="00A71646">
              <w:rPr>
                <w:rFonts w:ascii="Bookman Old Style" w:eastAsia="Calibri" w:hAnsi="Bookman Old Style" w:cs="Arial"/>
                <w:i/>
                <w:color w:val="000000"/>
                <w:sz w:val="22"/>
                <w:szCs w:val="22"/>
                <w:shd w:val="clear" w:color="auto" w:fill="FFFFFF"/>
                <w:lang w:val="es-CO" w:eastAsia="es-ES_tradnl"/>
              </w:rPr>
              <w:t>A. E S P.</w:t>
            </w:r>
          </w:p>
        </w:tc>
      </w:tr>
      <w:tr w:rsidR="0042167A" w:rsidRPr="00A71646"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COMPAÑIA DE SERVICIOS PUBLICOS S.A E S P</w:t>
            </w:r>
          </w:p>
        </w:tc>
      </w:tr>
      <w:tr w:rsidR="0042167A" w:rsidRPr="00A71646"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MULTIGAS DE COLOMBIA S.A.S. E S P.</w:t>
            </w:r>
          </w:p>
        </w:tc>
      </w:tr>
      <w:tr w:rsidR="0042167A" w:rsidRPr="00A71646"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DAVR0GAZ S.A.S.</w:t>
            </w:r>
          </w:p>
        </w:tc>
      </w:tr>
      <w:tr w:rsidR="0042167A" w:rsidRPr="00A71646"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jc w:val="center"/>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C0MERCIALIZAD0RA DE GAS CASANARE S.A.S. E S P.</w:t>
            </w:r>
          </w:p>
        </w:tc>
      </w:tr>
      <w:tr w:rsidR="0042167A" w:rsidRPr="00A71646"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A71646" w:rsidRDefault="0042167A" w:rsidP="0042167A">
            <w:pPr>
              <w:framePr w:w="6970" w:wrap="notBeside" w:vAnchor="text" w:hAnchor="text" w:xAlign="center" w:y="1"/>
              <w:widowControl w:val="0"/>
              <w:ind w:right="284"/>
              <w:jc w:val="right"/>
              <w:rPr>
                <w:rFonts w:ascii="Bookman Old Style" w:eastAsia="Calibri" w:hAnsi="Bookman Old Style" w:cs="Arial"/>
                <w:i/>
                <w:sz w:val="22"/>
                <w:szCs w:val="22"/>
                <w:lang w:val="es-CO" w:eastAsia="en-US"/>
              </w:rPr>
            </w:pPr>
            <w:r w:rsidRPr="00A71646">
              <w:rPr>
                <w:rFonts w:ascii="Bookman Old Style" w:eastAsia="Calibri" w:hAnsi="Bookman Old Style" w:cs="Arial"/>
                <w:b/>
                <w:bCs/>
                <w:i/>
                <w:color w:val="000000"/>
                <w:sz w:val="22"/>
                <w:szCs w:val="22"/>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A71646" w:rsidRDefault="0042167A" w:rsidP="0042167A">
            <w:pPr>
              <w:framePr w:w="6970" w:wrap="notBeside" w:vAnchor="text" w:hAnchor="text" w:xAlign="center" w:y="1"/>
              <w:widowControl w:val="0"/>
              <w:ind w:right="284"/>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EMPRESA MIXTA DE GAS S.A.S. E S P.</w:t>
            </w:r>
          </w:p>
        </w:tc>
      </w:tr>
    </w:tbl>
    <w:p w:rsidR="0042167A" w:rsidRPr="00A71646" w:rsidRDefault="0042167A" w:rsidP="0042167A">
      <w:pPr>
        <w:framePr w:w="6970" w:wrap="notBeside" w:vAnchor="text" w:hAnchor="text" w:xAlign="center" w:y="1"/>
        <w:widowControl w:val="0"/>
        <w:ind w:right="284"/>
        <w:jc w:val="center"/>
        <w:rPr>
          <w:rFonts w:ascii="Arial" w:eastAsia="Calibri" w:hAnsi="Arial"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Fuente: SUI</w:t>
      </w:r>
    </w:p>
    <w:p w:rsidR="0042167A" w:rsidRPr="00A71646" w:rsidRDefault="0042167A" w:rsidP="0042167A">
      <w:pPr>
        <w:ind w:left="0" w:right="284"/>
        <w:jc w:val="center"/>
        <w:rPr>
          <w:rFonts w:ascii="Bookman Old Style" w:hAnsi="Bookman Old Style"/>
          <w:i/>
          <w:sz w:val="22"/>
          <w:szCs w:val="22"/>
        </w:rPr>
      </w:pPr>
      <w:r w:rsidRPr="00A71646">
        <w:rPr>
          <w:rFonts w:ascii="Bookman Old Style" w:hAnsi="Bookman Old Style"/>
          <w:i/>
          <w:sz w:val="22"/>
          <w:szCs w:val="22"/>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A71646" w:rsidRDefault="006D45B0" w:rsidP="006D45B0">
      <w:pPr>
        <w:ind w:right="-91"/>
        <w:jc w:val="both"/>
        <w:rPr>
          <w:rFonts w:ascii="Bookman Old Style" w:eastAsia="MS Mincho" w:hAnsi="Bookman Old Style" w:cs="Arial"/>
          <w:sz w:val="22"/>
          <w:szCs w:val="22"/>
          <w:lang w:eastAsia="en-US"/>
        </w:rPr>
      </w:pPr>
      <w:r w:rsidRPr="00A71646">
        <w:rPr>
          <w:rFonts w:ascii="Bookman Old Style" w:eastAsia="MS Mincho" w:hAnsi="Bookman Old Style" w:cs="Arial"/>
          <w:b/>
          <w:sz w:val="22"/>
          <w:szCs w:val="22"/>
          <w:lang w:eastAsia="en-US"/>
        </w:rPr>
        <w:t xml:space="preserve">“Artículo 1. Capacidad de Compra: </w:t>
      </w:r>
      <w:r w:rsidR="0042167A" w:rsidRPr="00A71646">
        <w:rPr>
          <w:rFonts w:ascii="Bookman Old Style" w:eastAsia="MS Mincho" w:hAnsi="Bookman Old Style" w:cs="Arial"/>
          <w:sz w:val="22"/>
          <w:szCs w:val="22"/>
          <w:lang w:eastAsia="en-US"/>
        </w:rPr>
        <w:t xml:space="preserve">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w:t>
      </w:r>
      <w:r w:rsidR="0042167A" w:rsidRPr="00A71646">
        <w:rPr>
          <w:rFonts w:ascii="Bookman Old Style" w:eastAsia="MS Mincho" w:hAnsi="Bookman Old Style" w:cs="Arial"/>
          <w:sz w:val="22"/>
          <w:szCs w:val="22"/>
          <w:lang w:eastAsia="en-US"/>
        </w:rPr>
        <w:lastRenderedPageBreak/>
        <w:t>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9209" w:type="dxa"/>
        <w:jc w:val="center"/>
        <w:tblCellMar>
          <w:left w:w="70" w:type="dxa"/>
          <w:right w:w="70" w:type="dxa"/>
        </w:tblCellMar>
        <w:tblLook w:val="04A0" w:firstRow="1" w:lastRow="0" w:firstColumn="1" w:lastColumn="0" w:noHBand="0" w:noVBand="1"/>
      </w:tblPr>
      <w:tblGrid>
        <w:gridCol w:w="2979"/>
        <w:gridCol w:w="3247"/>
        <w:gridCol w:w="2983"/>
      </w:tblGrid>
      <w:tr w:rsidR="006D45B0" w:rsidRPr="001F7F3A" w:rsidTr="0007426D">
        <w:trPr>
          <w:trHeight w:val="370"/>
          <w:tblHeader/>
          <w:jc w:val="center"/>
        </w:trPr>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3247"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2983"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533F5A" w:rsidRPr="0007426D" w:rsidTr="006D08E3">
        <w:trPr>
          <w:trHeight w:val="405"/>
          <w:jc w:val="center"/>
        </w:trPr>
        <w:tc>
          <w:tcPr>
            <w:tcW w:w="2979" w:type="dxa"/>
            <w:tcBorders>
              <w:top w:val="single" w:sz="4" w:space="0" w:color="auto"/>
              <w:left w:val="single" w:sz="4" w:space="0" w:color="auto"/>
              <w:bottom w:val="single" w:sz="4" w:space="0" w:color="auto"/>
              <w:right w:val="single" w:sz="4" w:space="0" w:color="auto"/>
            </w:tcBorders>
            <w:shd w:val="clear" w:color="auto" w:fill="auto"/>
            <w:noWrap/>
          </w:tcPr>
          <w:p w:rsidR="00533F5A" w:rsidRPr="009C4F9C" w:rsidRDefault="00533F5A" w:rsidP="00533F5A">
            <w:r w:rsidRPr="009C4F9C">
              <w:t>32733</w:t>
            </w:r>
          </w:p>
        </w:tc>
        <w:tc>
          <w:tcPr>
            <w:tcW w:w="3247" w:type="dxa"/>
            <w:tcBorders>
              <w:top w:val="single" w:sz="4" w:space="0" w:color="auto"/>
              <w:left w:val="nil"/>
              <w:bottom w:val="single" w:sz="4" w:space="0" w:color="auto"/>
              <w:right w:val="single" w:sz="4" w:space="0" w:color="auto"/>
            </w:tcBorders>
            <w:shd w:val="clear" w:color="auto" w:fill="auto"/>
            <w:noWrap/>
          </w:tcPr>
          <w:p w:rsidR="00533F5A" w:rsidRPr="009C4F9C" w:rsidRDefault="00533F5A" w:rsidP="00533F5A">
            <w:r w:rsidRPr="009C4F9C">
              <w:t>EMPRESA MIXTA DE GAS S.A.S. E.S.P.</w:t>
            </w:r>
          </w:p>
        </w:tc>
        <w:tc>
          <w:tcPr>
            <w:tcW w:w="2983" w:type="dxa"/>
            <w:tcBorders>
              <w:top w:val="single" w:sz="4" w:space="0" w:color="auto"/>
              <w:left w:val="nil"/>
              <w:bottom w:val="single" w:sz="4" w:space="0" w:color="auto"/>
              <w:right w:val="single" w:sz="4" w:space="0" w:color="auto"/>
            </w:tcBorders>
            <w:shd w:val="clear" w:color="auto" w:fill="auto"/>
            <w:noWrap/>
          </w:tcPr>
          <w:p w:rsidR="00533F5A" w:rsidRDefault="00533F5A" w:rsidP="00533F5A">
            <w:r w:rsidRPr="009C4F9C">
              <w:t xml:space="preserve">77,976 </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A71646" w:rsidRDefault="0042167A" w:rsidP="006D45B0">
      <w:pPr>
        <w:tabs>
          <w:tab w:val="right" w:pos="9498"/>
        </w:tabs>
        <w:ind w:left="284" w:right="284"/>
        <w:jc w:val="both"/>
        <w:rPr>
          <w:rFonts w:ascii="Bookman Old Style" w:eastAsia="MS Mincho" w:hAnsi="Bookman Old Style" w:cs="Arial"/>
          <w:sz w:val="22"/>
          <w:szCs w:val="22"/>
          <w:lang w:eastAsia="en-US"/>
        </w:rPr>
      </w:pPr>
      <w:r w:rsidRPr="00A71646">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A71646" w:rsidRDefault="0042167A" w:rsidP="006D45B0">
      <w:pPr>
        <w:tabs>
          <w:tab w:val="right" w:pos="9498"/>
        </w:tabs>
        <w:ind w:left="284" w:right="284"/>
        <w:jc w:val="both"/>
        <w:rPr>
          <w:rFonts w:ascii="Bookman Old Style" w:hAnsi="Bookman Old Style" w:cs="Arial"/>
          <w:sz w:val="22"/>
          <w:szCs w:val="22"/>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DE67F7">
        <w:rPr>
          <w:rFonts w:ascii="Bookman Old Style" w:hAnsi="Bookman Old Style" w:cs="Arial"/>
          <w:b/>
          <w:spacing w:val="-5"/>
          <w:lang w:val="es-CO" w:eastAsia="en-US"/>
        </w:rPr>
        <w:t xml:space="preserve"> y fundamentos</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correo electrónico</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DE67F7">
        <w:rPr>
          <w:rFonts w:ascii="Bookman Old Style" w:hAnsi="Bookman Old Style" w:cs="Arial"/>
          <w:spacing w:val="-5"/>
          <w:lang w:val="es-CO" w:eastAsia="en-US"/>
        </w:rPr>
        <w:t>004802</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07426D">
        <w:rPr>
          <w:rFonts w:ascii="Bookman Old Style" w:hAnsi="Bookman Old Style" w:cs="Arial"/>
          <w:spacing w:val="-5"/>
          <w:lang w:val="es-CO" w:eastAsia="en-US"/>
        </w:rPr>
        <w:t>17</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DE67F7">
        <w:rPr>
          <w:rFonts w:ascii="Bookman Old Style" w:hAnsi="Bookman Old Style" w:cs="Arial"/>
          <w:spacing w:val="-5"/>
          <w:lang w:val="es-CO" w:eastAsia="en-US"/>
        </w:rPr>
        <w:t xml:space="preserve">presentante legal de la Empresa Mixta de Gas </w:t>
      </w:r>
      <w:r w:rsidR="0007426D">
        <w:rPr>
          <w:rFonts w:ascii="Bookman Old Style" w:hAnsi="Bookman Old Style" w:cs="Arial"/>
          <w:spacing w:val="-5"/>
          <w:lang w:val="es-CO" w:eastAsia="en-US"/>
        </w:rPr>
        <w:t>S.A.</w:t>
      </w:r>
      <w:r w:rsidR="00DE67F7">
        <w:rPr>
          <w:rFonts w:ascii="Bookman Old Style" w:hAnsi="Bookman Old Style" w:cs="Arial"/>
          <w:spacing w:val="-5"/>
          <w:lang w:val="es-CO" w:eastAsia="en-US"/>
        </w:rPr>
        <w:t>S.</w:t>
      </w:r>
      <w:r w:rsidR="0007426D">
        <w:rPr>
          <w:rFonts w:ascii="Bookman Old Style" w:hAnsi="Bookman Old Style" w:cs="Arial"/>
          <w:spacing w:val="-5"/>
          <w:lang w:val="es-CO" w:eastAsia="en-US"/>
        </w:rPr>
        <w:t xml:space="preserve"> E.S.P.</w:t>
      </w:r>
      <w:r w:rsidR="00AA629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 xml:space="preserve">ón </w:t>
      </w:r>
      <w:r w:rsidR="00C968A9">
        <w:rPr>
          <w:rFonts w:ascii="Bookman Old Style" w:hAnsi="Bookman Old Style" w:cs="Arial"/>
          <w:spacing w:val="-5"/>
          <w:lang w:val="es-CO" w:eastAsia="en-US"/>
        </w:rPr>
        <w:t xml:space="preserve">y subsidiario de apelación </w:t>
      </w:r>
      <w:r>
        <w:rPr>
          <w:rFonts w:ascii="Bookman Old Style" w:hAnsi="Bookman Old Style" w:cs="Arial"/>
          <w:spacing w:val="-5"/>
          <w:lang w:val="es-CO" w:eastAsia="en-US"/>
        </w:rPr>
        <w:t xml:space="preserve">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DE67F7" w:rsidRPr="00A71646" w:rsidRDefault="006D45B0" w:rsidP="00DE67F7">
      <w:pPr>
        <w:ind w:left="284" w:right="284"/>
        <w:jc w:val="both"/>
        <w:rPr>
          <w:rFonts w:ascii="Bookman Old Style" w:hAnsi="Bookman Old Style" w:cs="Arial"/>
          <w:i/>
          <w:sz w:val="22"/>
          <w:szCs w:val="22"/>
        </w:rPr>
      </w:pPr>
      <w:r w:rsidRPr="00A71646">
        <w:rPr>
          <w:rFonts w:ascii="Bookman Old Style" w:hAnsi="Bookman Old Style" w:cs="Arial"/>
          <w:i/>
          <w:sz w:val="22"/>
          <w:szCs w:val="22"/>
        </w:rPr>
        <w:t>“</w:t>
      </w:r>
      <w:r w:rsidR="00DE67F7" w:rsidRPr="00A71646">
        <w:rPr>
          <w:rFonts w:ascii="Bookman Old Style" w:hAnsi="Bookman Old Style" w:cs="Arial"/>
          <w:i/>
          <w:sz w:val="22"/>
          <w:szCs w:val="22"/>
        </w:rPr>
        <w:t>Recurso de reposición y subsidiario de apelación contra la resolución CREG No. 48 de 2018 – Capacidad de compra a que hace referencia los artículos 8 y 9 de la res CREG 063 de 2016.</w:t>
      </w:r>
    </w:p>
    <w:p w:rsidR="00DE67F7" w:rsidRPr="00A71646" w:rsidRDefault="00DE67F7" w:rsidP="00DE67F7">
      <w:pPr>
        <w:ind w:left="284" w:right="284"/>
        <w:jc w:val="both"/>
        <w:rPr>
          <w:rFonts w:ascii="Bookman Old Style" w:hAnsi="Bookman Old Style" w:cs="Arial"/>
          <w:i/>
          <w:sz w:val="22"/>
          <w:szCs w:val="22"/>
        </w:rPr>
      </w:pPr>
    </w:p>
    <w:p w:rsidR="00DE67F7" w:rsidRPr="00A71646" w:rsidRDefault="00DE67F7" w:rsidP="00DE67F7">
      <w:pPr>
        <w:ind w:left="284" w:right="284"/>
        <w:jc w:val="both"/>
        <w:rPr>
          <w:rFonts w:ascii="Bookman Old Style" w:hAnsi="Bookman Old Style" w:cs="Arial"/>
          <w:i/>
          <w:sz w:val="22"/>
          <w:szCs w:val="22"/>
        </w:rPr>
      </w:pPr>
      <w:r w:rsidRPr="00A71646">
        <w:rPr>
          <w:rFonts w:ascii="Bookman Old Style" w:hAnsi="Bookman Old Style" w:cs="Arial"/>
          <w:i/>
          <w:sz w:val="22"/>
          <w:szCs w:val="22"/>
        </w:rPr>
        <w:t>Estamos enviando la petición y la solicitud para que nos tengan en cuenta y nos hagan el cálculo para la capacidad de compra de GLP según la resolución 63 de 2016. Al tomar la información del sui, se quedó por fuera el reporte de los tanques estacionarios de clientes. Los reportes siempre estuvieron cargados, pero no certificados.</w:t>
      </w:r>
    </w:p>
    <w:p w:rsidR="00DE67F7" w:rsidRPr="00A71646" w:rsidRDefault="00DE67F7" w:rsidP="00DE67F7">
      <w:pPr>
        <w:ind w:left="284" w:right="284"/>
        <w:jc w:val="both"/>
        <w:rPr>
          <w:rFonts w:ascii="Bookman Old Style" w:hAnsi="Bookman Old Style" w:cs="Arial"/>
          <w:i/>
          <w:sz w:val="22"/>
          <w:szCs w:val="22"/>
        </w:rPr>
      </w:pPr>
    </w:p>
    <w:p w:rsidR="00901B49" w:rsidRPr="00A71646" w:rsidRDefault="00DE67F7" w:rsidP="00DE67F7">
      <w:pPr>
        <w:ind w:left="284" w:right="284"/>
        <w:jc w:val="both"/>
        <w:rPr>
          <w:rFonts w:ascii="Bookman Old Style" w:hAnsi="Bookman Old Style" w:cs="Arial"/>
          <w:i/>
          <w:sz w:val="22"/>
          <w:szCs w:val="22"/>
        </w:rPr>
      </w:pPr>
      <w:r w:rsidRPr="00A71646">
        <w:rPr>
          <w:rFonts w:ascii="Bookman Old Style" w:hAnsi="Bookman Old Style" w:cs="Arial"/>
          <w:i/>
          <w:sz w:val="22"/>
          <w:szCs w:val="22"/>
        </w:rPr>
        <w:t>Por tanto solicitamos nos realicen de nuevo el recalculo con la totalidad de la información de galones subida al sui, solicitamos que nos tengan en cuenta para que nos puedan entregar gas.</w:t>
      </w:r>
      <w:r w:rsidR="00901B49" w:rsidRPr="00A71646">
        <w:rPr>
          <w:rFonts w:ascii="Bookman Old Style" w:hAnsi="Bookman Old Style" w:cs="Arial"/>
          <w:i/>
          <w:sz w:val="22"/>
          <w:szCs w:val="22"/>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1011E1">
        <w:rPr>
          <w:rFonts w:ascii="Bookman Old Style" w:hAnsi="Bookman Old Style" w:cs="Arial"/>
          <w:spacing w:val="-5"/>
          <w:lang w:val="es-CO" w:eastAsia="en-US"/>
        </w:rPr>
        <w:t xml:space="preserve">Empresa Mixta de Gas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C968A9">
        <w:rPr>
          <w:rFonts w:ascii="Bookman Old Style" w:hAnsi="Bookman Old Style" w:cs="Arial"/>
          <w:spacing w:val="-5"/>
          <w:lang w:val="es-CO" w:eastAsia="en-US"/>
        </w:rPr>
        <w:t>por conducta concluyente</w:t>
      </w:r>
      <w:r w:rsidR="00901B49">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C968A9">
        <w:rPr>
          <w:rFonts w:ascii="Bookman Old Style" w:hAnsi="Bookman Old Style" w:cs="Arial"/>
          <w:spacing w:val="-5"/>
          <w:lang w:val="es-CO" w:eastAsia="en-US"/>
        </w:rPr>
        <w:t>72</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6D45B0" w:rsidRDefault="006D45B0" w:rsidP="00C968A9">
      <w:pPr>
        <w:pStyle w:val="Textoindependiente2"/>
        <w:spacing w:after="0" w:line="240" w:lineRule="auto"/>
        <w:ind w:left="0"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lastRenderedPageBreak/>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tanques estacionarios</w:t>
      </w:r>
      <w:r w:rsidR="00EC4F34" w:rsidRPr="006C0EE5">
        <w:rPr>
          <w:rFonts w:ascii="Bookman Old Style" w:hAnsi="Bookman Old Style"/>
          <w:szCs w:val="27"/>
        </w:rPr>
        <w:t>,</w:t>
      </w:r>
      <w:r w:rsidR="00EC4F34">
        <w:rPr>
          <w:rFonts w:ascii="Bookman Old Style" w:hAnsi="Bookman Old Style"/>
          <w:szCs w:val="27"/>
        </w:rPr>
        <w:t xml:space="preserve">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w:t>
      </w:r>
      <w:r w:rsidRPr="00EC4F34">
        <w:rPr>
          <w:rFonts w:ascii="Bookman Old Style" w:eastAsia="MS Mincho" w:hAnsi="Bookman Old Style" w:cs="Arial"/>
          <w:i/>
          <w:sz w:val="22"/>
          <w:szCs w:val="22"/>
          <w:lang w:val="es-ES_tradnl" w:eastAsia="en-US"/>
        </w:rPr>
        <w:lastRenderedPageBreak/>
        <w:t xml:space="preserve">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A177E5">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1011E1" w:rsidRDefault="006C0EE5" w:rsidP="001011E1">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5C720E">
        <w:rPr>
          <w:rFonts w:ascii="Bookman Old Style" w:hAnsi="Bookman Old Style"/>
          <w:szCs w:val="27"/>
        </w:rPr>
        <w:t>005861</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1011E1">
        <w:rPr>
          <w:rFonts w:ascii="Bookman Old Style" w:hAnsi="Bookman Old Style"/>
          <w:szCs w:val="27"/>
        </w:rPr>
        <w:t>Empresa Mixta de Gas</w:t>
      </w:r>
      <w:r w:rsidR="007A6C4F">
        <w:rPr>
          <w:rFonts w:ascii="Bookman Old Style" w:hAnsi="Bookman Old Style"/>
          <w:szCs w:val="27"/>
        </w:rPr>
        <w:t xml:space="preserve"> </w:t>
      </w:r>
      <w:r w:rsidRPr="006C0EE5">
        <w:rPr>
          <w:rFonts w:ascii="Bookman Old Style" w:hAnsi="Bookman Old Style"/>
          <w:szCs w:val="27"/>
        </w:rPr>
        <w:t xml:space="preserve">en su recurso frente a la Resolución CREG </w:t>
      </w:r>
      <w:r w:rsidR="00EC4F34">
        <w:rPr>
          <w:rFonts w:ascii="Bookman Old Style" w:hAnsi="Bookman Old Style"/>
          <w:szCs w:val="27"/>
        </w:rPr>
        <w:t>048</w:t>
      </w:r>
      <w:r w:rsidR="007A6C4F">
        <w:rPr>
          <w:rFonts w:ascii="Bookman Old Style" w:hAnsi="Bookman Old Style"/>
          <w:szCs w:val="27"/>
        </w:rPr>
        <w:t xml:space="preserve"> de 2018</w:t>
      </w:r>
      <w:r w:rsidR="001011E1">
        <w:rPr>
          <w:rFonts w:ascii="Bookman Old Style" w:hAnsi="Bookman Old Style"/>
          <w:szCs w:val="27"/>
        </w:rPr>
        <w:t>.</w:t>
      </w:r>
    </w:p>
    <w:p w:rsidR="007A6C4F" w:rsidRDefault="007A6C4F"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 xml:space="preserve">empresa </w:t>
      </w:r>
      <w:r w:rsidR="001011E1">
        <w:rPr>
          <w:rFonts w:ascii="Bookman Old Style" w:hAnsi="Bookman Old Style"/>
          <w:szCs w:val="27"/>
        </w:rPr>
        <w:t>la Empresa Mixta de Gas</w:t>
      </w:r>
      <w:r>
        <w:rPr>
          <w:rFonts w:ascii="Bookman Old Style" w:hAnsi="Bookman Old Style"/>
          <w:szCs w:val="27"/>
        </w:rPr>
        <w:t xml:space="preserve">, toda vez que considera que existen diferencias en la información a nivel de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BD44AA">
        <w:rPr>
          <w:rFonts w:ascii="Bookman Old Style" w:hAnsi="Bookman Old Style"/>
          <w:szCs w:val="27"/>
        </w:rPr>
        <w:t>t</w:t>
      </w:r>
      <w:r w:rsidR="00D21FA2">
        <w:rPr>
          <w:rFonts w:ascii="Bookman Old Style" w:hAnsi="Bookman Old Style"/>
          <w:szCs w:val="27"/>
        </w:rPr>
        <w:t>anques estacionarios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 xml:space="preserve">solicitó a la Superintendencia de Servicios Públicos Domiciliarios 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w:t>
      </w:r>
      <w:r w:rsidRPr="0042167A">
        <w:rPr>
          <w:rFonts w:ascii="Bookman Old Style" w:eastAsia="MS Mincho" w:hAnsi="Bookman Old Style" w:cs="Arial"/>
          <w:lang w:val="es-ES_tradnl" w:eastAsia="en-US"/>
        </w:rPr>
        <w:lastRenderedPageBreak/>
        <w:t>CREG 045 de 2008 (información del SICMA y del SICUN)</w:t>
      </w:r>
      <w:r w:rsidRPr="0042167A">
        <w:rPr>
          <w:rFonts w:ascii="Bookman Old Style" w:eastAsia="MS Mincho" w:hAnsi="Bookman Old Style" w:cs="Arial"/>
          <w:lang w:val="es-ES_tradnl" w:eastAsia="en-US"/>
        </w:rPr>
        <w:footnoteReference w:id="6"/>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A71646" w:rsidRDefault="00BD44AA" w:rsidP="00BD44AA">
      <w:pPr>
        <w:ind w:right="284"/>
        <w:jc w:val="both"/>
        <w:rPr>
          <w:rFonts w:ascii="Bookman Old Style" w:hAnsi="Bookman Old Style"/>
          <w:i/>
          <w:sz w:val="22"/>
          <w:szCs w:val="22"/>
        </w:rPr>
      </w:pPr>
      <w:r w:rsidRPr="00A71646">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A71646" w:rsidRDefault="00BD44AA" w:rsidP="00BD44AA">
      <w:pPr>
        <w:ind w:right="284"/>
        <w:jc w:val="both"/>
        <w:rPr>
          <w:rFonts w:ascii="Bookman Old Style" w:hAnsi="Bookman Old Style"/>
          <w:i/>
          <w:sz w:val="22"/>
          <w:szCs w:val="22"/>
        </w:rPr>
      </w:pPr>
    </w:p>
    <w:p w:rsidR="00BD44AA" w:rsidRPr="00A71646" w:rsidRDefault="00BD44AA" w:rsidP="00BD44AA">
      <w:pPr>
        <w:numPr>
          <w:ilvl w:val="0"/>
          <w:numId w:val="6"/>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Fecha de consulta de información: 26 de marzo de 2018.</w:t>
      </w:r>
    </w:p>
    <w:p w:rsidR="00BD44AA" w:rsidRPr="00A71646" w:rsidRDefault="00BD44AA" w:rsidP="00BD44AA">
      <w:pPr>
        <w:numPr>
          <w:ilvl w:val="0"/>
          <w:numId w:val="6"/>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En el CD adjunto, se encuentran dos carpetas así:</w:t>
      </w:r>
    </w:p>
    <w:p w:rsidR="00BD44AA" w:rsidRPr="00A71646" w:rsidRDefault="00BD44AA" w:rsidP="00BD44AA">
      <w:pPr>
        <w:numPr>
          <w:ilvl w:val="0"/>
          <w:numId w:val="5"/>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A71646" w:rsidRDefault="00BD44AA" w:rsidP="00BD44AA">
      <w:pPr>
        <w:numPr>
          <w:ilvl w:val="0"/>
          <w:numId w:val="5"/>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A71646" w:rsidRDefault="00BD44AA" w:rsidP="00BD44AA">
      <w:pPr>
        <w:ind w:right="284"/>
        <w:jc w:val="both"/>
        <w:rPr>
          <w:rFonts w:ascii="Bookman Old Style" w:hAnsi="Bookman Old Style"/>
          <w:i/>
          <w:sz w:val="22"/>
          <w:szCs w:val="22"/>
        </w:rPr>
      </w:pPr>
      <w:r w:rsidRPr="00A71646">
        <w:rPr>
          <w:rFonts w:ascii="Bookman Old Style" w:hAnsi="Bookman Old Style"/>
          <w:i/>
          <w:sz w:val="22"/>
          <w:szCs w:val="22"/>
        </w:rPr>
        <w:t>CILINDROS</w:t>
      </w:r>
    </w:p>
    <w:p w:rsidR="00BD44AA" w:rsidRPr="00A71646" w:rsidRDefault="00BD44AA" w:rsidP="00BD44AA">
      <w:pPr>
        <w:ind w:right="284"/>
        <w:jc w:val="both"/>
        <w:rPr>
          <w:rFonts w:ascii="Bookman Old Style" w:hAnsi="Bookman Old Style"/>
          <w:i/>
          <w:sz w:val="22"/>
          <w:szCs w:val="22"/>
        </w:rPr>
      </w:pPr>
      <w:r w:rsidRPr="00A71646">
        <w:rPr>
          <w:rFonts w:ascii="Bookman Old Style" w:hAnsi="Bookman Old Style"/>
          <w:i/>
          <w:sz w:val="22"/>
          <w:szCs w:val="22"/>
        </w:rPr>
        <w:t>En resumen, la información enviada a la CREG es la siguiente:</w:t>
      </w:r>
    </w:p>
    <w:p w:rsidR="00BD44AA" w:rsidRPr="00A71646" w:rsidRDefault="00BD44AA" w:rsidP="00BD44AA">
      <w:pPr>
        <w:numPr>
          <w:ilvl w:val="0"/>
          <w:numId w:val="7"/>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Cantidad de empresas con cilindros en base de datos:</w:t>
      </w:r>
      <w:r w:rsidRPr="00A71646">
        <w:rPr>
          <w:rFonts w:ascii="Bookman Old Style" w:hAnsi="Bookman Old Style"/>
          <w:i/>
          <w:sz w:val="22"/>
          <w:szCs w:val="22"/>
        </w:rPr>
        <w:tab/>
        <w:t>48</w:t>
      </w:r>
    </w:p>
    <w:p w:rsidR="00BD44AA" w:rsidRPr="00A71646" w:rsidRDefault="00BD44AA" w:rsidP="00BD44AA">
      <w:pPr>
        <w:numPr>
          <w:ilvl w:val="0"/>
          <w:numId w:val="7"/>
        </w:numPr>
        <w:spacing w:after="200" w:line="276" w:lineRule="auto"/>
        <w:ind w:right="284"/>
        <w:contextualSpacing/>
        <w:rPr>
          <w:rFonts w:ascii="Bookman Old Style" w:hAnsi="Bookman Old Style"/>
          <w:i/>
          <w:sz w:val="22"/>
          <w:szCs w:val="22"/>
        </w:rPr>
      </w:pPr>
      <w:r w:rsidRPr="00A71646">
        <w:rPr>
          <w:rFonts w:ascii="Bookman Old Style" w:hAnsi="Bookman Old Style"/>
          <w:i/>
          <w:sz w:val="22"/>
          <w:szCs w:val="22"/>
        </w:rPr>
        <w:t>Cantidad de marcas que registran cilindros en la base</w:t>
      </w:r>
      <w:r w:rsidRPr="00A71646">
        <w:rPr>
          <w:rFonts w:ascii="Bookman Old Style" w:hAnsi="Bookman Old Style"/>
          <w:i/>
          <w:sz w:val="22"/>
          <w:szCs w:val="22"/>
        </w:rPr>
        <w:tab/>
        <w:t>de datos: 74</w:t>
      </w:r>
    </w:p>
    <w:p w:rsidR="00BD44AA" w:rsidRPr="00A71646" w:rsidRDefault="00BD44AA" w:rsidP="00BD44AA">
      <w:pPr>
        <w:numPr>
          <w:ilvl w:val="0"/>
          <w:numId w:val="7"/>
        </w:numPr>
        <w:spacing w:after="200" w:line="276" w:lineRule="auto"/>
        <w:ind w:right="284"/>
        <w:jc w:val="both"/>
        <w:rPr>
          <w:rFonts w:ascii="Bookman Old Style" w:hAnsi="Bookman Old Style"/>
          <w:i/>
          <w:sz w:val="22"/>
          <w:szCs w:val="22"/>
        </w:rPr>
      </w:pPr>
      <w:r w:rsidRPr="00A71646">
        <w:rPr>
          <w:rFonts w:ascii="Bookman Old Style" w:hAnsi="Bookman Old Style"/>
          <w:i/>
          <w:sz w:val="22"/>
          <w:szCs w:val="22"/>
        </w:rPr>
        <w:t>Cantidad de cilindros en la base de datos: 10.254.954</w:t>
      </w:r>
    </w:p>
    <w:p w:rsidR="00BD44AA" w:rsidRPr="00A71646"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TANQUES ESTACIONARIOS</w:t>
      </w:r>
    </w:p>
    <w:p w:rsidR="00BD44AA" w:rsidRPr="00A71646" w:rsidRDefault="00BD44AA" w:rsidP="00BD44AA">
      <w:pPr>
        <w:widowControl w:val="0"/>
        <w:ind w:right="284"/>
        <w:rPr>
          <w:rFonts w:ascii="Bookman Old Style" w:eastAsia="Calibri" w:hAnsi="Bookman Old Style" w:cs="Arial"/>
          <w:i/>
          <w:sz w:val="22"/>
          <w:szCs w:val="22"/>
          <w:lang w:val="es-CO" w:eastAsia="en-US"/>
        </w:rPr>
      </w:pPr>
    </w:p>
    <w:p w:rsidR="00BD44AA" w:rsidRPr="00A71646"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 xml:space="preserve">La información de tanques estacionarios que se envía en esta ocasión, se recolectó sobre consulta directa en la base de datos de lo reportado a través del Formato </w:t>
      </w:r>
      <w:r w:rsidRPr="00A71646">
        <w:rPr>
          <w:rFonts w:ascii="Bookman Old Style" w:eastAsia="Calibri" w:hAnsi="Bookman Old Style" w:cs="Arial"/>
          <w:i/>
          <w:color w:val="000000"/>
          <w:sz w:val="22"/>
          <w:szCs w:val="22"/>
          <w:shd w:val="clear" w:color="auto" w:fill="FFFFFF"/>
          <w:lang w:val="es-CO" w:eastAsia="es-ES_tradnl"/>
        </w:rPr>
        <w:lastRenderedPageBreak/>
        <w:t>(1661) Tanques Estacionarios Atendidos por el Distribuidor de la Circular 0001 de 2017, para el cuarto trimestre del año 2017. El resumen de esta información es el siguiente:</w:t>
      </w:r>
    </w:p>
    <w:p w:rsidR="00BD44AA" w:rsidRPr="00A71646" w:rsidRDefault="00BD44AA" w:rsidP="00BD44AA">
      <w:pPr>
        <w:widowControl w:val="0"/>
        <w:ind w:right="284"/>
        <w:jc w:val="both"/>
        <w:rPr>
          <w:rFonts w:ascii="Bookman Old Style" w:eastAsia="Calibri" w:hAnsi="Bookman Old Style" w:cs="Arial"/>
          <w:i/>
          <w:sz w:val="22"/>
          <w:szCs w:val="22"/>
          <w:lang w:val="es-CO" w:eastAsia="en-US"/>
        </w:rPr>
      </w:pPr>
    </w:p>
    <w:p w:rsidR="00BD44AA" w:rsidRPr="00A71646"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A71646" w:rsidRDefault="00BD44AA" w:rsidP="00BD44AA">
      <w:pPr>
        <w:widowControl w:val="0"/>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A71646" w:rsidRDefault="00BD44AA" w:rsidP="00BD44AA">
      <w:pPr>
        <w:widowControl w:val="0"/>
        <w:ind w:right="284"/>
        <w:jc w:val="both"/>
        <w:rPr>
          <w:rFonts w:ascii="Bookman Old Style" w:eastAsia="Calibri" w:hAnsi="Bookman Old Style" w:cs="Arial"/>
          <w:i/>
          <w:sz w:val="22"/>
          <w:szCs w:val="22"/>
          <w:lang w:val="es-CO" w:eastAsia="en-US"/>
        </w:rPr>
      </w:pPr>
      <w:r w:rsidRPr="00A71646">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A71646"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A71646"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A71646">
        <w:rPr>
          <w:rFonts w:ascii="Bookman Old Style" w:eastAsia="Calibri" w:hAnsi="Bookman Old Style" w:cs="Arial"/>
          <w:i/>
          <w:sz w:val="22"/>
          <w:szCs w:val="22"/>
          <w:lang w:val="es-CO" w:eastAsia="en-US"/>
        </w:rPr>
        <w:t xml:space="preserve"> </w:t>
      </w:r>
      <w:r w:rsidRPr="00A71646">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A71646"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Pr="00A71646"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71646">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BD44AA" w:rsidRPr="0042167A" w:rsidRDefault="00BD44AA" w:rsidP="00BD44A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FD5710">
        <w:trPr>
          <w:trHeight w:hRule="exact" w:val="431"/>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A177E5">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A177E5">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A177E5">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A177E5">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FD5710">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FD5710">
            <w:pPr>
              <w:framePr w:w="6970" w:wrap="notBeside" w:vAnchor="text" w:hAnchor="text" w:xAlign="center" w:y="1"/>
              <w:widowControl w:val="0"/>
              <w:ind w:left="134"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w:t>
      </w:r>
      <w:r w:rsidR="00BE5240">
        <w:rPr>
          <w:rFonts w:ascii="Bookman Old Style" w:hAnsi="Bookman Old Style"/>
          <w:szCs w:val="27"/>
        </w:rPr>
        <w:t>Empresa Mixta de Gas</w:t>
      </w:r>
      <w:r w:rsidRPr="00C3759C">
        <w:rPr>
          <w:rFonts w:ascii="Bookman Old Style" w:hAnsi="Bookman Old Style"/>
          <w:szCs w:val="27"/>
        </w:rPr>
        <w:t>:</w:t>
      </w:r>
    </w:p>
    <w:p w:rsidR="007A6C4F" w:rsidRDefault="007A6C4F" w:rsidP="0066171D">
      <w:pPr>
        <w:pStyle w:val="Textoindependiente2"/>
        <w:spacing w:after="0" w:line="240" w:lineRule="auto"/>
        <w:ind w:left="0" w:right="-142"/>
        <w:jc w:val="both"/>
        <w:rPr>
          <w:rFonts w:ascii="Bookman Old Style" w:hAnsi="Bookman Old Style"/>
          <w:szCs w:val="27"/>
        </w:rPr>
      </w:pPr>
    </w:p>
    <w:p w:rsidR="00C3759C" w:rsidRDefault="007A6C4F" w:rsidP="00A71646">
      <w:pPr>
        <w:pStyle w:val="Textoindependiente2"/>
        <w:spacing w:after="0" w:line="240" w:lineRule="auto"/>
        <w:ind w:left="0" w:right="-142"/>
        <w:jc w:val="center"/>
        <w:rPr>
          <w:rFonts w:ascii="Bookman Old Style" w:hAnsi="Bookman Old Style"/>
          <w:szCs w:val="27"/>
        </w:rPr>
      </w:pPr>
      <w:r>
        <w:rPr>
          <w:rFonts w:ascii="Bookman Old Style" w:hAnsi="Bookman Old Style"/>
          <w:szCs w:val="27"/>
        </w:rPr>
        <w:t>“</w:t>
      </w:r>
      <w:r w:rsidR="00BE5240" w:rsidRPr="00BE5240">
        <w:rPr>
          <w:rFonts w:ascii="Bookman Old Style" w:hAnsi="Bookman Old Style"/>
          <w:noProof/>
          <w:szCs w:val="27"/>
          <w:lang w:val="es-CO" w:eastAsia="es-CO"/>
        </w:rPr>
        <w:drawing>
          <wp:inline distT="0" distB="0" distL="0" distR="0">
            <wp:extent cx="4619625" cy="329612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202" cy="3299391"/>
                    </a:xfrm>
                    <a:prstGeom prst="rect">
                      <a:avLst/>
                    </a:prstGeom>
                    <a:noFill/>
                    <a:ln>
                      <a:noFill/>
                    </a:ln>
                  </pic:spPr>
                </pic:pic>
              </a:graphicData>
            </a:graphic>
          </wp:inline>
        </w:drawing>
      </w:r>
      <w:r>
        <w:rPr>
          <w:rFonts w:ascii="Bookman Old Style" w:hAnsi="Bookman Old Style"/>
          <w:szCs w:val="27"/>
        </w:rPr>
        <w:t>”</w:t>
      </w:r>
    </w:p>
    <w:p w:rsidR="00DB44C7" w:rsidRDefault="00DB44C7" w:rsidP="00DB44C7">
      <w:pPr>
        <w:pStyle w:val="Textoindependiente2"/>
        <w:spacing w:after="0" w:line="240" w:lineRule="auto"/>
        <w:ind w:left="-142" w:right="-142"/>
        <w:jc w:val="both"/>
        <w:rPr>
          <w:rFonts w:ascii="Bookman Old Style" w:hAnsi="Bookman Old Style"/>
          <w:szCs w:val="27"/>
        </w:rPr>
      </w:pPr>
    </w:p>
    <w:p w:rsidR="00DA1EF4" w:rsidRDefault="00FB1F19" w:rsidP="00BE524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De acuerdo con lo anterior</w:t>
      </w:r>
      <w:r w:rsidR="00DB44C7"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sidR="00DB44C7">
        <w:rPr>
          <w:rFonts w:ascii="Bookman Old Style" w:hAnsi="Bookman Old Style"/>
          <w:szCs w:val="27"/>
        </w:rPr>
        <w:t xml:space="preserve"> y la información reportada por dicha Entidad</w:t>
      </w:r>
      <w:r w:rsidR="00DB44C7" w:rsidRPr="00DB44C7">
        <w:rPr>
          <w:rFonts w:ascii="Bookman Old Style" w:hAnsi="Bookman Old Style"/>
          <w:szCs w:val="27"/>
        </w:rPr>
        <w:t>, se establece la procedencia de modificar</w:t>
      </w:r>
      <w:r w:rsidR="00DB44C7">
        <w:rPr>
          <w:rFonts w:ascii="Bookman Old Style" w:hAnsi="Bookman Old Style"/>
          <w:szCs w:val="27"/>
        </w:rPr>
        <w:t xml:space="preserve"> la Resolución CREG 048 de 2018</w:t>
      </w:r>
      <w:r w:rsidR="00DB44C7" w:rsidRPr="00DB44C7">
        <w:rPr>
          <w:rFonts w:ascii="Bookman Old Style" w:hAnsi="Bookman Old Style"/>
          <w:szCs w:val="27"/>
        </w:rPr>
        <w:t xml:space="preserve"> en relación con la definición de la capacidad de compra para la </w:t>
      </w:r>
      <w:r w:rsidR="00BE5240">
        <w:rPr>
          <w:rFonts w:ascii="Bookman Old Style" w:hAnsi="Bookman Old Style"/>
          <w:szCs w:val="27"/>
        </w:rPr>
        <w:t>Empresa Mixta de Gas S.A.S. E.S.P.</w:t>
      </w:r>
    </w:p>
    <w:p w:rsidR="00C968A9" w:rsidRDefault="00C968A9" w:rsidP="00BE5240">
      <w:pPr>
        <w:pStyle w:val="Textoindependiente2"/>
        <w:spacing w:after="0" w:line="240" w:lineRule="auto"/>
        <w:ind w:left="-142" w:right="-142"/>
        <w:jc w:val="both"/>
        <w:rPr>
          <w:rFonts w:ascii="Bookman Old Style" w:hAnsi="Bookman Old Style"/>
          <w:szCs w:val="27"/>
        </w:rPr>
      </w:pPr>
    </w:p>
    <w:p w:rsidR="00C968A9" w:rsidRPr="00FB1F19" w:rsidRDefault="00C968A9" w:rsidP="00C968A9">
      <w:pPr>
        <w:pStyle w:val="Textoindependiente2"/>
        <w:spacing w:after="0" w:line="240" w:lineRule="auto"/>
        <w:ind w:left="-142" w:right="-142"/>
        <w:jc w:val="both"/>
        <w:rPr>
          <w:rFonts w:ascii="Bookman Old Style" w:hAnsi="Bookman Old Style"/>
          <w:szCs w:val="27"/>
        </w:rPr>
      </w:pPr>
      <w:r w:rsidRPr="00FB1F19">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C968A9" w:rsidRPr="00FB1F19" w:rsidRDefault="00C968A9" w:rsidP="00C968A9">
      <w:pPr>
        <w:ind w:left="-142" w:right="-142"/>
        <w:jc w:val="both"/>
        <w:rPr>
          <w:rFonts w:ascii="Bookman Old Style" w:hAnsi="Bookman Old Style"/>
          <w:szCs w:val="27"/>
        </w:rPr>
      </w:pPr>
    </w:p>
    <w:p w:rsidR="00C968A9" w:rsidRPr="00C968A9" w:rsidRDefault="00C968A9" w:rsidP="00C968A9">
      <w:pPr>
        <w:ind w:left="284" w:right="284"/>
        <w:jc w:val="both"/>
        <w:rPr>
          <w:rFonts w:ascii="Bookman Old Style" w:hAnsi="Bookman Old Style"/>
          <w:sz w:val="22"/>
          <w:szCs w:val="22"/>
        </w:rPr>
      </w:pPr>
      <w:r w:rsidRPr="00FB1F19">
        <w:rPr>
          <w:rFonts w:ascii="Bookman Old Style" w:hAnsi="Bookman Old Style"/>
          <w:sz w:val="22"/>
          <w:szCs w:val="22"/>
        </w:rPr>
        <w:t>“</w:t>
      </w:r>
      <w:r w:rsidRPr="00FB1F19">
        <w:rPr>
          <w:rFonts w:ascii="Bookman Old Style" w:hAnsi="Bookman Old Style"/>
          <w:b/>
          <w:sz w:val="22"/>
          <w:szCs w:val="22"/>
        </w:rPr>
        <w:t>Artículo 113. Recursos contra las decisiones que ponen fin a las actuaciones administrativas.</w:t>
      </w:r>
      <w:r w:rsidRPr="00FB1F19">
        <w:rPr>
          <w:rFonts w:ascii="Bookman Old Style" w:hAnsi="Bookman Old Style"/>
          <w:sz w:val="22"/>
          <w:szCs w:val="22"/>
        </w:rPr>
        <w:t xml:space="preserve"> </w:t>
      </w:r>
      <w:r w:rsidRPr="00FB1F19">
        <w:rPr>
          <w:rFonts w:ascii="Bookman Old Style" w:hAnsi="Bookman Old Style"/>
          <w:sz w:val="22"/>
          <w:szCs w:val="22"/>
          <w:u w:val="single"/>
        </w:rPr>
        <w:t>Salvo esta Ley disponga otra cosa</w:t>
      </w:r>
      <w:r w:rsidRPr="00FB1F19">
        <w:rPr>
          <w:rFonts w:ascii="Bookman Old Style" w:hAnsi="Bookman Old Style"/>
          <w:sz w:val="22"/>
          <w:szCs w:val="22"/>
        </w:rPr>
        <w:t xml:space="preserve">, </w:t>
      </w:r>
      <w:r w:rsidRPr="00FB1F19">
        <w:rPr>
          <w:rFonts w:ascii="Bookman Old Style" w:hAnsi="Bookman Old Style"/>
          <w:sz w:val="22"/>
          <w:szCs w:val="22"/>
          <w:u w:val="single"/>
        </w:rPr>
        <w:t>contra las decisiones de</w:t>
      </w:r>
      <w:r w:rsidRPr="00FB1F19">
        <w:rPr>
          <w:rFonts w:ascii="Bookman Old Style" w:hAnsi="Bookman Old Style"/>
          <w:sz w:val="22"/>
          <w:szCs w:val="22"/>
        </w:rPr>
        <w:t xml:space="preserve"> los personeros, de los alcaldes, de los gobernadores, de los ministros, del Superintendente de Servicios Públicos, y de </w:t>
      </w:r>
      <w:r w:rsidRPr="00FB1F19">
        <w:rPr>
          <w:rFonts w:ascii="Bookman Old Style" w:hAnsi="Bookman Old Style"/>
          <w:sz w:val="22"/>
          <w:szCs w:val="22"/>
          <w:u w:val="single"/>
        </w:rPr>
        <w:t xml:space="preserve">las comisiones de regulación que pongan fin a las actuaciones administrativas </w:t>
      </w:r>
      <w:r w:rsidRPr="00FB1F19">
        <w:rPr>
          <w:rFonts w:ascii="Bookman Old Style" w:hAnsi="Bookman Old Style"/>
          <w:b/>
          <w:sz w:val="22"/>
          <w:szCs w:val="22"/>
          <w:u w:val="single"/>
        </w:rPr>
        <w:t>sólo</w:t>
      </w:r>
      <w:r w:rsidRPr="00FB1F19">
        <w:rPr>
          <w:rFonts w:ascii="Bookman Old Style" w:hAnsi="Bookman Old Style"/>
          <w:sz w:val="22"/>
          <w:szCs w:val="22"/>
          <w:u w:val="single"/>
        </w:rPr>
        <w:t xml:space="preserve"> cabe el recurso de reposición</w:t>
      </w:r>
      <w:r w:rsidRPr="00FB1F19">
        <w:rPr>
          <w:rFonts w:ascii="Bookman Old Style" w:hAnsi="Bookman Old Style"/>
          <w:sz w:val="22"/>
          <w:szCs w:val="22"/>
        </w:rPr>
        <w:t>, que podrá interponerse dentro de los cinco días siguientes a la notificación o publicación.” (Resaltado fuera de texto)</w:t>
      </w:r>
    </w:p>
    <w:p w:rsidR="00BE5240" w:rsidRPr="00FB1F19" w:rsidRDefault="00BE5240" w:rsidP="00BE5240">
      <w:pPr>
        <w:pStyle w:val="Textoindependiente2"/>
        <w:spacing w:after="0" w:line="240" w:lineRule="auto"/>
        <w:ind w:left="-142" w:right="-142"/>
        <w:jc w:val="both"/>
        <w:rPr>
          <w:rFonts w:ascii="Bookman Old Style" w:hAnsi="Bookman Old Style"/>
          <w:sz w:val="22"/>
          <w:szCs w:val="27"/>
        </w:rPr>
      </w:pPr>
    </w:p>
    <w:p w:rsidR="00DA1EF4" w:rsidRDefault="00DA1EF4" w:rsidP="00DA1EF4">
      <w:pPr>
        <w:ind w:left="-142" w:right="-142"/>
        <w:jc w:val="both"/>
        <w:rPr>
          <w:rFonts w:ascii="Bookman Old Style" w:hAnsi="Bookman Old Style"/>
          <w:szCs w:val="27"/>
        </w:rPr>
      </w:pPr>
      <w:r w:rsidRPr="00FB1F19">
        <w:rPr>
          <w:rFonts w:ascii="Bookman Old Style" w:hAnsi="Bookman Old Style"/>
          <w:szCs w:val="27"/>
        </w:rPr>
        <w:t xml:space="preserve">La Comisión de Regulación de Energía y Gas, en su sesión No. </w:t>
      </w:r>
      <w:r w:rsidR="005F15F2">
        <w:rPr>
          <w:rFonts w:ascii="Bookman Old Style" w:hAnsi="Bookman Old Style"/>
          <w:szCs w:val="27"/>
        </w:rPr>
        <w:t>858</w:t>
      </w:r>
      <w:r w:rsidRPr="00FB1F19">
        <w:rPr>
          <w:rFonts w:ascii="Bookman Old Style" w:hAnsi="Bookman Old Style"/>
          <w:szCs w:val="27"/>
        </w:rPr>
        <w:t xml:space="preserve"> del </w:t>
      </w:r>
      <w:r w:rsidR="00FB1F19" w:rsidRPr="00FB1F19">
        <w:rPr>
          <w:rFonts w:ascii="Bookman Old Style" w:hAnsi="Bookman Old Style"/>
          <w:szCs w:val="27"/>
        </w:rPr>
        <w:t>18 de junio</w:t>
      </w:r>
      <w:r w:rsidRPr="00FB1F19">
        <w:rPr>
          <w:rFonts w:ascii="Bookman Old Style" w:hAnsi="Bookman Old Style"/>
          <w:szCs w:val="27"/>
        </w:rPr>
        <w:t xml:space="preserve"> de 20</w:t>
      </w:r>
      <w:r w:rsidR="00FB1F19" w:rsidRPr="00FB1F19">
        <w:rPr>
          <w:rFonts w:ascii="Bookman Old Style" w:hAnsi="Bookman Old Style"/>
          <w:szCs w:val="27"/>
        </w:rPr>
        <w:t>18</w:t>
      </w:r>
      <w:r w:rsidRPr="00FB1F19">
        <w:rPr>
          <w:rFonts w:ascii="Bookman Old Style" w:hAnsi="Bookman Old Style"/>
          <w:szCs w:val="27"/>
        </w:rPr>
        <w:t xml:space="preserve">, acordó expedir la presente resolución mediante la cual se resuelve el recurso de reposición interpuesto por la </w:t>
      </w:r>
      <w:r w:rsidR="00C968A9" w:rsidRPr="00C968A9">
        <w:rPr>
          <w:rFonts w:ascii="Bookman Old Style" w:hAnsi="Bookman Old Style"/>
          <w:szCs w:val="27"/>
        </w:rPr>
        <w:t>Empresa Mixta de Gas S.A.S. E.S.P.</w:t>
      </w:r>
      <w:r w:rsidR="00C968A9">
        <w:rPr>
          <w:rFonts w:ascii="Bookman Old Style" w:hAnsi="Bookman Old Style"/>
          <w:szCs w:val="27"/>
        </w:rPr>
        <w:t xml:space="preserve"> </w:t>
      </w:r>
      <w:r w:rsidR="00FB1F19" w:rsidRPr="00FB1F19">
        <w:rPr>
          <w:rFonts w:ascii="Bookman Old Style" w:hAnsi="Bookman Old Style"/>
          <w:szCs w:val="27"/>
        </w:rPr>
        <w:t>contra la Resolución CREG 048 de 2018</w:t>
      </w:r>
      <w:r w:rsidRPr="00FB1F19">
        <w:rPr>
          <w:rFonts w:ascii="Bookman Old Style" w:hAnsi="Bookman Old Style"/>
          <w:szCs w:val="27"/>
        </w:rPr>
        <w:t>.</w:t>
      </w:r>
    </w:p>
    <w:p w:rsidR="00FB1F19" w:rsidRPr="00FB1F19" w:rsidRDefault="00FB1F19" w:rsidP="00DA1EF4">
      <w:pPr>
        <w:ind w:left="-142" w:right="-142"/>
        <w:jc w:val="both"/>
        <w:rPr>
          <w:rFonts w:ascii="Bookman Old Style" w:hAnsi="Bookman Old Style"/>
          <w:szCs w:val="27"/>
        </w:rPr>
      </w:pPr>
    </w:p>
    <w:p w:rsidR="00C91B94" w:rsidRPr="00FB1F19" w:rsidRDefault="00C91B94" w:rsidP="00DA1EF4">
      <w:pPr>
        <w:tabs>
          <w:tab w:val="right" w:pos="9498"/>
        </w:tabs>
        <w:ind w:left="0" w:right="-142"/>
        <w:jc w:val="both"/>
        <w:rPr>
          <w:rFonts w:ascii="Bookman Old Style" w:hAnsi="Bookman Old Style"/>
          <w:bCs/>
          <w:sz w:val="22"/>
        </w:rPr>
      </w:pPr>
    </w:p>
    <w:p w:rsidR="00DA1EF4" w:rsidRPr="00FB1F19" w:rsidRDefault="00DA1EF4" w:rsidP="00DA1EF4">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7041B3" w:rsidRPr="00FB1F19" w:rsidRDefault="007041B3" w:rsidP="00405AC2">
      <w:pPr>
        <w:ind w:left="0" w:right="-142"/>
        <w:jc w:val="both"/>
        <w:rPr>
          <w:rFonts w:ascii="Bookman Old Style" w:hAnsi="Bookman Old Style"/>
          <w:szCs w:val="27"/>
        </w:rPr>
      </w:pPr>
    </w:p>
    <w:p w:rsidR="00C968A9" w:rsidRDefault="00405AC2" w:rsidP="00FB1F19">
      <w:pPr>
        <w:ind w:left="-142" w:right="-142"/>
        <w:jc w:val="both"/>
        <w:rPr>
          <w:rFonts w:ascii="Bookman Old Style" w:hAnsi="Bookman Old Style"/>
          <w:szCs w:val="27"/>
        </w:rPr>
      </w:pPr>
      <w:r>
        <w:rPr>
          <w:rFonts w:ascii="Bookman Old Style" w:hAnsi="Bookman Old Style"/>
          <w:b/>
          <w:szCs w:val="27"/>
        </w:rPr>
        <w:t>Artículo 1</w:t>
      </w:r>
      <w:r w:rsidR="007041B3" w:rsidRPr="00FB1F19">
        <w:rPr>
          <w:rFonts w:ascii="Bookman Old Style" w:hAnsi="Bookman Old Style"/>
          <w:b/>
          <w:szCs w:val="27"/>
        </w:rPr>
        <w:t>.</w:t>
      </w:r>
      <w:r w:rsidR="007041B3" w:rsidRPr="00FB1F19">
        <w:rPr>
          <w:rFonts w:ascii="Bookman Old Style" w:hAnsi="Bookman Old Style"/>
          <w:szCs w:val="27"/>
        </w:rPr>
        <w:t xml:space="preserve"> </w:t>
      </w:r>
      <w:r w:rsidR="00C968A9" w:rsidRPr="00C968A9">
        <w:rPr>
          <w:rFonts w:ascii="Bookman Old Style" w:hAnsi="Bookman Old Style"/>
          <w:szCs w:val="27"/>
        </w:rPr>
        <w:t>Rechazar por improcedente el recurso de apelación interpuesto contra la Resolución CREG 048 de 2018 atendiendo lo dispuesto en el artículo 113 de la Ley 142 de 1994.</w:t>
      </w:r>
    </w:p>
    <w:p w:rsidR="00C968A9" w:rsidRDefault="00C968A9" w:rsidP="00FB1F19">
      <w:pPr>
        <w:ind w:left="-142" w:right="-142"/>
        <w:jc w:val="both"/>
        <w:rPr>
          <w:rFonts w:ascii="Bookman Old Style" w:hAnsi="Bookman Old Style"/>
          <w:szCs w:val="27"/>
        </w:rPr>
      </w:pPr>
    </w:p>
    <w:p w:rsidR="00FB1F19" w:rsidRPr="00FB1F19" w:rsidRDefault="00C968A9" w:rsidP="00FB1F19">
      <w:pPr>
        <w:ind w:left="-142" w:right="-142"/>
        <w:jc w:val="both"/>
        <w:rPr>
          <w:rFonts w:ascii="Bookman Old Style" w:hAnsi="Bookman Old Style"/>
          <w:szCs w:val="27"/>
        </w:rPr>
      </w:pPr>
      <w:r w:rsidRPr="00C968A9">
        <w:rPr>
          <w:rFonts w:ascii="Bookman Old Style" w:hAnsi="Bookman Old Style"/>
          <w:b/>
          <w:szCs w:val="27"/>
        </w:rPr>
        <w:t>Artículo 2.</w:t>
      </w:r>
      <w:r>
        <w:rPr>
          <w:rFonts w:ascii="Bookman Old Style" w:hAnsi="Bookman Old Style"/>
          <w:szCs w:val="27"/>
        </w:rPr>
        <w:t xml:space="preserve"> </w:t>
      </w:r>
      <w:r w:rsidR="00FB1F19" w:rsidRPr="00FB1F19">
        <w:rPr>
          <w:rFonts w:ascii="Bookman Old Style" w:hAnsi="Bookman Old Style"/>
          <w:szCs w:val="27"/>
        </w:rPr>
        <w:t xml:space="preserve">Modificar el artículo 1 de la Resolución CREG </w:t>
      </w:r>
      <w:r w:rsidR="00FB1F19">
        <w:rPr>
          <w:rFonts w:ascii="Bookman Old Style" w:hAnsi="Bookman Old Style"/>
          <w:szCs w:val="27"/>
        </w:rPr>
        <w:t>048</w:t>
      </w:r>
      <w:r w:rsidR="00FB1F19" w:rsidRPr="00FB1F19">
        <w:rPr>
          <w:rFonts w:ascii="Bookman Old Style" w:hAnsi="Bookman Old Style"/>
          <w:szCs w:val="27"/>
        </w:rPr>
        <w:t xml:space="preserve"> de</w:t>
      </w:r>
      <w:r w:rsidR="00FB1F19">
        <w:rPr>
          <w:rFonts w:ascii="Bookman Old Style" w:hAnsi="Bookman Old Style"/>
          <w:szCs w:val="27"/>
        </w:rPr>
        <w:t xml:space="preserve"> 2018</w:t>
      </w:r>
      <w:r w:rsidR="00FB1F19" w:rsidRPr="00FB1F19">
        <w:rPr>
          <w:rFonts w:ascii="Bookman Old Style" w:hAnsi="Bookman Old Style"/>
          <w:szCs w:val="27"/>
        </w:rPr>
        <w:t xml:space="preserve"> de la siguiente forma:</w:t>
      </w:r>
    </w:p>
    <w:p w:rsidR="00FB1F19" w:rsidRPr="00FB1F19" w:rsidRDefault="00FB1F19" w:rsidP="00FB1F19">
      <w:pPr>
        <w:ind w:left="0" w:right="-142"/>
        <w:jc w:val="both"/>
        <w:rPr>
          <w:rFonts w:ascii="Bookman Old Style" w:hAnsi="Bookman Old Style"/>
          <w:szCs w:val="27"/>
        </w:rPr>
      </w:pPr>
    </w:p>
    <w:p w:rsidR="00FB1F19" w:rsidRPr="00FB1F19" w:rsidRDefault="00FB1F19" w:rsidP="00FB1F19">
      <w:pPr>
        <w:ind w:left="-142" w:right="-142"/>
        <w:jc w:val="both"/>
        <w:rPr>
          <w:rFonts w:ascii="Bookman Old Style" w:hAnsi="Bookman Old Style"/>
          <w:szCs w:val="27"/>
        </w:rPr>
      </w:pPr>
      <w:r w:rsidRPr="00FB1F19">
        <w:rPr>
          <w:rFonts w:ascii="Bookman Old Style" w:hAnsi="Bookman Old Style"/>
          <w:szCs w:val="27"/>
        </w:rPr>
        <w:t>La siguiente corresponde a la Capacidad de Compra para cada uno de los códigos SUI de las empresas:</w:t>
      </w:r>
    </w:p>
    <w:p w:rsidR="00FB1F19" w:rsidRPr="00FB1F19" w:rsidRDefault="00FB1F19" w:rsidP="00FB1F19">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FB1F19" w:rsidRPr="00FB1F19" w:rsidTr="00E7016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FB1F19" w:rsidRPr="00FB1F19" w:rsidTr="00A210FD">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F19" w:rsidRPr="00FB1F19" w:rsidRDefault="00A210FD" w:rsidP="00A210FD">
            <w:pPr>
              <w:ind w:left="0"/>
              <w:jc w:val="center"/>
              <w:rPr>
                <w:rFonts w:ascii="Bookman Old Style" w:hAnsi="Bookman Old Style"/>
                <w:sz w:val="20"/>
                <w:szCs w:val="20"/>
              </w:rPr>
            </w:pPr>
            <w:r w:rsidRPr="00A210FD">
              <w:rPr>
                <w:rFonts w:ascii="Bookman Old Style" w:hAnsi="Bookman Old Style"/>
                <w:sz w:val="20"/>
                <w:szCs w:val="20"/>
              </w:rPr>
              <w:t>32733</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FB1F19" w:rsidRPr="00FB1F19" w:rsidRDefault="00A210FD" w:rsidP="00A210FD">
            <w:pPr>
              <w:ind w:left="0"/>
              <w:rPr>
                <w:rFonts w:ascii="Bookman Old Style" w:hAnsi="Bookman Old Style"/>
                <w:sz w:val="20"/>
                <w:szCs w:val="20"/>
              </w:rPr>
            </w:pPr>
            <w:r w:rsidRPr="00A210FD">
              <w:rPr>
                <w:rFonts w:ascii="Bookman Old Style" w:hAnsi="Bookman Old Style"/>
                <w:color w:val="000000"/>
                <w:sz w:val="20"/>
                <w:szCs w:val="20"/>
                <w:lang w:val="es-CO" w:eastAsia="es-CO"/>
              </w:rPr>
              <w:t>EMPRESA MIXTA DE GAS S.A.S.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B1F19" w:rsidRPr="00FB1F19" w:rsidRDefault="00A210FD" w:rsidP="00A210FD">
            <w:pPr>
              <w:ind w:left="132"/>
              <w:jc w:val="center"/>
              <w:rPr>
                <w:rFonts w:ascii="Bookman Old Style" w:hAnsi="Bookman Old Style"/>
                <w:sz w:val="20"/>
                <w:szCs w:val="20"/>
              </w:rPr>
            </w:pPr>
            <w:r>
              <w:rPr>
                <w:rFonts w:ascii="Bookman Old Style" w:hAnsi="Bookman Old Style"/>
                <w:sz w:val="20"/>
                <w:szCs w:val="20"/>
              </w:rPr>
              <w:t>243.732</w:t>
            </w:r>
          </w:p>
        </w:tc>
      </w:tr>
    </w:tbl>
    <w:p w:rsidR="00FB1F19" w:rsidRPr="00FB1F19" w:rsidRDefault="00FB1F19" w:rsidP="00FB1F19">
      <w:pPr>
        <w:tabs>
          <w:tab w:val="right" w:pos="9498"/>
        </w:tabs>
        <w:ind w:left="0" w:right="-142"/>
        <w:jc w:val="both"/>
        <w:rPr>
          <w:rFonts w:ascii="Bookman Old Style" w:hAnsi="Bookman Old Style" w:cs="Arial"/>
          <w:b/>
          <w:bCs/>
          <w:color w:val="666666"/>
          <w:sz w:val="27"/>
          <w:szCs w:val="27"/>
          <w:lang w:val="es-CO" w:eastAsia="es-CO"/>
        </w:rPr>
      </w:pPr>
    </w:p>
    <w:p w:rsidR="00FB1F19" w:rsidRPr="00FB1F19" w:rsidRDefault="00C968A9" w:rsidP="00FB1F19">
      <w:pPr>
        <w:ind w:left="-142" w:right="-142"/>
        <w:jc w:val="both"/>
        <w:rPr>
          <w:rFonts w:ascii="Bookman Old Style" w:hAnsi="Bookman Old Style"/>
          <w:szCs w:val="27"/>
        </w:rPr>
      </w:pPr>
      <w:r>
        <w:rPr>
          <w:rFonts w:ascii="Bookman Old Style" w:hAnsi="Bookman Old Style"/>
          <w:b/>
          <w:szCs w:val="27"/>
        </w:rPr>
        <w:t>Artículo 3</w:t>
      </w:r>
      <w:r w:rsidR="00FB1F19" w:rsidRPr="00FB1F19">
        <w:rPr>
          <w:rFonts w:ascii="Bookman Old Style" w:hAnsi="Bookman Old Style"/>
          <w:b/>
          <w:szCs w:val="27"/>
        </w:rPr>
        <w:t>.</w:t>
      </w:r>
      <w:r w:rsidR="00FB1F19" w:rsidRPr="00FB1F19">
        <w:rPr>
          <w:rFonts w:ascii="Bookman Old Style" w:hAnsi="Bookman Old Style"/>
          <w:szCs w:val="27"/>
        </w:rPr>
        <w:t xml:space="preserve"> Modificar el Anexo de la Resolución CREG </w:t>
      </w:r>
      <w:r w:rsidR="00FB1F19">
        <w:rPr>
          <w:rFonts w:ascii="Bookman Old Style" w:hAnsi="Bookman Old Style"/>
          <w:szCs w:val="27"/>
        </w:rPr>
        <w:t>048 de 2018</w:t>
      </w:r>
      <w:r w:rsidR="00FB1F19" w:rsidRPr="00FB1F19">
        <w:rPr>
          <w:rFonts w:ascii="Bookman Old Style" w:hAnsi="Bookman Old Style"/>
          <w:szCs w:val="27"/>
        </w:rPr>
        <w:t xml:space="preserve"> de la siguiente forma:</w:t>
      </w:r>
    </w:p>
    <w:p w:rsidR="00FB1F19" w:rsidRPr="00FB1F19" w:rsidRDefault="00FB1F19" w:rsidP="00FB1F19">
      <w:pPr>
        <w:ind w:left="-142" w:right="-142"/>
        <w:jc w:val="both"/>
        <w:rPr>
          <w:rFonts w:ascii="Bookman Old Style" w:hAnsi="Bookman Old Style"/>
          <w:szCs w:val="27"/>
        </w:rPr>
      </w:pPr>
    </w:p>
    <w:p w:rsidR="00FB1F19" w:rsidRPr="00FB1F19" w:rsidRDefault="00FB1F19" w:rsidP="00FB1F19">
      <w:pPr>
        <w:ind w:right="-93"/>
        <w:jc w:val="center"/>
        <w:rPr>
          <w:rFonts w:ascii="Bookman Old Style" w:eastAsia="MS Mincho" w:hAnsi="Bookman Old Style" w:cs="Arial"/>
          <w:b/>
        </w:rPr>
      </w:pPr>
      <w:r w:rsidRPr="00FB1F19">
        <w:rPr>
          <w:rFonts w:ascii="Bookman Old Style" w:eastAsia="MS Mincho" w:hAnsi="Bookman Old Style" w:cs="Arial"/>
          <w:b/>
        </w:rPr>
        <w:t>CAPACIDAD DE COMPRA</w:t>
      </w:r>
    </w:p>
    <w:p w:rsidR="00FB1F19" w:rsidRDefault="00FB1F19" w:rsidP="00842277">
      <w:pPr>
        <w:ind w:left="-142" w:right="-142"/>
        <w:jc w:val="both"/>
        <w:rPr>
          <w:rFonts w:ascii="Bookman Old Style" w:hAnsi="Bookman Old Style"/>
          <w:szCs w:val="27"/>
        </w:rPr>
      </w:pPr>
    </w:p>
    <w:p w:rsidR="00A210FD" w:rsidRDefault="00A210FD" w:rsidP="00A210FD">
      <w:pPr>
        <w:ind w:left="-142"/>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A210FD" w:rsidRDefault="00A210FD" w:rsidP="00A210FD">
      <w:pPr>
        <w:jc w:val="both"/>
        <w:rPr>
          <w:rFonts w:ascii="Bookman Old Style" w:hAnsi="Bookman Old Style"/>
        </w:rPr>
      </w:pPr>
    </w:p>
    <w:p w:rsidR="00A210FD" w:rsidRDefault="00A210FD" w:rsidP="00A210FD">
      <w:pPr>
        <w:pStyle w:val="Prrafodelista"/>
        <w:numPr>
          <w:ilvl w:val="0"/>
          <w:numId w:val="11"/>
        </w:numPr>
        <w:jc w:val="both"/>
        <w:rPr>
          <w:rFonts w:ascii="Bookman Old Style" w:hAnsi="Bookman Old Style"/>
        </w:rPr>
      </w:pPr>
      <w:r w:rsidRPr="001C513B">
        <w:rPr>
          <w:rFonts w:ascii="Bookman Old Style" w:hAnsi="Bookman Old Style"/>
        </w:rPr>
        <w:t xml:space="preserve">De acuerdo con el parágrafo </w:t>
      </w:r>
      <w:r>
        <w:rPr>
          <w:rFonts w:ascii="Bookman Old Style" w:hAnsi="Bookman Old Style"/>
        </w:rPr>
        <w:t>2</w:t>
      </w:r>
      <w:r w:rsidRPr="001C513B">
        <w:rPr>
          <w:rFonts w:ascii="Bookman Old Style" w:hAnsi="Bookman Old Style"/>
        </w:rPr>
        <w:t xml:space="preserve"> del artículo </w:t>
      </w:r>
      <w:r>
        <w:rPr>
          <w:rFonts w:ascii="Bookman Old Style" w:hAnsi="Bookman Old Style"/>
        </w:rPr>
        <w:t>8</w:t>
      </w:r>
      <w:r w:rsidRPr="001C513B">
        <w:rPr>
          <w:rFonts w:ascii="Bookman Old Style" w:hAnsi="Bookman Old Style"/>
        </w:rPr>
        <w:t xml:space="preserve"> de la resolución</w:t>
      </w:r>
      <w:r>
        <w:rPr>
          <w:rFonts w:ascii="Bookman Old Style" w:hAnsi="Bookman Old Style"/>
        </w:rPr>
        <w:t xml:space="preserve"> CREG</w:t>
      </w:r>
      <w:r w:rsidRPr="001C513B">
        <w:rPr>
          <w:rFonts w:ascii="Bookman Old Style" w:hAnsi="Bookman Old Style"/>
        </w:rPr>
        <w:t xml:space="preserve"> </w:t>
      </w:r>
      <w:r>
        <w:rPr>
          <w:rFonts w:ascii="Bookman Old Style" w:hAnsi="Bookman Old Style"/>
        </w:rPr>
        <w:t>063 de 2016</w:t>
      </w:r>
      <w:r w:rsidRPr="001C513B">
        <w:rPr>
          <w:rFonts w:ascii="Bookman Old Style" w:hAnsi="Bookman Old Style"/>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AE5D16">
        <w:rPr>
          <w:rFonts w:ascii="Bookman Old Style" w:eastAsiaTheme="minorEastAsia" w:hAnsi="Bookman Old Style"/>
          <w:iCs/>
        </w:rPr>
        <w:t>,</w:t>
      </w:r>
      <w:r w:rsidRPr="001C513B">
        <w:rPr>
          <w:rFonts w:ascii="Bookman Old Style" w:eastAsiaTheme="minorEastAsia" w:hAnsi="Bookman Old Style"/>
          <w:iCs/>
        </w:rPr>
        <w:t xml:space="preserve"> a continuación se muestra el conteo </w:t>
      </w:r>
      <w:r w:rsidRPr="001C513B">
        <w:rPr>
          <w:rFonts w:ascii="Bookman Old Style" w:eastAsiaTheme="minorEastAsia" w:hAnsi="Bookman Old Style"/>
          <w:iCs/>
        </w:rPr>
        <w:lastRenderedPageBreak/>
        <w:t xml:space="preserve">de cilindros por código de presentación para cada uno de los códigos SUI de las empresas. </w:t>
      </w:r>
      <w:r w:rsidRPr="001C513B">
        <w:rPr>
          <w:rFonts w:ascii="Bookman Old Style" w:hAnsi="Bookman Old Style"/>
        </w:rPr>
        <w:t xml:space="preserve"> </w:t>
      </w:r>
    </w:p>
    <w:p w:rsidR="00A210FD" w:rsidRDefault="00A210FD" w:rsidP="00A210FD">
      <w:pPr>
        <w:pStyle w:val="Prrafodelista"/>
        <w:jc w:val="both"/>
        <w:rPr>
          <w:rFonts w:ascii="Bookman Old Style" w:hAnsi="Bookman Old Style"/>
        </w:rPr>
      </w:pPr>
    </w:p>
    <w:tbl>
      <w:tblPr>
        <w:tblStyle w:val="Tablaconcuadrcula"/>
        <w:tblW w:w="9751" w:type="dxa"/>
        <w:jc w:val="center"/>
        <w:tblLook w:val="04A0" w:firstRow="1" w:lastRow="0" w:firstColumn="1" w:lastColumn="0" w:noHBand="0" w:noVBand="1"/>
      </w:tblPr>
      <w:tblGrid>
        <w:gridCol w:w="850"/>
        <w:gridCol w:w="850"/>
        <w:gridCol w:w="850"/>
        <w:gridCol w:w="850"/>
        <w:gridCol w:w="850"/>
        <w:gridCol w:w="850"/>
        <w:gridCol w:w="850"/>
        <w:gridCol w:w="850"/>
        <w:gridCol w:w="850"/>
        <w:gridCol w:w="850"/>
        <w:gridCol w:w="1251"/>
      </w:tblGrid>
      <w:tr w:rsidR="00A210FD" w:rsidRPr="00086996" w:rsidTr="00C83212">
        <w:trPr>
          <w:trHeight w:val="397"/>
          <w:tblHeader/>
          <w:jc w:val="center"/>
        </w:trPr>
        <w:tc>
          <w:tcPr>
            <w:tcW w:w="850" w:type="dxa"/>
            <w:vAlign w:val="center"/>
          </w:tcPr>
          <w:p w:rsidR="00A210FD" w:rsidRPr="00086996" w:rsidRDefault="00A210FD" w:rsidP="00C83212">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50" w:type="dxa"/>
            <w:vAlign w:val="center"/>
          </w:tcPr>
          <w:p w:rsidR="00A210FD" w:rsidRPr="00086996" w:rsidRDefault="00A210FD" w:rsidP="00C83212">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10 Lb</w:t>
            </w:r>
          </w:p>
        </w:tc>
        <w:tc>
          <w:tcPr>
            <w:tcW w:w="850" w:type="dxa"/>
            <w:vAlign w:val="center"/>
          </w:tcPr>
          <w:p w:rsidR="00A210FD" w:rsidRPr="00086996" w:rsidRDefault="00A210FD" w:rsidP="00C83212">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15 Lb</w:t>
            </w:r>
          </w:p>
        </w:tc>
        <w:tc>
          <w:tcPr>
            <w:tcW w:w="850" w:type="dxa"/>
            <w:vAlign w:val="center"/>
          </w:tcPr>
          <w:p w:rsidR="00A210FD" w:rsidRPr="00086996" w:rsidRDefault="00A210FD" w:rsidP="00C83212">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20 Lb</w:t>
            </w:r>
          </w:p>
        </w:tc>
        <w:tc>
          <w:tcPr>
            <w:tcW w:w="850" w:type="dxa"/>
            <w:vAlign w:val="center"/>
          </w:tcPr>
          <w:p w:rsidR="00A210FD" w:rsidRPr="00086996" w:rsidRDefault="00A210FD" w:rsidP="00C83212">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24 Lb</w:t>
            </w:r>
          </w:p>
        </w:tc>
        <w:tc>
          <w:tcPr>
            <w:tcW w:w="850" w:type="dxa"/>
            <w:vAlign w:val="center"/>
          </w:tcPr>
          <w:p w:rsidR="00A210FD" w:rsidRPr="00086996" w:rsidRDefault="00A210FD" w:rsidP="00C83212">
            <w:pPr>
              <w:ind w:left="-60"/>
              <w:jc w:val="center"/>
              <w:rPr>
                <w:rFonts w:ascii="Bookman Old Style" w:hAnsi="Bookman Old Style"/>
                <w:b/>
                <w:bCs/>
                <w:color w:val="000000"/>
                <w:sz w:val="16"/>
                <w:szCs w:val="16"/>
              </w:rPr>
            </w:pPr>
            <w:r w:rsidRPr="00086996">
              <w:rPr>
                <w:rFonts w:ascii="Bookman Old Style" w:hAnsi="Bookman Old Style"/>
                <w:b/>
                <w:bCs/>
                <w:color w:val="000000"/>
                <w:sz w:val="16"/>
                <w:szCs w:val="16"/>
              </w:rPr>
              <w:t>30 Lb</w:t>
            </w:r>
          </w:p>
        </w:tc>
        <w:tc>
          <w:tcPr>
            <w:tcW w:w="850" w:type="dxa"/>
            <w:vAlign w:val="center"/>
          </w:tcPr>
          <w:p w:rsidR="00A210FD" w:rsidRPr="00086996" w:rsidRDefault="00A210FD" w:rsidP="00C83212">
            <w:pPr>
              <w:ind w:left="-224"/>
              <w:jc w:val="center"/>
              <w:rPr>
                <w:rFonts w:ascii="Bookman Old Style" w:hAnsi="Bookman Old Style"/>
                <w:b/>
                <w:bCs/>
                <w:color w:val="000000"/>
                <w:sz w:val="16"/>
                <w:szCs w:val="16"/>
              </w:rPr>
            </w:pPr>
            <w:r w:rsidRPr="00086996">
              <w:rPr>
                <w:rFonts w:ascii="Bookman Old Style" w:hAnsi="Bookman Old Style"/>
                <w:b/>
                <w:bCs/>
                <w:color w:val="000000"/>
                <w:sz w:val="16"/>
                <w:szCs w:val="16"/>
              </w:rPr>
              <w:t>40 Lb</w:t>
            </w:r>
          </w:p>
        </w:tc>
        <w:tc>
          <w:tcPr>
            <w:tcW w:w="850" w:type="dxa"/>
            <w:vAlign w:val="center"/>
          </w:tcPr>
          <w:p w:rsidR="00A210FD" w:rsidRPr="00086996" w:rsidRDefault="00A210FD" w:rsidP="00C83212">
            <w:pPr>
              <w:ind w:left="-232"/>
              <w:jc w:val="center"/>
              <w:rPr>
                <w:rFonts w:ascii="Bookman Old Style" w:hAnsi="Bookman Old Style"/>
                <w:b/>
                <w:bCs/>
                <w:color w:val="000000"/>
                <w:sz w:val="16"/>
                <w:szCs w:val="16"/>
              </w:rPr>
            </w:pPr>
            <w:r w:rsidRPr="00086996">
              <w:rPr>
                <w:rFonts w:ascii="Bookman Old Style" w:hAnsi="Bookman Old Style"/>
                <w:b/>
                <w:bCs/>
                <w:color w:val="000000"/>
                <w:sz w:val="16"/>
                <w:szCs w:val="16"/>
              </w:rPr>
              <w:t>80 Lb</w:t>
            </w:r>
          </w:p>
        </w:tc>
        <w:tc>
          <w:tcPr>
            <w:tcW w:w="850" w:type="dxa"/>
            <w:vAlign w:val="center"/>
          </w:tcPr>
          <w:p w:rsidR="00A210FD" w:rsidRPr="00086996" w:rsidRDefault="00A210FD" w:rsidP="00C83212">
            <w:pPr>
              <w:ind w:left="-215"/>
              <w:jc w:val="center"/>
              <w:rPr>
                <w:rFonts w:ascii="Bookman Old Style" w:hAnsi="Bookman Old Style"/>
                <w:b/>
                <w:bCs/>
                <w:color w:val="000000"/>
                <w:sz w:val="16"/>
                <w:szCs w:val="16"/>
              </w:rPr>
            </w:pPr>
            <w:r w:rsidRPr="00086996">
              <w:rPr>
                <w:rFonts w:ascii="Bookman Old Style" w:hAnsi="Bookman Old Style"/>
                <w:b/>
                <w:bCs/>
                <w:color w:val="000000"/>
                <w:sz w:val="16"/>
                <w:szCs w:val="16"/>
              </w:rPr>
              <w:t>100 Lb</w:t>
            </w:r>
          </w:p>
        </w:tc>
        <w:tc>
          <w:tcPr>
            <w:tcW w:w="850" w:type="dxa"/>
            <w:vAlign w:val="center"/>
          </w:tcPr>
          <w:p w:rsidR="00A210FD" w:rsidRPr="00086996" w:rsidRDefault="00A210FD" w:rsidP="00C83212">
            <w:pPr>
              <w:ind w:left="-13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conteo</w:t>
            </w:r>
          </w:p>
        </w:tc>
        <w:tc>
          <w:tcPr>
            <w:tcW w:w="1251" w:type="dxa"/>
            <w:vAlign w:val="center"/>
          </w:tcPr>
          <w:p w:rsidR="00A210FD" w:rsidRPr="00086996" w:rsidRDefault="00A210FD" w:rsidP="00C83212">
            <w:pPr>
              <w:ind w:left="-140"/>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1312" behindDoc="0" locked="0" layoutInCell="1" allowOverlap="1" wp14:anchorId="1A616A4F" wp14:editId="263827D3">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210FD" w:rsidRPr="00B72816" w:rsidRDefault="00A210FD" w:rsidP="00A210FD">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1A616A4F"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A210FD" w:rsidRPr="00B72816" w:rsidRDefault="00A210FD" w:rsidP="00A210FD">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A210FD" w:rsidRPr="00086996" w:rsidTr="00C83212">
        <w:tblPrEx>
          <w:jc w:val="left"/>
        </w:tblPrEx>
        <w:trPr>
          <w:trHeight w:val="405"/>
        </w:trPr>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32733</w:t>
            </w:r>
          </w:p>
        </w:tc>
        <w:tc>
          <w:tcPr>
            <w:tcW w:w="850" w:type="dxa"/>
            <w:noWrap/>
            <w:vAlign w:val="center"/>
          </w:tcPr>
          <w:p w:rsidR="00A210FD" w:rsidRPr="00086996" w:rsidRDefault="00A210FD" w:rsidP="00A210FD">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 xml:space="preserve">1,901 </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 xml:space="preserve">506 </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2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A210FD" w:rsidRPr="00086996" w:rsidRDefault="00A210FD" w:rsidP="00A210FD">
            <w:pPr>
              <w:ind w:left="21"/>
              <w:jc w:val="right"/>
              <w:rPr>
                <w:rFonts w:ascii="Bookman Old Style" w:hAnsi="Bookman Old Style"/>
                <w:color w:val="000000"/>
                <w:sz w:val="16"/>
                <w:szCs w:val="16"/>
              </w:rPr>
            </w:pPr>
            <w:r w:rsidRPr="00086996">
              <w:rPr>
                <w:rFonts w:ascii="Bookman Old Style" w:hAnsi="Bookman Old Style"/>
                <w:color w:val="000000"/>
                <w:sz w:val="16"/>
                <w:szCs w:val="16"/>
              </w:rPr>
              <w:t xml:space="preserve">2,407 </w:t>
            </w:r>
          </w:p>
        </w:tc>
        <w:tc>
          <w:tcPr>
            <w:tcW w:w="1251" w:type="dxa"/>
            <w:noWrap/>
            <w:vAlign w:val="center"/>
          </w:tcPr>
          <w:p w:rsidR="00A210FD" w:rsidRPr="00086996" w:rsidRDefault="00A210FD" w:rsidP="00A210FD">
            <w:pPr>
              <w:ind w:left="21"/>
              <w:jc w:val="right"/>
              <w:rPr>
                <w:rFonts w:ascii="Bookman Old Style" w:hAnsi="Bookman Old Style"/>
                <w:color w:val="000000"/>
                <w:sz w:val="16"/>
                <w:szCs w:val="16"/>
              </w:rPr>
            </w:pPr>
            <w:r w:rsidRPr="00086996">
              <w:rPr>
                <w:rFonts w:ascii="Bookman Old Style" w:hAnsi="Bookman Old Style"/>
                <w:color w:val="000000"/>
                <w:sz w:val="16"/>
                <w:szCs w:val="16"/>
              </w:rPr>
              <w:t xml:space="preserve">226,018 </w:t>
            </w:r>
          </w:p>
        </w:tc>
      </w:tr>
    </w:tbl>
    <w:p w:rsidR="00A210FD" w:rsidRPr="00370A60" w:rsidRDefault="00A210FD" w:rsidP="00A210FD">
      <w:pPr>
        <w:pStyle w:val="Prrafodelista"/>
        <w:jc w:val="center"/>
        <w:rPr>
          <w:rFonts w:ascii="Bookman Old Style" w:hAnsi="Bookman Old Style" w:cs="Arial"/>
          <w:color w:val="000000" w:themeColor="text1"/>
        </w:rPr>
      </w:pPr>
      <w:r w:rsidRPr="00370A60">
        <w:rPr>
          <w:rFonts w:ascii="Bookman Old Style" w:hAnsi="Bookman Old Style" w:cs="Arial"/>
          <w:color w:val="000000" w:themeColor="text1"/>
          <w:sz w:val="16"/>
        </w:rPr>
        <w:t>NR*: No presenta registro de información en el SUI, de acuerdo con la información registrada al SUI, por AIC proyectos, desde 2008 hasta 2012.</w:t>
      </w:r>
    </w:p>
    <w:p w:rsidR="00A210FD" w:rsidRPr="00EF5680" w:rsidRDefault="00A210FD" w:rsidP="00A210FD">
      <w:pPr>
        <w:pStyle w:val="Prrafodelista"/>
        <w:rPr>
          <w:rFonts w:ascii="Bookman Old Style" w:hAnsi="Bookman Old Style"/>
        </w:rPr>
      </w:pPr>
    </w:p>
    <w:p w:rsidR="00A210FD" w:rsidRPr="002F68A3" w:rsidRDefault="00A210FD" w:rsidP="00A210FD">
      <w:pPr>
        <w:pStyle w:val="Prrafodelista"/>
        <w:numPr>
          <w:ilvl w:val="0"/>
          <w:numId w:val="12"/>
        </w:numPr>
        <w:jc w:val="both"/>
        <w:rPr>
          <w:rFonts w:ascii="Bookman Old Style" w:hAnsi="Bookman Old Style"/>
        </w:rPr>
      </w:pPr>
      <w:r w:rsidRPr="00EF5680">
        <w:rPr>
          <w:rFonts w:ascii="Bookman Old Style" w:hAnsi="Bookman Old Style"/>
        </w:rPr>
        <w:t xml:space="preserve">De acuerdo con parágrafo 2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EF5680">
        <w:rPr>
          <w:rFonts w:ascii="Bookman Old Style" w:eastAsiaTheme="minorEastAsia" w:hAnsi="Bookman Old Style"/>
          <w:iCs/>
        </w:rPr>
        <w:t xml:space="preserve">, a continuación se muestra el conteo de cilindros por código de presentación para cada uno de los códigos SUI de las empresas. </w:t>
      </w:r>
    </w:p>
    <w:p w:rsidR="00A210FD" w:rsidRDefault="00A210FD" w:rsidP="00A210FD">
      <w:pPr>
        <w:pStyle w:val="Prrafodelista"/>
        <w:jc w:val="both"/>
        <w:rPr>
          <w:rFonts w:ascii="Bookman Old Style" w:eastAsiaTheme="minorEastAsia" w:hAnsi="Bookman Old Style"/>
          <w:iCs/>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A210FD" w:rsidRPr="00086996" w:rsidTr="00C83212">
        <w:trPr>
          <w:tblHeader/>
          <w:jc w:val="center"/>
        </w:trPr>
        <w:tc>
          <w:tcPr>
            <w:tcW w:w="846" w:type="dxa"/>
            <w:vAlign w:val="center"/>
          </w:tcPr>
          <w:p w:rsidR="00A210FD" w:rsidRPr="00086996" w:rsidRDefault="00A210FD" w:rsidP="00C83212">
            <w:pPr>
              <w:ind w:left="22"/>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04" w:type="dxa"/>
            <w:vAlign w:val="center"/>
          </w:tcPr>
          <w:p w:rsidR="00A210FD" w:rsidRPr="00086996" w:rsidRDefault="00A210FD" w:rsidP="00C83212">
            <w:pPr>
              <w:ind w:left="-193"/>
              <w:jc w:val="center"/>
              <w:rPr>
                <w:rFonts w:ascii="Bookman Old Style" w:hAnsi="Bookman Old Style"/>
                <w:b/>
                <w:bCs/>
                <w:color w:val="000000"/>
                <w:sz w:val="16"/>
                <w:szCs w:val="16"/>
              </w:rPr>
            </w:pPr>
            <w:r w:rsidRPr="00086996">
              <w:rPr>
                <w:rFonts w:ascii="Bookman Old Style" w:hAnsi="Bookman Old Style"/>
                <w:b/>
                <w:bCs/>
                <w:color w:val="000000"/>
                <w:sz w:val="16"/>
                <w:szCs w:val="16"/>
              </w:rPr>
              <w:t>4 Kg</w:t>
            </w:r>
          </w:p>
        </w:tc>
        <w:tc>
          <w:tcPr>
            <w:tcW w:w="805" w:type="dxa"/>
            <w:vAlign w:val="center"/>
          </w:tcPr>
          <w:p w:rsidR="00A210FD" w:rsidRPr="00086996" w:rsidRDefault="00A210FD" w:rsidP="00C83212">
            <w:pPr>
              <w:ind w:left="-152"/>
              <w:jc w:val="center"/>
              <w:rPr>
                <w:rFonts w:ascii="Bookman Old Style" w:hAnsi="Bookman Old Style"/>
                <w:b/>
                <w:bCs/>
                <w:color w:val="000000"/>
                <w:sz w:val="16"/>
                <w:szCs w:val="16"/>
              </w:rPr>
            </w:pPr>
            <w:r w:rsidRPr="00086996">
              <w:rPr>
                <w:rFonts w:ascii="Bookman Old Style" w:hAnsi="Bookman Old Style"/>
                <w:b/>
                <w:bCs/>
                <w:color w:val="000000"/>
                <w:sz w:val="16"/>
                <w:szCs w:val="16"/>
              </w:rPr>
              <w:t>5 Kg</w:t>
            </w:r>
          </w:p>
        </w:tc>
        <w:tc>
          <w:tcPr>
            <w:tcW w:w="805" w:type="dxa"/>
            <w:vAlign w:val="center"/>
          </w:tcPr>
          <w:p w:rsidR="00A210FD" w:rsidRPr="00086996" w:rsidRDefault="00A210FD" w:rsidP="00C83212">
            <w:pPr>
              <w:ind w:left="-56"/>
              <w:jc w:val="center"/>
              <w:rPr>
                <w:rFonts w:ascii="Bookman Old Style" w:hAnsi="Bookman Old Style"/>
                <w:b/>
                <w:bCs/>
                <w:color w:val="000000"/>
                <w:sz w:val="16"/>
                <w:szCs w:val="16"/>
              </w:rPr>
            </w:pPr>
            <w:r w:rsidRPr="00086996">
              <w:rPr>
                <w:rFonts w:ascii="Bookman Old Style" w:hAnsi="Bookman Old Style"/>
                <w:b/>
                <w:bCs/>
                <w:color w:val="000000"/>
                <w:sz w:val="16"/>
                <w:szCs w:val="16"/>
              </w:rPr>
              <w:t>7 Kg</w:t>
            </w:r>
          </w:p>
        </w:tc>
        <w:tc>
          <w:tcPr>
            <w:tcW w:w="764" w:type="dxa"/>
            <w:vAlign w:val="center"/>
          </w:tcPr>
          <w:p w:rsidR="00A210FD" w:rsidRPr="00086996" w:rsidRDefault="00A210FD" w:rsidP="00C83212">
            <w:pPr>
              <w:ind w:left="-159"/>
              <w:jc w:val="center"/>
              <w:rPr>
                <w:rFonts w:ascii="Bookman Old Style" w:hAnsi="Bookman Old Style"/>
                <w:b/>
                <w:bCs/>
                <w:color w:val="000000"/>
                <w:sz w:val="16"/>
                <w:szCs w:val="16"/>
              </w:rPr>
            </w:pPr>
            <w:r w:rsidRPr="00086996">
              <w:rPr>
                <w:rFonts w:ascii="Bookman Old Style" w:hAnsi="Bookman Old Style"/>
                <w:b/>
                <w:bCs/>
                <w:color w:val="000000"/>
                <w:sz w:val="16"/>
                <w:szCs w:val="16"/>
              </w:rPr>
              <w:t>9 Kg</w:t>
            </w:r>
          </w:p>
        </w:tc>
        <w:tc>
          <w:tcPr>
            <w:tcW w:w="863" w:type="dxa"/>
            <w:vAlign w:val="center"/>
          </w:tcPr>
          <w:p w:rsidR="00A210FD" w:rsidRPr="00086996" w:rsidRDefault="00A210FD" w:rsidP="00C83212">
            <w:pPr>
              <w:ind w:left="-113"/>
              <w:jc w:val="center"/>
              <w:rPr>
                <w:rFonts w:ascii="Bookman Old Style" w:hAnsi="Bookman Old Style"/>
                <w:b/>
                <w:bCs/>
                <w:color w:val="000000"/>
                <w:sz w:val="16"/>
                <w:szCs w:val="16"/>
              </w:rPr>
            </w:pPr>
            <w:r w:rsidRPr="00086996">
              <w:rPr>
                <w:rFonts w:ascii="Bookman Old Style" w:hAnsi="Bookman Old Style"/>
                <w:b/>
                <w:bCs/>
                <w:color w:val="000000"/>
                <w:sz w:val="16"/>
                <w:szCs w:val="16"/>
              </w:rPr>
              <w:t>15 Kg</w:t>
            </w:r>
          </w:p>
        </w:tc>
        <w:tc>
          <w:tcPr>
            <w:tcW w:w="911" w:type="dxa"/>
            <w:vAlign w:val="center"/>
          </w:tcPr>
          <w:p w:rsidR="00A210FD" w:rsidRPr="00086996" w:rsidRDefault="00A210FD" w:rsidP="00C83212">
            <w:pPr>
              <w:ind w:left="-158"/>
              <w:jc w:val="center"/>
              <w:rPr>
                <w:rFonts w:ascii="Bookman Old Style" w:hAnsi="Bookman Old Style"/>
                <w:b/>
                <w:bCs/>
                <w:color w:val="000000"/>
                <w:sz w:val="16"/>
                <w:szCs w:val="16"/>
              </w:rPr>
            </w:pPr>
            <w:r w:rsidRPr="00086996">
              <w:rPr>
                <w:rFonts w:ascii="Bookman Old Style" w:hAnsi="Bookman Old Style"/>
                <w:b/>
                <w:bCs/>
                <w:color w:val="000000"/>
                <w:sz w:val="16"/>
                <w:szCs w:val="16"/>
              </w:rPr>
              <w:t>18 Kg</w:t>
            </w:r>
          </w:p>
        </w:tc>
        <w:tc>
          <w:tcPr>
            <w:tcW w:w="778" w:type="dxa"/>
            <w:vAlign w:val="center"/>
          </w:tcPr>
          <w:p w:rsidR="00A210FD" w:rsidRPr="00086996" w:rsidRDefault="00A210FD" w:rsidP="00C83212">
            <w:pPr>
              <w:ind w:left="-180"/>
              <w:jc w:val="center"/>
              <w:rPr>
                <w:rFonts w:ascii="Bookman Old Style" w:hAnsi="Bookman Old Style"/>
                <w:b/>
                <w:bCs/>
                <w:color w:val="000000"/>
                <w:sz w:val="16"/>
                <w:szCs w:val="16"/>
              </w:rPr>
            </w:pPr>
            <w:r w:rsidRPr="00086996">
              <w:rPr>
                <w:rFonts w:ascii="Bookman Old Style" w:hAnsi="Bookman Old Style"/>
                <w:b/>
                <w:bCs/>
                <w:color w:val="000000"/>
                <w:sz w:val="16"/>
                <w:szCs w:val="16"/>
              </w:rPr>
              <w:t>35 Kg</w:t>
            </w:r>
          </w:p>
        </w:tc>
        <w:tc>
          <w:tcPr>
            <w:tcW w:w="805" w:type="dxa"/>
            <w:vAlign w:val="center"/>
          </w:tcPr>
          <w:p w:rsidR="00A210FD" w:rsidRPr="00086996" w:rsidRDefault="00A210FD" w:rsidP="00C83212">
            <w:pPr>
              <w:ind w:left="-126"/>
              <w:jc w:val="center"/>
              <w:rPr>
                <w:rFonts w:ascii="Bookman Old Style" w:hAnsi="Bookman Old Style"/>
                <w:b/>
                <w:bCs/>
                <w:color w:val="000000"/>
                <w:sz w:val="16"/>
                <w:szCs w:val="16"/>
              </w:rPr>
            </w:pPr>
            <w:r w:rsidRPr="00086996">
              <w:rPr>
                <w:rFonts w:ascii="Bookman Old Style" w:hAnsi="Bookman Old Style"/>
                <w:b/>
                <w:bCs/>
                <w:color w:val="000000"/>
                <w:sz w:val="16"/>
                <w:szCs w:val="16"/>
              </w:rPr>
              <w:t>45 Kg</w:t>
            </w:r>
          </w:p>
        </w:tc>
        <w:tc>
          <w:tcPr>
            <w:tcW w:w="911" w:type="dxa"/>
            <w:vAlign w:val="center"/>
          </w:tcPr>
          <w:p w:rsidR="00A210FD" w:rsidRPr="00086996" w:rsidRDefault="00A210FD" w:rsidP="00C83212">
            <w:pPr>
              <w:ind w:left="-22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general</w:t>
            </w:r>
          </w:p>
        </w:tc>
        <w:tc>
          <w:tcPr>
            <w:tcW w:w="1059" w:type="dxa"/>
            <w:vAlign w:val="center"/>
          </w:tcPr>
          <w:p w:rsidR="00A210FD" w:rsidRPr="00086996" w:rsidRDefault="00A210FD" w:rsidP="00C83212">
            <w:pPr>
              <w:ind w:left="-103"/>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2336" behindDoc="0" locked="0" layoutInCell="1" allowOverlap="1" wp14:anchorId="535C9C4C" wp14:editId="22E4F6DD">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6"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210FD" w:rsidRPr="005B1B00" w:rsidRDefault="00A210FD" w:rsidP="00A210FD">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35C9C4C" id="3 CuadroTexto" o:spid="_x0000_s1027" type="#_x0000_t202" style="position:absolute;left:0;text-align:left;margin-left:-3.5pt;margin-top:8.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" filled="f" stroked="f">
                      <v:textbox>
                        <w:txbxContent>
                          <w:p w:rsidR="00A210FD" w:rsidRPr="005B1B00" w:rsidRDefault="00A210FD" w:rsidP="00A210FD">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A210FD" w:rsidRPr="00086996" w:rsidTr="00C83212">
        <w:tblPrEx>
          <w:jc w:val="left"/>
        </w:tblPrEx>
        <w:trPr>
          <w:trHeight w:val="405"/>
        </w:trPr>
        <w:tc>
          <w:tcPr>
            <w:tcW w:w="846" w:type="dxa"/>
            <w:noWrap/>
            <w:vAlign w:val="center"/>
          </w:tcPr>
          <w:p w:rsidR="00A210FD" w:rsidRPr="00086996" w:rsidRDefault="00A210FD" w:rsidP="00A210FD">
            <w:pPr>
              <w:ind w:left="33"/>
              <w:jc w:val="center"/>
              <w:rPr>
                <w:rFonts w:ascii="Bookman Old Style" w:hAnsi="Bookman Old Style"/>
                <w:color w:val="000000"/>
                <w:sz w:val="16"/>
                <w:szCs w:val="16"/>
              </w:rPr>
            </w:pPr>
            <w:r w:rsidRPr="00086996">
              <w:rPr>
                <w:rFonts w:ascii="Bookman Old Style" w:hAnsi="Bookman Old Style"/>
                <w:color w:val="000000"/>
                <w:sz w:val="16"/>
                <w:szCs w:val="16"/>
              </w:rPr>
              <w:t>32733</w:t>
            </w:r>
          </w:p>
        </w:tc>
        <w:tc>
          <w:tcPr>
            <w:tcW w:w="804"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764"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863"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778"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A210FD" w:rsidRPr="00086996" w:rsidRDefault="00A210FD" w:rsidP="00A210FD">
            <w:pPr>
              <w:ind w:left="33"/>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A210FD" w:rsidRPr="00086996" w:rsidRDefault="00A210FD" w:rsidP="00A210FD">
            <w:pPr>
              <w:ind w:left="33"/>
              <w:jc w:val="right"/>
              <w:rPr>
                <w:rFonts w:ascii="Bookman Old Style" w:hAnsi="Bookman Old Style"/>
                <w:color w:val="000000"/>
                <w:sz w:val="16"/>
                <w:szCs w:val="16"/>
              </w:rPr>
            </w:pPr>
            <w:r w:rsidRPr="00086996">
              <w:rPr>
                <w:rFonts w:ascii="Bookman Old Style" w:hAnsi="Bookman Old Style"/>
                <w:color w:val="000000"/>
                <w:sz w:val="16"/>
                <w:szCs w:val="16"/>
              </w:rPr>
              <w:t>0</w:t>
            </w:r>
          </w:p>
        </w:tc>
        <w:tc>
          <w:tcPr>
            <w:tcW w:w="1059" w:type="dxa"/>
            <w:noWrap/>
            <w:vAlign w:val="center"/>
          </w:tcPr>
          <w:p w:rsidR="00A210FD" w:rsidRPr="00086996" w:rsidRDefault="00A210FD" w:rsidP="00A210FD">
            <w:pPr>
              <w:ind w:left="33"/>
              <w:jc w:val="right"/>
              <w:rPr>
                <w:rFonts w:ascii="Bookman Old Style" w:hAnsi="Bookman Old Style"/>
                <w:color w:val="000000"/>
                <w:sz w:val="16"/>
                <w:szCs w:val="16"/>
              </w:rPr>
            </w:pPr>
            <w:r w:rsidRPr="00086996">
              <w:rPr>
                <w:rFonts w:ascii="Bookman Old Style" w:hAnsi="Bookman Old Style"/>
                <w:color w:val="000000"/>
                <w:sz w:val="16"/>
                <w:szCs w:val="16"/>
              </w:rPr>
              <w:t>0</w:t>
            </w:r>
          </w:p>
        </w:tc>
      </w:tr>
    </w:tbl>
    <w:p w:rsidR="00A210FD" w:rsidRPr="00370A60" w:rsidRDefault="00A210FD" w:rsidP="00A210FD">
      <w:pPr>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A210FD" w:rsidRPr="00FC0FA7" w:rsidRDefault="00A210FD" w:rsidP="00A210FD">
      <w:pPr>
        <w:rPr>
          <w:rFonts w:ascii="Bookman Old Style" w:hAnsi="Bookman Old Style"/>
          <w:sz w:val="14"/>
        </w:rPr>
      </w:pPr>
    </w:p>
    <w:p w:rsidR="00A210FD" w:rsidRPr="00FD101E" w:rsidRDefault="00A210FD" w:rsidP="00A210FD">
      <w:pPr>
        <w:pStyle w:val="Prrafodelista"/>
        <w:numPr>
          <w:ilvl w:val="0"/>
          <w:numId w:val="12"/>
        </w:numPr>
        <w:ind w:left="357" w:hanging="357"/>
        <w:jc w:val="both"/>
        <w:rPr>
          <w:rFonts w:ascii="Bookman Old Style" w:hAnsi="Bookman Old Style"/>
        </w:rPr>
      </w:pPr>
      <w:r w:rsidRPr="00FD101E">
        <w:rPr>
          <w:rFonts w:ascii="Bookman Old Style" w:hAnsi="Bookman Old Style"/>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A210FD" w:rsidRPr="00FC0FA7" w:rsidRDefault="00A210FD" w:rsidP="00A210FD">
      <w:pPr>
        <w:ind w:left="360"/>
        <w:jc w:val="both"/>
        <w:rPr>
          <w:rFonts w:ascii="Bookman Old Style" w:hAnsi="Bookman Old Style"/>
          <w:sz w:val="16"/>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A210FD" w:rsidRPr="00F2343D" w:rsidTr="00C83212">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0FD" w:rsidRPr="00846490" w:rsidRDefault="00A210FD" w:rsidP="00C83212">
            <w:pPr>
              <w:ind w:left="38"/>
              <w:jc w:val="center"/>
              <w:rPr>
                <w:rFonts w:ascii="Bookman Old Style" w:hAnsi="Bookman Old Style"/>
                <w:b/>
                <w:bCs/>
                <w:color w:val="000000"/>
                <w:sz w:val="18"/>
                <w:szCs w:val="18"/>
                <w:lang w:eastAsia="es-CO"/>
              </w:rPr>
            </w:pPr>
            <w:r w:rsidRPr="00846490">
              <w:rPr>
                <w:rFonts w:ascii="Bookman Old Style" w:hAnsi="Bookman Old Style"/>
                <w:b/>
                <w:bCs/>
                <w:color w:val="000000"/>
                <w:sz w:val="18"/>
                <w:szCs w:val="18"/>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A210FD" w:rsidRPr="00846490" w:rsidRDefault="00A210FD" w:rsidP="00C83212">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3360" behindDoc="0" locked="0" layoutInCell="1" allowOverlap="1" wp14:anchorId="44DF3B4D" wp14:editId="42F2C998">
                      <wp:simplePos x="0" y="0"/>
                      <wp:positionH relativeFrom="column">
                        <wp:posOffset>-41275</wp:posOffset>
                      </wp:positionH>
                      <wp:positionV relativeFrom="paragraph">
                        <wp:posOffset>21590</wp:posOffset>
                      </wp:positionV>
                      <wp:extent cx="914400" cy="269240"/>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210FD" w:rsidRDefault="00A210FD" w:rsidP="00A210FD">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44DF3B4D" id="5 CuadroTexto" o:spid="_x0000_s1028" type="#_x0000_t202" style="position:absolute;left:0;text-align:left;margin-left:-3.25pt;margin-top:1.7pt;width:1in;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VYqVCfwBAABIBAAADgAAAAAAAAAAAAAAAAAu&#10;AgAAZHJzL2Uyb0RvYy54bWxQSwECLQAUAAYACAAAACEAkiB0UNsAAAAHAQAADwAAAAAAAAAAAAAA&#10;AABWBAAAZHJzL2Rvd25yZXYueG1sUEsFBgAAAAAEAAQA8wAAAF4FAAAAAA==&#10;" filled="f" stroked="f">
                      <v:textbox style="mso-fit-shape-to-text:t">
                        <w:txbxContent>
                          <w:p w:rsidR="00A210FD" w:rsidRDefault="00A210FD" w:rsidP="00A210FD">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A210FD" w:rsidRPr="00846490" w:rsidRDefault="00A210FD" w:rsidP="00C83212">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4384" behindDoc="0" locked="0" layoutInCell="1" allowOverlap="1" wp14:anchorId="772CB723" wp14:editId="097AC1A3">
                      <wp:simplePos x="0" y="0"/>
                      <wp:positionH relativeFrom="column">
                        <wp:posOffset>-3175</wp:posOffset>
                      </wp:positionH>
                      <wp:positionV relativeFrom="paragraph">
                        <wp:posOffset>15875</wp:posOffset>
                      </wp:positionV>
                      <wp:extent cx="914400" cy="269240"/>
                      <wp:effectExtent l="0" t="0" r="0" b="0"/>
                      <wp:wrapNone/>
                      <wp:docPr id="8"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210FD" w:rsidRDefault="00A210FD" w:rsidP="00A210FD">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772CB723" id="4 CuadroTexto" o:spid="_x0000_s1029" type="#_x0000_t202" style="position:absolute;left:0;text-align:left;margin-left:-.25pt;margin-top:1.25pt;width:1in;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Kbpllb7AQAASAQAAA4AAAAAAAAAAAAAAAAALgIA&#10;AGRycy9lMm9Eb2MueG1sUEsBAi0AFAAGAAgAAAAhAJgLckPaAAAABgEAAA8AAAAAAAAAAAAAAAAA&#10;VQQAAGRycy9kb3ducmV2LnhtbFBLBQYAAAAABAAEAPMAAABcBQAAAAA=&#10;" filled="f" stroked="f">
                      <v:textbox style="mso-fit-shape-to-text:t">
                        <w:txbxContent>
                          <w:p w:rsidR="00A210FD" w:rsidRDefault="00A210FD" w:rsidP="00A210FD">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210FD" w:rsidRPr="00846490" w:rsidRDefault="00A210FD" w:rsidP="00C83212">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5408" behindDoc="0" locked="0" layoutInCell="1" allowOverlap="1" wp14:anchorId="456350DF" wp14:editId="0E225FDE">
                      <wp:simplePos x="0" y="0"/>
                      <wp:positionH relativeFrom="column">
                        <wp:posOffset>53975</wp:posOffset>
                      </wp:positionH>
                      <wp:positionV relativeFrom="paragraph">
                        <wp:posOffset>22225</wp:posOffset>
                      </wp:positionV>
                      <wp:extent cx="914400" cy="269240"/>
                      <wp:effectExtent l="0" t="0" r="0" b="0"/>
                      <wp:wrapNone/>
                      <wp:docPr id="9"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210FD" w:rsidRDefault="00A210FD" w:rsidP="00A210FD">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456350DF" id="6 CuadroTexto" o:spid="_x0000_s1030" type="#_x0000_t202" style="position:absolute;left:0;text-align:left;margin-left:4.25pt;margin-top:1.7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J+x5Ib7AQAASAQAAA4AAAAAAAAAAAAAAAAALgIA&#10;AGRycy9lMm9Eb2MueG1sUEsBAi0AFAAGAAgAAAAhAPFWz4naAAAABgEAAA8AAAAAAAAAAAAAAAAA&#10;VQQAAGRycy9kb3ducmV2LnhtbFBLBQYAAAAABAAEAPMAAABcBQAAAAA=&#10;" filled="f" stroked="f">
                      <v:textbox style="mso-fit-shape-to-text:t">
                        <w:txbxContent>
                          <w:p w:rsidR="00A210FD" w:rsidRDefault="00A210FD" w:rsidP="00A210FD">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r>
      <w:tr w:rsidR="00A210FD" w:rsidRPr="00086996" w:rsidTr="00C83212">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A210FD" w:rsidRPr="00086996" w:rsidRDefault="00A210FD" w:rsidP="00A210FD">
            <w:pPr>
              <w:ind w:left="6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32733</w:t>
            </w:r>
          </w:p>
        </w:tc>
        <w:tc>
          <w:tcPr>
            <w:tcW w:w="1716" w:type="dxa"/>
            <w:tcBorders>
              <w:top w:val="nil"/>
              <w:left w:val="nil"/>
              <w:bottom w:val="single" w:sz="4" w:space="0" w:color="auto"/>
              <w:right w:val="single" w:sz="4" w:space="0" w:color="auto"/>
            </w:tcBorders>
            <w:shd w:val="clear" w:color="auto" w:fill="auto"/>
            <w:noWrap/>
            <w:vAlign w:val="center"/>
          </w:tcPr>
          <w:p w:rsidR="00A210FD" w:rsidRPr="00086996" w:rsidRDefault="00A210FD" w:rsidP="00A210FD">
            <w:pPr>
              <w:ind w:left="6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226,018 </w:t>
            </w:r>
          </w:p>
        </w:tc>
        <w:tc>
          <w:tcPr>
            <w:tcW w:w="1716" w:type="dxa"/>
            <w:tcBorders>
              <w:top w:val="nil"/>
              <w:left w:val="nil"/>
              <w:bottom w:val="single" w:sz="4" w:space="0" w:color="auto"/>
              <w:right w:val="single" w:sz="4" w:space="0" w:color="auto"/>
            </w:tcBorders>
            <w:shd w:val="clear" w:color="auto" w:fill="auto"/>
            <w:noWrap/>
            <w:vAlign w:val="center"/>
          </w:tcPr>
          <w:p w:rsidR="00A210FD" w:rsidRPr="00086996" w:rsidRDefault="00A210FD" w:rsidP="00A210FD">
            <w:pPr>
              <w:ind w:left="6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A210FD" w:rsidRPr="00086996" w:rsidRDefault="00A210FD" w:rsidP="00A210FD">
            <w:pPr>
              <w:ind w:left="6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226,018 </w:t>
            </w:r>
          </w:p>
        </w:tc>
      </w:tr>
    </w:tbl>
    <w:p w:rsidR="00A210FD" w:rsidRPr="00370A60" w:rsidRDefault="00A210FD" w:rsidP="00A210FD">
      <w:pPr>
        <w:pStyle w:val="Prrafodelista"/>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A210FD" w:rsidRDefault="00A210FD" w:rsidP="00A210FD">
      <w:pPr>
        <w:rPr>
          <w:rFonts w:ascii="Bookman Old Style" w:hAnsi="Bookman Old Style"/>
        </w:rPr>
      </w:pPr>
    </w:p>
    <w:p w:rsidR="00A210FD" w:rsidRPr="006F4984" w:rsidRDefault="00A210FD" w:rsidP="00A210FD">
      <w:pPr>
        <w:pStyle w:val="Prrafodelista"/>
        <w:numPr>
          <w:ilvl w:val="0"/>
          <w:numId w:val="12"/>
        </w:numPr>
        <w:ind w:left="357" w:hanging="357"/>
        <w:jc w:val="both"/>
        <w:rPr>
          <w:rFonts w:ascii="Bookman Old Style" w:hAnsi="Bookman Old Style"/>
        </w:rPr>
      </w:pPr>
      <w:r>
        <w:rPr>
          <w:rFonts w:ascii="Bookman Old Style" w:hAnsi="Bookman Old Style"/>
        </w:rPr>
        <w:t xml:space="preserve">De acuerdo con parágrafo 3 del artículo 8 de la resolución CREG 063 de 2016, se calcula la </w:t>
      </w:r>
      <w:r w:rsidRPr="00AE5D16">
        <w:rPr>
          <w:rFonts w:ascii="Bookman Old Style" w:hAnsi="Bookman Old Style"/>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AE5D16">
        <w:rPr>
          <w:rFonts w:ascii="Bookman Old Style" w:eastAsiaTheme="minorEastAsia" w:hAnsi="Bookman Old Style"/>
          <w:iCs/>
        </w:rPr>
        <w:t>, a</w:t>
      </w:r>
      <w:r>
        <w:rPr>
          <w:rFonts w:ascii="Bookman Old Style" w:eastAsiaTheme="minorEastAsia" w:hAnsi="Bookman Old Style"/>
          <w:iCs/>
        </w:rPr>
        <w:t xml:space="preserve"> continuación se muestra el conteo de cilindros por código de presentación para cada uno de los códigos SUI de las empresas. </w:t>
      </w:r>
    </w:p>
    <w:p w:rsidR="00A210FD" w:rsidRPr="007D4A88" w:rsidRDefault="00A210FD" w:rsidP="00A210FD">
      <w:pPr>
        <w:pStyle w:val="Prrafodelista"/>
        <w:ind w:left="357"/>
        <w:jc w:val="both"/>
        <w:rPr>
          <w:rFonts w:ascii="Bookman Old Style" w:hAnsi="Bookman Old Style"/>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A210FD" w:rsidRPr="00E01659" w:rsidTr="00C83212">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0FD" w:rsidRPr="00370A60" w:rsidRDefault="00A210FD" w:rsidP="00C83212">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A210FD" w:rsidRPr="00E01659" w:rsidRDefault="00A210FD" w:rsidP="00C83212">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Capacidad total (gl)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6453C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210FD" w:rsidRPr="00E01659" w:rsidRDefault="00A210FD" w:rsidP="00C83212">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6453C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A210FD" w:rsidRPr="00E01659" w:rsidRDefault="00A210FD" w:rsidP="00C83212">
            <w:pPr>
              <w:ind w:left="38"/>
              <w:jc w:val="center"/>
              <w:rPr>
                <w:rFonts w:ascii="Bookman Old Style" w:hAnsi="Bookman Old Style"/>
                <w:b/>
                <w:bCs/>
                <w:color w:val="000000"/>
                <w:sz w:val="20"/>
                <w:szCs w:val="2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6453C3">
              <w:rPr>
                <w:rFonts w:ascii="Bookman Old Style" w:hAnsi="Bookman Old Style"/>
                <w:b/>
                <w:bCs/>
                <w:color w:val="000000" w:themeColor="text1"/>
                <w:sz w:val="20"/>
                <w:szCs w:val="20"/>
                <w:lang w:eastAsia="es-CO"/>
              </w:rPr>
              <w:t> </w:t>
            </w:r>
          </w:p>
        </w:tc>
      </w:tr>
      <w:tr w:rsidR="00A210FD" w:rsidRPr="0095007D" w:rsidTr="00C83212">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A210FD" w:rsidRPr="0095007D" w:rsidRDefault="005E3845" w:rsidP="00C83212">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32733</w:t>
            </w:r>
          </w:p>
        </w:tc>
        <w:tc>
          <w:tcPr>
            <w:tcW w:w="1776" w:type="dxa"/>
            <w:tcBorders>
              <w:top w:val="nil"/>
              <w:left w:val="nil"/>
              <w:bottom w:val="single" w:sz="4" w:space="0" w:color="auto"/>
              <w:right w:val="single" w:sz="4" w:space="0" w:color="auto"/>
            </w:tcBorders>
            <w:shd w:val="clear" w:color="auto" w:fill="auto"/>
            <w:noWrap/>
            <w:vAlign w:val="center"/>
          </w:tcPr>
          <w:p w:rsidR="00A210FD" w:rsidRPr="0095007D" w:rsidRDefault="005E3845" w:rsidP="00C83212">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44.860</w:t>
            </w:r>
          </w:p>
        </w:tc>
        <w:tc>
          <w:tcPr>
            <w:tcW w:w="2092" w:type="dxa"/>
            <w:tcBorders>
              <w:top w:val="nil"/>
              <w:left w:val="nil"/>
              <w:bottom w:val="single" w:sz="4" w:space="0" w:color="auto"/>
              <w:right w:val="single" w:sz="4" w:space="0" w:color="auto"/>
            </w:tcBorders>
            <w:shd w:val="clear" w:color="auto" w:fill="auto"/>
            <w:noWrap/>
            <w:vAlign w:val="center"/>
          </w:tcPr>
          <w:p w:rsidR="00A210FD" w:rsidRPr="0095007D" w:rsidRDefault="005E3845" w:rsidP="00C83212">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191</w:t>
            </w:r>
          </w:p>
        </w:tc>
        <w:tc>
          <w:tcPr>
            <w:tcW w:w="1800" w:type="dxa"/>
            <w:tcBorders>
              <w:top w:val="nil"/>
              <w:left w:val="nil"/>
              <w:bottom w:val="single" w:sz="4" w:space="0" w:color="auto"/>
              <w:right w:val="single" w:sz="4" w:space="0" w:color="auto"/>
            </w:tcBorders>
            <w:shd w:val="clear" w:color="auto" w:fill="auto"/>
            <w:noWrap/>
            <w:vAlign w:val="center"/>
          </w:tcPr>
          <w:p w:rsidR="00A210FD" w:rsidRPr="0095007D" w:rsidRDefault="005E3845" w:rsidP="00C83212">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565.236</w:t>
            </w:r>
          </w:p>
        </w:tc>
      </w:tr>
    </w:tbl>
    <w:p w:rsidR="00A210FD" w:rsidRPr="00074962" w:rsidRDefault="00A210FD" w:rsidP="00A210FD">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w:t>
      </w:r>
      <w:r>
        <w:rPr>
          <w:rFonts w:ascii="Bookman Old Style" w:hAnsi="Bookman Old Style"/>
          <w:sz w:val="18"/>
        </w:rPr>
        <w:t>esenta registro de información al SUI.</w:t>
      </w:r>
    </w:p>
    <w:p w:rsidR="00A210FD" w:rsidRDefault="00A210FD" w:rsidP="00A210FD">
      <w:pPr>
        <w:pStyle w:val="Prrafodelista"/>
        <w:jc w:val="both"/>
        <w:rPr>
          <w:rFonts w:ascii="Bookman Old Style" w:hAnsi="Bookman Old Style"/>
        </w:rPr>
      </w:pPr>
    </w:p>
    <w:p w:rsidR="00A210FD" w:rsidRPr="00EF5680" w:rsidRDefault="00A210FD" w:rsidP="00A210FD">
      <w:pPr>
        <w:pStyle w:val="Prrafodelista"/>
        <w:numPr>
          <w:ilvl w:val="0"/>
          <w:numId w:val="12"/>
        </w:numPr>
        <w:ind w:left="357" w:hanging="357"/>
        <w:jc w:val="both"/>
        <w:rPr>
          <w:rFonts w:ascii="Bookman Old Style" w:hAnsi="Bookman Old Style"/>
        </w:rPr>
      </w:pPr>
      <w:r w:rsidRPr="00FD101E">
        <w:rPr>
          <w:rFonts w:ascii="Bookman Old Style" w:hAnsi="Bookman Old Style"/>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A210FD" w:rsidRPr="00FD101E" w:rsidRDefault="00A210FD" w:rsidP="00A210FD">
      <w:pPr>
        <w:pStyle w:val="Prrafodelista"/>
        <w:ind w:left="357"/>
        <w:jc w:val="both"/>
        <w:rPr>
          <w:rFonts w:ascii="Bookman Old Style" w:hAnsi="Bookman Old Style"/>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A210FD" w:rsidRPr="00E01659" w:rsidTr="00C83212">
        <w:trPr>
          <w:trHeight w:val="750"/>
          <w:tblHeader/>
          <w:jc w:val="center"/>
        </w:trPr>
        <w:tc>
          <w:tcPr>
            <w:tcW w:w="1420" w:type="dxa"/>
            <w:shd w:val="clear" w:color="auto" w:fill="auto"/>
            <w:noWrap/>
            <w:vAlign w:val="center"/>
            <w:hideMark/>
          </w:tcPr>
          <w:p w:rsidR="00A210FD" w:rsidRPr="00370A60" w:rsidRDefault="00A210FD" w:rsidP="00C83212">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828" w:type="dxa"/>
            <w:shd w:val="clear" w:color="auto" w:fill="auto"/>
            <w:noWrap/>
            <w:vAlign w:val="center"/>
            <w:hideMark/>
          </w:tcPr>
          <w:p w:rsidR="00A210FD" w:rsidRPr="00E01659" w:rsidRDefault="00A210FD" w:rsidP="00C83212">
            <w:pPr>
              <w:ind w:left="-81"/>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Cap.</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cil</m:t>
                    </m:r>
                  </m:e>
                  <m:sub>
                    <m:r>
                      <m:rPr>
                        <m:sty m:val="bi"/>
                      </m:rPr>
                      <w:rPr>
                        <w:rFonts w:ascii="Cambria Math" w:hAnsi="Cambria Math"/>
                        <w:color w:val="000000" w:themeColor="text1"/>
                        <w:sz w:val="20"/>
                        <w:szCs w:val="20"/>
                        <w:lang w:eastAsia="es-CO"/>
                      </w:rPr>
                      <m:t>i,t</m:t>
                    </m:r>
                  </m:sub>
                </m:sSub>
              </m:oMath>
            </m:oMathPara>
          </w:p>
        </w:tc>
        <w:tc>
          <w:tcPr>
            <w:tcW w:w="1704" w:type="dxa"/>
            <w:shd w:val="clear" w:color="auto" w:fill="auto"/>
            <w:noWrap/>
            <w:vAlign w:val="center"/>
            <w:hideMark/>
          </w:tcPr>
          <w:p w:rsidR="00A210FD" w:rsidRPr="00E01659" w:rsidRDefault="00A210FD" w:rsidP="00C83212">
            <w:pPr>
              <w:ind w:left="-68"/>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828" w:type="dxa"/>
            <w:shd w:val="clear" w:color="auto" w:fill="auto"/>
            <w:noWrap/>
            <w:vAlign w:val="center"/>
            <w:hideMark/>
          </w:tcPr>
          <w:p w:rsidR="00A210FD" w:rsidRPr="00E01659" w:rsidRDefault="00A210FD" w:rsidP="00C83212">
            <w:pPr>
              <w:ind w:left="-62"/>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m:t>
                    </m:r>
                  </m:e>
                  <m:sub>
                    <m:r>
                      <m:rPr>
                        <m:sty m:val="bi"/>
                      </m:rPr>
                      <w:rPr>
                        <w:rFonts w:ascii="Cambria Math" w:hAnsi="Cambria Math"/>
                        <w:color w:val="000000" w:themeColor="text1"/>
                        <w:sz w:val="20"/>
                        <w:szCs w:val="20"/>
                        <w:lang w:eastAsia="es-CO"/>
                      </w:rPr>
                      <m:t>i,t</m:t>
                    </m:r>
                  </m:sub>
                </m:sSub>
              </m:oMath>
            </m:oMathPara>
          </w:p>
        </w:tc>
      </w:tr>
      <w:tr w:rsidR="00A210FD" w:rsidRPr="0095007D" w:rsidTr="00C83212">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0FD" w:rsidRPr="0095007D" w:rsidRDefault="005E3845" w:rsidP="00C83212">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32733</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0FD" w:rsidRPr="0095007D" w:rsidRDefault="005E3845" w:rsidP="00C83212">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226.018</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0FD" w:rsidRPr="0095007D" w:rsidRDefault="005E3845" w:rsidP="00C83212">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565.236</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0FD" w:rsidRPr="0095007D" w:rsidRDefault="005E3845" w:rsidP="00C83212">
            <w:pPr>
              <w:ind w:left="0"/>
              <w:jc w:val="center"/>
              <w:rPr>
                <w:rFonts w:ascii="Bookman Old Style" w:hAnsi="Bookman Old Style"/>
                <w:color w:val="000000"/>
                <w:sz w:val="20"/>
                <w:szCs w:val="20"/>
              </w:rPr>
            </w:pPr>
            <w:r>
              <w:rPr>
                <w:rFonts w:ascii="Bookman Old Style" w:hAnsi="Bookman Old Style"/>
                <w:color w:val="000000"/>
                <w:sz w:val="20"/>
                <w:szCs w:val="20"/>
              </w:rPr>
              <w:t>243.732</w:t>
            </w:r>
          </w:p>
        </w:tc>
      </w:tr>
    </w:tbl>
    <w:p w:rsidR="00A210FD" w:rsidRPr="00370A60" w:rsidRDefault="00A210FD" w:rsidP="00A210FD">
      <w:pPr>
        <w:pStyle w:val="Prrafodelista"/>
        <w:ind w:left="0"/>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al SUI.</w:t>
      </w:r>
    </w:p>
    <w:p w:rsidR="00A210FD" w:rsidRDefault="00A210FD" w:rsidP="00A210FD">
      <w:pPr>
        <w:ind w:left="-142" w:right="-142"/>
        <w:jc w:val="both"/>
        <w:rPr>
          <w:rFonts w:ascii="Bookman Old Style" w:hAnsi="Bookman Old Style"/>
          <w:szCs w:val="27"/>
        </w:rPr>
      </w:pPr>
    </w:p>
    <w:p w:rsidR="00A71646" w:rsidRDefault="00A71646" w:rsidP="00A210FD">
      <w:pPr>
        <w:ind w:left="-142" w:right="-142"/>
        <w:jc w:val="both"/>
        <w:rPr>
          <w:rFonts w:ascii="Bookman Old Style" w:hAnsi="Bookman Old Style"/>
          <w:szCs w:val="27"/>
        </w:rPr>
      </w:pPr>
    </w:p>
    <w:p w:rsidR="00DA1EF4" w:rsidRPr="00FB1F19" w:rsidRDefault="00FB1F19" w:rsidP="00842277">
      <w:pPr>
        <w:ind w:left="-142" w:right="-142"/>
        <w:jc w:val="both"/>
        <w:rPr>
          <w:rFonts w:ascii="Bookman Old Style" w:hAnsi="Bookman Old Style"/>
          <w:szCs w:val="27"/>
        </w:rPr>
      </w:pPr>
      <w:r w:rsidRPr="00FB1F19">
        <w:rPr>
          <w:rFonts w:ascii="Bookman Old Style" w:hAnsi="Bookman Old Style"/>
          <w:b/>
          <w:szCs w:val="27"/>
        </w:rPr>
        <w:t xml:space="preserve">Artículo </w:t>
      </w:r>
      <w:r w:rsidR="00C968A9">
        <w:rPr>
          <w:rFonts w:ascii="Bookman Old Style" w:hAnsi="Bookman Old Style"/>
          <w:b/>
          <w:szCs w:val="27"/>
        </w:rPr>
        <w:t>4.</w:t>
      </w:r>
      <w:r>
        <w:rPr>
          <w:rFonts w:ascii="Bookman Old Style" w:hAnsi="Bookman Old Style"/>
          <w:szCs w:val="27"/>
        </w:rPr>
        <w:t xml:space="preserve"> </w:t>
      </w:r>
      <w:r w:rsidR="00DA1EF4" w:rsidRPr="00FB1F19">
        <w:rPr>
          <w:rFonts w:ascii="Bookman Old Style" w:hAnsi="Bookman Old Style"/>
          <w:szCs w:val="27"/>
        </w:rPr>
        <w:t xml:space="preserve">La presente resolución deberá notificarse a la </w:t>
      </w:r>
      <w:r w:rsidR="00C968A9" w:rsidRPr="00C968A9">
        <w:rPr>
          <w:rFonts w:ascii="Bookman Old Style" w:hAnsi="Bookman Old Style"/>
          <w:szCs w:val="27"/>
        </w:rPr>
        <w:t>Empresa Mixta de Gas S.A.S. E.S.P.</w:t>
      </w:r>
      <w:r w:rsidRPr="00FB1F19">
        <w:rPr>
          <w:rFonts w:ascii="Bookman Old Style" w:hAnsi="Bookman Old Style"/>
          <w:szCs w:val="27"/>
        </w:rPr>
        <w:t xml:space="preserve"> </w:t>
      </w:r>
      <w:r w:rsidR="00DA1EF4" w:rsidRPr="00FB1F19">
        <w:rPr>
          <w:rFonts w:ascii="Bookman Old Style" w:hAnsi="Bookman Old Style"/>
          <w:szCs w:val="27"/>
        </w:rPr>
        <w:t>Contra lo aquí dispuesto no procede recurso alguno por haber finalizado la actuación administrativa correspondiente a la presentación de recursos previsto en la Ley.</w:t>
      </w:r>
    </w:p>
    <w:p w:rsidR="00DA1EF4" w:rsidRPr="00FB1F19" w:rsidRDefault="00DA1EF4" w:rsidP="00DA1EF4">
      <w:pPr>
        <w:tabs>
          <w:tab w:val="right" w:pos="9498"/>
        </w:tabs>
        <w:ind w:left="0" w:right="-142"/>
        <w:rPr>
          <w:rFonts w:ascii="Bookman Old Style" w:hAnsi="Bookman Old Style" w:cs="Arial"/>
          <w:sz w:val="22"/>
        </w:rPr>
      </w:pPr>
    </w:p>
    <w:p w:rsidR="00DA1EF4" w:rsidRPr="00FB1F19" w:rsidRDefault="00DA1EF4" w:rsidP="00DA1EF4">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DA1EF4" w:rsidRPr="00FB1F19" w:rsidRDefault="00DA1EF4" w:rsidP="00DA1EF4">
      <w:pPr>
        <w:ind w:left="0"/>
        <w:rPr>
          <w:rFonts w:ascii="Bookman Old Style" w:hAnsi="Bookman Old Style" w:cs="Arial"/>
          <w:sz w:val="20"/>
          <w:szCs w:val="20"/>
        </w:rPr>
      </w:pPr>
    </w:p>
    <w:p w:rsidR="00DA1EF4" w:rsidRPr="00FB1F19" w:rsidRDefault="00DA1EF4" w:rsidP="00DA1EF4">
      <w:pPr>
        <w:ind w:left="0"/>
        <w:rPr>
          <w:rFonts w:ascii="Bookman Old Style" w:hAnsi="Bookman Old Style" w:cs="Arial"/>
          <w:szCs w:val="20"/>
        </w:rPr>
      </w:pPr>
      <w:r w:rsidRPr="00FB1F19">
        <w:rPr>
          <w:rFonts w:ascii="Bookman Old Style" w:hAnsi="Bookman Old Style" w:cs="Arial"/>
          <w:szCs w:val="20"/>
        </w:rPr>
        <w:t>Dada en Bogotá, D.C.</w:t>
      </w:r>
    </w:p>
    <w:p w:rsidR="00C91B94" w:rsidRPr="00FB1F19" w:rsidRDefault="00C91B94" w:rsidP="00DA1EF4">
      <w:pPr>
        <w:ind w:left="0"/>
        <w:rPr>
          <w:rFonts w:ascii="Bookman Old Style" w:hAnsi="Bookman Old Style" w:cs="Arial"/>
          <w:szCs w:val="20"/>
        </w:rPr>
      </w:pPr>
    </w:p>
    <w:p w:rsidR="00583648" w:rsidRDefault="00583648" w:rsidP="00DA1EF4">
      <w:pPr>
        <w:ind w:left="0"/>
        <w:rPr>
          <w:rFonts w:ascii="Bookman Old Style" w:hAnsi="Bookman Old Style" w:cs="Arial"/>
          <w:szCs w:val="20"/>
        </w:rPr>
      </w:pPr>
    </w:p>
    <w:p w:rsidR="00A71646" w:rsidRPr="00FB1F19" w:rsidRDefault="00A71646"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tbl>
      <w:tblPr>
        <w:tblW w:w="8931" w:type="dxa"/>
        <w:jc w:val="center"/>
        <w:tblCellSpacing w:w="0" w:type="dxa"/>
        <w:tblCellMar>
          <w:left w:w="0" w:type="dxa"/>
          <w:right w:w="0" w:type="dxa"/>
        </w:tblCellMar>
        <w:tblLook w:val="04A0" w:firstRow="1" w:lastRow="0" w:firstColumn="1" w:lastColumn="0" w:noHBand="0" w:noVBand="1"/>
      </w:tblPr>
      <w:tblGrid>
        <w:gridCol w:w="4962"/>
        <w:gridCol w:w="3969"/>
      </w:tblGrid>
      <w:tr w:rsidR="00DA1EF4" w:rsidRPr="009377CA" w:rsidTr="00A71646">
        <w:trPr>
          <w:tblCellSpacing w:w="0" w:type="dxa"/>
          <w:jc w:val="center"/>
        </w:trPr>
        <w:tc>
          <w:tcPr>
            <w:tcW w:w="4962" w:type="dxa"/>
          </w:tcPr>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DA1EF4" w:rsidRPr="00FB1F19" w:rsidRDefault="00DA1EF4" w:rsidP="0066171D">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DA1EF4" w:rsidRPr="00FB1F19" w:rsidRDefault="00DA1EF4" w:rsidP="0066171D">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80" w:rsidRDefault="00502280" w:rsidP="006D45B0">
      <w:r>
        <w:separator/>
      </w:r>
    </w:p>
  </w:endnote>
  <w:endnote w:type="continuationSeparator" w:id="0">
    <w:p w:rsidR="00502280" w:rsidRDefault="00502280"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80" w:rsidRDefault="00502280" w:rsidP="006D45B0">
      <w:r>
        <w:separator/>
      </w:r>
    </w:p>
  </w:footnote>
  <w:footnote w:type="continuationSeparator" w:id="0">
    <w:p w:rsidR="00502280" w:rsidRDefault="00502280" w:rsidP="006D45B0">
      <w:r>
        <w:continuationSeparator/>
      </w:r>
    </w:p>
  </w:footnote>
  <w:footnote w:id="1">
    <w:p w:rsidR="003160E7" w:rsidRPr="005C1BCA" w:rsidRDefault="003160E7"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3160E7" w:rsidRPr="00FD101E" w:rsidRDefault="003160E7"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3160E7" w:rsidRPr="00FD101E" w:rsidRDefault="003160E7"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3160E7" w:rsidRPr="00575874" w:rsidRDefault="003160E7" w:rsidP="0042167A">
      <w:pPr>
        <w:pStyle w:val="Textonotapie"/>
      </w:pPr>
    </w:p>
  </w:footnote>
  <w:footnote w:id="3">
    <w:p w:rsidR="003160E7" w:rsidRPr="0042167A" w:rsidRDefault="003160E7"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3160E7" w:rsidRPr="00C968A9" w:rsidRDefault="003160E7" w:rsidP="00C968A9">
      <w:pPr>
        <w:ind w:left="0"/>
        <w:jc w:val="both"/>
        <w:rPr>
          <w:rFonts w:ascii="Bookman Old Style" w:eastAsia="Calibri" w:hAnsi="Bookman Old Style" w:cs="Arial"/>
          <w:sz w:val="16"/>
          <w:szCs w:val="16"/>
          <w:lang w:val="es-CO" w:eastAsia="en-US"/>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00C968A9" w:rsidRPr="00C968A9">
        <w:rPr>
          <w:rFonts w:ascii="Bookman Old Style" w:eastAsia="Calibri" w:hAnsi="Bookman Old Style" w:cs="Arial"/>
          <w:sz w:val="16"/>
          <w:szCs w:val="16"/>
          <w:lang w:val="es-CO" w:eastAsia="en-US"/>
        </w:rPr>
        <w:t>Artículo 72. Falta o irregularidad de las notificaciones y notificación por conducta concluyente. Sin el lleno de los anteriores requisitos no se tendrá por hecha la notificación, ni producirá efectos legales la decisión, a menos que la parte interesada revele que conoce el acto, consienta la decisión o interponga los recursos legales.</w:t>
      </w:r>
      <w:r w:rsidR="00C968A9">
        <w:rPr>
          <w:rFonts w:ascii="Bookman Old Style" w:eastAsia="Calibri" w:hAnsi="Bookman Old Style" w:cs="Arial"/>
          <w:sz w:val="16"/>
          <w:szCs w:val="16"/>
          <w:lang w:val="es-CO" w:eastAsia="en-US"/>
        </w:rPr>
        <w:t>”</w:t>
      </w:r>
    </w:p>
  </w:footnote>
  <w:footnote w:id="5">
    <w:p w:rsidR="003160E7" w:rsidRPr="00FA7CDB" w:rsidRDefault="003160E7" w:rsidP="006D45B0">
      <w:pPr>
        <w:pStyle w:val="Textonotapie"/>
        <w:jc w:val="both"/>
        <w:rPr>
          <w:rFonts w:ascii="Bookman Old Style" w:hAnsi="Bookman Old Style" w:cs="Arial"/>
          <w:sz w:val="16"/>
          <w:szCs w:val="16"/>
        </w:rPr>
      </w:pPr>
    </w:p>
    <w:p w:rsidR="003160E7" w:rsidRPr="00FA7CDB" w:rsidRDefault="003160E7"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3160E7" w:rsidRDefault="003160E7"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7A6C4F" w:rsidRPr="0042167A" w:rsidRDefault="007A6C4F" w:rsidP="007A6C4F">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E7" w:rsidRDefault="003160E7" w:rsidP="0066171D">
    <w:pPr>
      <w:pStyle w:val="Ttulo1"/>
      <w:ind w:right="6"/>
      <w:jc w:val="left"/>
      <w:rPr>
        <w:rFonts w:ascii="Bookman Old Style" w:hAnsi="Bookman Old Style" w:cs="Arial"/>
        <w:b w:val="0"/>
        <w:sz w:val="22"/>
        <w:szCs w:val="22"/>
      </w:rPr>
    </w:pPr>
  </w:p>
  <w:p w:rsidR="003160E7" w:rsidRPr="00951F79" w:rsidRDefault="003160E7"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03670">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03670" w:rsidRPr="00903670">
        <w:rPr>
          <w:rFonts w:ascii="Bookman Old Style" w:hAnsi="Bookman Old Style" w:cs="Arial"/>
          <w:b w:val="0"/>
          <w:noProof/>
          <w:sz w:val="22"/>
          <w:szCs w:val="22"/>
        </w:rPr>
        <w:t>17</w:t>
      </w:r>
    </w:fldSimple>
  </w:p>
  <w:p w:rsidR="003160E7" w:rsidRDefault="003160E7"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3160E7" w:rsidRPr="00616D65" w:rsidRDefault="003160E7"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533F5A" w:rsidRPr="00533F5A">
      <w:rPr>
        <w:rFonts w:ascii="Bookman Old Style" w:hAnsi="Bookman Old Style" w:cs="Arial"/>
        <w:sz w:val="22"/>
        <w:szCs w:val="22"/>
      </w:rPr>
      <w:t>Emp</w:t>
    </w:r>
    <w:r w:rsidR="00533F5A">
      <w:rPr>
        <w:rFonts w:ascii="Bookman Old Style" w:hAnsi="Bookman Old Style" w:cs="Arial"/>
        <w:sz w:val="22"/>
        <w:szCs w:val="22"/>
      </w:rPr>
      <w:t>resa Mixta de Gas S.A.S. E.S.P.</w:t>
    </w:r>
    <w:r>
      <w:rPr>
        <w:rFonts w:ascii="Bookman Old Style" w:hAnsi="Bookman Old Style" w:cs="Arial"/>
        <w:sz w:val="22"/>
        <w:szCs w:val="22"/>
      </w:rPr>
      <w:t xml:space="preserve">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3160E7" w:rsidRPr="00730C9E" w:rsidRDefault="003160E7"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E7" w:rsidRDefault="003160E7"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3160E7" w:rsidRDefault="003160E7">
    <w:pPr>
      <w:pStyle w:val="Encabezado"/>
      <w:jc w:val="center"/>
      <w:rPr>
        <w:rFonts w:ascii="Arial" w:hAnsi="Arial" w:cs="Arial"/>
        <w:spacing w:val="20"/>
        <w:sz w:val="20"/>
      </w:rPr>
    </w:pPr>
  </w:p>
  <w:p w:rsidR="003160E7" w:rsidRDefault="003160E7"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9"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10"/>
  </w:num>
  <w:num w:numId="2">
    <w:abstractNumId w:val="7"/>
  </w:num>
  <w:num w:numId="3">
    <w:abstractNumId w:val="5"/>
  </w:num>
  <w:num w:numId="4">
    <w:abstractNumId w:val="8"/>
  </w:num>
  <w:num w:numId="5">
    <w:abstractNumId w:val="2"/>
  </w:num>
  <w:num w:numId="6">
    <w:abstractNumId w:val="3"/>
  </w:num>
  <w:num w:numId="7">
    <w:abstractNumId w:val="9"/>
  </w:num>
  <w:num w:numId="8">
    <w:abstractNumId w:val="0"/>
  </w:num>
  <w:num w:numId="9">
    <w:abstractNumId w:val="1"/>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27645"/>
    <w:rsid w:val="0007426D"/>
    <w:rsid w:val="00076C22"/>
    <w:rsid w:val="001011E1"/>
    <w:rsid w:val="0019204A"/>
    <w:rsid w:val="00194F3F"/>
    <w:rsid w:val="002D569D"/>
    <w:rsid w:val="002E5639"/>
    <w:rsid w:val="003160E7"/>
    <w:rsid w:val="003B12CA"/>
    <w:rsid w:val="003D7378"/>
    <w:rsid w:val="00405AC2"/>
    <w:rsid w:val="0042167A"/>
    <w:rsid w:val="00502280"/>
    <w:rsid w:val="00533F5A"/>
    <w:rsid w:val="005527BE"/>
    <w:rsid w:val="00567845"/>
    <w:rsid w:val="00583648"/>
    <w:rsid w:val="005C720E"/>
    <w:rsid w:val="005E3845"/>
    <w:rsid w:val="005F15F2"/>
    <w:rsid w:val="005F1EAF"/>
    <w:rsid w:val="005F3077"/>
    <w:rsid w:val="0066171D"/>
    <w:rsid w:val="006C0668"/>
    <w:rsid w:val="006C0EE5"/>
    <w:rsid w:val="006D08E3"/>
    <w:rsid w:val="006D45B0"/>
    <w:rsid w:val="007041B3"/>
    <w:rsid w:val="007243A2"/>
    <w:rsid w:val="007A6C4F"/>
    <w:rsid w:val="00800315"/>
    <w:rsid w:val="00842277"/>
    <w:rsid w:val="008A5DBB"/>
    <w:rsid w:val="008E5D9F"/>
    <w:rsid w:val="00901B49"/>
    <w:rsid w:val="00903670"/>
    <w:rsid w:val="009539FE"/>
    <w:rsid w:val="00A177E5"/>
    <w:rsid w:val="00A210FD"/>
    <w:rsid w:val="00A71646"/>
    <w:rsid w:val="00AA6298"/>
    <w:rsid w:val="00AB1F46"/>
    <w:rsid w:val="00B83F23"/>
    <w:rsid w:val="00BD44AA"/>
    <w:rsid w:val="00BE5240"/>
    <w:rsid w:val="00C3759C"/>
    <w:rsid w:val="00C91B94"/>
    <w:rsid w:val="00C968A9"/>
    <w:rsid w:val="00CA3104"/>
    <w:rsid w:val="00CB104A"/>
    <w:rsid w:val="00CD0F9E"/>
    <w:rsid w:val="00D21FA2"/>
    <w:rsid w:val="00D2330C"/>
    <w:rsid w:val="00DA1EF4"/>
    <w:rsid w:val="00DB44C7"/>
    <w:rsid w:val="00DC6D86"/>
    <w:rsid w:val="00DE67F7"/>
    <w:rsid w:val="00E048B9"/>
    <w:rsid w:val="00E53CF2"/>
    <w:rsid w:val="00E60540"/>
    <w:rsid w:val="00EC4F34"/>
    <w:rsid w:val="00F27CF0"/>
    <w:rsid w:val="00FA0859"/>
    <w:rsid w:val="00FB1F19"/>
    <w:rsid w:val="00FB7A7A"/>
    <w:rsid w:val="00FC520A"/>
    <w:rsid w:val="00FD3E8A"/>
    <w:rsid w:val="00FD5710"/>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basedOn w:val="Fuentedeprrafopredeter"/>
    <w:link w:val="Style25"/>
    <w:uiPriority w:val="99"/>
    <w:rsid w:val="0007426D"/>
    <w:rPr>
      <w:rFonts w:ascii="Arial" w:hAnsi="Arial" w:cs="Arial"/>
      <w:sz w:val="18"/>
      <w:szCs w:val="18"/>
      <w:shd w:val="clear" w:color="auto" w:fill="FFFFFF"/>
    </w:rPr>
  </w:style>
  <w:style w:type="paragraph" w:customStyle="1" w:styleId="Style25">
    <w:name w:val="Style 25"/>
    <w:basedOn w:val="Normal"/>
    <w:link w:val="CharStyle26"/>
    <w:uiPriority w:val="99"/>
    <w:rsid w:val="0007426D"/>
    <w:pPr>
      <w:widowControl w:val="0"/>
      <w:shd w:val="clear" w:color="auto" w:fill="FFFFFF"/>
      <w:spacing w:after="360" w:line="240" w:lineRule="atLeast"/>
      <w:ind w:left="0" w:hanging="340"/>
    </w:pPr>
    <w:rPr>
      <w:rFonts w:ascii="Arial" w:eastAsiaTheme="minorHAnsi" w:hAnsi="Arial" w:cs="Arial"/>
      <w:sz w:val="18"/>
      <w:szCs w:val="18"/>
      <w:lang w:val="es-CO" w:eastAsia="en-US"/>
    </w:rPr>
  </w:style>
  <w:style w:type="paragraph" w:styleId="Prrafodelista">
    <w:name w:val="List Paragraph"/>
    <w:basedOn w:val="Normal"/>
    <w:link w:val="PrrafodelistaCar"/>
    <w:uiPriority w:val="34"/>
    <w:qFormat/>
    <w:rsid w:val="00F27CF0"/>
    <w:pPr>
      <w:ind w:left="720"/>
      <w:contextualSpacing/>
    </w:pPr>
  </w:style>
  <w:style w:type="character" w:customStyle="1" w:styleId="PrrafodelistaCar">
    <w:name w:val="Párrafo de lista Car"/>
    <w:link w:val="Prrafodelista"/>
    <w:uiPriority w:val="34"/>
    <w:rsid w:val="00A210FD"/>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210FD"/>
    <w:pPr>
      <w:spacing w:before="100" w:beforeAutospacing="1" w:after="100" w:afterAutospacing="1"/>
      <w:ind w:left="0"/>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E610C-E836-4C44-8BC9-6571311F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6314</Words>
  <Characters>34733</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2018-08-02T21:54:00Z</dcterms:created>
  <dcterms:modified xsi:type="dcterms:W3CDTF">2018-08-02T21:54:00Z</dcterms:modified>
</cp:coreProperties>
</file>