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6033C9" w:rsidRDefault="005C2C0F"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90527381" r:id="rId10"/>
        </w:pict>
      </w:r>
    </w:p>
    <w:p w:rsidR="00CA77FB" w:rsidRPr="006033C9" w:rsidRDefault="00CA77FB" w:rsidP="009627D4">
      <w:pPr>
        <w:pStyle w:val="Ttulo4"/>
        <w:tabs>
          <w:tab w:val="right" w:pos="9356"/>
        </w:tabs>
        <w:ind w:left="0"/>
        <w:rPr>
          <w:rFonts w:ascii="Bookman Old Style" w:hAnsi="Bookman Old Style"/>
          <w:b w:val="0"/>
          <w:bCs/>
          <w:noProof/>
          <w:sz w:val="24"/>
          <w:szCs w:val="24"/>
          <w:lang w:val="es-ES"/>
        </w:rPr>
      </w:pPr>
      <w:r w:rsidRPr="006033C9">
        <w:rPr>
          <w:rFonts w:ascii="Bookman Old Style" w:hAnsi="Bookman Old Style"/>
          <w:b w:val="0"/>
          <w:bCs/>
          <w:sz w:val="24"/>
          <w:szCs w:val="24"/>
        </w:rPr>
        <w:t>Ministerio de Minas y Energía</w:t>
      </w:r>
    </w:p>
    <w:p w:rsidR="00CA77FB" w:rsidRPr="006033C9" w:rsidRDefault="00CA77FB" w:rsidP="009627D4">
      <w:pPr>
        <w:pStyle w:val="Ttulo4"/>
        <w:tabs>
          <w:tab w:val="right" w:pos="9356"/>
        </w:tabs>
        <w:ind w:left="0"/>
        <w:rPr>
          <w:rFonts w:ascii="Bookman Old Style" w:hAnsi="Bookman Old Style"/>
          <w:b w:val="0"/>
          <w:bCs/>
          <w:sz w:val="24"/>
          <w:szCs w:val="24"/>
        </w:rPr>
      </w:pPr>
    </w:p>
    <w:p w:rsidR="00A8790E" w:rsidRPr="006033C9" w:rsidRDefault="00A8790E" w:rsidP="00A8790E">
      <w:pPr>
        <w:pStyle w:val="Ttulo3"/>
        <w:tabs>
          <w:tab w:val="right" w:pos="9356"/>
        </w:tabs>
        <w:ind w:left="0"/>
        <w:rPr>
          <w:rFonts w:ascii="Bookman Old Style" w:hAnsi="Bookman Old Style" w:cs="Arial"/>
          <w:spacing w:val="20"/>
          <w:szCs w:val="24"/>
        </w:rPr>
      </w:pPr>
      <w:r w:rsidRPr="006033C9">
        <w:rPr>
          <w:rFonts w:ascii="Bookman Old Style" w:hAnsi="Bookman Old Style" w:cs="Arial"/>
          <w:spacing w:val="20"/>
          <w:szCs w:val="24"/>
        </w:rPr>
        <w:t>COMISIÓN DE REGULACIÓN DE ENERGÍA Y GAS</w:t>
      </w:r>
    </w:p>
    <w:p w:rsidR="00A8790E" w:rsidRPr="006033C9" w:rsidRDefault="00A8790E" w:rsidP="00A8790E">
      <w:pPr>
        <w:pStyle w:val="Ttulo5"/>
        <w:tabs>
          <w:tab w:val="right" w:pos="9356"/>
        </w:tabs>
        <w:ind w:left="0"/>
        <w:rPr>
          <w:rFonts w:ascii="Bookman Old Style" w:hAnsi="Bookman Old Style"/>
          <w:sz w:val="24"/>
          <w:szCs w:val="24"/>
        </w:rPr>
      </w:pPr>
    </w:p>
    <w:p w:rsidR="00A8790E" w:rsidRPr="006033C9" w:rsidRDefault="00A8790E" w:rsidP="00A8790E">
      <w:pPr>
        <w:pStyle w:val="Ttulo5"/>
        <w:tabs>
          <w:tab w:val="right" w:pos="9356"/>
        </w:tabs>
        <w:ind w:left="0"/>
        <w:rPr>
          <w:rFonts w:ascii="Bookman Old Style" w:hAnsi="Bookman Old Style"/>
          <w:sz w:val="24"/>
          <w:szCs w:val="24"/>
        </w:rPr>
      </w:pPr>
    </w:p>
    <w:p w:rsidR="00A8790E" w:rsidRPr="006033C9" w:rsidRDefault="00A8790E" w:rsidP="00A8790E">
      <w:pPr>
        <w:pStyle w:val="Ttulo5"/>
        <w:tabs>
          <w:tab w:val="right" w:pos="9356"/>
        </w:tabs>
        <w:ind w:left="0"/>
        <w:rPr>
          <w:rFonts w:ascii="Bookman Old Style" w:hAnsi="Bookman Old Style"/>
          <w:sz w:val="24"/>
          <w:szCs w:val="24"/>
        </w:rPr>
      </w:pPr>
      <w:r w:rsidRPr="006033C9">
        <w:rPr>
          <w:rFonts w:ascii="Bookman Old Style" w:hAnsi="Bookman Old Style"/>
          <w:sz w:val="24"/>
          <w:szCs w:val="24"/>
        </w:rPr>
        <w:t>RESOLUCIÓN No.                   DE 201</w:t>
      </w:r>
      <w:r>
        <w:rPr>
          <w:rFonts w:ascii="Bookman Old Style" w:hAnsi="Bookman Old Style"/>
          <w:sz w:val="24"/>
          <w:szCs w:val="24"/>
        </w:rPr>
        <w:t>5</w:t>
      </w:r>
    </w:p>
    <w:p w:rsidR="00A8790E" w:rsidRPr="006033C9" w:rsidRDefault="00A8790E" w:rsidP="00A8790E">
      <w:pPr>
        <w:tabs>
          <w:tab w:val="right" w:pos="9356"/>
        </w:tabs>
        <w:ind w:left="0"/>
        <w:jc w:val="center"/>
        <w:rPr>
          <w:rFonts w:ascii="Bookman Old Style" w:hAnsi="Bookman Old Style" w:cs="Arial"/>
          <w:b/>
          <w:snapToGrid w:val="0"/>
          <w:color w:val="000000"/>
          <w:lang w:val="es-ES_tradnl"/>
        </w:rPr>
      </w:pPr>
    </w:p>
    <w:p w:rsidR="00A8790E" w:rsidRPr="006033C9" w:rsidRDefault="00A8790E" w:rsidP="00A8790E">
      <w:pPr>
        <w:pStyle w:val="Ttulo3"/>
        <w:tabs>
          <w:tab w:val="right" w:pos="9356"/>
        </w:tabs>
        <w:ind w:left="0"/>
        <w:rPr>
          <w:rFonts w:ascii="Bookman Old Style" w:hAnsi="Bookman Old Style"/>
          <w:b w:val="0"/>
          <w:szCs w:val="24"/>
        </w:rPr>
      </w:pPr>
      <w:r w:rsidRPr="006033C9">
        <w:rPr>
          <w:rFonts w:ascii="Bookman Old Style" w:hAnsi="Bookman Old Style"/>
          <w:b w:val="0"/>
          <w:szCs w:val="24"/>
        </w:rPr>
        <w:t>(                                  )</w:t>
      </w:r>
    </w:p>
    <w:p w:rsidR="00A8790E" w:rsidRDefault="00A8790E" w:rsidP="00A8790E">
      <w:pPr>
        <w:tabs>
          <w:tab w:val="right" w:pos="9356"/>
        </w:tabs>
        <w:ind w:left="0"/>
        <w:jc w:val="center"/>
        <w:rPr>
          <w:rFonts w:ascii="Bookman Old Style" w:hAnsi="Bookman Old Style"/>
          <w:lang w:val="es-ES_tradnl"/>
        </w:rPr>
      </w:pPr>
    </w:p>
    <w:p w:rsidR="00CE1F94" w:rsidRPr="006033C9" w:rsidRDefault="00CE1F94" w:rsidP="00A8790E">
      <w:pPr>
        <w:tabs>
          <w:tab w:val="right" w:pos="9356"/>
        </w:tabs>
        <w:ind w:left="0"/>
        <w:jc w:val="center"/>
        <w:rPr>
          <w:rFonts w:ascii="Bookman Old Style" w:hAnsi="Bookman Old Style"/>
          <w:lang w:val="es-ES_tradnl"/>
        </w:rPr>
      </w:pPr>
    </w:p>
    <w:p w:rsidR="00A8790E" w:rsidRPr="006033C9" w:rsidRDefault="00A8790E" w:rsidP="00A8790E">
      <w:pPr>
        <w:ind w:left="0"/>
        <w:jc w:val="center"/>
        <w:rPr>
          <w:rFonts w:ascii="Bookman Old Style" w:hAnsi="Bookman Old Style"/>
          <w:bCs/>
          <w:lang w:val="es-CO"/>
        </w:rPr>
      </w:pPr>
    </w:p>
    <w:p w:rsidR="00A8790E" w:rsidRPr="006033C9" w:rsidRDefault="00A8790E" w:rsidP="00A8790E">
      <w:pPr>
        <w:pStyle w:val="Textodebloque"/>
        <w:spacing w:after="0"/>
        <w:ind w:left="0" w:right="0"/>
        <w:rPr>
          <w:rFonts w:ascii="Bookman Old Style" w:hAnsi="Bookman Old Style" w:cs="Arial"/>
          <w:szCs w:val="24"/>
        </w:rPr>
      </w:pPr>
      <w:r w:rsidRPr="006033C9">
        <w:rPr>
          <w:rFonts w:ascii="Bookman Old Style" w:hAnsi="Bookman Old Style" w:cs="Arial"/>
          <w:szCs w:val="24"/>
        </w:rPr>
        <w:t xml:space="preserve">Por la cual se oficializan los ingresos anuales esperados para </w:t>
      </w:r>
      <w:r>
        <w:rPr>
          <w:rFonts w:ascii="Bookman Old Style" w:hAnsi="Bookman Old Style" w:cs="Arial"/>
          <w:szCs w:val="24"/>
        </w:rPr>
        <w:t>Desarrollo Eléctrico Suria</w:t>
      </w:r>
      <w:r w:rsidRPr="006033C9">
        <w:rPr>
          <w:rFonts w:ascii="Bookman Old Style" w:hAnsi="Bookman Old Style" w:cs="Arial"/>
          <w:szCs w:val="24"/>
        </w:rPr>
        <w:t xml:space="preserve"> S.A.S. E.S.P. por el </w:t>
      </w:r>
      <w:r w:rsidRPr="006033C9">
        <w:rPr>
          <w:rFonts w:ascii="Bookman Old Style" w:hAnsi="Bookman Old Style" w:cs="Arial"/>
          <w:szCs w:val="24"/>
          <w:lang w:val="es-ES"/>
        </w:rPr>
        <w:t xml:space="preserve">diseño, construcción, operación y mantenimiento de la subestación </w:t>
      </w:r>
      <w:r>
        <w:rPr>
          <w:rFonts w:ascii="Bookman Old Style" w:hAnsi="Bookman Old Style" w:cs="Arial"/>
          <w:szCs w:val="24"/>
          <w:lang w:val="es-ES"/>
        </w:rPr>
        <w:t xml:space="preserve">Suria 230 kV y </w:t>
      </w:r>
      <w:r w:rsidRPr="006033C9">
        <w:rPr>
          <w:rFonts w:ascii="Bookman Old Style" w:hAnsi="Bookman Old Style" w:cs="Arial"/>
          <w:szCs w:val="24"/>
          <w:lang w:val="es-ES"/>
        </w:rPr>
        <w:t xml:space="preserve">las líneas asociadas, de acuerdo con la convocatoria UPME </w:t>
      </w:r>
      <w:r>
        <w:rPr>
          <w:rFonts w:ascii="Bookman Old Style" w:hAnsi="Bookman Old Style" w:cs="Arial"/>
          <w:szCs w:val="24"/>
          <w:lang w:val="es-ES"/>
        </w:rPr>
        <w:t>05-2013</w:t>
      </w:r>
      <w:r w:rsidRPr="006033C9">
        <w:rPr>
          <w:rFonts w:ascii="Bookman Old Style" w:hAnsi="Bookman Old Style" w:cs="Arial"/>
          <w:szCs w:val="24"/>
          <w:lang w:val="es-ES"/>
        </w:rPr>
        <w:t>.</w:t>
      </w:r>
    </w:p>
    <w:p w:rsidR="00A8790E" w:rsidRPr="006033C9" w:rsidRDefault="00A8790E" w:rsidP="00A8790E">
      <w:pPr>
        <w:ind w:left="0" w:right="788"/>
        <w:jc w:val="both"/>
        <w:rPr>
          <w:rFonts w:ascii="Bookman Old Style" w:hAnsi="Bookman Old Style" w:cs="Arial"/>
        </w:rPr>
      </w:pPr>
    </w:p>
    <w:p w:rsidR="00A8790E" w:rsidRPr="006033C9" w:rsidRDefault="00A8790E" w:rsidP="00A8790E">
      <w:pPr>
        <w:ind w:left="0" w:right="788"/>
        <w:jc w:val="both"/>
        <w:rPr>
          <w:rFonts w:ascii="Bookman Old Style" w:hAnsi="Bookman Old Style" w:cs="Arial"/>
        </w:rPr>
      </w:pPr>
    </w:p>
    <w:p w:rsidR="00A8790E" w:rsidRPr="006033C9" w:rsidRDefault="00A8790E" w:rsidP="00A8790E">
      <w:pPr>
        <w:ind w:left="0"/>
        <w:jc w:val="center"/>
        <w:rPr>
          <w:rFonts w:ascii="Bookman Old Style" w:hAnsi="Bookman Old Style" w:cs="Arial"/>
          <w:b/>
          <w:bCs/>
        </w:rPr>
      </w:pPr>
      <w:r w:rsidRPr="006033C9">
        <w:rPr>
          <w:rFonts w:ascii="Bookman Old Style" w:hAnsi="Bookman Old Style" w:cs="Arial"/>
          <w:b/>
          <w:bCs/>
        </w:rPr>
        <w:t>LA COMISIÓN DE REGULACIÓN DE ENERGÍA Y GAS</w:t>
      </w:r>
    </w:p>
    <w:p w:rsidR="00A8790E" w:rsidRPr="006033C9" w:rsidRDefault="00A8790E" w:rsidP="00A8790E">
      <w:pPr>
        <w:ind w:left="0" w:right="788"/>
        <w:jc w:val="both"/>
        <w:rPr>
          <w:rFonts w:ascii="Bookman Old Style" w:hAnsi="Bookman Old Style" w:cs="Arial"/>
          <w:b/>
        </w:rPr>
      </w:pPr>
    </w:p>
    <w:p w:rsidR="00A8790E" w:rsidRPr="006033C9" w:rsidRDefault="00A8790E" w:rsidP="00A8790E">
      <w:pPr>
        <w:ind w:left="0" w:right="788"/>
        <w:jc w:val="both"/>
        <w:rPr>
          <w:rFonts w:ascii="Bookman Old Style" w:hAnsi="Bookman Old Style" w:cs="Arial"/>
          <w:b/>
        </w:rPr>
      </w:pPr>
    </w:p>
    <w:p w:rsidR="00A8790E" w:rsidRPr="006033C9" w:rsidRDefault="00A8790E" w:rsidP="00A8790E">
      <w:pPr>
        <w:tabs>
          <w:tab w:val="left" w:pos="9356"/>
        </w:tabs>
        <w:ind w:left="0" w:right="51"/>
        <w:jc w:val="both"/>
        <w:rPr>
          <w:rFonts w:ascii="Bookman Old Style" w:hAnsi="Bookman Old Style" w:cs="Arial"/>
        </w:rPr>
      </w:pPr>
      <w:r w:rsidRPr="006033C9">
        <w:rPr>
          <w:rFonts w:ascii="Bookman Old Style" w:hAnsi="Bookman Old Style" w:cs="Arial"/>
        </w:rPr>
        <w:t>En ejercicio de sus atribuciones constitucionales y legales, en especial las conferidas por las Leyes 142 y 143 de 1994, y en desarrollo de los Decretos 1524 y 2253 de 1994, y</w:t>
      </w:r>
    </w:p>
    <w:p w:rsidR="00A8790E" w:rsidRPr="006033C9" w:rsidRDefault="00A8790E" w:rsidP="00A8790E">
      <w:pPr>
        <w:ind w:left="0"/>
        <w:jc w:val="both"/>
        <w:rPr>
          <w:rFonts w:ascii="Bookman Old Style" w:hAnsi="Bookman Old Style" w:cs="Arial"/>
        </w:rPr>
      </w:pPr>
    </w:p>
    <w:p w:rsidR="00A8790E" w:rsidRPr="006033C9" w:rsidRDefault="00A8790E" w:rsidP="00A8790E">
      <w:pPr>
        <w:ind w:left="0"/>
        <w:jc w:val="both"/>
        <w:rPr>
          <w:rFonts w:ascii="Bookman Old Style" w:hAnsi="Bookman Old Style" w:cs="Arial"/>
        </w:rPr>
      </w:pPr>
    </w:p>
    <w:p w:rsidR="00A8790E" w:rsidRPr="006033C9" w:rsidRDefault="00A8790E" w:rsidP="00A8790E">
      <w:pPr>
        <w:ind w:left="0"/>
        <w:jc w:val="center"/>
        <w:rPr>
          <w:rFonts w:ascii="Bookman Old Style" w:hAnsi="Bookman Old Style" w:cs="Arial"/>
          <w:b/>
        </w:rPr>
      </w:pPr>
      <w:r w:rsidRPr="006033C9">
        <w:rPr>
          <w:rFonts w:ascii="Bookman Old Style" w:hAnsi="Bookman Old Style" w:cs="Arial"/>
          <w:b/>
          <w:spacing w:val="80"/>
        </w:rPr>
        <w:t>CONSIDERANDO QUE</w:t>
      </w:r>
      <w:r w:rsidRPr="006033C9">
        <w:rPr>
          <w:rFonts w:ascii="Bookman Old Style" w:hAnsi="Bookman Old Style" w:cs="Arial"/>
          <w:b/>
        </w:rPr>
        <w:t>:</w:t>
      </w:r>
    </w:p>
    <w:p w:rsidR="00A8790E" w:rsidRPr="006033C9" w:rsidRDefault="00A8790E" w:rsidP="00A8790E">
      <w:pPr>
        <w:ind w:left="0"/>
        <w:jc w:val="both"/>
        <w:rPr>
          <w:rFonts w:ascii="Bookman Old Style" w:hAnsi="Bookman Old Style" w:cs="Arial"/>
          <w:b/>
        </w:rPr>
      </w:pPr>
    </w:p>
    <w:p w:rsidR="00A8790E" w:rsidRPr="006033C9" w:rsidRDefault="00A8790E" w:rsidP="00A8790E">
      <w:pPr>
        <w:suppressAutoHyphens/>
        <w:ind w:left="0"/>
        <w:jc w:val="both"/>
        <w:rPr>
          <w:rFonts w:ascii="Bookman Old Style" w:hAnsi="Bookman Old Style" w:cs="Arial"/>
          <w:spacing w:val="-4"/>
          <w:lang w:val="es-CO"/>
        </w:rPr>
      </w:pPr>
      <w:r w:rsidRPr="006033C9">
        <w:rPr>
          <w:rFonts w:ascii="Bookman Old Style" w:hAnsi="Bookman Old Style" w:cs="Arial"/>
          <w:spacing w:val="-4"/>
          <w:lang w:val="es-CO"/>
        </w:rPr>
        <w:t>De conformidad con la Ley 143 de 1994, artículo 20, la función de regulación,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A8790E" w:rsidRPr="006033C9" w:rsidRDefault="00A8790E" w:rsidP="00A8790E">
      <w:pPr>
        <w:suppressAutoHyphens/>
        <w:ind w:left="0"/>
        <w:jc w:val="both"/>
        <w:rPr>
          <w:rFonts w:ascii="Bookman Old Style" w:hAnsi="Bookman Old Style" w:cs="Arial"/>
          <w:spacing w:val="-4"/>
          <w:lang w:val="es-CO"/>
        </w:rPr>
      </w:pPr>
    </w:p>
    <w:p w:rsidR="00A8790E" w:rsidRPr="006033C9" w:rsidRDefault="00A8790E" w:rsidP="00A8790E">
      <w:pPr>
        <w:ind w:left="0" w:right="51"/>
        <w:jc w:val="both"/>
        <w:rPr>
          <w:rFonts w:ascii="Bookman Old Style" w:hAnsi="Bookman Old Style" w:cs="Arial"/>
          <w:spacing w:val="-4"/>
          <w:lang w:val="es-CO"/>
        </w:rPr>
      </w:pPr>
      <w:r w:rsidRPr="006033C9">
        <w:rPr>
          <w:rFonts w:ascii="Bookman Old Style" w:hAnsi="Bookman Old Style" w:cs="Arial"/>
          <w:spacing w:val="-4"/>
          <w:lang w:val="es-CO"/>
        </w:rPr>
        <w:t>Para el logro del mencionado objetivo legal, la citada Ley 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A8790E" w:rsidRPr="006033C9" w:rsidRDefault="00A8790E" w:rsidP="00A8790E">
      <w:pPr>
        <w:ind w:left="0" w:right="51"/>
        <w:jc w:val="both"/>
        <w:rPr>
          <w:rFonts w:ascii="Bookman Old Style" w:hAnsi="Bookman Old Style" w:cs="Arial"/>
          <w:lang w:val="es-CO"/>
        </w:rPr>
      </w:pPr>
    </w:p>
    <w:p w:rsidR="00A8790E" w:rsidRPr="006033C9" w:rsidRDefault="00A8790E" w:rsidP="00A8790E">
      <w:pPr>
        <w:ind w:left="0" w:right="51"/>
        <w:jc w:val="both"/>
        <w:rPr>
          <w:rFonts w:ascii="Bookman Old Style" w:hAnsi="Bookman Old Style" w:cs="Arial"/>
          <w:i/>
          <w:iCs/>
        </w:rPr>
      </w:pPr>
      <w:r w:rsidRPr="006033C9">
        <w:rPr>
          <w:rFonts w:ascii="Bookman Old Style" w:hAnsi="Bookman Old Style" w:cs="Arial"/>
        </w:rPr>
        <w:t xml:space="preserve">Según lo previsto en el artículo 7 de la Ley 143 de 1994, en las actividades del sector, incluida la transmisión de electricidad, </w:t>
      </w:r>
      <w:r w:rsidRPr="006033C9">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A8790E" w:rsidRPr="006033C9" w:rsidRDefault="00A8790E" w:rsidP="00A8790E">
      <w:pPr>
        <w:ind w:left="0" w:right="51"/>
        <w:jc w:val="both"/>
        <w:rPr>
          <w:rFonts w:ascii="Bookman Old Style" w:hAnsi="Bookman Old Style" w:cs="Arial"/>
        </w:rPr>
      </w:pPr>
    </w:p>
    <w:p w:rsidR="00A8790E" w:rsidRPr="006033C9" w:rsidRDefault="00A8790E" w:rsidP="00A8790E">
      <w:pPr>
        <w:ind w:left="0" w:right="51"/>
        <w:jc w:val="both"/>
        <w:rPr>
          <w:rFonts w:ascii="Bookman Old Style" w:hAnsi="Bookman Old Style" w:cs="Arial"/>
        </w:rPr>
      </w:pPr>
      <w:r w:rsidRPr="006033C9">
        <w:rPr>
          <w:rFonts w:ascii="Bookman Old Style" w:hAnsi="Bookman Old Style" w:cs="Arial"/>
        </w:rPr>
        <w:t xml:space="preserve">Según lo establecido en el artículo 85 de la Ley 143 de 1994, </w:t>
      </w:r>
      <w:r w:rsidRPr="006033C9">
        <w:rPr>
          <w:rFonts w:ascii="Bookman Old Style" w:hAnsi="Bookman Old Style" w:cs="Arial"/>
          <w:i/>
          <w:iCs/>
        </w:rPr>
        <w:t xml:space="preserve">“las decisiones de inversión en generación, interconexión, transmisión y distribución de energía eléctrica constituyen responsabilidad de aquellos que las acometan, quienes </w:t>
      </w:r>
      <w:r w:rsidRPr="006033C9">
        <w:rPr>
          <w:rFonts w:ascii="Bookman Old Style" w:hAnsi="Bookman Old Style" w:cs="Arial"/>
          <w:i/>
          <w:iCs/>
        </w:rPr>
        <w:lastRenderedPageBreak/>
        <w:t>asumen en su integridad los riesgos inherentes a la ejecución y explotación de los proyectos”</w:t>
      </w:r>
      <w:r w:rsidRPr="006033C9">
        <w:rPr>
          <w:rFonts w:ascii="Bookman Old Style" w:hAnsi="Bookman Old Style" w:cs="Arial"/>
        </w:rPr>
        <w:t>.</w:t>
      </w:r>
    </w:p>
    <w:p w:rsidR="00A8790E" w:rsidRPr="006033C9" w:rsidRDefault="00A8790E" w:rsidP="00A8790E">
      <w:pPr>
        <w:ind w:left="0" w:right="51"/>
        <w:jc w:val="both"/>
        <w:rPr>
          <w:rFonts w:ascii="Bookman Old Style" w:hAnsi="Bookman Old Style" w:cs="Arial"/>
        </w:rPr>
      </w:pPr>
    </w:p>
    <w:p w:rsidR="00A8790E" w:rsidRPr="006033C9" w:rsidRDefault="00A8790E" w:rsidP="00A8790E">
      <w:pPr>
        <w:ind w:left="0" w:right="51"/>
        <w:jc w:val="both"/>
        <w:rPr>
          <w:rFonts w:ascii="Bookman Old Style" w:hAnsi="Bookman Old Style" w:cs="Arial"/>
        </w:rPr>
      </w:pPr>
      <w:r w:rsidRPr="006033C9">
        <w:rPr>
          <w:rFonts w:ascii="Bookman Old Style" w:hAnsi="Bookman Old Style" w:cs="Arial"/>
        </w:rPr>
        <w:t>De acuerdo con lo previsto en el artículo 23, literales c) y d), y en el artículo 41 de la Ley 143 de 1994, es función de la Comisión de Regulación de Energía y Gas definir la metodología de cálculo y fijar las tarifas por el acceso y uso de las redes eléctricas.</w:t>
      </w:r>
    </w:p>
    <w:p w:rsidR="00A8790E" w:rsidRPr="006033C9" w:rsidRDefault="00A8790E" w:rsidP="00A8790E">
      <w:pPr>
        <w:ind w:left="0" w:right="51"/>
        <w:jc w:val="both"/>
        <w:rPr>
          <w:rFonts w:ascii="Bookman Old Style" w:hAnsi="Bookman Old Style" w:cs="Arial"/>
        </w:rPr>
      </w:pPr>
    </w:p>
    <w:p w:rsidR="00A8790E" w:rsidRPr="006033C9" w:rsidRDefault="00A8790E" w:rsidP="00A8790E">
      <w:pPr>
        <w:ind w:left="0" w:right="51"/>
        <w:jc w:val="both"/>
        <w:rPr>
          <w:rFonts w:ascii="Bookman Old Style" w:hAnsi="Bookman Old Style" w:cs="Arial"/>
        </w:rPr>
      </w:pPr>
      <w:r w:rsidRPr="006033C9">
        <w:rPr>
          <w:rFonts w:ascii="Bookman Old Style" w:hAnsi="Bookman Old Style" w:cs="Arial"/>
        </w:rPr>
        <w:t>Mediante la Resolución CREG 022 de 2001, modificada por las resoluciones 085 de 2002 y 093 de 2007, entre otras, la CREG establece los principios generales y los procedimientos para definir el plan de expansión de referencia del Sistema de Transmisión Nacional, STN, y que l</w:t>
      </w:r>
      <w:r w:rsidRPr="006033C9">
        <w:rPr>
          <w:rFonts w:ascii="Bookman Old Style" w:hAnsi="Bookman Old Style" w:cs="Arial"/>
          <w:spacing w:val="-2"/>
          <w:lang w:val="es-CO"/>
        </w:rPr>
        <w:t xml:space="preserve">a expansión de este sistema se </w:t>
      </w:r>
      <w:r w:rsidRPr="006033C9">
        <w:rPr>
          <w:rFonts w:ascii="Bookman Old Style" w:hAnsi="Bookman Old Style" w:cs="Arial"/>
        </w:rPr>
        <w:t>haga mediante la ejecución, a mínimo costo, de los proyectos del Plan de Expansión, por parte de los inversionistas que resulten seleccionados en procesos que estimulen y garanticen la libre competencia.</w:t>
      </w:r>
    </w:p>
    <w:p w:rsidR="00A8790E" w:rsidRPr="006033C9" w:rsidRDefault="00A8790E" w:rsidP="00A8790E">
      <w:pPr>
        <w:ind w:left="0" w:right="51"/>
        <w:jc w:val="both"/>
        <w:rPr>
          <w:rFonts w:ascii="Bookman Old Style" w:hAnsi="Bookman Old Style" w:cs="Arial"/>
        </w:rPr>
      </w:pPr>
    </w:p>
    <w:p w:rsidR="00A8790E" w:rsidRPr="006033C9" w:rsidRDefault="00A8790E" w:rsidP="00A8790E">
      <w:pPr>
        <w:ind w:left="0" w:right="51"/>
        <w:jc w:val="both"/>
        <w:rPr>
          <w:rFonts w:ascii="Bookman Old Style" w:hAnsi="Bookman Old Style" w:cs="Arial"/>
          <w:spacing w:val="-2"/>
          <w:lang w:val="es-CO"/>
        </w:rPr>
      </w:pPr>
      <w:r w:rsidRPr="006033C9">
        <w:rPr>
          <w:rFonts w:ascii="Bookman Old Style" w:hAnsi="Bookman Old Style" w:cs="Arial"/>
        </w:rPr>
        <w:t xml:space="preserve">El artículo 4 de la citada resolución, establece que </w:t>
      </w:r>
      <w:r w:rsidRPr="006033C9">
        <w:rPr>
          <w:rFonts w:ascii="Bookman Old Style" w:hAnsi="Bookman Old Style" w:cs="Arial"/>
          <w:spacing w:val="-2"/>
          <w:lang w:val="es-CO"/>
        </w:rPr>
        <w:t>las inversiones que se ejecuten a partir de los procesos de libre concurrencia se remuneren a los inversionistas seleccionados que presenten en cada proceso la propuesta con el menor Valor Presente de los Ingresos Anuales Esperados durante los veinticinco (25) años del flujo de Ingresos.</w:t>
      </w:r>
    </w:p>
    <w:p w:rsidR="00A8790E" w:rsidRPr="006033C9" w:rsidRDefault="00A8790E" w:rsidP="00A8790E">
      <w:pPr>
        <w:ind w:left="0" w:right="51"/>
        <w:jc w:val="both"/>
        <w:rPr>
          <w:rFonts w:ascii="Bookman Old Style" w:hAnsi="Bookman Old Style" w:cs="Arial"/>
          <w:spacing w:val="-2"/>
          <w:lang w:val="es-CO"/>
        </w:rPr>
      </w:pPr>
    </w:p>
    <w:p w:rsidR="00A8790E" w:rsidRPr="006033C9" w:rsidRDefault="00A8790E" w:rsidP="00A8790E">
      <w:pPr>
        <w:ind w:left="0" w:right="51"/>
        <w:jc w:val="both"/>
        <w:rPr>
          <w:rFonts w:ascii="Bookman Old Style" w:hAnsi="Bookman Old Style" w:cs="Arial"/>
        </w:rPr>
      </w:pPr>
      <w:r w:rsidRPr="006033C9">
        <w:rPr>
          <w:rFonts w:ascii="Bookman Old Style" w:hAnsi="Bookman Old Style" w:cs="Arial"/>
        </w:rPr>
        <w:t xml:space="preserve">Mediante la Resolución 18 1315 de 2002, modificada por la Resolución 18 0925 de agosto de 2003, el Ministerio de Minas y Energía, MME, delega en la </w:t>
      </w:r>
      <w:r w:rsidRPr="006033C9">
        <w:rPr>
          <w:rFonts w:ascii="Bookman Old Style" w:hAnsi="Bookman Old Style" w:cs="Arial"/>
          <w:bCs/>
        </w:rPr>
        <w:t xml:space="preserve">Unidad de Planeación Minero Energética, </w:t>
      </w:r>
      <w:r w:rsidRPr="006033C9">
        <w:rPr>
          <w:rFonts w:ascii="Bookman Old Style" w:hAnsi="Bookman Old Style" w:cs="Arial"/>
        </w:rPr>
        <w:t xml:space="preserve">UPME, </w:t>
      </w:r>
      <w:r w:rsidRPr="006033C9">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6033C9">
        <w:rPr>
          <w:rFonts w:ascii="Bookman Old Style" w:hAnsi="Bookman Old Style" w:cs="Arial"/>
        </w:rPr>
        <w:t>.</w:t>
      </w:r>
    </w:p>
    <w:p w:rsidR="00A8790E" w:rsidRPr="006033C9" w:rsidRDefault="00A8790E" w:rsidP="00A8790E">
      <w:pPr>
        <w:ind w:left="0" w:right="51"/>
        <w:jc w:val="both"/>
        <w:rPr>
          <w:rFonts w:ascii="Bookman Old Style" w:hAnsi="Bookman Old Style" w:cs="Arial"/>
        </w:rPr>
      </w:pPr>
    </w:p>
    <w:p w:rsidR="00A8790E" w:rsidRPr="006033C9" w:rsidRDefault="00A8790E" w:rsidP="00A8790E">
      <w:pPr>
        <w:ind w:left="0" w:right="51"/>
        <w:jc w:val="both"/>
        <w:rPr>
          <w:rFonts w:ascii="Bookman Old Style" w:hAnsi="Bookman Old Style" w:cs="Arial"/>
        </w:rPr>
      </w:pPr>
      <w:r w:rsidRPr="006033C9">
        <w:rPr>
          <w:rFonts w:ascii="Bookman Old Style" w:hAnsi="Bookman Old Style" w:cs="Arial"/>
        </w:rPr>
        <w:t>El MME adoptó el Plan de Expansión de Referencia Generación – Transmisión 201</w:t>
      </w:r>
      <w:r>
        <w:rPr>
          <w:rFonts w:ascii="Bookman Old Style" w:hAnsi="Bookman Old Style" w:cs="Arial"/>
        </w:rPr>
        <w:t>2</w:t>
      </w:r>
      <w:r w:rsidRPr="006033C9">
        <w:rPr>
          <w:rFonts w:ascii="Bookman Old Style" w:hAnsi="Bookman Old Style" w:cs="Arial"/>
        </w:rPr>
        <w:t>-202</w:t>
      </w:r>
      <w:r>
        <w:rPr>
          <w:rFonts w:ascii="Bookman Old Style" w:hAnsi="Bookman Old Style" w:cs="Arial"/>
        </w:rPr>
        <w:t>5</w:t>
      </w:r>
      <w:r w:rsidRPr="006033C9">
        <w:rPr>
          <w:rFonts w:ascii="Bookman Old Style" w:hAnsi="Bookman Old Style" w:cs="Arial"/>
        </w:rPr>
        <w:t xml:space="preserve">, en el cual se definieron las obras de transmisión que deben ser ejecutadas en los años citados, dentro de las que se incluyó la subestación </w:t>
      </w:r>
      <w:r>
        <w:rPr>
          <w:rFonts w:ascii="Bookman Old Style" w:hAnsi="Bookman Old Style" w:cs="Arial"/>
        </w:rPr>
        <w:t xml:space="preserve">Suria 230 kV y </w:t>
      </w:r>
      <w:r w:rsidRPr="006033C9">
        <w:rPr>
          <w:rFonts w:ascii="Bookman Old Style" w:hAnsi="Bookman Old Style" w:cs="Arial"/>
        </w:rPr>
        <w:t xml:space="preserve">las líneas asociadas. </w:t>
      </w:r>
    </w:p>
    <w:p w:rsidR="00A8790E" w:rsidRPr="006033C9" w:rsidRDefault="00A8790E" w:rsidP="00A8790E">
      <w:pPr>
        <w:ind w:left="0" w:right="51"/>
        <w:jc w:val="both"/>
        <w:rPr>
          <w:rFonts w:ascii="Bookman Old Style" w:hAnsi="Bookman Old Style" w:cs="Arial"/>
        </w:rPr>
      </w:pPr>
    </w:p>
    <w:p w:rsidR="00A8790E" w:rsidRPr="006033C9" w:rsidRDefault="00A8790E" w:rsidP="00A8790E">
      <w:pPr>
        <w:ind w:left="0" w:right="51"/>
        <w:jc w:val="both"/>
        <w:rPr>
          <w:rFonts w:ascii="Bookman Old Style" w:hAnsi="Bookman Old Style" w:cs="Arial"/>
          <w:lang w:val="es-ES_tradnl"/>
        </w:rPr>
      </w:pPr>
      <w:r w:rsidRPr="006033C9">
        <w:rPr>
          <w:rFonts w:ascii="Bookman Old Style" w:hAnsi="Bookman Old Style" w:cs="Arial"/>
        </w:rPr>
        <w:t xml:space="preserve">La UPME abrió la Convocatoria Pública UPME </w:t>
      </w:r>
      <w:r>
        <w:rPr>
          <w:rFonts w:ascii="Bookman Old Style" w:hAnsi="Bookman Old Style" w:cs="Arial"/>
        </w:rPr>
        <w:t>05-2013</w:t>
      </w:r>
      <w:r w:rsidRPr="006033C9">
        <w:rPr>
          <w:rFonts w:ascii="Bookman Old Style" w:hAnsi="Bookman Old Style" w:cs="Arial"/>
        </w:rPr>
        <w:t xml:space="preserve"> para seleccionar al inversionista que se encargue del </w:t>
      </w:r>
      <w:r w:rsidRPr="006033C9">
        <w:rPr>
          <w:rFonts w:ascii="Bookman Old Style" w:hAnsi="Bookman Old Style" w:cs="Arial"/>
          <w:lang w:val="es-ES_tradnl"/>
        </w:rPr>
        <w:t xml:space="preserve">diseño, adquisición de los suministros, construcción, operación y mantenimiento de </w:t>
      </w:r>
      <w:r w:rsidRPr="006033C9">
        <w:rPr>
          <w:rFonts w:ascii="Bookman Old Style" w:hAnsi="Bookman Old Style" w:cs="Arial"/>
        </w:rPr>
        <w:t xml:space="preserve">la subestación </w:t>
      </w:r>
      <w:r>
        <w:rPr>
          <w:rFonts w:ascii="Bookman Old Style" w:hAnsi="Bookman Old Style" w:cs="Arial"/>
        </w:rPr>
        <w:t xml:space="preserve">Suria 230 kV y </w:t>
      </w:r>
      <w:r w:rsidRPr="006033C9">
        <w:rPr>
          <w:rFonts w:ascii="Bookman Old Style" w:hAnsi="Bookman Old Style" w:cs="Arial"/>
        </w:rPr>
        <w:t>las líneas asociadas.</w:t>
      </w:r>
    </w:p>
    <w:p w:rsidR="00A8790E" w:rsidRPr="006033C9" w:rsidRDefault="00A8790E" w:rsidP="00A8790E">
      <w:pPr>
        <w:ind w:left="0" w:right="51"/>
        <w:jc w:val="both"/>
        <w:rPr>
          <w:rFonts w:ascii="Bookman Old Style" w:hAnsi="Bookman Old Style" w:cs="Arial"/>
          <w:lang w:val="es-ES_tradnl"/>
        </w:rPr>
      </w:pPr>
    </w:p>
    <w:p w:rsidR="00A8790E" w:rsidRPr="006033C9" w:rsidRDefault="00A8790E" w:rsidP="00A8790E">
      <w:pPr>
        <w:tabs>
          <w:tab w:val="left" w:pos="-720"/>
        </w:tabs>
        <w:suppressAutoHyphens/>
        <w:ind w:left="0"/>
        <w:jc w:val="both"/>
        <w:rPr>
          <w:rFonts w:ascii="Bookman Old Style" w:hAnsi="Bookman Old Style" w:cs="Arial"/>
        </w:rPr>
      </w:pPr>
      <w:r w:rsidRPr="006033C9">
        <w:rPr>
          <w:rFonts w:ascii="Bookman Old Style" w:hAnsi="Bookman Old Style" w:cs="Arial"/>
        </w:rPr>
        <w:t xml:space="preserve">En los Documentos de Selección se estableció el </w:t>
      </w:r>
      <w:r>
        <w:rPr>
          <w:rFonts w:ascii="Bookman Old Style" w:hAnsi="Bookman Old Style" w:cs="Arial"/>
        </w:rPr>
        <w:t>30</w:t>
      </w:r>
      <w:r w:rsidRPr="006033C9">
        <w:rPr>
          <w:rFonts w:ascii="Bookman Old Style" w:hAnsi="Bookman Old Style" w:cs="Arial"/>
        </w:rPr>
        <w:t xml:space="preserve"> de </w:t>
      </w:r>
      <w:r>
        <w:rPr>
          <w:rFonts w:ascii="Bookman Old Style" w:hAnsi="Bookman Old Style" w:cs="Arial"/>
        </w:rPr>
        <w:t>noviembre</w:t>
      </w:r>
      <w:r w:rsidRPr="006033C9">
        <w:rPr>
          <w:rFonts w:ascii="Bookman Old Style" w:hAnsi="Bookman Old Style" w:cs="Arial"/>
        </w:rPr>
        <w:t xml:space="preserve"> de 2016 como fecha de puesta en operación del proyecto.</w:t>
      </w:r>
    </w:p>
    <w:p w:rsidR="00A8790E" w:rsidRPr="006033C9" w:rsidRDefault="00A8790E" w:rsidP="00A8790E">
      <w:pPr>
        <w:tabs>
          <w:tab w:val="left" w:pos="-720"/>
        </w:tabs>
        <w:suppressAutoHyphens/>
        <w:ind w:left="0"/>
        <w:jc w:val="both"/>
        <w:rPr>
          <w:rFonts w:ascii="Bookman Old Style" w:hAnsi="Bookman Old Style" w:cs="Arial"/>
        </w:rPr>
      </w:pPr>
    </w:p>
    <w:p w:rsidR="00A8790E" w:rsidRPr="006033C9" w:rsidRDefault="00A8790E" w:rsidP="00A8790E">
      <w:pPr>
        <w:tabs>
          <w:tab w:val="left" w:pos="-720"/>
        </w:tabs>
        <w:suppressAutoHyphens/>
        <w:ind w:left="0"/>
        <w:jc w:val="both"/>
        <w:rPr>
          <w:rFonts w:ascii="Bookman Old Style" w:hAnsi="Bookman Old Style" w:cs="Arial"/>
        </w:rPr>
      </w:pPr>
      <w:r w:rsidRPr="006033C9">
        <w:rPr>
          <w:rFonts w:ascii="Bookman Old Style" w:hAnsi="Bookman Old Style" w:cs="Arial"/>
        </w:rPr>
        <w:t>Mediante la comunicación radicada en la CREG con el número E</w:t>
      </w:r>
      <w:r w:rsidRPr="006033C9">
        <w:rPr>
          <w:rFonts w:ascii="Bookman Old Style" w:hAnsi="Bookman Old Style" w:cs="Arial"/>
        </w:rPr>
        <w:noBreakHyphen/>
        <w:t>2014</w:t>
      </w:r>
      <w:r w:rsidRPr="006033C9">
        <w:rPr>
          <w:rFonts w:ascii="Bookman Old Style" w:hAnsi="Bookman Old Style" w:cs="Arial"/>
        </w:rPr>
        <w:noBreakHyphen/>
        <w:t>00</w:t>
      </w:r>
      <w:r>
        <w:rPr>
          <w:rFonts w:ascii="Bookman Old Style" w:hAnsi="Bookman Old Style" w:cs="Arial"/>
        </w:rPr>
        <w:t>9787</w:t>
      </w:r>
      <w:r w:rsidRPr="006033C9">
        <w:rPr>
          <w:rFonts w:ascii="Bookman Old Style" w:hAnsi="Bookman Old Style" w:cs="Arial"/>
        </w:rPr>
        <w:t xml:space="preserve"> del </w:t>
      </w:r>
      <w:r>
        <w:rPr>
          <w:rFonts w:ascii="Bookman Old Style" w:hAnsi="Bookman Old Style" w:cs="Arial"/>
        </w:rPr>
        <w:t>2 de octubre</w:t>
      </w:r>
      <w:r w:rsidRPr="006033C9">
        <w:rPr>
          <w:rFonts w:ascii="Bookman Old Style" w:hAnsi="Bookman Old Style" w:cs="Arial"/>
        </w:rPr>
        <w:t xml:space="preserve"> de 2</w:t>
      </w:r>
      <w:r>
        <w:rPr>
          <w:rFonts w:ascii="Bookman Old Style" w:hAnsi="Bookman Old Style" w:cs="Arial"/>
        </w:rPr>
        <w:t>0</w:t>
      </w:r>
      <w:r w:rsidRPr="006033C9">
        <w:rPr>
          <w:rFonts w:ascii="Bookman Old Style" w:hAnsi="Bookman Old Style" w:cs="Arial"/>
        </w:rPr>
        <w:t xml:space="preserve">14, la UPME informa que la empresa </w:t>
      </w:r>
      <w:r>
        <w:rPr>
          <w:rFonts w:ascii="Bookman Old Style" w:hAnsi="Bookman Old Style" w:cs="Arial"/>
        </w:rPr>
        <w:t>Eléctricas de Medellín</w:t>
      </w:r>
      <w:r w:rsidRPr="006033C9">
        <w:rPr>
          <w:rFonts w:ascii="Bookman Old Style" w:hAnsi="Bookman Old Style" w:cs="Arial"/>
        </w:rPr>
        <w:t xml:space="preserve"> </w:t>
      </w:r>
      <w:r>
        <w:rPr>
          <w:rFonts w:ascii="Bookman Old Style" w:hAnsi="Bookman Old Style" w:cs="Arial"/>
        </w:rPr>
        <w:t xml:space="preserve">Ingeniería y Servicios </w:t>
      </w:r>
      <w:r w:rsidRPr="006033C9">
        <w:rPr>
          <w:rFonts w:ascii="Bookman Old Style" w:hAnsi="Bookman Old Style" w:cs="Arial"/>
        </w:rPr>
        <w:t xml:space="preserve">S.A fue el proponente seleccionado por la UPME para la ejecución del proyecto objeto de la convocatoria UPME </w:t>
      </w:r>
      <w:r>
        <w:rPr>
          <w:rFonts w:ascii="Bookman Old Style" w:hAnsi="Bookman Old Style" w:cs="Arial"/>
        </w:rPr>
        <w:t>05-2013</w:t>
      </w:r>
      <w:r w:rsidRPr="006033C9">
        <w:rPr>
          <w:rFonts w:ascii="Bookman Old Style" w:hAnsi="Bookman Old Style" w:cs="Arial"/>
        </w:rPr>
        <w:t>.</w:t>
      </w:r>
    </w:p>
    <w:p w:rsidR="00A8790E" w:rsidRPr="006033C9" w:rsidRDefault="00A8790E" w:rsidP="00A8790E">
      <w:pPr>
        <w:tabs>
          <w:tab w:val="left" w:pos="-720"/>
        </w:tabs>
        <w:suppressAutoHyphens/>
        <w:ind w:left="0"/>
        <w:jc w:val="both"/>
        <w:rPr>
          <w:rFonts w:ascii="Bookman Old Style" w:hAnsi="Bookman Old Style" w:cs="Arial"/>
        </w:rPr>
      </w:pPr>
    </w:p>
    <w:p w:rsidR="00A8790E" w:rsidRPr="006033C9" w:rsidRDefault="00A8790E" w:rsidP="00A8790E">
      <w:pPr>
        <w:tabs>
          <w:tab w:val="left" w:pos="-720"/>
        </w:tabs>
        <w:suppressAutoHyphens/>
        <w:ind w:left="0"/>
        <w:jc w:val="both"/>
        <w:rPr>
          <w:rFonts w:ascii="Bookman Old Style" w:hAnsi="Bookman Old Style" w:cs="Arial"/>
        </w:rPr>
      </w:pPr>
      <w:r w:rsidRPr="006033C9">
        <w:rPr>
          <w:rFonts w:ascii="Bookman Old Style" w:hAnsi="Bookman Old Style" w:cs="Arial"/>
        </w:rPr>
        <w:t xml:space="preserve">La UPME, en comunicación </w:t>
      </w:r>
      <w:r w:rsidR="00542BB4">
        <w:rPr>
          <w:rFonts w:ascii="Bookman Old Style" w:hAnsi="Bookman Old Style" w:cs="Arial"/>
        </w:rPr>
        <w:t xml:space="preserve">con </w:t>
      </w:r>
      <w:r w:rsidR="00542BB4" w:rsidRPr="006033C9">
        <w:rPr>
          <w:rFonts w:ascii="Bookman Old Style" w:hAnsi="Bookman Old Style" w:cs="Arial"/>
        </w:rPr>
        <w:t>radicad</w:t>
      </w:r>
      <w:r w:rsidR="00542BB4">
        <w:rPr>
          <w:rFonts w:ascii="Bookman Old Style" w:hAnsi="Bookman Old Style" w:cs="Arial"/>
        </w:rPr>
        <w:t>o</w:t>
      </w:r>
      <w:r w:rsidR="00542BB4" w:rsidRPr="006033C9">
        <w:rPr>
          <w:rFonts w:ascii="Bookman Old Style" w:hAnsi="Bookman Old Style" w:cs="Arial"/>
        </w:rPr>
        <w:t xml:space="preserve"> </w:t>
      </w:r>
      <w:r w:rsidRPr="006033C9">
        <w:rPr>
          <w:rFonts w:ascii="Bookman Old Style" w:hAnsi="Bookman Old Style" w:cs="Arial"/>
        </w:rPr>
        <w:t>CREG E</w:t>
      </w:r>
      <w:r w:rsidRPr="006033C9">
        <w:rPr>
          <w:rFonts w:ascii="Bookman Old Style" w:hAnsi="Bookman Old Style" w:cs="Arial"/>
        </w:rPr>
        <w:noBreakHyphen/>
        <w:t>2014</w:t>
      </w:r>
      <w:r w:rsidRPr="006033C9">
        <w:rPr>
          <w:rFonts w:ascii="Bookman Old Style" w:hAnsi="Bookman Old Style" w:cs="Arial"/>
        </w:rPr>
        <w:noBreakHyphen/>
        <w:t>0</w:t>
      </w:r>
      <w:r>
        <w:rPr>
          <w:rFonts w:ascii="Bookman Old Style" w:hAnsi="Bookman Old Style" w:cs="Arial"/>
        </w:rPr>
        <w:t>11402</w:t>
      </w:r>
      <w:r w:rsidRPr="006033C9">
        <w:rPr>
          <w:rFonts w:ascii="Bookman Old Style" w:hAnsi="Bookman Old Style" w:cs="Arial"/>
        </w:rPr>
        <w:t xml:space="preserve"> del </w:t>
      </w:r>
      <w:r>
        <w:rPr>
          <w:rFonts w:ascii="Bookman Old Style" w:hAnsi="Bookman Old Style" w:cs="Arial"/>
        </w:rPr>
        <w:t>12 de noviembre</w:t>
      </w:r>
      <w:r w:rsidRPr="006033C9">
        <w:rPr>
          <w:rFonts w:ascii="Bookman Old Style" w:hAnsi="Bookman Old Style" w:cs="Arial"/>
        </w:rPr>
        <w:t xml:space="preserve"> de 2014, conceptúa sobre el cumplimiento, por parte del inversionista seleccionado, de lo establecido en los Documentos de Selección y </w:t>
      </w:r>
      <w:r w:rsidRPr="006033C9">
        <w:rPr>
          <w:rFonts w:ascii="Bookman Old Style" w:hAnsi="Bookman Old Style" w:cs="Arial"/>
        </w:rPr>
        <w:lastRenderedPageBreak/>
        <w:t xml:space="preserve">en la Resolución CREG 022 de 2001 y sus modificaciones, adjunta copia de los documentos que soportan su concepto, y solicita la expedición de la resolución que oficializa el Ingreso Anual Esperado del adjudicatario. </w:t>
      </w:r>
    </w:p>
    <w:p w:rsidR="00A8790E" w:rsidRPr="006033C9" w:rsidRDefault="00A8790E" w:rsidP="00A8790E">
      <w:pPr>
        <w:tabs>
          <w:tab w:val="left" w:pos="-720"/>
        </w:tabs>
        <w:suppressAutoHyphens/>
        <w:ind w:left="0"/>
        <w:jc w:val="both"/>
        <w:rPr>
          <w:rFonts w:ascii="Bookman Old Style" w:hAnsi="Bookman Old Style" w:cs="Arial"/>
        </w:rPr>
      </w:pPr>
    </w:p>
    <w:p w:rsidR="00A8790E" w:rsidRPr="006033C9" w:rsidRDefault="00A8790E" w:rsidP="00A8790E">
      <w:pPr>
        <w:tabs>
          <w:tab w:val="left" w:pos="-720"/>
        </w:tabs>
        <w:suppressAutoHyphens/>
        <w:ind w:left="0"/>
        <w:jc w:val="both"/>
        <w:rPr>
          <w:rFonts w:ascii="Bookman Old Style" w:hAnsi="Bookman Old Style" w:cs="Arial"/>
        </w:rPr>
      </w:pPr>
      <w:r w:rsidRPr="006033C9">
        <w:rPr>
          <w:rFonts w:ascii="Bookman Old Style" w:hAnsi="Bookman Old Style" w:cs="Arial"/>
        </w:rPr>
        <w:t xml:space="preserve">De la información reportada por la UPME se evidencia que </w:t>
      </w:r>
      <w:r w:rsidR="00C95CA0" w:rsidRPr="00C95CA0">
        <w:rPr>
          <w:rFonts w:ascii="Bookman Old Style" w:hAnsi="Bookman Old Style" w:cs="Arial"/>
        </w:rPr>
        <w:t>Eléctricas de Medellín Ingeniería y Servicios S.A</w:t>
      </w:r>
      <w:r w:rsidR="00C95CA0">
        <w:rPr>
          <w:rFonts w:ascii="Bookman Old Style" w:hAnsi="Bookman Old Style" w:cs="Arial"/>
        </w:rPr>
        <w:t xml:space="preserve"> constituyó el </w:t>
      </w:r>
      <w:r w:rsidR="00C95CA0" w:rsidRPr="006033C9">
        <w:rPr>
          <w:rFonts w:ascii="Bookman Old Style" w:hAnsi="Bookman Old Style" w:cs="Arial"/>
        </w:rPr>
        <w:t xml:space="preserve">transmisor </w:t>
      </w:r>
      <w:r w:rsidR="00C95CA0">
        <w:rPr>
          <w:rFonts w:ascii="Bookman Old Style" w:hAnsi="Bookman Old Style" w:cs="Arial"/>
        </w:rPr>
        <w:t xml:space="preserve">nacional </w:t>
      </w:r>
      <w:r>
        <w:rPr>
          <w:rFonts w:ascii="Bookman Old Style" w:hAnsi="Bookman Old Style" w:cs="Arial"/>
        </w:rPr>
        <w:t>Desarrollo Eléctrico Suria</w:t>
      </w:r>
      <w:r w:rsidRPr="006033C9">
        <w:rPr>
          <w:rFonts w:ascii="Bookman Old Style" w:hAnsi="Bookman Old Style" w:cs="Arial"/>
        </w:rPr>
        <w:t xml:space="preserve"> S.A.S. E.S.P.</w:t>
      </w:r>
      <w:r w:rsidR="00687570">
        <w:rPr>
          <w:rFonts w:ascii="Bookman Old Style" w:hAnsi="Bookman Old Style" w:cs="Arial"/>
        </w:rPr>
        <w:t>,</w:t>
      </w:r>
      <w:r w:rsidRPr="006033C9">
        <w:rPr>
          <w:rFonts w:ascii="Bookman Old Style" w:hAnsi="Bookman Old Style" w:cs="Arial"/>
        </w:rPr>
        <w:t xml:space="preserve"> dando cumplimiento al aparte II del literal b) del artículo 4 de la Resolución CREG 022 de 2001, modificado por la Resolución CREG 085 de 2002, que establece:</w:t>
      </w:r>
    </w:p>
    <w:p w:rsidR="00A8790E" w:rsidRPr="006033C9" w:rsidRDefault="00A8790E" w:rsidP="00A8790E">
      <w:pPr>
        <w:tabs>
          <w:tab w:val="left" w:pos="-720"/>
        </w:tabs>
        <w:suppressAutoHyphens/>
        <w:ind w:left="0"/>
        <w:jc w:val="both"/>
        <w:rPr>
          <w:rFonts w:ascii="Bookman Old Style" w:hAnsi="Bookman Old Style" w:cs="Arial"/>
        </w:rPr>
      </w:pPr>
    </w:p>
    <w:p w:rsidR="00A8790E" w:rsidRPr="006033C9" w:rsidRDefault="00A8790E" w:rsidP="00A8790E">
      <w:pPr>
        <w:numPr>
          <w:ilvl w:val="0"/>
          <w:numId w:val="18"/>
        </w:numPr>
        <w:ind w:left="567"/>
        <w:jc w:val="both"/>
        <w:rPr>
          <w:rFonts w:ascii="Bookman Old Style" w:hAnsi="Bookman Old Style" w:cs="Arial"/>
          <w:i/>
          <w:spacing w:val="-2"/>
          <w:sz w:val="22"/>
          <w:lang w:val="es-CO"/>
        </w:rPr>
      </w:pPr>
      <w:r w:rsidRPr="006033C9">
        <w:rPr>
          <w:rFonts w:ascii="Bookman Old Style" w:hAnsi="Bookman Old Style" w:cs="Arial"/>
          <w:i/>
          <w:spacing w:val="-2"/>
          <w:sz w:val="22"/>
          <w:lang w:val="es-CO"/>
        </w:rPr>
        <w:t xml:space="preserve">El proponente que haya presentado la propuesta escogida deberá constituirse en Empresa de Servicios Públicos, en el caso de que aún no lo sea (Transmisor Nacional E.S.P).  En los estatutos de constitución de dicha empresa se deberá estipular que la misma tendrá una vigencia mínima de veintiséis (26) años. </w:t>
      </w:r>
    </w:p>
    <w:p w:rsidR="00A8790E" w:rsidRPr="006033C9" w:rsidRDefault="00A8790E" w:rsidP="00A8790E">
      <w:pPr>
        <w:tabs>
          <w:tab w:val="left" w:pos="-720"/>
        </w:tabs>
        <w:suppressAutoHyphens/>
        <w:ind w:left="0"/>
        <w:jc w:val="both"/>
        <w:rPr>
          <w:rFonts w:ascii="Bookman Old Style" w:hAnsi="Bookman Old Style" w:cs="Arial"/>
        </w:rPr>
      </w:pPr>
      <w:r w:rsidRPr="006033C9">
        <w:rPr>
          <w:rFonts w:ascii="Bookman Old Style" w:hAnsi="Bookman Old Style" w:cs="Arial"/>
        </w:rPr>
        <w:t xml:space="preserve"> </w:t>
      </w:r>
    </w:p>
    <w:p w:rsidR="00B03543" w:rsidRPr="00B03543" w:rsidRDefault="00B03543" w:rsidP="00B03543">
      <w:pPr>
        <w:tabs>
          <w:tab w:val="left" w:pos="-720"/>
        </w:tabs>
        <w:autoSpaceDE w:val="0"/>
        <w:autoSpaceDN w:val="0"/>
        <w:adjustRightInd w:val="0"/>
        <w:ind w:left="0"/>
        <w:jc w:val="both"/>
        <w:rPr>
          <w:rFonts w:ascii="Bookman Old Style" w:eastAsia="Calibri" w:hAnsi="Bookman Old Style" w:cs="Bookman Old Style"/>
          <w:color w:val="000000"/>
          <w:lang w:val="es-CO" w:eastAsia="en-US"/>
        </w:rPr>
      </w:pPr>
      <w:r w:rsidRPr="00B03543">
        <w:rPr>
          <w:rFonts w:ascii="Bookman Old Style" w:eastAsia="Calibri" w:hAnsi="Bookman Old Style" w:cs="Bookman Old Style"/>
          <w:color w:val="000000"/>
          <w:lang w:val="es-CO" w:eastAsia="en-US"/>
        </w:rPr>
        <w:t>Durante el análisis de la respectiva solicitud, la Empresa de Energía de Bogotá, EEB, mediante comunicación con radicado CREG E-2014-012964, solicita denegar la oficialización del respectivo ingreso y entre otras: i) solicita hacerse parte de la actuación administrativa conducente a expedir la resolución de oficialización de ingresos al adjudicatario de la convocatoria UPME 05-2013</w:t>
      </w:r>
      <w:r w:rsidR="00542BB4">
        <w:rPr>
          <w:rFonts w:ascii="Bookman Old Style" w:eastAsia="Calibri" w:hAnsi="Bookman Old Style" w:cs="Bookman Old Style"/>
          <w:color w:val="000000"/>
          <w:lang w:val="es-CO" w:eastAsia="en-US"/>
        </w:rPr>
        <w:t>,</w:t>
      </w:r>
      <w:r w:rsidRPr="00B03543">
        <w:rPr>
          <w:rFonts w:ascii="Bookman Old Style" w:eastAsia="Calibri" w:hAnsi="Bookman Old Style" w:cs="Bookman Old Style"/>
          <w:color w:val="000000"/>
          <w:lang w:val="es-CO" w:eastAsia="en-US"/>
        </w:rPr>
        <w:t xml:space="preserve"> ii)</w:t>
      </w:r>
      <w:r w:rsidR="00542BB4">
        <w:rPr>
          <w:rFonts w:ascii="Bookman Old Style" w:eastAsia="Calibri" w:hAnsi="Bookman Old Style" w:cs="Bookman Old Style"/>
          <w:color w:val="000000"/>
          <w:lang w:val="es-CO" w:eastAsia="en-US"/>
        </w:rPr>
        <w:t> </w:t>
      </w:r>
      <w:r w:rsidRPr="00B03543">
        <w:rPr>
          <w:rFonts w:ascii="Bookman Old Style" w:eastAsia="Calibri" w:hAnsi="Bookman Old Style" w:cs="Bookman Old Style"/>
          <w:color w:val="000000"/>
          <w:lang w:val="es-CO" w:eastAsia="en-US"/>
        </w:rPr>
        <w:t xml:space="preserve">hace referencia a </w:t>
      </w:r>
      <w:r w:rsidR="001B1881">
        <w:rPr>
          <w:rFonts w:ascii="Bookman Old Style" w:eastAsia="Calibri" w:hAnsi="Bookman Old Style" w:cs="Bookman Old Style"/>
          <w:color w:val="000000"/>
          <w:lang w:val="es-CO" w:eastAsia="en-US"/>
        </w:rPr>
        <w:t xml:space="preserve">ciertas </w:t>
      </w:r>
      <w:r w:rsidRPr="00B03543">
        <w:rPr>
          <w:rFonts w:ascii="Bookman Old Style" w:eastAsia="Calibri" w:hAnsi="Bookman Old Style" w:cs="Bookman Old Style"/>
          <w:color w:val="000000"/>
          <w:lang w:val="es-CO" w:eastAsia="en-US"/>
        </w:rPr>
        <w:t xml:space="preserve">implicaciones </w:t>
      </w:r>
      <w:r w:rsidR="001B1881">
        <w:rPr>
          <w:rFonts w:ascii="Bookman Old Style" w:eastAsia="Calibri" w:hAnsi="Bookman Old Style" w:cs="Bookman Old Style"/>
          <w:color w:val="000000"/>
          <w:lang w:val="es-CO" w:eastAsia="en-US"/>
        </w:rPr>
        <w:t xml:space="preserve">regulatorias </w:t>
      </w:r>
      <w:r w:rsidRPr="00B03543">
        <w:rPr>
          <w:rFonts w:ascii="Bookman Old Style" w:eastAsia="Calibri" w:hAnsi="Bookman Old Style" w:cs="Bookman Old Style"/>
          <w:color w:val="000000"/>
          <w:lang w:val="es-CO" w:eastAsia="en-US"/>
        </w:rPr>
        <w:t xml:space="preserve">que podría tener el contrato de mandato suscrito entre Dispac y Eléctricas de Medellín </w:t>
      </w:r>
      <w:r w:rsidR="001B1881">
        <w:rPr>
          <w:rFonts w:ascii="Bookman Old Style" w:eastAsia="Calibri" w:hAnsi="Bookman Old Style" w:cs="Bookman Old Style"/>
          <w:color w:val="000000"/>
          <w:lang w:val="es-CO" w:eastAsia="en-US"/>
        </w:rPr>
        <w:t xml:space="preserve">ya que esta no es una empresa de servicios públicos domiciliarios </w:t>
      </w:r>
      <w:r w:rsidRPr="00B03543">
        <w:rPr>
          <w:rFonts w:ascii="Bookman Old Style" w:eastAsia="Calibri" w:hAnsi="Bookman Old Style" w:cs="Bookman Old Style"/>
          <w:color w:val="000000"/>
          <w:lang w:val="es-CO" w:eastAsia="en-US"/>
        </w:rPr>
        <w:t>y, iii) formula algunas inquietudes sobre lo que fue el proceso de adjudicación de la convocatoria</w:t>
      </w:r>
      <w:r w:rsidR="001B1881">
        <w:rPr>
          <w:rFonts w:ascii="Bookman Old Style" w:eastAsia="Calibri" w:hAnsi="Bookman Old Style" w:cs="Bookman Old Style"/>
          <w:color w:val="000000"/>
          <w:lang w:val="es-CO" w:eastAsia="en-US"/>
        </w:rPr>
        <w:t xml:space="preserve"> UPME 05-2013</w:t>
      </w:r>
      <w:r w:rsidRPr="00B03543">
        <w:rPr>
          <w:rFonts w:ascii="Bookman Old Style" w:eastAsia="Calibri" w:hAnsi="Bookman Old Style" w:cs="Bookman Old Style"/>
          <w:color w:val="000000"/>
          <w:lang w:val="es-CO" w:eastAsia="en-US"/>
        </w:rPr>
        <w:t>.</w:t>
      </w:r>
    </w:p>
    <w:p w:rsidR="00B03543" w:rsidRPr="00B03543" w:rsidRDefault="00B03543" w:rsidP="00B03543">
      <w:pPr>
        <w:tabs>
          <w:tab w:val="left" w:pos="-720"/>
        </w:tabs>
        <w:autoSpaceDE w:val="0"/>
        <w:autoSpaceDN w:val="0"/>
        <w:adjustRightInd w:val="0"/>
        <w:ind w:left="0"/>
        <w:jc w:val="center"/>
        <w:rPr>
          <w:rFonts w:ascii="Bookman Old Style" w:eastAsia="Calibri" w:hAnsi="Bookman Old Style" w:cs="Bookman Old Style"/>
          <w:color w:val="000000"/>
          <w:lang w:val="es-CO" w:eastAsia="en-US"/>
        </w:rPr>
      </w:pPr>
    </w:p>
    <w:p w:rsidR="00B03543" w:rsidRPr="00B03543" w:rsidRDefault="00B03543" w:rsidP="00B03543">
      <w:pPr>
        <w:tabs>
          <w:tab w:val="left" w:pos="-720"/>
        </w:tabs>
        <w:suppressAutoHyphens/>
        <w:ind w:left="0"/>
        <w:jc w:val="both"/>
        <w:rPr>
          <w:rFonts w:ascii="Bookman Old Style" w:hAnsi="Bookman Old Style" w:cs="Arial"/>
        </w:rPr>
      </w:pPr>
      <w:r w:rsidRPr="00B03543">
        <w:rPr>
          <w:rFonts w:ascii="Bookman Old Style" w:hAnsi="Bookman Old Style" w:cs="Arial"/>
        </w:rPr>
        <w:t xml:space="preserve">La Comisión, mediante comunicación CREG S-2015-000069, informó a la EEB que para la oficialización de los ingresos de las convocatorias adjudicadas por la UPME no se adelanta una actuación administrativa dado que la Comisión no hace valoraciones adicionales a las consideradas por a UPME en el proceso de adjudicación; en cuanto a las </w:t>
      </w:r>
      <w:r w:rsidR="001B1881">
        <w:rPr>
          <w:rFonts w:ascii="Bookman Old Style" w:hAnsi="Bookman Old Style" w:cs="Arial"/>
        </w:rPr>
        <w:t>presuntas implicaciones regulatorias d</w:t>
      </w:r>
      <w:r w:rsidRPr="00B03543">
        <w:rPr>
          <w:rFonts w:ascii="Bookman Old Style" w:hAnsi="Bookman Old Style" w:cs="Arial"/>
        </w:rPr>
        <w:t>el contrato de mandato suscrito entre las dos empresas se informa que la Comisión no es entidad de vigilancia y control, actividades que competen a la Superintendencia de Servicios Públicos Domiciliarios; y sobre las inquietudes relacionadas con el proceso de selección adelantado por la UPME debe ser dicha unidad quien las absuelva.</w:t>
      </w:r>
    </w:p>
    <w:p w:rsidR="00B03543" w:rsidRPr="00B03543" w:rsidRDefault="00B03543" w:rsidP="00B03543">
      <w:pPr>
        <w:tabs>
          <w:tab w:val="left" w:pos="-720"/>
        </w:tabs>
        <w:suppressAutoHyphens/>
        <w:ind w:left="0"/>
        <w:jc w:val="both"/>
        <w:rPr>
          <w:rFonts w:ascii="Bookman Old Style" w:hAnsi="Bookman Old Style" w:cs="Arial"/>
        </w:rPr>
      </w:pPr>
    </w:p>
    <w:p w:rsidR="00B03543" w:rsidRPr="00B03543" w:rsidRDefault="00B03543" w:rsidP="00B03543">
      <w:pPr>
        <w:tabs>
          <w:tab w:val="left" w:pos="-720"/>
        </w:tabs>
        <w:suppressAutoHyphens/>
        <w:ind w:left="0"/>
        <w:jc w:val="both"/>
        <w:rPr>
          <w:rFonts w:ascii="Bookman Old Style" w:hAnsi="Bookman Old Style" w:cs="Arial"/>
        </w:rPr>
      </w:pPr>
      <w:r w:rsidRPr="00B03543">
        <w:rPr>
          <w:rFonts w:ascii="Bookman Old Style" w:hAnsi="Bookman Old Style" w:cs="Arial"/>
        </w:rPr>
        <w:t xml:space="preserve">Una vez obtenida la información pertinente </w:t>
      </w:r>
      <w:r w:rsidR="001B1881">
        <w:rPr>
          <w:rFonts w:ascii="Bookman Old Style" w:hAnsi="Bookman Old Style" w:cs="Arial"/>
        </w:rPr>
        <w:t>del contrato suscrito por</w:t>
      </w:r>
      <w:r w:rsidRPr="00B03543">
        <w:rPr>
          <w:rFonts w:ascii="Bookman Old Style" w:hAnsi="Bookman Old Style" w:cs="Arial"/>
        </w:rPr>
        <w:t xml:space="preserve"> las empresas Dispac y Eléctricas de Medellín, esta </w:t>
      </w:r>
      <w:r w:rsidR="00542BB4">
        <w:rPr>
          <w:rFonts w:ascii="Bookman Old Style" w:hAnsi="Bookman Old Style" w:cs="Arial"/>
        </w:rPr>
        <w:t>C</w:t>
      </w:r>
      <w:r w:rsidR="00542BB4" w:rsidRPr="00B03543">
        <w:rPr>
          <w:rFonts w:ascii="Bookman Old Style" w:hAnsi="Bookman Old Style" w:cs="Arial"/>
        </w:rPr>
        <w:t xml:space="preserve">omisión </w:t>
      </w:r>
      <w:r w:rsidRPr="00B03543">
        <w:rPr>
          <w:rFonts w:ascii="Bookman Old Style" w:hAnsi="Bookman Old Style" w:cs="Arial"/>
        </w:rPr>
        <w:t xml:space="preserve">procedió a poner en conocimiento de la Superintendencia de Servicios Públicos Domiciliarios y también de la UPME, las afirmaciones e inquietudes expuestas a la CREG por la Empresa de Energía de Bogotá, EEB.  </w:t>
      </w:r>
    </w:p>
    <w:p w:rsidR="00B03543" w:rsidRPr="00B03543" w:rsidRDefault="00B03543" w:rsidP="00B03543">
      <w:pPr>
        <w:tabs>
          <w:tab w:val="left" w:pos="-720"/>
        </w:tabs>
        <w:suppressAutoHyphens/>
        <w:spacing w:before="120" w:after="200"/>
        <w:ind w:left="0"/>
        <w:jc w:val="both"/>
        <w:rPr>
          <w:rFonts w:ascii="Bookman Old Style" w:hAnsi="Bookman Old Style" w:cs="Arial"/>
        </w:rPr>
      </w:pPr>
      <w:r w:rsidRPr="00B03543">
        <w:rPr>
          <w:rFonts w:ascii="Bookman Old Style" w:hAnsi="Bookman Old Style" w:cs="Arial"/>
        </w:rPr>
        <w:t>Mediante las comunicaciones con radicado CREG E-2015-001054 y CREG E-2015-002070 la Superintendencia de Servicios Públicos Domiciliarios, informó que no tiene conocimiento sobre actividades de distribución ni de comercialización que sean realizadas por la empresa Eléctricas de Medellín; además, afirmó que esta empresa no aparece inscrita en el Registro Único de Prestadores de Servicios Públicos, RUPS.</w:t>
      </w:r>
    </w:p>
    <w:p w:rsidR="00B03543" w:rsidRPr="00AC3BC5" w:rsidRDefault="00B03543" w:rsidP="00AC3BC5">
      <w:pPr>
        <w:tabs>
          <w:tab w:val="left" w:pos="-720"/>
        </w:tabs>
        <w:suppressAutoHyphens/>
        <w:spacing w:before="120" w:after="200"/>
        <w:ind w:left="0"/>
        <w:jc w:val="both"/>
        <w:rPr>
          <w:rFonts w:ascii="Bookman Old Style" w:hAnsi="Bookman Old Style" w:cs="Arial"/>
        </w:rPr>
      </w:pPr>
      <w:r w:rsidRPr="00B03543">
        <w:rPr>
          <w:rFonts w:ascii="Bookman Old Style" w:hAnsi="Bookman Old Style" w:cs="Arial"/>
        </w:rPr>
        <w:t xml:space="preserve">Sostuvo también, que no encuentra mérito alguno para iniciar una investigación contra la Empresa Distribuidora del Pacífico - DISPAC S.A. E.S.P. </w:t>
      </w:r>
      <w:r w:rsidRPr="00B03543">
        <w:rPr>
          <w:rFonts w:ascii="Bookman Old Style" w:hAnsi="Bookman Old Style" w:cs="Arial"/>
        </w:rPr>
        <w:lastRenderedPageBreak/>
        <w:t xml:space="preserve">o contra la empresa Eléctricas de Medellín S.A. por </w:t>
      </w:r>
      <w:r w:rsidR="001B1881">
        <w:rPr>
          <w:rFonts w:ascii="Bookman Old Style" w:hAnsi="Bookman Old Style" w:cs="Arial"/>
        </w:rPr>
        <w:t>la suscripción d</w:t>
      </w:r>
      <w:r w:rsidRPr="00B03543">
        <w:rPr>
          <w:rFonts w:ascii="Bookman Old Style" w:hAnsi="Bookman Old Style" w:cs="Arial"/>
        </w:rPr>
        <w:t>el contrato de mandato:</w:t>
      </w:r>
    </w:p>
    <w:p w:rsidR="00B03543" w:rsidRPr="00B03543" w:rsidRDefault="00B03543" w:rsidP="00B03543">
      <w:pPr>
        <w:spacing w:before="120"/>
        <w:ind w:left="720" w:right="289"/>
        <w:jc w:val="both"/>
        <w:rPr>
          <w:rFonts w:ascii="Bookman Old Style" w:hAnsi="Bookman Old Style"/>
          <w:i/>
          <w:iCs/>
          <w:color w:val="000000"/>
          <w:sz w:val="22"/>
        </w:rPr>
      </w:pPr>
      <w:r w:rsidRPr="00B03543">
        <w:rPr>
          <w:rFonts w:ascii="Bookman Old Style" w:hAnsi="Bookman Old Style"/>
          <w:i/>
          <w:iCs/>
          <w:color w:val="000000"/>
          <w:sz w:val="22"/>
        </w:rPr>
        <w:t>(…) Con fundamento en lo anterior, este despacho no encuentra mérito para iniciar una investigación contra la Empresa Distribuidora del Pacífico - DISPAC S.A. E.S.P. o contra la empresa Eléctricas de Medellín S.A., por cuanto no evidencia que exista una obligación legal por parte de esta última de constituirse en una Empresa de Servicios Públicos - E.S.P.”</w:t>
      </w:r>
    </w:p>
    <w:p w:rsidR="00B03543" w:rsidRPr="00B03543" w:rsidRDefault="00B03543" w:rsidP="00B03543">
      <w:pPr>
        <w:tabs>
          <w:tab w:val="left" w:pos="-720"/>
        </w:tabs>
        <w:suppressAutoHyphens/>
        <w:ind w:left="0"/>
        <w:jc w:val="both"/>
        <w:rPr>
          <w:rFonts w:ascii="Bookman Old Style" w:hAnsi="Bookman Old Style" w:cs="Arial"/>
        </w:rPr>
      </w:pPr>
    </w:p>
    <w:p w:rsidR="00B03543" w:rsidRPr="00B03543" w:rsidRDefault="001B1881" w:rsidP="00B03543">
      <w:pPr>
        <w:tabs>
          <w:tab w:val="left" w:pos="-720"/>
        </w:tabs>
        <w:suppressAutoHyphens/>
        <w:ind w:left="0"/>
        <w:jc w:val="both"/>
        <w:rPr>
          <w:rFonts w:ascii="Bookman Old Style" w:hAnsi="Bookman Old Style" w:cs="Arial"/>
        </w:rPr>
      </w:pPr>
      <w:r>
        <w:rPr>
          <w:rFonts w:ascii="Bookman Old Style" w:hAnsi="Bookman Old Style" w:cs="Arial"/>
        </w:rPr>
        <w:t>De la misma forma, m</w:t>
      </w:r>
      <w:r w:rsidR="00B03543" w:rsidRPr="00B03543">
        <w:rPr>
          <w:rFonts w:ascii="Bookman Old Style" w:hAnsi="Bookman Old Style" w:cs="Arial"/>
        </w:rPr>
        <w:t xml:space="preserve">ediante carta </w:t>
      </w:r>
      <w:r w:rsidR="00B03543">
        <w:rPr>
          <w:rFonts w:ascii="Bookman Old Style" w:hAnsi="Bookman Old Style" w:cs="Arial"/>
        </w:rPr>
        <w:t>con radic</w:t>
      </w:r>
      <w:r w:rsidR="00542BB4">
        <w:rPr>
          <w:rFonts w:ascii="Bookman Old Style" w:hAnsi="Bookman Old Style" w:cs="Arial"/>
        </w:rPr>
        <w:t>ad</w:t>
      </w:r>
      <w:r w:rsidR="00B03543">
        <w:rPr>
          <w:rFonts w:ascii="Bookman Old Style" w:hAnsi="Bookman Old Style" w:cs="Arial"/>
        </w:rPr>
        <w:t xml:space="preserve">o S-2015-000187, esta </w:t>
      </w:r>
      <w:r w:rsidR="00542BB4">
        <w:rPr>
          <w:rFonts w:ascii="Bookman Old Style" w:hAnsi="Bookman Old Style" w:cs="Arial"/>
        </w:rPr>
        <w:t xml:space="preserve">Comisión </w:t>
      </w:r>
      <w:r w:rsidR="00542BB4" w:rsidRPr="00B03543">
        <w:rPr>
          <w:rFonts w:ascii="Bookman Old Style" w:hAnsi="Bookman Old Style" w:cs="Arial"/>
        </w:rPr>
        <w:t xml:space="preserve"> </w:t>
      </w:r>
      <w:r w:rsidR="00B03543" w:rsidRPr="00B03543">
        <w:rPr>
          <w:rFonts w:ascii="Bookman Old Style" w:hAnsi="Bookman Old Style" w:cs="Arial"/>
        </w:rPr>
        <w:t xml:space="preserve">le solicitó </w:t>
      </w:r>
      <w:r w:rsidR="00B03543">
        <w:rPr>
          <w:rFonts w:ascii="Bookman Old Style" w:hAnsi="Bookman Old Style" w:cs="Arial"/>
        </w:rPr>
        <w:t xml:space="preserve">a la UPME </w:t>
      </w:r>
      <w:r w:rsidR="00B03543" w:rsidRPr="00B03543">
        <w:rPr>
          <w:rFonts w:ascii="Bookman Old Style" w:hAnsi="Bookman Old Style" w:cs="Arial"/>
        </w:rPr>
        <w:t>revisar, si hubiere lugar</w:t>
      </w:r>
      <w:r>
        <w:rPr>
          <w:rFonts w:ascii="Bookman Old Style" w:hAnsi="Bookman Old Style" w:cs="Arial"/>
        </w:rPr>
        <w:t xml:space="preserve"> a ello</w:t>
      </w:r>
      <w:r w:rsidR="00B03543" w:rsidRPr="00B03543">
        <w:rPr>
          <w:rFonts w:ascii="Bookman Old Style" w:hAnsi="Bookman Old Style" w:cs="Arial"/>
        </w:rPr>
        <w:t xml:space="preserve">, el procedimiento de adjudicación de la convocatoria </w:t>
      </w:r>
      <w:r>
        <w:rPr>
          <w:rFonts w:ascii="Bookman Old Style" w:hAnsi="Bookman Old Style" w:cs="Arial"/>
        </w:rPr>
        <w:t>05-2013</w:t>
      </w:r>
      <w:r w:rsidR="00B03543">
        <w:rPr>
          <w:rFonts w:ascii="Bookman Old Style" w:hAnsi="Bookman Old Style" w:cs="Arial"/>
        </w:rPr>
        <w:t xml:space="preserve">, debido a las inquietudes planteadas por la </w:t>
      </w:r>
      <w:r w:rsidR="00B03543" w:rsidRPr="00B03543">
        <w:rPr>
          <w:rFonts w:ascii="Bookman Old Style" w:hAnsi="Bookman Old Style" w:cs="Arial"/>
        </w:rPr>
        <w:t>Em</w:t>
      </w:r>
      <w:r w:rsidR="00B03543">
        <w:rPr>
          <w:rFonts w:ascii="Bookman Old Style" w:hAnsi="Bookman Old Style" w:cs="Arial"/>
        </w:rPr>
        <w:t xml:space="preserve">presa de Energía de Bogotá, EEB. En la respuesta recibida con </w:t>
      </w:r>
      <w:r w:rsidR="00B03543" w:rsidRPr="00B03543">
        <w:rPr>
          <w:rFonts w:ascii="Bookman Old Style" w:hAnsi="Bookman Old Style" w:cs="Arial"/>
        </w:rPr>
        <w:t xml:space="preserve">radicado CREG E-2015-001756, </w:t>
      </w:r>
      <w:r w:rsidR="00B03543">
        <w:rPr>
          <w:rFonts w:ascii="Bookman Old Style" w:hAnsi="Bookman Old Style" w:cs="Arial"/>
        </w:rPr>
        <w:t xml:space="preserve">y </w:t>
      </w:r>
      <w:r w:rsidR="00B03543" w:rsidRPr="00B03543">
        <w:rPr>
          <w:rFonts w:ascii="Bookman Old Style" w:hAnsi="Bookman Old Style" w:cs="Arial"/>
        </w:rPr>
        <w:t xml:space="preserve">después de algunos análisis sobre la solicitud </w:t>
      </w:r>
      <w:r>
        <w:rPr>
          <w:rFonts w:ascii="Bookman Old Style" w:hAnsi="Bookman Old Style" w:cs="Arial"/>
        </w:rPr>
        <w:t xml:space="preserve">la UPME </w:t>
      </w:r>
      <w:r w:rsidR="00B03543" w:rsidRPr="00B03543">
        <w:rPr>
          <w:rFonts w:ascii="Bookman Old Style" w:hAnsi="Bookman Old Style" w:cs="Arial"/>
        </w:rPr>
        <w:t>afirma</w:t>
      </w:r>
      <w:r>
        <w:rPr>
          <w:rFonts w:ascii="Bookman Old Style" w:hAnsi="Bookman Old Style" w:cs="Arial"/>
        </w:rPr>
        <w:t xml:space="preserve"> lo siguiente</w:t>
      </w:r>
      <w:r w:rsidR="00B03543" w:rsidRPr="00B03543">
        <w:rPr>
          <w:rFonts w:ascii="Bookman Old Style" w:hAnsi="Bookman Old Style" w:cs="Arial"/>
        </w:rPr>
        <w:t>:</w:t>
      </w:r>
    </w:p>
    <w:p w:rsidR="00B03543" w:rsidRPr="00B03543" w:rsidRDefault="00B03543" w:rsidP="00B03543">
      <w:pPr>
        <w:spacing w:before="120"/>
        <w:ind w:left="720" w:right="289"/>
        <w:jc w:val="both"/>
        <w:rPr>
          <w:rFonts w:ascii="Bookman Old Style" w:hAnsi="Bookman Old Style"/>
          <w:i/>
          <w:iCs/>
          <w:color w:val="000000"/>
          <w:sz w:val="22"/>
        </w:rPr>
      </w:pPr>
      <w:r w:rsidRPr="00B03543">
        <w:rPr>
          <w:rFonts w:ascii="Bookman Old Style" w:hAnsi="Bookman Old Style"/>
          <w:i/>
          <w:iCs/>
          <w:color w:val="000000"/>
          <w:sz w:val="22"/>
        </w:rPr>
        <w:t>“encontramos que el procedimiento se acogió a los establecido en la normatividad del Ministerio de Minas y Energía y la reglamentación de la CREG y se mantiene la selección realizada el día 29 de septiembre de 2014”</w:t>
      </w:r>
    </w:p>
    <w:p w:rsidR="001B1881" w:rsidRDefault="001B1881" w:rsidP="00B03543">
      <w:pPr>
        <w:tabs>
          <w:tab w:val="left" w:pos="-720"/>
        </w:tabs>
        <w:autoSpaceDE w:val="0"/>
        <w:autoSpaceDN w:val="0"/>
        <w:adjustRightInd w:val="0"/>
        <w:ind w:left="0"/>
        <w:jc w:val="both"/>
        <w:rPr>
          <w:rFonts w:ascii="Bookman Old Style" w:eastAsia="Calibri" w:hAnsi="Bookman Old Style" w:cs="Bookman Old Style"/>
          <w:color w:val="000000"/>
          <w:lang w:val="es-CO" w:eastAsia="en-US"/>
        </w:rPr>
      </w:pPr>
    </w:p>
    <w:p w:rsidR="00B03543" w:rsidRDefault="00B03543" w:rsidP="00B03543">
      <w:pPr>
        <w:tabs>
          <w:tab w:val="left" w:pos="-720"/>
        </w:tabs>
        <w:autoSpaceDE w:val="0"/>
        <w:autoSpaceDN w:val="0"/>
        <w:adjustRightInd w:val="0"/>
        <w:ind w:left="0"/>
        <w:jc w:val="both"/>
        <w:rPr>
          <w:rFonts w:ascii="Bookman Old Style" w:eastAsia="Calibri" w:hAnsi="Bookman Old Style" w:cs="Bookman Old Style"/>
          <w:color w:val="000000"/>
          <w:lang w:val="es-CO" w:eastAsia="en-US"/>
        </w:rPr>
      </w:pPr>
      <w:r w:rsidRPr="00B03543">
        <w:rPr>
          <w:rFonts w:ascii="Bookman Old Style" w:eastAsia="Calibri" w:hAnsi="Bookman Old Style" w:cs="Bookman Old Style"/>
          <w:color w:val="000000"/>
          <w:lang w:val="es-CO" w:eastAsia="en-US"/>
        </w:rPr>
        <w:t xml:space="preserve">Las comunicaciones completas y sus respuestas hacen parte del expediente 2014-0070. </w:t>
      </w:r>
    </w:p>
    <w:p w:rsidR="00B03543" w:rsidRPr="00B03543" w:rsidRDefault="00B03543" w:rsidP="00B03543">
      <w:pPr>
        <w:tabs>
          <w:tab w:val="left" w:pos="-720"/>
        </w:tabs>
        <w:autoSpaceDE w:val="0"/>
        <w:autoSpaceDN w:val="0"/>
        <w:adjustRightInd w:val="0"/>
        <w:ind w:left="0"/>
        <w:jc w:val="both"/>
        <w:rPr>
          <w:rFonts w:ascii="Bookman Old Style" w:eastAsia="Calibri" w:hAnsi="Bookman Old Style" w:cs="Bookman Old Style"/>
          <w:color w:val="000000"/>
          <w:lang w:val="es-CO" w:eastAsia="en-US"/>
        </w:rPr>
      </w:pPr>
    </w:p>
    <w:p w:rsidR="006C5F25" w:rsidRDefault="006C5F25" w:rsidP="006C5F25">
      <w:pPr>
        <w:tabs>
          <w:tab w:val="left" w:pos="-720"/>
        </w:tabs>
        <w:suppressAutoHyphens/>
        <w:ind w:left="0"/>
        <w:jc w:val="both"/>
        <w:rPr>
          <w:rFonts w:ascii="Bookman Old Style" w:hAnsi="Bookman Old Style" w:cs="Arial"/>
        </w:rPr>
      </w:pPr>
      <w:r>
        <w:rPr>
          <w:rFonts w:ascii="Bookman Old Style" w:hAnsi="Bookman Old Style" w:cs="Arial"/>
        </w:rPr>
        <w:t>Con base en lo conceptuado por la SSPD y la ratificación de la solicitud por parte de la UPME, se considera que se debe continuar con el proceso de oficialización de los ingresos de la convocatoria UPME 05-2013.</w:t>
      </w:r>
    </w:p>
    <w:p w:rsidR="006C5F25" w:rsidRDefault="006C5F25" w:rsidP="006C5F25">
      <w:pPr>
        <w:ind w:left="0"/>
      </w:pPr>
    </w:p>
    <w:p w:rsidR="00A8790E" w:rsidRPr="006033C9" w:rsidRDefault="00A8790E" w:rsidP="00A8790E">
      <w:pPr>
        <w:tabs>
          <w:tab w:val="left" w:pos="-720"/>
        </w:tabs>
        <w:suppressAutoHyphens/>
        <w:ind w:left="0"/>
        <w:jc w:val="both"/>
        <w:rPr>
          <w:rFonts w:ascii="Bookman Old Style" w:hAnsi="Bookman Old Style" w:cs="Arial"/>
        </w:rPr>
      </w:pPr>
      <w:r w:rsidRPr="006033C9">
        <w:rPr>
          <w:rFonts w:ascii="Bookman Old Style" w:hAnsi="Bookman Old Style" w:cs="Arial"/>
        </w:rPr>
        <w:t>Dentro de los documentos enviados por la UPME se encuentran copias de los siguientes:</w:t>
      </w:r>
    </w:p>
    <w:p w:rsidR="00A8790E" w:rsidRPr="006033C9" w:rsidRDefault="00A8790E" w:rsidP="00A8790E">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t xml:space="preserve">certificado de existencia y representación legal del </w:t>
      </w:r>
      <w:r>
        <w:rPr>
          <w:rFonts w:ascii="Bookman Old Style" w:hAnsi="Bookman Old Style" w:cs="Arial"/>
        </w:rPr>
        <w:t>nuevo transmisor</w:t>
      </w:r>
      <w:r w:rsidRPr="006033C9">
        <w:rPr>
          <w:rFonts w:ascii="Bookman Old Style" w:hAnsi="Bookman Old Style" w:cs="Arial"/>
        </w:rPr>
        <w:t>,</w:t>
      </w:r>
    </w:p>
    <w:p w:rsidR="00A8790E" w:rsidRPr="006033C9" w:rsidRDefault="00A8790E" w:rsidP="00A8790E">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t>propuesta económica</w:t>
      </w:r>
      <w:r>
        <w:rPr>
          <w:rFonts w:ascii="Bookman Old Style" w:hAnsi="Bookman Old Style" w:cs="Arial"/>
        </w:rPr>
        <w:t>, enviada con la comunicación radicada en la CREG con el número E</w:t>
      </w:r>
      <w:r>
        <w:rPr>
          <w:rFonts w:ascii="Bookman Old Style" w:hAnsi="Bookman Old Style" w:cs="Arial"/>
        </w:rPr>
        <w:noBreakHyphen/>
        <w:t>2014-012653</w:t>
      </w:r>
      <w:r w:rsidRPr="006033C9">
        <w:rPr>
          <w:rFonts w:ascii="Bookman Old Style" w:hAnsi="Bookman Old Style" w:cs="Arial"/>
        </w:rPr>
        <w:t>,</w:t>
      </w:r>
    </w:p>
    <w:p w:rsidR="00A8790E" w:rsidRPr="006033C9" w:rsidRDefault="00A8790E" w:rsidP="00A8790E">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t xml:space="preserve">garantía </w:t>
      </w:r>
      <w:r>
        <w:rPr>
          <w:rFonts w:ascii="Bookman Old Style" w:hAnsi="Bookman Old Style" w:cs="Arial"/>
        </w:rPr>
        <w:t>200327969</w:t>
      </w:r>
      <w:r w:rsidRPr="006033C9">
        <w:rPr>
          <w:rFonts w:ascii="Bookman Old Style" w:hAnsi="Bookman Old Style" w:cs="Arial"/>
        </w:rPr>
        <w:t xml:space="preserve"> expedida por Banco de Bogotá, que ampara el cumplimiento de la Convocatoria Pública UPME </w:t>
      </w:r>
      <w:r>
        <w:rPr>
          <w:rFonts w:ascii="Bookman Old Style" w:hAnsi="Bookman Old Style" w:cs="Arial"/>
        </w:rPr>
        <w:t>05-2013</w:t>
      </w:r>
      <w:r w:rsidRPr="006033C9">
        <w:rPr>
          <w:rFonts w:ascii="Bookman Old Style" w:hAnsi="Bookman Old Style" w:cs="Arial"/>
        </w:rPr>
        <w:t>,</w:t>
      </w:r>
    </w:p>
    <w:p w:rsidR="00A8790E" w:rsidRDefault="00A8790E" w:rsidP="00A8790E">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t>comunicación 0</w:t>
      </w:r>
      <w:r>
        <w:rPr>
          <w:rFonts w:ascii="Bookman Old Style" w:hAnsi="Bookman Old Style" w:cs="Arial"/>
        </w:rPr>
        <w:t>10553</w:t>
      </w:r>
      <w:r w:rsidRPr="006033C9">
        <w:rPr>
          <w:rFonts w:ascii="Bookman Old Style" w:hAnsi="Bookman Old Style" w:cs="Arial"/>
        </w:rPr>
        <w:t xml:space="preserve">-1 de XM Compañía de Expertos en Mercados S.A., en su calidad de ASIC, donde informa de la aprobación de la garantía </w:t>
      </w:r>
      <w:r>
        <w:rPr>
          <w:rFonts w:ascii="Bookman Old Style" w:hAnsi="Bookman Old Style" w:cs="Arial"/>
        </w:rPr>
        <w:t>presentada</w:t>
      </w:r>
      <w:r w:rsidRPr="006033C9">
        <w:rPr>
          <w:rFonts w:ascii="Bookman Old Style" w:hAnsi="Bookman Old Style" w:cs="Arial"/>
        </w:rPr>
        <w:t xml:space="preserve"> por </w:t>
      </w:r>
      <w:r>
        <w:rPr>
          <w:rFonts w:ascii="Bookman Old Style" w:hAnsi="Bookman Old Style" w:cs="Arial"/>
        </w:rPr>
        <w:t>Desarrollo Eléctrico Suria</w:t>
      </w:r>
      <w:r w:rsidRPr="006033C9">
        <w:rPr>
          <w:rFonts w:ascii="Bookman Old Style" w:hAnsi="Bookman Old Style" w:cs="Arial"/>
        </w:rPr>
        <w:t xml:space="preserve"> S.A.S. E.S.P. para respaldar las obligaciones derivadas del cumplimiento de la convocatoria UPME </w:t>
      </w:r>
      <w:r>
        <w:rPr>
          <w:rFonts w:ascii="Bookman Old Style" w:hAnsi="Bookman Old Style" w:cs="Arial"/>
        </w:rPr>
        <w:t>05-2013</w:t>
      </w:r>
      <w:r w:rsidRPr="006033C9">
        <w:rPr>
          <w:rFonts w:ascii="Bookman Old Style" w:hAnsi="Bookman Old Style" w:cs="Arial"/>
        </w:rPr>
        <w:t xml:space="preserve">, de conformidad con lo establecido en el numeral 5 del </w:t>
      </w:r>
      <w:r w:rsidRPr="006033C9">
        <w:rPr>
          <w:rFonts w:ascii="Bookman Old Style" w:hAnsi="Bookman Old Style" w:cs="Arial"/>
          <w:spacing w:val="-3"/>
        </w:rPr>
        <w:t>anexo general</w:t>
      </w:r>
      <w:r w:rsidRPr="006033C9">
        <w:rPr>
          <w:rFonts w:ascii="Bookman Old Style" w:hAnsi="Bookman Old Style" w:cs="Arial"/>
        </w:rPr>
        <w:t xml:space="preserve"> de la Resolución CREG 022 de 2001, modificado por la Resolución CREG 093 de 2007,</w:t>
      </w:r>
    </w:p>
    <w:p w:rsidR="00A8790E" w:rsidRPr="006033C9" w:rsidRDefault="00A8790E" w:rsidP="00A8790E">
      <w:pPr>
        <w:tabs>
          <w:tab w:val="left" w:pos="-720"/>
        </w:tabs>
        <w:suppressAutoHyphens/>
        <w:spacing w:before="120"/>
        <w:ind w:left="568" w:hanging="284"/>
        <w:jc w:val="both"/>
        <w:rPr>
          <w:rFonts w:ascii="Bookman Old Style" w:hAnsi="Bookman Old Style" w:cs="Arial"/>
        </w:rPr>
      </w:pPr>
      <w:r>
        <w:rPr>
          <w:rFonts w:ascii="Bookman Old Style" w:hAnsi="Bookman Old Style" w:cs="Arial"/>
        </w:rPr>
        <w:t>-</w:t>
      </w:r>
      <w:r>
        <w:rPr>
          <w:rFonts w:ascii="Bookman Old Style" w:hAnsi="Bookman Old Style" w:cs="Arial"/>
        </w:rPr>
        <w:tab/>
        <w:t xml:space="preserve">copia de las garantías bancarias 10090000799 y 10090000808 presentadas por la Electrificadora del Meta para garantizar su conexión al proyecto objeto de la convocatoria, junto con la comunicación de XM dando su aprobación a estos documentos </w:t>
      </w:r>
      <w:r w:rsidRPr="006033C9">
        <w:rPr>
          <w:rFonts w:ascii="Bookman Old Style" w:hAnsi="Bookman Old Style" w:cs="Arial"/>
        </w:rPr>
        <w:t xml:space="preserve"> y</w:t>
      </w:r>
    </w:p>
    <w:p w:rsidR="00A8790E" w:rsidRPr="006033C9" w:rsidRDefault="00A8790E" w:rsidP="00A8790E">
      <w:pPr>
        <w:tabs>
          <w:tab w:val="left" w:pos="-720"/>
        </w:tabs>
        <w:suppressAutoHyphens/>
        <w:spacing w:before="120"/>
        <w:ind w:left="568" w:hanging="284"/>
        <w:jc w:val="both"/>
        <w:rPr>
          <w:rFonts w:ascii="Bookman Old Style" w:hAnsi="Bookman Old Style" w:cs="Arial"/>
        </w:rPr>
      </w:pPr>
      <w:r w:rsidRPr="006033C9">
        <w:rPr>
          <w:rFonts w:ascii="Bookman Old Style" w:hAnsi="Bookman Old Style" w:cs="Arial"/>
        </w:rPr>
        <w:t>-</w:t>
      </w:r>
      <w:r w:rsidRPr="006033C9">
        <w:rPr>
          <w:rFonts w:ascii="Bookman Old Style" w:hAnsi="Bookman Old Style" w:cs="Arial"/>
        </w:rPr>
        <w:tab/>
        <w:t>cronograma de construcción del proyecto.</w:t>
      </w:r>
    </w:p>
    <w:p w:rsidR="00A8790E" w:rsidRPr="006033C9" w:rsidRDefault="00A8790E" w:rsidP="00A8790E">
      <w:pPr>
        <w:tabs>
          <w:tab w:val="left" w:pos="-720"/>
        </w:tabs>
        <w:suppressAutoHyphens/>
        <w:ind w:left="0"/>
        <w:jc w:val="both"/>
        <w:rPr>
          <w:rFonts w:ascii="Bookman Old Style" w:hAnsi="Bookman Old Style" w:cs="Arial"/>
        </w:rPr>
      </w:pPr>
    </w:p>
    <w:p w:rsidR="00A8790E" w:rsidRPr="006033C9" w:rsidRDefault="00A8790E" w:rsidP="00A8790E">
      <w:pPr>
        <w:tabs>
          <w:tab w:val="left" w:pos="-720"/>
        </w:tabs>
        <w:suppressAutoHyphens/>
        <w:ind w:left="0"/>
        <w:jc w:val="both"/>
        <w:rPr>
          <w:rFonts w:ascii="Bookman Old Style" w:hAnsi="Bookman Old Style" w:cs="Arial"/>
        </w:rPr>
      </w:pPr>
      <w:r w:rsidRPr="006033C9">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A8790E" w:rsidRPr="006033C9" w:rsidRDefault="00A8790E" w:rsidP="00A8790E">
      <w:pPr>
        <w:tabs>
          <w:tab w:val="left" w:pos="-720"/>
        </w:tabs>
        <w:suppressAutoHyphens/>
        <w:ind w:left="0"/>
        <w:jc w:val="both"/>
        <w:rPr>
          <w:rFonts w:ascii="Bookman Old Style" w:hAnsi="Bookman Old Style" w:cs="Arial"/>
          <w:szCs w:val="22"/>
        </w:rPr>
      </w:pPr>
      <w:r w:rsidRPr="006033C9">
        <w:rPr>
          <w:rFonts w:ascii="Bookman Old Style" w:hAnsi="Bookman Old Style" w:cs="Arial"/>
          <w:szCs w:val="22"/>
        </w:rPr>
        <w:lastRenderedPageBreak/>
        <w:t xml:space="preserve">Según consta en el Acta de Adjudicación de la Convocatoria Pública UPME </w:t>
      </w:r>
      <w:r>
        <w:rPr>
          <w:rFonts w:ascii="Bookman Old Style" w:hAnsi="Bookman Old Style" w:cs="Arial"/>
          <w:szCs w:val="22"/>
        </w:rPr>
        <w:t>05-2013</w:t>
      </w:r>
      <w:r w:rsidRPr="006033C9">
        <w:rPr>
          <w:rFonts w:ascii="Bookman Old Style" w:hAnsi="Bookman Old Style" w:cs="Arial"/>
          <w:szCs w:val="22"/>
        </w:rPr>
        <w:t xml:space="preserve">, del </w:t>
      </w:r>
      <w:r>
        <w:rPr>
          <w:rFonts w:ascii="Bookman Old Style" w:hAnsi="Bookman Old Style" w:cs="Arial"/>
          <w:szCs w:val="22"/>
        </w:rPr>
        <w:t>29</w:t>
      </w:r>
      <w:r w:rsidRPr="006033C9">
        <w:rPr>
          <w:rFonts w:ascii="Bookman Old Style" w:hAnsi="Bookman Old Style" w:cs="Arial"/>
          <w:szCs w:val="22"/>
        </w:rPr>
        <w:t xml:space="preserve"> de </w:t>
      </w:r>
      <w:r>
        <w:rPr>
          <w:rFonts w:ascii="Bookman Old Style" w:hAnsi="Bookman Old Style" w:cs="Arial"/>
          <w:szCs w:val="22"/>
        </w:rPr>
        <w:t>septiembre</w:t>
      </w:r>
      <w:r w:rsidRPr="006033C9">
        <w:rPr>
          <w:rFonts w:ascii="Bookman Old Style" w:hAnsi="Bookman Old Style" w:cs="Arial"/>
          <w:szCs w:val="22"/>
        </w:rPr>
        <w:t xml:space="preserve"> de 2014, a la convocatoria se presentaron varias propuestas válidas y la adjudicación se realizó al oferente con menor valor presente neto del Ingreso Anual Esperado. </w:t>
      </w:r>
    </w:p>
    <w:p w:rsidR="00A8790E" w:rsidRPr="006033C9" w:rsidRDefault="00A8790E" w:rsidP="00A8790E">
      <w:pPr>
        <w:tabs>
          <w:tab w:val="left" w:pos="-720"/>
        </w:tabs>
        <w:suppressAutoHyphens/>
        <w:ind w:left="0"/>
        <w:jc w:val="both"/>
        <w:rPr>
          <w:rFonts w:ascii="Bookman Old Style" w:hAnsi="Bookman Old Style" w:cs="Arial"/>
          <w:szCs w:val="22"/>
        </w:rPr>
      </w:pPr>
    </w:p>
    <w:p w:rsidR="00A8790E" w:rsidRPr="006033C9" w:rsidRDefault="00A8790E" w:rsidP="00A8790E">
      <w:pPr>
        <w:tabs>
          <w:tab w:val="left" w:pos="-720"/>
        </w:tabs>
        <w:suppressAutoHyphens/>
        <w:ind w:left="0"/>
        <w:jc w:val="both"/>
        <w:rPr>
          <w:rFonts w:ascii="Bookman Old Style" w:hAnsi="Bookman Old Style" w:cs="Arial"/>
          <w:szCs w:val="22"/>
        </w:rPr>
      </w:pPr>
      <w:r w:rsidRPr="006033C9">
        <w:rPr>
          <w:rFonts w:ascii="Bookman Old Style" w:hAnsi="Bookman Old Style" w:cs="Arial"/>
          <w:szCs w:val="22"/>
        </w:rPr>
        <w:t xml:space="preserve">De conformidad con la citada Acta de Adjudicación y la solicitud de la UPME, la CREG procederá a hacer oficial el Ingreso Anual Esperado de la empresa </w:t>
      </w:r>
      <w:r>
        <w:rPr>
          <w:rFonts w:ascii="Bookman Old Style" w:hAnsi="Bookman Old Style" w:cs="Arial"/>
          <w:szCs w:val="22"/>
        </w:rPr>
        <w:t>Desarrollo Eléctrico Suria</w:t>
      </w:r>
      <w:r w:rsidRPr="006033C9">
        <w:rPr>
          <w:rFonts w:ascii="Bookman Old Style" w:hAnsi="Bookman Old Style" w:cs="Arial"/>
          <w:szCs w:val="22"/>
        </w:rPr>
        <w:t xml:space="preserve"> S.A.S. E.S.P.</w:t>
      </w:r>
      <w:r w:rsidR="00687570">
        <w:rPr>
          <w:rFonts w:ascii="Bookman Old Style" w:hAnsi="Bookman Old Style" w:cs="Arial"/>
          <w:szCs w:val="22"/>
        </w:rPr>
        <w:t>, como transmisor nacional constituido por el</w:t>
      </w:r>
      <w:r w:rsidR="00687570" w:rsidRPr="006033C9">
        <w:rPr>
          <w:rFonts w:ascii="Bookman Old Style" w:hAnsi="Bookman Old Style" w:cs="Arial"/>
          <w:szCs w:val="22"/>
        </w:rPr>
        <w:t xml:space="preserve"> </w:t>
      </w:r>
      <w:r w:rsidRPr="006033C9">
        <w:rPr>
          <w:rFonts w:ascii="Bookman Old Style" w:hAnsi="Bookman Old Style" w:cs="Arial"/>
          <w:szCs w:val="22"/>
        </w:rPr>
        <w:t xml:space="preserve">adjudicatario de la convocatoria UPME </w:t>
      </w:r>
      <w:r>
        <w:rPr>
          <w:rFonts w:ascii="Bookman Old Style" w:hAnsi="Bookman Old Style" w:cs="Arial"/>
          <w:szCs w:val="22"/>
        </w:rPr>
        <w:t>05-2013</w:t>
      </w:r>
      <w:r w:rsidRPr="006033C9">
        <w:rPr>
          <w:rFonts w:ascii="Bookman Old Style" w:hAnsi="Bookman Old Style" w:cs="Arial"/>
          <w:szCs w:val="22"/>
        </w:rPr>
        <w:t>.</w:t>
      </w:r>
    </w:p>
    <w:p w:rsidR="00A8790E" w:rsidRPr="00C44D52" w:rsidRDefault="00A8790E" w:rsidP="00A8790E">
      <w:pPr>
        <w:tabs>
          <w:tab w:val="left" w:pos="-720"/>
        </w:tabs>
        <w:suppressAutoHyphens/>
        <w:ind w:left="0"/>
        <w:jc w:val="both"/>
        <w:rPr>
          <w:rFonts w:ascii="Bookman Old Style" w:hAnsi="Bookman Old Style" w:cs="Arial"/>
        </w:rPr>
      </w:pPr>
    </w:p>
    <w:p w:rsidR="00A8790E" w:rsidRPr="006033C9" w:rsidRDefault="00A8790E" w:rsidP="00A8790E">
      <w:pPr>
        <w:tabs>
          <w:tab w:val="left" w:pos="-720"/>
        </w:tabs>
        <w:suppressAutoHyphens/>
        <w:ind w:left="0"/>
        <w:jc w:val="both"/>
        <w:rPr>
          <w:rFonts w:ascii="Bookman Old Style" w:hAnsi="Bookman Old Style" w:cs="Arial"/>
        </w:rPr>
      </w:pPr>
      <w:r w:rsidRPr="006033C9">
        <w:rPr>
          <w:rFonts w:ascii="Bookman Old Style" w:hAnsi="Bookman Old Style" w:cs="Arial"/>
        </w:rPr>
        <w:t xml:space="preserve">La Comisión en la </w:t>
      </w:r>
      <w:r>
        <w:rPr>
          <w:rFonts w:ascii="Bookman Old Style" w:hAnsi="Bookman Old Style" w:cs="Arial"/>
        </w:rPr>
        <w:t>s</w:t>
      </w:r>
      <w:r w:rsidRPr="006033C9">
        <w:rPr>
          <w:rFonts w:ascii="Bookman Old Style" w:hAnsi="Bookman Old Style" w:cs="Arial"/>
        </w:rPr>
        <w:t xml:space="preserve">esión </w:t>
      </w:r>
      <w:r w:rsidR="00CE1F94">
        <w:rPr>
          <w:rFonts w:ascii="Bookman Old Style" w:hAnsi="Bookman Old Style" w:cs="Arial"/>
        </w:rPr>
        <w:t>645</w:t>
      </w:r>
      <w:r w:rsidRPr="006033C9">
        <w:rPr>
          <w:rFonts w:ascii="Bookman Old Style" w:hAnsi="Bookman Old Style" w:cs="Arial"/>
        </w:rPr>
        <w:t xml:space="preserve"> del </w:t>
      </w:r>
      <w:r w:rsidR="00CE1F94">
        <w:rPr>
          <w:rFonts w:ascii="Bookman Old Style" w:hAnsi="Bookman Old Style" w:cs="Arial"/>
        </w:rPr>
        <w:t>13</w:t>
      </w:r>
      <w:r w:rsidRPr="006033C9">
        <w:rPr>
          <w:rFonts w:ascii="Bookman Old Style" w:hAnsi="Bookman Old Style" w:cs="Arial"/>
        </w:rPr>
        <w:t xml:space="preserve"> de </w:t>
      </w:r>
      <w:r>
        <w:rPr>
          <w:rFonts w:ascii="Bookman Old Style" w:hAnsi="Bookman Old Style" w:cs="Arial"/>
        </w:rPr>
        <w:t xml:space="preserve">marzo </w:t>
      </w:r>
      <w:r w:rsidRPr="006033C9">
        <w:rPr>
          <w:rFonts w:ascii="Bookman Old Style" w:hAnsi="Bookman Old Style" w:cs="Arial"/>
        </w:rPr>
        <w:t>de 201</w:t>
      </w:r>
      <w:r>
        <w:rPr>
          <w:rFonts w:ascii="Bookman Old Style" w:hAnsi="Bookman Old Style" w:cs="Arial"/>
        </w:rPr>
        <w:t>5</w:t>
      </w:r>
      <w:r w:rsidRPr="006033C9">
        <w:rPr>
          <w:rFonts w:ascii="Bookman Old Style" w:hAnsi="Bookman Old Style" w:cs="Arial"/>
        </w:rPr>
        <w:t xml:space="preserve"> aprobó expedir la presente resolución.</w:t>
      </w:r>
    </w:p>
    <w:p w:rsidR="00A8790E" w:rsidRPr="006033C9" w:rsidRDefault="00A8790E" w:rsidP="00A8790E">
      <w:pPr>
        <w:tabs>
          <w:tab w:val="left" w:pos="-720"/>
        </w:tabs>
        <w:suppressAutoHyphens/>
        <w:ind w:left="0"/>
        <w:jc w:val="both"/>
        <w:rPr>
          <w:rFonts w:ascii="Bookman Old Style" w:hAnsi="Bookman Old Style" w:cs="Arial"/>
        </w:rPr>
      </w:pPr>
    </w:p>
    <w:p w:rsidR="00A8790E" w:rsidRPr="006033C9" w:rsidRDefault="00A8790E" w:rsidP="00A8790E">
      <w:pPr>
        <w:tabs>
          <w:tab w:val="left" w:pos="-720"/>
        </w:tabs>
        <w:suppressAutoHyphens/>
        <w:ind w:left="0"/>
        <w:jc w:val="both"/>
        <w:rPr>
          <w:rFonts w:ascii="Bookman Old Style" w:hAnsi="Bookman Old Style" w:cs="Arial"/>
        </w:rPr>
      </w:pPr>
    </w:p>
    <w:p w:rsidR="00A8790E" w:rsidRDefault="00A8790E" w:rsidP="00A8790E">
      <w:pPr>
        <w:keepNext/>
        <w:jc w:val="center"/>
        <w:rPr>
          <w:rFonts w:ascii="Bookman Old Style" w:hAnsi="Bookman Old Style" w:cs="Arial"/>
        </w:rPr>
      </w:pPr>
      <w:r w:rsidRPr="006033C9">
        <w:rPr>
          <w:rFonts w:ascii="Bookman Old Style" w:hAnsi="Bookman Old Style" w:cs="Arial"/>
          <w:b/>
          <w:spacing w:val="80"/>
        </w:rPr>
        <w:t>RESUELVE</w:t>
      </w:r>
      <w:r w:rsidRPr="006033C9">
        <w:rPr>
          <w:rFonts w:ascii="Bookman Old Style" w:hAnsi="Bookman Old Style" w:cs="Arial"/>
        </w:rPr>
        <w:t>:</w:t>
      </w:r>
    </w:p>
    <w:p w:rsidR="00CE1F94" w:rsidRPr="006033C9" w:rsidRDefault="00CE1F94" w:rsidP="00A8790E">
      <w:pPr>
        <w:keepNext/>
        <w:jc w:val="center"/>
        <w:rPr>
          <w:rFonts w:ascii="Bookman Old Style" w:hAnsi="Bookman Old Style" w:cs="Arial"/>
        </w:rPr>
      </w:pPr>
    </w:p>
    <w:p w:rsidR="00A8790E" w:rsidRPr="006033C9" w:rsidRDefault="00A8790E" w:rsidP="00A8790E">
      <w:pPr>
        <w:pStyle w:val="ARTICULOS"/>
        <w:rPr>
          <w:b w:val="0"/>
        </w:rPr>
      </w:pPr>
      <w:bookmarkStart w:id="1" w:name="_Ref44815543"/>
      <w:bookmarkStart w:id="2" w:name="_Ref44815511"/>
      <w:r w:rsidRPr="006033C9">
        <w:t>Ingreso Anual Esperado.</w:t>
      </w:r>
      <w:r w:rsidRPr="006033C9">
        <w:rPr>
          <w:b w:val="0"/>
        </w:rPr>
        <w:t xml:space="preserve"> El Ingreso Anual Esperado, IAE, para </w:t>
      </w:r>
      <w:r>
        <w:rPr>
          <w:b w:val="0"/>
        </w:rPr>
        <w:t>Desarrollo Eléctrico Suria</w:t>
      </w:r>
      <w:r w:rsidRPr="006033C9">
        <w:rPr>
          <w:b w:val="0"/>
        </w:rPr>
        <w:t xml:space="preserve"> S.A.S. E.S.P., por el diseño, construcción, operación y mante</w:t>
      </w:r>
      <w:r w:rsidRPr="006033C9">
        <w:rPr>
          <w:b w:val="0"/>
        </w:rPr>
        <w:softHyphen/>
        <w:t xml:space="preserve">nimiento de la subestación </w:t>
      </w:r>
      <w:r>
        <w:rPr>
          <w:b w:val="0"/>
        </w:rPr>
        <w:t xml:space="preserve">Suria 230 kV y </w:t>
      </w:r>
      <w:r w:rsidRPr="006033C9">
        <w:rPr>
          <w:b w:val="0"/>
        </w:rPr>
        <w:t xml:space="preserve">las líneas asociadas, de acuerdo con la convocatoria UPME </w:t>
      </w:r>
      <w:r>
        <w:rPr>
          <w:b w:val="0"/>
        </w:rPr>
        <w:t>05-2013</w:t>
      </w:r>
      <w:r w:rsidRPr="006033C9">
        <w:rPr>
          <w:b w:val="0"/>
        </w:rPr>
        <w:t xml:space="preserve">, expresado en dólares de los Estados Unidos de América del 31 de diciembre de 2013, para los primeros 25 años contados a partir del primero de </w:t>
      </w:r>
      <w:r w:rsidR="00861A04">
        <w:rPr>
          <w:b w:val="0"/>
        </w:rPr>
        <w:t>diciembre</w:t>
      </w:r>
      <w:r w:rsidRPr="006033C9">
        <w:rPr>
          <w:b w:val="0"/>
        </w:rPr>
        <w:t xml:space="preserve"> de 2016, de conformidad con la propuesta seleccionada dentro de la Convocatoria Pública UPME </w:t>
      </w:r>
      <w:r>
        <w:rPr>
          <w:b w:val="0"/>
        </w:rPr>
        <w:t>05-2013</w:t>
      </w:r>
      <w:r w:rsidRPr="006033C9">
        <w:rPr>
          <w:b w:val="0"/>
        </w:rPr>
        <w:t>, es el siguiente:</w:t>
      </w:r>
    </w:p>
    <w:bookmarkEnd w:id="1"/>
    <w:p w:rsidR="00A8790E" w:rsidRPr="00CE1F94" w:rsidRDefault="00A8790E" w:rsidP="00A8790E">
      <w:pPr>
        <w:rPr>
          <w:rFonts w:ascii="Bookman Old Style" w:hAnsi="Bookman Old Style" w:cs="Arial"/>
          <w:sz w:val="32"/>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632"/>
        <w:gridCol w:w="1275"/>
        <w:gridCol w:w="5001"/>
      </w:tblGrid>
      <w:tr w:rsidR="00A8790E" w:rsidRPr="00FB487E" w:rsidTr="00B03543">
        <w:trPr>
          <w:cantSplit/>
          <w:trHeight w:val="386"/>
          <w:tblHeader/>
          <w:jc w:val="center"/>
        </w:trPr>
        <w:tc>
          <w:tcPr>
            <w:tcW w:w="676" w:type="dxa"/>
            <w:vMerge w:val="restart"/>
            <w:vAlign w:val="center"/>
          </w:tcPr>
          <w:p w:rsidR="00A8790E" w:rsidRPr="00FB487E" w:rsidRDefault="00A8790E" w:rsidP="00B03543">
            <w:pPr>
              <w:keepNext/>
              <w:ind w:left="-114" w:right="-70"/>
              <w:jc w:val="center"/>
              <w:rPr>
                <w:rFonts w:ascii="Bookman Old Style" w:hAnsi="Bookman Old Style" w:cs="Arial"/>
                <w:b/>
                <w:sz w:val="20"/>
                <w:szCs w:val="20"/>
              </w:rPr>
            </w:pPr>
            <w:r w:rsidRPr="00FB487E">
              <w:rPr>
                <w:rFonts w:ascii="Bookman Old Style" w:hAnsi="Bookman Old Style" w:cs="Arial"/>
                <w:b/>
                <w:sz w:val="20"/>
                <w:szCs w:val="20"/>
              </w:rPr>
              <w:t>Año</w:t>
            </w:r>
          </w:p>
        </w:tc>
        <w:tc>
          <w:tcPr>
            <w:tcW w:w="1632" w:type="dxa"/>
            <w:vMerge w:val="restart"/>
            <w:vAlign w:val="center"/>
          </w:tcPr>
          <w:p w:rsidR="00A8790E" w:rsidRPr="00FB487E" w:rsidRDefault="00A8790E" w:rsidP="00B03543">
            <w:pPr>
              <w:keepNext/>
              <w:ind w:left="0"/>
              <w:jc w:val="center"/>
              <w:rPr>
                <w:rFonts w:ascii="Bookman Old Style" w:hAnsi="Bookman Old Style" w:cs="Arial"/>
                <w:b/>
                <w:sz w:val="20"/>
                <w:szCs w:val="20"/>
              </w:rPr>
            </w:pPr>
            <w:r w:rsidRPr="00FB487E">
              <w:rPr>
                <w:rFonts w:ascii="Bookman Old Style" w:hAnsi="Bookman Old Style" w:cs="Arial"/>
                <w:b/>
                <w:sz w:val="20"/>
                <w:szCs w:val="20"/>
              </w:rPr>
              <w:t>Fechas</w:t>
            </w:r>
          </w:p>
        </w:tc>
        <w:tc>
          <w:tcPr>
            <w:tcW w:w="6276" w:type="dxa"/>
            <w:gridSpan w:val="2"/>
            <w:vAlign w:val="center"/>
          </w:tcPr>
          <w:p w:rsidR="00A8790E" w:rsidRPr="00FB487E" w:rsidRDefault="00A8790E" w:rsidP="00B03543">
            <w:pPr>
              <w:keepNext/>
              <w:ind w:left="0"/>
              <w:jc w:val="center"/>
              <w:rPr>
                <w:rFonts w:ascii="Bookman Old Style" w:hAnsi="Bookman Old Style" w:cs="Arial"/>
                <w:b/>
                <w:sz w:val="20"/>
                <w:szCs w:val="20"/>
              </w:rPr>
            </w:pPr>
            <w:r w:rsidRPr="00FB487E">
              <w:rPr>
                <w:rFonts w:ascii="Bookman Old Style" w:hAnsi="Bookman Old Style" w:cs="Arial"/>
                <w:b/>
                <w:sz w:val="20"/>
                <w:szCs w:val="20"/>
              </w:rPr>
              <w:t>INGRESO ANUAL ESPERADO</w:t>
            </w:r>
          </w:p>
          <w:p w:rsidR="00A8790E" w:rsidRPr="00FB487E" w:rsidRDefault="00A8790E" w:rsidP="00B03543">
            <w:pPr>
              <w:keepNext/>
              <w:ind w:left="0"/>
              <w:jc w:val="center"/>
              <w:rPr>
                <w:rFonts w:ascii="Bookman Old Style" w:hAnsi="Bookman Old Style" w:cs="Arial"/>
                <w:bCs/>
                <w:sz w:val="20"/>
                <w:szCs w:val="20"/>
              </w:rPr>
            </w:pPr>
            <w:r w:rsidRPr="00FB487E">
              <w:rPr>
                <w:rFonts w:ascii="Bookman Old Style" w:hAnsi="Bookman Old Style" w:cs="Arial"/>
                <w:bCs/>
                <w:sz w:val="20"/>
                <w:szCs w:val="20"/>
              </w:rPr>
              <w:t>(Dólares del 31 de diciembre de 2013)</w:t>
            </w:r>
          </w:p>
        </w:tc>
      </w:tr>
      <w:tr w:rsidR="00A8790E" w:rsidRPr="00FB487E" w:rsidTr="00B03543">
        <w:trPr>
          <w:cantSplit/>
          <w:trHeight w:val="296"/>
          <w:tblHeader/>
          <w:jc w:val="center"/>
        </w:trPr>
        <w:tc>
          <w:tcPr>
            <w:tcW w:w="676" w:type="dxa"/>
            <w:vMerge/>
            <w:vAlign w:val="center"/>
          </w:tcPr>
          <w:p w:rsidR="00A8790E" w:rsidRPr="00FB487E" w:rsidRDefault="00A8790E" w:rsidP="00B03543">
            <w:pPr>
              <w:keepNext/>
              <w:ind w:left="0"/>
              <w:jc w:val="center"/>
              <w:rPr>
                <w:rFonts w:ascii="Bookman Old Style" w:hAnsi="Bookman Old Style" w:cs="Arial"/>
                <w:b/>
                <w:sz w:val="20"/>
                <w:szCs w:val="20"/>
              </w:rPr>
            </w:pPr>
          </w:p>
        </w:tc>
        <w:tc>
          <w:tcPr>
            <w:tcW w:w="1632" w:type="dxa"/>
            <w:vMerge/>
            <w:vAlign w:val="center"/>
          </w:tcPr>
          <w:p w:rsidR="00A8790E" w:rsidRPr="00FB487E" w:rsidRDefault="00A8790E" w:rsidP="00B03543">
            <w:pPr>
              <w:keepNext/>
              <w:ind w:left="0"/>
              <w:jc w:val="center"/>
              <w:rPr>
                <w:rFonts w:ascii="Bookman Old Style" w:hAnsi="Bookman Old Style" w:cs="Arial"/>
                <w:b/>
                <w:sz w:val="20"/>
                <w:szCs w:val="20"/>
              </w:rPr>
            </w:pPr>
          </w:p>
        </w:tc>
        <w:tc>
          <w:tcPr>
            <w:tcW w:w="1275" w:type="dxa"/>
            <w:vAlign w:val="center"/>
          </w:tcPr>
          <w:p w:rsidR="00A8790E" w:rsidRPr="00FB487E" w:rsidRDefault="00A8790E" w:rsidP="00B03543">
            <w:pPr>
              <w:keepNext/>
              <w:ind w:left="0"/>
              <w:jc w:val="center"/>
              <w:rPr>
                <w:rFonts w:ascii="Bookman Old Style" w:hAnsi="Bookman Old Style" w:cs="Arial"/>
                <w:b/>
                <w:sz w:val="20"/>
                <w:szCs w:val="20"/>
              </w:rPr>
            </w:pPr>
            <w:r w:rsidRPr="00FB487E">
              <w:rPr>
                <w:rFonts w:ascii="Bookman Old Style" w:hAnsi="Bookman Old Style" w:cs="Arial"/>
                <w:b/>
                <w:sz w:val="20"/>
                <w:szCs w:val="20"/>
              </w:rPr>
              <w:t>Números</w:t>
            </w:r>
          </w:p>
        </w:tc>
        <w:tc>
          <w:tcPr>
            <w:tcW w:w="5001" w:type="dxa"/>
            <w:vAlign w:val="center"/>
          </w:tcPr>
          <w:p w:rsidR="00A8790E" w:rsidRPr="00FB487E" w:rsidRDefault="00A8790E" w:rsidP="00B03543">
            <w:pPr>
              <w:keepNext/>
              <w:ind w:left="0"/>
              <w:jc w:val="center"/>
              <w:rPr>
                <w:rFonts w:ascii="Bookman Old Style" w:hAnsi="Bookman Old Style" w:cs="Arial"/>
                <w:b/>
                <w:sz w:val="20"/>
                <w:szCs w:val="20"/>
              </w:rPr>
            </w:pPr>
            <w:r w:rsidRPr="00FB487E">
              <w:rPr>
                <w:rFonts w:ascii="Bookman Old Style" w:hAnsi="Bookman Old Style" w:cs="Arial"/>
                <w:b/>
                <w:sz w:val="20"/>
                <w:szCs w:val="20"/>
              </w:rPr>
              <w:t>Letras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1</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1-dic-2016  a  30-nov-2017</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2</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1-dic-2017  a  30-nov-2018</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3</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1-dic-2018  a  30-nov-2019</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4</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1-dic-2019  a  30-nov-2020</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5</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1-dic-2020  a  30-nov-2021</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6</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1-dic-2021  a  30-nov-2022</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7</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1-dic-2022  a  30-nov-2023</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8</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1-dic-2023  a  30-nov-2024</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9</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1-dic-2024  a  30-nov-2025</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10</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1-dic-2025  a  30-nov-2026</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11</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1-dic-2026  a  30-nov-2027</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12</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1-dic-2027  a  30-nov-2028</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13</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1-dic-2028  a  30-nov-2029</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lastRenderedPageBreak/>
              <w:t>14</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1-dic-2029  a  30-nov-2030</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15</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1-dic-2030  a  30-nov-2031</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16</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1-dic-2031  a  30-nov-2032</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17</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1-dic-2032  a  30-nov-2033</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18</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1-dic-2033  a  30-nov-2034</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19</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1-dic-2034  a  30-nov-2035</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20</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1-dic-2035  a  30-nov-2036</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21</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1-dic-2036  a  30-nov-2037</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22</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1-dic-2037  a  30-nov-2038</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23</w:t>
            </w:r>
          </w:p>
        </w:tc>
        <w:tc>
          <w:tcPr>
            <w:tcW w:w="1632" w:type="dxa"/>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1-dic-2038  a  30-nov-2039</w:t>
            </w:r>
          </w:p>
        </w:tc>
        <w:tc>
          <w:tcPr>
            <w:tcW w:w="1275" w:type="dxa"/>
            <w:vAlign w:val="center"/>
          </w:tcPr>
          <w:p w:rsidR="00A8790E" w:rsidRPr="00FB487E" w:rsidRDefault="00A8790E" w:rsidP="00B03543">
            <w:pPr>
              <w:ind w:left="2"/>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2"/>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24</w:t>
            </w:r>
          </w:p>
        </w:tc>
        <w:tc>
          <w:tcPr>
            <w:tcW w:w="1632" w:type="dxa"/>
          </w:tcPr>
          <w:p w:rsidR="00A8790E" w:rsidRPr="00FB487E" w:rsidRDefault="00A8790E" w:rsidP="00B03543">
            <w:pPr>
              <w:ind w:left="0"/>
              <w:rPr>
                <w:rFonts w:ascii="Bookman Old Style" w:hAnsi="Bookman Old Style"/>
                <w:sz w:val="20"/>
                <w:szCs w:val="20"/>
              </w:rPr>
            </w:pPr>
            <w:r w:rsidRPr="00FB487E">
              <w:rPr>
                <w:rFonts w:ascii="Bookman Old Style" w:hAnsi="Bookman Old Style"/>
                <w:sz w:val="20"/>
                <w:szCs w:val="20"/>
              </w:rPr>
              <w:t>1-dic-2039  a  30-nov-2040</w:t>
            </w:r>
          </w:p>
        </w:tc>
        <w:tc>
          <w:tcPr>
            <w:tcW w:w="1275" w:type="dxa"/>
            <w:vAlign w:val="center"/>
          </w:tcPr>
          <w:p w:rsidR="00A8790E" w:rsidRPr="00FB487E" w:rsidRDefault="00A8790E" w:rsidP="00B03543">
            <w:pPr>
              <w:ind w:left="0"/>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0"/>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r w:rsidR="00A8790E" w:rsidRPr="00FB487E" w:rsidTr="00B03543">
        <w:trPr>
          <w:cantSplit/>
          <w:jc w:val="center"/>
        </w:trPr>
        <w:tc>
          <w:tcPr>
            <w:tcW w:w="676" w:type="dxa"/>
            <w:vAlign w:val="center"/>
          </w:tcPr>
          <w:p w:rsidR="00A8790E" w:rsidRPr="00FB487E" w:rsidRDefault="00A8790E" w:rsidP="00B03543">
            <w:pPr>
              <w:ind w:left="0"/>
              <w:jc w:val="center"/>
              <w:rPr>
                <w:rFonts w:ascii="Bookman Old Style" w:eastAsia="Arial Unicode MS" w:hAnsi="Bookman Old Style" w:cs="Arial"/>
                <w:sz w:val="20"/>
                <w:szCs w:val="20"/>
              </w:rPr>
            </w:pPr>
            <w:r w:rsidRPr="00FB487E">
              <w:rPr>
                <w:rFonts w:ascii="Bookman Old Style" w:hAnsi="Bookman Old Style" w:cs="Arial"/>
                <w:sz w:val="20"/>
                <w:szCs w:val="20"/>
              </w:rPr>
              <w:t>25</w:t>
            </w:r>
          </w:p>
        </w:tc>
        <w:tc>
          <w:tcPr>
            <w:tcW w:w="1632" w:type="dxa"/>
          </w:tcPr>
          <w:p w:rsidR="00A8790E" w:rsidRPr="00FB487E" w:rsidRDefault="00A8790E" w:rsidP="00B03543">
            <w:pPr>
              <w:ind w:left="0"/>
              <w:rPr>
                <w:rFonts w:ascii="Bookman Old Style" w:hAnsi="Bookman Old Style"/>
                <w:sz w:val="20"/>
                <w:szCs w:val="20"/>
              </w:rPr>
            </w:pPr>
            <w:r w:rsidRPr="00FB487E">
              <w:rPr>
                <w:rFonts w:ascii="Bookman Old Style" w:hAnsi="Bookman Old Style"/>
                <w:sz w:val="20"/>
                <w:szCs w:val="20"/>
              </w:rPr>
              <w:t>1-dic-2040  a  30-nov-2041</w:t>
            </w:r>
          </w:p>
        </w:tc>
        <w:tc>
          <w:tcPr>
            <w:tcW w:w="1275" w:type="dxa"/>
            <w:vAlign w:val="center"/>
          </w:tcPr>
          <w:p w:rsidR="00A8790E" w:rsidRPr="00FB487E" w:rsidRDefault="00A8790E" w:rsidP="00B03543">
            <w:pPr>
              <w:ind w:left="0"/>
              <w:jc w:val="center"/>
              <w:rPr>
                <w:rFonts w:ascii="Bookman Old Style" w:hAnsi="Bookman Old Style"/>
                <w:sz w:val="20"/>
                <w:szCs w:val="20"/>
              </w:rPr>
            </w:pPr>
            <w:r w:rsidRPr="00FB487E">
              <w:rPr>
                <w:rFonts w:ascii="Bookman Old Style" w:hAnsi="Bookman Old Style"/>
                <w:sz w:val="20"/>
                <w:szCs w:val="20"/>
              </w:rPr>
              <w:t>2.176.106</w:t>
            </w:r>
          </w:p>
        </w:tc>
        <w:tc>
          <w:tcPr>
            <w:tcW w:w="5001" w:type="dxa"/>
            <w:vAlign w:val="center"/>
          </w:tcPr>
          <w:p w:rsidR="00A8790E" w:rsidRPr="00FB487E" w:rsidRDefault="00A8790E" w:rsidP="00B03543">
            <w:pPr>
              <w:ind w:left="0"/>
              <w:rPr>
                <w:rFonts w:ascii="Bookman Old Style" w:hAnsi="Bookman Old Style"/>
                <w:sz w:val="20"/>
                <w:szCs w:val="20"/>
              </w:rPr>
            </w:pPr>
            <w:r w:rsidRPr="00FB487E">
              <w:rPr>
                <w:rFonts w:ascii="Bookman Old Style" w:hAnsi="Bookman Old Style"/>
                <w:sz w:val="20"/>
                <w:szCs w:val="20"/>
              </w:rPr>
              <w:t xml:space="preserve"> dos millones ciento setenta y seis mil ciento seis dólares</w:t>
            </w:r>
          </w:p>
        </w:tc>
      </w:tr>
    </w:tbl>
    <w:p w:rsidR="00A8790E" w:rsidRPr="006033C9" w:rsidRDefault="00A8790E" w:rsidP="00A8790E">
      <w:pPr>
        <w:pStyle w:val="ARTICULOS"/>
        <w:rPr>
          <w:b w:val="0"/>
        </w:rPr>
      </w:pPr>
      <w:r w:rsidRPr="006033C9">
        <w:t xml:space="preserve">Forma de pago. </w:t>
      </w:r>
      <w:r w:rsidRPr="006033C9">
        <w:rPr>
          <w:b w:val="0"/>
        </w:rPr>
        <w:t xml:space="preserve">De acuerdo con lo establecido en el numeral II del literal a) del artículo 4 de la Resolución CREG 022 de 2001, modificado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6033C9">
        <w:rPr>
          <w:b w:val="0"/>
          <w:i/>
        </w:rPr>
        <w:t>Producer Price Index</w:t>
      </w:r>
      <w:r w:rsidRPr="006033C9">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A8790E" w:rsidRPr="006033C9" w:rsidRDefault="00A8790E" w:rsidP="00A8790E">
      <w:pPr>
        <w:rPr>
          <w:rFonts w:ascii="Bookman Old Style" w:hAnsi="Bookman Old Style" w:cs="Arial"/>
        </w:rPr>
      </w:pPr>
    </w:p>
    <w:p w:rsidR="00A8790E" w:rsidRPr="006033C9" w:rsidRDefault="00A8790E" w:rsidP="00A8790E">
      <w:pPr>
        <w:ind w:left="0"/>
        <w:jc w:val="both"/>
        <w:rPr>
          <w:rFonts w:ascii="Bookman Old Style" w:hAnsi="Bookman Old Style" w:cs="Arial"/>
        </w:rPr>
      </w:pPr>
      <w:r w:rsidRPr="006033C9">
        <w:rPr>
          <w:rFonts w:ascii="Bookman Old Style" w:hAnsi="Bookman Old Style" w:cs="Arial"/>
          <w:b/>
          <w:bCs/>
        </w:rPr>
        <w:t>Parágrafo 1.</w:t>
      </w:r>
      <w:r w:rsidRPr="006033C9">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 la fecha prevista en los Documentos de Selección, o de la fecha que fije posteriormente el Ministerio de Minas y Energía, MME, y la CREG, de acuerdo con lo establecido en el numeral IV del literal b) del artículo 4 de la Resolución CREG 022 de 2001, modificado por la Resolución CREG 093 de 2007, se aplicará lo previsto en dicha resolución.</w:t>
      </w:r>
    </w:p>
    <w:p w:rsidR="00A8790E" w:rsidRPr="006033C9" w:rsidRDefault="00A8790E" w:rsidP="00A8790E">
      <w:pPr>
        <w:ind w:left="0"/>
        <w:jc w:val="both"/>
        <w:rPr>
          <w:rFonts w:ascii="Bookman Old Style" w:hAnsi="Bookman Old Style" w:cs="Arial"/>
        </w:rPr>
      </w:pPr>
    </w:p>
    <w:p w:rsidR="00A8790E" w:rsidRPr="006033C9" w:rsidRDefault="00A8790E" w:rsidP="00A8790E">
      <w:pPr>
        <w:ind w:left="0"/>
        <w:jc w:val="both"/>
        <w:rPr>
          <w:rFonts w:ascii="Bookman Old Style" w:hAnsi="Bookman Old Style" w:cs="Arial"/>
        </w:rPr>
      </w:pPr>
      <w:r w:rsidRPr="006033C9">
        <w:rPr>
          <w:rFonts w:ascii="Bookman Old Style" w:hAnsi="Bookman Old Style" w:cs="Arial"/>
          <w:b/>
          <w:bCs/>
        </w:rPr>
        <w:t>Parágrafo 2.</w:t>
      </w:r>
      <w:r w:rsidRPr="006033C9">
        <w:rPr>
          <w:rFonts w:ascii="Bookman Old Style" w:hAnsi="Bookman Old Style" w:cs="Arial"/>
        </w:rPr>
        <w:t xml:space="preserve"> De acuerdo con lo establecido en el numeral IV del literal b) del artículo 4 de la Resolución CREG 022 de 2001, modificado por la Resolución CREG 093 de 2007, cuando se presente el abandono o retiro de la ejecución del proyecto o el incumplimiento grave e insalvable de requisitos técnicos, </w:t>
      </w:r>
      <w:r>
        <w:rPr>
          <w:rFonts w:ascii="Bookman Old Style" w:hAnsi="Bookman Old Style" w:cs="Arial"/>
        </w:rPr>
        <w:t>Desarrollo Eléctrico Suria</w:t>
      </w:r>
      <w:r w:rsidRPr="006033C9">
        <w:rPr>
          <w:rFonts w:ascii="Bookman Old Style" w:hAnsi="Bookman Old Style" w:cs="Arial"/>
        </w:rPr>
        <w:t xml:space="preserve"> S.A.S. E.S.P. perderá el derecho a recibir el flujo de </w:t>
      </w:r>
      <w:r w:rsidRPr="006033C9">
        <w:rPr>
          <w:rFonts w:ascii="Bookman Old Style" w:hAnsi="Bookman Old Style" w:cs="Arial"/>
        </w:rPr>
        <w:lastRenderedPageBreak/>
        <w:t>ingresos oficializado en esta resolución, y la CREG podrá hacer uso de sus facultades legales para imponer las servidumbres a que hubiere lugar.</w:t>
      </w:r>
    </w:p>
    <w:bookmarkEnd w:id="2"/>
    <w:p w:rsidR="00A8790E" w:rsidRPr="006033C9" w:rsidRDefault="00A8790E" w:rsidP="00A8790E">
      <w:pPr>
        <w:pStyle w:val="ARTICULOS"/>
        <w:rPr>
          <w:b w:val="0"/>
        </w:rPr>
      </w:pPr>
      <w:r w:rsidRPr="006033C9">
        <w:t>Responsable del pago.</w:t>
      </w:r>
      <w:r w:rsidRPr="006033C9">
        <w:rPr>
          <w:b w:val="0"/>
        </w:rPr>
        <w:t xml:space="preserve"> El responsable de realizar los pagos de que trata esta resolución será el Liquidador y Administrador de Cuentas. </w:t>
      </w:r>
    </w:p>
    <w:p w:rsidR="009627D4" w:rsidRPr="006033C9" w:rsidRDefault="00A8790E" w:rsidP="00A8790E">
      <w:pPr>
        <w:pStyle w:val="ARTICULOS"/>
        <w:rPr>
          <w:b w:val="0"/>
        </w:rPr>
      </w:pPr>
      <w:r w:rsidRPr="006033C9">
        <w:t xml:space="preserve">Vigencia. </w:t>
      </w:r>
      <w:r w:rsidRPr="006033C9">
        <w:rPr>
          <w:b w:val="0"/>
        </w:rPr>
        <w:t>La presente resolución deberá notificarse al represen</w:t>
      </w:r>
      <w:r w:rsidRPr="006033C9">
        <w:rPr>
          <w:b w:val="0"/>
        </w:rPr>
        <w:softHyphen/>
        <w:t xml:space="preserve">tante legal de </w:t>
      </w:r>
      <w:r>
        <w:rPr>
          <w:b w:val="0"/>
        </w:rPr>
        <w:t>Desarrollo Eléctrico Suria</w:t>
      </w:r>
      <w:r w:rsidRPr="006033C9">
        <w:rPr>
          <w:b w:val="0"/>
        </w:rPr>
        <w:t xml:space="preserve"> S.A.S. E.S.P., y publicarse en el </w:t>
      </w:r>
      <w:r w:rsidRPr="006033C9">
        <w:rPr>
          <w:b w:val="0"/>
          <w:i/>
        </w:rPr>
        <w:t>Diario Oficial.</w:t>
      </w:r>
      <w:r w:rsidRPr="006033C9">
        <w:rPr>
          <w:b w:val="0"/>
        </w:rPr>
        <w:t xml:space="preserve"> Contra este acto procede el recurso de reposición, el cual podrá interponerse ante la Dirección Ejecutiva de la CREG, dentro de los cinco (5) días siguientes a su notificación o publicación</w:t>
      </w:r>
      <w:r w:rsidR="009627D4" w:rsidRPr="006033C9">
        <w:rPr>
          <w:b w:val="0"/>
        </w:rPr>
        <w:t xml:space="preserve">. </w:t>
      </w:r>
    </w:p>
    <w:p w:rsidR="009627D4" w:rsidRDefault="009627D4" w:rsidP="00D22D7D">
      <w:pPr>
        <w:ind w:left="0"/>
        <w:rPr>
          <w:rFonts w:ascii="Bookman Old Style" w:hAnsi="Bookman Old Style" w:cs="Arial"/>
        </w:rPr>
      </w:pPr>
    </w:p>
    <w:p w:rsidR="00CE1F94" w:rsidRPr="006033C9" w:rsidRDefault="00CE1F94" w:rsidP="00D22D7D">
      <w:pPr>
        <w:ind w:left="0"/>
        <w:rPr>
          <w:rFonts w:ascii="Bookman Old Style" w:hAnsi="Bookman Old Style" w:cs="Arial"/>
        </w:rPr>
      </w:pPr>
    </w:p>
    <w:p w:rsidR="000019D2" w:rsidRPr="006033C9" w:rsidRDefault="000019D2" w:rsidP="000019D2">
      <w:pPr>
        <w:jc w:val="center"/>
        <w:rPr>
          <w:rFonts w:ascii="Bookman Old Style" w:hAnsi="Bookman Old Style" w:cs="Arial"/>
          <w:b/>
        </w:rPr>
      </w:pPr>
      <w:r w:rsidRPr="006033C9">
        <w:rPr>
          <w:rFonts w:ascii="Bookman Old Style" w:hAnsi="Bookman Old Style" w:cs="Arial"/>
          <w:b/>
        </w:rPr>
        <w:t>NOTIFÍQUESE, PUBLÍQUESE Y CÚMPLASE</w:t>
      </w:r>
    </w:p>
    <w:p w:rsidR="00622144" w:rsidRPr="006033C9" w:rsidRDefault="00622144" w:rsidP="000019D2">
      <w:pPr>
        <w:rPr>
          <w:rFonts w:ascii="Bookman Old Style" w:hAnsi="Bookman Old Style" w:cs="Arial"/>
        </w:rPr>
      </w:pPr>
    </w:p>
    <w:p w:rsidR="000019D2" w:rsidRPr="006033C9" w:rsidRDefault="000019D2" w:rsidP="00622144">
      <w:pPr>
        <w:ind w:left="0"/>
        <w:rPr>
          <w:rFonts w:ascii="Bookman Old Style" w:hAnsi="Bookman Old Style" w:cs="Arial"/>
        </w:rPr>
      </w:pPr>
      <w:r w:rsidRPr="006033C9">
        <w:rPr>
          <w:rFonts w:ascii="Bookman Old Style" w:hAnsi="Bookman Old Style" w:cs="Arial"/>
        </w:rPr>
        <w:t xml:space="preserve">Dada en Bogotá, a </w:t>
      </w:r>
    </w:p>
    <w:p w:rsidR="000019D2" w:rsidRPr="006033C9"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CE1F94" w:rsidRPr="006033C9" w:rsidRDefault="00CE1F94" w:rsidP="000019D2">
      <w:pPr>
        <w:rPr>
          <w:rFonts w:ascii="Bookman Old Style" w:hAnsi="Bookman Old Style" w:cs="Arial"/>
        </w:rPr>
      </w:pPr>
    </w:p>
    <w:p w:rsidR="000019D2" w:rsidRPr="006033C9" w:rsidRDefault="000019D2" w:rsidP="000019D2">
      <w:pPr>
        <w:tabs>
          <w:tab w:val="left" w:pos="-720"/>
        </w:tabs>
        <w:suppressAutoHyphens/>
        <w:rPr>
          <w:rFonts w:ascii="Bookman Old Style" w:hAnsi="Bookman Old Style" w:cs="Arial"/>
        </w:rPr>
      </w:pPr>
    </w:p>
    <w:p w:rsidR="008A182F" w:rsidRPr="006033C9"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6033C9" w:rsidTr="00B03543">
        <w:trPr>
          <w:tblCellSpacing w:w="0" w:type="dxa"/>
        </w:trPr>
        <w:tc>
          <w:tcPr>
            <w:tcW w:w="5104" w:type="dxa"/>
          </w:tcPr>
          <w:p w:rsidR="008A182F" w:rsidRPr="006033C9" w:rsidRDefault="0090113A" w:rsidP="0090113A">
            <w:pPr>
              <w:ind w:left="89"/>
              <w:jc w:val="center"/>
              <w:rPr>
                <w:rFonts w:ascii="Bookman Old Style" w:hAnsi="Bookman Old Style" w:cs="Arial"/>
                <w:b/>
                <w:spacing w:val="-3"/>
              </w:rPr>
            </w:pPr>
            <w:r w:rsidRPr="006033C9">
              <w:rPr>
                <w:rFonts w:ascii="Bookman Old Style" w:hAnsi="Bookman Old Style" w:cs="Arial"/>
                <w:b/>
                <w:spacing w:val="-3"/>
              </w:rPr>
              <w:t>CARLOS FERNANDO ERASO CALERO</w:t>
            </w:r>
          </w:p>
          <w:p w:rsidR="008A182F" w:rsidRPr="006033C9" w:rsidRDefault="008A182F" w:rsidP="00B03543">
            <w:pPr>
              <w:ind w:left="66"/>
              <w:jc w:val="center"/>
              <w:rPr>
                <w:rFonts w:ascii="Bookman Old Style" w:hAnsi="Bookman Old Style" w:cs="Arial"/>
                <w:spacing w:val="-3"/>
              </w:rPr>
            </w:pPr>
            <w:r w:rsidRPr="006033C9">
              <w:rPr>
                <w:rFonts w:ascii="Bookman Old Style" w:hAnsi="Bookman Old Style" w:cs="Arial"/>
                <w:spacing w:val="-3"/>
              </w:rPr>
              <w:t>Viceministro de Energía</w:t>
            </w:r>
          </w:p>
          <w:p w:rsidR="008A182F" w:rsidRPr="006033C9" w:rsidRDefault="008A182F" w:rsidP="00B03543">
            <w:pPr>
              <w:ind w:left="66"/>
              <w:jc w:val="center"/>
              <w:rPr>
                <w:rFonts w:ascii="Bookman Old Style" w:hAnsi="Bookman Old Style" w:cs="Arial"/>
                <w:spacing w:val="-3"/>
              </w:rPr>
            </w:pPr>
            <w:r w:rsidRPr="006033C9">
              <w:rPr>
                <w:rFonts w:ascii="Bookman Old Style" w:hAnsi="Bookman Old Style" w:cs="Arial"/>
                <w:spacing w:val="-3"/>
              </w:rPr>
              <w:t>Delegado del Ministro de Minas y Energía</w:t>
            </w:r>
          </w:p>
        </w:tc>
        <w:tc>
          <w:tcPr>
            <w:tcW w:w="4678" w:type="dxa"/>
          </w:tcPr>
          <w:p w:rsidR="008A182F" w:rsidRPr="006033C9" w:rsidRDefault="0090113A" w:rsidP="00B03543">
            <w:pPr>
              <w:ind w:left="89"/>
              <w:jc w:val="center"/>
              <w:rPr>
                <w:rFonts w:ascii="Bookman Old Style" w:hAnsi="Bookman Old Style" w:cs="Arial"/>
                <w:b/>
                <w:spacing w:val="-3"/>
              </w:rPr>
            </w:pPr>
            <w:r>
              <w:rPr>
                <w:rFonts w:ascii="Bookman Old Style" w:hAnsi="Bookman Old Style" w:cs="Arial"/>
                <w:b/>
                <w:spacing w:val="-3"/>
              </w:rPr>
              <w:t>JORGE PINTO NOLLA</w:t>
            </w:r>
          </w:p>
          <w:p w:rsidR="008A182F" w:rsidRPr="006033C9" w:rsidRDefault="008A182F" w:rsidP="00B03543">
            <w:pPr>
              <w:ind w:left="89"/>
              <w:jc w:val="center"/>
              <w:rPr>
                <w:rFonts w:ascii="Bookman Old Style" w:eastAsia="Arial Unicode MS" w:hAnsi="Bookman Old Style" w:cs="Arial"/>
                <w:bCs/>
              </w:rPr>
            </w:pPr>
            <w:r w:rsidRPr="006033C9">
              <w:rPr>
                <w:rFonts w:ascii="Bookman Old Style" w:hAnsi="Bookman Old Style" w:cs="Arial"/>
                <w:spacing w:val="-3"/>
              </w:rPr>
              <w:t>Director Ejecutivo</w:t>
            </w:r>
          </w:p>
        </w:tc>
      </w:tr>
      <w:tr w:rsidR="008A182F" w:rsidRPr="00EE5AC7" w:rsidTr="00B03543">
        <w:trPr>
          <w:tblCellSpacing w:w="0" w:type="dxa"/>
        </w:trPr>
        <w:tc>
          <w:tcPr>
            <w:tcW w:w="5104" w:type="dxa"/>
          </w:tcPr>
          <w:p w:rsidR="008A182F" w:rsidRPr="00EE5AC7" w:rsidRDefault="008A182F" w:rsidP="00B03543">
            <w:pPr>
              <w:ind w:left="66"/>
              <w:jc w:val="center"/>
              <w:rPr>
                <w:rFonts w:ascii="Bookman Old Style" w:eastAsia="Arial Unicode MS" w:hAnsi="Bookman Old Style" w:cs="Arial"/>
                <w:color w:val="000000"/>
              </w:rPr>
            </w:pPr>
            <w:r w:rsidRPr="006033C9">
              <w:rPr>
                <w:rFonts w:ascii="Bookman Old Style" w:hAnsi="Bookman Old Style" w:cs="Arial"/>
                <w:spacing w:val="-3"/>
              </w:rPr>
              <w:t>Presidente</w:t>
            </w:r>
          </w:p>
        </w:tc>
        <w:tc>
          <w:tcPr>
            <w:tcW w:w="4678" w:type="dxa"/>
          </w:tcPr>
          <w:p w:rsidR="008A182F" w:rsidRPr="00EE5AC7" w:rsidRDefault="008A182F" w:rsidP="00B03543">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543" w:rsidRPr="000E4B55" w:rsidRDefault="00B03543">
      <w:pPr>
        <w:rPr>
          <w:sz w:val="23"/>
          <w:szCs w:val="23"/>
        </w:rPr>
      </w:pPr>
      <w:r w:rsidRPr="000E4B55">
        <w:rPr>
          <w:sz w:val="23"/>
          <w:szCs w:val="23"/>
        </w:rPr>
        <w:separator/>
      </w:r>
    </w:p>
  </w:endnote>
  <w:endnote w:type="continuationSeparator" w:id="0">
    <w:p w:rsidR="00B03543" w:rsidRPr="000E4B55" w:rsidRDefault="00B03543">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543" w:rsidRPr="000E4B55" w:rsidRDefault="00B03543">
      <w:pPr>
        <w:rPr>
          <w:sz w:val="23"/>
          <w:szCs w:val="23"/>
        </w:rPr>
      </w:pPr>
      <w:r w:rsidRPr="000E4B55">
        <w:rPr>
          <w:sz w:val="23"/>
          <w:szCs w:val="23"/>
        </w:rPr>
        <w:separator/>
      </w:r>
    </w:p>
  </w:footnote>
  <w:footnote w:type="continuationSeparator" w:id="0">
    <w:p w:rsidR="00B03543" w:rsidRPr="000E4B55" w:rsidRDefault="00B03543">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43" w:rsidRPr="000E4B55" w:rsidRDefault="00B03543" w:rsidP="00951F79">
    <w:pPr>
      <w:pStyle w:val="Ttulo1"/>
      <w:ind w:right="6"/>
      <w:jc w:val="left"/>
      <w:rPr>
        <w:rFonts w:ascii="Bookman Old Style" w:hAnsi="Bookman Old Style" w:cs="Arial"/>
        <w:b w:val="0"/>
        <w:sz w:val="21"/>
        <w:szCs w:val="21"/>
      </w:rPr>
    </w:pPr>
  </w:p>
  <w:p w:rsidR="00B03543" w:rsidRPr="000E4B55" w:rsidRDefault="00B03543"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w:t>
    </w:r>
    <w:r>
      <w:rPr>
        <w:rFonts w:ascii="Bookman Old Style" w:hAnsi="Bookman Old Style" w:cs="Arial"/>
        <w:b w:val="0"/>
        <w:sz w:val="21"/>
        <w:szCs w:val="21"/>
      </w:rPr>
      <w:t>________________</w:t>
    </w:r>
    <w:r w:rsidRPr="000E4B55">
      <w:rPr>
        <w:rFonts w:ascii="Bookman Old Style" w:hAnsi="Bookman Old Style" w:cs="Arial"/>
        <w:b w:val="0"/>
        <w:sz w:val="21"/>
        <w:szCs w:val="21"/>
      </w:rPr>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5C2C0F">
      <w:rPr>
        <w:rFonts w:ascii="Bookman Old Style" w:hAnsi="Bookman Old Style" w:cs="Arial"/>
        <w:b w:val="0"/>
        <w:noProof/>
        <w:sz w:val="21"/>
        <w:szCs w:val="21"/>
      </w:rPr>
      <w:t>7</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5C2C0F" w:rsidRPr="005C2C0F">
      <w:rPr>
        <w:rFonts w:ascii="Bookman Old Style" w:hAnsi="Bookman Old Style" w:cs="Arial"/>
        <w:b w:val="0"/>
        <w:noProof/>
        <w:sz w:val="21"/>
        <w:szCs w:val="22"/>
      </w:rPr>
      <w:t>7</w:t>
    </w:r>
    <w:r w:rsidRPr="000E4B55">
      <w:rPr>
        <w:rFonts w:ascii="Bookman Old Style" w:hAnsi="Bookman Old Style" w:cs="Arial"/>
        <w:b w:val="0"/>
        <w:noProof/>
        <w:sz w:val="21"/>
        <w:szCs w:val="21"/>
      </w:rPr>
      <w:fldChar w:fldCharType="end"/>
    </w:r>
  </w:p>
  <w:p w:rsidR="00B03543" w:rsidRPr="000E4B55" w:rsidRDefault="00B03543"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1526F210" wp14:editId="1221071D">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B03543" w:rsidRPr="00D50ED9" w:rsidRDefault="00B03543" w:rsidP="009F6B61">
    <w:pPr>
      <w:pStyle w:val="Textodebloque"/>
      <w:pBdr>
        <w:bottom w:val="single" w:sz="4" w:space="1" w:color="auto"/>
      </w:pBdr>
      <w:spacing w:after="0"/>
      <w:ind w:left="0" w:right="0"/>
      <w:rPr>
        <w:rFonts w:ascii="Bookman Old Style" w:hAnsi="Bookman Old Style" w:cs="Arial"/>
        <w:sz w:val="22"/>
        <w:szCs w:val="22"/>
      </w:rPr>
    </w:pPr>
    <w:r w:rsidRPr="00D7393E">
      <w:rPr>
        <w:rFonts w:ascii="Bookman Old Style" w:hAnsi="Bookman Old Style" w:cs="Arial"/>
        <w:sz w:val="22"/>
        <w:szCs w:val="22"/>
      </w:rPr>
      <w:t>Por la cual se oficializan los ingresos anuales esperados para Desarrollo Eléctrico Suria S.A.S. E.S.P. por el diseño, construcción, operación y mantenimiento de la subestación Suria 230 kV y las líneas asociadas, de acuerdo con la convocatoria UPME 05-2013</w:t>
    </w:r>
    <w:r w:rsidRPr="00D50ED9">
      <w:rPr>
        <w:rFonts w:ascii="Bookman Old Style" w:hAnsi="Bookman Old Style" w:cs="Arial"/>
        <w:sz w:val="22"/>
        <w:szCs w:val="22"/>
      </w:rPr>
      <w:t>.</w:t>
    </w:r>
  </w:p>
  <w:p w:rsidR="00B03543" w:rsidRPr="000E4B55" w:rsidRDefault="00B03543"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543" w:rsidRPr="000E4B55" w:rsidRDefault="00B03543"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B03543" w:rsidRPr="000E4B55" w:rsidRDefault="00B03543">
    <w:pPr>
      <w:pStyle w:val="Encabezado"/>
      <w:jc w:val="center"/>
      <w:rPr>
        <w:rFonts w:ascii="Arial" w:hAnsi="Arial" w:cs="Arial"/>
        <w:spacing w:val="20"/>
        <w:sz w:val="19"/>
        <w:szCs w:val="19"/>
      </w:rPr>
    </w:pPr>
  </w:p>
  <w:p w:rsidR="00B03543" w:rsidRPr="000E4B55" w:rsidRDefault="00B03543"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67BD6BE8" wp14:editId="68E19EFC">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202611"/>
    <w:multiLevelType w:val="hybridMultilevel"/>
    <w:tmpl w:val="57DADA22"/>
    <w:lvl w:ilvl="0" w:tplc="8FB21FD4">
      <w:start w:val="1"/>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0334165"/>
    <w:multiLevelType w:val="singleLevel"/>
    <w:tmpl w:val="0ACC75C2"/>
    <w:lvl w:ilvl="0">
      <w:start w:val="2"/>
      <w:numFmt w:val="upperRoman"/>
      <w:lvlText w:val="%1."/>
      <w:lvlJc w:val="left"/>
      <w:pPr>
        <w:ind w:left="283" w:hanging="283"/>
      </w:pPr>
      <w:rPr>
        <w:rFonts w:hint="default"/>
      </w:rPr>
    </w:lvl>
  </w:abstractNum>
  <w:abstractNum w:abstractNumId="13">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7"/>
  </w:num>
  <w:num w:numId="4">
    <w:abstractNumId w:val="3"/>
  </w:num>
  <w:num w:numId="5">
    <w:abstractNumId w:val="9"/>
  </w:num>
  <w:num w:numId="6">
    <w:abstractNumId w:val="1"/>
  </w:num>
  <w:num w:numId="7">
    <w:abstractNumId w:val="0"/>
  </w:num>
  <w:num w:numId="8">
    <w:abstractNumId w:val="13"/>
  </w:num>
  <w:num w:numId="9">
    <w:abstractNumId w:val="10"/>
  </w:num>
  <w:num w:numId="10">
    <w:abstractNumId w:val="7"/>
  </w:num>
  <w:num w:numId="11">
    <w:abstractNumId w:val="18"/>
  </w:num>
  <w:num w:numId="12">
    <w:abstractNumId w:val="14"/>
  </w:num>
  <w:num w:numId="13">
    <w:abstractNumId w:val="4"/>
  </w:num>
  <w:num w:numId="14">
    <w:abstractNumId w:val="15"/>
  </w:num>
  <w:num w:numId="15">
    <w:abstractNumId w:val="8"/>
  </w:num>
  <w:num w:numId="16">
    <w:abstractNumId w:val="16"/>
  </w:num>
  <w:num w:numId="17">
    <w:abstractNumId w:val="11"/>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0833"/>
    <w:rsid w:val="000019D2"/>
    <w:rsid w:val="00006AE2"/>
    <w:rsid w:val="000076A1"/>
    <w:rsid w:val="00012259"/>
    <w:rsid w:val="0001403F"/>
    <w:rsid w:val="00025383"/>
    <w:rsid w:val="000465EA"/>
    <w:rsid w:val="00063657"/>
    <w:rsid w:val="00073B6C"/>
    <w:rsid w:val="00076680"/>
    <w:rsid w:val="0008073E"/>
    <w:rsid w:val="00091CDB"/>
    <w:rsid w:val="000954CA"/>
    <w:rsid w:val="000A19AC"/>
    <w:rsid w:val="000D26F8"/>
    <w:rsid w:val="000D2772"/>
    <w:rsid w:val="000D3F11"/>
    <w:rsid w:val="000D5740"/>
    <w:rsid w:val="000D7A27"/>
    <w:rsid w:val="000E0FC4"/>
    <w:rsid w:val="000E4B55"/>
    <w:rsid w:val="000F2918"/>
    <w:rsid w:val="00103215"/>
    <w:rsid w:val="00106ADE"/>
    <w:rsid w:val="00112EEE"/>
    <w:rsid w:val="00127A25"/>
    <w:rsid w:val="0013134B"/>
    <w:rsid w:val="001367C1"/>
    <w:rsid w:val="001405C6"/>
    <w:rsid w:val="00141013"/>
    <w:rsid w:val="00190612"/>
    <w:rsid w:val="00190BA7"/>
    <w:rsid w:val="00192CBF"/>
    <w:rsid w:val="00192FF1"/>
    <w:rsid w:val="0019387C"/>
    <w:rsid w:val="001A5F1B"/>
    <w:rsid w:val="001B1881"/>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66CD6"/>
    <w:rsid w:val="00277FEE"/>
    <w:rsid w:val="00284E4C"/>
    <w:rsid w:val="00292356"/>
    <w:rsid w:val="00293C55"/>
    <w:rsid w:val="002A2E95"/>
    <w:rsid w:val="002B11E2"/>
    <w:rsid w:val="002B24B8"/>
    <w:rsid w:val="002C70F3"/>
    <w:rsid w:val="002D2EB9"/>
    <w:rsid w:val="002D3AE9"/>
    <w:rsid w:val="002D5856"/>
    <w:rsid w:val="002F0734"/>
    <w:rsid w:val="002F0F42"/>
    <w:rsid w:val="002F46E7"/>
    <w:rsid w:val="003006CA"/>
    <w:rsid w:val="0030344E"/>
    <w:rsid w:val="003101DA"/>
    <w:rsid w:val="00314757"/>
    <w:rsid w:val="003211CE"/>
    <w:rsid w:val="00323EAD"/>
    <w:rsid w:val="00327D1C"/>
    <w:rsid w:val="003357C7"/>
    <w:rsid w:val="0036394B"/>
    <w:rsid w:val="00363D4F"/>
    <w:rsid w:val="00364570"/>
    <w:rsid w:val="003709B5"/>
    <w:rsid w:val="003722BC"/>
    <w:rsid w:val="003759C2"/>
    <w:rsid w:val="00385020"/>
    <w:rsid w:val="003945E8"/>
    <w:rsid w:val="00397365"/>
    <w:rsid w:val="003A31F6"/>
    <w:rsid w:val="003A75C1"/>
    <w:rsid w:val="003C1454"/>
    <w:rsid w:val="003C3447"/>
    <w:rsid w:val="003D076C"/>
    <w:rsid w:val="003D42DE"/>
    <w:rsid w:val="003F793E"/>
    <w:rsid w:val="0040096F"/>
    <w:rsid w:val="004058B1"/>
    <w:rsid w:val="00415BAB"/>
    <w:rsid w:val="00415ED2"/>
    <w:rsid w:val="0042068C"/>
    <w:rsid w:val="0045054F"/>
    <w:rsid w:val="00450E1D"/>
    <w:rsid w:val="00457B8C"/>
    <w:rsid w:val="0047122B"/>
    <w:rsid w:val="00473B7A"/>
    <w:rsid w:val="0047623D"/>
    <w:rsid w:val="004766AB"/>
    <w:rsid w:val="004960E9"/>
    <w:rsid w:val="004A2E88"/>
    <w:rsid w:val="004A5305"/>
    <w:rsid w:val="004B2297"/>
    <w:rsid w:val="004B6AEE"/>
    <w:rsid w:val="004D39D4"/>
    <w:rsid w:val="004D7634"/>
    <w:rsid w:val="004E0AE2"/>
    <w:rsid w:val="004F12BD"/>
    <w:rsid w:val="005017C9"/>
    <w:rsid w:val="005070F9"/>
    <w:rsid w:val="00514F93"/>
    <w:rsid w:val="005300D3"/>
    <w:rsid w:val="00531349"/>
    <w:rsid w:val="00542BB4"/>
    <w:rsid w:val="00544F82"/>
    <w:rsid w:val="00577827"/>
    <w:rsid w:val="00593C4F"/>
    <w:rsid w:val="005946A8"/>
    <w:rsid w:val="005A248A"/>
    <w:rsid w:val="005A4407"/>
    <w:rsid w:val="005A59EF"/>
    <w:rsid w:val="005B21DD"/>
    <w:rsid w:val="005C2C0F"/>
    <w:rsid w:val="005C4274"/>
    <w:rsid w:val="006033C9"/>
    <w:rsid w:val="00604ED3"/>
    <w:rsid w:val="00622144"/>
    <w:rsid w:val="00625DC6"/>
    <w:rsid w:val="006341A9"/>
    <w:rsid w:val="006438E6"/>
    <w:rsid w:val="0064774B"/>
    <w:rsid w:val="00647A0D"/>
    <w:rsid w:val="00651821"/>
    <w:rsid w:val="00654384"/>
    <w:rsid w:val="006675CD"/>
    <w:rsid w:val="00671194"/>
    <w:rsid w:val="00673E79"/>
    <w:rsid w:val="00684D9B"/>
    <w:rsid w:val="00687570"/>
    <w:rsid w:val="00697556"/>
    <w:rsid w:val="006B2CDA"/>
    <w:rsid w:val="006B4C2B"/>
    <w:rsid w:val="006B51A5"/>
    <w:rsid w:val="006B5FCF"/>
    <w:rsid w:val="006B6D47"/>
    <w:rsid w:val="006C4D3C"/>
    <w:rsid w:val="006C5F25"/>
    <w:rsid w:val="006C6FAC"/>
    <w:rsid w:val="006D019F"/>
    <w:rsid w:val="006D0CB9"/>
    <w:rsid w:val="006D236C"/>
    <w:rsid w:val="006D279A"/>
    <w:rsid w:val="006D7283"/>
    <w:rsid w:val="006E710B"/>
    <w:rsid w:val="006F20A3"/>
    <w:rsid w:val="006F6D95"/>
    <w:rsid w:val="007032B9"/>
    <w:rsid w:val="00706F13"/>
    <w:rsid w:val="007072E8"/>
    <w:rsid w:val="00710FA3"/>
    <w:rsid w:val="0071618D"/>
    <w:rsid w:val="00716CD2"/>
    <w:rsid w:val="00722435"/>
    <w:rsid w:val="00725FA4"/>
    <w:rsid w:val="00737D82"/>
    <w:rsid w:val="00740446"/>
    <w:rsid w:val="007438A9"/>
    <w:rsid w:val="0074491E"/>
    <w:rsid w:val="007501F8"/>
    <w:rsid w:val="00754C05"/>
    <w:rsid w:val="00772476"/>
    <w:rsid w:val="00775964"/>
    <w:rsid w:val="007863C9"/>
    <w:rsid w:val="00795BFB"/>
    <w:rsid w:val="007B2760"/>
    <w:rsid w:val="007B3029"/>
    <w:rsid w:val="007D4280"/>
    <w:rsid w:val="007E1194"/>
    <w:rsid w:val="007E653B"/>
    <w:rsid w:val="00806C01"/>
    <w:rsid w:val="008148CC"/>
    <w:rsid w:val="0081540B"/>
    <w:rsid w:val="008211A4"/>
    <w:rsid w:val="008475D6"/>
    <w:rsid w:val="00847BD0"/>
    <w:rsid w:val="00853C27"/>
    <w:rsid w:val="0085500E"/>
    <w:rsid w:val="00861A04"/>
    <w:rsid w:val="0086401C"/>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90113A"/>
    <w:rsid w:val="0091040D"/>
    <w:rsid w:val="00913068"/>
    <w:rsid w:val="009421C9"/>
    <w:rsid w:val="00951F79"/>
    <w:rsid w:val="009627D4"/>
    <w:rsid w:val="00974AB5"/>
    <w:rsid w:val="00983AF8"/>
    <w:rsid w:val="00984EFF"/>
    <w:rsid w:val="0098706D"/>
    <w:rsid w:val="00993534"/>
    <w:rsid w:val="009935FB"/>
    <w:rsid w:val="00996FC9"/>
    <w:rsid w:val="009B3414"/>
    <w:rsid w:val="009B38DB"/>
    <w:rsid w:val="009D6F14"/>
    <w:rsid w:val="009E491E"/>
    <w:rsid w:val="009F4A54"/>
    <w:rsid w:val="009F4BEC"/>
    <w:rsid w:val="009F6B61"/>
    <w:rsid w:val="00A011FB"/>
    <w:rsid w:val="00A03BF8"/>
    <w:rsid w:val="00A0697B"/>
    <w:rsid w:val="00A25FD7"/>
    <w:rsid w:val="00A32091"/>
    <w:rsid w:val="00A35D3E"/>
    <w:rsid w:val="00A43AFF"/>
    <w:rsid w:val="00A534E6"/>
    <w:rsid w:val="00A537F8"/>
    <w:rsid w:val="00A7793A"/>
    <w:rsid w:val="00A8790E"/>
    <w:rsid w:val="00AA5F12"/>
    <w:rsid w:val="00AB6CA7"/>
    <w:rsid w:val="00AC3BC5"/>
    <w:rsid w:val="00AD01E4"/>
    <w:rsid w:val="00AD0858"/>
    <w:rsid w:val="00AE0A52"/>
    <w:rsid w:val="00AE7340"/>
    <w:rsid w:val="00AE74BE"/>
    <w:rsid w:val="00AF1BBD"/>
    <w:rsid w:val="00AF219D"/>
    <w:rsid w:val="00B03543"/>
    <w:rsid w:val="00B10207"/>
    <w:rsid w:val="00B141E7"/>
    <w:rsid w:val="00B24F17"/>
    <w:rsid w:val="00B46BCA"/>
    <w:rsid w:val="00B47BE4"/>
    <w:rsid w:val="00B87806"/>
    <w:rsid w:val="00B87EC9"/>
    <w:rsid w:val="00BC38FD"/>
    <w:rsid w:val="00BC3AC0"/>
    <w:rsid w:val="00BC5DB4"/>
    <w:rsid w:val="00BE2496"/>
    <w:rsid w:val="00C034CB"/>
    <w:rsid w:val="00C051A8"/>
    <w:rsid w:val="00C054BC"/>
    <w:rsid w:val="00C06FB3"/>
    <w:rsid w:val="00C15B75"/>
    <w:rsid w:val="00C17897"/>
    <w:rsid w:val="00C2175A"/>
    <w:rsid w:val="00C35E8B"/>
    <w:rsid w:val="00C409D5"/>
    <w:rsid w:val="00C44D52"/>
    <w:rsid w:val="00C45D4F"/>
    <w:rsid w:val="00C51BBA"/>
    <w:rsid w:val="00C523EB"/>
    <w:rsid w:val="00C6234B"/>
    <w:rsid w:val="00C63EAE"/>
    <w:rsid w:val="00C658D9"/>
    <w:rsid w:val="00C7629F"/>
    <w:rsid w:val="00C8661B"/>
    <w:rsid w:val="00C95CA0"/>
    <w:rsid w:val="00CA139A"/>
    <w:rsid w:val="00CA2899"/>
    <w:rsid w:val="00CA3AEB"/>
    <w:rsid w:val="00CA4732"/>
    <w:rsid w:val="00CA77FB"/>
    <w:rsid w:val="00CB379B"/>
    <w:rsid w:val="00CB5DD0"/>
    <w:rsid w:val="00CC1BEB"/>
    <w:rsid w:val="00CC51D4"/>
    <w:rsid w:val="00CC65DA"/>
    <w:rsid w:val="00CD1F0B"/>
    <w:rsid w:val="00CE1F94"/>
    <w:rsid w:val="00CE5603"/>
    <w:rsid w:val="00CF21B9"/>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7393E"/>
    <w:rsid w:val="00DA7DA4"/>
    <w:rsid w:val="00DC12BD"/>
    <w:rsid w:val="00DD4475"/>
    <w:rsid w:val="00DD4F0E"/>
    <w:rsid w:val="00DD6802"/>
    <w:rsid w:val="00E05E0A"/>
    <w:rsid w:val="00E172A5"/>
    <w:rsid w:val="00E534CF"/>
    <w:rsid w:val="00E56F40"/>
    <w:rsid w:val="00E81CB4"/>
    <w:rsid w:val="00E8585B"/>
    <w:rsid w:val="00E901DA"/>
    <w:rsid w:val="00EA3F15"/>
    <w:rsid w:val="00EA42DE"/>
    <w:rsid w:val="00EA7847"/>
    <w:rsid w:val="00EB4CE1"/>
    <w:rsid w:val="00EB63CE"/>
    <w:rsid w:val="00EC4D7D"/>
    <w:rsid w:val="00EE2E6E"/>
    <w:rsid w:val="00EE5AC7"/>
    <w:rsid w:val="00F00D67"/>
    <w:rsid w:val="00F0759E"/>
    <w:rsid w:val="00F47DAC"/>
    <w:rsid w:val="00F67881"/>
    <w:rsid w:val="00F80BDE"/>
    <w:rsid w:val="00F811BA"/>
    <w:rsid w:val="00F821A3"/>
    <w:rsid w:val="00F9314A"/>
    <w:rsid w:val="00FA033F"/>
    <w:rsid w:val="00FB487E"/>
    <w:rsid w:val="00FB6E6E"/>
    <w:rsid w:val="00FC142D"/>
    <w:rsid w:val="00FC267E"/>
    <w:rsid w:val="00FC58EF"/>
    <w:rsid w:val="00FC5D20"/>
    <w:rsid w:val="00FD33DF"/>
    <w:rsid w:val="00FD38E3"/>
    <w:rsid w:val="00FD748B"/>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paragraph" w:styleId="Cita">
    <w:name w:val="Quote"/>
    <w:basedOn w:val="Normal"/>
    <w:next w:val="Normal"/>
    <w:link w:val="CitaCar"/>
    <w:uiPriority w:val="29"/>
    <w:qFormat/>
    <w:rsid w:val="006C5F25"/>
    <w:rPr>
      <w:i/>
      <w:iCs/>
      <w:color w:val="000000" w:themeColor="text1"/>
    </w:rPr>
  </w:style>
  <w:style w:type="character" w:customStyle="1" w:styleId="CitaCar">
    <w:name w:val="Cita Car"/>
    <w:basedOn w:val="Fuentedeprrafopredeter"/>
    <w:link w:val="Cita"/>
    <w:uiPriority w:val="29"/>
    <w:rsid w:val="006C5F25"/>
    <w:rPr>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 w:type="paragraph" w:styleId="Cita">
    <w:name w:val="Quote"/>
    <w:basedOn w:val="Normal"/>
    <w:next w:val="Normal"/>
    <w:link w:val="CitaCar"/>
    <w:uiPriority w:val="29"/>
    <w:qFormat/>
    <w:rsid w:val="006C5F25"/>
    <w:rPr>
      <w:i/>
      <w:iCs/>
      <w:color w:val="000000" w:themeColor="text1"/>
    </w:rPr>
  </w:style>
  <w:style w:type="character" w:customStyle="1" w:styleId="CitaCar">
    <w:name w:val="Cita Car"/>
    <w:basedOn w:val="Fuentedeprrafopredeter"/>
    <w:link w:val="Cita"/>
    <w:uiPriority w:val="29"/>
    <w:rsid w:val="006C5F25"/>
    <w:rPr>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D9473-F603-461E-B911-76760374F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7</Pages>
  <Words>2651</Words>
  <Characters>14582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17199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2015-03-27T22:22:00Z</cp:lastPrinted>
  <dcterms:created xsi:type="dcterms:W3CDTF">2015-04-14T19:37:00Z</dcterms:created>
  <dcterms:modified xsi:type="dcterms:W3CDTF">2015-04-14T19:37:00Z</dcterms:modified>
</cp:coreProperties>
</file>