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1C2519"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3439"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AA4450">
      <w:pPr>
        <w:pStyle w:val="Ttulo4"/>
        <w:tabs>
          <w:tab w:val="left" w:pos="0"/>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AA4450">
      <w:pPr>
        <w:pStyle w:val="Ttulo4"/>
        <w:tabs>
          <w:tab w:val="left" w:pos="0"/>
        </w:tabs>
        <w:ind w:left="0"/>
        <w:rPr>
          <w:rFonts w:ascii="Bookman Old Style" w:hAnsi="Bookman Old Style"/>
          <w:b w:val="0"/>
          <w:bCs/>
          <w:sz w:val="22"/>
          <w:szCs w:val="24"/>
        </w:rPr>
      </w:pPr>
    </w:p>
    <w:p w:rsidR="006D45B0" w:rsidRPr="006B4647" w:rsidRDefault="006D45B0" w:rsidP="00AA4450">
      <w:pPr>
        <w:pStyle w:val="Ttulo3"/>
        <w:tabs>
          <w:tab w:val="left" w:pos="0"/>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AA4450">
      <w:pPr>
        <w:pStyle w:val="Ttulo5"/>
        <w:tabs>
          <w:tab w:val="left" w:pos="0"/>
        </w:tabs>
        <w:ind w:left="0"/>
        <w:rPr>
          <w:rFonts w:ascii="Bookman Old Style" w:hAnsi="Bookman Old Style"/>
          <w:sz w:val="22"/>
          <w:szCs w:val="24"/>
        </w:rPr>
      </w:pPr>
    </w:p>
    <w:p w:rsidR="006D45B0" w:rsidRPr="007507BF" w:rsidRDefault="006D45B0" w:rsidP="00AA4450">
      <w:pPr>
        <w:pStyle w:val="Ttulo5"/>
        <w:tabs>
          <w:tab w:val="left" w:pos="0"/>
        </w:tabs>
        <w:ind w:left="0"/>
        <w:rPr>
          <w:rFonts w:ascii="Bookman Old Style" w:hAnsi="Bookman Old Style"/>
          <w:sz w:val="22"/>
          <w:szCs w:val="24"/>
        </w:rPr>
      </w:pPr>
    </w:p>
    <w:p w:rsidR="006D45B0" w:rsidRPr="006B4647" w:rsidRDefault="006D45B0" w:rsidP="00AA4450">
      <w:pPr>
        <w:pStyle w:val="Ttulo5"/>
        <w:tabs>
          <w:tab w:val="left" w:pos="0"/>
        </w:tabs>
        <w:ind w:left="0"/>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AA4450">
      <w:pPr>
        <w:tabs>
          <w:tab w:val="left" w:pos="0"/>
        </w:tabs>
        <w:ind w:left="0"/>
        <w:jc w:val="center"/>
        <w:rPr>
          <w:rFonts w:ascii="Bookman Old Style" w:hAnsi="Bookman Old Style" w:cs="Arial"/>
          <w:b/>
          <w:snapToGrid w:val="0"/>
          <w:color w:val="000000"/>
          <w:lang w:val="es-ES_tradnl"/>
        </w:rPr>
      </w:pPr>
    </w:p>
    <w:p w:rsidR="006D45B0" w:rsidRPr="006B4647" w:rsidRDefault="006D45B0" w:rsidP="00AA4450">
      <w:pPr>
        <w:pStyle w:val="Ttulo3"/>
        <w:tabs>
          <w:tab w:val="left" w:pos="0"/>
        </w:tabs>
        <w:ind w:left="0"/>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Pr="00AA4450" w:rsidRDefault="006D45B0" w:rsidP="006D45B0">
      <w:pPr>
        <w:tabs>
          <w:tab w:val="right" w:pos="9498"/>
        </w:tabs>
        <w:ind w:left="0" w:right="-142"/>
        <w:rPr>
          <w:rFonts w:ascii="Bookman Old Style" w:hAnsi="Bookman Old Style"/>
          <w:bCs/>
          <w:sz w:val="22"/>
          <w:lang w:val="es-ES_tradnl"/>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Por la cual se resuelve el recurso de reposición interpuesto por</w:t>
      </w:r>
      <w:r w:rsidR="00AA6298">
        <w:rPr>
          <w:rFonts w:ascii="Bookman Old Style" w:hAnsi="Bookman Old Style"/>
          <w:bCs/>
          <w:lang w:val="es-CO"/>
        </w:rPr>
        <w:t xml:space="preserve"> </w:t>
      </w:r>
      <w:r w:rsidR="0053448E">
        <w:rPr>
          <w:rFonts w:ascii="Bookman Old Style" w:hAnsi="Bookman Old Style"/>
          <w:bCs/>
          <w:lang w:val="es-CO"/>
        </w:rPr>
        <w:t>Gas Express Colombia</w:t>
      </w:r>
      <w:r w:rsidR="00E048B9">
        <w:rPr>
          <w:rFonts w:ascii="Bookman Old Style" w:hAnsi="Bookman Old Style"/>
          <w:bCs/>
          <w:lang w:val="es-CO"/>
        </w:rPr>
        <w:t xml:space="preserve"> S.A.</w:t>
      </w:r>
      <w:r w:rsidR="0053448E">
        <w:rPr>
          <w:rFonts w:ascii="Bookman Old Style" w:hAnsi="Bookman Old Style"/>
          <w:bCs/>
          <w:lang w:val="es-CO"/>
        </w:rPr>
        <w:t>S.</w:t>
      </w:r>
      <w:r w:rsidR="00E048B9">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1C2519"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1C2519"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1C2519"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1C2519"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1C2519"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1C2519"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2167A" w:rsidRDefault="0042167A" w:rsidP="0042167A">
      <w:pPr>
        <w:ind w:left="709" w:firstLine="566"/>
        <w:jc w:val="both"/>
        <w:rPr>
          <w:rFonts w:ascii="Bookman Old Style" w:hAnsi="Bookman Old Style"/>
          <w:sz w:val="22"/>
          <w:szCs w:val="22"/>
        </w:rPr>
      </w:pPr>
    </w:p>
    <w:p w:rsid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p w:rsidR="00AA4450" w:rsidRPr="0042167A" w:rsidRDefault="00AA4450" w:rsidP="0042167A">
      <w:pPr>
        <w:ind w:left="709" w:firstLine="566"/>
        <w:jc w:val="both"/>
        <w:rPr>
          <w:rFonts w:ascii="Bookman Old Style" w:hAnsi="Bookman Old Style"/>
          <w:sz w:val="22"/>
          <w:szCs w:val="22"/>
        </w:rPr>
      </w:pP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2167A" w:rsidRPr="0042167A" w:rsidRDefault="0042167A" w:rsidP="00AA4450">
            <w:pPr>
              <w:ind w:left="0"/>
              <w:jc w:val="both"/>
              <w:rPr>
                <w:rFonts w:ascii="Bookman Old Style" w:hAnsi="Bookman Old Style"/>
                <w:sz w:val="22"/>
                <w:szCs w:val="22"/>
                <w:lang w:val="es-CO"/>
              </w:rPr>
            </w:pPr>
            <w:r w:rsidRPr="0042167A">
              <w:rPr>
                <w:rFonts w:ascii="Bookman Old Style" w:hAnsi="Bookman Old Style"/>
                <w:sz w:val="22"/>
                <w:szCs w:val="22"/>
              </w:rPr>
              <w:t>Capacidad total de envase en cilindros de propiedad del distribuidor i, en el periodo t, medida en kilogramos, registrado en el SUI.</w:t>
            </w: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Default="0042167A" w:rsidP="0042167A">
            <w:pPr>
              <w:ind w:left="0"/>
              <w:jc w:val="both"/>
              <w:rPr>
                <w:rFonts w:ascii="Bookman Old Style" w:hAnsi="Bookman Old Style"/>
                <w:color w:val="000000"/>
                <w:kern w:val="24"/>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p w:rsidR="00AA4450" w:rsidRPr="0042167A" w:rsidRDefault="00AA4450" w:rsidP="0042167A">
            <w:pPr>
              <w:ind w:left="0"/>
              <w:jc w:val="both"/>
              <w:rPr>
                <w:rFonts w:ascii="Bookman Old Style" w:hAnsi="Bookman Old Style" w:cs="Arial"/>
                <w:sz w:val="22"/>
                <w:szCs w:val="22"/>
                <w:lang w:val="es-CO" w:eastAsia="es-CO"/>
              </w:rPr>
            </w:pP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lastRenderedPageBreak/>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42167A" w:rsidRDefault="0042167A" w:rsidP="0042167A">
      <w:pPr>
        <w:ind w:left="0"/>
        <w:jc w:val="both"/>
        <w:rPr>
          <w:rFonts w:ascii="Bookman Old Style" w:eastAsia="MS Mincho" w:hAnsi="Bookman Old Style" w:cs="Arial"/>
          <w:sz w:val="22"/>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lastRenderedPageBreak/>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42167A">
        <w:rPr>
          <w:rFonts w:ascii="Bookman Old Style" w:eastAsia="MS Mincho" w:hAnsi="Bookman Old Style" w:cs="Arial"/>
          <w:lang w:val="es-ES_tradnl" w:eastAsia="en-US"/>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1439AE">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42167A">
        <w:rPr>
          <w:rFonts w:ascii="Bookman Old Style" w:eastAsia="MS Mincho" w:hAnsi="Bookman Old Style" w:cs="Arial"/>
          <w:lang w:val="es-ES_tradnl" w:eastAsia="en-US"/>
        </w:rPr>
        <w:lastRenderedPageBreak/>
        <w:t>en los términos de los artículos 8 y 9 de la Resolución CREG 063 de 2013 para el cuarto periodo de compra.</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sidR="001439AE">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1439AE">
        <w:rPr>
          <w:rFonts w:ascii="Bookman Old Style" w:eastAsia="MS Mincho" w:hAnsi="Bookman Old Style" w:cs="Arial"/>
          <w:vertAlign w:val="superscript"/>
          <w:lang w:val="es-ES_tradnl" w:eastAsia="en-US"/>
        </w:rPr>
        <w:footnoteReference w:id="3"/>
      </w:r>
      <w:r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AA4450" w:rsidRDefault="0042167A" w:rsidP="0042167A">
      <w:pPr>
        <w:ind w:right="284"/>
        <w:jc w:val="both"/>
        <w:rPr>
          <w:rFonts w:ascii="Bookman Old Style" w:hAnsi="Bookman Old Style"/>
          <w:i/>
          <w:sz w:val="22"/>
          <w:szCs w:val="22"/>
        </w:rPr>
      </w:pPr>
      <w:r w:rsidRPr="00AA445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AA4450" w:rsidRDefault="0042167A" w:rsidP="0042167A">
      <w:pPr>
        <w:ind w:right="284"/>
        <w:jc w:val="both"/>
        <w:rPr>
          <w:rFonts w:ascii="Bookman Old Style" w:hAnsi="Bookman Old Style"/>
          <w:i/>
          <w:sz w:val="22"/>
          <w:szCs w:val="22"/>
        </w:rPr>
      </w:pPr>
    </w:p>
    <w:p w:rsidR="0042167A" w:rsidRPr="00AA4450" w:rsidRDefault="0042167A" w:rsidP="0042167A">
      <w:pPr>
        <w:numPr>
          <w:ilvl w:val="0"/>
          <w:numId w:val="6"/>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Fecha de consulta de información: 26 de marzo de 2018.</w:t>
      </w:r>
    </w:p>
    <w:p w:rsidR="0042167A" w:rsidRPr="00AA4450" w:rsidRDefault="0042167A" w:rsidP="0042167A">
      <w:pPr>
        <w:numPr>
          <w:ilvl w:val="0"/>
          <w:numId w:val="6"/>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En el CD adjunto, se encuentran dos carpetas así:</w:t>
      </w:r>
    </w:p>
    <w:p w:rsidR="0042167A" w:rsidRPr="00AA4450" w:rsidRDefault="0042167A" w:rsidP="0042167A">
      <w:pPr>
        <w:numPr>
          <w:ilvl w:val="0"/>
          <w:numId w:val="5"/>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AA4450" w:rsidRDefault="0042167A" w:rsidP="0042167A">
      <w:pPr>
        <w:numPr>
          <w:ilvl w:val="0"/>
          <w:numId w:val="5"/>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42167A" w:rsidRPr="00AA4450" w:rsidRDefault="0042167A" w:rsidP="0042167A">
      <w:pPr>
        <w:ind w:right="284"/>
        <w:jc w:val="both"/>
        <w:rPr>
          <w:rFonts w:ascii="Bookman Old Style" w:hAnsi="Bookman Old Style"/>
          <w:i/>
          <w:sz w:val="22"/>
          <w:szCs w:val="22"/>
        </w:rPr>
      </w:pPr>
      <w:r w:rsidRPr="00AA4450">
        <w:rPr>
          <w:rFonts w:ascii="Bookman Old Style" w:hAnsi="Bookman Old Style"/>
          <w:i/>
          <w:sz w:val="22"/>
          <w:szCs w:val="22"/>
        </w:rPr>
        <w:lastRenderedPageBreak/>
        <w:t>CILINDROS</w:t>
      </w:r>
    </w:p>
    <w:p w:rsidR="0042167A" w:rsidRPr="00AA4450" w:rsidRDefault="0042167A" w:rsidP="0042167A">
      <w:pPr>
        <w:ind w:right="284"/>
        <w:jc w:val="both"/>
        <w:rPr>
          <w:rFonts w:ascii="Bookman Old Style" w:hAnsi="Bookman Old Style"/>
          <w:i/>
          <w:sz w:val="22"/>
          <w:szCs w:val="22"/>
        </w:rPr>
      </w:pPr>
      <w:r w:rsidRPr="00AA4450">
        <w:rPr>
          <w:rFonts w:ascii="Bookman Old Style" w:hAnsi="Bookman Old Style"/>
          <w:i/>
          <w:sz w:val="22"/>
          <w:szCs w:val="22"/>
        </w:rPr>
        <w:t>En resumen, la información enviada a la CREG es la siguiente:</w:t>
      </w:r>
    </w:p>
    <w:p w:rsidR="0042167A" w:rsidRPr="00AA4450" w:rsidRDefault="0042167A" w:rsidP="0042167A">
      <w:pPr>
        <w:numPr>
          <w:ilvl w:val="0"/>
          <w:numId w:val="7"/>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Cantidad de empresas con cilindros en base de datos:</w:t>
      </w:r>
      <w:r w:rsidRPr="00AA4450">
        <w:rPr>
          <w:rFonts w:ascii="Bookman Old Style" w:hAnsi="Bookman Old Style"/>
          <w:i/>
          <w:sz w:val="22"/>
          <w:szCs w:val="22"/>
        </w:rPr>
        <w:tab/>
        <w:t>48</w:t>
      </w:r>
    </w:p>
    <w:p w:rsidR="0042167A" w:rsidRPr="00AA4450" w:rsidRDefault="0042167A" w:rsidP="0042167A">
      <w:pPr>
        <w:numPr>
          <w:ilvl w:val="0"/>
          <w:numId w:val="7"/>
        </w:numPr>
        <w:spacing w:after="200" w:line="276" w:lineRule="auto"/>
        <w:ind w:right="284"/>
        <w:contextualSpacing/>
        <w:rPr>
          <w:rFonts w:ascii="Bookman Old Style" w:hAnsi="Bookman Old Style"/>
          <w:i/>
          <w:sz w:val="22"/>
          <w:szCs w:val="22"/>
        </w:rPr>
      </w:pPr>
      <w:r w:rsidRPr="00AA4450">
        <w:rPr>
          <w:rFonts w:ascii="Bookman Old Style" w:hAnsi="Bookman Old Style"/>
          <w:i/>
          <w:sz w:val="22"/>
          <w:szCs w:val="22"/>
        </w:rPr>
        <w:t>Cantidad de marcas que</w:t>
      </w:r>
      <w:r w:rsidR="00AA6298" w:rsidRPr="00AA4450">
        <w:rPr>
          <w:rFonts w:ascii="Bookman Old Style" w:hAnsi="Bookman Old Style"/>
          <w:i/>
          <w:sz w:val="22"/>
          <w:szCs w:val="22"/>
        </w:rPr>
        <w:t xml:space="preserve"> registran cilindros en la base </w:t>
      </w:r>
      <w:r w:rsidRPr="00AA4450">
        <w:rPr>
          <w:rFonts w:ascii="Bookman Old Style" w:hAnsi="Bookman Old Style"/>
          <w:i/>
          <w:sz w:val="22"/>
          <w:szCs w:val="22"/>
        </w:rPr>
        <w:t>de datos: 74</w:t>
      </w:r>
    </w:p>
    <w:p w:rsidR="0042167A" w:rsidRPr="00AA4450" w:rsidRDefault="0042167A" w:rsidP="0042167A">
      <w:pPr>
        <w:numPr>
          <w:ilvl w:val="0"/>
          <w:numId w:val="7"/>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Cantidad de cilindros en la base de datos: 10.254.954</w:t>
      </w:r>
    </w:p>
    <w:p w:rsidR="0042167A" w:rsidRPr="00AA4450"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TANQUES ESTACIONARIOS</w:t>
      </w:r>
    </w:p>
    <w:p w:rsidR="0042167A" w:rsidRPr="00AA4450" w:rsidRDefault="0042167A" w:rsidP="0042167A">
      <w:pPr>
        <w:widowControl w:val="0"/>
        <w:ind w:right="284"/>
        <w:rPr>
          <w:rFonts w:ascii="Bookman Old Style" w:eastAsia="Calibri" w:hAnsi="Bookman Old Style" w:cs="Arial"/>
          <w:i/>
          <w:sz w:val="22"/>
          <w:szCs w:val="22"/>
          <w:lang w:val="es-CO" w:eastAsia="en-US"/>
        </w:rPr>
      </w:pPr>
    </w:p>
    <w:p w:rsidR="0042167A" w:rsidRPr="00AA4450"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AA4450" w:rsidRDefault="0042167A" w:rsidP="0042167A">
      <w:pPr>
        <w:widowControl w:val="0"/>
        <w:ind w:right="284"/>
        <w:jc w:val="both"/>
        <w:rPr>
          <w:rFonts w:ascii="Bookman Old Style" w:eastAsia="Calibri" w:hAnsi="Bookman Old Style" w:cs="Arial"/>
          <w:i/>
          <w:sz w:val="22"/>
          <w:szCs w:val="22"/>
          <w:lang w:val="es-CO" w:eastAsia="en-US"/>
        </w:rPr>
      </w:pPr>
    </w:p>
    <w:p w:rsidR="0042167A" w:rsidRPr="00AA4450"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AA4450">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AA4450" w:rsidRDefault="0042167A" w:rsidP="0042167A">
      <w:pPr>
        <w:widowControl w:val="0"/>
        <w:ind w:right="284"/>
        <w:jc w:val="both"/>
        <w:rPr>
          <w:rFonts w:ascii="Bookman Old Style" w:eastAsia="Calibri" w:hAnsi="Bookman Old Style" w:cs="Arial"/>
          <w:i/>
          <w:sz w:val="22"/>
          <w:szCs w:val="22"/>
          <w:lang w:val="es-CO" w:eastAsia="en-US"/>
        </w:rPr>
      </w:pPr>
      <w:r w:rsidRPr="00AA4450">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AA4450" w:rsidRDefault="0042167A" w:rsidP="0042167A">
      <w:pPr>
        <w:widowControl w:val="0"/>
        <w:ind w:right="284"/>
        <w:jc w:val="both"/>
        <w:rPr>
          <w:rFonts w:ascii="Bookman Old Style" w:eastAsia="Calibri" w:hAnsi="Bookman Old Style" w:cs="Arial"/>
          <w:i/>
          <w:sz w:val="22"/>
          <w:szCs w:val="22"/>
          <w:lang w:val="es-CO" w:eastAsia="en-US"/>
        </w:rPr>
      </w:pPr>
      <w:r w:rsidRPr="00AA4450">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AA4450"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AA4450"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Cabe precisar que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AA4450">
        <w:rPr>
          <w:rFonts w:ascii="Bookman Old Style" w:eastAsia="Calibri" w:hAnsi="Bookman Old Style" w:cs="Arial"/>
          <w:i/>
          <w:sz w:val="22"/>
          <w:szCs w:val="22"/>
          <w:lang w:val="es-CO" w:eastAsia="en-US"/>
        </w:rPr>
        <w:t xml:space="preserve"> </w:t>
      </w:r>
      <w:r w:rsidRPr="00AA4450">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AA4450"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AA4450"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42167A" w:rsidRDefault="0042167A" w:rsidP="0042167A">
      <w:pPr>
        <w:widowControl w:val="0"/>
        <w:ind w:right="284"/>
        <w:jc w:val="both"/>
        <w:rPr>
          <w:rFonts w:ascii="Bookman Old Style" w:eastAsia="Calibri" w:hAnsi="Bookman Old Style" w:cs="Arial"/>
          <w:i/>
          <w:sz w:val="20"/>
          <w:szCs w:val="20"/>
          <w:lang w:val="es-CO" w:eastAsia="en-US"/>
        </w:rPr>
      </w:pPr>
    </w:p>
    <w:tbl>
      <w:tblPr>
        <w:tblW w:w="7245" w:type="dxa"/>
        <w:jc w:val="center"/>
        <w:tblLayout w:type="fixed"/>
        <w:tblCellMar>
          <w:left w:w="0" w:type="dxa"/>
          <w:right w:w="0" w:type="dxa"/>
        </w:tblCellMar>
        <w:tblLook w:val="0000" w:firstRow="0" w:lastRow="0" w:firstColumn="0" w:lastColumn="0" w:noHBand="0" w:noVBand="0"/>
      </w:tblPr>
      <w:tblGrid>
        <w:gridCol w:w="1696"/>
        <w:gridCol w:w="5549"/>
      </w:tblGrid>
      <w:tr w:rsidR="0042167A" w:rsidRPr="0042167A" w:rsidTr="007D554E">
        <w:trPr>
          <w:trHeight w:hRule="exact" w:val="317"/>
          <w:jc w:val="center"/>
        </w:trPr>
        <w:tc>
          <w:tcPr>
            <w:tcW w:w="1696" w:type="dxa"/>
            <w:tcBorders>
              <w:top w:val="single" w:sz="4" w:space="0" w:color="auto"/>
              <w:left w:val="single" w:sz="4" w:space="0" w:color="auto"/>
              <w:bottom w:val="nil"/>
              <w:right w:val="nil"/>
            </w:tcBorders>
            <w:shd w:val="clear" w:color="auto" w:fill="FFFFFF"/>
            <w:vAlign w:val="center"/>
          </w:tcPr>
          <w:p w:rsidR="0042167A" w:rsidRPr="0042167A" w:rsidRDefault="0042167A" w:rsidP="007D554E">
            <w:pPr>
              <w:framePr w:w="6970" w:wrap="notBeside" w:vAnchor="text" w:hAnchor="text" w:xAlign="center" w:y="1"/>
              <w:widowControl w:val="0"/>
              <w:ind w:left="0"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vAlign w:val="center"/>
          </w:tcPr>
          <w:p w:rsidR="0042167A" w:rsidRPr="0042167A" w:rsidRDefault="0042167A" w:rsidP="007D554E">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42167A" w:rsidRPr="0042167A" w:rsidTr="007D554E">
        <w:trPr>
          <w:trHeight w:hRule="exact" w:val="302"/>
          <w:jc w:val="center"/>
        </w:trPr>
        <w:tc>
          <w:tcPr>
            <w:tcW w:w="1696" w:type="dxa"/>
            <w:tcBorders>
              <w:top w:val="single" w:sz="4" w:space="0" w:color="auto"/>
              <w:left w:val="single" w:sz="4" w:space="0" w:color="auto"/>
              <w:bottom w:val="nil"/>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42167A" w:rsidRPr="0042167A" w:rsidTr="007D554E">
        <w:trPr>
          <w:trHeight w:hRule="exact" w:val="317"/>
          <w:jc w:val="center"/>
        </w:trPr>
        <w:tc>
          <w:tcPr>
            <w:tcW w:w="1696" w:type="dxa"/>
            <w:tcBorders>
              <w:top w:val="single" w:sz="4" w:space="0" w:color="auto"/>
              <w:left w:val="single" w:sz="4" w:space="0" w:color="auto"/>
              <w:bottom w:val="nil"/>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42167A" w:rsidRPr="0042167A" w:rsidTr="007D554E">
        <w:trPr>
          <w:trHeight w:hRule="exact" w:val="302"/>
          <w:jc w:val="center"/>
        </w:trPr>
        <w:tc>
          <w:tcPr>
            <w:tcW w:w="1696" w:type="dxa"/>
            <w:tcBorders>
              <w:top w:val="single" w:sz="4" w:space="0" w:color="auto"/>
              <w:left w:val="single" w:sz="4" w:space="0" w:color="auto"/>
              <w:bottom w:val="nil"/>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42167A" w:rsidRPr="0042167A" w:rsidTr="007D554E">
        <w:trPr>
          <w:trHeight w:hRule="exact" w:val="312"/>
          <w:jc w:val="center"/>
        </w:trPr>
        <w:tc>
          <w:tcPr>
            <w:tcW w:w="1696" w:type="dxa"/>
            <w:tcBorders>
              <w:top w:val="single" w:sz="4" w:space="0" w:color="auto"/>
              <w:left w:val="single" w:sz="4" w:space="0" w:color="auto"/>
              <w:bottom w:val="nil"/>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42167A" w:rsidRPr="0042167A" w:rsidTr="007D554E">
        <w:trPr>
          <w:trHeight w:hRule="exact" w:val="317"/>
          <w:jc w:val="center"/>
        </w:trPr>
        <w:tc>
          <w:tcPr>
            <w:tcW w:w="1696" w:type="dxa"/>
            <w:tcBorders>
              <w:top w:val="single" w:sz="4" w:space="0" w:color="auto"/>
              <w:left w:val="single" w:sz="4" w:space="0" w:color="auto"/>
              <w:bottom w:val="nil"/>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42167A" w:rsidRPr="0042167A" w:rsidTr="007D554E">
        <w:trPr>
          <w:trHeight w:hRule="exact" w:val="307"/>
          <w:jc w:val="center"/>
        </w:trPr>
        <w:tc>
          <w:tcPr>
            <w:tcW w:w="1696" w:type="dxa"/>
            <w:tcBorders>
              <w:top w:val="single" w:sz="4" w:space="0" w:color="auto"/>
              <w:left w:val="single" w:sz="4" w:space="0" w:color="auto"/>
              <w:bottom w:val="nil"/>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42167A" w:rsidRPr="0042167A" w:rsidTr="007D554E">
        <w:trPr>
          <w:trHeight w:hRule="exact" w:val="317"/>
          <w:jc w:val="center"/>
        </w:trPr>
        <w:tc>
          <w:tcPr>
            <w:tcW w:w="1696" w:type="dxa"/>
            <w:tcBorders>
              <w:top w:val="single" w:sz="4" w:space="0" w:color="auto"/>
              <w:left w:val="single" w:sz="4" w:space="0" w:color="auto"/>
              <w:bottom w:val="single" w:sz="4" w:space="0" w:color="auto"/>
              <w:right w:val="nil"/>
            </w:tcBorders>
            <w:shd w:val="clear" w:color="auto" w:fill="FFFFFF"/>
            <w:vAlign w:val="bottom"/>
          </w:tcPr>
          <w:p w:rsidR="0042167A" w:rsidRPr="0042167A" w:rsidRDefault="0042167A" w:rsidP="007D554E">
            <w:pPr>
              <w:framePr w:w="6970" w:wrap="notBeside" w:vAnchor="text" w:hAnchor="text" w:xAlign="center" w:y="1"/>
              <w:widowControl w:val="0"/>
              <w:ind w:left="0"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42167A" w:rsidRDefault="0042167A" w:rsidP="007D554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42167A" w:rsidRPr="0042167A" w:rsidRDefault="0042167A" w:rsidP="0042167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42167A" w:rsidRPr="0042167A" w:rsidRDefault="0042167A" w:rsidP="0042167A">
      <w:pPr>
        <w:ind w:left="0" w:right="284"/>
        <w:jc w:val="center"/>
        <w:rPr>
          <w:rFonts w:ascii="Bookman Old Style" w:hAnsi="Bookman Old Style"/>
          <w:i/>
          <w:sz w:val="20"/>
          <w:szCs w:val="20"/>
        </w:rPr>
      </w:pPr>
      <w:r w:rsidRPr="0042167A">
        <w:rPr>
          <w:rFonts w:ascii="Bookman Old Style" w:hAnsi="Bookman Old Style"/>
          <w:i/>
          <w:sz w:val="20"/>
          <w:szCs w:val="20"/>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AA4450" w:rsidRDefault="006D45B0" w:rsidP="006D45B0">
      <w:pPr>
        <w:ind w:right="-91"/>
        <w:jc w:val="both"/>
        <w:rPr>
          <w:rFonts w:ascii="Bookman Old Style" w:eastAsia="MS Mincho" w:hAnsi="Bookman Old Style" w:cs="Arial"/>
          <w:sz w:val="22"/>
          <w:szCs w:val="22"/>
          <w:lang w:eastAsia="en-US"/>
        </w:rPr>
      </w:pPr>
      <w:r w:rsidRPr="00AA4450">
        <w:rPr>
          <w:rFonts w:ascii="Bookman Old Style" w:eastAsia="MS Mincho" w:hAnsi="Bookman Old Style" w:cs="Arial"/>
          <w:b/>
          <w:sz w:val="22"/>
          <w:szCs w:val="22"/>
          <w:lang w:eastAsia="en-US"/>
        </w:rPr>
        <w:t xml:space="preserve">“Artículo 1. Capacidad de Compra: </w:t>
      </w:r>
      <w:r w:rsidR="0042167A" w:rsidRPr="00AA4450">
        <w:rPr>
          <w:rFonts w:ascii="Bookman Old Style" w:eastAsia="MS Mincho" w:hAnsi="Bookman Old Style" w:cs="Arial"/>
          <w:sz w:val="22"/>
          <w:szCs w:val="22"/>
          <w:lang w:eastAsia="en-US"/>
        </w:rPr>
        <w:t xml:space="preserve">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w:t>
      </w:r>
      <w:r w:rsidR="0042167A" w:rsidRPr="00AA4450">
        <w:rPr>
          <w:rFonts w:ascii="Bookman Old Style" w:eastAsia="MS Mincho" w:hAnsi="Bookman Old Style" w:cs="Arial"/>
          <w:sz w:val="22"/>
          <w:szCs w:val="22"/>
          <w:lang w:eastAsia="en-US"/>
        </w:rPr>
        <w:lastRenderedPageBreak/>
        <w:t>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501" w:type="dxa"/>
        <w:jc w:val="center"/>
        <w:tblCellMar>
          <w:left w:w="70" w:type="dxa"/>
          <w:right w:w="70" w:type="dxa"/>
        </w:tblCellMar>
        <w:tblLook w:val="04A0" w:firstRow="1" w:lastRow="0" w:firstColumn="1" w:lastColumn="0" w:noHBand="0" w:noVBand="1"/>
      </w:tblPr>
      <w:tblGrid>
        <w:gridCol w:w="1696"/>
        <w:gridCol w:w="5387"/>
        <w:gridCol w:w="1418"/>
      </w:tblGrid>
      <w:tr w:rsidR="006D45B0" w:rsidRPr="001F7F3A" w:rsidTr="007D554E">
        <w:trPr>
          <w:trHeight w:val="37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7D554E" w:rsidRPr="001F7F3A" w:rsidTr="007D554E">
        <w:trPr>
          <w:trHeight w:val="37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554E" w:rsidRPr="007D554E" w:rsidRDefault="007D554E" w:rsidP="0066171D">
            <w:pPr>
              <w:ind w:left="0"/>
              <w:jc w:val="center"/>
              <w:rPr>
                <w:rFonts w:ascii="Bookman Old Style" w:hAnsi="Bookman Old Style"/>
                <w:bCs/>
                <w:color w:val="000000"/>
                <w:sz w:val="20"/>
                <w:szCs w:val="20"/>
                <w:lang w:val="es-CO" w:eastAsia="es-CO"/>
              </w:rPr>
            </w:pPr>
            <w:r w:rsidRPr="007D554E">
              <w:rPr>
                <w:rFonts w:ascii="Bookman Old Style" w:hAnsi="Bookman Old Style"/>
                <w:bCs/>
                <w:color w:val="000000"/>
                <w:sz w:val="20"/>
                <w:szCs w:val="20"/>
                <w:lang w:val="es-CO" w:eastAsia="es-CO"/>
              </w:rPr>
              <w:t>26219</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7D554E" w:rsidRPr="007D554E" w:rsidRDefault="007D554E" w:rsidP="007D554E">
            <w:pPr>
              <w:ind w:left="0"/>
              <w:rPr>
                <w:rFonts w:ascii="Bookman Old Style" w:hAnsi="Bookman Old Style"/>
                <w:bCs/>
                <w:color w:val="000000"/>
                <w:sz w:val="20"/>
                <w:szCs w:val="20"/>
                <w:lang w:val="es-CO" w:eastAsia="es-CO"/>
              </w:rPr>
            </w:pPr>
            <w:r w:rsidRPr="007D554E">
              <w:rPr>
                <w:rFonts w:ascii="Bookman Old Style" w:hAnsi="Bookman Old Style"/>
                <w:bCs/>
                <w:color w:val="000000"/>
                <w:sz w:val="20"/>
                <w:szCs w:val="20"/>
                <w:lang w:val="es-CO" w:eastAsia="es-CO"/>
              </w:rPr>
              <w:t>GAS EXPRESS COLOMBIA SAS ESP</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D554E" w:rsidRPr="007D554E" w:rsidRDefault="007D554E" w:rsidP="0066171D">
            <w:pPr>
              <w:ind w:left="0"/>
              <w:jc w:val="center"/>
              <w:rPr>
                <w:rFonts w:ascii="Bookman Old Style" w:hAnsi="Bookman Old Style"/>
                <w:bCs/>
                <w:color w:val="000000"/>
                <w:sz w:val="20"/>
                <w:szCs w:val="20"/>
                <w:lang w:val="es-CO" w:eastAsia="es-CO"/>
              </w:rPr>
            </w:pPr>
            <w:r>
              <w:rPr>
                <w:rFonts w:ascii="Bookman Old Style" w:hAnsi="Bookman Old Style"/>
                <w:bCs/>
                <w:color w:val="000000"/>
                <w:sz w:val="20"/>
                <w:szCs w:val="20"/>
                <w:lang w:val="es-CO" w:eastAsia="es-CO"/>
              </w:rPr>
              <w:t>244.953</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AA4450" w:rsidRDefault="0042167A" w:rsidP="006D45B0">
      <w:pPr>
        <w:tabs>
          <w:tab w:val="right" w:pos="9498"/>
        </w:tabs>
        <w:ind w:left="284" w:right="284"/>
        <w:jc w:val="both"/>
        <w:rPr>
          <w:rFonts w:ascii="Bookman Old Style" w:eastAsia="MS Mincho" w:hAnsi="Bookman Old Style" w:cs="Arial"/>
          <w:sz w:val="22"/>
          <w:szCs w:val="22"/>
          <w:lang w:eastAsia="en-US"/>
        </w:rPr>
      </w:pPr>
      <w:r w:rsidRPr="00AA4450">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Pr="00EC3BB2" w:rsidRDefault="0042167A"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901B49">
        <w:rPr>
          <w:rFonts w:ascii="Bookman Old Style" w:hAnsi="Bookman Old Style" w:cs="Arial"/>
          <w:b/>
          <w:spacing w:val="-5"/>
          <w:lang w:val="es-CO" w:eastAsia="en-US"/>
        </w:rPr>
        <w:t xml:space="preserve"> </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w:t>
      </w:r>
      <w:r w:rsidR="00AA6298">
        <w:rPr>
          <w:rFonts w:ascii="Bookman Old Style" w:hAnsi="Bookman Old Style" w:cs="Arial"/>
          <w:spacing w:val="-5"/>
          <w:lang w:val="es-CO" w:eastAsia="en-US"/>
        </w:rPr>
        <w:t xml:space="preserve"> remitida mediante correo electrónico</w:t>
      </w:r>
      <w:r>
        <w:rPr>
          <w:rFonts w:ascii="Bookman Old Style" w:hAnsi="Bookman Old Style" w:cs="Arial"/>
          <w:spacing w:val="-5"/>
          <w:lang w:val="es-CO" w:eastAsia="en-US"/>
        </w:rPr>
        <w:t xml:space="preserve"> con radicado número </w:t>
      </w:r>
      <w:r w:rsidR="0042167A">
        <w:rPr>
          <w:rFonts w:ascii="Bookman Old Style" w:hAnsi="Bookman Old Style" w:cs="Arial"/>
          <w:spacing w:val="-5"/>
          <w:lang w:val="es-CO" w:eastAsia="en-US"/>
        </w:rPr>
        <w:t>E-2018-</w:t>
      </w:r>
      <w:r w:rsidR="0053448E">
        <w:rPr>
          <w:rFonts w:ascii="Bookman Old Style" w:hAnsi="Bookman Old Style" w:cs="Arial"/>
          <w:spacing w:val="-5"/>
          <w:lang w:val="es-CO" w:eastAsia="en-US"/>
        </w:rPr>
        <w:t>004831</w:t>
      </w:r>
      <w:r w:rsidR="0042167A">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53448E">
        <w:rPr>
          <w:rFonts w:ascii="Bookman Old Style" w:hAnsi="Bookman Old Style" w:cs="Arial"/>
          <w:spacing w:val="-5"/>
          <w:lang w:val="es-CO" w:eastAsia="en-US"/>
        </w:rPr>
        <w:t>18</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 xml:space="preserve">epresentante legal de la empresa </w:t>
      </w:r>
      <w:r w:rsidR="0053448E">
        <w:rPr>
          <w:rFonts w:ascii="Bookman Old Style" w:hAnsi="Bookman Old Style" w:cs="Arial"/>
          <w:spacing w:val="-5"/>
          <w:lang w:val="es-CO" w:eastAsia="en-US"/>
        </w:rPr>
        <w:t xml:space="preserve">Gas Express Colombia </w:t>
      </w:r>
      <w:r w:rsidR="0007426D">
        <w:rPr>
          <w:rFonts w:ascii="Bookman Old Style" w:hAnsi="Bookman Old Style" w:cs="Arial"/>
          <w:spacing w:val="-5"/>
          <w:lang w:val="es-CO" w:eastAsia="en-US"/>
        </w:rPr>
        <w:t>S.A.</w:t>
      </w:r>
      <w:r w:rsidR="0053448E">
        <w:rPr>
          <w:rFonts w:ascii="Bookman Old Style" w:hAnsi="Bookman Old Style" w:cs="Arial"/>
          <w:spacing w:val="-5"/>
          <w:lang w:val="es-CO" w:eastAsia="en-US"/>
        </w:rPr>
        <w:t>S.</w:t>
      </w:r>
      <w:r w:rsidR="0007426D">
        <w:rPr>
          <w:rFonts w:ascii="Bookman Old Style" w:hAnsi="Bookman Old Style" w:cs="Arial"/>
          <w:spacing w:val="-5"/>
          <w:lang w:val="es-CO" w:eastAsia="en-US"/>
        </w:rPr>
        <w:t xml:space="preserve"> E.S.P.</w:t>
      </w:r>
      <w:r w:rsidR="00AA629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interpuso recurso de reposici</w:t>
      </w:r>
      <w:r>
        <w:rPr>
          <w:rFonts w:ascii="Bookman Old Style" w:hAnsi="Bookman Old Style" w:cs="Arial"/>
          <w:spacing w:val="-5"/>
          <w:lang w:val="es-CO" w:eastAsia="en-US"/>
        </w:rPr>
        <w:t xml:space="preserve">ón </w:t>
      </w:r>
      <w:r w:rsidR="0053448E">
        <w:rPr>
          <w:rFonts w:ascii="Bookman Old Style" w:hAnsi="Bookman Old Style" w:cs="Arial"/>
          <w:spacing w:val="-5"/>
          <w:lang w:val="es-CO" w:eastAsia="en-US"/>
        </w:rPr>
        <w:t xml:space="preserve">y en subsidio apelación </w:t>
      </w:r>
      <w:r>
        <w:rPr>
          <w:rFonts w:ascii="Bookman Old Style" w:hAnsi="Bookman Old Style" w:cs="Arial"/>
          <w:spacing w:val="-5"/>
          <w:lang w:val="es-CO" w:eastAsia="en-US"/>
        </w:rPr>
        <w:t xml:space="preserve">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901B49" w:rsidRPr="00AA4450" w:rsidRDefault="006D45B0" w:rsidP="0007426D">
      <w:pPr>
        <w:ind w:left="284" w:right="284"/>
        <w:jc w:val="both"/>
        <w:rPr>
          <w:rFonts w:ascii="Bookman Old Style" w:hAnsi="Bookman Old Style" w:cs="Arial"/>
          <w:i/>
          <w:sz w:val="22"/>
          <w:szCs w:val="22"/>
        </w:rPr>
      </w:pPr>
      <w:r w:rsidRPr="00AA4450">
        <w:rPr>
          <w:rFonts w:ascii="Bookman Old Style" w:hAnsi="Bookman Old Style" w:cs="Arial"/>
          <w:i/>
          <w:sz w:val="22"/>
          <w:szCs w:val="22"/>
        </w:rPr>
        <w:t>“</w:t>
      </w:r>
      <w:r w:rsidR="0053448E" w:rsidRPr="00AA4450">
        <w:rPr>
          <w:rFonts w:ascii="Bookman Old Style" w:hAnsi="Bookman Old Style" w:cs="Arial"/>
          <w:i/>
          <w:sz w:val="22"/>
          <w:szCs w:val="22"/>
        </w:rPr>
        <w:t>Solicito, al Señor Director, revocar esta medida, mediante el cual se asignó la capacidad de compra para la empresa GAS EXPRESS COLOMBIA SAS ESP, por considerar que atenta contra nuestra capacidad real de ventas, basada en la información actualizada de los tanques atendidos.</w:t>
      </w:r>
      <w:r w:rsidR="00901B49" w:rsidRPr="00AA4450">
        <w:rPr>
          <w:rFonts w:ascii="Bookman Old Style" w:hAnsi="Bookman Old Style" w:cs="Arial"/>
          <w:i/>
          <w:sz w:val="22"/>
          <w:szCs w:val="22"/>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901B4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5527BE">
        <w:rPr>
          <w:rFonts w:ascii="Bookman Old Style" w:hAnsi="Bookman Old Style" w:cs="Arial"/>
          <w:spacing w:val="-5"/>
          <w:lang w:val="es-CO" w:eastAsia="en-US"/>
        </w:rPr>
        <w:t xml:space="preserve">Gas </w:t>
      </w:r>
      <w:r w:rsidR="00903BA9">
        <w:rPr>
          <w:rFonts w:ascii="Bookman Old Style" w:hAnsi="Bookman Old Style" w:cs="Arial"/>
          <w:spacing w:val="-5"/>
          <w:lang w:val="es-CO" w:eastAsia="en-US"/>
        </w:rPr>
        <w:t>Express</w:t>
      </w:r>
      <w:r w:rsidR="00901B49">
        <w:rPr>
          <w:rFonts w:ascii="Bookman Old Style" w:hAnsi="Bookman Old Style" w:cs="Arial"/>
          <w:spacing w:val="-5"/>
          <w:lang w:val="es-CO" w:eastAsia="en-US"/>
        </w:rPr>
        <w:t xml:space="preserve"> Colombia</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5527BE">
        <w:rPr>
          <w:rFonts w:ascii="Bookman Old Style" w:hAnsi="Bookman Old Style" w:cs="Arial"/>
          <w:spacing w:val="-5"/>
          <w:lang w:val="es-CO" w:eastAsia="en-US"/>
        </w:rPr>
        <w:t>personal</w:t>
      </w:r>
      <w:r w:rsidR="00901B49">
        <w:rPr>
          <w:rFonts w:ascii="Bookman Old Style" w:hAnsi="Bookman Old Style" w:cs="Arial"/>
          <w:spacing w:val="-5"/>
          <w:lang w:val="es-CO" w:eastAsia="en-US"/>
        </w:rPr>
        <w:t xml:space="preserve"> I-2018-</w:t>
      </w:r>
      <w:r w:rsidR="0053448E">
        <w:rPr>
          <w:rFonts w:ascii="Bookman Old Style" w:hAnsi="Bookman Old Style" w:cs="Arial"/>
          <w:spacing w:val="-5"/>
          <w:lang w:val="es-CO" w:eastAsia="en-US"/>
        </w:rPr>
        <w:t>002640</w:t>
      </w:r>
      <w:r w:rsidR="0007426D">
        <w:rPr>
          <w:rFonts w:ascii="Bookman Old Style" w:hAnsi="Bookman Old Style" w:cs="Arial"/>
          <w:spacing w:val="-5"/>
          <w:lang w:val="es-CO" w:eastAsia="en-US"/>
        </w:rPr>
        <w:t xml:space="preserve"> </w:t>
      </w:r>
      <w:r w:rsidR="0053448E">
        <w:rPr>
          <w:rFonts w:ascii="Bookman Old Style" w:hAnsi="Bookman Old Style" w:cs="Arial"/>
          <w:spacing w:val="-5"/>
          <w:lang w:val="es-CO" w:eastAsia="en-US"/>
        </w:rPr>
        <w:t>de 15</w:t>
      </w:r>
      <w:r w:rsidR="00901B49">
        <w:rPr>
          <w:rFonts w:ascii="Bookman Old Style" w:hAnsi="Bookman Old Style" w:cs="Arial"/>
          <w:spacing w:val="-5"/>
          <w:lang w:val="es-CO" w:eastAsia="en-US"/>
        </w:rPr>
        <w:t xml:space="preserve"> de mayo de 2018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sidR="005527BE">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4"/>
      </w:r>
      <w:r w:rsidRPr="00EC3BB2">
        <w:rPr>
          <w:rFonts w:ascii="Bookman Old Style" w:hAnsi="Bookman Old Style" w:cs="Arial"/>
          <w:spacing w:val="-5"/>
          <w:lang w:val="es-CO" w:eastAsia="en-US"/>
        </w:rPr>
        <w:t xml:space="preserve"> de la Ley 1437 de 2011. </w:t>
      </w:r>
    </w:p>
    <w:p w:rsidR="00901B49" w:rsidRPr="00EC3BB2" w:rsidRDefault="00901B49" w:rsidP="00B83F23">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w:t>
      </w:r>
      <w:r w:rsidR="00EC4F34">
        <w:rPr>
          <w:rFonts w:ascii="Bookman Old Style" w:hAnsi="Bookman Old Style" w:cs="Arial"/>
          <w:spacing w:val="-5"/>
          <w:lang w:val="es-CO" w:eastAsia="en-US"/>
        </w:rPr>
        <w:t>el d</w:t>
      </w:r>
      <w:r w:rsidR="0007426D">
        <w:rPr>
          <w:rFonts w:ascii="Bookman Old Style" w:hAnsi="Bookman Old Style" w:cs="Arial"/>
          <w:spacing w:val="-5"/>
          <w:lang w:val="es-CO" w:eastAsia="en-US"/>
        </w:rPr>
        <w:t>ía 9</w:t>
      </w:r>
      <w:r w:rsidR="00EC4F34">
        <w:rPr>
          <w:rFonts w:ascii="Bookman Old Style" w:hAnsi="Bookman Old Style" w:cs="Arial"/>
          <w:spacing w:val="-5"/>
          <w:lang w:val="es-CO" w:eastAsia="en-US"/>
        </w:rPr>
        <w:t xml:space="preserve"> de Mayo de 2018 </w:t>
      </w:r>
      <w:r w:rsidRPr="00EC3BB2">
        <w:rPr>
          <w:rFonts w:ascii="Bookman Old Style" w:hAnsi="Bookman Old Style" w:cs="Arial"/>
          <w:spacing w:val="-5"/>
          <w:lang w:val="es-CO" w:eastAsia="en-US"/>
        </w:rPr>
        <w:t xml:space="preserve">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53448E">
        <w:rPr>
          <w:rFonts w:ascii="Bookman Old Style" w:hAnsi="Bookman Old Style" w:cs="Arial"/>
          <w:spacing w:val="-5"/>
          <w:lang w:val="es-CO" w:eastAsia="en-US"/>
        </w:rPr>
        <w:t>23</w:t>
      </w:r>
      <w:r>
        <w:rPr>
          <w:rFonts w:ascii="Bookman Old Style" w:hAnsi="Bookman Old Style" w:cs="Arial"/>
          <w:spacing w:val="-5"/>
          <w:lang w:val="es-CO" w:eastAsia="en-US"/>
        </w:rPr>
        <w:t xml:space="preserve"> de </w:t>
      </w:r>
      <w:r w:rsidR="00EC4F34">
        <w:rPr>
          <w:rFonts w:ascii="Bookman Old Style" w:hAnsi="Bookman Old Style" w:cs="Arial"/>
          <w:spacing w:val="-5"/>
          <w:lang w:val="es-CO" w:eastAsia="en-US"/>
        </w:rPr>
        <w:t>mayo</w:t>
      </w:r>
      <w:r w:rsidRPr="00EC3BB2">
        <w:rPr>
          <w:rFonts w:ascii="Bookman Old Style" w:hAnsi="Bookman Old Style" w:cs="Arial"/>
          <w:spacing w:val="-5"/>
          <w:lang w:val="es-CO" w:eastAsia="en-US"/>
        </w:rPr>
        <w:t xml:space="preserve"> de</w:t>
      </w:r>
      <w:r w:rsidR="00EC4F34">
        <w:rPr>
          <w:rFonts w:ascii="Bookman Old Style" w:hAnsi="Bookman Old Style" w:cs="Arial"/>
          <w:spacing w:val="-5"/>
          <w:lang w:val="es-CO" w:eastAsia="en-US"/>
        </w:rPr>
        <w:t>l 2018</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07426D" w:rsidRDefault="0007426D" w:rsidP="006D45B0">
      <w:pPr>
        <w:pStyle w:val="Textoindependiente2"/>
        <w:spacing w:after="0" w:line="240" w:lineRule="auto"/>
        <w:ind w:left="-142" w:right="-142"/>
        <w:jc w:val="both"/>
        <w:rPr>
          <w:rFonts w:ascii="Bookman Old Style" w:hAnsi="Bookman Old Style"/>
          <w:szCs w:val="27"/>
        </w:rPr>
      </w:pPr>
    </w:p>
    <w:p w:rsidR="0007426D" w:rsidRDefault="0007426D" w:rsidP="006D45B0">
      <w:pPr>
        <w:pStyle w:val="Textoindependiente2"/>
        <w:spacing w:after="0" w:line="240" w:lineRule="auto"/>
        <w:ind w:left="-142" w:right="-142"/>
        <w:jc w:val="both"/>
        <w:rPr>
          <w:rFonts w:ascii="Bookman Old Style" w:hAnsi="Bookman Old Style"/>
          <w:b/>
          <w:szCs w:val="27"/>
        </w:rPr>
      </w:pPr>
      <w:r w:rsidRPr="0007426D">
        <w:rPr>
          <w:rFonts w:ascii="Bookman Old Style" w:hAnsi="Bookman Old Style"/>
          <w:b/>
          <w:szCs w:val="27"/>
        </w:rPr>
        <w:t>2. Fundamentos del recurso</w:t>
      </w:r>
    </w:p>
    <w:p w:rsidR="0007426D" w:rsidRDefault="0007426D" w:rsidP="006D45B0">
      <w:pPr>
        <w:pStyle w:val="Textoindependiente2"/>
        <w:spacing w:after="0" w:line="240" w:lineRule="auto"/>
        <w:ind w:left="-142" w:right="-142"/>
        <w:jc w:val="both"/>
        <w:rPr>
          <w:rFonts w:ascii="Bookman Old Style" w:hAnsi="Bookman Old Style"/>
          <w:szCs w:val="27"/>
        </w:rPr>
      </w:pPr>
      <w:r w:rsidRPr="0007426D">
        <w:rPr>
          <w:rFonts w:ascii="Bookman Old Style" w:hAnsi="Bookman Old Style"/>
          <w:szCs w:val="27"/>
        </w:rPr>
        <w:lastRenderedPageBreak/>
        <w:t xml:space="preserve">Los argumentos del recurso de reposición interpuesto por </w:t>
      </w:r>
      <w:r>
        <w:rPr>
          <w:rFonts w:ascii="Bookman Old Style" w:hAnsi="Bookman Old Style"/>
          <w:szCs w:val="27"/>
        </w:rPr>
        <w:t xml:space="preserve">la empresa </w:t>
      </w:r>
      <w:r w:rsidR="0053448E">
        <w:rPr>
          <w:rFonts w:ascii="Bookman Old Style" w:hAnsi="Bookman Old Style"/>
          <w:szCs w:val="27"/>
        </w:rPr>
        <w:t>Gas Express Colombia</w:t>
      </w:r>
      <w:r w:rsidRPr="0007426D">
        <w:rPr>
          <w:rFonts w:ascii="Bookman Old Style" w:hAnsi="Bookman Old Style"/>
          <w:szCs w:val="27"/>
        </w:rPr>
        <w:t xml:space="preserve"> hacen referencia a lo siguiente:</w:t>
      </w:r>
    </w:p>
    <w:p w:rsidR="00AA4450" w:rsidRDefault="00AA4450" w:rsidP="006D45B0">
      <w:pPr>
        <w:pStyle w:val="Textoindependiente2"/>
        <w:spacing w:after="0" w:line="240" w:lineRule="auto"/>
        <w:ind w:left="-142" w:right="-142"/>
        <w:jc w:val="both"/>
        <w:rPr>
          <w:rFonts w:ascii="Bookman Old Style" w:hAnsi="Bookman Old Style"/>
          <w:szCs w:val="27"/>
        </w:rPr>
      </w:pPr>
    </w:p>
    <w:p w:rsidR="0053448E" w:rsidRPr="0053448E" w:rsidRDefault="003160E7" w:rsidP="0053448E">
      <w:pPr>
        <w:ind w:left="284" w:right="284"/>
        <w:jc w:val="both"/>
        <w:rPr>
          <w:rFonts w:ascii="Bookman Old Style" w:hAnsi="Bookman Old Style"/>
          <w:bCs/>
          <w:i/>
          <w:sz w:val="22"/>
          <w:szCs w:val="22"/>
          <w:lang w:val="es-CO"/>
        </w:rPr>
      </w:pPr>
      <w:r w:rsidRPr="007A6C4F">
        <w:rPr>
          <w:rFonts w:ascii="Bookman Old Style" w:hAnsi="Bookman Old Style"/>
          <w:bCs/>
          <w:i/>
          <w:sz w:val="22"/>
          <w:szCs w:val="22"/>
          <w:lang w:val="es-CO"/>
        </w:rPr>
        <w:t xml:space="preserve">“(…) </w:t>
      </w:r>
      <w:r w:rsidR="0053448E" w:rsidRPr="0053448E">
        <w:rPr>
          <w:rFonts w:ascii="Bookman Old Style" w:hAnsi="Bookman Old Style"/>
          <w:bCs/>
          <w:i/>
          <w:sz w:val="22"/>
          <w:szCs w:val="22"/>
          <w:lang w:val="es-CO"/>
        </w:rPr>
        <w:t>1. La Empresa GAS EXPRESS COLOMBIA SAS ESP, como es conocido, ha presentado la información oportunamente ante el SISTEMA UNICO DE INFORMACION SUI de la superintendencia de servicio públicos domiciliarios así:</w:t>
      </w:r>
    </w:p>
    <w:p w:rsidR="0053448E" w:rsidRPr="0053448E" w:rsidRDefault="0053448E" w:rsidP="0053448E">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Fecha de cargue de tanques estacionarios al Sistema de Información SUI.</w:t>
      </w:r>
    </w:p>
    <w:p w:rsidR="0053448E" w:rsidRDefault="0053448E" w:rsidP="0053448E">
      <w:pPr>
        <w:ind w:left="284" w:right="284"/>
        <w:jc w:val="both"/>
        <w:rPr>
          <w:rFonts w:ascii="Bookman Old Style" w:hAnsi="Bookman Old Style"/>
          <w:bCs/>
          <w:i/>
          <w:sz w:val="22"/>
          <w:szCs w:val="22"/>
          <w:lang w:val="es-CO"/>
        </w:rPr>
      </w:pPr>
    </w:p>
    <w:p w:rsidR="0053448E" w:rsidRDefault="0053448E" w:rsidP="0053448E">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La cual correspondía al cuarto trimestre periodo octubre-diciembre del año 2017 reportando un total de 200 tan</w:t>
      </w:r>
      <w:r>
        <w:rPr>
          <w:rFonts w:ascii="Bookman Old Style" w:hAnsi="Bookman Old Style"/>
          <w:bCs/>
          <w:i/>
          <w:sz w:val="22"/>
          <w:szCs w:val="22"/>
          <w:lang w:val="es-CO"/>
        </w:rPr>
        <w:t>ques estacionarios formato C-10 información técnica y</w:t>
      </w:r>
      <w:r w:rsidRPr="0053448E">
        <w:rPr>
          <w:rFonts w:ascii="Bookman Old Style" w:hAnsi="Bookman Old Style"/>
          <w:bCs/>
          <w:i/>
          <w:sz w:val="22"/>
          <w:szCs w:val="22"/>
          <w:lang w:val="es-CO"/>
        </w:rPr>
        <w:t xml:space="preserve"> por el</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contrario se presentó el prim</w:t>
      </w:r>
      <w:r>
        <w:rPr>
          <w:rFonts w:ascii="Bookman Old Style" w:hAnsi="Bookman Old Style"/>
          <w:bCs/>
          <w:i/>
          <w:sz w:val="22"/>
          <w:szCs w:val="22"/>
          <w:lang w:val="es-CO"/>
        </w:rPr>
        <w:t>er trimestre del año 2018 enero</w:t>
      </w:r>
      <w:r w:rsidRPr="0053448E">
        <w:rPr>
          <w:rFonts w:ascii="Bookman Old Style" w:hAnsi="Bookman Old Style"/>
          <w:bCs/>
          <w:i/>
          <w:sz w:val="22"/>
          <w:szCs w:val="22"/>
          <w:lang w:val="es-CO"/>
        </w:rPr>
        <w:t xml:space="preserve"> marzo de 2018 reportando un total de 285 tanques estacionarios con una capacidad total</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227.442</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galones,</w:t>
      </w:r>
      <w:r>
        <w:rPr>
          <w:rFonts w:ascii="Bookman Old Style" w:hAnsi="Bookman Old Style"/>
          <w:bCs/>
          <w:i/>
          <w:sz w:val="22"/>
          <w:szCs w:val="22"/>
          <w:lang w:val="es-CO"/>
        </w:rPr>
        <w:t xml:space="preserve"> reportado al SUI mediante el f</w:t>
      </w:r>
      <w:r w:rsidRPr="0053448E">
        <w:rPr>
          <w:rFonts w:ascii="Bookman Old Style" w:hAnsi="Bookman Old Style"/>
          <w:bCs/>
          <w:i/>
          <w:sz w:val="22"/>
          <w:szCs w:val="22"/>
          <w:lang w:val="es-CO"/>
        </w:rPr>
        <w:t>ormato</w:t>
      </w:r>
      <w:r>
        <w:rPr>
          <w:rFonts w:ascii="Bookman Old Style" w:hAnsi="Bookman Old Style"/>
          <w:bCs/>
          <w:i/>
          <w:sz w:val="22"/>
          <w:szCs w:val="22"/>
          <w:lang w:val="es-CO"/>
        </w:rPr>
        <w:t xml:space="preserve"> C-</w:t>
      </w:r>
      <w:r w:rsidRPr="0053448E">
        <w:rPr>
          <w:rFonts w:ascii="Bookman Old Style" w:hAnsi="Bookman Old Style"/>
          <w:bCs/>
          <w:i/>
          <w:sz w:val="22"/>
          <w:szCs w:val="22"/>
          <w:lang w:val="es-CO"/>
        </w:rPr>
        <w:t>10 información técnica presentado el</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día abril 14 de 2018</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que es</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base para el cálculo de la capacidad de compra del año 2018</w:t>
      </w:r>
      <w:r>
        <w:rPr>
          <w:rFonts w:ascii="Bookman Old Style" w:hAnsi="Bookman Old Style"/>
          <w:bCs/>
          <w:i/>
          <w:sz w:val="22"/>
          <w:szCs w:val="22"/>
          <w:lang w:val="es-CO"/>
        </w:rPr>
        <w:t xml:space="preserve"> (…)</w:t>
      </w:r>
    </w:p>
    <w:p w:rsidR="0053448E" w:rsidRDefault="0053448E" w:rsidP="0053448E">
      <w:pPr>
        <w:ind w:left="284" w:right="284"/>
        <w:jc w:val="both"/>
        <w:rPr>
          <w:rFonts w:ascii="Bookman Old Style" w:hAnsi="Bookman Old Style"/>
          <w:bCs/>
          <w:i/>
          <w:sz w:val="22"/>
          <w:szCs w:val="22"/>
          <w:lang w:val="es-CO"/>
        </w:rPr>
      </w:pPr>
    </w:p>
    <w:p w:rsidR="0053448E" w:rsidRPr="0053448E" w:rsidRDefault="0053448E" w:rsidP="0053448E">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Invoco la Resolución 063 de 2016 de la entidad CREG. LA CUAL DEFINE LOS PARAMETROS PARA EL RESPECTIVO CALCULO DE CAPACIDAD DE COMPRA PARA EL DISTRIBUIDOR DE GLP.</w:t>
      </w:r>
      <w:r>
        <w:rPr>
          <w:rFonts w:ascii="Bookman Old Style" w:hAnsi="Bookman Old Style"/>
          <w:bCs/>
          <w:i/>
          <w:sz w:val="22"/>
          <w:szCs w:val="22"/>
          <w:lang w:val="es-CO"/>
        </w:rPr>
        <w:t xml:space="preserve"> (…)</w:t>
      </w:r>
    </w:p>
    <w:p w:rsidR="0053448E" w:rsidRDefault="0053448E" w:rsidP="007A6C4F">
      <w:pPr>
        <w:ind w:left="284" w:right="284"/>
        <w:jc w:val="both"/>
        <w:rPr>
          <w:rFonts w:ascii="Bookman Old Style" w:hAnsi="Bookman Old Style"/>
          <w:bCs/>
          <w:i/>
          <w:sz w:val="22"/>
          <w:szCs w:val="22"/>
          <w:lang w:val="es-CO"/>
        </w:rPr>
      </w:pPr>
    </w:p>
    <w:p w:rsidR="0053448E" w:rsidRDefault="0053448E" w:rsidP="007A6C4F">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Por la</w:t>
      </w:r>
      <w:r>
        <w:rPr>
          <w:rFonts w:ascii="Bookman Old Style" w:hAnsi="Bookman Old Style"/>
          <w:bCs/>
          <w:i/>
          <w:sz w:val="22"/>
          <w:szCs w:val="22"/>
          <w:lang w:val="es-CO"/>
        </w:rPr>
        <w:t>s</w:t>
      </w:r>
      <w:r w:rsidRPr="0053448E">
        <w:rPr>
          <w:rFonts w:ascii="Bookman Old Style" w:hAnsi="Bookman Old Style"/>
          <w:bCs/>
          <w:i/>
          <w:sz w:val="22"/>
          <w:szCs w:val="22"/>
          <w:lang w:val="es-CO"/>
        </w:rPr>
        <w:t xml:space="preserve"> anteriores razones solicitamos sea revocada esta esta medida, y sea aplicada con base en la información cargada el día 14 abril de 2018 al SUI</w:t>
      </w:r>
    </w:p>
    <w:p w:rsidR="0053448E" w:rsidRDefault="0053448E" w:rsidP="007A6C4F">
      <w:pPr>
        <w:ind w:left="284" w:right="284"/>
        <w:jc w:val="both"/>
        <w:rPr>
          <w:rFonts w:ascii="Bookman Old Style" w:hAnsi="Bookman Old Style"/>
          <w:bCs/>
          <w:i/>
          <w:sz w:val="22"/>
          <w:szCs w:val="22"/>
          <w:lang w:val="es-CO"/>
        </w:rPr>
      </w:pPr>
    </w:p>
    <w:p w:rsidR="0053448E" w:rsidRPr="0053448E" w:rsidRDefault="0053448E" w:rsidP="0053448E">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 xml:space="preserve">Cabe anotar que la empresa GAS EXPRESS DE COLOMBIA SAS., ha tenido el siguiente comportamiento en las ventas de la siguiente manera durante el </w:t>
      </w:r>
      <w:r>
        <w:rPr>
          <w:rFonts w:ascii="Bookman Old Style" w:hAnsi="Bookman Old Style"/>
          <w:bCs/>
          <w:i/>
          <w:sz w:val="22"/>
          <w:szCs w:val="22"/>
          <w:lang w:val="es-CO"/>
        </w:rPr>
        <w:t>año 2018 así (…)</w:t>
      </w:r>
      <w:r w:rsidRPr="0053448E">
        <w:rPr>
          <w:rFonts w:ascii="Bookman Old Style" w:hAnsi="Bookman Old Style"/>
          <w:bCs/>
          <w:i/>
          <w:sz w:val="22"/>
          <w:szCs w:val="22"/>
          <w:lang w:val="es-CO"/>
        </w:rPr>
        <w:t xml:space="preserve"> </w:t>
      </w:r>
    </w:p>
    <w:p w:rsidR="0053448E" w:rsidRPr="0053448E" w:rsidRDefault="0053448E" w:rsidP="0053448E">
      <w:pPr>
        <w:ind w:left="0" w:right="284"/>
        <w:jc w:val="both"/>
        <w:rPr>
          <w:rFonts w:ascii="Bookman Old Style" w:hAnsi="Bookman Old Style"/>
          <w:bCs/>
          <w:i/>
          <w:sz w:val="22"/>
          <w:szCs w:val="22"/>
          <w:lang w:val="es-CO"/>
        </w:rPr>
      </w:pPr>
    </w:p>
    <w:p w:rsidR="0053448E" w:rsidRPr="0053448E" w:rsidRDefault="0053448E" w:rsidP="0053448E">
      <w:pPr>
        <w:ind w:left="284" w:right="284"/>
        <w:jc w:val="both"/>
        <w:rPr>
          <w:rFonts w:ascii="Bookman Old Style" w:hAnsi="Bookman Old Style"/>
          <w:bCs/>
          <w:i/>
          <w:sz w:val="22"/>
          <w:szCs w:val="22"/>
          <w:lang w:val="es-CO"/>
        </w:rPr>
      </w:pPr>
      <w:r>
        <w:rPr>
          <w:rFonts w:ascii="Bookman Old Style" w:hAnsi="Bookman Old Style"/>
          <w:bCs/>
          <w:i/>
          <w:sz w:val="22"/>
          <w:szCs w:val="22"/>
          <w:lang w:val="es-CO"/>
        </w:rPr>
        <w:t>Lo</w:t>
      </w:r>
      <w:r w:rsidRPr="0053448E">
        <w:rPr>
          <w:rFonts w:ascii="Bookman Old Style" w:hAnsi="Bookman Old Style"/>
          <w:bCs/>
          <w:i/>
          <w:sz w:val="22"/>
          <w:szCs w:val="22"/>
          <w:lang w:val="es-CO"/>
        </w:rPr>
        <w:t xml:space="preserve"> anterior demuestra que la empresa ha realizado una importante inversión en tanques para cumplir las necesidades y esencias del mercado</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actual</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a</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los</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usuarios finales.</w:t>
      </w:r>
    </w:p>
    <w:p w:rsidR="0053448E" w:rsidRDefault="0053448E" w:rsidP="0053448E">
      <w:pPr>
        <w:ind w:left="284" w:right="284"/>
        <w:jc w:val="both"/>
        <w:rPr>
          <w:rFonts w:ascii="Bookman Old Style" w:hAnsi="Bookman Old Style"/>
          <w:bCs/>
          <w:i/>
          <w:sz w:val="22"/>
          <w:szCs w:val="22"/>
          <w:lang w:val="es-CO"/>
        </w:rPr>
      </w:pPr>
    </w:p>
    <w:p w:rsidR="0053448E" w:rsidRDefault="0053448E" w:rsidP="0053448E">
      <w:pPr>
        <w:ind w:left="284" w:right="284"/>
        <w:jc w:val="both"/>
        <w:rPr>
          <w:rFonts w:ascii="Bookman Old Style" w:hAnsi="Bookman Old Style"/>
          <w:bCs/>
          <w:i/>
          <w:sz w:val="22"/>
          <w:szCs w:val="22"/>
          <w:lang w:val="es-CO"/>
        </w:rPr>
      </w:pPr>
      <w:r>
        <w:rPr>
          <w:rFonts w:ascii="Bookman Old Style" w:hAnsi="Bookman Old Style"/>
          <w:bCs/>
          <w:i/>
          <w:sz w:val="22"/>
          <w:szCs w:val="22"/>
          <w:lang w:val="es-CO"/>
        </w:rPr>
        <w:t>Basados en el obj</w:t>
      </w:r>
      <w:r w:rsidRPr="0053448E">
        <w:rPr>
          <w:rFonts w:ascii="Bookman Old Style" w:hAnsi="Bookman Old Style"/>
          <w:bCs/>
          <w:i/>
          <w:sz w:val="22"/>
          <w:szCs w:val="22"/>
          <w:lang w:val="es-CO"/>
        </w:rPr>
        <w:t>eto social de la compañía esta medida la empresa se ve abocada al no</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poder cumplir con los respectivos contratos que</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se</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tienen con los usuarios finales, lo</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cual acarrea</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unos sobrecostos de pólizas</w:t>
      </w:r>
      <w:r>
        <w:rPr>
          <w:rFonts w:ascii="Bookman Old Style" w:hAnsi="Bookman Old Style"/>
          <w:bCs/>
          <w:i/>
          <w:sz w:val="22"/>
          <w:szCs w:val="22"/>
          <w:lang w:val="es-CO"/>
        </w:rPr>
        <w:t xml:space="preserve"> </w:t>
      </w:r>
      <w:r w:rsidRPr="0053448E">
        <w:rPr>
          <w:rFonts w:ascii="Bookman Old Style" w:hAnsi="Bookman Old Style"/>
          <w:bCs/>
          <w:i/>
          <w:sz w:val="22"/>
          <w:szCs w:val="22"/>
          <w:lang w:val="es-CO"/>
        </w:rPr>
        <w:t xml:space="preserve">de cumplimiento al igual que el retomo de la inversión que realizo la compañía en la adquisición de </w:t>
      </w:r>
      <w:r>
        <w:rPr>
          <w:rFonts w:ascii="Bookman Old Style" w:hAnsi="Bookman Old Style"/>
          <w:bCs/>
          <w:i/>
          <w:sz w:val="22"/>
          <w:szCs w:val="22"/>
          <w:lang w:val="es-CO"/>
        </w:rPr>
        <w:t>los nuevos tanques que adquirió (…)</w:t>
      </w:r>
    </w:p>
    <w:p w:rsidR="0053448E" w:rsidRPr="0053448E" w:rsidRDefault="0053448E" w:rsidP="0053448E">
      <w:pPr>
        <w:ind w:left="284" w:right="284"/>
        <w:jc w:val="both"/>
        <w:rPr>
          <w:rFonts w:ascii="Bookman Old Style" w:hAnsi="Bookman Old Style"/>
          <w:bCs/>
          <w:i/>
          <w:sz w:val="22"/>
          <w:szCs w:val="22"/>
          <w:lang w:val="es-CO"/>
        </w:rPr>
      </w:pPr>
    </w:p>
    <w:p w:rsidR="0053448E" w:rsidRDefault="0053448E" w:rsidP="0053448E">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PRUEBAS</w:t>
      </w:r>
    </w:p>
    <w:p w:rsidR="0053448E" w:rsidRPr="0053448E" w:rsidRDefault="0053448E" w:rsidP="0053448E">
      <w:pPr>
        <w:ind w:left="284" w:right="284"/>
        <w:jc w:val="both"/>
        <w:rPr>
          <w:rFonts w:ascii="Bookman Old Style" w:hAnsi="Bookman Old Style"/>
          <w:bCs/>
          <w:i/>
          <w:sz w:val="22"/>
          <w:szCs w:val="22"/>
          <w:lang w:val="es-CO"/>
        </w:rPr>
      </w:pPr>
    </w:p>
    <w:p w:rsidR="0053448E" w:rsidRDefault="0053448E" w:rsidP="0053448E">
      <w:pPr>
        <w:ind w:left="284" w:right="284"/>
        <w:jc w:val="both"/>
        <w:rPr>
          <w:rFonts w:ascii="Bookman Old Style" w:hAnsi="Bookman Old Style"/>
          <w:bCs/>
          <w:i/>
          <w:sz w:val="22"/>
          <w:szCs w:val="22"/>
          <w:lang w:val="es-CO"/>
        </w:rPr>
      </w:pPr>
      <w:r w:rsidRPr="0053448E">
        <w:rPr>
          <w:rFonts w:ascii="Bookman Old Style" w:hAnsi="Bookman Old Style"/>
          <w:bCs/>
          <w:i/>
          <w:sz w:val="22"/>
          <w:szCs w:val="22"/>
          <w:lang w:val="es-CO"/>
        </w:rPr>
        <w:t>Solicito se tenga en cuenta LA INFORMACION REPORTADA COMO BASE PARA EL CALCULO DE LA CAPACIDAD DE COMPRA, el reporte del SUI formato C-10 PRESENTADO EL DIA 14 DE ABRIL DE 2018.</w:t>
      </w:r>
      <w:r>
        <w:rPr>
          <w:rFonts w:ascii="Bookman Old Style" w:hAnsi="Bookman Old Style"/>
          <w:bCs/>
          <w:i/>
          <w:sz w:val="22"/>
          <w:szCs w:val="22"/>
          <w:lang w:val="es-CO"/>
        </w:rPr>
        <w:t>”</w:t>
      </w:r>
    </w:p>
    <w:p w:rsidR="007A6C4F" w:rsidRDefault="007A6C4F" w:rsidP="0053448E">
      <w:pPr>
        <w:ind w:left="0" w:right="-142"/>
        <w:jc w:val="both"/>
        <w:rPr>
          <w:rFonts w:ascii="Bookman Old Style" w:hAnsi="Bookman Old Style"/>
          <w:b/>
          <w:szCs w:val="27"/>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EC4F34">
        <w:rPr>
          <w:rFonts w:ascii="Bookman Old Style" w:hAnsi="Bookman Old Style"/>
          <w:szCs w:val="27"/>
        </w:rPr>
        <w:t xml:space="preserve"> </w:t>
      </w:r>
      <w:r w:rsidRPr="006C0EE5">
        <w:rPr>
          <w:rFonts w:ascii="Bookman Old Style" w:hAnsi="Bookman Old Style"/>
          <w:szCs w:val="27"/>
        </w:rPr>
        <w:t>remitida por la Superintendencia de Servicios Públicos Domiciliaras a efectos de</w:t>
      </w:r>
      <w:r>
        <w:rPr>
          <w:rFonts w:ascii="Bookman Old Style" w:hAnsi="Bookman Old Style"/>
          <w:szCs w:val="27"/>
        </w:rPr>
        <w:t xml:space="preserve"> definir la capacidad de compra</w:t>
      </w:r>
      <w:r w:rsidR="00EC4F34" w:rsidRPr="00EC4F34">
        <w:rPr>
          <w:rFonts w:ascii="Bookman Old Style" w:hAnsi="Bookman Old Style"/>
          <w:szCs w:val="27"/>
        </w:rPr>
        <w:t xml:space="preserve"> </w:t>
      </w:r>
      <w:r w:rsidR="00EC4F34">
        <w:rPr>
          <w:rFonts w:ascii="Bookman Old Style" w:hAnsi="Bookman Old Style"/>
          <w:szCs w:val="27"/>
        </w:rPr>
        <w:t xml:space="preserve">por la existencia de </w:t>
      </w:r>
      <w:r w:rsidR="005527BE">
        <w:rPr>
          <w:rFonts w:ascii="Bookman Old Style" w:hAnsi="Bookman Old Style"/>
          <w:szCs w:val="27"/>
        </w:rPr>
        <w:t xml:space="preserve"> un cargue de información de activos de tanques estacionarios</w:t>
      </w:r>
      <w:r w:rsidR="00EC4F34" w:rsidRPr="006C0EE5">
        <w:rPr>
          <w:rFonts w:ascii="Bookman Old Style" w:hAnsi="Bookman Old Style"/>
          <w:szCs w:val="27"/>
        </w:rPr>
        <w:t>,</w:t>
      </w:r>
      <w:r w:rsidR="00EC4F34">
        <w:rPr>
          <w:rFonts w:ascii="Bookman Old Style" w:hAnsi="Bookman Old Style"/>
          <w:szCs w:val="27"/>
        </w:rPr>
        <w:t xml:space="preserve"> adjuntando los soportes 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w:t>
      </w:r>
      <w:r w:rsidRPr="006C0EE5">
        <w:rPr>
          <w:rFonts w:ascii="Bookman Old Style" w:hAnsi="Bookman Old Style"/>
          <w:szCs w:val="27"/>
        </w:rPr>
        <w:lastRenderedPageBreak/>
        <w:t xml:space="preserve">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Para el efecto se remitirá a la Superintendencia la información del archivo Excel correspondiente a la comunicación 20182300380931, con radicado CREG E-2018-003033 de 3 de abril de 2018, así como copia de los recursos de reposición interpuestos en contra de la Resolución CREG 048 de 2018. </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C4F34" w:rsidRPr="00EC4F34" w:rsidRDefault="00EC4F34"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A177E5">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distribuidor y su capacidad en galones correspondiente al año 2017 de acuerdo con lo 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lastRenderedPageBreak/>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7D554E">
        <w:rPr>
          <w:rFonts w:ascii="Bookman Old Style" w:hAnsi="Bookman Old Style"/>
          <w:szCs w:val="27"/>
        </w:rPr>
        <w:t>005867</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92542B">
        <w:rPr>
          <w:rFonts w:ascii="Bookman Old Style" w:hAnsi="Bookman Old Style"/>
          <w:szCs w:val="27"/>
        </w:rPr>
        <w:t>Gas Express de Colombia</w:t>
      </w:r>
      <w:r w:rsidR="007A6C4F">
        <w:rPr>
          <w:rFonts w:ascii="Bookman Old Style" w:hAnsi="Bookman Old Style"/>
          <w:szCs w:val="27"/>
        </w:rPr>
        <w:t xml:space="preserve"> </w:t>
      </w:r>
      <w:r w:rsidRPr="006C0EE5">
        <w:rPr>
          <w:rFonts w:ascii="Bookman Old Style" w:hAnsi="Bookman Old Style"/>
          <w:szCs w:val="27"/>
        </w:rPr>
        <w:t xml:space="preserve">en su recurso frente a la Resolución CREG </w:t>
      </w:r>
      <w:r w:rsidR="00EC4F34">
        <w:rPr>
          <w:rFonts w:ascii="Bookman Old Style" w:hAnsi="Bookman Old Style"/>
          <w:szCs w:val="27"/>
        </w:rPr>
        <w:t>048</w:t>
      </w:r>
      <w:r w:rsidR="007A6C4F">
        <w:rPr>
          <w:rFonts w:ascii="Bookman Old Style" w:hAnsi="Bookman Old Style"/>
          <w:szCs w:val="27"/>
        </w:rPr>
        <w:t xml:space="preserve"> de 2018</w:t>
      </w:r>
      <w:r w:rsidRPr="006C0EE5">
        <w:rPr>
          <w:rFonts w:ascii="Bookman Old Style" w:hAnsi="Bookman Old Style"/>
          <w:szCs w:val="27"/>
        </w:rPr>
        <w:t>.</w:t>
      </w:r>
    </w:p>
    <w:p w:rsidR="007A6C4F" w:rsidRDefault="007A6C4F"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sidR="00FD3E8A">
        <w:rPr>
          <w:rFonts w:ascii="Bookman Old Style" w:hAnsi="Bookman Old Style"/>
          <w:szCs w:val="27"/>
        </w:rPr>
        <w:t xml:space="preserve">empresa </w:t>
      </w:r>
      <w:r w:rsidR="0092542B">
        <w:rPr>
          <w:rFonts w:ascii="Bookman Old Style" w:hAnsi="Bookman Old Style"/>
          <w:szCs w:val="27"/>
        </w:rPr>
        <w:t>Gas Express de Colombia</w:t>
      </w:r>
      <w:r>
        <w:rPr>
          <w:rFonts w:ascii="Bookman Old Style" w:hAnsi="Bookman Old Style"/>
          <w:szCs w:val="27"/>
        </w:rPr>
        <w:t xml:space="preserve">, toda vez que considera que existen diferencias en la información a nivel de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BD44AA">
        <w:rPr>
          <w:rFonts w:ascii="Bookman Old Style" w:hAnsi="Bookman Old Style"/>
          <w:szCs w:val="27"/>
        </w:rPr>
        <w:t>t</w:t>
      </w:r>
      <w:r w:rsidR="00D21FA2">
        <w:rPr>
          <w:rFonts w:ascii="Bookman Old Style" w:hAnsi="Bookman Old Style"/>
          <w:szCs w:val="27"/>
        </w:rPr>
        <w:t>anques estacionarios realizado por esta empresa</w:t>
      </w:r>
      <w:r w:rsidR="00FD3E8A">
        <w:rPr>
          <w:rFonts w:ascii="Bookman Old Style" w:hAnsi="Bookman Old Style"/>
          <w:szCs w:val="27"/>
        </w:rPr>
        <w:t xml:space="preserve"> de acuerdo con los soportes anexados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970C09">
        <w:rPr>
          <w:rFonts w:ascii="Bookman Old Style" w:eastAsia="MS Mincho" w:hAnsi="Bookman Old Style" w:cs="Arial"/>
          <w:vertAlign w:val="superscript"/>
          <w:lang w:val="es-ES_tradnl" w:eastAsia="en-US"/>
        </w:rPr>
        <w:footnoteReference w:id="6"/>
      </w:r>
      <w:r w:rsidRPr="00970C09">
        <w:rPr>
          <w:rFonts w:ascii="Bookman Old Style" w:eastAsia="MS Mincho" w:hAnsi="Bookman Old Style" w:cs="Arial"/>
          <w:vertAlign w:val="superscript"/>
          <w:lang w:val="es-ES_tradnl" w:eastAsia="en-US"/>
        </w:rPr>
        <w:t>.</w:t>
      </w:r>
      <w:r w:rsidRPr="0042167A">
        <w:rPr>
          <w:rFonts w:ascii="Bookman Old Style" w:eastAsia="MS Mincho" w:hAnsi="Bookman Old Style" w:cs="Arial"/>
          <w:lang w:val="es-ES_tradnl" w:eastAsia="en-US"/>
        </w:rPr>
        <w:t xml:space="preserve">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lastRenderedPageBreak/>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AA4450" w:rsidRDefault="00BD44AA" w:rsidP="00BD44AA">
      <w:pPr>
        <w:ind w:right="284"/>
        <w:jc w:val="both"/>
        <w:rPr>
          <w:rFonts w:ascii="Bookman Old Style" w:hAnsi="Bookman Old Style"/>
          <w:i/>
          <w:sz w:val="22"/>
          <w:szCs w:val="22"/>
        </w:rPr>
      </w:pPr>
      <w:r w:rsidRPr="00AA445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AA4450" w:rsidRDefault="00BD44AA" w:rsidP="00BD44AA">
      <w:pPr>
        <w:ind w:right="284"/>
        <w:jc w:val="both"/>
        <w:rPr>
          <w:rFonts w:ascii="Bookman Old Style" w:hAnsi="Bookman Old Style"/>
          <w:i/>
          <w:sz w:val="22"/>
          <w:szCs w:val="22"/>
        </w:rPr>
      </w:pPr>
    </w:p>
    <w:p w:rsidR="00BD44AA" w:rsidRPr="00AA4450" w:rsidRDefault="00BD44AA" w:rsidP="00BD44AA">
      <w:pPr>
        <w:numPr>
          <w:ilvl w:val="0"/>
          <w:numId w:val="6"/>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Fecha de consulta de información: 26 de marzo de 2018.</w:t>
      </w:r>
    </w:p>
    <w:p w:rsidR="00BD44AA" w:rsidRPr="00AA4450" w:rsidRDefault="00BD44AA" w:rsidP="00BD44AA">
      <w:pPr>
        <w:numPr>
          <w:ilvl w:val="0"/>
          <w:numId w:val="6"/>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En el CD adjunto, se encuentran dos carpetas así:</w:t>
      </w:r>
    </w:p>
    <w:p w:rsidR="00BD44AA" w:rsidRPr="00AA4450" w:rsidRDefault="00BD44AA" w:rsidP="00BD44AA">
      <w:pPr>
        <w:numPr>
          <w:ilvl w:val="0"/>
          <w:numId w:val="5"/>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BD44AA" w:rsidRPr="00AA4450" w:rsidRDefault="00BD44AA" w:rsidP="00BD44AA">
      <w:pPr>
        <w:numPr>
          <w:ilvl w:val="0"/>
          <w:numId w:val="5"/>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AA4450" w:rsidRDefault="00BD44AA" w:rsidP="00BD44AA">
      <w:pPr>
        <w:ind w:right="284"/>
        <w:jc w:val="both"/>
        <w:rPr>
          <w:rFonts w:ascii="Bookman Old Style" w:hAnsi="Bookman Old Style"/>
          <w:i/>
          <w:sz w:val="22"/>
          <w:szCs w:val="22"/>
        </w:rPr>
      </w:pPr>
      <w:r w:rsidRPr="00AA4450">
        <w:rPr>
          <w:rFonts w:ascii="Bookman Old Style" w:hAnsi="Bookman Old Style"/>
          <w:i/>
          <w:sz w:val="22"/>
          <w:szCs w:val="22"/>
        </w:rPr>
        <w:t>CILINDROS</w:t>
      </w:r>
    </w:p>
    <w:p w:rsidR="00BD44AA" w:rsidRPr="00AA4450" w:rsidRDefault="00BD44AA" w:rsidP="00BD44AA">
      <w:pPr>
        <w:ind w:right="284"/>
        <w:jc w:val="both"/>
        <w:rPr>
          <w:rFonts w:ascii="Bookman Old Style" w:hAnsi="Bookman Old Style"/>
          <w:i/>
          <w:sz w:val="22"/>
          <w:szCs w:val="22"/>
        </w:rPr>
      </w:pPr>
      <w:r w:rsidRPr="00AA4450">
        <w:rPr>
          <w:rFonts w:ascii="Bookman Old Style" w:hAnsi="Bookman Old Style"/>
          <w:i/>
          <w:sz w:val="22"/>
          <w:szCs w:val="22"/>
        </w:rPr>
        <w:t>En resumen, la información enviada a la CREG es la siguiente:</w:t>
      </w:r>
    </w:p>
    <w:p w:rsidR="00BD44AA" w:rsidRPr="00AA4450" w:rsidRDefault="00BD44AA" w:rsidP="00BD44AA">
      <w:pPr>
        <w:numPr>
          <w:ilvl w:val="0"/>
          <w:numId w:val="7"/>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Cantidad de empresas con cilindros en base de datos:</w:t>
      </w:r>
      <w:r w:rsidRPr="00AA4450">
        <w:rPr>
          <w:rFonts w:ascii="Bookman Old Style" w:hAnsi="Bookman Old Style"/>
          <w:i/>
          <w:sz w:val="22"/>
          <w:szCs w:val="22"/>
        </w:rPr>
        <w:tab/>
        <w:t>48</w:t>
      </w:r>
    </w:p>
    <w:p w:rsidR="00BD44AA" w:rsidRPr="00AA4450" w:rsidRDefault="00BD44AA" w:rsidP="00BD44AA">
      <w:pPr>
        <w:numPr>
          <w:ilvl w:val="0"/>
          <w:numId w:val="7"/>
        </w:numPr>
        <w:spacing w:after="200" w:line="276" w:lineRule="auto"/>
        <w:ind w:right="284"/>
        <w:contextualSpacing/>
        <w:rPr>
          <w:rFonts w:ascii="Bookman Old Style" w:hAnsi="Bookman Old Style"/>
          <w:i/>
          <w:sz w:val="22"/>
          <w:szCs w:val="22"/>
        </w:rPr>
      </w:pPr>
      <w:r w:rsidRPr="00AA4450">
        <w:rPr>
          <w:rFonts w:ascii="Bookman Old Style" w:hAnsi="Bookman Old Style"/>
          <w:i/>
          <w:sz w:val="22"/>
          <w:szCs w:val="22"/>
        </w:rPr>
        <w:t>Cantidad de marcas que registran cilindros en la base</w:t>
      </w:r>
      <w:r w:rsidRPr="00AA4450">
        <w:rPr>
          <w:rFonts w:ascii="Bookman Old Style" w:hAnsi="Bookman Old Style"/>
          <w:i/>
          <w:sz w:val="22"/>
          <w:szCs w:val="22"/>
        </w:rPr>
        <w:tab/>
        <w:t>de datos: 74</w:t>
      </w:r>
    </w:p>
    <w:p w:rsidR="00BD44AA" w:rsidRPr="00AA4450" w:rsidRDefault="00BD44AA" w:rsidP="00BD44AA">
      <w:pPr>
        <w:numPr>
          <w:ilvl w:val="0"/>
          <w:numId w:val="7"/>
        </w:numPr>
        <w:spacing w:after="200" w:line="276" w:lineRule="auto"/>
        <w:ind w:right="284"/>
        <w:jc w:val="both"/>
        <w:rPr>
          <w:rFonts w:ascii="Bookman Old Style" w:hAnsi="Bookman Old Style"/>
          <w:i/>
          <w:sz w:val="22"/>
          <w:szCs w:val="22"/>
        </w:rPr>
      </w:pPr>
      <w:r w:rsidRPr="00AA4450">
        <w:rPr>
          <w:rFonts w:ascii="Bookman Old Style" w:hAnsi="Bookman Old Style"/>
          <w:i/>
          <w:sz w:val="22"/>
          <w:szCs w:val="22"/>
        </w:rPr>
        <w:t>Cantidad de cilindros en la base de datos: 10.254.954</w:t>
      </w:r>
    </w:p>
    <w:p w:rsidR="00BD44AA" w:rsidRPr="00AA4450"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TANQUES ESTACIONARIOS</w:t>
      </w:r>
    </w:p>
    <w:p w:rsidR="00BD44AA" w:rsidRPr="00AA4450" w:rsidRDefault="00BD44AA" w:rsidP="00BD44AA">
      <w:pPr>
        <w:widowControl w:val="0"/>
        <w:ind w:right="284"/>
        <w:rPr>
          <w:rFonts w:ascii="Bookman Old Style" w:eastAsia="Calibri" w:hAnsi="Bookman Old Style" w:cs="Arial"/>
          <w:i/>
          <w:sz w:val="22"/>
          <w:szCs w:val="22"/>
          <w:lang w:val="es-CO" w:eastAsia="en-US"/>
        </w:rPr>
      </w:pPr>
    </w:p>
    <w:p w:rsidR="00BD44AA" w:rsidRPr="00AA4450"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BD44AA" w:rsidRPr="00AA4450" w:rsidRDefault="00BD44AA" w:rsidP="00BD44AA">
      <w:pPr>
        <w:widowControl w:val="0"/>
        <w:ind w:right="284"/>
        <w:jc w:val="both"/>
        <w:rPr>
          <w:rFonts w:ascii="Bookman Old Style" w:eastAsia="Calibri" w:hAnsi="Bookman Old Style" w:cs="Arial"/>
          <w:i/>
          <w:sz w:val="22"/>
          <w:szCs w:val="22"/>
          <w:lang w:val="es-CO" w:eastAsia="en-US"/>
        </w:rPr>
      </w:pPr>
    </w:p>
    <w:p w:rsidR="00BD44AA" w:rsidRPr="00AA4450"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AA4450">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BD44AA" w:rsidRPr="00AA4450" w:rsidRDefault="00BD44AA" w:rsidP="00BD44AA">
      <w:pPr>
        <w:widowControl w:val="0"/>
        <w:ind w:right="284"/>
        <w:jc w:val="both"/>
        <w:rPr>
          <w:rFonts w:ascii="Bookman Old Style" w:eastAsia="Calibri" w:hAnsi="Bookman Old Style" w:cs="Arial"/>
          <w:i/>
          <w:sz w:val="22"/>
          <w:szCs w:val="22"/>
          <w:lang w:val="es-CO" w:eastAsia="en-US"/>
        </w:rPr>
      </w:pPr>
      <w:r w:rsidRPr="00AA4450">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AA4450" w:rsidRDefault="00BD44AA" w:rsidP="00BD44AA">
      <w:pPr>
        <w:widowControl w:val="0"/>
        <w:ind w:right="284"/>
        <w:jc w:val="both"/>
        <w:rPr>
          <w:rFonts w:ascii="Bookman Old Style" w:eastAsia="Calibri" w:hAnsi="Bookman Old Style" w:cs="Arial"/>
          <w:i/>
          <w:sz w:val="22"/>
          <w:szCs w:val="22"/>
          <w:lang w:val="es-CO" w:eastAsia="en-US"/>
        </w:rPr>
      </w:pPr>
      <w:r w:rsidRPr="00AA4450">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AA4450"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AA4450"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t>Cabe precisar que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AA4450">
        <w:rPr>
          <w:rFonts w:ascii="Bookman Old Style" w:eastAsia="Calibri" w:hAnsi="Bookman Old Style" w:cs="Arial"/>
          <w:i/>
          <w:sz w:val="22"/>
          <w:szCs w:val="22"/>
          <w:lang w:val="es-CO" w:eastAsia="en-US"/>
        </w:rPr>
        <w:t xml:space="preserve"> </w:t>
      </w:r>
      <w:r w:rsidRPr="00AA4450">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BD44AA" w:rsidRPr="00AA4450"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Pr="00AA4450"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AA4450">
        <w:rPr>
          <w:rFonts w:ascii="Bookman Old Style" w:eastAsia="Calibri" w:hAnsi="Bookman Old Style" w:cs="Arial"/>
          <w:i/>
          <w:color w:val="000000"/>
          <w:sz w:val="22"/>
          <w:szCs w:val="22"/>
          <w:shd w:val="clear" w:color="auto" w:fill="FFFFFF"/>
          <w:lang w:val="es-CO" w:eastAsia="es-ES_tradnl"/>
        </w:rPr>
        <w:lastRenderedPageBreak/>
        <w:t>Así las cosas, las empresas que no han reportado la información son las siguientes:</w:t>
      </w:r>
    </w:p>
    <w:p w:rsidR="00BD44AA" w:rsidRPr="00AA4450" w:rsidRDefault="00BD44AA" w:rsidP="00BD44AA">
      <w:pPr>
        <w:widowControl w:val="0"/>
        <w:ind w:right="284"/>
        <w:jc w:val="both"/>
        <w:rPr>
          <w:rFonts w:ascii="Bookman Old Style" w:eastAsia="Calibri" w:hAnsi="Bookman Old Style" w:cs="Arial"/>
          <w:i/>
          <w:sz w:val="22"/>
          <w:szCs w:val="22"/>
          <w:lang w:val="es-CO" w:eastAsia="en-US"/>
        </w:rPr>
      </w:pPr>
    </w:p>
    <w:tbl>
      <w:tblPr>
        <w:tblW w:w="6941" w:type="dxa"/>
        <w:jc w:val="center"/>
        <w:tblLayout w:type="fixed"/>
        <w:tblCellMar>
          <w:left w:w="0" w:type="dxa"/>
          <w:right w:w="0" w:type="dxa"/>
        </w:tblCellMar>
        <w:tblLook w:val="0000" w:firstRow="0" w:lastRow="0" w:firstColumn="0" w:lastColumn="0" w:noHBand="0" w:noVBand="0"/>
      </w:tblPr>
      <w:tblGrid>
        <w:gridCol w:w="1696"/>
        <w:gridCol w:w="5245"/>
      </w:tblGrid>
      <w:tr w:rsidR="00BD44AA" w:rsidRPr="0042167A" w:rsidTr="007D554E">
        <w:trPr>
          <w:trHeight w:hRule="exact" w:val="572"/>
          <w:jc w:val="center"/>
        </w:trPr>
        <w:tc>
          <w:tcPr>
            <w:tcW w:w="1696" w:type="dxa"/>
            <w:tcBorders>
              <w:top w:val="single" w:sz="4" w:space="0" w:color="auto"/>
              <w:left w:val="single" w:sz="4" w:space="0" w:color="auto"/>
              <w:bottom w:val="nil"/>
              <w:right w:val="single" w:sz="4" w:space="0" w:color="auto"/>
            </w:tcBorders>
            <w:shd w:val="clear" w:color="auto" w:fill="FFFFFF"/>
            <w:vAlign w:val="center"/>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D44AA" w:rsidRPr="0042167A" w:rsidRDefault="00BD44AA" w:rsidP="007D554E">
            <w:pPr>
              <w:framePr w:w="6970" w:wrap="notBeside" w:vAnchor="text" w:hAnchor="text" w:xAlign="center" w:y="1"/>
              <w:widowControl w:val="0"/>
              <w:ind w:left="148"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7D554E">
        <w:trPr>
          <w:trHeight w:hRule="exact" w:val="302"/>
          <w:jc w:val="center"/>
        </w:trPr>
        <w:tc>
          <w:tcPr>
            <w:tcW w:w="1696"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7D554E">
        <w:trPr>
          <w:trHeight w:hRule="exact" w:val="317"/>
          <w:jc w:val="center"/>
        </w:trPr>
        <w:tc>
          <w:tcPr>
            <w:tcW w:w="1696"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7D554E">
        <w:trPr>
          <w:trHeight w:hRule="exact" w:val="302"/>
          <w:jc w:val="center"/>
        </w:trPr>
        <w:tc>
          <w:tcPr>
            <w:tcW w:w="1696"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16"/>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7D554E">
        <w:trPr>
          <w:trHeight w:hRule="exact" w:val="312"/>
          <w:jc w:val="center"/>
        </w:trPr>
        <w:tc>
          <w:tcPr>
            <w:tcW w:w="1696"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7D554E">
        <w:trPr>
          <w:trHeight w:hRule="exact" w:val="317"/>
          <w:jc w:val="center"/>
        </w:trPr>
        <w:tc>
          <w:tcPr>
            <w:tcW w:w="1696"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7D554E">
        <w:trPr>
          <w:trHeight w:hRule="exact" w:val="307"/>
          <w:jc w:val="center"/>
        </w:trPr>
        <w:tc>
          <w:tcPr>
            <w:tcW w:w="1696"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7D554E">
        <w:trPr>
          <w:trHeight w:hRule="exact" w:val="317"/>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2"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7D554E">
            <w:pPr>
              <w:framePr w:w="6970" w:wrap="notBeside" w:vAnchor="text" w:hAnchor="text" w:xAlign="center" w:y="1"/>
              <w:widowControl w:val="0"/>
              <w:ind w:left="148"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7A6C4F">
        <w:rPr>
          <w:rFonts w:ascii="Bookman Old Style" w:hAnsi="Bookman Old Style"/>
          <w:szCs w:val="27"/>
        </w:rPr>
        <w:t>Granados Gómez</w:t>
      </w:r>
      <w:r w:rsidR="00BD44AA">
        <w:rPr>
          <w:rFonts w:ascii="Bookman Old Style" w:hAnsi="Bookman Old Style"/>
          <w:szCs w:val="27"/>
        </w:rPr>
        <w:t xml:space="preserve"> de Colombia</w:t>
      </w:r>
      <w:r w:rsidRPr="00C3759C">
        <w:rPr>
          <w:rFonts w:ascii="Bookman Old Style" w:hAnsi="Bookman Old Style"/>
          <w:szCs w:val="27"/>
        </w:rPr>
        <w:t>:</w:t>
      </w:r>
    </w:p>
    <w:p w:rsidR="00DB44C7" w:rsidRDefault="0047798E" w:rsidP="0047798E">
      <w:pPr>
        <w:pStyle w:val="Textoindependiente2"/>
        <w:spacing w:after="0" w:line="240" w:lineRule="auto"/>
        <w:ind w:left="-142" w:right="-142"/>
        <w:jc w:val="center"/>
        <w:rPr>
          <w:rFonts w:ascii="Bookman Old Style" w:hAnsi="Bookman Old Style"/>
          <w:szCs w:val="27"/>
        </w:rPr>
      </w:pPr>
      <w:r w:rsidRPr="0047798E">
        <w:rPr>
          <w:rFonts w:ascii="Bookman Old Style" w:hAnsi="Bookman Old Style"/>
          <w:noProof/>
          <w:szCs w:val="27"/>
          <w:lang w:val="es-CO" w:eastAsia="es-CO"/>
        </w:rPr>
        <w:drawing>
          <wp:inline distT="0" distB="0" distL="0" distR="0">
            <wp:extent cx="4962525" cy="1637045"/>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201" cy="1648484"/>
                    </a:xfrm>
                    <a:prstGeom prst="rect">
                      <a:avLst/>
                    </a:prstGeom>
                    <a:noFill/>
                    <a:ln>
                      <a:noFill/>
                    </a:ln>
                  </pic:spPr>
                </pic:pic>
              </a:graphicData>
            </a:graphic>
          </wp:inline>
        </w:drawing>
      </w:r>
      <w:r w:rsidRPr="0047798E">
        <w:rPr>
          <w:rFonts w:ascii="Bookman Old Style" w:hAnsi="Bookman Old Style"/>
          <w:noProof/>
          <w:szCs w:val="27"/>
          <w:lang w:val="es-CO" w:eastAsia="es-CO"/>
        </w:rPr>
        <w:drawing>
          <wp:inline distT="0" distB="0" distL="0" distR="0">
            <wp:extent cx="5808849" cy="4337824"/>
            <wp:effectExtent l="0" t="0" r="190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6939" cy="4343865"/>
                    </a:xfrm>
                    <a:prstGeom prst="rect">
                      <a:avLst/>
                    </a:prstGeom>
                    <a:noFill/>
                    <a:ln>
                      <a:noFill/>
                    </a:ln>
                  </pic:spPr>
                </pic:pic>
              </a:graphicData>
            </a:graphic>
          </wp:inline>
        </w:drawing>
      </w:r>
    </w:p>
    <w:p w:rsidR="00FB1F19" w:rsidRDefault="00FB1F19" w:rsidP="00FB1F1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De acuerdo con lo anterior</w:t>
      </w:r>
      <w:r w:rsidR="00DB44C7"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sidR="00DB44C7">
        <w:rPr>
          <w:rFonts w:ascii="Bookman Old Style" w:hAnsi="Bookman Old Style"/>
          <w:szCs w:val="27"/>
        </w:rPr>
        <w:t xml:space="preserve"> y la información reportada por dicha Entidad</w:t>
      </w:r>
      <w:r w:rsidR="00DB44C7" w:rsidRPr="00DB44C7">
        <w:rPr>
          <w:rFonts w:ascii="Bookman Old Style" w:hAnsi="Bookman Old Style"/>
          <w:szCs w:val="27"/>
        </w:rPr>
        <w:t xml:space="preserve">, se establece </w:t>
      </w:r>
      <w:r w:rsidR="00903BA9">
        <w:rPr>
          <w:rFonts w:ascii="Bookman Old Style" w:hAnsi="Bookman Old Style"/>
          <w:szCs w:val="27"/>
        </w:rPr>
        <w:t xml:space="preserve">que no existen argumentos válidos y razonables a efectos </w:t>
      </w:r>
      <w:r w:rsidR="00DB44C7" w:rsidRPr="00DB44C7">
        <w:rPr>
          <w:rFonts w:ascii="Bookman Old Style" w:hAnsi="Bookman Old Style"/>
          <w:szCs w:val="27"/>
        </w:rPr>
        <w:t>de modificar</w:t>
      </w:r>
      <w:r w:rsidR="00DB44C7">
        <w:rPr>
          <w:rFonts w:ascii="Bookman Old Style" w:hAnsi="Bookman Old Style"/>
          <w:szCs w:val="27"/>
        </w:rPr>
        <w:t xml:space="preserve"> la Resolución CREG 048 de 2018</w:t>
      </w:r>
      <w:r w:rsidR="00DB44C7" w:rsidRPr="00DB44C7">
        <w:rPr>
          <w:rFonts w:ascii="Bookman Old Style" w:hAnsi="Bookman Old Style"/>
          <w:szCs w:val="27"/>
        </w:rPr>
        <w:t xml:space="preserve"> en relación con la definición de la capacidad de compra para la empresa </w:t>
      </w:r>
      <w:r w:rsidR="00903BA9">
        <w:rPr>
          <w:rFonts w:ascii="Bookman Old Style" w:hAnsi="Bookman Old Style"/>
          <w:szCs w:val="27"/>
        </w:rPr>
        <w:t>Gas Express Colombia S.A.S. E.S.P., sino que por el contrario se debe confirmar los análisis, argumentos y decisiones adoptadas en dicha acto administrativo.</w:t>
      </w:r>
    </w:p>
    <w:p w:rsidR="002A1D65" w:rsidRDefault="002A1D65" w:rsidP="00FB1F19">
      <w:pPr>
        <w:pStyle w:val="Textoindependiente2"/>
        <w:spacing w:after="0" w:line="240" w:lineRule="auto"/>
        <w:ind w:left="-142" w:right="-142"/>
        <w:jc w:val="both"/>
        <w:rPr>
          <w:rFonts w:ascii="Bookman Old Style" w:hAnsi="Bookman Old Style"/>
          <w:szCs w:val="27"/>
        </w:rPr>
      </w:pPr>
    </w:p>
    <w:p w:rsidR="002A1D65" w:rsidRPr="00FB1F19" w:rsidRDefault="002A1D65" w:rsidP="002A1D65">
      <w:pPr>
        <w:pStyle w:val="Textoindependiente2"/>
        <w:spacing w:after="0" w:line="240" w:lineRule="auto"/>
        <w:ind w:left="-142" w:right="-142"/>
        <w:jc w:val="both"/>
        <w:rPr>
          <w:rFonts w:ascii="Bookman Old Style" w:hAnsi="Bookman Old Style"/>
          <w:szCs w:val="27"/>
        </w:rPr>
      </w:pPr>
      <w:r w:rsidRPr="00FB1F19">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2A1D65" w:rsidRPr="00FB1F19" w:rsidRDefault="002A1D65" w:rsidP="002A1D65">
      <w:pPr>
        <w:ind w:left="-142" w:right="-142"/>
        <w:jc w:val="both"/>
        <w:rPr>
          <w:rFonts w:ascii="Bookman Old Style" w:hAnsi="Bookman Old Style"/>
          <w:szCs w:val="27"/>
        </w:rPr>
      </w:pPr>
    </w:p>
    <w:p w:rsidR="002A1D65" w:rsidRPr="002A1D65" w:rsidRDefault="002A1D65" w:rsidP="002A1D65">
      <w:pPr>
        <w:ind w:left="284" w:right="284"/>
        <w:jc w:val="both"/>
        <w:rPr>
          <w:rFonts w:ascii="Bookman Old Style" w:hAnsi="Bookman Old Style"/>
          <w:sz w:val="22"/>
          <w:szCs w:val="22"/>
        </w:rPr>
      </w:pPr>
      <w:r w:rsidRPr="00FB1F19">
        <w:rPr>
          <w:rFonts w:ascii="Bookman Old Style" w:hAnsi="Bookman Old Style"/>
          <w:sz w:val="22"/>
          <w:szCs w:val="22"/>
        </w:rPr>
        <w:t>“</w:t>
      </w:r>
      <w:r w:rsidRPr="00FB1F19">
        <w:rPr>
          <w:rFonts w:ascii="Bookman Old Style" w:hAnsi="Bookman Old Style"/>
          <w:b/>
          <w:sz w:val="22"/>
          <w:szCs w:val="22"/>
        </w:rPr>
        <w:t>Artículo 113. Recursos contra las decisiones que ponen fin a las actuaciones administrativas.</w:t>
      </w:r>
      <w:r w:rsidRPr="00FB1F19">
        <w:rPr>
          <w:rFonts w:ascii="Bookman Old Style" w:hAnsi="Bookman Old Style"/>
          <w:sz w:val="22"/>
          <w:szCs w:val="22"/>
        </w:rPr>
        <w:t xml:space="preserve"> </w:t>
      </w:r>
      <w:r w:rsidRPr="00FB1F19">
        <w:rPr>
          <w:rFonts w:ascii="Bookman Old Style" w:hAnsi="Bookman Old Style"/>
          <w:sz w:val="22"/>
          <w:szCs w:val="22"/>
          <w:u w:val="single"/>
        </w:rPr>
        <w:t>Salvo esta Ley disponga otra cosa</w:t>
      </w:r>
      <w:r w:rsidRPr="00FB1F19">
        <w:rPr>
          <w:rFonts w:ascii="Bookman Old Style" w:hAnsi="Bookman Old Style"/>
          <w:sz w:val="22"/>
          <w:szCs w:val="22"/>
        </w:rPr>
        <w:t xml:space="preserve">, </w:t>
      </w:r>
      <w:r w:rsidRPr="00FB1F19">
        <w:rPr>
          <w:rFonts w:ascii="Bookman Old Style" w:hAnsi="Bookman Old Style"/>
          <w:sz w:val="22"/>
          <w:szCs w:val="22"/>
          <w:u w:val="single"/>
        </w:rPr>
        <w:t>contra las decisiones de</w:t>
      </w:r>
      <w:r w:rsidRPr="00FB1F19">
        <w:rPr>
          <w:rFonts w:ascii="Bookman Old Style" w:hAnsi="Bookman Old Style"/>
          <w:sz w:val="22"/>
          <w:szCs w:val="22"/>
        </w:rPr>
        <w:t xml:space="preserve"> los personeros, de los alcaldes, de los gobernadores, de los ministros, del Superintendente de Servicios Públicos, y de </w:t>
      </w:r>
      <w:r w:rsidRPr="00FB1F19">
        <w:rPr>
          <w:rFonts w:ascii="Bookman Old Style" w:hAnsi="Bookman Old Style"/>
          <w:sz w:val="22"/>
          <w:szCs w:val="22"/>
          <w:u w:val="single"/>
        </w:rPr>
        <w:t xml:space="preserve">las comisiones de regulación que pongan fin a las actuaciones administrativas </w:t>
      </w:r>
      <w:r w:rsidRPr="00FB1F19">
        <w:rPr>
          <w:rFonts w:ascii="Bookman Old Style" w:hAnsi="Bookman Old Style"/>
          <w:b/>
          <w:sz w:val="22"/>
          <w:szCs w:val="22"/>
          <w:u w:val="single"/>
        </w:rPr>
        <w:t>sólo</w:t>
      </w:r>
      <w:r w:rsidRPr="00FB1F19">
        <w:rPr>
          <w:rFonts w:ascii="Bookman Old Style" w:hAnsi="Bookman Old Style"/>
          <w:sz w:val="22"/>
          <w:szCs w:val="22"/>
          <w:u w:val="single"/>
        </w:rPr>
        <w:t xml:space="preserve"> cabe el recurso de reposición</w:t>
      </w:r>
      <w:r w:rsidRPr="00FB1F19">
        <w:rPr>
          <w:rFonts w:ascii="Bookman Old Style" w:hAnsi="Bookman Old Style"/>
          <w:sz w:val="22"/>
          <w:szCs w:val="22"/>
        </w:rPr>
        <w:t>, que podrá interponerse dentro de los cinco días siguientes a la notificación o publicación.” (Resaltado fuera de texto)</w:t>
      </w:r>
    </w:p>
    <w:p w:rsidR="00DA1EF4" w:rsidRPr="00FB1F19" w:rsidRDefault="00DA1EF4" w:rsidP="00DA1EF4">
      <w:pPr>
        <w:ind w:left="0" w:right="-142"/>
        <w:jc w:val="both"/>
        <w:rPr>
          <w:rFonts w:ascii="Bookman Old Style" w:hAnsi="Bookman Old Style"/>
          <w:sz w:val="22"/>
          <w:szCs w:val="27"/>
        </w:rPr>
      </w:pPr>
    </w:p>
    <w:p w:rsidR="00DA1EF4" w:rsidRDefault="00DA1EF4" w:rsidP="00DA1EF4">
      <w:pPr>
        <w:ind w:left="-142" w:right="-142"/>
        <w:jc w:val="both"/>
        <w:rPr>
          <w:rFonts w:ascii="Bookman Old Style" w:hAnsi="Bookman Old Style"/>
          <w:szCs w:val="27"/>
        </w:rPr>
      </w:pPr>
      <w:r w:rsidRPr="00A306A7">
        <w:rPr>
          <w:rFonts w:ascii="Bookman Old Style" w:hAnsi="Bookman Old Style"/>
          <w:szCs w:val="27"/>
        </w:rPr>
        <w:t xml:space="preserve">La Comisión de Regulación de Energía y Gas, en su sesión No. </w:t>
      </w:r>
      <w:r w:rsidR="007D554E" w:rsidRPr="00A306A7">
        <w:rPr>
          <w:rFonts w:ascii="Bookman Old Style" w:hAnsi="Bookman Old Style"/>
          <w:szCs w:val="27"/>
        </w:rPr>
        <w:t>858</w:t>
      </w:r>
      <w:r w:rsidRPr="00A306A7">
        <w:rPr>
          <w:rFonts w:ascii="Bookman Old Style" w:hAnsi="Bookman Old Style"/>
          <w:szCs w:val="27"/>
        </w:rPr>
        <w:t xml:space="preserve"> del </w:t>
      </w:r>
      <w:r w:rsidR="00FB1F19" w:rsidRPr="00A306A7">
        <w:rPr>
          <w:rFonts w:ascii="Bookman Old Style" w:hAnsi="Bookman Old Style"/>
          <w:szCs w:val="27"/>
        </w:rPr>
        <w:t>18 de junio</w:t>
      </w:r>
      <w:r w:rsidRPr="00A306A7">
        <w:rPr>
          <w:rFonts w:ascii="Bookman Old Style" w:hAnsi="Bookman Old Style"/>
          <w:szCs w:val="27"/>
        </w:rPr>
        <w:t xml:space="preserve"> de 20</w:t>
      </w:r>
      <w:r w:rsidR="00FB1F19" w:rsidRPr="00A306A7">
        <w:rPr>
          <w:rFonts w:ascii="Bookman Old Style" w:hAnsi="Bookman Old Style"/>
          <w:szCs w:val="27"/>
        </w:rPr>
        <w:t>18</w:t>
      </w:r>
      <w:r w:rsidRPr="00A306A7">
        <w:rPr>
          <w:rFonts w:ascii="Bookman Old Style" w:hAnsi="Bookman Old Style"/>
          <w:szCs w:val="27"/>
        </w:rPr>
        <w:t>, acordó expedir la presente resolución.</w:t>
      </w:r>
    </w:p>
    <w:p w:rsidR="00C91B94" w:rsidRDefault="00C91B94" w:rsidP="00DA1EF4">
      <w:pPr>
        <w:tabs>
          <w:tab w:val="right" w:pos="9498"/>
        </w:tabs>
        <w:ind w:left="0" w:right="-142"/>
        <w:jc w:val="both"/>
        <w:rPr>
          <w:rFonts w:ascii="Bookman Old Style" w:hAnsi="Bookman Old Style"/>
          <w:bCs/>
          <w:sz w:val="22"/>
        </w:rPr>
      </w:pPr>
    </w:p>
    <w:p w:rsidR="00AA4450" w:rsidRPr="00FB1F19" w:rsidRDefault="00AA4450" w:rsidP="00DA1EF4">
      <w:pPr>
        <w:tabs>
          <w:tab w:val="right" w:pos="9498"/>
        </w:tabs>
        <w:ind w:left="0" w:right="-142"/>
        <w:jc w:val="both"/>
        <w:rPr>
          <w:rFonts w:ascii="Bookman Old Style" w:hAnsi="Bookman Old Style"/>
          <w:bCs/>
          <w:sz w:val="22"/>
        </w:rPr>
      </w:pPr>
    </w:p>
    <w:p w:rsidR="00DA1EF4" w:rsidRPr="00FB1F19" w:rsidRDefault="00DA1EF4" w:rsidP="00DA1EF4">
      <w:pPr>
        <w:tabs>
          <w:tab w:val="right" w:pos="9498"/>
        </w:tabs>
        <w:ind w:left="0" w:right="-142"/>
        <w:jc w:val="center"/>
        <w:rPr>
          <w:rFonts w:ascii="Bookman Old Style" w:hAnsi="Bookman Old Style" w:cs="Arial"/>
        </w:rPr>
      </w:pPr>
      <w:r w:rsidRPr="00FB1F19">
        <w:rPr>
          <w:rFonts w:ascii="Bookman Old Style" w:hAnsi="Bookman Old Style" w:cs="Arial"/>
          <w:b/>
          <w:spacing w:val="80"/>
        </w:rPr>
        <w:t>RESUELVE</w:t>
      </w:r>
      <w:r w:rsidRPr="00FB1F19">
        <w:rPr>
          <w:rFonts w:ascii="Bookman Old Style" w:hAnsi="Bookman Old Style" w:cs="Arial"/>
        </w:rPr>
        <w:t>:</w:t>
      </w:r>
    </w:p>
    <w:p w:rsidR="00FB1F19" w:rsidRDefault="00FB1F19" w:rsidP="002A1D65">
      <w:pPr>
        <w:ind w:left="0" w:right="-142"/>
        <w:jc w:val="both"/>
        <w:rPr>
          <w:rFonts w:ascii="Bookman Old Style" w:hAnsi="Bookman Old Style"/>
          <w:szCs w:val="27"/>
        </w:rPr>
      </w:pPr>
    </w:p>
    <w:p w:rsidR="00AA4450" w:rsidRDefault="00AA4450" w:rsidP="002A1D65">
      <w:pPr>
        <w:ind w:left="0" w:right="-142"/>
        <w:jc w:val="both"/>
        <w:rPr>
          <w:rFonts w:ascii="Bookman Old Style" w:hAnsi="Bookman Old Style"/>
          <w:szCs w:val="27"/>
        </w:rPr>
      </w:pPr>
    </w:p>
    <w:p w:rsidR="002A1D65" w:rsidRDefault="002A1D65" w:rsidP="002A1D65">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Pr="002A1D65">
        <w:rPr>
          <w:rFonts w:ascii="Bookman Old Style" w:hAnsi="Bookman Old Style"/>
          <w:szCs w:val="27"/>
        </w:rPr>
        <w:t>Rechazar por improcedente el recurso de apelación interpuesto contra la Resolución CREG 048 de 2018 atendiendo lo dispuesto en el artículo 113 de la Ley 142 de 1994.</w:t>
      </w:r>
    </w:p>
    <w:p w:rsidR="002A1D65" w:rsidRDefault="002A1D65" w:rsidP="002A1D65">
      <w:pPr>
        <w:pStyle w:val="Textoindependiente2"/>
        <w:spacing w:after="0" w:line="240" w:lineRule="auto"/>
        <w:ind w:left="-142" w:right="-142"/>
        <w:jc w:val="both"/>
        <w:rPr>
          <w:rFonts w:ascii="Bookman Old Style" w:hAnsi="Bookman Old Style"/>
          <w:szCs w:val="27"/>
        </w:rPr>
      </w:pPr>
    </w:p>
    <w:p w:rsidR="002A1D65" w:rsidRPr="003E59E7" w:rsidRDefault="002A1D65" w:rsidP="002A1D65">
      <w:pPr>
        <w:pStyle w:val="Textoindependiente2"/>
        <w:spacing w:after="0" w:line="240" w:lineRule="auto"/>
        <w:ind w:left="-142" w:right="-142"/>
        <w:jc w:val="both"/>
        <w:rPr>
          <w:rFonts w:ascii="Bookman Old Style" w:hAnsi="Bookman Old Style"/>
          <w:szCs w:val="27"/>
        </w:rPr>
      </w:pPr>
      <w:r w:rsidRPr="002A1D65">
        <w:rPr>
          <w:rFonts w:ascii="Bookman Old Style" w:hAnsi="Bookman Old Style"/>
          <w:b/>
          <w:szCs w:val="27"/>
        </w:rPr>
        <w:t>Artículo 2.</w:t>
      </w:r>
      <w:r>
        <w:rPr>
          <w:rFonts w:ascii="Bookman Old Style" w:hAnsi="Bookman Old Style"/>
          <w:szCs w:val="27"/>
        </w:rPr>
        <w:t xml:space="preserve"> N</w:t>
      </w:r>
      <w:r w:rsidRPr="00241733">
        <w:rPr>
          <w:rFonts w:ascii="Bookman Old Style" w:hAnsi="Bookman Old Style"/>
          <w:szCs w:val="27"/>
        </w:rPr>
        <w:t>o reponer</w:t>
      </w:r>
      <w:r w:rsidRPr="00241733">
        <w:rPr>
          <w:rFonts w:ascii="Bookman Old Style" w:hAnsi="Bookman Old Style"/>
          <w:b/>
          <w:szCs w:val="27"/>
        </w:rPr>
        <w:t xml:space="preserve"> </w:t>
      </w:r>
      <w:r w:rsidRPr="003E59E7">
        <w:rPr>
          <w:rFonts w:ascii="Bookman Old Style" w:hAnsi="Bookman Old Style"/>
          <w:szCs w:val="27"/>
        </w:rPr>
        <w:t xml:space="preserve">y confirmar en su integridad la Resolución CREG </w:t>
      </w:r>
      <w:r>
        <w:rPr>
          <w:rFonts w:ascii="Bookman Old Style" w:hAnsi="Bookman Old Style"/>
          <w:szCs w:val="27"/>
        </w:rPr>
        <w:t>048 de 2017 en relación con la definición de la capacidad de compra de la empresa Gas Express S.A.S. E.S.P.</w:t>
      </w:r>
      <w:r w:rsidRPr="003E59E7">
        <w:rPr>
          <w:rFonts w:ascii="Bookman Old Style" w:hAnsi="Bookman Old Style"/>
          <w:szCs w:val="27"/>
        </w:rPr>
        <w:t xml:space="preserve"> </w:t>
      </w:r>
      <w:r>
        <w:rPr>
          <w:rFonts w:ascii="Bookman Old Style" w:hAnsi="Bookman Old Style"/>
          <w:szCs w:val="27"/>
        </w:rPr>
        <w:t>de acuerdo con la parte motiva de la presente Resolución.</w:t>
      </w:r>
    </w:p>
    <w:p w:rsidR="00FB1F19" w:rsidRDefault="00FB1F19" w:rsidP="002A1D65">
      <w:pPr>
        <w:ind w:left="0" w:right="-142"/>
        <w:jc w:val="both"/>
        <w:rPr>
          <w:rFonts w:ascii="Bookman Old Style" w:hAnsi="Bookman Old Style"/>
          <w:szCs w:val="27"/>
        </w:rPr>
      </w:pPr>
    </w:p>
    <w:p w:rsidR="00DA1EF4" w:rsidRPr="00FB1F19" w:rsidRDefault="00FB1F19" w:rsidP="00842277">
      <w:pPr>
        <w:ind w:left="-142" w:right="-142"/>
        <w:jc w:val="both"/>
        <w:rPr>
          <w:rFonts w:ascii="Bookman Old Style" w:hAnsi="Bookman Old Style"/>
          <w:szCs w:val="27"/>
        </w:rPr>
      </w:pPr>
      <w:r w:rsidRPr="00FB1F19">
        <w:rPr>
          <w:rFonts w:ascii="Bookman Old Style" w:hAnsi="Bookman Old Style"/>
          <w:b/>
          <w:szCs w:val="27"/>
        </w:rPr>
        <w:t xml:space="preserve">Artículo </w:t>
      </w:r>
      <w:r w:rsidR="00405AC2">
        <w:rPr>
          <w:rFonts w:ascii="Bookman Old Style" w:hAnsi="Bookman Old Style"/>
          <w:b/>
          <w:szCs w:val="27"/>
        </w:rPr>
        <w:t>3</w:t>
      </w:r>
      <w:r w:rsidRPr="00FB1F19">
        <w:rPr>
          <w:rFonts w:ascii="Bookman Old Style" w:hAnsi="Bookman Old Style"/>
          <w:b/>
          <w:szCs w:val="27"/>
        </w:rPr>
        <w:t>.</w:t>
      </w:r>
      <w:r>
        <w:rPr>
          <w:rFonts w:ascii="Bookman Old Style" w:hAnsi="Bookman Old Style"/>
          <w:szCs w:val="27"/>
        </w:rPr>
        <w:t xml:space="preserve"> </w:t>
      </w:r>
      <w:r w:rsidR="00DA1EF4" w:rsidRPr="00FB1F19">
        <w:rPr>
          <w:rFonts w:ascii="Bookman Old Style" w:hAnsi="Bookman Old Style"/>
          <w:szCs w:val="27"/>
        </w:rPr>
        <w:t xml:space="preserve">La presente resolución deberá notificarse a la empresa </w:t>
      </w:r>
      <w:r w:rsidR="002A1D65" w:rsidRPr="002A1D65">
        <w:rPr>
          <w:rFonts w:ascii="Bookman Old Style" w:hAnsi="Bookman Old Style"/>
          <w:szCs w:val="27"/>
        </w:rPr>
        <w:t xml:space="preserve">Gas Express S.A.S. E.S.P. </w:t>
      </w:r>
      <w:r w:rsidR="00DA1EF4" w:rsidRPr="00FB1F19">
        <w:rPr>
          <w:rFonts w:ascii="Bookman Old Style" w:hAnsi="Bookman Old Style"/>
          <w:szCs w:val="27"/>
        </w:rPr>
        <w:t>Contra lo aquí dispuesto no procede recurso alguno por haber finalizado la actuación administrativa correspondiente a la presentación de recursos previsto en la Ley.</w:t>
      </w:r>
    </w:p>
    <w:p w:rsidR="00DA1EF4" w:rsidRPr="00FB1F19" w:rsidRDefault="00DA1EF4" w:rsidP="00DA1EF4">
      <w:pPr>
        <w:tabs>
          <w:tab w:val="right" w:pos="9498"/>
        </w:tabs>
        <w:ind w:left="0" w:right="-142"/>
        <w:rPr>
          <w:rFonts w:ascii="Bookman Old Style" w:hAnsi="Bookman Old Style" w:cs="Arial"/>
          <w:sz w:val="22"/>
        </w:rPr>
      </w:pPr>
    </w:p>
    <w:p w:rsidR="00DA1EF4" w:rsidRPr="00FB1F19" w:rsidRDefault="00DA1EF4" w:rsidP="00DA1EF4">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DA1EF4" w:rsidRPr="00FB1F19" w:rsidRDefault="00DA1EF4" w:rsidP="00DA1EF4">
      <w:pPr>
        <w:ind w:left="0"/>
        <w:rPr>
          <w:rFonts w:ascii="Bookman Old Style" w:hAnsi="Bookman Old Style" w:cs="Arial"/>
          <w:sz w:val="20"/>
          <w:szCs w:val="20"/>
        </w:rPr>
      </w:pPr>
    </w:p>
    <w:p w:rsidR="00DA1EF4" w:rsidRPr="00FB1F19" w:rsidRDefault="00DA1EF4" w:rsidP="00DA1EF4">
      <w:pPr>
        <w:ind w:left="0"/>
        <w:rPr>
          <w:rFonts w:ascii="Bookman Old Style" w:hAnsi="Bookman Old Style" w:cs="Arial"/>
          <w:szCs w:val="20"/>
        </w:rPr>
      </w:pPr>
      <w:r w:rsidRPr="00FB1F19">
        <w:rPr>
          <w:rFonts w:ascii="Bookman Old Style" w:hAnsi="Bookman Old Style" w:cs="Arial"/>
          <w:szCs w:val="20"/>
        </w:rPr>
        <w:t>Dada en Bogotá, D.C.</w:t>
      </w:r>
    </w:p>
    <w:p w:rsidR="00C91B94" w:rsidRPr="00FB1F19" w:rsidRDefault="00C91B94" w:rsidP="00DA1EF4">
      <w:pPr>
        <w:ind w:left="0"/>
        <w:rPr>
          <w:rFonts w:ascii="Bookman Old Style" w:hAnsi="Bookman Old Style" w:cs="Arial"/>
          <w:szCs w:val="20"/>
        </w:rPr>
      </w:pPr>
    </w:p>
    <w:p w:rsidR="00583648" w:rsidRPr="00FB1F19" w:rsidRDefault="00583648" w:rsidP="00DA1EF4">
      <w:pPr>
        <w:ind w:left="0"/>
        <w:rPr>
          <w:rFonts w:ascii="Bookman Old Style" w:hAnsi="Bookman Old Style" w:cs="Arial"/>
          <w:szCs w:val="20"/>
        </w:rPr>
      </w:pPr>
    </w:p>
    <w:p w:rsidR="00842277" w:rsidRPr="00FB1F19" w:rsidRDefault="00842277" w:rsidP="00DA1EF4">
      <w:pPr>
        <w:ind w:left="0"/>
        <w:rPr>
          <w:rFonts w:ascii="Bookman Old Style" w:hAnsi="Bookman Old Style" w:cs="Arial"/>
          <w:szCs w:val="20"/>
        </w:rPr>
      </w:pPr>
    </w:p>
    <w:p w:rsidR="00842277" w:rsidRPr="00FB1F19" w:rsidRDefault="00842277" w:rsidP="00DA1EF4">
      <w:pPr>
        <w:ind w:left="0"/>
        <w:rPr>
          <w:rFonts w:ascii="Bookman Old Style" w:hAnsi="Bookman Old Style" w:cs="Arial"/>
          <w:szCs w:val="20"/>
        </w:rPr>
      </w:pPr>
    </w:p>
    <w:tbl>
      <w:tblPr>
        <w:tblW w:w="8647" w:type="dxa"/>
        <w:jc w:val="center"/>
        <w:tblCellSpacing w:w="0" w:type="dxa"/>
        <w:tblCellMar>
          <w:left w:w="0" w:type="dxa"/>
          <w:right w:w="0" w:type="dxa"/>
        </w:tblCellMar>
        <w:tblLook w:val="04A0" w:firstRow="1" w:lastRow="0" w:firstColumn="1" w:lastColumn="0" w:noHBand="0" w:noVBand="1"/>
      </w:tblPr>
      <w:tblGrid>
        <w:gridCol w:w="4678"/>
        <w:gridCol w:w="3969"/>
      </w:tblGrid>
      <w:tr w:rsidR="00DA1EF4" w:rsidRPr="009377CA" w:rsidTr="00AA4450">
        <w:trPr>
          <w:tblCellSpacing w:w="0" w:type="dxa"/>
          <w:jc w:val="center"/>
        </w:trPr>
        <w:tc>
          <w:tcPr>
            <w:tcW w:w="4678" w:type="dxa"/>
          </w:tcPr>
          <w:p w:rsidR="00DA1EF4" w:rsidRPr="00FB1F19" w:rsidRDefault="00DA1EF4" w:rsidP="0066171D">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DA1EF4" w:rsidRPr="00FB1F19" w:rsidRDefault="00DA1EF4" w:rsidP="0066171D">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DA1EF4" w:rsidRPr="00FB1F19" w:rsidRDefault="00DA1EF4" w:rsidP="0066171D">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DA1EF4" w:rsidRPr="00FB1F19" w:rsidRDefault="00DA1EF4" w:rsidP="0066171D">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DD6" w:rsidRDefault="000B2DD6" w:rsidP="006D45B0">
      <w:r>
        <w:separator/>
      </w:r>
    </w:p>
  </w:endnote>
  <w:endnote w:type="continuationSeparator" w:id="0">
    <w:p w:rsidR="000B2DD6" w:rsidRDefault="000B2DD6"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DD6" w:rsidRDefault="000B2DD6" w:rsidP="006D45B0">
      <w:r>
        <w:separator/>
      </w:r>
    </w:p>
  </w:footnote>
  <w:footnote w:type="continuationSeparator" w:id="0">
    <w:p w:rsidR="000B2DD6" w:rsidRDefault="000B2DD6" w:rsidP="006D45B0">
      <w:r>
        <w:continuationSeparator/>
      </w:r>
    </w:p>
  </w:footnote>
  <w:footnote w:id="1">
    <w:p w:rsidR="00903BA9" w:rsidRPr="005C1BCA" w:rsidRDefault="00903BA9"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03BA9" w:rsidRPr="00FD101E" w:rsidRDefault="00903BA9"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903BA9" w:rsidRPr="00FD101E" w:rsidRDefault="00903BA9"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903BA9" w:rsidRPr="00FD101E" w:rsidRDefault="00903BA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903BA9" w:rsidRPr="00FD101E" w:rsidRDefault="00903BA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903BA9" w:rsidRPr="00FD101E" w:rsidRDefault="00903BA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903BA9" w:rsidRPr="00FD101E" w:rsidRDefault="00903BA9"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903BA9" w:rsidRPr="00575874" w:rsidRDefault="00903BA9" w:rsidP="0042167A">
      <w:pPr>
        <w:pStyle w:val="Textonotapie"/>
      </w:pPr>
    </w:p>
  </w:footnote>
  <w:footnote w:id="3">
    <w:p w:rsidR="00903BA9" w:rsidRPr="0042167A" w:rsidRDefault="00903BA9"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903BA9" w:rsidRPr="005527BE" w:rsidRDefault="00903BA9" w:rsidP="005527BE">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r w:rsidR="007D554E">
        <w:rPr>
          <w:rFonts w:ascii="Bookman Old Style" w:hAnsi="Bookman Old Style" w:cs="Arial"/>
          <w:sz w:val="16"/>
          <w:szCs w:val="16"/>
        </w:rPr>
        <w:t>Artículo</w:t>
      </w:r>
      <w:r w:rsidRPr="005527BE">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903BA9" w:rsidRPr="005527BE" w:rsidRDefault="00903BA9" w:rsidP="005527BE">
      <w:pPr>
        <w:pStyle w:val="Textonotapie"/>
        <w:jc w:val="both"/>
        <w:rPr>
          <w:rFonts w:ascii="Bookman Old Style" w:hAnsi="Bookman Old Style" w:cs="Arial"/>
          <w:sz w:val="16"/>
          <w:szCs w:val="16"/>
        </w:rPr>
      </w:pPr>
    </w:p>
    <w:p w:rsidR="00903BA9" w:rsidRPr="00CD67E2" w:rsidRDefault="00903BA9" w:rsidP="005527BE">
      <w:pPr>
        <w:pStyle w:val="Textonotapie"/>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903BA9" w:rsidRPr="00FA7CDB" w:rsidRDefault="00903BA9" w:rsidP="006D45B0">
      <w:pPr>
        <w:pStyle w:val="Textonotapie"/>
        <w:jc w:val="both"/>
        <w:rPr>
          <w:rFonts w:ascii="Bookman Old Style" w:hAnsi="Bookman Old Style" w:cs="Arial"/>
          <w:sz w:val="16"/>
          <w:szCs w:val="16"/>
        </w:rPr>
      </w:pPr>
    </w:p>
    <w:p w:rsidR="00903BA9" w:rsidRPr="00FA7CDB" w:rsidRDefault="00903BA9"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903BA9" w:rsidRPr="00FA7CDB" w:rsidRDefault="00903BA9"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903BA9" w:rsidRPr="00FA7CDB" w:rsidRDefault="00903BA9"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903BA9" w:rsidRPr="00FA7CDB" w:rsidRDefault="00903BA9"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903BA9" w:rsidRDefault="00903BA9"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903BA9" w:rsidRPr="0042167A" w:rsidRDefault="00903BA9" w:rsidP="007A6C4F">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A9" w:rsidRDefault="00903BA9" w:rsidP="0066171D">
    <w:pPr>
      <w:pStyle w:val="Ttulo1"/>
      <w:ind w:right="6"/>
      <w:jc w:val="left"/>
      <w:rPr>
        <w:rFonts w:ascii="Bookman Old Style" w:hAnsi="Bookman Old Style" w:cs="Arial"/>
        <w:b w:val="0"/>
        <w:sz w:val="22"/>
        <w:szCs w:val="22"/>
      </w:rPr>
    </w:pPr>
  </w:p>
  <w:p w:rsidR="00903BA9" w:rsidRPr="00951F79" w:rsidRDefault="00903BA9"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C2519">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C2519">
      <w:fldChar w:fldCharType="begin"/>
    </w:r>
    <w:r w:rsidR="001C2519">
      <w:instrText xml:space="preserve"> NUMPAGES  \* MERGEFORMAT </w:instrText>
    </w:r>
    <w:r w:rsidR="001C2519">
      <w:fldChar w:fldCharType="separate"/>
    </w:r>
    <w:r w:rsidR="001C2519" w:rsidRPr="001C2519">
      <w:rPr>
        <w:rFonts w:ascii="Bookman Old Style" w:hAnsi="Bookman Old Style" w:cs="Arial"/>
        <w:b w:val="0"/>
        <w:noProof/>
        <w:sz w:val="22"/>
        <w:szCs w:val="22"/>
      </w:rPr>
      <w:t>16</w:t>
    </w:r>
    <w:r w:rsidR="001C2519">
      <w:rPr>
        <w:rFonts w:ascii="Bookman Old Style" w:hAnsi="Bookman Old Style" w:cs="Arial"/>
        <w:b w:val="0"/>
        <w:noProof/>
        <w:sz w:val="22"/>
        <w:szCs w:val="22"/>
      </w:rPr>
      <w:fldChar w:fldCharType="end"/>
    </w:r>
  </w:p>
  <w:p w:rsidR="00903BA9" w:rsidRDefault="00903BA9"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903BA9" w:rsidRPr="00616D65" w:rsidRDefault="00903BA9"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Pr="0053448E">
      <w:rPr>
        <w:rFonts w:ascii="Bookman Old Style" w:hAnsi="Bookman Old Style" w:cs="Arial"/>
        <w:sz w:val="22"/>
        <w:szCs w:val="22"/>
      </w:rPr>
      <w:t xml:space="preserve">Gas Express Colombia S.A.S.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048 de 2018.</w:t>
    </w:r>
  </w:p>
  <w:p w:rsidR="00903BA9" w:rsidRPr="00730C9E" w:rsidRDefault="00903BA9"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A9" w:rsidRDefault="00903BA9"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903BA9" w:rsidRDefault="00903BA9">
    <w:pPr>
      <w:pStyle w:val="Encabezado"/>
      <w:jc w:val="center"/>
      <w:rPr>
        <w:rFonts w:ascii="Arial" w:hAnsi="Arial" w:cs="Arial"/>
        <w:spacing w:val="20"/>
        <w:sz w:val="20"/>
      </w:rPr>
    </w:pPr>
  </w:p>
  <w:p w:rsidR="00903BA9" w:rsidRDefault="00903BA9"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8"/>
  </w:num>
  <w:num w:numId="2">
    <w:abstractNumId w:val="5"/>
  </w:num>
  <w:num w:numId="3">
    <w:abstractNumId w:val="4"/>
  </w:num>
  <w:num w:numId="4">
    <w:abstractNumId w:val="6"/>
  </w:num>
  <w:num w:numId="5">
    <w:abstractNumId w:val="2"/>
  </w:num>
  <w:num w:numId="6">
    <w:abstractNumId w:val="3"/>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7426D"/>
    <w:rsid w:val="000B2DD6"/>
    <w:rsid w:val="001439AE"/>
    <w:rsid w:val="0019204A"/>
    <w:rsid w:val="00194F3F"/>
    <w:rsid w:val="001C2519"/>
    <w:rsid w:val="00234BDC"/>
    <w:rsid w:val="002A1D65"/>
    <w:rsid w:val="002D569D"/>
    <w:rsid w:val="002E5639"/>
    <w:rsid w:val="003160E7"/>
    <w:rsid w:val="003D7378"/>
    <w:rsid w:val="00405AC2"/>
    <w:rsid w:val="0042167A"/>
    <w:rsid w:val="0047798E"/>
    <w:rsid w:val="0053448E"/>
    <w:rsid w:val="005527BE"/>
    <w:rsid w:val="00583648"/>
    <w:rsid w:val="005F1EAF"/>
    <w:rsid w:val="005F3077"/>
    <w:rsid w:val="0066171D"/>
    <w:rsid w:val="006C0668"/>
    <w:rsid w:val="006C0EE5"/>
    <w:rsid w:val="006D45B0"/>
    <w:rsid w:val="007041B3"/>
    <w:rsid w:val="007243A2"/>
    <w:rsid w:val="007A6C4F"/>
    <w:rsid w:val="007D554E"/>
    <w:rsid w:val="00842277"/>
    <w:rsid w:val="008A5DBB"/>
    <w:rsid w:val="008E5D9F"/>
    <w:rsid w:val="00901B49"/>
    <w:rsid w:val="00903BA9"/>
    <w:rsid w:val="0092542B"/>
    <w:rsid w:val="00970C09"/>
    <w:rsid w:val="00A177E5"/>
    <w:rsid w:val="00A306A7"/>
    <w:rsid w:val="00A9558C"/>
    <w:rsid w:val="00AA4450"/>
    <w:rsid w:val="00AA6298"/>
    <w:rsid w:val="00AB1F46"/>
    <w:rsid w:val="00B83F23"/>
    <w:rsid w:val="00BD44AA"/>
    <w:rsid w:val="00C3759C"/>
    <w:rsid w:val="00C91B94"/>
    <w:rsid w:val="00CA3104"/>
    <w:rsid w:val="00CB104A"/>
    <w:rsid w:val="00CD0F9E"/>
    <w:rsid w:val="00D21FA2"/>
    <w:rsid w:val="00D2330C"/>
    <w:rsid w:val="00DA1EF4"/>
    <w:rsid w:val="00DB44C7"/>
    <w:rsid w:val="00DC6D86"/>
    <w:rsid w:val="00E048B9"/>
    <w:rsid w:val="00E53CF2"/>
    <w:rsid w:val="00E60540"/>
    <w:rsid w:val="00EC4F34"/>
    <w:rsid w:val="00F27CF0"/>
    <w:rsid w:val="00FA0859"/>
    <w:rsid w:val="00FB1F19"/>
    <w:rsid w:val="00FC520A"/>
    <w:rsid w:val="00FD3E8A"/>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basedOn w:val="Fuentedeprrafopredeter"/>
    <w:link w:val="Style25"/>
    <w:uiPriority w:val="99"/>
    <w:rsid w:val="0007426D"/>
    <w:rPr>
      <w:rFonts w:ascii="Arial" w:hAnsi="Arial" w:cs="Arial"/>
      <w:sz w:val="18"/>
      <w:szCs w:val="18"/>
      <w:shd w:val="clear" w:color="auto" w:fill="FFFFFF"/>
    </w:rPr>
  </w:style>
  <w:style w:type="paragraph" w:customStyle="1" w:styleId="Style25">
    <w:name w:val="Style 25"/>
    <w:basedOn w:val="Normal"/>
    <w:link w:val="CharStyle26"/>
    <w:uiPriority w:val="99"/>
    <w:rsid w:val="0007426D"/>
    <w:pPr>
      <w:widowControl w:val="0"/>
      <w:shd w:val="clear" w:color="auto" w:fill="FFFFFF"/>
      <w:spacing w:after="360" w:line="240" w:lineRule="atLeast"/>
      <w:ind w:left="0" w:hanging="340"/>
    </w:pPr>
    <w:rPr>
      <w:rFonts w:ascii="Arial" w:eastAsiaTheme="minorHAnsi" w:hAnsi="Arial" w:cs="Arial"/>
      <w:sz w:val="18"/>
      <w:szCs w:val="18"/>
      <w:lang w:val="es-CO" w:eastAsia="en-US"/>
    </w:rPr>
  </w:style>
  <w:style w:type="paragraph" w:styleId="Prrafodelista">
    <w:name w:val="List Paragraph"/>
    <w:basedOn w:val="Normal"/>
    <w:uiPriority w:val="34"/>
    <w:qFormat/>
    <w:rsid w:val="00F27CF0"/>
    <w:pPr>
      <w:ind w:left="720"/>
      <w:contextualSpacing/>
    </w:pPr>
  </w:style>
  <w:style w:type="paragraph" w:styleId="Textodeglobo">
    <w:name w:val="Balloon Text"/>
    <w:basedOn w:val="Normal"/>
    <w:link w:val="TextodegloboCar"/>
    <w:uiPriority w:val="99"/>
    <w:semiHidden/>
    <w:unhideWhenUsed/>
    <w:rsid w:val="001439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9A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1986-CCBE-405D-A1AB-F6AE2E9D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6228</Words>
  <Characters>34257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2018-07-30T23:59:00Z</cp:lastPrinted>
  <dcterms:created xsi:type="dcterms:W3CDTF">2018-08-02T21:44:00Z</dcterms:created>
  <dcterms:modified xsi:type="dcterms:W3CDTF">2018-08-02T21:44:00Z</dcterms:modified>
</cp:coreProperties>
</file>