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E060BE" w:rsidRDefault="00B76BE5"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9pt;margin-top:-53.35pt;width:52.5pt;height:48.75pt;z-index:251656704" fillcolor="#0c9">
            <v:imagedata r:id="rId9" o:title=""/>
          </v:shape>
          <o:OLEObject Type="Embed" ProgID="PBrush" ShapeID="_x0000_s1026" DrawAspect="Content" ObjectID="_1520172121" r:id="rId10"/>
        </w:pict>
      </w:r>
    </w:p>
    <w:p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6A1C33">
        <w:rPr>
          <w:rFonts w:ascii="Bookman Old Style" w:hAnsi="Bookman Old Style"/>
          <w:sz w:val="24"/>
          <w:szCs w:val="24"/>
        </w:rPr>
        <w:t>6</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Default="00CA77FB" w:rsidP="00012259">
      <w:pPr>
        <w:tabs>
          <w:tab w:val="left" w:pos="0"/>
          <w:tab w:val="right" w:pos="9356"/>
        </w:tabs>
        <w:ind w:left="0"/>
        <w:jc w:val="center"/>
        <w:rPr>
          <w:rFonts w:ascii="Bookman Old Style" w:hAnsi="Bookman Old Style"/>
          <w:lang w:val="es-ES_tradnl"/>
        </w:rPr>
      </w:pPr>
    </w:p>
    <w:p w:rsidR="00E46432" w:rsidRPr="00E060BE" w:rsidRDefault="00E46432" w:rsidP="00012259">
      <w:pPr>
        <w:tabs>
          <w:tab w:val="left" w:pos="0"/>
          <w:tab w:val="right" w:pos="9356"/>
        </w:tabs>
        <w:ind w:left="0"/>
        <w:jc w:val="center"/>
        <w:rPr>
          <w:rFonts w:ascii="Bookman Old Style" w:hAnsi="Bookman Old Style"/>
          <w:lang w:val="es-ES_tradnl"/>
        </w:rPr>
      </w:pPr>
    </w:p>
    <w:p w:rsidR="00CF5F5B" w:rsidRDefault="00CF5F5B" w:rsidP="00A60C08">
      <w:pPr>
        <w:ind w:left="0"/>
        <w:rPr>
          <w:rFonts w:ascii="Bookman Old Style" w:hAnsi="Bookman Old Style"/>
          <w:bCs/>
          <w:lang w:val="es-CO"/>
        </w:rPr>
      </w:pPr>
    </w:p>
    <w:p w:rsidR="00EB1657" w:rsidRPr="00E42E08" w:rsidRDefault="00EB1657" w:rsidP="00EB1657">
      <w:pPr>
        <w:ind w:right="51"/>
        <w:jc w:val="center"/>
        <w:rPr>
          <w:rFonts w:ascii="Bookman Old Style" w:hAnsi="Bookman Old Style"/>
          <w:b/>
        </w:rPr>
      </w:pPr>
      <w:r w:rsidRPr="00E42E08">
        <w:rPr>
          <w:rFonts w:ascii="Bookman Old Style" w:hAnsi="Bookman Old Style"/>
        </w:rPr>
        <w:t xml:space="preserve">Por la cual se </w:t>
      </w:r>
      <w:r w:rsidR="008F565A">
        <w:rPr>
          <w:rFonts w:ascii="Bookman Old Style" w:hAnsi="Bookman Old Style"/>
        </w:rPr>
        <w:t>adiciona</w:t>
      </w:r>
      <w:r w:rsidR="00853CD3">
        <w:rPr>
          <w:rFonts w:ascii="Bookman Old Style" w:hAnsi="Bookman Old Style"/>
        </w:rPr>
        <w:t>n</w:t>
      </w:r>
      <w:r w:rsidR="008F565A">
        <w:rPr>
          <w:rFonts w:ascii="Bookman Old Style" w:hAnsi="Bookman Old Style"/>
        </w:rPr>
        <w:t xml:space="preserve"> las</w:t>
      </w:r>
      <w:r w:rsidR="00013EA5">
        <w:rPr>
          <w:rFonts w:ascii="Bookman Old Style" w:hAnsi="Bookman Old Style"/>
        </w:rPr>
        <w:t xml:space="preserve"> </w:t>
      </w:r>
      <w:r w:rsidR="00D00E5A">
        <w:rPr>
          <w:rFonts w:ascii="Bookman Old Style" w:hAnsi="Bookman Old Style"/>
        </w:rPr>
        <w:t xml:space="preserve"> reglas de </w:t>
      </w:r>
      <w:r w:rsidR="00013EA5">
        <w:rPr>
          <w:rFonts w:ascii="Bookman Old Style" w:hAnsi="Bookman Old Style"/>
        </w:rPr>
        <w:t xml:space="preserve">garantías para amparar la energía firme incremental </w:t>
      </w:r>
      <w:r w:rsidR="00260895">
        <w:rPr>
          <w:rFonts w:ascii="Bookman Old Style" w:hAnsi="Bookman Old Style"/>
        </w:rPr>
        <w:t>para el</w:t>
      </w:r>
      <w:r w:rsidR="00013EA5">
        <w:rPr>
          <w:rFonts w:ascii="Bookman Old Style" w:hAnsi="Bookman Old Style"/>
        </w:rPr>
        <w:t xml:space="preserve"> Cargo por Confiabilidad</w:t>
      </w:r>
    </w:p>
    <w:p w:rsidR="00EB1657" w:rsidRPr="00C435C3" w:rsidRDefault="00EB1657" w:rsidP="00A60C08">
      <w:pPr>
        <w:ind w:right="51"/>
        <w:jc w:val="center"/>
        <w:rPr>
          <w:rFonts w:ascii="Bookman Old Style" w:hAnsi="Bookman Old Style"/>
          <w:b/>
        </w:rPr>
      </w:pPr>
    </w:p>
    <w:p w:rsidR="00A60C08" w:rsidRDefault="00A60C08" w:rsidP="00A60C08">
      <w:pPr>
        <w:ind w:left="0" w:right="51"/>
        <w:rPr>
          <w:rFonts w:ascii="Bookman Old Style" w:hAnsi="Bookman Old Style"/>
        </w:rPr>
      </w:pPr>
    </w:p>
    <w:p w:rsidR="00EB1657" w:rsidRPr="00C435C3" w:rsidRDefault="00EB1657" w:rsidP="00EB1657">
      <w:pPr>
        <w:ind w:right="51"/>
        <w:jc w:val="center"/>
        <w:rPr>
          <w:rFonts w:ascii="Bookman Old Style" w:hAnsi="Bookman Old Style"/>
          <w:b/>
        </w:rPr>
      </w:pPr>
      <w:r w:rsidRPr="00C435C3">
        <w:rPr>
          <w:rFonts w:ascii="Bookman Old Style" w:hAnsi="Bookman Old Style"/>
          <w:b/>
        </w:rPr>
        <w:t>LA COMISIÓN DE REGULACIÓN DE  ENERGÍA Y GAS</w:t>
      </w:r>
    </w:p>
    <w:p w:rsidR="00EB1657" w:rsidRDefault="00EB1657" w:rsidP="00A60C08">
      <w:pPr>
        <w:ind w:left="0" w:right="51"/>
        <w:rPr>
          <w:rFonts w:ascii="Bookman Old Style" w:hAnsi="Bookman Old Style"/>
        </w:rPr>
      </w:pPr>
    </w:p>
    <w:p w:rsidR="00EB1657" w:rsidRPr="00C435C3" w:rsidRDefault="00EB1657" w:rsidP="00A60C08">
      <w:pPr>
        <w:ind w:left="0" w:right="51"/>
        <w:rPr>
          <w:rFonts w:ascii="Bookman Old Style" w:hAnsi="Bookman Old Style"/>
        </w:rPr>
      </w:pPr>
    </w:p>
    <w:p w:rsidR="00A60C08" w:rsidRPr="00C435C3" w:rsidRDefault="00A60C08" w:rsidP="00A60C08">
      <w:pPr>
        <w:pStyle w:val="Textoindependiente3"/>
        <w:ind w:left="0"/>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los Decretos 1524</w:t>
      </w:r>
      <w:r w:rsidR="00441102">
        <w:rPr>
          <w:rFonts w:ascii="Bookman Old Style" w:hAnsi="Bookman Old Style"/>
          <w:b w:val="0"/>
        </w:rPr>
        <w:t>,</w:t>
      </w:r>
      <w:r w:rsidRPr="00C435C3">
        <w:rPr>
          <w:rFonts w:ascii="Bookman Old Style" w:hAnsi="Bookman Old Style"/>
          <w:b w:val="0"/>
        </w:rPr>
        <w:t xml:space="preserve"> 2253 de 1994</w:t>
      </w:r>
      <w:r w:rsidR="00441102">
        <w:rPr>
          <w:rFonts w:ascii="Bookman Old Style" w:hAnsi="Bookman Old Style"/>
          <w:b w:val="0"/>
        </w:rPr>
        <w:t xml:space="preserve"> y 1260 de 2013</w:t>
      </w:r>
      <w:r w:rsidRPr="00C435C3">
        <w:rPr>
          <w:rFonts w:ascii="Bookman Old Style" w:hAnsi="Bookman Old Style"/>
          <w:b w:val="0"/>
        </w:rPr>
        <w:t>.</w:t>
      </w:r>
    </w:p>
    <w:p w:rsidR="00A60C08" w:rsidRDefault="00A60C08" w:rsidP="00A60C0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A60C08" w:rsidRDefault="00A60C08" w:rsidP="00A60C08">
      <w:pPr>
        <w:ind w:right="51"/>
        <w:jc w:val="center"/>
        <w:rPr>
          <w:rFonts w:ascii="Bookman Old Style" w:hAnsi="Bookman Old Style"/>
          <w:b/>
        </w:rPr>
      </w:pPr>
    </w:p>
    <w:p w:rsidR="006D0D2D" w:rsidRPr="00C435C3" w:rsidRDefault="006D0D2D" w:rsidP="00A60C08">
      <w:pPr>
        <w:ind w:right="51"/>
        <w:jc w:val="center"/>
        <w:rPr>
          <w:rFonts w:ascii="Bookman Old Style" w:hAnsi="Bookman Old Style"/>
          <w:b/>
        </w:rPr>
      </w:pPr>
    </w:p>
    <w:p w:rsidR="00A60C08" w:rsidRDefault="00A60C08" w:rsidP="00A60C08">
      <w:pPr>
        <w:ind w:left="0"/>
        <w:jc w:val="both"/>
        <w:rPr>
          <w:rFonts w:ascii="Bookman Old Style" w:hAnsi="Bookman Old Style"/>
        </w:rPr>
      </w:pPr>
      <w:r>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A60C08" w:rsidRDefault="00A60C08" w:rsidP="00A60C08">
      <w:pPr>
        <w:ind w:left="0"/>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Para el cumplimiento del objetivo señalado, la Ley 143 de 1994, artículo 23, le atribuyó a la Comisión de Regulación de Energía y Gas, entre otras, las siguientes funciones:</w:t>
      </w:r>
    </w:p>
    <w:p w:rsidR="00A60C08" w:rsidRDefault="00A60C08" w:rsidP="00A60C08">
      <w:pPr>
        <w:jc w:val="both"/>
        <w:rPr>
          <w:rFonts w:ascii="Bookman Old Style" w:hAnsi="Bookman Old Style"/>
        </w:rPr>
      </w:pPr>
    </w:p>
    <w:p w:rsidR="00A60C08" w:rsidRDefault="00A60C08" w:rsidP="00D73BCE">
      <w:pPr>
        <w:numPr>
          <w:ilvl w:val="0"/>
          <w:numId w:val="28"/>
        </w:numPr>
        <w:jc w:val="both"/>
        <w:rPr>
          <w:rFonts w:ascii="Bookman Old Style" w:hAnsi="Bookman Old Style"/>
        </w:rPr>
      </w:pPr>
      <w:r>
        <w:rPr>
          <w:rFonts w:ascii="Bookman Old Style" w:hAnsi="Bookman Old Style"/>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w:t>
      </w:r>
      <w:r w:rsidR="00D73BCE">
        <w:rPr>
          <w:rFonts w:ascii="Bookman Old Style" w:hAnsi="Bookman Old Style"/>
        </w:rPr>
        <w:t>cidad de generación de respaldo.</w:t>
      </w:r>
    </w:p>
    <w:p w:rsidR="00DD51EA" w:rsidRDefault="00DD51EA" w:rsidP="00DD51EA">
      <w:pPr>
        <w:ind w:left="360"/>
        <w:jc w:val="both"/>
        <w:rPr>
          <w:rFonts w:ascii="Bookman Old Style" w:hAnsi="Bookman Old Style"/>
        </w:rPr>
      </w:pPr>
    </w:p>
    <w:p w:rsidR="00A60C08" w:rsidRDefault="00A60C08" w:rsidP="00D73BCE">
      <w:pPr>
        <w:numPr>
          <w:ilvl w:val="0"/>
          <w:numId w:val="28"/>
        </w:numPr>
        <w:jc w:val="both"/>
        <w:rPr>
          <w:rFonts w:ascii="Bookman Old Style" w:hAnsi="Bookman Old Style"/>
        </w:rPr>
      </w:pPr>
      <w:r>
        <w:rPr>
          <w:rFonts w:ascii="Bookman Old Style" w:hAnsi="Bookman Old Style"/>
        </w:rPr>
        <w:t xml:space="preserve">Valorar la capacidad de generación de </w:t>
      </w:r>
      <w:r w:rsidR="00D73BCE">
        <w:rPr>
          <w:rFonts w:ascii="Bookman Old Style" w:hAnsi="Bookman Old Style"/>
        </w:rPr>
        <w:t>respaldo de la oferta eficiente.</w:t>
      </w:r>
    </w:p>
    <w:p w:rsidR="00A60C08" w:rsidRDefault="00A60C08" w:rsidP="00D73BCE">
      <w:pPr>
        <w:numPr>
          <w:ilvl w:val="0"/>
          <w:numId w:val="28"/>
        </w:numPr>
        <w:jc w:val="both"/>
        <w:rPr>
          <w:rFonts w:ascii="Bookman Old Style" w:hAnsi="Bookman Old Style"/>
        </w:rPr>
      </w:pPr>
      <w:r>
        <w:rPr>
          <w:rFonts w:ascii="Bookman Old Style" w:hAnsi="Bookman Old Style"/>
        </w:rPr>
        <w:t>Definir y hacer operativos los criterios técnicos de calidad, confiabilidad y seg</w:t>
      </w:r>
      <w:r w:rsidR="00D73BCE">
        <w:rPr>
          <w:rFonts w:ascii="Bookman Old Style" w:hAnsi="Bookman Old Style"/>
        </w:rPr>
        <w:t>uridad del servicio de energía.</w:t>
      </w:r>
    </w:p>
    <w:p w:rsidR="00A60C08" w:rsidRDefault="00A60C08" w:rsidP="00D73BCE">
      <w:pPr>
        <w:numPr>
          <w:ilvl w:val="0"/>
          <w:numId w:val="28"/>
        </w:numPr>
        <w:jc w:val="both"/>
        <w:rPr>
          <w:rFonts w:ascii="Bookman Old Style" w:hAnsi="Bookman Old Style"/>
        </w:rPr>
      </w:pPr>
      <w:r>
        <w:rPr>
          <w:rFonts w:ascii="Bookman Old Style" w:hAnsi="Bookman Old Style"/>
        </w:rPr>
        <w:t>Establecer el Reglamento de Operación para realizar el planeamiento y la coordinación de la operación del Sistema Interconectado Nacional</w:t>
      </w:r>
    </w:p>
    <w:p w:rsidR="00E42E08" w:rsidRDefault="00E42E08" w:rsidP="00A60C08">
      <w:pPr>
        <w:ind w:left="0"/>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r w:rsidR="00E63388">
        <w:rPr>
          <w:rFonts w:ascii="Bookman Old Style" w:hAnsi="Bookman Old Style"/>
        </w:rPr>
        <w:t>.</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ley 142 de 1994, artículo 74, también le asignó a la Comisión de Regulación de Energía y Gas, la función de expedir el Reglamento de Operación para regular el funcionamiento del Mercado Mayorista de energía</w:t>
      </w:r>
      <w:r w:rsidR="00E63388">
        <w:rPr>
          <w:rFonts w:ascii="Bookman Old Style" w:hAnsi="Bookman Old Style"/>
        </w:rPr>
        <w:t>.</w:t>
      </w:r>
    </w:p>
    <w:p w:rsidR="00A60C08" w:rsidRDefault="00A60C08" w:rsidP="00A60C08">
      <w:pPr>
        <w:jc w:val="both"/>
        <w:rPr>
          <w:rFonts w:ascii="Bookman Old Style" w:hAnsi="Bookman Old Style"/>
        </w:rPr>
      </w:pPr>
    </w:p>
    <w:p w:rsidR="006D0D2D" w:rsidRDefault="00013EA5" w:rsidP="00A60C08">
      <w:pPr>
        <w:ind w:left="0"/>
        <w:jc w:val="both"/>
        <w:rPr>
          <w:rFonts w:ascii="Bookman Old Style" w:hAnsi="Bookman Old Style"/>
        </w:rPr>
      </w:pPr>
      <w:r>
        <w:rPr>
          <w:rFonts w:ascii="Bookman Old Style" w:hAnsi="Bookman Old Style"/>
        </w:rPr>
        <w:t>La CREG expidió la Resolución CREG 061 de 2007 por la cual se adoptó el reglamento de garantías para el Cargo por Confiabilidad.</w:t>
      </w:r>
    </w:p>
    <w:p w:rsidR="00013EA5" w:rsidRDefault="00013EA5" w:rsidP="00A60C08">
      <w:pPr>
        <w:ind w:left="0"/>
        <w:jc w:val="both"/>
        <w:rPr>
          <w:rFonts w:ascii="Bookman Old Style" w:hAnsi="Bookman Old Style"/>
        </w:rPr>
      </w:pPr>
    </w:p>
    <w:p w:rsidR="00013EA5" w:rsidRDefault="00013EA5" w:rsidP="00A60C08">
      <w:pPr>
        <w:ind w:left="0"/>
        <w:jc w:val="both"/>
        <w:rPr>
          <w:rFonts w:ascii="Bookman Old Style" w:hAnsi="Bookman Old Style"/>
        </w:rPr>
      </w:pPr>
      <w:r>
        <w:rPr>
          <w:rFonts w:ascii="Bookman Old Style" w:hAnsi="Bookman Old Style"/>
        </w:rPr>
        <w:t xml:space="preserve">Se han recibido comunicaciones de Acolgen, radicado E-2016-002561, Celsia S.A. E.S.P., radicado E-2016-002832, y XM S.A E.S.P., radicado E-2016-002833, en donde </w:t>
      </w:r>
      <w:r w:rsidR="00E60F40">
        <w:rPr>
          <w:rFonts w:ascii="Bookman Old Style" w:hAnsi="Bookman Old Style"/>
        </w:rPr>
        <w:t>solicitan aclaración a la aplicación de la garantía de Enficc incremental por varios incumplimientos al Nivel Enficc Probabilístico (NEP).</w:t>
      </w:r>
    </w:p>
    <w:p w:rsidR="00E60F40" w:rsidRDefault="00E60F40" w:rsidP="00A60C08">
      <w:pPr>
        <w:ind w:left="0"/>
        <w:jc w:val="both"/>
        <w:rPr>
          <w:rFonts w:ascii="Bookman Old Style" w:hAnsi="Bookman Old Style"/>
        </w:rPr>
      </w:pPr>
    </w:p>
    <w:p w:rsidR="00E60F40" w:rsidRDefault="00E60F40" w:rsidP="00A60C08">
      <w:pPr>
        <w:ind w:left="0"/>
        <w:jc w:val="both"/>
        <w:rPr>
          <w:rFonts w:ascii="Bookman Old Style" w:hAnsi="Bookman Old Style"/>
        </w:rPr>
      </w:pPr>
      <w:r>
        <w:rPr>
          <w:rFonts w:ascii="Bookman Old Style" w:hAnsi="Bookman Old Style"/>
        </w:rPr>
        <w:t>La CREG ha encontrado conveniente complementar el procedimiento de las garantías de Enficc Incremental para cuando existe incumplimiento y hay que reponerlas, dado que también se cubren períodos futuros</w:t>
      </w:r>
      <w:r w:rsidR="00E56969">
        <w:rPr>
          <w:rFonts w:ascii="Bookman Old Style" w:hAnsi="Bookman Old Style"/>
        </w:rPr>
        <w:t>, d</w:t>
      </w:r>
      <w:r>
        <w:rPr>
          <w:rFonts w:ascii="Bookman Old Style" w:hAnsi="Bookman Old Style"/>
        </w:rPr>
        <w:t>e tal forma que el agente tenga el incentivo de reponer la garantía, sin que se pierda la cobertura a la demanda.</w:t>
      </w:r>
    </w:p>
    <w:p w:rsidR="00013EA5" w:rsidRDefault="00013EA5" w:rsidP="00A60C08">
      <w:pPr>
        <w:ind w:left="0"/>
        <w:jc w:val="both"/>
        <w:rPr>
          <w:rFonts w:ascii="Bookman Old Style" w:hAnsi="Bookman Old Style"/>
        </w:rPr>
      </w:pPr>
    </w:p>
    <w:p w:rsidR="00FA6DB0" w:rsidRDefault="008E3AA1" w:rsidP="004412D3">
      <w:pPr>
        <w:ind w:left="0"/>
        <w:jc w:val="both"/>
        <w:rPr>
          <w:rFonts w:ascii="Bookman Old Style" w:hAnsi="Bookman Old Style" w:cs="Arial"/>
          <w:lang w:val="es-ES_tradnl"/>
        </w:rPr>
      </w:pPr>
      <w:r w:rsidRPr="005A476D">
        <w:rPr>
          <w:rFonts w:ascii="Bookman Old Style" w:hAnsi="Bookman Old Style" w:cs="Arial"/>
          <w:lang w:val="es-ES_tradnl"/>
        </w:rPr>
        <w:t xml:space="preserve">De conformidad con lo establecido en el artículo 2.2.13.3.3.2 del Decreto </w:t>
      </w:r>
      <w:r w:rsidR="00FA6DB0" w:rsidRPr="005A476D">
        <w:rPr>
          <w:rFonts w:ascii="Bookman Old Style" w:hAnsi="Bookman Old Style" w:cs="Arial"/>
          <w:lang w:val="es-ES_tradnl"/>
        </w:rPr>
        <w:t>1078 de 2015 “Por la cual se expide el Decreto Único Reglamentario del Sector Tecnologías de</w:t>
      </w:r>
      <w:r w:rsidR="000516EB">
        <w:rPr>
          <w:rFonts w:ascii="Bookman Old Style" w:hAnsi="Bookman Old Style" w:cs="Arial"/>
          <w:lang w:val="es-ES_tradnl"/>
        </w:rPr>
        <w:t xml:space="preserve"> </w:t>
      </w:r>
      <w:r w:rsidR="00FA6DB0" w:rsidRPr="005A476D">
        <w:rPr>
          <w:rFonts w:ascii="Bookman Old Style" w:hAnsi="Bookman Old Style" w:cs="Arial"/>
          <w:lang w:val="es-ES_tradnl"/>
        </w:rPr>
        <w:t xml:space="preserve">la información y las Comunicaciones” y el numeral 4 del artículo 1 de la Resolución CREG 097 de 2004, la Comisión decidió por unanimidad no someter la presente Resolución a las disposiciones sobre publicidad de proyectos de regulación prevista en el citado Decreto, debido a la existencia de razones de orden económico, de conveniencia general y de oportunidad, toda vez que se requiere </w:t>
      </w:r>
      <w:r w:rsidR="005A476D">
        <w:rPr>
          <w:rFonts w:ascii="Bookman Old Style" w:hAnsi="Bookman Old Style" w:cs="Arial"/>
          <w:lang w:val="es-ES_tradnl"/>
        </w:rPr>
        <w:t xml:space="preserve">ajustar </w:t>
      </w:r>
      <w:r w:rsidR="00FA6DB0" w:rsidRPr="005A476D">
        <w:rPr>
          <w:rFonts w:ascii="Bookman Old Style" w:hAnsi="Bookman Old Style" w:cs="Arial"/>
          <w:lang w:val="es-ES_tradnl"/>
        </w:rPr>
        <w:t xml:space="preserve">a la mayor brevedad los </w:t>
      </w:r>
      <w:r w:rsidR="005A476D">
        <w:rPr>
          <w:rFonts w:ascii="Bookman Old Style" w:hAnsi="Bookman Old Style" w:cs="Arial"/>
          <w:lang w:val="es-ES_tradnl"/>
        </w:rPr>
        <w:t>cobros de las garantías que debe adelanta</w:t>
      </w:r>
      <w:r w:rsidR="00735115">
        <w:rPr>
          <w:rFonts w:ascii="Bookman Old Style" w:hAnsi="Bookman Old Style" w:cs="Arial"/>
          <w:lang w:val="es-ES_tradnl"/>
        </w:rPr>
        <w:t>r</w:t>
      </w:r>
      <w:r w:rsidR="005A476D">
        <w:rPr>
          <w:rFonts w:ascii="Bookman Old Style" w:hAnsi="Bookman Old Style" w:cs="Arial"/>
          <w:lang w:val="es-ES_tradnl"/>
        </w:rPr>
        <w:t xml:space="preserve"> el ASIC a los agente generadores que han incumplido la Enficc Incremental</w:t>
      </w:r>
      <w:r w:rsidR="00FA6DB0" w:rsidRPr="005A476D">
        <w:rPr>
          <w:rFonts w:ascii="Bookman Old Style" w:hAnsi="Bookman Old Style" w:cs="Arial"/>
          <w:lang w:val="es-ES_tradnl"/>
        </w:rPr>
        <w:t xml:space="preserve">, </w:t>
      </w:r>
      <w:r w:rsidR="00735115">
        <w:rPr>
          <w:rFonts w:ascii="Bookman Old Style" w:hAnsi="Bookman Old Style" w:cs="Arial"/>
          <w:lang w:val="es-ES_tradnl"/>
        </w:rPr>
        <w:t>lo que podría dejar a la demanda expuesta a los altos precios de bolsa que se están presentando en el actual período de sequía por razón del Fenómeno de El Niño y la indisponibilidad de la central Guatapé.</w:t>
      </w:r>
    </w:p>
    <w:p w:rsidR="00DD51EA" w:rsidRPr="00D27969" w:rsidRDefault="00DD51EA" w:rsidP="004412D3">
      <w:pPr>
        <w:ind w:left="0"/>
        <w:jc w:val="both"/>
        <w:rPr>
          <w:rFonts w:ascii="Bookman Old Style" w:hAnsi="Bookman Old Style" w:cs="Arial"/>
          <w:highlight w:val="yellow"/>
          <w:lang w:val="es-ES_tradnl"/>
        </w:rPr>
      </w:pPr>
    </w:p>
    <w:p w:rsidR="0022114A" w:rsidRDefault="00FA6DB0" w:rsidP="004412D3">
      <w:pPr>
        <w:ind w:left="0"/>
        <w:jc w:val="both"/>
        <w:rPr>
          <w:rFonts w:ascii="Bookman Old Style" w:hAnsi="Bookman Old Style" w:cs="Arial"/>
          <w:lang w:val="es-ES_tradnl"/>
        </w:rPr>
      </w:pPr>
      <w:r w:rsidRPr="005A476D">
        <w:rPr>
          <w:rFonts w:ascii="Bookman Old Style" w:hAnsi="Bookman Old Style" w:cs="Arial"/>
          <w:lang w:val="es-ES_tradnl"/>
        </w:rPr>
        <w:t xml:space="preserve">Según lo señalado en el Decreto 1074 de 2015 “Por el cual se expide el Decreto Único Reglamentario del Sector de Industria y Comercio”, no se informa de esta </w:t>
      </w:r>
      <w:r w:rsidRPr="005A476D">
        <w:rPr>
          <w:rFonts w:ascii="Bookman Old Style" w:hAnsi="Bookman Old Style" w:cs="Arial"/>
          <w:lang w:val="es-ES_tradnl"/>
        </w:rPr>
        <w:lastRenderedPageBreak/>
        <w:t xml:space="preserve">resolución a la Superintendencia de Industria y Comercio (SIC) por cuanto, </w:t>
      </w:r>
      <w:r w:rsidR="0022114A">
        <w:rPr>
          <w:rFonts w:ascii="Bookman Old Style" w:hAnsi="Bookman Old Style" w:cs="Arial"/>
          <w:lang w:val="es-ES_tradnl"/>
        </w:rPr>
        <w:t xml:space="preserve">se respondió el cuestionario establecido por dicha entidad para efectos de evaluar la incidencia sobre la libre competencia </w:t>
      </w:r>
      <w:r w:rsidR="00D55FB9">
        <w:rPr>
          <w:rFonts w:ascii="Bookman Old Style" w:hAnsi="Bookman Old Style" w:cs="Arial"/>
          <w:lang w:val="es-ES_tradnl"/>
        </w:rPr>
        <w:t>de los mercados, aplicando las reglas allí previstas, la respuesta al conjunto de preguntas fue negativa, en la medida en que no plantea ninguna restricción indebida a la libre competencia.</w:t>
      </w:r>
    </w:p>
    <w:p w:rsidR="0022114A" w:rsidRDefault="0022114A" w:rsidP="004412D3">
      <w:pPr>
        <w:ind w:left="0"/>
        <w:jc w:val="both"/>
        <w:rPr>
          <w:rFonts w:ascii="Bookman Old Style" w:hAnsi="Bookman Old Style" w:cs="Arial"/>
          <w:lang w:val="es-ES_tradnl"/>
        </w:rPr>
      </w:pPr>
    </w:p>
    <w:p w:rsidR="005A7814" w:rsidRDefault="005A7814" w:rsidP="004412D3">
      <w:pPr>
        <w:ind w:left="0"/>
        <w:jc w:val="both"/>
        <w:rPr>
          <w:rFonts w:ascii="Bookman Old Style" w:hAnsi="Bookman Old Style" w:cs="Arial"/>
          <w:lang w:val="es-ES_tradnl"/>
        </w:rPr>
      </w:pPr>
      <w:r>
        <w:rPr>
          <w:rFonts w:ascii="Bookman Old Style" w:hAnsi="Bookman Old Style" w:cs="Arial"/>
          <w:lang w:val="es-ES_tradnl"/>
        </w:rPr>
        <w:t xml:space="preserve">La Comisión de Regulación de Energía y Gas, en su sesión </w:t>
      </w:r>
      <w:r w:rsidR="00DD51EA">
        <w:rPr>
          <w:rFonts w:ascii="Bookman Old Style" w:hAnsi="Bookman Old Style" w:cs="Arial"/>
          <w:lang w:val="es-ES_tradnl"/>
        </w:rPr>
        <w:t>709</w:t>
      </w:r>
      <w:r>
        <w:rPr>
          <w:rFonts w:ascii="Bookman Old Style" w:hAnsi="Bookman Old Style" w:cs="Arial"/>
          <w:lang w:val="es-ES_tradnl"/>
        </w:rPr>
        <w:t xml:space="preserve"> del </w:t>
      </w:r>
      <w:r w:rsidR="008F565A" w:rsidRPr="00DD51EA">
        <w:rPr>
          <w:rFonts w:ascii="Bookman Old Style" w:hAnsi="Bookman Old Style" w:cs="Arial"/>
          <w:lang w:val="es-ES_tradnl"/>
        </w:rPr>
        <w:t>18</w:t>
      </w:r>
      <w:r>
        <w:rPr>
          <w:rFonts w:ascii="Bookman Old Style" w:hAnsi="Bookman Old Style" w:cs="Arial"/>
          <w:lang w:val="es-ES_tradnl"/>
        </w:rPr>
        <w:t xml:space="preserve"> de </w:t>
      </w:r>
      <w:r w:rsidR="0014344F">
        <w:rPr>
          <w:rFonts w:ascii="Bookman Old Style" w:hAnsi="Bookman Old Style" w:cs="Arial"/>
          <w:lang w:val="es-ES_tradnl"/>
        </w:rPr>
        <w:t>marzo</w:t>
      </w:r>
      <w:r>
        <w:rPr>
          <w:rFonts w:ascii="Bookman Old Style" w:hAnsi="Bookman Old Style" w:cs="Arial"/>
          <w:lang w:val="es-ES_tradnl"/>
        </w:rPr>
        <w:t xml:space="preserve"> de 201</w:t>
      </w:r>
      <w:r w:rsidR="0014344F">
        <w:rPr>
          <w:rFonts w:ascii="Bookman Old Style" w:hAnsi="Bookman Old Style" w:cs="Arial"/>
          <w:lang w:val="es-ES_tradnl"/>
        </w:rPr>
        <w:t>6</w:t>
      </w:r>
      <w:r>
        <w:rPr>
          <w:rFonts w:ascii="Bookman Old Style" w:hAnsi="Bookman Old Style" w:cs="Arial"/>
          <w:lang w:val="es-ES_tradnl"/>
        </w:rPr>
        <w:t>, acordó expedir la presente resolución.</w:t>
      </w:r>
    </w:p>
    <w:p w:rsidR="00314837" w:rsidRPr="00B75E93" w:rsidRDefault="00314837" w:rsidP="004412D3">
      <w:pPr>
        <w:ind w:left="0"/>
        <w:jc w:val="both"/>
        <w:rPr>
          <w:rFonts w:ascii="Bookman Old Style" w:hAnsi="Bookman Old Style" w:cs="Arial"/>
          <w:lang w:val="es-ES_tradnl"/>
        </w:rPr>
      </w:pPr>
    </w:p>
    <w:p w:rsidR="008D502B" w:rsidRPr="008F565A" w:rsidRDefault="008D502B" w:rsidP="008D502B">
      <w:pPr>
        <w:ind w:left="0"/>
        <w:jc w:val="both"/>
        <w:rPr>
          <w:rFonts w:ascii="Bookman Old Style" w:hAnsi="Bookman Old Style"/>
          <w:lang w:val="es-ES_tradnl"/>
        </w:rPr>
      </w:pPr>
    </w:p>
    <w:p w:rsidR="008D502B" w:rsidRPr="00C435C3" w:rsidRDefault="008D502B" w:rsidP="002301FE">
      <w:pPr>
        <w:suppressAutoHyphens/>
        <w:jc w:val="center"/>
        <w:rPr>
          <w:rFonts w:ascii="Bookman Old Style" w:hAnsi="Bookman Old Style"/>
          <w:spacing w:val="-3"/>
        </w:rPr>
      </w:pPr>
      <w:r w:rsidRPr="00C435C3">
        <w:rPr>
          <w:rFonts w:ascii="Bookman Old Style" w:hAnsi="Bookman Old Style"/>
          <w:b/>
          <w:spacing w:val="-3"/>
        </w:rPr>
        <w:t>R E S U E L V E:</w:t>
      </w:r>
    </w:p>
    <w:p w:rsidR="008C56A2" w:rsidRDefault="008C56A2" w:rsidP="00E060BE">
      <w:pPr>
        <w:tabs>
          <w:tab w:val="center" w:pos="4512"/>
          <w:tab w:val="left" w:pos="7088"/>
        </w:tabs>
        <w:suppressAutoHyphens/>
        <w:ind w:left="0" w:right="51"/>
        <w:rPr>
          <w:rFonts w:ascii="Bookman Old Style" w:hAnsi="Bookman Old Style" w:cs="Arial"/>
          <w:b/>
          <w:color w:val="000000"/>
        </w:rPr>
      </w:pPr>
    </w:p>
    <w:p w:rsidR="00710489" w:rsidRDefault="00710489" w:rsidP="00E060BE">
      <w:pPr>
        <w:tabs>
          <w:tab w:val="center" w:pos="4512"/>
          <w:tab w:val="left" w:pos="7088"/>
        </w:tabs>
        <w:suppressAutoHyphens/>
        <w:ind w:left="0" w:right="51"/>
        <w:rPr>
          <w:rFonts w:ascii="Bookman Old Style" w:hAnsi="Bookman Old Style" w:cs="Arial"/>
          <w:b/>
          <w:color w:val="000000"/>
        </w:rPr>
      </w:pPr>
    </w:p>
    <w:p w:rsidR="00092DBF" w:rsidRDefault="006F1378" w:rsidP="00092DBF">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1. </w:t>
      </w:r>
      <w:r w:rsidR="008F565A">
        <w:rPr>
          <w:rFonts w:ascii="Bookman Old Style" w:hAnsi="Bookman Old Style" w:cs="Arial"/>
          <w:b/>
          <w:color w:val="000000"/>
        </w:rPr>
        <w:t>Adición a</w:t>
      </w:r>
      <w:r w:rsidR="00D00E5A">
        <w:rPr>
          <w:rFonts w:ascii="Bookman Old Style" w:hAnsi="Bookman Old Style" w:cs="Arial"/>
          <w:b/>
          <w:color w:val="000000"/>
        </w:rPr>
        <w:t xml:space="preserve"> las reglas de </w:t>
      </w:r>
      <w:r w:rsidR="00092DBF">
        <w:rPr>
          <w:rFonts w:ascii="Bookman Old Style" w:hAnsi="Bookman Old Style" w:cs="Arial"/>
          <w:b/>
          <w:color w:val="000000"/>
        </w:rPr>
        <w:t>garantía</w:t>
      </w:r>
      <w:r w:rsidR="008F565A">
        <w:rPr>
          <w:rFonts w:ascii="Bookman Old Style" w:hAnsi="Bookman Old Style" w:cs="Arial"/>
          <w:b/>
          <w:color w:val="000000"/>
        </w:rPr>
        <w:t>s</w:t>
      </w:r>
      <w:r w:rsidR="00092DBF">
        <w:rPr>
          <w:rFonts w:ascii="Bookman Old Style" w:hAnsi="Bookman Old Style" w:cs="Arial"/>
          <w:b/>
          <w:color w:val="000000"/>
        </w:rPr>
        <w:t xml:space="preserve"> para amparar Enficc Incremental</w:t>
      </w:r>
      <w:r w:rsidR="003D73BF">
        <w:rPr>
          <w:rFonts w:ascii="Bookman Old Style" w:hAnsi="Bookman Old Style" w:cs="Arial"/>
          <w:b/>
          <w:color w:val="000000"/>
        </w:rPr>
        <w:t xml:space="preserve"> durante el período crítico</w:t>
      </w:r>
      <w:r>
        <w:rPr>
          <w:rFonts w:ascii="Bookman Old Style" w:hAnsi="Bookman Old Style" w:cs="Arial"/>
          <w:b/>
          <w:color w:val="000000"/>
        </w:rPr>
        <w:t>.</w:t>
      </w:r>
      <w:r>
        <w:rPr>
          <w:rFonts w:ascii="Bookman Old Style" w:hAnsi="Bookman Old Style" w:cs="Arial"/>
          <w:color w:val="000000"/>
        </w:rPr>
        <w:t xml:space="preserve"> </w:t>
      </w:r>
      <w:r w:rsidR="00092DBF">
        <w:rPr>
          <w:rFonts w:ascii="Bookman Old Style" w:hAnsi="Bookman Old Style" w:cs="Arial"/>
          <w:color w:val="000000"/>
        </w:rPr>
        <w:t>Cuando ocurra el primer evento de incumplimiento indicado en el Artículo 21 del Reglamento de Garantías para el Cargo por Confiabilidad adoptado con la Resolución CREG 061 de 2007 y una vez se haya adelanto la ejecución de la garantía por el ASIC</w:t>
      </w:r>
      <w:r w:rsidR="00301DDF">
        <w:rPr>
          <w:rFonts w:ascii="Bookman Old Style" w:hAnsi="Bookman Old Style" w:cs="Arial"/>
          <w:color w:val="000000"/>
        </w:rPr>
        <w:t>,</w:t>
      </w:r>
      <w:r w:rsidR="00092DBF">
        <w:rPr>
          <w:rFonts w:ascii="Bookman Old Style" w:hAnsi="Bookman Old Style" w:cs="Arial"/>
          <w:color w:val="000000"/>
        </w:rPr>
        <w:t xml:space="preserve"> el agente generador </w:t>
      </w:r>
      <w:r w:rsidR="00E8221B">
        <w:rPr>
          <w:rFonts w:ascii="Bookman Old Style" w:hAnsi="Bookman Old Style" w:cs="Arial"/>
          <w:color w:val="000000"/>
        </w:rPr>
        <w:t xml:space="preserve">deberá </w:t>
      </w:r>
      <w:r w:rsidR="00092DBF">
        <w:rPr>
          <w:rFonts w:ascii="Bookman Old Style" w:hAnsi="Bookman Old Style" w:cs="Arial"/>
          <w:color w:val="000000"/>
        </w:rPr>
        <w:t xml:space="preserve">reponerla </w:t>
      </w:r>
      <w:r w:rsidR="00941698">
        <w:rPr>
          <w:rFonts w:ascii="Bookman Old Style" w:hAnsi="Bookman Old Style" w:cs="Arial"/>
          <w:color w:val="000000"/>
        </w:rPr>
        <w:t xml:space="preserve">para lo cual se aplicarán </w:t>
      </w:r>
      <w:r w:rsidR="008E21E0">
        <w:rPr>
          <w:rFonts w:ascii="Bookman Old Style" w:hAnsi="Bookman Old Style" w:cs="Arial"/>
          <w:color w:val="000000"/>
        </w:rPr>
        <w:t>los siguientes criterios</w:t>
      </w:r>
      <w:r w:rsidR="00301DDF">
        <w:rPr>
          <w:rFonts w:ascii="Bookman Old Style" w:hAnsi="Bookman Old Style" w:cs="Arial"/>
          <w:color w:val="000000"/>
        </w:rPr>
        <w:t>:</w:t>
      </w:r>
    </w:p>
    <w:p w:rsidR="00301DDF" w:rsidRDefault="00301DDF" w:rsidP="00092DBF">
      <w:pPr>
        <w:tabs>
          <w:tab w:val="center" w:pos="4512"/>
          <w:tab w:val="left" w:pos="7088"/>
        </w:tabs>
        <w:suppressAutoHyphens/>
        <w:ind w:left="0" w:right="51"/>
        <w:jc w:val="both"/>
        <w:rPr>
          <w:rFonts w:ascii="Bookman Old Style" w:hAnsi="Bookman Old Style" w:cs="Arial"/>
          <w:color w:val="000000"/>
        </w:rPr>
      </w:pPr>
    </w:p>
    <w:p w:rsidR="00301DDF" w:rsidRDefault="00301DDF" w:rsidP="00301DDF">
      <w:pPr>
        <w:pStyle w:val="Prrafodelista"/>
        <w:numPr>
          <w:ilvl w:val="0"/>
          <w:numId w:val="36"/>
        </w:numPr>
        <w:tabs>
          <w:tab w:val="center" w:pos="4512"/>
          <w:tab w:val="left" w:pos="7088"/>
        </w:tabs>
        <w:suppressAutoHyphens/>
        <w:ind w:right="51"/>
        <w:jc w:val="both"/>
        <w:rPr>
          <w:rFonts w:ascii="Bookman Old Style" w:hAnsi="Bookman Old Style" w:cs="Arial"/>
          <w:color w:val="000000"/>
          <w:sz w:val="24"/>
        </w:rPr>
      </w:pPr>
      <w:r>
        <w:rPr>
          <w:rFonts w:ascii="Bookman Old Style" w:hAnsi="Bookman Old Style" w:cs="Arial"/>
          <w:color w:val="000000"/>
          <w:sz w:val="24"/>
        </w:rPr>
        <w:t>El valor de la garantía que se calcula conforme el artículo 35 del Reglamento de Garantías, se multiplicará por dos (2).</w:t>
      </w:r>
    </w:p>
    <w:p w:rsidR="00301DDF" w:rsidRPr="00301DDF" w:rsidRDefault="00301DDF" w:rsidP="00301DDF">
      <w:pPr>
        <w:tabs>
          <w:tab w:val="center" w:pos="4512"/>
          <w:tab w:val="left" w:pos="7088"/>
        </w:tabs>
        <w:suppressAutoHyphens/>
        <w:ind w:left="0" w:right="51"/>
        <w:jc w:val="both"/>
        <w:rPr>
          <w:rFonts w:ascii="Bookman Old Style" w:hAnsi="Bookman Old Style" w:cs="Arial"/>
          <w:color w:val="000000"/>
        </w:rPr>
      </w:pPr>
    </w:p>
    <w:p w:rsidR="00301DDF" w:rsidRPr="00301DDF" w:rsidRDefault="00301DDF" w:rsidP="00301DDF">
      <w:pPr>
        <w:pStyle w:val="Prrafodelista"/>
        <w:numPr>
          <w:ilvl w:val="0"/>
          <w:numId w:val="36"/>
        </w:numPr>
        <w:tabs>
          <w:tab w:val="center" w:pos="4512"/>
          <w:tab w:val="left" w:pos="7088"/>
        </w:tabs>
        <w:suppressAutoHyphens/>
        <w:ind w:right="51"/>
        <w:jc w:val="both"/>
        <w:rPr>
          <w:rFonts w:ascii="Bookman Old Style" w:hAnsi="Bookman Old Style" w:cs="Arial"/>
          <w:color w:val="000000"/>
          <w:sz w:val="24"/>
        </w:rPr>
      </w:pPr>
      <w:r>
        <w:rPr>
          <w:rFonts w:ascii="Bookman Old Style" w:hAnsi="Bookman Old Style" w:cs="Arial"/>
          <w:color w:val="000000"/>
          <w:sz w:val="24"/>
        </w:rPr>
        <w:t>El evento de incumplimiento</w:t>
      </w:r>
      <w:r w:rsidR="006C7F3E">
        <w:rPr>
          <w:rFonts w:ascii="Bookman Old Style" w:hAnsi="Bookman Old Style" w:cs="Arial"/>
          <w:color w:val="000000"/>
          <w:sz w:val="24"/>
        </w:rPr>
        <w:t xml:space="preserve"> será</w:t>
      </w:r>
      <w:r>
        <w:rPr>
          <w:rFonts w:ascii="Bookman Old Style" w:hAnsi="Bookman Old Style" w:cs="Arial"/>
          <w:color w:val="000000"/>
          <w:sz w:val="24"/>
        </w:rPr>
        <w:t xml:space="preserve"> no estar al día en </w:t>
      </w:r>
      <w:r w:rsidR="0030529D">
        <w:rPr>
          <w:rFonts w:ascii="Bookman Old Style" w:hAnsi="Bookman Old Style" w:cs="Arial"/>
          <w:color w:val="000000"/>
          <w:sz w:val="24"/>
        </w:rPr>
        <w:t xml:space="preserve">el pago de las transacciones mensuales en el Mercado de Energía Mayorista </w:t>
      </w:r>
      <w:r>
        <w:rPr>
          <w:rFonts w:ascii="Bookman Old Style" w:hAnsi="Bookman Old Style" w:cs="Arial"/>
          <w:color w:val="000000"/>
          <w:sz w:val="24"/>
        </w:rPr>
        <w:t>que se dieron dentro del Período de Vigencia de la Obligación.</w:t>
      </w:r>
    </w:p>
    <w:p w:rsidR="00F254D1" w:rsidRDefault="00F254D1" w:rsidP="00D877BC">
      <w:pPr>
        <w:ind w:left="0"/>
        <w:jc w:val="both"/>
        <w:rPr>
          <w:rFonts w:ascii="Bookman Old Style" w:hAnsi="Bookman Old Style" w:cs="Arial"/>
          <w:color w:val="000000"/>
        </w:rPr>
      </w:pPr>
    </w:p>
    <w:p w:rsidR="00EA0064" w:rsidRDefault="00EA0064" w:rsidP="00D877BC">
      <w:pPr>
        <w:ind w:left="0"/>
        <w:jc w:val="both"/>
        <w:rPr>
          <w:rFonts w:ascii="Bookman Old Style" w:hAnsi="Bookman Old Style" w:cs="Arial"/>
          <w:color w:val="000000"/>
        </w:rPr>
      </w:pPr>
      <w:r w:rsidRPr="00EA0064">
        <w:rPr>
          <w:rFonts w:ascii="Bookman Old Style" w:hAnsi="Bookman Old Style" w:cs="Arial"/>
          <w:b/>
          <w:color w:val="000000"/>
        </w:rPr>
        <w:t>Parágrafo</w:t>
      </w:r>
      <w:r w:rsidR="00CD1573">
        <w:rPr>
          <w:rFonts w:ascii="Bookman Old Style" w:hAnsi="Bookman Old Style" w:cs="Arial"/>
          <w:b/>
          <w:color w:val="000000"/>
        </w:rPr>
        <w:t xml:space="preserve"> </w:t>
      </w:r>
      <w:r w:rsidRPr="00EA0064">
        <w:rPr>
          <w:rFonts w:ascii="Bookman Old Style" w:hAnsi="Bookman Old Style" w:cs="Arial"/>
          <w:b/>
          <w:color w:val="000000"/>
        </w:rPr>
        <w:t>1</w:t>
      </w:r>
      <w:r>
        <w:rPr>
          <w:rFonts w:ascii="Bookman Old Style" w:hAnsi="Bookman Old Style" w:cs="Arial"/>
          <w:color w:val="000000"/>
        </w:rPr>
        <w:t xml:space="preserve">. Con </w:t>
      </w:r>
      <w:r w:rsidR="002928E3">
        <w:rPr>
          <w:rFonts w:ascii="Bookman Old Style" w:hAnsi="Bookman Old Style" w:cs="Arial"/>
          <w:color w:val="000000"/>
        </w:rPr>
        <w:t xml:space="preserve">la </w:t>
      </w:r>
      <w:r>
        <w:rPr>
          <w:rFonts w:ascii="Bookman Old Style" w:hAnsi="Bookman Old Style" w:cs="Arial"/>
          <w:color w:val="000000"/>
        </w:rPr>
        <w:t>excepción del valor y evento de incumplimiento, señalados anteriormente, las características y compromisos de la garantía que se repone debe</w:t>
      </w:r>
      <w:r w:rsidR="00784B31">
        <w:rPr>
          <w:rFonts w:ascii="Bookman Old Style" w:hAnsi="Bookman Old Style" w:cs="Arial"/>
          <w:color w:val="000000"/>
        </w:rPr>
        <w:t>rán</w:t>
      </w:r>
      <w:r>
        <w:rPr>
          <w:rFonts w:ascii="Bookman Old Style" w:hAnsi="Bookman Old Style" w:cs="Arial"/>
          <w:color w:val="000000"/>
        </w:rPr>
        <w:t xml:space="preserve"> </w:t>
      </w:r>
      <w:r w:rsidR="009C0677">
        <w:rPr>
          <w:rFonts w:ascii="Bookman Old Style" w:hAnsi="Bookman Old Style" w:cs="Arial"/>
          <w:color w:val="000000"/>
        </w:rPr>
        <w:t>cumplir las disposiciones</w:t>
      </w:r>
      <w:r>
        <w:rPr>
          <w:rFonts w:ascii="Bookman Old Style" w:hAnsi="Bookman Old Style" w:cs="Arial"/>
          <w:color w:val="000000"/>
        </w:rPr>
        <w:t xml:space="preserve"> </w:t>
      </w:r>
      <w:r w:rsidR="002928E3">
        <w:rPr>
          <w:rFonts w:ascii="Bookman Old Style" w:hAnsi="Bookman Old Style" w:cs="Arial"/>
          <w:color w:val="000000"/>
        </w:rPr>
        <w:t>d</w:t>
      </w:r>
      <w:r>
        <w:rPr>
          <w:rFonts w:ascii="Bookman Old Style" w:hAnsi="Bookman Old Style" w:cs="Arial"/>
          <w:color w:val="000000"/>
        </w:rPr>
        <w:t>el Reglamento de Garantías.</w:t>
      </w:r>
    </w:p>
    <w:p w:rsidR="00EA0064" w:rsidRDefault="00EA0064" w:rsidP="00D877BC">
      <w:pPr>
        <w:ind w:left="0"/>
        <w:jc w:val="both"/>
        <w:rPr>
          <w:rFonts w:ascii="Bookman Old Style" w:hAnsi="Bookman Old Style" w:cs="Arial"/>
          <w:color w:val="000000"/>
        </w:rPr>
      </w:pPr>
    </w:p>
    <w:p w:rsidR="00CD1573" w:rsidRDefault="00CD1573" w:rsidP="00D877BC">
      <w:pPr>
        <w:ind w:left="0"/>
        <w:jc w:val="both"/>
        <w:rPr>
          <w:rFonts w:ascii="Bookman Old Style" w:hAnsi="Bookman Old Style" w:cs="Arial"/>
          <w:color w:val="000000"/>
        </w:rPr>
      </w:pPr>
      <w:r w:rsidRPr="00CD1573">
        <w:rPr>
          <w:rFonts w:ascii="Bookman Old Style" w:hAnsi="Bookman Old Style" w:cs="Arial"/>
          <w:b/>
          <w:color w:val="000000"/>
        </w:rPr>
        <w:t>Parágrafo 2</w:t>
      </w:r>
      <w:r>
        <w:rPr>
          <w:rFonts w:ascii="Bookman Old Style" w:hAnsi="Bookman Old Style" w:cs="Arial"/>
          <w:color w:val="000000"/>
        </w:rPr>
        <w:t>. En caso que la reposición de la garantía de Enficc Incremental sea por un valor igual al definido en el artículo 35 del Reglamento de Garantías, el evento de incumplimiento se dará siempre que se cumpla lo definido en el numeral 1 del artículo 21 del citado reglamento.</w:t>
      </w:r>
    </w:p>
    <w:p w:rsidR="003D73BF" w:rsidRDefault="003D73BF" w:rsidP="00D877BC">
      <w:pPr>
        <w:ind w:left="0"/>
        <w:jc w:val="both"/>
        <w:rPr>
          <w:rFonts w:ascii="Bookman Old Style" w:hAnsi="Bookman Old Style" w:cs="Arial"/>
          <w:color w:val="000000"/>
        </w:rPr>
      </w:pPr>
    </w:p>
    <w:p w:rsidR="0030529D" w:rsidRDefault="0030529D" w:rsidP="00D877BC">
      <w:pPr>
        <w:ind w:left="0"/>
        <w:jc w:val="both"/>
        <w:rPr>
          <w:rFonts w:ascii="Bookman Old Style" w:hAnsi="Bookman Old Style" w:cs="Arial"/>
          <w:color w:val="000000"/>
        </w:rPr>
      </w:pPr>
      <w:r>
        <w:rPr>
          <w:rFonts w:ascii="Bookman Old Style" w:hAnsi="Bookman Old Style" w:cs="Arial"/>
          <w:b/>
          <w:color w:val="000000"/>
        </w:rPr>
        <w:t>Artículo 2. Cumplimiento de la reposición</w:t>
      </w:r>
      <w:r w:rsidR="00367C68">
        <w:rPr>
          <w:rFonts w:ascii="Bookman Old Style" w:hAnsi="Bookman Old Style" w:cs="Arial"/>
          <w:b/>
          <w:color w:val="000000"/>
        </w:rPr>
        <w:t xml:space="preserve"> durante el período crítico</w:t>
      </w:r>
      <w:r>
        <w:rPr>
          <w:rFonts w:ascii="Bookman Old Style" w:hAnsi="Bookman Old Style" w:cs="Arial"/>
          <w:b/>
          <w:color w:val="000000"/>
        </w:rPr>
        <w:t xml:space="preserve"> de la garantía para amparar Enficc Incremental</w:t>
      </w:r>
      <w:r w:rsidR="00710489">
        <w:rPr>
          <w:rFonts w:ascii="Bookman Old Style" w:hAnsi="Bookman Old Style" w:cs="Arial"/>
          <w:b/>
          <w:color w:val="000000"/>
        </w:rPr>
        <w:t xml:space="preserve"> según artículo 1</w:t>
      </w:r>
      <w:r>
        <w:rPr>
          <w:rFonts w:ascii="Bookman Old Style" w:hAnsi="Bookman Old Style" w:cs="Arial"/>
          <w:b/>
          <w:color w:val="000000"/>
        </w:rPr>
        <w:t>.</w:t>
      </w:r>
      <w:r>
        <w:rPr>
          <w:rFonts w:ascii="Bookman Old Style" w:hAnsi="Bookman Old Style" w:cs="Arial"/>
          <w:color w:val="000000"/>
        </w:rPr>
        <w:t xml:space="preserve"> El cumplimiento de la reposición de la garantía para amparar Enficc Incremental </w:t>
      </w:r>
      <w:r w:rsidR="000B0AF1">
        <w:rPr>
          <w:rFonts w:ascii="Bookman Old Style" w:hAnsi="Bookman Old Style" w:cs="Arial"/>
          <w:color w:val="000000"/>
        </w:rPr>
        <w:t xml:space="preserve">según artículo 1, </w:t>
      </w:r>
      <w:r w:rsidR="00784B31">
        <w:rPr>
          <w:rFonts w:ascii="Bookman Old Style" w:hAnsi="Bookman Old Style" w:cs="Arial"/>
          <w:color w:val="000000"/>
        </w:rPr>
        <w:t>permitirá a la planta y quien la representa</w:t>
      </w:r>
      <w:r>
        <w:rPr>
          <w:rFonts w:ascii="Bookman Old Style" w:hAnsi="Bookman Old Style" w:cs="Arial"/>
          <w:color w:val="000000"/>
        </w:rPr>
        <w:t>:</w:t>
      </w:r>
    </w:p>
    <w:p w:rsidR="0030529D" w:rsidRDefault="0030529D" w:rsidP="00D877BC">
      <w:pPr>
        <w:ind w:left="0"/>
        <w:jc w:val="both"/>
        <w:rPr>
          <w:rFonts w:ascii="Bookman Old Style" w:hAnsi="Bookman Old Style" w:cs="Arial"/>
          <w:color w:val="000000"/>
        </w:rPr>
      </w:pPr>
    </w:p>
    <w:p w:rsidR="0030529D" w:rsidRDefault="0030529D" w:rsidP="0030529D">
      <w:pPr>
        <w:pStyle w:val="Prrafodelista"/>
        <w:numPr>
          <w:ilvl w:val="0"/>
          <w:numId w:val="37"/>
        </w:numPr>
        <w:jc w:val="both"/>
        <w:rPr>
          <w:rFonts w:ascii="Bookman Old Style" w:hAnsi="Bookman Old Style" w:cs="Arial"/>
          <w:color w:val="000000"/>
          <w:sz w:val="24"/>
        </w:rPr>
      </w:pPr>
      <w:r>
        <w:rPr>
          <w:rFonts w:ascii="Bookman Old Style" w:hAnsi="Bookman Old Style" w:cs="Arial"/>
          <w:color w:val="000000"/>
          <w:sz w:val="24"/>
        </w:rPr>
        <w:t>Seguir participando en la asignación de Obligaciones de Energía Firme (OEF) con la Enficc Incremental. En caso qu</w:t>
      </w:r>
      <w:r w:rsidR="00EA0064">
        <w:rPr>
          <w:rFonts w:ascii="Bookman Old Style" w:hAnsi="Bookman Old Style" w:cs="Arial"/>
          <w:color w:val="000000"/>
          <w:sz w:val="24"/>
        </w:rPr>
        <w:t>e</w:t>
      </w:r>
      <w:r>
        <w:rPr>
          <w:rFonts w:ascii="Bookman Old Style" w:hAnsi="Bookman Old Style" w:cs="Arial"/>
          <w:color w:val="000000"/>
          <w:sz w:val="24"/>
        </w:rPr>
        <w:t xml:space="preserve"> no se reponga la garantía de Enficc Incremental no se podrá participar en las asign</w:t>
      </w:r>
      <w:r w:rsidR="00EA0064">
        <w:rPr>
          <w:rFonts w:ascii="Bookman Old Style" w:hAnsi="Bookman Old Style" w:cs="Arial"/>
          <w:color w:val="000000"/>
          <w:sz w:val="24"/>
        </w:rPr>
        <w:t>a</w:t>
      </w:r>
      <w:r>
        <w:rPr>
          <w:rFonts w:ascii="Bookman Old Style" w:hAnsi="Bookman Old Style" w:cs="Arial"/>
          <w:color w:val="000000"/>
          <w:sz w:val="24"/>
        </w:rPr>
        <w:t>ciones de OEF con la Enficc Incremental.</w:t>
      </w:r>
    </w:p>
    <w:p w:rsidR="00EA0064" w:rsidRPr="00EA0064" w:rsidRDefault="00EA0064" w:rsidP="00EA0064">
      <w:pPr>
        <w:ind w:left="0"/>
        <w:jc w:val="both"/>
        <w:rPr>
          <w:rFonts w:ascii="Bookman Old Style" w:hAnsi="Bookman Old Style" w:cs="Arial"/>
          <w:color w:val="000000"/>
        </w:rPr>
      </w:pPr>
    </w:p>
    <w:p w:rsidR="00EA0064" w:rsidRPr="0030529D" w:rsidRDefault="00EA0064" w:rsidP="0030529D">
      <w:pPr>
        <w:pStyle w:val="Prrafodelista"/>
        <w:numPr>
          <w:ilvl w:val="0"/>
          <w:numId w:val="37"/>
        </w:numPr>
        <w:jc w:val="both"/>
        <w:rPr>
          <w:rFonts w:ascii="Bookman Old Style" w:hAnsi="Bookman Old Style" w:cs="Arial"/>
          <w:color w:val="000000"/>
          <w:sz w:val="24"/>
        </w:rPr>
      </w:pPr>
      <w:r>
        <w:rPr>
          <w:rFonts w:ascii="Bookman Old Style" w:hAnsi="Bookman Old Style" w:cs="Arial"/>
          <w:color w:val="000000"/>
          <w:sz w:val="24"/>
        </w:rPr>
        <w:t>Poder cambiar la ejecución de la garantía por el incumplimiento señalado en el artículo 1 de la presente resolución por pago directo al ASIC del valor de la garantía.</w:t>
      </w:r>
    </w:p>
    <w:p w:rsidR="00FF5B11" w:rsidRDefault="00FF5B11" w:rsidP="00D877BC">
      <w:pPr>
        <w:tabs>
          <w:tab w:val="center" w:pos="4512"/>
          <w:tab w:val="left" w:pos="7088"/>
        </w:tabs>
        <w:suppressAutoHyphens/>
        <w:ind w:left="0" w:right="51"/>
        <w:jc w:val="both"/>
        <w:rPr>
          <w:rFonts w:ascii="Bookman Old Style" w:hAnsi="Bookman Old Style" w:cs="Arial"/>
          <w:color w:val="000000"/>
        </w:rPr>
      </w:pPr>
    </w:p>
    <w:p w:rsidR="00DD51EA" w:rsidRDefault="00DD51EA" w:rsidP="00D877BC">
      <w:pPr>
        <w:tabs>
          <w:tab w:val="center" w:pos="4512"/>
          <w:tab w:val="left" w:pos="7088"/>
        </w:tabs>
        <w:suppressAutoHyphens/>
        <w:ind w:left="0" w:right="51"/>
        <w:jc w:val="both"/>
        <w:rPr>
          <w:rFonts w:ascii="Bookman Old Style" w:hAnsi="Bookman Old Style" w:cs="Arial"/>
          <w:color w:val="000000"/>
        </w:rPr>
      </w:pPr>
    </w:p>
    <w:p w:rsidR="00DD51EA" w:rsidRDefault="00DD51EA" w:rsidP="00D877BC">
      <w:pPr>
        <w:tabs>
          <w:tab w:val="center" w:pos="4512"/>
          <w:tab w:val="left" w:pos="7088"/>
        </w:tabs>
        <w:suppressAutoHyphens/>
        <w:ind w:left="0" w:right="51"/>
        <w:jc w:val="both"/>
        <w:rPr>
          <w:rFonts w:ascii="Bookman Old Style" w:hAnsi="Bookman Old Style" w:cs="Arial"/>
          <w:color w:val="000000"/>
        </w:rPr>
      </w:pPr>
    </w:p>
    <w:p w:rsidR="00592BF7" w:rsidRDefault="00592BF7" w:rsidP="00D877BC">
      <w:pPr>
        <w:tabs>
          <w:tab w:val="center" w:pos="4512"/>
          <w:tab w:val="left" w:pos="7088"/>
        </w:tabs>
        <w:suppressAutoHyphens/>
        <w:ind w:left="0" w:right="51"/>
        <w:jc w:val="both"/>
        <w:rPr>
          <w:rFonts w:ascii="Bookman Old Style" w:hAnsi="Bookman Old Style" w:cs="Arial"/>
          <w:color w:val="000000"/>
        </w:rPr>
      </w:pPr>
      <w:r w:rsidRPr="00592BF7">
        <w:rPr>
          <w:rFonts w:ascii="Bookman Old Style" w:hAnsi="Bookman Old Style" w:cs="Arial"/>
          <w:b/>
          <w:color w:val="000000"/>
        </w:rPr>
        <w:t>Parágrafo</w:t>
      </w:r>
      <w:r>
        <w:rPr>
          <w:rFonts w:ascii="Bookman Old Style" w:hAnsi="Bookman Old Style" w:cs="Arial"/>
          <w:color w:val="000000"/>
        </w:rPr>
        <w:t xml:space="preserve">. La reposición </w:t>
      </w:r>
      <w:r w:rsidR="00367C68">
        <w:rPr>
          <w:rFonts w:ascii="Bookman Old Style" w:hAnsi="Bookman Old Style" w:cs="Arial"/>
          <w:color w:val="000000"/>
        </w:rPr>
        <w:t xml:space="preserve">durante el período crítico </w:t>
      </w:r>
      <w:r>
        <w:rPr>
          <w:rFonts w:ascii="Bookman Old Style" w:hAnsi="Bookman Old Style" w:cs="Arial"/>
          <w:color w:val="000000"/>
        </w:rPr>
        <w:t xml:space="preserve">de las garantías de la Enficc Incremental que no cumplan con el valor definido en el numeral i del artículo 1 de la presente resolución, no tendrán acceso a lo previsto en </w:t>
      </w:r>
      <w:r w:rsidR="0071044D">
        <w:rPr>
          <w:rFonts w:ascii="Bookman Old Style" w:hAnsi="Bookman Old Style" w:cs="Arial"/>
          <w:color w:val="000000"/>
        </w:rPr>
        <w:t>e</w:t>
      </w:r>
      <w:r>
        <w:rPr>
          <w:rFonts w:ascii="Bookman Old Style" w:hAnsi="Bookman Old Style" w:cs="Arial"/>
          <w:color w:val="000000"/>
        </w:rPr>
        <w:t>ste artículo.</w:t>
      </w:r>
    </w:p>
    <w:p w:rsidR="00592BF7" w:rsidRDefault="00592BF7" w:rsidP="00D877BC">
      <w:pPr>
        <w:tabs>
          <w:tab w:val="center" w:pos="4512"/>
          <w:tab w:val="left" w:pos="7088"/>
        </w:tabs>
        <w:suppressAutoHyphens/>
        <w:ind w:left="0" w:right="51"/>
        <w:jc w:val="both"/>
        <w:rPr>
          <w:rFonts w:ascii="Bookman Old Style" w:hAnsi="Bookman Old Style" w:cs="Arial"/>
          <w:color w:val="000000"/>
        </w:rPr>
      </w:pPr>
    </w:p>
    <w:p w:rsidR="00296F32" w:rsidRDefault="00436E0C" w:rsidP="00296F32">
      <w:pPr>
        <w:ind w:left="0"/>
        <w:jc w:val="both"/>
        <w:rPr>
          <w:rFonts w:ascii="Bookman Old Style" w:hAnsi="Bookman Old Style" w:cs="Arial"/>
          <w:color w:val="000000"/>
        </w:rPr>
      </w:pPr>
      <w:r>
        <w:rPr>
          <w:rFonts w:ascii="Bookman Old Style" w:hAnsi="Bookman Old Style" w:cs="Arial"/>
          <w:b/>
          <w:color w:val="000000"/>
        </w:rPr>
        <w:t xml:space="preserve">Artículo 3. Reposición de garantía Enficc Incremental finalizado el período crítico. </w:t>
      </w:r>
      <w:r w:rsidR="00296F32">
        <w:rPr>
          <w:rFonts w:ascii="Bookman Old Style" w:hAnsi="Bookman Old Style" w:cs="Arial"/>
          <w:color w:val="000000"/>
        </w:rPr>
        <w:t xml:space="preserve">Una vez finalizado el período crítico y sin que haya presentado en el evento de incumplimiento señalado en el artículo 1 de la presente resolución, el agente generador podrá reponer la garantía de Enficc Incremental </w:t>
      </w:r>
      <w:r w:rsidR="00931C63">
        <w:rPr>
          <w:rFonts w:ascii="Bookman Old Style" w:hAnsi="Bookman Old Style" w:cs="Arial"/>
          <w:color w:val="000000"/>
        </w:rPr>
        <w:t xml:space="preserve">conforme a </w:t>
      </w:r>
      <w:r w:rsidR="00296F32">
        <w:rPr>
          <w:rFonts w:ascii="Bookman Old Style" w:hAnsi="Bookman Old Style" w:cs="Arial"/>
          <w:color w:val="000000"/>
        </w:rPr>
        <w:t>lo definido en el Capítulo 6 del Reglamento de Garantías, entre otros</w:t>
      </w:r>
      <w:r w:rsidR="00887B90">
        <w:rPr>
          <w:rFonts w:ascii="Bookman Old Style" w:hAnsi="Bookman Old Style" w:cs="Arial"/>
          <w:color w:val="000000"/>
        </w:rPr>
        <w:t>,</w:t>
      </w:r>
      <w:r w:rsidR="00296F32">
        <w:rPr>
          <w:rFonts w:ascii="Bookman Old Style" w:hAnsi="Bookman Old Style" w:cs="Arial"/>
          <w:color w:val="000000"/>
        </w:rPr>
        <w:t xml:space="preserve"> lo referente al valor y evento de incumplimiento.</w:t>
      </w:r>
    </w:p>
    <w:p w:rsidR="00436E0C" w:rsidRDefault="00436E0C" w:rsidP="00D877BC">
      <w:pPr>
        <w:tabs>
          <w:tab w:val="center" w:pos="4512"/>
          <w:tab w:val="left" w:pos="7088"/>
        </w:tabs>
        <w:suppressAutoHyphens/>
        <w:ind w:left="0" w:right="51"/>
        <w:jc w:val="both"/>
        <w:rPr>
          <w:rFonts w:ascii="Bookman Old Style" w:hAnsi="Bookman Old Style" w:cs="Arial"/>
          <w:color w:val="000000"/>
        </w:rPr>
      </w:pPr>
    </w:p>
    <w:p w:rsidR="002E0C73" w:rsidRDefault="002E0C73" w:rsidP="00D877BC">
      <w:pPr>
        <w:tabs>
          <w:tab w:val="center" w:pos="709"/>
        </w:tabs>
        <w:suppressAutoHyphens/>
        <w:ind w:left="0" w:right="51"/>
        <w:jc w:val="both"/>
        <w:rPr>
          <w:rFonts w:ascii="Bookman Old Style" w:hAnsi="Bookman Old Style" w:cs="Arial"/>
          <w:color w:val="000000"/>
          <w:lang w:val="es-CO"/>
        </w:rPr>
      </w:pPr>
      <w:r w:rsidRPr="00C14A4F">
        <w:rPr>
          <w:rFonts w:ascii="Bookman Old Style" w:hAnsi="Bookman Old Style" w:cs="Arial"/>
          <w:b/>
          <w:color w:val="000000"/>
          <w:lang w:val="es-CO"/>
        </w:rPr>
        <w:t xml:space="preserve">Artículo </w:t>
      </w:r>
      <w:r w:rsidR="000F464E">
        <w:rPr>
          <w:rFonts w:ascii="Bookman Old Style" w:hAnsi="Bookman Old Style" w:cs="Arial"/>
          <w:b/>
          <w:color w:val="000000"/>
          <w:lang w:val="es-CO"/>
        </w:rPr>
        <w:t>4</w:t>
      </w:r>
      <w:r w:rsidRPr="00C14A4F">
        <w:rPr>
          <w:rFonts w:ascii="Bookman Old Style" w:hAnsi="Bookman Old Style" w:cs="Arial"/>
          <w:b/>
          <w:color w:val="000000"/>
          <w:lang w:val="es-CO"/>
        </w:rPr>
        <w:t xml:space="preserve">. </w:t>
      </w:r>
      <w:r>
        <w:rPr>
          <w:rFonts w:ascii="Bookman Old Style" w:hAnsi="Bookman Old Style" w:cs="Arial"/>
          <w:b/>
          <w:color w:val="000000"/>
          <w:lang w:val="es-CO"/>
        </w:rPr>
        <w:t>Vigencia.</w:t>
      </w:r>
      <w:r>
        <w:rPr>
          <w:rFonts w:ascii="Bookman Old Style" w:hAnsi="Bookman Old Style" w:cs="Arial"/>
          <w:color w:val="000000"/>
          <w:lang w:val="es-CO"/>
        </w:rPr>
        <w:t xml:space="preserve"> </w:t>
      </w:r>
      <w:r w:rsidR="00160677">
        <w:rPr>
          <w:rFonts w:ascii="Bookman Old Style" w:hAnsi="Bookman Old Style" w:cs="Arial"/>
          <w:color w:val="000000"/>
          <w:lang w:val="es-CO"/>
        </w:rPr>
        <w:t>Esta R</w:t>
      </w:r>
      <w:r>
        <w:rPr>
          <w:rFonts w:ascii="Bookman Old Style" w:hAnsi="Bookman Old Style" w:cs="Arial"/>
          <w:color w:val="000000"/>
          <w:lang w:val="es-CO"/>
        </w:rPr>
        <w:t xml:space="preserve">esolución </w:t>
      </w:r>
      <w:r w:rsidR="006D3475">
        <w:rPr>
          <w:rFonts w:ascii="Bookman Old Style" w:hAnsi="Bookman Old Style" w:cs="Arial"/>
          <w:color w:val="000000"/>
          <w:lang w:val="es-CO"/>
        </w:rPr>
        <w:t>r</w:t>
      </w:r>
      <w:r w:rsidR="00FD75F1">
        <w:rPr>
          <w:rFonts w:ascii="Bookman Old Style" w:hAnsi="Bookman Old Style" w:cs="Arial"/>
          <w:color w:val="000000"/>
          <w:lang w:val="es-CO"/>
        </w:rPr>
        <w:t xml:space="preserve">ige </w:t>
      </w:r>
      <w:r w:rsidR="00160677">
        <w:rPr>
          <w:rFonts w:ascii="Bookman Old Style" w:hAnsi="Bookman Old Style" w:cs="Arial"/>
          <w:color w:val="000000"/>
          <w:lang w:val="es-CO"/>
        </w:rPr>
        <w:t xml:space="preserve">a partir de la fecha de su </w:t>
      </w:r>
      <w:r>
        <w:rPr>
          <w:rFonts w:ascii="Bookman Old Style" w:hAnsi="Bookman Old Style" w:cs="Arial"/>
          <w:color w:val="000000"/>
          <w:lang w:val="es-CO"/>
        </w:rPr>
        <w:t xml:space="preserve">publicación en el </w:t>
      </w:r>
      <w:r w:rsidRPr="00E42E08">
        <w:rPr>
          <w:rFonts w:ascii="Bookman Old Style" w:hAnsi="Bookman Old Style" w:cs="Arial"/>
          <w:i/>
          <w:color w:val="000000"/>
          <w:lang w:val="es-CO"/>
        </w:rPr>
        <w:t>Diario Oficial</w:t>
      </w:r>
      <w:r>
        <w:rPr>
          <w:rFonts w:ascii="Bookman Old Style" w:hAnsi="Bookman Old Style" w:cs="Arial"/>
          <w:color w:val="000000"/>
          <w:lang w:val="es-CO"/>
        </w:rPr>
        <w:t>.</w:t>
      </w:r>
    </w:p>
    <w:p w:rsidR="007E0A73" w:rsidRDefault="007E0A73" w:rsidP="00D877BC">
      <w:pPr>
        <w:tabs>
          <w:tab w:val="center" w:pos="709"/>
        </w:tabs>
        <w:suppressAutoHyphens/>
        <w:ind w:left="0" w:right="51"/>
        <w:jc w:val="both"/>
        <w:rPr>
          <w:rFonts w:ascii="Bookman Old Style" w:hAnsi="Bookman Old Style" w:cs="Arial"/>
          <w:color w:val="000000"/>
          <w:lang w:val="es-CO"/>
        </w:rPr>
      </w:pPr>
    </w:p>
    <w:p w:rsidR="00FD75F1" w:rsidRDefault="00FD75F1" w:rsidP="002E0C73">
      <w:pPr>
        <w:tabs>
          <w:tab w:val="center" w:pos="709"/>
        </w:tabs>
        <w:suppressAutoHyphens/>
        <w:ind w:left="0" w:right="51"/>
        <w:jc w:val="both"/>
        <w:rPr>
          <w:rFonts w:ascii="Bookman Old Style" w:hAnsi="Bookman Old Style" w:cs="Arial"/>
          <w:color w:val="000000"/>
          <w:lang w:val="es-CO"/>
        </w:rPr>
      </w:pPr>
    </w:p>
    <w:p w:rsidR="00661E64" w:rsidRPr="00C435C3" w:rsidRDefault="00661E64" w:rsidP="00661E64">
      <w:pPr>
        <w:jc w:val="center"/>
        <w:rPr>
          <w:rFonts w:ascii="Bookman Old Style" w:hAnsi="Bookman Old Style"/>
          <w:b/>
        </w:rPr>
      </w:pPr>
      <w:r w:rsidRPr="00C435C3">
        <w:rPr>
          <w:rFonts w:ascii="Bookman Old Style" w:hAnsi="Bookman Old Style"/>
          <w:b/>
        </w:rPr>
        <w:t>PU</w:t>
      </w:r>
      <w:r w:rsidR="003D709F">
        <w:rPr>
          <w:rFonts w:ascii="Bookman Old Style" w:hAnsi="Bookman Old Style"/>
          <w:b/>
        </w:rPr>
        <w:t>B</w:t>
      </w:r>
      <w:r w:rsidRPr="00C435C3">
        <w:rPr>
          <w:rFonts w:ascii="Bookman Old Style" w:hAnsi="Bookman Old Style"/>
          <w:b/>
        </w:rPr>
        <w:t>LÍQUESE Y CÚMPLASE</w:t>
      </w:r>
    </w:p>
    <w:p w:rsidR="00E42E08" w:rsidRDefault="00E42E08" w:rsidP="00E42E08">
      <w:pPr>
        <w:ind w:left="0"/>
        <w:rPr>
          <w:rFonts w:ascii="Bookman Old Style" w:hAnsi="Bookman Old Style"/>
        </w:rPr>
      </w:pPr>
    </w:p>
    <w:p w:rsidR="00FD75F1" w:rsidRDefault="00DD51EA" w:rsidP="00DD51EA">
      <w:pPr>
        <w:ind w:left="0"/>
        <w:rPr>
          <w:rFonts w:ascii="Bookman Old Style" w:hAnsi="Bookman Old Style"/>
        </w:rPr>
      </w:pPr>
      <w:r>
        <w:rPr>
          <w:rFonts w:ascii="Bookman Old Style" w:hAnsi="Bookman Old Style"/>
        </w:rPr>
        <w:t>Dada en Bogotá, D.C.</w:t>
      </w:r>
    </w:p>
    <w:p w:rsidR="006A24FF" w:rsidRDefault="006A24FF" w:rsidP="00661E64">
      <w:pPr>
        <w:rPr>
          <w:rFonts w:ascii="Bookman Old Style" w:hAnsi="Bookman Old Style"/>
        </w:rPr>
      </w:pPr>
    </w:p>
    <w:p w:rsidR="00DD51EA" w:rsidRDefault="00DD51EA" w:rsidP="00661E64">
      <w:pPr>
        <w:rPr>
          <w:rFonts w:ascii="Bookman Old Style" w:hAnsi="Bookman Old Style"/>
        </w:rPr>
      </w:pPr>
    </w:p>
    <w:p w:rsidR="006A24FF" w:rsidRDefault="006A24FF" w:rsidP="00661E64">
      <w:pPr>
        <w:rPr>
          <w:rFonts w:ascii="Bookman Old Style" w:hAnsi="Bookman Old Style"/>
        </w:rPr>
      </w:pPr>
    </w:p>
    <w:p w:rsidR="00E43515" w:rsidRPr="00C435C3" w:rsidRDefault="00E43515" w:rsidP="00661E64">
      <w:pPr>
        <w:rPr>
          <w:rFonts w:ascii="Bookman Old Style" w:hAnsi="Bookman Old Style"/>
        </w:rPr>
      </w:pPr>
    </w:p>
    <w:p w:rsidR="00FA28B4" w:rsidRDefault="00FA28B4" w:rsidP="00661E64">
      <w:pPr>
        <w:ind w:left="0"/>
        <w:rPr>
          <w:rFonts w:ascii="Bookman Old Style" w:hAnsi="Bookman Old Style"/>
        </w:rPr>
      </w:pPr>
    </w:p>
    <w:tbl>
      <w:tblPr>
        <w:tblW w:w="9570" w:type="dxa"/>
        <w:jc w:val="right"/>
        <w:tblLayout w:type="fixed"/>
        <w:tblCellMar>
          <w:left w:w="70" w:type="dxa"/>
          <w:right w:w="70" w:type="dxa"/>
        </w:tblCellMar>
        <w:tblLook w:val="04A0" w:firstRow="1" w:lastRow="0" w:firstColumn="1" w:lastColumn="0" w:noHBand="0" w:noVBand="1"/>
      </w:tblPr>
      <w:tblGrid>
        <w:gridCol w:w="5531"/>
        <w:gridCol w:w="4039"/>
      </w:tblGrid>
      <w:tr w:rsidR="00FC7584" w:rsidTr="00DD51EA">
        <w:trPr>
          <w:trHeight w:val="241"/>
          <w:jc w:val="right"/>
        </w:trPr>
        <w:tc>
          <w:tcPr>
            <w:tcW w:w="5531" w:type="dxa"/>
            <w:hideMark/>
          </w:tcPr>
          <w:p w:rsidR="002A007E" w:rsidRDefault="002A007E" w:rsidP="00C12B46">
            <w:pPr>
              <w:ind w:left="0"/>
              <w:jc w:val="center"/>
              <w:rPr>
                <w:rFonts w:ascii="Bookman Old Style" w:hAnsi="Bookman Old Style" w:cs="Arial"/>
                <w:b/>
                <w:spacing w:val="-3"/>
                <w:lang w:val="es-ES_tradnl"/>
              </w:rPr>
            </w:pPr>
            <w:r>
              <w:rPr>
                <w:rFonts w:ascii="Bookman Old Style" w:hAnsi="Bookman Old Style" w:cs="Arial"/>
                <w:b/>
                <w:spacing w:val="-3"/>
              </w:rPr>
              <w:t>CARLOS FERNANDO ERASO</w:t>
            </w:r>
            <w:r w:rsidR="00C12B46">
              <w:rPr>
                <w:rFonts w:ascii="Bookman Old Style" w:hAnsi="Bookman Old Style" w:cs="Arial"/>
                <w:b/>
                <w:spacing w:val="-3"/>
              </w:rPr>
              <w:t xml:space="preserve"> </w:t>
            </w:r>
            <w:r>
              <w:rPr>
                <w:rFonts w:ascii="Bookman Old Style" w:hAnsi="Bookman Old Style" w:cs="Arial"/>
                <w:b/>
                <w:spacing w:val="-3"/>
              </w:rPr>
              <w:t>CALERO</w:t>
            </w:r>
          </w:p>
        </w:tc>
        <w:tc>
          <w:tcPr>
            <w:tcW w:w="4039" w:type="dxa"/>
            <w:hideMark/>
          </w:tcPr>
          <w:p w:rsidR="002A007E" w:rsidRPr="00D601C4" w:rsidRDefault="00405267" w:rsidP="00C12B46">
            <w:pPr>
              <w:tabs>
                <w:tab w:val="left" w:pos="4413"/>
              </w:tabs>
              <w:ind w:left="161" w:right="142"/>
              <w:jc w:val="center"/>
              <w:rPr>
                <w:rFonts w:ascii="Bookman Old Style" w:hAnsi="Bookman Old Style" w:cs="Arial"/>
                <w:spacing w:val="-3"/>
                <w:lang w:val="es-ES_tradnl"/>
              </w:rPr>
            </w:pPr>
            <w:r w:rsidRPr="00DD51EA">
              <w:rPr>
                <w:rFonts w:ascii="Bookman Old Style" w:hAnsi="Bookman Old Style" w:cs="Arial"/>
                <w:b/>
                <w:spacing w:val="-3"/>
                <w:lang w:val="es-ES_tradnl"/>
              </w:rPr>
              <w:t>JORGE PINTO NOLLA</w:t>
            </w:r>
          </w:p>
        </w:tc>
      </w:tr>
      <w:tr w:rsidR="00FC7584" w:rsidTr="00DD51EA">
        <w:trPr>
          <w:jc w:val="right"/>
        </w:trPr>
        <w:tc>
          <w:tcPr>
            <w:tcW w:w="5531" w:type="dxa"/>
            <w:hideMark/>
          </w:tcPr>
          <w:p w:rsidR="002A007E" w:rsidRDefault="002A007E" w:rsidP="002A007E">
            <w:pPr>
              <w:ind w:left="0"/>
              <w:jc w:val="center"/>
              <w:rPr>
                <w:rFonts w:ascii="Bookman Old Style" w:hAnsi="Bookman Old Style" w:cs="Arial"/>
                <w:spacing w:val="-3"/>
                <w:lang w:val="es-ES_tradnl"/>
              </w:rPr>
            </w:pPr>
            <w:r>
              <w:rPr>
                <w:rFonts w:ascii="Bookman Old Style" w:hAnsi="Bookman Old Style" w:cs="Arial"/>
                <w:spacing w:val="-3"/>
                <w:lang w:val="es-ES_tradnl"/>
              </w:rPr>
              <w:t>Viceministro de Energía</w:t>
            </w:r>
          </w:p>
          <w:p w:rsidR="00FC7584" w:rsidRDefault="002A007E" w:rsidP="002A007E">
            <w:pPr>
              <w:ind w:left="0"/>
              <w:jc w:val="center"/>
              <w:rPr>
                <w:rFonts w:ascii="Bookman Old Style" w:hAnsi="Bookman Old Style" w:cs="Arial"/>
                <w:spacing w:val="-3"/>
                <w:lang w:val="es-ES_tradnl"/>
              </w:rPr>
            </w:pPr>
            <w:r>
              <w:rPr>
                <w:rFonts w:ascii="Bookman Old Style" w:hAnsi="Bookman Old Style" w:cs="Arial"/>
                <w:spacing w:val="-3"/>
                <w:lang w:val="es-ES_tradnl"/>
              </w:rPr>
              <w:t xml:space="preserve">Delegado de la </w:t>
            </w:r>
            <w:r w:rsidR="00FC7584">
              <w:rPr>
                <w:rFonts w:ascii="Bookman Old Style" w:hAnsi="Bookman Old Style" w:cs="Arial"/>
                <w:spacing w:val="-3"/>
                <w:lang w:val="es-ES_tradnl"/>
              </w:rPr>
              <w:t>Ministr</w:t>
            </w:r>
            <w:r>
              <w:rPr>
                <w:rFonts w:ascii="Bookman Old Style" w:hAnsi="Bookman Old Style" w:cs="Arial"/>
                <w:spacing w:val="-3"/>
                <w:lang w:val="es-ES_tradnl"/>
              </w:rPr>
              <w:t>a</w:t>
            </w:r>
            <w:r w:rsidR="00FC7584">
              <w:rPr>
                <w:rFonts w:ascii="Bookman Old Style" w:hAnsi="Bookman Old Style" w:cs="Arial"/>
                <w:spacing w:val="-3"/>
                <w:lang w:val="es-ES_tradnl"/>
              </w:rPr>
              <w:t xml:space="preserve"> de Minas y Energía</w:t>
            </w:r>
            <w:r>
              <w:rPr>
                <w:rFonts w:ascii="Bookman Old Style" w:hAnsi="Bookman Old Style" w:cs="Arial"/>
                <w:spacing w:val="-3"/>
                <w:lang w:val="es-ES_tradnl"/>
              </w:rPr>
              <w:t xml:space="preserve"> (E)</w:t>
            </w:r>
          </w:p>
        </w:tc>
        <w:tc>
          <w:tcPr>
            <w:tcW w:w="4039" w:type="dxa"/>
            <w:hideMark/>
          </w:tcPr>
          <w:p w:rsidR="00FC7584" w:rsidRPr="00D601C4" w:rsidRDefault="007130D6" w:rsidP="00DD51EA">
            <w:pPr>
              <w:rPr>
                <w:rFonts w:ascii="Bookman Old Style" w:hAnsi="Bookman Old Style" w:cs="Arial"/>
                <w:spacing w:val="-3"/>
                <w:lang w:val="es-ES_tradnl"/>
              </w:rPr>
            </w:pPr>
            <w:r w:rsidRPr="00D601C4">
              <w:rPr>
                <w:rFonts w:ascii="Bookman Old Style" w:hAnsi="Bookman Old Style" w:cs="Arial"/>
                <w:spacing w:val="-3"/>
                <w:lang w:val="es-ES_tradnl"/>
              </w:rPr>
              <w:t xml:space="preserve">      </w:t>
            </w:r>
            <w:r w:rsidR="00C12B46" w:rsidRPr="00D601C4">
              <w:rPr>
                <w:rFonts w:ascii="Bookman Old Style" w:hAnsi="Bookman Old Style" w:cs="Arial"/>
                <w:spacing w:val="-3"/>
                <w:lang w:val="es-ES_tradnl"/>
              </w:rPr>
              <w:t>Director Ejecutivo</w:t>
            </w:r>
          </w:p>
        </w:tc>
      </w:tr>
      <w:tr w:rsidR="00FC7584" w:rsidTr="00DD51EA">
        <w:trPr>
          <w:jc w:val="right"/>
        </w:trPr>
        <w:tc>
          <w:tcPr>
            <w:tcW w:w="5531" w:type="dxa"/>
            <w:hideMark/>
          </w:tcPr>
          <w:p w:rsidR="00FC7584" w:rsidRDefault="00FC7584" w:rsidP="002A007E">
            <w:pPr>
              <w:ind w:left="0"/>
              <w:jc w:val="center"/>
              <w:rPr>
                <w:rFonts w:ascii="Bookman Old Style" w:hAnsi="Bookman Old Style" w:cs="Arial"/>
                <w:spacing w:val="-3"/>
              </w:rPr>
            </w:pPr>
            <w:r>
              <w:rPr>
                <w:rFonts w:ascii="Bookman Old Style" w:hAnsi="Bookman Old Style" w:cs="Arial"/>
                <w:spacing w:val="-3"/>
              </w:rPr>
              <w:t>Presidente</w:t>
            </w:r>
          </w:p>
        </w:tc>
        <w:tc>
          <w:tcPr>
            <w:tcW w:w="4039" w:type="dxa"/>
          </w:tcPr>
          <w:p w:rsidR="00FC7584" w:rsidRDefault="00FC7584" w:rsidP="00176D01">
            <w:pPr>
              <w:rPr>
                <w:rFonts w:ascii="Bookman Old Style" w:hAnsi="Bookman Old Style" w:cs="Arial"/>
                <w:spacing w:val="-3"/>
              </w:rPr>
            </w:pPr>
          </w:p>
        </w:tc>
      </w:tr>
    </w:tbl>
    <w:p w:rsidR="002A7E68" w:rsidRDefault="002A7E68" w:rsidP="000741B7">
      <w:pPr>
        <w:ind w:left="0"/>
        <w:rPr>
          <w:rFonts w:ascii="Bookman Old Style" w:hAnsi="Bookman Old Style"/>
          <w:b/>
          <w:lang w:val="es-CO"/>
        </w:rPr>
      </w:pPr>
    </w:p>
    <w:sectPr w:rsidR="002A7E68"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C27" w:rsidRDefault="00B75C27">
      <w:r>
        <w:separator/>
      </w:r>
    </w:p>
  </w:endnote>
  <w:endnote w:type="continuationSeparator" w:id="0">
    <w:p w:rsidR="00B75C27" w:rsidRDefault="00B7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C27" w:rsidRDefault="00B75C27">
      <w:r>
        <w:separator/>
      </w:r>
    </w:p>
  </w:footnote>
  <w:footnote w:type="continuationSeparator" w:id="0">
    <w:p w:rsidR="00B75C27" w:rsidRDefault="00B75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D01" w:rsidRDefault="00176D01" w:rsidP="00951F79">
    <w:pPr>
      <w:pStyle w:val="Ttulo1"/>
      <w:ind w:right="6"/>
      <w:jc w:val="left"/>
      <w:rPr>
        <w:rFonts w:ascii="Bookman Old Style" w:hAnsi="Bookman Old Style" w:cs="Arial"/>
        <w:b w:val="0"/>
        <w:sz w:val="22"/>
        <w:szCs w:val="22"/>
      </w:rPr>
    </w:pPr>
  </w:p>
  <w:p w:rsidR="00176D01" w:rsidRPr="00951F79" w:rsidRDefault="00176D01"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5D6B56"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5D6B56" w:rsidRPr="00654384">
      <w:rPr>
        <w:rFonts w:ascii="Bookman Old Style" w:hAnsi="Bookman Old Style" w:cs="Arial"/>
        <w:b w:val="0"/>
        <w:sz w:val="22"/>
        <w:szCs w:val="22"/>
      </w:rPr>
      <w:fldChar w:fldCharType="separate"/>
    </w:r>
    <w:r w:rsidR="00B76BE5">
      <w:rPr>
        <w:rFonts w:ascii="Bookman Old Style" w:hAnsi="Bookman Old Style" w:cs="Arial"/>
        <w:b w:val="0"/>
        <w:noProof/>
        <w:sz w:val="22"/>
        <w:szCs w:val="22"/>
      </w:rPr>
      <w:t>4</w:t>
    </w:r>
    <w:r w:rsidR="005D6B56"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B76BE5" w:rsidRPr="00B76BE5">
        <w:rPr>
          <w:rFonts w:ascii="Bookman Old Style" w:hAnsi="Bookman Old Style" w:cs="Arial"/>
          <w:b w:val="0"/>
          <w:noProof/>
          <w:sz w:val="22"/>
          <w:szCs w:val="22"/>
        </w:rPr>
        <w:t>4</w:t>
      </w:r>
    </w:fldSimple>
  </w:p>
  <w:p w:rsidR="00176D01" w:rsidRDefault="00D0409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6C238D09" wp14:editId="2AE67CF8">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176D01" w:rsidRPr="00E42E08" w:rsidRDefault="00176D01" w:rsidP="00E42E08">
    <w:pPr>
      <w:ind w:left="0"/>
      <w:jc w:val="center"/>
      <w:rPr>
        <w:rFonts w:ascii="Bookman Old Style" w:hAnsi="Bookman Old Style"/>
        <w:sz w:val="22"/>
        <w:szCs w:val="22"/>
      </w:rPr>
    </w:pPr>
    <w:r w:rsidRPr="00E42E08">
      <w:rPr>
        <w:rFonts w:ascii="Bookman Old Style" w:hAnsi="Bookman Old Style"/>
        <w:sz w:val="22"/>
        <w:szCs w:val="22"/>
      </w:rPr>
      <w:t xml:space="preserve">Por la cual se </w:t>
    </w:r>
    <w:r w:rsidR="008F565A">
      <w:rPr>
        <w:rFonts w:ascii="Bookman Old Style" w:hAnsi="Bookman Old Style"/>
        <w:sz w:val="22"/>
        <w:szCs w:val="22"/>
      </w:rPr>
      <w:t>adiciona</w:t>
    </w:r>
    <w:r w:rsidR="00D00E5A">
      <w:rPr>
        <w:rFonts w:ascii="Bookman Old Style" w:hAnsi="Bookman Old Style"/>
        <w:sz w:val="22"/>
        <w:szCs w:val="22"/>
      </w:rPr>
      <w:t>n</w:t>
    </w:r>
    <w:r w:rsidR="008F565A">
      <w:rPr>
        <w:rFonts w:ascii="Bookman Old Style" w:hAnsi="Bookman Old Style"/>
        <w:sz w:val="22"/>
        <w:szCs w:val="22"/>
      </w:rPr>
      <w:t xml:space="preserve"> </w:t>
    </w:r>
    <w:r w:rsidR="00260895">
      <w:rPr>
        <w:rFonts w:ascii="Bookman Old Style" w:hAnsi="Bookman Old Style"/>
        <w:sz w:val="22"/>
        <w:szCs w:val="22"/>
      </w:rPr>
      <w:t xml:space="preserve">las </w:t>
    </w:r>
    <w:r w:rsidR="00D00E5A">
      <w:rPr>
        <w:rFonts w:ascii="Bookman Old Style" w:hAnsi="Bookman Old Style"/>
        <w:sz w:val="22"/>
        <w:szCs w:val="22"/>
      </w:rPr>
      <w:t xml:space="preserve">reglas de </w:t>
    </w:r>
    <w:r w:rsidR="00260895">
      <w:rPr>
        <w:rFonts w:ascii="Bookman Old Style" w:hAnsi="Bookman Old Style"/>
        <w:sz w:val="22"/>
        <w:szCs w:val="22"/>
      </w:rPr>
      <w:t>garantías para amparar la energía firme incremental para el Cargo por Confiabilidad</w:t>
    </w:r>
  </w:p>
  <w:p w:rsidR="00176D01" w:rsidRPr="00E42E08" w:rsidRDefault="00176D01" w:rsidP="00AD01E4">
    <w:pPr>
      <w:pBdr>
        <w:bottom w:val="single" w:sz="4" w:space="1" w:color="auto"/>
      </w:pBd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D01" w:rsidRDefault="00176D01"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176D01" w:rsidRDefault="00176D01">
    <w:pPr>
      <w:pStyle w:val="Encabezado"/>
      <w:jc w:val="center"/>
      <w:rPr>
        <w:rFonts w:ascii="Arial" w:hAnsi="Arial" w:cs="Arial"/>
        <w:spacing w:val="20"/>
        <w:sz w:val="20"/>
      </w:rPr>
    </w:pPr>
  </w:p>
  <w:p w:rsidR="00176D01" w:rsidRDefault="00D0409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0E184564" wp14:editId="542AC2C0">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240A000F"/>
    <w:lvl w:ilvl="0">
      <w:start w:val="1"/>
      <w:numFmt w:val="decimal"/>
      <w:lvlText w:val="%1."/>
      <w:lvlJc w:val="left"/>
      <w:pPr>
        <w:ind w:left="360" w:hanging="360"/>
      </w:p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EB67EB"/>
    <w:multiLevelType w:val="hybridMultilevel"/>
    <w:tmpl w:val="E7BA616C"/>
    <w:lvl w:ilvl="0" w:tplc="240A001B">
      <w:start w:val="1"/>
      <w:numFmt w:val="lowerRoman"/>
      <w:lvlText w:val="%1."/>
      <w:lvlJc w:val="right"/>
      <w:pPr>
        <w:ind w:left="795" w:hanging="360"/>
      </w:pPr>
    </w:lvl>
    <w:lvl w:ilvl="1" w:tplc="240A0019" w:tentative="1">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3">
    <w:nsid w:val="04AB3AA4"/>
    <w:multiLevelType w:val="hybridMultilevel"/>
    <w:tmpl w:val="B74EAE22"/>
    <w:lvl w:ilvl="0" w:tplc="DFDCBF1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FA739E0"/>
    <w:multiLevelType w:val="hybridMultilevel"/>
    <w:tmpl w:val="2E6C307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1FF295E"/>
    <w:multiLevelType w:val="hybridMultilevel"/>
    <w:tmpl w:val="6F186F8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4A36E7D"/>
    <w:multiLevelType w:val="hybridMultilevel"/>
    <w:tmpl w:val="2488E722"/>
    <w:lvl w:ilvl="0" w:tplc="24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3">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8F156D0"/>
    <w:multiLevelType w:val="hybridMultilevel"/>
    <w:tmpl w:val="80ACAFB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5C341BF"/>
    <w:multiLevelType w:val="hybridMultilevel"/>
    <w:tmpl w:val="16A4D9A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22">
    <w:nsid w:val="3A8F4CE5"/>
    <w:multiLevelType w:val="hybridMultilevel"/>
    <w:tmpl w:val="485C71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5B45B47"/>
    <w:multiLevelType w:val="hybridMultilevel"/>
    <w:tmpl w:val="DA8CDE1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1"/>
  </w:num>
  <w:num w:numId="2">
    <w:abstractNumId w:val="0"/>
  </w:num>
  <w:num w:numId="3">
    <w:abstractNumId w:val="31"/>
  </w:num>
  <w:num w:numId="4">
    <w:abstractNumId w:val="30"/>
  </w:num>
  <w:num w:numId="5">
    <w:abstractNumId w:val="36"/>
  </w:num>
  <w:num w:numId="6">
    <w:abstractNumId w:val="5"/>
  </w:num>
  <w:num w:numId="7">
    <w:abstractNumId w:val="14"/>
  </w:num>
  <w:num w:numId="8">
    <w:abstractNumId w:val="16"/>
  </w:num>
  <w:num w:numId="9">
    <w:abstractNumId w:val="32"/>
  </w:num>
  <w:num w:numId="10">
    <w:abstractNumId w:val="12"/>
  </w:num>
  <w:num w:numId="11">
    <w:abstractNumId w:val="18"/>
  </w:num>
  <w:num w:numId="12">
    <w:abstractNumId w:val="29"/>
  </w:num>
  <w:num w:numId="13">
    <w:abstractNumId w:val="27"/>
  </w:num>
  <w:num w:numId="14">
    <w:abstractNumId w:val="7"/>
  </w:num>
  <w:num w:numId="15">
    <w:abstractNumId w:val="24"/>
  </w:num>
  <w:num w:numId="16">
    <w:abstractNumId w:val="4"/>
  </w:num>
  <w:num w:numId="17">
    <w:abstractNumId w:val="10"/>
  </w:num>
  <w:num w:numId="18">
    <w:abstractNumId w:val="26"/>
  </w:num>
  <w:num w:numId="19">
    <w:abstractNumId w:val="21"/>
  </w:num>
  <w:num w:numId="20">
    <w:abstractNumId w:val="34"/>
  </w:num>
  <w:num w:numId="21">
    <w:abstractNumId w:val="19"/>
  </w:num>
  <w:num w:numId="22">
    <w:abstractNumId w:val="11"/>
  </w:num>
  <w:num w:numId="23">
    <w:abstractNumId w:val="23"/>
  </w:num>
  <w:num w:numId="24">
    <w:abstractNumId w:val="35"/>
  </w:num>
  <w:num w:numId="25">
    <w:abstractNumId w:val="13"/>
  </w:num>
  <w:num w:numId="26">
    <w:abstractNumId w:val="25"/>
  </w:num>
  <w:num w:numId="27">
    <w:abstractNumId w:val="17"/>
  </w:num>
  <w:num w:numId="28">
    <w:abstractNumId w:val="28"/>
  </w:num>
  <w:num w:numId="29">
    <w:abstractNumId w:val="2"/>
  </w:num>
  <w:num w:numId="30">
    <w:abstractNumId w:val="20"/>
  </w:num>
  <w:num w:numId="31">
    <w:abstractNumId w:val="3"/>
  </w:num>
  <w:num w:numId="32">
    <w:abstractNumId w:val="22"/>
  </w:num>
  <w:num w:numId="33">
    <w:abstractNumId w:val="9"/>
  </w:num>
  <w:num w:numId="34">
    <w:abstractNumId w:val="15"/>
  </w:num>
  <w:num w:numId="35">
    <w:abstractNumId w:val="33"/>
  </w:num>
  <w:num w:numId="36">
    <w:abstractNumId w:val="6"/>
  </w:num>
  <w:num w:numId="37">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5FE"/>
    <w:rsid w:val="000025F1"/>
    <w:rsid w:val="000065C7"/>
    <w:rsid w:val="00006AE2"/>
    <w:rsid w:val="000076A1"/>
    <w:rsid w:val="000078E0"/>
    <w:rsid w:val="00012259"/>
    <w:rsid w:val="000131B5"/>
    <w:rsid w:val="00013EA5"/>
    <w:rsid w:val="00021A70"/>
    <w:rsid w:val="0002357E"/>
    <w:rsid w:val="00025383"/>
    <w:rsid w:val="00026F9D"/>
    <w:rsid w:val="00030A84"/>
    <w:rsid w:val="000313A0"/>
    <w:rsid w:val="00031B7E"/>
    <w:rsid w:val="00033DC6"/>
    <w:rsid w:val="000357DA"/>
    <w:rsid w:val="00035ECB"/>
    <w:rsid w:val="00045D3D"/>
    <w:rsid w:val="000516EB"/>
    <w:rsid w:val="00053B50"/>
    <w:rsid w:val="00055D3E"/>
    <w:rsid w:val="00056D36"/>
    <w:rsid w:val="000575A6"/>
    <w:rsid w:val="000577EC"/>
    <w:rsid w:val="00057B80"/>
    <w:rsid w:val="00060CB0"/>
    <w:rsid w:val="000617B3"/>
    <w:rsid w:val="00063657"/>
    <w:rsid w:val="0006410B"/>
    <w:rsid w:val="000706E3"/>
    <w:rsid w:val="000741B7"/>
    <w:rsid w:val="00076680"/>
    <w:rsid w:val="00076A1D"/>
    <w:rsid w:val="0008073E"/>
    <w:rsid w:val="00087C09"/>
    <w:rsid w:val="0009093A"/>
    <w:rsid w:val="00091CDB"/>
    <w:rsid w:val="00092DBF"/>
    <w:rsid w:val="000931F8"/>
    <w:rsid w:val="00094C28"/>
    <w:rsid w:val="000953A8"/>
    <w:rsid w:val="00096FE2"/>
    <w:rsid w:val="00097331"/>
    <w:rsid w:val="000A0268"/>
    <w:rsid w:val="000A0B7F"/>
    <w:rsid w:val="000A19AC"/>
    <w:rsid w:val="000A5DC5"/>
    <w:rsid w:val="000B0AF1"/>
    <w:rsid w:val="000B0DFE"/>
    <w:rsid w:val="000B0FF1"/>
    <w:rsid w:val="000B2C69"/>
    <w:rsid w:val="000B2EC9"/>
    <w:rsid w:val="000B3D44"/>
    <w:rsid w:val="000B4486"/>
    <w:rsid w:val="000B6074"/>
    <w:rsid w:val="000C1CA5"/>
    <w:rsid w:val="000C7FE5"/>
    <w:rsid w:val="000D0827"/>
    <w:rsid w:val="000D26F8"/>
    <w:rsid w:val="000D2BBA"/>
    <w:rsid w:val="000D3F4B"/>
    <w:rsid w:val="000D7CEC"/>
    <w:rsid w:val="000D7E5E"/>
    <w:rsid w:val="000E4151"/>
    <w:rsid w:val="000E52BB"/>
    <w:rsid w:val="000F3D98"/>
    <w:rsid w:val="000F464E"/>
    <w:rsid w:val="000F487C"/>
    <w:rsid w:val="0010144E"/>
    <w:rsid w:val="0011058F"/>
    <w:rsid w:val="00112A91"/>
    <w:rsid w:val="00115067"/>
    <w:rsid w:val="001214C4"/>
    <w:rsid w:val="0012276C"/>
    <w:rsid w:val="00125C5D"/>
    <w:rsid w:val="001317DA"/>
    <w:rsid w:val="0013526C"/>
    <w:rsid w:val="001405C6"/>
    <w:rsid w:val="00141013"/>
    <w:rsid w:val="0014344F"/>
    <w:rsid w:val="0014618C"/>
    <w:rsid w:val="00147DF3"/>
    <w:rsid w:val="00152AB8"/>
    <w:rsid w:val="00160677"/>
    <w:rsid w:val="00162E66"/>
    <w:rsid w:val="001640E6"/>
    <w:rsid w:val="00164BCE"/>
    <w:rsid w:val="00166C3F"/>
    <w:rsid w:val="00174A24"/>
    <w:rsid w:val="00176D01"/>
    <w:rsid w:val="00182A27"/>
    <w:rsid w:val="00185A78"/>
    <w:rsid w:val="001866F9"/>
    <w:rsid w:val="00191AD7"/>
    <w:rsid w:val="00192CBF"/>
    <w:rsid w:val="00192FF1"/>
    <w:rsid w:val="00194893"/>
    <w:rsid w:val="00195EB8"/>
    <w:rsid w:val="00196C74"/>
    <w:rsid w:val="001A5F1B"/>
    <w:rsid w:val="001B1433"/>
    <w:rsid w:val="001B1C22"/>
    <w:rsid w:val="001B1D58"/>
    <w:rsid w:val="001B293C"/>
    <w:rsid w:val="001B34C6"/>
    <w:rsid w:val="001B53A4"/>
    <w:rsid w:val="001B5904"/>
    <w:rsid w:val="001B7105"/>
    <w:rsid w:val="001C2169"/>
    <w:rsid w:val="001C6406"/>
    <w:rsid w:val="001C6D96"/>
    <w:rsid w:val="001C7514"/>
    <w:rsid w:val="001D0A0E"/>
    <w:rsid w:val="001D7832"/>
    <w:rsid w:val="001E05E9"/>
    <w:rsid w:val="001E53FD"/>
    <w:rsid w:val="001E6BF8"/>
    <w:rsid w:val="001E7781"/>
    <w:rsid w:val="001F1BA7"/>
    <w:rsid w:val="00202498"/>
    <w:rsid w:val="00203559"/>
    <w:rsid w:val="002043B4"/>
    <w:rsid w:val="00205DDC"/>
    <w:rsid w:val="00205EC3"/>
    <w:rsid w:val="002064D8"/>
    <w:rsid w:val="00207B62"/>
    <w:rsid w:val="00210DC1"/>
    <w:rsid w:val="00211D34"/>
    <w:rsid w:val="00214F04"/>
    <w:rsid w:val="0022114A"/>
    <w:rsid w:val="0022170F"/>
    <w:rsid w:val="002234CD"/>
    <w:rsid w:val="00226BE9"/>
    <w:rsid w:val="002301FE"/>
    <w:rsid w:val="0023044C"/>
    <w:rsid w:val="00230FBA"/>
    <w:rsid w:val="00231BFA"/>
    <w:rsid w:val="002342A3"/>
    <w:rsid w:val="00240E51"/>
    <w:rsid w:val="0024138E"/>
    <w:rsid w:val="00244E04"/>
    <w:rsid w:val="00250E41"/>
    <w:rsid w:val="00251033"/>
    <w:rsid w:val="002556A6"/>
    <w:rsid w:val="00260895"/>
    <w:rsid w:val="00262413"/>
    <w:rsid w:val="00262E08"/>
    <w:rsid w:val="00264F30"/>
    <w:rsid w:val="00266CD6"/>
    <w:rsid w:val="00267BBC"/>
    <w:rsid w:val="00272F3D"/>
    <w:rsid w:val="00275DAB"/>
    <w:rsid w:val="00283C59"/>
    <w:rsid w:val="002928E3"/>
    <w:rsid w:val="00296F32"/>
    <w:rsid w:val="002A007E"/>
    <w:rsid w:val="002A22B6"/>
    <w:rsid w:val="002A2AB3"/>
    <w:rsid w:val="002A326B"/>
    <w:rsid w:val="002A3CD9"/>
    <w:rsid w:val="002A622C"/>
    <w:rsid w:val="002A6428"/>
    <w:rsid w:val="002A6911"/>
    <w:rsid w:val="002A782A"/>
    <w:rsid w:val="002A7E68"/>
    <w:rsid w:val="002B11E2"/>
    <w:rsid w:val="002B24B8"/>
    <w:rsid w:val="002B5912"/>
    <w:rsid w:val="002C0354"/>
    <w:rsid w:val="002C30E0"/>
    <w:rsid w:val="002C31A9"/>
    <w:rsid w:val="002C4ACF"/>
    <w:rsid w:val="002C6239"/>
    <w:rsid w:val="002D3A8E"/>
    <w:rsid w:val="002D3AE9"/>
    <w:rsid w:val="002D4510"/>
    <w:rsid w:val="002D6BD5"/>
    <w:rsid w:val="002D723C"/>
    <w:rsid w:val="002E0C73"/>
    <w:rsid w:val="002E40ED"/>
    <w:rsid w:val="002E5A6A"/>
    <w:rsid w:val="002F0734"/>
    <w:rsid w:val="002F1D14"/>
    <w:rsid w:val="002F46E7"/>
    <w:rsid w:val="002F471C"/>
    <w:rsid w:val="002F6CF1"/>
    <w:rsid w:val="00301DDF"/>
    <w:rsid w:val="00301E31"/>
    <w:rsid w:val="00302176"/>
    <w:rsid w:val="0030529D"/>
    <w:rsid w:val="003057F3"/>
    <w:rsid w:val="00306523"/>
    <w:rsid w:val="003101DA"/>
    <w:rsid w:val="00314757"/>
    <w:rsid w:val="00314837"/>
    <w:rsid w:val="003163BC"/>
    <w:rsid w:val="00317E66"/>
    <w:rsid w:val="003211CE"/>
    <w:rsid w:val="00322340"/>
    <w:rsid w:val="0032789E"/>
    <w:rsid w:val="00330A28"/>
    <w:rsid w:val="00331C7F"/>
    <w:rsid w:val="0034073A"/>
    <w:rsid w:val="00341CC8"/>
    <w:rsid w:val="0034412F"/>
    <w:rsid w:val="00344373"/>
    <w:rsid w:val="00345679"/>
    <w:rsid w:val="00351057"/>
    <w:rsid w:val="0035403A"/>
    <w:rsid w:val="0036394B"/>
    <w:rsid w:val="00366894"/>
    <w:rsid w:val="00366DB6"/>
    <w:rsid w:val="0036749E"/>
    <w:rsid w:val="00367C68"/>
    <w:rsid w:val="003709B5"/>
    <w:rsid w:val="00371889"/>
    <w:rsid w:val="003759C2"/>
    <w:rsid w:val="0039319D"/>
    <w:rsid w:val="00396726"/>
    <w:rsid w:val="00397365"/>
    <w:rsid w:val="003A250F"/>
    <w:rsid w:val="003A31F6"/>
    <w:rsid w:val="003A4DDA"/>
    <w:rsid w:val="003B6640"/>
    <w:rsid w:val="003B752B"/>
    <w:rsid w:val="003C119A"/>
    <w:rsid w:val="003C25EC"/>
    <w:rsid w:val="003C3447"/>
    <w:rsid w:val="003C389E"/>
    <w:rsid w:val="003C3E73"/>
    <w:rsid w:val="003C4403"/>
    <w:rsid w:val="003C4C80"/>
    <w:rsid w:val="003D0673"/>
    <w:rsid w:val="003D076C"/>
    <w:rsid w:val="003D2014"/>
    <w:rsid w:val="003D3E22"/>
    <w:rsid w:val="003D709F"/>
    <w:rsid w:val="003D73BF"/>
    <w:rsid w:val="003E439A"/>
    <w:rsid w:val="003E4E07"/>
    <w:rsid w:val="003E78B5"/>
    <w:rsid w:val="003F055B"/>
    <w:rsid w:val="003F6F00"/>
    <w:rsid w:val="003F786C"/>
    <w:rsid w:val="0040138C"/>
    <w:rsid w:val="00401668"/>
    <w:rsid w:val="00405267"/>
    <w:rsid w:val="0040747C"/>
    <w:rsid w:val="004126E8"/>
    <w:rsid w:val="00412BC0"/>
    <w:rsid w:val="004140B9"/>
    <w:rsid w:val="0041473D"/>
    <w:rsid w:val="00415BAB"/>
    <w:rsid w:val="00415ED2"/>
    <w:rsid w:val="004161C6"/>
    <w:rsid w:val="0042068C"/>
    <w:rsid w:val="00422314"/>
    <w:rsid w:val="00423B5E"/>
    <w:rsid w:val="00424BF4"/>
    <w:rsid w:val="00425617"/>
    <w:rsid w:val="0042633F"/>
    <w:rsid w:val="00433002"/>
    <w:rsid w:val="00433CCA"/>
    <w:rsid w:val="00436E0C"/>
    <w:rsid w:val="00441102"/>
    <w:rsid w:val="004412D3"/>
    <w:rsid w:val="0044318E"/>
    <w:rsid w:val="00443B35"/>
    <w:rsid w:val="00447509"/>
    <w:rsid w:val="00471070"/>
    <w:rsid w:val="0047122B"/>
    <w:rsid w:val="00473B7A"/>
    <w:rsid w:val="004756AE"/>
    <w:rsid w:val="00495466"/>
    <w:rsid w:val="00495D61"/>
    <w:rsid w:val="004960E9"/>
    <w:rsid w:val="004968BF"/>
    <w:rsid w:val="00497047"/>
    <w:rsid w:val="004A2C5F"/>
    <w:rsid w:val="004A2E88"/>
    <w:rsid w:val="004A33FB"/>
    <w:rsid w:val="004A5305"/>
    <w:rsid w:val="004A7930"/>
    <w:rsid w:val="004B082F"/>
    <w:rsid w:val="004B1081"/>
    <w:rsid w:val="004B2A6F"/>
    <w:rsid w:val="004B517C"/>
    <w:rsid w:val="004B67F7"/>
    <w:rsid w:val="004C1248"/>
    <w:rsid w:val="004C12CD"/>
    <w:rsid w:val="004C1DE8"/>
    <w:rsid w:val="004C33BE"/>
    <w:rsid w:val="004C3733"/>
    <w:rsid w:val="004D0342"/>
    <w:rsid w:val="004D7634"/>
    <w:rsid w:val="004D7AAC"/>
    <w:rsid w:val="004E22D9"/>
    <w:rsid w:val="004E361F"/>
    <w:rsid w:val="004E4630"/>
    <w:rsid w:val="004E5334"/>
    <w:rsid w:val="004E611A"/>
    <w:rsid w:val="004F1673"/>
    <w:rsid w:val="004F3640"/>
    <w:rsid w:val="004F39AF"/>
    <w:rsid w:val="004F7338"/>
    <w:rsid w:val="0050140D"/>
    <w:rsid w:val="005029F7"/>
    <w:rsid w:val="00502BA6"/>
    <w:rsid w:val="00504ADC"/>
    <w:rsid w:val="00506327"/>
    <w:rsid w:val="00507134"/>
    <w:rsid w:val="00511C52"/>
    <w:rsid w:val="0051695A"/>
    <w:rsid w:val="00520212"/>
    <w:rsid w:val="00522C8E"/>
    <w:rsid w:val="00524932"/>
    <w:rsid w:val="00524F2E"/>
    <w:rsid w:val="00525579"/>
    <w:rsid w:val="005300D3"/>
    <w:rsid w:val="00535967"/>
    <w:rsid w:val="005369A9"/>
    <w:rsid w:val="00537E6C"/>
    <w:rsid w:val="00541254"/>
    <w:rsid w:val="00543CB7"/>
    <w:rsid w:val="00544F82"/>
    <w:rsid w:val="00546A11"/>
    <w:rsid w:val="005509D2"/>
    <w:rsid w:val="0055152C"/>
    <w:rsid w:val="00551CA0"/>
    <w:rsid w:val="0055526D"/>
    <w:rsid w:val="005576BC"/>
    <w:rsid w:val="00557D4D"/>
    <w:rsid w:val="00566DFC"/>
    <w:rsid w:val="005701E8"/>
    <w:rsid w:val="00577A2E"/>
    <w:rsid w:val="00580106"/>
    <w:rsid w:val="00582F38"/>
    <w:rsid w:val="00586025"/>
    <w:rsid w:val="00591E18"/>
    <w:rsid w:val="005920DF"/>
    <w:rsid w:val="00592BF7"/>
    <w:rsid w:val="00593190"/>
    <w:rsid w:val="00593C4F"/>
    <w:rsid w:val="005946A8"/>
    <w:rsid w:val="005A14DB"/>
    <w:rsid w:val="005A2B4D"/>
    <w:rsid w:val="005A4407"/>
    <w:rsid w:val="005A476D"/>
    <w:rsid w:val="005A59EF"/>
    <w:rsid w:val="005A7814"/>
    <w:rsid w:val="005A7FBC"/>
    <w:rsid w:val="005B1C7E"/>
    <w:rsid w:val="005C3F2A"/>
    <w:rsid w:val="005C5B63"/>
    <w:rsid w:val="005C5E40"/>
    <w:rsid w:val="005C6976"/>
    <w:rsid w:val="005C6EAC"/>
    <w:rsid w:val="005D6B56"/>
    <w:rsid w:val="005E17F4"/>
    <w:rsid w:val="005E2A46"/>
    <w:rsid w:val="005F6F41"/>
    <w:rsid w:val="00602C57"/>
    <w:rsid w:val="006062AF"/>
    <w:rsid w:val="00611A0B"/>
    <w:rsid w:val="00613BDC"/>
    <w:rsid w:val="006141A4"/>
    <w:rsid w:val="00614D01"/>
    <w:rsid w:val="00625DC6"/>
    <w:rsid w:val="00633E7A"/>
    <w:rsid w:val="00636B5E"/>
    <w:rsid w:val="00640382"/>
    <w:rsid w:val="0064391D"/>
    <w:rsid w:val="00651821"/>
    <w:rsid w:val="006537A6"/>
    <w:rsid w:val="00654384"/>
    <w:rsid w:val="00661E64"/>
    <w:rsid w:val="006658E3"/>
    <w:rsid w:val="0066698F"/>
    <w:rsid w:val="006675CD"/>
    <w:rsid w:val="0066789E"/>
    <w:rsid w:val="0067206E"/>
    <w:rsid w:val="00676709"/>
    <w:rsid w:val="006767C2"/>
    <w:rsid w:val="00680722"/>
    <w:rsid w:val="00683722"/>
    <w:rsid w:val="00684D9B"/>
    <w:rsid w:val="0068510A"/>
    <w:rsid w:val="00693BB1"/>
    <w:rsid w:val="006940C6"/>
    <w:rsid w:val="0069444C"/>
    <w:rsid w:val="00694D7C"/>
    <w:rsid w:val="00695F80"/>
    <w:rsid w:val="00696155"/>
    <w:rsid w:val="0069740D"/>
    <w:rsid w:val="00697556"/>
    <w:rsid w:val="0069756D"/>
    <w:rsid w:val="006978D7"/>
    <w:rsid w:val="006A1C33"/>
    <w:rsid w:val="006A24FF"/>
    <w:rsid w:val="006A3E15"/>
    <w:rsid w:val="006A57CA"/>
    <w:rsid w:val="006A629B"/>
    <w:rsid w:val="006B4647"/>
    <w:rsid w:val="006B4C2B"/>
    <w:rsid w:val="006B50AF"/>
    <w:rsid w:val="006B5F53"/>
    <w:rsid w:val="006B6194"/>
    <w:rsid w:val="006B6D47"/>
    <w:rsid w:val="006C0D13"/>
    <w:rsid w:val="006C145F"/>
    <w:rsid w:val="006C1EDD"/>
    <w:rsid w:val="006C5AFE"/>
    <w:rsid w:val="006C6C91"/>
    <w:rsid w:val="006C76B0"/>
    <w:rsid w:val="006C7F3E"/>
    <w:rsid w:val="006D0D2D"/>
    <w:rsid w:val="006D33A1"/>
    <w:rsid w:val="006D3475"/>
    <w:rsid w:val="006E1564"/>
    <w:rsid w:val="006E4859"/>
    <w:rsid w:val="006E6274"/>
    <w:rsid w:val="006F05C5"/>
    <w:rsid w:val="006F1378"/>
    <w:rsid w:val="006F22B5"/>
    <w:rsid w:val="006F6D95"/>
    <w:rsid w:val="00704093"/>
    <w:rsid w:val="0070527B"/>
    <w:rsid w:val="00706F13"/>
    <w:rsid w:val="007072E8"/>
    <w:rsid w:val="0071044D"/>
    <w:rsid w:val="00710489"/>
    <w:rsid w:val="0071210F"/>
    <w:rsid w:val="007124F3"/>
    <w:rsid w:val="007130D6"/>
    <w:rsid w:val="00713D6C"/>
    <w:rsid w:val="007142E0"/>
    <w:rsid w:val="0071618D"/>
    <w:rsid w:val="00725FA4"/>
    <w:rsid w:val="0072680F"/>
    <w:rsid w:val="00727B7B"/>
    <w:rsid w:val="007343EA"/>
    <w:rsid w:val="00734A2A"/>
    <w:rsid w:val="00735115"/>
    <w:rsid w:val="0073555D"/>
    <w:rsid w:val="00736A6B"/>
    <w:rsid w:val="0073712A"/>
    <w:rsid w:val="00737EE1"/>
    <w:rsid w:val="00737F10"/>
    <w:rsid w:val="00740446"/>
    <w:rsid w:val="00742503"/>
    <w:rsid w:val="00742B65"/>
    <w:rsid w:val="007438A9"/>
    <w:rsid w:val="007447C0"/>
    <w:rsid w:val="0074491E"/>
    <w:rsid w:val="00747121"/>
    <w:rsid w:val="00750E4E"/>
    <w:rsid w:val="0076247A"/>
    <w:rsid w:val="00765AF4"/>
    <w:rsid w:val="0076768F"/>
    <w:rsid w:val="00771817"/>
    <w:rsid w:val="00775964"/>
    <w:rsid w:val="007765FE"/>
    <w:rsid w:val="00777516"/>
    <w:rsid w:val="00784B31"/>
    <w:rsid w:val="00785DCD"/>
    <w:rsid w:val="00792978"/>
    <w:rsid w:val="00794E2E"/>
    <w:rsid w:val="00795BFB"/>
    <w:rsid w:val="0079603D"/>
    <w:rsid w:val="007B2756"/>
    <w:rsid w:val="007B2760"/>
    <w:rsid w:val="007B5922"/>
    <w:rsid w:val="007B616A"/>
    <w:rsid w:val="007C1157"/>
    <w:rsid w:val="007C652E"/>
    <w:rsid w:val="007C6982"/>
    <w:rsid w:val="007D0057"/>
    <w:rsid w:val="007E058B"/>
    <w:rsid w:val="007E0A73"/>
    <w:rsid w:val="007E1530"/>
    <w:rsid w:val="007E5749"/>
    <w:rsid w:val="007E60EC"/>
    <w:rsid w:val="007F0A17"/>
    <w:rsid w:val="007F7175"/>
    <w:rsid w:val="00801BF8"/>
    <w:rsid w:val="00805E3F"/>
    <w:rsid w:val="008066F0"/>
    <w:rsid w:val="00806C01"/>
    <w:rsid w:val="00807050"/>
    <w:rsid w:val="00812DCC"/>
    <w:rsid w:val="008148CC"/>
    <w:rsid w:val="0081575C"/>
    <w:rsid w:val="008211A4"/>
    <w:rsid w:val="00822D8E"/>
    <w:rsid w:val="008277AE"/>
    <w:rsid w:val="00833E79"/>
    <w:rsid w:val="00834DC9"/>
    <w:rsid w:val="008355C5"/>
    <w:rsid w:val="008419FE"/>
    <w:rsid w:val="00845EFB"/>
    <w:rsid w:val="00853CD3"/>
    <w:rsid w:val="00854351"/>
    <w:rsid w:val="00855F3F"/>
    <w:rsid w:val="00865601"/>
    <w:rsid w:val="00872A77"/>
    <w:rsid w:val="00873150"/>
    <w:rsid w:val="00875920"/>
    <w:rsid w:val="0087657D"/>
    <w:rsid w:val="00876AEA"/>
    <w:rsid w:val="00876CA9"/>
    <w:rsid w:val="008807D5"/>
    <w:rsid w:val="00880832"/>
    <w:rsid w:val="0088328A"/>
    <w:rsid w:val="00883AFD"/>
    <w:rsid w:val="00886EE1"/>
    <w:rsid w:val="0088727D"/>
    <w:rsid w:val="00887B90"/>
    <w:rsid w:val="008925C9"/>
    <w:rsid w:val="00893C17"/>
    <w:rsid w:val="008954C9"/>
    <w:rsid w:val="00897C75"/>
    <w:rsid w:val="008A645A"/>
    <w:rsid w:val="008A64E3"/>
    <w:rsid w:val="008A6CC8"/>
    <w:rsid w:val="008B00E6"/>
    <w:rsid w:val="008B194E"/>
    <w:rsid w:val="008B31DB"/>
    <w:rsid w:val="008B4E2F"/>
    <w:rsid w:val="008B573C"/>
    <w:rsid w:val="008C1130"/>
    <w:rsid w:val="008C21B0"/>
    <w:rsid w:val="008C2C5A"/>
    <w:rsid w:val="008C33D8"/>
    <w:rsid w:val="008C56A2"/>
    <w:rsid w:val="008D0E4E"/>
    <w:rsid w:val="008D18E6"/>
    <w:rsid w:val="008D2B41"/>
    <w:rsid w:val="008D2EE0"/>
    <w:rsid w:val="008D2FF2"/>
    <w:rsid w:val="008D502B"/>
    <w:rsid w:val="008D7A9B"/>
    <w:rsid w:val="008E0060"/>
    <w:rsid w:val="008E21E0"/>
    <w:rsid w:val="008E3AA1"/>
    <w:rsid w:val="008E3EFF"/>
    <w:rsid w:val="008E7091"/>
    <w:rsid w:val="008E734C"/>
    <w:rsid w:val="008E76AC"/>
    <w:rsid w:val="008F21F6"/>
    <w:rsid w:val="008F27EB"/>
    <w:rsid w:val="008F2B56"/>
    <w:rsid w:val="008F565A"/>
    <w:rsid w:val="008F610E"/>
    <w:rsid w:val="008F6F4D"/>
    <w:rsid w:val="00904856"/>
    <w:rsid w:val="00905646"/>
    <w:rsid w:val="00905CA9"/>
    <w:rsid w:val="00905CFA"/>
    <w:rsid w:val="00906440"/>
    <w:rsid w:val="00910DEB"/>
    <w:rsid w:val="00913ADF"/>
    <w:rsid w:val="00913DC8"/>
    <w:rsid w:val="00914601"/>
    <w:rsid w:val="00916168"/>
    <w:rsid w:val="00916D61"/>
    <w:rsid w:val="00922962"/>
    <w:rsid w:val="00927FD7"/>
    <w:rsid w:val="00931C63"/>
    <w:rsid w:val="00935660"/>
    <w:rsid w:val="00941698"/>
    <w:rsid w:val="00946544"/>
    <w:rsid w:val="00946A97"/>
    <w:rsid w:val="009503E6"/>
    <w:rsid w:val="0095126F"/>
    <w:rsid w:val="00951F79"/>
    <w:rsid w:val="00952614"/>
    <w:rsid w:val="009625F2"/>
    <w:rsid w:val="00963DA8"/>
    <w:rsid w:val="00964F16"/>
    <w:rsid w:val="00965C0B"/>
    <w:rsid w:val="00970485"/>
    <w:rsid w:val="00974AB5"/>
    <w:rsid w:val="00975314"/>
    <w:rsid w:val="0097632B"/>
    <w:rsid w:val="009763E9"/>
    <w:rsid w:val="00976BB8"/>
    <w:rsid w:val="00980FED"/>
    <w:rsid w:val="00981C84"/>
    <w:rsid w:val="00982465"/>
    <w:rsid w:val="009841D5"/>
    <w:rsid w:val="0098706D"/>
    <w:rsid w:val="00992A19"/>
    <w:rsid w:val="009935FB"/>
    <w:rsid w:val="00995A1B"/>
    <w:rsid w:val="009A2368"/>
    <w:rsid w:val="009A7B7F"/>
    <w:rsid w:val="009B09AF"/>
    <w:rsid w:val="009B27A6"/>
    <w:rsid w:val="009B6691"/>
    <w:rsid w:val="009C0063"/>
    <w:rsid w:val="009C0677"/>
    <w:rsid w:val="009C3BEE"/>
    <w:rsid w:val="009C6998"/>
    <w:rsid w:val="009D2BC7"/>
    <w:rsid w:val="009E7022"/>
    <w:rsid w:val="009F1672"/>
    <w:rsid w:val="009F2FD4"/>
    <w:rsid w:val="009F4118"/>
    <w:rsid w:val="009F4A54"/>
    <w:rsid w:val="009F4BEC"/>
    <w:rsid w:val="009F5874"/>
    <w:rsid w:val="009F6F54"/>
    <w:rsid w:val="00A00382"/>
    <w:rsid w:val="00A029A9"/>
    <w:rsid w:val="00A165DC"/>
    <w:rsid w:val="00A25FD7"/>
    <w:rsid w:val="00A26CC4"/>
    <w:rsid w:val="00A278E9"/>
    <w:rsid w:val="00A27B6F"/>
    <w:rsid w:val="00A310EC"/>
    <w:rsid w:val="00A4367A"/>
    <w:rsid w:val="00A43AFF"/>
    <w:rsid w:val="00A43CA4"/>
    <w:rsid w:val="00A44B63"/>
    <w:rsid w:val="00A46AC7"/>
    <w:rsid w:val="00A60C08"/>
    <w:rsid w:val="00A755E7"/>
    <w:rsid w:val="00A75B79"/>
    <w:rsid w:val="00A7793A"/>
    <w:rsid w:val="00A918E9"/>
    <w:rsid w:val="00A923AA"/>
    <w:rsid w:val="00A93BB1"/>
    <w:rsid w:val="00AA34DE"/>
    <w:rsid w:val="00AA4CC7"/>
    <w:rsid w:val="00AA5E8E"/>
    <w:rsid w:val="00AA63BE"/>
    <w:rsid w:val="00AB2C5F"/>
    <w:rsid w:val="00AB3051"/>
    <w:rsid w:val="00AB6CA7"/>
    <w:rsid w:val="00AC0A02"/>
    <w:rsid w:val="00AC3213"/>
    <w:rsid w:val="00AC38F2"/>
    <w:rsid w:val="00AD01E4"/>
    <w:rsid w:val="00AD083C"/>
    <w:rsid w:val="00AD0858"/>
    <w:rsid w:val="00AD0BD2"/>
    <w:rsid w:val="00AD4B14"/>
    <w:rsid w:val="00AD63FD"/>
    <w:rsid w:val="00AE1881"/>
    <w:rsid w:val="00AE2BC9"/>
    <w:rsid w:val="00AE7340"/>
    <w:rsid w:val="00AF0BCC"/>
    <w:rsid w:val="00AF1BBD"/>
    <w:rsid w:val="00AF221E"/>
    <w:rsid w:val="00AF2491"/>
    <w:rsid w:val="00AF2EDE"/>
    <w:rsid w:val="00AF4880"/>
    <w:rsid w:val="00B004BE"/>
    <w:rsid w:val="00B01240"/>
    <w:rsid w:val="00B01CD6"/>
    <w:rsid w:val="00B10207"/>
    <w:rsid w:val="00B1360B"/>
    <w:rsid w:val="00B141E7"/>
    <w:rsid w:val="00B1534C"/>
    <w:rsid w:val="00B153A4"/>
    <w:rsid w:val="00B15D06"/>
    <w:rsid w:val="00B26CA0"/>
    <w:rsid w:val="00B311C3"/>
    <w:rsid w:val="00B351B4"/>
    <w:rsid w:val="00B353B4"/>
    <w:rsid w:val="00B40971"/>
    <w:rsid w:val="00B447E5"/>
    <w:rsid w:val="00B468CA"/>
    <w:rsid w:val="00B46BCA"/>
    <w:rsid w:val="00B478AA"/>
    <w:rsid w:val="00B53A10"/>
    <w:rsid w:val="00B634EA"/>
    <w:rsid w:val="00B642EA"/>
    <w:rsid w:val="00B65873"/>
    <w:rsid w:val="00B65E78"/>
    <w:rsid w:val="00B70245"/>
    <w:rsid w:val="00B70679"/>
    <w:rsid w:val="00B70AB3"/>
    <w:rsid w:val="00B71BE8"/>
    <w:rsid w:val="00B75C27"/>
    <w:rsid w:val="00B75E93"/>
    <w:rsid w:val="00B7644C"/>
    <w:rsid w:val="00B76BE5"/>
    <w:rsid w:val="00B77653"/>
    <w:rsid w:val="00B8290B"/>
    <w:rsid w:val="00B84776"/>
    <w:rsid w:val="00B87806"/>
    <w:rsid w:val="00B87EC9"/>
    <w:rsid w:val="00B91B77"/>
    <w:rsid w:val="00B97E6D"/>
    <w:rsid w:val="00BA25F6"/>
    <w:rsid w:val="00BA3CCB"/>
    <w:rsid w:val="00BA6952"/>
    <w:rsid w:val="00BA7C4B"/>
    <w:rsid w:val="00BB02A5"/>
    <w:rsid w:val="00BB08A8"/>
    <w:rsid w:val="00BB1822"/>
    <w:rsid w:val="00BB4096"/>
    <w:rsid w:val="00BB6211"/>
    <w:rsid w:val="00BC38FD"/>
    <w:rsid w:val="00BC4506"/>
    <w:rsid w:val="00BC4C75"/>
    <w:rsid w:val="00BC5B7E"/>
    <w:rsid w:val="00BC5C7E"/>
    <w:rsid w:val="00BC7A94"/>
    <w:rsid w:val="00BC7E5B"/>
    <w:rsid w:val="00BE4720"/>
    <w:rsid w:val="00BF3A7F"/>
    <w:rsid w:val="00BF5B71"/>
    <w:rsid w:val="00C01E61"/>
    <w:rsid w:val="00C034CB"/>
    <w:rsid w:val="00C050A4"/>
    <w:rsid w:val="00C051A8"/>
    <w:rsid w:val="00C054BC"/>
    <w:rsid w:val="00C0581F"/>
    <w:rsid w:val="00C100E9"/>
    <w:rsid w:val="00C103D3"/>
    <w:rsid w:val="00C10BF5"/>
    <w:rsid w:val="00C12B46"/>
    <w:rsid w:val="00C14A4F"/>
    <w:rsid w:val="00C165F2"/>
    <w:rsid w:val="00C1677E"/>
    <w:rsid w:val="00C16EF4"/>
    <w:rsid w:val="00C17897"/>
    <w:rsid w:val="00C2797E"/>
    <w:rsid w:val="00C409D5"/>
    <w:rsid w:val="00C4282F"/>
    <w:rsid w:val="00C429E2"/>
    <w:rsid w:val="00C435C3"/>
    <w:rsid w:val="00C45836"/>
    <w:rsid w:val="00C462FD"/>
    <w:rsid w:val="00C502C0"/>
    <w:rsid w:val="00C5095A"/>
    <w:rsid w:val="00C51B82"/>
    <w:rsid w:val="00C527FD"/>
    <w:rsid w:val="00C54A65"/>
    <w:rsid w:val="00C6234B"/>
    <w:rsid w:val="00C63EAE"/>
    <w:rsid w:val="00C73260"/>
    <w:rsid w:val="00C7629F"/>
    <w:rsid w:val="00C8049D"/>
    <w:rsid w:val="00C81C75"/>
    <w:rsid w:val="00C83553"/>
    <w:rsid w:val="00C8661B"/>
    <w:rsid w:val="00C87143"/>
    <w:rsid w:val="00C87D79"/>
    <w:rsid w:val="00C9105E"/>
    <w:rsid w:val="00C91212"/>
    <w:rsid w:val="00C91F76"/>
    <w:rsid w:val="00C9746F"/>
    <w:rsid w:val="00CA139A"/>
    <w:rsid w:val="00CA2899"/>
    <w:rsid w:val="00CA3A3D"/>
    <w:rsid w:val="00CA642F"/>
    <w:rsid w:val="00CA7617"/>
    <w:rsid w:val="00CA77FB"/>
    <w:rsid w:val="00CB16DA"/>
    <w:rsid w:val="00CB379B"/>
    <w:rsid w:val="00CB3997"/>
    <w:rsid w:val="00CB5DD0"/>
    <w:rsid w:val="00CC0D34"/>
    <w:rsid w:val="00CC239F"/>
    <w:rsid w:val="00CC36C0"/>
    <w:rsid w:val="00CC445F"/>
    <w:rsid w:val="00CC4ED2"/>
    <w:rsid w:val="00CC51D4"/>
    <w:rsid w:val="00CC5F73"/>
    <w:rsid w:val="00CC65DA"/>
    <w:rsid w:val="00CD1573"/>
    <w:rsid w:val="00CD2B14"/>
    <w:rsid w:val="00CD5E2B"/>
    <w:rsid w:val="00CD5F07"/>
    <w:rsid w:val="00CD713C"/>
    <w:rsid w:val="00CD7676"/>
    <w:rsid w:val="00CE00F2"/>
    <w:rsid w:val="00CF0D18"/>
    <w:rsid w:val="00CF21B9"/>
    <w:rsid w:val="00CF39E4"/>
    <w:rsid w:val="00CF4FF3"/>
    <w:rsid w:val="00CF5F5B"/>
    <w:rsid w:val="00CF6BF9"/>
    <w:rsid w:val="00D00E5A"/>
    <w:rsid w:val="00D03800"/>
    <w:rsid w:val="00D0409A"/>
    <w:rsid w:val="00D065D3"/>
    <w:rsid w:val="00D14C94"/>
    <w:rsid w:val="00D22290"/>
    <w:rsid w:val="00D22776"/>
    <w:rsid w:val="00D23890"/>
    <w:rsid w:val="00D24EA0"/>
    <w:rsid w:val="00D275D7"/>
    <w:rsid w:val="00D27969"/>
    <w:rsid w:val="00D3164A"/>
    <w:rsid w:val="00D318DC"/>
    <w:rsid w:val="00D321BF"/>
    <w:rsid w:val="00D342A6"/>
    <w:rsid w:val="00D3463A"/>
    <w:rsid w:val="00D35E58"/>
    <w:rsid w:val="00D365E8"/>
    <w:rsid w:val="00D36D1A"/>
    <w:rsid w:val="00D3780B"/>
    <w:rsid w:val="00D404D9"/>
    <w:rsid w:val="00D4080E"/>
    <w:rsid w:val="00D40BEF"/>
    <w:rsid w:val="00D448CB"/>
    <w:rsid w:val="00D45CA6"/>
    <w:rsid w:val="00D45DF6"/>
    <w:rsid w:val="00D464BF"/>
    <w:rsid w:val="00D53201"/>
    <w:rsid w:val="00D53E26"/>
    <w:rsid w:val="00D55FB9"/>
    <w:rsid w:val="00D56709"/>
    <w:rsid w:val="00D601C4"/>
    <w:rsid w:val="00D60BE4"/>
    <w:rsid w:val="00D66E45"/>
    <w:rsid w:val="00D73472"/>
    <w:rsid w:val="00D73BCE"/>
    <w:rsid w:val="00D80DDD"/>
    <w:rsid w:val="00D82A14"/>
    <w:rsid w:val="00D8712E"/>
    <w:rsid w:val="00D877BC"/>
    <w:rsid w:val="00D967A6"/>
    <w:rsid w:val="00DA2C97"/>
    <w:rsid w:val="00DA3E0B"/>
    <w:rsid w:val="00DA3F77"/>
    <w:rsid w:val="00DB44E6"/>
    <w:rsid w:val="00DC2DC9"/>
    <w:rsid w:val="00DC4F83"/>
    <w:rsid w:val="00DC5BAA"/>
    <w:rsid w:val="00DD4F0E"/>
    <w:rsid w:val="00DD51EA"/>
    <w:rsid w:val="00DE515A"/>
    <w:rsid w:val="00DE65E0"/>
    <w:rsid w:val="00DF0BF0"/>
    <w:rsid w:val="00DF3CA2"/>
    <w:rsid w:val="00DF3E56"/>
    <w:rsid w:val="00DF3EE6"/>
    <w:rsid w:val="00DF50B8"/>
    <w:rsid w:val="00DF5B9B"/>
    <w:rsid w:val="00DF6D85"/>
    <w:rsid w:val="00E01463"/>
    <w:rsid w:val="00E0316A"/>
    <w:rsid w:val="00E05E0A"/>
    <w:rsid w:val="00E060BE"/>
    <w:rsid w:val="00E069DE"/>
    <w:rsid w:val="00E06AEF"/>
    <w:rsid w:val="00E10794"/>
    <w:rsid w:val="00E130FE"/>
    <w:rsid w:val="00E159AB"/>
    <w:rsid w:val="00E15B9C"/>
    <w:rsid w:val="00E15EA9"/>
    <w:rsid w:val="00E2129B"/>
    <w:rsid w:val="00E23B97"/>
    <w:rsid w:val="00E33FA3"/>
    <w:rsid w:val="00E42E08"/>
    <w:rsid w:val="00E43515"/>
    <w:rsid w:val="00E449B9"/>
    <w:rsid w:val="00E46432"/>
    <w:rsid w:val="00E46BB3"/>
    <w:rsid w:val="00E52189"/>
    <w:rsid w:val="00E52279"/>
    <w:rsid w:val="00E534CF"/>
    <w:rsid w:val="00E53D0C"/>
    <w:rsid w:val="00E56969"/>
    <w:rsid w:val="00E57E49"/>
    <w:rsid w:val="00E60C09"/>
    <w:rsid w:val="00E60F40"/>
    <w:rsid w:val="00E61367"/>
    <w:rsid w:val="00E61576"/>
    <w:rsid w:val="00E63388"/>
    <w:rsid w:val="00E70BF1"/>
    <w:rsid w:val="00E71132"/>
    <w:rsid w:val="00E7546B"/>
    <w:rsid w:val="00E76D75"/>
    <w:rsid w:val="00E81CB4"/>
    <w:rsid w:val="00E8221B"/>
    <w:rsid w:val="00E8585B"/>
    <w:rsid w:val="00E85F95"/>
    <w:rsid w:val="00E86F6A"/>
    <w:rsid w:val="00E920F7"/>
    <w:rsid w:val="00E93137"/>
    <w:rsid w:val="00E943AE"/>
    <w:rsid w:val="00E950FB"/>
    <w:rsid w:val="00E95942"/>
    <w:rsid w:val="00E971C6"/>
    <w:rsid w:val="00E97940"/>
    <w:rsid w:val="00EA0064"/>
    <w:rsid w:val="00EA142B"/>
    <w:rsid w:val="00EA24A6"/>
    <w:rsid w:val="00EA3F15"/>
    <w:rsid w:val="00EA472E"/>
    <w:rsid w:val="00EA4C01"/>
    <w:rsid w:val="00EA67AE"/>
    <w:rsid w:val="00EA7847"/>
    <w:rsid w:val="00EB1590"/>
    <w:rsid w:val="00EB1657"/>
    <w:rsid w:val="00EB41C2"/>
    <w:rsid w:val="00EB4C2F"/>
    <w:rsid w:val="00EB72BA"/>
    <w:rsid w:val="00EC5AAB"/>
    <w:rsid w:val="00ED0E88"/>
    <w:rsid w:val="00EE2E6E"/>
    <w:rsid w:val="00EE463E"/>
    <w:rsid w:val="00EE534C"/>
    <w:rsid w:val="00EF0AFF"/>
    <w:rsid w:val="00F0055F"/>
    <w:rsid w:val="00F026F9"/>
    <w:rsid w:val="00F03DF9"/>
    <w:rsid w:val="00F0759E"/>
    <w:rsid w:val="00F13E8E"/>
    <w:rsid w:val="00F16A43"/>
    <w:rsid w:val="00F16BFC"/>
    <w:rsid w:val="00F16EC7"/>
    <w:rsid w:val="00F22ACC"/>
    <w:rsid w:val="00F254D1"/>
    <w:rsid w:val="00F27297"/>
    <w:rsid w:val="00F31B8B"/>
    <w:rsid w:val="00F33387"/>
    <w:rsid w:val="00F34756"/>
    <w:rsid w:val="00F4236B"/>
    <w:rsid w:val="00F430A1"/>
    <w:rsid w:val="00F44040"/>
    <w:rsid w:val="00F45114"/>
    <w:rsid w:val="00F45541"/>
    <w:rsid w:val="00F46780"/>
    <w:rsid w:val="00F50250"/>
    <w:rsid w:val="00F505A9"/>
    <w:rsid w:val="00F52DA3"/>
    <w:rsid w:val="00F616A3"/>
    <w:rsid w:val="00F6430F"/>
    <w:rsid w:val="00F67D3A"/>
    <w:rsid w:val="00F71CDA"/>
    <w:rsid w:val="00F7694F"/>
    <w:rsid w:val="00F76A7C"/>
    <w:rsid w:val="00F77FDF"/>
    <w:rsid w:val="00F80FD4"/>
    <w:rsid w:val="00F821A3"/>
    <w:rsid w:val="00F82CA4"/>
    <w:rsid w:val="00F83667"/>
    <w:rsid w:val="00F87256"/>
    <w:rsid w:val="00F90E62"/>
    <w:rsid w:val="00F9314A"/>
    <w:rsid w:val="00F93D24"/>
    <w:rsid w:val="00F940B2"/>
    <w:rsid w:val="00F946D0"/>
    <w:rsid w:val="00F94704"/>
    <w:rsid w:val="00FA1BB9"/>
    <w:rsid w:val="00FA1C49"/>
    <w:rsid w:val="00FA211C"/>
    <w:rsid w:val="00FA28B4"/>
    <w:rsid w:val="00FA2B45"/>
    <w:rsid w:val="00FA34FD"/>
    <w:rsid w:val="00FA4E1D"/>
    <w:rsid w:val="00FA6DB0"/>
    <w:rsid w:val="00FB0E6D"/>
    <w:rsid w:val="00FB307E"/>
    <w:rsid w:val="00FB4010"/>
    <w:rsid w:val="00FC174D"/>
    <w:rsid w:val="00FC3705"/>
    <w:rsid w:val="00FC4907"/>
    <w:rsid w:val="00FC58EF"/>
    <w:rsid w:val="00FC7584"/>
    <w:rsid w:val="00FD2694"/>
    <w:rsid w:val="00FD2EE5"/>
    <w:rsid w:val="00FD33DF"/>
    <w:rsid w:val="00FD3677"/>
    <w:rsid w:val="00FD54D9"/>
    <w:rsid w:val="00FD75F1"/>
    <w:rsid w:val="00FE1B4B"/>
    <w:rsid w:val="00FE39D7"/>
    <w:rsid w:val="00FF01EC"/>
    <w:rsid w:val="00FF3D49"/>
    <w:rsid w:val="00FF5B11"/>
    <w:rsid w:val="00FF5D55"/>
    <w:rsid w:val="00FF6A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3334">
      <w:bodyDiv w:val="1"/>
      <w:marLeft w:val="0"/>
      <w:marRight w:val="0"/>
      <w:marTop w:val="0"/>
      <w:marBottom w:val="0"/>
      <w:divBdr>
        <w:top w:val="none" w:sz="0" w:space="0" w:color="auto"/>
        <w:left w:val="none" w:sz="0" w:space="0" w:color="auto"/>
        <w:bottom w:val="none" w:sz="0" w:space="0" w:color="auto"/>
        <w:right w:val="none" w:sz="0" w:space="0" w:color="auto"/>
      </w:divBdr>
    </w:div>
    <w:div w:id="442923938">
      <w:bodyDiv w:val="1"/>
      <w:marLeft w:val="0"/>
      <w:marRight w:val="0"/>
      <w:marTop w:val="0"/>
      <w:marBottom w:val="0"/>
      <w:divBdr>
        <w:top w:val="none" w:sz="0" w:space="0" w:color="auto"/>
        <w:left w:val="none" w:sz="0" w:space="0" w:color="auto"/>
        <w:bottom w:val="none" w:sz="0" w:space="0" w:color="auto"/>
        <w:right w:val="none" w:sz="0" w:space="0" w:color="auto"/>
      </w:divBdr>
    </w:div>
    <w:div w:id="1330475220">
      <w:bodyDiv w:val="1"/>
      <w:marLeft w:val="0"/>
      <w:marRight w:val="0"/>
      <w:marTop w:val="0"/>
      <w:marBottom w:val="0"/>
      <w:divBdr>
        <w:top w:val="none" w:sz="0" w:space="0" w:color="auto"/>
        <w:left w:val="none" w:sz="0" w:space="0" w:color="auto"/>
        <w:bottom w:val="none" w:sz="0" w:space="0" w:color="auto"/>
        <w:right w:val="none" w:sz="0" w:space="0" w:color="auto"/>
      </w:divBdr>
    </w:div>
    <w:div w:id="1581984772">
      <w:bodyDiv w:val="1"/>
      <w:marLeft w:val="0"/>
      <w:marRight w:val="0"/>
      <w:marTop w:val="0"/>
      <w:marBottom w:val="0"/>
      <w:divBdr>
        <w:top w:val="none" w:sz="0" w:space="0" w:color="auto"/>
        <w:left w:val="none" w:sz="0" w:space="0" w:color="auto"/>
        <w:bottom w:val="none" w:sz="0" w:space="0" w:color="auto"/>
        <w:right w:val="none" w:sz="0" w:space="0" w:color="auto"/>
      </w:divBdr>
    </w:div>
    <w:div w:id="2069954635">
      <w:bodyDiv w:val="1"/>
      <w:marLeft w:val="0"/>
      <w:marRight w:val="0"/>
      <w:marTop w:val="0"/>
      <w:marBottom w:val="0"/>
      <w:divBdr>
        <w:top w:val="none" w:sz="0" w:space="0" w:color="auto"/>
        <w:left w:val="none" w:sz="0" w:space="0" w:color="auto"/>
        <w:bottom w:val="none" w:sz="0" w:space="0" w:color="auto"/>
        <w:right w:val="none" w:sz="0" w:space="0" w:color="auto"/>
      </w:divBdr>
    </w:div>
    <w:div w:id="21306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76415-F8DD-4E81-A1FD-509938092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4</Pages>
  <Words>1293</Words>
  <Characters>7115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2016-03-22T18:15:00Z</cp:lastPrinted>
  <dcterms:created xsi:type="dcterms:W3CDTF">2016-03-22T22:16:00Z</dcterms:created>
  <dcterms:modified xsi:type="dcterms:W3CDTF">2016-03-22T22:16:00Z</dcterms:modified>
</cp:coreProperties>
</file>