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CB300C"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24114043"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720524">
        <w:rPr>
          <w:rFonts w:ascii="Bookman Old Style" w:eastAsia="Times New Roman" w:hAnsi="Bookman Old Style" w:cs="Arial"/>
          <w:b/>
          <w:snapToGrid w:val="0"/>
          <w:color w:val="000000"/>
          <w:spacing w:val="20"/>
          <w:sz w:val="24"/>
          <w:szCs w:val="24"/>
          <w:lang w:val="es-ES_tradnl" w:eastAsia="es-ES"/>
        </w:rPr>
        <w:t>9</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Default="00A33677" w:rsidP="005C1BCA">
      <w:pPr>
        <w:spacing w:after="0" w:line="240" w:lineRule="auto"/>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00C125D2" w:rsidRPr="004075B5">
        <w:rPr>
          <w:rFonts w:ascii="Bookman Old Style" w:eastAsia="Times New Roman" w:hAnsi="Bookman Old Style" w:cs="Times New Roman"/>
          <w:sz w:val="24"/>
          <w:szCs w:val="24"/>
          <w:lang w:val="es-ES" w:eastAsia="es-ES"/>
        </w:rPr>
        <w:t>Termogas Soluciones Energéticas</w:t>
      </w:r>
      <w:r>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S.A.</w:t>
      </w:r>
      <w:r w:rsidR="00C125D2">
        <w:rPr>
          <w:rFonts w:ascii="Bookman Old Style" w:eastAsia="Times New Roman" w:hAnsi="Bookman Old Style" w:cs="Times New Roman"/>
          <w:sz w:val="24"/>
          <w:szCs w:val="24"/>
          <w:lang w:val="es-ES" w:eastAsia="es-ES"/>
        </w:rPr>
        <w:t>S.</w:t>
      </w:r>
      <w:r w:rsidRPr="00A33677">
        <w:rPr>
          <w:rFonts w:ascii="Bookman Old Style" w:eastAsia="Times New Roman" w:hAnsi="Bookman Old Style" w:cs="Times New Roman"/>
          <w:sz w:val="24"/>
          <w:szCs w:val="24"/>
          <w:lang w:val="es-ES" w:eastAsia="es-ES"/>
        </w:rPr>
        <w:t xml:space="preserve"> E.S.P. contra la Resolución C</w:t>
      </w:r>
      <w:r>
        <w:rPr>
          <w:rFonts w:ascii="Bookman Old Style" w:eastAsia="Times New Roman" w:hAnsi="Bookman Old Style" w:cs="Times New Roman"/>
          <w:sz w:val="24"/>
          <w:szCs w:val="24"/>
          <w:lang w:val="es-ES" w:eastAsia="es-ES"/>
        </w:rPr>
        <w:t>REG 048 de 2019</w:t>
      </w: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Default="00A33677" w:rsidP="00A33677">
      <w:pPr>
        <w:pStyle w:val="Textoindependiente2"/>
        <w:spacing w:after="0" w:line="240" w:lineRule="auto"/>
        <w:ind w:left="578" w:right="-142" w:hanging="720"/>
        <w:jc w:val="both"/>
        <w:rPr>
          <w:rFonts w:ascii="Bookman Old Style" w:hAnsi="Bookman Old Style"/>
          <w:b/>
        </w:rPr>
      </w:pPr>
    </w:p>
    <w:p w:rsidR="00A33677" w:rsidRPr="0012236E" w:rsidRDefault="00A33677" w:rsidP="00A33677">
      <w:pPr>
        <w:pStyle w:val="Textoindependiente2"/>
        <w:spacing w:after="0" w:line="240" w:lineRule="auto"/>
        <w:ind w:left="578" w:right="-142" w:hanging="720"/>
        <w:jc w:val="both"/>
        <w:rPr>
          <w:rFonts w:ascii="Bookman Old Style" w:hAnsi="Bookman Old Style"/>
          <w:b/>
        </w:rPr>
      </w:pPr>
      <w:r w:rsidRPr="0012236E">
        <w:rPr>
          <w:rFonts w:ascii="Bookman Old Style" w:hAnsi="Bookman Old Style"/>
          <w:b/>
        </w:rPr>
        <w:t>I. ANTECEDENTES</w:t>
      </w:r>
    </w:p>
    <w:p w:rsidR="00A33677" w:rsidRDefault="00A33677" w:rsidP="00DE5054">
      <w:pPr>
        <w:spacing w:after="0" w:line="240" w:lineRule="auto"/>
        <w:jc w:val="both"/>
        <w:rPr>
          <w:rFonts w:ascii="Bookman Old Style" w:eastAsia="Times New Roman" w:hAnsi="Bookman Old Style" w:cs="Arial"/>
          <w:spacing w:val="-5"/>
          <w:sz w:val="24"/>
          <w:szCs w:val="24"/>
        </w:rPr>
      </w:pPr>
    </w:p>
    <w:p w:rsidR="00DE5054" w:rsidRPr="005C1BCA"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ejercicio de sus facultades regulatorias previstas entre otras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xml:space="preserve">, la Comisión de Regulación de Energía y Gas – </w:t>
      </w:r>
      <w:r w:rsidRPr="00A33677">
        <w:rPr>
          <w:rFonts w:ascii="Bookman Old Style" w:hAnsi="Bookman Old Style" w:cs="Arial"/>
          <w:spacing w:val="-5"/>
          <w:lang w:val="es-CO" w:eastAsia="en-US"/>
        </w:rPr>
        <w:t>CREG</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5C1BCA">
        <w:rPr>
          <w:rFonts w:ascii="Bookman Old Style" w:hAnsi="Bookman Old Style" w:cs="Arial"/>
          <w:spacing w:val="-5"/>
        </w:rPr>
        <w:t>En dicho acto administrativo, así como en su documento soporte</w:t>
      </w:r>
      <w:r>
        <w:rPr>
          <w:rFonts w:ascii="Bookman Old Style" w:hAnsi="Bookman Old Style" w:cs="Arial"/>
          <w:spacing w:val="-5"/>
        </w:rPr>
        <w:t>,</w:t>
      </w:r>
      <w:r w:rsidRPr="005C1BCA">
        <w:rPr>
          <w:rFonts w:ascii="Bookman Old Style" w:hAnsi="Bookman Old Style" w:cs="Arial"/>
          <w:spacing w:val="-5"/>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FB2E5A">
        <w:rPr>
          <w:rFonts w:ascii="Bookman Old Style" w:hAnsi="Bookman Old Style" w:cs="Arial"/>
          <w:spacing w:val="-5"/>
        </w:rPr>
        <w:lastRenderedPageBreak/>
        <w:t>con lo anterior, el artículo 8 de la Resolución CREG 063 de 2016</w:t>
      </w:r>
      <w:r w:rsidR="007F3B34">
        <w:rPr>
          <w:rFonts w:ascii="Bookman Old Style" w:hAnsi="Bookman Old Style" w:cs="Arial"/>
          <w:spacing w:val="-5"/>
        </w:rPr>
        <w:t>,</w:t>
      </w:r>
      <w:r w:rsidR="007F3B34" w:rsidRPr="00A33677">
        <w:rPr>
          <w:rFonts w:ascii="Bookman Old Style" w:hAnsi="Bookman Old Style" w:cs="Arial"/>
          <w:spacing w:val="-5"/>
        </w:rPr>
        <w:t xml:space="preserve"> </w:t>
      </w:r>
      <w:r w:rsidR="007F3B34" w:rsidRPr="007F3B34">
        <w:rPr>
          <w:rFonts w:ascii="Bookman Old Style" w:hAnsi="Bookman Old Style" w:cs="Arial"/>
          <w:spacing w:val="-5"/>
        </w:rPr>
        <w:t>modificado por el artículo 1 de la Resolución CREG 180 de 2017, establece lo siguiente:</w:t>
      </w:r>
    </w:p>
    <w:p w:rsidR="00A33677" w:rsidRPr="00FB2E5A" w:rsidRDefault="00A33677" w:rsidP="00A33677">
      <w:pPr>
        <w:pStyle w:val="Textoindependiente2"/>
        <w:spacing w:after="0" w:line="240" w:lineRule="auto"/>
        <w:ind w:left="-142" w:right="-142"/>
        <w:jc w:val="both"/>
        <w:rPr>
          <w:rFonts w:ascii="Bookman Old Style" w:hAnsi="Bookman Old Style" w:cs="Arial"/>
          <w:spacing w:val="-5"/>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8. Capacidad de compras. </w:t>
      </w:r>
      <w:r w:rsidRPr="007F3FC2">
        <w:rPr>
          <w:rFonts w:ascii="Bookman Old Style" w:eastAsia="Times New Roman" w:hAnsi="Bookman Old Style" w:cs="Arial"/>
          <w:i/>
          <w:lang w:val="es-ES" w:eastAsia="es-ES"/>
        </w:rPr>
        <w:t>La capacidad disponible de compra de los distribuidores que adquieran GLP en el mercado mayorista se determinará así:</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7F3FC2" w:rsidP="00F913D4">
      <w:pPr>
        <w:spacing w:after="0" w:line="240" w:lineRule="auto"/>
        <w:ind w:left="1134" w:right="284"/>
        <w:rPr>
          <w:rFonts w:ascii="Bookman Old Style" w:eastAsiaTheme="minorEastAsia" w:hAnsi="Bookman Old Style" w:cs="Times New Roman"/>
          <w:i/>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7F3FC2" w:rsidRDefault="00DE5054" w:rsidP="00F913D4">
      <w:pPr>
        <w:spacing w:after="0" w:line="240" w:lineRule="auto"/>
        <w:ind w:left="567" w:right="284"/>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p w:rsidR="00DE5054" w:rsidRPr="007F3FC2" w:rsidRDefault="00DE5054" w:rsidP="00DE5054">
      <w:pPr>
        <w:spacing w:after="0" w:line="240" w:lineRule="auto"/>
        <w:ind w:left="567"/>
        <w:rPr>
          <w:rFonts w:ascii="Bookman Old Style" w:eastAsiaTheme="minorEastAsia" w:hAnsi="Bookman Old Style" w:cs="Times New Roman"/>
          <w:i/>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702"/>
      </w:tblGrid>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disponible de compra del distribuidor i, para el periodo de compra t, calculada para el mes m, medida en kilogramos.</w:t>
            </w:r>
          </w:p>
        </w:tc>
      </w:tr>
      <w:tr w:rsidR="00DE5054" w:rsidRPr="007F3FC2" w:rsidTr="00F913D4">
        <w:tc>
          <w:tcPr>
            <w:tcW w:w="1236" w:type="dxa"/>
          </w:tcPr>
          <w:p w:rsidR="00DE5054" w:rsidRPr="007F3FC2" w:rsidRDefault="00CB300C"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ind w:left="34" w:firstLine="4"/>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w:t>
            </w:r>
          </w:p>
        </w:tc>
      </w:tr>
      <w:tr w:rsidR="00DE5054" w:rsidRPr="007F3FC2" w:rsidTr="00F913D4">
        <w:tc>
          <w:tcPr>
            <w:tcW w:w="1236" w:type="dxa"/>
          </w:tcPr>
          <w:p w:rsidR="00DE5054" w:rsidRPr="007F3FC2" w:rsidRDefault="00CB300C"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7F3FC2" w:rsidTr="00F913D4">
        <w:tc>
          <w:tcPr>
            <w:tcW w:w="1236" w:type="dxa"/>
          </w:tcPr>
          <w:p w:rsidR="00DE5054" w:rsidRPr="007F3FC2" w:rsidRDefault="00CB300C" w:rsidP="003F59E4">
            <w:pPr>
              <w:rPr>
                <w:rFonts w:ascii="Bookman Old Style" w:eastAsiaTheme="minorEastAsia" w:hAnsi="Bookman Old Style"/>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7F3FC2">
              <w:rPr>
                <w:rFonts w:ascii="Bookman Old Style" w:eastAsiaTheme="minorEastAsia" w:hAnsi="Bookman Old Style"/>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7F3FC2">
              <w:rPr>
                <w:rFonts w:ascii="Bookman Old Style" w:eastAsiaTheme="minorEastAsia" w:hAnsi="Bookman Old Style"/>
                <w:i/>
                <w:sz w:val="22"/>
                <w:szCs w:val="22"/>
                <w:lang w:val="es-ES" w:eastAsia="es-ES"/>
              </w:rPr>
              <w:t xml:space="preserve"> será igual a cero (0).</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m</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Mes de cálculo de la capacidad disponible de compra.</w:t>
            </w:r>
          </w:p>
        </w:tc>
      </w:tr>
      <w:tr w:rsidR="00DE5054" w:rsidRPr="007F3FC2" w:rsidTr="00F913D4">
        <w:tc>
          <w:tcPr>
            <w:tcW w:w="1236" w:type="dxa"/>
          </w:tcPr>
          <w:p w:rsidR="00DE5054" w:rsidRPr="007F3FC2" w:rsidRDefault="007F3FC2" w:rsidP="003F59E4">
            <w:pPr>
              <w:rPr>
                <w:rFonts w:ascii="Bookman Old Style" w:eastAsiaTheme="minorEastAsia" w:hAnsi="Bookman Old Style"/>
                <w:i/>
                <w:sz w:val="22"/>
                <w:szCs w:val="22"/>
                <w:lang w:val="es-ES" w:eastAsia="es-ES"/>
              </w:rPr>
            </w:pPr>
            <m:oMath>
              <m:r>
                <w:rPr>
                  <w:rFonts w:ascii="Cambria Math" w:hAnsi="Cambria Math"/>
                  <w:sz w:val="22"/>
                  <w:szCs w:val="22"/>
                  <w:lang w:val="es-ES" w:eastAsia="es-ES"/>
                </w:rPr>
                <m:t>t</m:t>
              </m:r>
            </m:oMath>
            <w:r w:rsidR="00DE5054" w:rsidRPr="007F3FC2">
              <w:rPr>
                <w:rFonts w:ascii="Bookman Old Style" w:hAnsi="Bookman Old Style" w:cs="Arial"/>
                <w:i/>
                <w:sz w:val="22"/>
                <w:szCs w:val="22"/>
                <w:lang w:val="es-ES" w:eastAsia="es-ES"/>
              </w:rPr>
              <w:t>:</w:t>
            </w:r>
          </w:p>
        </w:tc>
        <w:tc>
          <w:tcPr>
            <w:tcW w:w="6702" w:type="dxa"/>
          </w:tcPr>
          <w:p w:rsidR="00DE5054" w:rsidRPr="007F3FC2" w:rsidRDefault="00DE5054" w:rsidP="003F59E4">
            <w:pPr>
              <w:jc w:val="both"/>
              <w:rPr>
                <w:rFonts w:ascii="Bookman Old Style" w:eastAsiaTheme="minorEastAsia" w:hAnsi="Bookman Old Style"/>
                <w:i/>
                <w:sz w:val="22"/>
                <w:szCs w:val="22"/>
                <w:lang w:val="es-ES" w:eastAsia="es-ES"/>
              </w:rPr>
            </w:pPr>
            <w:r w:rsidRPr="007F3FC2">
              <w:rPr>
                <w:rFonts w:ascii="Bookman Old Style" w:hAnsi="Bookman Old Style" w:cs="Arial"/>
                <w:i/>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7F3FC2">
              <w:rPr>
                <w:rFonts w:ascii="Bookman Old Style" w:eastAsiaTheme="minorEastAsia" w:hAnsi="Bookman Old Style"/>
                <w:i/>
                <w:sz w:val="22"/>
                <w:szCs w:val="22"/>
                <w:lang w:val="es-ES" w:eastAsia="es-ES"/>
              </w:rPr>
              <w:t>.</w:t>
            </w:r>
          </w:p>
        </w:tc>
      </w:tr>
    </w:tbl>
    <w:p w:rsidR="00DE5054" w:rsidRPr="007F3FC2" w:rsidRDefault="00DE5054" w:rsidP="00DE5054">
      <w:pPr>
        <w:spacing w:after="0" w:line="240" w:lineRule="auto"/>
        <w:ind w:left="1134"/>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heme="minorEastAsia" w:hAnsi="Bookman Old Style" w:cs="Times New Roman"/>
          <w:b/>
          <w:i/>
          <w:lang w:val="es-ES" w:eastAsia="es-ES"/>
        </w:rPr>
      </w:pPr>
      <w:r w:rsidRPr="007F3FC2">
        <w:rPr>
          <w:rFonts w:ascii="Bookman Old Style" w:eastAsiaTheme="minorEastAsia" w:hAnsi="Bookman Old Style" w:cs="Times New Roman"/>
          <w:b/>
          <w:i/>
          <w:lang w:val="es-ES" w:eastAsia="es-ES"/>
        </w:rPr>
        <w:t xml:space="preserve">Parágrafo 1. </w:t>
      </w:r>
      <w:r w:rsidRPr="007F3FC2">
        <w:rPr>
          <w:rFonts w:ascii="Bookman Old Style" w:eastAsiaTheme="minorEastAsia" w:hAnsi="Bookman Old Style" w:cs="Times New Roman"/>
          <w:i/>
          <w:lang w:val="es-ES" w:eastAsia="es-ES"/>
        </w:rPr>
        <w:t xml:space="preserve">La capacidad de compra de cada distribuidor se calculará de acuerdo con la siguiente fórmula. </w:t>
      </w:r>
      <w:r w:rsidRPr="007F3FC2">
        <w:rPr>
          <w:rFonts w:ascii="Bookman Old Style" w:eastAsiaTheme="minorEastAsia" w:hAnsi="Bookman Old Style" w:cs="Times New Roman"/>
          <w:b/>
          <w:i/>
          <w:lang w:val="es-ES" w:eastAsia="es-ES"/>
        </w:rPr>
        <w:t xml:space="preserve"> </w:t>
      </w:r>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CB300C" w:rsidP="00DE5054">
      <w:pPr>
        <w:spacing w:after="0" w:line="240" w:lineRule="auto"/>
        <w:ind w:left="1272" w:hanging="705"/>
        <w:jc w:val="both"/>
        <w:rPr>
          <w:rFonts w:ascii="Bookman Old Style" w:eastAsia="Times New Roman" w:hAnsi="Bookman Old Style" w:cs="Arial"/>
          <w:i/>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531"/>
      </w:tblGrid>
      <w:tr w:rsidR="00DE5054" w:rsidRPr="007F3FC2" w:rsidTr="00F913D4">
        <w:tc>
          <w:tcPr>
            <w:tcW w:w="1269" w:type="dxa"/>
          </w:tcPr>
          <w:p w:rsidR="00DE5054" w:rsidRPr="007F3FC2" w:rsidRDefault="00CB300C" w:rsidP="003F59E4">
            <w:pPr>
              <w:jc w:val="both"/>
              <w:rPr>
                <w:rFonts w:ascii="Bookman Old Style" w:hAnsi="Bookman Old Style" w:cs="Arial"/>
                <w:i/>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Capacidad de compra del distribuidor i, para el periodo de compra t, medida en kilogramos, calculada por lo menos 1 mes antes del inicio del periodo de compra t.</w:t>
            </w:r>
          </w:p>
        </w:tc>
      </w:tr>
      <w:tr w:rsidR="00DE5054" w:rsidRPr="007F3FC2" w:rsidTr="00F913D4">
        <w:tc>
          <w:tcPr>
            <w:tcW w:w="1269" w:type="dxa"/>
          </w:tcPr>
          <w:p w:rsidR="00DE5054" w:rsidRPr="007F3FC2" w:rsidRDefault="00CB300C" w:rsidP="003F59E4">
            <w:pPr>
              <w:jc w:val="both"/>
              <w:rPr>
                <w:rFonts w:ascii="Bookman Old Style" w:hAnsi="Bookman Old Style" w:cs="Arial"/>
                <w:i/>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 xml:space="preserve">Factor de equivalencia de envasado en cilindros y tanques estacionarios, </w:t>
            </w:r>
            <w:r w:rsidR="007F3B34" w:rsidRPr="007F3FC2">
              <w:rPr>
                <w:rFonts w:ascii="Bookman Old Style" w:eastAsiaTheme="minorEastAsia" w:hAnsi="Bookman Old Style" w:cs="Arial"/>
                <w:i/>
                <w:sz w:val="22"/>
                <w:szCs w:val="22"/>
                <w:lang w:val="es-ES" w:eastAsia="es-ES"/>
              </w:rPr>
              <w:t>corresponde a: 0,345.</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hAnsi="Bookman Old Style" w:cs="Arial"/>
                <w:i/>
                <w:sz w:val="22"/>
                <w:szCs w:val="22"/>
                <w:lang w:val="es-ES" w:eastAsia="es-ES"/>
              </w:rPr>
              <w:t xml:space="preserve">Capacidad total de envase en cilindros de propiedad del distribuidor i, en el periodo t, medida en kilogramos, </w:t>
            </w:r>
            <w:r w:rsidRPr="007F3FC2">
              <w:rPr>
                <w:rFonts w:ascii="Bookman Old Style" w:eastAsiaTheme="minorEastAsia" w:hAnsi="Bookman Old Style" w:cs="Arial"/>
                <w:i/>
                <w:sz w:val="22"/>
                <w:szCs w:val="22"/>
                <w:lang w:val="es-ES" w:eastAsia="es-ES"/>
              </w:rPr>
              <w:t>de acuerdo con la información reportada al SUI.</w:t>
            </w:r>
          </w:p>
        </w:tc>
      </w:tr>
      <w:tr w:rsidR="00DE5054" w:rsidRPr="007F3FC2" w:rsidTr="00F913D4">
        <w:tc>
          <w:tcPr>
            <w:tcW w:w="1269"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eastAsiaTheme="minorEastAsia" w:hAnsi="Bookman Old Style" w:cs="Arial"/>
                <w:i/>
                <w:sz w:val="22"/>
                <w:szCs w:val="22"/>
                <w:lang w:val="es-ES" w:eastAsia="es-ES"/>
              </w:rPr>
              <w:t>:</w:t>
            </w:r>
          </w:p>
        </w:tc>
        <w:tc>
          <w:tcPr>
            <w:tcW w:w="6531" w:type="dxa"/>
          </w:tcPr>
          <w:p w:rsidR="00DE5054" w:rsidRPr="007F3FC2" w:rsidRDefault="00DE5054" w:rsidP="003F59E4">
            <w:pPr>
              <w:jc w:val="both"/>
              <w:rPr>
                <w:rFonts w:ascii="Bookman Old Style" w:eastAsiaTheme="minorEastAsia"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bl>
    <w:p w:rsidR="00DE5054" w:rsidRPr="007F3FC2" w:rsidRDefault="00DE5054" w:rsidP="00DE5054">
      <w:pPr>
        <w:spacing w:after="0" w:line="240" w:lineRule="auto"/>
        <w:ind w:left="1272" w:hanging="705"/>
        <w:jc w:val="both"/>
        <w:rPr>
          <w:rFonts w:ascii="Bookman Old Style" w:eastAsia="Times New Roman" w:hAnsi="Bookman Old Style" w:cs="Arial"/>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2.</w:t>
      </w:r>
      <w:r w:rsidRPr="007F3FC2">
        <w:rPr>
          <w:rFonts w:ascii="Bookman Old Style" w:eastAsia="Times New Roman" w:hAnsi="Bookman Old Style" w:cs="Arial"/>
          <w:i/>
          <w:lang w:val="es-ES" w:eastAsia="es-ES"/>
        </w:rPr>
        <w:t xml:space="preserve"> La capacidad total de envase en cilindros, de propiedad del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Pr="007F3FC2" w:rsidRDefault="009D53E5" w:rsidP="00DE5054">
      <w:pPr>
        <w:spacing w:after="0" w:line="240" w:lineRule="auto"/>
        <w:ind w:left="709" w:firstLine="566"/>
        <w:jc w:val="both"/>
        <w:rPr>
          <w:rFonts w:ascii="Bookman Old Style" w:eastAsiaTheme="minorEastAsia" w:hAnsi="Bookman Old Style" w:cs="Times New Roman"/>
          <w:i/>
          <w:lang w:val="es-ES" w:eastAsia="es-ES"/>
        </w:rPr>
      </w:pPr>
    </w:p>
    <w:p w:rsidR="00DE5054" w:rsidRPr="007F3FC2" w:rsidRDefault="00DE5054" w:rsidP="00DE5054">
      <w:pPr>
        <w:spacing w:after="0" w:line="240" w:lineRule="auto"/>
        <w:ind w:left="709" w:firstLine="566"/>
        <w:jc w:val="both"/>
        <w:rPr>
          <w:rFonts w:ascii="Bookman Old Style" w:eastAsiaTheme="minorEastAsia" w:hAnsi="Bookman Old Style" w:cs="Times New Roman"/>
          <w:i/>
          <w:lang w:val="es-ES" w:eastAsia="es-ES"/>
        </w:rPr>
      </w:pPr>
      <w:r w:rsidRPr="007F3FC2">
        <w:rPr>
          <w:rFonts w:ascii="Bookman Old Style" w:eastAsiaTheme="minorEastAsia" w:hAnsi="Bookman Old Style" w:cs="Times New Roman"/>
          <w:i/>
          <w:lang w:val="es-ES" w:eastAsia="es-ES"/>
        </w:rPr>
        <w:t>donde,</w:t>
      </w:r>
    </w:p>
    <w:tbl>
      <w:tblPr>
        <w:tblStyle w:val="Tablaconcuadrcula3"/>
        <w:tblW w:w="783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171"/>
      </w:tblGrid>
      <w:tr w:rsidR="00DE5054" w:rsidRPr="007F3FC2" w:rsidTr="00F913D4">
        <w:trPr>
          <w:trHeight w:val="966"/>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val="es-ES" w:eastAsia="es-ES"/>
                </w:rPr>
                <w:lastRenderedPageBreak/>
                <m:t>Cap.ci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i,t</m:t>
                  </m:r>
                </m:sub>
              </m:sSub>
            </m:oMath>
            <w:r w:rsidR="00DE5054" w:rsidRPr="007F3FC2">
              <w:rPr>
                <w:rFonts w:ascii="Bookman Old Style" w:eastAsiaTheme="minorEastAsia" w:hAnsi="Bookman Old Style"/>
                <w:i/>
                <w:sz w:val="22"/>
                <w:szCs w:val="22"/>
                <w:lang w:val="es-ES"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val="es-ES" w:eastAsia="es-ES"/>
              </w:rPr>
              <w:t>Capacidad total de envase en cilindros de propiedad del distribuidor i, en el periodo t, medida en kilogramos, registrado en el SUI.</w:t>
            </w:r>
          </w:p>
          <w:p w:rsidR="0067294D" w:rsidRPr="007F3FC2" w:rsidRDefault="0067294D" w:rsidP="003F59E4">
            <w:pPr>
              <w:jc w:val="both"/>
              <w:rPr>
                <w:rFonts w:ascii="Bookman Old Style" w:eastAsiaTheme="minorEastAsia" w:hAnsi="Bookman Old Style"/>
                <w:i/>
                <w:sz w:val="22"/>
                <w:szCs w:val="22"/>
                <w:lang w:eastAsia="es-ES"/>
              </w:rPr>
            </w:pPr>
          </w:p>
          <w:p w:rsidR="0067294D" w:rsidRPr="007F3FC2" w:rsidRDefault="0067294D" w:rsidP="003F59E4">
            <w:pPr>
              <w:jc w:val="both"/>
              <w:rPr>
                <w:rFonts w:ascii="Bookman Old Style" w:eastAsiaTheme="minorEastAsia" w:hAnsi="Bookman Old Style"/>
                <w:i/>
                <w:sz w:val="22"/>
                <w:szCs w:val="22"/>
                <w:lang w:eastAsia="es-ES"/>
              </w:rPr>
            </w:pPr>
          </w:p>
        </w:tc>
      </w:tr>
      <w:tr w:rsidR="00DE5054" w:rsidRPr="007F3FC2" w:rsidTr="00F913D4">
        <w:trPr>
          <w:trHeight w:val="1359"/>
        </w:trPr>
        <w:tc>
          <w:tcPr>
            <w:tcW w:w="1659" w:type="dxa"/>
            <w:hideMark/>
          </w:tcPr>
          <w:p w:rsidR="00DE5054" w:rsidRPr="007F3FC2" w:rsidRDefault="007F3FC2" w:rsidP="003F59E4">
            <w:pPr>
              <w:ind w:left="2127" w:hanging="2127"/>
              <w:jc w:val="both"/>
              <w:rPr>
                <w:rFonts w:ascii="Bookman Old Style" w:eastAsiaTheme="minorEastAsia" w:hAnsi="Bookman Old Style"/>
                <w:i/>
                <w:sz w:val="22"/>
                <w:szCs w:val="22"/>
                <w:lang w:eastAsia="es-ES"/>
              </w:rPr>
            </w:pPr>
            <m:oMath>
              <m:r>
                <w:rPr>
                  <w:rFonts w:ascii="Cambria Math" w:eastAsiaTheme="minorEastAsia" w:hAnsi="Cambria Math"/>
                  <w:sz w:val="22"/>
                  <w:szCs w:val="22"/>
                  <w:lang w:eastAsia="es-ES"/>
                </w:rPr>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00DE5054" w:rsidRPr="007F3FC2">
              <w:rPr>
                <w:rFonts w:ascii="Bookman Old Style" w:eastAsiaTheme="minorEastAsia" w:hAnsi="Bookman Old Style"/>
                <w:i/>
                <w:sz w:val="22"/>
                <w:szCs w:val="22"/>
                <w:lang w:eastAsia="es-ES"/>
              </w:rPr>
              <w:t>:</w:t>
            </w:r>
          </w:p>
        </w:tc>
        <w:tc>
          <w:tcPr>
            <w:tcW w:w="6171" w:type="dxa"/>
            <w:hideMark/>
          </w:tcPr>
          <w:p w:rsidR="00DE5054" w:rsidRPr="007F3FC2" w:rsidRDefault="00DE5054" w:rsidP="003F59E4">
            <w:pPr>
              <w:jc w:val="both"/>
              <w:rPr>
                <w:rFonts w:ascii="Bookman Old Style" w:eastAsiaTheme="minorEastAsia" w:hAnsi="Bookman Old Style"/>
                <w:i/>
                <w:sz w:val="22"/>
                <w:szCs w:val="22"/>
                <w:lang w:eastAsia="es-ES"/>
              </w:rPr>
            </w:pPr>
            <w:r w:rsidRPr="007F3FC2">
              <w:rPr>
                <w:rFonts w:ascii="Bookman Old Style" w:eastAsiaTheme="minorEastAsia" w:hAnsi="Bookman Old Style"/>
                <w:i/>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2127"/>
        <w:jc w:val="both"/>
        <w:rPr>
          <w:rFonts w:ascii="Bookman Old Style" w:eastAsiaTheme="minorEastAsia" w:hAnsi="Bookman Old Style" w:cs="Times New Roman"/>
          <w:i/>
          <w:iCs/>
          <w:lang w:val="es-ES" w:eastAsia="es-ES"/>
        </w:rPr>
      </w:pPr>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Donde:</w:t>
      </w:r>
    </w:p>
    <w:tbl>
      <w:tblPr>
        <w:tblW w:w="6837" w:type="dxa"/>
        <w:tblInd w:w="2235" w:type="dxa"/>
        <w:tblCellMar>
          <w:left w:w="0" w:type="dxa"/>
          <w:right w:w="0" w:type="dxa"/>
        </w:tblCellMar>
        <w:tblLook w:val="04A0" w:firstRow="1" w:lastRow="0" w:firstColumn="1" w:lastColumn="0" w:noHBand="0" w:noVBand="1"/>
      </w:tblPr>
      <w:tblGrid>
        <w:gridCol w:w="1418"/>
        <w:gridCol w:w="5419"/>
      </w:tblGrid>
      <w:tr w:rsidR="00DE5054" w:rsidRPr="007F3FC2" w:rsidTr="00F913D4">
        <w:trPr>
          <w:trHeight w:val="1359"/>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libras, de acuerdo con la información </w:t>
            </w:r>
            <w:r w:rsidRPr="007F3FC2">
              <w:rPr>
                <w:rFonts w:ascii="Bookman Old Style" w:eastAsiaTheme="minorEastAsia" w:hAnsi="Bookman Old Style"/>
                <w:i/>
                <w:color w:val="000000" w:themeColor="text1"/>
                <w:kern w:val="24"/>
                <w:lang w:eastAsia="es-CO"/>
              </w:rPr>
              <w:t>registrada desde el 2008 hasta octubre de 2012, por AIC proyectos y</w:t>
            </w:r>
            <w:r w:rsidRPr="007F3FC2">
              <w:rPr>
                <w:rFonts w:ascii="Bookman Old Style" w:eastAsia="Times New Roman" w:hAnsi="Bookman Old Style" w:cs="Arial"/>
                <w:i/>
                <w:color w:val="000000" w:themeColor="text1"/>
                <w:kern w:val="24"/>
                <w:lang w:val="es-ES" w:eastAsia="es-CO"/>
              </w:rPr>
              <w:t xml:space="preserve"> publicada en el SUI.</w:t>
            </w:r>
          </w:p>
        </w:tc>
      </w:tr>
      <w:tr w:rsidR="00DE5054" w:rsidRPr="007F3FC2" w:rsidTr="00F913D4">
        <w:trPr>
          <w:trHeight w:val="1021"/>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_Lb</m:t>
                  </m:r>
                </m:sub>
              </m:sSub>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Lb</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524"/>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0,454</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Cantidad de kilogramos por libras americanas, de acuerdo con la NTC 3853.  </w:t>
            </w:r>
          </w:p>
        </w:tc>
      </w:tr>
      <w:tr w:rsidR="00DE5054" w:rsidRPr="007F3FC2" w:rsidTr="00F913D4">
        <w:trPr>
          <w:trHeight w:val="416"/>
        </w:trPr>
        <w:tc>
          <w:tcPr>
            <w:tcW w:w="1418"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419"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tbl>
      <w:tblPr>
        <w:tblW w:w="7830" w:type="dxa"/>
        <w:tblInd w:w="1242" w:type="dxa"/>
        <w:tblCellMar>
          <w:left w:w="0" w:type="dxa"/>
          <w:right w:w="0" w:type="dxa"/>
        </w:tblCellMar>
        <w:tblLook w:val="04A0" w:firstRow="1" w:lastRow="0" w:firstColumn="1" w:lastColumn="0" w:noHBand="0" w:noVBand="1"/>
      </w:tblPr>
      <w:tblGrid>
        <w:gridCol w:w="2040"/>
        <w:gridCol w:w="5790"/>
      </w:tblGrid>
      <w:tr w:rsidR="00DE5054" w:rsidRPr="007F3FC2" w:rsidTr="00F913D4">
        <w:trPr>
          <w:trHeight w:val="1021"/>
        </w:trPr>
        <w:tc>
          <w:tcPr>
            <w:tcW w:w="2040"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00DE5054" w:rsidRPr="007F3FC2">
              <w:rPr>
                <w:rFonts w:ascii="Calibri" w:eastAsia="Times New Roman" w:hAnsi="Calibri" w:cs="Arial"/>
                <w:i/>
                <w:color w:val="000000" w:themeColor="text1"/>
                <w:kern w:val="24"/>
                <w:lang w:eastAsia="es-CO"/>
              </w:rPr>
              <w:t>:</w:t>
            </w:r>
          </w:p>
        </w:tc>
        <w:tc>
          <w:tcPr>
            <w:tcW w:w="5790"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heme="minorEastAsia" w:hAnsi="Bookman Old Style"/>
                <w:i/>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7F3FC2">
              <w:rPr>
                <w:rFonts w:ascii="Bookman Old Style" w:eastAsiaTheme="minorEastAsia" w:hAnsi="Bookman Old Style"/>
                <w:i/>
                <w:color w:val="000000" w:themeColor="text1"/>
                <w:kern w:val="24"/>
                <w:lang w:eastAsia="es-CO"/>
              </w:rPr>
              <w:t>, definida de la siguiente forma:</w:t>
            </w:r>
          </w:p>
        </w:tc>
      </w:tr>
    </w:tbl>
    <w:p w:rsidR="00DE5054" w:rsidRPr="007F3FC2" w:rsidRDefault="007F3FC2" w:rsidP="00DE5054">
      <w:pPr>
        <w:spacing w:after="0" w:line="240" w:lineRule="auto"/>
        <w:ind w:left="2694" w:hanging="2127"/>
        <w:jc w:val="both"/>
        <w:rPr>
          <w:rFonts w:ascii="Bookman Old Style" w:eastAsiaTheme="minorEastAsia" w:hAnsi="Bookman Old Style" w:cs="Times New Roman"/>
          <w:i/>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7F3FC2" w:rsidRDefault="00DE5054" w:rsidP="00DE5054">
      <w:pPr>
        <w:spacing w:after="0" w:line="240" w:lineRule="auto"/>
        <w:ind w:left="2694" w:hanging="1418"/>
        <w:jc w:val="both"/>
        <w:rPr>
          <w:rFonts w:ascii="Bookman Old Style" w:eastAsiaTheme="minorEastAsia" w:hAnsi="Bookman Old Style" w:cs="Times New Roman"/>
          <w:i/>
          <w:lang w:eastAsia="es-ES"/>
        </w:rPr>
      </w:pPr>
      <w:r w:rsidRPr="007F3FC2">
        <w:rPr>
          <w:rFonts w:ascii="Bookman Old Style" w:eastAsiaTheme="minorEastAsia" w:hAnsi="Bookman Old Style" w:cs="Times New Roman"/>
          <w:i/>
          <w:iCs/>
          <w:lang w:val="es-ES" w:eastAsia="es-ES"/>
        </w:rPr>
        <w:t xml:space="preserve">Donde, </w:t>
      </w:r>
    </w:p>
    <w:tbl>
      <w:tblPr>
        <w:tblW w:w="6837" w:type="dxa"/>
        <w:tblInd w:w="2235" w:type="dxa"/>
        <w:tblCellMar>
          <w:left w:w="0" w:type="dxa"/>
          <w:right w:w="0" w:type="dxa"/>
        </w:tblCellMar>
        <w:tblLook w:val="04A0" w:firstRow="1" w:lastRow="0" w:firstColumn="1" w:lastColumn="0" w:noHBand="0" w:noVBand="1"/>
      </w:tblPr>
      <w:tblGrid>
        <w:gridCol w:w="1276"/>
        <w:gridCol w:w="5561"/>
      </w:tblGrid>
      <w:tr w:rsidR="00DE5054" w:rsidRPr="007F3FC2" w:rsidTr="00F913D4">
        <w:trPr>
          <w:trHeight w:val="1359"/>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 xml:space="preserve">Cada uno de los diferentes códigos de presentación de envasado en cilindros, medidos en kilogramos, de acuerdo con la información </w:t>
            </w:r>
            <w:r w:rsidRPr="007F3FC2">
              <w:rPr>
                <w:rFonts w:ascii="Bookman Old Style" w:eastAsiaTheme="minorEastAsia" w:hAnsi="Bookman Old Style"/>
                <w:i/>
                <w:color w:val="000000" w:themeColor="text1"/>
                <w:kern w:val="24"/>
                <w:lang w:eastAsia="es-CO"/>
              </w:rPr>
              <w:t>registrada al SUI desde noviembre de 2012 hasta la fecha</w:t>
            </w:r>
            <w:r w:rsidRPr="007F3FC2">
              <w:rPr>
                <w:rFonts w:ascii="Bookman Old Style" w:eastAsia="Times New Roman" w:hAnsi="Bookman Old Style" w:cs="Arial"/>
                <w:i/>
                <w:color w:val="000000" w:themeColor="text1"/>
                <w:kern w:val="24"/>
                <w:lang w:val="es-ES" w:eastAsia="es-CO"/>
              </w:rPr>
              <w:t>.</w:t>
            </w:r>
          </w:p>
        </w:tc>
      </w:tr>
      <w:tr w:rsidR="00DE5054" w:rsidRPr="007F3FC2" w:rsidTr="00F913D4">
        <w:trPr>
          <w:trHeight w:val="1021"/>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w:rPr>
                      <w:rFonts w:ascii="Cambria Math" w:eastAsia="Times New Roman" w:hAnsi="Cambria Math" w:cs="Arial"/>
                      <w:color w:val="000000" w:themeColor="text1"/>
                      <w:kern w:val="24"/>
                      <w:lang w:eastAsia="es-CO"/>
                    </w:rPr>
                    <m:t>,Kg</m:t>
                  </m:r>
                </m:sub>
              </m:sSub>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cilindros de propiedad de distribuidor i, con una capacidad de envasado CP</w:t>
            </w:r>
            <w:r w:rsidRPr="007F3FC2">
              <w:rPr>
                <w:rFonts w:ascii="Bookman Old Style" w:eastAsia="Times New Roman" w:hAnsi="Bookman Old Style" w:cs="Arial"/>
                <w:i/>
                <w:color w:val="000000" w:themeColor="text1"/>
                <w:kern w:val="24"/>
                <w:position w:val="-9"/>
                <w:vertAlign w:val="subscript"/>
                <w:lang w:val="es-ES" w:eastAsia="es-CO"/>
              </w:rPr>
              <w:t>Kg</w:t>
            </w:r>
            <w:r w:rsidRPr="007F3FC2">
              <w:rPr>
                <w:rFonts w:ascii="Bookman Old Style" w:eastAsia="Times New Roman" w:hAnsi="Bookman Old Style" w:cs="Arial"/>
                <w:i/>
                <w:color w:val="000000" w:themeColor="text1"/>
                <w:kern w:val="24"/>
                <w:lang w:val="es-ES" w:eastAsia="es-CO"/>
              </w:rPr>
              <w:t>, de acuerdo con información reportada en el SUI.</w:t>
            </w:r>
          </w:p>
        </w:tc>
      </w:tr>
      <w:tr w:rsidR="00DE5054" w:rsidRPr="007F3FC2" w:rsidTr="00F913D4">
        <w:trPr>
          <w:trHeight w:val="416"/>
        </w:trPr>
        <w:tc>
          <w:tcPr>
            <w:tcW w:w="1276" w:type="dxa"/>
            <w:shd w:val="clear" w:color="auto" w:fill="auto"/>
            <w:tcMar>
              <w:top w:w="15" w:type="dxa"/>
              <w:left w:w="108" w:type="dxa"/>
              <w:bottom w:w="0" w:type="dxa"/>
              <w:right w:w="108" w:type="dxa"/>
            </w:tcMar>
            <w:hideMark/>
          </w:tcPr>
          <w:p w:rsidR="00DE5054" w:rsidRPr="007F3FC2" w:rsidRDefault="007F3FC2" w:rsidP="003F59E4">
            <w:pPr>
              <w:spacing w:after="0" w:line="240" w:lineRule="auto"/>
              <w:jc w:val="both"/>
              <w:rPr>
                <w:rFonts w:ascii="Arial" w:eastAsia="Times New Roman" w:hAnsi="Arial" w:cs="Arial"/>
                <w:i/>
                <w:lang w:eastAsia="es-CO"/>
              </w:rPr>
            </w:pPr>
            <m:oMath>
              <m:r>
                <w:rPr>
                  <w:rFonts w:ascii="Cambria Math" w:eastAsia="Times New Roman" w:hAnsi="Cambria Math" w:cs="Arial"/>
                  <w:color w:val="000000" w:themeColor="text1"/>
                  <w:kern w:val="24"/>
                  <w:lang w:val="es-ES" w:eastAsia="es-CO"/>
                </w:rPr>
                <m:t>6</m:t>
              </m:r>
            </m:oMath>
            <w:r w:rsidR="00DE5054" w:rsidRPr="007F3FC2">
              <w:rPr>
                <w:rFonts w:ascii="Calibri" w:eastAsia="Times New Roman" w:hAnsi="Calibri" w:cs="Arial"/>
                <w:i/>
                <w:color w:val="000000" w:themeColor="text1"/>
                <w:kern w:val="24"/>
                <w:lang w:val="es-ES" w:eastAsia="es-CO"/>
              </w:rPr>
              <w:t>:</w:t>
            </w:r>
          </w:p>
        </w:tc>
        <w:tc>
          <w:tcPr>
            <w:tcW w:w="5561" w:type="dxa"/>
            <w:shd w:val="clear" w:color="auto" w:fill="auto"/>
            <w:tcMar>
              <w:top w:w="15" w:type="dxa"/>
              <w:left w:w="108" w:type="dxa"/>
              <w:bottom w:w="0" w:type="dxa"/>
              <w:right w:w="108" w:type="dxa"/>
            </w:tcMar>
            <w:hideMark/>
          </w:tcPr>
          <w:p w:rsidR="00DE5054" w:rsidRPr="007F3FC2" w:rsidRDefault="00DE5054" w:rsidP="003F59E4">
            <w:pPr>
              <w:spacing w:after="0" w:line="240" w:lineRule="auto"/>
              <w:jc w:val="both"/>
              <w:rPr>
                <w:rFonts w:ascii="Bookman Old Style" w:eastAsia="Times New Roman" w:hAnsi="Bookman Old Style" w:cs="Arial"/>
                <w:i/>
                <w:lang w:eastAsia="es-CO"/>
              </w:rPr>
            </w:pPr>
            <w:r w:rsidRPr="007F3FC2">
              <w:rPr>
                <w:rFonts w:ascii="Bookman Old Style" w:eastAsia="Times New Roman" w:hAnsi="Bookman Old Style" w:cs="Arial"/>
                <w:i/>
                <w:color w:val="000000" w:themeColor="text1"/>
                <w:kern w:val="24"/>
                <w:lang w:val="es-ES" w:eastAsia="es-CO"/>
              </w:rPr>
              <w:t>Número de meses del periodo de compra.</w:t>
            </w:r>
          </w:p>
        </w:tc>
      </w:tr>
    </w:tbl>
    <w:p w:rsidR="00DE5054" w:rsidRPr="007F3FC2" w:rsidRDefault="00DE5054" w:rsidP="00DE5054">
      <w:pPr>
        <w:spacing w:after="0" w:line="240" w:lineRule="auto"/>
        <w:ind w:left="2694" w:hanging="2127"/>
        <w:jc w:val="both"/>
        <w:rPr>
          <w:rFonts w:ascii="Bookman Old Style" w:eastAsiaTheme="minorEastAsia" w:hAnsi="Bookman Old Style" w:cs="Times New Roman"/>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3.</w:t>
      </w:r>
      <w:r w:rsidRPr="007F3FC2">
        <w:rPr>
          <w:rFonts w:ascii="Bookman Old Style" w:eastAsia="Times New Roman" w:hAnsi="Bookman Old Style" w:cs="Arial"/>
          <w:i/>
          <w:lang w:val="es-ES" w:eastAsia="es-ES"/>
        </w:rPr>
        <w:t xml:space="preserve"> La capacidad total de tanques estacionarios atendidos por el distribuidor i, en el periodo t, se calculará de la siguiente forma. </w:t>
      </w: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p>
    <w:p w:rsidR="00DE5054" w:rsidRPr="007F3FC2" w:rsidRDefault="007F3FC2" w:rsidP="00DE5054">
      <w:pPr>
        <w:spacing w:after="0" w:line="240" w:lineRule="auto"/>
        <w:ind w:left="567"/>
        <w:jc w:val="both"/>
        <w:rPr>
          <w:rFonts w:ascii="Bookman Old Style" w:eastAsia="Times New Roman" w:hAnsi="Bookman Old Style" w:cs="Arial"/>
          <w:i/>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7F3FC2" w:rsidRDefault="0067294D" w:rsidP="00DE5054">
      <w:pPr>
        <w:spacing w:after="0" w:line="240" w:lineRule="auto"/>
        <w:ind w:left="567"/>
        <w:jc w:val="both"/>
        <w:rPr>
          <w:rFonts w:ascii="Bookman Old Style" w:eastAsia="Times New Roman" w:hAnsi="Bookman Old Style" w:cs="Arial"/>
          <w:i/>
          <w:lang w:val="es-ES" w:eastAsia="es-ES"/>
        </w:rPr>
      </w:pPr>
    </w:p>
    <w:p w:rsidR="00DE5054" w:rsidRPr="007F3FC2" w:rsidRDefault="00DE5054" w:rsidP="00DE5054">
      <w:pPr>
        <w:spacing w:after="0" w:line="240" w:lineRule="auto"/>
        <w:ind w:left="567"/>
        <w:jc w:val="both"/>
        <w:rPr>
          <w:rFonts w:ascii="Bookman Old Style" w:eastAsia="Times New Roman" w:hAnsi="Bookman Old Style" w:cs="Arial"/>
          <w:i/>
          <w:lang w:val="es-ES" w:eastAsia="es-ES"/>
        </w:rPr>
      </w:pPr>
      <w:r w:rsidRPr="007F3FC2">
        <w:rPr>
          <w:rFonts w:ascii="Bookman Old Style" w:eastAsia="Times New Roman" w:hAnsi="Bookman Old Style" w:cs="Arial"/>
          <w:i/>
          <w:lang w:val="es-ES" w:eastAsia="es-ES"/>
        </w:rPr>
        <w:t xml:space="preserve">Donde, </w:t>
      </w:r>
    </w:p>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cs="Arial"/>
                <w:i/>
                <w:sz w:val="22"/>
                <w:szCs w:val="22"/>
                <w:lang w:val="es-ES" w:eastAsia="es-ES"/>
              </w:rPr>
              <w:t>Capacidad total de tanques estacionarios atendidos por el distribuidor i, en el periodo t, medida en kilogramos, de acuerdo con la información reportada al SUI.</w:t>
            </w:r>
          </w:p>
        </w:tc>
      </w:tr>
      <w:tr w:rsidR="00DE5054" w:rsidRPr="007F3FC2" w:rsidTr="00F913D4">
        <w:trPr>
          <w:jc w:val="center"/>
        </w:trPr>
        <w:tc>
          <w:tcPr>
            <w:tcW w:w="1701" w:type="dxa"/>
          </w:tcPr>
          <w:p w:rsidR="00DE5054" w:rsidRPr="007F3FC2" w:rsidRDefault="007F3FC2" w:rsidP="00F913D4">
            <w:pPr>
              <w:ind w:left="179" w:hanging="179"/>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CV</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eastAsiaTheme="minorEastAsia" w:hAnsi="Bookman Old Style"/>
                <w:i/>
                <w:sz w:val="22"/>
                <w:szCs w:val="22"/>
                <w:lang w:val="es-ES" w:eastAsia="es-ES"/>
              </w:rPr>
              <w:t>Capacidad de cada uno de los tanques estacionarios atendidos por el distribuidor i, galones, de acuerdo con la información publicada en el SUI.</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Número de tanques estacionarios atendidos por el distribuidor i, con una capacidad CV, de acuerdo con la información reportada al SUI. </w:t>
            </w:r>
          </w:p>
        </w:tc>
      </w:tr>
      <w:tr w:rsidR="00DE5054" w:rsidRPr="007F3FC2" w:rsidTr="00F913D4">
        <w:trPr>
          <w:jc w:val="center"/>
        </w:trPr>
        <w:tc>
          <w:tcPr>
            <w:tcW w:w="1701" w:type="dxa"/>
          </w:tcPr>
          <w:p w:rsidR="00DE5054" w:rsidRPr="007F3FC2" w:rsidRDefault="007F3FC2" w:rsidP="003F59E4">
            <w:pPr>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2,10</m:t>
              </m:r>
            </m:oMath>
            <w:r w:rsidR="00DE5054" w:rsidRPr="007F3FC2">
              <w:rPr>
                <w:rFonts w:ascii="Bookman Old Style" w:hAnsi="Bookman Old Style" w:cs="Arial"/>
                <w:i/>
                <w:sz w:val="22"/>
                <w:szCs w:val="22"/>
                <w:lang w:val="es-ES" w:eastAsia="es-ES"/>
              </w:rPr>
              <w:t>:</w:t>
            </w:r>
          </w:p>
        </w:tc>
        <w:tc>
          <w:tcPr>
            <w:tcW w:w="7088" w:type="dxa"/>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 xml:space="preserve">Factor de conversión kilogramos por galón. </w:t>
            </w:r>
          </w:p>
        </w:tc>
      </w:tr>
      <w:tr w:rsidR="00DE5054" w:rsidRPr="007F3FC2" w:rsidTr="00F913D4">
        <w:trPr>
          <w:trHeight w:val="356"/>
          <w:jc w:val="center"/>
        </w:trPr>
        <w:tc>
          <w:tcPr>
            <w:tcW w:w="1701" w:type="dxa"/>
            <w:vAlign w:val="center"/>
          </w:tcPr>
          <w:p w:rsidR="00DE5054" w:rsidRPr="007F3FC2" w:rsidRDefault="007F3FC2" w:rsidP="003F59E4">
            <w:pPr>
              <w:ind w:left="708" w:hanging="708"/>
              <w:jc w:val="both"/>
              <w:rPr>
                <w:rFonts w:ascii="Bookman Old Style" w:hAnsi="Bookman Old Style" w:cs="Arial"/>
                <w:i/>
                <w:sz w:val="22"/>
                <w:szCs w:val="22"/>
                <w:lang w:val="es-ES" w:eastAsia="es-ES"/>
              </w:rPr>
            </w:pPr>
            <m:oMath>
              <m:r>
                <w:rPr>
                  <w:rFonts w:ascii="Cambria Math" w:hAnsi="Cambria Math" w:cs="Arial"/>
                  <w:sz w:val="22"/>
                  <w:szCs w:val="22"/>
                  <w:lang w:val="es-ES" w:eastAsia="es-ES"/>
                </w:rPr>
                <m:t>6</m:t>
              </m:r>
            </m:oMath>
            <w:r w:rsidR="00DE5054" w:rsidRPr="007F3FC2">
              <w:rPr>
                <w:rFonts w:ascii="Bookman Old Style" w:hAnsi="Bookman Old Style" w:cs="Arial"/>
                <w:i/>
                <w:sz w:val="22"/>
                <w:szCs w:val="22"/>
                <w:lang w:val="es-ES" w:eastAsia="es-ES"/>
              </w:rPr>
              <w:t>:</w:t>
            </w:r>
          </w:p>
        </w:tc>
        <w:tc>
          <w:tcPr>
            <w:tcW w:w="7088" w:type="dxa"/>
            <w:vAlign w:val="center"/>
          </w:tcPr>
          <w:p w:rsidR="00DE5054" w:rsidRPr="007F3FC2" w:rsidRDefault="00DE5054" w:rsidP="003F59E4">
            <w:pPr>
              <w:ind w:left="-108"/>
              <w:jc w:val="both"/>
              <w:rPr>
                <w:rFonts w:ascii="Bookman Old Style" w:hAnsi="Bookman Old Style" w:cs="Arial"/>
                <w:i/>
                <w:sz w:val="22"/>
                <w:szCs w:val="22"/>
                <w:lang w:val="es-ES" w:eastAsia="es-ES"/>
              </w:rPr>
            </w:pPr>
            <w:r w:rsidRPr="007F3FC2">
              <w:rPr>
                <w:rFonts w:ascii="Bookman Old Style" w:hAnsi="Bookman Old Style" w:cs="Arial"/>
                <w:i/>
                <w:sz w:val="22"/>
                <w:szCs w:val="22"/>
                <w:lang w:val="es-ES" w:eastAsia="es-ES"/>
              </w:rPr>
              <w:t>Número de meses del periodo de compra.</w:t>
            </w:r>
          </w:p>
        </w:tc>
      </w:tr>
    </w:tbl>
    <w:p w:rsidR="00DE5054" w:rsidRPr="007F3FC2" w:rsidRDefault="00DE5054" w:rsidP="00DE5054">
      <w:pPr>
        <w:spacing w:after="0" w:line="240" w:lineRule="auto"/>
        <w:ind w:left="567"/>
        <w:jc w:val="both"/>
        <w:rPr>
          <w:rFonts w:ascii="Bookman Old Style" w:eastAsia="Times New Roman" w:hAnsi="Bookman Old Style" w:cs="Arial"/>
          <w:b/>
          <w:i/>
          <w:lang w:val="es-ES" w:eastAsia="es-ES"/>
        </w:rPr>
      </w:pP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Parágrafo 4.</w:t>
      </w:r>
      <w:r w:rsidRPr="007F3FC2">
        <w:rPr>
          <w:rFonts w:ascii="Bookman Old Style" w:eastAsia="Times New Roman" w:hAnsi="Bookman Old Style" w:cs="Arial"/>
          <w:i/>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w:t>
      </w:r>
    </w:p>
    <w:p w:rsidR="00DE5054" w:rsidRPr="007F3FC2" w:rsidRDefault="00DE5054" w:rsidP="00F913D4">
      <w:pPr>
        <w:spacing w:after="0" w:line="240" w:lineRule="auto"/>
        <w:ind w:left="567" w:right="284"/>
        <w:jc w:val="both"/>
        <w:rPr>
          <w:rFonts w:ascii="Bookman Old Style" w:eastAsia="Times New Roman" w:hAnsi="Bookman Old Style" w:cs="Arial"/>
          <w:i/>
          <w:lang w:val="es-ES" w:eastAsia="es-ES"/>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sz w:val="24"/>
          <w:szCs w:val="20"/>
          <w:lang w:val="es-ES" w:eastAsia="es-ES"/>
        </w:rPr>
      </w:pPr>
      <w:r w:rsidRPr="007F3FC2">
        <w:rPr>
          <w:rFonts w:ascii="Bookman Old Style" w:eastAsia="Times New Roman" w:hAnsi="Bookman Old Style" w:cs="Arial"/>
          <w:b/>
          <w:i/>
          <w:lang w:val="es-ES" w:eastAsia="es-ES"/>
        </w:rPr>
        <w:t xml:space="preserve">Parágrafo 5. </w:t>
      </w:r>
      <w:r w:rsidRPr="007F3FC2">
        <w:rPr>
          <w:rFonts w:ascii="Bookman Old Style" w:eastAsia="Times New Roman" w:hAnsi="Bookman Old Style" w:cs="Arial"/>
          <w:i/>
          <w:lang w:val="es-ES" w:eastAsia="es-ES"/>
        </w:rPr>
        <w:t>En el caso de entrar nuevos distribuidores al mercado, la CREG calculará su capacidad de compra por lo que resta del periodo de compra a partir de la información reportada al SUI.”</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D</w:t>
      </w:r>
      <w:r w:rsidRPr="00FB2E5A">
        <w:rPr>
          <w:rFonts w:ascii="Bookman Old Style" w:hAnsi="Bookman Old Style" w:cs="Arial"/>
          <w:spacing w:val="-5"/>
        </w:rPr>
        <w:t xml:space="preserve">e acuerdo con lo dispuesto en esta norma, se estableció </w:t>
      </w:r>
      <w:r>
        <w:rPr>
          <w:rFonts w:ascii="Bookman Old Style" w:hAnsi="Bookman Old Style" w:cs="Arial"/>
          <w:spacing w:val="-5"/>
        </w:rPr>
        <w:t xml:space="preserve">igualmente </w:t>
      </w:r>
      <w:r w:rsidRPr="00FB2E5A">
        <w:rPr>
          <w:rFonts w:ascii="Bookman Old Style" w:hAnsi="Bookman Old Style" w:cs="Arial"/>
          <w:spacing w:val="-5"/>
        </w:rPr>
        <w:t>el concepto de “capacidad disponible de compra”, el cual corresponde a la cantidad total de GLP, medida en kilogramos, que puede comprar un distribuidor en el mercado mayorista, durante lo que resta del periodo de compra.</w:t>
      </w:r>
      <w:r>
        <w:rPr>
          <w:rFonts w:ascii="Bookman Old Style" w:hAnsi="Bookman Old Style" w:cs="Arial"/>
          <w:spacing w:val="-5"/>
        </w:rPr>
        <w:t xml:space="preserve"> E</w:t>
      </w:r>
      <w:r w:rsidRPr="00FB2E5A">
        <w:rPr>
          <w:rFonts w:ascii="Bookman Old Style" w:hAnsi="Bookman Old Style" w:cs="Arial"/>
          <w:spacing w:val="-5"/>
        </w:rPr>
        <w:t>ste “período de compra” ha sido definido</w:t>
      </w:r>
      <w:r>
        <w:rPr>
          <w:rFonts w:ascii="Bookman Old Style" w:hAnsi="Bookman Old Style" w:cs="Arial"/>
          <w:spacing w:val="-5"/>
        </w:rPr>
        <w:t xml:space="preserve"> por la Resolución CREG 063 de 2016</w:t>
      </w:r>
      <w:r w:rsidRPr="00FB2E5A">
        <w:rPr>
          <w:rFonts w:ascii="Bookman Old Style" w:hAnsi="Bookman Old Style" w:cs="Arial"/>
          <w:spacing w:val="-5"/>
        </w:rPr>
        <w:t xml:space="preserve"> como el</w:t>
      </w:r>
      <w:r w:rsidRPr="00FB2E5A">
        <w:rPr>
          <w:rFonts w:ascii="Bookman Old Style" w:eastAsia="MS Mincho" w:hAnsi="Bookman Old Style"/>
          <w:lang w:val="es-ES_tradnl"/>
        </w:rPr>
        <w:t xml:space="preserve"> </w:t>
      </w:r>
      <w:r w:rsidRPr="00FB2E5A">
        <w:rPr>
          <w:rFonts w:ascii="Bookman Old Style" w:hAnsi="Bookman Old Style" w:cs="Arial"/>
          <w:spacing w:val="-5"/>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Pr="00FB2E5A">
        <w:rPr>
          <w:rFonts w:ascii="Bookman Old Style" w:hAnsi="Bookman Old Style" w:cs="Arial"/>
          <w:spacing w:val="-5"/>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rPr>
      </w:pPr>
      <w:r>
        <w:rPr>
          <w:rFonts w:ascii="Bookman Old Style" w:eastAsia="MS Mincho" w:hAnsi="Bookman Old Style" w:cs="Arial"/>
        </w:rPr>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A33677">
      <w:pPr>
        <w:pStyle w:val="Textoindependiente2"/>
        <w:spacing w:after="0" w:line="240" w:lineRule="auto"/>
        <w:ind w:left="-142" w:right="-142"/>
        <w:jc w:val="both"/>
        <w:rPr>
          <w:rFonts w:ascii="Bookman Old Style" w:eastAsia="MS Mincho" w:hAnsi="Bookman Old Style" w:cs="Arial"/>
          <w:lang w:val="es-ES_tradnl"/>
        </w:rPr>
      </w:pPr>
      <w:r w:rsidRPr="00FB2E5A">
        <w:rPr>
          <w:rFonts w:ascii="Bookman Old Style" w:eastAsia="MS Mincho" w:hAnsi="Bookman Old Style" w:cs="Arial"/>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color w:val="000000"/>
          <w:lang w:eastAsia="es-CO"/>
        </w:rPr>
        <w:t>"</w:t>
      </w:r>
      <w:r w:rsidRPr="007F3FC2">
        <w:rPr>
          <w:rFonts w:ascii="Bookman Old Style" w:eastAsia="Times New Roman" w:hAnsi="Bookman Old Style" w:cs="Arial"/>
          <w:b/>
          <w:i/>
          <w:lang w:val="es-ES_tradnl" w:eastAsia="ar-SA"/>
        </w:rPr>
        <w:t>Artículo nuevo. Del sistema único de información</w:t>
      </w:r>
      <w:r w:rsidRPr="007F3FC2">
        <w:rPr>
          <w:rFonts w:ascii="Bookman Old Style" w:eastAsia="Times New Roman" w:hAnsi="Bookman Old Style" w:cs="Arial"/>
          <w:i/>
          <w:lang w:val="es-ES_tradnl" w:eastAsia="ar-SA"/>
        </w:rPr>
        <w:t xml:space="preserve">. Corresponde a la Superintendencia de Servicios Públicos Domiciliarios, en desarrollo de sus funciones de inspección y vigilancia, establecer, administrar, mantener y operar </w:t>
      </w:r>
      <w:r w:rsidRPr="007F3FC2">
        <w:rPr>
          <w:rFonts w:ascii="Bookman Old Style" w:eastAsia="Times New Roman" w:hAnsi="Bookman Old Style" w:cs="Arial"/>
          <w:b/>
          <w:i/>
          <w:u w:val="single"/>
          <w:lang w:val="es-ES_tradnl" w:eastAsia="ar-SA"/>
        </w:rPr>
        <w:t>un sistema de información que se surtirá de la información proveniente de los prestadores de servicios públicos sujetos a su control, inspección y vigilancia,</w:t>
      </w:r>
      <w:r w:rsidRPr="007F3FC2">
        <w:rPr>
          <w:rFonts w:ascii="Bookman Old Style" w:eastAsia="Times New Roman" w:hAnsi="Bookman Old Style" w:cs="Arial"/>
          <w:i/>
          <w:lang w:val="es-ES_tradnl" w:eastAsia="ar-SA"/>
        </w:rPr>
        <w:t xml:space="preserve"> para que su presentación al público sea confiable, conforme a lo establecido en el artículo 53 de la Ley 142 de 1994.</w:t>
      </w:r>
    </w:p>
    <w:p w:rsidR="00B25CAB" w:rsidRDefault="00B25CAB"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u w:val="single"/>
          <w:lang w:val="es-ES_tradnl" w:eastAsia="ar-SA"/>
        </w:rPr>
      </w:pPr>
      <w:r w:rsidRPr="007F3FC2">
        <w:rPr>
          <w:rFonts w:ascii="Bookman Old Style" w:eastAsia="Times New Roman" w:hAnsi="Bookman Old Style" w:cs="Arial"/>
          <w:b/>
          <w:i/>
          <w:u w:val="single"/>
          <w:lang w:val="es-ES_tradnl" w:eastAsia="ar-SA"/>
        </w:rPr>
        <w:t>1. Evitar la duplicidad de funciones en materia de información relativa a los servicios públicos</w:t>
      </w:r>
      <w:r w:rsidRPr="007F3FC2">
        <w:rPr>
          <w:rFonts w:ascii="Bookman Old Style" w:eastAsia="Times New Roman" w:hAnsi="Bookman Old Style" w:cs="Arial"/>
          <w:i/>
          <w:u w:val="single"/>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2. Servir de base a la Superintendencia de Servicios Públicos en el cumplimiento de sus funciones de control, inspección y vigilancia.</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4. Apoyar las funciones asignadas a las Comisiones de Regulación.</w:t>
      </w:r>
    </w:p>
    <w:p w:rsidR="00DE5054" w:rsidRPr="007F3FC2" w:rsidRDefault="00DE5054" w:rsidP="00F913D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5. Servir de base a las funciones asignadas a los Ministerios y demás autoridades que tengan competencias en el sector de los servicios públicos de que tratan las Leyes 142 y 143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i/>
          <w:lang w:val="es-ES_tradnl" w:eastAsia="ar-SA"/>
        </w:rPr>
        <w:t>(…)</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
          <w:i/>
          <w:u w:val="single"/>
          <w:lang w:val="es-ES_tradnl" w:eastAsia="ar-SA"/>
        </w:rPr>
      </w:pPr>
      <w:r w:rsidRPr="007F3FC2">
        <w:rPr>
          <w:rFonts w:ascii="Bookman Old Style" w:eastAsia="Times New Roman" w:hAnsi="Bookman Old Style" w:cs="Arial"/>
          <w:b/>
          <w:i/>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p>
    <w:p w:rsidR="00DE5054" w:rsidRPr="007F3FC2" w:rsidRDefault="00DE5054" w:rsidP="00F913D4">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eastAsia="ar-SA"/>
        </w:rPr>
      </w:pPr>
      <w:r w:rsidRPr="007F3FC2">
        <w:rPr>
          <w:rFonts w:ascii="Bookman Old Style" w:eastAsia="Times New Roman" w:hAnsi="Bookman Old Style" w:cs="Arial"/>
          <w:b/>
          <w:i/>
          <w:lang w:val="es-ES_tradnl" w:eastAsia="ar-SA"/>
        </w:rPr>
        <w:t>Parágrafo 1°.</w:t>
      </w:r>
      <w:r w:rsidRPr="007F3FC2">
        <w:rPr>
          <w:rFonts w:ascii="Bookman Old Style" w:eastAsia="Times New Roman" w:hAnsi="Bookman Old Style" w:cs="Arial"/>
          <w:i/>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hAnsi="Bookman Old Style" w:cs="Arial"/>
          <w:spacing w:val="-5"/>
        </w:rPr>
        <w:t>rio a través del cual</w:t>
      </w:r>
      <w:r w:rsidRPr="00FB2E5A">
        <w:rPr>
          <w:rFonts w:ascii="Bookman Old Style" w:hAnsi="Bookman Old Style" w:cs="Arial"/>
          <w:spacing w:val="-5"/>
        </w:rPr>
        <w:t xml:space="preserve"> se implementaron los períodos y mecanismos regulatorios que permitieron llevar a cabo el remplazo del parque universal de cilindros por un parque de cilindros marcado propiedad de los distribuidores.</w:t>
      </w:r>
    </w:p>
    <w:p w:rsidR="00A66E25" w:rsidRPr="00FB2E5A" w:rsidRDefault="00A66E25"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w:t>
      </w:r>
      <w:r w:rsidRPr="00FB2E5A">
        <w:rPr>
          <w:rFonts w:ascii="Bookman Old Style" w:hAnsi="Bookman Old Style" w:cs="Arial"/>
          <w:spacing w:val="-5"/>
        </w:rPr>
        <w:lastRenderedPageBreak/>
        <w:t>avance del cambio de esquema, hiciera parte del Sistema Único de Información – SUI - de la Superintendencia de Servicios Públicos Domiciliarios atendido lo dispuesto en el artí</w:t>
      </w:r>
      <w:r>
        <w:rPr>
          <w:rFonts w:ascii="Bookman Old Style" w:hAnsi="Bookman Old Style" w:cs="Arial"/>
          <w:spacing w:val="-5"/>
        </w:rPr>
        <w:t xml:space="preserve">culo 14 de la Ley 689 de 2001. </w:t>
      </w:r>
      <w:r w:rsidRPr="00FB2E5A">
        <w:rPr>
          <w:rFonts w:ascii="Bookman Old Style" w:hAnsi="Bookman Old Style" w:cs="Arial"/>
          <w:spacing w:val="-5"/>
        </w:rPr>
        <w:t>En este sentido, el artículo 3 de la Resolución CREG 177</w:t>
      </w:r>
      <w:r w:rsidR="00440169">
        <w:rPr>
          <w:rFonts w:ascii="Bookman Old Style" w:hAnsi="Bookman Old Style" w:cs="Arial"/>
          <w:spacing w:val="-5"/>
        </w:rPr>
        <w:t xml:space="preserve"> de 2011</w:t>
      </w:r>
      <w:r w:rsidRPr="00FB2E5A">
        <w:rPr>
          <w:rFonts w:ascii="Bookman Old Style" w:hAnsi="Bookman Old Style" w:cs="Arial"/>
          <w:spacing w:val="-5"/>
        </w:rPr>
        <w:t xml:space="preserve"> dispuso lo siguiente:</w:t>
      </w:r>
    </w:p>
    <w:p w:rsidR="00DE5054" w:rsidRPr="007F3FC2" w:rsidRDefault="00DE505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w:t>
      </w:r>
      <w:r w:rsidRPr="007F3FC2">
        <w:rPr>
          <w:rFonts w:ascii="Bookman Old Style" w:eastAsia="Times New Roman" w:hAnsi="Bookman Old Style" w:cs="Arial"/>
          <w:b/>
          <w:i/>
          <w:spacing w:val="-5"/>
        </w:rPr>
        <w:t>Artículo 3.</w:t>
      </w:r>
      <w:r w:rsidRPr="007F3FC2">
        <w:rPr>
          <w:rFonts w:ascii="Bookman Old Style" w:eastAsia="Times New Roman" w:hAnsi="Bookman Old Style" w:cs="Arial"/>
          <w:i/>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“8. Los Distribuidores deben llevar un registro pormenorizado de los cilindros marcados que van introduciendo al parque en las siguientes condiciones:</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rPr>
        <w:t>Mientras dure el Período de Transición y el Período de Cierre a través del sistema de información SICMA que debe llevar la Interventoría del esquema centralizado.</w:t>
      </w:r>
    </w:p>
    <w:p w:rsidR="00DE5054" w:rsidRPr="007F3FC2" w:rsidRDefault="00DE5054" w:rsidP="008F605F">
      <w:pPr>
        <w:spacing w:after="0" w:line="240" w:lineRule="auto"/>
        <w:ind w:left="567" w:right="284"/>
        <w:jc w:val="both"/>
        <w:rPr>
          <w:rFonts w:ascii="Bookman Old Style" w:eastAsia="Times New Roman" w:hAnsi="Bookman Old Style" w:cs="Arial"/>
          <w:i/>
          <w:spacing w:val="-5"/>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u w:val="single"/>
        </w:rPr>
      </w:pPr>
      <w:r w:rsidRPr="007F3FC2">
        <w:rPr>
          <w:rFonts w:ascii="Bookman Old Style" w:eastAsia="Times New Roman" w:hAnsi="Bookman Old Style" w:cs="Arial"/>
          <w:i/>
          <w:spacing w:val="-5"/>
          <w:u w:val="single"/>
        </w:rPr>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7F3FC2" w:rsidRDefault="00DE5054" w:rsidP="008F605F">
      <w:pPr>
        <w:spacing w:after="0" w:line="240" w:lineRule="auto"/>
        <w:ind w:left="567" w:right="284"/>
        <w:jc w:val="both"/>
        <w:rPr>
          <w:rFonts w:ascii="Bookman Old Style" w:eastAsia="Times New Roman" w:hAnsi="Bookman Old Style" w:cs="Arial"/>
          <w:i/>
          <w:spacing w:val="-5"/>
          <w:u w:val="single"/>
        </w:rPr>
      </w:pPr>
    </w:p>
    <w:p w:rsidR="00DE5054" w:rsidRPr="007F3FC2" w:rsidRDefault="00DE5054" w:rsidP="008F605F">
      <w:pPr>
        <w:pStyle w:val="Prrafodelista"/>
        <w:numPr>
          <w:ilvl w:val="0"/>
          <w:numId w:val="13"/>
        </w:numPr>
        <w:spacing w:after="0" w:line="240" w:lineRule="auto"/>
        <w:ind w:right="284"/>
        <w:jc w:val="both"/>
        <w:rPr>
          <w:rFonts w:ascii="Bookman Old Style" w:eastAsia="Times New Roman" w:hAnsi="Bookman Old Style" w:cs="Arial"/>
          <w:i/>
          <w:spacing w:val="-5"/>
        </w:rPr>
      </w:pPr>
      <w:r w:rsidRPr="007F3FC2">
        <w:rPr>
          <w:rFonts w:ascii="Bookman Old Style" w:eastAsia="Times New Roman" w:hAnsi="Bookman Old Style" w:cs="Arial"/>
          <w:i/>
          <w:spacing w:val="-5"/>
          <w:u w:val="single"/>
        </w:rPr>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7F3FC2">
        <w:rPr>
          <w:rFonts w:ascii="Bookman Old Style" w:eastAsia="Times New Roman" w:hAnsi="Bookman Old Style" w:cs="Arial"/>
          <w:i/>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 xml:space="preserve">En concordancia con lo anterior, en relación con la obligación de los distribuidores de llevar a cabo el </w:t>
      </w:r>
      <w:r w:rsidRPr="007917F3">
        <w:rPr>
          <w:rFonts w:ascii="Bookman Old Style" w:hAnsi="Bookman Old Style" w:cs="Arial"/>
          <w:spacing w:val="-5"/>
        </w:rPr>
        <w:t>reporte y uso de la marca que identifica los cilindros de su propiedad</w:t>
      </w:r>
      <w:r>
        <w:rPr>
          <w:rFonts w:ascii="Bookman Old Style" w:hAnsi="Bookman Old Style" w:cs="Arial"/>
          <w:spacing w:val="-5"/>
        </w:rPr>
        <w:t xml:space="preserve">, </w:t>
      </w:r>
      <w:r w:rsidR="00720524">
        <w:rPr>
          <w:rFonts w:ascii="Bookman Old Style" w:hAnsi="Bookman Old Style" w:cs="Arial"/>
          <w:spacing w:val="-5"/>
        </w:rPr>
        <w:t>los</w:t>
      </w:r>
      <w:r>
        <w:rPr>
          <w:rFonts w:ascii="Bookman Old Style" w:hAnsi="Bookman Old Style" w:cs="Arial"/>
          <w:spacing w:val="-5"/>
        </w:rPr>
        <w:t xml:space="preserve"> artículo</w:t>
      </w:r>
      <w:r w:rsidR="00720524">
        <w:rPr>
          <w:rFonts w:ascii="Bookman Old Style" w:hAnsi="Bookman Old Style" w:cs="Arial"/>
          <w:spacing w:val="-5"/>
        </w:rPr>
        <w:t xml:space="preserve">s 4 y </w:t>
      </w:r>
      <w:r>
        <w:rPr>
          <w:rFonts w:ascii="Bookman Old Style" w:hAnsi="Bookman Old Style" w:cs="Arial"/>
          <w:spacing w:val="-5"/>
        </w:rPr>
        <w:t>11</w:t>
      </w:r>
      <w:r w:rsidR="00440169">
        <w:rPr>
          <w:rFonts w:ascii="Bookman Old Style" w:hAnsi="Bookman Old Style" w:cs="Arial"/>
          <w:spacing w:val="-5"/>
        </w:rPr>
        <w:t xml:space="preserve"> de la Resolución CREG 023 de 2008,</w:t>
      </w:r>
      <w:r>
        <w:rPr>
          <w:rFonts w:ascii="Bookman Old Style" w:hAnsi="Bookman Old Style" w:cs="Arial"/>
          <w:spacing w:val="-5"/>
        </w:rPr>
        <w:t xml:space="preserve"> reglamento de distribución y comercialización minorista de GLP</w:t>
      </w:r>
      <w:r w:rsidR="00440169">
        <w:rPr>
          <w:rFonts w:ascii="Bookman Old Style" w:hAnsi="Bookman Old Style" w:cs="Arial"/>
          <w:spacing w:val="-5"/>
        </w:rPr>
        <w:t xml:space="preserve">, señalan </w:t>
      </w:r>
      <w:r>
        <w:rPr>
          <w:rFonts w:ascii="Bookman Old Style" w:hAnsi="Bookman Old Style" w:cs="Arial"/>
          <w:spacing w:val="-5"/>
        </w:rPr>
        <w:t>lo siguiente:</w:t>
      </w:r>
    </w:p>
    <w:p w:rsidR="00720524" w:rsidRDefault="00720524" w:rsidP="00DE5054">
      <w:pPr>
        <w:spacing w:after="0" w:line="240" w:lineRule="auto"/>
        <w:jc w:val="both"/>
        <w:rPr>
          <w:rFonts w:ascii="Bookman Old Style" w:eastAsia="Times New Roman" w:hAnsi="Bookman Old Style" w:cs="Arial"/>
          <w:spacing w:val="-5"/>
          <w:sz w:val="24"/>
          <w:szCs w:val="24"/>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20524">
        <w:rPr>
          <w:rFonts w:ascii="Bookman Old Style" w:eastAsia="Times New Roman" w:hAnsi="Bookman Old Style" w:cs="Arial"/>
          <w:spacing w:val="-3"/>
          <w:lang w:val="es-ES_tradnl" w:eastAsia="es-CO"/>
        </w:rPr>
        <w:t xml:space="preserve"> “</w:t>
      </w:r>
      <w:r w:rsidRPr="007F3FC2">
        <w:rPr>
          <w:rFonts w:ascii="Bookman Old Style" w:eastAsia="Times New Roman" w:hAnsi="Bookman Old Style" w:cs="Arial"/>
          <w:b/>
          <w:i/>
          <w:spacing w:val="-3"/>
          <w:lang w:val="es-ES_tradnl" w:eastAsia="es-CO"/>
        </w:rPr>
        <w:t>Artículo 4. Modificado por el artículo 2 de Resolución CREG 165 de 2008. REQUISITOS PARA LA OPERACIÓN DE LOS DISTRIBUIDORES</w:t>
      </w:r>
      <w:r w:rsidRPr="007F3FC2">
        <w:rPr>
          <w:rFonts w:ascii="Bookman Old Style" w:eastAsia="Times New Roman" w:hAnsi="Bookman Old Style" w:cs="Arial"/>
          <w:i/>
          <w:spacing w:val="-3"/>
          <w:lang w:val="es-ES_tradnl" w:eastAsia="es-CO"/>
        </w:rPr>
        <w:t>. (…)</w:t>
      </w: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720524" w:rsidRPr="007F3FC2" w:rsidRDefault="00720524" w:rsidP="00720524">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7. Ser propietario de los cilindros que envasa, los cuales deberán estar certificados y marcados de acuerdo con lo establecido en el Artículo 10 de esta Resolución. Tanto los cilindros como los tanques estacionarios a través de los cuales se prestará el servicio público, deben estar en condiciones de operación que garanticen plenamente la seguridad de los usuarios, del personal que lo maniobra y de toda la comunidad en general.”</w:t>
      </w:r>
    </w:p>
    <w:p w:rsidR="00720524" w:rsidRPr="007F3FC2" w:rsidRDefault="00720524" w:rsidP="00DE5054">
      <w:pPr>
        <w:spacing w:after="0" w:line="240" w:lineRule="auto"/>
        <w:jc w:val="both"/>
        <w:rPr>
          <w:rFonts w:ascii="Bookman Old Style" w:eastAsia="Times New Roman" w:hAnsi="Bookman Old Style" w:cs="Arial"/>
          <w:i/>
          <w:spacing w:val="-5"/>
          <w:sz w:val="24"/>
          <w:szCs w:val="24"/>
        </w:rPr>
      </w:pPr>
    </w:p>
    <w:p w:rsidR="00DE5054" w:rsidRPr="007F3FC2" w:rsidRDefault="00DE5054" w:rsidP="008F605F">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b/>
          <w:bCs/>
          <w:i/>
          <w:spacing w:val="-3"/>
          <w:lang w:eastAsia="es-CO"/>
        </w:rPr>
        <w:t>“Artículo 11</w:t>
      </w:r>
      <w:r w:rsidRPr="007F3FC2">
        <w:rPr>
          <w:rFonts w:ascii="Bookman Old Style" w:eastAsia="Times New Roman" w:hAnsi="Bookman Old Style" w:cs="Arial"/>
          <w:b/>
          <w:bCs/>
          <w:i/>
          <w:spacing w:val="-3"/>
          <w:lang w:val="es-ES_tradnl" w:eastAsia="es-CO"/>
        </w:rPr>
        <w:t xml:space="preserve">. OBLIGACIONES DEL DISTRIBUIDOR EN EL REPORTE Y USO DE LA MARCA QUE IDENTIFICA LOS CILINDROS DE SU PROPIEDAD.   </w:t>
      </w:r>
      <w:r w:rsidRPr="007F3FC2">
        <w:rPr>
          <w:rFonts w:ascii="Bookman Old Style" w:eastAsia="Times New Roman" w:hAnsi="Bookman Old Style" w:cs="Arial"/>
          <w:b/>
          <w:bCs/>
          <w:i/>
          <w:spacing w:val="-3"/>
          <w:u w:val="single"/>
          <w:lang w:val="es-ES_tradnl" w:eastAsia="es-CO"/>
        </w:rPr>
        <w:t>La</w:t>
      </w:r>
      <w:r w:rsidRPr="007F3FC2">
        <w:rPr>
          <w:rFonts w:ascii="Bookman Old Style" w:eastAsia="Times New Roman" w:hAnsi="Bookman Old Style" w:cs="Arial"/>
          <w:b/>
          <w:i/>
          <w:spacing w:val="-3"/>
          <w:u w:val="single"/>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w:t>
      </w:r>
      <w:r w:rsidRPr="007F3FC2">
        <w:rPr>
          <w:rFonts w:ascii="Bookman Old Style" w:eastAsia="Times New Roman" w:hAnsi="Bookman Old Style" w:cs="Arial"/>
          <w:i/>
          <w:spacing w:val="-3"/>
          <w:lang w:val="es-ES_tradnl" w:eastAsia="es-CO"/>
        </w:rPr>
        <w:t xml:space="preserve"> La Superintendencia informará a través del SUI sobre las solicitudes de marca recibidas y en el mismo sistema permanecerán publicadas las marcas que se están utilizando junto con la identificación plena de su propietario.</w:t>
      </w: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p>
    <w:p w:rsidR="00DE5054" w:rsidRPr="007F3FC2" w:rsidRDefault="00DE5054" w:rsidP="008F605F">
      <w:pPr>
        <w:widowControl w:val="0"/>
        <w:adjustRightInd w:val="0"/>
        <w:spacing w:after="0" w:line="240" w:lineRule="auto"/>
        <w:ind w:left="567" w:right="284"/>
        <w:jc w:val="both"/>
        <w:textAlignment w:val="baseline"/>
        <w:rPr>
          <w:rFonts w:ascii="Bookman Old Style" w:eastAsia="Times New Roman" w:hAnsi="Bookman Old Style" w:cs="Arial"/>
          <w:i/>
          <w:color w:val="000000"/>
          <w:lang w:eastAsia="es-CO"/>
        </w:rPr>
      </w:pPr>
      <w:r w:rsidRPr="007F3FC2">
        <w:rPr>
          <w:rFonts w:ascii="Bookman Old Style" w:eastAsia="Times New Roman" w:hAnsi="Bookman Old Style" w:cs="Arial"/>
          <w:i/>
          <w:color w:val="000000"/>
          <w:lang w:eastAsia="es-CO"/>
        </w:rPr>
        <w:lastRenderedPageBreak/>
        <w:t>El uso de la marca está sujeto a las siguientes reglas:</w:t>
      </w:r>
    </w:p>
    <w:p w:rsidR="00DE5054" w:rsidRPr="007F3FC2" w:rsidRDefault="00DE5054"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1. </w:t>
      </w:r>
      <w:r w:rsidR="00DE5054" w:rsidRPr="007F3FC2">
        <w:rPr>
          <w:rFonts w:ascii="Bookman Old Style" w:eastAsia="Times New Roman" w:hAnsi="Bookman Old Style" w:cs="Arial"/>
          <w:i/>
          <w:spacing w:val="-3"/>
          <w:lang w:val="es-ES_tradnl" w:eastAsia="es-CO"/>
        </w:rPr>
        <w:t>Un distribuidor podrá tener varias marcas, cumpliendo en cada caso con el reporte ante la Superintendencia de Servicios Públicos Domiciliarios.</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2. </w:t>
      </w:r>
      <w:r w:rsidR="00DE5054" w:rsidRPr="007F3FC2">
        <w:rPr>
          <w:rFonts w:ascii="Bookman Old Style" w:eastAsia="Times New Roman" w:hAnsi="Bookman Old Style" w:cs="Arial"/>
          <w:i/>
          <w:spacing w:val="-3"/>
          <w:lang w:val="es-ES_tradnl" w:eastAsia="es-CO"/>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3. </w:t>
      </w:r>
      <w:r w:rsidR="00DE5054" w:rsidRPr="007F3FC2">
        <w:rPr>
          <w:rFonts w:ascii="Bookman Old Style" w:eastAsia="Times New Roman" w:hAnsi="Bookman Old Style" w:cs="Arial"/>
          <w:i/>
          <w:spacing w:val="-3"/>
          <w:lang w:val="es-ES_tradnl" w:eastAsia="es-CO"/>
        </w:rPr>
        <w:t>Nunca se podrá transferir la marca a más de un distribuidor.</w:t>
      </w:r>
    </w:p>
    <w:p w:rsidR="00DE5054" w:rsidRPr="007F3FC2" w:rsidRDefault="007F3FC2" w:rsidP="007F3FC2">
      <w:pPr>
        <w:numPr>
          <w:ilvl w:val="1"/>
          <w:numId w:val="0"/>
        </w:numPr>
        <w:suppressAutoHyphens/>
        <w:spacing w:after="0" w:line="240" w:lineRule="auto"/>
        <w:ind w:left="567" w:right="284"/>
        <w:jc w:val="both"/>
        <w:outlineLvl w:val="1"/>
        <w:rPr>
          <w:rFonts w:ascii="Bookman Old Style" w:eastAsia="Times New Roman" w:hAnsi="Bookman Old Style" w:cs="Arial"/>
          <w:i/>
          <w:spacing w:val="-3"/>
          <w:lang w:val="es-ES_tradnl" w:eastAsia="es-CO"/>
        </w:rPr>
      </w:pPr>
      <w:r w:rsidRPr="007F3FC2">
        <w:rPr>
          <w:rFonts w:ascii="Bookman Old Style" w:eastAsia="Times New Roman" w:hAnsi="Bookman Old Style" w:cs="Arial"/>
          <w:i/>
          <w:spacing w:val="-3"/>
          <w:lang w:val="es-ES_tradnl" w:eastAsia="es-CO"/>
        </w:rPr>
        <w:t xml:space="preserve">4. </w:t>
      </w:r>
      <w:r w:rsidR="00DE5054" w:rsidRPr="007F3FC2">
        <w:rPr>
          <w:rFonts w:ascii="Bookman Old Style" w:eastAsia="Times New Roman" w:hAnsi="Bookman Old Style" w:cs="Arial"/>
          <w:i/>
          <w:spacing w:val="-3"/>
          <w:lang w:val="es-ES_tradnl" w:eastAsia="es-CO"/>
        </w:rPr>
        <w:t>Una marca no puede ser reportada por más de un distribuidor.”</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A33677">
      <w:pPr>
        <w:pStyle w:val="Textoindependiente2"/>
        <w:spacing w:after="0" w:line="240" w:lineRule="auto"/>
        <w:ind w:left="-142" w:right="-142"/>
        <w:jc w:val="both"/>
        <w:rPr>
          <w:rFonts w:ascii="Bookman Old Style" w:hAnsi="Bookman Old Style" w:cs="Arial"/>
          <w:spacing w:val="-5"/>
        </w:rPr>
      </w:pPr>
      <w:r w:rsidRPr="00FB2E5A">
        <w:rPr>
          <w:rFonts w:ascii="Bookman Old Style" w:hAnsi="Bookman Old Style" w:cs="Arial"/>
          <w:spacing w:val="-5"/>
        </w:rPr>
        <w:t>Teniendo en cuenta lo anterior, mediante Resolución SSPD 20141300040755 de 2014</w:t>
      </w:r>
      <w:r>
        <w:rPr>
          <w:rFonts w:ascii="Bookman Old Style" w:hAnsi="Bookman Old Style" w:cs="Arial"/>
          <w:spacing w:val="-5"/>
        </w:rPr>
        <w:t xml:space="preserve"> de la Superintendencia de Servicios Públicos Domiciliarios</w:t>
      </w:r>
      <w:r w:rsidRPr="00FB2E5A">
        <w:rPr>
          <w:rFonts w:ascii="Bookman Old Style" w:hAnsi="Bookman Old Style" w:cs="Arial"/>
          <w:spacing w:val="-5"/>
        </w:rPr>
        <w:t xml:space="preserve"> se establecieron los plazos y formatos para el reporte de tal información al SUI, </w:t>
      </w:r>
      <w:r>
        <w:rPr>
          <w:rFonts w:ascii="Bookman Old Style" w:hAnsi="Bookman Old Style" w:cs="Arial"/>
          <w:spacing w:val="-5"/>
        </w:rPr>
        <w:t xml:space="preserve">de la misma forma que se dispuso que dicha </w:t>
      </w:r>
      <w:r w:rsidRPr="00FB2E5A">
        <w:rPr>
          <w:rFonts w:ascii="Bookman Old Style" w:hAnsi="Bookman Old Style" w:cs="Arial"/>
          <w:spacing w:val="-5"/>
        </w:rPr>
        <w:t xml:space="preserve">información </w:t>
      </w:r>
      <w:r>
        <w:rPr>
          <w:rFonts w:ascii="Bookman Old Style" w:hAnsi="Bookman Old Style" w:cs="Arial"/>
          <w:spacing w:val="-5"/>
        </w:rPr>
        <w:t xml:space="preserve">se utilizará </w:t>
      </w:r>
      <w:r w:rsidRPr="00FB2E5A">
        <w:rPr>
          <w:rFonts w:ascii="Bookman Old Style" w:hAnsi="Bookman Old Style" w:cs="Arial"/>
          <w:spacing w:val="-5"/>
        </w:rPr>
        <w:t>para ejercer un control de los cilindros marcados que cada agente ha introducido al mercado para atender sus usuarios.</w:t>
      </w:r>
      <w:r w:rsidRPr="00A35B73">
        <w:t xml:space="preserve"> </w:t>
      </w:r>
      <w:r>
        <w:rPr>
          <w:rFonts w:ascii="Bookman Old Style" w:hAnsi="Bookman Old Style" w:cs="Arial"/>
          <w:spacing w:val="-5"/>
        </w:rPr>
        <w:t>Lo anterior, atendiendo l</w:t>
      </w:r>
      <w:r w:rsidRPr="00A35B73">
        <w:rPr>
          <w:rFonts w:ascii="Bookman Old Style" w:hAnsi="Bookman Old Style" w:cs="Arial"/>
          <w:spacing w:val="-5"/>
        </w:rPr>
        <w:t>a información de cilindros marcados de cada agente que debe reportar al SUI de conformidad de las resoluciones CREG 045 d</w:t>
      </w:r>
      <w:r>
        <w:rPr>
          <w:rFonts w:ascii="Bookman Old Style" w:hAnsi="Bookman Old Style" w:cs="Arial"/>
          <w:spacing w:val="-5"/>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33677">
        <w:rPr>
          <w:spacing w:val="-5"/>
        </w:rPr>
        <w:footnoteReference w:id="2"/>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440169"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Así las cosas</w:t>
      </w:r>
      <w:r w:rsidR="00DE5054" w:rsidRPr="00A33677">
        <w:rPr>
          <w:rFonts w:ascii="Bookman Old Style" w:hAnsi="Bookman Old Style" w:cs="Arial"/>
          <w:spacing w:val="-5"/>
        </w:rPr>
        <w:t>,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7F3FC2" w:rsidRDefault="00DE5054" w:rsidP="00483542">
      <w:pPr>
        <w:spacing w:after="0" w:line="240" w:lineRule="auto"/>
        <w:ind w:left="567" w:right="284"/>
        <w:jc w:val="both"/>
        <w:rPr>
          <w:rFonts w:ascii="Bookman Old Style" w:eastAsia="Times New Roman" w:hAnsi="Bookman Old Style" w:cs="Times New Roman"/>
          <w:i/>
          <w:lang w:val="es-ES" w:eastAsia="es-ES"/>
        </w:rPr>
      </w:pPr>
      <w:r w:rsidRPr="007F3FC2">
        <w:rPr>
          <w:rFonts w:ascii="Bookman Old Style" w:eastAsia="Times New Roman" w:hAnsi="Bookman Old Style" w:cs="Times New Roman"/>
          <w:i/>
          <w:lang w:val="es-ES" w:eastAsia="es-ES"/>
        </w:rPr>
        <w:t>“</w:t>
      </w:r>
      <w:r w:rsidRPr="007F3FC2">
        <w:rPr>
          <w:rFonts w:ascii="Bookman Old Style" w:eastAsia="Times New Roman" w:hAnsi="Bookman Old Style" w:cs="Times New Roman"/>
          <w:b/>
          <w:i/>
          <w:lang w:val="es-ES" w:eastAsia="es-ES"/>
        </w:rPr>
        <w:t>Distribución de GLP:</w:t>
      </w:r>
      <w:r w:rsidRPr="007F3FC2">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Dicha calidad y la realización de esta actividad se establece por parte de esta Comisión de acuerdo con lo previsto en la regulación, así como con base en la información </w:t>
      </w:r>
      <w:r w:rsidRPr="00A33677">
        <w:rPr>
          <w:rFonts w:ascii="Bookman Old Style" w:hAnsi="Bookman Old Style" w:cs="Arial"/>
          <w:spacing w:val="-5"/>
        </w:rPr>
        <w:lastRenderedPageBreak/>
        <w:t xml:space="preserve">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p>
    <w:p w:rsidR="00DE5054" w:rsidRPr="00A33677" w:rsidRDefault="00DE5054"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Mediante </w:t>
      </w:r>
      <w:r w:rsidR="00483542" w:rsidRPr="00A33677">
        <w:rPr>
          <w:rFonts w:ascii="Bookman Old Style" w:hAnsi="Bookman Old Style" w:cs="Arial"/>
          <w:spacing w:val="-5"/>
        </w:rPr>
        <w:t>los a</w:t>
      </w:r>
      <w:r w:rsidRPr="00A33677">
        <w:rPr>
          <w:rFonts w:ascii="Bookman Old Style" w:hAnsi="Bookman Old Style" w:cs="Arial"/>
          <w:spacing w:val="-5"/>
        </w:rPr>
        <w:t>uto</w:t>
      </w:r>
      <w:r w:rsidR="00483542" w:rsidRPr="00A33677">
        <w:rPr>
          <w:rFonts w:ascii="Bookman Old Style" w:hAnsi="Bookman Old Style" w:cs="Arial"/>
          <w:spacing w:val="-5"/>
        </w:rPr>
        <w:t>s</w:t>
      </w:r>
      <w:r w:rsidRPr="00A33677">
        <w:rPr>
          <w:rFonts w:ascii="Bookman Old Style" w:hAnsi="Bookman Old Style" w:cs="Arial"/>
          <w:spacing w:val="-5"/>
        </w:rPr>
        <w:t xml:space="preserve"> I-201</w:t>
      </w:r>
      <w:r w:rsidR="006E3CAF" w:rsidRPr="00A33677">
        <w:rPr>
          <w:rFonts w:ascii="Bookman Old Style" w:hAnsi="Bookman Old Style" w:cs="Arial"/>
          <w:spacing w:val="-5"/>
        </w:rPr>
        <w:t>9-002387, I-2019-002506,</w:t>
      </w:r>
      <w:r w:rsidR="00F46EA4" w:rsidRPr="00A33677">
        <w:rPr>
          <w:rFonts w:ascii="Bookman Old Style" w:hAnsi="Bookman Old Style" w:cs="Arial"/>
          <w:spacing w:val="-5"/>
        </w:rPr>
        <w:t xml:space="preserve"> I-2019-002725</w:t>
      </w:r>
      <w:r w:rsidRPr="00A33677">
        <w:rPr>
          <w:rFonts w:ascii="Bookman Old Style" w:hAnsi="Bookman Old Style" w:cs="Arial"/>
          <w:spacing w:val="-5"/>
        </w:rPr>
        <w:t xml:space="preserve">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w:t>
      </w:r>
      <w:r w:rsidR="00440169" w:rsidRPr="00A33677">
        <w:rPr>
          <w:rFonts w:ascii="Bookman Old Style" w:hAnsi="Bookman Old Style" w:cs="Arial"/>
          <w:spacing w:val="-5"/>
        </w:rPr>
        <w:t>201</w:t>
      </w:r>
      <w:r w:rsidR="00440169">
        <w:rPr>
          <w:rFonts w:ascii="Bookman Old Style" w:hAnsi="Bookman Old Style" w:cs="Arial"/>
          <w:spacing w:val="-5"/>
        </w:rPr>
        <w:t>6</w:t>
      </w:r>
      <w:r w:rsidR="00440169" w:rsidRPr="00A33677">
        <w:rPr>
          <w:rFonts w:ascii="Bookman Old Style" w:hAnsi="Bookman Old Style" w:cs="Arial"/>
          <w:spacing w:val="-5"/>
        </w:rPr>
        <w:t xml:space="preserve"> </w:t>
      </w:r>
      <w:r w:rsidRPr="00A33677">
        <w:rPr>
          <w:rFonts w:ascii="Bookman Old Style" w:hAnsi="Bookman Old Style" w:cs="Arial"/>
          <w:spacing w:val="-5"/>
        </w:rPr>
        <w:t xml:space="preserve">para el </w:t>
      </w:r>
      <w:r w:rsidR="008C7C6D" w:rsidRPr="00A33677">
        <w:rPr>
          <w:rFonts w:ascii="Bookman Old Style" w:hAnsi="Bookman Old Style" w:cs="Arial"/>
          <w:spacing w:val="-5"/>
        </w:rPr>
        <w:t>sexto</w:t>
      </w:r>
      <w:r w:rsidRPr="00A33677">
        <w:rPr>
          <w:rFonts w:ascii="Bookman Old Style" w:hAnsi="Bookman Old Style" w:cs="Arial"/>
          <w:spacing w:val="-5"/>
        </w:rPr>
        <w:t xml:space="preserve"> periodo de compra.</w:t>
      </w:r>
    </w:p>
    <w:p w:rsidR="00BA57DB" w:rsidRPr="00A33677" w:rsidRDefault="00BA57DB" w:rsidP="00A33677">
      <w:pPr>
        <w:pStyle w:val="Textoindependiente2"/>
        <w:spacing w:after="0" w:line="240" w:lineRule="auto"/>
        <w:ind w:left="-142" w:right="-142"/>
        <w:jc w:val="both"/>
        <w:rPr>
          <w:rFonts w:ascii="Bookman Old Style" w:hAnsi="Bookman Old Style" w:cs="Arial"/>
          <w:spacing w:val="-5"/>
        </w:rPr>
      </w:pP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 xml:space="preserve">Atendiendo esta disposición, la Comisión de Regulación de Energía y Gas mediante comunicación </w:t>
      </w:r>
      <w:r w:rsidR="009746FD" w:rsidRPr="00A33677">
        <w:rPr>
          <w:rFonts w:ascii="Bookman Old Style" w:hAnsi="Bookman Old Style" w:cs="Arial"/>
          <w:spacing w:val="-5"/>
        </w:rPr>
        <w:t>con radicado CREG S-2019</w:t>
      </w:r>
      <w:r w:rsidRPr="00A33677">
        <w:rPr>
          <w:rFonts w:ascii="Bookman Old Style" w:hAnsi="Bookman Old Style" w:cs="Arial"/>
          <w:spacing w:val="-5"/>
        </w:rPr>
        <w:t>-</w:t>
      </w:r>
      <w:r w:rsidR="00493D5D" w:rsidRPr="00A33677">
        <w:rPr>
          <w:rFonts w:ascii="Bookman Old Style" w:hAnsi="Bookman Old Style" w:cs="Arial"/>
          <w:spacing w:val="-5"/>
        </w:rPr>
        <w:t>00</w:t>
      </w:r>
      <w:r w:rsidR="009746FD" w:rsidRPr="00A33677">
        <w:rPr>
          <w:rFonts w:ascii="Bookman Old Style" w:hAnsi="Bookman Old Style" w:cs="Arial"/>
          <w:spacing w:val="-5"/>
        </w:rPr>
        <w:t>1273</w:t>
      </w:r>
      <w:r w:rsidR="00393342" w:rsidRPr="00A33677">
        <w:rPr>
          <w:rFonts w:ascii="Bookman Old Style" w:hAnsi="Bookman Old Style" w:cs="Arial"/>
          <w:spacing w:val="-5"/>
        </w:rPr>
        <w:t xml:space="preserve"> de</w:t>
      </w:r>
      <w:r w:rsidR="00493D5D" w:rsidRPr="00A33677">
        <w:rPr>
          <w:rFonts w:ascii="Bookman Old Style" w:hAnsi="Bookman Old Style" w:cs="Arial"/>
          <w:spacing w:val="-5"/>
        </w:rPr>
        <w:t>l</w:t>
      </w:r>
      <w:r w:rsidR="00393342" w:rsidRPr="00A33677">
        <w:rPr>
          <w:rFonts w:ascii="Bookman Old Style" w:hAnsi="Bookman Old Style" w:cs="Arial"/>
          <w:spacing w:val="-5"/>
        </w:rPr>
        <w:t xml:space="preserve"> </w:t>
      </w:r>
      <w:r w:rsidR="009746FD" w:rsidRPr="00A33677">
        <w:rPr>
          <w:rFonts w:ascii="Bookman Old Style" w:hAnsi="Bookman Old Style" w:cs="Arial"/>
          <w:spacing w:val="-5"/>
        </w:rPr>
        <w:t>07</w:t>
      </w:r>
      <w:r w:rsidR="00393342" w:rsidRPr="00A33677">
        <w:rPr>
          <w:rFonts w:ascii="Bookman Old Style" w:hAnsi="Bookman Old Style" w:cs="Arial"/>
          <w:spacing w:val="-5"/>
        </w:rPr>
        <w:t xml:space="preserve"> de </w:t>
      </w:r>
      <w:r w:rsidR="009746FD" w:rsidRPr="00A33677">
        <w:rPr>
          <w:rFonts w:ascii="Bookman Old Style" w:hAnsi="Bookman Old Style" w:cs="Arial"/>
          <w:spacing w:val="-5"/>
        </w:rPr>
        <w:t xml:space="preserve">marzo de 2019 </w:t>
      </w:r>
      <w:r w:rsidRPr="00A33677">
        <w:rPr>
          <w:rFonts w:ascii="Bookman Old Style" w:hAnsi="Bookman Old Style" w:cs="Arial"/>
          <w:spacing w:val="-5"/>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33677">
        <w:rPr>
          <w:rFonts w:ascii="Bookman Old Style" w:hAnsi="Bookman Old Style" w:cs="Arial"/>
          <w:spacing w:val="-5"/>
        </w:rPr>
        <w:footnoteReference w:id="3"/>
      </w:r>
      <w:r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A33677" w:rsidRDefault="00981490" w:rsidP="00A33677">
      <w:pPr>
        <w:pStyle w:val="Textoindependiente2"/>
        <w:spacing w:after="0" w:line="240" w:lineRule="auto"/>
        <w:ind w:left="-142" w:right="-142"/>
        <w:jc w:val="both"/>
        <w:rPr>
          <w:rFonts w:ascii="Bookman Old Style" w:hAnsi="Bookman Old Style" w:cs="Arial"/>
          <w:spacing w:val="-5"/>
        </w:rPr>
      </w:pPr>
    </w:p>
    <w:p w:rsidR="00922F32" w:rsidRPr="00A33677" w:rsidRDefault="00981490" w:rsidP="00A33677">
      <w:pPr>
        <w:pStyle w:val="Textoindependiente2"/>
        <w:spacing w:after="0" w:line="240" w:lineRule="auto"/>
        <w:ind w:left="-142" w:right="-142"/>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93522B" w:rsidRPr="00A33677">
        <w:rPr>
          <w:rFonts w:ascii="Bookman Old Style" w:hAnsi="Bookman Old Style" w:cs="Arial"/>
          <w:spacing w:val="-5"/>
        </w:rPr>
        <w:t>s</w:t>
      </w:r>
      <w:r w:rsidR="00BC35AA" w:rsidRPr="00A33677">
        <w:rPr>
          <w:rFonts w:ascii="Bookman Old Style" w:hAnsi="Bookman Old Style" w:cs="Arial"/>
          <w:spacing w:val="-5"/>
        </w:rPr>
        <w:t xml:space="preserve"> </w:t>
      </w:r>
      <w:r w:rsidR="0093522B" w:rsidRPr="00A33677">
        <w:rPr>
          <w:rFonts w:ascii="Bookman Old Style" w:hAnsi="Bookman Old Style" w:cs="Arial"/>
          <w:spacing w:val="-5"/>
        </w:rPr>
        <w:t>comunicaciones</w:t>
      </w:r>
      <w:r w:rsidRPr="00A33677">
        <w:rPr>
          <w:rFonts w:ascii="Bookman Old Style" w:hAnsi="Bookman Old Style" w:cs="Arial"/>
          <w:spacing w:val="-5"/>
        </w:rPr>
        <w:t xml:space="preserve"> </w:t>
      </w:r>
      <w:r w:rsidR="00892686" w:rsidRPr="00A33677">
        <w:rPr>
          <w:rFonts w:ascii="Bookman Old Style" w:hAnsi="Bookman Old Style" w:cs="Arial"/>
          <w:spacing w:val="-5"/>
        </w:rPr>
        <w:t>20192300158821</w:t>
      </w:r>
      <w:r w:rsidR="0093522B" w:rsidRPr="00A33677">
        <w:rPr>
          <w:rFonts w:ascii="Bookman Old Style" w:hAnsi="Bookman Old Style" w:cs="Arial"/>
          <w:spacing w:val="-5"/>
        </w:rPr>
        <w:t xml:space="preserve">, 20192000284701, 20192000285741, </w:t>
      </w:r>
      <w:r w:rsidRPr="00A33677">
        <w:rPr>
          <w:rFonts w:ascii="Bookman Old Style" w:hAnsi="Bookman Old Style" w:cs="Arial"/>
          <w:spacing w:val="-5"/>
        </w:rPr>
        <w:t>radicado</w:t>
      </w:r>
      <w:r w:rsidR="0093522B" w:rsidRPr="00A33677">
        <w:rPr>
          <w:rFonts w:ascii="Bookman Old Style" w:hAnsi="Bookman Old Style" w:cs="Arial"/>
          <w:spacing w:val="-5"/>
        </w:rPr>
        <w:t>s</w:t>
      </w:r>
      <w:r w:rsidRPr="00A33677">
        <w:rPr>
          <w:rFonts w:ascii="Bookman Old Style" w:hAnsi="Bookman Old Style" w:cs="Arial"/>
          <w:spacing w:val="-5"/>
        </w:rPr>
        <w:t xml:space="preserve"> CREG E-</w:t>
      </w:r>
      <w:r w:rsidR="00BC35AA" w:rsidRPr="00A33677">
        <w:rPr>
          <w:rFonts w:ascii="Bookman Old Style" w:hAnsi="Bookman Old Style" w:cs="Arial"/>
          <w:spacing w:val="-5"/>
        </w:rPr>
        <w:t>2019</w:t>
      </w:r>
      <w:r w:rsidRPr="00A33677">
        <w:rPr>
          <w:rFonts w:ascii="Bookman Old Style" w:hAnsi="Bookman Old Style" w:cs="Arial"/>
          <w:spacing w:val="-5"/>
        </w:rPr>
        <w:t>-00</w:t>
      </w:r>
      <w:r w:rsidR="00BC35AA" w:rsidRPr="00A33677">
        <w:rPr>
          <w:rFonts w:ascii="Bookman Old Style" w:hAnsi="Bookman Old Style" w:cs="Arial"/>
          <w:spacing w:val="-5"/>
        </w:rPr>
        <w:t>3448</w:t>
      </w:r>
      <w:r w:rsidR="0093522B" w:rsidRPr="00A33677">
        <w:rPr>
          <w:rFonts w:ascii="Bookman Old Style" w:hAnsi="Bookman Old Style" w:cs="Arial"/>
          <w:spacing w:val="-5"/>
        </w:rPr>
        <w:t xml:space="preserve">, E-2019-003981, E-2019-004884 </w:t>
      </w:r>
      <w:r w:rsidR="00BC35AA" w:rsidRPr="00A33677">
        <w:rPr>
          <w:rFonts w:ascii="Bookman Old Style" w:hAnsi="Bookman Old Style" w:cs="Arial"/>
          <w:spacing w:val="-5"/>
        </w:rPr>
        <w:t>de 2019</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Dentro de dichas comunicaciones</w:t>
      </w:r>
      <w:r w:rsidR="00DE5054" w:rsidRPr="00A33677">
        <w:rPr>
          <w:rFonts w:ascii="Bookman Old Style" w:hAnsi="Bookman Old Style" w:cs="Arial"/>
          <w:spacing w:val="-5"/>
        </w:rPr>
        <w:t xml:space="preserve"> la Superintendencia </w:t>
      </w:r>
      <w:r w:rsidR="008C7C6D" w:rsidRPr="00A33677">
        <w:rPr>
          <w:rFonts w:ascii="Bookman Old Style" w:hAnsi="Bookman Old Style" w:cs="Arial"/>
          <w:spacing w:val="-5"/>
        </w:rPr>
        <w:t xml:space="preserve">a través de la Superintendencia Delegada de Energía y Gas Combustible </w:t>
      </w:r>
      <w:r w:rsidR="00DE5054" w:rsidRPr="00A33677">
        <w:rPr>
          <w:rFonts w:ascii="Bookman Old Style" w:hAnsi="Bookman Old Style" w:cs="Arial"/>
          <w:spacing w:val="-5"/>
        </w:rPr>
        <w:t>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EA23A0" w:rsidRDefault="00F313E0" w:rsidP="007F3FC2">
      <w:pPr>
        <w:pStyle w:val="Textoindependiente2"/>
        <w:spacing w:after="0" w:line="240" w:lineRule="auto"/>
        <w:jc w:val="both"/>
        <w:rPr>
          <w:rFonts w:ascii="Bookman Old Style" w:hAnsi="Bookman Old Style"/>
          <w:i/>
          <w:sz w:val="22"/>
          <w:szCs w:val="22"/>
        </w:rPr>
      </w:pPr>
      <w:r w:rsidRPr="001851C6">
        <w:rPr>
          <w:rFonts w:ascii="Bookman Old Style" w:hAnsi="Bookman Old Style"/>
          <w:i/>
          <w:sz w:val="22"/>
          <w:szCs w:val="22"/>
        </w:rPr>
        <w:t>“</w:t>
      </w:r>
      <w:r w:rsidR="00EA23A0" w:rsidRPr="00EA23A0">
        <w:rPr>
          <w:rFonts w:ascii="Bookman Old Style" w:hAnsi="Bookman Old Style"/>
          <w:i/>
          <w:sz w:val="22"/>
          <w:szCs w:val="22"/>
        </w:rPr>
        <w:t>En atención a su comunicación del radicado del asunto, mediante la cual solicita la información del SICMA</w:t>
      </w:r>
      <w:r w:rsidR="0093522B">
        <w:rPr>
          <w:rFonts w:ascii="Bookman Old Style" w:hAnsi="Bookman Old Style"/>
          <w:i/>
          <w:sz w:val="22"/>
          <w:szCs w:val="22"/>
        </w:rPr>
        <w:t>, reporte de cilindros al SUI</w:t>
      </w:r>
      <w:r w:rsidR="00EA23A0" w:rsidRPr="00EA23A0">
        <w:rPr>
          <w:rFonts w:ascii="Bookman Old Style" w:hAnsi="Bookman Old Style"/>
          <w:i/>
          <w:sz w:val="22"/>
          <w:szCs w:val="22"/>
        </w:rPr>
        <w:t xml:space="preserve"> y tanques estacionarios para calcular la capacidad de compra de la que trata el artículo 8 de la Resolución CREG 063 de 2016, modificado por el artículo 1 de la Resolución CREG 180 de 2017, aplicable al segundo semestre de 2019</w:t>
      </w:r>
      <w:r w:rsidR="0093522B">
        <w:rPr>
          <w:rFonts w:ascii="Bookman Old Style" w:hAnsi="Bookman Old Style"/>
          <w:i/>
          <w:sz w:val="22"/>
          <w:szCs w:val="22"/>
        </w:rPr>
        <w:t xml:space="preserve">  y considerando lo señalado en el Radicado 201920000284701 de fecha Abril de 2019</w:t>
      </w:r>
      <w:r w:rsidR="00EA23A0" w:rsidRPr="00EA23A0">
        <w:rPr>
          <w:rFonts w:ascii="Bookman Old Style" w:hAnsi="Bookman Old Style"/>
          <w:i/>
          <w:sz w:val="22"/>
          <w:szCs w:val="22"/>
        </w:rPr>
        <w:t>, mediante el presente escrito estamos enviando la información obtenida de las bases de datos disponibles en el Sistema Único de Información — SUI, en los siguientes términos:</w:t>
      </w:r>
    </w:p>
    <w:p w:rsidR="00EA23A0" w:rsidRPr="00EA23A0" w:rsidRDefault="00EA23A0" w:rsidP="007F3FC2">
      <w:pPr>
        <w:pStyle w:val="Textoindependiente2"/>
        <w:spacing w:after="0" w:line="240" w:lineRule="auto"/>
        <w:jc w:val="both"/>
        <w:rPr>
          <w:rFonts w:ascii="Bookman Old Style" w:hAnsi="Bookman Old Style"/>
          <w:i/>
          <w:sz w:val="22"/>
          <w:szCs w:val="22"/>
        </w:rPr>
      </w:pP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lastRenderedPageBreak/>
        <w:t xml:space="preserve">1) Fecha de consulta de información: 17 de marzo de 2019. </w:t>
      </w:r>
    </w:p>
    <w:p w:rsidR="00EA23A0" w:rsidRDefault="00EA23A0" w:rsidP="007F3FC2">
      <w:pPr>
        <w:pStyle w:val="Textoindependiente2"/>
        <w:spacing w:after="0" w:line="240" w:lineRule="auto"/>
        <w:jc w:val="both"/>
        <w:rPr>
          <w:rFonts w:ascii="Bookman Old Style" w:hAnsi="Bookman Old Style"/>
          <w:i/>
          <w:sz w:val="22"/>
          <w:szCs w:val="22"/>
        </w:rPr>
      </w:pPr>
      <w:r w:rsidRPr="00EA23A0">
        <w:rPr>
          <w:rFonts w:ascii="Bookman Old Style" w:hAnsi="Bookman Old Style"/>
          <w:i/>
          <w:sz w:val="22"/>
          <w:szCs w:val="22"/>
        </w:rPr>
        <w:t>2) En el CD adjunto, se encuentran dos carpetas así:</w:t>
      </w:r>
    </w:p>
    <w:p w:rsidR="00EA23A0" w:rsidRPr="00EA23A0" w:rsidRDefault="00EA23A0" w:rsidP="00EA23A0">
      <w:pPr>
        <w:pStyle w:val="Textoindependiente2"/>
        <w:spacing w:after="0" w:line="240" w:lineRule="auto"/>
        <w:ind w:right="284"/>
        <w:jc w:val="both"/>
        <w:rPr>
          <w:rFonts w:ascii="Bookman Old Style" w:hAnsi="Bookman Old Style"/>
          <w:i/>
          <w:sz w:val="22"/>
          <w:szCs w:val="22"/>
        </w:rPr>
      </w:pPr>
    </w:p>
    <w:p w:rsidR="00EA23A0" w:rsidRP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a) </w:t>
      </w:r>
      <w:r w:rsidRPr="00EA23A0">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con lo establecido en Resolución SSPD No. 20141300040755 de 2014.</w:t>
      </w:r>
    </w:p>
    <w:p w:rsidR="00EA23A0" w:rsidRDefault="00EA23A0" w:rsidP="007F3FC2">
      <w:pPr>
        <w:pStyle w:val="Textoindependiente2"/>
        <w:spacing w:after="0" w:line="240" w:lineRule="auto"/>
        <w:ind w:right="142"/>
        <w:jc w:val="both"/>
        <w:rPr>
          <w:rFonts w:ascii="Bookman Old Style" w:hAnsi="Bookman Old Style"/>
          <w:i/>
          <w:sz w:val="22"/>
          <w:szCs w:val="22"/>
        </w:rPr>
      </w:pPr>
      <w:r>
        <w:rPr>
          <w:rFonts w:ascii="Bookman Old Style" w:hAnsi="Bookman Old Style"/>
          <w:i/>
          <w:sz w:val="22"/>
          <w:szCs w:val="22"/>
        </w:rPr>
        <w:t xml:space="preserve">b) </w:t>
      </w:r>
      <w:r w:rsidRPr="00EA23A0">
        <w:rPr>
          <w:rFonts w:ascii="Bookman Old Style" w:hAnsi="Bookman Old Style"/>
          <w:i/>
          <w:sz w:val="22"/>
          <w:szCs w:val="22"/>
        </w:rPr>
        <w:t>Información de tanques estacionarios, con un archivo en Excel: Tanques Estacionarios, donde se encuentra la información del último trimestre habilitado y reportado en el SUI por parte de los Distribuidores de GLP, conforme a las disposiciones de la Circular Conjunta SSPD - CREG 0001 de 2017.</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CILINDROS</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Default="00EA23A0" w:rsidP="007F3FC2">
      <w:pPr>
        <w:pStyle w:val="Textoindependiente2"/>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En resumen, la información enviada a la CREG es la siguiente:</w:t>
      </w:r>
    </w:p>
    <w:p w:rsidR="007B79E1" w:rsidRPr="00EA23A0" w:rsidRDefault="007B79E1" w:rsidP="007F3FC2">
      <w:pPr>
        <w:pStyle w:val="Textoindependiente2"/>
        <w:spacing w:after="0" w:line="240" w:lineRule="auto"/>
        <w:ind w:right="142"/>
        <w:jc w:val="both"/>
        <w:rPr>
          <w:rFonts w:ascii="Bookman Old Style" w:hAnsi="Bookman Old Style"/>
          <w:i/>
          <w:sz w:val="22"/>
          <w:szCs w:val="22"/>
        </w:rPr>
      </w:pP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empresas con cilindros en base de datos: 55</w:t>
      </w:r>
    </w:p>
    <w:p w:rsidR="00EA23A0" w:rsidRPr="00EA23A0" w:rsidRDefault="00EA23A0" w:rsidP="007F3FC2">
      <w:pPr>
        <w:pStyle w:val="Textoindependiente2"/>
        <w:numPr>
          <w:ilvl w:val="0"/>
          <w:numId w:val="17"/>
        </w:numPr>
        <w:spacing w:after="0" w:line="240" w:lineRule="auto"/>
        <w:ind w:right="142"/>
        <w:jc w:val="both"/>
        <w:rPr>
          <w:rFonts w:ascii="Bookman Old Style" w:hAnsi="Bookman Old Style"/>
          <w:i/>
          <w:sz w:val="22"/>
          <w:szCs w:val="22"/>
        </w:rPr>
      </w:pPr>
      <w:r w:rsidRPr="00EA23A0">
        <w:rPr>
          <w:rFonts w:ascii="Bookman Old Style" w:hAnsi="Bookman Old Style"/>
          <w:i/>
          <w:sz w:val="22"/>
          <w:szCs w:val="22"/>
        </w:rPr>
        <w:t>Cantidad de marcas que registran cili</w:t>
      </w:r>
      <w:r w:rsidR="008C7C6D">
        <w:rPr>
          <w:rFonts w:ascii="Bookman Old Style" w:hAnsi="Bookman Old Style"/>
          <w:i/>
          <w:sz w:val="22"/>
          <w:szCs w:val="22"/>
        </w:rPr>
        <w:t>ndros en la base de datos: 83</w:t>
      </w:r>
    </w:p>
    <w:p w:rsidR="00DB400F" w:rsidRDefault="00DB400F" w:rsidP="007F3FC2">
      <w:pPr>
        <w:pStyle w:val="Textoindependiente2"/>
        <w:spacing w:after="0" w:line="240" w:lineRule="auto"/>
        <w:ind w:left="0"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TANQUES ESTACIONARIOS</w:t>
      </w:r>
    </w:p>
    <w:p w:rsidR="00EB2D23" w:rsidRPr="00BE5DEF"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La información de tanques estacionarios que se envía en esta ocasión, se recolectó sobre consulta directa en la base de datos de lo reportado a través del Formato (1661) Tanques Estacionarios Atendidos por el D</w:t>
      </w:r>
      <w:r w:rsidR="00EB2D23">
        <w:rPr>
          <w:rFonts w:ascii="Bookman Old Style" w:hAnsi="Bookman Old Style"/>
          <w:i/>
          <w:sz w:val="22"/>
          <w:szCs w:val="22"/>
        </w:rPr>
        <w:t>istribuidor de la Conjunta SSPD-</w:t>
      </w:r>
      <w:r w:rsidRPr="00BE5DEF">
        <w:rPr>
          <w:rFonts w:ascii="Bookman Old Style" w:hAnsi="Bookman Old Style"/>
          <w:i/>
          <w:sz w:val="22"/>
          <w:szCs w:val="22"/>
        </w:rPr>
        <w:t>CREG 1 de 2017, para el cuarto trimestre del año 2018. El resumen de esta información es el siguiente:</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empresas que reportan tanques p</w:t>
      </w:r>
      <w:r w:rsidR="00EB2D23">
        <w:rPr>
          <w:rFonts w:ascii="Bookman Old Style" w:hAnsi="Bookman Old Style"/>
          <w:i/>
          <w:sz w:val="22"/>
          <w:szCs w:val="22"/>
        </w:rPr>
        <w:t>ara el cuarto trimestre del 2018:</w:t>
      </w:r>
      <w:r w:rsidRPr="00BE5DEF">
        <w:rPr>
          <w:rFonts w:ascii="Bookman Old Style" w:hAnsi="Bookman Old Style"/>
          <w:i/>
          <w:sz w:val="22"/>
          <w:szCs w:val="22"/>
        </w:rPr>
        <w:t>45</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Cantidad de tanques reportados a la fecha: 33.500</w:t>
      </w:r>
    </w:p>
    <w:p w:rsidR="00BE5DEF" w:rsidRPr="00BE5DEF" w:rsidRDefault="00BE5DEF" w:rsidP="007F3FC2">
      <w:pPr>
        <w:pStyle w:val="Textoindependiente2"/>
        <w:numPr>
          <w:ilvl w:val="0"/>
          <w:numId w:val="18"/>
        </w:numPr>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Capacidad en galones de los tanques: 13.252.301</w:t>
      </w:r>
    </w:p>
    <w:p w:rsidR="00EB2D23" w:rsidRDefault="00EB2D23" w:rsidP="007F3FC2">
      <w:pPr>
        <w:pStyle w:val="Textoindependiente2"/>
        <w:spacing w:after="0" w:line="240" w:lineRule="auto"/>
        <w:ind w:right="142"/>
        <w:jc w:val="both"/>
        <w:rPr>
          <w:rFonts w:ascii="Bookman Old Style" w:hAnsi="Bookman Old Style"/>
          <w:i/>
          <w:sz w:val="22"/>
          <w:szCs w:val="22"/>
        </w:rPr>
      </w:pPr>
    </w:p>
    <w:p w:rsidR="00BE5DEF" w:rsidRP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Cabe precisar que, a la fecha de consulta de información, las siguientes empresas no habían cargado y certificado en el SUI la información del Formato (1661) Tanques Estacionarios Atendidos por el Distribuidor, para el cuarto trimestre del 2018, la cual tenía corno fecha máxima de reporte el 15 de enero de 2019. Sin embargo, es necesario mencionar que dicho Formato se encuentra habilitado y en estado "PENDIENTE", para que las empresas cargaran y certificaran la información hasta antes de la fecha de corte que aquí se relaciona.</w:t>
      </w:r>
    </w:p>
    <w:p w:rsidR="008C7C6D" w:rsidRDefault="008C7C6D" w:rsidP="007F3FC2">
      <w:pPr>
        <w:pStyle w:val="Textoindependiente2"/>
        <w:spacing w:after="0" w:line="240" w:lineRule="auto"/>
        <w:ind w:right="142"/>
        <w:jc w:val="both"/>
        <w:rPr>
          <w:rFonts w:ascii="Bookman Old Style" w:hAnsi="Bookman Old Style"/>
          <w:i/>
          <w:sz w:val="22"/>
          <w:szCs w:val="22"/>
        </w:rPr>
      </w:pPr>
    </w:p>
    <w:p w:rsidR="00BE5DEF" w:rsidRDefault="00BE5DEF" w:rsidP="007F3FC2">
      <w:pPr>
        <w:pStyle w:val="Textoindependiente2"/>
        <w:spacing w:after="0" w:line="240" w:lineRule="auto"/>
        <w:ind w:right="142"/>
        <w:jc w:val="both"/>
        <w:rPr>
          <w:rFonts w:ascii="Bookman Old Style" w:hAnsi="Bookman Old Style"/>
          <w:i/>
          <w:sz w:val="22"/>
          <w:szCs w:val="22"/>
        </w:rPr>
      </w:pPr>
      <w:r w:rsidRPr="00BE5DEF">
        <w:rPr>
          <w:rFonts w:ascii="Bookman Old Style" w:hAnsi="Bookman Old Style"/>
          <w:i/>
          <w:sz w:val="22"/>
          <w:szCs w:val="22"/>
        </w:rPr>
        <w:t>Así las cosas, las empresas que no han reportado la información son las siguientes:</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5000" w:type="pct"/>
        <w:tblInd w:w="0" w:type="dxa"/>
        <w:tblCellMar>
          <w:top w:w="33" w:type="dxa"/>
          <w:left w:w="48" w:type="dxa"/>
          <w:right w:w="58" w:type="dxa"/>
        </w:tblCellMar>
        <w:tblLook w:val="04A0" w:firstRow="1" w:lastRow="0" w:firstColumn="1" w:lastColumn="0" w:noHBand="0" w:noVBand="1"/>
      </w:tblPr>
      <w:tblGrid>
        <w:gridCol w:w="1006"/>
        <w:gridCol w:w="8344"/>
      </w:tblGrid>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572628" w:rsidP="00572628">
            <w:pPr>
              <w:spacing w:after="160" w:line="259" w:lineRule="auto"/>
              <w:jc w:val="center"/>
              <w:rPr>
                <w:rFonts w:ascii="Bookman Old Style" w:hAnsi="Bookman Old Style"/>
                <w:sz w:val="20"/>
                <w:szCs w:val="20"/>
              </w:rPr>
            </w:pPr>
            <w:r>
              <w:rPr>
                <w:rFonts w:ascii="Bookman Old Style" w:hAnsi="Bookman Old Style"/>
                <w:sz w:val="20"/>
                <w:szCs w:val="20"/>
              </w:rPr>
              <w:t>ID</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4"/>
              <w:jc w:val="center"/>
              <w:rPr>
                <w:rFonts w:ascii="Bookman Old Style" w:hAnsi="Bookman Old Style"/>
                <w:sz w:val="20"/>
                <w:szCs w:val="20"/>
              </w:rPr>
            </w:pPr>
            <w:r w:rsidRPr="00572628">
              <w:rPr>
                <w:rFonts w:ascii="Bookman Old Style" w:hAnsi="Bookman Old Style"/>
                <w:sz w:val="20"/>
                <w:szCs w:val="20"/>
              </w:rPr>
              <w:t>EMPRESA</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6"/>
              <w:rPr>
                <w:rFonts w:ascii="Bookman Old Style" w:hAnsi="Bookman Old Style"/>
                <w:sz w:val="20"/>
                <w:szCs w:val="20"/>
              </w:rPr>
            </w:pPr>
            <w:r w:rsidRPr="00572628">
              <w:rPr>
                <w:rFonts w:ascii="Bookman Old Style" w:eastAsia="Calibri" w:hAnsi="Bookman Old Style" w:cs="Calibri"/>
                <w:sz w:val="20"/>
                <w:szCs w:val="20"/>
              </w:rPr>
              <w:t>696</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0"/>
              <w:rPr>
                <w:rFonts w:ascii="Bookman Old Style" w:hAnsi="Bookman Old Style"/>
                <w:sz w:val="20"/>
                <w:szCs w:val="20"/>
              </w:rPr>
            </w:pPr>
            <w:r w:rsidRPr="00572628">
              <w:rPr>
                <w:rFonts w:ascii="Bookman Old Style" w:hAnsi="Bookman Old Style"/>
                <w:sz w:val="20"/>
                <w:szCs w:val="20"/>
              </w:rPr>
              <w:t>CARTAGAS S.A EMPRESA DE SERVICIOS PUBLICOS DOMICILIARIOS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0"/>
              <w:rPr>
                <w:rFonts w:ascii="Bookman Old Style" w:hAnsi="Bookman Old Style"/>
                <w:sz w:val="20"/>
                <w:szCs w:val="20"/>
              </w:rPr>
            </w:pPr>
            <w:r w:rsidRPr="00572628">
              <w:rPr>
                <w:rFonts w:ascii="Bookman Old Style" w:eastAsia="Calibri" w:hAnsi="Bookman Old Style" w:cs="Calibri"/>
                <w:sz w:val="20"/>
                <w:szCs w:val="20"/>
              </w:rPr>
              <w:t>1792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rPr>
                <w:rFonts w:ascii="Bookman Old Style" w:hAnsi="Bookman Old Style"/>
                <w:sz w:val="20"/>
                <w:szCs w:val="20"/>
              </w:rPr>
            </w:pPr>
            <w:r w:rsidRPr="00572628">
              <w:rPr>
                <w:rFonts w:ascii="Bookman Old Style" w:hAnsi="Bookman Old Style"/>
                <w:sz w:val="20"/>
                <w:szCs w:val="20"/>
              </w:rPr>
              <w:t>AYAPEGAS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5"/>
              <w:rPr>
                <w:rFonts w:ascii="Bookman Old Style" w:hAnsi="Bookman Old Style"/>
                <w:sz w:val="20"/>
                <w:szCs w:val="20"/>
              </w:rPr>
            </w:pPr>
            <w:r w:rsidRPr="00572628">
              <w:rPr>
                <w:rFonts w:ascii="Bookman Old Style" w:eastAsia="Calibri" w:hAnsi="Bookman Old Style" w:cs="Calibri"/>
                <w:sz w:val="20"/>
                <w:szCs w:val="20"/>
              </w:rPr>
              <w:t>1854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LIDAGAS S.A E.S.P.</w:t>
            </w:r>
          </w:p>
        </w:tc>
      </w:tr>
      <w:tr w:rsidR="00EB2D23" w:rsidRPr="00572628" w:rsidTr="00EB2D23">
        <w:trPr>
          <w:trHeight w:val="304"/>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20219</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CASES DEL CHOCO S.A.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20497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
              <w:rPr>
                <w:rFonts w:ascii="Bookman Old Style" w:hAnsi="Bookman Old Style"/>
                <w:sz w:val="20"/>
                <w:szCs w:val="20"/>
              </w:rPr>
            </w:pPr>
            <w:r w:rsidRPr="00572628">
              <w:rPr>
                <w:rFonts w:ascii="Bookman Old Style" w:hAnsi="Bookman Old Style"/>
                <w:sz w:val="20"/>
                <w:szCs w:val="20"/>
              </w:rPr>
              <w:t>CATENA MANOA SA ESP</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1"/>
              <w:jc w:val="center"/>
              <w:rPr>
                <w:rFonts w:ascii="Bookman Old Style" w:hAnsi="Bookman Old Style"/>
                <w:sz w:val="20"/>
                <w:szCs w:val="20"/>
              </w:rPr>
            </w:pPr>
            <w:r w:rsidRPr="00572628">
              <w:rPr>
                <w:rFonts w:ascii="Bookman Old Style" w:eastAsia="Calibri" w:hAnsi="Bookman Old Style" w:cs="Calibri"/>
                <w:sz w:val="20"/>
                <w:szCs w:val="20"/>
              </w:rPr>
              <w:t>22167</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A42DD2" w:rsidP="003D171F">
            <w:pPr>
              <w:spacing w:line="259" w:lineRule="auto"/>
              <w:ind w:left="24"/>
              <w:rPr>
                <w:rFonts w:ascii="Bookman Old Style" w:hAnsi="Bookman Old Style"/>
                <w:sz w:val="20"/>
                <w:szCs w:val="20"/>
              </w:rPr>
            </w:pPr>
            <w:r>
              <w:rPr>
                <w:rFonts w:ascii="Bookman Old Style" w:eastAsia="Calibri" w:hAnsi="Bookman Old Style" w:cs="Calibri"/>
                <w:sz w:val="20"/>
                <w:szCs w:val="20"/>
              </w:rPr>
              <w:t>TERMOGAS SOLUCIONES ENERGÉTICAS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12"/>
              <w:jc w:val="center"/>
              <w:rPr>
                <w:rFonts w:ascii="Bookman Old Style" w:hAnsi="Bookman Old Style"/>
                <w:sz w:val="20"/>
                <w:szCs w:val="20"/>
              </w:rPr>
            </w:pPr>
            <w:r w:rsidRPr="00572628">
              <w:rPr>
                <w:rFonts w:ascii="Bookman Old Style" w:eastAsia="Calibri" w:hAnsi="Bookman Old Style" w:cs="Calibri"/>
                <w:sz w:val="20"/>
                <w:szCs w:val="20"/>
              </w:rPr>
              <w:t>22381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EMPRESA MOCOANA DE GAS</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34"/>
              <w:jc w:val="right"/>
              <w:rPr>
                <w:rFonts w:ascii="Bookman Old Style" w:hAnsi="Bookman Old Style"/>
                <w:sz w:val="20"/>
                <w:szCs w:val="20"/>
              </w:rPr>
            </w:pPr>
            <w:r w:rsidRPr="00572628">
              <w:rPr>
                <w:rFonts w:ascii="Bookman Old Style" w:eastAsia="Calibri" w:hAnsi="Bookman Old Style" w:cs="Calibri"/>
                <w:sz w:val="20"/>
                <w:szCs w:val="20"/>
              </w:rPr>
              <w:t>22834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4"/>
              <w:rPr>
                <w:rFonts w:ascii="Bookman Old Style" w:hAnsi="Bookman Old Style"/>
                <w:sz w:val="20"/>
                <w:szCs w:val="20"/>
              </w:rPr>
            </w:pPr>
            <w:r w:rsidRPr="00572628">
              <w:rPr>
                <w:rFonts w:ascii="Bookman Old Style" w:hAnsi="Bookman Old Style"/>
                <w:sz w:val="20"/>
                <w:szCs w:val="20"/>
              </w:rPr>
              <w:t>RIVERGAS S.A.S E.S.P.</w:t>
            </w:r>
          </w:p>
        </w:tc>
      </w:tr>
      <w:tr w:rsidR="00EB2D23" w:rsidRPr="00572628"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41"/>
              <w:jc w:val="center"/>
              <w:rPr>
                <w:rFonts w:ascii="Bookman Old Style" w:hAnsi="Bookman Old Style"/>
                <w:sz w:val="20"/>
                <w:szCs w:val="20"/>
              </w:rPr>
            </w:pPr>
            <w:r w:rsidRPr="00572628">
              <w:rPr>
                <w:rFonts w:ascii="Bookman Old Style" w:eastAsia="Calibri" w:hAnsi="Bookman Old Style" w:cs="Calibri"/>
                <w:sz w:val="20"/>
                <w:szCs w:val="20"/>
              </w:rPr>
              <w:lastRenderedPageBreak/>
              <w:t>23055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9"/>
              <w:rPr>
                <w:rFonts w:ascii="Bookman Old Style" w:hAnsi="Bookman Old Style"/>
                <w:sz w:val="20"/>
                <w:szCs w:val="20"/>
              </w:rPr>
            </w:pPr>
            <w:r w:rsidRPr="00572628">
              <w:rPr>
                <w:rFonts w:ascii="Bookman Old Style" w:hAnsi="Bookman Old Style"/>
                <w:sz w:val="20"/>
                <w:szCs w:val="20"/>
              </w:rPr>
              <w:t>COMERCIALIZADORES MINORISTAS DE GLP EL GAS EN SU HOGAR S A S. E.S.P.</w:t>
            </w:r>
          </w:p>
        </w:tc>
      </w:tr>
      <w:tr w:rsidR="00EB2D23" w:rsidRPr="00572628" w:rsidTr="00EB2D23">
        <w:trPr>
          <w:trHeight w:val="298"/>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60"/>
              <w:jc w:val="center"/>
              <w:rPr>
                <w:rFonts w:ascii="Bookman Old Style" w:hAnsi="Bookman Old Style"/>
                <w:sz w:val="20"/>
                <w:szCs w:val="20"/>
              </w:rPr>
            </w:pPr>
            <w:r w:rsidRPr="00572628">
              <w:rPr>
                <w:rFonts w:ascii="Bookman Old Style" w:eastAsia="Calibri" w:hAnsi="Bookman Old Style" w:cs="Calibri"/>
                <w:sz w:val="20"/>
                <w:szCs w:val="20"/>
              </w:rPr>
              <w:t>23112</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9"/>
              <w:rPr>
                <w:rFonts w:ascii="Bookman Old Style" w:hAnsi="Bookman Old Style"/>
                <w:sz w:val="20"/>
                <w:szCs w:val="20"/>
              </w:rPr>
            </w:pPr>
            <w:r w:rsidRPr="00572628">
              <w:rPr>
                <w:rFonts w:ascii="Bookman Old Style" w:hAnsi="Bookman Old Style"/>
                <w:sz w:val="20"/>
                <w:szCs w:val="20"/>
              </w:rPr>
              <w:t>PIPEGAS S.A.S. E.S.P</w:t>
            </w:r>
          </w:p>
        </w:tc>
      </w:tr>
      <w:tr w:rsidR="00EB2D23" w:rsidRPr="00572628" w:rsidTr="00EB2D23">
        <w:trPr>
          <w:trHeight w:val="300"/>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23458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4"/>
              <w:rPr>
                <w:rFonts w:ascii="Bookman Old Style" w:hAnsi="Bookman Old Style"/>
                <w:sz w:val="20"/>
                <w:szCs w:val="20"/>
              </w:rPr>
            </w:pPr>
            <w:r w:rsidRPr="00572628">
              <w:rPr>
                <w:rFonts w:ascii="Bookman Old Style" w:hAnsi="Bookman Old Style"/>
                <w:sz w:val="20"/>
                <w:szCs w:val="20"/>
              </w:rPr>
              <w:t>INVERSIONES GLP CASES DE COLOMBIA SAS ESP</w:t>
            </w:r>
          </w:p>
        </w:tc>
      </w:tr>
      <w:tr w:rsidR="00EB2D23" w:rsidRPr="004075B5" w:rsidTr="00EB2D23">
        <w:trPr>
          <w:trHeight w:val="295"/>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29"/>
              <w:jc w:val="right"/>
              <w:rPr>
                <w:rFonts w:ascii="Bookman Old Style" w:hAnsi="Bookman Old Style"/>
                <w:sz w:val="20"/>
                <w:szCs w:val="20"/>
              </w:rPr>
            </w:pPr>
            <w:r w:rsidRPr="00572628">
              <w:rPr>
                <w:rFonts w:ascii="Bookman Old Style" w:eastAsia="Calibri" w:hAnsi="Bookman Old Style" w:cs="Calibri"/>
                <w:sz w:val="20"/>
                <w:szCs w:val="20"/>
              </w:rPr>
              <w:t>24860</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FEDEGAS S.A.S. E.S.P</w:t>
            </w:r>
          </w:p>
        </w:tc>
      </w:tr>
      <w:tr w:rsidR="00EB2D23" w:rsidRPr="003E5CA1"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213"/>
              <w:rPr>
                <w:rFonts w:ascii="Bookman Old Style" w:hAnsi="Bookman Old Style"/>
                <w:sz w:val="20"/>
                <w:szCs w:val="20"/>
              </w:rPr>
            </w:pPr>
            <w:r w:rsidRPr="00572628">
              <w:rPr>
                <w:rFonts w:ascii="Bookman Old Style" w:eastAsia="Calibri" w:hAnsi="Bookman Old Style" w:cs="Calibri"/>
                <w:sz w:val="20"/>
                <w:szCs w:val="20"/>
              </w:rPr>
              <w:t>27111</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19"/>
              <w:rPr>
                <w:rFonts w:ascii="Bookman Old Style" w:hAnsi="Bookman Old Style"/>
                <w:sz w:val="20"/>
                <w:szCs w:val="20"/>
                <w:lang w:val="en-US"/>
              </w:rPr>
            </w:pPr>
            <w:r w:rsidRPr="00720524">
              <w:rPr>
                <w:rFonts w:ascii="Bookman Old Style" w:hAnsi="Bookman Old Style"/>
                <w:sz w:val="20"/>
                <w:szCs w:val="20"/>
                <w:lang w:val="en-US"/>
              </w:rPr>
              <w:t>ASPAY ENERGY S.A.S E.S.P.</w:t>
            </w:r>
          </w:p>
        </w:tc>
      </w:tr>
      <w:tr w:rsidR="00EB2D23" w:rsidRPr="00572628" w:rsidTr="00EB2D23">
        <w:trPr>
          <w:trHeight w:val="29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136"/>
              <w:jc w:val="center"/>
              <w:rPr>
                <w:rFonts w:ascii="Bookman Old Style" w:hAnsi="Bookman Old Style"/>
                <w:sz w:val="20"/>
                <w:szCs w:val="20"/>
              </w:rPr>
            </w:pPr>
            <w:r w:rsidRPr="00572628">
              <w:rPr>
                <w:rFonts w:ascii="Bookman Old Style" w:eastAsia="Calibri" w:hAnsi="Bookman Old Style" w:cs="Calibri"/>
                <w:sz w:val="20"/>
                <w:szCs w:val="20"/>
              </w:rPr>
              <w:t>29251</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DAVROGAZ S.A.S.</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32073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MEGAS S.A.S. ESP</w:t>
            </w:r>
          </w:p>
        </w:tc>
      </w:tr>
      <w:tr w:rsidR="00EB2D23" w:rsidRPr="003E5CA1"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9"/>
              <w:jc w:val="right"/>
              <w:rPr>
                <w:rFonts w:ascii="Bookman Old Style" w:hAnsi="Bookman Old Style"/>
                <w:sz w:val="20"/>
                <w:szCs w:val="20"/>
              </w:rPr>
            </w:pPr>
            <w:r w:rsidRPr="00572628">
              <w:rPr>
                <w:rFonts w:ascii="Bookman Old Style" w:eastAsia="Calibri" w:hAnsi="Bookman Old Style" w:cs="Calibri"/>
                <w:sz w:val="20"/>
                <w:szCs w:val="20"/>
              </w:rPr>
              <w:t>32173</w:t>
            </w:r>
          </w:p>
        </w:tc>
        <w:tc>
          <w:tcPr>
            <w:tcW w:w="4462" w:type="pct"/>
            <w:tcBorders>
              <w:top w:val="single" w:sz="2" w:space="0" w:color="000000"/>
              <w:left w:val="single" w:sz="2" w:space="0" w:color="000000"/>
              <w:bottom w:val="single" w:sz="2" w:space="0" w:color="000000"/>
              <w:right w:val="single" w:sz="2" w:space="0" w:color="000000"/>
            </w:tcBorders>
          </w:tcPr>
          <w:p w:rsidR="00EB2D23" w:rsidRPr="00720524" w:rsidRDefault="00EB2D23" w:rsidP="003D171F">
            <w:pPr>
              <w:spacing w:line="259" w:lineRule="auto"/>
              <w:ind w:left="34"/>
              <w:rPr>
                <w:rFonts w:ascii="Bookman Old Style" w:hAnsi="Bookman Old Style"/>
                <w:sz w:val="20"/>
                <w:szCs w:val="20"/>
                <w:lang w:val="en-US"/>
              </w:rPr>
            </w:pPr>
            <w:r w:rsidRPr="00720524">
              <w:rPr>
                <w:rFonts w:ascii="Bookman Old Style" w:hAnsi="Bookman Old Style"/>
                <w:sz w:val="20"/>
                <w:szCs w:val="20"/>
                <w:lang w:val="en-US"/>
              </w:rPr>
              <w:t>OIL &amp; GAS MAINTENANCE AND SERVICE SAS ESP</w:t>
            </w:r>
          </w:p>
        </w:tc>
      </w:tr>
      <w:tr w:rsidR="00EB2D23" w:rsidRPr="00572628" w:rsidTr="00EB2D23">
        <w:trPr>
          <w:trHeight w:val="307"/>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4"/>
              <w:jc w:val="right"/>
              <w:rPr>
                <w:rFonts w:ascii="Bookman Old Style" w:hAnsi="Bookman Old Style"/>
                <w:sz w:val="20"/>
                <w:szCs w:val="20"/>
              </w:rPr>
            </w:pPr>
            <w:r w:rsidRPr="00572628">
              <w:rPr>
                <w:rFonts w:ascii="Bookman Old Style" w:eastAsia="Calibri" w:hAnsi="Bookman Old Style" w:cs="Calibri"/>
                <w:sz w:val="20"/>
                <w:szCs w:val="20"/>
              </w:rPr>
              <w:t>32253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COMERCIALIZADORA DE GAS CASANARE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36033</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3"/>
              <w:rPr>
                <w:rFonts w:ascii="Bookman Old Style" w:hAnsi="Bookman Old Style"/>
                <w:sz w:val="20"/>
                <w:szCs w:val="20"/>
              </w:rPr>
            </w:pPr>
            <w:r w:rsidRPr="00572628">
              <w:rPr>
                <w:rFonts w:ascii="Bookman Old Style" w:hAnsi="Bookman Old Style"/>
                <w:sz w:val="20"/>
                <w:szCs w:val="20"/>
              </w:rPr>
              <w:t>COMPRIGAS S.A.S. E.S.P.</w:t>
            </w:r>
          </w:p>
        </w:tc>
      </w:tr>
      <w:tr w:rsidR="00EB2D23" w:rsidRPr="00572628" w:rsidTr="00EB2D23">
        <w:trPr>
          <w:trHeight w:val="302"/>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10"/>
              <w:jc w:val="right"/>
              <w:rPr>
                <w:rFonts w:ascii="Bookman Old Style" w:hAnsi="Bookman Old Style"/>
                <w:sz w:val="20"/>
                <w:szCs w:val="20"/>
              </w:rPr>
            </w:pPr>
            <w:r w:rsidRPr="00572628">
              <w:rPr>
                <w:rFonts w:ascii="Bookman Old Style" w:eastAsia="Calibri" w:hAnsi="Bookman Old Style" w:cs="Calibri"/>
                <w:sz w:val="20"/>
                <w:szCs w:val="20"/>
              </w:rPr>
              <w:t>36154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48"/>
              <w:rPr>
                <w:rFonts w:ascii="Bookman Old Style" w:hAnsi="Bookman Old Style"/>
                <w:sz w:val="20"/>
                <w:szCs w:val="20"/>
              </w:rPr>
            </w:pPr>
            <w:r w:rsidRPr="00572628">
              <w:rPr>
                <w:rFonts w:ascii="Bookman Old Style" w:hAnsi="Bookman Old Style"/>
                <w:sz w:val="20"/>
                <w:szCs w:val="20"/>
              </w:rPr>
              <w:t>ENTREGAMOS G.L.P. E.S.P. S.A.S.</w:t>
            </w:r>
          </w:p>
        </w:tc>
      </w:tr>
      <w:tr w:rsidR="00EB2D23" w:rsidRPr="00572628" w:rsidTr="00EB2D23">
        <w:trPr>
          <w:trHeight w:val="293"/>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37174</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38"/>
              <w:rPr>
                <w:rFonts w:ascii="Bookman Old Style" w:hAnsi="Bookman Old Style"/>
                <w:sz w:val="20"/>
                <w:szCs w:val="20"/>
              </w:rPr>
            </w:pPr>
            <w:r w:rsidRPr="00572628">
              <w:rPr>
                <w:rFonts w:ascii="Bookman Old Style" w:hAnsi="Bookman Old Style"/>
                <w:sz w:val="20"/>
                <w:szCs w:val="20"/>
              </w:rPr>
              <w:t>TERMOGAS SOLUCIONES ENERGETICAS SAS ESP</w:t>
            </w:r>
          </w:p>
        </w:tc>
      </w:tr>
      <w:tr w:rsidR="00EB2D23" w:rsidRPr="00572628" w:rsidTr="00EB2D23">
        <w:trPr>
          <w:trHeight w:val="309"/>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right="5"/>
              <w:jc w:val="right"/>
              <w:rPr>
                <w:rFonts w:ascii="Bookman Old Style" w:hAnsi="Bookman Old Style"/>
                <w:sz w:val="20"/>
                <w:szCs w:val="20"/>
              </w:rPr>
            </w:pPr>
            <w:r w:rsidRPr="00572628">
              <w:rPr>
                <w:rFonts w:ascii="Bookman Old Style" w:eastAsia="Calibri" w:hAnsi="Bookman Old Style" w:cs="Calibri"/>
                <w:sz w:val="20"/>
                <w:szCs w:val="20"/>
              </w:rPr>
              <w:t>39875</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DUARTECNICOS SAS</w:t>
            </w:r>
          </w:p>
        </w:tc>
      </w:tr>
      <w:tr w:rsidR="00EB2D23" w:rsidRPr="00572628" w:rsidTr="00EB2D23">
        <w:trPr>
          <w:trHeight w:val="301"/>
        </w:trPr>
        <w:tc>
          <w:tcPr>
            <w:tcW w:w="538"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jc w:val="right"/>
              <w:rPr>
                <w:rFonts w:ascii="Bookman Old Style" w:hAnsi="Bookman Old Style"/>
                <w:sz w:val="20"/>
                <w:szCs w:val="20"/>
              </w:rPr>
            </w:pPr>
            <w:r w:rsidRPr="00572628">
              <w:rPr>
                <w:rFonts w:ascii="Bookman Old Style" w:eastAsia="Calibri" w:hAnsi="Bookman Old Style" w:cs="Calibri"/>
                <w:sz w:val="20"/>
                <w:szCs w:val="20"/>
              </w:rPr>
              <w:t>22818</w:t>
            </w:r>
          </w:p>
        </w:tc>
        <w:tc>
          <w:tcPr>
            <w:tcW w:w="4462" w:type="pct"/>
            <w:tcBorders>
              <w:top w:val="single" w:sz="2" w:space="0" w:color="000000"/>
              <w:left w:val="single" w:sz="2" w:space="0" w:color="000000"/>
              <w:bottom w:val="single" w:sz="2" w:space="0" w:color="000000"/>
              <w:right w:val="single" w:sz="2" w:space="0" w:color="000000"/>
            </w:tcBorders>
          </w:tcPr>
          <w:p w:rsidR="00EB2D23" w:rsidRPr="00572628" w:rsidRDefault="00EB2D23" w:rsidP="003D171F">
            <w:pPr>
              <w:spacing w:line="259" w:lineRule="auto"/>
              <w:ind w:left="53"/>
              <w:rPr>
                <w:rFonts w:ascii="Bookman Old Style" w:hAnsi="Bookman Old Style"/>
                <w:sz w:val="20"/>
                <w:szCs w:val="20"/>
              </w:rPr>
            </w:pPr>
            <w:r w:rsidRPr="00572628">
              <w:rPr>
                <w:rFonts w:ascii="Bookman Old Style" w:hAnsi="Bookman Old Style"/>
                <w:sz w:val="20"/>
                <w:szCs w:val="20"/>
              </w:rPr>
              <w:t>COMBUSTIBLES LíQUlDOS DE COLOMBIA S.A. E.S.P.</w:t>
            </w:r>
          </w:p>
        </w:tc>
      </w:tr>
    </w:tbl>
    <w:p w:rsidR="00BE5DEF" w:rsidRPr="00BE5DEF" w:rsidRDefault="00BE5DEF" w:rsidP="00EB2D23">
      <w:pPr>
        <w:pStyle w:val="Textoindependiente2"/>
        <w:spacing w:after="0" w:line="240" w:lineRule="auto"/>
        <w:ind w:left="0" w:right="567"/>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Default="00BE5DEF" w:rsidP="00BE5DEF">
      <w:pPr>
        <w:pStyle w:val="Textoindependiente2"/>
        <w:spacing w:after="0" w:line="240" w:lineRule="auto"/>
        <w:ind w:left="851" w:right="567"/>
        <w:jc w:val="both"/>
        <w:rPr>
          <w:rFonts w:ascii="Bookman Old Style" w:hAnsi="Bookman Old Style"/>
          <w:i/>
          <w:sz w:val="22"/>
          <w:szCs w:val="22"/>
        </w:rPr>
      </w:pPr>
      <w:r w:rsidRPr="00BE5DEF">
        <w:rPr>
          <w:rFonts w:ascii="Bookman Old Style" w:hAnsi="Bookman Old Style"/>
          <w:i/>
          <w:sz w:val="22"/>
          <w:szCs w:val="22"/>
        </w:rPr>
        <w:t>Reporte: SUI/Administracion/Estado de reporte de Informacion Prestadores SSPD</w:t>
      </w:r>
    </w:p>
    <w:p w:rsidR="00BE5DEF" w:rsidRPr="00BE5DEF" w:rsidRDefault="00BE5DEF" w:rsidP="00BE5DEF">
      <w:pPr>
        <w:pStyle w:val="Textoindependiente2"/>
        <w:spacing w:after="0" w:line="240" w:lineRule="auto"/>
        <w:ind w:left="851" w:right="567"/>
        <w:jc w:val="both"/>
        <w:rPr>
          <w:rFonts w:ascii="Bookman Old Style" w:hAnsi="Bookman Old Style"/>
          <w:i/>
          <w:sz w:val="22"/>
          <w:szCs w:val="22"/>
        </w:rPr>
      </w:pPr>
    </w:p>
    <w:p w:rsidR="00EB2D23" w:rsidRPr="009364D0" w:rsidRDefault="00BE5DEF" w:rsidP="00EB2D23">
      <w:pPr>
        <w:pStyle w:val="Textoindependiente2"/>
        <w:spacing w:after="0" w:line="240" w:lineRule="auto"/>
        <w:ind w:right="284"/>
        <w:jc w:val="both"/>
        <w:rPr>
          <w:rFonts w:ascii="Bookman Old Style" w:hAnsi="Bookman Old Style"/>
          <w:sz w:val="22"/>
          <w:szCs w:val="22"/>
        </w:rPr>
      </w:pPr>
      <w:r w:rsidRPr="009364D0">
        <w:rPr>
          <w:rFonts w:ascii="Bookman Old Style" w:hAnsi="Bookman Old Style"/>
          <w:sz w:val="22"/>
          <w:szCs w:val="22"/>
        </w:rPr>
        <w:t>Adicionalmente, las siguientes empresas, reportaron la información como "No Aplica"</w:t>
      </w:r>
    </w:p>
    <w:p w:rsidR="00EB2D23" w:rsidRDefault="00EB2D23" w:rsidP="00EB2D23">
      <w:pPr>
        <w:pStyle w:val="Textoindependiente2"/>
        <w:spacing w:after="0" w:line="240" w:lineRule="auto"/>
        <w:ind w:right="284"/>
        <w:jc w:val="both"/>
        <w:rPr>
          <w:rFonts w:ascii="Bookman Old Style" w:hAnsi="Bookman Old Style"/>
          <w:i/>
          <w:sz w:val="22"/>
          <w:szCs w:val="22"/>
        </w:rPr>
      </w:pPr>
    </w:p>
    <w:tbl>
      <w:tblPr>
        <w:tblStyle w:val="TableGrid"/>
        <w:tblW w:w="9370" w:type="dxa"/>
        <w:tblInd w:w="51" w:type="dxa"/>
        <w:tblCellMar>
          <w:top w:w="11" w:type="dxa"/>
          <w:left w:w="67" w:type="dxa"/>
          <w:right w:w="101" w:type="dxa"/>
        </w:tblCellMar>
        <w:tblLook w:val="04A0" w:firstRow="1" w:lastRow="0" w:firstColumn="1" w:lastColumn="0" w:noHBand="0" w:noVBand="1"/>
      </w:tblPr>
      <w:tblGrid>
        <w:gridCol w:w="791"/>
        <w:gridCol w:w="6043"/>
        <w:gridCol w:w="2536"/>
      </w:tblGrid>
      <w:tr w:rsidR="00572628" w:rsidRPr="00572628" w:rsidTr="00572628">
        <w:trPr>
          <w:trHeight w:val="315"/>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45"/>
              <w:jc w:val="center"/>
              <w:rPr>
                <w:rFonts w:ascii="Bookman Old Style" w:hAnsi="Bookman Old Style"/>
                <w:sz w:val="20"/>
                <w:szCs w:val="20"/>
              </w:rPr>
            </w:pPr>
            <w:r w:rsidRPr="00572628">
              <w:rPr>
                <w:rFonts w:ascii="Bookman Old Style" w:hAnsi="Bookman Old Style"/>
                <w:sz w:val="20"/>
                <w:szCs w:val="20"/>
              </w:rPr>
              <w:t>ID</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4"/>
              <w:jc w:val="center"/>
              <w:rPr>
                <w:rFonts w:ascii="Bookman Old Style" w:hAnsi="Bookman Old Style"/>
                <w:sz w:val="20"/>
                <w:szCs w:val="20"/>
              </w:rPr>
            </w:pPr>
            <w:r w:rsidRPr="00572628">
              <w:rPr>
                <w:rFonts w:ascii="Bookman Old Style" w:hAnsi="Bookman Old Style"/>
                <w:sz w:val="20"/>
                <w:szCs w:val="20"/>
              </w:rPr>
              <w:t>EMPRESA</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35"/>
              <w:jc w:val="center"/>
              <w:rPr>
                <w:rFonts w:ascii="Bookman Old Style" w:hAnsi="Bookman Old Style"/>
                <w:sz w:val="20"/>
                <w:szCs w:val="20"/>
              </w:rPr>
            </w:pPr>
            <w:r w:rsidRPr="00572628">
              <w:rPr>
                <w:rFonts w:ascii="Bookman Old Style" w:hAnsi="Bookman Old Style"/>
                <w:sz w:val="20"/>
                <w:szCs w:val="20"/>
              </w:rPr>
              <w:t>ESTADO</w:t>
            </w:r>
          </w:p>
        </w:tc>
      </w:tr>
      <w:tr w:rsidR="00572628" w:rsidRPr="00572628" w:rsidTr="00572628">
        <w:trPr>
          <w:trHeight w:val="46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6"/>
              <w:rPr>
                <w:rFonts w:ascii="Bookman Old Style" w:hAnsi="Bookman Old Style"/>
                <w:sz w:val="20"/>
                <w:szCs w:val="20"/>
              </w:rPr>
            </w:pPr>
            <w:r w:rsidRPr="00572628">
              <w:rPr>
                <w:rFonts w:ascii="Bookman Old Style" w:eastAsia="Calibri" w:hAnsi="Bookman Old Style" w:cs="Calibri"/>
                <w:sz w:val="20"/>
                <w:szCs w:val="20"/>
              </w:rPr>
              <w:t>1713</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9"/>
              <w:rPr>
                <w:rFonts w:ascii="Bookman Old Style" w:hAnsi="Bookman Old Style"/>
                <w:sz w:val="20"/>
                <w:szCs w:val="20"/>
              </w:rPr>
            </w:pPr>
            <w:r w:rsidRPr="00572628">
              <w:rPr>
                <w:rFonts w:ascii="Bookman Old Style" w:hAnsi="Bookman Old Style"/>
                <w:sz w:val="20"/>
                <w:szCs w:val="20"/>
              </w:rPr>
              <w:t>INTERMUNICIPAL DE GAS S.A. E.S.R</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80"/>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1"/>
              <w:rPr>
                <w:rFonts w:ascii="Bookman Old Style" w:hAnsi="Bookman Old Style"/>
                <w:sz w:val="20"/>
                <w:szCs w:val="20"/>
              </w:rPr>
            </w:pPr>
            <w:r w:rsidRPr="00572628">
              <w:rPr>
                <w:rFonts w:ascii="Bookman Old Style" w:eastAsia="Calibri" w:hAnsi="Bookman Old Style" w:cs="Calibri"/>
                <w:sz w:val="20"/>
                <w:szCs w:val="20"/>
              </w:rPr>
              <w:t>1715</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GAS EL SOL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5" w:firstLine="10"/>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78"/>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7"/>
              <w:rPr>
                <w:rFonts w:ascii="Bookman Old Style" w:hAnsi="Bookman Old Style"/>
                <w:sz w:val="20"/>
                <w:szCs w:val="20"/>
              </w:rPr>
            </w:pPr>
            <w:r w:rsidRPr="00572628">
              <w:rPr>
                <w:rFonts w:ascii="Bookman Old Style" w:eastAsia="Calibri" w:hAnsi="Bookman Old Style" w:cs="Calibri"/>
                <w:sz w:val="20"/>
                <w:szCs w:val="20"/>
              </w:rPr>
              <w:t>3080</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4"/>
              <w:rPr>
                <w:rFonts w:ascii="Bookman Old Style" w:hAnsi="Bookman Old Style"/>
                <w:sz w:val="20"/>
                <w:szCs w:val="20"/>
              </w:rPr>
            </w:pPr>
            <w:r w:rsidRPr="00572628">
              <w:rPr>
                <w:rFonts w:ascii="Bookman Old Style" w:hAnsi="Bookman Old Style"/>
                <w:sz w:val="20"/>
                <w:szCs w:val="20"/>
              </w:rPr>
              <w:t>LA LLAMA OLÍMPICA S.A,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4"/>
              <w:rPr>
                <w:rFonts w:ascii="Bookman Old Style" w:hAnsi="Bookman Old Style"/>
                <w:sz w:val="20"/>
                <w:szCs w:val="20"/>
              </w:rPr>
            </w:pPr>
            <w:r w:rsidRPr="00572628">
              <w:rPr>
                <w:rFonts w:ascii="Bookman Old Style" w:hAnsi="Bookman Old Style"/>
                <w:sz w:val="20"/>
                <w:szCs w:val="20"/>
              </w:rPr>
              <w:t>CERTIFICADO NO APLICA</w:t>
            </w:r>
          </w:p>
        </w:tc>
      </w:tr>
      <w:tr w:rsidR="00572628" w:rsidRPr="00572628" w:rsidTr="00572628">
        <w:trPr>
          <w:trHeight w:val="463"/>
        </w:trPr>
        <w:tc>
          <w:tcPr>
            <w:tcW w:w="703"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2"/>
              <w:rPr>
                <w:rFonts w:ascii="Bookman Old Style" w:hAnsi="Bookman Old Style"/>
                <w:sz w:val="20"/>
                <w:szCs w:val="20"/>
              </w:rPr>
            </w:pPr>
            <w:r w:rsidRPr="00572628">
              <w:rPr>
                <w:rFonts w:ascii="Bookman Old Style" w:eastAsia="Calibri" w:hAnsi="Bookman Old Style" w:cs="Calibri"/>
                <w:sz w:val="20"/>
                <w:szCs w:val="20"/>
              </w:rPr>
              <w:t>25954</w:t>
            </w:r>
          </w:p>
        </w:tc>
        <w:tc>
          <w:tcPr>
            <w:tcW w:w="6115"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left="10"/>
              <w:rPr>
                <w:rFonts w:ascii="Bookman Old Style" w:hAnsi="Bookman Old Style"/>
                <w:sz w:val="20"/>
                <w:szCs w:val="20"/>
              </w:rPr>
            </w:pPr>
            <w:r w:rsidRPr="00572628">
              <w:rPr>
                <w:rFonts w:ascii="Bookman Old Style" w:hAnsi="Bookman Old Style"/>
                <w:sz w:val="20"/>
                <w:szCs w:val="20"/>
              </w:rPr>
              <w:t>DISTRIBUIDORA DE GAS DEL PACIFICO DIGAS SAS ESP</w:t>
            </w:r>
          </w:p>
        </w:tc>
        <w:tc>
          <w:tcPr>
            <w:tcW w:w="2552" w:type="dxa"/>
            <w:tcBorders>
              <w:top w:val="single" w:sz="2" w:space="0" w:color="000000"/>
              <w:left w:val="single" w:sz="2" w:space="0" w:color="000000"/>
              <w:bottom w:val="single" w:sz="2" w:space="0" w:color="000000"/>
              <w:right w:val="single" w:sz="2" w:space="0" w:color="000000"/>
            </w:tcBorders>
            <w:vAlign w:val="center"/>
          </w:tcPr>
          <w:p w:rsidR="00572628" w:rsidRPr="00572628" w:rsidRDefault="00572628" w:rsidP="00572628">
            <w:pPr>
              <w:spacing w:line="259" w:lineRule="auto"/>
              <w:ind w:firstLine="10"/>
              <w:rPr>
                <w:rFonts w:ascii="Bookman Old Style" w:hAnsi="Bookman Old Style"/>
                <w:sz w:val="20"/>
                <w:szCs w:val="20"/>
              </w:rPr>
            </w:pPr>
            <w:r w:rsidRPr="00572628">
              <w:rPr>
                <w:rFonts w:ascii="Bookman Old Style" w:hAnsi="Bookman Old Style"/>
                <w:sz w:val="20"/>
                <w:szCs w:val="20"/>
              </w:rPr>
              <w:t>CERTIFICADO NO APLICA</w:t>
            </w:r>
          </w:p>
        </w:tc>
      </w:tr>
    </w:tbl>
    <w:p w:rsidR="00BE5DEF" w:rsidRPr="00BE5DEF" w:rsidRDefault="00BE5DEF" w:rsidP="007F3FC2">
      <w:pPr>
        <w:pStyle w:val="Textoindependiente2"/>
        <w:spacing w:after="0" w:line="240" w:lineRule="auto"/>
        <w:ind w:left="0"/>
        <w:jc w:val="both"/>
        <w:rPr>
          <w:rFonts w:ascii="Bookman Old Style" w:hAnsi="Bookman Old Style"/>
          <w:i/>
          <w:sz w:val="22"/>
          <w:szCs w:val="22"/>
        </w:rPr>
      </w:pPr>
      <w:r w:rsidRPr="00BE5DEF">
        <w:rPr>
          <w:rFonts w:ascii="Bookman Old Style" w:hAnsi="Bookman Old Style"/>
          <w:i/>
          <w:sz w:val="22"/>
          <w:szCs w:val="22"/>
        </w:rPr>
        <w:t>Fuente: Reporte estado de pendientes SUI</w:t>
      </w:r>
    </w:p>
    <w:p w:rsidR="00BE5DEF" w:rsidRPr="00BE5DEF" w:rsidRDefault="00BE5DEF" w:rsidP="007F3FC2">
      <w:pPr>
        <w:pStyle w:val="Textoindependiente2"/>
        <w:spacing w:after="0" w:line="240" w:lineRule="auto"/>
        <w:ind w:left="851"/>
        <w:jc w:val="both"/>
        <w:rPr>
          <w:rFonts w:ascii="Bookman Old Style" w:hAnsi="Bookman Old Style"/>
          <w:i/>
          <w:sz w:val="22"/>
          <w:szCs w:val="22"/>
        </w:rPr>
      </w:pPr>
      <w:r w:rsidRPr="00BE5DEF">
        <w:rPr>
          <w:rFonts w:ascii="Bookman Old Style" w:hAnsi="Bookman Old Style"/>
          <w:i/>
          <w:sz w:val="22"/>
          <w:szCs w:val="22"/>
        </w:rPr>
        <w:t>Reporte: SUI/Administracion/Estado de reporte de Informacion Prestadores SSPD</w:t>
      </w:r>
    </w:p>
    <w:p w:rsidR="009364D0" w:rsidRDefault="009364D0" w:rsidP="007F3FC2">
      <w:pPr>
        <w:pStyle w:val="Textoindependiente2"/>
        <w:spacing w:after="0" w:line="240" w:lineRule="auto"/>
        <w:jc w:val="both"/>
        <w:rPr>
          <w:rFonts w:ascii="Bookman Old Style" w:hAnsi="Bookman Old Style"/>
          <w:i/>
          <w:sz w:val="22"/>
          <w:szCs w:val="22"/>
        </w:rPr>
      </w:pPr>
    </w:p>
    <w:p w:rsidR="00F90F7B" w:rsidRPr="007F3FC2" w:rsidRDefault="00BE5DEF" w:rsidP="007F3FC2">
      <w:pPr>
        <w:pStyle w:val="Textoindependiente2"/>
        <w:spacing w:after="0" w:line="240" w:lineRule="auto"/>
        <w:jc w:val="both"/>
        <w:rPr>
          <w:rFonts w:ascii="Bookman Old Style" w:hAnsi="Bookman Old Style"/>
          <w:i/>
          <w:sz w:val="22"/>
          <w:szCs w:val="22"/>
          <w:highlight w:val="yellow"/>
        </w:rPr>
      </w:pPr>
      <w:r w:rsidRPr="00BE5DEF">
        <w:rPr>
          <w:rFonts w:ascii="Bookman Old Style" w:hAnsi="Bookman Old Style"/>
          <w:i/>
          <w:sz w:val="22"/>
          <w:szCs w:val="22"/>
        </w:rPr>
        <w:t>Por otra parte, con el propósito de contar con la información de cilindros y tanques estacionarios, para poder realizar una asignación objetiva y transparente de la capacidad máxima de compra de la que trata el artículo 8 de la Resolución CREG 063 de 2016, modificado por el artículo 1 de la Resolución CREG 180 de 2017, aplicable al segundo semestre del año 2019, esta Dirección el pasado 08 de marzo de 2019, solicitó a todos los Distribuidores Inversionistas de Gas Licuado del Petróleo, realizar oportunamente y con la calidad debida, el reporte mensual del Formato (6009) INFORMACIÓN TÉCNICA DEL PARQUE DE CILINDROS MARCADOS y de</w:t>
      </w:r>
      <w:r w:rsidR="00572628">
        <w:rPr>
          <w:rFonts w:ascii="Bookman Old Style" w:hAnsi="Bookman Old Style"/>
          <w:i/>
          <w:sz w:val="22"/>
          <w:szCs w:val="22"/>
        </w:rPr>
        <w:t xml:space="preserve">l Formato trimestral (1661) – C10- </w:t>
      </w:r>
      <w:r w:rsidRPr="00BE5DEF">
        <w:rPr>
          <w:rFonts w:ascii="Bookman Old Style" w:hAnsi="Bookman Old Style"/>
          <w:i/>
          <w:sz w:val="22"/>
          <w:szCs w:val="22"/>
        </w:rPr>
        <w:t>INFORMACIÓN DE TANQUES ESTACIONARIOS ATENDIDOS POR EL DISTRIBUIDOR, conforme con lo señalado en la Resolución SSPD No. 20141300040755 del 17 de septiembre de 2014 y la Circular Conjunta SSPD - CREG No. 1 del 21 de julio de 2017.</w:t>
      </w:r>
      <w:r w:rsidR="007F3FC2">
        <w:rPr>
          <w:rFonts w:ascii="Bookman Old Style" w:hAnsi="Bookman Old Style"/>
          <w:i/>
          <w:sz w:val="22"/>
          <w:szCs w:val="22"/>
        </w:rPr>
        <w:t xml:space="preserve"> </w:t>
      </w:r>
      <w:r w:rsidR="00F90F7B" w:rsidRPr="001851C6">
        <w:rPr>
          <w:rFonts w:ascii="Bookman Old Style" w:hAnsi="Bookman Old Style"/>
          <w:i/>
          <w:sz w:val="22"/>
          <w:szCs w:val="22"/>
        </w:rPr>
        <w:t>(…)”</w:t>
      </w:r>
    </w:p>
    <w:p w:rsidR="00AE4E4C" w:rsidRDefault="00AE4E4C" w:rsidP="00DE5054">
      <w:pPr>
        <w:spacing w:after="0" w:line="240" w:lineRule="auto"/>
        <w:jc w:val="both"/>
        <w:rPr>
          <w:rFonts w:ascii="Bookman Old Style" w:eastAsia="MS Mincho" w:hAnsi="Bookman Old Style" w:cs="Arial"/>
          <w:sz w:val="24"/>
          <w:szCs w:val="24"/>
          <w:lang w:val="es-ES"/>
        </w:rPr>
      </w:pP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r>
        <w:rPr>
          <w:rFonts w:ascii="Bookman Old Style" w:hAnsi="Bookman Old Style" w:cs="Arial"/>
          <w:spacing w:val="-5"/>
        </w:rPr>
        <w:t>L</w:t>
      </w:r>
      <w:r w:rsidR="00DE5054" w:rsidRPr="00A33677">
        <w:rPr>
          <w:rFonts w:ascii="Bookman Old Style" w:hAnsi="Bookman Old Style" w:cs="Arial"/>
          <w:spacing w:val="-5"/>
        </w:rPr>
        <w:t xml:space="preserve">a Comisión cuenta con la información oficial, pertinente, necesaria y útil, para lo </w:t>
      </w:r>
      <w:r>
        <w:rPr>
          <w:rFonts w:ascii="Bookman Old Style" w:hAnsi="Bookman Old Style" w:cs="Arial"/>
          <w:spacing w:val="-5"/>
        </w:rPr>
        <w:t xml:space="preserve">cual procedió </w:t>
      </w:r>
      <w:r w:rsidR="00DE5054" w:rsidRPr="00A33677">
        <w:rPr>
          <w:rFonts w:ascii="Bookman Old Style" w:hAnsi="Bookman Old Style" w:cs="Arial"/>
          <w:spacing w:val="-5"/>
        </w:rPr>
        <w:t xml:space="preserve">a llevar a cabo el cálculo para la definición de la capacidad de compra a que hace referencia el artículo 8 de la Resolución CREG 063 de 2016 </w:t>
      </w:r>
      <w:r w:rsidRPr="00A33677">
        <w:rPr>
          <w:rFonts w:ascii="Bookman Old Style" w:hAnsi="Bookman Old Style" w:cs="Arial"/>
          <w:spacing w:val="-5"/>
        </w:rPr>
        <w:t xml:space="preserve">mediante la </w:t>
      </w:r>
      <w:r w:rsidRPr="00A33677">
        <w:rPr>
          <w:rFonts w:ascii="Bookman Old Style" w:hAnsi="Bookman Old Style" w:cs="Arial"/>
          <w:spacing w:val="-5"/>
        </w:rPr>
        <w:lastRenderedPageBreak/>
        <w:t xml:space="preserve">Resolución </w:t>
      </w:r>
      <w:r w:rsidRPr="004075B5">
        <w:rPr>
          <w:rFonts w:ascii="Bookman Old Style" w:hAnsi="Bookman Old Style" w:cs="Arial"/>
          <w:spacing w:val="-5"/>
        </w:rPr>
        <w:t xml:space="preserve">CREG </w:t>
      </w:r>
      <w:r w:rsidR="000A43E8" w:rsidRPr="004075B5">
        <w:rPr>
          <w:rFonts w:ascii="Bookman Old Style" w:hAnsi="Bookman Old Style" w:cs="Arial"/>
          <w:spacing w:val="-5"/>
        </w:rPr>
        <w:t>048 de 2019</w:t>
      </w:r>
      <w:r w:rsidRPr="004075B5">
        <w:rPr>
          <w:rFonts w:ascii="Bookman Old Style" w:hAnsi="Bookman Old Style" w:cs="Arial"/>
          <w:spacing w:val="-5"/>
        </w:rPr>
        <w:t xml:space="preserve">, aplicable para el </w:t>
      </w:r>
      <w:r w:rsidR="000A43E8" w:rsidRPr="004075B5">
        <w:rPr>
          <w:rFonts w:ascii="Bookman Old Style" w:hAnsi="Bookman Old Style" w:cs="Arial"/>
          <w:spacing w:val="-5"/>
        </w:rPr>
        <w:t>sexto</w:t>
      </w:r>
      <w:r w:rsidRPr="00A33677">
        <w:rPr>
          <w:rFonts w:ascii="Bookman Old Style" w:hAnsi="Bookman Old Style" w:cs="Arial"/>
          <w:spacing w:val="-5"/>
        </w:rPr>
        <w:t xml:space="preserve"> período de compra. Los cálculos y la información que se tuvo en cuenta para la publicación de esta capacidad se encuentran consignados en los Anexos que hace parte de dicha resolución.</w:t>
      </w:r>
    </w:p>
    <w:p w:rsidR="00A33677" w:rsidRPr="00A33677" w:rsidRDefault="00A33677" w:rsidP="00A33677">
      <w:pPr>
        <w:pStyle w:val="Textoindependiente2"/>
        <w:spacing w:after="0" w:line="240" w:lineRule="auto"/>
        <w:ind w:left="-142" w:right="-142"/>
        <w:jc w:val="both"/>
        <w:rPr>
          <w:rFonts w:ascii="Bookman Old Style" w:hAnsi="Bookman Old Style" w:cs="Arial"/>
          <w:spacing w:val="-5"/>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se estableció en su artículo 1º lo siguiente:</w:t>
      </w:r>
    </w:p>
    <w:p w:rsidR="00A33677" w:rsidRPr="00A33677" w:rsidRDefault="00A33677" w:rsidP="00A33677">
      <w:pPr>
        <w:spacing w:after="0" w:line="240" w:lineRule="auto"/>
        <w:ind w:left="-142" w:right="-142"/>
        <w:jc w:val="both"/>
        <w:rPr>
          <w:rFonts w:ascii="Arial" w:eastAsia="MS Mincho" w:hAnsi="Arial" w:cs="Arial"/>
          <w:sz w:val="24"/>
          <w:szCs w:val="24"/>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A33677">
        <w:rPr>
          <w:rFonts w:ascii="Bookman Old Style" w:eastAsia="MS Mincho" w:hAnsi="Bookman Old Style" w:cs="Arial"/>
          <w:i/>
          <w:lang w:val="es-ES"/>
        </w:rPr>
        <w:t xml:space="preserve">La siguiente corresponde a la Capacidad de Compra en los términos de los artículos 8 y 9 de la Resolución CREG 063 de 2013 para cada uno de los </w:t>
      </w:r>
      <w:r w:rsidRPr="007F3FC2">
        <w:rPr>
          <w:rFonts w:ascii="Bookman Old Style" w:eastAsia="Times New Roman" w:hAnsi="Bookman Old Style" w:cs="Arial"/>
          <w:i/>
          <w:lang w:val="es-ES" w:eastAsia="es-ES"/>
        </w:rPr>
        <w:t>siguientes</w:t>
      </w:r>
      <w:r w:rsidRPr="00A33677">
        <w:rPr>
          <w:rFonts w:ascii="Bookman Old Style" w:eastAsia="MS Mincho" w:hAnsi="Bookman Old Style" w:cs="Arial"/>
          <w:i/>
          <w:lang w:val="es-ES"/>
        </w:rPr>
        <w:t xml:space="preserve"> distribuidores de GLP identificados de acuerdo con el reporte de información en el Sistema único de Información –SUI, así como el Registro Único de Prestadores de Servicios Públicos (RUPS), aplicable para el sexto período de compra:</w:t>
      </w:r>
    </w:p>
    <w:p w:rsidR="00A33677" w:rsidRPr="00A33677" w:rsidRDefault="00A33677" w:rsidP="00A33677">
      <w:pPr>
        <w:spacing w:after="0" w:line="240" w:lineRule="auto"/>
        <w:ind w:right="-91"/>
        <w:jc w:val="both"/>
        <w:rPr>
          <w:rFonts w:ascii="Bookman Old Style" w:eastAsia="MS Mincho" w:hAnsi="Bookman Old Style" w:cs="Arial"/>
          <w:i/>
          <w:lang w:val="es-ES"/>
        </w:rPr>
      </w:pPr>
    </w:p>
    <w:tbl>
      <w:tblPr>
        <w:tblW w:w="8500" w:type="dxa"/>
        <w:jc w:val="center"/>
        <w:tblCellMar>
          <w:left w:w="70" w:type="dxa"/>
          <w:right w:w="70" w:type="dxa"/>
        </w:tblCellMar>
        <w:tblLook w:val="04A0" w:firstRow="1" w:lastRow="0" w:firstColumn="1" w:lastColumn="0" w:noHBand="0" w:noVBand="1"/>
      </w:tblPr>
      <w:tblGrid>
        <w:gridCol w:w="1555"/>
        <w:gridCol w:w="4819"/>
        <w:gridCol w:w="2126"/>
      </w:tblGrid>
      <w:tr w:rsidR="00A33677" w:rsidRPr="00A33677" w:rsidTr="00537FB1">
        <w:trPr>
          <w:trHeight w:val="37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Código SUI</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A33677" w:rsidRPr="00A33677" w:rsidRDefault="00A33677" w:rsidP="00A33677">
            <w:pPr>
              <w:spacing w:after="0" w:line="240" w:lineRule="auto"/>
              <w:jc w:val="center"/>
              <w:rPr>
                <w:rFonts w:ascii="Bookman Old Style" w:eastAsia="Times New Roman" w:hAnsi="Bookman Old Style" w:cs="Times New Roman"/>
                <w:b/>
                <w:bCs/>
                <w:i/>
                <w:color w:val="000000"/>
                <w:lang w:eastAsia="es-CO"/>
              </w:rPr>
            </w:pPr>
            <w:r w:rsidRPr="00A33677">
              <w:rPr>
                <w:rFonts w:ascii="Bookman Old Style" w:eastAsia="Times New Roman" w:hAnsi="Bookman Old Style" w:cs="Times New Roman"/>
                <w:b/>
                <w:bCs/>
                <w:i/>
                <w:color w:val="000000"/>
                <w:lang w:eastAsia="es-CO"/>
              </w:rPr>
              <w:t xml:space="preserve">Capacidad de compra </w:t>
            </w:r>
            <m:oMath>
              <m:r>
                <m:rPr>
                  <m:sty m:val="bi"/>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
                      <w:iCs/>
                      <w:color w:val="000000"/>
                      <w:lang w:eastAsia="es-CO"/>
                    </w:rPr>
                  </m:ctrlPr>
                </m:sSubPr>
                <m:e>
                  <m:r>
                    <m:rPr>
                      <m:sty m:val="bi"/>
                    </m:rPr>
                    <w:rPr>
                      <w:rFonts w:ascii="Cambria Math" w:eastAsia="Times New Roman" w:hAnsi="Cambria Math" w:cs="Times New Roman"/>
                      <w:color w:val="000000"/>
                      <w:lang w:eastAsia="es-CO"/>
                    </w:rPr>
                    <m:t>C</m:t>
                  </m:r>
                </m:e>
                <m:sub>
                  <m:r>
                    <m:rPr>
                      <m:sty m:val="bi"/>
                    </m:rPr>
                    <w:rPr>
                      <w:rFonts w:ascii="Cambria Math" w:eastAsia="Times New Roman" w:hAnsi="Cambria Math" w:cs="Times New Roman"/>
                      <w:color w:val="000000"/>
                      <w:lang w:eastAsia="es-CO"/>
                    </w:rPr>
                    <m:t>i,t</m:t>
                  </m:r>
                </m:sub>
              </m:sSub>
            </m:oMath>
          </w:p>
        </w:tc>
      </w:tr>
      <w:tr w:rsidR="00C125D2" w:rsidRPr="00A33677" w:rsidTr="00537FB1">
        <w:trPr>
          <w:trHeight w:val="37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25D2" w:rsidRPr="00DF37E9" w:rsidRDefault="00C125D2" w:rsidP="00C125D2">
            <w:pPr>
              <w:spacing w:after="0" w:line="240" w:lineRule="auto"/>
              <w:jc w:val="center"/>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37174</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C125D2" w:rsidRPr="00DF37E9" w:rsidRDefault="00C125D2" w:rsidP="00C125D2">
            <w:pPr>
              <w:spacing w:after="0" w:line="240" w:lineRule="auto"/>
              <w:rPr>
                <w:rFonts w:ascii="Bookman Old Style" w:eastAsia="Times New Roman" w:hAnsi="Bookman Old Style" w:cs="Times New Roman"/>
                <w:color w:val="000000"/>
                <w:sz w:val="20"/>
                <w:szCs w:val="20"/>
                <w:lang w:eastAsia="es-CO"/>
              </w:rPr>
            </w:pPr>
            <w:r w:rsidRPr="00DF37E9">
              <w:rPr>
                <w:rFonts w:ascii="Bookman Old Style" w:eastAsia="Times New Roman" w:hAnsi="Bookman Old Style" w:cs="Times New Roman"/>
                <w:color w:val="000000"/>
                <w:sz w:val="20"/>
                <w:szCs w:val="20"/>
                <w:lang w:eastAsia="es-CO"/>
              </w:rPr>
              <w:t>Termogas Soluciones Energéticas S.A.</w:t>
            </w:r>
            <w:r>
              <w:rPr>
                <w:rFonts w:ascii="Bookman Old Style" w:eastAsia="Times New Roman" w:hAnsi="Bookman Old Style" w:cs="Times New Roman"/>
                <w:color w:val="000000"/>
                <w:sz w:val="20"/>
                <w:szCs w:val="20"/>
                <w:lang w:eastAsia="es-CO"/>
              </w:rPr>
              <w:t>S.</w:t>
            </w:r>
            <w:r w:rsidRPr="00DF37E9">
              <w:rPr>
                <w:rFonts w:ascii="Bookman Old Style" w:eastAsia="Times New Roman" w:hAnsi="Bookman Old Style" w:cs="Times New Roman"/>
                <w:color w:val="000000"/>
                <w:sz w:val="20"/>
                <w:szCs w:val="20"/>
                <w:lang w:eastAsia="es-CO"/>
              </w:rPr>
              <w:t xml:space="preserve">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C125D2" w:rsidRPr="00DF37E9" w:rsidRDefault="00C125D2" w:rsidP="00A42DD2">
            <w:pPr>
              <w:spacing w:after="0" w:line="240" w:lineRule="auto"/>
              <w:ind w:right="74"/>
              <w:jc w:val="right"/>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0</w:t>
            </w:r>
          </w:p>
        </w:tc>
      </w:tr>
    </w:tbl>
    <w:p w:rsidR="00A33677" w:rsidRPr="00A33677" w:rsidRDefault="00A33677" w:rsidP="00A33677">
      <w:pPr>
        <w:spacing w:after="0" w:line="240" w:lineRule="auto"/>
        <w:ind w:right="284"/>
        <w:jc w:val="both"/>
        <w:rPr>
          <w:rFonts w:ascii="Bookman Old Style" w:eastAsia="MS Mincho" w:hAnsi="Bookman Old Style" w:cs="Arial"/>
          <w:i/>
        </w:rPr>
      </w:pPr>
    </w:p>
    <w:p w:rsidR="00A33677" w:rsidRPr="00A33677" w:rsidRDefault="00A33677"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c</w:t>
      </w:r>
      <w:r>
        <w:rPr>
          <w:rFonts w:ascii="Bookman Old Style" w:eastAsia="MS Mincho" w:hAnsi="Bookman Old Style" w:cs="Arial"/>
          <w:i/>
          <w:lang w:val="es-ES"/>
        </w:rPr>
        <w:t>on corte al 17 de marzo de 2019</w:t>
      </w:r>
      <w:r w:rsidRPr="00A33677">
        <w:rPr>
          <w:rFonts w:ascii="Bookman Old Style" w:eastAsia="MS Mincho" w:hAnsi="Bookman Old Style" w:cs="Arial"/>
          <w:i/>
          <w:lang w:val="es-ES"/>
        </w:rPr>
        <w:t>. El cálculo para cada empresa se detalla en el Anexo que hace parte de la presente resolución.”</w:t>
      </w:r>
    </w:p>
    <w:p w:rsidR="00A33677" w:rsidRPr="00A33677" w:rsidRDefault="00A33677" w:rsidP="00A33677">
      <w:pPr>
        <w:tabs>
          <w:tab w:val="right" w:pos="9498"/>
        </w:tabs>
        <w:spacing w:after="0" w:line="240" w:lineRule="auto"/>
        <w:ind w:left="284" w:right="284"/>
        <w:jc w:val="both"/>
        <w:rPr>
          <w:rFonts w:ascii="Bookman Old Style" w:eastAsia="Times New Roman" w:hAnsi="Bookman Old Style" w:cs="Arial"/>
          <w:sz w:val="24"/>
          <w:szCs w:val="24"/>
          <w:lang w:val="es-ES" w:eastAsia="es-ES"/>
        </w:rPr>
      </w:pP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 RECURSO DE REPOSICIÓN</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Default="00A33677" w:rsidP="00A33677">
      <w:pPr>
        <w:spacing w:after="0" w:line="240" w:lineRule="auto"/>
        <w:ind w:left="-142" w:right="-142"/>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rsidR="00A33677" w:rsidRPr="00A33677" w:rsidRDefault="00A33677" w:rsidP="00A33677">
      <w:pPr>
        <w:spacing w:after="0" w:line="240" w:lineRule="auto"/>
        <w:ind w:left="-142" w:right="-142"/>
        <w:jc w:val="both"/>
        <w:rPr>
          <w:rFonts w:ascii="Bookman Old Style" w:eastAsia="Times New Roman" w:hAnsi="Bookman Old Style" w:cs="Arial"/>
          <w:b/>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Mediante escrito radicado en esta Comisión a través de comunicación remitida mediante </w:t>
      </w:r>
      <w:r w:rsidR="00BD7BE2">
        <w:rPr>
          <w:rFonts w:ascii="Bookman Old Style" w:eastAsia="Times New Roman" w:hAnsi="Bookman Old Style" w:cs="Arial"/>
          <w:spacing w:val="-5"/>
          <w:sz w:val="24"/>
          <w:szCs w:val="24"/>
        </w:rPr>
        <w:t>oficio</w:t>
      </w:r>
      <w:r w:rsidRPr="00A33677">
        <w:rPr>
          <w:rFonts w:ascii="Bookman Old Style" w:eastAsia="Times New Roman" w:hAnsi="Bookman Old Style" w:cs="Arial"/>
          <w:spacing w:val="-5"/>
          <w:sz w:val="24"/>
          <w:szCs w:val="24"/>
        </w:rPr>
        <w:t xml:space="preserve"> con radicado número </w:t>
      </w:r>
      <w:r>
        <w:rPr>
          <w:rFonts w:ascii="Bookman Old Style" w:eastAsia="Times New Roman" w:hAnsi="Bookman Old Style" w:cs="Arial"/>
          <w:spacing w:val="-5"/>
          <w:sz w:val="24"/>
          <w:szCs w:val="24"/>
        </w:rPr>
        <w:t>E-2019-</w:t>
      </w:r>
      <w:r w:rsidR="00C125D2">
        <w:rPr>
          <w:rFonts w:ascii="Bookman Old Style" w:eastAsia="Times New Roman" w:hAnsi="Bookman Old Style" w:cs="Arial"/>
          <w:spacing w:val="-5"/>
          <w:sz w:val="24"/>
          <w:szCs w:val="24"/>
        </w:rPr>
        <w:t>005633</w:t>
      </w:r>
      <w:r>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de </w:t>
      </w:r>
      <w:r w:rsidR="00BD7BE2">
        <w:rPr>
          <w:rFonts w:ascii="Bookman Old Style" w:eastAsia="Times New Roman" w:hAnsi="Bookman Old Style" w:cs="Arial"/>
          <w:spacing w:val="-5"/>
          <w:sz w:val="24"/>
          <w:szCs w:val="24"/>
        </w:rPr>
        <w:t>20</w:t>
      </w:r>
      <w:r w:rsidRPr="00A33677">
        <w:rPr>
          <w:rFonts w:ascii="Bookman Old Style" w:eastAsia="Times New Roman" w:hAnsi="Bookman Old Style" w:cs="Arial"/>
          <w:spacing w:val="-5"/>
          <w:sz w:val="24"/>
          <w:szCs w:val="24"/>
        </w:rPr>
        <w:t xml:space="preserve"> de </w:t>
      </w:r>
      <w:r>
        <w:rPr>
          <w:rFonts w:ascii="Bookman Old Style" w:eastAsia="Times New Roman" w:hAnsi="Bookman Old Style" w:cs="Arial"/>
          <w:spacing w:val="-5"/>
          <w:sz w:val="24"/>
          <w:szCs w:val="24"/>
        </w:rPr>
        <w:t>mayo de 2019</w:t>
      </w:r>
      <w:r w:rsidRPr="00A33677">
        <w:rPr>
          <w:rFonts w:ascii="Bookman Old Style" w:eastAsia="Times New Roman" w:hAnsi="Bookman Old Style" w:cs="Arial"/>
          <w:spacing w:val="-5"/>
          <w:sz w:val="24"/>
          <w:szCs w:val="24"/>
        </w:rPr>
        <w:t xml:space="preserve">, el representante legal de la empresa </w:t>
      </w:r>
      <w:r w:rsidR="00C125D2">
        <w:rPr>
          <w:rFonts w:ascii="Bookman Old Style" w:eastAsia="Times New Roman" w:hAnsi="Bookman Old Style" w:cs="Arial"/>
          <w:spacing w:val="-5"/>
          <w:sz w:val="24"/>
          <w:szCs w:val="24"/>
        </w:rPr>
        <w:t xml:space="preserve">Termogas </w:t>
      </w:r>
      <w:r w:rsidR="00D428CA">
        <w:rPr>
          <w:rFonts w:ascii="Bookman Old Style" w:eastAsia="Times New Roman" w:hAnsi="Bookman Old Style" w:cs="Arial"/>
          <w:spacing w:val="-5"/>
          <w:sz w:val="24"/>
          <w:szCs w:val="24"/>
        </w:rPr>
        <w:t>S</w:t>
      </w:r>
      <w:r w:rsidR="00C125D2">
        <w:rPr>
          <w:rFonts w:ascii="Bookman Old Style" w:eastAsia="Times New Roman" w:hAnsi="Bookman Old Style" w:cs="Arial"/>
          <w:spacing w:val="-5"/>
          <w:sz w:val="24"/>
          <w:szCs w:val="24"/>
        </w:rPr>
        <w:t>oluciones Energéticas</w:t>
      </w:r>
      <w:r w:rsidRPr="00A33677">
        <w:rPr>
          <w:rFonts w:ascii="Bookman Old Style" w:eastAsia="Times New Roman" w:hAnsi="Bookman Old Style" w:cs="Arial"/>
          <w:spacing w:val="-5"/>
          <w:sz w:val="24"/>
          <w:szCs w:val="24"/>
        </w:rPr>
        <w:t xml:space="preserve"> S.A.</w:t>
      </w:r>
      <w:r w:rsidR="00C125D2">
        <w:rPr>
          <w:rFonts w:ascii="Bookman Old Style" w:eastAsia="Times New Roman" w:hAnsi="Bookman Old Style" w:cs="Arial"/>
          <w:spacing w:val="-5"/>
          <w:sz w:val="24"/>
          <w:szCs w:val="24"/>
        </w:rPr>
        <w:t>S.</w:t>
      </w:r>
      <w:r w:rsidRPr="00A33677">
        <w:rPr>
          <w:rFonts w:ascii="Bookman Old Style" w:eastAsia="Times New Roman" w:hAnsi="Bookman Old Style" w:cs="Arial"/>
          <w:spacing w:val="-5"/>
          <w:sz w:val="24"/>
          <w:szCs w:val="24"/>
        </w:rPr>
        <w:t xml:space="preserve"> E.S.P. interpuso recurso de reposición contra 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para lo cual realiza las siguientes solicitudes:</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i/>
          <w:sz w:val="24"/>
          <w:szCs w:val="24"/>
          <w:lang w:val="es-ES" w:eastAsia="es-ES"/>
        </w:rPr>
      </w:pPr>
    </w:p>
    <w:p w:rsidR="00A33677" w:rsidRPr="00A33677" w:rsidRDefault="00A33677" w:rsidP="00C125D2">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00C125D2" w:rsidRPr="00C125D2">
        <w:rPr>
          <w:rFonts w:ascii="Bookman Old Style" w:eastAsia="MS Mincho" w:hAnsi="Bookman Old Style" w:cs="Arial"/>
          <w:i/>
          <w:lang w:val="es-ES"/>
        </w:rPr>
        <w:t>En consideración a los argumentos ante</w:t>
      </w:r>
      <w:r w:rsidR="00C125D2">
        <w:rPr>
          <w:rFonts w:ascii="Bookman Old Style" w:eastAsia="MS Mincho" w:hAnsi="Bookman Old Style" w:cs="Arial"/>
          <w:i/>
          <w:lang w:val="es-ES"/>
        </w:rPr>
        <w:t xml:space="preserve">riormente expuestos, REVOCAR la </w:t>
      </w:r>
      <w:r w:rsidR="00C125D2" w:rsidRPr="00C125D2">
        <w:rPr>
          <w:rFonts w:ascii="Bookman Old Style" w:eastAsia="MS Mincho" w:hAnsi="Bookman Old Style" w:cs="Arial"/>
          <w:i/>
          <w:lang w:val="es-ES"/>
        </w:rPr>
        <w:t xml:space="preserve">decisión tomada por medio de la Resolución, en </w:t>
      </w:r>
      <w:r w:rsidR="00C125D2">
        <w:rPr>
          <w:rFonts w:ascii="Bookman Old Style" w:eastAsia="MS Mincho" w:hAnsi="Bookman Old Style" w:cs="Arial"/>
          <w:i/>
          <w:lang w:val="es-ES"/>
        </w:rPr>
        <w:t xml:space="preserve">la cual NO se asignó un valor a </w:t>
      </w:r>
      <w:r w:rsidR="00C125D2" w:rsidRPr="00C125D2">
        <w:rPr>
          <w:rFonts w:ascii="Bookman Old Style" w:eastAsia="MS Mincho" w:hAnsi="Bookman Old Style" w:cs="Arial"/>
          <w:i/>
          <w:lang w:val="es-ES"/>
        </w:rPr>
        <w:t>nuestras compras de gas, y proceder a asignar u</w:t>
      </w:r>
      <w:r w:rsidR="00C125D2">
        <w:rPr>
          <w:rFonts w:ascii="Bookman Old Style" w:eastAsia="MS Mincho" w:hAnsi="Bookman Old Style" w:cs="Arial"/>
          <w:i/>
          <w:lang w:val="es-ES"/>
        </w:rPr>
        <w:t xml:space="preserve">n cálculo basado en la realidad </w:t>
      </w:r>
      <w:r w:rsidR="00C125D2" w:rsidRPr="00C125D2">
        <w:rPr>
          <w:rFonts w:ascii="Bookman Old Style" w:eastAsia="MS Mincho" w:hAnsi="Bookman Old Style" w:cs="Arial"/>
          <w:i/>
          <w:lang w:val="es-ES"/>
        </w:rPr>
        <w:t>y en las inversiones que hemos realizado, al se</w:t>
      </w:r>
      <w:r w:rsidR="00C125D2">
        <w:rPr>
          <w:rFonts w:ascii="Bookman Old Style" w:eastAsia="MS Mincho" w:hAnsi="Bookman Old Style" w:cs="Arial"/>
          <w:i/>
          <w:lang w:val="es-ES"/>
        </w:rPr>
        <w:t xml:space="preserve">r tenidos en cuenta en la lista </w:t>
      </w:r>
      <w:r w:rsidR="00C125D2" w:rsidRPr="00C125D2">
        <w:rPr>
          <w:rFonts w:ascii="Bookman Old Style" w:eastAsia="MS Mincho" w:hAnsi="Bookman Old Style" w:cs="Arial"/>
          <w:i/>
          <w:lang w:val="es-ES"/>
        </w:rPr>
        <w:t>para capacidad de c</w:t>
      </w:r>
      <w:r w:rsidR="00D428CA">
        <w:rPr>
          <w:rFonts w:ascii="Bookman Old Style" w:eastAsia="MS Mincho" w:hAnsi="Bookman Old Style" w:cs="Arial"/>
          <w:i/>
          <w:lang w:val="es-ES"/>
        </w:rPr>
        <w:t>ompra</w:t>
      </w:r>
      <w:r w:rsidRPr="00A33677">
        <w:rPr>
          <w:rFonts w:ascii="Bookman Old Style" w:eastAsia="MS Mincho" w:hAnsi="Bookman Old Style" w:cs="Arial"/>
          <w:i/>
          <w:lang w:val="es-ES"/>
        </w:rPr>
        <w:t>.</w:t>
      </w:r>
      <w:r>
        <w:rPr>
          <w:rFonts w:ascii="Bookman Old Style" w:eastAsia="MS Mincho" w:hAnsi="Bookman Old Style" w:cs="Arial"/>
          <w:i/>
          <w:lang w:val="es-ES"/>
        </w:rPr>
        <w:t>”</w:t>
      </w:r>
    </w:p>
    <w:p w:rsidR="00A33677" w:rsidRPr="00A33677" w:rsidRDefault="00A33677" w:rsidP="00A33677">
      <w:pPr>
        <w:widowControl w:val="0"/>
        <w:tabs>
          <w:tab w:val="right" w:pos="9498"/>
        </w:tabs>
        <w:adjustRightInd w:val="0"/>
        <w:spacing w:after="0" w:line="240" w:lineRule="auto"/>
        <w:ind w:right="-142"/>
        <w:jc w:val="both"/>
        <w:rPr>
          <w:rFonts w:ascii="Arial" w:eastAsia="Times New Roman" w:hAnsi="Arial" w:cs="Arial"/>
          <w:sz w:val="24"/>
          <w:szCs w:val="24"/>
          <w:lang w:val="es-ES" w:eastAsia="es-ES"/>
        </w:rPr>
      </w:pPr>
    </w:p>
    <w:p w:rsidR="00D428CA" w:rsidRDefault="00A33677" w:rsidP="00A33677">
      <w:pPr>
        <w:spacing w:after="0" w:line="240" w:lineRule="auto"/>
        <w:ind w:left="-142" w:right="-142"/>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La Resolución CREG </w:t>
      </w:r>
      <w:r>
        <w:rPr>
          <w:rFonts w:ascii="Bookman Old Style" w:eastAsia="Times New Roman" w:hAnsi="Bookman Old Style" w:cs="Arial"/>
          <w:spacing w:val="-5"/>
          <w:sz w:val="24"/>
          <w:szCs w:val="24"/>
        </w:rPr>
        <w:t>048 de 2019</w:t>
      </w:r>
      <w:r w:rsidRPr="00A33677">
        <w:rPr>
          <w:rFonts w:ascii="Bookman Old Style" w:eastAsia="Times New Roman" w:hAnsi="Bookman Old Style" w:cs="Arial"/>
          <w:spacing w:val="-5"/>
          <w:sz w:val="24"/>
          <w:szCs w:val="24"/>
        </w:rPr>
        <w:t xml:space="preserve"> fue notificada a </w:t>
      </w:r>
      <w:r w:rsidR="00440169">
        <w:rPr>
          <w:rFonts w:ascii="Bookman Old Style" w:eastAsia="Times New Roman" w:hAnsi="Bookman Old Style" w:cs="Arial"/>
          <w:spacing w:val="-5"/>
          <w:sz w:val="24"/>
          <w:szCs w:val="24"/>
        </w:rPr>
        <w:t xml:space="preserve">la </w:t>
      </w:r>
      <w:r w:rsidRPr="00A33677">
        <w:rPr>
          <w:rFonts w:ascii="Bookman Old Style" w:eastAsia="Times New Roman" w:hAnsi="Bookman Old Style" w:cs="Arial"/>
          <w:spacing w:val="-5"/>
          <w:sz w:val="24"/>
          <w:szCs w:val="24"/>
        </w:rPr>
        <w:t xml:space="preserve">empresa </w:t>
      </w:r>
      <w:r w:rsidR="00D428CA">
        <w:rPr>
          <w:rFonts w:ascii="Bookman Old Style" w:eastAsia="Times New Roman" w:hAnsi="Bookman Old Style" w:cs="Arial"/>
          <w:spacing w:val="-5"/>
          <w:sz w:val="24"/>
          <w:szCs w:val="24"/>
        </w:rPr>
        <w:t>Termogas Soluciones Energéticas</w:t>
      </w:r>
      <w:r w:rsidR="00440169">
        <w:rPr>
          <w:rFonts w:ascii="Bookman Old Style" w:eastAsia="Times New Roman" w:hAnsi="Bookman Old Style" w:cs="Arial"/>
          <w:spacing w:val="-5"/>
          <w:sz w:val="24"/>
          <w:szCs w:val="24"/>
        </w:rPr>
        <w:t xml:space="preserve"> S.A.S. E.S.P.</w:t>
      </w:r>
      <w:r w:rsidR="00D428CA">
        <w:rPr>
          <w:rFonts w:ascii="Bookman Old Style" w:eastAsia="Times New Roman" w:hAnsi="Bookman Old Style" w:cs="Arial"/>
          <w:spacing w:val="-5"/>
          <w:sz w:val="24"/>
          <w:szCs w:val="24"/>
        </w:rPr>
        <w:t xml:space="preserve"> </w:t>
      </w:r>
      <w:r w:rsidRPr="00A33677">
        <w:rPr>
          <w:rFonts w:ascii="Bookman Old Style" w:eastAsia="Times New Roman" w:hAnsi="Bookman Old Style" w:cs="Arial"/>
          <w:spacing w:val="-5"/>
          <w:sz w:val="24"/>
          <w:szCs w:val="24"/>
        </w:rPr>
        <w:t xml:space="preserve">mediante </w:t>
      </w:r>
      <w:r w:rsidR="00D428CA">
        <w:rPr>
          <w:rFonts w:ascii="Bookman Old Style" w:eastAsia="Times New Roman" w:hAnsi="Bookman Old Style" w:cs="Arial"/>
          <w:spacing w:val="-5"/>
          <w:sz w:val="24"/>
          <w:szCs w:val="24"/>
        </w:rPr>
        <w:t>conducta concluyente a que hace referencia el artículo 72 de la Ley 1437 de 2011</w:t>
      </w:r>
      <w:r w:rsidR="00D428CA">
        <w:rPr>
          <w:rStyle w:val="Refdenotaalpie"/>
          <w:rFonts w:ascii="Bookman Old Style" w:eastAsia="Times New Roman" w:hAnsi="Bookman Old Style" w:cs="Arial"/>
          <w:spacing w:val="-5"/>
          <w:sz w:val="24"/>
          <w:szCs w:val="24"/>
        </w:rPr>
        <w:footnoteReference w:id="4"/>
      </w:r>
      <w:r w:rsidR="00D428CA">
        <w:rPr>
          <w:rFonts w:ascii="Bookman Old Style" w:eastAsia="Times New Roman" w:hAnsi="Bookman Old Style" w:cs="Arial"/>
          <w:spacing w:val="-5"/>
          <w:sz w:val="24"/>
          <w:szCs w:val="24"/>
        </w:rPr>
        <w:t>.</w:t>
      </w:r>
    </w:p>
    <w:p w:rsidR="00A33677" w:rsidRPr="00A33677" w:rsidRDefault="00A33677" w:rsidP="00D428CA">
      <w:pPr>
        <w:spacing w:after="0" w:line="240" w:lineRule="auto"/>
        <w:ind w:right="-142"/>
        <w:jc w:val="both"/>
        <w:rPr>
          <w:rFonts w:ascii="Bookman Old Style" w:eastAsia="Times New Roman" w:hAnsi="Bookman Old Style" w:cs="Arial"/>
          <w:spacing w:val="-5"/>
          <w:sz w:val="24"/>
          <w:szCs w:val="24"/>
        </w:rPr>
      </w:pP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5"/>
      </w:r>
      <w:r w:rsidRPr="00A33677">
        <w:rPr>
          <w:rFonts w:ascii="Bookman Old Style" w:eastAsia="Times New Roman" w:hAnsi="Bookman Old Style" w:cs="Times New Roman"/>
          <w:sz w:val="24"/>
          <w:szCs w:val="24"/>
          <w:lang w:val="es-ES" w:eastAsia="es-ES"/>
        </w:rPr>
        <w:t xml:space="preserve"> del Código de Procedimiento Administrativo y de </w:t>
      </w:r>
      <w:r w:rsidRPr="00A33677">
        <w:rPr>
          <w:rFonts w:ascii="Bookman Old Style" w:eastAsia="Times New Roman" w:hAnsi="Bookman Old Style" w:cs="Times New Roman"/>
          <w:sz w:val="24"/>
          <w:szCs w:val="24"/>
          <w:lang w:val="es-ES" w:eastAsia="es-ES"/>
        </w:rPr>
        <w:lastRenderedPageBreak/>
        <w:t xml:space="preserve">lo Contencioso Administrativo, procede la CREG a realizar un análisis y pronunciarse en relación con los argumentos en que se sustenta la impugnación. </w:t>
      </w:r>
    </w:p>
    <w:p w:rsidR="00A33677" w:rsidRP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A33677" w:rsidRPr="00A33677" w:rsidRDefault="007F3FC2" w:rsidP="00A33677">
      <w:pPr>
        <w:spacing w:after="0" w:line="240" w:lineRule="auto"/>
        <w:ind w:left="-142"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rsidR="00A33677" w:rsidRPr="00A33677" w:rsidRDefault="00A33677" w:rsidP="00A33677">
      <w:pPr>
        <w:spacing w:after="0" w:line="240" w:lineRule="auto"/>
        <w:ind w:left="-142" w:right="-142"/>
        <w:jc w:val="both"/>
        <w:rPr>
          <w:rFonts w:ascii="Bookman Old Style" w:eastAsia="Times New Roman" w:hAnsi="Bookman Old Style" w:cs="Times New Roman"/>
          <w:b/>
          <w:sz w:val="24"/>
          <w:szCs w:val="24"/>
          <w:lang w:val="es-ES" w:eastAsia="es-ES"/>
        </w:rPr>
      </w:pPr>
    </w:p>
    <w:p w:rsidR="00A33677" w:rsidRDefault="00A33677" w:rsidP="00A33677">
      <w:pPr>
        <w:spacing w:after="0" w:line="240" w:lineRule="auto"/>
        <w:ind w:left="-142" w:right="-142"/>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D428CA">
        <w:rPr>
          <w:rFonts w:ascii="Bookman Old Style" w:eastAsia="Times New Roman" w:hAnsi="Bookman Old Style" w:cs="Times New Roman"/>
          <w:sz w:val="24"/>
          <w:szCs w:val="24"/>
          <w:lang w:val="es-ES" w:eastAsia="es-ES"/>
        </w:rPr>
        <w:t>Termogas Soluciones Energéticas</w:t>
      </w:r>
      <w:r w:rsidR="00440169">
        <w:rPr>
          <w:rFonts w:ascii="Bookman Old Style" w:eastAsia="Times New Roman" w:hAnsi="Bookman Old Style" w:cs="Times New Roman"/>
          <w:sz w:val="24"/>
          <w:szCs w:val="24"/>
          <w:lang w:val="es-ES" w:eastAsia="es-ES"/>
        </w:rPr>
        <w:t xml:space="preserve"> S.A.S. E.S.P.</w:t>
      </w:r>
      <w:r w:rsidRPr="00A33677">
        <w:rPr>
          <w:rFonts w:ascii="Bookman Old Style" w:eastAsia="Times New Roman" w:hAnsi="Bookman Old Style" w:cs="Times New Roman"/>
          <w:sz w:val="24"/>
          <w:szCs w:val="24"/>
          <w:lang w:val="es-ES" w:eastAsia="es-ES"/>
        </w:rPr>
        <w:t xml:space="preserve"> hacen referencia a lo siguiente:</w:t>
      </w:r>
    </w:p>
    <w:p w:rsidR="007F3FC2" w:rsidRDefault="007F3FC2" w:rsidP="00A33677">
      <w:pPr>
        <w:spacing w:after="0" w:line="240" w:lineRule="auto"/>
        <w:ind w:left="-142" w:right="-142"/>
        <w:jc w:val="both"/>
        <w:rPr>
          <w:rFonts w:ascii="Bookman Old Style" w:eastAsia="Times New Roman" w:hAnsi="Bookman Old Style" w:cs="Times New Roman"/>
          <w:sz w:val="24"/>
          <w:szCs w:val="24"/>
          <w:lang w:val="es-ES" w:eastAsia="es-ES"/>
        </w:rPr>
      </w:pPr>
    </w:p>
    <w:p w:rsidR="00D428CA" w:rsidRPr="00D428CA" w:rsidRDefault="007F3FC2"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Pr>
          <w:rFonts w:ascii="Bookman Old Style" w:eastAsia="Times New Roman" w:hAnsi="Bookman Old Style" w:cs="Times New Roman"/>
          <w:i/>
          <w:lang w:val="es-ES" w:eastAsia="es-ES"/>
        </w:rPr>
        <w:t>“</w:t>
      </w:r>
      <w:r w:rsidR="00D428CA" w:rsidRPr="00D428CA">
        <w:rPr>
          <w:rFonts w:ascii="Bookman Old Style" w:eastAsia="MS Mincho" w:hAnsi="Bookman Old Style" w:cs="Arial"/>
          <w:i/>
          <w:lang w:val="es-ES"/>
        </w:rPr>
        <w:t>1. Que la CREG, mediante RESOLUCION 0</w:t>
      </w:r>
      <w:r w:rsidR="00D428CA">
        <w:rPr>
          <w:rFonts w:ascii="Bookman Old Style" w:eastAsia="MS Mincho" w:hAnsi="Bookman Old Style" w:cs="Arial"/>
          <w:i/>
          <w:lang w:val="es-ES"/>
        </w:rPr>
        <w:t xml:space="preserve">63 de 2013, equivoco el cálculo </w:t>
      </w:r>
      <w:r w:rsidR="00D428CA" w:rsidRPr="00D428CA">
        <w:rPr>
          <w:rFonts w:ascii="Bookman Old Style" w:eastAsia="MS Mincho" w:hAnsi="Bookman Old Style" w:cs="Arial"/>
          <w:i/>
          <w:lang w:val="es-ES"/>
        </w:rPr>
        <w:t xml:space="preserve">de varias empresas, por no reportar </w:t>
      </w:r>
      <w:r w:rsidR="00D428CA">
        <w:rPr>
          <w:rFonts w:ascii="Bookman Old Style" w:eastAsia="MS Mincho" w:hAnsi="Bookman Old Style" w:cs="Arial"/>
          <w:i/>
          <w:lang w:val="es-ES"/>
        </w:rPr>
        <w:t xml:space="preserve">información al sistema único de </w:t>
      </w:r>
      <w:r w:rsidR="00D428CA" w:rsidRPr="00D428CA">
        <w:rPr>
          <w:rFonts w:ascii="Bookman Old Style" w:eastAsia="MS Mincho" w:hAnsi="Bookman Old Style" w:cs="Arial"/>
          <w:i/>
          <w:lang w:val="es-ES"/>
        </w:rPr>
        <w:t>información - SUI –</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MS Mincho" w:hAnsi="Bookman Old Style" w:cs="Arial"/>
          <w:i/>
          <w:lang w:val="es-ES"/>
        </w:rPr>
      </w:pPr>
      <w:r w:rsidRPr="00D428CA">
        <w:rPr>
          <w:rFonts w:ascii="Bookman Old Style" w:eastAsia="MS Mincho" w:hAnsi="Bookman Old Style" w:cs="Arial"/>
          <w:i/>
          <w:lang w:val="es-ES"/>
        </w:rPr>
        <w:t xml:space="preserve">2. Que la Comisión de regulación </w:t>
      </w:r>
      <w:r>
        <w:rPr>
          <w:rFonts w:ascii="Bookman Old Style" w:eastAsia="MS Mincho" w:hAnsi="Bookman Old Style" w:cs="Arial"/>
          <w:i/>
          <w:lang w:val="es-ES"/>
        </w:rPr>
        <w:t xml:space="preserve">de Energía y Gas, dentro de sus </w:t>
      </w:r>
      <w:r w:rsidRPr="00D428CA">
        <w:rPr>
          <w:rFonts w:ascii="Bookman Old Style" w:eastAsia="MS Mincho" w:hAnsi="Bookman Old Style" w:cs="Arial"/>
          <w:i/>
          <w:lang w:val="es-ES"/>
        </w:rPr>
        <w:t>actuaciones preliminares, solicito a l</w:t>
      </w:r>
      <w:r>
        <w:rPr>
          <w:rFonts w:ascii="Bookman Old Style" w:eastAsia="MS Mincho" w:hAnsi="Bookman Old Style" w:cs="Arial"/>
          <w:i/>
          <w:lang w:val="es-ES"/>
        </w:rPr>
        <w:t xml:space="preserve">a empresa proceder a revisar si </w:t>
      </w:r>
      <w:r w:rsidRPr="00D428CA">
        <w:rPr>
          <w:rFonts w:ascii="Bookman Old Style" w:eastAsia="MS Mincho" w:hAnsi="Bookman Old Style" w:cs="Arial"/>
          <w:i/>
          <w:lang w:val="es-ES"/>
        </w:rPr>
        <w:t>existía alguna inconsistencia en la información cert</w:t>
      </w:r>
      <w:r>
        <w:rPr>
          <w:rFonts w:ascii="Bookman Old Style" w:eastAsia="MS Mincho" w:hAnsi="Bookman Old Style" w:cs="Arial"/>
          <w:i/>
          <w:lang w:val="es-ES"/>
        </w:rPr>
        <w:t xml:space="preserve">ificada de los reportes </w:t>
      </w:r>
      <w:r w:rsidRPr="00D428CA">
        <w:rPr>
          <w:rFonts w:ascii="Bookman Old Style" w:eastAsia="MS Mincho" w:hAnsi="Bookman Old Style" w:cs="Arial"/>
          <w:i/>
          <w:lang w:val="es-ES"/>
        </w:rPr>
        <w:t>que la empresa debida haber reportado ante el sui.</w:t>
      </w:r>
    </w:p>
    <w:p w:rsidR="00D428CA" w:rsidRDefault="00D428CA"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3. Mediante dicha resolución de la referenc</w:t>
      </w:r>
      <w:r>
        <w:rPr>
          <w:rFonts w:ascii="Bookman Old Style" w:eastAsia="Times New Roman" w:hAnsi="Bookman Old Style" w:cs="Times New Roman"/>
          <w:i/>
          <w:lang w:val="es-ES" w:eastAsia="es-ES"/>
        </w:rPr>
        <w:t xml:space="preserve">ia, la CREG procedió a realizar </w:t>
      </w:r>
      <w:r w:rsidRPr="00D428CA">
        <w:rPr>
          <w:rFonts w:ascii="Bookman Old Style" w:eastAsia="Times New Roman" w:hAnsi="Bookman Old Style" w:cs="Times New Roman"/>
          <w:i/>
          <w:lang w:val="es-ES" w:eastAsia="es-ES"/>
        </w:rPr>
        <w:t>los cálculos para incluir la asignación</w:t>
      </w:r>
      <w:r>
        <w:rPr>
          <w:rFonts w:ascii="Bookman Old Style" w:eastAsia="Times New Roman" w:hAnsi="Bookman Old Style" w:cs="Times New Roman"/>
          <w:i/>
          <w:lang w:val="es-ES" w:eastAsia="es-ES"/>
        </w:rPr>
        <w:t xml:space="preserve"> a nuestra empresa dentro de la </w:t>
      </w:r>
      <w:r w:rsidRPr="00D428CA">
        <w:rPr>
          <w:rFonts w:ascii="Bookman Old Style" w:eastAsia="Times New Roman" w:hAnsi="Bookman Old Style" w:cs="Times New Roman"/>
          <w:i/>
          <w:lang w:val="es-ES" w:eastAsia="es-ES"/>
        </w:rPr>
        <w:t>circular 063 -2013, ya que por error NO FUIMOS INCLUIDOS.</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4. Mediante la resolución de la referencia,</w:t>
      </w:r>
      <w:r>
        <w:rPr>
          <w:rFonts w:ascii="Bookman Old Style" w:eastAsia="Times New Roman" w:hAnsi="Bookman Old Style" w:cs="Times New Roman"/>
          <w:i/>
          <w:lang w:val="es-ES" w:eastAsia="es-ES"/>
        </w:rPr>
        <w:t xml:space="preserve"> se omitió a nuestra empresa de </w:t>
      </w:r>
      <w:r w:rsidRPr="00D428CA">
        <w:rPr>
          <w:rFonts w:ascii="Bookman Old Style" w:eastAsia="Times New Roman" w:hAnsi="Bookman Old Style" w:cs="Times New Roman"/>
          <w:i/>
          <w:lang w:val="es-ES" w:eastAsia="es-ES"/>
        </w:rPr>
        <w:t>la información reportada c</w:t>
      </w:r>
      <w:r>
        <w:rPr>
          <w:rFonts w:ascii="Bookman Old Style" w:eastAsia="Times New Roman" w:hAnsi="Bookman Old Style" w:cs="Times New Roman"/>
          <w:i/>
          <w:lang w:val="es-ES" w:eastAsia="es-ES"/>
        </w:rPr>
        <w:t xml:space="preserve">on anticipación para el periodo </w:t>
      </w:r>
      <w:r w:rsidRPr="00D428CA">
        <w:rPr>
          <w:rFonts w:ascii="Bookman Old Style" w:eastAsia="Times New Roman" w:hAnsi="Bookman Old Style" w:cs="Times New Roman"/>
          <w:i/>
          <w:lang w:val="es-ES" w:eastAsia="es-ES"/>
        </w:rPr>
        <w:t>inmediatamente anterior y/</w:t>
      </w:r>
      <w:r>
        <w:rPr>
          <w:rFonts w:ascii="Bookman Old Style" w:eastAsia="Times New Roman" w:hAnsi="Bookman Old Style" w:cs="Times New Roman"/>
          <w:i/>
          <w:lang w:val="es-ES" w:eastAsia="es-ES"/>
        </w:rPr>
        <w:t xml:space="preserve">o para la información reportada </w:t>
      </w:r>
      <w:r w:rsidRPr="00D428CA">
        <w:rPr>
          <w:rFonts w:ascii="Bookman Old Style" w:eastAsia="Times New Roman" w:hAnsi="Bookman Old Style" w:cs="Times New Roman"/>
          <w:i/>
          <w:lang w:val="es-ES" w:eastAsia="es-ES"/>
        </w:rPr>
        <w:t>extemporáneamente por causas del sui, ajena</w:t>
      </w:r>
      <w:r>
        <w:rPr>
          <w:rFonts w:ascii="Bookman Old Style" w:eastAsia="Times New Roman" w:hAnsi="Bookman Old Style" w:cs="Times New Roman"/>
          <w:i/>
          <w:lang w:val="es-ES" w:eastAsia="es-ES"/>
        </w:rPr>
        <w:t xml:space="preserve">s a nuestra voluntad de </w:t>
      </w:r>
      <w:r w:rsidRPr="00D428CA">
        <w:rPr>
          <w:rFonts w:ascii="Bookman Old Style" w:eastAsia="Times New Roman" w:hAnsi="Bookman Old Style" w:cs="Times New Roman"/>
          <w:i/>
          <w:lang w:val="es-ES" w:eastAsia="es-ES"/>
        </w:rPr>
        <w:t xml:space="preserve">cumplir. Esto fue comunicado </w:t>
      </w:r>
      <w:r>
        <w:rPr>
          <w:rFonts w:ascii="Bookman Old Style" w:eastAsia="Times New Roman" w:hAnsi="Bookman Old Style" w:cs="Times New Roman"/>
          <w:i/>
          <w:lang w:val="es-ES" w:eastAsia="es-ES"/>
        </w:rPr>
        <w:t xml:space="preserve">a la SSPD mediante radicado No. </w:t>
      </w:r>
      <w:r w:rsidRPr="00D428CA">
        <w:rPr>
          <w:rFonts w:ascii="Bookman Old Style" w:eastAsia="Times New Roman" w:hAnsi="Bookman Old Style" w:cs="Times New Roman"/>
          <w:i/>
          <w:lang w:val="es-ES" w:eastAsia="es-ES"/>
        </w:rPr>
        <w:t>20195290501842del 20-05-2019</w:t>
      </w:r>
      <w:r>
        <w:rPr>
          <w:rFonts w:ascii="Bookman Old Style" w:eastAsia="Times New Roman" w:hAnsi="Bookman Old Style" w:cs="Times New Roman"/>
          <w:i/>
          <w:lang w:val="es-ES" w:eastAsia="es-ES"/>
        </w:rPr>
        <w:t>.</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El suscrito, debidamente autorizado para i</w:t>
      </w:r>
      <w:r>
        <w:rPr>
          <w:rFonts w:ascii="Bookman Old Style" w:eastAsia="Times New Roman" w:hAnsi="Bookman Old Style" w:cs="Times New Roman"/>
          <w:i/>
          <w:lang w:val="es-ES" w:eastAsia="es-ES"/>
        </w:rPr>
        <w:t xml:space="preserve">nterponer recurso de reposición </w:t>
      </w:r>
      <w:r w:rsidRPr="00D428CA">
        <w:rPr>
          <w:rFonts w:ascii="Bookman Old Style" w:eastAsia="Times New Roman" w:hAnsi="Bookman Old Style" w:cs="Times New Roman"/>
          <w:i/>
          <w:lang w:val="es-ES" w:eastAsia="es-ES"/>
        </w:rPr>
        <w:t>como representante legal de TERMOG</w:t>
      </w:r>
      <w:r>
        <w:rPr>
          <w:rFonts w:ascii="Bookman Old Style" w:eastAsia="Times New Roman" w:hAnsi="Bookman Old Style" w:cs="Times New Roman"/>
          <w:i/>
          <w:lang w:val="es-ES" w:eastAsia="es-ES"/>
        </w:rPr>
        <w:t xml:space="preserve">AS SOLUCIONES ENERGETICAS S.A.S </w:t>
      </w:r>
      <w:r w:rsidRPr="00D428CA">
        <w:rPr>
          <w:rFonts w:ascii="Bookman Old Style" w:eastAsia="Times New Roman" w:hAnsi="Bookman Old Style" w:cs="Times New Roman"/>
          <w:i/>
          <w:lang w:val="es-ES" w:eastAsia="es-ES"/>
        </w:rPr>
        <w:t xml:space="preserve">E.S.P., me permito solicitar que los valores </w:t>
      </w:r>
      <w:r>
        <w:rPr>
          <w:rFonts w:ascii="Bookman Old Style" w:eastAsia="Times New Roman" w:hAnsi="Bookman Old Style" w:cs="Times New Roman"/>
          <w:i/>
          <w:lang w:val="es-ES" w:eastAsia="es-ES"/>
        </w:rPr>
        <w:t xml:space="preserve">que incluye la resolución de la </w:t>
      </w:r>
      <w:r w:rsidRPr="00D428CA">
        <w:rPr>
          <w:rFonts w:ascii="Bookman Old Style" w:eastAsia="Times New Roman" w:hAnsi="Bookman Old Style" w:cs="Times New Roman"/>
          <w:i/>
          <w:lang w:val="es-ES" w:eastAsia="es-ES"/>
        </w:rPr>
        <w:t>referencia, no incluyen las ventas que realiza</w:t>
      </w:r>
      <w:r>
        <w:rPr>
          <w:rFonts w:ascii="Bookman Old Style" w:eastAsia="Times New Roman" w:hAnsi="Bookman Old Style" w:cs="Times New Roman"/>
          <w:i/>
          <w:lang w:val="es-ES" w:eastAsia="es-ES"/>
        </w:rPr>
        <w:t xml:space="preserve"> la empresa promedio durante el </w:t>
      </w:r>
      <w:r w:rsidRPr="00D428CA">
        <w:rPr>
          <w:rFonts w:ascii="Bookman Old Style" w:eastAsia="Times New Roman" w:hAnsi="Bookman Old Style" w:cs="Times New Roman"/>
          <w:i/>
          <w:lang w:val="es-ES" w:eastAsia="es-ES"/>
        </w:rPr>
        <w:t>2018 y lo que va del 2019, por tanto es</w:t>
      </w:r>
      <w:r>
        <w:rPr>
          <w:rFonts w:ascii="Bookman Old Style" w:eastAsia="Times New Roman" w:hAnsi="Bookman Old Style" w:cs="Times New Roman"/>
          <w:i/>
          <w:lang w:val="es-ES" w:eastAsia="es-ES"/>
        </w:rPr>
        <w:t xml:space="preserve">tamos hablando de un detrimento </w:t>
      </w:r>
      <w:r w:rsidRPr="00D428CA">
        <w:rPr>
          <w:rFonts w:ascii="Bookman Old Style" w:eastAsia="Times New Roman" w:hAnsi="Bookman Old Style" w:cs="Times New Roman"/>
          <w:i/>
          <w:lang w:val="es-ES" w:eastAsia="es-ES"/>
        </w:rPr>
        <w:t>patrimonial y afectación del equilibrio econó</w:t>
      </w:r>
      <w:r>
        <w:rPr>
          <w:rFonts w:ascii="Bookman Old Style" w:eastAsia="Times New Roman" w:hAnsi="Bookman Old Style" w:cs="Times New Roman"/>
          <w:i/>
          <w:lang w:val="es-ES" w:eastAsia="es-ES"/>
        </w:rPr>
        <w:t xml:space="preserve">mico, lo cual nos llevara a una </w:t>
      </w:r>
      <w:r w:rsidRPr="00D428CA">
        <w:rPr>
          <w:rFonts w:ascii="Bookman Old Style" w:eastAsia="Times New Roman" w:hAnsi="Bookman Old Style" w:cs="Times New Roman"/>
          <w:i/>
          <w:lang w:val="es-ES" w:eastAsia="es-ES"/>
        </w:rPr>
        <w:t>afectación en la reducción de la adquisici</w:t>
      </w:r>
      <w:r>
        <w:rPr>
          <w:rFonts w:ascii="Bookman Old Style" w:eastAsia="Times New Roman" w:hAnsi="Bookman Old Style" w:cs="Times New Roman"/>
          <w:i/>
          <w:lang w:val="es-ES" w:eastAsia="es-ES"/>
        </w:rPr>
        <w:t xml:space="preserve">ón de las compras que realmente </w:t>
      </w:r>
      <w:r w:rsidRPr="00D428CA">
        <w:rPr>
          <w:rFonts w:ascii="Bookman Old Style" w:eastAsia="Times New Roman" w:hAnsi="Bookman Old Style" w:cs="Times New Roman"/>
          <w:i/>
          <w:lang w:val="es-ES" w:eastAsia="es-ES"/>
        </w:rPr>
        <w:t>llevaba la empresa.</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Con seguridad y propiedad hablamos, que la CRE</w:t>
      </w:r>
      <w:r>
        <w:rPr>
          <w:rFonts w:ascii="Bookman Old Style" w:eastAsia="Times New Roman" w:hAnsi="Bookman Old Style" w:cs="Times New Roman"/>
          <w:i/>
          <w:lang w:val="es-ES" w:eastAsia="es-ES"/>
        </w:rPr>
        <w:t xml:space="preserve">G no nos incluyó en la lista de </w:t>
      </w:r>
      <w:r w:rsidRPr="00D428CA">
        <w:rPr>
          <w:rFonts w:ascii="Bookman Old Style" w:eastAsia="Times New Roman" w:hAnsi="Bookman Old Style" w:cs="Times New Roman"/>
          <w:i/>
          <w:lang w:val="es-ES" w:eastAsia="es-ES"/>
        </w:rPr>
        <w:t>empresas susceptibles de obtención d</w:t>
      </w:r>
      <w:r>
        <w:rPr>
          <w:rFonts w:ascii="Bookman Old Style" w:eastAsia="Times New Roman" w:hAnsi="Bookman Old Style" w:cs="Times New Roman"/>
          <w:i/>
          <w:lang w:val="es-ES" w:eastAsia="es-ES"/>
        </w:rPr>
        <w:t xml:space="preserve">e capacidad de compra, mientras </w:t>
      </w:r>
      <w:r w:rsidRPr="00D428CA">
        <w:rPr>
          <w:rFonts w:ascii="Bookman Old Style" w:eastAsia="Times New Roman" w:hAnsi="Bookman Old Style" w:cs="Times New Roman"/>
          <w:i/>
          <w:lang w:val="es-ES" w:eastAsia="es-ES"/>
        </w:rPr>
        <w:t>nosotros que mantenemos operaciones con l</w:t>
      </w:r>
      <w:r>
        <w:rPr>
          <w:rFonts w:ascii="Bookman Old Style" w:eastAsia="Times New Roman" w:hAnsi="Bookman Old Style" w:cs="Times New Roman"/>
          <w:i/>
          <w:lang w:val="es-ES" w:eastAsia="es-ES"/>
        </w:rPr>
        <w:t xml:space="preserve">os tanques estacionarios que se </w:t>
      </w:r>
      <w:r w:rsidRPr="00D428CA">
        <w:rPr>
          <w:rFonts w:ascii="Bookman Old Style" w:eastAsia="Times New Roman" w:hAnsi="Bookman Old Style" w:cs="Times New Roman"/>
          <w:i/>
          <w:lang w:val="es-ES" w:eastAsia="es-ES"/>
        </w:rPr>
        <w:t>anexan, y operan en la actualidad, y que</w:t>
      </w:r>
      <w:r>
        <w:rPr>
          <w:rFonts w:ascii="Bookman Old Style" w:eastAsia="Times New Roman" w:hAnsi="Bookman Old Style" w:cs="Times New Roman"/>
          <w:i/>
          <w:lang w:val="es-ES" w:eastAsia="es-ES"/>
        </w:rPr>
        <w:t xml:space="preserve"> hemos hecho sacrificios por la </w:t>
      </w:r>
      <w:r w:rsidRPr="00D428CA">
        <w:rPr>
          <w:rFonts w:ascii="Bookman Old Style" w:eastAsia="Times New Roman" w:hAnsi="Bookman Old Style" w:cs="Times New Roman"/>
          <w:i/>
          <w:lang w:val="es-ES" w:eastAsia="es-ES"/>
        </w:rPr>
        <w:t>adquisición de estos activos REALES que ten</w:t>
      </w:r>
      <w:r>
        <w:rPr>
          <w:rFonts w:ascii="Bookman Old Style" w:eastAsia="Times New Roman" w:hAnsi="Bookman Old Style" w:cs="Times New Roman"/>
          <w:i/>
          <w:lang w:val="es-ES" w:eastAsia="es-ES"/>
        </w:rPr>
        <w:t xml:space="preserve">emos, nos vemos castigados al </w:t>
      </w:r>
      <w:r w:rsidRPr="00D428CA">
        <w:rPr>
          <w:rFonts w:ascii="Bookman Old Style" w:eastAsia="Times New Roman" w:hAnsi="Bookman Old Style" w:cs="Times New Roman"/>
          <w:i/>
          <w:lang w:val="es-ES" w:eastAsia="es-ES"/>
        </w:rPr>
        <w:t>informar un hecho real al SUI, lo cual es terrib</w:t>
      </w:r>
      <w:r>
        <w:rPr>
          <w:rFonts w:ascii="Bookman Old Style" w:eastAsia="Times New Roman" w:hAnsi="Bookman Old Style" w:cs="Times New Roman"/>
          <w:i/>
          <w:lang w:val="es-ES" w:eastAsia="es-ES"/>
        </w:rPr>
        <w:t xml:space="preserve">lemente injusto e irreal, y nos </w:t>
      </w:r>
      <w:r w:rsidRPr="00D428CA">
        <w:rPr>
          <w:rFonts w:ascii="Bookman Old Style" w:eastAsia="Times New Roman" w:hAnsi="Bookman Old Style" w:cs="Times New Roman"/>
          <w:i/>
          <w:lang w:val="es-ES" w:eastAsia="es-ES"/>
        </w:rPr>
        <w:t>vemos castigados por no ser in</w:t>
      </w:r>
      <w:r>
        <w:rPr>
          <w:rFonts w:ascii="Bookman Old Style" w:eastAsia="Times New Roman" w:hAnsi="Bookman Old Style" w:cs="Times New Roman"/>
          <w:i/>
          <w:lang w:val="es-ES" w:eastAsia="es-ES"/>
        </w:rPr>
        <w:t xml:space="preserve">cluidos en la lista del asunto. </w:t>
      </w:r>
      <w:r w:rsidRPr="00D428CA">
        <w:rPr>
          <w:rFonts w:ascii="Bookman Old Style" w:eastAsia="Times New Roman" w:hAnsi="Bookman Old Style" w:cs="Times New Roman"/>
          <w:i/>
          <w:lang w:val="es-ES" w:eastAsia="es-ES"/>
        </w:rPr>
        <w:t>Lo anterior, con base en las siguientes consideraciones:</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xml:space="preserve">1. Si bien es cierto que la empresa que </w:t>
      </w:r>
      <w:r>
        <w:rPr>
          <w:rFonts w:ascii="Bookman Old Style" w:eastAsia="Times New Roman" w:hAnsi="Bookman Old Style" w:cs="Times New Roman"/>
          <w:i/>
          <w:lang w:val="es-ES" w:eastAsia="es-ES"/>
        </w:rPr>
        <w:t xml:space="preserve">represento, presentó demoras el </w:t>
      </w:r>
      <w:r w:rsidRPr="00D428CA">
        <w:rPr>
          <w:rFonts w:ascii="Bookman Old Style" w:eastAsia="Times New Roman" w:hAnsi="Bookman Old Style" w:cs="Times New Roman"/>
          <w:i/>
          <w:lang w:val="es-ES" w:eastAsia="es-ES"/>
        </w:rPr>
        <w:t>reporte de la información respecto de</w:t>
      </w:r>
      <w:r>
        <w:rPr>
          <w:rFonts w:ascii="Bookman Old Style" w:eastAsia="Times New Roman" w:hAnsi="Bookman Old Style" w:cs="Times New Roman"/>
          <w:i/>
          <w:lang w:val="es-ES" w:eastAsia="es-ES"/>
        </w:rPr>
        <w:t xml:space="preserve"> las fechas establecidas en los </w:t>
      </w:r>
      <w:r w:rsidRPr="00D428CA">
        <w:rPr>
          <w:rFonts w:ascii="Bookman Old Style" w:eastAsia="Times New Roman" w:hAnsi="Bookman Old Style" w:cs="Times New Roman"/>
          <w:i/>
          <w:lang w:val="es-ES" w:eastAsia="es-ES"/>
        </w:rPr>
        <w:t>reportes, podemos asegurar que nue</w:t>
      </w:r>
      <w:r>
        <w:rPr>
          <w:rFonts w:ascii="Bookman Old Style" w:eastAsia="Times New Roman" w:hAnsi="Bookman Old Style" w:cs="Times New Roman"/>
          <w:i/>
          <w:lang w:val="es-ES" w:eastAsia="es-ES"/>
        </w:rPr>
        <w:t xml:space="preserve">stro comportamiento ha sido muy </w:t>
      </w:r>
      <w:r w:rsidRPr="00D428CA">
        <w:rPr>
          <w:rFonts w:ascii="Bookman Old Style" w:eastAsia="Times New Roman" w:hAnsi="Bookman Old Style" w:cs="Times New Roman"/>
          <w:i/>
          <w:lang w:val="es-ES" w:eastAsia="es-ES"/>
        </w:rPr>
        <w:t>honesto y fidedigno, asumiendo una postu</w:t>
      </w:r>
      <w:r>
        <w:rPr>
          <w:rFonts w:ascii="Bookman Old Style" w:eastAsia="Times New Roman" w:hAnsi="Bookman Old Style" w:cs="Times New Roman"/>
          <w:i/>
          <w:lang w:val="es-ES" w:eastAsia="es-ES"/>
        </w:rPr>
        <w:t xml:space="preserve">ra honorable en el servicio que </w:t>
      </w:r>
      <w:r w:rsidRPr="00D428CA">
        <w:rPr>
          <w:rFonts w:ascii="Bookman Old Style" w:eastAsia="Times New Roman" w:hAnsi="Bookman Old Style" w:cs="Times New Roman"/>
          <w:i/>
          <w:lang w:val="es-ES" w:eastAsia="es-ES"/>
        </w:rPr>
        <w:t>le prestamos al usuario, y en la informac</w:t>
      </w:r>
      <w:r>
        <w:rPr>
          <w:rFonts w:ascii="Bookman Old Style" w:eastAsia="Times New Roman" w:hAnsi="Bookman Old Style" w:cs="Times New Roman"/>
          <w:i/>
          <w:lang w:val="es-ES" w:eastAsia="es-ES"/>
        </w:rPr>
        <w:t xml:space="preserve">ión que realmente constatamos y </w:t>
      </w:r>
      <w:r w:rsidRPr="00D428CA">
        <w:rPr>
          <w:rFonts w:ascii="Bookman Old Style" w:eastAsia="Times New Roman" w:hAnsi="Bookman Old Style" w:cs="Times New Roman"/>
          <w:i/>
          <w:lang w:val="es-ES" w:eastAsia="es-ES"/>
        </w:rPr>
        <w:t>plasmamos en le sui.</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2. La AEGR que tenemos para 2019,</w:t>
      </w:r>
      <w:r>
        <w:rPr>
          <w:rFonts w:ascii="Bookman Old Style" w:eastAsia="Times New Roman" w:hAnsi="Bookman Old Style" w:cs="Times New Roman"/>
          <w:i/>
          <w:lang w:val="es-ES" w:eastAsia="es-ES"/>
        </w:rPr>
        <w:t xml:space="preserve"> varias veces ha presentado las </w:t>
      </w:r>
      <w:r w:rsidRPr="00D428CA">
        <w:rPr>
          <w:rFonts w:ascii="Bookman Old Style" w:eastAsia="Times New Roman" w:hAnsi="Bookman Old Style" w:cs="Times New Roman"/>
          <w:i/>
          <w:lang w:val="es-ES" w:eastAsia="es-ES"/>
        </w:rPr>
        <w:t>recomendaciones a los comportamie</w:t>
      </w:r>
      <w:r>
        <w:rPr>
          <w:rFonts w:ascii="Bookman Old Style" w:eastAsia="Times New Roman" w:hAnsi="Bookman Old Style" w:cs="Times New Roman"/>
          <w:i/>
          <w:lang w:val="es-ES" w:eastAsia="es-ES"/>
        </w:rPr>
        <w:t xml:space="preserve">ntos que hemos tenido y siempre </w:t>
      </w:r>
      <w:r w:rsidRPr="00D428CA">
        <w:rPr>
          <w:rFonts w:ascii="Bookman Old Style" w:eastAsia="Times New Roman" w:hAnsi="Bookman Old Style" w:cs="Times New Roman"/>
          <w:i/>
          <w:lang w:val="es-ES" w:eastAsia="es-ES"/>
        </w:rPr>
        <w:t>hemos presentado una información real, basada en los estándares d</w:t>
      </w:r>
      <w:r>
        <w:rPr>
          <w:rFonts w:ascii="Bookman Old Style" w:eastAsia="Times New Roman" w:hAnsi="Bookman Old Style" w:cs="Times New Roman"/>
          <w:i/>
          <w:lang w:val="es-ES" w:eastAsia="es-ES"/>
        </w:rPr>
        <w:t xml:space="preserve">e </w:t>
      </w:r>
      <w:r w:rsidRPr="00D428CA">
        <w:rPr>
          <w:rFonts w:ascii="Bookman Old Style" w:eastAsia="Times New Roman" w:hAnsi="Bookman Old Style" w:cs="Times New Roman"/>
          <w:i/>
          <w:lang w:val="es-ES" w:eastAsia="es-ES"/>
        </w:rPr>
        <w:t>gestión nacional, por tanto, nuestra reali</w:t>
      </w:r>
      <w:r>
        <w:rPr>
          <w:rFonts w:ascii="Bookman Old Style" w:eastAsia="Times New Roman" w:hAnsi="Bookman Old Style" w:cs="Times New Roman"/>
          <w:i/>
          <w:lang w:val="es-ES" w:eastAsia="es-ES"/>
        </w:rPr>
        <w:t xml:space="preserve">dad a pesar de ser reducida, es </w:t>
      </w:r>
      <w:r w:rsidRPr="00D428CA">
        <w:rPr>
          <w:rFonts w:ascii="Bookman Old Style" w:eastAsia="Times New Roman" w:hAnsi="Bookman Old Style" w:cs="Times New Roman"/>
          <w:i/>
          <w:lang w:val="es-ES" w:eastAsia="es-ES"/>
        </w:rPr>
        <w:t>respetable.</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B25CAB" w:rsidRPr="00D428CA" w:rsidRDefault="00B25CAB"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3. Habiendo cumplido con el reporte de la inf</w:t>
      </w:r>
      <w:r>
        <w:rPr>
          <w:rFonts w:ascii="Bookman Old Style" w:eastAsia="Times New Roman" w:hAnsi="Bookman Old Style" w:cs="Times New Roman"/>
          <w:i/>
          <w:lang w:val="es-ES" w:eastAsia="es-ES"/>
        </w:rPr>
        <w:t xml:space="preserve">ormación conforme a lo indicado </w:t>
      </w:r>
      <w:r w:rsidRPr="00D428CA">
        <w:rPr>
          <w:rFonts w:ascii="Bookman Old Style" w:eastAsia="Times New Roman" w:hAnsi="Bookman Old Style" w:cs="Times New Roman"/>
          <w:i/>
          <w:lang w:val="es-ES" w:eastAsia="es-ES"/>
        </w:rPr>
        <w:t>anteriormente, la CREG procedió a calc</w:t>
      </w:r>
      <w:r>
        <w:rPr>
          <w:rFonts w:ascii="Bookman Old Style" w:eastAsia="Times New Roman" w:hAnsi="Bookman Old Style" w:cs="Times New Roman"/>
          <w:i/>
          <w:lang w:val="es-ES" w:eastAsia="es-ES"/>
        </w:rPr>
        <w:t xml:space="preserve">ular unos valores irreales, que </w:t>
      </w:r>
      <w:r w:rsidRPr="00D428CA">
        <w:rPr>
          <w:rFonts w:ascii="Bookman Old Style" w:eastAsia="Times New Roman" w:hAnsi="Bookman Old Style" w:cs="Times New Roman"/>
          <w:i/>
          <w:lang w:val="es-ES" w:eastAsia="es-ES"/>
        </w:rPr>
        <w:t>afectan el buen desarrollo de la compañía.</w:t>
      </w: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4. Por tanto, le solicitó a la CRE</w:t>
      </w:r>
      <w:r>
        <w:rPr>
          <w:rFonts w:ascii="Bookman Old Style" w:eastAsia="Times New Roman" w:hAnsi="Bookman Old Style" w:cs="Times New Roman"/>
          <w:i/>
          <w:lang w:val="es-ES" w:eastAsia="es-ES"/>
        </w:rPr>
        <w:t xml:space="preserve">G respetuosamente, que tenga en </w:t>
      </w:r>
      <w:r w:rsidRPr="00D428CA">
        <w:rPr>
          <w:rFonts w:ascii="Bookman Old Style" w:eastAsia="Times New Roman" w:hAnsi="Bookman Old Style" w:cs="Times New Roman"/>
          <w:i/>
          <w:lang w:val="es-ES" w:eastAsia="es-ES"/>
        </w:rPr>
        <w:t>consideración al momento de calcu</w:t>
      </w:r>
      <w:r>
        <w:rPr>
          <w:rFonts w:ascii="Bookman Old Style" w:eastAsia="Times New Roman" w:hAnsi="Bookman Old Style" w:cs="Times New Roman"/>
          <w:i/>
          <w:lang w:val="es-ES" w:eastAsia="es-ES"/>
        </w:rPr>
        <w:t xml:space="preserve">lar las asignaciones de nuestra </w:t>
      </w:r>
      <w:r w:rsidRPr="00D428CA">
        <w:rPr>
          <w:rFonts w:ascii="Bookman Old Style" w:eastAsia="Times New Roman" w:hAnsi="Bookman Old Style" w:cs="Times New Roman"/>
          <w:i/>
          <w:lang w:val="es-ES" w:eastAsia="es-ES"/>
        </w:rPr>
        <w:t>empresa, el hecho que la sociedad que r</w:t>
      </w:r>
      <w:r>
        <w:rPr>
          <w:rFonts w:ascii="Bookman Old Style" w:eastAsia="Times New Roman" w:hAnsi="Bookman Old Style" w:cs="Times New Roman"/>
          <w:i/>
          <w:lang w:val="es-ES" w:eastAsia="es-ES"/>
        </w:rPr>
        <w:t xml:space="preserve">epresento ha venido presentando </w:t>
      </w:r>
      <w:r w:rsidRPr="00D428CA">
        <w:rPr>
          <w:rFonts w:ascii="Bookman Old Style" w:eastAsia="Times New Roman" w:hAnsi="Bookman Old Style" w:cs="Times New Roman"/>
          <w:i/>
          <w:lang w:val="es-ES" w:eastAsia="es-ES"/>
        </w:rPr>
        <w:t>una gran actividad comercial basada en la</w:t>
      </w:r>
      <w:r>
        <w:rPr>
          <w:rFonts w:ascii="Bookman Old Style" w:eastAsia="Times New Roman" w:hAnsi="Bookman Old Style" w:cs="Times New Roman"/>
          <w:i/>
          <w:lang w:val="es-ES" w:eastAsia="es-ES"/>
        </w:rPr>
        <w:t xml:space="preserve"> esperanza de seguir o tener la </w:t>
      </w:r>
      <w:r w:rsidRPr="00D428CA">
        <w:rPr>
          <w:rFonts w:ascii="Bookman Old Style" w:eastAsia="Times New Roman" w:hAnsi="Bookman Old Style" w:cs="Times New Roman"/>
          <w:i/>
          <w:lang w:val="es-ES" w:eastAsia="es-ES"/>
        </w:rPr>
        <w:t>capacidad de compra para la asignación de GLP p</w:t>
      </w:r>
      <w:r>
        <w:rPr>
          <w:rFonts w:ascii="Bookman Old Style" w:eastAsia="Times New Roman" w:hAnsi="Bookman Old Style" w:cs="Times New Roman"/>
          <w:i/>
          <w:lang w:val="es-ES" w:eastAsia="es-ES"/>
        </w:rPr>
        <w:t xml:space="preserve">or parte de ECOPETROL </w:t>
      </w:r>
      <w:r w:rsidRPr="00D428CA">
        <w:rPr>
          <w:rFonts w:ascii="Bookman Old Style" w:eastAsia="Times New Roman" w:hAnsi="Bookman Old Style" w:cs="Times New Roman"/>
          <w:i/>
          <w:lang w:val="es-ES" w:eastAsia="es-ES"/>
        </w:rPr>
        <w:t xml:space="preserve">para este último periodo, semestre en la </w:t>
      </w:r>
      <w:r>
        <w:rPr>
          <w:rFonts w:ascii="Bookman Old Style" w:eastAsia="Times New Roman" w:hAnsi="Bookman Old Style" w:cs="Times New Roman"/>
          <w:i/>
          <w:lang w:val="es-ES" w:eastAsia="es-ES"/>
        </w:rPr>
        <w:t xml:space="preserve">cual dispuso todo sus capacidad </w:t>
      </w:r>
      <w:r w:rsidRPr="00D428CA">
        <w:rPr>
          <w:rFonts w:ascii="Bookman Old Style" w:eastAsia="Times New Roman" w:hAnsi="Bookman Old Style" w:cs="Times New Roman"/>
          <w:i/>
          <w:lang w:val="es-ES" w:eastAsia="es-ES"/>
        </w:rPr>
        <w:t>técnica y administrativa para prestar de un</w:t>
      </w:r>
      <w:r>
        <w:rPr>
          <w:rFonts w:ascii="Bookman Old Style" w:eastAsia="Times New Roman" w:hAnsi="Bookman Old Style" w:cs="Times New Roman"/>
          <w:i/>
          <w:lang w:val="es-ES" w:eastAsia="es-ES"/>
        </w:rPr>
        <w:t xml:space="preserve">a forma totalmente eficiente el </w:t>
      </w:r>
      <w:r w:rsidRPr="00D428CA">
        <w:rPr>
          <w:rFonts w:ascii="Bookman Old Style" w:eastAsia="Times New Roman" w:hAnsi="Bookman Old Style" w:cs="Times New Roman"/>
          <w:i/>
          <w:lang w:val="es-ES" w:eastAsia="es-ES"/>
        </w:rPr>
        <w:t>servicio.</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p>
    <w:p w:rsid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5. Solicitamos tenga en cuenta que nuest</w:t>
      </w:r>
      <w:r>
        <w:rPr>
          <w:rFonts w:ascii="Bookman Old Style" w:eastAsia="Times New Roman" w:hAnsi="Bookman Old Style" w:cs="Times New Roman"/>
          <w:i/>
          <w:lang w:val="es-ES" w:eastAsia="es-ES"/>
        </w:rPr>
        <w:t xml:space="preserve">ra empresa mantiene un promedio </w:t>
      </w:r>
      <w:r w:rsidRPr="00D428CA">
        <w:rPr>
          <w:rFonts w:ascii="Bookman Old Style" w:eastAsia="Times New Roman" w:hAnsi="Bookman Old Style" w:cs="Times New Roman"/>
          <w:i/>
          <w:lang w:val="es-ES" w:eastAsia="es-ES"/>
        </w:rPr>
        <w:t>de ventas como lo muestra el sui.</w:t>
      </w:r>
    </w:p>
    <w:p w:rsidR="00D428CA" w:rsidRDefault="00D428CA" w:rsidP="00D428CA">
      <w:pPr>
        <w:pStyle w:val="Textoindependiente2"/>
        <w:spacing w:after="0" w:line="240" w:lineRule="auto"/>
        <w:ind w:left="0" w:right="-142"/>
        <w:jc w:val="both"/>
        <w:rPr>
          <w:rFonts w:ascii="Bookman Old Style" w:hAnsi="Bookman Old Style"/>
          <w:i/>
          <w:sz w:val="22"/>
          <w:szCs w:val="22"/>
        </w:rPr>
      </w:pPr>
    </w:p>
    <w:p w:rsidR="007F3FC2" w:rsidRPr="004075B5" w:rsidRDefault="007F3FC2" w:rsidP="00D428CA">
      <w:pPr>
        <w:spacing w:after="0" w:line="240" w:lineRule="auto"/>
        <w:ind w:left="-142" w:right="-142"/>
        <w:jc w:val="both"/>
        <w:rPr>
          <w:rFonts w:ascii="Bookman Old Style" w:hAnsi="Bookman Old Style" w:cs="Arial"/>
          <w:spacing w:val="-5"/>
          <w:sz w:val="24"/>
          <w:szCs w:val="24"/>
        </w:rPr>
      </w:pPr>
      <w:r w:rsidRPr="004075B5">
        <w:rPr>
          <w:rFonts w:ascii="Bookman Old Style" w:hAnsi="Bookman Old Style" w:cs="Arial"/>
          <w:spacing w:val="-5"/>
          <w:sz w:val="24"/>
          <w:szCs w:val="24"/>
        </w:rPr>
        <w:t xml:space="preserve">Para sustentar estos </w:t>
      </w:r>
      <w:r w:rsidRPr="00440169">
        <w:rPr>
          <w:rFonts w:ascii="Bookman Old Style" w:eastAsia="Times New Roman" w:hAnsi="Bookman Old Style" w:cs="Times New Roman"/>
          <w:sz w:val="24"/>
          <w:szCs w:val="24"/>
          <w:lang w:val="es-ES" w:eastAsia="es-ES"/>
        </w:rPr>
        <w:t>argumentos</w:t>
      </w:r>
      <w:r w:rsidRPr="004075B5">
        <w:rPr>
          <w:rFonts w:ascii="Bookman Old Style" w:hAnsi="Bookman Old Style" w:cs="Arial"/>
          <w:spacing w:val="-5"/>
          <w:sz w:val="24"/>
          <w:szCs w:val="24"/>
        </w:rPr>
        <w:t xml:space="preserve"> </w:t>
      </w:r>
      <w:r w:rsidR="00440169">
        <w:rPr>
          <w:rFonts w:ascii="Bookman Old Style" w:hAnsi="Bookman Old Style" w:cs="Arial"/>
          <w:spacing w:val="-5"/>
          <w:sz w:val="24"/>
          <w:szCs w:val="24"/>
        </w:rPr>
        <w:t xml:space="preserve">la empresa </w:t>
      </w:r>
      <w:r w:rsidR="00D428CA" w:rsidRPr="004075B5">
        <w:rPr>
          <w:rFonts w:ascii="Bookman Old Style" w:hAnsi="Bookman Old Style" w:cs="Arial"/>
          <w:spacing w:val="-5"/>
          <w:sz w:val="24"/>
          <w:szCs w:val="24"/>
        </w:rPr>
        <w:t>Termogas Soluciones Energéticas</w:t>
      </w:r>
      <w:r w:rsidRPr="004075B5">
        <w:rPr>
          <w:rFonts w:ascii="Bookman Old Style" w:hAnsi="Bookman Old Style" w:cs="Arial"/>
          <w:spacing w:val="-5"/>
          <w:sz w:val="24"/>
          <w:szCs w:val="24"/>
        </w:rPr>
        <w:t xml:space="preserve"> </w:t>
      </w:r>
      <w:r w:rsidR="00440169">
        <w:rPr>
          <w:rFonts w:ascii="Bookman Old Style" w:hAnsi="Bookman Old Style" w:cs="Arial"/>
          <w:spacing w:val="-5"/>
          <w:sz w:val="24"/>
          <w:szCs w:val="24"/>
        </w:rPr>
        <w:t xml:space="preserve">S.A.S. E.S.P. </w:t>
      </w:r>
      <w:r w:rsidRPr="004075B5">
        <w:rPr>
          <w:rFonts w:ascii="Bookman Old Style" w:hAnsi="Bookman Old Style" w:cs="Arial"/>
          <w:spacing w:val="-5"/>
          <w:sz w:val="24"/>
          <w:szCs w:val="24"/>
        </w:rPr>
        <w:t>adjuntó los siguientes soportes:</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Pr>
          <w:rFonts w:ascii="Bookman Old Style" w:eastAsia="Times New Roman" w:hAnsi="Bookman Old Style" w:cs="Times New Roman"/>
          <w:i/>
          <w:lang w:val="es-ES" w:eastAsia="es-ES"/>
        </w:rPr>
        <w:t>“</w:t>
      </w:r>
      <w:r w:rsidRPr="00D428CA">
        <w:rPr>
          <w:rFonts w:ascii="Bookman Old Style" w:eastAsia="Times New Roman" w:hAnsi="Bookman Old Style" w:cs="Times New Roman"/>
          <w:i/>
          <w:lang w:val="es-ES" w:eastAsia="es-ES"/>
        </w:rPr>
        <w:t>- Cuadro y lista de tanques estacionarios certificados en el sui.</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Reportes de problemas del sui, (mesas de ayuda).</w:t>
      </w:r>
    </w:p>
    <w:p w:rsidR="00D428CA"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Pantallazos de certificaciones de los formatos c10 trimestrales de tanques.</w:t>
      </w:r>
    </w:p>
    <w:p w:rsidR="007F3FC2" w:rsidRPr="00D428CA" w:rsidRDefault="00D428CA" w:rsidP="00D428CA">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Times New Roman"/>
          <w:i/>
          <w:lang w:val="es-ES" w:eastAsia="es-ES"/>
        </w:rPr>
      </w:pPr>
      <w:r w:rsidRPr="00D428CA">
        <w:rPr>
          <w:rFonts w:ascii="Bookman Old Style" w:eastAsia="Times New Roman" w:hAnsi="Bookman Old Style" w:cs="Times New Roman"/>
          <w:i/>
          <w:lang w:val="es-ES" w:eastAsia="es-ES"/>
        </w:rPr>
        <w:t>- Reporte del sui</w:t>
      </w:r>
      <w:r>
        <w:rPr>
          <w:rFonts w:ascii="Bookman Old Style" w:eastAsia="Times New Roman" w:hAnsi="Bookman Old Style" w:cs="Times New Roman"/>
          <w:i/>
          <w:lang w:val="es-ES" w:eastAsia="es-ES"/>
        </w:rPr>
        <w:t>”</w:t>
      </w:r>
    </w:p>
    <w:p w:rsidR="00D428CA" w:rsidRDefault="00D428CA" w:rsidP="00D428CA">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spacing w:after="0" w:line="240" w:lineRule="auto"/>
        <w:ind w:right="-142"/>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Teniendo en cuenta que dentro de los argumentos expuestos por la empresa a efectos de sustentar su recurso de reposición se encontraban elementos relacionados con una posible diferencia de información del Sistema Único de Información – SUI remitida por la Superintendencia de Servicios Públicos Domiciliarios a efectos de definir la capacidad de compra por la existencia de  un cargue de información de activos</w:t>
      </w:r>
      <w:r>
        <w:rPr>
          <w:rFonts w:ascii="Bookman Old Style" w:eastAsia="Times New Roman" w:hAnsi="Bookman Old Style" w:cs="Times New Roman"/>
          <w:sz w:val="24"/>
          <w:szCs w:val="24"/>
          <w:lang w:val="es-ES" w:eastAsia="es-ES"/>
        </w:rPr>
        <w:t xml:space="preserve"> en materia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adjuntando los soportes correspondientes; esta Comisión de acuerdo con las facultades con las que cuenta en materia probatoria, previstas en la Ley 142 de 1994, procedió a decretar de manera </w:t>
      </w:r>
      <w:r w:rsidRPr="007F3FC2">
        <w:rPr>
          <w:rFonts w:ascii="Bookman Old Style" w:eastAsia="Times New Roman" w:hAnsi="Bookman Old Style" w:cs="Arial"/>
          <w:spacing w:val="-5"/>
          <w:sz w:val="24"/>
          <w:szCs w:val="24"/>
        </w:rPr>
        <w:t>oficiosa</w:t>
      </w:r>
      <w:r w:rsidRPr="007F3FC2">
        <w:rPr>
          <w:rFonts w:ascii="Bookman Old Style" w:eastAsia="Times New Roman" w:hAnsi="Bookman Old Style" w:cs="Times New Roman"/>
          <w:sz w:val="24"/>
          <w:szCs w:val="24"/>
          <w:lang w:val="es-ES" w:eastAsia="es-ES"/>
        </w:rPr>
        <w:t xml:space="preserve"> la práctica de pruebas, par</w:t>
      </w:r>
      <w:r>
        <w:rPr>
          <w:rFonts w:ascii="Bookman Old Style" w:eastAsia="Times New Roman" w:hAnsi="Bookman Old Style" w:cs="Times New Roman"/>
          <w:sz w:val="24"/>
          <w:szCs w:val="24"/>
          <w:lang w:val="es-ES" w:eastAsia="es-ES"/>
        </w:rPr>
        <w:t>a lo cual expidió el Auto I-2019</w:t>
      </w:r>
      <w:r w:rsidRPr="007F3FC2">
        <w:rPr>
          <w:rFonts w:ascii="Bookman Old Style" w:eastAsia="Times New Roman" w:hAnsi="Bookman Old Style" w:cs="Times New Roman"/>
          <w:sz w:val="24"/>
          <w:szCs w:val="24"/>
          <w:lang w:val="es-ES" w:eastAsia="es-ES"/>
        </w:rPr>
        <w:t>-</w:t>
      </w:r>
      <w:r>
        <w:rPr>
          <w:rFonts w:ascii="Bookman Old Style" w:eastAsia="Times New Roman" w:hAnsi="Bookman Old Style" w:cs="Times New Roman"/>
          <w:sz w:val="24"/>
          <w:szCs w:val="24"/>
          <w:lang w:val="es-ES" w:eastAsia="es-ES"/>
        </w:rPr>
        <w:t>0</w:t>
      </w:r>
      <w:r w:rsidR="00BD7BE2">
        <w:rPr>
          <w:rFonts w:ascii="Bookman Old Style" w:eastAsia="Times New Roman" w:hAnsi="Bookman Old Style" w:cs="Times New Roman"/>
          <w:sz w:val="24"/>
          <w:szCs w:val="24"/>
          <w:lang w:val="es-ES" w:eastAsia="es-ES"/>
        </w:rPr>
        <w:t>03520</w:t>
      </w:r>
      <w:r w:rsidRPr="007F3FC2">
        <w:rPr>
          <w:rFonts w:ascii="Bookman Old Style" w:eastAsia="Times New Roman" w:hAnsi="Bookman Old Style" w:cs="Times New Roman"/>
          <w:sz w:val="24"/>
          <w:szCs w:val="24"/>
          <w:lang w:val="es-ES" w:eastAsia="es-ES"/>
        </w:rPr>
        <w:t xml:space="preserve"> en el cual se solicitó a la Superintendencia de Servicios Públicos Domiciliarios, en calidad de administrador de dicha herramienta, lo siguiente: </w:t>
      </w:r>
    </w:p>
    <w:p w:rsidR="007F3FC2" w:rsidRDefault="007F3FC2" w:rsidP="00A33677">
      <w:pPr>
        <w:pStyle w:val="Textoindependiente2"/>
        <w:spacing w:after="0" w:line="240" w:lineRule="auto"/>
        <w:ind w:left="-142" w:right="-142"/>
        <w:jc w:val="both"/>
        <w:rPr>
          <w:rFonts w:ascii="Bookman Old Style" w:hAnsi="Bookman Old Style" w:cs="Arial"/>
          <w:spacing w:val="-5"/>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Pr>
          <w:rFonts w:ascii="Bookman Old Style" w:eastAsia="Times New Roman" w:hAnsi="Bookman Old Style" w:cs="Arial"/>
          <w:b/>
          <w:bCs/>
          <w:i/>
          <w:lang w:eastAsia="es-ES"/>
        </w:rPr>
        <w:t>“</w:t>
      </w:r>
      <w:r w:rsidRPr="007F3FC2">
        <w:rPr>
          <w:rFonts w:ascii="Bookman Old Style" w:eastAsia="Times New Roman" w:hAnsi="Bookman Old Style" w:cs="Arial"/>
          <w:b/>
          <w:bCs/>
          <w:i/>
          <w:lang w:eastAsia="es-ES"/>
        </w:rPr>
        <w:t xml:space="preserve">Artículo 1. </w:t>
      </w:r>
      <w:r w:rsidRPr="007F3FC2">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048 de 2019:</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Oficiar a la Superintendencia de Servicios Públicos Domiciliarios para que en el término de hasta (5) días calendario siguientes al recibo de la presente auto manifieste e informe a esta Entidad si existen diferencias, modificaciones o ajustes en la información del SUI remitida a esta Comisión mediante la comunicación 201929999285251, con radicado CREG E-2019-004884,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los recursos de reposición por parte de las empresas, relacionados con la</w:t>
      </w:r>
      <w:r w:rsidRPr="007F3FC2">
        <w:rPr>
          <w:rFonts w:ascii="Bookman Old Style" w:eastAsia="Times New Roman" w:hAnsi="Bookman Old Style" w:cs="Times New Roman"/>
          <w:i/>
          <w:lang w:val="es-ES_tradnl"/>
        </w:rPr>
        <w:t xml:space="preserve"> </w:t>
      </w:r>
      <w:r w:rsidRPr="007F3FC2">
        <w:rPr>
          <w:rFonts w:ascii="Bookman Old Style" w:eastAsia="Times New Roman" w:hAnsi="Bookman Old Style" w:cs="Arial"/>
          <w:bCs/>
          <w:i/>
          <w:lang w:eastAsia="es-ES"/>
        </w:rPr>
        <w:t xml:space="preserve">Superintendencia de Servicios Públicos </w:t>
      </w:r>
      <w:r w:rsidRPr="007F3FC2">
        <w:rPr>
          <w:rFonts w:ascii="Bookman Old Style" w:eastAsia="Times New Roman" w:hAnsi="Bookman Old Style" w:cs="Arial"/>
          <w:bCs/>
          <w:i/>
          <w:lang w:eastAsia="es-ES"/>
        </w:rPr>
        <w:lastRenderedPageBreak/>
        <w:t>Domiciliarios al Sistema Único de Información – SUI y el Registro Único de Prestadores de Servicios Públicos – RUPS.</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Para el efecto se remitirá a la Superintendencia la información del archivo Excel correspondiente a la comunicación 201929999285251, con radicado CREG E-2019-004884, así como copia de los recursos de reposición interpuestos en contra de la Resolución CREG 048 de 2019. </w:t>
      </w:r>
    </w:p>
    <w:p w:rsidR="007F3FC2" w:rsidRPr="007F3FC2" w:rsidRDefault="007F3FC2" w:rsidP="007F3FC2">
      <w:pPr>
        <w:spacing w:after="0" w:line="240" w:lineRule="auto"/>
        <w:jc w:val="both"/>
        <w:rPr>
          <w:rFonts w:ascii="Bookman Old Style" w:eastAsia="Times New Roman" w:hAnsi="Bookman Old Style" w:cs="Arial"/>
          <w:bCs/>
          <w:i/>
          <w:lang w:eastAsia="es-ES"/>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bCs/>
          <w:i/>
          <w:lang w:eastAsia="es-ES"/>
        </w:rPr>
      </w:pPr>
      <w:r w:rsidRPr="007F3FC2">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w:t>
      </w:r>
      <w:r w:rsidRPr="007F3FC2">
        <w:rPr>
          <w:rFonts w:ascii="Bookman Old Style" w:eastAsia="Times New Roman" w:hAnsi="Bookman Old Style" w:cs="Arial"/>
          <w:i/>
          <w:lang w:val="es-ES_tradnl"/>
        </w:rPr>
        <w:t xml:space="preserve">en un archivo magnético de Excel, la información </w:t>
      </w:r>
      <w:r w:rsidRPr="007F3FC2">
        <w:rPr>
          <w:rFonts w:ascii="Bookman Old Style" w:eastAsia="Times New Roman" w:hAnsi="Bookman Old Style" w:cs="Arial"/>
          <w:bCs/>
          <w:i/>
          <w:lang w:eastAsia="es-ES"/>
        </w:rPr>
        <w:t>del</w:t>
      </w:r>
      <w:r w:rsidRPr="007F3FC2">
        <w:rPr>
          <w:rFonts w:ascii="Bookman Old Style" w:eastAsia="Times New Roman" w:hAnsi="Bookman Old Style" w:cs="Arial"/>
          <w:i/>
          <w:lang w:val="es-ES_tradnl"/>
        </w:rPr>
        <w:t xml:space="preserve">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7F3FC2" w:rsidRPr="007F3FC2" w:rsidRDefault="007F3FC2" w:rsidP="007F3FC2">
      <w:pPr>
        <w:spacing w:after="0" w:line="240" w:lineRule="auto"/>
        <w:rPr>
          <w:rFonts w:ascii="Bookman Old Style" w:eastAsia="Calibri" w:hAnsi="Bookman Old Style" w:cs="Arial"/>
          <w:i/>
        </w:rPr>
      </w:pPr>
    </w:p>
    <w:tbl>
      <w:tblPr>
        <w:tblStyle w:val="Tablaconcuadrcula4"/>
        <w:tblW w:w="0" w:type="auto"/>
        <w:jc w:val="center"/>
        <w:tblLook w:val="04A0" w:firstRow="1" w:lastRow="0" w:firstColumn="1" w:lastColumn="0" w:noHBand="0" w:noVBand="1"/>
      </w:tblPr>
      <w:tblGrid>
        <w:gridCol w:w="2408"/>
        <w:gridCol w:w="2442"/>
        <w:gridCol w:w="2929"/>
      </w:tblGrid>
      <w:tr w:rsidR="007F3FC2" w:rsidRPr="007F3FC2" w:rsidTr="00764F99">
        <w:trPr>
          <w:jc w:val="center"/>
        </w:trPr>
        <w:tc>
          <w:tcPr>
            <w:tcW w:w="2408"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Identificador de empresa (código SUI)</w:t>
            </w:r>
          </w:p>
        </w:tc>
        <w:tc>
          <w:tcPr>
            <w:tcW w:w="2442"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Código de presentación del cilindro</w:t>
            </w:r>
          </w:p>
        </w:tc>
        <w:tc>
          <w:tcPr>
            <w:tcW w:w="2929" w:type="dxa"/>
            <w:vAlign w:val="center"/>
          </w:tcPr>
          <w:p w:rsidR="007F3FC2" w:rsidRPr="007F3FC2" w:rsidRDefault="007F3FC2" w:rsidP="007F3FC2">
            <w:pPr>
              <w:spacing w:line="259" w:lineRule="auto"/>
              <w:rPr>
                <w:rFonts w:ascii="Bookman Old Style" w:hAnsi="Bookman Old Style" w:cs="Arial"/>
                <w:i/>
                <w:sz w:val="22"/>
                <w:szCs w:val="22"/>
              </w:rPr>
            </w:pPr>
            <w:r w:rsidRPr="007F3FC2">
              <w:rPr>
                <w:rFonts w:ascii="Bookman Old Style" w:hAnsi="Bookman Old Style" w:cs="Arial"/>
                <w:i/>
                <w:sz w:val="22"/>
                <w:szCs w:val="22"/>
              </w:rPr>
              <w:t xml:space="preserve">Cantidad de cilindros por cada código de presentación </w:t>
            </w:r>
          </w:p>
        </w:tc>
      </w:tr>
    </w:tbl>
    <w:p w:rsidR="007F3FC2" w:rsidRPr="007F3FC2" w:rsidRDefault="007F3FC2" w:rsidP="007F3FC2">
      <w:pPr>
        <w:spacing w:after="0" w:line="240" w:lineRule="auto"/>
        <w:rPr>
          <w:rFonts w:ascii="Bookman Old Style" w:eastAsia="Calibri" w:hAnsi="Bookman Old Style" w:cs="Arial"/>
          <w:i/>
        </w:rPr>
      </w:pPr>
    </w:p>
    <w:p w:rsidR="007F3FC2" w:rsidRPr="007F3FC2" w:rsidRDefault="007F3FC2" w:rsidP="007F3FC2">
      <w:pPr>
        <w:tabs>
          <w:tab w:val="left" w:pos="-720"/>
          <w:tab w:val="left" w:pos="1276"/>
        </w:tabs>
        <w:suppressAutoHyphens/>
        <w:overflowPunct w:val="0"/>
        <w:autoSpaceDE w:val="0"/>
        <w:spacing w:after="0" w:line="240" w:lineRule="auto"/>
        <w:ind w:left="567" w:right="284"/>
        <w:jc w:val="both"/>
        <w:textAlignment w:val="baseline"/>
        <w:rPr>
          <w:rFonts w:ascii="Bookman Old Style" w:eastAsia="Times New Roman" w:hAnsi="Bookman Old Style" w:cs="Arial"/>
          <w:i/>
          <w:lang w:val="es-ES_tradnl"/>
        </w:rPr>
      </w:pPr>
      <w:r w:rsidRPr="007F3FC2">
        <w:rPr>
          <w:rFonts w:ascii="Bookman Old Style" w:eastAsia="Times New Roman" w:hAnsi="Bookman Old Style" w:cs="Arial"/>
          <w:i/>
          <w:lang w:val="es-ES_tradnl"/>
        </w:rPr>
        <w:t xml:space="preserve">Así mismo, remitir </w:t>
      </w:r>
      <w:r w:rsidRPr="007F3FC2">
        <w:rPr>
          <w:rFonts w:ascii="Bookman Old Style" w:eastAsia="Times New Roman" w:hAnsi="Bookman Old Style" w:cs="Arial"/>
          <w:bCs/>
          <w:i/>
          <w:lang w:eastAsia="es-ES"/>
        </w:rPr>
        <w:t>la</w:t>
      </w:r>
      <w:r w:rsidRPr="007F3FC2">
        <w:rPr>
          <w:rFonts w:ascii="Bookman Old Style" w:eastAsia="Times New Roman" w:hAnsi="Bookman Old Style" w:cs="Arial"/>
          <w:i/>
          <w:lang w:val="es-ES_tradnl"/>
        </w:rPr>
        <w:t xml:space="preserve"> información de tanques estacionarios atendidos por cada distribuidor y su capacidad en galones correspondiente al año 2017 de acuerdo con lo reportado a la Superintendencia de Servicios Públicos Domiciliarios en el Sistema Único de Información - SUI.</w:t>
      </w:r>
      <w:r>
        <w:rPr>
          <w:rFonts w:ascii="Bookman Old Style" w:eastAsia="Times New Roman" w:hAnsi="Bookman Old Style" w:cs="Arial"/>
          <w:i/>
          <w:lang w:val="es-ES_tradnl"/>
        </w:rPr>
        <w:t>”</w:t>
      </w:r>
    </w:p>
    <w:p w:rsidR="00252FBF" w:rsidRDefault="00252FBF" w:rsidP="007F3FC2">
      <w:pPr>
        <w:widowControl w:val="0"/>
        <w:tabs>
          <w:tab w:val="right" w:pos="9498"/>
        </w:tabs>
        <w:adjustRightInd w:val="0"/>
        <w:spacing w:after="0" w:line="240" w:lineRule="auto"/>
        <w:ind w:right="-142"/>
        <w:jc w:val="both"/>
        <w:rPr>
          <w:rFonts w:ascii="Bookman Old Style" w:eastAsia="Times New Roman" w:hAnsi="Bookman Old Style" w:cs="Arial"/>
          <w:spacing w:val="-5"/>
          <w:lang w:val="es-ES_tradnl" w:eastAsia="es-ES"/>
        </w:rPr>
      </w:pPr>
    </w:p>
    <w:p w:rsidR="007F3FC2" w:rsidRPr="007F3FC2" w:rsidRDefault="00252FBF" w:rsidP="00252FBF">
      <w:pPr>
        <w:spacing w:after="0" w:line="240" w:lineRule="auto"/>
        <w:ind w:left="-142" w:right="-142"/>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esta Comisión que los mismos tienen como objeto modificar la decisión adoptada por la CREG en la Resolución CREG </w:t>
      </w:r>
      <w:r w:rsidR="00252FBF">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a efectos de que esta Comisión revise la definición de la capacidad de compra para la empresa </w:t>
      </w:r>
      <w:r w:rsidR="00D428CA">
        <w:rPr>
          <w:rFonts w:ascii="Bookman Old Style" w:eastAsia="Times New Roman" w:hAnsi="Bookman Old Style" w:cs="Times New Roman"/>
          <w:sz w:val="24"/>
          <w:szCs w:val="24"/>
          <w:lang w:val="es-ES" w:eastAsia="es-ES"/>
        </w:rPr>
        <w:t>Termogas Soluciones Energéticas</w:t>
      </w:r>
      <w:r w:rsidR="00063FBB">
        <w:rPr>
          <w:rFonts w:ascii="Bookman Old Style" w:eastAsia="Times New Roman" w:hAnsi="Bookman Old Style" w:cs="Times New Roman"/>
          <w:sz w:val="24"/>
          <w:szCs w:val="24"/>
          <w:lang w:val="es-ES" w:eastAsia="es-ES"/>
        </w:rPr>
        <w:t xml:space="preserve"> S.A.S. E.S.P.</w:t>
      </w:r>
      <w:r w:rsidRPr="007F3FC2">
        <w:rPr>
          <w:rFonts w:ascii="Bookman Old Style" w:eastAsia="Times New Roman" w:hAnsi="Bookman Old Style" w:cs="Times New Roman"/>
          <w:sz w:val="24"/>
          <w:szCs w:val="24"/>
          <w:lang w:val="es-ES" w:eastAsia="es-ES"/>
        </w:rPr>
        <w:t xml:space="preserve">, toda vez que considera que existen diferencias en la información a nivel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reportados en el SUI que fueron tenidos en cuenta por la CREG para realizar dicho cálculo.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este sentido, los argumentos de la empresa buscan justificar que la definición de la capacidad de compra debe llevarse a cabo con el reporte de </w:t>
      </w:r>
      <w:r w:rsidR="00D428CA">
        <w:rPr>
          <w:rFonts w:ascii="Bookman Old Style" w:eastAsia="Times New Roman" w:hAnsi="Bookman Old Style" w:cs="Times New Roman"/>
          <w:sz w:val="24"/>
          <w:szCs w:val="24"/>
          <w:lang w:val="es-ES" w:eastAsia="es-ES"/>
        </w:rPr>
        <w:t>tanques estacionarios</w:t>
      </w:r>
      <w:r w:rsidRPr="007F3FC2">
        <w:rPr>
          <w:rFonts w:ascii="Bookman Old Style" w:eastAsia="Times New Roman" w:hAnsi="Bookman Old Style" w:cs="Times New Roman"/>
          <w:sz w:val="24"/>
          <w:szCs w:val="24"/>
          <w:lang w:val="es-ES" w:eastAsia="es-ES"/>
        </w:rPr>
        <w:t xml:space="preserve"> realizado por esta empresa de acuerdo con los </w:t>
      </w:r>
      <w:r w:rsidR="00BD7BE2">
        <w:rPr>
          <w:rFonts w:ascii="Bookman Old Style" w:eastAsia="Times New Roman" w:hAnsi="Bookman Old Style" w:cs="Times New Roman"/>
          <w:sz w:val="24"/>
          <w:szCs w:val="24"/>
          <w:lang w:val="es-ES" w:eastAsia="es-ES"/>
        </w:rPr>
        <w:t>argumentos expuestos</w:t>
      </w:r>
      <w:r w:rsidRPr="007F3FC2">
        <w:rPr>
          <w:rFonts w:ascii="Bookman Old Style" w:eastAsia="Times New Roman" w:hAnsi="Bookman Old Style" w:cs="Times New Roman"/>
          <w:sz w:val="24"/>
          <w:szCs w:val="24"/>
          <w:lang w:val="es-ES" w:eastAsia="es-ES"/>
        </w:rPr>
        <w:t xml:space="preserve"> en el recurso de reposición.</w:t>
      </w:r>
    </w:p>
    <w:p w:rsidR="007F3FC2" w:rsidRPr="007F3FC2" w:rsidRDefault="007F3FC2" w:rsidP="007F3FC2">
      <w:pPr>
        <w:spacing w:after="0" w:line="240" w:lineRule="auto"/>
        <w:ind w:right="-142"/>
        <w:jc w:val="both"/>
        <w:rPr>
          <w:rFonts w:ascii="Bookman Old Style" w:eastAsia="Times New Roman" w:hAnsi="Bookman Old Style" w:cs="Times New Roman"/>
          <w:sz w:val="24"/>
          <w:szCs w:val="24"/>
          <w:lang w:val="es-ES" w:eastAsia="es-ES"/>
        </w:rPr>
      </w:pP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de la recurrente con base en la información del Sistema Único de Información – SUI remitida a la Comisión por parte de la Superintendencia de Servicios Públicos Domiciliarios, así como atendiendo el procedimiento previsto en el artículo 8 de la Resolución CREG 063 de 2016, lo cual se refleja en la Resolución CREG </w:t>
      </w:r>
      <w:r w:rsidR="000A43E8">
        <w:rPr>
          <w:rFonts w:ascii="Bookman Old Style" w:eastAsia="Times New Roman" w:hAnsi="Bookman Old Style" w:cs="Times New Roman"/>
          <w:sz w:val="24"/>
          <w:szCs w:val="24"/>
          <w:lang w:val="es-ES" w:eastAsia="es-ES"/>
        </w:rPr>
        <w:t>048 de 2019</w:t>
      </w:r>
      <w:r w:rsidRPr="007F3FC2">
        <w:rPr>
          <w:rFonts w:ascii="Bookman Old Style" w:eastAsia="Times New Roman" w:hAnsi="Bookman Old Style" w:cs="Times New Roman"/>
          <w:sz w:val="24"/>
          <w:szCs w:val="24"/>
          <w:lang w:val="es-ES" w:eastAsia="es-ES"/>
        </w:rPr>
        <w:t xml:space="preserve"> y su anexo. </w:t>
      </w:r>
    </w:p>
    <w:p w:rsidR="007F3FC2" w:rsidRPr="007F3FC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A42DD2" w:rsidRDefault="007F3FC2" w:rsidP="007F3FC2">
      <w:pPr>
        <w:spacing w:after="0" w:line="240" w:lineRule="auto"/>
        <w:ind w:left="-142" w:right="-142"/>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respuesta al auto de pruebas mediante comunicación </w:t>
      </w:r>
      <w:r w:rsidR="00764F99" w:rsidRPr="004075B5">
        <w:rPr>
          <w:rFonts w:ascii="Bookman Old Style" w:eastAsia="Times New Roman" w:hAnsi="Bookman Old Style" w:cs="Times New Roman"/>
          <w:sz w:val="24"/>
          <w:szCs w:val="24"/>
          <w:lang w:val="es-ES" w:eastAsia="es-ES"/>
        </w:rPr>
        <w:t>20192300451551</w:t>
      </w:r>
      <w:r w:rsidRPr="00063FBB">
        <w:rPr>
          <w:rFonts w:ascii="Bookman Old Style" w:eastAsia="Times New Roman" w:hAnsi="Bookman Old Style" w:cs="Times New Roman"/>
          <w:sz w:val="24"/>
          <w:szCs w:val="24"/>
          <w:lang w:val="es-ES" w:eastAsia="es-ES"/>
        </w:rPr>
        <w:t xml:space="preserve"> radicado CREG </w:t>
      </w:r>
      <w:r w:rsidR="00764F99" w:rsidRPr="004075B5">
        <w:rPr>
          <w:rFonts w:ascii="Bookman Old Style" w:eastAsia="Times New Roman" w:hAnsi="Bookman Old Style" w:cs="Times New Roman"/>
          <w:sz w:val="24"/>
          <w:szCs w:val="24"/>
          <w:lang w:val="es-ES" w:eastAsia="es-ES"/>
        </w:rPr>
        <w:t>E-2019-006585</w:t>
      </w:r>
      <w:r w:rsidR="00252FBF">
        <w:rPr>
          <w:rFonts w:ascii="Bookman Old Style" w:eastAsia="Times New Roman" w:hAnsi="Bookman Old Style" w:cs="Times New Roman"/>
          <w:sz w:val="24"/>
          <w:szCs w:val="24"/>
          <w:lang w:val="es-ES" w:eastAsia="es-ES"/>
        </w:rPr>
        <w:t>,</w:t>
      </w:r>
      <w:r w:rsidR="00764F99">
        <w:rPr>
          <w:rFonts w:ascii="Bookman Old Style" w:eastAsia="Times New Roman" w:hAnsi="Bookman Old Style" w:cs="Times New Roman"/>
          <w:sz w:val="24"/>
          <w:szCs w:val="24"/>
          <w:lang w:val="es-ES" w:eastAsia="es-ES"/>
        </w:rPr>
        <w:t xml:space="preserve"> </w:t>
      </w:r>
      <w:r w:rsidRPr="007F3FC2">
        <w:rPr>
          <w:rFonts w:ascii="Bookman Old Style" w:eastAsia="Times New Roman" w:hAnsi="Bookman Old Style" w:cs="Times New Roman"/>
          <w:sz w:val="24"/>
          <w:szCs w:val="24"/>
          <w:lang w:val="es-ES" w:eastAsia="es-ES"/>
        </w:rPr>
        <w:t xml:space="preserve">la Superintendencia de Servicios Públicos </w:t>
      </w:r>
      <w:r w:rsidRPr="007F3FC2">
        <w:rPr>
          <w:rFonts w:ascii="Bookman Old Style" w:eastAsia="Times New Roman" w:hAnsi="Bookman Old Style" w:cs="Times New Roman"/>
          <w:sz w:val="24"/>
          <w:szCs w:val="24"/>
          <w:lang w:val="es-ES" w:eastAsia="es-ES"/>
        </w:rPr>
        <w:lastRenderedPageBreak/>
        <w:t xml:space="preserve">Domiciliarios expuso lo siguiente parta el caso de la empresa </w:t>
      </w:r>
      <w:r w:rsidR="00764F99">
        <w:rPr>
          <w:rFonts w:ascii="Bookman Old Style" w:eastAsia="Times New Roman" w:hAnsi="Bookman Old Style" w:cs="Times New Roman"/>
          <w:sz w:val="24"/>
          <w:szCs w:val="24"/>
          <w:lang w:val="es-ES" w:eastAsia="es-ES"/>
        </w:rPr>
        <w:t>Termogas Soluciones Energéticas</w:t>
      </w:r>
      <w:r w:rsidRPr="007F3FC2">
        <w:rPr>
          <w:rFonts w:ascii="Bookman Old Style" w:eastAsia="Times New Roman" w:hAnsi="Bookman Old Style" w:cs="Times New Roman"/>
          <w:sz w:val="24"/>
          <w:szCs w:val="24"/>
          <w:lang w:val="es-ES" w:eastAsia="es-ES"/>
        </w:rPr>
        <w:t>:</w:t>
      </w:r>
    </w:p>
    <w:p w:rsidR="00A42DD2" w:rsidRDefault="00A42DD2" w:rsidP="007F3FC2">
      <w:pPr>
        <w:spacing w:after="0" w:line="240" w:lineRule="auto"/>
        <w:ind w:left="-142" w:right="-142"/>
        <w:jc w:val="both"/>
        <w:rPr>
          <w:rFonts w:ascii="Bookman Old Style" w:eastAsia="Times New Roman" w:hAnsi="Bookman Old Style" w:cs="Times New Roman"/>
          <w:sz w:val="24"/>
          <w:szCs w:val="24"/>
          <w:lang w:val="es-ES" w:eastAsia="es-ES"/>
        </w:rPr>
      </w:pPr>
    </w:p>
    <w:p w:rsidR="007F3FC2" w:rsidRDefault="007F3FC2" w:rsidP="004075B5">
      <w:pPr>
        <w:spacing w:after="0" w:line="240" w:lineRule="auto"/>
        <w:ind w:left="-142" w:right="-142"/>
        <w:jc w:val="both"/>
        <w:rPr>
          <w:rFonts w:ascii="Bookman Old Style" w:eastAsia="Times New Roman" w:hAnsi="Bookman Old Style" w:cs="Times New Roman"/>
          <w:sz w:val="24"/>
          <w:szCs w:val="24"/>
          <w:lang w:val="es-ES" w:eastAsia="es-ES"/>
        </w:rPr>
      </w:pPr>
    </w:p>
    <w:p w:rsidR="00764F99" w:rsidRDefault="00764F99" w:rsidP="00764F99">
      <w:pPr>
        <w:spacing w:after="0" w:line="240" w:lineRule="auto"/>
        <w:ind w:right="-142"/>
        <w:jc w:val="center"/>
        <w:rPr>
          <w:rFonts w:ascii="Bookman Old Style" w:eastAsia="Times New Roman" w:hAnsi="Bookman Old Style" w:cs="Times New Roman"/>
          <w:sz w:val="24"/>
          <w:szCs w:val="24"/>
          <w:lang w:val="es-ES" w:eastAsia="es-ES"/>
        </w:rPr>
      </w:pPr>
      <w:r w:rsidRPr="00764F99">
        <w:rPr>
          <w:rFonts w:ascii="Bookman Old Style" w:eastAsia="Times New Roman" w:hAnsi="Bookman Old Style" w:cs="Times New Roman"/>
          <w:noProof/>
          <w:sz w:val="24"/>
          <w:szCs w:val="24"/>
          <w:lang w:eastAsia="es-CO"/>
        </w:rPr>
        <w:drawing>
          <wp:inline distT="0" distB="0" distL="0" distR="0">
            <wp:extent cx="5574347" cy="18510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5856" cy="1851526"/>
                    </a:xfrm>
                    <a:prstGeom prst="rect">
                      <a:avLst/>
                    </a:prstGeom>
                    <a:noFill/>
                    <a:ln>
                      <a:noFill/>
                    </a:ln>
                  </pic:spPr>
                </pic:pic>
              </a:graphicData>
            </a:graphic>
          </wp:inline>
        </w:drawing>
      </w:r>
    </w:p>
    <w:p w:rsidR="00764F99" w:rsidRDefault="00764F99" w:rsidP="00764F99">
      <w:pPr>
        <w:spacing w:after="0" w:line="240" w:lineRule="auto"/>
        <w:ind w:right="-142"/>
        <w:jc w:val="center"/>
        <w:rPr>
          <w:rFonts w:ascii="Bookman Old Style" w:eastAsia="Times New Roman" w:hAnsi="Bookman Old Style" w:cs="Times New Roman"/>
          <w:sz w:val="24"/>
          <w:szCs w:val="24"/>
          <w:lang w:val="es-ES" w:eastAsia="es-ES"/>
        </w:rPr>
      </w:pPr>
      <w:r w:rsidRPr="00764F99">
        <w:rPr>
          <w:rFonts w:ascii="Bookman Old Style" w:eastAsia="Times New Roman" w:hAnsi="Bookman Old Style" w:cs="Times New Roman"/>
          <w:noProof/>
          <w:sz w:val="24"/>
          <w:szCs w:val="24"/>
          <w:lang w:eastAsia="es-CO"/>
        </w:rPr>
        <w:drawing>
          <wp:inline distT="0" distB="0" distL="0" distR="0">
            <wp:extent cx="5471160" cy="6530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6530340"/>
                    </a:xfrm>
                    <a:prstGeom prst="rect">
                      <a:avLst/>
                    </a:prstGeom>
                    <a:noFill/>
                    <a:ln>
                      <a:noFill/>
                    </a:ln>
                  </pic:spPr>
                </pic:pic>
              </a:graphicData>
            </a:graphic>
          </wp:inline>
        </w:drawing>
      </w:r>
    </w:p>
    <w:p w:rsidR="00764F99" w:rsidRDefault="00764F99" w:rsidP="00764F99">
      <w:pPr>
        <w:spacing w:after="0" w:line="240" w:lineRule="auto"/>
        <w:ind w:right="-142"/>
        <w:jc w:val="both"/>
        <w:rPr>
          <w:rFonts w:ascii="Bookman Old Style" w:eastAsia="Times New Roman" w:hAnsi="Bookman Old Style" w:cs="Times New Roman"/>
          <w:sz w:val="24"/>
          <w:szCs w:val="24"/>
          <w:lang w:val="es-ES" w:eastAsia="es-ES"/>
        </w:rPr>
      </w:pPr>
    </w:p>
    <w:p w:rsidR="00764F99" w:rsidRDefault="00764F99" w:rsidP="00764F99">
      <w:pPr>
        <w:spacing w:after="0" w:line="240" w:lineRule="auto"/>
        <w:ind w:right="-142"/>
        <w:jc w:val="both"/>
        <w:rPr>
          <w:rFonts w:ascii="Bookman Old Style" w:eastAsia="Times New Roman" w:hAnsi="Bookman Old Style" w:cs="Times New Roman"/>
          <w:sz w:val="24"/>
          <w:szCs w:val="24"/>
          <w:lang w:val="es-ES" w:eastAsia="es-ES"/>
        </w:rPr>
      </w:pPr>
    </w:p>
    <w:p w:rsidR="00764F99" w:rsidRDefault="00764F99" w:rsidP="00764F99">
      <w:pPr>
        <w:spacing w:after="0" w:line="240" w:lineRule="auto"/>
        <w:ind w:right="-142"/>
        <w:jc w:val="both"/>
        <w:rPr>
          <w:rFonts w:ascii="Bookman Old Style" w:eastAsia="Times New Roman" w:hAnsi="Bookman Old Style" w:cs="Times New Roman"/>
          <w:sz w:val="24"/>
          <w:szCs w:val="24"/>
          <w:lang w:val="es-ES" w:eastAsia="es-ES"/>
        </w:rPr>
      </w:pPr>
    </w:p>
    <w:p w:rsidR="00764F99" w:rsidRDefault="00764F99" w:rsidP="00764F99">
      <w:pPr>
        <w:spacing w:after="0" w:line="240" w:lineRule="auto"/>
        <w:ind w:right="-142"/>
        <w:jc w:val="center"/>
        <w:rPr>
          <w:rFonts w:ascii="Bookman Old Style" w:eastAsia="Times New Roman" w:hAnsi="Bookman Old Style" w:cs="Times New Roman"/>
          <w:sz w:val="24"/>
          <w:szCs w:val="24"/>
          <w:lang w:val="es-ES" w:eastAsia="es-ES"/>
        </w:rPr>
      </w:pPr>
      <w:r w:rsidRPr="00764F99">
        <w:rPr>
          <w:rFonts w:ascii="Bookman Old Style" w:eastAsia="Times New Roman" w:hAnsi="Bookman Old Style" w:cs="Times New Roman"/>
          <w:noProof/>
          <w:sz w:val="24"/>
          <w:szCs w:val="24"/>
          <w:lang w:eastAsia="es-CO"/>
        </w:rPr>
        <w:drawing>
          <wp:inline distT="0" distB="0" distL="0" distR="0">
            <wp:extent cx="5234940" cy="1554480"/>
            <wp:effectExtent l="0" t="0" r="381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4940" cy="1554480"/>
                    </a:xfrm>
                    <a:prstGeom prst="rect">
                      <a:avLst/>
                    </a:prstGeom>
                    <a:noFill/>
                    <a:ln>
                      <a:noFill/>
                    </a:ln>
                  </pic:spPr>
                </pic:pic>
              </a:graphicData>
            </a:graphic>
          </wp:inline>
        </w:drawing>
      </w:r>
    </w:p>
    <w:p w:rsidR="00764F99" w:rsidRPr="00D8531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 xml:space="preserve">De acuerdo con lo anterior, en atención a lo expuesto por parte de la Superintendencia de Servicios Públicos Domiciliarios como resultado del decreto y práctica de pruebas llevadas a cabo por la CREG y la información reportada por dicha Entidad, se establece la procedencia de modificar la Resolución CREG 048 de 2019 en relación con la definición de la capacidad de compra para la empresa </w:t>
      </w:r>
      <w:r>
        <w:rPr>
          <w:rFonts w:ascii="Bookman Old Style" w:eastAsia="Times New Roman" w:hAnsi="Bookman Old Style" w:cs="Times New Roman"/>
          <w:sz w:val="24"/>
          <w:szCs w:val="24"/>
          <w:lang w:val="es-ES" w:eastAsia="es-ES"/>
        </w:rPr>
        <w:t>Termogas Soluciones Energéticas</w:t>
      </w:r>
      <w:r w:rsidRPr="00D85312">
        <w:rPr>
          <w:rFonts w:ascii="Bookman Old Style" w:eastAsia="Times New Roman" w:hAnsi="Bookman Old Style" w:cs="Times New Roman"/>
          <w:sz w:val="24"/>
          <w:szCs w:val="24"/>
          <w:lang w:val="es-ES" w:eastAsia="es-ES"/>
        </w:rPr>
        <w:t xml:space="preserve"> S.</w:t>
      </w:r>
      <w:r>
        <w:rPr>
          <w:rFonts w:ascii="Bookman Old Style" w:eastAsia="Times New Roman" w:hAnsi="Bookman Old Style" w:cs="Times New Roman"/>
          <w:sz w:val="24"/>
          <w:szCs w:val="24"/>
          <w:lang w:val="es-ES" w:eastAsia="es-ES"/>
        </w:rPr>
        <w:t>A.S.</w:t>
      </w:r>
      <w:r w:rsidRPr="00D85312">
        <w:rPr>
          <w:rFonts w:ascii="Bookman Old Style" w:eastAsia="Times New Roman" w:hAnsi="Bookman Old Style" w:cs="Times New Roman"/>
          <w:sz w:val="24"/>
          <w:szCs w:val="24"/>
          <w:lang w:val="es-ES" w:eastAsia="es-ES"/>
        </w:rPr>
        <w:t xml:space="preserve"> E.S.P. </w:t>
      </w:r>
    </w:p>
    <w:p w:rsidR="00764F99" w:rsidRPr="00D85312" w:rsidRDefault="00764F99" w:rsidP="00764F99">
      <w:pPr>
        <w:spacing w:after="0" w:line="240" w:lineRule="auto"/>
        <w:ind w:right="-142"/>
        <w:jc w:val="both"/>
        <w:rPr>
          <w:rFonts w:ascii="Bookman Old Style" w:eastAsia="Times New Roman" w:hAnsi="Bookman Old Style" w:cs="Times New Roman"/>
          <w:sz w:val="24"/>
          <w:szCs w:val="24"/>
          <w:lang w:val="es-ES" w:eastAsia="es-ES"/>
        </w:rPr>
      </w:pPr>
    </w:p>
    <w:p w:rsidR="00764F99" w:rsidRPr="00D8531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0A43E8">
        <w:rPr>
          <w:rFonts w:ascii="Bookman Old Style" w:eastAsia="Times New Roman" w:hAnsi="Bookman Old Style" w:cs="Times New Roman"/>
          <w:sz w:val="24"/>
          <w:szCs w:val="24"/>
          <w:lang w:val="es-ES" w:eastAsia="es-ES"/>
        </w:rPr>
        <w:t xml:space="preserve">La Comisión de Regulación de Energía y Gas, en su </w:t>
      </w:r>
      <w:r w:rsidRPr="00B25CAB">
        <w:rPr>
          <w:rFonts w:ascii="Bookman Old Style" w:eastAsia="Times New Roman" w:hAnsi="Bookman Old Style" w:cs="Times New Roman"/>
          <w:sz w:val="24"/>
          <w:szCs w:val="24"/>
          <w:lang w:val="es-ES" w:eastAsia="es-ES"/>
        </w:rPr>
        <w:t>sesión No.</w:t>
      </w:r>
      <w:r w:rsidR="00B25CAB">
        <w:rPr>
          <w:rFonts w:ascii="Bookman Old Style" w:eastAsia="Times New Roman" w:hAnsi="Bookman Old Style" w:cs="Times New Roman"/>
          <w:sz w:val="24"/>
          <w:szCs w:val="24"/>
          <w:lang w:val="es-ES" w:eastAsia="es-ES"/>
        </w:rPr>
        <w:t xml:space="preserve">927 </w:t>
      </w:r>
      <w:r w:rsidRPr="00B25CAB">
        <w:rPr>
          <w:rFonts w:ascii="Bookman Old Style" w:eastAsia="Times New Roman" w:hAnsi="Bookman Old Style" w:cs="Times New Roman"/>
          <w:sz w:val="24"/>
          <w:szCs w:val="24"/>
          <w:lang w:val="es-ES" w:eastAsia="es-ES"/>
        </w:rPr>
        <w:t xml:space="preserve">del </w:t>
      </w:r>
      <w:r w:rsidR="00B25CAB">
        <w:rPr>
          <w:rFonts w:ascii="Bookman Old Style" w:eastAsia="Times New Roman" w:hAnsi="Bookman Old Style" w:cs="Times New Roman"/>
          <w:sz w:val="24"/>
          <w:szCs w:val="24"/>
          <w:lang w:val="es-ES" w:eastAsia="es-ES"/>
        </w:rPr>
        <w:t>25</w:t>
      </w:r>
      <w:r w:rsidRPr="00B25CAB">
        <w:rPr>
          <w:rFonts w:ascii="Bookman Old Style" w:eastAsia="Times New Roman" w:hAnsi="Bookman Old Style" w:cs="Times New Roman"/>
          <w:sz w:val="24"/>
          <w:szCs w:val="24"/>
          <w:lang w:val="es-ES" w:eastAsia="es-ES"/>
        </w:rPr>
        <w:t xml:space="preserve"> de </w:t>
      </w:r>
      <w:r w:rsidR="00B25CAB">
        <w:rPr>
          <w:rFonts w:ascii="Bookman Old Style" w:eastAsia="Times New Roman" w:hAnsi="Bookman Old Style" w:cs="Times New Roman"/>
          <w:sz w:val="24"/>
          <w:szCs w:val="24"/>
          <w:lang w:val="es-ES" w:eastAsia="es-ES"/>
        </w:rPr>
        <w:t>j</w:t>
      </w:r>
      <w:r w:rsidRPr="00B25CAB">
        <w:rPr>
          <w:rFonts w:ascii="Bookman Old Style" w:eastAsia="Times New Roman" w:hAnsi="Bookman Old Style" w:cs="Times New Roman"/>
          <w:sz w:val="24"/>
          <w:szCs w:val="24"/>
          <w:lang w:val="es-ES" w:eastAsia="es-ES"/>
        </w:rPr>
        <w:t>unio de 2019, acordó expedir la presente resolución.</w:t>
      </w:r>
    </w:p>
    <w:p w:rsidR="00A42DD2" w:rsidRPr="00B25CAB" w:rsidRDefault="00A42DD2" w:rsidP="00764F99">
      <w:pPr>
        <w:spacing w:after="0" w:line="240" w:lineRule="auto"/>
        <w:ind w:left="-142" w:right="-142"/>
        <w:jc w:val="both"/>
        <w:rPr>
          <w:rFonts w:ascii="Bookman Old Style" w:eastAsia="Times New Roman" w:hAnsi="Bookman Old Style" w:cs="Times New Roman"/>
          <w:sz w:val="14"/>
          <w:szCs w:val="24"/>
          <w:lang w:val="es-ES" w:eastAsia="es-ES"/>
        </w:rPr>
      </w:pPr>
    </w:p>
    <w:p w:rsidR="00764F99" w:rsidRPr="00D85312" w:rsidRDefault="00764F99" w:rsidP="00764F99">
      <w:pPr>
        <w:tabs>
          <w:tab w:val="right" w:pos="9498"/>
        </w:tabs>
        <w:spacing w:after="0" w:line="240" w:lineRule="auto"/>
        <w:ind w:right="-142"/>
        <w:jc w:val="both"/>
        <w:rPr>
          <w:rFonts w:ascii="Bookman Old Style" w:eastAsia="Times New Roman" w:hAnsi="Bookman Old Style" w:cs="Times New Roman"/>
          <w:bCs/>
          <w:sz w:val="24"/>
          <w:szCs w:val="24"/>
          <w:lang w:val="es-ES" w:eastAsia="es-ES"/>
        </w:rPr>
      </w:pPr>
    </w:p>
    <w:p w:rsidR="00764F99" w:rsidRPr="00D85312" w:rsidRDefault="00764F99" w:rsidP="00764F99">
      <w:pPr>
        <w:tabs>
          <w:tab w:val="right" w:pos="9498"/>
        </w:tabs>
        <w:spacing w:after="0" w:line="240" w:lineRule="auto"/>
        <w:ind w:right="-142"/>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b/>
          <w:spacing w:val="80"/>
          <w:sz w:val="24"/>
          <w:szCs w:val="24"/>
          <w:lang w:val="es-ES" w:eastAsia="es-ES"/>
        </w:rPr>
        <w:t>RESUELVE</w:t>
      </w:r>
      <w:r w:rsidRPr="00D85312">
        <w:rPr>
          <w:rFonts w:ascii="Bookman Old Style" w:eastAsia="Times New Roman" w:hAnsi="Bookman Old Style" w:cs="Arial"/>
          <w:sz w:val="24"/>
          <w:szCs w:val="24"/>
          <w:lang w:val="es-ES" w:eastAsia="es-ES"/>
        </w:rPr>
        <w:t>:</w:t>
      </w:r>
    </w:p>
    <w:p w:rsidR="00764F99" w:rsidRPr="00D85312" w:rsidRDefault="00764F99" w:rsidP="00764F99">
      <w:pPr>
        <w:spacing w:after="0" w:line="240" w:lineRule="auto"/>
        <w:ind w:right="-142"/>
        <w:jc w:val="both"/>
        <w:rPr>
          <w:rFonts w:ascii="Bookman Old Style" w:eastAsia="Times New Roman" w:hAnsi="Bookman Old Style" w:cs="Times New Roman"/>
          <w:sz w:val="24"/>
          <w:szCs w:val="24"/>
          <w:lang w:val="es-ES" w:eastAsia="es-ES"/>
        </w:rPr>
      </w:pPr>
    </w:p>
    <w:p w:rsidR="00764F99" w:rsidRPr="000A43E8"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0A43E8">
        <w:rPr>
          <w:rFonts w:ascii="Bookman Old Style" w:eastAsia="Times New Roman" w:hAnsi="Bookman Old Style" w:cs="Times New Roman"/>
          <w:b/>
          <w:sz w:val="24"/>
          <w:szCs w:val="24"/>
          <w:lang w:val="es-ES" w:eastAsia="es-ES"/>
        </w:rPr>
        <w:t>Artículo 1.</w:t>
      </w:r>
      <w:r w:rsidRPr="000A43E8">
        <w:rPr>
          <w:rFonts w:ascii="Bookman Old Style" w:eastAsia="Times New Roman" w:hAnsi="Bookman Old Style" w:cs="Times New Roman"/>
          <w:sz w:val="24"/>
          <w:szCs w:val="24"/>
          <w:lang w:val="es-ES" w:eastAsia="es-ES"/>
        </w:rPr>
        <w:t xml:space="preserve"> Modificar el artículo 1 de la Resolución CREG 048 de 2019 de la siguiente forma:</w:t>
      </w:r>
    </w:p>
    <w:p w:rsidR="00764F99" w:rsidRPr="000A43E8" w:rsidRDefault="00764F99" w:rsidP="00764F99">
      <w:pPr>
        <w:spacing w:after="0" w:line="240" w:lineRule="auto"/>
        <w:ind w:right="-142"/>
        <w:jc w:val="both"/>
        <w:rPr>
          <w:rFonts w:ascii="Bookman Old Style" w:eastAsia="Times New Roman" w:hAnsi="Bookman Old Style" w:cs="Times New Roman"/>
          <w:sz w:val="24"/>
          <w:szCs w:val="24"/>
          <w:lang w:val="es-ES" w:eastAsia="es-ES"/>
        </w:rPr>
      </w:pPr>
    </w:p>
    <w:p w:rsidR="00764F99" w:rsidRPr="000A43E8" w:rsidRDefault="00A01067" w:rsidP="00764F99">
      <w:pPr>
        <w:spacing w:after="0" w:line="240" w:lineRule="auto"/>
        <w:ind w:left="-142" w:right="-142"/>
        <w:jc w:val="both"/>
        <w:rPr>
          <w:rFonts w:ascii="Bookman Old Style" w:eastAsia="Times New Roman" w:hAnsi="Bookman Old Style" w:cs="Times New Roman"/>
          <w:sz w:val="24"/>
          <w:szCs w:val="24"/>
          <w:lang w:val="es-ES" w:eastAsia="es-ES"/>
        </w:rPr>
      </w:pPr>
      <w:r w:rsidRPr="00EA390B">
        <w:rPr>
          <w:rFonts w:ascii="Bookman Old Style" w:eastAsia="Times New Roman" w:hAnsi="Bookman Old Style" w:cs="Times New Roman"/>
          <w:sz w:val="24"/>
          <w:szCs w:val="24"/>
          <w:lang w:val="es-ES" w:eastAsia="es-ES"/>
        </w:rPr>
        <w:t xml:space="preserve">La siguiente corresponde a la Capacidad de Compra para </w:t>
      </w:r>
      <w:r w:rsidR="00A42DD2">
        <w:rPr>
          <w:rFonts w:ascii="Bookman Old Style" w:eastAsia="Times New Roman" w:hAnsi="Bookman Old Style" w:cs="Times New Roman"/>
          <w:sz w:val="24"/>
          <w:szCs w:val="24"/>
          <w:lang w:val="es-ES" w:eastAsia="es-ES"/>
        </w:rPr>
        <w:t>Termogas Soluciones Energéticas S.A.S. E.S.P</w:t>
      </w:r>
      <w:r w:rsidR="00764F99" w:rsidRPr="000A43E8">
        <w:rPr>
          <w:rFonts w:ascii="Bookman Old Style" w:eastAsia="Times New Roman" w:hAnsi="Bookman Old Style" w:cs="Times New Roman"/>
          <w:sz w:val="24"/>
          <w:szCs w:val="24"/>
          <w:lang w:val="es-ES" w:eastAsia="es-ES"/>
        </w:rPr>
        <w:t>:</w:t>
      </w:r>
    </w:p>
    <w:p w:rsidR="00764F99"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p>
    <w:tbl>
      <w:tblPr>
        <w:tblW w:w="8500" w:type="dxa"/>
        <w:jc w:val="center"/>
        <w:tblCellMar>
          <w:left w:w="70" w:type="dxa"/>
          <w:right w:w="70" w:type="dxa"/>
        </w:tblCellMar>
        <w:tblLook w:val="04A0" w:firstRow="1" w:lastRow="0" w:firstColumn="1" w:lastColumn="0" w:noHBand="0" w:noVBand="1"/>
      </w:tblPr>
      <w:tblGrid>
        <w:gridCol w:w="1413"/>
        <w:gridCol w:w="5245"/>
        <w:gridCol w:w="1842"/>
      </w:tblGrid>
      <w:tr w:rsidR="00537FB1" w:rsidRPr="00A33677" w:rsidTr="00537FB1">
        <w:trPr>
          <w:trHeight w:val="370"/>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7FB1" w:rsidRPr="00537FB1" w:rsidRDefault="00537FB1" w:rsidP="00440169">
            <w:pPr>
              <w:spacing w:after="0" w:line="240" w:lineRule="auto"/>
              <w:jc w:val="center"/>
              <w:rPr>
                <w:rFonts w:ascii="Bookman Old Style" w:eastAsia="Times New Roman" w:hAnsi="Bookman Old Style" w:cs="Times New Roman"/>
                <w:b/>
                <w:bCs/>
                <w:color w:val="000000"/>
                <w:lang w:eastAsia="es-CO"/>
              </w:rPr>
            </w:pPr>
            <w:r w:rsidRPr="00537FB1">
              <w:rPr>
                <w:rFonts w:ascii="Bookman Old Style" w:eastAsia="Times New Roman" w:hAnsi="Bookman Old Style" w:cs="Times New Roman"/>
                <w:b/>
                <w:bCs/>
                <w:color w:val="000000"/>
                <w:lang w:eastAsia="es-CO"/>
              </w:rPr>
              <w:t>Código SUI</w:t>
            </w: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537FB1" w:rsidRPr="00537FB1" w:rsidRDefault="00537FB1" w:rsidP="00440169">
            <w:pPr>
              <w:spacing w:after="0" w:line="240" w:lineRule="auto"/>
              <w:jc w:val="center"/>
              <w:rPr>
                <w:rFonts w:ascii="Bookman Old Style" w:eastAsia="Times New Roman" w:hAnsi="Bookman Old Style" w:cs="Times New Roman"/>
                <w:b/>
                <w:bCs/>
                <w:color w:val="000000"/>
                <w:lang w:eastAsia="es-CO"/>
              </w:rPr>
            </w:pPr>
            <w:r w:rsidRPr="00537FB1">
              <w:rPr>
                <w:rFonts w:ascii="Bookman Old Style" w:eastAsia="Times New Roman" w:hAnsi="Bookman Old Style" w:cs="Times New Roman"/>
                <w:b/>
                <w:bCs/>
                <w:color w:val="000000"/>
                <w:lang w:eastAsia="es-CO"/>
              </w:rPr>
              <w:t>Agente</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537FB1" w:rsidRPr="00537FB1" w:rsidRDefault="00537FB1" w:rsidP="00440169">
            <w:pPr>
              <w:spacing w:after="0" w:line="240" w:lineRule="auto"/>
              <w:jc w:val="center"/>
              <w:rPr>
                <w:rFonts w:ascii="Bookman Old Style" w:eastAsia="Times New Roman" w:hAnsi="Bookman Old Style" w:cs="Times New Roman"/>
                <w:b/>
                <w:bCs/>
                <w:color w:val="000000"/>
                <w:lang w:eastAsia="es-CO"/>
              </w:rPr>
            </w:pPr>
            <w:r w:rsidRPr="00537FB1">
              <w:rPr>
                <w:rFonts w:ascii="Bookman Old Style" w:eastAsia="Times New Roman" w:hAnsi="Bookman Old Style" w:cs="Times New Roman"/>
                <w:b/>
                <w:bCs/>
                <w:color w:val="000000"/>
                <w:lang w:eastAsia="es-CO"/>
              </w:rPr>
              <w:t xml:space="preserve">Capacidad de compra </w:t>
            </w:r>
            <m:oMath>
              <m:r>
                <m:rPr>
                  <m:sty m:val="b"/>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Cs/>
                      <w:color w:val="000000"/>
                      <w:lang w:eastAsia="es-CO"/>
                    </w:rPr>
                  </m:ctrlPr>
                </m:sSubPr>
                <m:e>
                  <m:r>
                    <m:rPr>
                      <m:sty m:val="b"/>
                    </m:rPr>
                    <w:rPr>
                      <w:rFonts w:ascii="Cambria Math" w:eastAsia="Times New Roman" w:hAnsi="Cambria Math" w:cs="Times New Roman"/>
                      <w:color w:val="000000"/>
                      <w:lang w:eastAsia="es-CO"/>
                    </w:rPr>
                    <m:t>C</m:t>
                  </m:r>
                </m:e>
                <m:sub>
                  <m:r>
                    <m:rPr>
                      <m:sty m:val="b"/>
                    </m:rPr>
                    <w:rPr>
                      <w:rFonts w:ascii="Cambria Math" w:eastAsia="Times New Roman" w:hAnsi="Cambria Math" w:cs="Times New Roman"/>
                      <w:color w:val="000000"/>
                      <w:lang w:eastAsia="es-CO"/>
                    </w:rPr>
                    <m:t>i,t</m:t>
                  </m:r>
                </m:sub>
              </m:sSub>
            </m:oMath>
          </w:p>
        </w:tc>
      </w:tr>
      <w:tr w:rsidR="00537FB1" w:rsidRPr="00A33677" w:rsidTr="00537FB1">
        <w:trPr>
          <w:trHeight w:val="370"/>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7FB1" w:rsidRPr="00537FB1" w:rsidRDefault="00537FB1" w:rsidP="00537FB1">
            <w:pPr>
              <w:spacing w:after="0"/>
              <w:jc w:val="center"/>
              <w:rPr>
                <w:rFonts w:ascii="Bookman Old Style" w:hAnsi="Bookman Old Style"/>
              </w:rPr>
            </w:pPr>
            <w:r w:rsidRPr="00537FB1">
              <w:rPr>
                <w:rFonts w:ascii="Bookman Old Style" w:hAnsi="Bookman Old Style"/>
              </w:rPr>
              <w:t>37174</w:t>
            </w:r>
          </w:p>
        </w:tc>
        <w:tc>
          <w:tcPr>
            <w:tcW w:w="5245" w:type="dxa"/>
            <w:tcBorders>
              <w:top w:val="single" w:sz="4" w:space="0" w:color="auto"/>
              <w:left w:val="nil"/>
              <w:bottom w:val="single" w:sz="4" w:space="0" w:color="auto"/>
              <w:right w:val="single" w:sz="4" w:space="0" w:color="auto"/>
            </w:tcBorders>
            <w:shd w:val="clear" w:color="auto" w:fill="auto"/>
            <w:noWrap/>
            <w:vAlign w:val="center"/>
          </w:tcPr>
          <w:p w:rsidR="00537FB1" w:rsidRPr="00537FB1" w:rsidRDefault="00537FB1" w:rsidP="00537FB1">
            <w:pPr>
              <w:spacing w:after="0"/>
              <w:rPr>
                <w:rFonts w:ascii="Bookman Old Style" w:hAnsi="Bookman Old Style"/>
              </w:rPr>
            </w:pPr>
            <w:r w:rsidRPr="00537FB1">
              <w:rPr>
                <w:rFonts w:ascii="Bookman Old Style" w:hAnsi="Bookman Old Style"/>
              </w:rPr>
              <w:t>Termogas Soluciones Energéticas S.A.S. E.S.P.</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537FB1" w:rsidRPr="00537FB1" w:rsidRDefault="00537FB1" w:rsidP="00537FB1">
            <w:pPr>
              <w:spacing w:after="0"/>
              <w:jc w:val="center"/>
              <w:rPr>
                <w:rFonts w:ascii="Bookman Old Style" w:hAnsi="Bookman Old Style"/>
              </w:rPr>
            </w:pPr>
            <w:r>
              <w:rPr>
                <w:rFonts w:ascii="Bookman Old Style" w:hAnsi="Bookman Old Style"/>
              </w:rPr>
              <w:t>63,701</w:t>
            </w:r>
          </w:p>
        </w:tc>
      </w:tr>
    </w:tbl>
    <w:p w:rsidR="00764F99" w:rsidRPr="00D85312" w:rsidRDefault="00764F99" w:rsidP="00764F99">
      <w:pPr>
        <w:tabs>
          <w:tab w:val="right" w:pos="9498"/>
        </w:tabs>
        <w:spacing w:after="0" w:line="240" w:lineRule="auto"/>
        <w:ind w:right="-142"/>
        <w:jc w:val="both"/>
        <w:rPr>
          <w:rFonts w:ascii="Bookman Old Style" w:eastAsia="Times New Roman" w:hAnsi="Bookman Old Style" w:cs="Arial"/>
          <w:b/>
          <w:bCs/>
          <w:color w:val="666666"/>
          <w:sz w:val="24"/>
          <w:szCs w:val="24"/>
          <w:highlight w:val="yellow"/>
          <w:lang w:eastAsia="es-CO"/>
        </w:rPr>
      </w:pPr>
    </w:p>
    <w:p w:rsidR="00764F99" w:rsidRPr="00E0084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E00842">
        <w:rPr>
          <w:rFonts w:ascii="Bookman Old Style" w:eastAsia="Times New Roman" w:hAnsi="Bookman Old Style" w:cs="Times New Roman"/>
          <w:b/>
          <w:sz w:val="24"/>
          <w:szCs w:val="24"/>
          <w:lang w:val="es-ES" w:eastAsia="es-ES"/>
        </w:rPr>
        <w:t>Artículo 2.</w:t>
      </w:r>
      <w:r w:rsidRPr="00E00842">
        <w:rPr>
          <w:rFonts w:ascii="Bookman Old Style" w:eastAsia="Times New Roman" w:hAnsi="Bookman Old Style" w:cs="Times New Roman"/>
          <w:sz w:val="24"/>
          <w:szCs w:val="24"/>
          <w:lang w:val="es-ES" w:eastAsia="es-ES"/>
        </w:rPr>
        <w:t xml:space="preserve"> Modificar el Anexo de la Resolución CREG </w:t>
      </w:r>
      <w:r w:rsidR="000A43E8" w:rsidRPr="00E00842">
        <w:rPr>
          <w:rFonts w:ascii="Bookman Old Style" w:eastAsia="Times New Roman" w:hAnsi="Bookman Old Style" w:cs="Times New Roman"/>
          <w:sz w:val="24"/>
          <w:szCs w:val="24"/>
          <w:lang w:val="es-ES" w:eastAsia="es-ES"/>
        </w:rPr>
        <w:t>048 de 2019</w:t>
      </w:r>
      <w:r w:rsidRPr="00E00842">
        <w:rPr>
          <w:rFonts w:ascii="Bookman Old Style" w:eastAsia="Times New Roman" w:hAnsi="Bookman Old Style" w:cs="Times New Roman"/>
          <w:sz w:val="24"/>
          <w:szCs w:val="24"/>
          <w:lang w:val="es-ES" w:eastAsia="es-ES"/>
        </w:rPr>
        <w:t xml:space="preserve"> de la siguiente forma:</w:t>
      </w:r>
    </w:p>
    <w:p w:rsidR="00764F99" w:rsidRPr="00E0084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p>
    <w:p w:rsidR="00764F99" w:rsidRPr="00E00842" w:rsidRDefault="00764F99" w:rsidP="00764F99">
      <w:pPr>
        <w:spacing w:after="0" w:line="240" w:lineRule="auto"/>
        <w:ind w:left="567" w:right="-93"/>
        <w:jc w:val="center"/>
        <w:rPr>
          <w:rFonts w:ascii="Bookman Old Style" w:eastAsia="MS Mincho" w:hAnsi="Bookman Old Style" w:cs="Arial"/>
          <w:b/>
          <w:sz w:val="24"/>
          <w:szCs w:val="24"/>
          <w:lang w:val="es-ES" w:eastAsia="es-ES"/>
        </w:rPr>
      </w:pPr>
      <w:r w:rsidRPr="00E00842">
        <w:rPr>
          <w:rFonts w:ascii="Bookman Old Style" w:eastAsia="MS Mincho" w:hAnsi="Bookman Old Style" w:cs="Arial"/>
          <w:b/>
          <w:sz w:val="24"/>
          <w:szCs w:val="24"/>
          <w:lang w:val="es-ES" w:eastAsia="es-ES"/>
        </w:rPr>
        <w:t>CAPACIDAD DE COMPRA</w:t>
      </w:r>
    </w:p>
    <w:p w:rsidR="00764F99" w:rsidRPr="00E0084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p>
    <w:p w:rsidR="00764F99" w:rsidRPr="00E0084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E00842">
        <w:rPr>
          <w:rFonts w:ascii="Bookman Old Style" w:eastAsia="Times New Roman" w:hAnsi="Bookman Old Style" w:cs="Times New Roman"/>
          <w:sz w:val="24"/>
          <w:szCs w:val="24"/>
          <w:lang w:val="es-ES" w:eastAsia="es-ES"/>
        </w:rPr>
        <w:t xml:space="preserve">A continuación, se detalla el cálculo de la capacidad de compra del artículo 1 de la presente resolución. </w:t>
      </w:r>
    </w:p>
    <w:p w:rsidR="00764F99" w:rsidRPr="00E0084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p>
    <w:p w:rsidR="00A42DD2" w:rsidRPr="00E0084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E00842">
        <w:rPr>
          <w:rFonts w:ascii="Bookman Old Style" w:eastAsia="Times New Roman" w:hAnsi="Bookman Old Style" w:cs="Times New Roman"/>
          <w:sz w:val="24"/>
          <w:szCs w:val="24"/>
          <w:lang w:val="es-ES" w:eastAsia="es-ES"/>
        </w:rPr>
        <w:t xml:space="preserve">1. De acuerdo con el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1</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E00842">
        <w:rPr>
          <w:rFonts w:ascii="Bookman Old Style" w:eastAsia="Times New Roman" w:hAnsi="Bookman Old Style" w:cs="Times New Roman"/>
          <w:sz w:val="24"/>
          <w:szCs w:val="24"/>
          <w:lang w:val="es-ES" w:eastAsia="es-ES"/>
        </w:rPr>
        <w:t xml:space="preserve">, </w:t>
      </w:r>
      <w:r w:rsidR="00A01067" w:rsidRPr="00C15323">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A42DD2">
        <w:rPr>
          <w:rFonts w:ascii="Bookman Old Style" w:eastAsia="Times New Roman" w:hAnsi="Bookman Old Style" w:cs="Times New Roman"/>
          <w:sz w:val="24"/>
          <w:szCs w:val="24"/>
          <w:lang w:val="es-ES" w:eastAsia="es-ES"/>
        </w:rPr>
        <w:t>Termogas Soluciones Energéticas S.A.S. E.S.P</w:t>
      </w:r>
      <w:r w:rsidR="00A01067">
        <w:rPr>
          <w:rFonts w:ascii="Bookman Old Style" w:eastAsia="Times New Roman" w:hAnsi="Bookman Old Style" w:cs="Times New Roman"/>
          <w:sz w:val="24"/>
          <w:szCs w:val="24"/>
          <w:lang w:val="es-ES" w:eastAsia="es-ES"/>
        </w:rPr>
        <w:t>:</w:t>
      </w:r>
    </w:p>
    <w:p w:rsidR="00764F99" w:rsidRPr="00D85312" w:rsidRDefault="00764F99" w:rsidP="004075B5">
      <w:pPr>
        <w:spacing w:after="0" w:line="240" w:lineRule="auto"/>
        <w:ind w:left="-142" w:right="-142"/>
        <w:jc w:val="both"/>
        <w:rPr>
          <w:rFonts w:ascii="Bookman Old Style" w:hAnsi="Bookman Old Style"/>
          <w:highlight w:val="yellow"/>
        </w:rPr>
      </w:pPr>
    </w:p>
    <w:tbl>
      <w:tblPr>
        <w:tblStyle w:val="Tablaconcuadrcula5"/>
        <w:tblW w:w="9677" w:type="dxa"/>
        <w:jc w:val="center"/>
        <w:tblLook w:val="04A0" w:firstRow="1" w:lastRow="0" w:firstColumn="1" w:lastColumn="0" w:noHBand="0" w:noVBand="1"/>
      </w:tblPr>
      <w:tblGrid>
        <w:gridCol w:w="1021"/>
        <w:gridCol w:w="810"/>
        <w:gridCol w:w="810"/>
        <w:gridCol w:w="810"/>
        <w:gridCol w:w="810"/>
        <w:gridCol w:w="810"/>
        <w:gridCol w:w="844"/>
        <w:gridCol w:w="810"/>
        <w:gridCol w:w="810"/>
        <w:gridCol w:w="891"/>
        <w:gridCol w:w="1251"/>
      </w:tblGrid>
      <w:tr w:rsidR="00E00842" w:rsidRPr="00D85312" w:rsidTr="00E00842">
        <w:trPr>
          <w:trHeight w:val="325"/>
          <w:tblHeader/>
          <w:jc w:val="center"/>
        </w:trPr>
        <w:tc>
          <w:tcPr>
            <w:tcW w:w="1021"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10"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 Lb</w:t>
            </w:r>
          </w:p>
        </w:tc>
        <w:tc>
          <w:tcPr>
            <w:tcW w:w="810"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15 Lb</w:t>
            </w:r>
          </w:p>
        </w:tc>
        <w:tc>
          <w:tcPr>
            <w:tcW w:w="810"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20 Lb</w:t>
            </w:r>
          </w:p>
        </w:tc>
        <w:tc>
          <w:tcPr>
            <w:tcW w:w="810"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24 Lb</w:t>
            </w:r>
          </w:p>
        </w:tc>
        <w:tc>
          <w:tcPr>
            <w:tcW w:w="810"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30 Lb</w:t>
            </w:r>
          </w:p>
        </w:tc>
        <w:tc>
          <w:tcPr>
            <w:tcW w:w="844"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40 Lb</w:t>
            </w:r>
          </w:p>
        </w:tc>
        <w:tc>
          <w:tcPr>
            <w:tcW w:w="810"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80 Lb</w:t>
            </w:r>
          </w:p>
        </w:tc>
        <w:tc>
          <w:tcPr>
            <w:tcW w:w="810"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100 Lb</w:t>
            </w:r>
          </w:p>
        </w:tc>
        <w:tc>
          <w:tcPr>
            <w:tcW w:w="891" w:type="dxa"/>
            <w:vAlign w:val="center"/>
          </w:tcPr>
          <w:p w:rsidR="00E00842" w:rsidRPr="00444733" w:rsidRDefault="00E00842" w:rsidP="00E00842">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251" w:type="dxa"/>
            <w:vAlign w:val="center"/>
          </w:tcPr>
          <w:p w:rsidR="00E00842" w:rsidRPr="00444733" w:rsidRDefault="00E00842" w:rsidP="00E00842">
            <w:pPr>
              <w:jc w:val="center"/>
              <w:rPr>
                <w:rFonts w:ascii="Bookman Old Style" w:hAnsi="Bookman Old Style"/>
                <w:b/>
                <w:bCs/>
                <w:color w:val="000000"/>
                <w:sz w:val="16"/>
                <w:szCs w:val="16"/>
              </w:rPr>
            </w:pPr>
            <w:r>
              <w:rPr>
                <w:rFonts w:ascii="Bookman Old Style" w:hAnsi="Bookman Old Style"/>
                <w:b/>
                <w:bCs/>
                <w:color w:val="000000"/>
                <w:sz w:val="16"/>
                <w:szCs w:val="16"/>
              </w:rPr>
              <w:t>Cap.1</w:t>
            </w:r>
            <w:r w:rsidRPr="002C2E32">
              <w:rPr>
                <w:rFonts w:ascii="Bookman Old Style" w:hAnsi="Bookman Old Style"/>
                <w:b/>
                <w:bCs/>
                <w:i/>
                <w:color w:val="000000"/>
                <w:sz w:val="16"/>
                <w:szCs w:val="16"/>
                <w:vertAlign w:val="subscript"/>
              </w:rPr>
              <w:t>i,t</w:t>
            </w:r>
          </w:p>
        </w:tc>
      </w:tr>
      <w:tr w:rsidR="00F02163" w:rsidRPr="00F02163" w:rsidTr="00E00842">
        <w:tblPrEx>
          <w:jc w:val="left"/>
        </w:tblPrEx>
        <w:trPr>
          <w:trHeight w:val="332"/>
        </w:trPr>
        <w:tc>
          <w:tcPr>
            <w:tcW w:w="1021"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37174</w:t>
            </w:r>
          </w:p>
        </w:tc>
        <w:tc>
          <w:tcPr>
            <w:tcW w:w="810"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10"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10"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10"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10"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44"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10"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10"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891"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c>
          <w:tcPr>
            <w:tcW w:w="1251" w:type="dxa"/>
            <w:noWrap/>
            <w:vAlign w:val="center"/>
          </w:tcPr>
          <w:p w:rsidR="00F02163" w:rsidRPr="00F02163" w:rsidRDefault="00F02163" w:rsidP="00F02163">
            <w:pPr>
              <w:jc w:val="center"/>
              <w:rPr>
                <w:rFonts w:ascii="Bookman Old Style" w:hAnsi="Bookman Old Style"/>
                <w:color w:val="000000"/>
                <w:sz w:val="16"/>
                <w:szCs w:val="16"/>
              </w:rPr>
            </w:pPr>
            <w:r w:rsidRPr="00F02163">
              <w:rPr>
                <w:rFonts w:ascii="Bookman Old Style" w:hAnsi="Bookman Old Style"/>
                <w:color w:val="000000"/>
                <w:sz w:val="16"/>
                <w:szCs w:val="16"/>
              </w:rPr>
              <w:t>NR*</w:t>
            </w:r>
          </w:p>
        </w:tc>
      </w:tr>
    </w:tbl>
    <w:p w:rsidR="00764F99" w:rsidRPr="00F02163" w:rsidRDefault="00764F99" w:rsidP="00764F99">
      <w:pPr>
        <w:spacing w:after="0" w:line="240" w:lineRule="auto"/>
        <w:ind w:left="-142" w:right="-142"/>
        <w:jc w:val="both"/>
        <w:rPr>
          <w:rFonts w:ascii="Bookman Old Style" w:eastAsia="Times New Roman" w:hAnsi="Bookman Old Style" w:cs="Times New Roman"/>
          <w:sz w:val="16"/>
          <w:szCs w:val="16"/>
          <w:lang w:val="es-ES" w:eastAsia="es-ES"/>
        </w:rPr>
      </w:pPr>
      <w:r w:rsidRPr="00F02163">
        <w:rPr>
          <w:rFonts w:ascii="Bookman Old Style" w:hAnsi="Bookman Old Style" w:cs="Arial"/>
          <w:color w:val="000000" w:themeColor="text1"/>
          <w:sz w:val="16"/>
          <w:szCs w:val="16"/>
        </w:rPr>
        <w:t xml:space="preserve">NR*: No presenta registro de información en el SUI, de acuerdo con la </w:t>
      </w:r>
      <w:r w:rsidRPr="00F02163">
        <w:rPr>
          <w:rFonts w:ascii="Bookman Old Style" w:eastAsia="Times New Roman" w:hAnsi="Bookman Old Style" w:cs="Times New Roman"/>
          <w:sz w:val="16"/>
          <w:szCs w:val="16"/>
          <w:lang w:val="es-ES" w:eastAsia="es-ES"/>
        </w:rPr>
        <w:t>información registrada al SUI, por AIC proyectos, desde 2008 hasta 2012.</w:t>
      </w:r>
    </w:p>
    <w:p w:rsidR="00764F99" w:rsidRPr="00F02163"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F02163">
        <w:rPr>
          <w:rFonts w:ascii="Bookman Old Style" w:eastAsia="Times New Roman" w:hAnsi="Bookman Old Style" w:cs="Times New Roman"/>
          <w:sz w:val="24"/>
          <w:szCs w:val="24"/>
          <w:lang w:val="es-ES" w:eastAsia="es-ES"/>
        </w:rPr>
        <w:lastRenderedPageBreak/>
        <w:t xml:space="preserve">2. De acuerdo con parágrafo 2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m:rPr>
                <m:sty m:val="p"/>
              </m:rPr>
              <w:rPr>
                <w:rFonts w:ascii="Cambria Math" w:eastAsia="Times New Roman" w:hAnsi="Cambria Math" w:cs="Times New Roman"/>
                <w:sz w:val="24"/>
                <w:szCs w:val="24"/>
                <w:lang w:val="es-ES" w:eastAsia="es-ES"/>
              </w:rPr>
              <m:t>2</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F02163">
        <w:rPr>
          <w:rFonts w:ascii="Bookman Old Style" w:eastAsia="Times New Roman" w:hAnsi="Bookman Old Style" w:cs="Times New Roman"/>
          <w:sz w:val="24"/>
          <w:szCs w:val="24"/>
          <w:lang w:val="es-ES" w:eastAsia="es-ES"/>
        </w:rPr>
        <w:t xml:space="preserve">, </w:t>
      </w:r>
      <w:r w:rsidR="00A01067" w:rsidRPr="00EA390B">
        <w:rPr>
          <w:rFonts w:ascii="Bookman Old Style" w:eastAsia="Times New Roman" w:hAnsi="Bookman Old Style" w:cs="Times New Roman"/>
          <w:sz w:val="24"/>
          <w:szCs w:val="24"/>
          <w:lang w:val="es-ES" w:eastAsia="es-ES"/>
        </w:rPr>
        <w:t xml:space="preserve">a continuación se muestra el conteo de cilindros por código de presentación para </w:t>
      </w:r>
      <w:r w:rsidR="00A42DD2">
        <w:rPr>
          <w:rFonts w:ascii="Bookman Old Style" w:eastAsia="Times New Roman" w:hAnsi="Bookman Old Style" w:cs="Times New Roman"/>
          <w:sz w:val="24"/>
          <w:szCs w:val="24"/>
          <w:lang w:val="es-ES" w:eastAsia="es-ES"/>
        </w:rPr>
        <w:t>Termogas Soluciones Energéticas S.A.S. E.S.P</w:t>
      </w:r>
      <w:r w:rsidR="00A01067">
        <w:rPr>
          <w:rFonts w:ascii="Bookman Old Style" w:eastAsia="Times New Roman" w:hAnsi="Bookman Old Style" w:cs="Times New Roman"/>
          <w:sz w:val="24"/>
          <w:szCs w:val="24"/>
          <w:lang w:val="es-ES" w:eastAsia="es-ES"/>
        </w:rPr>
        <w:t>.</w:t>
      </w:r>
    </w:p>
    <w:p w:rsidR="00764F99" w:rsidRPr="00B25CAB" w:rsidRDefault="00764F99" w:rsidP="00764F99">
      <w:pPr>
        <w:ind w:left="720"/>
        <w:contextualSpacing/>
        <w:jc w:val="both"/>
        <w:rPr>
          <w:rFonts w:ascii="Bookman Old Style" w:hAnsi="Bookman Old Style"/>
          <w:sz w:val="20"/>
          <w:highlight w:val="yellow"/>
        </w:rPr>
      </w:pPr>
    </w:p>
    <w:tbl>
      <w:tblPr>
        <w:tblStyle w:val="Tablaconcuadrcula5"/>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F02163" w:rsidRPr="00D85312" w:rsidTr="004075B5">
        <w:trPr>
          <w:tblHeader/>
          <w:jc w:val="center"/>
        </w:trPr>
        <w:tc>
          <w:tcPr>
            <w:tcW w:w="846" w:type="dxa"/>
            <w:vAlign w:val="center"/>
          </w:tcPr>
          <w:p w:rsidR="00F02163" w:rsidRPr="00444733" w:rsidRDefault="00F02163" w:rsidP="00F02163">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Código SUI</w:t>
            </w:r>
          </w:p>
        </w:tc>
        <w:tc>
          <w:tcPr>
            <w:tcW w:w="804"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4 kg</w:t>
            </w:r>
          </w:p>
        </w:tc>
        <w:tc>
          <w:tcPr>
            <w:tcW w:w="805"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5 kg</w:t>
            </w:r>
          </w:p>
        </w:tc>
        <w:tc>
          <w:tcPr>
            <w:tcW w:w="805"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7 kg</w:t>
            </w:r>
          </w:p>
        </w:tc>
        <w:tc>
          <w:tcPr>
            <w:tcW w:w="764"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9 kg</w:t>
            </w:r>
          </w:p>
        </w:tc>
        <w:tc>
          <w:tcPr>
            <w:tcW w:w="863"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15 kg</w:t>
            </w:r>
          </w:p>
        </w:tc>
        <w:tc>
          <w:tcPr>
            <w:tcW w:w="911"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18 kg</w:t>
            </w:r>
          </w:p>
        </w:tc>
        <w:tc>
          <w:tcPr>
            <w:tcW w:w="778"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805"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35 kg</w:t>
            </w:r>
          </w:p>
        </w:tc>
        <w:tc>
          <w:tcPr>
            <w:tcW w:w="911" w:type="dxa"/>
            <w:vAlign w:val="center"/>
          </w:tcPr>
          <w:p w:rsidR="00F02163" w:rsidRPr="00444733" w:rsidRDefault="00F02163" w:rsidP="00F02163">
            <w:pPr>
              <w:jc w:val="center"/>
              <w:rPr>
                <w:rFonts w:ascii="Bookman Old Style" w:hAnsi="Bookman Old Style"/>
                <w:b/>
                <w:bCs/>
                <w:color w:val="000000"/>
                <w:sz w:val="16"/>
                <w:szCs w:val="16"/>
              </w:rPr>
            </w:pPr>
            <w:r w:rsidRPr="00444733">
              <w:rPr>
                <w:rFonts w:ascii="Bookman Old Style" w:hAnsi="Bookman Old Style"/>
                <w:b/>
                <w:bCs/>
                <w:color w:val="000000"/>
                <w:sz w:val="16"/>
                <w:szCs w:val="16"/>
              </w:rPr>
              <w:t>Total conteo</w:t>
            </w:r>
          </w:p>
        </w:tc>
        <w:tc>
          <w:tcPr>
            <w:tcW w:w="1059" w:type="dxa"/>
            <w:vAlign w:val="center"/>
          </w:tcPr>
          <w:p w:rsidR="00F02163" w:rsidRPr="00444733" w:rsidRDefault="00F02163" w:rsidP="00F02163">
            <w:pPr>
              <w:jc w:val="center"/>
              <w:rPr>
                <w:rFonts w:ascii="Bookman Old Style" w:hAnsi="Bookman Old Style"/>
                <w:b/>
                <w:bCs/>
                <w:color w:val="000000"/>
                <w:sz w:val="16"/>
                <w:szCs w:val="16"/>
              </w:rPr>
            </w:pPr>
            <w:r>
              <w:rPr>
                <w:rFonts w:ascii="Bookman Old Style" w:hAnsi="Bookman Old Style"/>
                <w:b/>
                <w:bCs/>
                <w:color w:val="000000"/>
                <w:sz w:val="16"/>
                <w:szCs w:val="16"/>
              </w:rPr>
              <w:t>Cap.2</w:t>
            </w:r>
            <w:r w:rsidRPr="002C2E32">
              <w:rPr>
                <w:rFonts w:ascii="Bookman Old Style" w:hAnsi="Bookman Old Style"/>
                <w:b/>
                <w:bCs/>
                <w:i/>
                <w:color w:val="000000"/>
                <w:sz w:val="16"/>
                <w:szCs w:val="16"/>
                <w:vertAlign w:val="subscript"/>
              </w:rPr>
              <w:t>i,t</w:t>
            </w:r>
          </w:p>
        </w:tc>
      </w:tr>
      <w:tr w:rsidR="00F02163" w:rsidRPr="00D85312" w:rsidTr="00764F99">
        <w:tblPrEx>
          <w:jc w:val="left"/>
        </w:tblPrEx>
        <w:trPr>
          <w:trHeight w:val="405"/>
        </w:trPr>
        <w:tc>
          <w:tcPr>
            <w:tcW w:w="846" w:type="dxa"/>
            <w:noWrap/>
            <w:vAlign w:val="center"/>
          </w:tcPr>
          <w:p w:rsidR="00F02163" w:rsidRPr="008F0823" w:rsidRDefault="00F02163" w:rsidP="00F02163">
            <w:pPr>
              <w:jc w:val="center"/>
              <w:rPr>
                <w:rFonts w:ascii="Bookman Old Style" w:hAnsi="Bookman Old Style"/>
                <w:color w:val="000000"/>
                <w:sz w:val="16"/>
                <w:szCs w:val="16"/>
              </w:rPr>
            </w:pPr>
            <w:r w:rsidRPr="008F0823">
              <w:rPr>
                <w:rFonts w:ascii="Bookman Old Style" w:hAnsi="Bookman Old Style"/>
                <w:color w:val="000000"/>
                <w:sz w:val="16"/>
                <w:szCs w:val="16"/>
              </w:rPr>
              <w:t>37174</w:t>
            </w:r>
          </w:p>
        </w:tc>
        <w:tc>
          <w:tcPr>
            <w:tcW w:w="804"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764"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63"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911"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778"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805"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911"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c>
          <w:tcPr>
            <w:tcW w:w="1059" w:type="dxa"/>
            <w:noWrap/>
            <w:vAlign w:val="center"/>
          </w:tcPr>
          <w:p w:rsidR="00F02163" w:rsidRPr="00444733" w:rsidRDefault="00F02163" w:rsidP="00F02163">
            <w:pPr>
              <w:jc w:val="center"/>
              <w:rPr>
                <w:rFonts w:ascii="Bookman Old Style" w:hAnsi="Bookman Old Style"/>
                <w:color w:val="000000"/>
                <w:sz w:val="16"/>
                <w:szCs w:val="16"/>
              </w:rPr>
            </w:pPr>
            <w:r>
              <w:rPr>
                <w:rFonts w:ascii="Bookman Old Style" w:hAnsi="Bookman Old Style"/>
                <w:color w:val="000000"/>
                <w:sz w:val="16"/>
                <w:szCs w:val="16"/>
              </w:rPr>
              <w:t>NR*</w:t>
            </w:r>
          </w:p>
        </w:tc>
      </w:tr>
    </w:tbl>
    <w:p w:rsidR="00764F99" w:rsidRPr="00F02163" w:rsidRDefault="00764F99" w:rsidP="00764F99">
      <w:pPr>
        <w:spacing w:after="0" w:line="240" w:lineRule="auto"/>
        <w:ind w:left="-142" w:right="-142"/>
        <w:jc w:val="both"/>
        <w:rPr>
          <w:rFonts w:ascii="Bookman Old Style" w:hAnsi="Bookman Old Style" w:cs="Arial"/>
          <w:color w:val="000000" w:themeColor="text1"/>
          <w:sz w:val="16"/>
          <w:szCs w:val="16"/>
        </w:rPr>
      </w:pPr>
      <w:r w:rsidRPr="00F02163">
        <w:rPr>
          <w:rFonts w:ascii="Bookman Old Style" w:hAnsi="Bookman Old Style" w:cs="Arial"/>
          <w:color w:val="000000" w:themeColor="text1"/>
          <w:sz w:val="16"/>
          <w:szCs w:val="16"/>
        </w:rPr>
        <w:t>NR*: no presenta registro de información, de acuerdo con la información registrada al SUI desde noviembre de 2012 hasta la fecha.</w:t>
      </w:r>
    </w:p>
    <w:p w:rsidR="00764F99" w:rsidRPr="00B25CAB" w:rsidRDefault="00764F99" w:rsidP="00764F99">
      <w:pPr>
        <w:spacing w:after="0" w:line="240" w:lineRule="auto"/>
        <w:ind w:left="-142" w:right="-142"/>
        <w:jc w:val="both"/>
        <w:rPr>
          <w:rFonts w:ascii="Bookman Old Style" w:eastAsia="Times New Roman" w:hAnsi="Bookman Old Style" w:cs="Times New Roman"/>
          <w:szCs w:val="24"/>
          <w:lang w:val="es-ES" w:eastAsia="es-ES"/>
        </w:rPr>
      </w:pPr>
    </w:p>
    <w:p w:rsidR="00764F99" w:rsidRDefault="00764F99" w:rsidP="00F02163">
      <w:pPr>
        <w:spacing w:after="0" w:line="240" w:lineRule="auto"/>
        <w:ind w:left="-142" w:right="-142"/>
        <w:jc w:val="both"/>
        <w:rPr>
          <w:rFonts w:ascii="Bookman Old Style" w:eastAsia="Times New Roman" w:hAnsi="Bookman Old Style" w:cs="Times New Roman"/>
          <w:sz w:val="24"/>
          <w:szCs w:val="24"/>
          <w:lang w:val="es-ES" w:eastAsia="es-ES"/>
        </w:rPr>
      </w:pPr>
      <w:r w:rsidRPr="00F02163">
        <w:rPr>
          <w:rFonts w:ascii="Bookman Old Style" w:eastAsia="Times New Roman" w:hAnsi="Bookman Old Style" w:cs="Times New Roman"/>
          <w:sz w:val="24"/>
          <w:szCs w:val="24"/>
          <w:lang w:val="es-ES" w:eastAsia="es-ES"/>
        </w:rPr>
        <w:t xml:space="preserve">3.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cil</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F02163">
        <w:rPr>
          <w:rFonts w:ascii="Bookman Old Style" w:eastAsia="Times New Roman" w:hAnsi="Bookman Old Style" w:cs="Times New Roman"/>
          <w:sz w:val="24"/>
          <w:szCs w:val="24"/>
          <w:lang w:val="es-ES" w:eastAsia="es-ES"/>
        </w:rPr>
        <w:t xml:space="preserve">, </w:t>
      </w:r>
      <w:r w:rsidR="00A01067" w:rsidRPr="00C27D6D">
        <w:rPr>
          <w:rFonts w:ascii="Bookman Old Style" w:eastAsia="Times New Roman" w:hAnsi="Bookman Old Style" w:cs="Times New Roman"/>
          <w:sz w:val="24"/>
          <w:szCs w:val="24"/>
          <w:lang w:val="es-ES" w:eastAsia="es-ES"/>
        </w:rPr>
        <w:t xml:space="preserve">a continuación se muestra el </w:t>
      </w:r>
      <w:r w:rsidR="00A01067">
        <w:rPr>
          <w:rFonts w:ascii="Bookman Old Style" w:eastAsia="Times New Roman" w:hAnsi="Bookman Old Style" w:cs="Times New Roman"/>
          <w:sz w:val="24"/>
          <w:szCs w:val="24"/>
          <w:lang w:val="es-ES" w:eastAsia="es-ES"/>
        </w:rPr>
        <w:t>valor</w:t>
      </w:r>
      <w:r w:rsidR="00A01067" w:rsidRPr="00C27D6D">
        <w:rPr>
          <w:rFonts w:ascii="Bookman Old Style" w:eastAsia="Times New Roman" w:hAnsi="Bookman Old Style" w:cs="Times New Roman"/>
          <w:sz w:val="24"/>
          <w:szCs w:val="24"/>
          <w:lang w:val="es-ES" w:eastAsia="es-ES"/>
        </w:rPr>
        <w:t xml:space="preserve"> para </w:t>
      </w:r>
      <w:r w:rsidR="00A42DD2">
        <w:rPr>
          <w:rFonts w:ascii="Bookman Old Style" w:eastAsia="Times New Roman" w:hAnsi="Bookman Old Style" w:cs="Times New Roman"/>
          <w:sz w:val="24"/>
          <w:szCs w:val="24"/>
          <w:lang w:val="es-ES" w:eastAsia="es-ES"/>
        </w:rPr>
        <w:t>Termogas Soluciones Energéticas S.A.S. E.S.P</w:t>
      </w:r>
      <w:r w:rsidR="00F02163">
        <w:rPr>
          <w:rFonts w:ascii="Bookman Old Style" w:eastAsia="Times New Roman" w:hAnsi="Bookman Old Style" w:cs="Times New Roman"/>
          <w:sz w:val="24"/>
          <w:szCs w:val="24"/>
          <w:lang w:val="es-ES" w:eastAsia="es-ES"/>
        </w:rPr>
        <w:t>.</w:t>
      </w:r>
    </w:p>
    <w:p w:rsidR="00F02163" w:rsidRPr="00F02163" w:rsidRDefault="00F02163" w:rsidP="00F02163">
      <w:pPr>
        <w:spacing w:after="0" w:line="240" w:lineRule="auto"/>
        <w:ind w:left="-142" w:right="-142"/>
        <w:jc w:val="both"/>
        <w:rPr>
          <w:rFonts w:ascii="Bookman Old Style" w:eastAsia="Times New Roman" w:hAnsi="Bookman Old Style" w:cs="Times New Roman"/>
          <w:sz w:val="24"/>
          <w:szCs w:val="24"/>
          <w:lang w:val="es-ES" w:eastAsia="es-ES"/>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F02163" w:rsidRPr="00D85312" w:rsidTr="00764F99">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163" w:rsidRPr="00131DB0" w:rsidRDefault="00F02163" w:rsidP="00F02163">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eastAsia="Times New Roman" w:hAnsi="Bookman Old Style" w:cs="Times New Roman"/>
                <w:b/>
                <w:bCs/>
                <w:color w:val="000000"/>
                <w:sz w:val="20"/>
                <w:szCs w:val="20"/>
                <w:lang w:eastAsia="es-CO"/>
              </w:rPr>
              <w:t>Código</w:t>
            </w:r>
            <w:r w:rsidR="00A42DD2">
              <w:rPr>
                <w:rFonts w:ascii="Bookman Old Style" w:eastAsia="Times New Roman" w:hAnsi="Bookman Old Style" w:cs="Times New Roman"/>
                <w:b/>
                <w:bCs/>
                <w:color w:val="000000"/>
                <w:sz w:val="20"/>
                <w:szCs w:val="20"/>
                <w:lang w:eastAsia="es-CO"/>
              </w:rPr>
              <w:t xml:space="preserve"> </w:t>
            </w:r>
            <w:r w:rsidRPr="00131DB0">
              <w:rPr>
                <w:rFonts w:ascii="Bookman Old Style" w:eastAsia="Times New Roman" w:hAnsi="Bookman Old Style" w:cs="Times New Roman"/>
                <w:b/>
                <w:bCs/>
                <w:color w:val="000000"/>
                <w:sz w:val="20"/>
                <w:szCs w:val="20"/>
                <w:lang w:eastAsia="es-CO"/>
              </w:rPr>
              <w:t>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02163" w:rsidRPr="00131DB0" w:rsidRDefault="00F02163" w:rsidP="00F02163">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Cap.1</w:t>
            </w:r>
            <w:r w:rsidRPr="00131DB0">
              <w:rPr>
                <w:rFonts w:ascii="Bookman Old Style" w:hAnsi="Bookman Old Style"/>
                <w:b/>
                <w:bCs/>
                <w:i/>
                <w:color w:val="000000"/>
                <w:sz w:val="20"/>
                <w:szCs w:val="20"/>
                <w:vertAlign w:val="subscript"/>
              </w:rPr>
              <w:t>i,t</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02163" w:rsidRPr="00131DB0" w:rsidRDefault="00F02163" w:rsidP="00F02163">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Cap.2</w:t>
            </w:r>
            <w:r w:rsidRPr="00131DB0">
              <w:rPr>
                <w:rFonts w:ascii="Bookman Old Style" w:hAnsi="Bookman Old Style"/>
                <w:b/>
                <w:bCs/>
                <w:i/>
                <w:color w:val="000000"/>
                <w:sz w:val="20"/>
                <w:szCs w:val="20"/>
                <w:vertAlign w:val="subscript"/>
              </w:rPr>
              <w:t>i,t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F02163" w:rsidRPr="00131DB0" w:rsidRDefault="00F02163" w:rsidP="00F02163">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
        </w:tc>
      </w:tr>
      <w:tr w:rsidR="00F02163" w:rsidRPr="00D85312" w:rsidTr="00764F99">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F02163" w:rsidRPr="00C3243A" w:rsidRDefault="00F02163" w:rsidP="00F02163">
            <w:pPr>
              <w:spacing w:after="0" w:line="240" w:lineRule="auto"/>
              <w:jc w:val="center"/>
              <w:rPr>
                <w:rFonts w:ascii="Bookman Old Style" w:eastAsia="Times New Roman" w:hAnsi="Bookman Old Style" w:cs="Times New Roman"/>
                <w:color w:val="000000"/>
                <w:sz w:val="20"/>
                <w:szCs w:val="20"/>
                <w:lang w:eastAsia="es-CO"/>
              </w:rPr>
            </w:pPr>
            <w:r w:rsidRPr="00C3243A">
              <w:rPr>
                <w:rFonts w:ascii="Bookman Old Style" w:eastAsia="Times New Roman" w:hAnsi="Bookman Old Style" w:cs="Times New Roman"/>
                <w:color w:val="000000"/>
                <w:sz w:val="20"/>
                <w:szCs w:val="20"/>
                <w:lang w:eastAsia="es-CO"/>
              </w:rPr>
              <w:t>37174</w:t>
            </w:r>
          </w:p>
        </w:tc>
        <w:tc>
          <w:tcPr>
            <w:tcW w:w="1716" w:type="dxa"/>
            <w:tcBorders>
              <w:top w:val="nil"/>
              <w:left w:val="nil"/>
              <w:bottom w:val="single" w:sz="4" w:space="0" w:color="auto"/>
              <w:right w:val="single" w:sz="4" w:space="0" w:color="auto"/>
            </w:tcBorders>
            <w:shd w:val="clear" w:color="auto" w:fill="auto"/>
            <w:noWrap/>
            <w:vAlign w:val="center"/>
          </w:tcPr>
          <w:p w:rsidR="00F02163" w:rsidRPr="00C3243A" w:rsidRDefault="00F02163" w:rsidP="00F02163">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1716" w:type="dxa"/>
            <w:tcBorders>
              <w:top w:val="nil"/>
              <w:left w:val="nil"/>
              <w:bottom w:val="single" w:sz="4" w:space="0" w:color="auto"/>
              <w:right w:val="single" w:sz="4" w:space="0" w:color="auto"/>
            </w:tcBorders>
            <w:shd w:val="clear" w:color="auto" w:fill="auto"/>
            <w:noWrap/>
            <w:vAlign w:val="center"/>
          </w:tcPr>
          <w:p w:rsidR="00F02163" w:rsidRPr="00C3243A" w:rsidRDefault="00F02163" w:rsidP="00F02163">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c>
          <w:tcPr>
            <w:tcW w:w="1720" w:type="dxa"/>
            <w:tcBorders>
              <w:top w:val="nil"/>
              <w:left w:val="nil"/>
              <w:bottom w:val="single" w:sz="4" w:space="0" w:color="auto"/>
              <w:right w:val="single" w:sz="4" w:space="0" w:color="auto"/>
            </w:tcBorders>
            <w:shd w:val="clear" w:color="auto" w:fill="auto"/>
            <w:noWrap/>
            <w:vAlign w:val="center"/>
          </w:tcPr>
          <w:p w:rsidR="00F02163" w:rsidRPr="00C3243A" w:rsidRDefault="00F02163" w:rsidP="00F02163">
            <w:pPr>
              <w:spacing w:after="0" w:line="240" w:lineRule="auto"/>
              <w:jc w:val="center"/>
              <w:rPr>
                <w:rFonts w:ascii="Bookman Old Style" w:eastAsia="Times New Roman" w:hAnsi="Bookman Old Style" w:cs="Times New Roman"/>
                <w:color w:val="000000"/>
                <w:sz w:val="20"/>
                <w:szCs w:val="20"/>
                <w:lang w:eastAsia="es-CO"/>
              </w:rPr>
            </w:pPr>
            <w:r>
              <w:rPr>
                <w:rFonts w:ascii="Bookman Old Style" w:eastAsia="Times New Roman" w:hAnsi="Bookman Old Style" w:cs="Times New Roman"/>
                <w:color w:val="000000"/>
                <w:sz w:val="20"/>
                <w:szCs w:val="20"/>
                <w:lang w:eastAsia="es-CO"/>
              </w:rPr>
              <w:t>NR*</w:t>
            </w:r>
          </w:p>
        </w:tc>
      </w:tr>
    </w:tbl>
    <w:p w:rsidR="00764F99" w:rsidRPr="00F02163"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p>
    <w:p w:rsidR="00764F99" w:rsidRPr="00F02163"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F02163">
        <w:rPr>
          <w:rFonts w:ascii="Bookman Old Style" w:eastAsia="Times New Roman" w:hAnsi="Bookman Old Style" w:cs="Times New Roman"/>
          <w:sz w:val="24"/>
          <w:szCs w:val="24"/>
          <w:lang w:val="es-ES" w:eastAsia="es-ES"/>
        </w:rPr>
        <w:t xml:space="preserve">4. De acuerdo con parágrafo 3 del artículo 8 de la resolución CREG 063 de 2016, se calcula la variable </w:t>
      </w:r>
      <m:oMath>
        <m:r>
          <w:rPr>
            <w:rFonts w:ascii="Cambria Math" w:eastAsia="Times New Roman" w:hAnsi="Cambria Math" w:cs="Times New Roman"/>
            <w:sz w:val="24"/>
            <w:szCs w:val="24"/>
            <w:lang w:val="es-ES" w:eastAsia="es-ES"/>
          </w:rPr>
          <m:t>Cap</m:t>
        </m:r>
        <m:r>
          <m:rPr>
            <m:sty m:val="p"/>
          </m:rPr>
          <w:rPr>
            <w:rFonts w:ascii="Cambria Math" w:eastAsia="Times New Roman" w:hAnsi="Cambria Math" w:cs="Times New Roman"/>
            <w:sz w:val="24"/>
            <w:szCs w:val="24"/>
            <w:lang w:val="es-ES" w:eastAsia="es-ES"/>
          </w:rPr>
          <m:t>.</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TE</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F02163">
        <w:rPr>
          <w:rFonts w:ascii="Bookman Old Style" w:eastAsia="Times New Roman" w:hAnsi="Bookman Old Style" w:cs="Times New Roman"/>
          <w:sz w:val="24"/>
          <w:szCs w:val="24"/>
          <w:lang w:val="es-ES" w:eastAsia="es-ES"/>
        </w:rPr>
        <w:t xml:space="preserve">, </w:t>
      </w:r>
      <w:r w:rsidR="00A01067">
        <w:rPr>
          <w:rFonts w:ascii="Bookman Old Style" w:eastAsia="Times New Roman" w:hAnsi="Bookman Old Style" w:cs="Times New Roman"/>
          <w:sz w:val="24"/>
          <w:szCs w:val="24"/>
          <w:lang w:val="es-ES" w:eastAsia="es-ES"/>
        </w:rPr>
        <w:t xml:space="preserve">donde los resultados obtenidos para </w:t>
      </w:r>
      <w:r w:rsidR="00A42DD2">
        <w:rPr>
          <w:rFonts w:ascii="Bookman Old Style" w:eastAsia="Times New Roman" w:hAnsi="Bookman Old Style" w:cs="Times New Roman"/>
          <w:sz w:val="24"/>
          <w:szCs w:val="24"/>
          <w:lang w:val="es-ES" w:eastAsia="es-ES"/>
        </w:rPr>
        <w:t>Termogas Soluciones Energéticas S.A.S. E.S.P</w:t>
      </w:r>
      <w:r w:rsidR="00A01067" w:rsidRPr="00EA390B">
        <w:rPr>
          <w:rFonts w:ascii="Bookman Old Style" w:eastAsia="Times New Roman" w:hAnsi="Bookman Old Style" w:cs="Times New Roman"/>
          <w:sz w:val="24"/>
          <w:szCs w:val="24"/>
          <w:lang w:val="es-ES" w:eastAsia="es-ES"/>
        </w:rPr>
        <w:t>.</w:t>
      </w:r>
      <w:r w:rsidR="00A01067">
        <w:rPr>
          <w:rFonts w:ascii="Bookman Old Style" w:eastAsia="Times New Roman" w:hAnsi="Bookman Old Style" w:cs="Times New Roman"/>
          <w:sz w:val="24"/>
          <w:szCs w:val="24"/>
          <w:lang w:val="es-ES" w:eastAsia="es-ES"/>
        </w:rPr>
        <w:t xml:space="preserve"> son los siguientes</w:t>
      </w:r>
      <w:r w:rsidRPr="00F02163">
        <w:rPr>
          <w:rFonts w:ascii="Bookman Old Style" w:eastAsia="Times New Roman" w:hAnsi="Bookman Old Style" w:cs="Times New Roman"/>
          <w:sz w:val="24"/>
          <w:szCs w:val="24"/>
          <w:lang w:val="es-ES" w:eastAsia="es-ES"/>
        </w:rPr>
        <w:t>.</w:t>
      </w:r>
    </w:p>
    <w:p w:rsidR="00764F99" w:rsidRPr="00D85312" w:rsidRDefault="00764F99" w:rsidP="00764F99">
      <w:pPr>
        <w:ind w:left="357"/>
        <w:contextualSpacing/>
        <w:jc w:val="both"/>
        <w:rPr>
          <w:rFonts w:ascii="Bookman Old Style" w:hAnsi="Bookman Old Style"/>
          <w:highlight w:val="yellow"/>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F02163" w:rsidRPr="00F02163" w:rsidTr="00F02163">
        <w:trPr>
          <w:trHeight w:val="771"/>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163" w:rsidRPr="00F02163" w:rsidRDefault="00F02163" w:rsidP="004075B5">
            <w:pPr>
              <w:spacing w:after="0"/>
              <w:ind w:left="67"/>
              <w:jc w:val="center"/>
              <w:rPr>
                <w:rFonts w:ascii="Bookman Old Style" w:hAnsi="Bookman Old Style"/>
                <w:b/>
                <w:bCs/>
                <w:color w:val="000000"/>
                <w:sz w:val="20"/>
                <w:szCs w:val="20"/>
                <w:lang w:eastAsia="es-CO"/>
              </w:rPr>
            </w:pPr>
            <w:r w:rsidRPr="00F02163">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F02163" w:rsidRPr="00F02163" w:rsidRDefault="00F02163" w:rsidP="004075B5">
            <w:pPr>
              <w:spacing w:after="0"/>
              <w:ind w:left="67"/>
              <w:jc w:val="center"/>
              <w:rPr>
                <w:rFonts w:ascii="Bookman Old Style" w:hAnsi="Bookman Old Style"/>
                <w:b/>
                <w:bCs/>
                <w:color w:val="000000"/>
                <w:sz w:val="20"/>
                <w:szCs w:val="20"/>
                <w:lang w:eastAsia="es-CO"/>
              </w:rPr>
            </w:pPr>
            <w:r w:rsidRPr="00F02163">
              <w:rPr>
                <w:rFonts w:ascii="Bookman Old Style" w:hAnsi="Bookman Old Style"/>
                <w:b/>
                <w:bCs/>
                <w:color w:val="000000" w:themeColor="text1"/>
                <w:sz w:val="20"/>
                <w:szCs w:val="20"/>
                <w:lang w:eastAsia="es-CO"/>
              </w:rPr>
              <w:t>Capacidad total (gl)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F02163">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F02163" w:rsidRPr="00F02163" w:rsidRDefault="00F02163" w:rsidP="004075B5">
            <w:pPr>
              <w:spacing w:after="0"/>
              <w:ind w:left="67"/>
              <w:jc w:val="center"/>
              <w:rPr>
                <w:rFonts w:ascii="Bookman Old Style" w:hAnsi="Bookman Old Style"/>
                <w:b/>
                <w:bCs/>
                <w:color w:val="000000"/>
                <w:sz w:val="20"/>
                <w:szCs w:val="20"/>
                <w:lang w:eastAsia="es-CO"/>
              </w:rPr>
            </w:pPr>
            <w:r w:rsidRPr="00F02163">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F02163">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F02163" w:rsidRPr="00F02163" w:rsidRDefault="00F02163">
            <w:pPr>
              <w:spacing w:after="0" w:line="240" w:lineRule="auto"/>
              <w:jc w:val="center"/>
              <w:rPr>
                <w:rFonts w:ascii="Calibri" w:eastAsia="Times New Roman" w:hAnsi="Calibri" w:cs="Times New Roman"/>
                <w:color w:val="000000"/>
                <w:sz w:val="20"/>
                <w:szCs w:val="20"/>
                <w:lang w:eastAsia="es-CO"/>
              </w:rPr>
            </w:pPr>
            <w:r w:rsidRPr="00F02163">
              <w:rPr>
                <w:rFonts w:ascii="Bookman Old Style" w:hAnsi="Bookman Old Style"/>
                <w:b/>
                <w:bCs/>
                <w:color w:val="000000"/>
                <w:sz w:val="20"/>
                <w:szCs w:val="20"/>
              </w:rPr>
              <w:t>Cap.TE</w:t>
            </w:r>
            <w:r w:rsidRPr="00F02163">
              <w:rPr>
                <w:rFonts w:ascii="Bookman Old Style" w:hAnsi="Bookman Old Style"/>
                <w:b/>
                <w:bCs/>
                <w:i/>
                <w:color w:val="000000"/>
                <w:sz w:val="20"/>
                <w:szCs w:val="20"/>
                <w:vertAlign w:val="subscript"/>
              </w:rPr>
              <w:t>i,t</w:t>
            </w:r>
          </w:p>
        </w:tc>
      </w:tr>
      <w:tr w:rsidR="00764F99" w:rsidRPr="00D85312" w:rsidTr="00F02163">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764F99" w:rsidRPr="00F02163" w:rsidRDefault="00F02163" w:rsidP="004075B5">
            <w:pPr>
              <w:spacing w:after="0"/>
              <w:jc w:val="center"/>
              <w:rPr>
                <w:rFonts w:ascii="Bookman Old Style" w:hAnsi="Bookman Old Style"/>
                <w:color w:val="000000"/>
                <w:lang w:eastAsia="es-CO"/>
              </w:rPr>
            </w:pPr>
            <w:r w:rsidRPr="00F02163">
              <w:rPr>
                <w:rFonts w:ascii="Bookman Old Style" w:eastAsia="Times New Roman" w:hAnsi="Bookman Old Style" w:cs="Times New Roman"/>
                <w:color w:val="000000"/>
                <w:sz w:val="20"/>
                <w:szCs w:val="20"/>
                <w:lang w:eastAsia="es-CO"/>
              </w:rPr>
              <w:t>37174</w:t>
            </w:r>
          </w:p>
        </w:tc>
        <w:tc>
          <w:tcPr>
            <w:tcW w:w="1776" w:type="dxa"/>
            <w:tcBorders>
              <w:top w:val="nil"/>
              <w:left w:val="nil"/>
              <w:bottom w:val="single" w:sz="4" w:space="0" w:color="auto"/>
              <w:right w:val="single" w:sz="4" w:space="0" w:color="auto"/>
            </w:tcBorders>
            <w:shd w:val="clear" w:color="auto" w:fill="auto"/>
            <w:noWrap/>
            <w:vAlign w:val="center"/>
          </w:tcPr>
          <w:p w:rsidR="00764F99" w:rsidRPr="00F02163" w:rsidRDefault="00F02163" w:rsidP="004075B5">
            <w:pPr>
              <w:spacing w:after="0"/>
              <w:jc w:val="center"/>
              <w:rPr>
                <w:rFonts w:ascii="Bookman Old Style" w:hAnsi="Bookman Old Style"/>
                <w:color w:val="000000"/>
                <w:lang w:eastAsia="es-CO"/>
              </w:rPr>
            </w:pPr>
            <w:r w:rsidRPr="00F02163">
              <w:rPr>
                <w:rFonts w:ascii="Bookman Old Style" w:eastAsia="Times New Roman" w:hAnsi="Bookman Old Style" w:cs="Times New Roman"/>
                <w:color w:val="000000"/>
                <w:sz w:val="20"/>
                <w:szCs w:val="20"/>
                <w:lang w:eastAsia="es-CO"/>
              </w:rPr>
              <w:t>17,240</w:t>
            </w:r>
          </w:p>
        </w:tc>
        <w:tc>
          <w:tcPr>
            <w:tcW w:w="2092" w:type="dxa"/>
            <w:tcBorders>
              <w:top w:val="nil"/>
              <w:left w:val="nil"/>
              <w:bottom w:val="single" w:sz="4" w:space="0" w:color="auto"/>
              <w:right w:val="single" w:sz="4" w:space="0" w:color="auto"/>
            </w:tcBorders>
            <w:shd w:val="clear" w:color="auto" w:fill="auto"/>
            <w:noWrap/>
            <w:vAlign w:val="center"/>
          </w:tcPr>
          <w:p w:rsidR="00764F99" w:rsidRPr="00F02163" w:rsidRDefault="00F02163" w:rsidP="004075B5">
            <w:pPr>
              <w:spacing w:after="0"/>
              <w:ind w:left="-76"/>
              <w:jc w:val="center"/>
              <w:rPr>
                <w:rFonts w:ascii="Bookman Old Style" w:hAnsi="Bookman Old Style"/>
                <w:color w:val="000000"/>
                <w:sz w:val="20"/>
                <w:szCs w:val="20"/>
                <w:lang w:eastAsia="es-CO"/>
              </w:rPr>
            </w:pPr>
            <w:r w:rsidRPr="00F02163">
              <w:rPr>
                <w:rFonts w:ascii="Bookman Old Style" w:hAnsi="Bookman Old Style"/>
                <w:color w:val="000000"/>
                <w:sz w:val="20"/>
                <w:szCs w:val="20"/>
                <w:lang w:eastAsia="es-CO"/>
              </w:rPr>
              <w:t>38</w:t>
            </w:r>
          </w:p>
        </w:tc>
        <w:tc>
          <w:tcPr>
            <w:tcW w:w="1800" w:type="dxa"/>
            <w:tcBorders>
              <w:top w:val="nil"/>
              <w:left w:val="nil"/>
              <w:bottom w:val="single" w:sz="4" w:space="0" w:color="auto"/>
              <w:right w:val="single" w:sz="4" w:space="0" w:color="auto"/>
            </w:tcBorders>
            <w:shd w:val="clear" w:color="auto" w:fill="auto"/>
            <w:noWrap/>
            <w:vAlign w:val="center"/>
          </w:tcPr>
          <w:p w:rsidR="00764F99" w:rsidRPr="00F02163" w:rsidRDefault="00176DDE" w:rsidP="004075B5">
            <w:pPr>
              <w:spacing w:after="0"/>
              <w:jc w:val="center"/>
              <w:rPr>
                <w:rFonts w:ascii="Bookman Old Style" w:hAnsi="Bookman Old Style"/>
                <w:color w:val="000000"/>
                <w:lang w:eastAsia="es-CO"/>
              </w:rPr>
            </w:pPr>
            <w:r w:rsidRPr="00176DDE">
              <w:rPr>
                <w:rFonts w:ascii="Bookman Old Style" w:eastAsia="Times New Roman" w:hAnsi="Bookman Old Style" w:cs="Times New Roman"/>
                <w:color w:val="000000"/>
                <w:sz w:val="20"/>
                <w:szCs w:val="20"/>
                <w:lang w:eastAsia="es-CO"/>
              </w:rPr>
              <w:t>217,224</w:t>
            </w:r>
          </w:p>
        </w:tc>
      </w:tr>
    </w:tbl>
    <w:p w:rsidR="00764F99" w:rsidRPr="00B25CAB" w:rsidRDefault="00764F99" w:rsidP="00764F99">
      <w:pPr>
        <w:spacing w:after="0" w:line="240" w:lineRule="auto"/>
        <w:ind w:left="-142" w:right="-142"/>
        <w:jc w:val="both"/>
        <w:rPr>
          <w:rFonts w:ascii="Bookman Old Style" w:eastAsia="Times New Roman" w:hAnsi="Bookman Old Style" w:cs="Times New Roman"/>
          <w:szCs w:val="24"/>
          <w:lang w:val="es-ES" w:eastAsia="es-ES"/>
        </w:rPr>
      </w:pPr>
    </w:p>
    <w:p w:rsidR="00A01067" w:rsidRPr="000E5F25" w:rsidRDefault="00764F99" w:rsidP="00A01067">
      <w:pPr>
        <w:spacing w:after="0" w:line="240" w:lineRule="auto"/>
        <w:ind w:left="-142" w:right="-142"/>
        <w:jc w:val="both"/>
        <w:rPr>
          <w:rFonts w:ascii="Bookman Old Style" w:eastAsia="Times New Roman" w:hAnsi="Bookman Old Style" w:cs="Times New Roman"/>
          <w:sz w:val="24"/>
          <w:szCs w:val="24"/>
          <w:lang w:val="es-ES" w:eastAsia="es-ES"/>
        </w:rPr>
      </w:pPr>
      <w:r w:rsidRPr="00176DDE">
        <w:rPr>
          <w:rFonts w:ascii="Bookman Old Style" w:eastAsia="Times New Roman" w:hAnsi="Bookman Old Style" w:cs="Times New Roman"/>
          <w:sz w:val="24"/>
          <w:szCs w:val="24"/>
          <w:lang w:val="es-ES" w:eastAsia="es-ES"/>
        </w:rPr>
        <w:t xml:space="preserve">5. De acuerdo con parágrafo 1 del artículo 8 de la resolución CREG 063 de 2016, se calcula la variable </w:t>
      </w:r>
      <m:oMath>
        <m:r>
          <w:rPr>
            <w:rFonts w:ascii="Cambria Math" w:eastAsia="Times New Roman" w:hAnsi="Cambria Math" w:cs="Times New Roman"/>
            <w:sz w:val="24"/>
            <w:szCs w:val="24"/>
            <w:lang w:val="es-ES" w:eastAsia="es-ES"/>
          </w:rPr>
          <m:t>C</m:t>
        </m:r>
        <m:sSub>
          <m:sSubPr>
            <m:ctrlPr>
              <w:rPr>
                <w:rFonts w:ascii="Cambria Math" w:eastAsia="Times New Roman" w:hAnsi="Cambria Math" w:cs="Times New Roman"/>
                <w:sz w:val="24"/>
                <w:szCs w:val="24"/>
                <w:lang w:val="es-ES" w:eastAsia="es-ES"/>
              </w:rPr>
            </m:ctrlPr>
          </m:sSubPr>
          <m:e>
            <m:r>
              <w:rPr>
                <w:rFonts w:ascii="Cambria Math" w:eastAsia="Times New Roman" w:hAnsi="Cambria Math" w:cs="Times New Roman"/>
                <w:sz w:val="24"/>
                <w:szCs w:val="24"/>
                <w:lang w:val="es-ES" w:eastAsia="es-ES"/>
              </w:rPr>
              <m:t>C</m:t>
            </m:r>
          </m:e>
          <m:sub>
            <m:r>
              <w:rPr>
                <w:rFonts w:ascii="Cambria Math" w:eastAsia="Times New Roman" w:hAnsi="Cambria Math" w:cs="Times New Roman"/>
                <w:sz w:val="24"/>
                <w:szCs w:val="24"/>
                <w:lang w:val="es-ES" w:eastAsia="es-ES"/>
              </w:rPr>
              <m:t>i</m:t>
            </m:r>
            <m:r>
              <m:rPr>
                <m:sty m:val="p"/>
              </m:rPr>
              <w:rPr>
                <w:rFonts w:ascii="Cambria Math" w:eastAsia="Times New Roman" w:hAnsi="Cambria Math" w:cs="Times New Roman"/>
                <w:sz w:val="24"/>
                <w:szCs w:val="24"/>
                <w:lang w:val="es-ES" w:eastAsia="es-ES"/>
              </w:rPr>
              <m:t>,</m:t>
            </m:r>
            <m:r>
              <w:rPr>
                <w:rFonts w:ascii="Cambria Math" w:eastAsia="Times New Roman" w:hAnsi="Cambria Math" w:cs="Times New Roman"/>
                <w:sz w:val="24"/>
                <w:szCs w:val="24"/>
                <w:lang w:val="es-ES" w:eastAsia="es-ES"/>
              </w:rPr>
              <m:t>t</m:t>
            </m:r>
          </m:sub>
        </m:sSub>
      </m:oMath>
      <w:r w:rsidRPr="00176DDE">
        <w:rPr>
          <w:rFonts w:ascii="Bookman Old Style" w:eastAsia="Times New Roman" w:hAnsi="Bookman Old Style" w:cs="Times New Roman"/>
          <w:sz w:val="24"/>
          <w:szCs w:val="24"/>
          <w:lang w:val="es-ES" w:eastAsia="es-ES"/>
        </w:rPr>
        <w:t xml:space="preserve">, </w:t>
      </w:r>
      <w:r w:rsidR="00A01067">
        <w:rPr>
          <w:rFonts w:ascii="Bookman Old Style" w:eastAsia="Times New Roman" w:hAnsi="Bookman Old Style" w:cs="Times New Roman"/>
          <w:sz w:val="24"/>
          <w:szCs w:val="24"/>
          <w:lang w:val="es-ES" w:eastAsia="es-ES"/>
        </w:rPr>
        <w:t xml:space="preserve">donde la capacidad de compra para </w:t>
      </w:r>
      <w:r w:rsidR="00A42DD2">
        <w:rPr>
          <w:rFonts w:ascii="Bookman Old Style" w:eastAsia="Times New Roman" w:hAnsi="Bookman Old Style" w:cs="Times New Roman"/>
          <w:sz w:val="24"/>
          <w:szCs w:val="24"/>
          <w:lang w:val="es-ES" w:eastAsia="es-ES"/>
        </w:rPr>
        <w:t>Termogas Soluciones Energéticas S.A.S. E.S.P</w:t>
      </w:r>
      <w:r w:rsidR="00A01067" w:rsidRPr="00EA390B">
        <w:rPr>
          <w:rFonts w:ascii="Bookman Old Style" w:eastAsia="Times New Roman" w:hAnsi="Bookman Old Style" w:cs="Times New Roman"/>
          <w:sz w:val="24"/>
          <w:szCs w:val="24"/>
          <w:lang w:val="es-ES" w:eastAsia="es-ES"/>
        </w:rPr>
        <w:t>.</w:t>
      </w:r>
      <w:r w:rsidR="00A01067">
        <w:rPr>
          <w:rFonts w:ascii="Bookman Old Style" w:eastAsia="Times New Roman" w:hAnsi="Bookman Old Style" w:cs="Times New Roman"/>
          <w:sz w:val="24"/>
          <w:szCs w:val="24"/>
          <w:lang w:val="es-ES" w:eastAsia="es-ES"/>
        </w:rPr>
        <w:t xml:space="preserve"> corresponde a:</w:t>
      </w:r>
    </w:p>
    <w:p w:rsidR="00764F99" w:rsidRPr="00D85312" w:rsidRDefault="00764F99" w:rsidP="004075B5">
      <w:pPr>
        <w:spacing w:after="0" w:line="240" w:lineRule="auto"/>
        <w:ind w:left="-142" w:right="-142"/>
        <w:jc w:val="both"/>
        <w:rPr>
          <w:rFonts w:ascii="Bookman Old Style" w:hAnsi="Bookman Old Style"/>
          <w:highlight w:val="yellow"/>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176DDE" w:rsidRPr="00D85312" w:rsidTr="004075B5">
        <w:trPr>
          <w:trHeight w:val="364"/>
          <w:tblHeader/>
          <w:jc w:val="center"/>
        </w:trPr>
        <w:tc>
          <w:tcPr>
            <w:tcW w:w="1420" w:type="dxa"/>
            <w:shd w:val="clear" w:color="auto" w:fill="auto"/>
            <w:noWrap/>
            <w:vAlign w:val="center"/>
            <w:hideMark/>
          </w:tcPr>
          <w:p w:rsidR="00176DDE" w:rsidRPr="000F619F" w:rsidRDefault="00176DDE" w:rsidP="00176DDE">
            <w:pPr>
              <w:spacing w:after="0" w:line="240" w:lineRule="auto"/>
              <w:jc w:val="center"/>
              <w:rPr>
                <w:rFonts w:ascii="Bookman Old Style" w:eastAsia="Times New Roman" w:hAnsi="Bookman Old Style" w:cs="Times New Roman"/>
                <w:b/>
                <w:bCs/>
                <w:color w:val="000000"/>
                <w:sz w:val="20"/>
                <w:szCs w:val="20"/>
                <w:lang w:eastAsia="es-CO"/>
              </w:rPr>
            </w:pPr>
            <w:r w:rsidRPr="000F619F">
              <w:rPr>
                <w:rFonts w:ascii="Bookman Old Style" w:eastAsia="Times New Roman" w:hAnsi="Bookman Old Style" w:cs="Times New Roman"/>
                <w:b/>
                <w:bCs/>
                <w:color w:val="000000"/>
                <w:sz w:val="20"/>
                <w:szCs w:val="20"/>
                <w:lang w:eastAsia="es-CO"/>
              </w:rPr>
              <w:t>Código</w:t>
            </w:r>
            <w:r>
              <w:rPr>
                <w:rFonts w:ascii="Bookman Old Style" w:eastAsia="Times New Roman" w:hAnsi="Bookman Old Style" w:cs="Times New Roman"/>
                <w:b/>
                <w:bCs/>
                <w:color w:val="000000"/>
                <w:sz w:val="20"/>
                <w:szCs w:val="20"/>
                <w:lang w:eastAsia="es-CO"/>
              </w:rPr>
              <w:t xml:space="preserve"> </w:t>
            </w:r>
            <w:r w:rsidRPr="000F619F">
              <w:rPr>
                <w:rFonts w:ascii="Bookman Old Style" w:eastAsia="Times New Roman" w:hAnsi="Bookman Old Style" w:cs="Times New Roman"/>
                <w:b/>
                <w:bCs/>
                <w:color w:val="000000"/>
                <w:sz w:val="20"/>
                <w:szCs w:val="20"/>
                <w:lang w:eastAsia="es-CO"/>
              </w:rPr>
              <w:t>SUI</w:t>
            </w:r>
          </w:p>
        </w:tc>
        <w:tc>
          <w:tcPr>
            <w:tcW w:w="1828" w:type="dxa"/>
            <w:shd w:val="clear" w:color="auto" w:fill="auto"/>
            <w:noWrap/>
            <w:vAlign w:val="center"/>
            <w:hideMark/>
          </w:tcPr>
          <w:p w:rsidR="00176DDE" w:rsidRPr="000F619F" w:rsidRDefault="00176DDE" w:rsidP="00176DDE">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Cap.cil</w:t>
            </w:r>
            <w:r w:rsidRPr="00131DB0">
              <w:rPr>
                <w:rFonts w:ascii="Bookman Old Style" w:hAnsi="Bookman Old Style"/>
                <w:b/>
                <w:bCs/>
                <w:i/>
                <w:color w:val="000000"/>
                <w:sz w:val="20"/>
                <w:szCs w:val="20"/>
                <w:vertAlign w:val="subscript"/>
              </w:rPr>
              <w:t>i,t</w:t>
            </w:r>
          </w:p>
        </w:tc>
        <w:tc>
          <w:tcPr>
            <w:tcW w:w="1704" w:type="dxa"/>
            <w:shd w:val="clear" w:color="auto" w:fill="auto"/>
            <w:noWrap/>
            <w:vAlign w:val="center"/>
            <w:hideMark/>
          </w:tcPr>
          <w:p w:rsidR="00176DDE" w:rsidRPr="00131DB0" w:rsidRDefault="00176DDE" w:rsidP="00176DDE">
            <w:pPr>
              <w:spacing w:after="0" w:line="240" w:lineRule="auto"/>
              <w:jc w:val="center"/>
              <w:rPr>
                <w:rFonts w:ascii="Calibri" w:eastAsia="Times New Roman" w:hAnsi="Calibri" w:cs="Times New Roman"/>
                <w:color w:val="000000"/>
                <w:sz w:val="20"/>
                <w:szCs w:val="20"/>
                <w:lang w:eastAsia="es-CO"/>
              </w:rPr>
            </w:pPr>
            <w:r w:rsidRPr="00131DB0">
              <w:rPr>
                <w:rFonts w:ascii="Bookman Old Style" w:hAnsi="Bookman Old Style"/>
                <w:b/>
                <w:bCs/>
                <w:color w:val="000000"/>
                <w:sz w:val="20"/>
                <w:szCs w:val="20"/>
              </w:rPr>
              <w:t>Cap.</w:t>
            </w:r>
            <w:r>
              <w:rPr>
                <w:rFonts w:ascii="Bookman Old Style" w:hAnsi="Bookman Old Style"/>
                <w:b/>
                <w:bCs/>
                <w:color w:val="000000"/>
                <w:sz w:val="20"/>
                <w:szCs w:val="20"/>
              </w:rPr>
              <w:t>TE</w:t>
            </w:r>
            <w:r w:rsidRPr="00131DB0">
              <w:rPr>
                <w:rFonts w:ascii="Bookman Old Style" w:hAnsi="Bookman Old Style"/>
                <w:b/>
                <w:bCs/>
                <w:i/>
                <w:color w:val="000000"/>
                <w:sz w:val="20"/>
                <w:szCs w:val="20"/>
                <w:vertAlign w:val="subscript"/>
              </w:rPr>
              <w:t>i,t</w:t>
            </w:r>
          </w:p>
        </w:tc>
        <w:tc>
          <w:tcPr>
            <w:tcW w:w="1828" w:type="dxa"/>
            <w:shd w:val="clear" w:color="auto" w:fill="auto"/>
            <w:noWrap/>
            <w:vAlign w:val="center"/>
            <w:hideMark/>
          </w:tcPr>
          <w:p w:rsidR="00176DDE" w:rsidRPr="000F619F" w:rsidRDefault="00176DDE" w:rsidP="00176DDE">
            <w:pPr>
              <w:spacing w:after="0" w:line="240" w:lineRule="auto"/>
              <w:jc w:val="center"/>
              <w:rPr>
                <w:rFonts w:ascii="Bookman Old Style" w:eastAsia="Times New Roman" w:hAnsi="Bookman Old Style" w:cs="Times New Roman"/>
                <w:b/>
                <w:bCs/>
                <w:color w:val="000000"/>
                <w:sz w:val="20"/>
                <w:szCs w:val="20"/>
                <w:lang w:eastAsia="es-CO"/>
              </w:rPr>
            </w:pPr>
            <w:r w:rsidRPr="00131DB0">
              <w:rPr>
                <w:rFonts w:ascii="Bookman Old Style" w:hAnsi="Bookman Old Style"/>
                <w:b/>
                <w:bCs/>
                <w:color w:val="000000"/>
                <w:sz w:val="20"/>
                <w:szCs w:val="20"/>
              </w:rPr>
              <w:t>C</w:t>
            </w:r>
            <w:r>
              <w:rPr>
                <w:rFonts w:ascii="Bookman Old Style" w:hAnsi="Bookman Old Style"/>
                <w:b/>
                <w:bCs/>
                <w:color w:val="000000"/>
                <w:sz w:val="20"/>
                <w:szCs w:val="20"/>
              </w:rPr>
              <w:t>C</w:t>
            </w:r>
            <w:r w:rsidRPr="00131DB0">
              <w:rPr>
                <w:rFonts w:ascii="Bookman Old Style" w:hAnsi="Bookman Old Style"/>
                <w:b/>
                <w:bCs/>
                <w:i/>
                <w:color w:val="000000"/>
                <w:sz w:val="20"/>
                <w:szCs w:val="20"/>
                <w:vertAlign w:val="subscript"/>
              </w:rPr>
              <w:t>i,t</w:t>
            </w:r>
          </w:p>
        </w:tc>
      </w:tr>
      <w:tr w:rsidR="00764F99" w:rsidRPr="00D85312" w:rsidTr="00764F99">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F99" w:rsidRPr="00D85312" w:rsidRDefault="00176DDE" w:rsidP="00D54A4F">
            <w:pPr>
              <w:spacing w:after="0"/>
              <w:ind w:left="73"/>
              <w:jc w:val="center"/>
              <w:rPr>
                <w:rFonts w:ascii="Bookman Old Style" w:hAnsi="Bookman Old Style"/>
                <w:color w:val="000000"/>
                <w:highlight w:val="yellow"/>
                <w:lang w:eastAsia="es-CO"/>
              </w:rPr>
            </w:pPr>
            <w:r w:rsidRPr="00F02163">
              <w:rPr>
                <w:rFonts w:ascii="Bookman Old Style" w:eastAsia="Times New Roman" w:hAnsi="Bookman Old Style" w:cs="Times New Roman"/>
                <w:color w:val="000000"/>
                <w:sz w:val="20"/>
                <w:szCs w:val="20"/>
                <w:lang w:eastAsia="es-CO"/>
              </w:rPr>
              <w:t>37174</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F99" w:rsidRPr="00D85312" w:rsidRDefault="00176DDE" w:rsidP="00D54A4F">
            <w:pPr>
              <w:spacing w:after="0"/>
              <w:ind w:left="73"/>
              <w:jc w:val="center"/>
              <w:rPr>
                <w:rFonts w:ascii="Bookman Old Style" w:hAnsi="Bookman Old Style"/>
                <w:color w:val="000000"/>
                <w:highlight w:val="yellow"/>
                <w:lang w:eastAsia="es-CO"/>
              </w:rPr>
            </w:pPr>
            <w:r>
              <w:rPr>
                <w:rFonts w:ascii="Bookman Old Style" w:eastAsia="Times New Roman" w:hAnsi="Bookman Old Style" w:cs="Times New Roman"/>
                <w:color w:val="000000"/>
                <w:sz w:val="20"/>
                <w:szCs w:val="20"/>
                <w:lang w:eastAsia="es-CO"/>
              </w:rPr>
              <w:t>NR*</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F99" w:rsidRPr="00D85312" w:rsidRDefault="00A90974" w:rsidP="00D54A4F">
            <w:pPr>
              <w:spacing w:after="0"/>
              <w:ind w:left="73"/>
              <w:jc w:val="center"/>
              <w:rPr>
                <w:rFonts w:ascii="Bookman Old Style" w:hAnsi="Bookman Old Style"/>
                <w:color w:val="000000"/>
                <w:highlight w:val="yellow"/>
                <w:lang w:eastAsia="es-CO"/>
              </w:rPr>
            </w:pPr>
            <w:r w:rsidRPr="00A90974">
              <w:rPr>
                <w:rFonts w:ascii="Bookman Old Style" w:eastAsia="Times New Roman" w:hAnsi="Bookman Old Style" w:cs="Times New Roman"/>
                <w:color w:val="000000"/>
                <w:sz w:val="20"/>
                <w:szCs w:val="20"/>
                <w:lang w:eastAsia="es-CO"/>
              </w:rPr>
              <w:t>217,224</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F99" w:rsidRPr="00D54A4F" w:rsidRDefault="00D54A4F" w:rsidP="00D54A4F">
            <w:pPr>
              <w:spacing w:after="0"/>
              <w:jc w:val="center"/>
              <w:rPr>
                <w:rFonts w:ascii="Bookman Old Style" w:hAnsi="Bookman Old Style"/>
                <w:color w:val="000000"/>
                <w:sz w:val="20"/>
                <w:szCs w:val="20"/>
                <w:highlight w:val="yellow"/>
              </w:rPr>
            </w:pPr>
            <w:r w:rsidRPr="00D54A4F">
              <w:rPr>
                <w:rFonts w:ascii="Bookman Old Style" w:hAnsi="Bookman Old Style"/>
                <w:color w:val="000000"/>
                <w:sz w:val="20"/>
                <w:szCs w:val="20"/>
              </w:rPr>
              <w:t>63,701</w:t>
            </w:r>
          </w:p>
        </w:tc>
      </w:tr>
    </w:tbl>
    <w:p w:rsidR="00764F99" w:rsidRPr="00B25CAB" w:rsidRDefault="00764F99" w:rsidP="00764F99">
      <w:pPr>
        <w:spacing w:after="0" w:line="240" w:lineRule="auto"/>
        <w:ind w:left="-142" w:right="-142"/>
        <w:jc w:val="both"/>
        <w:rPr>
          <w:rFonts w:ascii="Bookman Old Style" w:eastAsia="Times New Roman" w:hAnsi="Bookman Old Style" w:cs="Times New Roman"/>
          <w:szCs w:val="24"/>
          <w:highlight w:val="yellow"/>
          <w:lang w:val="es-ES" w:eastAsia="es-ES"/>
        </w:rPr>
      </w:pPr>
    </w:p>
    <w:p w:rsidR="00764F99" w:rsidRPr="00D85312" w:rsidRDefault="00764F99" w:rsidP="00764F99">
      <w:pPr>
        <w:spacing w:after="0" w:line="240" w:lineRule="auto"/>
        <w:ind w:left="-142" w:right="-142"/>
        <w:jc w:val="both"/>
        <w:rPr>
          <w:rFonts w:ascii="Bookman Old Style" w:eastAsia="Times New Roman" w:hAnsi="Bookman Old Style" w:cs="Times New Roman"/>
          <w:sz w:val="24"/>
          <w:szCs w:val="24"/>
          <w:lang w:val="es-ES" w:eastAsia="es-ES"/>
        </w:rPr>
      </w:pPr>
      <w:r w:rsidRPr="00D54A4F">
        <w:rPr>
          <w:rFonts w:ascii="Bookman Old Style" w:eastAsia="Times New Roman" w:hAnsi="Bookman Old Style" w:cs="Times New Roman"/>
          <w:b/>
          <w:sz w:val="24"/>
          <w:szCs w:val="24"/>
          <w:lang w:val="es-ES" w:eastAsia="es-ES"/>
        </w:rPr>
        <w:t>Artículo 3.</w:t>
      </w:r>
      <w:r w:rsidRPr="00D54A4F">
        <w:rPr>
          <w:rFonts w:ascii="Bookman Old Style" w:eastAsia="Times New Roman" w:hAnsi="Bookman Old Style" w:cs="Times New Roman"/>
          <w:sz w:val="24"/>
          <w:szCs w:val="24"/>
          <w:lang w:val="es-ES" w:eastAsia="es-ES"/>
        </w:rPr>
        <w:t xml:space="preserve"> La presente resolución deberá notificarse a la empresa </w:t>
      </w:r>
      <w:r w:rsidR="00D54A4F" w:rsidRPr="00D54A4F">
        <w:rPr>
          <w:rFonts w:ascii="Bookman Old Style" w:eastAsia="Times New Roman" w:hAnsi="Bookman Old Style" w:cs="Times New Roman"/>
          <w:sz w:val="24"/>
          <w:szCs w:val="24"/>
          <w:lang w:val="es-ES" w:eastAsia="es-ES"/>
        </w:rPr>
        <w:t>Termogas Soluciones Energéticas</w:t>
      </w:r>
      <w:r w:rsidRPr="00D54A4F">
        <w:rPr>
          <w:rFonts w:ascii="Bookman Old Style" w:eastAsia="Times New Roman" w:hAnsi="Bookman Old Style" w:cs="Times New Roman"/>
          <w:sz w:val="24"/>
          <w:szCs w:val="24"/>
          <w:lang w:val="es-ES" w:eastAsia="es-ES"/>
        </w:rPr>
        <w:t xml:space="preserve"> S.A.S. E.S.P. Contra lo aquí dispuesto no procede recurso alguno por haber finalizado la actuación administrativa correspondiente a la presentación de recursos previsto en la Ley.</w:t>
      </w:r>
    </w:p>
    <w:p w:rsidR="00764F99" w:rsidRPr="00D85312" w:rsidRDefault="00764F99" w:rsidP="00764F99">
      <w:pPr>
        <w:spacing w:after="0" w:line="240" w:lineRule="auto"/>
        <w:ind w:left="567" w:right="-93"/>
        <w:jc w:val="center"/>
        <w:rPr>
          <w:rFonts w:ascii="Bookman Old Style" w:eastAsia="MS Mincho" w:hAnsi="Bookman Old Style" w:cs="Arial"/>
          <w:b/>
          <w:sz w:val="24"/>
          <w:szCs w:val="24"/>
          <w:lang w:val="es-ES" w:eastAsia="es-ES"/>
        </w:rPr>
      </w:pPr>
    </w:p>
    <w:p w:rsidR="00764F99" w:rsidRPr="00D85312" w:rsidRDefault="00764F99" w:rsidP="00764F99">
      <w:pPr>
        <w:spacing w:after="0" w:line="240" w:lineRule="auto"/>
        <w:contextualSpacing/>
        <w:jc w:val="center"/>
        <w:rPr>
          <w:rFonts w:ascii="Bookman Old Style" w:eastAsia="Times New Roman" w:hAnsi="Bookman Old Style" w:cs="Times New Roman"/>
          <w:b/>
          <w:sz w:val="24"/>
          <w:szCs w:val="24"/>
          <w:lang w:val="es-ES" w:eastAsia="es-ES"/>
        </w:rPr>
      </w:pPr>
      <w:r w:rsidRPr="00D85312">
        <w:rPr>
          <w:rFonts w:ascii="Bookman Old Style" w:eastAsia="Times New Roman" w:hAnsi="Bookman Old Style" w:cs="Times New Roman"/>
          <w:b/>
          <w:sz w:val="24"/>
          <w:szCs w:val="24"/>
          <w:lang w:val="es-ES" w:eastAsia="es-ES"/>
        </w:rPr>
        <w:t>NOTIFÍQUESE Y CÚMPLASE</w:t>
      </w:r>
    </w:p>
    <w:p w:rsidR="00764F99" w:rsidRPr="00B25CAB" w:rsidRDefault="00764F99" w:rsidP="00764F99">
      <w:pPr>
        <w:spacing w:after="0" w:line="240" w:lineRule="auto"/>
        <w:contextualSpacing/>
        <w:rPr>
          <w:rFonts w:ascii="Bookman Old Style" w:eastAsia="Times New Roman" w:hAnsi="Bookman Old Style" w:cs="Times New Roman"/>
          <w:sz w:val="18"/>
          <w:szCs w:val="24"/>
          <w:lang w:val="es-ES" w:eastAsia="es-ES"/>
        </w:rPr>
      </w:pPr>
    </w:p>
    <w:p w:rsidR="00764F99" w:rsidRPr="00D85312" w:rsidRDefault="00764F99" w:rsidP="00764F99">
      <w:pPr>
        <w:spacing w:after="0" w:line="240" w:lineRule="auto"/>
        <w:contextualSpacing/>
        <w:rPr>
          <w:rFonts w:ascii="Bookman Old Style" w:eastAsia="Times New Roman" w:hAnsi="Bookman Old Style" w:cs="Times New Roman"/>
          <w:sz w:val="24"/>
          <w:szCs w:val="24"/>
          <w:lang w:val="es-ES" w:eastAsia="es-ES"/>
        </w:rPr>
      </w:pPr>
      <w:r w:rsidRPr="00D85312">
        <w:rPr>
          <w:rFonts w:ascii="Bookman Old Style" w:eastAsia="Times New Roman" w:hAnsi="Bookman Old Style" w:cs="Times New Roman"/>
          <w:sz w:val="24"/>
          <w:szCs w:val="24"/>
          <w:lang w:val="es-ES" w:eastAsia="es-ES"/>
        </w:rPr>
        <w:t>Dada en Bogotá, D.C. a,</w:t>
      </w:r>
    </w:p>
    <w:p w:rsidR="00764F99" w:rsidRPr="00D85312" w:rsidRDefault="00764F99" w:rsidP="00764F99">
      <w:pPr>
        <w:spacing w:after="0" w:line="240" w:lineRule="auto"/>
        <w:contextualSpacing/>
        <w:rPr>
          <w:rFonts w:ascii="Bookman Old Style" w:eastAsia="Times New Roman" w:hAnsi="Bookman Old Style" w:cs="Times New Roman"/>
          <w:sz w:val="20"/>
          <w:szCs w:val="24"/>
          <w:lang w:val="es-ES" w:eastAsia="es-ES"/>
        </w:rPr>
      </w:pPr>
    </w:p>
    <w:p w:rsidR="00764F99" w:rsidRPr="00B25CAB" w:rsidRDefault="00764F99" w:rsidP="00764F99">
      <w:pPr>
        <w:spacing w:after="0" w:line="240" w:lineRule="auto"/>
        <w:contextualSpacing/>
        <w:rPr>
          <w:rFonts w:ascii="Bookman Old Style" w:eastAsia="Times New Roman" w:hAnsi="Bookman Old Style" w:cs="Times New Roman"/>
          <w:sz w:val="32"/>
          <w:szCs w:val="24"/>
          <w:lang w:val="es-ES" w:eastAsia="es-ES"/>
        </w:rPr>
      </w:pPr>
    </w:p>
    <w:p w:rsidR="00764F99" w:rsidRPr="00D85312" w:rsidRDefault="00764F99" w:rsidP="00764F99">
      <w:pPr>
        <w:spacing w:after="0" w:line="240" w:lineRule="auto"/>
        <w:contextualSpacing/>
        <w:rPr>
          <w:rFonts w:ascii="Bookman Old Style" w:eastAsia="Times New Roman" w:hAnsi="Bookman Old Style" w:cs="Times New Roman"/>
          <w:sz w:val="24"/>
          <w:szCs w:val="24"/>
          <w:lang w:val="es-ES" w:eastAsia="es-ES"/>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764F99" w:rsidRPr="00D85312" w:rsidTr="00764F99">
        <w:tc>
          <w:tcPr>
            <w:tcW w:w="4964" w:type="dxa"/>
            <w:hideMark/>
          </w:tcPr>
          <w:p w:rsidR="00764F99" w:rsidRPr="00D85312" w:rsidRDefault="00A01067" w:rsidP="00764F99">
            <w:pPr>
              <w:snapToGrid w:val="0"/>
              <w:spacing w:after="0" w:line="240" w:lineRule="auto"/>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DIEGO MESA PUYO</w:t>
            </w:r>
          </w:p>
        </w:tc>
        <w:tc>
          <w:tcPr>
            <w:tcW w:w="4534" w:type="dxa"/>
            <w:hideMark/>
          </w:tcPr>
          <w:p w:rsidR="00764F99" w:rsidRPr="00D85312" w:rsidRDefault="00764F99" w:rsidP="00764F99">
            <w:pPr>
              <w:snapToGrid w:val="0"/>
              <w:spacing w:after="0" w:line="240" w:lineRule="auto"/>
              <w:ind w:left="141"/>
              <w:jc w:val="center"/>
              <w:rPr>
                <w:rFonts w:ascii="Bookman Old Style" w:eastAsia="Times New Roman" w:hAnsi="Bookman Old Style" w:cs="Arial"/>
                <w:b/>
                <w:bCs/>
                <w:sz w:val="24"/>
                <w:szCs w:val="24"/>
                <w:lang w:val="es-ES" w:eastAsia="es-ES"/>
              </w:rPr>
            </w:pPr>
            <w:r w:rsidRPr="00D85312">
              <w:rPr>
                <w:rFonts w:ascii="Bookman Old Style" w:eastAsia="Times New Roman" w:hAnsi="Bookman Old Style" w:cs="Arial"/>
                <w:b/>
                <w:bCs/>
                <w:sz w:val="24"/>
                <w:szCs w:val="24"/>
                <w:lang w:val="es-ES" w:eastAsia="es-ES"/>
              </w:rPr>
              <w:t>CHRISTIAN JARAMILLO HERRERA</w:t>
            </w:r>
          </w:p>
        </w:tc>
      </w:tr>
      <w:tr w:rsidR="00764F99" w:rsidRPr="00D85312" w:rsidTr="00764F99">
        <w:tc>
          <w:tcPr>
            <w:tcW w:w="4964" w:type="dxa"/>
            <w:hideMark/>
          </w:tcPr>
          <w:p w:rsidR="00764F99" w:rsidRDefault="00A01067" w:rsidP="00764F99">
            <w:pPr>
              <w:snapToGrid w:val="0"/>
              <w:spacing w:after="0" w:line="240" w:lineRule="auto"/>
              <w:jc w:val="center"/>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Viceministro de</w:t>
            </w:r>
            <w:r w:rsidRPr="00082D81">
              <w:rPr>
                <w:rFonts w:ascii="Bookman Old Style" w:eastAsia="Times New Roman" w:hAnsi="Bookman Old Style" w:cs="Arial"/>
                <w:sz w:val="24"/>
                <w:szCs w:val="24"/>
                <w:lang w:val="es-ES" w:eastAsia="es-ES"/>
              </w:rPr>
              <w:t xml:space="preserve"> Energía</w:t>
            </w:r>
          </w:p>
          <w:p w:rsidR="00B25CAB" w:rsidRPr="00B25CAB" w:rsidRDefault="00B25CAB" w:rsidP="00764F99">
            <w:pPr>
              <w:snapToGrid w:val="0"/>
              <w:spacing w:after="0" w:line="240" w:lineRule="auto"/>
              <w:jc w:val="center"/>
              <w:rPr>
                <w:rFonts w:ascii="Bookman Old Style" w:eastAsia="Times New Roman" w:hAnsi="Bookman Old Style" w:cs="Arial"/>
                <w:sz w:val="24"/>
                <w:szCs w:val="24"/>
                <w:lang w:val="es-ES" w:eastAsia="es-ES"/>
              </w:rPr>
            </w:pPr>
            <w:r w:rsidRPr="00B25CAB">
              <w:rPr>
                <w:rFonts w:ascii="Bookman Old Style" w:hAnsi="Bookman Old Style" w:cs="Arial"/>
                <w:spacing w:val="-3"/>
                <w:sz w:val="24"/>
                <w:szCs w:val="24"/>
              </w:rPr>
              <w:t>Delegado de la Ministra de Minas y Energía</w:t>
            </w:r>
          </w:p>
          <w:p w:rsidR="00764F99" w:rsidRPr="00D85312" w:rsidRDefault="00764F99" w:rsidP="00764F99">
            <w:pPr>
              <w:snapToGrid w:val="0"/>
              <w:spacing w:after="0" w:line="240" w:lineRule="auto"/>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Presidente</w:t>
            </w:r>
          </w:p>
        </w:tc>
        <w:tc>
          <w:tcPr>
            <w:tcW w:w="4534" w:type="dxa"/>
            <w:hideMark/>
          </w:tcPr>
          <w:p w:rsidR="00764F99" w:rsidRPr="00D85312" w:rsidRDefault="00764F99" w:rsidP="00764F99">
            <w:pPr>
              <w:snapToGrid w:val="0"/>
              <w:spacing w:after="0" w:line="240" w:lineRule="auto"/>
              <w:ind w:left="567"/>
              <w:jc w:val="center"/>
              <w:rPr>
                <w:rFonts w:ascii="Bookman Old Style" w:eastAsia="Times New Roman" w:hAnsi="Bookman Old Style" w:cs="Arial"/>
                <w:sz w:val="24"/>
                <w:szCs w:val="24"/>
                <w:lang w:val="es-ES" w:eastAsia="es-ES"/>
              </w:rPr>
            </w:pPr>
            <w:r w:rsidRPr="00D85312">
              <w:rPr>
                <w:rFonts w:ascii="Bookman Old Style" w:eastAsia="Times New Roman" w:hAnsi="Bookman Old Style" w:cs="Arial"/>
                <w:sz w:val="24"/>
                <w:szCs w:val="24"/>
                <w:lang w:val="es-ES" w:eastAsia="es-ES"/>
              </w:rPr>
              <w:t>Director Ejecutivo</w:t>
            </w:r>
          </w:p>
        </w:tc>
      </w:tr>
    </w:tbl>
    <w:p w:rsidR="00764F99" w:rsidRDefault="00764F99" w:rsidP="00B25CAB">
      <w:pPr>
        <w:spacing w:after="0" w:line="240" w:lineRule="auto"/>
        <w:ind w:right="-142"/>
        <w:jc w:val="both"/>
        <w:rPr>
          <w:rFonts w:ascii="Bookman Old Style" w:eastAsia="Times New Roman" w:hAnsi="Bookman Old Style" w:cs="Times New Roman"/>
          <w:sz w:val="24"/>
          <w:szCs w:val="24"/>
          <w:lang w:val="es-ES" w:eastAsia="es-ES"/>
        </w:rPr>
      </w:pPr>
    </w:p>
    <w:sectPr w:rsidR="00764F99"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571" w:rsidRDefault="000D6571" w:rsidP="005C1BCA">
      <w:pPr>
        <w:spacing w:after="0" w:line="240" w:lineRule="auto"/>
      </w:pPr>
      <w:r>
        <w:separator/>
      </w:r>
    </w:p>
  </w:endnote>
  <w:endnote w:type="continuationSeparator" w:id="0">
    <w:p w:rsidR="000D6571" w:rsidRDefault="000D6571"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571" w:rsidRDefault="000D6571" w:rsidP="005C1BCA">
      <w:pPr>
        <w:spacing w:after="0" w:line="240" w:lineRule="auto"/>
      </w:pPr>
      <w:r>
        <w:separator/>
      </w:r>
    </w:p>
  </w:footnote>
  <w:footnote w:type="continuationSeparator" w:id="0">
    <w:p w:rsidR="000D6571" w:rsidRDefault="000D6571" w:rsidP="005C1BCA">
      <w:pPr>
        <w:spacing w:after="0" w:line="240" w:lineRule="auto"/>
      </w:pPr>
      <w:r>
        <w:continuationSeparator/>
      </w:r>
    </w:p>
  </w:footnote>
  <w:footnote w:id="1">
    <w:p w:rsidR="00440169" w:rsidRPr="005C1BCA" w:rsidRDefault="00440169"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440169" w:rsidRPr="00FD101E" w:rsidRDefault="00440169"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440169" w:rsidRPr="00FD101E" w:rsidRDefault="00440169"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440169" w:rsidRPr="00FD101E" w:rsidRDefault="0044016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440169" w:rsidRPr="00FD101E" w:rsidRDefault="0044016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440169" w:rsidRPr="00FD101E" w:rsidRDefault="0044016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440169" w:rsidRPr="00FD101E" w:rsidRDefault="00440169"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440169" w:rsidRPr="00575874" w:rsidRDefault="00440169" w:rsidP="00DE5054">
      <w:pPr>
        <w:pStyle w:val="Textonotapie"/>
      </w:pPr>
    </w:p>
  </w:footnote>
  <w:footnote w:id="3">
    <w:p w:rsidR="00440169" w:rsidRPr="005B07AE" w:rsidRDefault="00440169"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440169" w:rsidRPr="00D428CA" w:rsidRDefault="00440169" w:rsidP="00D428CA">
      <w:pPr>
        <w:pStyle w:val="Textonotapie"/>
        <w:ind w:left="0"/>
        <w:jc w:val="both"/>
        <w:rPr>
          <w:rFonts w:ascii="Bookman Old Style" w:hAnsi="Bookman Old Style" w:cs="Arial"/>
          <w:sz w:val="16"/>
          <w:szCs w:val="16"/>
        </w:rPr>
      </w:pPr>
      <w:r w:rsidRPr="00D428CA">
        <w:rPr>
          <w:rFonts w:ascii="Bookman Old Style" w:hAnsi="Bookman Old Style" w:cs="Arial"/>
          <w:sz w:val="16"/>
          <w:szCs w:val="16"/>
        </w:rPr>
        <w:footnoteRef/>
      </w:r>
      <w:r w:rsidRPr="00D428CA">
        <w:rPr>
          <w:rFonts w:ascii="Bookman Old Style" w:hAnsi="Bookman Old Style" w:cs="Arial"/>
          <w:sz w:val="16"/>
          <w:szCs w:val="16"/>
        </w:rPr>
        <w:t xml:space="preserve"> </w:t>
      </w:r>
      <w:r>
        <w:rPr>
          <w:rFonts w:ascii="Bookman Old Style" w:hAnsi="Bookman Old Style" w:cs="Arial"/>
          <w:sz w:val="16"/>
          <w:szCs w:val="16"/>
        </w:rPr>
        <w:t>“</w:t>
      </w:r>
      <w:r w:rsidRPr="00D428CA">
        <w:rPr>
          <w:rFonts w:ascii="Bookman Old Style" w:hAnsi="Bookman Old Style" w:cs="Arial"/>
          <w:sz w:val="16"/>
          <w:szCs w:val="16"/>
        </w:rPr>
        <w:t>Artículo 72. Falta o irregularidad de las notificaciones y notificación por conducta concluyente. Sin el lleno de los anteriores requisitos no se tendrá por hecha la notificación, ni producirá efectos legales la decisión, a menos que la parte interesada revele que conoce el acto, consienta la decisión o interponga los recursos legales.</w:t>
      </w:r>
      <w:r>
        <w:rPr>
          <w:rFonts w:ascii="Bookman Old Style" w:hAnsi="Bookman Old Style" w:cs="Arial"/>
          <w:sz w:val="16"/>
          <w:szCs w:val="16"/>
        </w:rPr>
        <w:t>”</w:t>
      </w:r>
    </w:p>
  </w:footnote>
  <w:footnote w:id="5">
    <w:p w:rsidR="00440169" w:rsidRPr="00FA7CDB" w:rsidRDefault="00440169"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440169" w:rsidRPr="00FA7CDB" w:rsidRDefault="00440169"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440169" w:rsidRPr="00FA7CDB" w:rsidRDefault="00440169"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440169" w:rsidRPr="00FA7CDB" w:rsidRDefault="00440169"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440169" w:rsidRDefault="00440169"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169" w:rsidRDefault="00440169" w:rsidP="001F2B83">
    <w:pPr>
      <w:pStyle w:val="Ttulo1"/>
      <w:ind w:right="6"/>
      <w:jc w:val="left"/>
      <w:rPr>
        <w:rFonts w:ascii="Bookman Old Style" w:hAnsi="Bookman Old Style" w:cs="Arial"/>
        <w:b w:val="0"/>
        <w:sz w:val="22"/>
        <w:szCs w:val="22"/>
      </w:rPr>
    </w:pPr>
  </w:p>
  <w:p w:rsidR="00440169" w:rsidRPr="00951F79" w:rsidRDefault="00440169"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B300C">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B300C" w:rsidRPr="00CB300C">
        <w:rPr>
          <w:rFonts w:ascii="Bookman Old Style" w:hAnsi="Bookman Old Style" w:cs="Arial"/>
          <w:b w:val="0"/>
          <w:noProof/>
          <w:sz w:val="22"/>
          <w:szCs w:val="22"/>
        </w:rPr>
        <w:t>17</w:t>
      </w:r>
    </w:fldSimple>
  </w:p>
  <w:p w:rsidR="00440169" w:rsidRDefault="00440169"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40169" w:rsidRDefault="00440169" w:rsidP="007F66B9">
    <w:pPr>
      <w:pBdr>
        <w:bottom w:val="single" w:sz="4" w:space="1" w:color="auto"/>
      </w:pBdr>
      <w:spacing w:after="0" w:line="240" w:lineRule="auto"/>
      <w:ind w:right="147"/>
      <w:jc w:val="both"/>
      <w:rPr>
        <w:rFonts w:ascii="Bookman Old Style" w:eastAsia="Times New Roman" w:hAnsi="Bookman Old Style" w:cs="Times New Roman"/>
        <w:lang w:val="es-ES" w:eastAsia="es-ES"/>
      </w:rPr>
    </w:pPr>
    <w:r w:rsidRPr="007F3FC2">
      <w:rPr>
        <w:rFonts w:ascii="Bookman Old Style" w:eastAsia="Times New Roman" w:hAnsi="Bookman Old Style" w:cs="Times New Roman"/>
        <w:lang w:val="es-ES" w:eastAsia="es-ES"/>
      </w:rPr>
      <w:t xml:space="preserve">Por la cual se resuelve el recurso de reposición interpuesto por </w:t>
    </w:r>
    <w:r w:rsidRPr="00C125D2">
      <w:rPr>
        <w:rFonts w:ascii="Bookman Old Style" w:eastAsia="Times New Roman" w:hAnsi="Bookman Old Style" w:cs="Times New Roman"/>
        <w:lang w:val="es-ES" w:eastAsia="es-ES"/>
      </w:rPr>
      <w:t>Termogas Soluc</w:t>
    </w:r>
    <w:r>
      <w:rPr>
        <w:rFonts w:ascii="Bookman Old Style" w:eastAsia="Times New Roman" w:hAnsi="Bookman Old Style" w:cs="Times New Roman"/>
        <w:lang w:val="es-ES" w:eastAsia="es-ES"/>
      </w:rPr>
      <w:t xml:space="preserve">iones Energéticas S.A.S. </w:t>
    </w:r>
    <w:r w:rsidRPr="007F3FC2">
      <w:rPr>
        <w:rFonts w:ascii="Bookman Old Style" w:eastAsia="Times New Roman" w:hAnsi="Bookman Old Style" w:cs="Times New Roman"/>
        <w:lang w:val="es-ES" w:eastAsia="es-ES"/>
      </w:rPr>
      <w:t>E.S.P. contra la Resolución CREG 048 de 2019</w:t>
    </w:r>
  </w:p>
  <w:p w:rsidR="00440169" w:rsidRPr="007F66B9" w:rsidRDefault="00440169"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169" w:rsidRDefault="00440169"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440169" w:rsidRDefault="00440169">
    <w:pPr>
      <w:pStyle w:val="Encabezado"/>
      <w:jc w:val="center"/>
      <w:rPr>
        <w:rFonts w:ascii="Arial" w:hAnsi="Arial" w:cs="Arial"/>
        <w:spacing w:val="20"/>
        <w:sz w:val="20"/>
      </w:rPr>
    </w:pPr>
  </w:p>
  <w:p w:rsidR="00440169" w:rsidRDefault="00440169"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1"/>
  </w:num>
  <w:num w:numId="3">
    <w:abstractNumId w:val="12"/>
  </w:num>
  <w:num w:numId="4">
    <w:abstractNumId w:val="20"/>
  </w:num>
  <w:num w:numId="5">
    <w:abstractNumId w:val="13"/>
  </w:num>
  <w:num w:numId="6">
    <w:abstractNumId w:val="8"/>
  </w:num>
  <w:num w:numId="7">
    <w:abstractNumId w:val="15"/>
  </w:num>
  <w:num w:numId="8">
    <w:abstractNumId w:val="4"/>
  </w:num>
  <w:num w:numId="9">
    <w:abstractNumId w:val="9"/>
  </w:num>
  <w:num w:numId="10">
    <w:abstractNumId w:val="7"/>
  </w:num>
  <w:num w:numId="11">
    <w:abstractNumId w:val="17"/>
  </w:num>
  <w:num w:numId="12">
    <w:abstractNumId w:val="14"/>
  </w:num>
  <w:num w:numId="13">
    <w:abstractNumId w:val="18"/>
  </w:num>
  <w:num w:numId="14">
    <w:abstractNumId w:val="6"/>
  </w:num>
  <w:num w:numId="15">
    <w:abstractNumId w:val="19"/>
  </w:num>
  <w:num w:numId="16">
    <w:abstractNumId w:val="10"/>
  </w:num>
  <w:num w:numId="17">
    <w:abstractNumId w:val="5"/>
  </w:num>
  <w:num w:numId="18">
    <w:abstractNumId w:val="11"/>
  </w:num>
  <w:num w:numId="19">
    <w:abstractNumId w:val="16"/>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51E42"/>
    <w:rsid w:val="00063FBB"/>
    <w:rsid w:val="000651C3"/>
    <w:rsid w:val="00074962"/>
    <w:rsid w:val="000768E2"/>
    <w:rsid w:val="00086996"/>
    <w:rsid w:val="00096487"/>
    <w:rsid w:val="000A43E8"/>
    <w:rsid w:val="000B2CF1"/>
    <w:rsid w:val="000D4D20"/>
    <w:rsid w:val="000D6571"/>
    <w:rsid w:val="000D77B1"/>
    <w:rsid w:val="000E43B1"/>
    <w:rsid w:val="000E7FC0"/>
    <w:rsid w:val="000F619F"/>
    <w:rsid w:val="001030F9"/>
    <w:rsid w:val="001079AA"/>
    <w:rsid w:val="00110447"/>
    <w:rsid w:val="001164AC"/>
    <w:rsid w:val="00131DB0"/>
    <w:rsid w:val="001544B0"/>
    <w:rsid w:val="00161159"/>
    <w:rsid w:val="00167E49"/>
    <w:rsid w:val="00176DDE"/>
    <w:rsid w:val="001851C6"/>
    <w:rsid w:val="00185CE7"/>
    <w:rsid w:val="00193AF1"/>
    <w:rsid w:val="001976B3"/>
    <w:rsid w:val="001A1203"/>
    <w:rsid w:val="001B0BF6"/>
    <w:rsid w:val="001B4CCB"/>
    <w:rsid w:val="001B534B"/>
    <w:rsid w:val="001B6721"/>
    <w:rsid w:val="001C513B"/>
    <w:rsid w:val="001C606A"/>
    <w:rsid w:val="001D2917"/>
    <w:rsid w:val="001E04A9"/>
    <w:rsid w:val="001E531D"/>
    <w:rsid w:val="001E5EF3"/>
    <w:rsid w:val="001F1817"/>
    <w:rsid w:val="001F2B83"/>
    <w:rsid w:val="00201D11"/>
    <w:rsid w:val="0020666C"/>
    <w:rsid w:val="002071F1"/>
    <w:rsid w:val="002168B9"/>
    <w:rsid w:val="002360EA"/>
    <w:rsid w:val="00246BDD"/>
    <w:rsid w:val="00250C34"/>
    <w:rsid w:val="00252FBF"/>
    <w:rsid w:val="0025381F"/>
    <w:rsid w:val="00253CDE"/>
    <w:rsid w:val="00257891"/>
    <w:rsid w:val="002A3000"/>
    <w:rsid w:val="002A3B53"/>
    <w:rsid w:val="002C2E32"/>
    <w:rsid w:val="002C2F59"/>
    <w:rsid w:val="002C38BA"/>
    <w:rsid w:val="002D0502"/>
    <w:rsid w:val="002E47EE"/>
    <w:rsid w:val="002E48FC"/>
    <w:rsid w:val="002E789E"/>
    <w:rsid w:val="002F68A3"/>
    <w:rsid w:val="002F6C3C"/>
    <w:rsid w:val="0030659A"/>
    <w:rsid w:val="003164D9"/>
    <w:rsid w:val="0032228A"/>
    <w:rsid w:val="00322645"/>
    <w:rsid w:val="003253A2"/>
    <w:rsid w:val="00330B53"/>
    <w:rsid w:val="00331103"/>
    <w:rsid w:val="00331F35"/>
    <w:rsid w:val="0033303E"/>
    <w:rsid w:val="003347B1"/>
    <w:rsid w:val="003360A2"/>
    <w:rsid w:val="0033749B"/>
    <w:rsid w:val="003401B5"/>
    <w:rsid w:val="00351047"/>
    <w:rsid w:val="00351A5E"/>
    <w:rsid w:val="003613EA"/>
    <w:rsid w:val="003655CF"/>
    <w:rsid w:val="00370A60"/>
    <w:rsid w:val="00393342"/>
    <w:rsid w:val="0039378C"/>
    <w:rsid w:val="003B50DF"/>
    <w:rsid w:val="003C1360"/>
    <w:rsid w:val="003D171F"/>
    <w:rsid w:val="003D682B"/>
    <w:rsid w:val="003E5CA1"/>
    <w:rsid w:val="003F59E4"/>
    <w:rsid w:val="00403E9A"/>
    <w:rsid w:val="004075B5"/>
    <w:rsid w:val="004276D1"/>
    <w:rsid w:val="00440169"/>
    <w:rsid w:val="00444733"/>
    <w:rsid w:val="00445CF1"/>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5708"/>
    <w:rsid w:val="004B65F7"/>
    <w:rsid w:val="004C299E"/>
    <w:rsid w:val="004C5347"/>
    <w:rsid w:val="004F21D4"/>
    <w:rsid w:val="004F7C12"/>
    <w:rsid w:val="00505CEA"/>
    <w:rsid w:val="00506375"/>
    <w:rsid w:val="00513B41"/>
    <w:rsid w:val="00516A8F"/>
    <w:rsid w:val="005237A7"/>
    <w:rsid w:val="00537FB1"/>
    <w:rsid w:val="00547070"/>
    <w:rsid w:val="0055674D"/>
    <w:rsid w:val="00560437"/>
    <w:rsid w:val="00560FC4"/>
    <w:rsid w:val="0056639C"/>
    <w:rsid w:val="00572628"/>
    <w:rsid w:val="00575874"/>
    <w:rsid w:val="00590C88"/>
    <w:rsid w:val="0059208B"/>
    <w:rsid w:val="005A0389"/>
    <w:rsid w:val="005C1BCA"/>
    <w:rsid w:val="005C4A71"/>
    <w:rsid w:val="005E6508"/>
    <w:rsid w:val="005F1C68"/>
    <w:rsid w:val="005F3F22"/>
    <w:rsid w:val="0060008A"/>
    <w:rsid w:val="00612755"/>
    <w:rsid w:val="006441EA"/>
    <w:rsid w:val="0065138A"/>
    <w:rsid w:val="0065201F"/>
    <w:rsid w:val="00653D00"/>
    <w:rsid w:val="00656706"/>
    <w:rsid w:val="006673C7"/>
    <w:rsid w:val="00671E24"/>
    <w:rsid w:val="0067294D"/>
    <w:rsid w:val="00677ABF"/>
    <w:rsid w:val="006948D9"/>
    <w:rsid w:val="00696941"/>
    <w:rsid w:val="006A5495"/>
    <w:rsid w:val="006B1B06"/>
    <w:rsid w:val="006B2543"/>
    <w:rsid w:val="006B68C9"/>
    <w:rsid w:val="006D6420"/>
    <w:rsid w:val="006E3CAF"/>
    <w:rsid w:val="006E4CFF"/>
    <w:rsid w:val="006F4984"/>
    <w:rsid w:val="006F6F8A"/>
    <w:rsid w:val="00701265"/>
    <w:rsid w:val="00720524"/>
    <w:rsid w:val="00723A63"/>
    <w:rsid w:val="007254EE"/>
    <w:rsid w:val="00735D6F"/>
    <w:rsid w:val="0073600E"/>
    <w:rsid w:val="00744B35"/>
    <w:rsid w:val="00760851"/>
    <w:rsid w:val="00764F99"/>
    <w:rsid w:val="0078006D"/>
    <w:rsid w:val="00784E27"/>
    <w:rsid w:val="00785E5C"/>
    <w:rsid w:val="007860F7"/>
    <w:rsid w:val="007917F3"/>
    <w:rsid w:val="007B77DB"/>
    <w:rsid w:val="007B79E1"/>
    <w:rsid w:val="007D4A88"/>
    <w:rsid w:val="007F3B34"/>
    <w:rsid w:val="007F3FC2"/>
    <w:rsid w:val="007F45BD"/>
    <w:rsid w:val="007F66B9"/>
    <w:rsid w:val="007F6CF0"/>
    <w:rsid w:val="0080052E"/>
    <w:rsid w:val="00812471"/>
    <w:rsid w:val="008315F2"/>
    <w:rsid w:val="008347D1"/>
    <w:rsid w:val="00844EAB"/>
    <w:rsid w:val="00846CC8"/>
    <w:rsid w:val="00873297"/>
    <w:rsid w:val="0087487D"/>
    <w:rsid w:val="0087723A"/>
    <w:rsid w:val="00892686"/>
    <w:rsid w:val="008932C5"/>
    <w:rsid w:val="0089470C"/>
    <w:rsid w:val="0089512B"/>
    <w:rsid w:val="008A5019"/>
    <w:rsid w:val="008C6C95"/>
    <w:rsid w:val="008C7C6D"/>
    <w:rsid w:val="008E0BB6"/>
    <w:rsid w:val="008E46D8"/>
    <w:rsid w:val="008F0823"/>
    <w:rsid w:val="008F2026"/>
    <w:rsid w:val="008F5C24"/>
    <w:rsid w:val="008F605F"/>
    <w:rsid w:val="00902DFA"/>
    <w:rsid w:val="009055F7"/>
    <w:rsid w:val="00906244"/>
    <w:rsid w:val="00913A5A"/>
    <w:rsid w:val="00916840"/>
    <w:rsid w:val="0092233F"/>
    <w:rsid w:val="00922F32"/>
    <w:rsid w:val="009236BC"/>
    <w:rsid w:val="00933C55"/>
    <w:rsid w:val="0093522B"/>
    <w:rsid w:val="009364D0"/>
    <w:rsid w:val="00943652"/>
    <w:rsid w:val="0095007D"/>
    <w:rsid w:val="009625E3"/>
    <w:rsid w:val="00962A90"/>
    <w:rsid w:val="0097340A"/>
    <w:rsid w:val="009746FD"/>
    <w:rsid w:val="009802B3"/>
    <w:rsid w:val="00981490"/>
    <w:rsid w:val="00986363"/>
    <w:rsid w:val="009877A4"/>
    <w:rsid w:val="009A06E3"/>
    <w:rsid w:val="009A682D"/>
    <w:rsid w:val="009B05E8"/>
    <w:rsid w:val="009C0053"/>
    <w:rsid w:val="009C7403"/>
    <w:rsid w:val="009D53E5"/>
    <w:rsid w:val="009D7D18"/>
    <w:rsid w:val="009E166A"/>
    <w:rsid w:val="009E2BA7"/>
    <w:rsid w:val="00A01067"/>
    <w:rsid w:val="00A10640"/>
    <w:rsid w:val="00A220CA"/>
    <w:rsid w:val="00A33677"/>
    <w:rsid w:val="00A35B73"/>
    <w:rsid w:val="00A35D46"/>
    <w:rsid w:val="00A371B3"/>
    <w:rsid w:val="00A42417"/>
    <w:rsid w:val="00A42DD2"/>
    <w:rsid w:val="00A44FAD"/>
    <w:rsid w:val="00A464A9"/>
    <w:rsid w:val="00A55137"/>
    <w:rsid w:val="00A6381B"/>
    <w:rsid w:val="00A66E25"/>
    <w:rsid w:val="00A705BC"/>
    <w:rsid w:val="00A84D12"/>
    <w:rsid w:val="00A90974"/>
    <w:rsid w:val="00AC44B0"/>
    <w:rsid w:val="00AC7523"/>
    <w:rsid w:val="00AC7D9C"/>
    <w:rsid w:val="00AD168D"/>
    <w:rsid w:val="00AE4E4C"/>
    <w:rsid w:val="00AE5D16"/>
    <w:rsid w:val="00AF279C"/>
    <w:rsid w:val="00B05FD2"/>
    <w:rsid w:val="00B17697"/>
    <w:rsid w:val="00B25CAB"/>
    <w:rsid w:val="00B41354"/>
    <w:rsid w:val="00B467DB"/>
    <w:rsid w:val="00B53FFF"/>
    <w:rsid w:val="00B57AF6"/>
    <w:rsid w:val="00B8540F"/>
    <w:rsid w:val="00B87342"/>
    <w:rsid w:val="00B91B9E"/>
    <w:rsid w:val="00BA57DB"/>
    <w:rsid w:val="00BB66D3"/>
    <w:rsid w:val="00BC35AA"/>
    <w:rsid w:val="00BC74BC"/>
    <w:rsid w:val="00BD7BE2"/>
    <w:rsid w:val="00BE5DEF"/>
    <w:rsid w:val="00C125D2"/>
    <w:rsid w:val="00C139AB"/>
    <w:rsid w:val="00C149F3"/>
    <w:rsid w:val="00C31FCA"/>
    <w:rsid w:val="00C3243A"/>
    <w:rsid w:val="00C345DC"/>
    <w:rsid w:val="00C53D56"/>
    <w:rsid w:val="00C54EB1"/>
    <w:rsid w:val="00C60EB5"/>
    <w:rsid w:val="00C7096A"/>
    <w:rsid w:val="00C8557A"/>
    <w:rsid w:val="00CA077E"/>
    <w:rsid w:val="00CA4C24"/>
    <w:rsid w:val="00CB300C"/>
    <w:rsid w:val="00CC2C25"/>
    <w:rsid w:val="00CC6E45"/>
    <w:rsid w:val="00CD60B6"/>
    <w:rsid w:val="00CD6EF8"/>
    <w:rsid w:val="00CD74B5"/>
    <w:rsid w:val="00CF4873"/>
    <w:rsid w:val="00CF5BA8"/>
    <w:rsid w:val="00D07C49"/>
    <w:rsid w:val="00D21ABE"/>
    <w:rsid w:val="00D316EC"/>
    <w:rsid w:val="00D41337"/>
    <w:rsid w:val="00D428CA"/>
    <w:rsid w:val="00D51504"/>
    <w:rsid w:val="00D54A4F"/>
    <w:rsid w:val="00D56596"/>
    <w:rsid w:val="00D65730"/>
    <w:rsid w:val="00D7068D"/>
    <w:rsid w:val="00D76C12"/>
    <w:rsid w:val="00D93FE3"/>
    <w:rsid w:val="00DA08F9"/>
    <w:rsid w:val="00DB400F"/>
    <w:rsid w:val="00DC340F"/>
    <w:rsid w:val="00DC442C"/>
    <w:rsid w:val="00DC7728"/>
    <w:rsid w:val="00DD3558"/>
    <w:rsid w:val="00DE34B3"/>
    <w:rsid w:val="00DE5054"/>
    <w:rsid w:val="00DE577A"/>
    <w:rsid w:val="00DE5DBA"/>
    <w:rsid w:val="00DE6614"/>
    <w:rsid w:val="00DF37E9"/>
    <w:rsid w:val="00DF599B"/>
    <w:rsid w:val="00E00842"/>
    <w:rsid w:val="00E12213"/>
    <w:rsid w:val="00E132CB"/>
    <w:rsid w:val="00E16F57"/>
    <w:rsid w:val="00E411EE"/>
    <w:rsid w:val="00E51B9C"/>
    <w:rsid w:val="00E91A96"/>
    <w:rsid w:val="00EA23A0"/>
    <w:rsid w:val="00EB023A"/>
    <w:rsid w:val="00EB1577"/>
    <w:rsid w:val="00EB2D23"/>
    <w:rsid w:val="00EB559D"/>
    <w:rsid w:val="00EC705E"/>
    <w:rsid w:val="00EF5680"/>
    <w:rsid w:val="00F02163"/>
    <w:rsid w:val="00F064F7"/>
    <w:rsid w:val="00F1179A"/>
    <w:rsid w:val="00F11960"/>
    <w:rsid w:val="00F30553"/>
    <w:rsid w:val="00F313E0"/>
    <w:rsid w:val="00F33A33"/>
    <w:rsid w:val="00F4478E"/>
    <w:rsid w:val="00F46EA4"/>
    <w:rsid w:val="00F60C4E"/>
    <w:rsid w:val="00F62750"/>
    <w:rsid w:val="00F62FAE"/>
    <w:rsid w:val="00F654EA"/>
    <w:rsid w:val="00F74DD6"/>
    <w:rsid w:val="00F80DAF"/>
    <w:rsid w:val="00F80EBD"/>
    <w:rsid w:val="00F868F0"/>
    <w:rsid w:val="00F90F7B"/>
    <w:rsid w:val="00F913D4"/>
    <w:rsid w:val="00F914EB"/>
    <w:rsid w:val="00F93A45"/>
    <w:rsid w:val="00FA71BF"/>
    <w:rsid w:val="00FB2E5A"/>
    <w:rsid w:val="00FB4BC2"/>
    <w:rsid w:val="00FC0FA7"/>
    <w:rsid w:val="00FC65B9"/>
    <w:rsid w:val="00FD101E"/>
    <w:rsid w:val="00FD292F"/>
    <w:rsid w:val="00FD7FC1"/>
    <w:rsid w:val="00FE517B"/>
    <w:rsid w:val="00FE5E0D"/>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64F99"/>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3192798">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064400">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C6E0-EF75-4C22-BCA9-0DA9F9A1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6345</Words>
  <Characters>34899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2019-04-24T00:02:00Z</cp:lastPrinted>
  <dcterms:created xsi:type="dcterms:W3CDTF">2019-07-08T23:01:00Z</dcterms:created>
  <dcterms:modified xsi:type="dcterms:W3CDTF">2019-07-08T23:01:00Z</dcterms:modified>
</cp:coreProperties>
</file>