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3EEB" w14:textId="77777777" w:rsidR="00625DC6" w:rsidRPr="00E060BE" w:rsidRDefault="00EB0355"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22F2C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8240" fillcolor="#0c9">
            <v:imagedata r:id="rId8" o:title=""/>
          </v:shape>
          <o:OLEObject Type="Embed" ProgID="PBrush" ShapeID="_x0000_s1026" DrawAspect="Content" ObjectID="_1693227000" r:id="rId9"/>
        </w:object>
      </w:r>
    </w:p>
    <w:p w14:paraId="05D4A61F" w14:textId="77777777"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49F599ED"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6E1EE872"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32C844F7"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480A92C5"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58AD5DA4" w14:textId="47574FB9"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FD7264" w:rsidRPr="00FD7264">
        <w:rPr>
          <w:rFonts w:ascii="Bookman Old Style" w:hAnsi="Bookman Old Style"/>
          <w:sz w:val="32"/>
          <w:szCs w:val="32"/>
        </w:rPr>
        <w:t>131</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A72BBD">
        <w:rPr>
          <w:rFonts w:ascii="Bookman Old Style" w:hAnsi="Bookman Old Style"/>
          <w:sz w:val="24"/>
          <w:szCs w:val="24"/>
        </w:rPr>
        <w:t>21</w:t>
      </w:r>
    </w:p>
    <w:p w14:paraId="0DEE40C3"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083726B3" w14:textId="00A3553F" w:rsidR="00CA77FB" w:rsidRPr="00E060BE" w:rsidRDefault="00CA77FB" w:rsidP="00012259">
      <w:pPr>
        <w:pStyle w:val="Ttulo3"/>
        <w:tabs>
          <w:tab w:val="left" w:pos="0"/>
          <w:tab w:val="right" w:pos="9356"/>
        </w:tabs>
        <w:ind w:left="0"/>
        <w:rPr>
          <w:rFonts w:ascii="Bookman Old Style" w:hAnsi="Bookman Old Style"/>
          <w:b w:val="0"/>
          <w:szCs w:val="24"/>
        </w:rPr>
      </w:pPr>
      <w:proofErr w:type="gramStart"/>
      <w:r w:rsidRPr="00E060BE">
        <w:rPr>
          <w:rFonts w:ascii="Bookman Old Style" w:hAnsi="Bookman Old Style"/>
          <w:b w:val="0"/>
          <w:szCs w:val="24"/>
        </w:rPr>
        <w:t xml:space="preserve">(  </w:t>
      </w:r>
      <w:r w:rsidR="00FD7264" w:rsidRPr="00FD7264">
        <w:rPr>
          <w:rFonts w:ascii="Bookman Old Style" w:hAnsi="Bookman Old Style"/>
          <w:bCs/>
          <w:sz w:val="32"/>
          <w:szCs w:val="32"/>
        </w:rPr>
        <w:t>30</w:t>
      </w:r>
      <w:proofErr w:type="gramEnd"/>
      <w:r w:rsidR="00FD7264" w:rsidRPr="00FD7264">
        <w:rPr>
          <w:rFonts w:ascii="Bookman Old Style" w:hAnsi="Bookman Old Style"/>
          <w:bCs/>
          <w:sz w:val="32"/>
          <w:szCs w:val="32"/>
        </w:rPr>
        <w:t xml:space="preserve"> AGO. 2021</w:t>
      </w:r>
      <w:r w:rsidRPr="00E060BE">
        <w:rPr>
          <w:rFonts w:ascii="Bookman Old Style" w:hAnsi="Bookman Old Style"/>
          <w:b w:val="0"/>
          <w:szCs w:val="24"/>
        </w:rPr>
        <w:t xml:space="preserve">    )</w:t>
      </w:r>
    </w:p>
    <w:p w14:paraId="46D45ACC" w14:textId="2B9ED7FA" w:rsidR="00CA77FB" w:rsidRDefault="00CA77FB" w:rsidP="00012259">
      <w:pPr>
        <w:tabs>
          <w:tab w:val="left" w:pos="0"/>
          <w:tab w:val="right" w:pos="9356"/>
        </w:tabs>
        <w:ind w:left="0"/>
        <w:jc w:val="center"/>
        <w:rPr>
          <w:rFonts w:ascii="Bookman Old Style" w:hAnsi="Bookman Old Style"/>
          <w:lang w:val="es-ES_tradnl"/>
        </w:rPr>
      </w:pPr>
    </w:p>
    <w:p w14:paraId="07D04D2B" w14:textId="77777777" w:rsidR="00FD7264" w:rsidRPr="00E060BE" w:rsidRDefault="00FD7264" w:rsidP="00012259">
      <w:pPr>
        <w:tabs>
          <w:tab w:val="left" w:pos="0"/>
          <w:tab w:val="right" w:pos="9356"/>
        </w:tabs>
        <w:ind w:left="0"/>
        <w:jc w:val="center"/>
        <w:rPr>
          <w:rFonts w:ascii="Bookman Old Style" w:hAnsi="Bookman Old Style"/>
          <w:lang w:val="es-ES_tradnl"/>
        </w:rPr>
      </w:pPr>
    </w:p>
    <w:p w14:paraId="5BAC1FAC" w14:textId="115B907B" w:rsidR="00A72BBD" w:rsidRPr="00A72BBD" w:rsidRDefault="00A72BBD" w:rsidP="00A72BBD">
      <w:pPr>
        <w:ind w:left="0"/>
        <w:jc w:val="center"/>
        <w:rPr>
          <w:rFonts w:ascii="Bookman Old Style" w:hAnsi="Bookman Old Style"/>
        </w:rPr>
      </w:pPr>
      <w:r w:rsidRPr="00A72BBD">
        <w:rPr>
          <w:rFonts w:ascii="Bookman Old Style" w:hAnsi="Bookman Old Style"/>
          <w:color w:val="000000"/>
        </w:rPr>
        <w:t>Por la cual se ordena hacer público un proyecto de resolución de carácter general</w:t>
      </w:r>
      <w:r w:rsidRPr="00A72BBD">
        <w:rPr>
          <w:rFonts w:ascii="Bookman Old Style" w:hAnsi="Bookman Old Style"/>
          <w:i/>
          <w:iCs/>
          <w:color w:val="000000"/>
        </w:rPr>
        <w:t xml:space="preserve"> </w:t>
      </w:r>
      <w:r w:rsidRPr="00A72BBD">
        <w:rPr>
          <w:rFonts w:ascii="Bookman Old Style" w:hAnsi="Bookman Old Style"/>
        </w:rPr>
        <w:t>“</w:t>
      </w:r>
      <w:bookmarkStart w:id="0" w:name="_Hlk58498754"/>
      <w:r w:rsidRPr="00A72BBD">
        <w:rPr>
          <w:rFonts w:ascii="Bookman Old Style" w:hAnsi="Bookman Old Style"/>
        </w:rPr>
        <w:t xml:space="preserve">Por la cual se </w:t>
      </w:r>
      <w:bookmarkEnd w:id="0"/>
      <w:r w:rsidR="00284346">
        <w:rPr>
          <w:rFonts w:ascii="Bookman Old Style" w:hAnsi="Bookman Old Style"/>
        </w:rPr>
        <w:t>establecen las condiciones para la medición diferencia</w:t>
      </w:r>
      <w:r w:rsidR="008F1B4C">
        <w:rPr>
          <w:rFonts w:ascii="Bookman Old Style" w:hAnsi="Bookman Old Style"/>
        </w:rPr>
        <w:t>da</w:t>
      </w:r>
      <w:r w:rsidR="00284346">
        <w:rPr>
          <w:rFonts w:ascii="Bookman Old Style" w:hAnsi="Bookman Old Style"/>
        </w:rPr>
        <w:t xml:space="preserve"> de consumos de energía en </w:t>
      </w:r>
      <w:r w:rsidRPr="008F1B4C">
        <w:rPr>
          <w:rFonts w:ascii="Bookman Old Style" w:hAnsi="Bookman Old Style"/>
        </w:rPr>
        <w:t>cumplimiento</w:t>
      </w:r>
      <w:r w:rsidR="008F1B4C" w:rsidRPr="009A4A75">
        <w:rPr>
          <w:rFonts w:ascii="Bookman Old Style" w:hAnsi="Bookman Old Style"/>
        </w:rPr>
        <w:t xml:space="preserve"> de</w:t>
      </w:r>
      <w:r w:rsidRPr="008F1B4C">
        <w:rPr>
          <w:rFonts w:ascii="Bookman Old Style" w:hAnsi="Bookman Old Style"/>
        </w:rPr>
        <w:t>l inciso 3º del artículo 49 de la Ley 2099 de 2021</w:t>
      </w:r>
      <w:r w:rsidRPr="00A72BBD">
        <w:rPr>
          <w:rFonts w:ascii="Bookman Old Style" w:hAnsi="Bookman Old Style"/>
        </w:rPr>
        <w:t>”</w:t>
      </w:r>
    </w:p>
    <w:p w14:paraId="7547E1F9" w14:textId="77777777" w:rsidR="00A72BBD" w:rsidRPr="00A72BBD" w:rsidRDefault="00A72BBD" w:rsidP="00A72BBD">
      <w:pPr>
        <w:ind w:left="0"/>
        <w:jc w:val="both"/>
        <w:rPr>
          <w:rFonts w:ascii="Bookman Old Style" w:hAnsi="Bookman Old Style"/>
          <w:highlight w:val="green"/>
        </w:rPr>
      </w:pPr>
    </w:p>
    <w:p w14:paraId="61B4FB26" w14:textId="77777777" w:rsidR="00A72BBD" w:rsidRPr="00A72BBD" w:rsidRDefault="00A72BBD" w:rsidP="00A72BBD">
      <w:pPr>
        <w:ind w:left="0"/>
        <w:jc w:val="center"/>
        <w:rPr>
          <w:rFonts w:ascii="Bookman Old Style" w:hAnsi="Bookman Old Style"/>
        </w:rPr>
      </w:pPr>
    </w:p>
    <w:p w14:paraId="7713DE02" w14:textId="77777777" w:rsidR="00A72BBD" w:rsidRPr="00A72BBD" w:rsidRDefault="00A72BBD" w:rsidP="00A72BBD">
      <w:pPr>
        <w:ind w:left="0"/>
        <w:jc w:val="center"/>
        <w:rPr>
          <w:rFonts w:ascii="Bookman Old Style" w:hAnsi="Bookman Old Style"/>
          <w:b/>
        </w:rPr>
      </w:pPr>
      <w:r w:rsidRPr="00A72BBD">
        <w:rPr>
          <w:rFonts w:ascii="Bookman Old Style" w:hAnsi="Bookman Old Style"/>
          <w:b/>
        </w:rPr>
        <w:t>LA COMISIÓN DE REGULACIÓN DE ENERGÍA Y GAS</w:t>
      </w:r>
    </w:p>
    <w:p w14:paraId="5038E092" w14:textId="77777777" w:rsidR="00A72BBD" w:rsidRPr="00A72BBD" w:rsidRDefault="00A72BBD" w:rsidP="00A72BBD">
      <w:pPr>
        <w:ind w:left="0"/>
        <w:jc w:val="both"/>
        <w:rPr>
          <w:rFonts w:ascii="Bookman Old Style" w:hAnsi="Bookman Old Style"/>
          <w:b/>
        </w:rPr>
      </w:pPr>
    </w:p>
    <w:p w14:paraId="310C25F8" w14:textId="77777777" w:rsidR="00A72BBD" w:rsidRPr="00A72BBD" w:rsidRDefault="00A72BBD" w:rsidP="00A72BBD">
      <w:pPr>
        <w:spacing w:before="240" w:after="240"/>
        <w:ind w:left="0"/>
        <w:jc w:val="center"/>
        <w:rPr>
          <w:rFonts w:ascii="Bookman Old Style" w:hAnsi="Bookman Old Style"/>
        </w:rPr>
      </w:pPr>
      <w:r w:rsidRPr="00A72BBD">
        <w:rPr>
          <w:rFonts w:ascii="Bookman Old Style" w:hAnsi="Bookman Old Style"/>
        </w:rPr>
        <w:t>En ejercicio de sus atribuciones constitucionales y legales, en especial las conferidas por las Leyes 142 y 143 de 1994, y en desarrollo de los Decretos 1524, 2253 de 1994 y</w:t>
      </w:r>
      <w:r w:rsidRPr="00A72BBD">
        <w:rPr>
          <w:rFonts w:ascii="Bookman Old Style" w:hAnsi="Bookman Old Style"/>
          <w:caps/>
        </w:rPr>
        <w:t xml:space="preserve"> 1260 </w:t>
      </w:r>
      <w:r w:rsidRPr="00A72BBD">
        <w:rPr>
          <w:rFonts w:ascii="Bookman Old Style" w:hAnsi="Bookman Old Style"/>
        </w:rPr>
        <w:t>de</w:t>
      </w:r>
      <w:r w:rsidRPr="00A72BBD">
        <w:rPr>
          <w:rFonts w:ascii="Bookman Old Style" w:hAnsi="Bookman Old Style"/>
          <w:caps/>
        </w:rPr>
        <w:t xml:space="preserve"> 2013, </w:t>
      </w:r>
      <w:r w:rsidRPr="00A72BBD">
        <w:rPr>
          <w:rFonts w:ascii="Bookman Old Style" w:hAnsi="Bookman Old Style"/>
        </w:rPr>
        <w:t>y en cumplimiento</w:t>
      </w:r>
      <w:r w:rsidRPr="00A72BBD">
        <w:t xml:space="preserve"> </w:t>
      </w:r>
      <w:r>
        <w:t xml:space="preserve">del </w:t>
      </w:r>
      <w:r w:rsidRPr="00A72BBD">
        <w:rPr>
          <w:rFonts w:ascii="Bookman Old Style" w:hAnsi="Bookman Old Style"/>
        </w:rPr>
        <w:t>inciso 3º del artículo 49 de la Ley 2099 de 2021</w:t>
      </w:r>
    </w:p>
    <w:p w14:paraId="3A196845" w14:textId="77777777" w:rsidR="00A72BBD" w:rsidRPr="00A72BBD" w:rsidRDefault="00A72BBD" w:rsidP="00A72BBD">
      <w:pPr>
        <w:ind w:left="0"/>
        <w:jc w:val="both"/>
        <w:rPr>
          <w:rFonts w:ascii="Bookman Old Style" w:hAnsi="Bookman Old Style" w:cs="Arial"/>
          <w:b/>
        </w:rPr>
      </w:pPr>
    </w:p>
    <w:p w14:paraId="7BC1FC59" w14:textId="77777777" w:rsidR="00A72BBD" w:rsidRPr="00A72BBD" w:rsidRDefault="00A72BBD" w:rsidP="00A72BBD">
      <w:pPr>
        <w:ind w:left="0"/>
        <w:jc w:val="center"/>
        <w:rPr>
          <w:rFonts w:ascii="Bookman Old Style" w:hAnsi="Bookman Old Style" w:cs="Arial"/>
          <w:b/>
        </w:rPr>
      </w:pPr>
      <w:r w:rsidRPr="00A72BBD">
        <w:rPr>
          <w:rFonts w:ascii="Bookman Old Style" w:hAnsi="Bookman Old Style" w:cs="Arial"/>
          <w:b/>
        </w:rPr>
        <w:t>CONSIDERANDO QUE:</w:t>
      </w:r>
    </w:p>
    <w:p w14:paraId="5BFAE801" w14:textId="77777777" w:rsidR="00A72BBD" w:rsidRPr="00A72BBD" w:rsidRDefault="00A72BBD" w:rsidP="00A72BBD">
      <w:pPr>
        <w:ind w:left="0"/>
        <w:jc w:val="center"/>
        <w:rPr>
          <w:rFonts w:ascii="Bookman Old Style" w:hAnsi="Bookman Old Style" w:cs="Arial"/>
          <w:b/>
        </w:rPr>
      </w:pPr>
    </w:p>
    <w:p w14:paraId="43A34A00" w14:textId="77777777" w:rsidR="00A72BBD" w:rsidRPr="00A72BBD" w:rsidRDefault="00A72BBD" w:rsidP="00306C46">
      <w:pPr>
        <w:spacing w:before="240" w:after="240"/>
        <w:ind w:left="0"/>
        <w:jc w:val="both"/>
        <w:rPr>
          <w:rFonts w:ascii="Bookman Old Style" w:hAnsi="Bookman Old Style"/>
          <w:spacing w:val="-3"/>
        </w:rPr>
      </w:pPr>
      <w:r w:rsidRPr="00A72BBD">
        <w:rPr>
          <w:rFonts w:ascii="Bookman Old Style" w:hAnsi="Bookman Old Style"/>
          <w:spacing w:val="-3"/>
        </w:rPr>
        <w:t xml:space="preserve">Conforme a lo dispuesto por el artículo 8 del Código de Procedimiento Administrativo y de lo Contencioso Administrativo, y </w:t>
      </w:r>
      <w:r w:rsidRPr="00A72BBD">
        <w:rPr>
          <w:rFonts w:ascii="Bookman Old Style" w:hAnsi="Bookman Old Style" w:cs="Arial"/>
        </w:rPr>
        <w:t>el artículo 32 de la Resolución CREG 039 de 2017</w:t>
      </w:r>
      <w:r w:rsidRPr="00A72BBD">
        <w:rPr>
          <w:rFonts w:ascii="Bookman Old Style" w:hAnsi="Bookman Old Style"/>
          <w:spacing w:val="-3"/>
        </w:rPr>
        <w:t>, la Comisión debe hacer público en su página web todos los proyectos de resolución de carácter general que pretenda adoptar.</w:t>
      </w:r>
    </w:p>
    <w:p w14:paraId="36BC8F14" w14:textId="65A8A5E7" w:rsidR="00A72BBD" w:rsidRPr="00A72BBD" w:rsidRDefault="00A72BBD" w:rsidP="00306C46">
      <w:pPr>
        <w:spacing w:before="240" w:after="240"/>
        <w:ind w:left="0"/>
        <w:jc w:val="both"/>
        <w:rPr>
          <w:rFonts w:ascii="Bookman Old Style" w:hAnsi="Bookman Old Style"/>
        </w:rPr>
      </w:pPr>
      <w:r w:rsidRPr="00A72BBD">
        <w:rPr>
          <w:rFonts w:ascii="Bookman Old Style" w:hAnsi="Bookman Old Style"/>
          <w:spacing w:val="-3"/>
        </w:rPr>
        <w:t xml:space="preserve">La Comisión de Regulación de Energía y Gas, en su sesión </w:t>
      </w:r>
      <w:r w:rsidR="00885BC2">
        <w:rPr>
          <w:rFonts w:ascii="Bookman Old Style" w:hAnsi="Bookman Old Style"/>
          <w:spacing w:val="-3"/>
        </w:rPr>
        <w:t>1119</w:t>
      </w:r>
      <w:r w:rsidRPr="00A72BBD">
        <w:rPr>
          <w:rFonts w:ascii="Bookman Old Style" w:hAnsi="Bookman Old Style"/>
          <w:spacing w:val="-3"/>
        </w:rPr>
        <w:t xml:space="preserve"> del </w:t>
      </w:r>
      <w:r w:rsidR="00496F41">
        <w:rPr>
          <w:rFonts w:ascii="Bookman Old Style" w:hAnsi="Bookman Old Style"/>
          <w:spacing w:val="-3"/>
        </w:rPr>
        <w:t>30</w:t>
      </w:r>
      <w:r w:rsidRPr="00A72BBD">
        <w:rPr>
          <w:rFonts w:ascii="Bookman Old Style" w:hAnsi="Bookman Old Style"/>
          <w:spacing w:val="-3"/>
        </w:rPr>
        <w:t xml:space="preserve"> de </w:t>
      </w:r>
      <w:r>
        <w:rPr>
          <w:rFonts w:ascii="Bookman Old Style" w:hAnsi="Bookman Old Style"/>
          <w:spacing w:val="-3"/>
        </w:rPr>
        <w:t>agosto</w:t>
      </w:r>
      <w:r w:rsidRPr="00A72BBD">
        <w:rPr>
          <w:rFonts w:ascii="Bookman Old Style" w:hAnsi="Bookman Old Style"/>
          <w:spacing w:val="-3"/>
        </w:rPr>
        <w:t xml:space="preserve"> de 202</w:t>
      </w:r>
      <w:r>
        <w:rPr>
          <w:rFonts w:ascii="Bookman Old Style" w:hAnsi="Bookman Old Style"/>
          <w:spacing w:val="-3"/>
        </w:rPr>
        <w:t>1</w:t>
      </w:r>
      <w:r w:rsidRPr="00A72BBD">
        <w:rPr>
          <w:rFonts w:ascii="Bookman Old Style" w:hAnsi="Bookman Old Style"/>
          <w:spacing w:val="-3"/>
        </w:rPr>
        <w:t xml:space="preserve">, acordó hacer público el proyecto de resolución </w:t>
      </w:r>
      <w:r w:rsidRPr="00A72BBD">
        <w:rPr>
          <w:rFonts w:ascii="Bookman Old Style" w:hAnsi="Bookman Old Style"/>
        </w:rPr>
        <w:t xml:space="preserve">“Por la cual se </w:t>
      </w:r>
      <w:bookmarkStart w:id="1" w:name="_Hlk80123860"/>
      <w:r w:rsidR="004656D9">
        <w:rPr>
          <w:rFonts w:ascii="Bookman Old Style" w:hAnsi="Bookman Old Style"/>
        </w:rPr>
        <w:t>establecen las condiciones para la medición diferencia</w:t>
      </w:r>
      <w:r w:rsidR="0034621C">
        <w:rPr>
          <w:rFonts w:ascii="Bookman Old Style" w:hAnsi="Bookman Old Style"/>
        </w:rPr>
        <w:t>da</w:t>
      </w:r>
      <w:r w:rsidR="004656D9">
        <w:rPr>
          <w:rFonts w:ascii="Bookman Old Style" w:hAnsi="Bookman Old Style"/>
        </w:rPr>
        <w:t xml:space="preserve"> de consumos de energía en</w:t>
      </w:r>
      <w:bookmarkEnd w:id="1"/>
      <w:r w:rsidR="004656D9">
        <w:rPr>
          <w:rFonts w:ascii="Bookman Old Style" w:hAnsi="Bookman Old Style"/>
        </w:rPr>
        <w:t xml:space="preserve"> </w:t>
      </w:r>
      <w:r w:rsidRPr="00A72BBD">
        <w:rPr>
          <w:rFonts w:ascii="Bookman Old Style" w:hAnsi="Bookman Old Style"/>
        </w:rPr>
        <w:t xml:space="preserve">cumplimiento </w:t>
      </w:r>
      <w:r w:rsidR="008F1B4C">
        <w:rPr>
          <w:rFonts w:ascii="Bookman Old Style" w:hAnsi="Bookman Old Style"/>
        </w:rPr>
        <w:t>de</w:t>
      </w:r>
      <w:r w:rsidR="008F1B4C" w:rsidRPr="00A72BBD">
        <w:rPr>
          <w:rFonts w:ascii="Bookman Old Style" w:hAnsi="Bookman Old Style"/>
        </w:rPr>
        <w:t xml:space="preserve">l </w:t>
      </w:r>
      <w:r w:rsidRPr="00A72BBD">
        <w:rPr>
          <w:rFonts w:ascii="Bookman Old Style" w:hAnsi="Bookman Old Style"/>
        </w:rPr>
        <w:t>inciso 3º del artículo 49 de la Ley 2099 de 2021.”</w:t>
      </w:r>
    </w:p>
    <w:p w14:paraId="2A435E02" w14:textId="6E89ED57" w:rsidR="00A72BBD" w:rsidRDefault="00A72BBD" w:rsidP="00306C46">
      <w:pPr>
        <w:spacing w:before="240" w:after="240"/>
        <w:ind w:left="0"/>
        <w:jc w:val="both"/>
        <w:rPr>
          <w:rFonts w:ascii="Bookman Old Style" w:hAnsi="Bookman Old Style"/>
        </w:rPr>
      </w:pPr>
      <w:r w:rsidRPr="00A72BBD">
        <w:rPr>
          <w:rFonts w:ascii="Bookman Old Style" w:hAnsi="Bookman Old Style"/>
        </w:rPr>
        <w:t xml:space="preserve">En </w:t>
      </w:r>
      <w:r w:rsidRPr="00526894">
        <w:rPr>
          <w:rFonts w:ascii="Bookman Old Style" w:hAnsi="Bookman Old Style"/>
        </w:rPr>
        <w:t xml:space="preserve">el Documento CREG </w:t>
      </w:r>
      <w:r w:rsidR="00526894" w:rsidRPr="00526894">
        <w:rPr>
          <w:rFonts w:ascii="Bookman Old Style" w:hAnsi="Bookman Old Style"/>
        </w:rPr>
        <w:t>105</w:t>
      </w:r>
      <w:r w:rsidRPr="00526894">
        <w:rPr>
          <w:rFonts w:ascii="Bookman Old Style" w:hAnsi="Bookman Old Style"/>
        </w:rPr>
        <w:t xml:space="preserve"> de</w:t>
      </w:r>
      <w:r w:rsidRPr="00A72BBD">
        <w:rPr>
          <w:rFonts w:ascii="Bookman Old Style" w:hAnsi="Bookman Old Style"/>
        </w:rPr>
        <w:t xml:space="preserve"> 202</w:t>
      </w:r>
      <w:r>
        <w:rPr>
          <w:rFonts w:ascii="Bookman Old Style" w:hAnsi="Bookman Old Style"/>
        </w:rPr>
        <w:t>1</w:t>
      </w:r>
      <w:r w:rsidRPr="00A72BBD">
        <w:rPr>
          <w:rFonts w:ascii="Bookman Old Style" w:hAnsi="Bookman Old Style"/>
        </w:rPr>
        <w:t xml:space="preserve"> se exponen los </w:t>
      </w:r>
      <w:r>
        <w:rPr>
          <w:rFonts w:ascii="Bookman Old Style" w:hAnsi="Bookman Old Style"/>
        </w:rPr>
        <w:t>análisis y fundamentos de la presente propuesta regulatoria</w:t>
      </w:r>
      <w:r w:rsidRPr="00A72BBD">
        <w:rPr>
          <w:rFonts w:ascii="Bookman Old Style" w:hAnsi="Bookman Old Style"/>
        </w:rPr>
        <w:t>.</w:t>
      </w:r>
    </w:p>
    <w:p w14:paraId="6E6838E6" w14:textId="77777777" w:rsidR="00A72BBD" w:rsidRPr="00A72BBD" w:rsidRDefault="00A72BBD" w:rsidP="00A72BBD">
      <w:pPr>
        <w:ind w:left="0"/>
        <w:jc w:val="both"/>
        <w:rPr>
          <w:rFonts w:ascii="Bookman Old Style" w:hAnsi="Bookman Old Style"/>
          <w:spacing w:val="-3"/>
        </w:rPr>
      </w:pPr>
    </w:p>
    <w:p w14:paraId="2F5BC5DE" w14:textId="77777777" w:rsidR="00A72BBD" w:rsidRPr="00A72BBD" w:rsidRDefault="00A72BBD" w:rsidP="00A72BBD">
      <w:pPr>
        <w:ind w:left="0"/>
        <w:jc w:val="center"/>
        <w:rPr>
          <w:rFonts w:ascii="Bookman Old Style" w:hAnsi="Bookman Old Style"/>
          <w:b/>
          <w:spacing w:val="40"/>
        </w:rPr>
      </w:pPr>
      <w:r w:rsidRPr="00A72BBD">
        <w:rPr>
          <w:rFonts w:ascii="Bookman Old Style" w:hAnsi="Bookman Old Style"/>
          <w:b/>
        </w:rPr>
        <w:t xml:space="preserve">R E S U E L V </w:t>
      </w:r>
      <w:r w:rsidRPr="00A72BBD">
        <w:rPr>
          <w:rFonts w:ascii="Bookman Old Style" w:hAnsi="Bookman Old Style"/>
          <w:b/>
          <w:spacing w:val="40"/>
        </w:rPr>
        <w:t>E:</w:t>
      </w:r>
    </w:p>
    <w:p w14:paraId="6EC2A84B" w14:textId="77777777" w:rsidR="00A72BBD" w:rsidRPr="00A72BBD" w:rsidRDefault="00A72BBD" w:rsidP="00A72BBD">
      <w:pPr>
        <w:ind w:left="0"/>
        <w:jc w:val="center"/>
        <w:rPr>
          <w:rFonts w:ascii="Bookman Old Style" w:hAnsi="Bookman Old Style"/>
          <w:b/>
          <w:spacing w:val="40"/>
        </w:rPr>
      </w:pPr>
    </w:p>
    <w:p w14:paraId="0D1AE9AB" w14:textId="3E179312" w:rsidR="00A72BBD" w:rsidRPr="00A72BBD" w:rsidRDefault="00A72BBD" w:rsidP="00306C46">
      <w:pPr>
        <w:spacing w:before="240" w:after="240"/>
        <w:ind w:left="0"/>
        <w:jc w:val="both"/>
        <w:rPr>
          <w:rFonts w:ascii="Bookman Old Style" w:hAnsi="Bookman Old Style"/>
        </w:rPr>
      </w:pPr>
      <w:r w:rsidRPr="00A72BBD">
        <w:rPr>
          <w:rFonts w:ascii="Bookman Old Style" w:hAnsi="Bookman Old Style"/>
          <w:b/>
          <w:bCs/>
        </w:rPr>
        <w:t>Artículo 1. Objeto.</w:t>
      </w:r>
      <w:r w:rsidRPr="00A72BBD">
        <w:rPr>
          <w:rFonts w:ascii="Bookman Old Style" w:hAnsi="Bookman Old Style"/>
        </w:rPr>
        <w:t xml:space="preserve">  Hágase público el proyecto de resolución “Por la cual se </w:t>
      </w:r>
      <w:r w:rsidR="004656D9" w:rsidRPr="004656D9">
        <w:rPr>
          <w:rFonts w:ascii="Bookman Old Style" w:hAnsi="Bookman Old Style"/>
        </w:rPr>
        <w:t>establecen las condiciones para la medición diferencia</w:t>
      </w:r>
      <w:r w:rsidR="00746E36">
        <w:rPr>
          <w:rFonts w:ascii="Bookman Old Style" w:hAnsi="Bookman Old Style"/>
        </w:rPr>
        <w:t>da</w:t>
      </w:r>
      <w:r w:rsidR="004656D9" w:rsidRPr="004656D9">
        <w:rPr>
          <w:rFonts w:ascii="Bookman Old Style" w:hAnsi="Bookman Old Style"/>
        </w:rPr>
        <w:t xml:space="preserve"> de consumos de energía en</w:t>
      </w:r>
      <w:r w:rsidR="004656D9">
        <w:rPr>
          <w:rFonts w:ascii="Bookman Old Style" w:hAnsi="Bookman Old Style"/>
        </w:rPr>
        <w:t xml:space="preserve"> </w:t>
      </w:r>
      <w:r w:rsidRPr="00A72BBD">
        <w:rPr>
          <w:rFonts w:ascii="Bookman Old Style" w:hAnsi="Bookman Old Style"/>
        </w:rPr>
        <w:t xml:space="preserve">cumplimiento </w:t>
      </w:r>
      <w:r w:rsidR="004656D9">
        <w:rPr>
          <w:rFonts w:ascii="Bookman Old Style" w:hAnsi="Bookman Old Style"/>
        </w:rPr>
        <w:t>de</w:t>
      </w:r>
      <w:r w:rsidRPr="00A72BBD">
        <w:rPr>
          <w:rFonts w:ascii="Bookman Old Style" w:hAnsi="Bookman Old Style"/>
        </w:rPr>
        <w:t>l inciso 3º del artículo 49 de la Ley 2099 de 2021.”</w:t>
      </w:r>
    </w:p>
    <w:p w14:paraId="283CEF1C" w14:textId="0F24849E" w:rsidR="00A72BBD" w:rsidRPr="00A72BBD" w:rsidRDefault="00A72BBD" w:rsidP="00306C46">
      <w:pPr>
        <w:spacing w:before="240" w:after="240"/>
        <w:ind w:left="0"/>
        <w:jc w:val="both"/>
        <w:rPr>
          <w:rFonts w:ascii="Bookman Old Style" w:hAnsi="Bookman Old Style"/>
        </w:rPr>
      </w:pPr>
      <w:r w:rsidRPr="00A72BBD">
        <w:rPr>
          <w:rFonts w:ascii="Bookman Old Style" w:hAnsi="Bookman Old Style"/>
          <w:b/>
        </w:rPr>
        <w:t>Artículo 2. Presentación de comentarios, observaciones y sugerencias.</w:t>
      </w:r>
      <w:r w:rsidRPr="00A72BBD">
        <w:rPr>
          <w:rFonts w:ascii="Bookman Old Style" w:hAnsi="Bookman Old Style"/>
        </w:rPr>
        <w:t xml:space="preserve"> Se invita a los usuarios, a los agentes, a las autoridades locales, municipales y </w:t>
      </w:r>
      <w:r w:rsidRPr="00A72BBD">
        <w:rPr>
          <w:rFonts w:ascii="Bookman Old Style" w:hAnsi="Bookman Old Style"/>
        </w:rPr>
        <w:lastRenderedPageBreak/>
        <w:t xml:space="preserve">departamentales, </w:t>
      </w:r>
      <w:r w:rsidR="00746E36">
        <w:rPr>
          <w:rFonts w:ascii="Bookman Old Style" w:hAnsi="Bookman Old Style"/>
        </w:rPr>
        <w:t xml:space="preserve">a los </w:t>
      </w:r>
      <w:r w:rsidRPr="00A72BBD">
        <w:rPr>
          <w:rFonts w:ascii="Bookman Old Style" w:hAnsi="Bookman Old Style"/>
        </w:rPr>
        <w:t>gremios, a las entidades y a los demás interesados, para que remitan sus observaciones o sugerencias sobre las propuestas contenidas en el proyecto de resolución adjunto</w:t>
      </w:r>
      <w:r>
        <w:rPr>
          <w:rFonts w:ascii="Bookman Old Style" w:hAnsi="Bookman Old Style"/>
        </w:rPr>
        <w:t xml:space="preserve"> dentro de los </w:t>
      </w:r>
      <w:r w:rsidR="00C05D73">
        <w:rPr>
          <w:rFonts w:ascii="Bookman Old Style" w:hAnsi="Bookman Old Style"/>
        </w:rPr>
        <w:t>siete</w:t>
      </w:r>
      <w:r w:rsidR="00486695">
        <w:rPr>
          <w:rFonts w:ascii="Bookman Old Style" w:hAnsi="Bookman Old Style"/>
        </w:rPr>
        <w:t xml:space="preserve"> </w:t>
      </w:r>
      <w:r w:rsidR="00F84DEA">
        <w:rPr>
          <w:rFonts w:ascii="Bookman Old Style" w:hAnsi="Bookman Old Style"/>
        </w:rPr>
        <w:t>(</w:t>
      </w:r>
      <w:r w:rsidR="00C05D73">
        <w:rPr>
          <w:rFonts w:ascii="Bookman Old Style" w:hAnsi="Bookman Old Style"/>
        </w:rPr>
        <w:t>7</w:t>
      </w:r>
      <w:r w:rsidR="00F84DEA">
        <w:rPr>
          <w:rFonts w:ascii="Bookman Old Style" w:hAnsi="Bookman Old Style"/>
        </w:rPr>
        <w:t>)</w:t>
      </w:r>
      <w:r>
        <w:rPr>
          <w:rFonts w:ascii="Bookman Old Style" w:hAnsi="Bookman Old Style"/>
        </w:rPr>
        <w:t xml:space="preserve"> días </w:t>
      </w:r>
      <w:r w:rsidR="00C05D73">
        <w:rPr>
          <w:rFonts w:ascii="Bookman Old Style" w:hAnsi="Bookman Old Style"/>
        </w:rPr>
        <w:t>calendario</w:t>
      </w:r>
      <w:r w:rsidR="00CB168B">
        <w:rPr>
          <w:rFonts w:ascii="Bookman Old Style" w:hAnsi="Bookman Old Style"/>
        </w:rPr>
        <w:t xml:space="preserve"> siguientes</w:t>
      </w:r>
      <w:r w:rsidR="00F84DEA">
        <w:rPr>
          <w:rFonts w:ascii="Bookman Old Style" w:hAnsi="Bookman Old Style"/>
        </w:rPr>
        <w:t xml:space="preserve"> </w:t>
      </w:r>
      <w:r>
        <w:rPr>
          <w:rFonts w:ascii="Bookman Old Style" w:hAnsi="Bookman Old Style"/>
        </w:rPr>
        <w:t>a la publicación de la presente propuesta en la página web de la CREG</w:t>
      </w:r>
      <w:r w:rsidRPr="00A72BBD">
        <w:rPr>
          <w:rFonts w:ascii="Bookman Old Style" w:hAnsi="Bookman Old Style"/>
        </w:rPr>
        <w:t>.</w:t>
      </w:r>
      <w:r w:rsidR="00C05D73" w:rsidRPr="00C05D73">
        <w:t xml:space="preserve"> </w:t>
      </w:r>
      <w:r w:rsidR="00C05D73">
        <w:rPr>
          <w:rFonts w:ascii="Bookman Old Style" w:hAnsi="Bookman Old Style"/>
        </w:rPr>
        <w:t>En relación con este plazo</w:t>
      </w:r>
      <w:r w:rsidR="00C05D73" w:rsidRPr="00C05D73">
        <w:rPr>
          <w:rFonts w:ascii="Bookman Old Style" w:hAnsi="Bookman Old Style"/>
        </w:rPr>
        <w:t>, a efectos de dar cumplimiento al plazo previsto en el artículo 49 de la Ley 2099 de 2021, la Comisión considera dar aplicación a la causal prevista en el numeral 6º del artículo 33 de la Resolución CREG 039 de 2017.</w:t>
      </w:r>
    </w:p>
    <w:p w14:paraId="58D65B5D" w14:textId="77777777" w:rsidR="00A72BBD" w:rsidRPr="00A72BBD" w:rsidRDefault="00A72BBD" w:rsidP="00306C46">
      <w:pPr>
        <w:spacing w:before="240" w:after="240"/>
        <w:ind w:left="0"/>
        <w:jc w:val="both"/>
        <w:rPr>
          <w:rFonts w:ascii="Bookman Old Style" w:hAnsi="Bookman Old Style"/>
        </w:rPr>
      </w:pPr>
      <w:r w:rsidRPr="00A72BBD">
        <w:rPr>
          <w:rFonts w:ascii="Bookman Old Style" w:hAnsi="Bookman Old Style"/>
        </w:rPr>
        <w:t xml:space="preserve">Las observaciones y sugerencias sobre el proyecto deberán dirigirse al director ejecutivo de la Comisión al correo electrónico </w:t>
      </w:r>
      <w:hyperlink r:id="rId10">
        <w:r w:rsidRPr="00A72BBD">
          <w:rPr>
            <w:rFonts w:ascii="Bookman Old Style" w:hAnsi="Bookman Old Style"/>
            <w:color w:val="0000FF"/>
            <w:u w:val="single"/>
          </w:rPr>
          <w:t>creg@creg.gov.co</w:t>
        </w:r>
      </w:hyperlink>
      <w:r w:rsidRPr="00A72BBD">
        <w:rPr>
          <w:rFonts w:ascii="Bookman Old Style" w:hAnsi="Bookman Old Style"/>
        </w:rPr>
        <w:t xml:space="preserve"> en el formato anexo.</w:t>
      </w:r>
    </w:p>
    <w:p w14:paraId="5354EDC1" w14:textId="77777777" w:rsidR="00A72BBD" w:rsidRPr="00A72BBD" w:rsidRDefault="00A72BBD" w:rsidP="00306C46">
      <w:pPr>
        <w:spacing w:before="240" w:after="240"/>
        <w:ind w:left="0"/>
        <w:jc w:val="both"/>
        <w:rPr>
          <w:rFonts w:ascii="Bookman Old Style" w:hAnsi="Bookman Old Style"/>
        </w:rPr>
      </w:pPr>
      <w:r w:rsidRPr="00A72BBD">
        <w:rPr>
          <w:rFonts w:ascii="Bookman Old Style" w:hAnsi="Bookman Old Style"/>
          <w:b/>
        </w:rPr>
        <w:t>Artículo 3. Vigencia.</w:t>
      </w:r>
      <w:r w:rsidRPr="00A72BBD">
        <w:rPr>
          <w:rFonts w:ascii="Bookman Old Style" w:hAnsi="Bookman Old Style"/>
        </w:rPr>
        <w:t xml:space="preserve">  La presente resolución rige a partir de su publicación en el </w:t>
      </w:r>
      <w:r w:rsidRPr="00A72BBD">
        <w:rPr>
          <w:rFonts w:ascii="Bookman Old Style" w:hAnsi="Bookman Old Style"/>
          <w:i/>
        </w:rPr>
        <w:t>Diario Oficial,</w:t>
      </w:r>
      <w:r w:rsidRPr="00A72BBD">
        <w:rPr>
          <w:rFonts w:ascii="Bookman Old Style" w:hAnsi="Bookman Old Style"/>
        </w:rPr>
        <w:t xml:space="preserve"> y no deroga ni modifica disposiciones vigentes por tratarse de un acto de trámite.</w:t>
      </w:r>
    </w:p>
    <w:p w14:paraId="7C31E8EA" w14:textId="77777777" w:rsidR="00A72BBD" w:rsidRPr="00A72BBD" w:rsidRDefault="00A72BBD" w:rsidP="00A72BBD">
      <w:pPr>
        <w:ind w:left="0"/>
        <w:jc w:val="both"/>
        <w:rPr>
          <w:rFonts w:ascii="Bookman Old Style" w:hAnsi="Bookman Old Style"/>
        </w:rPr>
      </w:pPr>
    </w:p>
    <w:p w14:paraId="21C1571D" w14:textId="77777777" w:rsidR="00A72BBD" w:rsidRPr="00A72BBD" w:rsidRDefault="00A72BBD" w:rsidP="00A72BBD">
      <w:pPr>
        <w:ind w:left="0"/>
        <w:jc w:val="center"/>
        <w:rPr>
          <w:rFonts w:ascii="Bookman Old Style" w:hAnsi="Bookman Old Style"/>
          <w:b/>
        </w:rPr>
      </w:pPr>
      <w:r w:rsidRPr="00A72BBD">
        <w:rPr>
          <w:rFonts w:ascii="Bookman Old Style" w:hAnsi="Bookman Old Style"/>
          <w:b/>
        </w:rPr>
        <w:t>PUBLÍQUESE Y CÚMPLASE</w:t>
      </w:r>
    </w:p>
    <w:p w14:paraId="1137C1FD" w14:textId="77777777" w:rsidR="00A72BBD" w:rsidRPr="00A72BBD" w:rsidRDefault="00A72BBD" w:rsidP="00A72BBD">
      <w:pPr>
        <w:ind w:left="0"/>
        <w:jc w:val="center"/>
        <w:rPr>
          <w:rFonts w:ascii="Bookman Old Style" w:hAnsi="Bookman Old Style"/>
          <w:b/>
        </w:rPr>
      </w:pPr>
    </w:p>
    <w:p w14:paraId="2319C135" w14:textId="27401AC5" w:rsidR="00A72BBD" w:rsidRPr="00871F89" w:rsidRDefault="00A72BBD" w:rsidP="00A72BBD">
      <w:pPr>
        <w:ind w:left="0"/>
        <w:jc w:val="both"/>
        <w:rPr>
          <w:rFonts w:ascii="Bookman Old Style" w:hAnsi="Bookman Old Style"/>
          <w:b/>
          <w:bCs/>
        </w:rPr>
      </w:pPr>
      <w:r w:rsidRPr="00A72BBD">
        <w:rPr>
          <w:rFonts w:ascii="Bookman Old Style" w:hAnsi="Bookman Old Style"/>
        </w:rPr>
        <w:t xml:space="preserve">Dado en Bogotá, D. C. </w:t>
      </w:r>
      <w:r w:rsidR="00871F89" w:rsidRPr="00871F89">
        <w:rPr>
          <w:rFonts w:ascii="Bookman Old Style" w:hAnsi="Bookman Old Style"/>
          <w:b/>
          <w:bCs/>
        </w:rPr>
        <w:t>30 AGO. 2021</w:t>
      </w:r>
    </w:p>
    <w:tbl>
      <w:tblPr>
        <w:tblW w:w="8789" w:type="dxa"/>
        <w:jc w:val="center"/>
        <w:tblCellSpacing w:w="0" w:type="dxa"/>
        <w:tblCellMar>
          <w:left w:w="0" w:type="dxa"/>
          <w:right w:w="0" w:type="dxa"/>
        </w:tblCellMar>
        <w:tblLook w:val="04A0" w:firstRow="1" w:lastRow="0" w:firstColumn="1" w:lastColumn="0" w:noHBand="0" w:noVBand="1"/>
      </w:tblPr>
      <w:tblGrid>
        <w:gridCol w:w="4111"/>
        <w:gridCol w:w="4678"/>
      </w:tblGrid>
      <w:tr w:rsidR="00A72BBD" w:rsidRPr="00A72BBD" w14:paraId="288151FC" w14:textId="77777777" w:rsidTr="00D86244">
        <w:trPr>
          <w:trHeight w:val="1685"/>
          <w:tblCellSpacing w:w="0" w:type="dxa"/>
          <w:jc w:val="center"/>
        </w:trPr>
        <w:tc>
          <w:tcPr>
            <w:tcW w:w="4111" w:type="dxa"/>
          </w:tcPr>
          <w:p w14:paraId="2E15CDDF" w14:textId="77777777" w:rsidR="00A72BBD" w:rsidRPr="00A72BBD" w:rsidRDefault="00A72BBD" w:rsidP="00A72BBD">
            <w:pPr>
              <w:ind w:left="0"/>
              <w:rPr>
                <w:rFonts w:ascii="Bookman Old Style" w:hAnsi="Bookman Old Style" w:cs="Arial"/>
                <w:b/>
                <w:spacing w:val="-3"/>
              </w:rPr>
            </w:pPr>
          </w:p>
          <w:p w14:paraId="15879FA8" w14:textId="6B55A2D5" w:rsidR="00A72BBD" w:rsidRDefault="00A72BBD" w:rsidP="00A72BBD">
            <w:pPr>
              <w:rPr>
                <w:rFonts w:ascii="Bookman Old Style" w:hAnsi="Bookman Old Style" w:cs="Arial"/>
                <w:b/>
                <w:spacing w:val="-3"/>
              </w:rPr>
            </w:pPr>
          </w:p>
          <w:p w14:paraId="4F54BEE9" w14:textId="77777777" w:rsidR="00CB74EA" w:rsidRPr="00A72BBD" w:rsidRDefault="00CB74EA" w:rsidP="00A72BBD">
            <w:pPr>
              <w:rPr>
                <w:rFonts w:ascii="Bookman Old Style" w:hAnsi="Bookman Old Style" w:cs="Arial"/>
                <w:b/>
                <w:spacing w:val="-3"/>
              </w:rPr>
            </w:pPr>
          </w:p>
          <w:p w14:paraId="0F04B9FD" w14:textId="77777777" w:rsidR="00A72BBD" w:rsidRPr="00A72BBD" w:rsidRDefault="00A72BBD" w:rsidP="00A72BBD">
            <w:pPr>
              <w:ind w:left="0"/>
              <w:rPr>
                <w:rFonts w:ascii="Bookman Old Style" w:hAnsi="Bookman Old Style" w:cs="Arial"/>
                <w:b/>
                <w:spacing w:val="-3"/>
              </w:rPr>
            </w:pPr>
          </w:p>
          <w:p w14:paraId="435FDD1A" w14:textId="77777777" w:rsidR="00A72BBD" w:rsidRPr="00A72BBD" w:rsidRDefault="00A72BBD" w:rsidP="00A72BBD">
            <w:pPr>
              <w:ind w:left="66"/>
              <w:jc w:val="center"/>
              <w:rPr>
                <w:rFonts w:ascii="Bookman Old Style" w:hAnsi="Bookman Old Style" w:cs="Arial"/>
                <w:b/>
                <w:spacing w:val="-3"/>
              </w:rPr>
            </w:pPr>
          </w:p>
          <w:p w14:paraId="4FB1FF24" w14:textId="77777777" w:rsidR="00A72BBD" w:rsidRPr="00A72BBD" w:rsidRDefault="00A72BBD" w:rsidP="00A72BBD">
            <w:pPr>
              <w:ind w:left="66"/>
              <w:jc w:val="center"/>
              <w:rPr>
                <w:rFonts w:ascii="Bookman Old Style" w:hAnsi="Bookman Old Style" w:cs="Arial"/>
                <w:b/>
                <w:spacing w:val="-3"/>
              </w:rPr>
            </w:pPr>
          </w:p>
          <w:p w14:paraId="7A95F9F7" w14:textId="77777777" w:rsidR="00A72BBD" w:rsidRPr="00A72BBD" w:rsidRDefault="00A72BBD" w:rsidP="00A72BBD">
            <w:pPr>
              <w:ind w:left="66"/>
              <w:jc w:val="center"/>
              <w:rPr>
                <w:rFonts w:ascii="Bookman Old Style" w:hAnsi="Bookman Old Style" w:cs="Arial"/>
                <w:b/>
                <w:spacing w:val="-3"/>
              </w:rPr>
            </w:pPr>
            <w:r w:rsidRPr="00A72BBD">
              <w:rPr>
                <w:rFonts w:ascii="Bookman Old Style" w:hAnsi="Bookman Old Style" w:cs="Arial"/>
                <w:b/>
              </w:rPr>
              <w:t>DIEGO MESA PUYO</w:t>
            </w:r>
          </w:p>
        </w:tc>
        <w:tc>
          <w:tcPr>
            <w:tcW w:w="4678" w:type="dxa"/>
          </w:tcPr>
          <w:p w14:paraId="66A37C87" w14:textId="77777777" w:rsidR="00A72BBD" w:rsidRPr="00A72BBD" w:rsidRDefault="00A72BBD" w:rsidP="00A72BBD">
            <w:pPr>
              <w:ind w:left="89"/>
              <w:jc w:val="center"/>
              <w:rPr>
                <w:rFonts w:ascii="Bookman Old Style" w:hAnsi="Bookman Old Style" w:cs="Arial"/>
                <w:b/>
                <w:spacing w:val="-3"/>
              </w:rPr>
            </w:pPr>
          </w:p>
          <w:p w14:paraId="28ED345D" w14:textId="77777777" w:rsidR="00A72BBD" w:rsidRPr="00A72BBD" w:rsidRDefault="00A72BBD" w:rsidP="00A72BBD">
            <w:pPr>
              <w:ind w:left="89"/>
              <w:jc w:val="center"/>
              <w:rPr>
                <w:rFonts w:ascii="Bookman Old Style" w:hAnsi="Bookman Old Style" w:cs="Arial"/>
                <w:b/>
                <w:spacing w:val="-3"/>
              </w:rPr>
            </w:pPr>
          </w:p>
          <w:p w14:paraId="2EFEAE26" w14:textId="77777777" w:rsidR="00A72BBD" w:rsidRPr="00A72BBD" w:rsidRDefault="00A72BBD" w:rsidP="00A72BBD">
            <w:pPr>
              <w:ind w:left="89"/>
              <w:jc w:val="center"/>
              <w:rPr>
                <w:rFonts w:ascii="Bookman Old Style" w:hAnsi="Bookman Old Style" w:cs="Arial"/>
                <w:b/>
                <w:spacing w:val="-3"/>
              </w:rPr>
            </w:pPr>
          </w:p>
          <w:p w14:paraId="7B6BC3E3" w14:textId="012CE277" w:rsidR="00A72BBD" w:rsidRDefault="00A72BBD" w:rsidP="00A72BBD">
            <w:pPr>
              <w:ind w:left="89"/>
              <w:jc w:val="center"/>
              <w:rPr>
                <w:rFonts w:ascii="Bookman Old Style" w:hAnsi="Bookman Old Style" w:cs="Arial"/>
                <w:b/>
                <w:spacing w:val="-3"/>
              </w:rPr>
            </w:pPr>
          </w:p>
          <w:p w14:paraId="31F89F56" w14:textId="77777777" w:rsidR="00CB74EA" w:rsidRPr="00A72BBD" w:rsidRDefault="00CB74EA" w:rsidP="00A72BBD">
            <w:pPr>
              <w:ind w:left="89"/>
              <w:jc w:val="center"/>
              <w:rPr>
                <w:rFonts w:ascii="Bookman Old Style" w:hAnsi="Bookman Old Style" w:cs="Arial"/>
                <w:b/>
                <w:spacing w:val="-3"/>
              </w:rPr>
            </w:pPr>
          </w:p>
          <w:p w14:paraId="7046E4BB" w14:textId="77777777" w:rsidR="00A72BBD" w:rsidRPr="00A72BBD" w:rsidRDefault="00A72BBD" w:rsidP="00A72BBD">
            <w:pPr>
              <w:ind w:left="89"/>
              <w:jc w:val="center"/>
              <w:rPr>
                <w:rFonts w:ascii="Bookman Old Style" w:hAnsi="Bookman Old Style" w:cs="Arial"/>
                <w:b/>
                <w:spacing w:val="-3"/>
              </w:rPr>
            </w:pPr>
          </w:p>
          <w:p w14:paraId="6AC1D124" w14:textId="77777777" w:rsidR="00A72BBD" w:rsidRPr="00A72BBD" w:rsidRDefault="00A72BBD" w:rsidP="00A72BBD">
            <w:pPr>
              <w:ind w:left="89"/>
              <w:jc w:val="center"/>
              <w:rPr>
                <w:rFonts w:ascii="Bookman Old Style" w:hAnsi="Bookman Old Style" w:cs="Arial"/>
                <w:b/>
                <w:spacing w:val="-3"/>
              </w:rPr>
            </w:pPr>
            <w:r w:rsidRPr="00A72BBD">
              <w:rPr>
                <w:rFonts w:ascii="Bookman Old Style" w:hAnsi="Bookman Old Style" w:cs="Arial"/>
                <w:b/>
                <w:spacing w:val="-3"/>
              </w:rPr>
              <w:t>JORGE ALBERTO VALENCIA MARIN</w:t>
            </w:r>
          </w:p>
        </w:tc>
      </w:tr>
      <w:tr w:rsidR="00A72BBD" w:rsidRPr="00A72BBD" w14:paraId="4D22D632" w14:textId="77777777" w:rsidTr="00D86244">
        <w:trPr>
          <w:trHeight w:val="285"/>
          <w:tblCellSpacing w:w="0" w:type="dxa"/>
          <w:jc w:val="center"/>
        </w:trPr>
        <w:tc>
          <w:tcPr>
            <w:tcW w:w="4111" w:type="dxa"/>
            <w:hideMark/>
          </w:tcPr>
          <w:p w14:paraId="0432E659" w14:textId="77777777" w:rsidR="00A72BBD" w:rsidRPr="00A72BBD" w:rsidRDefault="00A72BBD" w:rsidP="00A72BBD">
            <w:pPr>
              <w:ind w:left="66"/>
              <w:jc w:val="center"/>
              <w:rPr>
                <w:rFonts w:ascii="Bookman Old Style" w:eastAsia="Arial Unicode MS" w:hAnsi="Bookman Old Style" w:cs="Arial"/>
                <w:color w:val="000000"/>
              </w:rPr>
            </w:pPr>
            <w:r w:rsidRPr="00A72BBD">
              <w:rPr>
                <w:rFonts w:ascii="Bookman Old Style" w:hAnsi="Bookman Old Style" w:cs="Arial"/>
                <w:lang w:val="es-CO" w:eastAsia="es-CO"/>
              </w:rPr>
              <w:t>Ministro de Minas y Energía</w:t>
            </w:r>
          </w:p>
        </w:tc>
        <w:tc>
          <w:tcPr>
            <w:tcW w:w="4678" w:type="dxa"/>
            <w:hideMark/>
          </w:tcPr>
          <w:p w14:paraId="2FBBA7D8" w14:textId="77777777" w:rsidR="00A72BBD" w:rsidRPr="00A72BBD" w:rsidRDefault="00A72BBD" w:rsidP="00A72BBD">
            <w:pPr>
              <w:jc w:val="center"/>
              <w:rPr>
                <w:rFonts w:ascii="Bookman Old Style" w:eastAsia="Arial Unicode MS" w:hAnsi="Bookman Old Style" w:cs="Arial"/>
                <w:color w:val="000000"/>
              </w:rPr>
            </w:pPr>
            <w:r w:rsidRPr="00A72BBD">
              <w:rPr>
                <w:rFonts w:ascii="Bookman Old Style" w:hAnsi="Bookman Old Style" w:cs="Arial"/>
                <w:spacing w:val="-3"/>
              </w:rPr>
              <w:t>Director Ejecutivo</w:t>
            </w:r>
          </w:p>
        </w:tc>
      </w:tr>
      <w:tr w:rsidR="00A72BBD" w:rsidRPr="00A72BBD" w14:paraId="666390A8" w14:textId="77777777" w:rsidTr="00D86244">
        <w:trPr>
          <w:trHeight w:val="285"/>
          <w:tblCellSpacing w:w="0" w:type="dxa"/>
          <w:jc w:val="center"/>
        </w:trPr>
        <w:tc>
          <w:tcPr>
            <w:tcW w:w="4111" w:type="dxa"/>
            <w:hideMark/>
          </w:tcPr>
          <w:p w14:paraId="4C801601" w14:textId="77777777" w:rsidR="00A72BBD" w:rsidRPr="00A72BBD" w:rsidRDefault="00A72BBD" w:rsidP="00A72BBD">
            <w:pPr>
              <w:ind w:left="66"/>
              <w:jc w:val="center"/>
              <w:rPr>
                <w:rFonts w:ascii="Bookman Old Style" w:eastAsia="Arial Unicode MS" w:hAnsi="Bookman Old Style" w:cs="Arial"/>
                <w:color w:val="000000"/>
              </w:rPr>
            </w:pPr>
            <w:r w:rsidRPr="00A72BBD">
              <w:rPr>
                <w:rFonts w:ascii="Bookman Old Style" w:hAnsi="Bookman Old Style" w:cs="Arial"/>
                <w:spacing w:val="-3"/>
              </w:rPr>
              <w:t>Presidente</w:t>
            </w:r>
          </w:p>
        </w:tc>
        <w:tc>
          <w:tcPr>
            <w:tcW w:w="4678" w:type="dxa"/>
          </w:tcPr>
          <w:p w14:paraId="68D8F608" w14:textId="77777777" w:rsidR="00A72BBD" w:rsidRPr="00A72BBD" w:rsidRDefault="00A72BBD" w:rsidP="00A72BBD">
            <w:pPr>
              <w:jc w:val="center"/>
              <w:rPr>
                <w:rFonts w:ascii="Bookman Old Style" w:eastAsia="Arial Unicode MS" w:hAnsi="Bookman Old Style" w:cs="Arial"/>
                <w:color w:val="000000"/>
              </w:rPr>
            </w:pPr>
          </w:p>
        </w:tc>
      </w:tr>
    </w:tbl>
    <w:p w14:paraId="14B1719F" w14:textId="77777777" w:rsidR="00A72BBD" w:rsidRPr="00A72BBD" w:rsidRDefault="00A72BBD" w:rsidP="00A72BBD">
      <w:pPr>
        <w:ind w:left="0"/>
        <w:jc w:val="both"/>
        <w:rPr>
          <w:rFonts w:ascii="Bookman Old Style" w:hAnsi="Bookman Old Style"/>
        </w:rPr>
      </w:pPr>
    </w:p>
    <w:p w14:paraId="7660AC83" w14:textId="77777777" w:rsidR="00A72BBD" w:rsidRPr="00A72BBD" w:rsidRDefault="00A72BBD" w:rsidP="00A72BBD">
      <w:pPr>
        <w:ind w:left="0"/>
        <w:jc w:val="both"/>
        <w:rPr>
          <w:rFonts w:ascii="Bookman Old Style" w:hAnsi="Bookman Old Style"/>
        </w:rPr>
      </w:pPr>
    </w:p>
    <w:p w14:paraId="75C70FED" w14:textId="77777777" w:rsidR="00A72BBD" w:rsidRPr="00A72BBD" w:rsidRDefault="00A72BBD" w:rsidP="00A72BBD">
      <w:pPr>
        <w:ind w:left="0"/>
        <w:jc w:val="both"/>
        <w:rPr>
          <w:rFonts w:ascii="Bookman Old Style" w:hAnsi="Bookman Old Style"/>
        </w:rPr>
      </w:pPr>
    </w:p>
    <w:p w14:paraId="70BAFE7E" w14:textId="77777777" w:rsidR="00A72BBD" w:rsidRPr="00A72BBD" w:rsidRDefault="00A72BBD" w:rsidP="00A72BBD">
      <w:pPr>
        <w:ind w:left="0"/>
        <w:jc w:val="both"/>
        <w:rPr>
          <w:rFonts w:ascii="Bookman Old Style" w:hAnsi="Bookman Old Style"/>
        </w:rPr>
      </w:pPr>
    </w:p>
    <w:p w14:paraId="50C20A4E" w14:textId="77777777" w:rsidR="00A72BBD" w:rsidRPr="00A72BBD" w:rsidRDefault="00A72BBD" w:rsidP="00A72BBD">
      <w:pPr>
        <w:ind w:left="0"/>
        <w:jc w:val="both"/>
        <w:rPr>
          <w:rFonts w:ascii="Bookman Old Style" w:hAnsi="Bookman Old Style"/>
        </w:rPr>
      </w:pPr>
    </w:p>
    <w:p w14:paraId="3F1226C8" w14:textId="77777777" w:rsidR="00A72BBD" w:rsidRPr="00A72BBD" w:rsidRDefault="00A72BBD" w:rsidP="00A72BBD">
      <w:pPr>
        <w:ind w:left="0"/>
        <w:jc w:val="both"/>
        <w:rPr>
          <w:rFonts w:ascii="Bookman Old Style" w:hAnsi="Bookman Old Style"/>
        </w:rPr>
      </w:pPr>
    </w:p>
    <w:p w14:paraId="36669555" w14:textId="77777777" w:rsidR="00A72BBD" w:rsidRPr="00A72BBD" w:rsidRDefault="00A72BBD" w:rsidP="00A72BBD">
      <w:pPr>
        <w:ind w:left="0"/>
        <w:jc w:val="both"/>
        <w:rPr>
          <w:rFonts w:ascii="Bookman Old Style" w:hAnsi="Bookman Old Style"/>
        </w:rPr>
      </w:pPr>
    </w:p>
    <w:p w14:paraId="187BAD15" w14:textId="77777777" w:rsidR="00A72BBD" w:rsidRPr="00A72BBD" w:rsidRDefault="00A72BBD" w:rsidP="00A72BBD">
      <w:pPr>
        <w:ind w:left="0"/>
        <w:rPr>
          <w:rFonts w:ascii="Bookman Old Style" w:hAnsi="Bookman Old Style"/>
          <w:b/>
        </w:rPr>
      </w:pPr>
      <w:r w:rsidRPr="00A72BBD">
        <w:rPr>
          <w:rFonts w:ascii="Bookman Old Style" w:hAnsi="Bookman Old Style"/>
          <w:b/>
        </w:rPr>
        <w:br w:type="page"/>
      </w:r>
    </w:p>
    <w:p w14:paraId="5BABB1E1" w14:textId="5168F7BA" w:rsidR="00A72BBD" w:rsidRPr="00A72BBD" w:rsidRDefault="00A72BBD" w:rsidP="009A4A75">
      <w:pPr>
        <w:spacing w:before="360" w:after="360"/>
        <w:ind w:left="0"/>
        <w:jc w:val="center"/>
        <w:rPr>
          <w:rFonts w:ascii="Bookman Old Style" w:hAnsi="Bookman Old Style"/>
          <w:b/>
        </w:rPr>
      </w:pPr>
      <w:r w:rsidRPr="00A72BBD">
        <w:rPr>
          <w:rFonts w:ascii="Bookman Old Style" w:hAnsi="Bookman Old Style"/>
          <w:b/>
        </w:rPr>
        <w:lastRenderedPageBreak/>
        <w:t>PROYECTO DE RESOLUCIÓN</w:t>
      </w:r>
    </w:p>
    <w:p w14:paraId="30731567" w14:textId="06D5A3EB" w:rsidR="00C034CB" w:rsidRDefault="00C034CB" w:rsidP="00012259">
      <w:pPr>
        <w:ind w:left="0"/>
        <w:rPr>
          <w:rFonts w:ascii="Bookman Old Style" w:hAnsi="Bookman Old Style"/>
          <w:bCs/>
          <w:color w:val="FF0000"/>
          <w:lang w:val="es-CO"/>
        </w:rPr>
      </w:pPr>
    </w:p>
    <w:p w14:paraId="4A08DD85" w14:textId="3ECAA6E9" w:rsidR="00A72BBD" w:rsidRPr="00A72BBD" w:rsidRDefault="00A72BBD" w:rsidP="00A72BBD">
      <w:pPr>
        <w:ind w:left="0"/>
        <w:jc w:val="center"/>
        <w:rPr>
          <w:rFonts w:ascii="Bookman Old Style" w:hAnsi="Bookman Old Style"/>
        </w:rPr>
      </w:pPr>
      <w:r w:rsidRPr="00A72BBD">
        <w:rPr>
          <w:rFonts w:ascii="Bookman Old Style" w:hAnsi="Bookman Old Style"/>
        </w:rPr>
        <w:t xml:space="preserve">Por la cual se </w:t>
      </w:r>
      <w:r w:rsidR="004656D9" w:rsidRPr="004656D9">
        <w:rPr>
          <w:rFonts w:ascii="Bookman Old Style" w:hAnsi="Bookman Old Style"/>
        </w:rPr>
        <w:t>establecen las condiciones para la medición diferencia</w:t>
      </w:r>
      <w:r w:rsidR="00076324">
        <w:rPr>
          <w:rFonts w:ascii="Bookman Old Style" w:hAnsi="Bookman Old Style"/>
        </w:rPr>
        <w:t>da</w:t>
      </w:r>
      <w:r w:rsidR="004656D9" w:rsidRPr="004656D9">
        <w:rPr>
          <w:rFonts w:ascii="Bookman Old Style" w:hAnsi="Bookman Old Style"/>
        </w:rPr>
        <w:t xml:space="preserve"> de consumos de energía en</w:t>
      </w:r>
      <w:r>
        <w:rPr>
          <w:rFonts w:ascii="Bookman Old Style" w:hAnsi="Bookman Old Style"/>
        </w:rPr>
        <w:t xml:space="preserve"> cumplimiento </w:t>
      </w:r>
      <w:r w:rsidR="004656D9">
        <w:rPr>
          <w:rFonts w:ascii="Bookman Old Style" w:hAnsi="Bookman Old Style"/>
        </w:rPr>
        <w:t>de</w:t>
      </w:r>
      <w:r>
        <w:rPr>
          <w:rFonts w:ascii="Bookman Old Style" w:hAnsi="Bookman Old Style"/>
        </w:rPr>
        <w:t>l inciso 3º del artículo 49 de la Ley 2099 de 2021</w:t>
      </w:r>
    </w:p>
    <w:p w14:paraId="51270DA2" w14:textId="77777777" w:rsidR="00A72BBD" w:rsidRPr="00A72BBD" w:rsidRDefault="00A72BBD" w:rsidP="00306C46">
      <w:pPr>
        <w:ind w:left="0"/>
        <w:rPr>
          <w:rFonts w:ascii="Bookman Old Style" w:hAnsi="Bookman Old Style"/>
        </w:rPr>
      </w:pPr>
    </w:p>
    <w:p w14:paraId="6242E348" w14:textId="77777777" w:rsidR="00A72BBD" w:rsidRPr="00A72BBD" w:rsidRDefault="00A72BBD" w:rsidP="00850FAC">
      <w:pPr>
        <w:spacing w:before="480" w:after="480"/>
        <w:ind w:left="0"/>
        <w:jc w:val="center"/>
        <w:rPr>
          <w:rFonts w:ascii="Bookman Old Style" w:hAnsi="Bookman Old Style"/>
          <w:b/>
        </w:rPr>
      </w:pPr>
      <w:r w:rsidRPr="00A72BBD">
        <w:rPr>
          <w:rFonts w:ascii="Bookman Old Style" w:hAnsi="Bookman Old Style"/>
          <w:b/>
        </w:rPr>
        <w:t>LA COMISIÓN DE REGULACIÓN DE ENERGÍA Y GAS</w:t>
      </w:r>
    </w:p>
    <w:p w14:paraId="3B161C6B" w14:textId="77777777" w:rsidR="00A72BBD" w:rsidRPr="00A72BBD" w:rsidRDefault="00A72BBD" w:rsidP="00A72BBD">
      <w:pPr>
        <w:spacing w:before="240" w:after="240"/>
        <w:ind w:left="0"/>
        <w:jc w:val="center"/>
        <w:rPr>
          <w:rFonts w:ascii="Bookman Old Style" w:hAnsi="Bookman Old Style"/>
        </w:rPr>
      </w:pPr>
      <w:r w:rsidRPr="00A72BBD">
        <w:rPr>
          <w:rFonts w:ascii="Bookman Old Style" w:hAnsi="Bookman Old Style"/>
        </w:rPr>
        <w:t>En ejercicio de sus atribuciones constitucionales y legales, en especial las conferidas por las Leyes 142 y 143 de 1994, y en desarrollo de los Decretos 1524, 2253 de 1994 y</w:t>
      </w:r>
      <w:r w:rsidRPr="00A72BBD">
        <w:rPr>
          <w:rFonts w:ascii="Bookman Old Style" w:hAnsi="Bookman Old Style"/>
          <w:caps/>
        </w:rPr>
        <w:t xml:space="preserve"> 1260 </w:t>
      </w:r>
      <w:r w:rsidRPr="00A72BBD">
        <w:rPr>
          <w:rFonts w:ascii="Bookman Old Style" w:hAnsi="Bookman Old Style"/>
        </w:rPr>
        <w:t>de</w:t>
      </w:r>
      <w:r w:rsidRPr="00A72BBD">
        <w:rPr>
          <w:rFonts w:ascii="Bookman Old Style" w:hAnsi="Bookman Old Style"/>
          <w:caps/>
        </w:rPr>
        <w:t xml:space="preserve"> 2013, </w:t>
      </w:r>
      <w:r w:rsidRPr="00A72BBD">
        <w:rPr>
          <w:rFonts w:ascii="Bookman Old Style" w:hAnsi="Bookman Old Style"/>
        </w:rPr>
        <w:t>y en cumplimiento</w:t>
      </w:r>
      <w:r w:rsidRPr="00A72BBD">
        <w:t xml:space="preserve"> </w:t>
      </w:r>
      <w:r>
        <w:t xml:space="preserve">del </w:t>
      </w:r>
      <w:r w:rsidRPr="00A72BBD">
        <w:rPr>
          <w:rFonts w:ascii="Bookman Old Style" w:hAnsi="Bookman Old Style"/>
        </w:rPr>
        <w:t>inciso 3º del artículo 49 de la Ley 2099 de 2021</w:t>
      </w:r>
    </w:p>
    <w:p w14:paraId="6C4A5404" w14:textId="77777777" w:rsidR="00045D3D" w:rsidRPr="00C435C3" w:rsidRDefault="00045D3D" w:rsidP="00850FAC">
      <w:pPr>
        <w:spacing w:before="480" w:after="480"/>
        <w:ind w:right="51"/>
        <w:jc w:val="center"/>
        <w:rPr>
          <w:rFonts w:ascii="Bookman Old Style" w:hAnsi="Bookman Old Style"/>
          <w:b/>
        </w:rPr>
      </w:pPr>
      <w:r w:rsidRPr="00C435C3">
        <w:rPr>
          <w:rFonts w:ascii="Bookman Old Style" w:hAnsi="Bookman Old Style"/>
          <w:b/>
        </w:rPr>
        <w:t xml:space="preserve">C O N S I D E R A N D </w:t>
      </w:r>
      <w:proofErr w:type="gramStart"/>
      <w:r w:rsidRPr="00C435C3">
        <w:rPr>
          <w:rFonts w:ascii="Bookman Old Style" w:hAnsi="Bookman Old Style"/>
          <w:b/>
        </w:rPr>
        <w:t>O</w:t>
      </w:r>
      <w:r>
        <w:rPr>
          <w:rFonts w:ascii="Bookman Old Style" w:hAnsi="Bookman Old Style"/>
          <w:b/>
        </w:rPr>
        <w:t xml:space="preserve">  Q</w:t>
      </w:r>
      <w:proofErr w:type="gramEnd"/>
      <w:r>
        <w:rPr>
          <w:rFonts w:ascii="Bookman Old Style" w:hAnsi="Bookman Old Style"/>
          <w:b/>
        </w:rPr>
        <w:t xml:space="preserve"> U E</w:t>
      </w:r>
      <w:r w:rsidRPr="00C435C3">
        <w:rPr>
          <w:rFonts w:ascii="Bookman Old Style" w:hAnsi="Bookman Old Style"/>
          <w:b/>
        </w:rPr>
        <w:t>:</w:t>
      </w:r>
    </w:p>
    <w:p w14:paraId="4CB659BE" w14:textId="77777777" w:rsidR="00A72BBD" w:rsidRPr="00A72BBD" w:rsidRDefault="00A72BBD" w:rsidP="008609D7">
      <w:pPr>
        <w:spacing w:before="240" w:after="240"/>
        <w:ind w:left="0"/>
        <w:jc w:val="both"/>
        <w:rPr>
          <w:rFonts w:ascii="Bookman Old Style" w:hAnsi="Bookman Old Style" w:cs="Arial"/>
          <w:lang w:val="es-CO"/>
        </w:rPr>
      </w:pPr>
      <w:r w:rsidRPr="00A72BBD">
        <w:rPr>
          <w:rFonts w:ascii="Bookman Old Style" w:hAnsi="Bookman Old Style" w:cs="Arial"/>
          <w:lang w:val="es-CO"/>
        </w:rPr>
        <w:t>El artículo 11 de la Ley 143 de 1994 establece que el Reglamento de operaciones es el “conjunto de principios, criterios y procedimientos establecidos para realizar el planeamiento, la coordinación y la ejecución de la operación del sistema interconectado nacional y para regular el funcionamiento del mercado mayorista de energía eléctrica. El reglamento de operación comprende varios documentos que se organizarán conforme a los temas propios del funcionamiento del sistema interconectado nacional”.</w:t>
      </w:r>
    </w:p>
    <w:p w14:paraId="0A9DAF70" w14:textId="50F6B79B" w:rsidR="00A72BBD" w:rsidRPr="00A72BBD" w:rsidRDefault="00A72BBD" w:rsidP="000C479A">
      <w:pPr>
        <w:spacing w:before="240" w:after="240"/>
        <w:ind w:left="0"/>
        <w:jc w:val="both"/>
        <w:rPr>
          <w:rFonts w:ascii="Bookman Old Style" w:hAnsi="Bookman Old Style" w:cs="Arial"/>
          <w:lang w:val="es-CO"/>
        </w:rPr>
      </w:pPr>
      <w:r w:rsidRPr="00A72BBD">
        <w:rPr>
          <w:rFonts w:ascii="Bookman Old Style" w:hAnsi="Bookman Old Style" w:cs="Arial"/>
          <w:lang w:val="es-CO"/>
        </w:rPr>
        <w:t>En concordancia con lo anterior, el literal i) del artículo 23 de la Ley 143 de 1994 consagra, que le corresponde a la Comisión de Regulación de Energía y Gas</w:t>
      </w:r>
      <w:r w:rsidR="00A13B00">
        <w:rPr>
          <w:rFonts w:ascii="Bookman Old Style" w:hAnsi="Bookman Old Style" w:cs="Arial"/>
          <w:lang w:val="es-CO"/>
        </w:rPr>
        <w:t>,</w:t>
      </w:r>
      <w:r w:rsidRPr="00A72BBD">
        <w:rPr>
          <w:rFonts w:ascii="Bookman Old Style" w:hAnsi="Bookman Old Style" w:cs="Arial"/>
          <w:lang w:val="es-CO"/>
        </w:rPr>
        <w:t xml:space="preserve"> con relación al servicio de electricidad</w:t>
      </w:r>
      <w:r w:rsidR="00A13B00">
        <w:rPr>
          <w:rFonts w:ascii="Bookman Old Style" w:hAnsi="Bookman Old Style" w:cs="Arial"/>
          <w:lang w:val="es-CO"/>
        </w:rPr>
        <w:t>,</w:t>
      </w:r>
      <w:r w:rsidRPr="00A72BBD">
        <w:rPr>
          <w:rFonts w:ascii="Bookman Old Style" w:hAnsi="Bookman Old Style" w:cs="Arial"/>
          <w:lang w:val="es-CO"/>
        </w:rPr>
        <w:t xml:space="preserve"> establecer el Reglamento de Operación para realizar el planeamiento y la coordinación de la operación del Sistema Interconectado Nacional</w:t>
      </w:r>
      <w:r w:rsidR="00BD32A2">
        <w:rPr>
          <w:rFonts w:ascii="Bookman Old Style" w:hAnsi="Bookman Old Style" w:cs="Arial"/>
          <w:lang w:val="es-CO"/>
        </w:rPr>
        <w:t xml:space="preserve"> (SIN)</w:t>
      </w:r>
      <w:r w:rsidRPr="00A72BBD">
        <w:rPr>
          <w:rFonts w:ascii="Bookman Old Style" w:hAnsi="Bookman Old Style" w:cs="Arial"/>
          <w:lang w:val="es-CO"/>
        </w:rPr>
        <w:t>.</w:t>
      </w:r>
    </w:p>
    <w:p w14:paraId="5E6004E6" w14:textId="2C22581D" w:rsidR="00A72BBD" w:rsidRPr="00A72BBD" w:rsidRDefault="00A72BBD" w:rsidP="000C479A">
      <w:pPr>
        <w:spacing w:before="240" w:after="240"/>
        <w:ind w:left="0"/>
        <w:jc w:val="both"/>
        <w:rPr>
          <w:rFonts w:ascii="Bookman Old Style" w:hAnsi="Bookman Old Style" w:cs="Arial"/>
          <w:lang w:val="es-CO"/>
        </w:rPr>
      </w:pPr>
      <w:r w:rsidRPr="00A72BBD">
        <w:rPr>
          <w:rFonts w:ascii="Bookman Old Style" w:hAnsi="Bookman Old Style" w:cs="Arial"/>
          <w:lang w:val="es-CO"/>
        </w:rPr>
        <w:t xml:space="preserve">El artículo 6 de la Ley 143 de 1994 consagra </w:t>
      </w:r>
      <w:r w:rsidR="00E03FCD" w:rsidRPr="00A72BBD">
        <w:rPr>
          <w:rFonts w:ascii="Bookman Old Style" w:hAnsi="Bookman Old Style" w:cs="Arial"/>
          <w:lang w:val="es-CO"/>
        </w:rPr>
        <w:t xml:space="preserve">el principio de eficiencia </w:t>
      </w:r>
      <w:r w:rsidRPr="00A72BBD">
        <w:rPr>
          <w:rFonts w:ascii="Bookman Old Style" w:hAnsi="Bookman Old Style" w:cs="Arial"/>
          <w:lang w:val="es-CO"/>
        </w:rPr>
        <w:t>dentro de los principios a los que se sujeta la prestación del servicio de energía eléctrica, el cual se entiende como la obligación que tiene el Estado de realizar la correcta asignación y utilización de los recursos</w:t>
      </w:r>
      <w:r w:rsidR="00CB74EA">
        <w:rPr>
          <w:rFonts w:ascii="Bookman Old Style" w:hAnsi="Bookman Old Style" w:cs="Arial"/>
          <w:lang w:val="es-CO"/>
        </w:rPr>
        <w:t>,</w:t>
      </w:r>
      <w:r w:rsidRPr="00A72BBD">
        <w:rPr>
          <w:rFonts w:ascii="Bookman Old Style" w:hAnsi="Bookman Old Style" w:cs="Arial"/>
          <w:lang w:val="es-CO"/>
        </w:rPr>
        <w:t xml:space="preserve"> de tal forma que se garantice la prestación del servicio al menor costo económico</w:t>
      </w:r>
      <w:r w:rsidR="00CB74EA">
        <w:rPr>
          <w:rFonts w:ascii="Bookman Old Style" w:hAnsi="Bookman Old Style" w:cs="Arial"/>
          <w:lang w:val="es-CO"/>
        </w:rPr>
        <w:t>. A</w:t>
      </w:r>
      <w:r w:rsidRPr="00A72BBD">
        <w:rPr>
          <w:rFonts w:ascii="Bookman Old Style" w:hAnsi="Bookman Old Style" w:cs="Arial"/>
          <w:lang w:val="es-CO"/>
        </w:rPr>
        <w:t xml:space="preserve">sí </w:t>
      </w:r>
      <w:r w:rsidR="002D3BC0">
        <w:rPr>
          <w:rFonts w:ascii="Bookman Old Style" w:hAnsi="Bookman Old Style" w:cs="Arial"/>
          <w:lang w:val="es-CO"/>
        </w:rPr>
        <w:t>mismo, consag</w:t>
      </w:r>
      <w:r w:rsidR="00E37136">
        <w:rPr>
          <w:rFonts w:ascii="Bookman Old Style" w:hAnsi="Bookman Old Style" w:cs="Arial"/>
          <w:lang w:val="es-CO"/>
        </w:rPr>
        <w:t>ra</w:t>
      </w:r>
      <w:r w:rsidR="002D3BC0" w:rsidRPr="00A72BBD">
        <w:rPr>
          <w:rFonts w:ascii="Bookman Old Style" w:hAnsi="Bookman Old Style" w:cs="Arial"/>
          <w:lang w:val="es-CO"/>
        </w:rPr>
        <w:t xml:space="preserve"> </w:t>
      </w:r>
      <w:r w:rsidRPr="00A72BBD">
        <w:rPr>
          <w:rFonts w:ascii="Bookman Old Style" w:hAnsi="Bookman Old Style" w:cs="Arial"/>
          <w:lang w:val="es-CO"/>
        </w:rPr>
        <w:t xml:space="preserve">el principio de calidad, </w:t>
      </w:r>
      <w:r w:rsidR="00D6593C">
        <w:rPr>
          <w:rFonts w:ascii="Bookman Old Style" w:hAnsi="Bookman Old Style" w:cs="Arial"/>
          <w:lang w:val="es-CO"/>
        </w:rPr>
        <w:t>bajo</w:t>
      </w:r>
      <w:r w:rsidR="00D6593C" w:rsidRPr="00A72BBD">
        <w:rPr>
          <w:rFonts w:ascii="Bookman Old Style" w:hAnsi="Bookman Old Style" w:cs="Arial"/>
          <w:lang w:val="es-CO"/>
        </w:rPr>
        <w:t xml:space="preserve"> </w:t>
      </w:r>
      <w:r w:rsidRPr="00A72BBD">
        <w:rPr>
          <w:rFonts w:ascii="Bookman Old Style" w:hAnsi="Bookman Old Style" w:cs="Arial"/>
          <w:lang w:val="es-CO"/>
        </w:rPr>
        <w:t xml:space="preserve">el </w:t>
      </w:r>
      <w:r w:rsidR="00D6593C">
        <w:rPr>
          <w:rFonts w:ascii="Bookman Old Style" w:hAnsi="Bookman Old Style" w:cs="Arial"/>
          <w:lang w:val="es-CO"/>
        </w:rPr>
        <w:t xml:space="preserve">que el </w:t>
      </w:r>
      <w:r w:rsidRPr="00A72BBD">
        <w:rPr>
          <w:rFonts w:ascii="Bookman Old Style" w:hAnsi="Bookman Old Style" w:cs="Arial"/>
          <w:lang w:val="es-CO"/>
        </w:rPr>
        <w:t>servicio prestado debe cumplir con los requisitos técnicos que se establezcan para él.</w:t>
      </w:r>
    </w:p>
    <w:p w14:paraId="24A8C1A6" w14:textId="3C9B19D1" w:rsidR="00A72BBD" w:rsidRPr="00A72BBD" w:rsidRDefault="00A72BBD" w:rsidP="008609D7">
      <w:pPr>
        <w:spacing w:before="240" w:after="240"/>
        <w:ind w:left="0"/>
        <w:jc w:val="both"/>
        <w:rPr>
          <w:rFonts w:ascii="Bookman Old Style" w:hAnsi="Bookman Old Style" w:cs="Arial"/>
          <w:lang w:val="es-CO"/>
        </w:rPr>
      </w:pPr>
      <w:r w:rsidRPr="00A72BBD">
        <w:rPr>
          <w:rFonts w:ascii="Bookman Old Style" w:hAnsi="Bookman Old Style" w:cs="Arial"/>
          <w:lang w:val="es-CO"/>
        </w:rPr>
        <w:t>El artículo 4 de esta misma norma determina que el Estado, en relación con el servicio de electricidad</w:t>
      </w:r>
      <w:r w:rsidR="006027EF">
        <w:rPr>
          <w:rFonts w:ascii="Bookman Old Style" w:hAnsi="Bookman Old Style" w:cs="Arial"/>
          <w:lang w:val="es-CO"/>
        </w:rPr>
        <w:t>,</w:t>
      </w:r>
      <w:r w:rsidRPr="00A72BBD">
        <w:rPr>
          <w:rFonts w:ascii="Bookman Old Style" w:hAnsi="Bookman Old Style" w:cs="Arial"/>
          <w:lang w:val="es-CO"/>
        </w:rPr>
        <w:t xml:space="preserve"> tendrá como uno de sus objetivos el de asegurar una operación eficiente, segura y confiable en las actividades del sector.</w:t>
      </w:r>
    </w:p>
    <w:p w14:paraId="7919CBD4" w14:textId="3396BB13" w:rsidR="00A72BBD" w:rsidRPr="00A72BBD" w:rsidRDefault="00A72BBD" w:rsidP="008609D7">
      <w:pPr>
        <w:spacing w:before="240" w:after="240"/>
        <w:ind w:left="0"/>
        <w:jc w:val="both"/>
        <w:rPr>
          <w:rFonts w:ascii="Bookman Old Style" w:hAnsi="Bookman Old Style" w:cs="Arial"/>
          <w:lang w:val="es-CO"/>
        </w:rPr>
      </w:pPr>
      <w:r w:rsidRPr="00A72BBD">
        <w:rPr>
          <w:rFonts w:ascii="Bookman Old Style" w:hAnsi="Bookman Old Style" w:cs="Arial"/>
          <w:lang w:val="es-CO"/>
        </w:rPr>
        <w:t>El artículo 20 de la Ley 143 de 1994 establece como objetivo de la regulación asegurar una adecuada prestación del servicio mediante el aprovechamiento eficiente de los diferentes recursos energéticos en beneficio del usuario</w:t>
      </w:r>
      <w:r w:rsidR="002E7F2F">
        <w:rPr>
          <w:rFonts w:ascii="Bookman Old Style" w:hAnsi="Bookman Old Style" w:cs="Arial"/>
          <w:lang w:val="es-CO"/>
        </w:rPr>
        <w:t>,</w:t>
      </w:r>
      <w:r w:rsidRPr="00A72BBD">
        <w:rPr>
          <w:rFonts w:ascii="Bookman Old Style" w:hAnsi="Bookman Old Style" w:cs="Arial"/>
          <w:lang w:val="es-CO"/>
        </w:rPr>
        <w:t xml:space="preserve"> en términos de calidad, oportunidad y costo del servicio. Para el logro de este </w:t>
      </w:r>
      <w:r w:rsidRPr="00A72BBD">
        <w:rPr>
          <w:rFonts w:ascii="Bookman Old Style" w:hAnsi="Bookman Old Style" w:cs="Arial"/>
          <w:lang w:val="es-CO"/>
        </w:rPr>
        <w:lastRenderedPageBreak/>
        <w:t>objetivo,</w:t>
      </w:r>
      <w:r w:rsidR="00C66C4F">
        <w:rPr>
          <w:rFonts w:ascii="Bookman Old Style" w:hAnsi="Bookman Old Style" w:cs="Arial"/>
          <w:lang w:val="es-CO"/>
        </w:rPr>
        <w:t xml:space="preserve"> se</w:t>
      </w:r>
      <w:r w:rsidRPr="00A72BBD">
        <w:rPr>
          <w:rFonts w:ascii="Bookman Old Style" w:hAnsi="Bookman Old Style" w:cs="Arial"/>
          <w:lang w:val="es-CO"/>
        </w:rPr>
        <w:t xml:space="preserve"> promoverá la competencia,</w:t>
      </w:r>
      <w:r w:rsidR="00C66C4F">
        <w:rPr>
          <w:rFonts w:ascii="Bookman Old Style" w:hAnsi="Bookman Old Style" w:cs="Arial"/>
          <w:lang w:val="es-CO"/>
        </w:rPr>
        <w:t xml:space="preserve"> y</w:t>
      </w:r>
      <w:r w:rsidRPr="00A72BBD">
        <w:rPr>
          <w:rFonts w:ascii="Bookman Old Style" w:hAnsi="Bookman Old Style" w:cs="Arial"/>
          <w:lang w:val="es-CO"/>
        </w:rPr>
        <w:t xml:space="preserve"> </w:t>
      </w:r>
      <w:r w:rsidR="00CE7DA8">
        <w:rPr>
          <w:rFonts w:ascii="Bookman Old Style" w:hAnsi="Bookman Old Style" w:cs="Arial"/>
          <w:lang w:val="es-CO"/>
        </w:rPr>
        <w:t xml:space="preserve">se </w:t>
      </w:r>
      <w:r w:rsidRPr="00A72BBD">
        <w:rPr>
          <w:rFonts w:ascii="Bookman Old Style" w:hAnsi="Bookman Old Style" w:cs="Arial"/>
          <w:lang w:val="es-CO"/>
        </w:rPr>
        <w:t>creará</w:t>
      </w:r>
      <w:r w:rsidR="00C66C4F">
        <w:rPr>
          <w:rFonts w:ascii="Bookman Old Style" w:hAnsi="Bookman Old Style" w:cs="Arial"/>
          <w:lang w:val="es-CO"/>
        </w:rPr>
        <w:t>n</w:t>
      </w:r>
      <w:r w:rsidRPr="00A72BBD">
        <w:rPr>
          <w:rFonts w:ascii="Bookman Old Style" w:hAnsi="Bookman Old Style" w:cs="Arial"/>
          <w:lang w:val="es-CO"/>
        </w:rPr>
        <w:t xml:space="preserve"> y preservará</w:t>
      </w:r>
      <w:r w:rsidR="00C66C4F">
        <w:rPr>
          <w:rFonts w:ascii="Bookman Old Style" w:hAnsi="Bookman Old Style" w:cs="Arial"/>
          <w:lang w:val="es-CO"/>
        </w:rPr>
        <w:t>n</w:t>
      </w:r>
      <w:r w:rsidRPr="00A72BBD">
        <w:rPr>
          <w:rFonts w:ascii="Bookman Old Style" w:hAnsi="Bookman Old Style" w:cs="Arial"/>
          <w:lang w:val="es-CO"/>
        </w:rPr>
        <w:t xml:space="preserve"> las condiciones que la hagan posible.</w:t>
      </w:r>
    </w:p>
    <w:p w14:paraId="6DAD6BA4" w14:textId="77777777" w:rsidR="00A72BBD" w:rsidRPr="00A72BBD" w:rsidRDefault="00A72BBD" w:rsidP="008609D7">
      <w:pPr>
        <w:spacing w:before="240" w:after="240"/>
        <w:ind w:left="0"/>
        <w:jc w:val="both"/>
        <w:rPr>
          <w:rFonts w:ascii="Bookman Old Style" w:hAnsi="Bookman Old Style" w:cs="Arial"/>
          <w:lang w:val="es-CO"/>
        </w:rPr>
      </w:pPr>
      <w:r w:rsidRPr="00A72BBD">
        <w:rPr>
          <w:rFonts w:ascii="Bookman Old Style" w:hAnsi="Bookman Old Style" w:cs="Arial"/>
          <w:lang w:val="es-CO"/>
        </w:rPr>
        <w:t>De acuerdo con el artículo 73 de la Ley 142 de 1994, la Comisión de Regulación de Energía y Gas debe promover la competencia entre quienes prestan servicios públicos.</w:t>
      </w:r>
    </w:p>
    <w:p w14:paraId="31075483" w14:textId="11801568" w:rsidR="00A72BBD" w:rsidRDefault="001F7582" w:rsidP="008609D7">
      <w:pPr>
        <w:spacing w:before="240" w:after="240"/>
        <w:ind w:left="0"/>
        <w:jc w:val="both"/>
        <w:rPr>
          <w:rFonts w:ascii="Bookman Old Style" w:hAnsi="Bookman Old Style" w:cs="Arial"/>
          <w:lang w:val="es-CO"/>
        </w:rPr>
      </w:pPr>
      <w:r>
        <w:rPr>
          <w:rFonts w:ascii="Bookman Old Style" w:hAnsi="Bookman Old Style" w:cs="Arial"/>
          <w:lang w:val="es-CO"/>
        </w:rPr>
        <w:t>A</w:t>
      </w:r>
      <w:r w:rsidRPr="00A72BBD">
        <w:rPr>
          <w:rFonts w:ascii="Bookman Old Style" w:hAnsi="Bookman Old Style" w:cs="Arial"/>
          <w:lang w:val="es-CO"/>
        </w:rPr>
        <w:t>l definir el servicio de energía eléctrica</w:t>
      </w:r>
      <w:r>
        <w:rPr>
          <w:rFonts w:ascii="Bookman Old Style" w:hAnsi="Bookman Old Style" w:cs="Arial"/>
          <w:lang w:val="es-CO"/>
        </w:rPr>
        <w:t>,</w:t>
      </w:r>
      <w:r w:rsidRPr="00A72BBD">
        <w:rPr>
          <w:rFonts w:ascii="Bookman Old Style" w:hAnsi="Bookman Old Style" w:cs="Arial"/>
          <w:lang w:val="es-CO"/>
        </w:rPr>
        <w:t xml:space="preserve"> </w:t>
      </w:r>
      <w:r>
        <w:rPr>
          <w:rFonts w:ascii="Bookman Old Style" w:hAnsi="Bookman Old Style" w:cs="Arial"/>
          <w:lang w:val="es-CO"/>
        </w:rPr>
        <w:t>l</w:t>
      </w:r>
      <w:r w:rsidRPr="00A72BBD">
        <w:rPr>
          <w:rFonts w:ascii="Bookman Old Style" w:hAnsi="Bookman Old Style" w:cs="Arial"/>
          <w:lang w:val="es-CO"/>
        </w:rPr>
        <w:t xml:space="preserve">a </w:t>
      </w:r>
      <w:r w:rsidR="00A72BBD" w:rsidRPr="00A72BBD">
        <w:rPr>
          <w:rFonts w:ascii="Bookman Old Style" w:hAnsi="Bookman Old Style" w:cs="Arial"/>
          <w:lang w:val="es-CO"/>
        </w:rPr>
        <w:t>Ley 142 de 1994 hace referencia a la medición como uno de los elementos que hacen parte de la prestación de este servicio público domiciliario. En virtud de lo anterior, los artículos 144, 145 y 146 de la Ley 142 de 1994 establecen criterios sobre los instrumentos de medición del consumo y la determinación del consumo facturable, como parte de los derechos de los usuarios de que trata el artículo 9 de esta misma norma.</w:t>
      </w:r>
    </w:p>
    <w:p w14:paraId="0141E8A8" w14:textId="5F159FDA" w:rsidR="00BC4076" w:rsidRPr="003D67D8" w:rsidRDefault="00BC4076" w:rsidP="008609D7">
      <w:pPr>
        <w:spacing w:before="240" w:after="240"/>
        <w:ind w:left="0"/>
        <w:jc w:val="both"/>
        <w:rPr>
          <w:rFonts w:ascii="Bookman Old Style" w:hAnsi="Bookman Old Style" w:cs="Arial"/>
          <w:lang w:val="es-CO"/>
        </w:rPr>
      </w:pPr>
      <w:r w:rsidRPr="004E5F38">
        <w:rPr>
          <w:rFonts w:ascii="Bookman Old Style" w:hAnsi="Bookman Old Style" w:cs="Arial"/>
          <w:lang w:val="es-CO"/>
        </w:rPr>
        <w:t>La Ley 142 de 1994, en su</w:t>
      </w:r>
      <w:r w:rsidR="001F7582">
        <w:rPr>
          <w:rFonts w:ascii="Bookman Old Style" w:hAnsi="Bookman Old Style" w:cs="Arial"/>
          <w:lang w:val="es-CO"/>
        </w:rPr>
        <w:t>s</w:t>
      </w:r>
      <w:r w:rsidRPr="004E5F38">
        <w:rPr>
          <w:rFonts w:ascii="Bookman Old Style" w:hAnsi="Bookman Old Style" w:cs="Arial"/>
          <w:lang w:val="es-CO"/>
        </w:rPr>
        <w:t xml:space="preserve"> artículo</w:t>
      </w:r>
      <w:r w:rsidR="001F7582">
        <w:rPr>
          <w:rFonts w:ascii="Bookman Old Style" w:hAnsi="Bookman Old Style" w:cs="Arial"/>
          <w:lang w:val="es-CO"/>
        </w:rPr>
        <w:t>s</w:t>
      </w:r>
      <w:r w:rsidRPr="004E5F38">
        <w:rPr>
          <w:rFonts w:ascii="Bookman Old Style" w:hAnsi="Bookman Old Style" w:cs="Arial"/>
          <w:lang w:val="es-CO"/>
        </w:rPr>
        <w:t xml:space="preserve"> 9</w:t>
      </w:r>
      <w:r w:rsidR="001F7582">
        <w:rPr>
          <w:rFonts w:ascii="Bookman Old Style" w:hAnsi="Bookman Old Style" w:cs="Arial"/>
          <w:lang w:val="es-CO"/>
        </w:rPr>
        <w:t>,</w:t>
      </w:r>
      <w:r w:rsidRPr="004E5F38">
        <w:rPr>
          <w:rFonts w:ascii="Bookman Old Style" w:hAnsi="Bookman Old Style" w:cs="Arial"/>
          <w:lang w:val="es-CO"/>
        </w:rPr>
        <w:t xml:space="preserve"> numerales 1º</w:t>
      </w:r>
      <w:r w:rsidR="001F7582">
        <w:rPr>
          <w:rFonts w:ascii="Bookman Old Style" w:hAnsi="Bookman Old Style" w:cs="Arial"/>
          <w:lang w:val="es-CO"/>
        </w:rPr>
        <w:t xml:space="preserve"> y</w:t>
      </w:r>
      <w:r w:rsidR="001F7582" w:rsidRPr="004E5F38">
        <w:rPr>
          <w:rFonts w:ascii="Bookman Old Style" w:hAnsi="Bookman Old Style" w:cs="Arial"/>
          <w:lang w:val="es-CO"/>
        </w:rPr>
        <w:t xml:space="preserve"> </w:t>
      </w:r>
      <w:r w:rsidRPr="004E5F38">
        <w:rPr>
          <w:rFonts w:ascii="Bookman Old Style" w:hAnsi="Bookman Old Style" w:cs="Arial"/>
          <w:lang w:val="es-CO"/>
        </w:rPr>
        <w:t xml:space="preserve">2º, 135, 144 y 146, establece una serie de disposiciones asociadas con la medición, el equipo de medida y el consumo dentro de la prestación del servicio público domiciliario de energía eléctrica en el marco de la relación usuario - empresa, incluyendo una serie de </w:t>
      </w:r>
      <w:r w:rsidRPr="00DD419C">
        <w:rPr>
          <w:rFonts w:ascii="Bookman Old Style" w:hAnsi="Bookman Old Style" w:cs="Arial"/>
          <w:lang w:val="es-CO"/>
        </w:rPr>
        <w:t>derechos y deberes en cabeza de los usuarios y/o suscriptores, así como de las empresas en esta materia</w:t>
      </w:r>
      <w:r w:rsidR="00165C55">
        <w:rPr>
          <w:rStyle w:val="Refdenotaalpie"/>
          <w:rFonts w:ascii="Bookman Old Style" w:hAnsi="Bookman Old Style" w:cs="Arial"/>
          <w:lang w:val="es-CO"/>
        </w:rPr>
        <w:footnoteReference w:id="2"/>
      </w:r>
      <w:r w:rsidRPr="00DD419C">
        <w:rPr>
          <w:rFonts w:ascii="Bookman Old Style" w:hAnsi="Bookman Old Style" w:cs="Arial"/>
          <w:lang w:val="es-CO"/>
        </w:rPr>
        <w:t xml:space="preserve">. </w:t>
      </w:r>
    </w:p>
    <w:p w14:paraId="4C73258A" w14:textId="1CC2520C" w:rsidR="00975A33" w:rsidRDefault="00BC4076" w:rsidP="00DD419C">
      <w:pPr>
        <w:spacing w:before="240" w:after="240"/>
        <w:ind w:left="0"/>
        <w:jc w:val="both"/>
        <w:rPr>
          <w:rFonts w:ascii="Bookman Old Style" w:hAnsi="Bookman Old Style"/>
          <w:szCs w:val="20"/>
          <w:lang w:val="es-CO"/>
        </w:rPr>
      </w:pPr>
      <w:r w:rsidRPr="009A4A75">
        <w:rPr>
          <w:rFonts w:ascii="Bookman Old Style" w:hAnsi="Bookman Old Style" w:cs="Arial"/>
          <w:lang w:val="es-CO"/>
        </w:rPr>
        <w:t>Mediante la Ley 1715 de 2014 se adoptaron reglas para promover la gestión eficiente de la energía, entendida como el conjunto de acciones orientadas a asegurar el suministro energético a través de la implementación de medidas de eficiencia energética</w:t>
      </w:r>
      <w:r w:rsidR="00165C55">
        <w:rPr>
          <w:rFonts w:ascii="Bookman Old Style" w:hAnsi="Bookman Old Style" w:cs="Arial"/>
          <w:lang w:val="es-CO"/>
        </w:rPr>
        <w:t xml:space="preserve"> </w:t>
      </w:r>
      <w:r w:rsidRPr="009A4A75">
        <w:rPr>
          <w:rFonts w:ascii="Bookman Old Style" w:hAnsi="Bookman Old Style" w:cs="Arial"/>
          <w:lang w:val="es-CO"/>
        </w:rPr>
        <w:t xml:space="preserve">y respuesta de la demanda. En concordancia con lo anterior, el Decreto 1073 de 2015 en su artículo 2.2.3.2.4.6 consagra que, con el fin de promover la gestión eficiente de la energía, el Ministerio de Minas y Energía establecerá e implementará los lineamientos de política energética en materia de sistemas de medición. </w:t>
      </w:r>
    </w:p>
    <w:p w14:paraId="78740B8D" w14:textId="1A0A70A8" w:rsidR="00F72D80" w:rsidRDefault="00975A33" w:rsidP="00F72D80">
      <w:pPr>
        <w:spacing w:before="300" w:after="300"/>
        <w:ind w:left="0"/>
        <w:jc w:val="both"/>
        <w:rPr>
          <w:rFonts w:ascii="Bookman Old Style" w:hAnsi="Bookman Old Style"/>
          <w:szCs w:val="20"/>
          <w:lang w:val="es-CO"/>
        </w:rPr>
      </w:pPr>
      <w:r>
        <w:rPr>
          <w:rFonts w:ascii="Bookman Old Style" w:hAnsi="Bookman Old Style"/>
          <w:szCs w:val="20"/>
          <w:lang w:val="es-CO"/>
        </w:rPr>
        <w:t>Ahora</w:t>
      </w:r>
      <w:r w:rsidR="00057AB8">
        <w:rPr>
          <w:rFonts w:ascii="Bookman Old Style" w:hAnsi="Bookman Old Style"/>
          <w:szCs w:val="20"/>
          <w:lang w:val="es-CO"/>
        </w:rPr>
        <w:t xml:space="preserve"> bien</w:t>
      </w:r>
      <w:r>
        <w:rPr>
          <w:rFonts w:ascii="Bookman Old Style" w:hAnsi="Bookman Old Style"/>
          <w:szCs w:val="20"/>
          <w:lang w:val="es-CO"/>
        </w:rPr>
        <w:t>,</w:t>
      </w:r>
      <w:r w:rsidR="003E07C5">
        <w:rPr>
          <w:rFonts w:ascii="Bookman Old Style" w:hAnsi="Bookman Old Style"/>
          <w:szCs w:val="20"/>
          <w:lang w:val="es-CO"/>
        </w:rPr>
        <w:t xml:space="preserve"> el artículo 49 de la Ley 2099 de 2021, publicada en el Diario Oficial 51.73</w:t>
      </w:r>
      <w:r w:rsidR="00937FA4">
        <w:rPr>
          <w:rFonts w:ascii="Bookman Old Style" w:hAnsi="Bookman Old Style"/>
          <w:szCs w:val="20"/>
          <w:lang w:val="es-CO"/>
        </w:rPr>
        <w:t>1</w:t>
      </w:r>
      <w:r w:rsidR="003E07C5">
        <w:rPr>
          <w:rFonts w:ascii="Bookman Old Style" w:hAnsi="Bookman Old Style"/>
          <w:szCs w:val="20"/>
          <w:lang w:val="es-CO"/>
        </w:rPr>
        <w:t xml:space="preserve"> de 1</w:t>
      </w:r>
      <w:r w:rsidR="00937FA4">
        <w:rPr>
          <w:rFonts w:ascii="Bookman Old Style" w:hAnsi="Bookman Old Style"/>
          <w:szCs w:val="20"/>
          <w:lang w:val="es-CO"/>
        </w:rPr>
        <w:t>0</w:t>
      </w:r>
      <w:r w:rsidR="003E07C5">
        <w:rPr>
          <w:rFonts w:ascii="Bookman Old Style" w:hAnsi="Bookman Old Style"/>
          <w:szCs w:val="20"/>
          <w:lang w:val="es-CO"/>
        </w:rPr>
        <w:t xml:space="preserve"> de julio de 2021, estableció lo siguiente:</w:t>
      </w:r>
      <w:r>
        <w:rPr>
          <w:rFonts w:ascii="Bookman Old Style" w:hAnsi="Bookman Old Style"/>
          <w:szCs w:val="20"/>
          <w:lang w:val="es-CO"/>
        </w:rPr>
        <w:t xml:space="preserve"> </w:t>
      </w:r>
      <w:r w:rsidR="00F72D80" w:rsidRPr="00F72D80">
        <w:rPr>
          <w:rFonts w:ascii="Bookman Old Style" w:hAnsi="Bookman Old Style"/>
          <w:szCs w:val="20"/>
          <w:lang w:val="es-CO"/>
        </w:rPr>
        <w:t xml:space="preserve">  </w:t>
      </w:r>
    </w:p>
    <w:p w14:paraId="16EC1A0F" w14:textId="77777777" w:rsidR="00937FA4" w:rsidRPr="00320ACD" w:rsidRDefault="00937FA4" w:rsidP="00541031">
      <w:pPr>
        <w:spacing w:before="120" w:after="120"/>
        <w:ind w:left="284"/>
        <w:jc w:val="both"/>
        <w:rPr>
          <w:rFonts w:ascii="Bookman Old Style" w:hAnsi="Bookman Old Style"/>
          <w:i/>
          <w:iCs/>
          <w:sz w:val="22"/>
          <w:szCs w:val="22"/>
          <w:lang w:val="es-CO"/>
        </w:rPr>
      </w:pPr>
      <w:r w:rsidRPr="00320ACD">
        <w:rPr>
          <w:rFonts w:ascii="Bookman Old Style" w:hAnsi="Bookman Old Style"/>
          <w:i/>
          <w:iCs/>
          <w:sz w:val="22"/>
          <w:szCs w:val="22"/>
          <w:lang w:val="es-CO"/>
        </w:rPr>
        <w:t>“</w:t>
      </w:r>
      <w:r w:rsidR="003E07C5" w:rsidRPr="00320ACD">
        <w:rPr>
          <w:rFonts w:ascii="Bookman Old Style" w:hAnsi="Bookman Old Style"/>
          <w:b/>
          <w:bCs/>
          <w:i/>
          <w:iCs/>
          <w:sz w:val="22"/>
          <w:szCs w:val="22"/>
          <w:lang w:val="es-CO"/>
        </w:rPr>
        <w:t>Artículo 49. Incentivos a la Movilidad Eléctrica.</w:t>
      </w:r>
      <w:r w:rsidR="003E07C5" w:rsidRPr="00320ACD">
        <w:rPr>
          <w:rFonts w:ascii="Bookman Old Style" w:hAnsi="Bookman Old Style"/>
          <w:i/>
          <w:iCs/>
          <w:sz w:val="22"/>
          <w:szCs w:val="22"/>
          <w:lang w:val="es-CO"/>
        </w:rPr>
        <w:t xml:space="preserve"> A partir del tercer mes de vigencia de esta ley, con el fin de fomentar el uso eficiente de la energía eléctrica en la movilidad de pasajeros y propender por la electrificación de la economía, las empresas prestadoras del Servicio Público Urbano de Transporte Masivo de Pasajeros, no estarán sujetos a la contribución prevista en el artículo 47 de la Ley 143 de 1994, el artículo 89.1 de la Ley 142 de 1994 </w:t>
      </w:r>
      <w:r w:rsidRPr="00320ACD">
        <w:rPr>
          <w:rFonts w:ascii="Bookman Old Style" w:hAnsi="Bookman Old Style"/>
          <w:i/>
          <w:iCs/>
          <w:sz w:val="22"/>
          <w:szCs w:val="22"/>
          <w:lang w:val="es-CO"/>
        </w:rPr>
        <w:t>y</w:t>
      </w:r>
      <w:r w:rsidR="003E07C5" w:rsidRPr="00320ACD">
        <w:rPr>
          <w:rFonts w:ascii="Bookman Old Style" w:hAnsi="Bookman Old Style"/>
          <w:i/>
          <w:iCs/>
          <w:sz w:val="22"/>
          <w:szCs w:val="22"/>
          <w:lang w:val="es-CO"/>
        </w:rPr>
        <w:t xml:space="preserve"> demás que lo complementen, modifiquen o sustituyan, respecto de </w:t>
      </w:r>
      <w:bookmarkStart w:id="2" w:name="_Hlk79057678"/>
      <w:r w:rsidR="003E07C5" w:rsidRPr="00320ACD">
        <w:rPr>
          <w:rFonts w:ascii="Bookman Old Style" w:hAnsi="Bookman Old Style"/>
          <w:i/>
          <w:iCs/>
          <w:sz w:val="22"/>
          <w:szCs w:val="22"/>
          <w:lang w:val="es-CO"/>
        </w:rPr>
        <w:t>la energía que efectivamente destinen a la carga o propulsión de vehícul</w:t>
      </w:r>
      <w:r w:rsidRPr="00320ACD">
        <w:rPr>
          <w:rFonts w:ascii="Bookman Old Style" w:hAnsi="Bookman Old Style"/>
          <w:i/>
          <w:iCs/>
          <w:sz w:val="22"/>
          <w:szCs w:val="22"/>
          <w:lang w:val="es-CO"/>
        </w:rPr>
        <w:t>os</w:t>
      </w:r>
      <w:r w:rsidR="003E07C5" w:rsidRPr="00320ACD">
        <w:rPr>
          <w:rFonts w:ascii="Bookman Old Style" w:hAnsi="Bookman Old Style"/>
          <w:i/>
          <w:iCs/>
          <w:sz w:val="22"/>
          <w:szCs w:val="22"/>
          <w:lang w:val="es-CO"/>
        </w:rPr>
        <w:t xml:space="preserve"> eléctricos o sistemas eléctricos </w:t>
      </w:r>
      <w:r w:rsidRPr="00320ACD">
        <w:rPr>
          <w:rFonts w:ascii="Bookman Old Style" w:hAnsi="Bookman Old Style"/>
          <w:i/>
          <w:iCs/>
          <w:sz w:val="22"/>
          <w:szCs w:val="22"/>
          <w:lang w:val="es-CO"/>
        </w:rPr>
        <w:t>de transporte</w:t>
      </w:r>
      <w:r w:rsidR="003E07C5" w:rsidRPr="00320ACD">
        <w:rPr>
          <w:rFonts w:ascii="Bookman Old Style" w:hAnsi="Bookman Old Style"/>
          <w:i/>
          <w:iCs/>
          <w:sz w:val="22"/>
          <w:szCs w:val="22"/>
          <w:lang w:val="es-CO"/>
        </w:rPr>
        <w:t xml:space="preserve"> masivo de pasajeros. </w:t>
      </w:r>
    </w:p>
    <w:bookmarkEnd w:id="2"/>
    <w:p w14:paraId="5E22127D" w14:textId="77777777" w:rsidR="00937FA4" w:rsidRPr="00320ACD" w:rsidRDefault="003E07C5" w:rsidP="00541031">
      <w:pPr>
        <w:spacing w:before="120" w:after="120"/>
        <w:ind w:left="284"/>
        <w:jc w:val="both"/>
        <w:rPr>
          <w:rFonts w:ascii="Bookman Old Style" w:hAnsi="Bookman Old Style"/>
          <w:i/>
          <w:iCs/>
          <w:sz w:val="22"/>
          <w:szCs w:val="22"/>
          <w:lang w:val="es-CO"/>
        </w:rPr>
      </w:pPr>
      <w:r w:rsidRPr="00320ACD">
        <w:rPr>
          <w:rFonts w:ascii="Bookman Old Style" w:hAnsi="Bookman Old Style"/>
          <w:i/>
          <w:iCs/>
          <w:sz w:val="22"/>
          <w:szCs w:val="22"/>
          <w:lang w:val="es-CO"/>
        </w:rPr>
        <w:t>El consumo de energía eléctrica destinado a la carga de vehículos eléctricos en estaciones de carga incluidas las que se encuentren en estaci</w:t>
      </w:r>
      <w:r w:rsidR="00937FA4" w:rsidRPr="00320ACD">
        <w:rPr>
          <w:rFonts w:ascii="Bookman Old Style" w:hAnsi="Bookman Old Style"/>
          <w:i/>
          <w:iCs/>
          <w:sz w:val="22"/>
          <w:szCs w:val="22"/>
          <w:lang w:val="es-CO"/>
        </w:rPr>
        <w:t>ones</w:t>
      </w:r>
      <w:r w:rsidRPr="00320ACD">
        <w:rPr>
          <w:rFonts w:ascii="Bookman Old Style" w:hAnsi="Bookman Old Style"/>
          <w:i/>
          <w:iCs/>
          <w:sz w:val="22"/>
          <w:szCs w:val="22"/>
          <w:lang w:val="es-CO"/>
        </w:rPr>
        <w:t xml:space="preserve"> de recarga de combustibles fósiles, en los términos de la Ley 1964 de 2019, tampoco estará sujeto a </w:t>
      </w:r>
      <w:r w:rsidRPr="00320ACD">
        <w:rPr>
          <w:rFonts w:ascii="Bookman Old Style" w:hAnsi="Bookman Old Style"/>
          <w:i/>
          <w:iCs/>
          <w:sz w:val="22"/>
          <w:szCs w:val="22"/>
          <w:lang w:val="es-CO"/>
        </w:rPr>
        <w:lastRenderedPageBreak/>
        <w:t xml:space="preserve">la contribución prevista en el artículo 47 de la Ley 143 de 1994 y demás que lo complementen, modifiquen o sustituyan. </w:t>
      </w:r>
    </w:p>
    <w:p w14:paraId="277D8078" w14:textId="77777777" w:rsidR="00937FA4" w:rsidRPr="00320ACD" w:rsidRDefault="003E07C5" w:rsidP="00541031">
      <w:pPr>
        <w:spacing w:before="120" w:after="120"/>
        <w:ind w:left="284"/>
        <w:jc w:val="both"/>
        <w:rPr>
          <w:rFonts w:ascii="Bookman Old Style" w:hAnsi="Bookman Old Style"/>
          <w:i/>
          <w:iCs/>
          <w:sz w:val="22"/>
          <w:szCs w:val="22"/>
          <w:lang w:val="es-CO"/>
        </w:rPr>
      </w:pPr>
      <w:r w:rsidRPr="00320ACD">
        <w:rPr>
          <w:rFonts w:ascii="Bookman Old Style" w:hAnsi="Bookman Old Style"/>
          <w:i/>
          <w:iCs/>
          <w:sz w:val="22"/>
          <w:szCs w:val="22"/>
          <w:lang w:val="es-CO"/>
        </w:rPr>
        <w:t>Durante los primeros 3 meses de vigencia de esta Ley, la Comisión de Regulación en Energía y Gas establecerá las condiciones que permitan a las empresas prestadoras del servicio público urbano de transporte masivo de pasajeros o a los, usuarios u operadores de las estaciones de carga que permitan la carga de vehículos eléctricos, hacer una medición diferen</w:t>
      </w:r>
      <w:r w:rsidR="00937FA4" w:rsidRPr="00320ACD">
        <w:rPr>
          <w:rFonts w:ascii="Bookman Old Style" w:hAnsi="Bookman Old Style"/>
          <w:i/>
          <w:iCs/>
          <w:sz w:val="22"/>
          <w:szCs w:val="22"/>
          <w:lang w:val="es-CO"/>
        </w:rPr>
        <w:t>c</w:t>
      </w:r>
      <w:r w:rsidRPr="00320ACD">
        <w:rPr>
          <w:rFonts w:ascii="Bookman Old Style" w:hAnsi="Bookman Old Style"/>
          <w:i/>
          <w:iCs/>
          <w:sz w:val="22"/>
          <w:szCs w:val="22"/>
          <w:lang w:val="es-CO"/>
        </w:rPr>
        <w:t>iada de la energía que de</w:t>
      </w:r>
      <w:r w:rsidR="00937FA4" w:rsidRPr="00320ACD">
        <w:rPr>
          <w:rFonts w:ascii="Bookman Old Style" w:hAnsi="Bookman Old Style"/>
          <w:i/>
          <w:iCs/>
          <w:sz w:val="22"/>
          <w:szCs w:val="22"/>
          <w:lang w:val="es-CO"/>
        </w:rPr>
        <w:t>s</w:t>
      </w:r>
      <w:r w:rsidRPr="00320ACD">
        <w:rPr>
          <w:rFonts w:ascii="Bookman Old Style" w:hAnsi="Bookman Old Style"/>
          <w:i/>
          <w:iCs/>
          <w:sz w:val="22"/>
          <w:szCs w:val="22"/>
          <w:lang w:val="es-CO"/>
        </w:rPr>
        <w:t xml:space="preserve">tinen para los fines indicados en este artículo, y demás aspectos necesarios. </w:t>
      </w:r>
    </w:p>
    <w:p w14:paraId="315D1BFB" w14:textId="77777777" w:rsidR="003E07C5" w:rsidRPr="00320ACD" w:rsidRDefault="003E07C5" w:rsidP="00541031">
      <w:pPr>
        <w:spacing w:before="120" w:after="120"/>
        <w:ind w:left="284"/>
        <w:jc w:val="both"/>
        <w:rPr>
          <w:rFonts w:ascii="Bookman Old Style" w:hAnsi="Bookman Old Style"/>
          <w:i/>
          <w:iCs/>
          <w:sz w:val="22"/>
          <w:szCs w:val="22"/>
          <w:lang w:val="es-CO"/>
        </w:rPr>
      </w:pPr>
      <w:r w:rsidRPr="00320ACD">
        <w:rPr>
          <w:rFonts w:ascii="Bookman Old Style" w:hAnsi="Bookman Old Style"/>
          <w:i/>
          <w:iCs/>
          <w:sz w:val="22"/>
          <w:szCs w:val="22"/>
          <w:lang w:val="es-CO"/>
        </w:rPr>
        <w:t xml:space="preserve">El Ministerio </w:t>
      </w:r>
      <w:r w:rsidR="00937FA4" w:rsidRPr="00320ACD">
        <w:rPr>
          <w:rFonts w:ascii="Bookman Old Style" w:hAnsi="Bookman Old Style"/>
          <w:i/>
          <w:iCs/>
          <w:sz w:val="22"/>
          <w:szCs w:val="22"/>
          <w:lang w:val="es-CO"/>
        </w:rPr>
        <w:t>de</w:t>
      </w:r>
      <w:r w:rsidRPr="00320ACD">
        <w:rPr>
          <w:rFonts w:ascii="Bookman Old Style" w:hAnsi="Bookman Old Style"/>
          <w:i/>
          <w:iCs/>
          <w:sz w:val="22"/>
          <w:szCs w:val="22"/>
          <w:lang w:val="es-CO"/>
        </w:rPr>
        <w:t xml:space="preserve"> Minas y Energía podrá reglamentar los demás aspectos de este artículo</w:t>
      </w:r>
      <w:r w:rsidR="00937FA4" w:rsidRPr="00320ACD">
        <w:rPr>
          <w:rFonts w:ascii="Bookman Old Style" w:hAnsi="Bookman Old Style"/>
          <w:i/>
          <w:iCs/>
          <w:sz w:val="22"/>
          <w:szCs w:val="22"/>
          <w:lang w:val="es-CO"/>
        </w:rPr>
        <w:t>”</w:t>
      </w:r>
    </w:p>
    <w:p w14:paraId="1CDFB3D2" w14:textId="2231EF9C" w:rsidR="003E07C5" w:rsidRDefault="00937FA4" w:rsidP="00454602">
      <w:pPr>
        <w:spacing w:before="240" w:after="240"/>
        <w:ind w:left="0"/>
        <w:rPr>
          <w:rFonts w:ascii="Bookman Old Style" w:hAnsi="Bookman Old Style"/>
        </w:rPr>
      </w:pPr>
      <w:r>
        <w:rPr>
          <w:rFonts w:ascii="Bookman Old Style" w:hAnsi="Bookman Old Style"/>
        </w:rPr>
        <w:t>De lo establecido en este artículo</w:t>
      </w:r>
      <w:r w:rsidR="00541031">
        <w:rPr>
          <w:rFonts w:ascii="Bookman Old Style" w:hAnsi="Bookman Old Style"/>
        </w:rPr>
        <w:t>,</w:t>
      </w:r>
      <w:r>
        <w:rPr>
          <w:rFonts w:ascii="Bookman Old Style" w:hAnsi="Bookman Old Style"/>
        </w:rPr>
        <w:t xml:space="preserve"> la Comisión encuentra lo siguiente:</w:t>
      </w:r>
    </w:p>
    <w:p w14:paraId="6BC673D1" w14:textId="61331FEF" w:rsidR="00937FA4" w:rsidRPr="00A82DD7" w:rsidRDefault="00937FA4" w:rsidP="00A82DD7">
      <w:pPr>
        <w:pStyle w:val="Prrafodelista"/>
        <w:numPr>
          <w:ilvl w:val="0"/>
          <w:numId w:val="26"/>
        </w:numPr>
        <w:spacing w:before="240" w:after="240"/>
        <w:ind w:left="567"/>
        <w:jc w:val="both"/>
        <w:rPr>
          <w:rFonts w:ascii="Bookman Old Style" w:hAnsi="Bookman Old Style"/>
          <w:sz w:val="24"/>
          <w:szCs w:val="24"/>
        </w:rPr>
      </w:pPr>
      <w:r w:rsidRPr="00A82DD7">
        <w:rPr>
          <w:rFonts w:ascii="Bookman Old Style" w:hAnsi="Bookman Old Style"/>
          <w:sz w:val="24"/>
          <w:szCs w:val="24"/>
        </w:rPr>
        <w:t xml:space="preserve">La norma consagra dos </w:t>
      </w:r>
      <w:r w:rsidR="00C438DB" w:rsidRPr="00A82DD7">
        <w:rPr>
          <w:rFonts w:ascii="Bookman Old Style" w:hAnsi="Bookman Old Style"/>
          <w:sz w:val="24"/>
          <w:szCs w:val="24"/>
        </w:rPr>
        <w:t>ámbitos o materias a reglamentar:</w:t>
      </w:r>
      <w:r w:rsidRPr="00A82DD7">
        <w:rPr>
          <w:rFonts w:ascii="Bookman Old Style" w:hAnsi="Bookman Old Style"/>
          <w:sz w:val="24"/>
          <w:szCs w:val="24"/>
        </w:rPr>
        <w:t xml:space="preserve"> el primero asociado con la existencia de un beneficio tributario</w:t>
      </w:r>
      <w:r w:rsidR="00C438DB" w:rsidRPr="00A82DD7">
        <w:rPr>
          <w:rFonts w:ascii="Bookman Old Style" w:hAnsi="Bookman Old Style"/>
          <w:sz w:val="24"/>
          <w:szCs w:val="24"/>
        </w:rPr>
        <w:t xml:space="preserve"> frente a la contribución o sobretasa del sector eléctrico; y el segundo establecer condiciones que permitan a una serie de sujetos hacer una medición diferenciada de la energía que destinen para los fines indicados en este artículo, es decir</w:t>
      </w:r>
      <w:r w:rsidR="00837561">
        <w:rPr>
          <w:rFonts w:ascii="Bookman Old Style" w:hAnsi="Bookman Old Style"/>
          <w:sz w:val="24"/>
          <w:szCs w:val="24"/>
        </w:rPr>
        <w:t>,</w:t>
      </w:r>
      <w:r w:rsidR="00C438DB" w:rsidRPr="00A82DD7">
        <w:rPr>
          <w:rFonts w:ascii="Bookman Old Style" w:hAnsi="Bookman Old Style"/>
          <w:sz w:val="24"/>
          <w:szCs w:val="24"/>
        </w:rPr>
        <w:t xml:space="preserve"> que a la energía que efectivamente destinen a la carga o propulsión de vehículos eléctricos o sistemas eléctricos de transporte masivo de pasajeros, así como consumo de energía eléctrica destinado a la carga de vehículos eléctricos en estaciones de carga, no se cobre la contribución o sobretasa del sector eléctrico.</w:t>
      </w:r>
    </w:p>
    <w:p w14:paraId="7A73F6BC" w14:textId="015CEEDE" w:rsidR="00C438DB" w:rsidRPr="00A82DD7" w:rsidRDefault="00C438DB" w:rsidP="00A82DD7">
      <w:pPr>
        <w:pStyle w:val="Prrafodelista"/>
        <w:numPr>
          <w:ilvl w:val="0"/>
          <w:numId w:val="26"/>
        </w:numPr>
        <w:spacing w:before="240" w:after="240"/>
        <w:ind w:left="567"/>
        <w:jc w:val="both"/>
        <w:rPr>
          <w:rFonts w:ascii="Bookman Old Style" w:hAnsi="Bookman Old Style"/>
          <w:sz w:val="24"/>
          <w:szCs w:val="24"/>
        </w:rPr>
      </w:pPr>
      <w:r w:rsidRPr="00A82DD7">
        <w:rPr>
          <w:rFonts w:ascii="Bookman Old Style" w:hAnsi="Bookman Old Style"/>
          <w:sz w:val="24"/>
          <w:szCs w:val="24"/>
        </w:rPr>
        <w:t>Atendiendo estos dos ámbitos de la norma, establece la Comisión que aquellos aspectos asociados con los aspectos del beneficio tributario, es decir, el sujeto pasivo del beneficio y/o la energía que no es cobro de la contribución</w:t>
      </w:r>
      <w:r w:rsidR="00837561">
        <w:rPr>
          <w:rFonts w:ascii="Bookman Old Style" w:hAnsi="Bookman Old Style"/>
          <w:sz w:val="24"/>
          <w:szCs w:val="24"/>
        </w:rPr>
        <w:t>,</w:t>
      </w:r>
      <w:r w:rsidRPr="00A82DD7">
        <w:rPr>
          <w:rFonts w:ascii="Bookman Old Style" w:hAnsi="Bookman Old Style"/>
          <w:sz w:val="24"/>
          <w:szCs w:val="24"/>
        </w:rPr>
        <w:t xml:space="preserve"> no son aspectos que hacen parte de las competencias regulatorias de la CREG, ni las mismas fueron otorgadas a la CREG por el legislador en dicha norma. </w:t>
      </w:r>
    </w:p>
    <w:p w14:paraId="639B47D6" w14:textId="0063622A" w:rsidR="00006A26" w:rsidRDefault="00C438DB" w:rsidP="00A82DD7">
      <w:pPr>
        <w:pStyle w:val="Prrafodelista"/>
        <w:numPr>
          <w:ilvl w:val="0"/>
          <w:numId w:val="26"/>
        </w:numPr>
        <w:spacing w:before="240" w:after="240"/>
        <w:ind w:left="567"/>
        <w:jc w:val="both"/>
        <w:rPr>
          <w:rFonts w:ascii="Bookman Old Style" w:hAnsi="Bookman Old Style"/>
          <w:sz w:val="24"/>
          <w:szCs w:val="24"/>
        </w:rPr>
      </w:pPr>
      <w:r w:rsidRPr="00A82DD7">
        <w:rPr>
          <w:rFonts w:ascii="Bookman Old Style" w:hAnsi="Bookman Old Style"/>
          <w:sz w:val="24"/>
          <w:szCs w:val="24"/>
        </w:rPr>
        <w:t>Entiende la Comisión que</w:t>
      </w:r>
      <w:r w:rsidR="00E740E6" w:rsidRPr="00A82DD7">
        <w:rPr>
          <w:rFonts w:ascii="Bookman Old Style" w:hAnsi="Bookman Old Style"/>
          <w:sz w:val="24"/>
          <w:szCs w:val="24"/>
        </w:rPr>
        <w:t xml:space="preserve"> el “establecer las condiciones de diferenciación de la energía”, no implica definir los sujetos o agentes </w:t>
      </w:r>
      <w:r w:rsidR="003B473B">
        <w:rPr>
          <w:rFonts w:ascii="Bookman Old Style" w:hAnsi="Bookman Old Style"/>
          <w:sz w:val="24"/>
          <w:szCs w:val="24"/>
        </w:rPr>
        <w:t xml:space="preserve">a los </w:t>
      </w:r>
      <w:r w:rsidR="00E740E6" w:rsidRPr="00A82DD7">
        <w:rPr>
          <w:rFonts w:ascii="Bookman Old Style" w:hAnsi="Bookman Old Style"/>
          <w:sz w:val="24"/>
          <w:szCs w:val="24"/>
        </w:rPr>
        <w:t>que les aplica dicha diferenciación,</w:t>
      </w:r>
      <w:r w:rsidR="007C42D4">
        <w:rPr>
          <w:rFonts w:ascii="Bookman Old Style" w:hAnsi="Bookman Old Style"/>
          <w:sz w:val="24"/>
          <w:szCs w:val="24"/>
        </w:rPr>
        <w:t xml:space="preserve"> ni definir qu</w:t>
      </w:r>
      <w:r w:rsidR="003B473B">
        <w:rPr>
          <w:rFonts w:ascii="Bookman Old Style" w:hAnsi="Bookman Old Style"/>
          <w:sz w:val="24"/>
          <w:szCs w:val="24"/>
        </w:rPr>
        <w:t>é</w:t>
      </w:r>
      <w:r w:rsidR="007C42D4">
        <w:rPr>
          <w:rFonts w:ascii="Bookman Old Style" w:hAnsi="Bookman Old Style"/>
          <w:sz w:val="24"/>
          <w:szCs w:val="24"/>
        </w:rPr>
        <w:t xml:space="preserve"> energía es objeto del incentivo tributario,</w:t>
      </w:r>
      <w:r w:rsidR="00E740E6" w:rsidRPr="00A82DD7">
        <w:rPr>
          <w:rFonts w:ascii="Bookman Old Style" w:hAnsi="Bookman Old Style"/>
          <w:sz w:val="24"/>
          <w:szCs w:val="24"/>
        </w:rPr>
        <w:t xml:space="preserve"> toda vez que de hacerlo estaría excediendo la facultad otorgada por el legislador</w:t>
      </w:r>
      <w:r w:rsidR="00C5402D" w:rsidRPr="00A82DD7">
        <w:rPr>
          <w:rFonts w:ascii="Bookman Old Style" w:hAnsi="Bookman Old Style"/>
          <w:sz w:val="24"/>
          <w:szCs w:val="24"/>
        </w:rPr>
        <w:t xml:space="preserve"> y sus facultades regulatorias</w:t>
      </w:r>
      <w:r w:rsidR="00465A0F">
        <w:rPr>
          <w:rFonts w:ascii="Bookman Old Style" w:hAnsi="Bookman Old Style"/>
          <w:sz w:val="24"/>
          <w:szCs w:val="24"/>
        </w:rPr>
        <w:t>,</w:t>
      </w:r>
      <w:r w:rsidR="00C5402D" w:rsidRPr="00A82DD7">
        <w:rPr>
          <w:rFonts w:ascii="Bookman Old Style" w:hAnsi="Bookman Old Style"/>
          <w:sz w:val="24"/>
          <w:szCs w:val="24"/>
        </w:rPr>
        <w:t xml:space="preserve"> en general</w:t>
      </w:r>
      <w:r w:rsidR="00465A0F">
        <w:rPr>
          <w:rFonts w:ascii="Bookman Old Style" w:hAnsi="Bookman Old Style"/>
          <w:sz w:val="24"/>
          <w:szCs w:val="24"/>
        </w:rPr>
        <w:t>,</w:t>
      </w:r>
      <w:r w:rsidR="00C5402D" w:rsidRPr="00A82DD7">
        <w:rPr>
          <w:rFonts w:ascii="Bookman Old Style" w:hAnsi="Bookman Old Style"/>
          <w:sz w:val="24"/>
          <w:szCs w:val="24"/>
        </w:rPr>
        <w:t xml:space="preserve"> en el marco de las leyes 142 y 143 de 1994</w:t>
      </w:r>
      <w:r w:rsidR="00E740E6" w:rsidRPr="00A82DD7">
        <w:rPr>
          <w:rFonts w:ascii="Bookman Old Style" w:hAnsi="Bookman Old Style"/>
          <w:sz w:val="24"/>
          <w:szCs w:val="24"/>
        </w:rPr>
        <w:t>, en la medida que de hacerlo se estaría</w:t>
      </w:r>
      <w:r w:rsidR="00C5402D" w:rsidRPr="00A82DD7">
        <w:rPr>
          <w:rFonts w:ascii="Bookman Old Style" w:hAnsi="Bookman Old Style"/>
          <w:sz w:val="24"/>
          <w:szCs w:val="24"/>
        </w:rPr>
        <w:t>n</w:t>
      </w:r>
      <w:r w:rsidR="00E740E6" w:rsidRPr="00A82DD7">
        <w:rPr>
          <w:rFonts w:ascii="Bookman Old Style" w:hAnsi="Bookman Old Style"/>
          <w:sz w:val="24"/>
          <w:szCs w:val="24"/>
        </w:rPr>
        <w:t xml:space="preserve"> </w:t>
      </w:r>
      <w:r w:rsidR="007C42D4">
        <w:rPr>
          <w:rFonts w:ascii="Bookman Old Style" w:hAnsi="Bookman Old Style"/>
          <w:sz w:val="24"/>
          <w:szCs w:val="24"/>
        </w:rPr>
        <w:t xml:space="preserve">incidiendo en elementos que hacen parte </w:t>
      </w:r>
      <w:r w:rsidR="00465A0F">
        <w:rPr>
          <w:rFonts w:ascii="Bookman Old Style" w:hAnsi="Bookman Old Style"/>
          <w:sz w:val="24"/>
          <w:szCs w:val="24"/>
        </w:rPr>
        <w:t xml:space="preserve">del </w:t>
      </w:r>
      <w:r w:rsidR="005C4D76">
        <w:rPr>
          <w:rFonts w:ascii="Bookman Old Style" w:hAnsi="Bookman Old Style"/>
          <w:sz w:val="24"/>
          <w:szCs w:val="24"/>
        </w:rPr>
        <w:t>tributo y su incentivo</w:t>
      </w:r>
      <w:r w:rsidR="004A31AA">
        <w:rPr>
          <w:rFonts w:ascii="Bookman Old Style" w:hAnsi="Bookman Old Style"/>
          <w:sz w:val="24"/>
          <w:szCs w:val="24"/>
        </w:rPr>
        <w:t>,</w:t>
      </w:r>
      <w:r w:rsidR="005C4D76">
        <w:rPr>
          <w:rFonts w:ascii="Bookman Old Style" w:hAnsi="Bookman Old Style"/>
          <w:sz w:val="24"/>
          <w:szCs w:val="24"/>
        </w:rPr>
        <w:t xml:space="preserve"> como es el caso de</w:t>
      </w:r>
      <w:r w:rsidR="007C42D4" w:rsidRPr="00A82DD7">
        <w:rPr>
          <w:rFonts w:ascii="Bookman Old Style" w:hAnsi="Bookman Old Style"/>
          <w:sz w:val="24"/>
          <w:szCs w:val="24"/>
        </w:rPr>
        <w:t xml:space="preserve"> </w:t>
      </w:r>
      <w:r w:rsidR="00E740E6" w:rsidRPr="00A82DD7">
        <w:rPr>
          <w:rFonts w:ascii="Bookman Old Style" w:hAnsi="Bookman Old Style"/>
          <w:sz w:val="24"/>
          <w:szCs w:val="24"/>
        </w:rPr>
        <w:t xml:space="preserve">los sujetos pasivos </w:t>
      </w:r>
      <w:r w:rsidR="005C4D76">
        <w:rPr>
          <w:rFonts w:ascii="Bookman Old Style" w:hAnsi="Bookman Old Style"/>
          <w:sz w:val="24"/>
          <w:szCs w:val="24"/>
        </w:rPr>
        <w:t>y la base gravable</w:t>
      </w:r>
      <w:r w:rsidR="00E740E6" w:rsidRPr="00A82DD7">
        <w:rPr>
          <w:rFonts w:ascii="Bookman Old Style" w:hAnsi="Bookman Old Style"/>
          <w:sz w:val="24"/>
          <w:szCs w:val="24"/>
        </w:rPr>
        <w:t xml:space="preserve">. </w:t>
      </w:r>
    </w:p>
    <w:p w14:paraId="61CE3C3E" w14:textId="170B3A25" w:rsidR="00C438DB" w:rsidRPr="00A82DD7" w:rsidRDefault="00E740E6" w:rsidP="009A4A75">
      <w:pPr>
        <w:pStyle w:val="Prrafodelista"/>
        <w:spacing w:before="240" w:after="240"/>
        <w:ind w:left="567"/>
        <w:jc w:val="both"/>
        <w:rPr>
          <w:rFonts w:ascii="Bookman Old Style" w:hAnsi="Bookman Old Style"/>
          <w:sz w:val="24"/>
          <w:szCs w:val="24"/>
        </w:rPr>
      </w:pPr>
      <w:r w:rsidRPr="00A82DD7">
        <w:rPr>
          <w:rFonts w:ascii="Bookman Old Style" w:hAnsi="Bookman Old Style"/>
          <w:sz w:val="24"/>
          <w:szCs w:val="24"/>
        </w:rPr>
        <w:t>Lo anterior, considerando que los sujetos</w:t>
      </w:r>
      <w:r w:rsidR="00A02BE1">
        <w:rPr>
          <w:rFonts w:ascii="Bookman Old Style" w:hAnsi="Bookman Old Style"/>
          <w:sz w:val="24"/>
          <w:szCs w:val="24"/>
        </w:rPr>
        <w:t>, así como la</w:t>
      </w:r>
      <w:r w:rsidRPr="00A82DD7">
        <w:rPr>
          <w:rFonts w:ascii="Bookman Old Style" w:hAnsi="Bookman Old Style"/>
          <w:sz w:val="24"/>
          <w:szCs w:val="24"/>
        </w:rPr>
        <w:t xml:space="preserve"> energía objeto de diferenciación</w:t>
      </w:r>
      <w:r w:rsidR="002F479F">
        <w:rPr>
          <w:rFonts w:ascii="Bookman Old Style" w:hAnsi="Bookman Old Style"/>
          <w:sz w:val="24"/>
          <w:szCs w:val="24"/>
        </w:rPr>
        <w:t>,</w:t>
      </w:r>
      <w:r w:rsidRPr="00A82DD7">
        <w:rPr>
          <w:rFonts w:ascii="Bookman Old Style" w:hAnsi="Bookman Old Style"/>
          <w:sz w:val="24"/>
          <w:szCs w:val="24"/>
        </w:rPr>
        <w:t xml:space="preserve"> se entiende </w:t>
      </w:r>
      <w:r w:rsidR="00A02BE1">
        <w:rPr>
          <w:rFonts w:ascii="Bookman Old Style" w:hAnsi="Bookman Old Style"/>
          <w:sz w:val="24"/>
          <w:szCs w:val="24"/>
        </w:rPr>
        <w:t xml:space="preserve">que </w:t>
      </w:r>
      <w:r w:rsidRPr="00A82DD7">
        <w:rPr>
          <w:rFonts w:ascii="Bookman Old Style" w:hAnsi="Bookman Old Style"/>
          <w:sz w:val="24"/>
          <w:szCs w:val="24"/>
        </w:rPr>
        <w:t>corresponde</w:t>
      </w:r>
      <w:r w:rsidR="00A02BE1">
        <w:rPr>
          <w:rFonts w:ascii="Bookman Old Style" w:hAnsi="Bookman Old Style"/>
          <w:sz w:val="24"/>
          <w:szCs w:val="24"/>
        </w:rPr>
        <w:t>n</w:t>
      </w:r>
      <w:r w:rsidRPr="00A82DD7">
        <w:rPr>
          <w:rFonts w:ascii="Bookman Old Style" w:hAnsi="Bookman Old Style"/>
          <w:sz w:val="24"/>
          <w:szCs w:val="24"/>
        </w:rPr>
        <w:t xml:space="preserve"> a </w:t>
      </w:r>
      <w:r w:rsidR="00006A26">
        <w:rPr>
          <w:rFonts w:ascii="Bookman Old Style" w:hAnsi="Bookman Old Style"/>
          <w:sz w:val="24"/>
          <w:szCs w:val="24"/>
        </w:rPr>
        <w:t>aquellas</w:t>
      </w:r>
      <w:r w:rsidRPr="00A82DD7">
        <w:rPr>
          <w:rFonts w:ascii="Bookman Old Style" w:hAnsi="Bookman Old Style"/>
          <w:sz w:val="24"/>
          <w:szCs w:val="24"/>
        </w:rPr>
        <w:t xml:space="preserve"> que </w:t>
      </w:r>
      <w:r w:rsidR="00006A26">
        <w:rPr>
          <w:rFonts w:ascii="Bookman Old Style" w:hAnsi="Bookman Old Style"/>
          <w:sz w:val="24"/>
          <w:szCs w:val="24"/>
        </w:rPr>
        <w:t>son</w:t>
      </w:r>
      <w:r w:rsidR="00006A26" w:rsidRPr="00A82DD7">
        <w:rPr>
          <w:rFonts w:ascii="Bookman Old Style" w:hAnsi="Bookman Old Style"/>
          <w:sz w:val="24"/>
          <w:szCs w:val="24"/>
        </w:rPr>
        <w:t xml:space="preserve"> </w:t>
      </w:r>
      <w:r w:rsidRPr="00A82DD7">
        <w:rPr>
          <w:rFonts w:ascii="Bookman Old Style" w:hAnsi="Bookman Old Style"/>
          <w:sz w:val="24"/>
          <w:szCs w:val="24"/>
        </w:rPr>
        <w:t xml:space="preserve">objeto del incentivo tributario. </w:t>
      </w:r>
    </w:p>
    <w:p w14:paraId="0E747D6A" w14:textId="37F7CAEB" w:rsidR="00C5402D" w:rsidRPr="00A82DD7" w:rsidRDefault="00C5402D" w:rsidP="00A82DD7">
      <w:pPr>
        <w:pStyle w:val="Prrafodelista"/>
        <w:spacing w:before="240" w:after="240"/>
        <w:ind w:left="567"/>
        <w:jc w:val="both"/>
        <w:rPr>
          <w:rFonts w:ascii="Bookman Old Style" w:hAnsi="Bookman Old Style"/>
          <w:sz w:val="24"/>
          <w:szCs w:val="24"/>
        </w:rPr>
      </w:pPr>
      <w:r w:rsidRPr="00A82DD7">
        <w:rPr>
          <w:rFonts w:ascii="Bookman Old Style" w:hAnsi="Bookman Old Style"/>
          <w:sz w:val="24"/>
          <w:szCs w:val="24"/>
        </w:rPr>
        <w:t xml:space="preserve">En relación con esto, la Comisión considera válidos los antecedentes dados por la jurisprudencia constitucional y contencioso-administrativa, con respecto a la definición del concepto de usuarios industriales en materia tributaria y la reglamentación hecha del artículo 2º de la Ley 1430 de 2011 a través del </w:t>
      </w:r>
      <w:r w:rsidR="00CA6E0D">
        <w:rPr>
          <w:rFonts w:ascii="Bookman Old Style" w:hAnsi="Bookman Old Style"/>
          <w:sz w:val="24"/>
          <w:szCs w:val="24"/>
        </w:rPr>
        <w:t>D</w:t>
      </w:r>
      <w:r w:rsidRPr="00A82DD7">
        <w:rPr>
          <w:rFonts w:ascii="Bookman Old Style" w:hAnsi="Bookman Old Style"/>
          <w:sz w:val="24"/>
          <w:szCs w:val="24"/>
        </w:rPr>
        <w:t>ecreto 2860 de 2013.</w:t>
      </w:r>
    </w:p>
    <w:p w14:paraId="516324D8" w14:textId="53C53FAE" w:rsidR="00E740E6" w:rsidRPr="00A82DD7" w:rsidRDefault="00E740E6" w:rsidP="00A82DD7">
      <w:pPr>
        <w:pStyle w:val="Prrafodelista"/>
        <w:numPr>
          <w:ilvl w:val="0"/>
          <w:numId w:val="26"/>
        </w:numPr>
        <w:spacing w:before="240" w:after="240"/>
        <w:ind w:left="567"/>
        <w:jc w:val="both"/>
        <w:rPr>
          <w:rFonts w:ascii="Bookman Old Style" w:hAnsi="Bookman Old Style"/>
          <w:sz w:val="24"/>
          <w:szCs w:val="24"/>
        </w:rPr>
      </w:pPr>
      <w:r w:rsidRPr="00A82DD7">
        <w:rPr>
          <w:rFonts w:ascii="Bookman Old Style" w:hAnsi="Bookman Old Style"/>
          <w:sz w:val="24"/>
          <w:szCs w:val="24"/>
        </w:rPr>
        <w:lastRenderedPageBreak/>
        <w:t xml:space="preserve">Que </w:t>
      </w:r>
      <w:bookmarkStart w:id="3" w:name="_Hlk79058413"/>
      <w:r w:rsidRPr="00A82DD7">
        <w:rPr>
          <w:rFonts w:ascii="Bookman Old Style" w:hAnsi="Bookman Old Style"/>
          <w:sz w:val="24"/>
          <w:szCs w:val="24"/>
        </w:rPr>
        <w:t xml:space="preserve">las facultades regulatorias en el marco de las normas previstas en la </w:t>
      </w:r>
      <w:r w:rsidR="002920A0">
        <w:rPr>
          <w:rFonts w:ascii="Bookman Old Style" w:hAnsi="Bookman Old Style"/>
          <w:sz w:val="24"/>
          <w:szCs w:val="24"/>
        </w:rPr>
        <w:t>L</w:t>
      </w:r>
      <w:r w:rsidRPr="00A82DD7">
        <w:rPr>
          <w:rFonts w:ascii="Bookman Old Style" w:hAnsi="Bookman Old Style"/>
          <w:sz w:val="24"/>
          <w:szCs w:val="24"/>
        </w:rPr>
        <w:t>ey 142 de 1994 en materia de medición están dirigidas, entra otras, a la determinación del consumo</w:t>
      </w:r>
      <w:r w:rsidR="00C5402D" w:rsidRPr="00A82DD7">
        <w:rPr>
          <w:rFonts w:ascii="Bookman Old Style" w:hAnsi="Bookman Old Style"/>
          <w:sz w:val="24"/>
          <w:szCs w:val="24"/>
        </w:rPr>
        <w:t xml:space="preserve"> a efectos de la facturación del servicio</w:t>
      </w:r>
      <w:r w:rsidR="0000673E">
        <w:rPr>
          <w:rFonts w:ascii="Bookman Old Style" w:hAnsi="Bookman Old Style"/>
          <w:sz w:val="24"/>
          <w:szCs w:val="24"/>
        </w:rPr>
        <w:t>. P</w:t>
      </w:r>
      <w:r w:rsidRPr="00A82DD7">
        <w:rPr>
          <w:rFonts w:ascii="Bookman Old Style" w:hAnsi="Bookman Old Style"/>
          <w:sz w:val="24"/>
          <w:szCs w:val="24"/>
        </w:rPr>
        <w:t>ara el caso de una serie de sujetos pasivos existe el cobro de una contribución y/o sobretasa adicional del 20%</w:t>
      </w:r>
      <w:r w:rsidR="0000673E">
        <w:rPr>
          <w:rFonts w:ascii="Bookman Old Style" w:hAnsi="Bookman Old Style"/>
          <w:sz w:val="24"/>
          <w:szCs w:val="24"/>
        </w:rPr>
        <w:t>,</w:t>
      </w:r>
      <w:r w:rsidRPr="00A82DD7">
        <w:rPr>
          <w:rFonts w:ascii="Bookman Old Style" w:hAnsi="Bookman Old Style"/>
          <w:sz w:val="24"/>
          <w:szCs w:val="24"/>
        </w:rPr>
        <w:t xml:space="preserve"> de acuerdo con lo previsto en el artículo 47 de la Ley 143 de 1994, donde la base gravable corresponde “al valor del consumo que está obligado a sufragar el usuario</w:t>
      </w:r>
      <w:bookmarkEnd w:id="3"/>
      <w:r w:rsidRPr="00A82DD7">
        <w:rPr>
          <w:rFonts w:ascii="Bookman Old Style" w:hAnsi="Bookman Old Style"/>
          <w:sz w:val="24"/>
          <w:szCs w:val="24"/>
        </w:rPr>
        <w:t>”. En este sentido</w:t>
      </w:r>
      <w:r w:rsidR="0000673E">
        <w:rPr>
          <w:rFonts w:ascii="Bookman Old Style" w:hAnsi="Bookman Old Style"/>
          <w:sz w:val="24"/>
          <w:szCs w:val="24"/>
        </w:rPr>
        <w:t>,</w:t>
      </w:r>
      <w:r w:rsidRPr="00A82DD7">
        <w:rPr>
          <w:rFonts w:ascii="Bookman Old Style" w:hAnsi="Bookman Old Style"/>
          <w:sz w:val="24"/>
          <w:szCs w:val="24"/>
        </w:rPr>
        <w:t xml:space="preserve"> la medición del consumo permite determinar el monto del tributo.</w:t>
      </w:r>
    </w:p>
    <w:p w14:paraId="2794499A" w14:textId="4D92F9F3" w:rsidR="00C5402D" w:rsidRPr="00A82DD7" w:rsidRDefault="00E740E6" w:rsidP="004C63F0">
      <w:pPr>
        <w:pStyle w:val="Prrafodelista"/>
        <w:spacing w:before="240" w:after="240"/>
        <w:ind w:left="567"/>
        <w:jc w:val="both"/>
        <w:rPr>
          <w:rFonts w:ascii="Bookman Old Style" w:hAnsi="Bookman Old Style"/>
          <w:sz w:val="24"/>
          <w:szCs w:val="24"/>
        </w:rPr>
      </w:pPr>
      <w:r w:rsidRPr="00A82DD7">
        <w:rPr>
          <w:rFonts w:ascii="Bookman Old Style" w:hAnsi="Bookman Old Style"/>
          <w:sz w:val="24"/>
          <w:szCs w:val="24"/>
        </w:rPr>
        <w:t xml:space="preserve">De acuerdo con esto, entiende la Comisión que </w:t>
      </w:r>
      <w:r w:rsidR="007F4D1E">
        <w:rPr>
          <w:rFonts w:ascii="Bookman Old Style" w:hAnsi="Bookman Old Style"/>
          <w:sz w:val="24"/>
          <w:szCs w:val="24"/>
        </w:rPr>
        <w:t>con el</w:t>
      </w:r>
      <w:r w:rsidRPr="00A82DD7">
        <w:rPr>
          <w:rFonts w:ascii="Bookman Old Style" w:hAnsi="Bookman Old Style"/>
          <w:sz w:val="24"/>
          <w:szCs w:val="24"/>
        </w:rPr>
        <w:t xml:space="preserve"> artículo 49 de la Ley 2099 de 2021, las facultades regulatorias en el marco de las normas previstas en la </w:t>
      </w:r>
      <w:r w:rsidR="00DD362B">
        <w:rPr>
          <w:rFonts w:ascii="Bookman Old Style" w:hAnsi="Bookman Old Style"/>
          <w:sz w:val="24"/>
          <w:szCs w:val="24"/>
        </w:rPr>
        <w:t>L</w:t>
      </w:r>
      <w:r w:rsidR="00DD362B" w:rsidRPr="00A82DD7">
        <w:rPr>
          <w:rFonts w:ascii="Bookman Old Style" w:hAnsi="Bookman Old Style"/>
          <w:sz w:val="24"/>
          <w:szCs w:val="24"/>
        </w:rPr>
        <w:t xml:space="preserve">ey </w:t>
      </w:r>
      <w:r w:rsidRPr="00A82DD7">
        <w:rPr>
          <w:rFonts w:ascii="Bookman Old Style" w:hAnsi="Bookman Old Style"/>
          <w:sz w:val="24"/>
          <w:szCs w:val="24"/>
        </w:rPr>
        <w:t>142 de 1994 en materia de medición</w:t>
      </w:r>
      <w:r w:rsidR="000760F6">
        <w:rPr>
          <w:rFonts w:ascii="Bookman Old Style" w:hAnsi="Bookman Old Style"/>
          <w:sz w:val="24"/>
          <w:szCs w:val="24"/>
        </w:rPr>
        <w:t>,</w:t>
      </w:r>
      <w:r w:rsidRPr="00A82DD7">
        <w:rPr>
          <w:rFonts w:ascii="Bookman Old Style" w:hAnsi="Bookman Old Style"/>
          <w:sz w:val="24"/>
          <w:szCs w:val="24"/>
        </w:rPr>
        <w:t xml:space="preserve"> </w:t>
      </w:r>
      <w:r w:rsidR="007F4D1E">
        <w:rPr>
          <w:rFonts w:ascii="Bookman Old Style" w:hAnsi="Bookman Old Style"/>
          <w:sz w:val="24"/>
          <w:szCs w:val="24"/>
        </w:rPr>
        <w:t>además de</w:t>
      </w:r>
      <w:r w:rsidR="007F4D1E" w:rsidRPr="00A82DD7">
        <w:rPr>
          <w:rFonts w:ascii="Bookman Old Style" w:hAnsi="Bookman Old Style"/>
          <w:sz w:val="24"/>
          <w:szCs w:val="24"/>
        </w:rPr>
        <w:t xml:space="preserve"> </w:t>
      </w:r>
      <w:r w:rsidRPr="00A82DD7">
        <w:rPr>
          <w:rFonts w:ascii="Bookman Old Style" w:hAnsi="Bookman Old Style"/>
          <w:sz w:val="24"/>
          <w:szCs w:val="24"/>
        </w:rPr>
        <w:t>esta</w:t>
      </w:r>
      <w:r w:rsidR="007F4D1E">
        <w:rPr>
          <w:rFonts w:ascii="Bookman Old Style" w:hAnsi="Bookman Old Style"/>
          <w:sz w:val="24"/>
          <w:szCs w:val="24"/>
        </w:rPr>
        <w:t>r</w:t>
      </w:r>
      <w:r w:rsidRPr="00A82DD7">
        <w:rPr>
          <w:rFonts w:ascii="Bookman Old Style" w:hAnsi="Bookman Old Style"/>
          <w:sz w:val="24"/>
          <w:szCs w:val="24"/>
        </w:rPr>
        <w:t xml:space="preserve">  dirigidas a la determinación del consumo </w:t>
      </w:r>
      <w:r w:rsidR="00C5402D" w:rsidRPr="00A82DD7">
        <w:rPr>
          <w:rFonts w:ascii="Bookman Old Style" w:hAnsi="Bookman Old Style"/>
          <w:sz w:val="24"/>
          <w:szCs w:val="24"/>
        </w:rPr>
        <w:t>a</w:t>
      </w:r>
      <w:r w:rsidRPr="00A82DD7">
        <w:rPr>
          <w:rFonts w:ascii="Bookman Old Style" w:hAnsi="Bookman Old Style"/>
          <w:sz w:val="24"/>
          <w:szCs w:val="24"/>
        </w:rPr>
        <w:t xml:space="preserve"> efectos de</w:t>
      </w:r>
      <w:r w:rsidR="00C5402D" w:rsidRPr="00A82DD7">
        <w:rPr>
          <w:rFonts w:ascii="Bookman Old Style" w:hAnsi="Bookman Old Style"/>
          <w:sz w:val="24"/>
          <w:szCs w:val="24"/>
        </w:rPr>
        <w:t xml:space="preserve"> la facturación del servicio</w:t>
      </w:r>
      <w:r w:rsidRPr="00A82DD7">
        <w:rPr>
          <w:rFonts w:ascii="Bookman Old Style" w:hAnsi="Bookman Old Style"/>
          <w:sz w:val="24"/>
          <w:szCs w:val="24"/>
        </w:rPr>
        <w:t xml:space="preserve">, </w:t>
      </w:r>
      <w:r w:rsidR="005F25C2">
        <w:rPr>
          <w:rFonts w:ascii="Bookman Old Style" w:hAnsi="Bookman Old Style"/>
          <w:sz w:val="24"/>
          <w:szCs w:val="24"/>
        </w:rPr>
        <w:t>incluye</w:t>
      </w:r>
      <w:r w:rsidR="00B179FA">
        <w:rPr>
          <w:rFonts w:ascii="Bookman Old Style" w:hAnsi="Bookman Old Style"/>
          <w:sz w:val="24"/>
          <w:szCs w:val="24"/>
        </w:rPr>
        <w:t>n</w:t>
      </w:r>
      <w:r w:rsidR="005F25C2">
        <w:rPr>
          <w:rFonts w:ascii="Bookman Old Style" w:hAnsi="Bookman Old Style"/>
          <w:sz w:val="24"/>
          <w:szCs w:val="24"/>
        </w:rPr>
        <w:t xml:space="preserve"> un aspecto adicional</w:t>
      </w:r>
      <w:r w:rsidR="000760F6">
        <w:rPr>
          <w:rFonts w:ascii="Bookman Old Style" w:hAnsi="Bookman Old Style"/>
          <w:sz w:val="24"/>
          <w:szCs w:val="24"/>
        </w:rPr>
        <w:t>,</w:t>
      </w:r>
      <w:r w:rsidR="00C5402D" w:rsidRPr="00A82DD7">
        <w:rPr>
          <w:rFonts w:ascii="Bookman Old Style" w:hAnsi="Bookman Old Style"/>
          <w:sz w:val="24"/>
          <w:szCs w:val="24"/>
        </w:rPr>
        <w:t xml:space="preserve"> el cual es instrumentalizar la “diferenciación de los consumos” a efectos del cobro </w:t>
      </w:r>
      <w:r w:rsidR="0096565B" w:rsidRPr="00A82DD7">
        <w:rPr>
          <w:rFonts w:ascii="Bookman Old Style" w:hAnsi="Bookman Old Style"/>
          <w:sz w:val="24"/>
          <w:szCs w:val="24"/>
        </w:rPr>
        <w:t>de una contribución y/o sobretasa adicional del 20%</w:t>
      </w:r>
      <w:r w:rsidR="0096565B">
        <w:rPr>
          <w:rFonts w:ascii="Bookman Old Style" w:hAnsi="Bookman Old Style"/>
          <w:sz w:val="24"/>
          <w:szCs w:val="24"/>
        </w:rPr>
        <w:t xml:space="preserve"> </w:t>
      </w:r>
      <w:r w:rsidR="00C5402D" w:rsidRPr="00A82DD7">
        <w:rPr>
          <w:rFonts w:ascii="Bookman Old Style" w:hAnsi="Bookman Old Style"/>
          <w:sz w:val="24"/>
          <w:szCs w:val="24"/>
        </w:rPr>
        <w:t xml:space="preserve">a una </w:t>
      </w:r>
      <w:r w:rsidRPr="00A82DD7">
        <w:rPr>
          <w:rFonts w:ascii="Bookman Old Style" w:hAnsi="Bookman Old Style"/>
          <w:sz w:val="24"/>
          <w:szCs w:val="24"/>
        </w:rPr>
        <w:t>serie de sujetos pasivos de acuerdo con lo previsto en el artículo 47 de la Ley 143 de 1994</w:t>
      </w:r>
      <w:r w:rsidR="00D14327">
        <w:rPr>
          <w:rFonts w:ascii="Bookman Old Style" w:hAnsi="Bookman Old Style"/>
          <w:sz w:val="24"/>
          <w:szCs w:val="24"/>
        </w:rPr>
        <w:t>;</w:t>
      </w:r>
      <w:r w:rsidRPr="00A82DD7">
        <w:rPr>
          <w:rFonts w:ascii="Bookman Old Style" w:hAnsi="Bookman Old Style"/>
          <w:sz w:val="24"/>
          <w:szCs w:val="24"/>
        </w:rPr>
        <w:t xml:space="preserve"> </w:t>
      </w:r>
      <w:r w:rsidR="00C5402D" w:rsidRPr="00A82DD7">
        <w:rPr>
          <w:rFonts w:ascii="Bookman Old Style" w:hAnsi="Bookman Old Style"/>
          <w:sz w:val="24"/>
          <w:szCs w:val="24"/>
        </w:rPr>
        <w:t xml:space="preserve">así como exceptuar dicho cobro para la energía que efectivamente destinen estos sujetos pasivos a la carga o propulsión de vehículos eléctricos o sistemas eléctricos de transporte masivo de pasajeros, </w:t>
      </w:r>
      <w:r w:rsidR="000D1A3B">
        <w:rPr>
          <w:rFonts w:ascii="Bookman Old Style" w:hAnsi="Bookman Old Style"/>
          <w:sz w:val="24"/>
          <w:szCs w:val="24"/>
        </w:rPr>
        <w:t>además del</w:t>
      </w:r>
      <w:r w:rsidR="00C5402D" w:rsidRPr="00A82DD7">
        <w:rPr>
          <w:rFonts w:ascii="Bookman Old Style" w:hAnsi="Bookman Old Style"/>
          <w:sz w:val="24"/>
          <w:szCs w:val="24"/>
        </w:rPr>
        <w:t xml:space="preserve"> consumo de energía eléctrica destinado a la carga de vehículos eléctricos en estaciones de carga.</w:t>
      </w:r>
    </w:p>
    <w:p w14:paraId="3CBB7B30" w14:textId="6711855D" w:rsidR="005005DA" w:rsidRDefault="00C5402D" w:rsidP="00BB61A5">
      <w:pPr>
        <w:pStyle w:val="Prrafodelista"/>
        <w:numPr>
          <w:ilvl w:val="0"/>
          <w:numId w:val="26"/>
        </w:numPr>
        <w:spacing w:before="240" w:after="240"/>
        <w:ind w:left="567"/>
        <w:jc w:val="both"/>
        <w:rPr>
          <w:rFonts w:ascii="Bookman Old Style" w:hAnsi="Bookman Old Style"/>
          <w:sz w:val="24"/>
          <w:szCs w:val="24"/>
        </w:rPr>
      </w:pPr>
      <w:r w:rsidRPr="00A82DD7">
        <w:rPr>
          <w:rFonts w:ascii="Bookman Old Style" w:hAnsi="Bookman Old Style"/>
          <w:sz w:val="24"/>
          <w:szCs w:val="24"/>
        </w:rPr>
        <w:t xml:space="preserve">Expuestos estos elementos, </w:t>
      </w:r>
      <w:r w:rsidR="00DD14F1">
        <w:rPr>
          <w:rFonts w:ascii="Bookman Old Style" w:hAnsi="Bookman Old Style"/>
          <w:sz w:val="24"/>
          <w:szCs w:val="24"/>
        </w:rPr>
        <w:t xml:space="preserve">y </w:t>
      </w:r>
      <w:r w:rsidR="00DD14F1" w:rsidRPr="00A82DD7">
        <w:rPr>
          <w:rFonts w:ascii="Bookman Old Style" w:hAnsi="Bookman Old Style"/>
          <w:sz w:val="24"/>
          <w:szCs w:val="24"/>
        </w:rPr>
        <w:t xml:space="preserve">atendiendo los lineamientos dados por el legislador en el artículo 49 de la Ley 2099 de 2021, </w:t>
      </w:r>
      <w:r w:rsidR="00DD14F1">
        <w:rPr>
          <w:rFonts w:ascii="Bookman Old Style" w:hAnsi="Bookman Old Style"/>
          <w:sz w:val="24"/>
          <w:szCs w:val="24"/>
        </w:rPr>
        <w:t>además de</w:t>
      </w:r>
      <w:r w:rsidR="00DD14F1" w:rsidRPr="00A82DD7">
        <w:rPr>
          <w:rFonts w:ascii="Bookman Old Style" w:hAnsi="Bookman Old Style"/>
          <w:sz w:val="24"/>
          <w:szCs w:val="24"/>
        </w:rPr>
        <w:t xml:space="preserve"> las facultades regulatorias de la Comisión, incluidas </w:t>
      </w:r>
      <w:r w:rsidR="00EF10A1">
        <w:rPr>
          <w:rFonts w:ascii="Bookman Old Style" w:hAnsi="Bookman Old Style"/>
          <w:sz w:val="24"/>
          <w:szCs w:val="24"/>
        </w:rPr>
        <w:t xml:space="preserve">las otorgadas </w:t>
      </w:r>
      <w:r w:rsidR="00DD14F1" w:rsidRPr="00A82DD7">
        <w:rPr>
          <w:rFonts w:ascii="Bookman Old Style" w:hAnsi="Bookman Old Style"/>
          <w:sz w:val="24"/>
          <w:szCs w:val="24"/>
        </w:rPr>
        <w:t>en materia de medición</w:t>
      </w:r>
      <w:r w:rsidR="00EF10A1">
        <w:rPr>
          <w:rFonts w:ascii="Bookman Old Style" w:hAnsi="Bookman Old Style"/>
          <w:sz w:val="24"/>
          <w:szCs w:val="24"/>
        </w:rPr>
        <w:t>,</w:t>
      </w:r>
      <w:r w:rsidR="00DD14F1" w:rsidRPr="00A82DD7">
        <w:rPr>
          <w:rFonts w:ascii="Bookman Old Style" w:hAnsi="Bookman Old Style"/>
          <w:sz w:val="24"/>
          <w:szCs w:val="24"/>
        </w:rPr>
        <w:t xml:space="preserve"> y sin perjuicio de lo dispuesto en la Ley 1715 de 2014 y sus disposiciones reglamentarias con respecto de la medición para la gestión y uso eficiente de la energía</w:t>
      </w:r>
      <w:r w:rsidR="00EF10A1">
        <w:rPr>
          <w:rFonts w:ascii="Bookman Old Style" w:hAnsi="Bookman Old Style"/>
          <w:sz w:val="24"/>
          <w:szCs w:val="24"/>
        </w:rPr>
        <w:t>,</w:t>
      </w:r>
      <w:r w:rsidR="00DD14F1">
        <w:rPr>
          <w:rFonts w:ascii="Bookman Old Style" w:hAnsi="Bookman Old Style"/>
          <w:sz w:val="24"/>
          <w:szCs w:val="24"/>
        </w:rPr>
        <w:t xml:space="preserve"> </w:t>
      </w:r>
      <w:r w:rsidRPr="00A82DD7">
        <w:rPr>
          <w:rFonts w:ascii="Bookman Old Style" w:hAnsi="Bookman Old Style"/>
          <w:sz w:val="24"/>
          <w:szCs w:val="24"/>
        </w:rPr>
        <w:t xml:space="preserve">la Comisión </w:t>
      </w:r>
      <w:r w:rsidR="00D01E87">
        <w:rPr>
          <w:rFonts w:ascii="Bookman Old Style" w:hAnsi="Bookman Old Style"/>
          <w:sz w:val="24"/>
          <w:szCs w:val="24"/>
        </w:rPr>
        <w:t xml:space="preserve">presenta la presente </w:t>
      </w:r>
      <w:r w:rsidR="00C04C7D">
        <w:rPr>
          <w:rFonts w:ascii="Bookman Old Style" w:hAnsi="Bookman Old Style"/>
          <w:sz w:val="24"/>
          <w:szCs w:val="24"/>
        </w:rPr>
        <w:t xml:space="preserve">propuesta regulatoria </w:t>
      </w:r>
      <w:r w:rsidR="00245F3B">
        <w:rPr>
          <w:rFonts w:ascii="Bookman Old Style" w:hAnsi="Bookman Old Style"/>
          <w:sz w:val="24"/>
          <w:szCs w:val="24"/>
        </w:rPr>
        <w:t xml:space="preserve">a efectos de dar cumplimiento al inciso 3º del </w:t>
      </w:r>
      <w:r w:rsidR="00245F3B" w:rsidRPr="00245F3B">
        <w:rPr>
          <w:rFonts w:ascii="Bookman Old Style" w:hAnsi="Bookman Old Style"/>
          <w:sz w:val="24"/>
          <w:szCs w:val="24"/>
        </w:rPr>
        <w:t>artículo 49 de la Ley 2099 de 2021</w:t>
      </w:r>
      <w:r w:rsidR="00245F3B">
        <w:rPr>
          <w:rFonts w:ascii="Bookman Old Style" w:hAnsi="Bookman Old Style"/>
          <w:sz w:val="24"/>
          <w:szCs w:val="24"/>
        </w:rPr>
        <w:t>.</w:t>
      </w:r>
    </w:p>
    <w:p w14:paraId="2559E7C5" w14:textId="4730CB57" w:rsidR="00316973" w:rsidRDefault="00245F3B" w:rsidP="00F9647C">
      <w:pPr>
        <w:ind w:left="0"/>
        <w:jc w:val="both"/>
        <w:rPr>
          <w:rFonts w:ascii="Bookman Old Style" w:hAnsi="Bookman Old Style"/>
        </w:rPr>
      </w:pPr>
      <w:r>
        <w:rPr>
          <w:rFonts w:ascii="Bookman Old Style" w:hAnsi="Bookman Old Style"/>
        </w:rPr>
        <w:t xml:space="preserve">En este sentido, </w:t>
      </w:r>
      <w:r w:rsidR="00316973">
        <w:rPr>
          <w:rFonts w:ascii="Bookman Old Style" w:hAnsi="Bookman Old Style"/>
        </w:rPr>
        <w:t xml:space="preserve">la presente propuesta </w:t>
      </w:r>
      <w:r w:rsidR="00512CF6">
        <w:rPr>
          <w:rFonts w:ascii="Bookman Old Style" w:hAnsi="Bookman Old Style"/>
        </w:rPr>
        <w:t>busca que</w:t>
      </w:r>
      <w:r w:rsidR="00AA4307">
        <w:rPr>
          <w:rFonts w:ascii="Bookman Old Style" w:hAnsi="Bookman Old Style"/>
        </w:rPr>
        <w:t>,</w:t>
      </w:r>
      <w:r w:rsidR="00512CF6">
        <w:rPr>
          <w:rFonts w:ascii="Bookman Old Style" w:hAnsi="Bookman Old Style"/>
        </w:rPr>
        <w:t xml:space="preserve"> a partir de las alternativas técnicas que permiten llevar a cabo la diferenciación de los consumos, se pueda llevar a cabo la </w:t>
      </w:r>
      <w:r w:rsidR="00842843">
        <w:rPr>
          <w:rFonts w:ascii="Bookman Old Style" w:hAnsi="Bookman Old Style"/>
        </w:rPr>
        <w:t>instrumentalización del incentivo sin incurrir en mayores costos a los previstos hoy para el caso de</w:t>
      </w:r>
      <w:r w:rsidR="00CD3C52">
        <w:rPr>
          <w:rFonts w:ascii="Bookman Old Style" w:hAnsi="Bookman Old Style"/>
        </w:rPr>
        <w:t>l registro de</w:t>
      </w:r>
      <w:r w:rsidR="00842843">
        <w:rPr>
          <w:rFonts w:ascii="Bookman Old Style" w:hAnsi="Bookman Old Style"/>
        </w:rPr>
        <w:t xml:space="preserve"> nuevos usuarios</w:t>
      </w:r>
      <w:r w:rsidR="00AA4307">
        <w:rPr>
          <w:rFonts w:ascii="Bookman Old Style" w:hAnsi="Bookman Old Style"/>
        </w:rPr>
        <w:t xml:space="preserve">; </w:t>
      </w:r>
      <w:r w:rsidR="00E353BE">
        <w:rPr>
          <w:rFonts w:ascii="Bookman Old Style" w:hAnsi="Bookman Old Style"/>
        </w:rPr>
        <w:t>sin afectar el esquema regulatorio previsto para las fronteras comerciales</w:t>
      </w:r>
      <w:r w:rsidR="00AA4307">
        <w:rPr>
          <w:rFonts w:ascii="Bookman Old Style" w:hAnsi="Bookman Old Style"/>
        </w:rPr>
        <w:t>; y</w:t>
      </w:r>
      <w:r w:rsidR="00E353BE">
        <w:rPr>
          <w:rFonts w:ascii="Bookman Old Style" w:hAnsi="Bookman Old Style"/>
        </w:rPr>
        <w:t xml:space="preserve"> </w:t>
      </w:r>
      <w:r w:rsidR="00CD3C52">
        <w:rPr>
          <w:rFonts w:ascii="Bookman Old Style" w:hAnsi="Bookman Old Style"/>
        </w:rPr>
        <w:t xml:space="preserve">con el objetivo de que la </w:t>
      </w:r>
      <w:r w:rsidR="00096AC9">
        <w:rPr>
          <w:rFonts w:ascii="Bookman Old Style" w:hAnsi="Bookman Old Style"/>
        </w:rPr>
        <w:t xml:space="preserve">instrumentalización </w:t>
      </w:r>
      <w:r w:rsidR="00D76803">
        <w:rPr>
          <w:rFonts w:ascii="Bookman Old Style" w:hAnsi="Bookman Old Style"/>
        </w:rPr>
        <w:t xml:space="preserve">del artículo en cuanto a la diferenciación de la energía </w:t>
      </w:r>
      <w:r w:rsidR="00096AC9">
        <w:rPr>
          <w:rFonts w:ascii="Bookman Old Style" w:hAnsi="Bookman Old Style"/>
        </w:rPr>
        <w:t xml:space="preserve">no afecte la implementación del incentivo. </w:t>
      </w:r>
    </w:p>
    <w:p w14:paraId="4C77CF16" w14:textId="77777777" w:rsidR="00316973" w:rsidRDefault="00316973" w:rsidP="00F9647C">
      <w:pPr>
        <w:ind w:left="0"/>
        <w:jc w:val="both"/>
        <w:rPr>
          <w:rFonts w:ascii="Bookman Old Style" w:hAnsi="Bookman Old Style"/>
        </w:rPr>
      </w:pPr>
    </w:p>
    <w:p w14:paraId="703226CE" w14:textId="051D349B" w:rsidR="005B1A09" w:rsidRDefault="008D0F4E" w:rsidP="00EE6B15">
      <w:pPr>
        <w:ind w:left="0"/>
        <w:jc w:val="both"/>
        <w:rPr>
          <w:rFonts w:ascii="Bookman Old Style" w:hAnsi="Bookman Old Style"/>
        </w:rPr>
      </w:pPr>
      <w:r>
        <w:rPr>
          <w:rFonts w:ascii="Bookman Old Style" w:hAnsi="Bookman Old Style"/>
        </w:rPr>
        <w:t xml:space="preserve">Finalmente, dentro de las consideraciones que deben ser tenidas dentro de la presente propuesta se encuentra el alcance de la reglamentación </w:t>
      </w:r>
      <w:r w:rsidR="00113C08">
        <w:rPr>
          <w:rFonts w:ascii="Bookman Old Style" w:hAnsi="Bookman Old Style"/>
        </w:rPr>
        <w:t xml:space="preserve">del inciso 3º del artículo 49 de la Ley 2099 de 2021 en relación con la prestación del servicio público domiciliario de energía eléctrica, toda vez que el </w:t>
      </w:r>
      <w:r w:rsidR="00402134">
        <w:rPr>
          <w:rFonts w:ascii="Bookman Old Style" w:hAnsi="Bookman Old Style"/>
        </w:rPr>
        <w:t xml:space="preserve">parágrafo primero </w:t>
      </w:r>
      <w:r w:rsidR="00590300">
        <w:rPr>
          <w:rFonts w:ascii="Bookman Old Style" w:hAnsi="Bookman Old Style"/>
        </w:rPr>
        <w:t>del artículo 3º de la Resolución 40233 del 9 de julio de 2021</w:t>
      </w:r>
      <w:r w:rsidR="00002854">
        <w:rPr>
          <w:rFonts w:ascii="Bookman Old Style" w:hAnsi="Bookman Old Style"/>
        </w:rPr>
        <w:t xml:space="preserve"> establece que</w:t>
      </w:r>
      <w:r w:rsidR="00A32474">
        <w:rPr>
          <w:rFonts w:ascii="Bookman Old Style" w:hAnsi="Bookman Old Style"/>
        </w:rPr>
        <w:t xml:space="preserve">: </w:t>
      </w:r>
      <w:r w:rsidR="00002854">
        <w:rPr>
          <w:rFonts w:ascii="Bookman Old Style" w:hAnsi="Bookman Old Style"/>
        </w:rPr>
        <w:t>“</w:t>
      </w:r>
      <w:r w:rsidR="00002854" w:rsidRPr="00EE6B15">
        <w:rPr>
          <w:rFonts w:ascii="Bookman Old Style" w:hAnsi="Bookman Old Style"/>
          <w:i/>
          <w:iCs/>
        </w:rPr>
        <w:t>El suministro de energía eléctrica para vehículos eléctricos o h</w:t>
      </w:r>
      <w:r w:rsidR="00851B02" w:rsidRPr="00EE6B15">
        <w:rPr>
          <w:rFonts w:ascii="Bookman Old Style" w:hAnsi="Bookman Old Style"/>
          <w:i/>
          <w:iCs/>
        </w:rPr>
        <w:t xml:space="preserve">íbridos enchufables en Estaciones de carga se considera como un servicio de carga y no como un servicio público domiciliario. Tampoco abarca la actividad de comercialización de energía </w:t>
      </w:r>
      <w:r w:rsidR="002A25FA" w:rsidRPr="00EE6B15">
        <w:rPr>
          <w:rFonts w:ascii="Bookman Old Style" w:hAnsi="Bookman Old Style"/>
          <w:i/>
          <w:iCs/>
        </w:rPr>
        <w:t xml:space="preserve">eléctrica en los términos </w:t>
      </w:r>
      <w:r w:rsidR="005B1A09" w:rsidRPr="00EE6B15">
        <w:rPr>
          <w:rFonts w:ascii="Bookman Old Style" w:hAnsi="Bookman Old Style"/>
          <w:i/>
          <w:iCs/>
        </w:rPr>
        <w:t>de la Ley 143 de 1994”</w:t>
      </w:r>
      <w:r w:rsidR="005B1A09">
        <w:rPr>
          <w:rFonts w:ascii="Bookman Old Style" w:hAnsi="Bookman Old Style"/>
        </w:rPr>
        <w:t>.</w:t>
      </w:r>
    </w:p>
    <w:p w14:paraId="06A1AC1A" w14:textId="77777777" w:rsidR="00F9647C" w:rsidRDefault="00F9647C" w:rsidP="00F9647C">
      <w:pPr>
        <w:ind w:left="0"/>
        <w:jc w:val="both"/>
        <w:rPr>
          <w:rFonts w:ascii="Bookman Old Style" w:hAnsi="Bookman Old Style"/>
        </w:rPr>
      </w:pPr>
    </w:p>
    <w:p w14:paraId="14560C0B" w14:textId="73F2B015" w:rsidR="00E85A1F" w:rsidRDefault="002836D0" w:rsidP="00EE6B15">
      <w:pPr>
        <w:ind w:left="0"/>
        <w:jc w:val="both"/>
        <w:rPr>
          <w:rFonts w:ascii="Bookman Old Style" w:hAnsi="Bookman Old Style"/>
        </w:rPr>
      </w:pPr>
      <w:r>
        <w:rPr>
          <w:rFonts w:ascii="Bookman Old Style" w:hAnsi="Bookman Old Style"/>
        </w:rPr>
        <w:t>L</w:t>
      </w:r>
      <w:r w:rsidR="005B1A09">
        <w:rPr>
          <w:rFonts w:ascii="Bookman Old Style" w:hAnsi="Bookman Old Style"/>
        </w:rPr>
        <w:t>a presente propuesta regulatoria</w:t>
      </w:r>
      <w:r>
        <w:rPr>
          <w:rFonts w:ascii="Bookman Old Style" w:hAnsi="Bookman Old Style"/>
        </w:rPr>
        <w:t>, adicionalmente,</w:t>
      </w:r>
      <w:r w:rsidR="005B1A09">
        <w:rPr>
          <w:rFonts w:ascii="Bookman Old Style" w:hAnsi="Bookman Old Style"/>
        </w:rPr>
        <w:t xml:space="preserve"> atiende lo dispuesto en el inciso </w:t>
      </w:r>
      <w:r w:rsidR="00D257B3">
        <w:rPr>
          <w:rFonts w:ascii="Bookman Old Style" w:hAnsi="Bookman Old Style"/>
        </w:rPr>
        <w:t>segundo del artículo 6</w:t>
      </w:r>
      <w:r w:rsidR="00D257B3" w:rsidRPr="00D257B3">
        <w:rPr>
          <w:rFonts w:ascii="Bookman Old Style" w:hAnsi="Bookman Old Style"/>
        </w:rPr>
        <w:t>º de la Resolución 40233 del 9 de julio de 2021</w:t>
      </w:r>
      <w:r w:rsidR="00D257B3">
        <w:rPr>
          <w:rFonts w:ascii="Bookman Old Style" w:hAnsi="Bookman Old Style"/>
        </w:rPr>
        <w:t xml:space="preserve">, el </w:t>
      </w:r>
      <w:r w:rsidR="00D257B3">
        <w:rPr>
          <w:rFonts w:ascii="Bookman Old Style" w:hAnsi="Bookman Old Style"/>
        </w:rPr>
        <w:lastRenderedPageBreak/>
        <w:t>cual</w:t>
      </w:r>
      <w:r w:rsidR="00D257B3" w:rsidRPr="00D257B3">
        <w:rPr>
          <w:rFonts w:ascii="Bookman Old Style" w:hAnsi="Bookman Old Style"/>
        </w:rPr>
        <w:t xml:space="preserve"> establece que</w:t>
      </w:r>
      <w:r w:rsidR="00AF74CE">
        <w:rPr>
          <w:rFonts w:ascii="Bookman Old Style" w:hAnsi="Bookman Old Style"/>
        </w:rPr>
        <w:t xml:space="preserve"> </w:t>
      </w:r>
      <w:r w:rsidR="00D257B3">
        <w:rPr>
          <w:rFonts w:ascii="Bookman Old Style" w:hAnsi="Bookman Old Style"/>
        </w:rPr>
        <w:t>“</w:t>
      </w:r>
      <w:r w:rsidR="00D257B3" w:rsidRPr="00EE6B15">
        <w:rPr>
          <w:rFonts w:ascii="Bookman Old Style" w:hAnsi="Bookman Old Style"/>
          <w:i/>
          <w:iCs/>
        </w:rPr>
        <w:t>Así mismo, la CREG revisará y analizará la pertinencia de establecer condiciones especiales para la medición diferenciada del consumo de energía de</w:t>
      </w:r>
      <w:r w:rsidR="005C6A7A" w:rsidRPr="00EE6B15">
        <w:rPr>
          <w:rFonts w:ascii="Bookman Old Style" w:hAnsi="Bookman Old Style"/>
          <w:i/>
          <w:iCs/>
        </w:rPr>
        <w:t>stinada para la carga de vehículos o híbridos enchufables (…)</w:t>
      </w:r>
      <w:r w:rsidR="005C6A7A">
        <w:rPr>
          <w:rFonts w:ascii="Bookman Old Style" w:hAnsi="Bookman Old Style"/>
        </w:rPr>
        <w:t>”.</w:t>
      </w:r>
    </w:p>
    <w:p w14:paraId="6638F42B" w14:textId="77777777" w:rsidR="00C5402D" w:rsidRPr="000C479A" w:rsidRDefault="00C5402D" w:rsidP="004C63F0">
      <w:pPr>
        <w:spacing w:before="480" w:after="480"/>
        <w:jc w:val="center"/>
        <w:rPr>
          <w:rFonts w:ascii="Bookman Old Style" w:hAnsi="Bookman Old Style"/>
          <w:b/>
          <w:spacing w:val="40"/>
        </w:rPr>
      </w:pPr>
      <w:r w:rsidRPr="000C479A">
        <w:rPr>
          <w:rFonts w:ascii="Bookman Old Style" w:hAnsi="Bookman Old Style"/>
          <w:b/>
        </w:rPr>
        <w:t>RESUELV</w:t>
      </w:r>
      <w:r w:rsidRPr="000C479A">
        <w:rPr>
          <w:rFonts w:ascii="Bookman Old Style" w:hAnsi="Bookman Old Style"/>
          <w:b/>
          <w:spacing w:val="40"/>
        </w:rPr>
        <w:t>E:</w:t>
      </w:r>
    </w:p>
    <w:p w14:paraId="7D34C1BB" w14:textId="09C6B38C" w:rsidR="00CB10AB" w:rsidRPr="00667D9F" w:rsidRDefault="00C5402D" w:rsidP="00235698">
      <w:pPr>
        <w:pStyle w:val="Artculo"/>
      </w:pPr>
      <w:bookmarkStart w:id="4" w:name="_Ref44259966"/>
      <w:r w:rsidRPr="00A61EF1">
        <w:t>Objeto</w:t>
      </w:r>
      <w:r w:rsidR="00667D9F">
        <w:t xml:space="preserve"> y ámbito de aplicación</w:t>
      </w:r>
      <w:r w:rsidRPr="00A61EF1">
        <w:t>.</w:t>
      </w:r>
      <w:r w:rsidR="00BF47FD">
        <w:t xml:space="preserve"> </w:t>
      </w:r>
      <w:r w:rsidR="00667D9F" w:rsidRPr="00667D9F">
        <w:rPr>
          <w:b w:val="0"/>
          <w:bCs/>
        </w:rPr>
        <w:t>Esta resolución tiene por objeto</w:t>
      </w:r>
      <w:r w:rsidR="00667D9F">
        <w:t xml:space="preserve"> </w:t>
      </w:r>
      <w:r w:rsidR="00667D9F" w:rsidRPr="00667D9F">
        <w:rPr>
          <w:b w:val="0"/>
          <w:bCs/>
        </w:rPr>
        <w:t>e</w:t>
      </w:r>
      <w:r w:rsidR="00BF47FD" w:rsidRPr="004C63F0">
        <w:rPr>
          <w:b w:val="0"/>
          <w:bCs/>
        </w:rPr>
        <w:t xml:space="preserve">stablecer las </w:t>
      </w:r>
      <w:r w:rsidR="00705966" w:rsidRPr="004C63F0">
        <w:rPr>
          <w:b w:val="0"/>
          <w:bCs/>
        </w:rPr>
        <w:t>condiciones para la medición diferenciada de</w:t>
      </w:r>
      <w:r w:rsidR="00295864" w:rsidRPr="004C63F0">
        <w:rPr>
          <w:b w:val="0"/>
          <w:bCs/>
        </w:rPr>
        <w:t xml:space="preserve"> los consumos de energía</w:t>
      </w:r>
      <w:r w:rsidR="00295864">
        <w:rPr>
          <w:b w:val="0"/>
          <w:bCs/>
        </w:rPr>
        <w:t xml:space="preserve"> de </w:t>
      </w:r>
      <w:r w:rsidR="00412AFB">
        <w:rPr>
          <w:b w:val="0"/>
          <w:bCs/>
        </w:rPr>
        <w:t>que trata el artículo 49 de la Ley 2099 de 2021</w:t>
      </w:r>
      <w:r w:rsidR="007200D9">
        <w:rPr>
          <w:b w:val="0"/>
          <w:bCs/>
        </w:rPr>
        <w:t>,</w:t>
      </w:r>
      <w:r w:rsidR="00235698">
        <w:rPr>
          <w:b w:val="0"/>
          <w:bCs/>
        </w:rPr>
        <w:t xml:space="preserve"> y</w:t>
      </w:r>
      <w:bookmarkEnd w:id="4"/>
      <w:r w:rsidR="00A75A1C">
        <w:rPr>
          <w:b w:val="0"/>
          <w:bCs/>
        </w:rPr>
        <w:t xml:space="preserve"> aplica a los comercializadores y a los usuarios del servicio de energía eléctrica que </w:t>
      </w:r>
      <w:r w:rsidR="009851BC">
        <w:rPr>
          <w:b w:val="0"/>
          <w:bCs/>
        </w:rPr>
        <w:t xml:space="preserve">sean </w:t>
      </w:r>
      <w:r w:rsidR="00197E81">
        <w:rPr>
          <w:b w:val="0"/>
          <w:bCs/>
        </w:rPr>
        <w:t>beneficiarios</w:t>
      </w:r>
      <w:r w:rsidR="000B51A6">
        <w:rPr>
          <w:b w:val="0"/>
          <w:bCs/>
        </w:rPr>
        <w:t xml:space="preserve"> del incentivo de que trata el artículo 49 de la Ley 20</w:t>
      </w:r>
      <w:r w:rsidR="007200D9">
        <w:rPr>
          <w:b w:val="0"/>
          <w:bCs/>
        </w:rPr>
        <w:t>9</w:t>
      </w:r>
      <w:r w:rsidR="000B51A6">
        <w:rPr>
          <w:b w:val="0"/>
          <w:bCs/>
        </w:rPr>
        <w:t>9 de 2021.</w:t>
      </w:r>
    </w:p>
    <w:p w14:paraId="605571D0" w14:textId="62B81163" w:rsidR="008721F5" w:rsidRPr="00E55237" w:rsidRDefault="001A2DE1" w:rsidP="001A2DE1">
      <w:pPr>
        <w:pStyle w:val="Artculo"/>
      </w:pPr>
      <w:r>
        <w:t xml:space="preserve">Alternativas para la medición </w:t>
      </w:r>
      <w:r w:rsidR="00F944B3">
        <w:t>diferenciada</w:t>
      </w:r>
      <w:r w:rsidRPr="00A61EF1">
        <w:t>.</w:t>
      </w:r>
      <w:r>
        <w:t xml:space="preserve"> </w:t>
      </w:r>
      <w:r w:rsidR="00F944B3">
        <w:rPr>
          <w:b w:val="0"/>
          <w:bCs/>
        </w:rPr>
        <w:t xml:space="preserve">La medición diferenciada de los consumos de energía de que trata el </w:t>
      </w:r>
      <w:r w:rsidR="008721F5">
        <w:rPr>
          <w:b w:val="0"/>
          <w:bCs/>
        </w:rPr>
        <w:t>artículo</w:t>
      </w:r>
      <w:r w:rsidR="00F944B3">
        <w:rPr>
          <w:b w:val="0"/>
          <w:bCs/>
        </w:rPr>
        <w:t xml:space="preserve"> 49 de la Ley 2099 de 2021 se podrá </w:t>
      </w:r>
      <w:r w:rsidR="00197E81">
        <w:rPr>
          <w:b w:val="0"/>
          <w:bCs/>
        </w:rPr>
        <w:t xml:space="preserve">llevar a cabo </w:t>
      </w:r>
      <w:r w:rsidR="0051479A">
        <w:rPr>
          <w:b w:val="0"/>
          <w:bCs/>
        </w:rPr>
        <w:t>acud</w:t>
      </w:r>
      <w:r w:rsidR="00736C7B">
        <w:rPr>
          <w:b w:val="0"/>
          <w:bCs/>
        </w:rPr>
        <w:t xml:space="preserve">iendo </w:t>
      </w:r>
      <w:r w:rsidR="007200D9">
        <w:rPr>
          <w:b w:val="0"/>
          <w:bCs/>
        </w:rPr>
        <w:t xml:space="preserve">a </w:t>
      </w:r>
      <w:r w:rsidR="006A324F">
        <w:rPr>
          <w:b w:val="0"/>
          <w:bCs/>
        </w:rPr>
        <w:t>alguna de</w:t>
      </w:r>
      <w:r w:rsidR="008721F5">
        <w:rPr>
          <w:b w:val="0"/>
          <w:bCs/>
        </w:rPr>
        <w:t xml:space="preserve"> las siguientes alternativas:</w:t>
      </w:r>
    </w:p>
    <w:p w14:paraId="09FEA3B9" w14:textId="448E92C7" w:rsidR="008721F5" w:rsidRPr="00E55237" w:rsidRDefault="003D317B" w:rsidP="00B63799">
      <w:pPr>
        <w:pStyle w:val="Artculo"/>
        <w:numPr>
          <w:ilvl w:val="1"/>
          <w:numId w:val="30"/>
        </w:numPr>
        <w:ind w:left="567"/>
        <w:rPr>
          <w:b w:val="0"/>
          <w:bCs/>
        </w:rPr>
      </w:pPr>
      <w:r>
        <w:rPr>
          <w:b w:val="0"/>
          <w:bCs/>
        </w:rPr>
        <w:t>Independización</w:t>
      </w:r>
      <w:r w:rsidR="0055566F">
        <w:rPr>
          <w:b w:val="0"/>
          <w:bCs/>
        </w:rPr>
        <w:t xml:space="preserve"> de la instalación:</w:t>
      </w:r>
      <w:r w:rsidR="00F2371D">
        <w:rPr>
          <w:b w:val="0"/>
          <w:bCs/>
        </w:rPr>
        <w:t xml:space="preserve"> </w:t>
      </w:r>
      <w:r w:rsidR="00A61F20">
        <w:rPr>
          <w:b w:val="0"/>
          <w:bCs/>
        </w:rPr>
        <w:t xml:space="preserve">Corresponde </w:t>
      </w:r>
      <w:r w:rsidR="00D8019A">
        <w:rPr>
          <w:b w:val="0"/>
          <w:bCs/>
        </w:rPr>
        <w:t>a la separación</w:t>
      </w:r>
      <w:r w:rsidR="007A7D0F">
        <w:rPr>
          <w:b w:val="0"/>
          <w:bCs/>
        </w:rPr>
        <w:t xml:space="preserve"> de la red interna de un usuario del servicio de energía eléctrica</w:t>
      </w:r>
      <w:r w:rsidR="00E7456A">
        <w:rPr>
          <w:b w:val="0"/>
          <w:bCs/>
        </w:rPr>
        <w:t xml:space="preserve"> que abastece </w:t>
      </w:r>
      <w:r w:rsidR="00E7456A" w:rsidRPr="00125A81">
        <w:rPr>
          <w:b w:val="0"/>
        </w:rPr>
        <w:t>el consumo de energía destinado a los fines indicados en el artículo 49 de la Ley 2099 de 2021</w:t>
      </w:r>
      <w:r w:rsidR="00765378">
        <w:rPr>
          <w:b w:val="0"/>
        </w:rPr>
        <w:t>,</w:t>
      </w:r>
      <w:r w:rsidR="00D8019A">
        <w:rPr>
          <w:b w:val="0"/>
          <w:bCs/>
        </w:rPr>
        <w:t xml:space="preserve"> </w:t>
      </w:r>
      <w:r w:rsidR="00125A81">
        <w:rPr>
          <w:b w:val="0"/>
          <w:bCs/>
        </w:rPr>
        <w:t xml:space="preserve">de tal forma que se tenga una nueva instalación independiente legalizada. </w:t>
      </w:r>
    </w:p>
    <w:p w14:paraId="374DB393" w14:textId="3311FCDA" w:rsidR="005366A8" w:rsidRDefault="002443AA" w:rsidP="00B63799">
      <w:pPr>
        <w:pStyle w:val="Prrafodelista"/>
        <w:numPr>
          <w:ilvl w:val="1"/>
          <w:numId w:val="30"/>
        </w:numPr>
        <w:spacing w:before="240" w:after="240"/>
        <w:ind w:left="567"/>
        <w:jc w:val="both"/>
        <w:rPr>
          <w:rFonts w:ascii="Bookman Old Style" w:hAnsi="Bookman Old Style"/>
          <w:bCs/>
          <w:sz w:val="24"/>
          <w:szCs w:val="24"/>
        </w:rPr>
      </w:pPr>
      <w:r>
        <w:rPr>
          <w:rFonts w:ascii="Bookman Old Style" w:hAnsi="Bookman Old Style"/>
          <w:bCs/>
          <w:sz w:val="24"/>
          <w:szCs w:val="24"/>
        </w:rPr>
        <w:t>Sistema de m</w:t>
      </w:r>
      <w:r w:rsidR="003D317B">
        <w:rPr>
          <w:rFonts w:ascii="Bookman Old Style" w:hAnsi="Bookman Old Style"/>
          <w:bCs/>
          <w:sz w:val="24"/>
          <w:szCs w:val="24"/>
        </w:rPr>
        <w:t xml:space="preserve">edición </w:t>
      </w:r>
      <w:r w:rsidR="00EA1D44">
        <w:rPr>
          <w:rFonts w:ascii="Bookman Old Style" w:hAnsi="Bookman Old Style"/>
          <w:bCs/>
          <w:sz w:val="24"/>
          <w:szCs w:val="24"/>
        </w:rPr>
        <w:t>a</w:t>
      </w:r>
      <w:r w:rsidR="003D317B">
        <w:rPr>
          <w:rFonts w:ascii="Bookman Old Style" w:hAnsi="Bookman Old Style"/>
          <w:bCs/>
          <w:sz w:val="24"/>
          <w:szCs w:val="24"/>
        </w:rPr>
        <w:t>l</w:t>
      </w:r>
      <w:r w:rsidR="00EA1D44">
        <w:rPr>
          <w:rFonts w:ascii="Bookman Old Style" w:hAnsi="Bookman Old Style"/>
          <w:bCs/>
          <w:sz w:val="24"/>
          <w:szCs w:val="24"/>
        </w:rPr>
        <w:t xml:space="preserve"> </w:t>
      </w:r>
      <w:r w:rsidR="003D317B">
        <w:rPr>
          <w:rFonts w:ascii="Bookman Old Style" w:hAnsi="Bookman Old Style"/>
          <w:bCs/>
          <w:sz w:val="24"/>
          <w:szCs w:val="24"/>
        </w:rPr>
        <w:t>interior de la instalación:</w:t>
      </w:r>
      <w:r w:rsidR="00D022A2">
        <w:rPr>
          <w:rFonts w:ascii="Bookman Old Style" w:hAnsi="Bookman Old Style"/>
          <w:bCs/>
          <w:sz w:val="24"/>
          <w:szCs w:val="24"/>
        </w:rPr>
        <w:t xml:space="preserve"> </w:t>
      </w:r>
      <w:r w:rsidR="00A61F20">
        <w:rPr>
          <w:rFonts w:ascii="Bookman Old Style" w:hAnsi="Bookman Old Style"/>
          <w:bCs/>
          <w:sz w:val="24"/>
          <w:szCs w:val="24"/>
        </w:rPr>
        <w:t>C</w:t>
      </w:r>
      <w:r w:rsidR="00D022A2">
        <w:rPr>
          <w:rFonts w:ascii="Bookman Old Style" w:hAnsi="Bookman Old Style"/>
          <w:bCs/>
          <w:sz w:val="24"/>
          <w:szCs w:val="24"/>
        </w:rPr>
        <w:t>orresponde a la instalación de un sistema de medición al interior de la red interna del usuario del servicio de energía eléctrica</w:t>
      </w:r>
      <w:r w:rsidR="00765378">
        <w:rPr>
          <w:rFonts w:ascii="Bookman Old Style" w:hAnsi="Bookman Old Style"/>
          <w:bCs/>
          <w:sz w:val="24"/>
          <w:szCs w:val="24"/>
        </w:rPr>
        <w:t>,</w:t>
      </w:r>
      <w:r w:rsidR="00D022A2">
        <w:rPr>
          <w:rFonts w:ascii="Bookman Old Style" w:hAnsi="Bookman Old Style"/>
          <w:bCs/>
          <w:sz w:val="24"/>
          <w:szCs w:val="24"/>
        </w:rPr>
        <w:t xml:space="preserve"> de tal forma que se pued</w:t>
      </w:r>
      <w:r w:rsidR="00F378D6">
        <w:rPr>
          <w:rFonts w:ascii="Bookman Old Style" w:hAnsi="Bookman Old Style"/>
          <w:bCs/>
          <w:sz w:val="24"/>
          <w:szCs w:val="24"/>
        </w:rPr>
        <w:t>a discriminar el consumo de energía</w:t>
      </w:r>
      <w:r w:rsidR="00765378">
        <w:rPr>
          <w:rFonts w:ascii="Bookman Old Style" w:hAnsi="Bookman Old Style"/>
          <w:bCs/>
          <w:sz w:val="24"/>
          <w:szCs w:val="24"/>
        </w:rPr>
        <w:t xml:space="preserve"> eléctrica</w:t>
      </w:r>
      <w:r w:rsidR="00F378D6">
        <w:rPr>
          <w:rFonts w:ascii="Bookman Old Style" w:hAnsi="Bookman Old Style"/>
          <w:bCs/>
          <w:sz w:val="24"/>
          <w:szCs w:val="24"/>
        </w:rPr>
        <w:t xml:space="preserve"> destinad</w:t>
      </w:r>
      <w:r w:rsidR="00765378">
        <w:rPr>
          <w:rFonts w:ascii="Bookman Old Style" w:hAnsi="Bookman Old Style"/>
          <w:bCs/>
          <w:sz w:val="24"/>
          <w:szCs w:val="24"/>
        </w:rPr>
        <w:t>a</w:t>
      </w:r>
      <w:r w:rsidR="00725992">
        <w:rPr>
          <w:rFonts w:ascii="Bookman Old Style" w:hAnsi="Bookman Old Style"/>
          <w:bCs/>
          <w:sz w:val="24"/>
          <w:szCs w:val="24"/>
        </w:rPr>
        <w:t xml:space="preserve"> para</w:t>
      </w:r>
      <w:r w:rsidR="00A61F20">
        <w:rPr>
          <w:rFonts w:ascii="Bookman Old Style" w:hAnsi="Bookman Old Style"/>
          <w:bCs/>
          <w:sz w:val="24"/>
          <w:szCs w:val="24"/>
        </w:rPr>
        <w:t xml:space="preserve"> los fines indicados en el artículo 49 de la Ley 2099 de 2021</w:t>
      </w:r>
      <w:r w:rsidR="001C73A5">
        <w:rPr>
          <w:rFonts w:ascii="Bookman Old Style" w:hAnsi="Bookman Old Style"/>
          <w:bCs/>
          <w:sz w:val="24"/>
          <w:szCs w:val="24"/>
        </w:rPr>
        <w:t>.</w:t>
      </w:r>
    </w:p>
    <w:p w14:paraId="43888B9F" w14:textId="2437BD73" w:rsidR="0055566F" w:rsidRPr="00E55237" w:rsidRDefault="007C4F03" w:rsidP="007B59E8">
      <w:pPr>
        <w:jc w:val="both"/>
        <w:rPr>
          <w:rFonts w:ascii="Bookman Old Style" w:hAnsi="Bookman Old Style"/>
          <w:bCs/>
        </w:rPr>
      </w:pPr>
      <w:r>
        <w:rPr>
          <w:rFonts w:ascii="Bookman Old Style" w:hAnsi="Bookman Old Style"/>
          <w:bCs/>
        </w:rPr>
        <w:t xml:space="preserve">A efectos de </w:t>
      </w:r>
      <w:r w:rsidR="001048EA">
        <w:rPr>
          <w:rFonts w:ascii="Bookman Old Style" w:hAnsi="Bookman Old Style"/>
          <w:bCs/>
        </w:rPr>
        <w:t>llevar a cabo la diferenciación de los consumos, el</w:t>
      </w:r>
      <w:r w:rsidR="003D317B">
        <w:rPr>
          <w:rFonts w:ascii="Bookman Old Style" w:hAnsi="Bookman Old Style"/>
          <w:bCs/>
        </w:rPr>
        <w:t xml:space="preserve"> usuario </w:t>
      </w:r>
      <w:r w:rsidR="00800859">
        <w:rPr>
          <w:rFonts w:ascii="Bookman Old Style" w:hAnsi="Bookman Old Style"/>
          <w:bCs/>
        </w:rPr>
        <w:t xml:space="preserve">o usuario potencial deberá </w:t>
      </w:r>
      <w:r w:rsidR="00B14A22">
        <w:rPr>
          <w:rFonts w:ascii="Bookman Old Style" w:hAnsi="Bookman Old Style"/>
          <w:bCs/>
        </w:rPr>
        <w:t>informar</w:t>
      </w:r>
      <w:r w:rsidR="00800859">
        <w:rPr>
          <w:rFonts w:ascii="Bookman Old Style" w:hAnsi="Bookman Old Style"/>
          <w:bCs/>
        </w:rPr>
        <w:t xml:space="preserve"> al comercializa</w:t>
      </w:r>
      <w:r w:rsidR="00F971E0">
        <w:rPr>
          <w:rFonts w:ascii="Bookman Old Style" w:hAnsi="Bookman Old Style"/>
          <w:bCs/>
        </w:rPr>
        <w:t xml:space="preserve">dor </w:t>
      </w:r>
      <w:r w:rsidR="00800859">
        <w:rPr>
          <w:rFonts w:ascii="Bookman Old Style" w:hAnsi="Bookman Old Style"/>
          <w:bCs/>
        </w:rPr>
        <w:t>de energía que le presta o prestará el servicio</w:t>
      </w:r>
      <w:r w:rsidR="00CA14EE">
        <w:rPr>
          <w:rFonts w:ascii="Bookman Old Style" w:hAnsi="Bookman Old Style"/>
          <w:bCs/>
        </w:rPr>
        <w:t>,</w:t>
      </w:r>
      <w:r w:rsidR="00800859">
        <w:rPr>
          <w:rFonts w:ascii="Bookman Old Style" w:hAnsi="Bookman Old Style"/>
          <w:bCs/>
        </w:rPr>
        <w:t xml:space="preserve"> </w:t>
      </w:r>
      <w:r>
        <w:rPr>
          <w:rFonts w:ascii="Bookman Old Style" w:hAnsi="Bookman Old Style"/>
          <w:bCs/>
        </w:rPr>
        <w:t>cuál</w:t>
      </w:r>
      <w:r w:rsidR="000A36A6">
        <w:rPr>
          <w:rFonts w:ascii="Bookman Old Style" w:hAnsi="Bookman Old Style"/>
          <w:bCs/>
        </w:rPr>
        <w:t xml:space="preserve"> de las alternativas de medición diferenciada aplicará.</w:t>
      </w:r>
    </w:p>
    <w:p w14:paraId="6601BFEF" w14:textId="27A0F0E9" w:rsidR="001A2DE1" w:rsidRPr="00A61EF1" w:rsidRDefault="00F971E0" w:rsidP="001A2DE1">
      <w:pPr>
        <w:pStyle w:val="Artculo"/>
      </w:pPr>
      <w:r w:rsidRPr="00E55237">
        <w:t>Condiciones técnicas</w:t>
      </w:r>
      <w:r w:rsidR="00B9488E">
        <w:t xml:space="preserve"> y report</w:t>
      </w:r>
      <w:r w:rsidR="007623A8">
        <w:t>e de lecturas</w:t>
      </w:r>
      <w:r w:rsidR="001A2DE1" w:rsidRPr="00E55237">
        <w:t>.</w:t>
      </w:r>
      <w:r w:rsidR="009C451F">
        <w:rPr>
          <w:b w:val="0"/>
          <w:bCs/>
        </w:rPr>
        <w:t xml:space="preserve"> Las condiciones técnicas </w:t>
      </w:r>
      <w:r w:rsidR="00A350AB">
        <w:rPr>
          <w:b w:val="0"/>
          <w:bCs/>
        </w:rPr>
        <w:t xml:space="preserve">de </w:t>
      </w:r>
      <w:r w:rsidR="009C451F">
        <w:rPr>
          <w:b w:val="0"/>
          <w:bCs/>
        </w:rPr>
        <w:t xml:space="preserve">la </w:t>
      </w:r>
      <w:r w:rsidR="00A71A2F">
        <w:rPr>
          <w:b w:val="0"/>
          <w:bCs/>
        </w:rPr>
        <w:t>medición diferenciada para las alternativas del artículo anterior son las siguientes:</w:t>
      </w:r>
      <w:r w:rsidR="001A2DE1">
        <w:t xml:space="preserve"> </w:t>
      </w:r>
      <w:r w:rsidR="001A2DE1" w:rsidRPr="00A61EF1">
        <w:t xml:space="preserve"> </w:t>
      </w:r>
    </w:p>
    <w:p w14:paraId="580C2254" w14:textId="4A7FE592" w:rsidR="00E376B8" w:rsidRDefault="00A71A2F" w:rsidP="000B34CF">
      <w:pPr>
        <w:pStyle w:val="Artculo"/>
        <w:numPr>
          <w:ilvl w:val="1"/>
          <w:numId w:val="31"/>
        </w:numPr>
        <w:ind w:left="567"/>
        <w:rPr>
          <w:b w:val="0"/>
          <w:bCs/>
        </w:rPr>
      </w:pPr>
      <w:r>
        <w:rPr>
          <w:b w:val="0"/>
          <w:bCs/>
        </w:rPr>
        <w:t xml:space="preserve">Independización de la instalación: </w:t>
      </w:r>
      <w:r w:rsidR="00404F97">
        <w:rPr>
          <w:b w:val="0"/>
          <w:bCs/>
        </w:rPr>
        <w:t xml:space="preserve">Estas corresponden a </w:t>
      </w:r>
      <w:r>
        <w:rPr>
          <w:b w:val="0"/>
          <w:bCs/>
        </w:rPr>
        <w:t xml:space="preserve">las </w:t>
      </w:r>
      <w:r w:rsidR="00404F97">
        <w:rPr>
          <w:b w:val="0"/>
          <w:bCs/>
        </w:rPr>
        <w:t>previstas en</w:t>
      </w:r>
      <w:r>
        <w:rPr>
          <w:b w:val="0"/>
          <w:bCs/>
        </w:rPr>
        <w:t xml:space="preserve"> la regulación vigente</w:t>
      </w:r>
      <w:r w:rsidR="0012001A">
        <w:rPr>
          <w:b w:val="0"/>
          <w:bCs/>
        </w:rPr>
        <w:t xml:space="preserve"> para la con</w:t>
      </w:r>
      <w:r w:rsidR="00E55237">
        <w:rPr>
          <w:b w:val="0"/>
          <w:bCs/>
        </w:rPr>
        <w:t>exión y medición de un usuario que se conecta al Sistema Interconectado Nacional</w:t>
      </w:r>
      <w:r w:rsidR="007200D9">
        <w:rPr>
          <w:b w:val="0"/>
          <w:bCs/>
        </w:rPr>
        <w:t>,</w:t>
      </w:r>
      <w:r w:rsidR="00865E9B">
        <w:rPr>
          <w:b w:val="0"/>
          <w:bCs/>
        </w:rPr>
        <w:t xml:space="preserve"> conforme a lo establecido en las resoluciones CREG 075 de 2021 y 038 de 2014 o aquellas que las modifiquen o sustituyan</w:t>
      </w:r>
      <w:r>
        <w:rPr>
          <w:b w:val="0"/>
          <w:bCs/>
        </w:rPr>
        <w:t>.</w:t>
      </w:r>
      <w:r w:rsidR="007623A8" w:rsidRPr="007623A8">
        <w:rPr>
          <w:b w:val="0"/>
          <w:bCs/>
        </w:rPr>
        <w:t xml:space="preserve"> </w:t>
      </w:r>
    </w:p>
    <w:p w14:paraId="47F1BDB4" w14:textId="585EA196" w:rsidR="00A71A2F" w:rsidRPr="00CB05AE" w:rsidRDefault="00E376B8" w:rsidP="00E376B8">
      <w:pPr>
        <w:pStyle w:val="Artculo"/>
        <w:numPr>
          <w:ilvl w:val="0"/>
          <w:numId w:val="0"/>
        </w:numPr>
        <w:ind w:left="567"/>
        <w:rPr>
          <w:b w:val="0"/>
          <w:bCs/>
        </w:rPr>
      </w:pPr>
      <w:r>
        <w:rPr>
          <w:b w:val="0"/>
          <w:bCs/>
        </w:rPr>
        <w:t>Las lecturas de los consumos deberá</w:t>
      </w:r>
      <w:r w:rsidR="00BF1C87">
        <w:rPr>
          <w:b w:val="0"/>
          <w:bCs/>
        </w:rPr>
        <w:t>n</w:t>
      </w:r>
      <w:r>
        <w:rPr>
          <w:b w:val="0"/>
          <w:bCs/>
        </w:rPr>
        <w:t xml:space="preserve"> </w:t>
      </w:r>
      <w:r w:rsidR="00E626CA">
        <w:rPr>
          <w:b w:val="0"/>
          <w:bCs/>
        </w:rPr>
        <w:t>re</w:t>
      </w:r>
      <w:r w:rsidR="00BF1C87">
        <w:rPr>
          <w:b w:val="0"/>
          <w:bCs/>
        </w:rPr>
        <w:t>portarse de acuerdo con las condiciones</w:t>
      </w:r>
      <w:r w:rsidR="007623A8">
        <w:rPr>
          <w:b w:val="0"/>
          <w:bCs/>
        </w:rPr>
        <w:t xml:space="preserve"> indicadas en la Resolución CREG 038 de 2014 para las fronteras con reporte al ASIC o sin reporte al ASIC.</w:t>
      </w:r>
    </w:p>
    <w:p w14:paraId="3DA404E1" w14:textId="78F64B80" w:rsidR="00FF4491" w:rsidRDefault="00C911B9" w:rsidP="00644177">
      <w:pPr>
        <w:pStyle w:val="Prrafodelista"/>
        <w:numPr>
          <w:ilvl w:val="1"/>
          <w:numId w:val="31"/>
        </w:numPr>
        <w:spacing w:before="240" w:after="240"/>
        <w:ind w:left="567"/>
        <w:jc w:val="both"/>
        <w:rPr>
          <w:rFonts w:ascii="Bookman Old Style" w:hAnsi="Bookman Old Style"/>
          <w:bCs/>
          <w:sz w:val="24"/>
          <w:szCs w:val="24"/>
        </w:rPr>
      </w:pPr>
      <w:r>
        <w:rPr>
          <w:rFonts w:ascii="Bookman Old Style" w:hAnsi="Bookman Old Style"/>
          <w:bCs/>
          <w:sz w:val="24"/>
          <w:szCs w:val="24"/>
        </w:rPr>
        <w:t>Sistema de medición al interior de la instalación</w:t>
      </w:r>
      <w:r w:rsidR="00A71A2F">
        <w:rPr>
          <w:rFonts w:ascii="Bookman Old Style" w:hAnsi="Bookman Old Style"/>
          <w:bCs/>
          <w:sz w:val="24"/>
          <w:szCs w:val="24"/>
        </w:rPr>
        <w:t>:</w:t>
      </w:r>
      <w:r w:rsidR="00DC05D4">
        <w:rPr>
          <w:rFonts w:ascii="Bookman Old Style" w:hAnsi="Bookman Old Style"/>
          <w:bCs/>
          <w:sz w:val="24"/>
          <w:szCs w:val="24"/>
        </w:rPr>
        <w:t xml:space="preserve"> </w:t>
      </w:r>
      <w:r w:rsidR="003B0052">
        <w:rPr>
          <w:rFonts w:ascii="Bookman Old Style" w:hAnsi="Bookman Old Style"/>
          <w:bCs/>
          <w:sz w:val="24"/>
          <w:szCs w:val="24"/>
        </w:rPr>
        <w:t>Estas corresponden a las previstas</w:t>
      </w:r>
      <w:r w:rsidR="00DC05D4">
        <w:rPr>
          <w:rFonts w:ascii="Bookman Old Style" w:hAnsi="Bookman Old Style"/>
          <w:bCs/>
          <w:sz w:val="24"/>
          <w:szCs w:val="24"/>
        </w:rPr>
        <w:t xml:space="preserve"> para la frontera comercial del usuario</w:t>
      </w:r>
      <w:r w:rsidR="00B44EA5">
        <w:rPr>
          <w:rFonts w:ascii="Bookman Old Style" w:hAnsi="Bookman Old Style"/>
          <w:bCs/>
          <w:sz w:val="24"/>
          <w:szCs w:val="24"/>
        </w:rPr>
        <w:t xml:space="preserve"> que aplica esta alternativa</w:t>
      </w:r>
      <w:r w:rsidR="00865E9B" w:rsidRPr="00865E9B">
        <w:rPr>
          <w:rFonts w:ascii="Bookman Old Style" w:hAnsi="Bookman Old Style"/>
          <w:bCs/>
          <w:sz w:val="24"/>
          <w:szCs w:val="24"/>
        </w:rPr>
        <w:t xml:space="preserve"> </w:t>
      </w:r>
      <w:r w:rsidR="009F1C95">
        <w:rPr>
          <w:rFonts w:ascii="Bookman Old Style" w:hAnsi="Bookman Old Style"/>
          <w:bCs/>
          <w:sz w:val="24"/>
          <w:szCs w:val="24"/>
        </w:rPr>
        <w:lastRenderedPageBreak/>
        <w:t>conf</w:t>
      </w:r>
      <w:r w:rsidR="00DD6477">
        <w:rPr>
          <w:rFonts w:ascii="Bookman Old Style" w:hAnsi="Bookman Old Style"/>
          <w:bCs/>
          <w:sz w:val="24"/>
          <w:szCs w:val="24"/>
        </w:rPr>
        <w:t xml:space="preserve">orme a lo establecido </w:t>
      </w:r>
      <w:r w:rsidR="00865E9B">
        <w:rPr>
          <w:rFonts w:ascii="Bookman Old Style" w:hAnsi="Bookman Old Style"/>
          <w:bCs/>
          <w:sz w:val="24"/>
          <w:szCs w:val="24"/>
        </w:rPr>
        <w:t xml:space="preserve">en la Resolución CREG 038 de 2014 </w:t>
      </w:r>
      <w:r w:rsidR="00865E9B" w:rsidRPr="00865E9B">
        <w:rPr>
          <w:rFonts w:ascii="Bookman Old Style" w:hAnsi="Bookman Old Style"/>
          <w:bCs/>
          <w:sz w:val="24"/>
          <w:szCs w:val="24"/>
        </w:rPr>
        <w:t>o aquellas que las modifiquen o sustituyan</w:t>
      </w:r>
      <w:r w:rsidR="00DC05D4" w:rsidRPr="00C3178B" w:rsidDel="00FF4491">
        <w:rPr>
          <w:rFonts w:ascii="Bookman Old Style" w:hAnsi="Bookman Old Style"/>
          <w:sz w:val="24"/>
          <w:szCs w:val="24"/>
        </w:rPr>
        <w:t>.</w:t>
      </w:r>
      <w:r w:rsidR="00DC05D4">
        <w:rPr>
          <w:rFonts w:ascii="Bookman Old Style" w:hAnsi="Bookman Old Style"/>
          <w:bCs/>
          <w:sz w:val="24"/>
          <w:szCs w:val="24"/>
        </w:rPr>
        <w:t xml:space="preserve"> </w:t>
      </w:r>
    </w:p>
    <w:p w14:paraId="5B63468D" w14:textId="4B56B4F0" w:rsidR="00FF4491" w:rsidRDefault="004567A4" w:rsidP="009A4A75">
      <w:pPr>
        <w:pStyle w:val="Prrafodelista"/>
        <w:spacing w:before="240" w:after="240"/>
        <w:ind w:left="567"/>
        <w:jc w:val="both"/>
        <w:rPr>
          <w:rFonts w:ascii="Bookman Old Style" w:hAnsi="Bookman Old Style"/>
          <w:bCs/>
          <w:sz w:val="24"/>
          <w:szCs w:val="24"/>
        </w:rPr>
      </w:pPr>
      <w:r w:rsidRPr="004567A4">
        <w:rPr>
          <w:rFonts w:ascii="Bookman Old Style" w:hAnsi="Bookman Old Style"/>
          <w:bCs/>
          <w:sz w:val="24"/>
          <w:szCs w:val="24"/>
        </w:rPr>
        <w:t xml:space="preserve">El comercializador es responsable por la instalación adecuada del sistema de medición y el cumplimiento de los requisitos </w:t>
      </w:r>
      <w:r w:rsidR="001B377E">
        <w:rPr>
          <w:rFonts w:ascii="Bookman Old Style" w:hAnsi="Bookman Old Style"/>
          <w:bCs/>
          <w:sz w:val="24"/>
          <w:szCs w:val="24"/>
        </w:rPr>
        <w:t>señalados</w:t>
      </w:r>
      <w:r>
        <w:rPr>
          <w:rFonts w:ascii="Bookman Old Style" w:hAnsi="Bookman Old Style"/>
          <w:bCs/>
          <w:sz w:val="24"/>
          <w:szCs w:val="24"/>
        </w:rPr>
        <w:t>.</w:t>
      </w:r>
    </w:p>
    <w:p w14:paraId="1E7DEAE2" w14:textId="2796ED61" w:rsidR="00D21693" w:rsidRPr="004567A4" w:rsidRDefault="001B377E" w:rsidP="004567A4">
      <w:pPr>
        <w:pStyle w:val="Prrafodelista"/>
        <w:spacing w:before="240" w:after="240"/>
        <w:ind w:left="567"/>
        <w:jc w:val="both"/>
        <w:rPr>
          <w:rFonts w:ascii="Bookman Old Style" w:hAnsi="Bookman Old Style"/>
          <w:bCs/>
          <w:sz w:val="24"/>
          <w:szCs w:val="24"/>
        </w:rPr>
      </w:pPr>
      <w:r>
        <w:rPr>
          <w:rFonts w:ascii="Bookman Old Style" w:hAnsi="Bookman Old Style"/>
          <w:bCs/>
          <w:sz w:val="24"/>
          <w:szCs w:val="24"/>
        </w:rPr>
        <w:t xml:space="preserve">En caso de que el OR </w:t>
      </w:r>
      <w:r w:rsidR="008728A7">
        <w:rPr>
          <w:rFonts w:ascii="Bookman Old Style" w:hAnsi="Bookman Old Style"/>
          <w:bCs/>
          <w:sz w:val="24"/>
          <w:szCs w:val="24"/>
        </w:rPr>
        <w:t>s</w:t>
      </w:r>
      <w:r>
        <w:rPr>
          <w:rFonts w:ascii="Bookman Old Style" w:hAnsi="Bookman Old Style"/>
          <w:bCs/>
          <w:sz w:val="24"/>
          <w:szCs w:val="24"/>
        </w:rPr>
        <w:t>olicite</w:t>
      </w:r>
      <w:r w:rsidR="00877379">
        <w:rPr>
          <w:rFonts w:ascii="Bookman Old Style" w:hAnsi="Bookman Old Style"/>
          <w:bCs/>
          <w:sz w:val="24"/>
          <w:szCs w:val="24"/>
        </w:rPr>
        <w:t xml:space="preserve"> información sobre las características técnicas del sistema de medición, </w:t>
      </w:r>
      <w:r w:rsidR="007278CF">
        <w:rPr>
          <w:rFonts w:ascii="Bookman Old Style" w:hAnsi="Bookman Old Style"/>
          <w:bCs/>
          <w:sz w:val="24"/>
          <w:szCs w:val="24"/>
        </w:rPr>
        <w:t>e</w:t>
      </w:r>
      <w:r w:rsidR="00F211A4">
        <w:rPr>
          <w:rFonts w:ascii="Bookman Old Style" w:hAnsi="Bookman Old Style"/>
          <w:bCs/>
          <w:sz w:val="24"/>
          <w:szCs w:val="24"/>
        </w:rPr>
        <w:t>l comercializador deberá</w:t>
      </w:r>
      <w:r w:rsidR="007278CF">
        <w:rPr>
          <w:rFonts w:ascii="Bookman Old Style" w:hAnsi="Bookman Old Style"/>
          <w:bCs/>
          <w:sz w:val="24"/>
          <w:szCs w:val="24"/>
        </w:rPr>
        <w:t xml:space="preserve"> suministrarlas </w:t>
      </w:r>
      <w:r w:rsidR="00F6314F">
        <w:rPr>
          <w:rFonts w:ascii="Bookman Old Style" w:hAnsi="Bookman Old Style"/>
          <w:bCs/>
          <w:sz w:val="24"/>
          <w:szCs w:val="24"/>
        </w:rPr>
        <w:t>de acuerdo con el plazo establecido en el</w:t>
      </w:r>
      <w:r w:rsidR="00A3441C">
        <w:rPr>
          <w:rFonts w:ascii="Bookman Old Style" w:hAnsi="Bookman Old Style"/>
          <w:bCs/>
          <w:sz w:val="24"/>
          <w:szCs w:val="24"/>
        </w:rPr>
        <w:t xml:space="preserve"> artículo </w:t>
      </w:r>
      <w:r w:rsidR="00957BEE">
        <w:rPr>
          <w:rFonts w:ascii="Bookman Old Style" w:hAnsi="Bookman Old Style"/>
          <w:bCs/>
          <w:sz w:val="24"/>
          <w:szCs w:val="24"/>
        </w:rPr>
        <w:t>30 de la Resolución CREG 038 de 2014</w:t>
      </w:r>
      <w:r w:rsidR="007200D9">
        <w:rPr>
          <w:rFonts w:ascii="Bookman Old Style" w:hAnsi="Bookman Old Style"/>
          <w:bCs/>
          <w:sz w:val="24"/>
          <w:szCs w:val="24"/>
        </w:rPr>
        <w:t>,</w:t>
      </w:r>
      <w:r w:rsidR="00957BEE">
        <w:rPr>
          <w:rFonts w:ascii="Bookman Old Style" w:hAnsi="Bookman Old Style"/>
          <w:bCs/>
          <w:sz w:val="24"/>
          <w:szCs w:val="24"/>
        </w:rPr>
        <w:t xml:space="preserve"> o aquella que la modifique o sustituya</w:t>
      </w:r>
      <w:r w:rsidR="009C178B">
        <w:rPr>
          <w:rFonts w:ascii="Bookman Old Style" w:hAnsi="Bookman Old Style"/>
          <w:bCs/>
          <w:sz w:val="24"/>
          <w:szCs w:val="24"/>
        </w:rPr>
        <w:t>.</w:t>
      </w:r>
    </w:p>
    <w:p w14:paraId="16003F7D" w14:textId="064732E0" w:rsidR="008764AB" w:rsidRDefault="009C178B" w:rsidP="004567A4">
      <w:pPr>
        <w:pStyle w:val="Prrafodelista"/>
        <w:spacing w:before="240" w:after="240"/>
        <w:ind w:left="567"/>
        <w:jc w:val="both"/>
        <w:rPr>
          <w:rFonts w:ascii="Bookman Old Style" w:hAnsi="Bookman Old Style"/>
          <w:bCs/>
          <w:sz w:val="24"/>
          <w:szCs w:val="24"/>
        </w:rPr>
      </w:pPr>
      <w:r>
        <w:rPr>
          <w:rFonts w:ascii="Bookman Old Style" w:hAnsi="Bookman Old Style"/>
          <w:sz w:val="24"/>
          <w:szCs w:val="24"/>
        </w:rPr>
        <w:t xml:space="preserve">Las </w:t>
      </w:r>
      <w:r w:rsidR="002A5EB2">
        <w:rPr>
          <w:rFonts w:ascii="Bookman Old Style" w:hAnsi="Bookman Old Style"/>
          <w:sz w:val="24"/>
          <w:szCs w:val="24"/>
        </w:rPr>
        <w:t xml:space="preserve">lecturas de los consumos </w:t>
      </w:r>
      <w:r w:rsidR="00DB3CB3">
        <w:rPr>
          <w:rFonts w:ascii="Bookman Old Style" w:hAnsi="Bookman Old Style"/>
          <w:bCs/>
          <w:sz w:val="24"/>
          <w:szCs w:val="24"/>
        </w:rPr>
        <w:t>diferenciados</w:t>
      </w:r>
      <w:r w:rsidR="006C79B7">
        <w:rPr>
          <w:rFonts w:ascii="Bookman Old Style" w:hAnsi="Bookman Old Style"/>
          <w:bCs/>
          <w:sz w:val="24"/>
          <w:szCs w:val="24"/>
        </w:rPr>
        <w:t xml:space="preserve"> deberán reportase de acuerdo con el procedimiento y </w:t>
      </w:r>
      <w:r w:rsidR="009A2DD1">
        <w:rPr>
          <w:rFonts w:ascii="Bookman Old Style" w:hAnsi="Bookman Old Style"/>
          <w:bCs/>
          <w:sz w:val="24"/>
          <w:szCs w:val="24"/>
        </w:rPr>
        <w:t>mediante los mecanismos que el Ministerio de Minas y Energía disponga para tal fin</w:t>
      </w:r>
      <w:r w:rsidR="008764AB">
        <w:rPr>
          <w:rFonts w:ascii="Bookman Old Style" w:hAnsi="Bookman Old Style"/>
          <w:bCs/>
          <w:sz w:val="24"/>
          <w:szCs w:val="24"/>
        </w:rPr>
        <w:t>.</w:t>
      </w:r>
    </w:p>
    <w:p w14:paraId="59490983" w14:textId="3CD0E30D" w:rsidR="002255BF" w:rsidRDefault="008757A2" w:rsidP="008757A2">
      <w:pPr>
        <w:pStyle w:val="Artculo"/>
        <w:numPr>
          <w:ilvl w:val="0"/>
          <w:numId w:val="0"/>
        </w:numPr>
        <w:rPr>
          <w:b w:val="0"/>
          <w:bCs/>
        </w:rPr>
      </w:pPr>
      <w:r>
        <w:t xml:space="preserve">Parágrafo. </w:t>
      </w:r>
      <w:r w:rsidR="002255BF">
        <w:rPr>
          <w:b w:val="0"/>
          <w:bCs/>
        </w:rPr>
        <w:t xml:space="preserve">Para efectos de facturación, en </w:t>
      </w:r>
      <w:r w:rsidR="005509D1" w:rsidRPr="009A4A75">
        <w:rPr>
          <w:b w:val="0"/>
        </w:rPr>
        <w:t>cualquiera de las alternativas seleccionadas,</w:t>
      </w:r>
      <w:r w:rsidR="005509D1" w:rsidRPr="009A4A75" w:rsidDel="005509D1">
        <w:rPr>
          <w:b w:val="0"/>
        </w:rPr>
        <w:t xml:space="preserve"> </w:t>
      </w:r>
      <w:r w:rsidR="000355F6">
        <w:rPr>
          <w:b w:val="0"/>
          <w:bCs/>
        </w:rPr>
        <w:t>el comercializador</w:t>
      </w:r>
      <w:r w:rsidR="000355F6">
        <w:rPr>
          <w:b w:val="0"/>
        </w:rPr>
        <w:t xml:space="preserve"> </w:t>
      </w:r>
      <w:r w:rsidR="002255BF">
        <w:rPr>
          <w:b w:val="0"/>
        </w:rPr>
        <w:t xml:space="preserve">deberá dar aplicación </w:t>
      </w:r>
      <w:r w:rsidR="004719C4">
        <w:rPr>
          <w:b w:val="0"/>
          <w:bCs/>
        </w:rPr>
        <w:t xml:space="preserve">a lo establecido en </w:t>
      </w:r>
      <w:r w:rsidR="00AA05D7">
        <w:rPr>
          <w:b w:val="0"/>
          <w:bCs/>
        </w:rPr>
        <w:t>el</w:t>
      </w:r>
      <w:r w:rsidR="004A17CF">
        <w:rPr>
          <w:b w:val="0"/>
          <w:bCs/>
        </w:rPr>
        <w:t xml:space="preserve"> numeral 12 del </w:t>
      </w:r>
      <w:r w:rsidR="00AA05D7">
        <w:rPr>
          <w:b w:val="0"/>
          <w:bCs/>
        </w:rPr>
        <w:t>artículo 8</w:t>
      </w:r>
      <w:r w:rsidR="004A17CF">
        <w:rPr>
          <w:b w:val="0"/>
          <w:bCs/>
        </w:rPr>
        <w:t xml:space="preserve"> </w:t>
      </w:r>
      <w:r w:rsidR="00AA05D7">
        <w:rPr>
          <w:b w:val="0"/>
          <w:bCs/>
        </w:rPr>
        <w:t>de la Resolución</w:t>
      </w:r>
      <w:r w:rsidR="00216829">
        <w:rPr>
          <w:b w:val="0"/>
          <w:bCs/>
        </w:rPr>
        <w:t xml:space="preserve"> CREG </w:t>
      </w:r>
      <w:r w:rsidR="00AA05D7">
        <w:rPr>
          <w:b w:val="0"/>
          <w:bCs/>
        </w:rPr>
        <w:t xml:space="preserve">156 de 2011 o aquella que la </w:t>
      </w:r>
      <w:r w:rsidR="00C50EA6">
        <w:rPr>
          <w:b w:val="0"/>
          <w:bCs/>
        </w:rPr>
        <w:t>modifiquen</w:t>
      </w:r>
      <w:r w:rsidR="006C2A84">
        <w:rPr>
          <w:b w:val="0"/>
          <w:bCs/>
        </w:rPr>
        <w:t xml:space="preserve"> o sustituya</w:t>
      </w:r>
      <w:r w:rsidR="007200D9">
        <w:rPr>
          <w:b w:val="0"/>
          <w:bCs/>
        </w:rPr>
        <w:t>,</w:t>
      </w:r>
      <w:r w:rsidR="00A02A87">
        <w:rPr>
          <w:b w:val="0"/>
          <w:bCs/>
        </w:rPr>
        <w:t xml:space="preserve"> y </w:t>
      </w:r>
      <w:r w:rsidR="004A17CF">
        <w:rPr>
          <w:b w:val="0"/>
          <w:bCs/>
        </w:rPr>
        <w:t xml:space="preserve">al </w:t>
      </w:r>
      <w:r w:rsidR="00835319">
        <w:rPr>
          <w:b w:val="0"/>
          <w:bCs/>
        </w:rPr>
        <w:t>literal n) d</w:t>
      </w:r>
      <w:r w:rsidR="006B24E0">
        <w:rPr>
          <w:b w:val="0"/>
          <w:bCs/>
        </w:rPr>
        <w:t>el artículo 42</w:t>
      </w:r>
      <w:r w:rsidR="00C21F89">
        <w:rPr>
          <w:b w:val="0"/>
          <w:bCs/>
        </w:rPr>
        <w:t xml:space="preserve"> de </w:t>
      </w:r>
      <w:r w:rsidR="00A02A87">
        <w:rPr>
          <w:b w:val="0"/>
          <w:bCs/>
        </w:rPr>
        <w:t xml:space="preserve">la Resolución </w:t>
      </w:r>
      <w:r w:rsidR="00C21F89">
        <w:rPr>
          <w:b w:val="0"/>
          <w:bCs/>
        </w:rPr>
        <w:t xml:space="preserve">CREG </w:t>
      </w:r>
      <w:r w:rsidR="00A02A87">
        <w:rPr>
          <w:b w:val="0"/>
          <w:bCs/>
        </w:rPr>
        <w:t xml:space="preserve">108 de </w:t>
      </w:r>
      <w:r w:rsidR="003E3C44">
        <w:rPr>
          <w:b w:val="0"/>
          <w:bCs/>
        </w:rPr>
        <w:t>1997 o aquella que la modifique o sustituya.</w:t>
      </w:r>
      <w:r w:rsidR="00207E8C">
        <w:t xml:space="preserve"> </w:t>
      </w:r>
    </w:p>
    <w:p w14:paraId="33B0F3F0" w14:textId="075F9766" w:rsidR="002255BF" w:rsidRPr="000355F6" w:rsidRDefault="00E50709" w:rsidP="000355F6">
      <w:pPr>
        <w:ind w:left="0"/>
        <w:jc w:val="both"/>
        <w:rPr>
          <w:rFonts w:ascii="Bookman Old Style" w:hAnsi="Bookman Old Style"/>
          <w:bCs/>
        </w:rPr>
      </w:pPr>
      <w:r>
        <w:rPr>
          <w:rFonts w:ascii="Bookman Old Style" w:hAnsi="Bookman Old Style"/>
          <w:bCs/>
        </w:rPr>
        <w:t>A</w:t>
      </w:r>
      <w:r w:rsidR="00EF58B4">
        <w:rPr>
          <w:rFonts w:ascii="Bookman Old Style" w:hAnsi="Bookman Old Style"/>
          <w:bCs/>
        </w:rPr>
        <w:t>dicionalm</w:t>
      </w:r>
      <w:r>
        <w:rPr>
          <w:rFonts w:ascii="Bookman Old Style" w:hAnsi="Bookman Old Style"/>
          <w:bCs/>
        </w:rPr>
        <w:t>e</w:t>
      </w:r>
      <w:r w:rsidR="00EF58B4">
        <w:rPr>
          <w:rFonts w:ascii="Bookman Old Style" w:hAnsi="Bookman Old Style"/>
          <w:bCs/>
        </w:rPr>
        <w:t>n</w:t>
      </w:r>
      <w:r>
        <w:rPr>
          <w:rFonts w:ascii="Bookman Old Style" w:hAnsi="Bookman Old Style"/>
          <w:bCs/>
        </w:rPr>
        <w:t xml:space="preserve">te, </w:t>
      </w:r>
      <w:r w:rsidR="00675418" w:rsidRPr="00EF58B4">
        <w:rPr>
          <w:rFonts w:ascii="Bookman Old Style" w:hAnsi="Bookman Old Style"/>
          <w:bCs/>
        </w:rPr>
        <w:t xml:space="preserve">en caso </w:t>
      </w:r>
      <w:r w:rsidR="00675418">
        <w:rPr>
          <w:rFonts w:ascii="Bookman Old Style" w:hAnsi="Bookman Old Style"/>
          <w:bCs/>
        </w:rPr>
        <w:t xml:space="preserve">de </w:t>
      </w:r>
      <w:r w:rsidR="00675418" w:rsidRPr="00EF58B4">
        <w:rPr>
          <w:rFonts w:ascii="Bookman Old Style" w:hAnsi="Bookman Old Style"/>
          <w:bCs/>
        </w:rPr>
        <w:t xml:space="preserve">que el usuario haya optado por la alternativa del </w:t>
      </w:r>
      <w:r w:rsidR="00675418">
        <w:rPr>
          <w:rFonts w:ascii="Bookman Old Style" w:hAnsi="Bookman Old Style"/>
          <w:bCs/>
        </w:rPr>
        <w:t>s</w:t>
      </w:r>
      <w:r w:rsidR="00675418" w:rsidRPr="00EF58B4">
        <w:rPr>
          <w:rFonts w:ascii="Bookman Old Style" w:hAnsi="Bookman Old Style"/>
          <w:bCs/>
        </w:rPr>
        <w:t>istema de medición al interior de la instalación</w:t>
      </w:r>
      <w:r w:rsidR="00675418">
        <w:rPr>
          <w:rFonts w:ascii="Bookman Old Style" w:hAnsi="Bookman Old Style"/>
          <w:bCs/>
        </w:rPr>
        <w:t xml:space="preserve"> señalada en el artículo 3</w:t>
      </w:r>
      <w:r w:rsidR="005A69DF">
        <w:rPr>
          <w:rFonts w:ascii="Bookman Old Style" w:hAnsi="Bookman Old Style"/>
          <w:bCs/>
        </w:rPr>
        <w:t xml:space="preserve">, </w:t>
      </w:r>
      <w:r w:rsidR="00C21F89" w:rsidRPr="00EF58B4">
        <w:rPr>
          <w:rFonts w:ascii="Bookman Old Style" w:hAnsi="Bookman Old Style"/>
          <w:bCs/>
        </w:rPr>
        <w:t xml:space="preserve">el comercializador deberá incluir en la factura </w:t>
      </w:r>
      <w:r w:rsidR="002255BF" w:rsidRPr="00EF58B4">
        <w:rPr>
          <w:rFonts w:ascii="Bookman Old Style" w:hAnsi="Bookman Old Style"/>
          <w:bCs/>
        </w:rPr>
        <w:t>la lectura</w:t>
      </w:r>
      <w:r w:rsidR="00C21F89" w:rsidRPr="00EF58B4">
        <w:rPr>
          <w:rFonts w:ascii="Bookman Old Style" w:hAnsi="Bookman Old Style"/>
          <w:bCs/>
        </w:rPr>
        <w:t xml:space="preserve"> de los consumos diferenciados</w:t>
      </w:r>
      <w:r w:rsidR="00B734A5">
        <w:rPr>
          <w:rFonts w:ascii="Bookman Old Style" w:hAnsi="Bookman Old Style"/>
          <w:bCs/>
        </w:rPr>
        <w:t>.</w:t>
      </w:r>
    </w:p>
    <w:p w14:paraId="695DF55D" w14:textId="77777777" w:rsidR="00C5402D" w:rsidRPr="00D342D3" w:rsidRDefault="00C5402D" w:rsidP="009A2DD1">
      <w:pPr>
        <w:pStyle w:val="Artculo"/>
        <w:rPr>
          <w:b w:val="0"/>
        </w:rPr>
      </w:pPr>
      <w:r w:rsidRPr="00A61EF1">
        <w:t xml:space="preserve">Vigencia. </w:t>
      </w:r>
      <w:r w:rsidRPr="00A61EF1">
        <w:rPr>
          <w:b w:val="0"/>
        </w:rPr>
        <w:t xml:space="preserve">La presente resolución </w:t>
      </w:r>
      <w:proofErr w:type="gramStart"/>
      <w:r w:rsidRPr="00A61EF1">
        <w:rPr>
          <w:b w:val="0"/>
        </w:rPr>
        <w:t>entra en vigencia</w:t>
      </w:r>
      <w:proofErr w:type="gramEnd"/>
      <w:r w:rsidRPr="00A61EF1">
        <w:rPr>
          <w:b w:val="0"/>
        </w:rPr>
        <w:t xml:space="preserve"> una vez se publique en el </w:t>
      </w:r>
      <w:r w:rsidRPr="00A61EF1">
        <w:rPr>
          <w:b w:val="0"/>
          <w:i/>
        </w:rPr>
        <w:t>Diario Oficial</w:t>
      </w:r>
      <w:r w:rsidRPr="00D342D3">
        <w:rPr>
          <w:b w:val="0"/>
        </w:rPr>
        <w:t xml:space="preserve">. </w:t>
      </w:r>
    </w:p>
    <w:p w14:paraId="549AE84B" w14:textId="77777777" w:rsidR="00C5402D" w:rsidRPr="00A61EF1" w:rsidRDefault="00C5402D" w:rsidP="0075733F">
      <w:pPr>
        <w:spacing w:before="360" w:after="360"/>
        <w:jc w:val="center"/>
        <w:rPr>
          <w:rFonts w:ascii="Bookman Old Style" w:hAnsi="Bookman Old Style"/>
          <w:b/>
        </w:rPr>
      </w:pPr>
      <w:r w:rsidRPr="00A61EF1">
        <w:rPr>
          <w:rFonts w:ascii="Bookman Old Style" w:hAnsi="Bookman Old Style"/>
          <w:b/>
        </w:rPr>
        <w:t>PUBLÍQUESE Y CÚMPLASE</w:t>
      </w:r>
    </w:p>
    <w:p w14:paraId="55CE7A95" w14:textId="77777777" w:rsidR="00C5402D" w:rsidRPr="00A61EF1" w:rsidRDefault="00C5402D" w:rsidP="00C5402D">
      <w:pPr>
        <w:rPr>
          <w:rFonts w:ascii="Bookman Old Style" w:hAnsi="Bookman Old Style"/>
        </w:rPr>
      </w:pPr>
    </w:p>
    <w:p w14:paraId="6D419133" w14:textId="77777777" w:rsidR="00C5402D" w:rsidRPr="00A61EF1" w:rsidRDefault="00C5402D" w:rsidP="00871F89">
      <w:pPr>
        <w:spacing w:line="259" w:lineRule="auto"/>
        <w:ind w:left="0"/>
        <w:rPr>
          <w:rFonts w:ascii="Bookman Old Style" w:hAnsi="Bookman Old Style"/>
        </w:rPr>
      </w:pPr>
      <w:r w:rsidRPr="00A61EF1">
        <w:rPr>
          <w:rFonts w:ascii="Bookman Old Style" w:hAnsi="Bookman Old Style"/>
        </w:rPr>
        <w:t>Firma del proyecto,</w:t>
      </w:r>
    </w:p>
    <w:p w14:paraId="076C4106" w14:textId="77777777" w:rsidR="00C5402D" w:rsidRPr="00A61EF1" w:rsidRDefault="00C5402D" w:rsidP="00C5402D">
      <w:pPr>
        <w:rPr>
          <w:rFonts w:ascii="Bookman Old Style" w:hAnsi="Bookman Old Style"/>
        </w:rPr>
      </w:pPr>
    </w:p>
    <w:p w14:paraId="5F074172" w14:textId="77777777" w:rsidR="00C5402D" w:rsidRPr="00A61EF1" w:rsidRDefault="00C5402D" w:rsidP="00C5402D">
      <w:pPr>
        <w:rPr>
          <w:rFonts w:ascii="Bookman Old Style" w:hAnsi="Bookman Old Style"/>
        </w:rPr>
      </w:pPr>
    </w:p>
    <w:p w14:paraId="34668A15" w14:textId="77777777" w:rsidR="00C5402D" w:rsidRPr="00A61EF1" w:rsidRDefault="00C5402D" w:rsidP="00C5402D">
      <w:pPr>
        <w:rPr>
          <w:rFonts w:ascii="Bookman Old Style" w:hAnsi="Bookman Old Style"/>
        </w:rPr>
      </w:pPr>
    </w:p>
    <w:p w14:paraId="5CCC0F09" w14:textId="77777777" w:rsidR="00C5402D" w:rsidRPr="00A61EF1" w:rsidRDefault="00C5402D" w:rsidP="00C5402D">
      <w:pPr>
        <w:rPr>
          <w:rFonts w:ascii="Bookman Old Style" w:hAnsi="Bookman Old Style"/>
        </w:rPr>
      </w:pPr>
    </w:p>
    <w:p w14:paraId="1B69AA15" w14:textId="77777777" w:rsidR="00C5402D" w:rsidRPr="00A61EF1" w:rsidRDefault="00C5402D" w:rsidP="00C5402D">
      <w:pPr>
        <w:rPr>
          <w:rFonts w:ascii="Bookman Old Style" w:hAnsi="Bookman Old Style"/>
        </w:rPr>
      </w:pPr>
    </w:p>
    <w:tbl>
      <w:tblPr>
        <w:tblW w:w="10267" w:type="dxa"/>
        <w:jc w:val="center"/>
        <w:tblLayout w:type="fixed"/>
        <w:tblCellMar>
          <w:left w:w="70" w:type="dxa"/>
          <w:right w:w="70" w:type="dxa"/>
        </w:tblCellMar>
        <w:tblLook w:val="0000" w:firstRow="0" w:lastRow="0" w:firstColumn="0" w:lastColumn="0" w:noHBand="0" w:noVBand="0"/>
      </w:tblPr>
      <w:tblGrid>
        <w:gridCol w:w="4253"/>
        <w:gridCol w:w="116"/>
        <w:gridCol w:w="5270"/>
        <w:gridCol w:w="628"/>
      </w:tblGrid>
      <w:tr w:rsidR="00C5402D" w:rsidRPr="00A61EF1" w14:paraId="47F2C92A" w14:textId="77777777" w:rsidTr="004C63F0">
        <w:trPr>
          <w:gridAfter w:val="1"/>
          <w:wAfter w:w="628" w:type="dxa"/>
          <w:jc w:val="center"/>
        </w:trPr>
        <w:tc>
          <w:tcPr>
            <w:tcW w:w="4253" w:type="dxa"/>
          </w:tcPr>
          <w:p w14:paraId="3FAEAAFD" w14:textId="77777777" w:rsidR="00C5402D" w:rsidRPr="00A61EF1" w:rsidRDefault="00C5402D" w:rsidP="008C0BC8">
            <w:pPr>
              <w:tabs>
                <w:tab w:val="left" w:pos="-720"/>
              </w:tabs>
              <w:suppressAutoHyphens/>
              <w:jc w:val="center"/>
              <w:rPr>
                <w:rFonts w:ascii="Bookman Old Style" w:hAnsi="Bookman Old Style" w:cs="Arial"/>
                <w:b/>
                <w:spacing w:val="-3"/>
              </w:rPr>
            </w:pPr>
            <w:r w:rsidRPr="00A61EF1">
              <w:rPr>
                <w:rFonts w:ascii="Bookman Old Style" w:hAnsi="Bookman Old Style" w:cs="Arial"/>
                <w:b/>
                <w:spacing w:val="-3"/>
              </w:rPr>
              <w:t>DIEGO MESA PUYO</w:t>
            </w:r>
          </w:p>
          <w:p w14:paraId="2AE29111" w14:textId="77777777" w:rsidR="00C5402D" w:rsidRPr="00A61EF1" w:rsidRDefault="00C5402D" w:rsidP="008C0BC8">
            <w:pPr>
              <w:tabs>
                <w:tab w:val="left" w:pos="-720"/>
              </w:tabs>
              <w:suppressAutoHyphens/>
              <w:jc w:val="center"/>
              <w:rPr>
                <w:rFonts w:ascii="Bookman Old Style" w:hAnsi="Bookman Old Style"/>
              </w:rPr>
            </w:pPr>
            <w:r w:rsidRPr="00A61EF1">
              <w:rPr>
                <w:rFonts w:ascii="Bookman Old Style" w:hAnsi="Bookman Old Style"/>
              </w:rPr>
              <w:t xml:space="preserve">Ministro de Minas y Energía </w:t>
            </w:r>
          </w:p>
          <w:p w14:paraId="50E3F4E5" w14:textId="77777777" w:rsidR="00C5402D" w:rsidRPr="00A61EF1" w:rsidRDefault="00C5402D" w:rsidP="008C0BC8">
            <w:pPr>
              <w:tabs>
                <w:tab w:val="left" w:pos="-720"/>
              </w:tabs>
              <w:suppressAutoHyphens/>
              <w:jc w:val="center"/>
              <w:rPr>
                <w:rFonts w:ascii="Bookman Old Style" w:hAnsi="Bookman Old Style" w:cs="Arial"/>
                <w:b/>
                <w:strike/>
                <w:spacing w:val="-3"/>
              </w:rPr>
            </w:pPr>
            <w:r w:rsidRPr="00A61EF1">
              <w:rPr>
                <w:rFonts w:ascii="Bookman Old Style" w:hAnsi="Bookman Old Style"/>
              </w:rPr>
              <w:t>Presidente</w:t>
            </w:r>
          </w:p>
        </w:tc>
        <w:tc>
          <w:tcPr>
            <w:tcW w:w="5386" w:type="dxa"/>
            <w:gridSpan w:val="2"/>
          </w:tcPr>
          <w:p w14:paraId="5436C61D" w14:textId="77777777" w:rsidR="00C5402D" w:rsidRPr="00A61EF1" w:rsidRDefault="00C5402D" w:rsidP="008C0BC8">
            <w:pPr>
              <w:tabs>
                <w:tab w:val="left" w:pos="-720"/>
              </w:tabs>
              <w:suppressAutoHyphens/>
              <w:jc w:val="center"/>
              <w:rPr>
                <w:rFonts w:ascii="Bookman Old Style" w:hAnsi="Bookman Old Style" w:cs="Arial"/>
                <w:b/>
              </w:rPr>
            </w:pPr>
            <w:r w:rsidRPr="00A61EF1">
              <w:rPr>
                <w:rFonts w:ascii="Bookman Old Style" w:hAnsi="Bookman Old Style" w:cs="Arial"/>
                <w:b/>
              </w:rPr>
              <w:t>JORGE ALBERTO VALENCIA MARÍN</w:t>
            </w:r>
          </w:p>
          <w:p w14:paraId="545B26F8" w14:textId="77777777" w:rsidR="00C5402D" w:rsidRPr="00A61EF1" w:rsidRDefault="00C5402D" w:rsidP="008C0BC8">
            <w:pPr>
              <w:tabs>
                <w:tab w:val="left" w:pos="-720"/>
              </w:tabs>
              <w:suppressAutoHyphens/>
              <w:jc w:val="center"/>
              <w:rPr>
                <w:rFonts w:ascii="Bookman Old Style" w:hAnsi="Bookman Old Style" w:cs="Arial"/>
                <w:b/>
                <w:spacing w:val="-3"/>
              </w:rPr>
            </w:pPr>
            <w:r w:rsidRPr="00A61EF1">
              <w:rPr>
                <w:rFonts w:ascii="Bookman Old Style" w:hAnsi="Bookman Old Style" w:cs="Arial"/>
                <w:spacing w:val="-3"/>
              </w:rPr>
              <w:t>Director Ejecutivo</w:t>
            </w:r>
          </w:p>
        </w:tc>
      </w:tr>
      <w:tr w:rsidR="00C5402D" w:rsidRPr="00A61EF1" w14:paraId="2C0A658C" w14:textId="77777777" w:rsidTr="004C63F0">
        <w:tblPrEx>
          <w:jc w:val="right"/>
        </w:tblPrEx>
        <w:trPr>
          <w:jc w:val="right"/>
        </w:trPr>
        <w:tc>
          <w:tcPr>
            <w:tcW w:w="4369" w:type="dxa"/>
            <w:gridSpan w:val="2"/>
          </w:tcPr>
          <w:p w14:paraId="481C3EA1" w14:textId="77777777" w:rsidR="00C5402D" w:rsidRPr="00A61EF1" w:rsidRDefault="00C5402D" w:rsidP="008C0BC8">
            <w:pPr>
              <w:rPr>
                <w:rFonts w:ascii="Bookman Old Style" w:hAnsi="Bookman Old Style" w:cs="Arial"/>
                <w:spacing w:val="-3"/>
                <w:lang w:val="es-ES_tradnl"/>
              </w:rPr>
            </w:pPr>
          </w:p>
        </w:tc>
        <w:tc>
          <w:tcPr>
            <w:tcW w:w="5898" w:type="dxa"/>
            <w:gridSpan w:val="2"/>
          </w:tcPr>
          <w:p w14:paraId="7E9B6F51" w14:textId="77777777" w:rsidR="00C5402D" w:rsidRPr="00A61EF1" w:rsidRDefault="00C5402D" w:rsidP="008C0BC8">
            <w:pPr>
              <w:rPr>
                <w:rFonts w:ascii="Bookman Old Style" w:hAnsi="Bookman Old Style" w:cs="Arial"/>
                <w:spacing w:val="-3"/>
                <w:lang w:val="es-ES_tradnl"/>
              </w:rPr>
            </w:pPr>
          </w:p>
        </w:tc>
      </w:tr>
    </w:tbl>
    <w:p w14:paraId="29970DA2" w14:textId="6392EE85" w:rsidR="00E060BE" w:rsidRPr="00E060BE" w:rsidRDefault="00E060BE" w:rsidP="004C0FA1">
      <w:pPr>
        <w:ind w:left="0"/>
        <w:rPr>
          <w:rFonts w:ascii="Bookman Old Style" w:hAnsi="Bookman Old Style" w:cs="Arial"/>
        </w:rPr>
      </w:pPr>
    </w:p>
    <w:sectPr w:rsidR="00E060BE" w:rsidRPr="00E060BE"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0983D" w14:textId="77777777" w:rsidR="0003590F" w:rsidRDefault="0003590F">
      <w:r>
        <w:separator/>
      </w:r>
    </w:p>
  </w:endnote>
  <w:endnote w:type="continuationSeparator" w:id="0">
    <w:p w14:paraId="072C8339" w14:textId="77777777" w:rsidR="0003590F" w:rsidRDefault="0003590F">
      <w:r>
        <w:continuationSeparator/>
      </w:r>
    </w:p>
  </w:endnote>
  <w:endnote w:type="continuationNotice" w:id="1">
    <w:p w14:paraId="532DCED1" w14:textId="77777777" w:rsidR="0003590F" w:rsidRDefault="00035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E6FA" w14:textId="77777777" w:rsidR="0003590F" w:rsidRDefault="0003590F">
      <w:r>
        <w:separator/>
      </w:r>
    </w:p>
  </w:footnote>
  <w:footnote w:type="continuationSeparator" w:id="0">
    <w:p w14:paraId="77BBD17A" w14:textId="77777777" w:rsidR="0003590F" w:rsidRDefault="0003590F">
      <w:r>
        <w:continuationSeparator/>
      </w:r>
    </w:p>
  </w:footnote>
  <w:footnote w:type="continuationNotice" w:id="1">
    <w:p w14:paraId="34CCC92F" w14:textId="77777777" w:rsidR="0003590F" w:rsidRDefault="0003590F"/>
  </w:footnote>
  <w:footnote w:id="2">
    <w:p w14:paraId="32F82F8F" w14:textId="482E65E7" w:rsidR="00165C55" w:rsidRPr="00086A19" w:rsidRDefault="00165C55">
      <w:pPr>
        <w:pStyle w:val="Textonotapie"/>
        <w:rPr>
          <w:rFonts w:ascii="Bookman Old Style" w:hAnsi="Bookman Old Style"/>
          <w:sz w:val="16"/>
          <w:szCs w:val="16"/>
        </w:rPr>
      </w:pPr>
      <w:r w:rsidRPr="00086A19">
        <w:rPr>
          <w:rStyle w:val="Refdenotaalpie"/>
          <w:rFonts w:ascii="Bookman Old Style" w:hAnsi="Bookman Old Style"/>
          <w:sz w:val="16"/>
          <w:szCs w:val="16"/>
        </w:rPr>
        <w:footnoteRef/>
      </w:r>
      <w:r w:rsidRPr="00086A19">
        <w:rPr>
          <w:rFonts w:ascii="Bookman Old Style" w:hAnsi="Bookman Old Style"/>
          <w:sz w:val="16"/>
          <w:szCs w:val="16"/>
        </w:rPr>
        <w:t xml:space="preserve"> </w:t>
      </w:r>
      <w:r w:rsidR="00086A19" w:rsidRPr="00086A19">
        <w:rPr>
          <w:rFonts w:ascii="Bookman Old Style" w:hAnsi="Bookman Old Style"/>
          <w:sz w:val="16"/>
          <w:szCs w:val="16"/>
        </w:rPr>
        <w:t>En principio, en la Ley 142 de 1994 el concepto de medición o medida está ligado principalmente a la determinación del consumo del usuario, sin perjuicio de los lineamientos establecidos en la Ley 1715 de 2014 y sus normas reglamentarias, a efectos de incorporar elementos adicionales como la medición y registro de datos de uso de energía de los usuarios en intervalos de tiempo, con capacidad de almacenamiento y transmisión, entre otros, en el marco de la gestión y uso eficiente de la energía. A partir de estas últimas, el concepto de medición o medida a que hace referencia la Ley 142 de 1994 deja de estar ligado únicamente al consumo del usuario, para incorporar elementos adicionales como la medición y registro de datos de uso de energía de los usuarios en intervalos de tiempo, con capacidad de almacenamiento y transmisión, entre otros.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04B7" w14:textId="1EE8A816" w:rsidR="00CC51D4" w:rsidRPr="00C41722" w:rsidRDefault="00CC51D4" w:rsidP="00C41722">
    <w:pPr>
      <w:rPr>
        <w:lang w:val="es-CO"/>
      </w:rPr>
    </w:pPr>
  </w:p>
  <w:p w14:paraId="210E8845" w14:textId="78F300AD"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sidR="00951F79">
      <w:rPr>
        <w:rFonts w:ascii="Bookman Old Style" w:hAnsi="Bookman Old Style" w:cs="Arial"/>
        <w:b w:val="0"/>
        <w:sz w:val="22"/>
        <w:szCs w:val="22"/>
      </w:rPr>
      <w:t xml:space="preserve"> </w:t>
    </w:r>
    <w:r w:rsidR="00951F79" w:rsidRPr="00871F89">
      <w:rPr>
        <w:rFonts w:ascii="Bookman Old Style" w:hAnsi="Bookman Old Style" w:cs="Arial"/>
        <w:bCs/>
        <w:szCs w:val="24"/>
        <w:u w:val="single"/>
      </w:rPr>
      <w:t xml:space="preserve"> </w:t>
    </w:r>
    <w:r w:rsidR="00871F89" w:rsidRPr="00871F89">
      <w:rPr>
        <w:rFonts w:ascii="Bookman Old Style" w:hAnsi="Bookman Old Style" w:cs="Arial"/>
        <w:bCs/>
        <w:szCs w:val="24"/>
        <w:u w:val="single"/>
      </w:rPr>
      <w:t>131</w:t>
    </w:r>
    <w:proofErr w:type="gramEnd"/>
    <w:r w:rsidR="00871F89">
      <w:rPr>
        <w:rFonts w:ascii="Bookman Old Style" w:hAnsi="Bookman Old Style" w:cs="Arial"/>
        <w:b w:val="0"/>
        <w:sz w:val="22"/>
        <w:szCs w:val="22"/>
      </w:rPr>
      <w:t xml:space="preserve">  </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871F89">
      <w:rPr>
        <w:rFonts w:ascii="Bookman Old Style" w:hAnsi="Bookman Old Style" w:cs="Arial"/>
        <w:b w:val="0"/>
        <w:sz w:val="22"/>
        <w:szCs w:val="22"/>
      </w:rPr>
      <w:t xml:space="preserve"> </w:t>
    </w:r>
    <w:r w:rsidR="00871F89" w:rsidRPr="00871F89">
      <w:rPr>
        <w:rFonts w:ascii="Bookman Old Style" w:hAnsi="Bookman Old Style" w:cs="Arial"/>
        <w:bCs/>
        <w:szCs w:val="24"/>
        <w:u w:val="single"/>
      </w:rPr>
      <w:t>30 AGO. 2021</w:t>
    </w:r>
    <w:r w:rsidR="003D076C">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F77D2D">
      <w:rPr>
        <w:rFonts w:ascii="Bookman Old Style" w:hAnsi="Bookman Old Style" w:cs="Arial"/>
        <w:b w:val="0"/>
        <w:noProof/>
        <w:sz w:val="22"/>
        <w:szCs w:val="22"/>
      </w:rPr>
      <w:t>2</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EB0355">
      <w:fldChar w:fldCharType="begin"/>
    </w:r>
    <w:r w:rsidR="00EB0355">
      <w:instrText xml:space="preserve"> NUMPAGES  \* MERGEFORMAT </w:instrText>
    </w:r>
    <w:r w:rsidR="00EB0355">
      <w:fldChar w:fldCharType="separate"/>
    </w:r>
    <w:r w:rsidR="00F77D2D" w:rsidRPr="00F77D2D">
      <w:rPr>
        <w:rFonts w:ascii="Bookman Old Style" w:hAnsi="Bookman Old Style" w:cs="Arial"/>
        <w:b w:val="0"/>
        <w:noProof/>
        <w:sz w:val="22"/>
        <w:szCs w:val="22"/>
      </w:rPr>
      <w:t>2</w:t>
    </w:r>
    <w:r w:rsidR="00EB0355">
      <w:rPr>
        <w:rFonts w:ascii="Bookman Old Style" w:hAnsi="Bookman Old Style" w:cs="Arial"/>
        <w:b w:val="0"/>
        <w:noProof/>
        <w:sz w:val="22"/>
        <w:szCs w:val="22"/>
      </w:rPr>
      <w:fldChar w:fldCharType="end"/>
    </w:r>
  </w:p>
  <w:p w14:paraId="458E83DA" w14:textId="03B3B9B9" w:rsidR="006F6D95" w:rsidRDefault="004656D9" w:rsidP="00AD01E4">
    <w:pPr>
      <w:ind w:left="142" w:right="148"/>
      <w:rPr>
        <w:rFonts w:ascii="Bookman Old Style" w:hAnsi="Bookman Old Style" w:cs="Arial"/>
      </w:rPr>
    </w:pPr>
    <w:r w:rsidRPr="0042068C">
      <w:rPr>
        <w:noProof/>
      </w:rPr>
      <mc:AlternateContent>
        <mc:Choice Requires="wps">
          <w:drawing>
            <wp:anchor distT="0" distB="0" distL="114300" distR="114300" simplePos="0" relativeHeight="251658240" behindDoc="0" locked="0" layoutInCell="1" allowOverlap="1" wp14:anchorId="5B3D4C5E" wp14:editId="53F89D34">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E132B99"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0765124C" w14:textId="5526FA36" w:rsidR="00045D3D" w:rsidRPr="00045D3D" w:rsidRDefault="00A72BBD" w:rsidP="009A4A75">
    <w:pPr>
      <w:pBdr>
        <w:bottom w:val="single" w:sz="4" w:space="1" w:color="auto"/>
      </w:pBdr>
      <w:tabs>
        <w:tab w:val="left" w:pos="1320"/>
      </w:tabs>
      <w:ind w:left="0"/>
      <w:jc w:val="both"/>
      <w:rPr>
        <w:rFonts w:ascii="Bookman Old Style" w:hAnsi="Bookman Old Style"/>
        <w:sz w:val="22"/>
        <w:szCs w:val="22"/>
      </w:rPr>
    </w:pPr>
    <w:r w:rsidRPr="00A72BBD">
      <w:rPr>
        <w:rFonts w:ascii="Bookman Old Style" w:hAnsi="Bookman Old Style"/>
        <w:sz w:val="22"/>
        <w:szCs w:val="22"/>
      </w:rPr>
      <w:t xml:space="preserve">Por la cual se ordena hacer público un proyecto de resolución de carácter general “Por la cual se </w:t>
    </w:r>
    <w:r w:rsidR="004656D9" w:rsidRPr="004656D9">
      <w:rPr>
        <w:rFonts w:ascii="Bookman Old Style" w:hAnsi="Bookman Old Style"/>
        <w:sz w:val="22"/>
        <w:szCs w:val="22"/>
      </w:rPr>
      <w:t>establecen las condiciones para la medición diferencia</w:t>
    </w:r>
    <w:r w:rsidR="00E7009A">
      <w:rPr>
        <w:rFonts w:ascii="Bookman Old Style" w:hAnsi="Bookman Old Style"/>
        <w:sz w:val="22"/>
        <w:szCs w:val="22"/>
      </w:rPr>
      <w:t>da</w:t>
    </w:r>
    <w:r w:rsidR="004656D9" w:rsidRPr="004656D9">
      <w:rPr>
        <w:rFonts w:ascii="Bookman Old Style" w:hAnsi="Bookman Old Style"/>
        <w:sz w:val="22"/>
        <w:szCs w:val="22"/>
      </w:rPr>
      <w:t xml:space="preserve"> de consumos de energía en</w:t>
    </w:r>
    <w:r w:rsidRPr="00A72BBD">
      <w:rPr>
        <w:rFonts w:ascii="Bookman Old Style" w:hAnsi="Bookman Old Style"/>
        <w:sz w:val="22"/>
        <w:szCs w:val="22"/>
      </w:rPr>
      <w:t xml:space="preserve"> cumplimiento </w:t>
    </w:r>
    <w:r w:rsidR="004656D9">
      <w:rPr>
        <w:rFonts w:ascii="Bookman Old Style" w:hAnsi="Bookman Old Style"/>
        <w:sz w:val="22"/>
        <w:szCs w:val="22"/>
      </w:rPr>
      <w:t>de</w:t>
    </w:r>
    <w:r w:rsidRPr="00A72BBD">
      <w:rPr>
        <w:rFonts w:ascii="Bookman Old Style" w:hAnsi="Bookman Old Style"/>
        <w:sz w:val="22"/>
        <w:szCs w:val="22"/>
      </w:rPr>
      <w:t>l inciso 3º del artículo 49 de la Ley 2099 de 2021”</w:t>
    </w:r>
  </w:p>
  <w:p w14:paraId="52F9F063" w14:textId="77777777" w:rsidR="00611B12" w:rsidRPr="00045D3D" w:rsidRDefault="00611B12" w:rsidP="00EE067B">
    <w:pPr>
      <w:ind w:left="0" w:right="14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156A"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581A7313" w14:textId="77777777" w:rsidR="00725FA4" w:rsidRDefault="00725FA4">
    <w:pPr>
      <w:pStyle w:val="Encabezado"/>
      <w:jc w:val="center"/>
      <w:rPr>
        <w:rFonts w:ascii="Arial" w:hAnsi="Arial" w:cs="Arial"/>
        <w:spacing w:val="20"/>
        <w:sz w:val="20"/>
      </w:rPr>
    </w:pPr>
  </w:p>
  <w:p w14:paraId="09BD8B81" w14:textId="59AFA550" w:rsidR="00725FA4" w:rsidRDefault="004656D9" w:rsidP="00CA77FB">
    <w:pPr>
      <w:pStyle w:val="Encabezado"/>
      <w:jc w:val="center"/>
    </w:pPr>
    <w:r w:rsidRPr="0042068C">
      <w:rPr>
        <w:rFonts w:ascii="Arial" w:hAnsi="Arial" w:cs="Arial"/>
        <w:noProof/>
        <w:spacing w:val="20"/>
        <w:sz w:val="20"/>
        <w:lang w:val="es-ES"/>
      </w:rPr>
      <mc:AlternateContent>
        <mc:Choice Requires="wps">
          <w:drawing>
            <wp:anchor distT="0" distB="0" distL="114300" distR="114300" simplePos="0" relativeHeight="251658241" behindDoc="0" locked="0" layoutInCell="1" allowOverlap="1" wp14:anchorId="59A78744" wp14:editId="034DC5F3">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7D63D96"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E37F79"/>
    <w:multiLevelType w:val="hybridMultilevel"/>
    <w:tmpl w:val="0122CCAE"/>
    <w:lvl w:ilvl="0" w:tplc="15BC504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B116E93"/>
    <w:multiLevelType w:val="hybridMultilevel"/>
    <w:tmpl w:val="A510CBC2"/>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B33262D"/>
    <w:multiLevelType w:val="hybridMultilevel"/>
    <w:tmpl w:val="A9B6600A"/>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15:restartNumberingAfterBreak="0">
    <w:nsid w:val="5444002D"/>
    <w:multiLevelType w:val="hybridMultilevel"/>
    <w:tmpl w:val="BF907182"/>
    <w:lvl w:ilvl="0" w:tplc="240A001B">
      <w:start w:val="1"/>
      <w:numFmt w:val="lowerRoman"/>
      <w:lvlText w:val="%1."/>
      <w:lvlJc w:val="right"/>
      <w:pPr>
        <w:ind w:left="699" w:hanging="360"/>
      </w:pPr>
    </w:lvl>
    <w:lvl w:ilvl="1" w:tplc="240A0019" w:tentative="1">
      <w:start w:val="1"/>
      <w:numFmt w:val="lowerLetter"/>
      <w:lvlText w:val="%2."/>
      <w:lvlJc w:val="left"/>
      <w:pPr>
        <w:ind w:left="1419" w:hanging="360"/>
      </w:pPr>
    </w:lvl>
    <w:lvl w:ilvl="2" w:tplc="240A001B" w:tentative="1">
      <w:start w:val="1"/>
      <w:numFmt w:val="lowerRoman"/>
      <w:lvlText w:val="%3."/>
      <w:lvlJc w:val="right"/>
      <w:pPr>
        <w:ind w:left="2139" w:hanging="180"/>
      </w:pPr>
    </w:lvl>
    <w:lvl w:ilvl="3" w:tplc="240A000F" w:tentative="1">
      <w:start w:val="1"/>
      <w:numFmt w:val="decimal"/>
      <w:lvlText w:val="%4."/>
      <w:lvlJc w:val="left"/>
      <w:pPr>
        <w:ind w:left="2859" w:hanging="360"/>
      </w:pPr>
    </w:lvl>
    <w:lvl w:ilvl="4" w:tplc="240A0019" w:tentative="1">
      <w:start w:val="1"/>
      <w:numFmt w:val="lowerLetter"/>
      <w:lvlText w:val="%5."/>
      <w:lvlJc w:val="left"/>
      <w:pPr>
        <w:ind w:left="3579" w:hanging="360"/>
      </w:pPr>
    </w:lvl>
    <w:lvl w:ilvl="5" w:tplc="240A001B" w:tentative="1">
      <w:start w:val="1"/>
      <w:numFmt w:val="lowerRoman"/>
      <w:lvlText w:val="%6."/>
      <w:lvlJc w:val="right"/>
      <w:pPr>
        <w:ind w:left="4299" w:hanging="180"/>
      </w:pPr>
    </w:lvl>
    <w:lvl w:ilvl="6" w:tplc="240A000F" w:tentative="1">
      <w:start w:val="1"/>
      <w:numFmt w:val="decimal"/>
      <w:lvlText w:val="%7."/>
      <w:lvlJc w:val="left"/>
      <w:pPr>
        <w:ind w:left="5019" w:hanging="360"/>
      </w:pPr>
    </w:lvl>
    <w:lvl w:ilvl="7" w:tplc="240A0019" w:tentative="1">
      <w:start w:val="1"/>
      <w:numFmt w:val="lowerLetter"/>
      <w:lvlText w:val="%8."/>
      <w:lvlJc w:val="left"/>
      <w:pPr>
        <w:ind w:left="5739" w:hanging="360"/>
      </w:pPr>
    </w:lvl>
    <w:lvl w:ilvl="8" w:tplc="240A001B" w:tentative="1">
      <w:start w:val="1"/>
      <w:numFmt w:val="lowerRoman"/>
      <w:lvlText w:val="%9."/>
      <w:lvlJc w:val="right"/>
      <w:pPr>
        <w:ind w:left="6459" w:hanging="180"/>
      </w:pPr>
    </w:lvl>
  </w:abstractNum>
  <w:abstractNum w:abstractNumId="19" w15:restartNumberingAfterBreak="0">
    <w:nsid w:val="5673377B"/>
    <w:multiLevelType w:val="hybridMultilevel"/>
    <w:tmpl w:val="D7707E8A"/>
    <w:lvl w:ilvl="0" w:tplc="F30806E4">
      <w:start w:val="3"/>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5AD2042F"/>
    <w:multiLevelType w:val="hybridMultilevel"/>
    <w:tmpl w:val="7F2AF9E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4CB189D"/>
    <w:multiLevelType w:val="hybridMultilevel"/>
    <w:tmpl w:val="D6E47FC4"/>
    <w:lvl w:ilvl="0" w:tplc="E4227D8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28C24EB"/>
    <w:multiLevelType w:val="hybridMultilevel"/>
    <w:tmpl w:val="1CFC70E0"/>
    <w:lvl w:ilvl="0" w:tplc="E3B05582">
      <w:start w:val="1"/>
      <w:numFmt w:val="decimal"/>
      <w:lvlText w:val="%1."/>
      <w:lvlJc w:val="left"/>
      <w:pPr>
        <w:tabs>
          <w:tab w:val="num" w:pos="720"/>
        </w:tabs>
        <w:ind w:left="720" w:hanging="360"/>
      </w:pPr>
    </w:lvl>
    <w:lvl w:ilvl="1" w:tplc="C9AC5AA4" w:tentative="1">
      <w:start w:val="1"/>
      <w:numFmt w:val="decimal"/>
      <w:lvlText w:val="%2."/>
      <w:lvlJc w:val="left"/>
      <w:pPr>
        <w:tabs>
          <w:tab w:val="num" w:pos="1440"/>
        </w:tabs>
        <w:ind w:left="1440" w:hanging="360"/>
      </w:pPr>
    </w:lvl>
    <w:lvl w:ilvl="2" w:tplc="AE34A894" w:tentative="1">
      <w:start w:val="1"/>
      <w:numFmt w:val="decimal"/>
      <w:lvlText w:val="%3."/>
      <w:lvlJc w:val="left"/>
      <w:pPr>
        <w:tabs>
          <w:tab w:val="num" w:pos="2160"/>
        </w:tabs>
        <w:ind w:left="2160" w:hanging="360"/>
      </w:pPr>
    </w:lvl>
    <w:lvl w:ilvl="3" w:tplc="A8EC04D2" w:tentative="1">
      <w:start w:val="1"/>
      <w:numFmt w:val="decimal"/>
      <w:lvlText w:val="%4."/>
      <w:lvlJc w:val="left"/>
      <w:pPr>
        <w:tabs>
          <w:tab w:val="num" w:pos="2880"/>
        </w:tabs>
        <w:ind w:left="2880" w:hanging="360"/>
      </w:pPr>
    </w:lvl>
    <w:lvl w:ilvl="4" w:tplc="29E47756" w:tentative="1">
      <w:start w:val="1"/>
      <w:numFmt w:val="decimal"/>
      <w:lvlText w:val="%5."/>
      <w:lvlJc w:val="left"/>
      <w:pPr>
        <w:tabs>
          <w:tab w:val="num" w:pos="3600"/>
        </w:tabs>
        <w:ind w:left="3600" w:hanging="360"/>
      </w:pPr>
    </w:lvl>
    <w:lvl w:ilvl="5" w:tplc="916679A0" w:tentative="1">
      <w:start w:val="1"/>
      <w:numFmt w:val="decimal"/>
      <w:lvlText w:val="%6."/>
      <w:lvlJc w:val="left"/>
      <w:pPr>
        <w:tabs>
          <w:tab w:val="num" w:pos="4320"/>
        </w:tabs>
        <w:ind w:left="4320" w:hanging="360"/>
      </w:pPr>
    </w:lvl>
    <w:lvl w:ilvl="6" w:tplc="65CCC160" w:tentative="1">
      <w:start w:val="1"/>
      <w:numFmt w:val="decimal"/>
      <w:lvlText w:val="%7."/>
      <w:lvlJc w:val="left"/>
      <w:pPr>
        <w:tabs>
          <w:tab w:val="num" w:pos="5040"/>
        </w:tabs>
        <w:ind w:left="5040" w:hanging="360"/>
      </w:pPr>
    </w:lvl>
    <w:lvl w:ilvl="7" w:tplc="03B46100" w:tentative="1">
      <w:start w:val="1"/>
      <w:numFmt w:val="decimal"/>
      <w:lvlText w:val="%8."/>
      <w:lvlJc w:val="left"/>
      <w:pPr>
        <w:tabs>
          <w:tab w:val="num" w:pos="5760"/>
        </w:tabs>
        <w:ind w:left="5760" w:hanging="360"/>
      </w:pPr>
    </w:lvl>
    <w:lvl w:ilvl="8" w:tplc="D03C3456" w:tentative="1">
      <w:start w:val="1"/>
      <w:numFmt w:val="decimal"/>
      <w:lvlText w:val="%9."/>
      <w:lvlJc w:val="left"/>
      <w:pPr>
        <w:tabs>
          <w:tab w:val="num" w:pos="6480"/>
        </w:tabs>
        <w:ind w:left="6480" w:hanging="360"/>
      </w:pPr>
    </w:lvl>
  </w:abstractNum>
  <w:abstractNum w:abstractNumId="28" w15:restartNumberingAfterBreak="0">
    <w:nsid w:val="780B10EA"/>
    <w:multiLevelType w:val="hybridMultilevel"/>
    <w:tmpl w:val="085C0F76"/>
    <w:lvl w:ilvl="0" w:tplc="638A4012">
      <w:start w:val="1"/>
      <w:numFmt w:val="decimal"/>
      <w:pStyle w:val="Artculo"/>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EA2EABE0">
      <w:start w:val="1"/>
      <w:numFmt w:val="lowerLetter"/>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90207E6"/>
    <w:multiLevelType w:val="hybridMultilevel"/>
    <w:tmpl w:val="407E9008"/>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0"/>
  </w:num>
  <w:num w:numId="4">
    <w:abstractNumId w:val="7"/>
  </w:num>
  <w:num w:numId="5">
    <w:abstractNumId w:val="21"/>
  </w:num>
  <w:num w:numId="6">
    <w:abstractNumId w:val="5"/>
  </w:num>
  <w:num w:numId="7">
    <w:abstractNumId w:val="4"/>
  </w:num>
  <w:num w:numId="8">
    <w:abstractNumId w:val="23"/>
  </w:num>
  <w:num w:numId="9">
    <w:abstractNumId w:val="22"/>
  </w:num>
  <w:num w:numId="10">
    <w:abstractNumId w:val="14"/>
  </w:num>
  <w:num w:numId="11">
    <w:abstractNumId w:val="31"/>
  </w:num>
  <w:num w:numId="12">
    <w:abstractNumId w:val="26"/>
  </w:num>
  <w:num w:numId="13">
    <w:abstractNumId w:val="12"/>
  </w:num>
  <w:num w:numId="14">
    <w:abstractNumId w:val="2"/>
  </w:num>
  <w:num w:numId="15">
    <w:abstractNumId w:val="15"/>
  </w:num>
  <w:num w:numId="16">
    <w:abstractNumId w:val="1"/>
  </w:num>
  <w:num w:numId="17">
    <w:abstractNumId w:val="11"/>
  </w:num>
  <w:num w:numId="18">
    <w:abstractNumId w:val="0"/>
  </w:num>
  <w:num w:numId="19">
    <w:abstractNumId w:val="25"/>
  </w:num>
  <w:num w:numId="20">
    <w:abstractNumId w:val="17"/>
  </w:num>
  <w:num w:numId="21">
    <w:abstractNumId w:val="8"/>
  </w:num>
  <w:num w:numId="22">
    <w:abstractNumId w:val="10"/>
  </w:num>
  <w:num w:numId="23">
    <w:abstractNumId w:val="18"/>
  </w:num>
  <w:num w:numId="24">
    <w:abstractNumId w:val="24"/>
  </w:num>
  <w:num w:numId="25">
    <w:abstractNumId w:val="28"/>
  </w:num>
  <w:num w:numId="26">
    <w:abstractNumId w:val="20"/>
  </w:num>
  <w:num w:numId="27">
    <w:abstractNumId w:val="3"/>
  </w:num>
  <w:num w:numId="28">
    <w:abstractNumId w:val="27"/>
  </w:num>
  <w:num w:numId="29">
    <w:abstractNumId w:val="19"/>
  </w:num>
  <w:num w:numId="30">
    <w:abstractNumId w:val="9"/>
  </w:num>
  <w:num w:numId="31">
    <w:abstractNumId w:val="2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2854"/>
    <w:rsid w:val="00002B3B"/>
    <w:rsid w:val="0000673E"/>
    <w:rsid w:val="00006A26"/>
    <w:rsid w:val="00006AE2"/>
    <w:rsid w:val="000076A1"/>
    <w:rsid w:val="00011150"/>
    <w:rsid w:val="000114C6"/>
    <w:rsid w:val="00012259"/>
    <w:rsid w:val="00013ECB"/>
    <w:rsid w:val="00014F18"/>
    <w:rsid w:val="00025383"/>
    <w:rsid w:val="0003525C"/>
    <w:rsid w:val="000355F6"/>
    <w:rsid w:val="0003590F"/>
    <w:rsid w:val="00045D3D"/>
    <w:rsid w:val="00047296"/>
    <w:rsid w:val="00047CB1"/>
    <w:rsid w:val="00054A5C"/>
    <w:rsid w:val="00057AB8"/>
    <w:rsid w:val="00063657"/>
    <w:rsid w:val="00065BD7"/>
    <w:rsid w:val="000760F6"/>
    <w:rsid w:val="00076324"/>
    <w:rsid w:val="000763BB"/>
    <w:rsid w:val="00076680"/>
    <w:rsid w:val="00076A1D"/>
    <w:rsid w:val="0008073E"/>
    <w:rsid w:val="00086A19"/>
    <w:rsid w:val="00086B63"/>
    <w:rsid w:val="000878FC"/>
    <w:rsid w:val="00091CDB"/>
    <w:rsid w:val="00096AC9"/>
    <w:rsid w:val="000A19AC"/>
    <w:rsid w:val="000A36A6"/>
    <w:rsid w:val="000B2EC9"/>
    <w:rsid w:val="000B3035"/>
    <w:rsid w:val="000B34CF"/>
    <w:rsid w:val="000B51A6"/>
    <w:rsid w:val="000C479A"/>
    <w:rsid w:val="000D1A3B"/>
    <w:rsid w:val="000D26F8"/>
    <w:rsid w:val="000F7D1B"/>
    <w:rsid w:val="00102FD6"/>
    <w:rsid w:val="001048EA"/>
    <w:rsid w:val="00106654"/>
    <w:rsid w:val="00113C08"/>
    <w:rsid w:val="0012001A"/>
    <w:rsid w:val="00125A81"/>
    <w:rsid w:val="0012686D"/>
    <w:rsid w:val="00131B7F"/>
    <w:rsid w:val="001335C1"/>
    <w:rsid w:val="0013526C"/>
    <w:rsid w:val="00136B7E"/>
    <w:rsid w:val="001405C6"/>
    <w:rsid w:val="00141013"/>
    <w:rsid w:val="00142B62"/>
    <w:rsid w:val="00153508"/>
    <w:rsid w:val="00160D4E"/>
    <w:rsid w:val="00163C79"/>
    <w:rsid w:val="00165C55"/>
    <w:rsid w:val="001704B6"/>
    <w:rsid w:val="0017661E"/>
    <w:rsid w:val="001806D4"/>
    <w:rsid w:val="00192CBF"/>
    <w:rsid w:val="00192FF1"/>
    <w:rsid w:val="0019506D"/>
    <w:rsid w:val="00197A6D"/>
    <w:rsid w:val="00197E81"/>
    <w:rsid w:val="001A0FBD"/>
    <w:rsid w:val="001A2D9F"/>
    <w:rsid w:val="001A2DE1"/>
    <w:rsid w:val="001A5BE5"/>
    <w:rsid w:val="001A5F1B"/>
    <w:rsid w:val="001B1C22"/>
    <w:rsid w:val="001B34C6"/>
    <w:rsid w:val="001B377E"/>
    <w:rsid w:val="001C73A5"/>
    <w:rsid w:val="001D10AD"/>
    <w:rsid w:val="001D7832"/>
    <w:rsid w:val="001F7582"/>
    <w:rsid w:val="00207E8C"/>
    <w:rsid w:val="00210DC1"/>
    <w:rsid w:val="00211D34"/>
    <w:rsid w:val="00214F04"/>
    <w:rsid w:val="00216829"/>
    <w:rsid w:val="002255BF"/>
    <w:rsid w:val="00232D3E"/>
    <w:rsid w:val="002352B9"/>
    <w:rsid w:val="00235698"/>
    <w:rsid w:val="002369BE"/>
    <w:rsid w:val="002443AA"/>
    <w:rsid w:val="00245F3B"/>
    <w:rsid w:val="00250D36"/>
    <w:rsid w:val="00257DDA"/>
    <w:rsid w:val="00263FC2"/>
    <w:rsid w:val="00266CD6"/>
    <w:rsid w:val="002673AC"/>
    <w:rsid w:val="00275DAB"/>
    <w:rsid w:val="002836D0"/>
    <w:rsid w:val="00284346"/>
    <w:rsid w:val="002903C0"/>
    <w:rsid w:val="00291CE8"/>
    <w:rsid w:val="002920A0"/>
    <w:rsid w:val="00295864"/>
    <w:rsid w:val="002A25FA"/>
    <w:rsid w:val="002A5D5A"/>
    <w:rsid w:val="002A5EB2"/>
    <w:rsid w:val="002A782A"/>
    <w:rsid w:val="002B11E2"/>
    <w:rsid w:val="002B24B8"/>
    <w:rsid w:val="002B4948"/>
    <w:rsid w:val="002C5B32"/>
    <w:rsid w:val="002D28A5"/>
    <w:rsid w:val="002D3AE9"/>
    <w:rsid w:val="002D3BC0"/>
    <w:rsid w:val="002D43D5"/>
    <w:rsid w:val="002D4510"/>
    <w:rsid w:val="002D6925"/>
    <w:rsid w:val="002E77E4"/>
    <w:rsid w:val="002E7F2F"/>
    <w:rsid w:val="002F0734"/>
    <w:rsid w:val="002F46E7"/>
    <w:rsid w:val="002F479F"/>
    <w:rsid w:val="002F781D"/>
    <w:rsid w:val="00302878"/>
    <w:rsid w:val="00306C46"/>
    <w:rsid w:val="003101DA"/>
    <w:rsid w:val="003111C3"/>
    <w:rsid w:val="00314757"/>
    <w:rsid w:val="003161A2"/>
    <w:rsid w:val="003163BC"/>
    <w:rsid w:val="00316973"/>
    <w:rsid w:val="00320ACD"/>
    <w:rsid w:val="003211CE"/>
    <w:rsid w:val="00323D94"/>
    <w:rsid w:val="003252D8"/>
    <w:rsid w:val="00337B85"/>
    <w:rsid w:val="003434DF"/>
    <w:rsid w:val="0034505B"/>
    <w:rsid w:val="0034621C"/>
    <w:rsid w:val="0035403A"/>
    <w:rsid w:val="0035472E"/>
    <w:rsid w:val="0036002D"/>
    <w:rsid w:val="0036394B"/>
    <w:rsid w:val="00366DB6"/>
    <w:rsid w:val="003709B5"/>
    <w:rsid w:val="003759C2"/>
    <w:rsid w:val="00380946"/>
    <w:rsid w:val="00386011"/>
    <w:rsid w:val="003926A5"/>
    <w:rsid w:val="00393EFE"/>
    <w:rsid w:val="003941FE"/>
    <w:rsid w:val="00397365"/>
    <w:rsid w:val="003A31F6"/>
    <w:rsid w:val="003A3606"/>
    <w:rsid w:val="003A595E"/>
    <w:rsid w:val="003A7FB8"/>
    <w:rsid w:val="003B0052"/>
    <w:rsid w:val="003B473B"/>
    <w:rsid w:val="003B7223"/>
    <w:rsid w:val="003B79D1"/>
    <w:rsid w:val="003B7B33"/>
    <w:rsid w:val="003C0416"/>
    <w:rsid w:val="003C3447"/>
    <w:rsid w:val="003C7729"/>
    <w:rsid w:val="003C7807"/>
    <w:rsid w:val="003D076C"/>
    <w:rsid w:val="003D317B"/>
    <w:rsid w:val="003D40B7"/>
    <w:rsid w:val="003D67D8"/>
    <w:rsid w:val="003D7435"/>
    <w:rsid w:val="003E07C5"/>
    <w:rsid w:val="003E1A9D"/>
    <w:rsid w:val="003E3C44"/>
    <w:rsid w:val="003E4D72"/>
    <w:rsid w:val="003E534F"/>
    <w:rsid w:val="003E78B5"/>
    <w:rsid w:val="00402134"/>
    <w:rsid w:val="00404F97"/>
    <w:rsid w:val="00412AFB"/>
    <w:rsid w:val="00415BAB"/>
    <w:rsid w:val="00415ED2"/>
    <w:rsid w:val="0042068C"/>
    <w:rsid w:val="00426A7E"/>
    <w:rsid w:val="0043115E"/>
    <w:rsid w:val="00433687"/>
    <w:rsid w:val="00435178"/>
    <w:rsid w:val="00436B04"/>
    <w:rsid w:val="004372FA"/>
    <w:rsid w:val="00442999"/>
    <w:rsid w:val="0044318E"/>
    <w:rsid w:val="00443B35"/>
    <w:rsid w:val="00445881"/>
    <w:rsid w:val="004531D5"/>
    <w:rsid w:val="00454602"/>
    <w:rsid w:val="004567A4"/>
    <w:rsid w:val="00464BEB"/>
    <w:rsid w:val="004656D9"/>
    <w:rsid w:val="00465A0F"/>
    <w:rsid w:val="00466AE6"/>
    <w:rsid w:val="0047122B"/>
    <w:rsid w:val="004719C4"/>
    <w:rsid w:val="00471A35"/>
    <w:rsid w:val="00473B7A"/>
    <w:rsid w:val="0048573D"/>
    <w:rsid w:val="00486695"/>
    <w:rsid w:val="004960E9"/>
    <w:rsid w:val="00496F41"/>
    <w:rsid w:val="004977B6"/>
    <w:rsid w:val="004A17CF"/>
    <w:rsid w:val="004A2E88"/>
    <w:rsid w:val="004A31AA"/>
    <w:rsid w:val="004A37ED"/>
    <w:rsid w:val="004A5305"/>
    <w:rsid w:val="004A6E8F"/>
    <w:rsid w:val="004B2CE7"/>
    <w:rsid w:val="004C0FA1"/>
    <w:rsid w:val="004C35B9"/>
    <w:rsid w:val="004C494E"/>
    <w:rsid w:val="004C63F0"/>
    <w:rsid w:val="004C7D7D"/>
    <w:rsid w:val="004D05F0"/>
    <w:rsid w:val="004D0D1E"/>
    <w:rsid w:val="004D7634"/>
    <w:rsid w:val="004E3059"/>
    <w:rsid w:val="004E5F38"/>
    <w:rsid w:val="004E611A"/>
    <w:rsid w:val="004F3B98"/>
    <w:rsid w:val="004F6460"/>
    <w:rsid w:val="005005DA"/>
    <w:rsid w:val="00512CF6"/>
    <w:rsid w:val="0051479A"/>
    <w:rsid w:val="00526894"/>
    <w:rsid w:val="005300D3"/>
    <w:rsid w:val="005366A8"/>
    <w:rsid w:val="00540A60"/>
    <w:rsid w:val="00541031"/>
    <w:rsid w:val="00542A10"/>
    <w:rsid w:val="00543D0A"/>
    <w:rsid w:val="00544F82"/>
    <w:rsid w:val="00545A6F"/>
    <w:rsid w:val="0054696E"/>
    <w:rsid w:val="005509D1"/>
    <w:rsid w:val="005509D2"/>
    <w:rsid w:val="0055261F"/>
    <w:rsid w:val="005526EF"/>
    <w:rsid w:val="0055566F"/>
    <w:rsid w:val="00556AFB"/>
    <w:rsid w:val="0056766F"/>
    <w:rsid w:val="00585D2C"/>
    <w:rsid w:val="00587870"/>
    <w:rsid w:val="00590300"/>
    <w:rsid w:val="00593326"/>
    <w:rsid w:val="00593C4F"/>
    <w:rsid w:val="005946A8"/>
    <w:rsid w:val="005A4407"/>
    <w:rsid w:val="005A59EF"/>
    <w:rsid w:val="005A69DF"/>
    <w:rsid w:val="005B0B26"/>
    <w:rsid w:val="005B1A09"/>
    <w:rsid w:val="005B1C7E"/>
    <w:rsid w:val="005B30E3"/>
    <w:rsid w:val="005B429A"/>
    <w:rsid w:val="005B7B4E"/>
    <w:rsid w:val="005C183D"/>
    <w:rsid w:val="005C4C72"/>
    <w:rsid w:val="005C4D76"/>
    <w:rsid w:val="005C618C"/>
    <w:rsid w:val="005C6976"/>
    <w:rsid w:val="005C6A7A"/>
    <w:rsid w:val="005E3812"/>
    <w:rsid w:val="005E4E17"/>
    <w:rsid w:val="005F0C5B"/>
    <w:rsid w:val="005F25C2"/>
    <w:rsid w:val="005F6110"/>
    <w:rsid w:val="005F6F41"/>
    <w:rsid w:val="006027EF"/>
    <w:rsid w:val="00611B12"/>
    <w:rsid w:val="00622879"/>
    <w:rsid w:val="00623BBF"/>
    <w:rsid w:val="00625DC6"/>
    <w:rsid w:val="00633267"/>
    <w:rsid w:val="0064109F"/>
    <w:rsid w:val="0064391D"/>
    <w:rsid w:val="00644177"/>
    <w:rsid w:val="00644E11"/>
    <w:rsid w:val="00651821"/>
    <w:rsid w:val="00652547"/>
    <w:rsid w:val="00654384"/>
    <w:rsid w:val="006652C6"/>
    <w:rsid w:val="006675CD"/>
    <w:rsid w:val="00667D9F"/>
    <w:rsid w:val="00671DC8"/>
    <w:rsid w:val="00674037"/>
    <w:rsid w:val="00675418"/>
    <w:rsid w:val="00684D9B"/>
    <w:rsid w:val="0068510A"/>
    <w:rsid w:val="00685F9D"/>
    <w:rsid w:val="00691464"/>
    <w:rsid w:val="00697556"/>
    <w:rsid w:val="006A324F"/>
    <w:rsid w:val="006A3C90"/>
    <w:rsid w:val="006A7312"/>
    <w:rsid w:val="006B24E0"/>
    <w:rsid w:val="006B4647"/>
    <w:rsid w:val="006B4C2B"/>
    <w:rsid w:val="006B6194"/>
    <w:rsid w:val="006B6D47"/>
    <w:rsid w:val="006C0C6F"/>
    <w:rsid w:val="006C2959"/>
    <w:rsid w:val="006C2A84"/>
    <w:rsid w:val="006C5AFE"/>
    <w:rsid w:val="006C6BBF"/>
    <w:rsid w:val="006C79B7"/>
    <w:rsid w:val="006D2F34"/>
    <w:rsid w:val="006E50B7"/>
    <w:rsid w:val="006F1E45"/>
    <w:rsid w:val="006F2EC8"/>
    <w:rsid w:val="006F4ACA"/>
    <w:rsid w:val="006F4D91"/>
    <w:rsid w:val="006F6D95"/>
    <w:rsid w:val="00703A8A"/>
    <w:rsid w:val="00705966"/>
    <w:rsid w:val="00706F13"/>
    <w:rsid w:val="007072E8"/>
    <w:rsid w:val="00712C76"/>
    <w:rsid w:val="0071618D"/>
    <w:rsid w:val="007200D9"/>
    <w:rsid w:val="00720C54"/>
    <w:rsid w:val="00725992"/>
    <w:rsid w:val="00725FA4"/>
    <w:rsid w:val="007278CF"/>
    <w:rsid w:val="007338C2"/>
    <w:rsid w:val="007361F5"/>
    <w:rsid w:val="00736C7B"/>
    <w:rsid w:val="00737576"/>
    <w:rsid w:val="00737B1E"/>
    <w:rsid w:val="00740446"/>
    <w:rsid w:val="007438A9"/>
    <w:rsid w:val="0074491E"/>
    <w:rsid w:val="0074554A"/>
    <w:rsid w:val="00746E36"/>
    <w:rsid w:val="00747F55"/>
    <w:rsid w:val="00753823"/>
    <w:rsid w:val="0075733F"/>
    <w:rsid w:val="007623A8"/>
    <w:rsid w:val="0076247A"/>
    <w:rsid w:val="00765378"/>
    <w:rsid w:val="007724C8"/>
    <w:rsid w:val="00775964"/>
    <w:rsid w:val="007765FE"/>
    <w:rsid w:val="007766F2"/>
    <w:rsid w:val="00784F1C"/>
    <w:rsid w:val="00787EB9"/>
    <w:rsid w:val="00787FA4"/>
    <w:rsid w:val="00794E2E"/>
    <w:rsid w:val="00795BFB"/>
    <w:rsid w:val="007A13CF"/>
    <w:rsid w:val="007A7D0F"/>
    <w:rsid w:val="007B2760"/>
    <w:rsid w:val="007B4F30"/>
    <w:rsid w:val="007B59E8"/>
    <w:rsid w:val="007B5A3D"/>
    <w:rsid w:val="007B6F4D"/>
    <w:rsid w:val="007C42D4"/>
    <w:rsid w:val="007C4F03"/>
    <w:rsid w:val="007E5EF0"/>
    <w:rsid w:val="007F4D1E"/>
    <w:rsid w:val="007F6E7C"/>
    <w:rsid w:val="00800859"/>
    <w:rsid w:val="00806C01"/>
    <w:rsid w:val="00807385"/>
    <w:rsid w:val="00811581"/>
    <w:rsid w:val="00812B34"/>
    <w:rsid w:val="008148CC"/>
    <w:rsid w:val="008211A4"/>
    <w:rsid w:val="00835319"/>
    <w:rsid w:val="00837561"/>
    <w:rsid w:val="00842843"/>
    <w:rsid w:val="008434A5"/>
    <w:rsid w:val="0084693A"/>
    <w:rsid w:val="00850FAC"/>
    <w:rsid w:val="00851B02"/>
    <w:rsid w:val="00851E21"/>
    <w:rsid w:val="008609D7"/>
    <w:rsid w:val="008639DC"/>
    <w:rsid w:val="00865E9B"/>
    <w:rsid w:val="00871F89"/>
    <w:rsid w:val="008721F5"/>
    <w:rsid w:val="008728A7"/>
    <w:rsid w:val="00872AA4"/>
    <w:rsid w:val="00872B19"/>
    <w:rsid w:val="00873150"/>
    <w:rsid w:val="008757A2"/>
    <w:rsid w:val="008764AB"/>
    <w:rsid w:val="0087657D"/>
    <w:rsid w:val="00877379"/>
    <w:rsid w:val="008807D5"/>
    <w:rsid w:val="00880832"/>
    <w:rsid w:val="00881CAA"/>
    <w:rsid w:val="00882101"/>
    <w:rsid w:val="00885AD0"/>
    <w:rsid w:val="00885BC2"/>
    <w:rsid w:val="00886EE1"/>
    <w:rsid w:val="0088727D"/>
    <w:rsid w:val="008932BC"/>
    <w:rsid w:val="00897C75"/>
    <w:rsid w:val="008B484C"/>
    <w:rsid w:val="008B7CFE"/>
    <w:rsid w:val="008C0BC8"/>
    <w:rsid w:val="008C1130"/>
    <w:rsid w:val="008C7D5C"/>
    <w:rsid w:val="008D0642"/>
    <w:rsid w:val="008D0995"/>
    <w:rsid w:val="008D0F4E"/>
    <w:rsid w:val="008D18E6"/>
    <w:rsid w:val="008D7A9B"/>
    <w:rsid w:val="008E0060"/>
    <w:rsid w:val="008E1A86"/>
    <w:rsid w:val="008E63C1"/>
    <w:rsid w:val="008E7091"/>
    <w:rsid w:val="008E7160"/>
    <w:rsid w:val="008E76AC"/>
    <w:rsid w:val="008F1B4C"/>
    <w:rsid w:val="008F21F6"/>
    <w:rsid w:val="00904C21"/>
    <w:rsid w:val="00906EA4"/>
    <w:rsid w:val="00914C84"/>
    <w:rsid w:val="0091699D"/>
    <w:rsid w:val="0092108D"/>
    <w:rsid w:val="00922020"/>
    <w:rsid w:val="00923DE9"/>
    <w:rsid w:val="00937FA4"/>
    <w:rsid w:val="00951F79"/>
    <w:rsid w:val="009536ED"/>
    <w:rsid w:val="00957BEE"/>
    <w:rsid w:val="0096565B"/>
    <w:rsid w:val="00966B4B"/>
    <w:rsid w:val="00974AB5"/>
    <w:rsid w:val="00975A33"/>
    <w:rsid w:val="009851BC"/>
    <w:rsid w:val="00986037"/>
    <w:rsid w:val="0098706D"/>
    <w:rsid w:val="009935FB"/>
    <w:rsid w:val="009A2DD1"/>
    <w:rsid w:val="009A4A75"/>
    <w:rsid w:val="009B2502"/>
    <w:rsid w:val="009B3CF9"/>
    <w:rsid w:val="009B5FA3"/>
    <w:rsid w:val="009B747F"/>
    <w:rsid w:val="009C0156"/>
    <w:rsid w:val="009C178B"/>
    <w:rsid w:val="009C451F"/>
    <w:rsid w:val="009D0C89"/>
    <w:rsid w:val="009E6C05"/>
    <w:rsid w:val="009F1C95"/>
    <w:rsid w:val="009F4A54"/>
    <w:rsid w:val="009F4BEC"/>
    <w:rsid w:val="009F5874"/>
    <w:rsid w:val="00A00BEB"/>
    <w:rsid w:val="00A02A87"/>
    <w:rsid w:val="00A02BE1"/>
    <w:rsid w:val="00A0566B"/>
    <w:rsid w:val="00A0769F"/>
    <w:rsid w:val="00A1156C"/>
    <w:rsid w:val="00A13B00"/>
    <w:rsid w:val="00A23E62"/>
    <w:rsid w:val="00A25FD7"/>
    <w:rsid w:val="00A263C7"/>
    <w:rsid w:val="00A32474"/>
    <w:rsid w:val="00A32799"/>
    <w:rsid w:val="00A3441C"/>
    <w:rsid w:val="00A350AB"/>
    <w:rsid w:val="00A369A8"/>
    <w:rsid w:val="00A43AFF"/>
    <w:rsid w:val="00A515D6"/>
    <w:rsid w:val="00A5620B"/>
    <w:rsid w:val="00A61EF1"/>
    <w:rsid w:val="00A61F20"/>
    <w:rsid w:val="00A64E43"/>
    <w:rsid w:val="00A71A2F"/>
    <w:rsid w:val="00A72BBD"/>
    <w:rsid w:val="00A75A1C"/>
    <w:rsid w:val="00A7793A"/>
    <w:rsid w:val="00A82DD7"/>
    <w:rsid w:val="00A8348D"/>
    <w:rsid w:val="00A84D66"/>
    <w:rsid w:val="00A917D1"/>
    <w:rsid w:val="00A93375"/>
    <w:rsid w:val="00AA05D7"/>
    <w:rsid w:val="00AA4307"/>
    <w:rsid w:val="00AA46BD"/>
    <w:rsid w:val="00AA4CC7"/>
    <w:rsid w:val="00AA5E8E"/>
    <w:rsid w:val="00AB2BAD"/>
    <w:rsid w:val="00AB6CA7"/>
    <w:rsid w:val="00AC3E3C"/>
    <w:rsid w:val="00AC712D"/>
    <w:rsid w:val="00AD01E4"/>
    <w:rsid w:val="00AD0858"/>
    <w:rsid w:val="00AE02E3"/>
    <w:rsid w:val="00AE7340"/>
    <w:rsid w:val="00AF1BBD"/>
    <w:rsid w:val="00AF74CE"/>
    <w:rsid w:val="00B0329C"/>
    <w:rsid w:val="00B03E93"/>
    <w:rsid w:val="00B04A84"/>
    <w:rsid w:val="00B06E6A"/>
    <w:rsid w:val="00B10207"/>
    <w:rsid w:val="00B121BF"/>
    <w:rsid w:val="00B13EFC"/>
    <w:rsid w:val="00B141E7"/>
    <w:rsid w:val="00B14A22"/>
    <w:rsid w:val="00B179FA"/>
    <w:rsid w:val="00B351B4"/>
    <w:rsid w:val="00B377DD"/>
    <w:rsid w:val="00B42580"/>
    <w:rsid w:val="00B44EA5"/>
    <w:rsid w:val="00B46BCA"/>
    <w:rsid w:val="00B478AA"/>
    <w:rsid w:val="00B47FF0"/>
    <w:rsid w:val="00B53F6B"/>
    <w:rsid w:val="00B63799"/>
    <w:rsid w:val="00B734A5"/>
    <w:rsid w:val="00B8477E"/>
    <w:rsid w:val="00B87806"/>
    <w:rsid w:val="00B87EC9"/>
    <w:rsid w:val="00B9105D"/>
    <w:rsid w:val="00B9488E"/>
    <w:rsid w:val="00BA2DA2"/>
    <w:rsid w:val="00BB254A"/>
    <w:rsid w:val="00BB2E43"/>
    <w:rsid w:val="00BB2F50"/>
    <w:rsid w:val="00BB61A5"/>
    <w:rsid w:val="00BC38FD"/>
    <w:rsid w:val="00BC4076"/>
    <w:rsid w:val="00BD32A2"/>
    <w:rsid w:val="00BD3C14"/>
    <w:rsid w:val="00BD51FB"/>
    <w:rsid w:val="00BE0475"/>
    <w:rsid w:val="00BE5874"/>
    <w:rsid w:val="00BF16D7"/>
    <w:rsid w:val="00BF1C87"/>
    <w:rsid w:val="00BF47FD"/>
    <w:rsid w:val="00BF56C8"/>
    <w:rsid w:val="00BF5DA4"/>
    <w:rsid w:val="00C01EB7"/>
    <w:rsid w:val="00C034CB"/>
    <w:rsid w:val="00C03A9C"/>
    <w:rsid w:val="00C04C7D"/>
    <w:rsid w:val="00C0510F"/>
    <w:rsid w:val="00C051A8"/>
    <w:rsid w:val="00C054BC"/>
    <w:rsid w:val="00C05D73"/>
    <w:rsid w:val="00C11667"/>
    <w:rsid w:val="00C137B4"/>
    <w:rsid w:val="00C17897"/>
    <w:rsid w:val="00C20CFF"/>
    <w:rsid w:val="00C21F89"/>
    <w:rsid w:val="00C2752B"/>
    <w:rsid w:val="00C3178B"/>
    <w:rsid w:val="00C32FD2"/>
    <w:rsid w:val="00C409D5"/>
    <w:rsid w:val="00C41722"/>
    <w:rsid w:val="00C435C3"/>
    <w:rsid w:val="00C438DB"/>
    <w:rsid w:val="00C44E5F"/>
    <w:rsid w:val="00C5007C"/>
    <w:rsid w:val="00C50EA6"/>
    <w:rsid w:val="00C518FA"/>
    <w:rsid w:val="00C51B7C"/>
    <w:rsid w:val="00C526DF"/>
    <w:rsid w:val="00C5402D"/>
    <w:rsid w:val="00C60A7A"/>
    <w:rsid w:val="00C61D2A"/>
    <w:rsid w:val="00C6234B"/>
    <w:rsid w:val="00C63EAE"/>
    <w:rsid w:val="00C66C4F"/>
    <w:rsid w:val="00C73260"/>
    <w:rsid w:val="00C7629F"/>
    <w:rsid w:val="00C77D5A"/>
    <w:rsid w:val="00C84C73"/>
    <w:rsid w:val="00C852C1"/>
    <w:rsid w:val="00C86482"/>
    <w:rsid w:val="00C8661B"/>
    <w:rsid w:val="00C90885"/>
    <w:rsid w:val="00C911B9"/>
    <w:rsid w:val="00C911F2"/>
    <w:rsid w:val="00C91F54"/>
    <w:rsid w:val="00C94CD7"/>
    <w:rsid w:val="00CA03C8"/>
    <w:rsid w:val="00CA139A"/>
    <w:rsid w:val="00CA14EE"/>
    <w:rsid w:val="00CA2899"/>
    <w:rsid w:val="00CA3A3D"/>
    <w:rsid w:val="00CA3AA6"/>
    <w:rsid w:val="00CA6E0D"/>
    <w:rsid w:val="00CA77FB"/>
    <w:rsid w:val="00CB10AB"/>
    <w:rsid w:val="00CB168B"/>
    <w:rsid w:val="00CB379B"/>
    <w:rsid w:val="00CB5DD0"/>
    <w:rsid w:val="00CB74EA"/>
    <w:rsid w:val="00CC10D0"/>
    <w:rsid w:val="00CC2B9C"/>
    <w:rsid w:val="00CC4A99"/>
    <w:rsid w:val="00CC51D4"/>
    <w:rsid w:val="00CC59D3"/>
    <w:rsid w:val="00CC65DA"/>
    <w:rsid w:val="00CD2B6C"/>
    <w:rsid w:val="00CD3C52"/>
    <w:rsid w:val="00CD78BC"/>
    <w:rsid w:val="00CE7DA8"/>
    <w:rsid w:val="00CF214B"/>
    <w:rsid w:val="00CF21B9"/>
    <w:rsid w:val="00CF4BC7"/>
    <w:rsid w:val="00CF6BF9"/>
    <w:rsid w:val="00CF7668"/>
    <w:rsid w:val="00D00A04"/>
    <w:rsid w:val="00D01E87"/>
    <w:rsid w:val="00D022A2"/>
    <w:rsid w:val="00D03800"/>
    <w:rsid w:val="00D05650"/>
    <w:rsid w:val="00D065D3"/>
    <w:rsid w:val="00D14327"/>
    <w:rsid w:val="00D14C94"/>
    <w:rsid w:val="00D21693"/>
    <w:rsid w:val="00D228F9"/>
    <w:rsid w:val="00D257B3"/>
    <w:rsid w:val="00D25F7E"/>
    <w:rsid w:val="00D3220A"/>
    <w:rsid w:val="00D33D39"/>
    <w:rsid w:val="00D342A6"/>
    <w:rsid w:val="00D342D3"/>
    <w:rsid w:val="00D34A66"/>
    <w:rsid w:val="00D45CA6"/>
    <w:rsid w:val="00D464BF"/>
    <w:rsid w:val="00D53355"/>
    <w:rsid w:val="00D53E26"/>
    <w:rsid w:val="00D54A67"/>
    <w:rsid w:val="00D63812"/>
    <w:rsid w:val="00D6593C"/>
    <w:rsid w:val="00D76803"/>
    <w:rsid w:val="00D8019A"/>
    <w:rsid w:val="00D808A3"/>
    <w:rsid w:val="00D813D6"/>
    <w:rsid w:val="00D86244"/>
    <w:rsid w:val="00D87D41"/>
    <w:rsid w:val="00D939CE"/>
    <w:rsid w:val="00DA0669"/>
    <w:rsid w:val="00DB182C"/>
    <w:rsid w:val="00DB328D"/>
    <w:rsid w:val="00DB3CB3"/>
    <w:rsid w:val="00DC05D4"/>
    <w:rsid w:val="00DC06E3"/>
    <w:rsid w:val="00DC0E47"/>
    <w:rsid w:val="00DC5380"/>
    <w:rsid w:val="00DC6B15"/>
    <w:rsid w:val="00DD14F1"/>
    <w:rsid w:val="00DD362B"/>
    <w:rsid w:val="00DD419C"/>
    <w:rsid w:val="00DD4F0E"/>
    <w:rsid w:val="00DD5DB5"/>
    <w:rsid w:val="00DD6477"/>
    <w:rsid w:val="00DD7452"/>
    <w:rsid w:val="00DF0BF0"/>
    <w:rsid w:val="00DF3CA2"/>
    <w:rsid w:val="00E01463"/>
    <w:rsid w:val="00E03FCD"/>
    <w:rsid w:val="00E05E0A"/>
    <w:rsid w:val="00E060BE"/>
    <w:rsid w:val="00E14657"/>
    <w:rsid w:val="00E17BB6"/>
    <w:rsid w:val="00E306DD"/>
    <w:rsid w:val="00E353BE"/>
    <w:rsid w:val="00E37064"/>
    <w:rsid w:val="00E37136"/>
    <w:rsid w:val="00E376B8"/>
    <w:rsid w:val="00E50709"/>
    <w:rsid w:val="00E534CF"/>
    <w:rsid w:val="00E55237"/>
    <w:rsid w:val="00E61451"/>
    <w:rsid w:val="00E626CA"/>
    <w:rsid w:val="00E7009A"/>
    <w:rsid w:val="00E740E6"/>
    <w:rsid w:val="00E7456A"/>
    <w:rsid w:val="00E81CB4"/>
    <w:rsid w:val="00E8585B"/>
    <w:rsid w:val="00E85A1F"/>
    <w:rsid w:val="00E87F41"/>
    <w:rsid w:val="00E971F9"/>
    <w:rsid w:val="00EA1D44"/>
    <w:rsid w:val="00EA3F15"/>
    <w:rsid w:val="00EA6D9A"/>
    <w:rsid w:val="00EA7847"/>
    <w:rsid w:val="00EB0355"/>
    <w:rsid w:val="00EB1318"/>
    <w:rsid w:val="00EB3CB3"/>
    <w:rsid w:val="00EB4C2F"/>
    <w:rsid w:val="00EB587D"/>
    <w:rsid w:val="00EC2583"/>
    <w:rsid w:val="00EC2B0B"/>
    <w:rsid w:val="00EC770F"/>
    <w:rsid w:val="00ED671C"/>
    <w:rsid w:val="00EE067B"/>
    <w:rsid w:val="00EE2E6E"/>
    <w:rsid w:val="00EE57B1"/>
    <w:rsid w:val="00EE638C"/>
    <w:rsid w:val="00EE6B15"/>
    <w:rsid w:val="00EF10A1"/>
    <w:rsid w:val="00EF58B4"/>
    <w:rsid w:val="00F059BF"/>
    <w:rsid w:val="00F0759E"/>
    <w:rsid w:val="00F16A43"/>
    <w:rsid w:val="00F20F86"/>
    <w:rsid w:val="00F211A4"/>
    <w:rsid w:val="00F23031"/>
    <w:rsid w:val="00F2371D"/>
    <w:rsid w:val="00F3250F"/>
    <w:rsid w:val="00F378D6"/>
    <w:rsid w:val="00F4038B"/>
    <w:rsid w:val="00F46780"/>
    <w:rsid w:val="00F6314F"/>
    <w:rsid w:val="00F72D80"/>
    <w:rsid w:val="00F77D2D"/>
    <w:rsid w:val="00F821A3"/>
    <w:rsid w:val="00F84DEA"/>
    <w:rsid w:val="00F9314A"/>
    <w:rsid w:val="00F940B2"/>
    <w:rsid w:val="00F944B3"/>
    <w:rsid w:val="00F950B9"/>
    <w:rsid w:val="00F9647C"/>
    <w:rsid w:val="00F971E0"/>
    <w:rsid w:val="00FB3666"/>
    <w:rsid w:val="00FC58EF"/>
    <w:rsid w:val="00FD2156"/>
    <w:rsid w:val="00FD33DF"/>
    <w:rsid w:val="00FD52E8"/>
    <w:rsid w:val="00FD7264"/>
    <w:rsid w:val="00FE39D7"/>
    <w:rsid w:val="00FE3B40"/>
    <w:rsid w:val="00FF3E09"/>
    <w:rsid w:val="00FF3F52"/>
    <w:rsid w:val="00FF4491"/>
    <w:rsid w:val="00FF75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ED05B7"/>
  <w15:chartTrackingRefBased/>
  <w15:docId w15:val="{51751AF8-E507-4905-BD40-625477BA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rsid w:val="00BC4076"/>
    <w:pPr>
      <w:spacing w:before="160" w:after="160"/>
      <w:ind w:left="0"/>
      <w:jc w:val="both"/>
    </w:pPr>
    <w:rPr>
      <w:rFonts w:ascii="Arial" w:hAnsi="Arial"/>
      <w:sz w:val="22"/>
      <w:szCs w:val="20"/>
      <w:lang w:val="es-CO"/>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link w:val="Textonotapie"/>
    <w:uiPriority w:val="99"/>
    <w:rsid w:val="00BC4076"/>
    <w:rPr>
      <w:rFonts w:ascii="Arial" w:hAnsi="Arial"/>
      <w:sz w:val="22"/>
      <w:lang w:eastAsia="es-ES"/>
    </w:rPr>
  </w:style>
  <w:style w:type="character" w:styleId="Refdenotaalpie">
    <w:name w:val="footnote reference"/>
    <w:uiPriority w:val="99"/>
    <w:semiHidden/>
    <w:rsid w:val="00BC4076"/>
    <w:rPr>
      <w:vertAlign w:val="superscript"/>
    </w:rPr>
  </w:style>
  <w:style w:type="paragraph" w:customStyle="1" w:styleId="Artculo">
    <w:name w:val="Artículo"/>
    <w:basedOn w:val="Normal"/>
    <w:next w:val="Normal"/>
    <w:link w:val="ArtculoCar"/>
    <w:qFormat/>
    <w:rsid w:val="00C5402D"/>
    <w:pPr>
      <w:numPr>
        <w:numId w:val="25"/>
      </w:numPr>
      <w:spacing w:before="240" w:after="240"/>
      <w:ind w:left="0"/>
      <w:jc w:val="both"/>
    </w:pPr>
    <w:rPr>
      <w:rFonts w:ascii="Bookman Old Style" w:hAnsi="Bookman Old Style" w:cs="Arial"/>
      <w:b/>
    </w:rPr>
  </w:style>
  <w:style w:type="character" w:customStyle="1" w:styleId="ArtculoCar">
    <w:name w:val="Artículo Car"/>
    <w:link w:val="Artculo"/>
    <w:rsid w:val="00C5402D"/>
    <w:rPr>
      <w:rFonts w:ascii="Bookman Old Style" w:hAnsi="Bookman Old Style" w:cs="Arial"/>
      <w:b/>
      <w:sz w:val="24"/>
      <w:szCs w:val="24"/>
      <w:lang w:val="es-ES" w:eastAsia="es-ES"/>
    </w:rPr>
  </w:style>
  <w:style w:type="character" w:styleId="Refdecomentario">
    <w:name w:val="annotation reference"/>
    <w:basedOn w:val="Fuentedeprrafopredeter"/>
    <w:uiPriority w:val="99"/>
    <w:semiHidden/>
    <w:unhideWhenUsed/>
    <w:rsid w:val="00CC2B9C"/>
    <w:rPr>
      <w:sz w:val="16"/>
      <w:szCs w:val="16"/>
    </w:rPr>
  </w:style>
  <w:style w:type="paragraph" w:styleId="Textocomentario">
    <w:name w:val="annotation text"/>
    <w:basedOn w:val="Normal"/>
    <w:link w:val="TextocomentarioCar"/>
    <w:uiPriority w:val="99"/>
    <w:semiHidden/>
    <w:unhideWhenUsed/>
    <w:rsid w:val="00CC2B9C"/>
    <w:rPr>
      <w:sz w:val="20"/>
      <w:szCs w:val="20"/>
    </w:rPr>
  </w:style>
  <w:style w:type="character" w:customStyle="1" w:styleId="TextocomentarioCar">
    <w:name w:val="Texto comentario Car"/>
    <w:basedOn w:val="Fuentedeprrafopredeter"/>
    <w:link w:val="Textocomentario"/>
    <w:uiPriority w:val="99"/>
    <w:semiHidden/>
    <w:rsid w:val="00CC2B9C"/>
    <w:rPr>
      <w:lang w:val="es-ES" w:eastAsia="es-ES"/>
    </w:rPr>
  </w:style>
  <w:style w:type="paragraph" w:styleId="Asuntodelcomentario">
    <w:name w:val="annotation subject"/>
    <w:basedOn w:val="Textocomentario"/>
    <w:next w:val="Textocomentario"/>
    <w:link w:val="AsuntodelcomentarioCar"/>
    <w:uiPriority w:val="99"/>
    <w:semiHidden/>
    <w:unhideWhenUsed/>
    <w:rsid w:val="00CC2B9C"/>
    <w:rPr>
      <w:b/>
      <w:bCs/>
    </w:rPr>
  </w:style>
  <w:style w:type="character" w:customStyle="1" w:styleId="AsuntodelcomentarioCar">
    <w:name w:val="Asunto del comentario Car"/>
    <w:basedOn w:val="TextocomentarioCar"/>
    <w:link w:val="Asuntodelcomentario"/>
    <w:uiPriority w:val="99"/>
    <w:semiHidden/>
    <w:rsid w:val="00CC2B9C"/>
    <w:rPr>
      <w:b/>
      <w:bCs/>
      <w:lang w:val="es-ES" w:eastAsia="es-ES"/>
    </w:rPr>
  </w:style>
  <w:style w:type="paragraph" w:styleId="Revisin">
    <w:name w:val="Revision"/>
    <w:hidden/>
    <w:uiPriority w:val="99"/>
    <w:semiHidden/>
    <w:rsid w:val="00DD419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863">
      <w:bodyDiv w:val="1"/>
      <w:marLeft w:val="0"/>
      <w:marRight w:val="0"/>
      <w:marTop w:val="0"/>
      <w:marBottom w:val="0"/>
      <w:divBdr>
        <w:top w:val="none" w:sz="0" w:space="0" w:color="auto"/>
        <w:left w:val="none" w:sz="0" w:space="0" w:color="auto"/>
        <w:bottom w:val="none" w:sz="0" w:space="0" w:color="auto"/>
        <w:right w:val="none" w:sz="0" w:space="0" w:color="auto"/>
      </w:divBdr>
      <w:divsChild>
        <w:div w:id="1407142077">
          <w:marLeft w:val="446"/>
          <w:marRight w:val="0"/>
          <w:marTop w:val="60"/>
          <w:marBottom w:val="60"/>
          <w:divBdr>
            <w:top w:val="none" w:sz="0" w:space="0" w:color="auto"/>
            <w:left w:val="none" w:sz="0" w:space="0" w:color="auto"/>
            <w:bottom w:val="none" w:sz="0" w:space="0" w:color="auto"/>
            <w:right w:val="none" w:sz="0" w:space="0" w:color="auto"/>
          </w:divBdr>
        </w:div>
      </w:divsChild>
    </w:div>
    <w:div w:id="480733004">
      <w:bodyDiv w:val="1"/>
      <w:marLeft w:val="0"/>
      <w:marRight w:val="0"/>
      <w:marTop w:val="0"/>
      <w:marBottom w:val="0"/>
      <w:divBdr>
        <w:top w:val="none" w:sz="0" w:space="0" w:color="auto"/>
        <w:left w:val="none" w:sz="0" w:space="0" w:color="auto"/>
        <w:bottom w:val="none" w:sz="0" w:space="0" w:color="auto"/>
        <w:right w:val="none" w:sz="0" w:space="0" w:color="auto"/>
      </w:divBdr>
      <w:divsChild>
        <w:div w:id="752166179">
          <w:marLeft w:val="547"/>
          <w:marRight w:val="0"/>
          <w:marTop w:val="240"/>
          <w:marBottom w:val="240"/>
          <w:divBdr>
            <w:top w:val="none" w:sz="0" w:space="0" w:color="auto"/>
            <w:left w:val="none" w:sz="0" w:space="0" w:color="auto"/>
            <w:bottom w:val="none" w:sz="0" w:space="0" w:color="auto"/>
            <w:right w:val="none" w:sz="0" w:space="0" w:color="auto"/>
          </w:divBdr>
        </w:div>
        <w:div w:id="1509563615">
          <w:marLeft w:val="547"/>
          <w:marRight w:val="0"/>
          <w:marTop w:val="240"/>
          <w:marBottom w:val="240"/>
          <w:divBdr>
            <w:top w:val="none" w:sz="0" w:space="0" w:color="auto"/>
            <w:left w:val="none" w:sz="0" w:space="0" w:color="auto"/>
            <w:bottom w:val="none" w:sz="0" w:space="0" w:color="auto"/>
            <w:right w:val="none" w:sz="0" w:space="0" w:color="auto"/>
          </w:divBdr>
        </w:div>
        <w:div w:id="1737360217">
          <w:marLeft w:val="547"/>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reg@creg.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ADFB9-2B87-48C6-AF59-B54726BFC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8</Pages>
  <Words>2844</Words>
  <Characters>15645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18453</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2021-09-02T16:27:00Z</cp:lastPrinted>
  <dcterms:created xsi:type="dcterms:W3CDTF">2021-09-15T21:04:00Z</dcterms:created>
  <dcterms:modified xsi:type="dcterms:W3CDTF">2021-09-15T21:04:00Z</dcterms:modified>
</cp:coreProperties>
</file>