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DC6" w:rsidRPr="0054014B" w:rsidRDefault="00A266B2" w:rsidP="00987B8C">
      <w:pPr>
        <w:pStyle w:val="Encabezado"/>
        <w:tabs>
          <w:tab w:val="clear" w:pos="4252"/>
          <w:tab w:val="clear" w:pos="8504"/>
          <w:tab w:val="left" w:pos="0"/>
          <w:tab w:val="center" w:pos="4678"/>
          <w:tab w:val="right" w:pos="9356"/>
        </w:tabs>
        <w:rPr>
          <w:rFonts w:ascii="Bookman Old Style" w:hAnsi="Bookman Old Style"/>
          <w:szCs w:val="24"/>
        </w:rPr>
      </w:pPr>
      <w:bookmarkStart w:id="0" w:name="_GoBack"/>
      <w:bookmarkEnd w:id="0"/>
      <w:r>
        <w:rPr>
          <w:rFonts w:ascii="Bookman Old Style" w:hAnsi="Bookman Old Style"/>
          <w:noProof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9.8pt;margin-top:-53.35pt;width:52.5pt;height:48.75pt;z-index:251657728" fillcolor="#0c9">
            <v:imagedata r:id="rId9" o:title=""/>
          </v:shape>
          <o:OLEObject Type="Embed" ProgID="PBrush" ShapeID="_x0000_s1026" DrawAspect="Content" ObjectID="_1381826871" r:id="rId10"/>
        </w:pict>
      </w:r>
    </w:p>
    <w:p w:rsidR="00625DC6" w:rsidRPr="0054014B" w:rsidRDefault="00625DC6" w:rsidP="00987B8C">
      <w:pPr>
        <w:pStyle w:val="Encabezado"/>
        <w:tabs>
          <w:tab w:val="clear" w:pos="8504"/>
          <w:tab w:val="left" w:pos="0"/>
          <w:tab w:val="right" w:pos="9356"/>
        </w:tabs>
        <w:rPr>
          <w:rFonts w:ascii="Bookman Old Style" w:hAnsi="Bookman Old Style"/>
          <w:szCs w:val="24"/>
        </w:rPr>
      </w:pPr>
    </w:p>
    <w:p w:rsidR="00CA77FB" w:rsidRPr="009966A2" w:rsidRDefault="00CA77FB" w:rsidP="00987B8C">
      <w:pPr>
        <w:jc w:val="center"/>
        <w:rPr>
          <w:b/>
          <w:noProof/>
          <w:spacing w:val="20"/>
        </w:rPr>
      </w:pPr>
      <w:r w:rsidRPr="009966A2">
        <w:rPr>
          <w:spacing w:val="20"/>
        </w:rPr>
        <w:t>Ministerio de Minas y Energía</w:t>
      </w:r>
    </w:p>
    <w:p w:rsidR="00CA77FB" w:rsidRPr="0054014B" w:rsidRDefault="00CA77FB" w:rsidP="00987B8C"/>
    <w:p w:rsidR="00CA77FB" w:rsidRPr="009966A2" w:rsidRDefault="00CA77FB" w:rsidP="00987B8C">
      <w:pPr>
        <w:jc w:val="center"/>
        <w:rPr>
          <w:b/>
          <w:spacing w:val="20"/>
        </w:rPr>
      </w:pPr>
      <w:r w:rsidRPr="009966A2">
        <w:rPr>
          <w:b/>
          <w:spacing w:val="20"/>
        </w:rPr>
        <w:t>COMISIÓN DE REGULACIÓN DE ENERGÍA Y GAS</w:t>
      </w:r>
    </w:p>
    <w:p w:rsidR="00CA77FB" w:rsidRPr="0054014B" w:rsidRDefault="00CA77FB" w:rsidP="00987B8C"/>
    <w:p w:rsidR="00CA77FB" w:rsidRPr="0054014B" w:rsidRDefault="00CA77FB" w:rsidP="00987B8C"/>
    <w:p w:rsidR="00CA77FB" w:rsidRPr="009966A2" w:rsidRDefault="00CA77FB" w:rsidP="00987B8C">
      <w:pPr>
        <w:jc w:val="center"/>
        <w:rPr>
          <w:b/>
          <w:spacing w:val="20"/>
        </w:rPr>
      </w:pPr>
      <w:r w:rsidRPr="009966A2">
        <w:rPr>
          <w:b/>
          <w:spacing w:val="20"/>
        </w:rPr>
        <w:t>RESOLUCIÓN No.</w:t>
      </w:r>
      <w:r w:rsidR="00417805" w:rsidRPr="00417805">
        <w:rPr>
          <w:b/>
          <w:spacing w:val="20"/>
        </w:rPr>
        <w:t xml:space="preserve">            </w:t>
      </w:r>
      <w:r w:rsidRPr="009966A2">
        <w:rPr>
          <w:b/>
          <w:spacing w:val="20"/>
        </w:rPr>
        <w:t>DE 20</w:t>
      </w:r>
      <w:r w:rsidR="00795BFB" w:rsidRPr="009966A2">
        <w:rPr>
          <w:b/>
          <w:spacing w:val="20"/>
        </w:rPr>
        <w:t>1</w:t>
      </w:r>
      <w:r w:rsidR="00444E0A">
        <w:rPr>
          <w:b/>
          <w:spacing w:val="20"/>
        </w:rPr>
        <w:t>1</w:t>
      </w:r>
    </w:p>
    <w:p w:rsidR="00CA77FB" w:rsidRPr="0054014B" w:rsidRDefault="00CA77FB" w:rsidP="00987B8C">
      <w:pPr>
        <w:tabs>
          <w:tab w:val="left" w:pos="0"/>
          <w:tab w:val="right" w:pos="9356"/>
        </w:tabs>
        <w:jc w:val="center"/>
        <w:rPr>
          <w:rFonts w:cs="Arial"/>
          <w:b/>
          <w:snapToGrid w:val="0"/>
          <w:color w:val="000000"/>
          <w:lang w:val="es-ES_tradnl"/>
        </w:rPr>
      </w:pPr>
    </w:p>
    <w:p w:rsidR="00CA77FB" w:rsidRPr="009966A2" w:rsidRDefault="00CA77FB" w:rsidP="00987B8C">
      <w:pPr>
        <w:jc w:val="center"/>
      </w:pPr>
      <w:r w:rsidRPr="009966A2">
        <w:t>(</w:t>
      </w:r>
      <w:r w:rsidR="00417805" w:rsidRPr="00417805">
        <w:t xml:space="preserve">                        </w:t>
      </w:r>
      <w:r w:rsidRPr="009966A2">
        <w:t>)</w:t>
      </w:r>
    </w:p>
    <w:p w:rsidR="00CA77FB" w:rsidRPr="0054014B" w:rsidRDefault="00CA77FB" w:rsidP="00987B8C">
      <w:pPr>
        <w:tabs>
          <w:tab w:val="left" w:pos="0"/>
          <w:tab w:val="right" w:pos="9356"/>
        </w:tabs>
        <w:jc w:val="center"/>
        <w:rPr>
          <w:lang w:val="es-ES_tradnl"/>
        </w:rPr>
      </w:pPr>
    </w:p>
    <w:p w:rsidR="000019D2" w:rsidRPr="0054014B" w:rsidRDefault="000019D2" w:rsidP="00987B8C">
      <w:pPr>
        <w:jc w:val="center"/>
        <w:rPr>
          <w:bCs/>
          <w:lang w:val="es-CO"/>
        </w:rPr>
      </w:pPr>
    </w:p>
    <w:p w:rsidR="000019D2" w:rsidRPr="0054014B" w:rsidRDefault="00251AC5" w:rsidP="008B5666">
      <w:pPr>
        <w:jc w:val="center"/>
      </w:pPr>
      <w:r>
        <w:t>Por la cual se modifica el a</w:t>
      </w:r>
      <w:r w:rsidR="00CB20D6">
        <w:t>rtículo 6 de la Resolución CREG 022 de 2001</w:t>
      </w:r>
    </w:p>
    <w:p w:rsidR="000019D2" w:rsidRPr="0054014B" w:rsidRDefault="000019D2" w:rsidP="00987B8C">
      <w:pPr>
        <w:ind w:right="788"/>
        <w:rPr>
          <w:rFonts w:cs="Arial"/>
        </w:rPr>
      </w:pPr>
    </w:p>
    <w:p w:rsidR="000019D2" w:rsidRPr="0054014B" w:rsidRDefault="000019D2" w:rsidP="00987B8C">
      <w:pPr>
        <w:ind w:right="788"/>
        <w:rPr>
          <w:rFonts w:cs="Arial"/>
        </w:rPr>
      </w:pPr>
    </w:p>
    <w:p w:rsidR="000019D2" w:rsidRPr="0054014B" w:rsidRDefault="000019D2" w:rsidP="00987B8C">
      <w:pPr>
        <w:jc w:val="center"/>
        <w:rPr>
          <w:rFonts w:cs="Arial"/>
          <w:b/>
          <w:bCs/>
        </w:rPr>
      </w:pPr>
      <w:r w:rsidRPr="0054014B">
        <w:rPr>
          <w:rFonts w:cs="Arial"/>
          <w:b/>
          <w:bCs/>
        </w:rPr>
        <w:t>LA COMISIÓN DE REGULACIÓN DE ENERGÍA Y GAS</w:t>
      </w:r>
    </w:p>
    <w:p w:rsidR="000019D2" w:rsidRPr="0054014B" w:rsidRDefault="000019D2" w:rsidP="00987B8C">
      <w:pPr>
        <w:ind w:right="788"/>
        <w:rPr>
          <w:rFonts w:cs="Arial"/>
          <w:b/>
        </w:rPr>
      </w:pPr>
    </w:p>
    <w:p w:rsidR="000019D2" w:rsidRPr="0054014B" w:rsidRDefault="000019D2" w:rsidP="00987B8C">
      <w:pPr>
        <w:ind w:right="788"/>
        <w:rPr>
          <w:rFonts w:cs="Arial"/>
          <w:b/>
        </w:rPr>
      </w:pPr>
    </w:p>
    <w:p w:rsidR="000019D2" w:rsidRPr="0054014B" w:rsidRDefault="000019D2" w:rsidP="00987B8C">
      <w:pPr>
        <w:tabs>
          <w:tab w:val="left" w:pos="9356"/>
        </w:tabs>
        <w:ind w:right="51"/>
        <w:jc w:val="center"/>
        <w:rPr>
          <w:rFonts w:cs="Arial"/>
        </w:rPr>
      </w:pPr>
      <w:r w:rsidRPr="0054014B">
        <w:rPr>
          <w:rFonts w:cs="Arial"/>
        </w:rPr>
        <w:t>En ejercicio de sus atribuciones constitucionales y legales, en e</w:t>
      </w:r>
      <w:r w:rsidR="00DF67F6">
        <w:rPr>
          <w:rFonts w:cs="Arial"/>
        </w:rPr>
        <w:t>special las conferidas por las l</w:t>
      </w:r>
      <w:r w:rsidRPr="0054014B">
        <w:rPr>
          <w:rFonts w:cs="Arial"/>
        </w:rPr>
        <w:t>eyes 142 y 143 d</w:t>
      </w:r>
      <w:r w:rsidR="00DF67F6">
        <w:rPr>
          <w:rFonts w:cs="Arial"/>
        </w:rPr>
        <w:t>e 1994, y en desarrollo de los d</w:t>
      </w:r>
      <w:r w:rsidRPr="0054014B">
        <w:rPr>
          <w:rFonts w:cs="Arial"/>
        </w:rPr>
        <w:t>ecretos 1524 y 2253 de 1994, y</w:t>
      </w:r>
    </w:p>
    <w:p w:rsidR="000019D2" w:rsidRPr="0054014B" w:rsidRDefault="000019D2" w:rsidP="00987B8C">
      <w:pPr>
        <w:rPr>
          <w:rFonts w:cs="Arial"/>
        </w:rPr>
      </w:pPr>
    </w:p>
    <w:p w:rsidR="000019D2" w:rsidRDefault="000019D2" w:rsidP="00987B8C">
      <w:pPr>
        <w:rPr>
          <w:rFonts w:cs="Arial"/>
        </w:rPr>
      </w:pPr>
    </w:p>
    <w:p w:rsidR="000019D2" w:rsidRPr="0054014B" w:rsidRDefault="000019D2" w:rsidP="00987B8C">
      <w:pPr>
        <w:jc w:val="center"/>
        <w:rPr>
          <w:rFonts w:cs="Arial"/>
          <w:b/>
        </w:rPr>
      </w:pPr>
      <w:r w:rsidRPr="0054014B">
        <w:rPr>
          <w:rFonts w:cs="Arial"/>
          <w:b/>
          <w:spacing w:val="80"/>
        </w:rPr>
        <w:t>CONSIDERANDO QUE</w:t>
      </w:r>
      <w:r w:rsidRPr="0054014B">
        <w:rPr>
          <w:rFonts w:cs="Arial"/>
          <w:b/>
        </w:rPr>
        <w:t>:</w:t>
      </w:r>
    </w:p>
    <w:p w:rsidR="00083878" w:rsidRPr="000A0067" w:rsidRDefault="00083878" w:rsidP="00083878">
      <w:pPr>
        <w:spacing w:before="100" w:beforeAutospacing="1" w:after="100" w:afterAutospacing="1"/>
        <w:rPr>
          <w:rFonts w:cs="Arial"/>
          <w:lang w:val="es-CO" w:eastAsia="es-CO"/>
        </w:rPr>
      </w:pPr>
      <w:r>
        <w:rPr>
          <w:rFonts w:cs="Arial"/>
          <w:lang w:val="es-CO" w:eastAsia="es-CO"/>
        </w:rPr>
        <w:t>M</w:t>
      </w:r>
      <w:r w:rsidRPr="00083878">
        <w:rPr>
          <w:rFonts w:cs="Arial"/>
          <w:lang w:val="es-CO" w:eastAsia="es-CO"/>
        </w:rPr>
        <w:t>ediante la Resolución CREG 022 de 2001, modificada por la</w:t>
      </w:r>
      <w:r w:rsidR="00DF67F6">
        <w:rPr>
          <w:rFonts w:cs="Arial"/>
          <w:lang w:val="es-CO" w:eastAsia="es-CO"/>
        </w:rPr>
        <w:t>s r</w:t>
      </w:r>
      <w:r>
        <w:rPr>
          <w:rFonts w:cs="Arial"/>
          <w:lang w:val="es-CO" w:eastAsia="es-CO"/>
        </w:rPr>
        <w:t>esolucio</w:t>
      </w:r>
      <w:r w:rsidRPr="00083878">
        <w:rPr>
          <w:rFonts w:cs="Arial"/>
          <w:lang w:val="es-CO" w:eastAsia="es-CO"/>
        </w:rPr>
        <w:t>n</w:t>
      </w:r>
      <w:r>
        <w:rPr>
          <w:rFonts w:cs="Arial"/>
          <w:lang w:val="es-CO" w:eastAsia="es-CO"/>
        </w:rPr>
        <w:t xml:space="preserve">es CREG </w:t>
      </w:r>
      <w:r w:rsidRPr="00083878">
        <w:rPr>
          <w:rFonts w:cs="Arial"/>
          <w:lang w:val="es-CO" w:eastAsia="es-CO"/>
        </w:rPr>
        <w:t>085 de 2002</w:t>
      </w:r>
      <w:r>
        <w:rPr>
          <w:rFonts w:cs="Arial"/>
          <w:lang w:val="es-CO" w:eastAsia="es-CO"/>
        </w:rPr>
        <w:t xml:space="preserve"> y CREG 120 de 2003</w:t>
      </w:r>
      <w:r w:rsidRPr="00083878">
        <w:rPr>
          <w:rFonts w:cs="Arial"/>
          <w:lang w:val="es-CO" w:eastAsia="es-CO"/>
        </w:rPr>
        <w:t xml:space="preserve">, la CREG reguló los principios generales y los procedimientos para definir el </w:t>
      </w:r>
      <w:r w:rsidR="00CB20D6">
        <w:rPr>
          <w:rFonts w:cs="Arial"/>
          <w:lang w:val="es-CO" w:eastAsia="es-CO"/>
        </w:rPr>
        <w:t>Plan de E</w:t>
      </w:r>
      <w:r w:rsidRPr="00083878">
        <w:rPr>
          <w:rFonts w:cs="Arial"/>
          <w:lang w:val="es-CO" w:eastAsia="es-CO"/>
        </w:rPr>
        <w:t xml:space="preserve">xpansión de </w:t>
      </w:r>
      <w:r w:rsidR="00CB20D6">
        <w:rPr>
          <w:rFonts w:cs="Arial"/>
          <w:lang w:val="es-CO" w:eastAsia="es-CO"/>
        </w:rPr>
        <w:t>R</w:t>
      </w:r>
      <w:r w:rsidRPr="00083878">
        <w:rPr>
          <w:rFonts w:cs="Arial"/>
          <w:lang w:val="es-CO" w:eastAsia="es-CO"/>
        </w:rPr>
        <w:t>eferencia</w:t>
      </w:r>
      <w:r w:rsidRPr="000A0067">
        <w:rPr>
          <w:rFonts w:cs="Arial"/>
          <w:lang w:val="es-CO" w:eastAsia="es-CO"/>
        </w:rPr>
        <w:t>, y estableció la metodología para determinar el Ingreso Regulado por c</w:t>
      </w:r>
      <w:r w:rsidR="00CB20D6" w:rsidRPr="000A0067">
        <w:rPr>
          <w:rFonts w:cs="Arial"/>
          <w:lang w:val="es-CO" w:eastAsia="es-CO"/>
        </w:rPr>
        <w:t>oncepto del u</w:t>
      </w:r>
      <w:r w:rsidRPr="000A0067">
        <w:rPr>
          <w:rFonts w:cs="Arial"/>
          <w:lang w:val="es-CO" w:eastAsia="es-CO"/>
        </w:rPr>
        <w:t>so de este Sistema.</w:t>
      </w:r>
    </w:p>
    <w:p w:rsidR="00801718" w:rsidRPr="000A0067" w:rsidRDefault="00CB20D6" w:rsidP="00801718">
      <w:pPr>
        <w:spacing w:before="100" w:beforeAutospacing="1" w:after="100" w:afterAutospacing="1"/>
        <w:rPr>
          <w:rFonts w:cs="Arial"/>
          <w:lang w:val="es-CO" w:eastAsia="es-CO"/>
        </w:rPr>
      </w:pPr>
      <w:r w:rsidRPr="000A0067">
        <w:rPr>
          <w:rFonts w:cs="Arial"/>
          <w:lang w:val="es-CO" w:eastAsia="es-CO"/>
        </w:rPr>
        <w:t>E</w:t>
      </w:r>
      <w:r w:rsidR="00801718" w:rsidRPr="000A0067">
        <w:rPr>
          <w:rFonts w:cs="Arial"/>
          <w:lang w:val="es-CO" w:eastAsia="es-CO"/>
        </w:rPr>
        <w:t xml:space="preserve">l artículo 1 de la metodología para el establecimiento de los cargos por uso de los Sistemas de Transmisión Regional y Distribución Local, aprobada mediante la Resolución CREG 097 de 2008, </w:t>
      </w:r>
      <w:r w:rsidRPr="000A0067">
        <w:rPr>
          <w:rFonts w:cs="Arial"/>
          <w:lang w:val="es-CO" w:eastAsia="es-CO"/>
        </w:rPr>
        <w:t xml:space="preserve">en la definición de </w:t>
      </w:r>
      <w:r w:rsidR="005121F7" w:rsidRPr="000A0067">
        <w:rPr>
          <w:rFonts w:cs="Arial"/>
          <w:lang w:val="es-CO" w:eastAsia="es-CO"/>
        </w:rPr>
        <w:t>“</w:t>
      </w:r>
      <w:r w:rsidRPr="009F7358">
        <w:rPr>
          <w:rFonts w:cs="Arial"/>
          <w:i/>
          <w:lang w:val="es-CO" w:eastAsia="es-CO"/>
        </w:rPr>
        <w:t>Activos de conexión del OR al STN</w:t>
      </w:r>
      <w:r w:rsidRPr="000A0067">
        <w:rPr>
          <w:rFonts w:cs="Arial"/>
          <w:lang w:val="es-CO" w:eastAsia="es-CO"/>
        </w:rPr>
        <w:t xml:space="preserve">” </w:t>
      </w:r>
      <w:r w:rsidR="00801718" w:rsidRPr="000A0067">
        <w:rPr>
          <w:rFonts w:cs="Arial"/>
          <w:lang w:val="es-CO" w:eastAsia="es-CO"/>
        </w:rPr>
        <w:t xml:space="preserve">determina que </w:t>
      </w:r>
      <w:r w:rsidR="009F7358">
        <w:rPr>
          <w:rFonts w:cs="Arial"/>
          <w:lang w:val="es-CO" w:eastAsia="es-CO"/>
        </w:rPr>
        <w:t>“</w:t>
      </w:r>
      <w:r w:rsidR="00801718" w:rsidRPr="009F7358">
        <w:rPr>
          <w:rFonts w:cs="Arial"/>
          <w:i/>
          <w:lang w:val="es-CO" w:eastAsia="es-CO"/>
        </w:rPr>
        <w:t>en las subestaciones del STN con configuración de anillo o interruptor y medio no se remunerarán</w:t>
      </w:r>
      <w:r w:rsidR="009F7358" w:rsidRPr="009F7358">
        <w:rPr>
          <w:rFonts w:cs="Arial"/>
          <w:i/>
          <w:lang w:val="es-CO" w:eastAsia="es-CO"/>
        </w:rPr>
        <w:t>,</w:t>
      </w:r>
      <w:r w:rsidR="00801718" w:rsidRPr="009F7358">
        <w:rPr>
          <w:rFonts w:cs="Arial"/>
          <w:i/>
          <w:lang w:val="es-CO" w:eastAsia="es-CO"/>
        </w:rPr>
        <w:t xml:space="preserve"> a través de cargos por uso de la actividad de distribución, las bahías con tensión igual o mayor a 220 kV</w:t>
      </w:r>
      <w:r w:rsidR="009F7358">
        <w:rPr>
          <w:rFonts w:cs="Arial"/>
          <w:lang w:val="es-CO" w:eastAsia="es-CO"/>
        </w:rPr>
        <w:t>”</w:t>
      </w:r>
      <w:r w:rsidR="00801718" w:rsidRPr="000A0067">
        <w:rPr>
          <w:rFonts w:cs="Arial"/>
          <w:lang w:val="es-CO" w:eastAsia="es-CO"/>
        </w:rPr>
        <w:t xml:space="preserve">. </w:t>
      </w:r>
    </w:p>
    <w:p w:rsidR="00083878" w:rsidRDefault="00083878" w:rsidP="00083878">
      <w:pPr>
        <w:spacing w:before="100" w:beforeAutospacing="1" w:after="100" w:afterAutospacing="1"/>
        <w:rPr>
          <w:rFonts w:cs="Arial"/>
          <w:lang w:eastAsia="es-CO"/>
        </w:rPr>
      </w:pPr>
      <w:r w:rsidRPr="000A0067">
        <w:rPr>
          <w:rFonts w:cs="Arial"/>
          <w:lang w:eastAsia="es-CO"/>
        </w:rPr>
        <w:t xml:space="preserve">El artículo 3 de la </w:t>
      </w:r>
      <w:r w:rsidR="00801718" w:rsidRPr="000A0067">
        <w:rPr>
          <w:rFonts w:cs="Arial"/>
          <w:lang w:val="es-CO" w:eastAsia="es-CO"/>
        </w:rPr>
        <w:t xml:space="preserve">metodología para la remuneración de la actividad de transmisión de energía eléctrica en el </w:t>
      </w:r>
      <w:r w:rsidR="00801718" w:rsidRPr="000A0067">
        <w:rPr>
          <w:rFonts w:cs="Arial"/>
          <w:lang w:eastAsia="es-CO"/>
        </w:rPr>
        <w:t xml:space="preserve">Sistema de Transmisión Nacional, establecida mediante la </w:t>
      </w:r>
      <w:r w:rsidRPr="000A0067">
        <w:rPr>
          <w:rFonts w:cs="Arial"/>
          <w:lang w:eastAsia="es-CO"/>
        </w:rPr>
        <w:t>Resolución CREG 011 de 2009, en la definición de “</w:t>
      </w:r>
      <w:r w:rsidRPr="009F7358">
        <w:rPr>
          <w:rFonts w:cs="Arial"/>
          <w:i/>
          <w:lang w:eastAsia="es-CO"/>
        </w:rPr>
        <w:t>Activos de Uso del STN</w:t>
      </w:r>
      <w:r w:rsidRPr="000A0067">
        <w:rPr>
          <w:rFonts w:cs="Arial"/>
          <w:lang w:eastAsia="es-CO"/>
        </w:rPr>
        <w:t>”</w:t>
      </w:r>
      <w:r w:rsidR="00450C5A" w:rsidRPr="000A0067">
        <w:rPr>
          <w:rFonts w:cs="Arial"/>
          <w:lang w:eastAsia="es-CO"/>
        </w:rPr>
        <w:t xml:space="preserve">, establece que </w:t>
      </w:r>
      <w:r w:rsidR="009F7358">
        <w:rPr>
          <w:rFonts w:cs="Arial"/>
          <w:lang w:eastAsia="es-CO"/>
        </w:rPr>
        <w:t>“</w:t>
      </w:r>
      <w:r w:rsidR="00450C5A" w:rsidRPr="009F7358">
        <w:rPr>
          <w:rFonts w:cs="Arial"/>
          <w:i/>
          <w:lang w:eastAsia="es-CO"/>
        </w:rPr>
        <w:t>las B</w:t>
      </w:r>
      <w:r w:rsidRPr="009F7358">
        <w:rPr>
          <w:rFonts w:cs="Arial"/>
          <w:i/>
          <w:lang w:eastAsia="es-CO"/>
        </w:rPr>
        <w:t xml:space="preserve">ahías de </w:t>
      </w:r>
      <w:r w:rsidR="00450C5A" w:rsidRPr="009F7358">
        <w:rPr>
          <w:rFonts w:cs="Arial"/>
          <w:i/>
          <w:lang w:eastAsia="es-CO"/>
        </w:rPr>
        <w:t>T</w:t>
      </w:r>
      <w:r w:rsidRPr="009F7358">
        <w:rPr>
          <w:rFonts w:cs="Arial"/>
          <w:i/>
          <w:lang w:eastAsia="es-CO"/>
        </w:rPr>
        <w:t>ransformador con tensión mayor o igual a 220 kV, que utiliza un OR para conectarse al STN en las subestaciones con configuración de anillo o de interruptor y medio, se remunerarán a través de cargos por uso de la actividad de transmisión</w:t>
      </w:r>
      <w:r w:rsidR="00450C5A" w:rsidRPr="009F7358">
        <w:rPr>
          <w:rFonts w:cs="Arial"/>
          <w:i/>
          <w:lang w:eastAsia="es-CO"/>
        </w:rPr>
        <w:t>, una vez empiecen a aplicarse a dicho OR los costos y cargos aprobados con la metodología de la Resolución CREG 097 de 2008</w:t>
      </w:r>
      <w:r w:rsidR="009F7358" w:rsidRPr="009F7358">
        <w:rPr>
          <w:rFonts w:cs="Arial"/>
          <w:i/>
          <w:lang w:eastAsia="es-CO"/>
        </w:rPr>
        <w:t>”</w:t>
      </w:r>
      <w:r w:rsidR="00450C5A" w:rsidRPr="000A0067">
        <w:rPr>
          <w:rFonts w:cs="Arial"/>
          <w:lang w:eastAsia="es-CO"/>
        </w:rPr>
        <w:t>.</w:t>
      </w:r>
    </w:p>
    <w:p w:rsidR="00F066DD" w:rsidRDefault="00F066DD" w:rsidP="00083878">
      <w:pPr>
        <w:spacing w:before="100" w:beforeAutospacing="1" w:after="100" w:afterAutospacing="1"/>
        <w:rPr>
          <w:rFonts w:cs="Arial"/>
          <w:lang w:eastAsia="es-CO"/>
        </w:rPr>
      </w:pPr>
      <w:r>
        <w:rPr>
          <w:rFonts w:cs="Arial"/>
          <w:lang w:eastAsia="es-CO"/>
        </w:rPr>
        <w:t xml:space="preserve">Teniendo en cuenta que </w:t>
      </w:r>
      <w:r w:rsidRPr="00F066DD">
        <w:rPr>
          <w:rFonts w:cs="Arial"/>
          <w:lang w:eastAsia="es-CO"/>
        </w:rPr>
        <w:t xml:space="preserve">las Bahías de Transformador </w:t>
      </w:r>
      <w:r w:rsidR="00035E68" w:rsidRPr="00F066DD">
        <w:rPr>
          <w:rFonts w:cs="Arial"/>
          <w:lang w:eastAsia="es-CO"/>
        </w:rPr>
        <w:t>con configuración de anillo o de interruptor</w:t>
      </w:r>
      <w:r w:rsidR="00035E68">
        <w:rPr>
          <w:rFonts w:cs="Arial"/>
          <w:lang w:eastAsia="es-CO"/>
        </w:rPr>
        <w:t xml:space="preserve"> y medio y </w:t>
      </w:r>
      <w:r w:rsidRPr="00F066DD">
        <w:rPr>
          <w:rFonts w:cs="Arial"/>
          <w:lang w:eastAsia="es-CO"/>
        </w:rPr>
        <w:t xml:space="preserve">tensión mayor o igual a 220 kV </w:t>
      </w:r>
      <w:r w:rsidR="00010A4F">
        <w:rPr>
          <w:rFonts w:cs="Arial"/>
          <w:lang w:eastAsia="es-CO"/>
        </w:rPr>
        <w:t xml:space="preserve">son remuneradas mediante cargos de transmisión, esta Comisión, en concordancia </w:t>
      </w:r>
      <w:r w:rsidR="00010A4F">
        <w:rPr>
          <w:rFonts w:cs="Arial"/>
          <w:lang w:eastAsia="es-CO"/>
        </w:rPr>
        <w:lastRenderedPageBreak/>
        <w:t xml:space="preserve">con la regulación expedida, considera necesario que </w:t>
      </w:r>
      <w:r w:rsidR="00035E68">
        <w:rPr>
          <w:rFonts w:cs="Arial"/>
          <w:lang w:eastAsia="es-CO"/>
        </w:rPr>
        <w:t>la ejecución</w:t>
      </w:r>
      <w:r w:rsidR="00010A4F">
        <w:rPr>
          <w:rFonts w:cs="Arial"/>
          <w:lang w:eastAsia="es-CO"/>
        </w:rPr>
        <w:t xml:space="preserve"> de </w:t>
      </w:r>
      <w:r w:rsidR="00035E68">
        <w:rPr>
          <w:rFonts w:cs="Arial"/>
          <w:lang w:eastAsia="es-CO"/>
        </w:rPr>
        <w:t>estas</w:t>
      </w:r>
      <w:r w:rsidR="00010A4F">
        <w:rPr>
          <w:rFonts w:cs="Arial"/>
          <w:lang w:eastAsia="es-CO"/>
        </w:rPr>
        <w:t xml:space="preserve"> bahías se</w:t>
      </w:r>
      <w:r w:rsidR="00035E68">
        <w:rPr>
          <w:rFonts w:cs="Arial"/>
          <w:lang w:eastAsia="es-CO"/>
        </w:rPr>
        <w:t>a</w:t>
      </w:r>
      <w:r w:rsidR="00044495">
        <w:rPr>
          <w:rFonts w:cs="Arial"/>
          <w:lang w:eastAsia="es-CO"/>
        </w:rPr>
        <w:t xml:space="preserve"> reali</w:t>
      </w:r>
      <w:r w:rsidR="00035E68">
        <w:rPr>
          <w:rFonts w:cs="Arial"/>
          <w:lang w:eastAsia="es-CO"/>
        </w:rPr>
        <w:t>zada</w:t>
      </w:r>
      <w:r w:rsidR="00044495">
        <w:rPr>
          <w:rFonts w:cs="Arial"/>
          <w:lang w:eastAsia="es-CO"/>
        </w:rPr>
        <w:t xml:space="preserve"> </w:t>
      </w:r>
      <w:r w:rsidR="00010A4F">
        <w:rPr>
          <w:rFonts w:cs="Arial"/>
          <w:lang w:eastAsia="es-CO"/>
        </w:rPr>
        <w:t xml:space="preserve">como </w:t>
      </w:r>
      <w:r w:rsidR="00044495">
        <w:rPr>
          <w:rFonts w:cs="Arial"/>
          <w:lang w:eastAsia="es-CO"/>
        </w:rPr>
        <w:t>una ampliación</w:t>
      </w:r>
      <w:r w:rsidR="00010A4F">
        <w:rPr>
          <w:rFonts w:cs="Arial"/>
          <w:lang w:eastAsia="es-CO"/>
        </w:rPr>
        <w:t xml:space="preserve"> de las instalaciones del STN</w:t>
      </w:r>
      <w:r w:rsidR="00044495">
        <w:rPr>
          <w:rFonts w:cs="Arial"/>
          <w:lang w:eastAsia="es-CO"/>
        </w:rPr>
        <w:t>,</w:t>
      </w:r>
      <w:r w:rsidR="00010A4F">
        <w:rPr>
          <w:rFonts w:cs="Arial"/>
          <w:lang w:eastAsia="es-CO"/>
        </w:rPr>
        <w:t xml:space="preserve"> </w:t>
      </w:r>
      <w:r w:rsidR="00044495">
        <w:rPr>
          <w:rFonts w:cs="Arial"/>
          <w:lang w:eastAsia="es-CO"/>
        </w:rPr>
        <w:t xml:space="preserve">tal como lo establece </w:t>
      </w:r>
      <w:r w:rsidR="00010A4F">
        <w:rPr>
          <w:rFonts w:cs="Arial"/>
          <w:lang w:eastAsia="es-CO"/>
        </w:rPr>
        <w:t xml:space="preserve">el </w:t>
      </w:r>
      <w:r w:rsidR="00044495">
        <w:rPr>
          <w:rFonts w:cs="Arial"/>
          <w:lang w:eastAsia="es-CO"/>
        </w:rPr>
        <w:t>artículo</w:t>
      </w:r>
      <w:r w:rsidR="00010A4F">
        <w:rPr>
          <w:rFonts w:cs="Arial"/>
          <w:lang w:eastAsia="es-CO"/>
        </w:rPr>
        <w:t xml:space="preserve"> 6 de la Resoluci</w:t>
      </w:r>
      <w:r w:rsidR="00044495">
        <w:rPr>
          <w:rFonts w:cs="Arial"/>
          <w:lang w:eastAsia="es-CO"/>
        </w:rPr>
        <w:t>ó</w:t>
      </w:r>
      <w:r w:rsidR="00010A4F">
        <w:rPr>
          <w:rFonts w:cs="Arial"/>
          <w:lang w:eastAsia="es-CO"/>
        </w:rPr>
        <w:t xml:space="preserve">n CREG 022 de 2001, </w:t>
      </w:r>
      <w:r w:rsidR="00044495">
        <w:rPr>
          <w:rFonts w:cs="Arial"/>
          <w:lang w:eastAsia="es-CO"/>
        </w:rPr>
        <w:t xml:space="preserve">modificado </w:t>
      </w:r>
      <w:r w:rsidR="00DF67F6">
        <w:rPr>
          <w:rFonts w:cs="Arial"/>
          <w:lang w:eastAsia="es-CO"/>
        </w:rPr>
        <w:t>por las r</w:t>
      </w:r>
      <w:r w:rsidR="00010A4F">
        <w:rPr>
          <w:rFonts w:cs="Arial"/>
          <w:lang w:eastAsia="es-CO"/>
        </w:rPr>
        <w:t xml:space="preserve">esoluciones CREG 085 de 2002 y CREG 120 de 2003.   </w:t>
      </w:r>
      <w:r>
        <w:rPr>
          <w:rFonts w:cs="Arial"/>
          <w:lang w:eastAsia="es-CO"/>
        </w:rPr>
        <w:t xml:space="preserve">  </w:t>
      </w:r>
    </w:p>
    <w:p w:rsidR="00A7420B" w:rsidRDefault="00044495" w:rsidP="008B5666">
      <w:pPr>
        <w:spacing w:before="100" w:beforeAutospacing="1" w:after="100" w:afterAutospacing="1"/>
        <w:rPr>
          <w:rFonts w:cs="Arial"/>
          <w:lang w:val="es-CO" w:eastAsia="es-CO"/>
        </w:rPr>
      </w:pPr>
      <w:r>
        <w:rPr>
          <w:rFonts w:cs="Arial"/>
          <w:lang w:val="es-CO" w:eastAsia="es-CO"/>
        </w:rPr>
        <w:t>Así mismo</w:t>
      </w:r>
      <w:r w:rsidR="00010A4F">
        <w:rPr>
          <w:rFonts w:cs="Arial"/>
          <w:lang w:val="es-CO" w:eastAsia="es-CO"/>
        </w:rPr>
        <w:t>,</w:t>
      </w:r>
      <w:r w:rsidR="00035E68">
        <w:rPr>
          <w:rFonts w:cs="Arial"/>
          <w:lang w:val="es-CO" w:eastAsia="es-CO"/>
        </w:rPr>
        <w:t xml:space="preserve"> es de conocimiento de</w:t>
      </w:r>
      <w:r>
        <w:rPr>
          <w:rFonts w:cs="Arial"/>
          <w:lang w:val="es-CO" w:eastAsia="es-CO"/>
        </w:rPr>
        <w:t xml:space="preserve"> la Comisión de Regulación de Energía y Gas que los </w:t>
      </w:r>
      <w:r w:rsidR="004C06D9" w:rsidRPr="000A0067">
        <w:rPr>
          <w:rFonts w:cs="Arial"/>
          <w:lang w:val="es-CO" w:eastAsia="es-CO"/>
        </w:rPr>
        <w:t>Centros de Supervisión y Maniobra son utilizados en el desarrollo de las actividades propias de la prestación del servicio por cada transmisor</w:t>
      </w:r>
      <w:r w:rsidR="00691D0D" w:rsidRPr="000A0067">
        <w:rPr>
          <w:rFonts w:cs="Arial"/>
          <w:lang w:val="es-CO" w:eastAsia="es-CO"/>
        </w:rPr>
        <w:t>,</w:t>
      </w:r>
      <w:r w:rsidR="00612CC6" w:rsidRPr="000A0067">
        <w:rPr>
          <w:rFonts w:cs="Arial"/>
          <w:lang w:val="es-CO" w:eastAsia="es-CO"/>
        </w:rPr>
        <w:t xml:space="preserve"> </w:t>
      </w:r>
      <w:r w:rsidR="00691D0D" w:rsidRPr="000A0067">
        <w:rPr>
          <w:rFonts w:cs="Arial"/>
          <w:lang w:val="es-CO" w:eastAsia="es-CO"/>
        </w:rPr>
        <w:t>por tanto no se considera necesario que las unidades constructivas que los componen deban ser recomendadas en el Plan de Expansión de Referencia ni ejecutadas mediante procesos de libre concurrencia</w:t>
      </w:r>
      <w:r w:rsidR="00A162F2" w:rsidRPr="000A0067">
        <w:rPr>
          <w:rFonts w:cs="Arial"/>
          <w:lang w:val="es-CO" w:eastAsia="es-CO"/>
        </w:rPr>
        <w:t>.</w:t>
      </w:r>
    </w:p>
    <w:p w:rsidR="00035E68" w:rsidRDefault="003A3C84" w:rsidP="008B5666">
      <w:pPr>
        <w:spacing w:before="100" w:beforeAutospacing="1" w:after="100" w:afterAutospacing="1"/>
        <w:rPr>
          <w:rFonts w:cs="Arial"/>
          <w:lang w:val="es-CO" w:eastAsia="es-CO"/>
        </w:rPr>
      </w:pPr>
      <w:r>
        <w:rPr>
          <w:rFonts w:cs="Arial"/>
          <w:lang w:val="es-CO" w:eastAsia="es-CO"/>
        </w:rPr>
        <w:t>Por las razones expuestas</w:t>
      </w:r>
      <w:r w:rsidR="00035E68">
        <w:rPr>
          <w:rFonts w:cs="Arial"/>
          <w:lang w:val="es-CO" w:eastAsia="es-CO"/>
        </w:rPr>
        <w:t>,</w:t>
      </w:r>
      <w:r>
        <w:rPr>
          <w:rFonts w:cs="Arial"/>
          <w:lang w:val="es-CO" w:eastAsia="es-CO"/>
        </w:rPr>
        <w:t xml:space="preserve"> se considera procedente realizar las modificaciones respectivas al artículo 6 de la Resolución CREG 022 de 2001 y las demás</w:t>
      </w:r>
      <w:r w:rsidR="00061CDC">
        <w:rPr>
          <w:rFonts w:cs="Arial"/>
          <w:lang w:val="es-CO" w:eastAsia="es-CO"/>
        </w:rPr>
        <w:t xml:space="preserve"> normas regulatorias </w:t>
      </w:r>
      <w:r>
        <w:rPr>
          <w:rFonts w:cs="Arial"/>
          <w:lang w:val="es-CO" w:eastAsia="es-CO"/>
        </w:rPr>
        <w:t>que en lo pertinente</w:t>
      </w:r>
      <w:r w:rsidR="00082D10">
        <w:rPr>
          <w:rFonts w:cs="Arial"/>
          <w:lang w:val="es-CO" w:eastAsia="es-CO"/>
        </w:rPr>
        <w:t xml:space="preserve"> </w:t>
      </w:r>
      <w:r>
        <w:rPr>
          <w:rFonts w:cs="Arial"/>
          <w:lang w:val="es-CO" w:eastAsia="es-CO"/>
        </w:rPr>
        <w:t>hayan modificado o adicionado dicho artículo.</w:t>
      </w:r>
      <w:r w:rsidR="00082D10">
        <w:rPr>
          <w:rFonts w:cs="Arial"/>
          <w:lang w:val="es-CO" w:eastAsia="es-CO"/>
        </w:rPr>
        <w:t xml:space="preserve"> </w:t>
      </w:r>
    </w:p>
    <w:p w:rsidR="009F7358" w:rsidRDefault="009F7358" w:rsidP="008B5666">
      <w:pPr>
        <w:spacing w:before="100" w:beforeAutospacing="1" w:after="100" w:afterAutospacing="1"/>
        <w:rPr>
          <w:rFonts w:cs="Arial"/>
          <w:lang w:val="es-CO" w:eastAsia="es-CO"/>
        </w:rPr>
      </w:pPr>
      <w:r w:rsidRPr="009F7358">
        <w:rPr>
          <w:rFonts w:cs="Arial"/>
          <w:lang w:val="es-CO" w:eastAsia="es-CO"/>
        </w:rPr>
        <w:t xml:space="preserve">De conformidad con lo establecido en el numeral 3 del artículo 2 de la Resolución CREG 097 de 2004, no se hizo público el proyecto de resolución conforme a las disposiciones del artículo 9 del Decreto 2696 de 2004 por razones de oportunidad consistentes en que </w:t>
      </w:r>
      <w:r>
        <w:rPr>
          <w:rFonts w:cs="Arial"/>
          <w:lang w:val="es-CO" w:eastAsia="es-CO"/>
        </w:rPr>
        <w:t xml:space="preserve">los agentes se encuentran adelantando proyectos de expansión de sus redes, con base en la </w:t>
      </w:r>
      <w:r w:rsidR="00DF67F6">
        <w:rPr>
          <w:rFonts w:cs="Arial"/>
          <w:lang w:val="es-CO" w:eastAsia="es-CO"/>
        </w:rPr>
        <w:t>reglamentación expedida en las r</w:t>
      </w:r>
      <w:r>
        <w:rPr>
          <w:rFonts w:cs="Arial"/>
          <w:lang w:val="es-CO" w:eastAsia="es-CO"/>
        </w:rPr>
        <w:t>esoluciones CREG 097 de 2008 y CREG 011 de 2009, y requieren claridad en cuanto a la responsabilidad en la ejecución de los proyectos.</w:t>
      </w:r>
    </w:p>
    <w:p w:rsidR="008B5666" w:rsidRPr="008B5666" w:rsidRDefault="00F877C0" w:rsidP="008B5666">
      <w:pPr>
        <w:spacing w:before="100" w:beforeAutospacing="1" w:after="100" w:afterAutospacing="1"/>
        <w:rPr>
          <w:rFonts w:cs="Arial"/>
          <w:lang w:val="es-CO" w:eastAsia="es-CO"/>
        </w:rPr>
      </w:pPr>
      <w:r>
        <w:rPr>
          <w:rFonts w:cs="Arial"/>
          <w:lang w:val="es-CO" w:eastAsia="es-CO"/>
        </w:rPr>
        <w:t>L</w:t>
      </w:r>
      <w:r w:rsidR="008B5666" w:rsidRPr="008B5666">
        <w:rPr>
          <w:rFonts w:cs="Arial"/>
          <w:lang w:val="es-CO" w:eastAsia="es-CO"/>
        </w:rPr>
        <w:t xml:space="preserve">a Comisión de Regulación de Energía y Gas, en su Sesión número </w:t>
      </w:r>
      <w:r w:rsidR="00741A46">
        <w:rPr>
          <w:rFonts w:cs="Arial"/>
          <w:lang w:val="es-CO" w:eastAsia="es-CO"/>
        </w:rPr>
        <w:t>503</w:t>
      </w:r>
      <w:r w:rsidR="008B5666" w:rsidRPr="008B5666">
        <w:rPr>
          <w:rFonts w:cs="Arial"/>
          <w:lang w:val="es-CO" w:eastAsia="es-CO"/>
        </w:rPr>
        <w:t xml:space="preserve"> del </w:t>
      </w:r>
      <w:r w:rsidR="00741A46">
        <w:rPr>
          <w:rFonts w:cs="Arial"/>
          <w:lang w:val="es-CO" w:eastAsia="es-CO"/>
        </w:rPr>
        <w:t>21</w:t>
      </w:r>
      <w:r w:rsidR="008B5666" w:rsidRPr="008B5666">
        <w:rPr>
          <w:rFonts w:cs="Arial"/>
          <w:lang w:val="es-CO" w:eastAsia="es-CO"/>
        </w:rPr>
        <w:t xml:space="preserve"> de </w:t>
      </w:r>
      <w:r w:rsidR="00741A46">
        <w:rPr>
          <w:rFonts w:cs="Arial"/>
          <w:lang w:val="es-CO" w:eastAsia="es-CO"/>
        </w:rPr>
        <w:t xml:space="preserve">octubre </w:t>
      </w:r>
      <w:r w:rsidR="008B5666" w:rsidRPr="008B5666">
        <w:rPr>
          <w:rFonts w:cs="Arial"/>
          <w:lang w:val="es-CO" w:eastAsia="es-CO"/>
        </w:rPr>
        <w:t>de 20</w:t>
      </w:r>
      <w:r>
        <w:rPr>
          <w:rFonts w:cs="Arial"/>
          <w:lang w:val="es-CO" w:eastAsia="es-CO"/>
        </w:rPr>
        <w:t>11</w:t>
      </w:r>
      <w:r w:rsidR="008B5666" w:rsidRPr="008B5666">
        <w:rPr>
          <w:rFonts w:cs="Arial"/>
          <w:lang w:val="es-CO" w:eastAsia="es-CO"/>
        </w:rPr>
        <w:t>, acordó</w:t>
      </w:r>
      <w:r w:rsidR="00882B99">
        <w:rPr>
          <w:rFonts w:cs="Arial"/>
          <w:lang w:val="es-CO" w:eastAsia="es-CO"/>
        </w:rPr>
        <w:t xml:space="preserve"> expedir la presente Resolución.</w:t>
      </w:r>
    </w:p>
    <w:p w:rsidR="00D84C87" w:rsidRPr="008B5666" w:rsidRDefault="00D84C87" w:rsidP="00987B8C">
      <w:pPr>
        <w:rPr>
          <w:rFonts w:cs="Arial"/>
          <w:b/>
          <w:lang w:val="es-CO"/>
        </w:rPr>
      </w:pPr>
    </w:p>
    <w:p w:rsidR="000019D2" w:rsidRPr="008B5666" w:rsidRDefault="000019D2" w:rsidP="00987B8C">
      <w:pPr>
        <w:jc w:val="center"/>
        <w:rPr>
          <w:rFonts w:cs="Arial"/>
        </w:rPr>
      </w:pPr>
      <w:r w:rsidRPr="008B5666">
        <w:rPr>
          <w:rFonts w:cs="Arial"/>
          <w:b/>
          <w:spacing w:val="80"/>
        </w:rPr>
        <w:t>RESUELVE</w:t>
      </w:r>
      <w:r w:rsidRPr="008B5666">
        <w:rPr>
          <w:rFonts w:cs="Arial"/>
        </w:rPr>
        <w:t>:</w:t>
      </w:r>
    </w:p>
    <w:p w:rsidR="000019D2" w:rsidRPr="008B5666" w:rsidRDefault="000019D2" w:rsidP="00987B8C">
      <w:pPr>
        <w:tabs>
          <w:tab w:val="left" w:pos="-720"/>
        </w:tabs>
        <w:suppressAutoHyphens/>
        <w:rPr>
          <w:rFonts w:cs="Arial"/>
          <w:b/>
          <w:spacing w:val="-3"/>
        </w:rPr>
      </w:pPr>
    </w:p>
    <w:p w:rsidR="000019D2" w:rsidRPr="009E3506" w:rsidRDefault="00455692" w:rsidP="009E3506">
      <w:pPr>
        <w:pStyle w:val="ARTICULOS"/>
        <w:numPr>
          <w:ilvl w:val="0"/>
          <w:numId w:val="1"/>
        </w:numPr>
        <w:ind w:left="0" w:right="0" w:firstLine="0"/>
        <w:rPr>
          <w:b/>
        </w:rPr>
      </w:pPr>
      <w:bookmarkStart w:id="1" w:name="_Ref44815543"/>
      <w:bookmarkStart w:id="2" w:name="_Ref44815511"/>
      <w:r w:rsidRPr="00455692">
        <w:t xml:space="preserve">Modificar el </w:t>
      </w:r>
      <w:r w:rsidR="00035E68">
        <w:t>a</w:t>
      </w:r>
      <w:r w:rsidRPr="00455692">
        <w:t>rtículo 6 de la Resoluc</w:t>
      </w:r>
      <w:r w:rsidR="00082D10">
        <w:t>ión CREG 022 de 2001, modificado</w:t>
      </w:r>
      <w:r w:rsidRPr="00455692">
        <w:t xml:space="preserve"> mediante la</w:t>
      </w:r>
      <w:r w:rsidR="009E3506">
        <w:t>s</w:t>
      </w:r>
      <w:r w:rsidR="00082D10">
        <w:t xml:space="preserve"> </w:t>
      </w:r>
      <w:r w:rsidR="00DF67F6">
        <w:t>r</w:t>
      </w:r>
      <w:r w:rsidRPr="00455692">
        <w:t>esolu</w:t>
      </w:r>
      <w:r w:rsidR="009E3506">
        <w:t>cio</w:t>
      </w:r>
      <w:r w:rsidRPr="00455692">
        <w:t>n</w:t>
      </w:r>
      <w:r w:rsidR="009E3506">
        <w:t>es</w:t>
      </w:r>
      <w:r w:rsidRPr="00455692">
        <w:t xml:space="preserve"> CREG 085 de 2002</w:t>
      </w:r>
      <w:r w:rsidR="009E3506">
        <w:t xml:space="preserve"> y CREG 120 de 2003</w:t>
      </w:r>
      <w:r w:rsidRPr="00455692">
        <w:t>, el cual quedará así:</w:t>
      </w:r>
    </w:p>
    <w:p w:rsidR="009E3506" w:rsidRPr="00455692" w:rsidRDefault="009E3506" w:rsidP="009E3506">
      <w:pPr>
        <w:pStyle w:val="ARTICULOS"/>
      </w:pPr>
    </w:p>
    <w:bookmarkEnd w:id="1"/>
    <w:p w:rsidR="009E3506" w:rsidRPr="009E3506" w:rsidRDefault="00C428CE" w:rsidP="009E3506">
      <w:pPr>
        <w:ind w:left="567" w:right="567"/>
        <w:rPr>
          <w:i/>
          <w:lang w:val="es-CO"/>
        </w:rPr>
      </w:pPr>
      <w:r w:rsidRPr="009E3506">
        <w:rPr>
          <w:b/>
          <w:i/>
          <w:lang w:val="es-CO"/>
        </w:rPr>
        <w:t>“Artículo 6.</w:t>
      </w:r>
      <w:r w:rsidR="00082D10">
        <w:rPr>
          <w:b/>
          <w:i/>
          <w:lang w:val="es-CO"/>
        </w:rPr>
        <w:t xml:space="preserve"> </w:t>
      </w:r>
      <w:r w:rsidRPr="009E3506">
        <w:rPr>
          <w:b/>
          <w:i/>
          <w:lang w:val="es-CO"/>
        </w:rPr>
        <w:t>Ampliaciones de las Instalaciones del STN que se encuentren en servicio.</w:t>
      </w:r>
      <w:r w:rsidR="00082D10">
        <w:rPr>
          <w:b/>
          <w:i/>
          <w:lang w:val="es-CO"/>
        </w:rPr>
        <w:t xml:space="preserve"> </w:t>
      </w:r>
      <w:r w:rsidRPr="009E3506">
        <w:rPr>
          <w:i/>
          <w:lang w:val="es-CO"/>
        </w:rPr>
        <w:t>Los proyectos consistentes en la ampliación de las instalaciones del STN que se encuentren en operación</w:t>
      </w:r>
      <w:r w:rsidR="009E3506">
        <w:rPr>
          <w:i/>
          <w:lang w:val="es-CO"/>
        </w:rPr>
        <w:t>,</w:t>
      </w:r>
      <w:r w:rsidRPr="009E3506">
        <w:rPr>
          <w:i/>
          <w:lang w:val="es-CO"/>
        </w:rPr>
        <w:t xml:space="preserve"> </w:t>
      </w:r>
      <w:r w:rsidR="009E3506" w:rsidRPr="009E3506">
        <w:rPr>
          <w:i/>
          <w:lang w:val="es-CO"/>
        </w:rPr>
        <w:t>tales como:</w:t>
      </w:r>
    </w:p>
    <w:p w:rsidR="009E3506" w:rsidRPr="009E3506" w:rsidRDefault="00C428CE" w:rsidP="009E3506">
      <w:pPr>
        <w:pStyle w:val="Prrafodelista"/>
        <w:numPr>
          <w:ilvl w:val="0"/>
          <w:numId w:val="27"/>
        </w:numPr>
        <w:spacing w:before="120" w:after="120"/>
        <w:ind w:left="1281" w:right="567" w:hanging="357"/>
        <w:rPr>
          <w:i/>
          <w:sz w:val="24"/>
        </w:rPr>
      </w:pPr>
      <w:r w:rsidRPr="009E3506">
        <w:rPr>
          <w:i/>
          <w:sz w:val="24"/>
        </w:rPr>
        <w:t>montaje de nuevos circuitos sobre estructuras existentes, junto con los activos reque</w:t>
      </w:r>
      <w:r w:rsidR="009E3506" w:rsidRPr="009E3506">
        <w:rPr>
          <w:i/>
          <w:sz w:val="24"/>
        </w:rPr>
        <w:t>ridos para su conexión al STN;</w:t>
      </w:r>
    </w:p>
    <w:p w:rsidR="009E3506" w:rsidRPr="009E3506" w:rsidRDefault="00C428CE" w:rsidP="009E3506">
      <w:pPr>
        <w:pStyle w:val="Prrafodelista"/>
        <w:numPr>
          <w:ilvl w:val="0"/>
          <w:numId w:val="27"/>
        </w:numPr>
        <w:spacing w:before="120" w:after="120"/>
        <w:ind w:left="1281" w:right="567" w:hanging="357"/>
        <w:rPr>
          <w:i/>
          <w:sz w:val="24"/>
        </w:rPr>
      </w:pPr>
      <w:r w:rsidRPr="009E3506">
        <w:rPr>
          <w:i/>
          <w:sz w:val="24"/>
        </w:rPr>
        <w:t>cambio en la configuración de subestaciones existentes</w:t>
      </w:r>
      <w:r w:rsidR="009E3506" w:rsidRPr="009E3506">
        <w:rPr>
          <w:i/>
          <w:sz w:val="24"/>
        </w:rPr>
        <w:t>;</w:t>
      </w:r>
    </w:p>
    <w:p w:rsidR="009E3506" w:rsidRPr="000A0067" w:rsidRDefault="002A5ADB" w:rsidP="009E3506">
      <w:pPr>
        <w:pStyle w:val="Prrafodelista"/>
        <w:numPr>
          <w:ilvl w:val="0"/>
          <w:numId w:val="27"/>
        </w:numPr>
        <w:spacing w:before="120" w:after="120"/>
        <w:ind w:left="1281" w:right="567" w:hanging="357"/>
        <w:rPr>
          <w:i/>
          <w:sz w:val="24"/>
        </w:rPr>
      </w:pPr>
      <w:r w:rsidRPr="000A0067">
        <w:rPr>
          <w:i/>
          <w:sz w:val="24"/>
        </w:rPr>
        <w:t xml:space="preserve">montaje de nuevas </w:t>
      </w:r>
      <w:r w:rsidR="009E3506" w:rsidRPr="000A0067">
        <w:rPr>
          <w:i/>
          <w:sz w:val="24"/>
        </w:rPr>
        <w:t>bahías de transformador con tensión igual</w:t>
      </w:r>
      <w:r w:rsidR="00082D10">
        <w:rPr>
          <w:i/>
          <w:sz w:val="24"/>
        </w:rPr>
        <w:t xml:space="preserve"> o superior a 220 kV que utilice</w:t>
      </w:r>
      <w:r w:rsidR="009E3506" w:rsidRPr="000A0067">
        <w:rPr>
          <w:i/>
          <w:sz w:val="24"/>
        </w:rPr>
        <w:t xml:space="preserve"> un Operador de Red para conectarse al STN en subestaciones con configuración de anillo o de interruptor y medio;</w:t>
      </w:r>
    </w:p>
    <w:p w:rsidR="007F0669" w:rsidRPr="009E3506" w:rsidRDefault="007F0669" w:rsidP="007F0669">
      <w:pPr>
        <w:ind w:left="567" w:right="567"/>
        <w:rPr>
          <w:i/>
          <w:lang w:val="es-CO"/>
        </w:rPr>
      </w:pPr>
      <w:proofErr w:type="gramStart"/>
      <w:r>
        <w:rPr>
          <w:i/>
          <w:lang w:val="es-CO"/>
        </w:rPr>
        <w:lastRenderedPageBreak/>
        <w:t>h</w:t>
      </w:r>
      <w:r w:rsidRPr="009E3506">
        <w:rPr>
          <w:i/>
          <w:lang w:val="es-CO"/>
        </w:rPr>
        <w:t>arán</w:t>
      </w:r>
      <w:proofErr w:type="gramEnd"/>
      <w:r w:rsidRPr="009E3506">
        <w:rPr>
          <w:i/>
          <w:lang w:val="es-CO"/>
        </w:rPr>
        <w:t xml:space="preserve"> parte del Plan de Expansión de Referencia</w:t>
      </w:r>
      <w:r>
        <w:rPr>
          <w:i/>
          <w:lang w:val="es-CO"/>
        </w:rPr>
        <w:t>,</w:t>
      </w:r>
      <w:r w:rsidRPr="009E3506">
        <w:rPr>
          <w:i/>
          <w:lang w:val="es-CO"/>
        </w:rPr>
        <w:t xml:space="preserve"> de </w:t>
      </w:r>
      <w:r w:rsidR="00082D10">
        <w:rPr>
          <w:i/>
          <w:lang w:val="es-CO"/>
        </w:rPr>
        <w:t>acuerdo con lo dispuesto en el a</w:t>
      </w:r>
      <w:r w:rsidRPr="009E3506">
        <w:rPr>
          <w:i/>
          <w:lang w:val="es-CO"/>
        </w:rPr>
        <w:t>rtículo 3 de la presente Resolución y en esta medida su</w:t>
      </w:r>
      <w:r w:rsidR="00082D10">
        <w:rPr>
          <w:i/>
          <w:lang w:val="es-CO"/>
        </w:rPr>
        <w:t xml:space="preserve"> ejecución podrá ser objetada. </w:t>
      </w:r>
      <w:r w:rsidRPr="009E3506">
        <w:rPr>
          <w:i/>
          <w:lang w:val="es-CO"/>
        </w:rPr>
        <w:t xml:space="preserve">De ser incluida la respectiva ampliación en el Plan de Expansión de Referencia, será desarrollada por el </w:t>
      </w:r>
      <w:r w:rsidR="00413F53">
        <w:rPr>
          <w:i/>
          <w:lang w:val="es-CO"/>
        </w:rPr>
        <w:t>transmisor que representa</w:t>
      </w:r>
      <w:r>
        <w:rPr>
          <w:i/>
          <w:lang w:val="es-CO"/>
        </w:rPr>
        <w:t xml:space="preserve"> ante el </w:t>
      </w:r>
      <w:r w:rsidRPr="00E32DF9">
        <w:rPr>
          <w:i/>
          <w:lang w:val="es-CO"/>
        </w:rPr>
        <w:t>Liquidador y Administrador de Cuentas</w:t>
      </w:r>
      <w:r w:rsidR="00082D10">
        <w:rPr>
          <w:i/>
          <w:lang w:val="es-CO"/>
        </w:rPr>
        <w:t>,</w:t>
      </w:r>
      <w:r w:rsidRPr="00E32DF9">
        <w:rPr>
          <w:i/>
          <w:lang w:val="es-CO"/>
        </w:rPr>
        <w:t xml:space="preserve"> LAC</w:t>
      </w:r>
      <w:r w:rsidR="00082D10">
        <w:rPr>
          <w:i/>
          <w:lang w:val="es-CO"/>
        </w:rPr>
        <w:t>,</w:t>
      </w:r>
      <w:r>
        <w:rPr>
          <w:i/>
          <w:lang w:val="es-CO"/>
        </w:rPr>
        <w:t xml:space="preserve"> los activos objeto de la ampliación</w:t>
      </w:r>
      <w:r w:rsidRPr="009E3506">
        <w:rPr>
          <w:i/>
          <w:lang w:val="es-CO"/>
        </w:rPr>
        <w:t xml:space="preserve">. En </w:t>
      </w:r>
      <w:r w:rsidRPr="008B55ED">
        <w:rPr>
          <w:i/>
          <w:lang w:val="es-CO"/>
        </w:rPr>
        <w:t>caso que el transmisor</w:t>
      </w:r>
      <w:r>
        <w:rPr>
          <w:i/>
          <w:lang w:val="es-CO"/>
        </w:rPr>
        <w:t xml:space="preserve"> </w:t>
      </w:r>
      <w:r w:rsidRPr="009E3506">
        <w:rPr>
          <w:i/>
          <w:lang w:val="es-CO"/>
        </w:rPr>
        <w:t xml:space="preserve">no desee desarrollar el proyecto, se adelantará un proceso que garantice la libre concurrencia en condiciones de igualdad, cumpliendo con las disposiciones establecidas en el </w:t>
      </w:r>
      <w:r w:rsidR="00082D10">
        <w:rPr>
          <w:i/>
          <w:lang w:val="es-CO"/>
        </w:rPr>
        <w:t>a</w:t>
      </w:r>
      <w:r w:rsidRPr="009E3506">
        <w:rPr>
          <w:i/>
          <w:lang w:val="es-CO"/>
        </w:rPr>
        <w:t xml:space="preserve">rtículo 4 de la presente Resolución. </w:t>
      </w:r>
    </w:p>
    <w:p w:rsidR="007F0669" w:rsidRPr="00C428CE" w:rsidRDefault="007F0669" w:rsidP="007F0669">
      <w:pPr>
        <w:ind w:left="567" w:right="567"/>
        <w:rPr>
          <w:i/>
          <w:lang w:val="es-CO"/>
        </w:rPr>
      </w:pPr>
    </w:p>
    <w:p w:rsidR="007F0669" w:rsidRPr="00C428CE" w:rsidRDefault="007F0669" w:rsidP="007F0669">
      <w:pPr>
        <w:ind w:left="567" w:right="567"/>
        <w:rPr>
          <w:i/>
          <w:lang w:val="es-CO"/>
        </w:rPr>
      </w:pPr>
      <w:r w:rsidRPr="00C428CE">
        <w:rPr>
          <w:b/>
          <w:i/>
          <w:lang w:val="es-CO"/>
        </w:rPr>
        <w:t xml:space="preserve">Parágrafo 1. </w:t>
      </w:r>
      <w:r w:rsidRPr="00C428CE">
        <w:rPr>
          <w:i/>
          <w:lang w:val="es-CO"/>
        </w:rPr>
        <w:t xml:space="preserve">Para </w:t>
      </w:r>
      <w:r w:rsidR="0041617D">
        <w:rPr>
          <w:i/>
          <w:lang w:val="es-CO"/>
        </w:rPr>
        <w:t xml:space="preserve">su </w:t>
      </w:r>
      <w:r w:rsidR="00FF5679">
        <w:rPr>
          <w:i/>
          <w:lang w:val="es-CO"/>
        </w:rPr>
        <w:t>remunera</w:t>
      </w:r>
      <w:r w:rsidR="0041617D">
        <w:rPr>
          <w:i/>
          <w:lang w:val="es-CO"/>
        </w:rPr>
        <w:t>ción,</w:t>
      </w:r>
      <w:r w:rsidRPr="00C428CE">
        <w:rPr>
          <w:i/>
          <w:lang w:val="es-CO"/>
        </w:rPr>
        <w:t xml:space="preserve"> los activos </w:t>
      </w:r>
      <w:r w:rsidR="00FF5679">
        <w:rPr>
          <w:i/>
          <w:lang w:val="es-CO"/>
        </w:rPr>
        <w:t>construidos como ampliaciones del STN se</w:t>
      </w:r>
      <w:r w:rsidRPr="00C428CE">
        <w:rPr>
          <w:i/>
          <w:lang w:val="es-CO"/>
        </w:rPr>
        <w:t xml:space="preserve"> reclasifica</w:t>
      </w:r>
      <w:r w:rsidR="00FF5679">
        <w:rPr>
          <w:i/>
          <w:lang w:val="es-CO"/>
        </w:rPr>
        <w:t>rán</w:t>
      </w:r>
      <w:r w:rsidRPr="00C428CE">
        <w:rPr>
          <w:i/>
          <w:lang w:val="es-CO"/>
        </w:rPr>
        <w:t xml:space="preserve"> según las “Unidades Constructivas” que se hayan definido, cuando éste fuere el caso, y se adicionarán aquellas cuya construcción fue necesaria par</w:t>
      </w:r>
      <w:r w:rsidR="0041617D">
        <w:rPr>
          <w:i/>
          <w:lang w:val="es-CO"/>
        </w:rPr>
        <w:t>a conectar la ampliación al STN y se</w:t>
      </w:r>
      <w:r w:rsidRPr="00C428CE">
        <w:rPr>
          <w:i/>
          <w:lang w:val="es-CO"/>
        </w:rPr>
        <w:t xml:space="preserve"> aplica</w:t>
      </w:r>
      <w:r>
        <w:rPr>
          <w:i/>
          <w:lang w:val="es-CO"/>
        </w:rPr>
        <w:t>rá</w:t>
      </w:r>
      <w:r w:rsidRPr="00C428CE">
        <w:rPr>
          <w:i/>
          <w:lang w:val="es-CO"/>
        </w:rPr>
        <w:t xml:space="preserve"> la metodología </w:t>
      </w:r>
      <w:r>
        <w:rPr>
          <w:i/>
          <w:lang w:val="es-CO"/>
        </w:rPr>
        <w:t>vigente para la remuneración de</w:t>
      </w:r>
      <w:r w:rsidR="00082D10">
        <w:rPr>
          <w:i/>
          <w:lang w:val="es-CO"/>
        </w:rPr>
        <w:t xml:space="preserve"> </w:t>
      </w:r>
      <w:r>
        <w:rPr>
          <w:i/>
          <w:lang w:val="es-CO"/>
        </w:rPr>
        <w:t>la actividad de transmisión.</w:t>
      </w:r>
    </w:p>
    <w:p w:rsidR="007F0669" w:rsidRPr="00C428CE" w:rsidRDefault="007F0669" w:rsidP="007F0669">
      <w:pPr>
        <w:ind w:left="567" w:right="567"/>
        <w:rPr>
          <w:i/>
          <w:lang w:val="es-CO"/>
        </w:rPr>
      </w:pPr>
    </w:p>
    <w:p w:rsidR="007F0669" w:rsidRPr="00C428CE" w:rsidRDefault="007F0669" w:rsidP="007F0669">
      <w:pPr>
        <w:ind w:left="567" w:right="567"/>
        <w:rPr>
          <w:i/>
          <w:lang w:val="es-CO"/>
        </w:rPr>
      </w:pPr>
      <w:r w:rsidRPr="00C428CE">
        <w:rPr>
          <w:b/>
          <w:i/>
          <w:lang w:val="es-CO"/>
        </w:rPr>
        <w:t>Parágrafo 2.</w:t>
      </w:r>
      <w:r w:rsidR="00082D10">
        <w:rPr>
          <w:b/>
          <w:i/>
          <w:lang w:val="es-CO"/>
        </w:rPr>
        <w:t xml:space="preserve"> </w:t>
      </w:r>
      <w:r w:rsidRPr="00C428CE">
        <w:rPr>
          <w:bCs/>
          <w:i/>
          <w:lang w:val="es-CO"/>
        </w:rPr>
        <w:t>La</w:t>
      </w:r>
      <w:r w:rsidRPr="00C428CE">
        <w:rPr>
          <w:b/>
          <w:i/>
          <w:lang w:val="es-CO"/>
        </w:rPr>
        <w:t xml:space="preserve"> </w:t>
      </w:r>
      <w:r w:rsidRPr="00C428CE">
        <w:rPr>
          <w:i/>
          <w:lang w:val="es-CO"/>
        </w:rPr>
        <w:t xml:space="preserve">remuneración de los activos asociados con la ampliación de las instalaciones del STN que se encuentren en operación y que hayan sido ejecutadas por un tercero, mediante el proceso de convocatorias señalado en la presente Resolución, se efectuará de acuerdo con lo previsto </w:t>
      </w:r>
      <w:r w:rsidR="00082D10">
        <w:rPr>
          <w:i/>
          <w:lang w:val="es-CO"/>
        </w:rPr>
        <w:t>en el Literal a) del artículo 4</w:t>
      </w:r>
      <w:r w:rsidRPr="00C428CE">
        <w:rPr>
          <w:i/>
          <w:lang w:val="es-CO"/>
        </w:rPr>
        <w:t xml:space="preserve"> de la presente Resolución.</w:t>
      </w:r>
      <w:r w:rsidR="00082D10">
        <w:rPr>
          <w:i/>
          <w:lang w:val="es-CO"/>
        </w:rPr>
        <w:t xml:space="preserve"> </w:t>
      </w:r>
      <w:r w:rsidRPr="00C428CE">
        <w:rPr>
          <w:i/>
          <w:lang w:val="es-CO"/>
        </w:rPr>
        <w:t xml:space="preserve">Cumplidos los veinticinco (25) años del flujo de Ingresos aprobado por la CREG, el activo se clasificará en la respectiva Unidad Constructiva, y se remunerará de acuerdo con la </w:t>
      </w:r>
      <w:r w:rsidR="00082D10">
        <w:rPr>
          <w:i/>
          <w:lang w:val="es-CO"/>
        </w:rPr>
        <w:t>metodología descrita en el numeral III del literal a) del a</w:t>
      </w:r>
      <w:r w:rsidRPr="00C428CE">
        <w:rPr>
          <w:i/>
          <w:lang w:val="es-CO"/>
        </w:rPr>
        <w:t xml:space="preserve">rtículo 4 de la presente Resolución. </w:t>
      </w:r>
    </w:p>
    <w:p w:rsidR="007F0669" w:rsidRPr="00C428CE" w:rsidRDefault="007F0669" w:rsidP="007F0669">
      <w:pPr>
        <w:ind w:left="567" w:right="567"/>
        <w:rPr>
          <w:i/>
          <w:lang w:val="es-CO"/>
        </w:rPr>
      </w:pPr>
    </w:p>
    <w:p w:rsidR="007F0669" w:rsidRPr="00C428CE" w:rsidRDefault="007F0669" w:rsidP="007F0669">
      <w:pPr>
        <w:ind w:left="567" w:right="567"/>
        <w:rPr>
          <w:i/>
          <w:lang w:val="es-CO"/>
        </w:rPr>
      </w:pPr>
      <w:r w:rsidRPr="00C428CE">
        <w:rPr>
          <w:b/>
          <w:i/>
          <w:lang w:val="es-CO"/>
        </w:rPr>
        <w:t>Parágrafo 3.</w:t>
      </w:r>
      <w:r w:rsidR="00082D10">
        <w:rPr>
          <w:b/>
          <w:i/>
          <w:lang w:val="es-CO"/>
        </w:rPr>
        <w:t xml:space="preserve"> </w:t>
      </w:r>
      <w:r w:rsidRPr="00C428CE">
        <w:rPr>
          <w:i/>
          <w:lang w:val="es-CO"/>
        </w:rPr>
        <w:t>Cada Unidad Constructiva estará representada ante el LAC por un Transmisor Nacional, al cual el LAC le facturará el Ingreso correspondiente.</w:t>
      </w:r>
      <w:r w:rsidR="00082D10">
        <w:rPr>
          <w:i/>
          <w:lang w:val="es-CO"/>
        </w:rPr>
        <w:t xml:space="preserve"> </w:t>
      </w:r>
      <w:r w:rsidRPr="00C428CE">
        <w:rPr>
          <w:i/>
          <w:lang w:val="es-CO"/>
        </w:rPr>
        <w:t>En el caso de que exista multipropiedad al interior de una Unidad Constructiva, los copropietarios deberán acordar la distribución de dicho Ingreso.</w:t>
      </w:r>
    </w:p>
    <w:p w:rsidR="007F0669" w:rsidRPr="00C428CE" w:rsidRDefault="007F0669" w:rsidP="007F0669">
      <w:pPr>
        <w:ind w:left="567" w:right="567"/>
        <w:rPr>
          <w:i/>
          <w:lang w:val="es-CO"/>
        </w:rPr>
      </w:pPr>
    </w:p>
    <w:p w:rsidR="007F0669" w:rsidRPr="00C428CE" w:rsidRDefault="007F0669" w:rsidP="007F0669">
      <w:pPr>
        <w:ind w:left="567" w:right="567"/>
        <w:rPr>
          <w:i/>
          <w:lang w:val="es-CO"/>
        </w:rPr>
      </w:pPr>
      <w:r w:rsidRPr="00C428CE">
        <w:rPr>
          <w:b/>
          <w:i/>
          <w:lang w:val="es-CO"/>
        </w:rPr>
        <w:t>Parágrafo 4</w:t>
      </w:r>
      <w:r w:rsidRPr="00C428CE">
        <w:rPr>
          <w:i/>
          <w:lang w:val="es-CO"/>
        </w:rPr>
        <w:t xml:space="preserve">. Una vez aprobado el Plan de Expansión de </w:t>
      </w:r>
      <w:r>
        <w:rPr>
          <w:i/>
          <w:lang w:val="es-CO"/>
        </w:rPr>
        <w:t>Referencia, la UPME informará al transmisor que representa</w:t>
      </w:r>
      <w:r w:rsidRPr="00C428CE">
        <w:rPr>
          <w:i/>
          <w:lang w:val="es-CO"/>
        </w:rPr>
        <w:t xml:space="preserve"> los respectivos activos sobre los proyectos de ampliación incluidos y la fecha definida en el Plan para la puesta en operación. El </w:t>
      </w:r>
      <w:r>
        <w:rPr>
          <w:i/>
          <w:lang w:val="es-CO"/>
        </w:rPr>
        <w:t xml:space="preserve">transmisor </w:t>
      </w:r>
      <w:r w:rsidRPr="00C428CE">
        <w:rPr>
          <w:i/>
          <w:lang w:val="es-CO"/>
        </w:rPr>
        <w:t xml:space="preserve">deberá manifestar por escrito a la UPME, dentro del término que ésta le señale, si desea desarrollar el respectivo proyecto de ampliación de sus activos, caso en el cual se obligará a ponerlo en operación en la fecha definida en dicho Plan. </w:t>
      </w:r>
    </w:p>
    <w:p w:rsidR="007F0669" w:rsidRPr="00C428CE" w:rsidRDefault="007F0669" w:rsidP="007F0669">
      <w:pPr>
        <w:ind w:left="567" w:right="567"/>
        <w:rPr>
          <w:i/>
          <w:lang w:val="es-CO"/>
        </w:rPr>
      </w:pPr>
    </w:p>
    <w:p w:rsidR="007F0669" w:rsidRPr="00C428CE" w:rsidRDefault="007F0669" w:rsidP="007F0669">
      <w:pPr>
        <w:ind w:left="567" w:right="567"/>
        <w:rPr>
          <w:i/>
          <w:lang w:val="es-CO"/>
        </w:rPr>
      </w:pPr>
      <w:r w:rsidRPr="00C428CE">
        <w:rPr>
          <w:i/>
          <w:lang w:val="es-CO"/>
        </w:rPr>
        <w:t>Si el proyecto no ha entrado en operación a la fecha establecida en el Plan de Expansión</w:t>
      </w:r>
      <w:r w:rsidR="00082D10">
        <w:rPr>
          <w:i/>
          <w:lang w:val="es-CO"/>
        </w:rPr>
        <w:t xml:space="preserve"> de Referencia</w:t>
      </w:r>
      <w:r w:rsidRPr="00C428CE">
        <w:rPr>
          <w:i/>
          <w:lang w:val="es-CO"/>
        </w:rPr>
        <w:t>, el Administrador del Siste</w:t>
      </w:r>
      <w:r w:rsidR="0041617D">
        <w:rPr>
          <w:i/>
          <w:lang w:val="es-CO"/>
        </w:rPr>
        <w:t xml:space="preserve">ma de Intercambios Comerciales, </w:t>
      </w:r>
      <w:r w:rsidRPr="00C428CE">
        <w:rPr>
          <w:i/>
          <w:lang w:val="es-CO"/>
        </w:rPr>
        <w:t>ASIC</w:t>
      </w:r>
      <w:r w:rsidR="0041617D">
        <w:rPr>
          <w:i/>
          <w:lang w:val="es-CO"/>
        </w:rPr>
        <w:t>,</w:t>
      </w:r>
      <w:r w:rsidRPr="00C428CE">
        <w:rPr>
          <w:i/>
          <w:lang w:val="es-CO"/>
        </w:rPr>
        <w:t xml:space="preserve"> facturará al transmisor, mes a mes, durante el período de vigencia del incumplimiento, las cifras que determine como valoración de las generaciones fuera de mérito o de los racionamientos causados por el atraso, hasta tanto entre el proyecto en operación. Estos valores se cruzarán con los ingresos que por concepto de uso del STN facture el Liquidador y Administrador de Cuentas al transmisor.</w:t>
      </w:r>
    </w:p>
    <w:p w:rsidR="007F0669" w:rsidRPr="00C428CE" w:rsidRDefault="007F0669" w:rsidP="007F0669">
      <w:pPr>
        <w:ind w:left="567" w:right="567"/>
        <w:rPr>
          <w:i/>
          <w:lang w:val="es-CO"/>
        </w:rPr>
      </w:pPr>
    </w:p>
    <w:p w:rsidR="007F0669" w:rsidRDefault="007F0669" w:rsidP="007F0669">
      <w:pPr>
        <w:ind w:left="567" w:right="567"/>
        <w:rPr>
          <w:i/>
          <w:lang w:val="es-CO"/>
        </w:rPr>
      </w:pPr>
      <w:r w:rsidRPr="00C428CE">
        <w:rPr>
          <w:i/>
          <w:lang w:val="es-CO"/>
        </w:rPr>
        <w:t xml:space="preserve">La fecha de puesta en operación del proyecto podrá ser modificada por el Ministerio de Minas y Energía cuando ocurran atrasos por fuerza mayor, por alteración </w:t>
      </w:r>
      <w:proofErr w:type="gramStart"/>
      <w:r w:rsidRPr="00C428CE">
        <w:rPr>
          <w:i/>
          <w:lang w:val="es-CO"/>
        </w:rPr>
        <w:t>del orden público acreditada</w:t>
      </w:r>
      <w:proofErr w:type="gramEnd"/>
      <w:r w:rsidRPr="00C428CE">
        <w:rPr>
          <w:i/>
          <w:lang w:val="es-CO"/>
        </w:rPr>
        <w:t>, o por demoras en la expedición de la licencia ambiental, si se requiere, originadas en hechos fuera del control del Transmisor y de su debida diligencia. La modificación de esta fecha se tendrá en cuenta para efectos de la asignación del costo de las generaciones fuera de mérito o de los racionamientos.</w:t>
      </w:r>
    </w:p>
    <w:p w:rsidR="007F0669" w:rsidRDefault="007F0669" w:rsidP="007F0669">
      <w:pPr>
        <w:ind w:left="567" w:right="567"/>
        <w:rPr>
          <w:i/>
          <w:lang w:val="es-CO"/>
        </w:rPr>
      </w:pPr>
    </w:p>
    <w:p w:rsidR="007F0669" w:rsidRPr="00C428CE" w:rsidRDefault="007F0669" w:rsidP="00741A46">
      <w:pPr>
        <w:ind w:left="567" w:right="567"/>
        <w:rPr>
          <w:i/>
          <w:lang w:val="es-CO"/>
        </w:rPr>
      </w:pPr>
      <w:r w:rsidRPr="000A0067">
        <w:rPr>
          <w:b/>
          <w:i/>
          <w:lang w:val="es-CO"/>
        </w:rPr>
        <w:t>Parágrafo 5</w:t>
      </w:r>
      <w:r w:rsidRPr="000A0067">
        <w:rPr>
          <w:i/>
          <w:lang w:val="es-CO"/>
        </w:rPr>
        <w:t xml:space="preserve">. La implementación de las Unidades Constructivas que componen los Centros de </w:t>
      </w:r>
      <w:r w:rsidR="003D59C3">
        <w:rPr>
          <w:i/>
          <w:lang w:val="es-CO"/>
        </w:rPr>
        <w:t xml:space="preserve">Supervisión y Maniobra del STN </w:t>
      </w:r>
      <w:r w:rsidRPr="000A0067">
        <w:rPr>
          <w:i/>
          <w:lang w:val="es-CO"/>
        </w:rPr>
        <w:t>podrá ser adelantada</w:t>
      </w:r>
      <w:r>
        <w:rPr>
          <w:i/>
          <w:lang w:val="es-CO"/>
        </w:rPr>
        <w:t>, como una ampliación,</w:t>
      </w:r>
      <w:r w:rsidRPr="000A0067">
        <w:rPr>
          <w:i/>
          <w:lang w:val="es-CO"/>
        </w:rPr>
        <w:t xml:space="preserve"> por el </w:t>
      </w:r>
      <w:r>
        <w:rPr>
          <w:i/>
          <w:lang w:val="es-CO"/>
        </w:rPr>
        <w:t>transmisor que representa ante el LAC</w:t>
      </w:r>
      <w:r w:rsidRPr="000A0067">
        <w:rPr>
          <w:i/>
          <w:lang w:val="es-CO"/>
        </w:rPr>
        <w:t xml:space="preserve"> la mayor cantidad de activos </w:t>
      </w:r>
      <w:r>
        <w:rPr>
          <w:i/>
          <w:lang w:val="es-CO"/>
        </w:rPr>
        <w:t xml:space="preserve">del STN </w:t>
      </w:r>
      <w:r w:rsidRPr="000A0067">
        <w:rPr>
          <w:i/>
          <w:lang w:val="es-CO"/>
        </w:rPr>
        <w:t>de la subestación, sin necesidad de que esta implementación sea recomendada en el Plan de Expansión de Referencia elaborado por la UPME.”</w:t>
      </w:r>
    </w:p>
    <w:p w:rsidR="00C96392" w:rsidRPr="002A5ADB" w:rsidRDefault="001835D7" w:rsidP="00741A46">
      <w:pPr>
        <w:pStyle w:val="ARTICULOS"/>
        <w:spacing w:before="0"/>
        <w:rPr>
          <w:highlight w:val="yellow"/>
          <w:lang w:val="es-CO"/>
        </w:rPr>
      </w:pPr>
      <w:r w:rsidRPr="001835D7">
        <w:rPr>
          <w:highlight w:val="yellow"/>
          <w:lang w:val="es-CO"/>
        </w:rPr>
        <w:t xml:space="preserve"> </w:t>
      </w:r>
    </w:p>
    <w:p w:rsidR="003A3C84" w:rsidRPr="00061CDC" w:rsidRDefault="003A3C84" w:rsidP="00061CDC">
      <w:pPr>
        <w:pStyle w:val="ARTICULOS"/>
        <w:numPr>
          <w:ilvl w:val="0"/>
          <w:numId w:val="1"/>
        </w:numPr>
        <w:ind w:left="0" w:right="0" w:firstLine="0"/>
      </w:pPr>
      <w:r w:rsidRPr="00061CDC">
        <w:t>La presente Resolución</w:t>
      </w:r>
      <w:r w:rsidRPr="003A3C84">
        <w:t xml:space="preserve"> </w:t>
      </w:r>
      <w:r w:rsidRPr="00061CDC">
        <w:t xml:space="preserve">rige a partir de la fecha de su publicación en el Diario Oficial </w:t>
      </w:r>
      <w:r w:rsidR="00CE0C30">
        <w:t xml:space="preserve">y deroga </w:t>
      </w:r>
      <w:r w:rsidR="00CE0C30" w:rsidRPr="00061CDC">
        <w:t>la Resolución CREG 120 de 2003</w:t>
      </w:r>
      <w:r w:rsidR="00CE0C30" w:rsidRPr="00CE0C30">
        <w:t xml:space="preserve"> </w:t>
      </w:r>
      <w:r w:rsidR="00CE0C30" w:rsidRPr="00061CDC">
        <w:t>y las demás disposiciones que le sean contrarias</w:t>
      </w:r>
      <w:r w:rsidR="007515F9">
        <w:t>.</w:t>
      </w:r>
    </w:p>
    <w:bookmarkEnd w:id="2"/>
    <w:p w:rsidR="00EA00C3" w:rsidRDefault="00EA00C3" w:rsidP="00987B8C">
      <w:pPr>
        <w:rPr>
          <w:rFonts w:cs="Arial"/>
        </w:rPr>
      </w:pPr>
    </w:p>
    <w:p w:rsidR="00CE0C30" w:rsidRPr="008B5666" w:rsidRDefault="00CE0C30" w:rsidP="00987B8C">
      <w:pPr>
        <w:rPr>
          <w:rFonts w:cs="Arial"/>
        </w:rPr>
      </w:pPr>
    </w:p>
    <w:p w:rsidR="000019D2" w:rsidRPr="008B5666" w:rsidRDefault="000019D2" w:rsidP="00987B8C">
      <w:pPr>
        <w:jc w:val="center"/>
        <w:rPr>
          <w:rFonts w:cs="Arial"/>
          <w:b/>
        </w:rPr>
      </w:pPr>
      <w:r w:rsidRPr="008B5666">
        <w:rPr>
          <w:rFonts w:cs="Arial"/>
          <w:b/>
        </w:rPr>
        <w:t>PUBLÍQUESE Y CÚMPLASE</w:t>
      </w:r>
    </w:p>
    <w:p w:rsidR="00622144" w:rsidRPr="008B5666" w:rsidRDefault="00622144" w:rsidP="00987B8C">
      <w:pPr>
        <w:rPr>
          <w:rFonts w:cs="Arial"/>
        </w:rPr>
      </w:pPr>
    </w:p>
    <w:p w:rsidR="000019D2" w:rsidRPr="008B5666" w:rsidRDefault="000019D2" w:rsidP="00987B8C">
      <w:pPr>
        <w:rPr>
          <w:rFonts w:cs="Arial"/>
        </w:rPr>
      </w:pPr>
      <w:r w:rsidRPr="008B5666">
        <w:rPr>
          <w:rFonts w:cs="Arial"/>
        </w:rPr>
        <w:t>Dada en Bogotá, a los</w:t>
      </w:r>
    </w:p>
    <w:p w:rsidR="000019D2" w:rsidRPr="008B5666" w:rsidRDefault="000019D2" w:rsidP="00987B8C">
      <w:pPr>
        <w:rPr>
          <w:rFonts w:cs="Arial"/>
        </w:rPr>
      </w:pPr>
    </w:p>
    <w:p w:rsidR="000019D2" w:rsidRPr="008B5666" w:rsidRDefault="000019D2" w:rsidP="00987B8C">
      <w:pPr>
        <w:rPr>
          <w:rFonts w:cs="Arial"/>
        </w:rPr>
      </w:pPr>
    </w:p>
    <w:p w:rsidR="000019D2" w:rsidRPr="008B5666" w:rsidRDefault="000019D2" w:rsidP="00987B8C">
      <w:pPr>
        <w:rPr>
          <w:rFonts w:cs="Arial"/>
        </w:rPr>
      </w:pPr>
    </w:p>
    <w:p w:rsidR="000019D2" w:rsidRPr="008B5666" w:rsidRDefault="000019D2" w:rsidP="00987B8C">
      <w:pPr>
        <w:rPr>
          <w:rFonts w:cs="Arial"/>
        </w:rPr>
      </w:pPr>
    </w:p>
    <w:p w:rsidR="000019D2" w:rsidRPr="008B5666" w:rsidRDefault="000019D2" w:rsidP="00987B8C">
      <w:pPr>
        <w:tabs>
          <w:tab w:val="left" w:pos="-720"/>
        </w:tabs>
        <w:suppressAutoHyphens/>
        <w:rPr>
          <w:rFonts w:cs="Arial"/>
        </w:rPr>
      </w:pPr>
    </w:p>
    <w:tbl>
      <w:tblPr>
        <w:tblW w:w="0" w:type="auto"/>
        <w:jc w:val="center"/>
        <w:tblCellSpacing w:w="0" w:type="dxa"/>
        <w:tblInd w:w="-233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38"/>
        <w:gridCol w:w="4265"/>
      </w:tblGrid>
      <w:tr w:rsidR="008B5666" w:rsidRPr="008B5666" w:rsidTr="0045054F">
        <w:trPr>
          <w:tblCellSpacing w:w="0" w:type="dxa"/>
          <w:jc w:val="center"/>
        </w:trPr>
        <w:tc>
          <w:tcPr>
            <w:tcW w:w="4938" w:type="dxa"/>
          </w:tcPr>
          <w:p w:rsidR="000019D2" w:rsidRPr="008B5666" w:rsidRDefault="006B5FCF" w:rsidP="00987B8C">
            <w:pPr>
              <w:ind w:left="66"/>
              <w:jc w:val="center"/>
              <w:rPr>
                <w:rFonts w:cs="Arial"/>
                <w:b/>
                <w:spacing w:val="-3"/>
              </w:rPr>
            </w:pPr>
            <w:r w:rsidRPr="008B5666">
              <w:rPr>
                <w:rFonts w:cs="Arial"/>
                <w:b/>
                <w:spacing w:val="-3"/>
              </w:rPr>
              <w:t>TOMÁS GONZÁLEZ ESTRADA</w:t>
            </w:r>
          </w:p>
        </w:tc>
        <w:tc>
          <w:tcPr>
            <w:tcW w:w="4265" w:type="dxa"/>
          </w:tcPr>
          <w:p w:rsidR="000019D2" w:rsidRPr="008B5666" w:rsidRDefault="000019D2" w:rsidP="00987B8C">
            <w:pPr>
              <w:ind w:left="89"/>
              <w:jc w:val="center"/>
              <w:rPr>
                <w:rFonts w:eastAsia="Arial Unicode MS" w:cs="Arial"/>
                <w:b/>
                <w:bCs/>
              </w:rPr>
            </w:pPr>
            <w:r w:rsidRPr="008B5666">
              <w:rPr>
                <w:rFonts w:cs="Arial"/>
                <w:b/>
                <w:spacing w:val="-3"/>
              </w:rPr>
              <w:t>JAVIER AUGUSTO DÍAZ VELASCO</w:t>
            </w:r>
          </w:p>
        </w:tc>
      </w:tr>
      <w:tr w:rsidR="008B5666" w:rsidRPr="008B5666" w:rsidTr="0045054F">
        <w:trPr>
          <w:tblCellSpacing w:w="0" w:type="dxa"/>
          <w:jc w:val="center"/>
        </w:trPr>
        <w:tc>
          <w:tcPr>
            <w:tcW w:w="4938" w:type="dxa"/>
          </w:tcPr>
          <w:p w:rsidR="000019D2" w:rsidRPr="008B5666" w:rsidRDefault="000019D2" w:rsidP="00987B8C">
            <w:pPr>
              <w:tabs>
                <w:tab w:val="left" w:pos="-720"/>
              </w:tabs>
              <w:suppressAutoHyphens/>
              <w:ind w:left="66"/>
              <w:jc w:val="center"/>
              <w:rPr>
                <w:rFonts w:cs="Arial"/>
                <w:spacing w:val="-3"/>
              </w:rPr>
            </w:pPr>
            <w:r w:rsidRPr="008B5666">
              <w:rPr>
                <w:rFonts w:cs="Arial"/>
                <w:spacing w:val="-3"/>
              </w:rPr>
              <w:t>Viceministr</w:t>
            </w:r>
            <w:r w:rsidR="006B5FCF" w:rsidRPr="008B5666">
              <w:rPr>
                <w:rFonts w:cs="Arial"/>
                <w:spacing w:val="-3"/>
              </w:rPr>
              <w:t>o</w:t>
            </w:r>
            <w:r w:rsidRPr="008B5666">
              <w:rPr>
                <w:rFonts w:cs="Arial"/>
                <w:spacing w:val="-3"/>
              </w:rPr>
              <w:t xml:space="preserve"> de Minas y Energía</w:t>
            </w:r>
          </w:p>
          <w:p w:rsidR="000019D2" w:rsidRPr="008B5666" w:rsidRDefault="000019D2" w:rsidP="00987B8C">
            <w:pPr>
              <w:ind w:left="66"/>
              <w:jc w:val="center"/>
              <w:rPr>
                <w:rFonts w:eastAsia="Arial Unicode MS" w:cs="Arial"/>
              </w:rPr>
            </w:pPr>
            <w:r w:rsidRPr="008B5666">
              <w:rPr>
                <w:rFonts w:cs="Arial"/>
                <w:spacing w:val="-3"/>
              </w:rPr>
              <w:t>Delegad</w:t>
            </w:r>
            <w:r w:rsidR="006B5FCF" w:rsidRPr="008B5666">
              <w:rPr>
                <w:rFonts w:cs="Arial"/>
                <w:spacing w:val="-3"/>
              </w:rPr>
              <w:t>o</w:t>
            </w:r>
            <w:r w:rsidRPr="008B5666">
              <w:rPr>
                <w:rFonts w:cs="Arial"/>
                <w:spacing w:val="-3"/>
              </w:rPr>
              <w:t xml:space="preserve"> del Ministro de Minas y Energía</w:t>
            </w:r>
          </w:p>
        </w:tc>
        <w:tc>
          <w:tcPr>
            <w:tcW w:w="4265" w:type="dxa"/>
          </w:tcPr>
          <w:p w:rsidR="000019D2" w:rsidRPr="008B5666" w:rsidRDefault="000019D2" w:rsidP="00987B8C">
            <w:pPr>
              <w:jc w:val="center"/>
              <w:rPr>
                <w:rFonts w:eastAsia="Arial Unicode MS" w:cs="Arial"/>
              </w:rPr>
            </w:pPr>
            <w:r w:rsidRPr="008B5666">
              <w:rPr>
                <w:rFonts w:cs="Arial"/>
                <w:spacing w:val="-3"/>
              </w:rPr>
              <w:t xml:space="preserve">Director Ejecutivo </w:t>
            </w:r>
          </w:p>
        </w:tc>
      </w:tr>
      <w:tr w:rsidR="008B5666" w:rsidRPr="008B5666" w:rsidTr="0045054F">
        <w:trPr>
          <w:tblCellSpacing w:w="0" w:type="dxa"/>
          <w:jc w:val="center"/>
        </w:trPr>
        <w:tc>
          <w:tcPr>
            <w:tcW w:w="4938" w:type="dxa"/>
          </w:tcPr>
          <w:p w:rsidR="000019D2" w:rsidRPr="008B5666" w:rsidRDefault="000019D2" w:rsidP="00987B8C">
            <w:pPr>
              <w:ind w:left="66"/>
              <w:jc w:val="center"/>
              <w:rPr>
                <w:rFonts w:eastAsia="Arial Unicode MS" w:cs="Arial"/>
              </w:rPr>
            </w:pPr>
            <w:r w:rsidRPr="008B5666">
              <w:rPr>
                <w:rFonts w:cs="Arial"/>
                <w:spacing w:val="-3"/>
              </w:rPr>
              <w:t>Presidente</w:t>
            </w:r>
          </w:p>
        </w:tc>
        <w:tc>
          <w:tcPr>
            <w:tcW w:w="4265" w:type="dxa"/>
          </w:tcPr>
          <w:p w:rsidR="000019D2" w:rsidRPr="008B5666" w:rsidRDefault="000019D2" w:rsidP="00987B8C">
            <w:pPr>
              <w:jc w:val="center"/>
              <w:rPr>
                <w:rFonts w:eastAsia="Arial Unicode MS" w:cs="Arial"/>
              </w:rPr>
            </w:pPr>
          </w:p>
        </w:tc>
      </w:tr>
    </w:tbl>
    <w:p w:rsidR="00D1111E" w:rsidRDefault="00D1111E" w:rsidP="00987B8C">
      <w:pPr>
        <w:pStyle w:val="Sinespaciado"/>
        <w:jc w:val="both"/>
        <w:rPr>
          <w:rFonts w:ascii="Bookman Old Style" w:hAnsi="Bookman Old Style" w:cs="Arial"/>
          <w:b/>
          <w:sz w:val="24"/>
          <w:szCs w:val="24"/>
        </w:rPr>
      </w:pPr>
    </w:p>
    <w:p w:rsidR="00400D27" w:rsidRDefault="00400D27">
      <w:pPr>
        <w:jc w:val="left"/>
        <w:rPr>
          <w:rFonts w:cs="Arial"/>
          <w:b/>
        </w:rPr>
      </w:pPr>
    </w:p>
    <w:p w:rsidR="00D1111E" w:rsidRDefault="00D1111E" w:rsidP="000071D8">
      <w:pPr>
        <w:jc w:val="left"/>
        <w:rPr>
          <w:rFonts w:cs="Arial"/>
          <w:b/>
          <w:lang w:eastAsia="en-US"/>
        </w:rPr>
      </w:pPr>
    </w:p>
    <w:sectPr w:rsidR="00D1111E" w:rsidSect="005A59EF">
      <w:headerReference w:type="default" r:id="rId11"/>
      <w:headerReference w:type="first" r:id="rId12"/>
      <w:type w:val="continuous"/>
      <w:pgSz w:w="12242" w:h="18722" w:code="123"/>
      <w:pgMar w:top="2341" w:right="1185" w:bottom="175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679" w:rsidRDefault="00FF5679">
      <w:r>
        <w:separator/>
      </w:r>
    </w:p>
    <w:p w:rsidR="00FF5679" w:rsidRDefault="00FF5679"/>
  </w:endnote>
  <w:endnote w:type="continuationSeparator" w:id="0">
    <w:p w:rsidR="00FF5679" w:rsidRDefault="00FF5679">
      <w:r>
        <w:continuationSeparator/>
      </w:r>
    </w:p>
    <w:p w:rsidR="00FF5679" w:rsidRDefault="00FF56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679" w:rsidRDefault="00FF5679">
      <w:r>
        <w:separator/>
      </w:r>
    </w:p>
    <w:p w:rsidR="00FF5679" w:rsidRDefault="00FF5679"/>
  </w:footnote>
  <w:footnote w:type="continuationSeparator" w:id="0">
    <w:p w:rsidR="00FF5679" w:rsidRDefault="00FF5679">
      <w:r>
        <w:continuationSeparator/>
      </w:r>
    </w:p>
    <w:p w:rsidR="00FF5679" w:rsidRDefault="00FF567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679" w:rsidRDefault="00FF5679" w:rsidP="009966A2">
    <w:pPr>
      <w:pStyle w:val="Ttulo1"/>
    </w:pPr>
  </w:p>
  <w:p w:rsidR="00FF5679" w:rsidRPr="00951F79" w:rsidRDefault="00FF5679" w:rsidP="00AC0D00">
    <w:r w:rsidRPr="00654384">
      <w:t>RESOLUCIÓN No.</w:t>
    </w:r>
    <w:r>
      <w:t xml:space="preserve"> ________________</w:t>
    </w:r>
    <w:r w:rsidRPr="00654384">
      <w:tab/>
    </w:r>
    <w:r>
      <w:t>DE ________________</w:t>
    </w:r>
    <w:r>
      <w:tab/>
    </w:r>
    <w:r w:rsidRPr="00654384">
      <w:t xml:space="preserve">HOJA No. </w:t>
    </w:r>
    <w:r>
      <w:fldChar w:fldCharType="begin"/>
    </w:r>
    <w:r>
      <w:instrText xml:space="preserve"> PAGE   \* MERGEFORMAT </w:instrText>
    </w:r>
    <w:r>
      <w:fldChar w:fldCharType="separate"/>
    </w:r>
    <w:r w:rsidR="00A266B2">
      <w:rPr>
        <w:noProof/>
      </w:rPr>
      <w:t>4</w:t>
    </w:r>
    <w:r>
      <w:rPr>
        <w:noProof/>
      </w:rPr>
      <w:fldChar w:fldCharType="end"/>
    </w:r>
    <w:r w:rsidRPr="00654384">
      <w:t>/</w:t>
    </w:r>
    <w:r w:rsidR="00A266B2">
      <w:fldChar w:fldCharType="begin"/>
    </w:r>
    <w:r w:rsidR="00A266B2">
      <w:instrText xml:space="preserve"> NUMPAGES  \* MERGEFORMAT </w:instrText>
    </w:r>
    <w:r w:rsidR="00A266B2">
      <w:fldChar w:fldCharType="separate"/>
    </w:r>
    <w:r w:rsidR="00A266B2">
      <w:rPr>
        <w:noProof/>
      </w:rPr>
      <w:t>4</w:t>
    </w:r>
    <w:r w:rsidR="00A266B2">
      <w:rPr>
        <w:noProof/>
      </w:rPr>
      <w:fldChar w:fldCharType="end"/>
    </w:r>
  </w:p>
  <w:p w:rsidR="00FF5679" w:rsidRDefault="00FF5679" w:rsidP="00AD01E4">
    <w:pPr>
      <w:ind w:left="142" w:right="148"/>
      <w:rPr>
        <w:rFonts w:cs="Arial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BBD0D82" wp14:editId="5EBC11CF">
              <wp:simplePos x="0" y="0"/>
              <wp:positionH relativeFrom="column">
                <wp:posOffset>-175260</wp:posOffset>
              </wp:positionH>
              <wp:positionV relativeFrom="paragraph">
                <wp:posOffset>139065</wp:posOffset>
              </wp:positionV>
              <wp:extent cx="6267450" cy="9900920"/>
              <wp:effectExtent l="0" t="0" r="19050" b="2413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267450" cy="990092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13.8pt;margin-top:10.95pt;width:493.5pt;height:779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" filled="f" strokeweight="1.5pt"/>
          </w:pict>
        </mc:Fallback>
      </mc:AlternateContent>
    </w:r>
  </w:p>
  <w:p w:rsidR="00FF5679" w:rsidRDefault="00FF5679" w:rsidP="000E0FC4">
    <w:pPr>
      <w:pBdr>
        <w:bottom w:val="single" w:sz="4" w:space="1" w:color="auto"/>
      </w:pBdr>
    </w:pPr>
  </w:p>
  <w:p w:rsidR="00FF5679" w:rsidRPr="00741A46" w:rsidRDefault="00DF67F6" w:rsidP="00741A46">
    <w:pPr>
      <w:pBdr>
        <w:bottom w:val="single" w:sz="4" w:space="1" w:color="auto"/>
      </w:pBdr>
      <w:jc w:val="center"/>
      <w:rPr>
        <w:sz w:val="22"/>
        <w:szCs w:val="22"/>
      </w:rPr>
    </w:pPr>
    <w:r>
      <w:rPr>
        <w:sz w:val="22"/>
        <w:szCs w:val="22"/>
      </w:rPr>
      <w:t>Por la cual se modifica el a</w:t>
    </w:r>
    <w:r w:rsidR="00FF5679" w:rsidRPr="00741A46">
      <w:rPr>
        <w:sz w:val="22"/>
        <w:szCs w:val="22"/>
      </w:rPr>
      <w:t>rtículo 6 de la Resolución CREG 022 de 2001</w:t>
    </w:r>
  </w:p>
  <w:p w:rsidR="00FF5679" w:rsidRPr="000E0FC4" w:rsidRDefault="00FF5679" w:rsidP="000E0FC4">
    <w:pPr>
      <w:pBdr>
        <w:bottom w:val="single" w:sz="4" w:space="1" w:color="auto"/>
      </w:pBdr>
      <w:rPr>
        <w:b/>
        <w:sz w:val="20"/>
        <w:szCs w:val="20"/>
      </w:rPr>
    </w:pPr>
  </w:p>
  <w:p w:rsidR="00FF5679" w:rsidRPr="00B31E21" w:rsidRDefault="00FF5679" w:rsidP="00B31E21">
    <w:pPr>
      <w:tabs>
        <w:tab w:val="left" w:pos="2910"/>
      </w:tabs>
      <w:ind w:right="148"/>
      <w:rPr>
        <w:b/>
        <w:sz w:val="2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679" w:rsidRDefault="00FF5679" w:rsidP="00E131A0">
    <w:pPr>
      <w:pStyle w:val="Encabezado"/>
      <w:tabs>
        <w:tab w:val="clear" w:pos="4252"/>
        <w:tab w:val="center" w:pos="4678"/>
      </w:tabs>
      <w:jc w:val="center"/>
      <w:rPr>
        <w:rFonts w:ascii="Arial" w:hAnsi="Arial" w:cs="Arial"/>
        <w:spacing w:val="20"/>
        <w:sz w:val="20"/>
      </w:rPr>
    </w:pPr>
    <w:r>
      <w:rPr>
        <w:rFonts w:ascii="Arial" w:hAnsi="Arial" w:cs="Arial"/>
        <w:spacing w:val="20"/>
        <w:sz w:val="20"/>
      </w:rPr>
      <w:t>República de Colombia</w:t>
    </w:r>
  </w:p>
  <w:p w:rsidR="00FF5679" w:rsidRDefault="00FF5679">
    <w:pPr>
      <w:pStyle w:val="Encabezado"/>
      <w:jc w:val="center"/>
      <w:rPr>
        <w:rFonts w:ascii="Arial" w:hAnsi="Arial" w:cs="Arial"/>
        <w:spacing w:val="20"/>
        <w:sz w:val="20"/>
      </w:rPr>
    </w:pPr>
  </w:p>
  <w:p w:rsidR="00FF5679" w:rsidRDefault="00FF5679" w:rsidP="00CA77FB">
    <w:pPr>
      <w:pStyle w:val="Encabezado"/>
      <w:jc w:val="center"/>
    </w:pPr>
    <w:r>
      <w:rPr>
        <w:rFonts w:ascii="Arial" w:hAnsi="Arial" w:cs="Arial"/>
        <w:noProof/>
        <w:spacing w:val="20"/>
        <w:sz w:val="20"/>
        <w:lang w:eastAsia="es-C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06BDB43" wp14:editId="44C748EB">
              <wp:simplePos x="0" y="0"/>
              <wp:positionH relativeFrom="column">
                <wp:posOffset>-213360</wp:posOffset>
              </wp:positionH>
              <wp:positionV relativeFrom="paragraph">
                <wp:posOffset>377190</wp:posOffset>
              </wp:positionV>
              <wp:extent cx="6343650" cy="9839325"/>
              <wp:effectExtent l="0" t="0" r="19050" b="28575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43650" cy="9839325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-16.8pt;margin-top:29.7pt;width:499.5pt;height:77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0FB3C71"/>
    <w:multiLevelType w:val="hybridMultilevel"/>
    <w:tmpl w:val="E114710E"/>
    <w:lvl w:ilvl="0" w:tplc="240A0017">
      <w:start w:val="1"/>
      <w:numFmt w:val="lowerLetter"/>
      <w:lvlText w:val="%1)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0A7696"/>
    <w:multiLevelType w:val="hybridMultilevel"/>
    <w:tmpl w:val="2F0E7416"/>
    <w:lvl w:ilvl="0" w:tplc="24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7621E4"/>
    <w:multiLevelType w:val="hybridMultilevel"/>
    <w:tmpl w:val="B4C8E3E2"/>
    <w:lvl w:ilvl="0" w:tplc="0C0A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>
    <w:nsid w:val="1828743B"/>
    <w:multiLevelType w:val="hybridMultilevel"/>
    <w:tmpl w:val="B4C8E3E2"/>
    <w:lvl w:ilvl="0" w:tplc="0C0A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>
    <w:nsid w:val="20576F08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1CC0EA6"/>
    <w:multiLevelType w:val="hybridMultilevel"/>
    <w:tmpl w:val="75E2C6CA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B0E55B0"/>
    <w:multiLevelType w:val="hybridMultilevel"/>
    <w:tmpl w:val="0588945C"/>
    <w:lvl w:ilvl="0" w:tplc="0AA24E14">
      <w:start w:val="1"/>
      <w:numFmt w:val="upperRoman"/>
      <w:lvlText w:val="CAPÍTULO %1"/>
      <w:lvlJc w:val="center"/>
      <w:pPr>
        <w:ind w:left="720" w:hanging="360"/>
      </w:pPr>
      <w:rPr>
        <w:rFonts w:hint="default"/>
        <w:lang w:val="es-ES"/>
      </w:rPr>
    </w:lvl>
    <w:lvl w:ilvl="1" w:tplc="B0C28A80">
      <w:start w:val="1"/>
      <w:numFmt w:val="lowerLetter"/>
      <w:lvlText w:val="%2."/>
      <w:lvlJc w:val="left"/>
      <w:pPr>
        <w:ind w:left="1440" w:hanging="360"/>
      </w:pPr>
    </w:lvl>
    <w:lvl w:ilvl="2" w:tplc="E8E437FE" w:tentative="1">
      <w:start w:val="1"/>
      <w:numFmt w:val="lowerRoman"/>
      <w:lvlText w:val="%3."/>
      <w:lvlJc w:val="right"/>
      <w:pPr>
        <w:ind w:left="2160" w:hanging="180"/>
      </w:pPr>
    </w:lvl>
    <w:lvl w:ilvl="3" w:tplc="69741FD8" w:tentative="1">
      <w:start w:val="1"/>
      <w:numFmt w:val="decimal"/>
      <w:lvlText w:val="%4."/>
      <w:lvlJc w:val="left"/>
      <w:pPr>
        <w:ind w:left="2880" w:hanging="360"/>
      </w:pPr>
    </w:lvl>
    <w:lvl w:ilvl="4" w:tplc="00E8FBFE" w:tentative="1">
      <w:start w:val="1"/>
      <w:numFmt w:val="lowerLetter"/>
      <w:lvlText w:val="%5."/>
      <w:lvlJc w:val="left"/>
      <w:pPr>
        <w:ind w:left="3600" w:hanging="360"/>
      </w:pPr>
    </w:lvl>
    <w:lvl w:ilvl="5" w:tplc="EEFE1832" w:tentative="1">
      <w:start w:val="1"/>
      <w:numFmt w:val="lowerRoman"/>
      <w:lvlText w:val="%6."/>
      <w:lvlJc w:val="right"/>
      <w:pPr>
        <w:ind w:left="4320" w:hanging="180"/>
      </w:pPr>
    </w:lvl>
    <w:lvl w:ilvl="6" w:tplc="BAC831D4" w:tentative="1">
      <w:start w:val="1"/>
      <w:numFmt w:val="decimal"/>
      <w:lvlText w:val="%7."/>
      <w:lvlJc w:val="left"/>
      <w:pPr>
        <w:ind w:left="5040" w:hanging="360"/>
      </w:pPr>
    </w:lvl>
    <w:lvl w:ilvl="7" w:tplc="F38E459A" w:tentative="1">
      <w:start w:val="1"/>
      <w:numFmt w:val="lowerLetter"/>
      <w:lvlText w:val="%8."/>
      <w:lvlJc w:val="left"/>
      <w:pPr>
        <w:ind w:left="5760" w:hanging="360"/>
      </w:pPr>
    </w:lvl>
    <w:lvl w:ilvl="8" w:tplc="8F203B2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52480F"/>
    <w:multiLevelType w:val="hybridMultilevel"/>
    <w:tmpl w:val="B4C8E3E2"/>
    <w:lvl w:ilvl="0" w:tplc="0C0A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9">
    <w:nsid w:val="41547454"/>
    <w:multiLevelType w:val="hybridMultilevel"/>
    <w:tmpl w:val="5B0EAA7C"/>
    <w:lvl w:ilvl="0" w:tplc="C0C00ADE"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716DE4"/>
    <w:multiLevelType w:val="hybridMultilevel"/>
    <w:tmpl w:val="21A4DF94"/>
    <w:lvl w:ilvl="0" w:tplc="0C0A0017">
      <w:start w:val="1"/>
      <w:numFmt w:val="lowerLetter"/>
      <w:lvlText w:val="%1)"/>
      <w:lvlJc w:val="left"/>
      <w:pPr>
        <w:ind w:left="1425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48437619"/>
    <w:multiLevelType w:val="hybridMultilevel"/>
    <w:tmpl w:val="D8BC46FE"/>
    <w:lvl w:ilvl="0" w:tplc="D934227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2C76B56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54A15E3B"/>
    <w:multiLevelType w:val="hybridMultilevel"/>
    <w:tmpl w:val="B4C8E3E2"/>
    <w:lvl w:ilvl="0" w:tplc="0C0A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>
    <w:nsid w:val="569B475F"/>
    <w:multiLevelType w:val="singleLevel"/>
    <w:tmpl w:val="A0F2F798"/>
    <w:lvl w:ilvl="0">
      <w:start w:val="1"/>
      <w:numFmt w:val="lowerLetter"/>
      <w:lvlText w:val="%1)"/>
      <w:lvlJc w:val="left"/>
      <w:pPr>
        <w:tabs>
          <w:tab w:val="num" w:pos="1140"/>
        </w:tabs>
        <w:ind w:left="1140" w:hanging="420"/>
      </w:pPr>
      <w:rPr>
        <w:rFonts w:hint="default"/>
        <w:i w:val="0"/>
      </w:rPr>
    </w:lvl>
  </w:abstractNum>
  <w:abstractNum w:abstractNumId="15">
    <w:nsid w:val="57423BAF"/>
    <w:multiLevelType w:val="hybridMultilevel"/>
    <w:tmpl w:val="C5001782"/>
    <w:lvl w:ilvl="0" w:tplc="24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9D63DA5"/>
    <w:multiLevelType w:val="hybridMultilevel"/>
    <w:tmpl w:val="33DAC0F6"/>
    <w:lvl w:ilvl="0" w:tplc="240A0017">
      <w:start w:val="1"/>
      <w:numFmt w:val="lowerLetter"/>
      <w:lvlText w:val="%1)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C34078D"/>
    <w:multiLevelType w:val="hybridMultilevel"/>
    <w:tmpl w:val="B4C8E3E2"/>
    <w:lvl w:ilvl="0" w:tplc="0C0A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8">
    <w:nsid w:val="5DF2609F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9">
    <w:nsid w:val="625F1068"/>
    <w:multiLevelType w:val="hybridMultilevel"/>
    <w:tmpl w:val="B4C8E3E2"/>
    <w:lvl w:ilvl="0" w:tplc="0C0A0017">
      <w:start w:val="1"/>
      <w:numFmt w:val="lowerLetter"/>
      <w:lvlText w:val="%1)"/>
      <w:lvlJc w:val="left"/>
      <w:pPr>
        <w:tabs>
          <w:tab w:val="num" w:pos="1425"/>
        </w:tabs>
        <w:ind w:left="1425" w:hanging="360"/>
      </w:p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0">
    <w:nsid w:val="635460B6"/>
    <w:multiLevelType w:val="hybridMultilevel"/>
    <w:tmpl w:val="0882D20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4806038"/>
    <w:multiLevelType w:val="multilevel"/>
    <w:tmpl w:val="25B27908"/>
    <w:lvl w:ilvl="0">
      <w:start w:val="4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653D3289"/>
    <w:multiLevelType w:val="hybridMultilevel"/>
    <w:tmpl w:val="D4348AEE"/>
    <w:lvl w:ilvl="0" w:tplc="0C0A0017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674D411F"/>
    <w:multiLevelType w:val="hybridMultilevel"/>
    <w:tmpl w:val="082A82F0"/>
    <w:lvl w:ilvl="0" w:tplc="240A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276671D"/>
    <w:multiLevelType w:val="hybridMultilevel"/>
    <w:tmpl w:val="6E60D92E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432BD8"/>
    <w:multiLevelType w:val="hybridMultilevel"/>
    <w:tmpl w:val="6E843112"/>
    <w:lvl w:ilvl="0" w:tplc="03A66D6E">
      <w:start w:val="1"/>
      <w:numFmt w:val="decimal"/>
      <w:lvlText w:val="Artículo %1."/>
      <w:lvlJc w:val="left"/>
      <w:pPr>
        <w:ind w:left="360" w:hanging="360"/>
      </w:pPr>
      <w:rPr>
        <w:rFonts w:ascii="Bookman Old Style" w:hAnsi="Bookman Old Style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DFAE9A9E">
      <w:start w:val="1"/>
      <w:numFmt w:val="decimal"/>
      <w:lvlText w:val="%4."/>
      <w:lvlJc w:val="left"/>
      <w:pPr>
        <w:ind w:left="3285" w:hanging="765"/>
      </w:pPr>
      <w:rPr>
        <w:rFonts w:hint="default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AD5B72"/>
    <w:multiLevelType w:val="hybridMultilevel"/>
    <w:tmpl w:val="BC28003A"/>
    <w:lvl w:ilvl="0" w:tplc="240A0017">
      <w:start w:val="1"/>
      <w:numFmt w:val="lowerLetter"/>
      <w:lvlText w:val="%1)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5"/>
  </w:num>
  <w:num w:numId="2">
    <w:abstractNumId w:val="7"/>
  </w:num>
  <w:num w:numId="3">
    <w:abstractNumId w:val="5"/>
  </w:num>
  <w:num w:numId="4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5">
    <w:abstractNumId w:val="26"/>
  </w:num>
  <w:num w:numId="6">
    <w:abstractNumId w:val="16"/>
  </w:num>
  <w:num w:numId="7">
    <w:abstractNumId w:val="11"/>
  </w:num>
  <w:num w:numId="8">
    <w:abstractNumId w:val="12"/>
  </w:num>
  <w:num w:numId="9">
    <w:abstractNumId w:val="4"/>
  </w:num>
  <w:num w:numId="10">
    <w:abstractNumId w:val="17"/>
  </w:num>
  <w:num w:numId="11">
    <w:abstractNumId w:val="21"/>
  </w:num>
  <w:num w:numId="12">
    <w:abstractNumId w:val="19"/>
  </w:num>
  <w:num w:numId="13">
    <w:abstractNumId w:val="3"/>
  </w:num>
  <w:num w:numId="14">
    <w:abstractNumId w:val="13"/>
  </w:num>
  <w:num w:numId="15">
    <w:abstractNumId w:val="8"/>
  </w:num>
  <w:num w:numId="16">
    <w:abstractNumId w:val="6"/>
  </w:num>
  <w:num w:numId="17">
    <w:abstractNumId w:val="22"/>
  </w:num>
  <w:num w:numId="18">
    <w:abstractNumId w:val="10"/>
  </w:num>
  <w:num w:numId="19">
    <w:abstractNumId w:val="18"/>
  </w:num>
  <w:num w:numId="20">
    <w:abstractNumId w:val="14"/>
  </w:num>
  <w:num w:numId="21">
    <w:abstractNumId w:val="9"/>
  </w:num>
  <w:num w:numId="22">
    <w:abstractNumId w:val="20"/>
  </w:num>
  <w:num w:numId="23">
    <w:abstractNumId w:val="1"/>
  </w:num>
  <w:num w:numId="24">
    <w:abstractNumId w:val="24"/>
  </w:num>
  <w:num w:numId="25">
    <w:abstractNumId w:val="2"/>
  </w:num>
  <w:num w:numId="26">
    <w:abstractNumId w:val="15"/>
  </w:num>
  <w:num w:numId="27">
    <w:abstractNumId w:val="23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340"/>
    <w:rsid w:val="000019D2"/>
    <w:rsid w:val="00006AE2"/>
    <w:rsid w:val="000071D8"/>
    <w:rsid w:val="000076A1"/>
    <w:rsid w:val="00010A4F"/>
    <w:rsid w:val="00012259"/>
    <w:rsid w:val="000223C5"/>
    <w:rsid w:val="0002285B"/>
    <w:rsid w:val="0002321C"/>
    <w:rsid w:val="00025383"/>
    <w:rsid w:val="00026F69"/>
    <w:rsid w:val="00035E68"/>
    <w:rsid w:val="000410B0"/>
    <w:rsid w:val="00043D78"/>
    <w:rsid w:val="00044495"/>
    <w:rsid w:val="00052BD6"/>
    <w:rsid w:val="00052DD7"/>
    <w:rsid w:val="00053811"/>
    <w:rsid w:val="0005433C"/>
    <w:rsid w:val="00056AD8"/>
    <w:rsid w:val="00061CDC"/>
    <w:rsid w:val="00063657"/>
    <w:rsid w:val="000658F9"/>
    <w:rsid w:val="00065CFE"/>
    <w:rsid w:val="00070F0B"/>
    <w:rsid w:val="00076591"/>
    <w:rsid w:val="00076680"/>
    <w:rsid w:val="00076E5F"/>
    <w:rsid w:val="0008073E"/>
    <w:rsid w:val="00082D10"/>
    <w:rsid w:val="00082D6A"/>
    <w:rsid w:val="00083878"/>
    <w:rsid w:val="00091CDB"/>
    <w:rsid w:val="000A0067"/>
    <w:rsid w:val="000A19AC"/>
    <w:rsid w:val="000A65C1"/>
    <w:rsid w:val="000B7B4A"/>
    <w:rsid w:val="000C103F"/>
    <w:rsid w:val="000C4942"/>
    <w:rsid w:val="000C6F75"/>
    <w:rsid w:val="000D26F8"/>
    <w:rsid w:val="000D2FF4"/>
    <w:rsid w:val="000E0FC4"/>
    <w:rsid w:val="000E67C0"/>
    <w:rsid w:val="000E7D99"/>
    <w:rsid w:val="00103215"/>
    <w:rsid w:val="00103C82"/>
    <w:rsid w:val="0010770B"/>
    <w:rsid w:val="00134D4E"/>
    <w:rsid w:val="001405C6"/>
    <w:rsid w:val="00141013"/>
    <w:rsid w:val="00141505"/>
    <w:rsid w:val="00145D02"/>
    <w:rsid w:val="001471D6"/>
    <w:rsid w:val="001506F7"/>
    <w:rsid w:val="00152703"/>
    <w:rsid w:val="00153ACA"/>
    <w:rsid w:val="001541AC"/>
    <w:rsid w:val="00156029"/>
    <w:rsid w:val="00157448"/>
    <w:rsid w:val="00170726"/>
    <w:rsid w:val="00171985"/>
    <w:rsid w:val="00172720"/>
    <w:rsid w:val="0017382C"/>
    <w:rsid w:val="00173D1E"/>
    <w:rsid w:val="00182D47"/>
    <w:rsid w:val="001835D7"/>
    <w:rsid w:val="00191EA9"/>
    <w:rsid w:val="00192CBF"/>
    <w:rsid w:val="00192FF1"/>
    <w:rsid w:val="00193717"/>
    <w:rsid w:val="00194938"/>
    <w:rsid w:val="0019662F"/>
    <w:rsid w:val="001A0E23"/>
    <w:rsid w:val="001A278E"/>
    <w:rsid w:val="001A5F1B"/>
    <w:rsid w:val="001B1C22"/>
    <w:rsid w:val="001B34C6"/>
    <w:rsid w:val="001B3565"/>
    <w:rsid w:val="001C296B"/>
    <w:rsid w:val="001C3479"/>
    <w:rsid w:val="001C584C"/>
    <w:rsid w:val="001D2898"/>
    <w:rsid w:val="001D5B38"/>
    <w:rsid w:val="001D7832"/>
    <w:rsid w:val="001E3B1A"/>
    <w:rsid w:val="001F7AD4"/>
    <w:rsid w:val="00200699"/>
    <w:rsid w:val="00206176"/>
    <w:rsid w:val="00206347"/>
    <w:rsid w:val="00211D34"/>
    <w:rsid w:val="00214F04"/>
    <w:rsid w:val="00216664"/>
    <w:rsid w:val="00216CDF"/>
    <w:rsid w:val="00221E03"/>
    <w:rsid w:val="0022290C"/>
    <w:rsid w:val="00223C88"/>
    <w:rsid w:val="002261AB"/>
    <w:rsid w:val="002273E9"/>
    <w:rsid w:val="00227944"/>
    <w:rsid w:val="002404FC"/>
    <w:rsid w:val="00242E4E"/>
    <w:rsid w:val="00243B18"/>
    <w:rsid w:val="00247D0F"/>
    <w:rsid w:val="00251AC5"/>
    <w:rsid w:val="00257163"/>
    <w:rsid w:val="00261292"/>
    <w:rsid w:val="002613B8"/>
    <w:rsid w:val="002627F9"/>
    <w:rsid w:val="002648C0"/>
    <w:rsid w:val="00266CD6"/>
    <w:rsid w:val="00276A2D"/>
    <w:rsid w:val="002A26FA"/>
    <w:rsid w:val="002A28B8"/>
    <w:rsid w:val="002A5ADB"/>
    <w:rsid w:val="002A5F75"/>
    <w:rsid w:val="002B11E2"/>
    <w:rsid w:val="002B24B8"/>
    <w:rsid w:val="002B3720"/>
    <w:rsid w:val="002B4634"/>
    <w:rsid w:val="002C405B"/>
    <w:rsid w:val="002C4723"/>
    <w:rsid w:val="002C7801"/>
    <w:rsid w:val="002D0D6A"/>
    <w:rsid w:val="002D3AE9"/>
    <w:rsid w:val="002E1127"/>
    <w:rsid w:val="002F0060"/>
    <w:rsid w:val="002F0734"/>
    <w:rsid w:val="002F0F42"/>
    <w:rsid w:val="002F2DCD"/>
    <w:rsid w:val="002F46E7"/>
    <w:rsid w:val="002F57D9"/>
    <w:rsid w:val="002F5B14"/>
    <w:rsid w:val="00304C7B"/>
    <w:rsid w:val="003101DA"/>
    <w:rsid w:val="00314757"/>
    <w:rsid w:val="0031694F"/>
    <w:rsid w:val="0031780D"/>
    <w:rsid w:val="003211CE"/>
    <w:rsid w:val="00322A3D"/>
    <w:rsid w:val="00333D73"/>
    <w:rsid w:val="003340F8"/>
    <w:rsid w:val="00335481"/>
    <w:rsid w:val="00335AA2"/>
    <w:rsid w:val="0034425B"/>
    <w:rsid w:val="00346247"/>
    <w:rsid w:val="00347C36"/>
    <w:rsid w:val="00360B45"/>
    <w:rsid w:val="0036394B"/>
    <w:rsid w:val="00363D4F"/>
    <w:rsid w:val="00366C36"/>
    <w:rsid w:val="00366E8A"/>
    <w:rsid w:val="003709B5"/>
    <w:rsid w:val="00371DC7"/>
    <w:rsid w:val="003759C2"/>
    <w:rsid w:val="0039264E"/>
    <w:rsid w:val="00392C68"/>
    <w:rsid w:val="00392D66"/>
    <w:rsid w:val="00397365"/>
    <w:rsid w:val="003A05D1"/>
    <w:rsid w:val="003A0794"/>
    <w:rsid w:val="003A0DF1"/>
    <w:rsid w:val="003A31F6"/>
    <w:rsid w:val="003A3C84"/>
    <w:rsid w:val="003A436B"/>
    <w:rsid w:val="003A6113"/>
    <w:rsid w:val="003B2E43"/>
    <w:rsid w:val="003B3395"/>
    <w:rsid w:val="003B730B"/>
    <w:rsid w:val="003C12F7"/>
    <w:rsid w:val="003C3447"/>
    <w:rsid w:val="003C7954"/>
    <w:rsid w:val="003D076C"/>
    <w:rsid w:val="003D2C92"/>
    <w:rsid w:val="003D2EB2"/>
    <w:rsid w:val="003D42DE"/>
    <w:rsid w:val="003D59C3"/>
    <w:rsid w:val="003F1511"/>
    <w:rsid w:val="003F1632"/>
    <w:rsid w:val="003F36B0"/>
    <w:rsid w:val="003F5565"/>
    <w:rsid w:val="003F5DAE"/>
    <w:rsid w:val="003F67E1"/>
    <w:rsid w:val="00400D27"/>
    <w:rsid w:val="004015AC"/>
    <w:rsid w:val="004032DD"/>
    <w:rsid w:val="00405480"/>
    <w:rsid w:val="0041059F"/>
    <w:rsid w:val="00413F53"/>
    <w:rsid w:val="00414331"/>
    <w:rsid w:val="00415BAB"/>
    <w:rsid w:val="00415ED2"/>
    <w:rsid w:val="0041617D"/>
    <w:rsid w:val="00417805"/>
    <w:rsid w:val="0042068C"/>
    <w:rsid w:val="00422C9D"/>
    <w:rsid w:val="004254EE"/>
    <w:rsid w:val="00444E0A"/>
    <w:rsid w:val="0045054F"/>
    <w:rsid w:val="004509B9"/>
    <w:rsid w:val="00450C5A"/>
    <w:rsid w:val="00453010"/>
    <w:rsid w:val="00455692"/>
    <w:rsid w:val="00457B8C"/>
    <w:rsid w:val="0047122B"/>
    <w:rsid w:val="00471A22"/>
    <w:rsid w:val="00473212"/>
    <w:rsid w:val="00473B7A"/>
    <w:rsid w:val="00487A56"/>
    <w:rsid w:val="0049271C"/>
    <w:rsid w:val="004951BE"/>
    <w:rsid w:val="004960E9"/>
    <w:rsid w:val="00497EB8"/>
    <w:rsid w:val="004A030F"/>
    <w:rsid w:val="004A2369"/>
    <w:rsid w:val="004A2E88"/>
    <w:rsid w:val="004A5305"/>
    <w:rsid w:val="004B518C"/>
    <w:rsid w:val="004B6AEE"/>
    <w:rsid w:val="004C06D9"/>
    <w:rsid w:val="004C7A0A"/>
    <w:rsid w:val="004D371B"/>
    <w:rsid w:val="004D7634"/>
    <w:rsid w:val="004E0AE2"/>
    <w:rsid w:val="004E6E94"/>
    <w:rsid w:val="004E7B65"/>
    <w:rsid w:val="004F28D6"/>
    <w:rsid w:val="004F559B"/>
    <w:rsid w:val="004F6628"/>
    <w:rsid w:val="00503CED"/>
    <w:rsid w:val="005070F9"/>
    <w:rsid w:val="00507699"/>
    <w:rsid w:val="005121F7"/>
    <w:rsid w:val="00513804"/>
    <w:rsid w:val="005164B3"/>
    <w:rsid w:val="005255D9"/>
    <w:rsid w:val="005300D3"/>
    <w:rsid w:val="005333EC"/>
    <w:rsid w:val="0054014B"/>
    <w:rsid w:val="00544F82"/>
    <w:rsid w:val="00571A7A"/>
    <w:rsid w:val="00572592"/>
    <w:rsid w:val="0057394A"/>
    <w:rsid w:val="0057462F"/>
    <w:rsid w:val="00583ADA"/>
    <w:rsid w:val="005874DF"/>
    <w:rsid w:val="005910E0"/>
    <w:rsid w:val="00593C4F"/>
    <w:rsid w:val="0059405A"/>
    <w:rsid w:val="005942DE"/>
    <w:rsid w:val="005946A8"/>
    <w:rsid w:val="005947F4"/>
    <w:rsid w:val="005953E8"/>
    <w:rsid w:val="00595E08"/>
    <w:rsid w:val="005973FE"/>
    <w:rsid w:val="005A34F2"/>
    <w:rsid w:val="005A4407"/>
    <w:rsid w:val="005A59EF"/>
    <w:rsid w:val="005B3747"/>
    <w:rsid w:val="005C0670"/>
    <w:rsid w:val="005C3FC9"/>
    <w:rsid w:val="005E2464"/>
    <w:rsid w:val="005E3646"/>
    <w:rsid w:val="005E3FAD"/>
    <w:rsid w:val="005E7C42"/>
    <w:rsid w:val="005F174E"/>
    <w:rsid w:val="005F5CCF"/>
    <w:rsid w:val="00604ED3"/>
    <w:rsid w:val="006117D7"/>
    <w:rsid w:val="00612CC6"/>
    <w:rsid w:val="00615D2F"/>
    <w:rsid w:val="00622144"/>
    <w:rsid w:val="00625DC6"/>
    <w:rsid w:val="006303BA"/>
    <w:rsid w:val="006348DB"/>
    <w:rsid w:val="00637D0F"/>
    <w:rsid w:val="00645344"/>
    <w:rsid w:val="00647A0D"/>
    <w:rsid w:val="00650324"/>
    <w:rsid w:val="00651821"/>
    <w:rsid w:val="00654384"/>
    <w:rsid w:val="006675CD"/>
    <w:rsid w:val="0067012B"/>
    <w:rsid w:val="00670298"/>
    <w:rsid w:val="0067276D"/>
    <w:rsid w:val="00673C78"/>
    <w:rsid w:val="00682113"/>
    <w:rsid w:val="00684D9B"/>
    <w:rsid w:val="00687FB1"/>
    <w:rsid w:val="006906E1"/>
    <w:rsid w:val="006912B6"/>
    <w:rsid w:val="00691D0D"/>
    <w:rsid w:val="00697556"/>
    <w:rsid w:val="006A0FE5"/>
    <w:rsid w:val="006A4259"/>
    <w:rsid w:val="006A5AE3"/>
    <w:rsid w:val="006A6493"/>
    <w:rsid w:val="006A7A08"/>
    <w:rsid w:val="006B031F"/>
    <w:rsid w:val="006B4C2B"/>
    <w:rsid w:val="006B5FCF"/>
    <w:rsid w:val="006B6B29"/>
    <w:rsid w:val="006B6D47"/>
    <w:rsid w:val="006C086E"/>
    <w:rsid w:val="006C25F3"/>
    <w:rsid w:val="006C7BE9"/>
    <w:rsid w:val="006D1165"/>
    <w:rsid w:val="006D383D"/>
    <w:rsid w:val="006D48B0"/>
    <w:rsid w:val="006E2305"/>
    <w:rsid w:val="006E710B"/>
    <w:rsid w:val="006F28F9"/>
    <w:rsid w:val="006F6D95"/>
    <w:rsid w:val="007032B9"/>
    <w:rsid w:val="00706F13"/>
    <w:rsid w:val="007072E8"/>
    <w:rsid w:val="00713917"/>
    <w:rsid w:val="00715DE6"/>
    <w:rsid w:val="0071618D"/>
    <w:rsid w:val="007164B3"/>
    <w:rsid w:val="00716A18"/>
    <w:rsid w:val="00721D06"/>
    <w:rsid w:val="00725FA4"/>
    <w:rsid w:val="007351E2"/>
    <w:rsid w:val="00737EAD"/>
    <w:rsid w:val="00740446"/>
    <w:rsid w:val="00741A46"/>
    <w:rsid w:val="007438A9"/>
    <w:rsid w:val="0074491E"/>
    <w:rsid w:val="007515F9"/>
    <w:rsid w:val="00760DD7"/>
    <w:rsid w:val="007646B4"/>
    <w:rsid w:val="00767E7E"/>
    <w:rsid w:val="00771B8B"/>
    <w:rsid w:val="00772476"/>
    <w:rsid w:val="00775964"/>
    <w:rsid w:val="007800F2"/>
    <w:rsid w:val="00781F6A"/>
    <w:rsid w:val="0079479C"/>
    <w:rsid w:val="00795BFB"/>
    <w:rsid w:val="007A62E8"/>
    <w:rsid w:val="007A740C"/>
    <w:rsid w:val="007B2760"/>
    <w:rsid w:val="007B6EC5"/>
    <w:rsid w:val="007C093A"/>
    <w:rsid w:val="007C75D1"/>
    <w:rsid w:val="007D014C"/>
    <w:rsid w:val="007D1773"/>
    <w:rsid w:val="007E7108"/>
    <w:rsid w:val="007F0669"/>
    <w:rsid w:val="007F1372"/>
    <w:rsid w:val="007F584D"/>
    <w:rsid w:val="00801718"/>
    <w:rsid w:val="00806C01"/>
    <w:rsid w:val="00812AD0"/>
    <w:rsid w:val="008148CC"/>
    <w:rsid w:val="0081540B"/>
    <w:rsid w:val="008211A4"/>
    <w:rsid w:val="00841840"/>
    <w:rsid w:val="0084462B"/>
    <w:rsid w:val="008475D6"/>
    <w:rsid w:val="00851DCB"/>
    <w:rsid w:val="00866312"/>
    <w:rsid w:val="008666E2"/>
    <w:rsid w:val="008711AF"/>
    <w:rsid w:val="00873150"/>
    <w:rsid w:val="00873159"/>
    <w:rsid w:val="008764D0"/>
    <w:rsid w:val="0087657D"/>
    <w:rsid w:val="008807D5"/>
    <w:rsid w:val="00880832"/>
    <w:rsid w:val="00882A08"/>
    <w:rsid w:val="00882B99"/>
    <w:rsid w:val="00885E2F"/>
    <w:rsid w:val="00886EE1"/>
    <w:rsid w:val="0088727D"/>
    <w:rsid w:val="00887ADF"/>
    <w:rsid w:val="00890251"/>
    <w:rsid w:val="008918AF"/>
    <w:rsid w:val="0089236F"/>
    <w:rsid w:val="00893454"/>
    <w:rsid w:val="00897C75"/>
    <w:rsid w:val="008A4D0F"/>
    <w:rsid w:val="008B04C7"/>
    <w:rsid w:val="008B5666"/>
    <w:rsid w:val="008C1130"/>
    <w:rsid w:val="008C62EA"/>
    <w:rsid w:val="008D18E6"/>
    <w:rsid w:val="008D378E"/>
    <w:rsid w:val="008D3B62"/>
    <w:rsid w:val="008D3D81"/>
    <w:rsid w:val="008D671C"/>
    <w:rsid w:val="008D7A9B"/>
    <w:rsid w:val="008E3444"/>
    <w:rsid w:val="008E7B22"/>
    <w:rsid w:val="008F21F6"/>
    <w:rsid w:val="008F4649"/>
    <w:rsid w:val="0091040D"/>
    <w:rsid w:val="009160FF"/>
    <w:rsid w:val="00916C88"/>
    <w:rsid w:val="00923312"/>
    <w:rsid w:val="009272AD"/>
    <w:rsid w:val="00931C18"/>
    <w:rsid w:val="009470A1"/>
    <w:rsid w:val="00947CE0"/>
    <w:rsid w:val="00951F79"/>
    <w:rsid w:val="009533B6"/>
    <w:rsid w:val="00956677"/>
    <w:rsid w:val="00963610"/>
    <w:rsid w:val="009644CC"/>
    <w:rsid w:val="0096704B"/>
    <w:rsid w:val="009671A8"/>
    <w:rsid w:val="00970652"/>
    <w:rsid w:val="00974AB5"/>
    <w:rsid w:val="0098706D"/>
    <w:rsid w:val="00987B8C"/>
    <w:rsid w:val="009935FB"/>
    <w:rsid w:val="00995857"/>
    <w:rsid w:val="009966A2"/>
    <w:rsid w:val="00996E4C"/>
    <w:rsid w:val="009B4ADC"/>
    <w:rsid w:val="009C28B0"/>
    <w:rsid w:val="009D05C6"/>
    <w:rsid w:val="009D135E"/>
    <w:rsid w:val="009D2E3F"/>
    <w:rsid w:val="009D6F14"/>
    <w:rsid w:val="009E3506"/>
    <w:rsid w:val="009E41A1"/>
    <w:rsid w:val="009E6CD4"/>
    <w:rsid w:val="009F4A54"/>
    <w:rsid w:val="009F4BEC"/>
    <w:rsid w:val="009F7358"/>
    <w:rsid w:val="009F7E0F"/>
    <w:rsid w:val="00A00721"/>
    <w:rsid w:val="00A00CEE"/>
    <w:rsid w:val="00A14876"/>
    <w:rsid w:val="00A162F2"/>
    <w:rsid w:val="00A240C0"/>
    <w:rsid w:val="00A25FD7"/>
    <w:rsid w:val="00A266B2"/>
    <w:rsid w:val="00A2706A"/>
    <w:rsid w:val="00A35D3E"/>
    <w:rsid w:val="00A43AFF"/>
    <w:rsid w:val="00A534E6"/>
    <w:rsid w:val="00A6064B"/>
    <w:rsid w:val="00A67ACA"/>
    <w:rsid w:val="00A7420B"/>
    <w:rsid w:val="00A74364"/>
    <w:rsid w:val="00A7793A"/>
    <w:rsid w:val="00A80222"/>
    <w:rsid w:val="00AA3FF2"/>
    <w:rsid w:val="00AA6551"/>
    <w:rsid w:val="00AB308E"/>
    <w:rsid w:val="00AB6CA7"/>
    <w:rsid w:val="00AC0D00"/>
    <w:rsid w:val="00AC6A5D"/>
    <w:rsid w:val="00AC734B"/>
    <w:rsid w:val="00AD01E4"/>
    <w:rsid w:val="00AD0858"/>
    <w:rsid w:val="00AE459F"/>
    <w:rsid w:val="00AE7340"/>
    <w:rsid w:val="00AF0D9A"/>
    <w:rsid w:val="00AF1BBD"/>
    <w:rsid w:val="00AF2C9E"/>
    <w:rsid w:val="00AF5395"/>
    <w:rsid w:val="00AF6796"/>
    <w:rsid w:val="00B005F9"/>
    <w:rsid w:val="00B0314D"/>
    <w:rsid w:val="00B036BC"/>
    <w:rsid w:val="00B10090"/>
    <w:rsid w:val="00B10207"/>
    <w:rsid w:val="00B141E7"/>
    <w:rsid w:val="00B22CE5"/>
    <w:rsid w:val="00B27732"/>
    <w:rsid w:val="00B31E21"/>
    <w:rsid w:val="00B45BD2"/>
    <w:rsid w:val="00B46BCA"/>
    <w:rsid w:val="00B600F6"/>
    <w:rsid w:val="00B72668"/>
    <w:rsid w:val="00B80804"/>
    <w:rsid w:val="00B85562"/>
    <w:rsid w:val="00B86E01"/>
    <w:rsid w:val="00B87806"/>
    <w:rsid w:val="00B87EC9"/>
    <w:rsid w:val="00B9025A"/>
    <w:rsid w:val="00BA52DF"/>
    <w:rsid w:val="00BB5B61"/>
    <w:rsid w:val="00BB6419"/>
    <w:rsid w:val="00BB6604"/>
    <w:rsid w:val="00BC0D45"/>
    <w:rsid w:val="00BC370E"/>
    <w:rsid w:val="00BC38FD"/>
    <w:rsid w:val="00BD0000"/>
    <w:rsid w:val="00BD1783"/>
    <w:rsid w:val="00BD3D42"/>
    <w:rsid w:val="00BF41AD"/>
    <w:rsid w:val="00BF7656"/>
    <w:rsid w:val="00C034CB"/>
    <w:rsid w:val="00C051A8"/>
    <w:rsid w:val="00C054BC"/>
    <w:rsid w:val="00C0696B"/>
    <w:rsid w:val="00C116FD"/>
    <w:rsid w:val="00C154CB"/>
    <w:rsid w:val="00C17897"/>
    <w:rsid w:val="00C31C0E"/>
    <w:rsid w:val="00C33FA3"/>
    <w:rsid w:val="00C35DAE"/>
    <w:rsid w:val="00C409D5"/>
    <w:rsid w:val="00C428CE"/>
    <w:rsid w:val="00C43B97"/>
    <w:rsid w:val="00C551E4"/>
    <w:rsid w:val="00C6234B"/>
    <w:rsid w:val="00C63EAE"/>
    <w:rsid w:val="00C71E26"/>
    <w:rsid w:val="00C7629F"/>
    <w:rsid w:val="00C84B25"/>
    <w:rsid w:val="00C8661B"/>
    <w:rsid w:val="00C9012D"/>
    <w:rsid w:val="00C903A1"/>
    <w:rsid w:val="00C96392"/>
    <w:rsid w:val="00CA139A"/>
    <w:rsid w:val="00CA2899"/>
    <w:rsid w:val="00CA50B3"/>
    <w:rsid w:val="00CA77FB"/>
    <w:rsid w:val="00CB20D6"/>
    <w:rsid w:val="00CB379B"/>
    <w:rsid w:val="00CB579D"/>
    <w:rsid w:val="00CB5DD0"/>
    <w:rsid w:val="00CB5F13"/>
    <w:rsid w:val="00CC3674"/>
    <w:rsid w:val="00CC4810"/>
    <w:rsid w:val="00CC51D4"/>
    <w:rsid w:val="00CC65DA"/>
    <w:rsid w:val="00CD6086"/>
    <w:rsid w:val="00CE0C30"/>
    <w:rsid w:val="00CE4D61"/>
    <w:rsid w:val="00CF21B9"/>
    <w:rsid w:val="00CF6BF9"/>
    <w:rsid w:val="00D03800"/>
    <w:rsid w:val="00D065D3"/>
    <w:rsid w:val="00D10F9B"/>
    <w:rsid w:val="00D1111E"/>
    <w:rsid w:val="00D14C94"/>
    <w:rsid w:val="00D25DB3"/>
    <w:rsid w:val="00D314FF"/>
    <w:rsid w:val="00D342A6"/>
    <w:rsid w:val="00D379CE"/>
    <w:rsid w:val="00D44EA5"/>
    <w:rsid w:val="00D45782"/>
    <w:rsid w:val="00D464BF"/>
    <w:rsid w:val="00D53AB0"/>
    <w:rsid w:val="00D53E26"/>
    <w:rsid w:val="00D6361B"/>
    <w:rsid w:val="00D84815"/>
    <w:rsid w:val="00D84C87"/>
    <w:rsid w:val="00DA01A3"/>
    <w:rsid w:val="00DA3E8A"/>
    <w:rsid w:val="00DB286D"/>
    <w:rsid w:val="00DD4F0E"/>
    <w:rsid w:val="00DE181E"/>
    <w:rsid w:val="00DE7931"/>
    <w:rsid w:val="00DF4F50"/>
    <w:rsid w:val="00DF67F6"/>
    <w:rsid w:val="00E05E0A"/>
    <w:rsid w:val="00E10A6D"/>
    <w:rsid w:val="00E11E02"/>
    <w:rsid w:val="00E131A0"/>
    <w:rsid w:val="00E36D5B"/>
    <w:rsid w:val="00E3727D"/>
    <w:rsid w:val="00E45ED5"/>
    <w:rsid w:val="00E534CF"/>
    <w:rsid w:val="00E550B2"/>
    <w:rsid w:val="00E56F40"/>
    <w:rsid w:val="00E605A9"/>
    <w:rsid w:val="00E72A79"/>
    <w:rsid w:val="00E76F3E"/>
    <w:rsid w:val="00E81CB4"/>
    <w:rsid w:val="00E8585B"/>
    <w:rsid w:val="00E875B2"/>
    <w:rsid w:val="00E93752"/>
    <w:rsid w:val="00EA00C3"/>
    <w:rsid w:val="00EA2735"/>
    <w:rsid w:val="00EA3F15"/>
    <w:rsid w:val="00EA51CC"/>
    <w:rsid w:val="00EA6092"/>
    <w:rsid w:val="00EA7847"/>
    <w:rsid w:val="00EB4CE1"/>
    <w:rsid w:val="00EB6233"/>
    <w:rsid w:val="00EC3802"/>
    <w:rsid w:val="00EC38F7"/>
    <w:rsid w:val="00EC58E2"/>
    <w:rsid w:val="00EC6C59"/>
    <w:rsid w:val="00ED1EA4"/>
    <w:rsid w:val="00ED3720"/>
    <w:rsid w:val="00EE2E6E"/>
    <w:rsid w:val="00EF7E0B"/>
    <w:rsid w:val="00F05A50"/>
    <w:rsid w:val="00F066DD"/>
    <w:rsid w:val="00F0759E"/>
    <w:rsid w:val="00F07A92"/>
    <w:rsid w:val="00F110EF"/>
    <w:rsid w:val="00F14807"/>
    <w:rsid w:val="00F16D38"/>
    <w:rsid w:val="00F23F47"/>
    <w:rsid w:val="00F34AB8"/>
    <w:rsid w:val="00F36612"/>
    <w:rsid w:val="00F52651"/>
    <w:rsid w:val="00F61B65"/>
    <w:rsid w:val="00F74A00"/>
    <w:rsid w:val="00F821A3"/>
    <w:rsid w:val="00F839C3"/>
    <w:rsid w:val="00F877C0"/>
    <w:rsid w:val="00F9314A"/>
    <w:rsid w:val="00F94D23"/>
    <w:rsid w:val="00FA1CB4"/>
    <w:rsid w:val="00FA3498"/>
    <w:rsid w:val="00FA418B"/>
    <w:rsid w:val="00FB2CE4"/>
    <w:rsid w:val="00FC1703"/>
    <w:rsid w:val="00FC58EF"/>
    <w:rsid w:val="00FD1592"/>
    <w:rsid w:val="00FD33DF"/>
    <w:rsid w:val="00FD5FC1"/>
    <w:rsid w:val="00FE089E"/>
    <w:rsid w:val="00FE39D7"/>
    <w:rsid w:val="00FE4596"/>
    <w:rsid w:val="00FF5679"/>
    <w:rsid w:val="00FF56DB"/>
    <w:rsid w:val="00FF6452"/>
    <w:rsid w:val="00FF6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/>
    <w:lsdException w:name="Default Paragraph Font" w:uiPriority="1"/>
    <w:lsdException w:name="Body Text" w:uiPriority="0"/>
    <w:lsdException w:name="Subtitle" w:semiHidden="0" w:uiPriority="0" w:unhideWhenUsed="0"/>
    <w:lsdException w:name="Body Tex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6A2"/>
    <w:pPr>
      <w:jc w:val="both"/>
    </w:pPr>
    <w:rPr>
      <w:rFonts w:ascii="Bookman Old Style" w:hAnsi="Bookman Old Style"/>
      <w:sz w:val="24"/>
      <w:szCs w:val="24"/>
    </w:rPr>
  </w:style>
  <w:style w:type="paragraph" w:styleId="Ttulo1">
    <w:name w:val="heading 1"/>
    <w:aliases w:val="Capítulo"/>
    <w:basedOn w:val="Normal"/>
    <w:next w:val="Normal"/>
    <w:link w:val="Ttulo1Car"/>
    <w:qFormat/>
    <w:rsid w:val="003A05D1"/>
    <w:pPr>
      <w:jc w:val="center"/>
      <w:outlineLvl w:val="0"/>
    </w:pPr>
    <w:rPr>
      <w:b/>
      <w:lang w:val="es-CO"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rsid w:val="003A05D1"/>
    <w:pPr>
      <w:outlineLvl w:val="1"/>
    </w:pPr>
  </w:style>
  <w:style w:type="paragraph" w:styleId="Ttulo3">
    <w:name w:val="heading 3"/>
    <w:basedOn w:val="Normal"/>
    <w:next w:val="Normal"/>
    <w:link w:val="Ttulo3Car"/>
    <w:qFormat/>
    <w:rsid w:val="003101DA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95BF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</w:pPr>
    <w:rPr>
      <w:rFonts w:ascii="CG Times" w:hAnsi="CG Times"/>
      <w:szCs w:val="20"/>
      <w:lang w:val="es-CO"/>
    </w:rPr>
  </w:style>
  <w:style w:type="paragraph" w:styleId="Piedepgina">
    <w:name w:val="footer"/>
    <w:basedOn w:val="Normal"/>
    <w:link w:val="PiedepginaCar"/>
    <w:semiHidden/>
    <w:rsid w:val="003101DA"/>
    <w:pPr>
      <w:tabs>
        <w:tab w:val="center" w:pos="4252"/>
        <w:tab w:val="right" w:pos="8504"/>
      </w:tabs>
    </w:pPr>
  </w:style>
  <w:style w:type="paragraph" w:customStyle="1" w:styleId="Estilo1">
    <w:name w:val="Estilo1"/>
    <w:basedOn w:val="Normal"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</w:rPr>
  </w:style>
  <w:style w:type="character" w:styleId="Nmerodepgina">
    <w:name w:val="page number"/>
    <w:basedOn w:val="Fuentedeprrafopredeter"/>
    <w:semiHidden/>
    <w:rsid w:val="003101DA"/>
  </w:style>
  <w:style w:type="paragraph" w:styleId="Textoindependiente">
    <w:name w:val="Body Text"/>
    <w:basedOn w:val="Normal"/>
    <w:link w:val="TextoindependienteCar"/>
    <w:semiHidden/>
    <w:rsid w:val="003101DA"/>
    <w:pPr>
      <w:jc w:val="center"/>
    </w:pPr>
    <w:rPr>
      <w:rFonts w:ascii="Arial" w:hAnsi="Arial" w:cs="Arial"/>
      <w:b/>
      <w:bCs/>
    </w:rPr>
  </w:style>
  <w:style w:type="paragraph" w:styleId="Textoindependiente3">
    <w:name w:val="Body Text 3"/>
    <w:basedOn w:val="Normal"/>
    <w:link w:val="Textoindependiente3Car"/>
    <w:semiHidden/>
    <w:rsid w:val="003101DA"/>
    <w:pPr>
      <w:jc w:val="center"/>
      <w:outlineLvl w:val="0"/>
    </w:pPr>
    <w:rPr>
      <w:rFonts w:ascii="Arial" w:hAnsi="Arial" w:cs="Arial"/>
      <w:b/>
      <w:bCs/>
      <w:spacing w:val="-3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25FA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5FA4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rsid w:val="00593C4F"/>
    <w:rPr>
      <w:rFonts w:ascii="CG Times" w:hAnsi="CG Times"/>
      <w:sz w:val="24"/>
      <w:lang w:val="es-CO"/>
    </w:rPr>
  </w:style>
  <w:style w:type="character" w:customStyle="1" w:styleId="Ttulo3Car">
    <w:name w:val="Título 3 Car"/>
    <w:basedOn w:val="Fuentedeprrafopredeter"/>
    <w:link w:val="Ttulo3"/>
    <w:rsid w:val="00141013"/>
    <w:rPr>
      <w:rFonts w:ascii="CG Times" w:hAnsi="CG Times"/>
      <w:b/>
      <w:snapToGrid w:val="0"/>
      <w:color w:val="000000"/>
      <w:sz w:val="24"/>
      <w:lang w:val="es-ES_tradnl"/>
    </w:rPr>
  </w:style>
  <w:style w:type="character" w:customStyle="1" w:styleId="Ttulo4Car">
    <w:name w:val="Título 4 Car"/>
    <w:basedOn w:val="Fuentedeprrafopredete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/>
    </w:rPr>
  </w:style>
  <w:style w:type="character" w:customStyle="1" w:styleId="Ttulo5Car">
    <w:name w:val="Título 5 Car"/>
    <w:basedOn w:val="Fuentedeprrafopredete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141013"/>
    <w:rPr>
      <w:rFonts w:ascii="Arial" w:hAnsi="Arial" w:cs="Arial"/>
      <w:b/>
      <w:bCs/>
      <w:sz w:val="24"/>
      <w:szCs w:val="24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141013"/>
    <w:rPr>
      <w:rFonts w:ascii="Arial" w:hAnsi="Arial" w:cs="Arial"/>
      <w:b/>
      <w:bCs/>
      <w:spacing w:val="-3"/>
      <w:sz w:val="24"/>
      <w:szCs w:val="24"/>
    </w:rPr>
  </w:style>
  <w:style w:type="table" w:styleId="Tablaconcuadrcula">
    <w:name w:val="Table Grid"/>
    <w:basedOn w:val="Tablanormal"/>
    <w:uiPriority w:val="59"/>
    <w:rsid w:val="001410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6Car">
    <w:name w:val="Título 6 Car"/>
    <w:basedOn w:val="Fuentedeprrafopredeter"/>
    <w:link w:val="Ttulo6"/>
    <w:uiPriority w:val="9"/>
    <w:semiHidden/>
    <w:rsid w:val="00795BFB"/>
    <w:rPr>
      <w:rFonts w:ascii="Calibri" w:eastAsia="Times New Roman" w:hAnsi="Calibri" w:cs="Times New Roman"/>
      <w:b/>
      <w:bCs/>
      <w:sz w:val="22"/>
      <w:szCs w:val="22"/>
    </w:rPr>
  </w:style>
  <w:style w:type="paragraph" w:styleId="Ttulo">
    <w:name w:val="Title"/>
    <w:basedOn w:val="Normal"/>
    <w:link w:val="TtuloCar"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</w:rPr>
  </w:style>
  <w:style w:type="character" w:customStyle="1" w:styleId="TtuloCar">
    <w:name w:val="Título Car"/>
    <w:basedOn w:val="Fuentedeprrafopredete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link w:val="PrrafodelistaCar"/>
    <w:qFormat/>
    <w:rsid w:val="001405C6"/>
    <w:pPr>
      <w:ind w:left="708"/>
    </w:pPr>
    <w:rPr>
      <w:sz w:val="20"/>
      <w:szCs w:val="20"/>
      <w:lang w:val="es-CO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1405C6"/>
    <w:rPr>
      <w:lang w:val="es-CO"/>
    </w:rPr>
  </w:style>
  <w:style w:type="paragraph" w:styleId="TDC1">
    <w:name w:val="toc 1"/>
    <w:basedOn w:val="Normal"/>
    <w:next w:val="Normal"/>
    <w:autoRedefine/>
    <w:semiHidden/>
    <w:rsid w:val="00D03800"/>
    <w:pPr>
      <w:tabs>
        <w:tab w:val="left" w:pos="480"/>
        <w:tab w:val="right" w:leader="dot" w:pos="8828"/>
      </w:tabs>
      <w:spacing w:before="120"/>
    </w:pPr>
    <w:rPr>
      <w:rFonts w:ascii="Arial" w:hAnsi="Arial"/>
      <w:noProof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semiHidden/>
    <w:unhideWhenUsed/>
    <w:rsid w:val="00006AE2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06AE2"/>
    <w:rPr>
      <w:sz w:val="24"/>
      <w:szCs w:val="24"/>
    </w:rPr>
  </w:style>
  <w:style w:type="paragraph" w:styleId="Epgrafe">
    <w:name w:val="caption"/>
    <w:basedOn w:val="Normal"/>
    <w:next w:val="Normal"/>
    <w:uiPriority w:val="35"/>
    <w:qFormat/>
    <w:rsid w:val="003A31F6"/>
    <w:pPr>
      <w:widowControl w:val="0"/>
      <w:adjustRightInd w:val="0"/>
      <w:spacing w:before="120" w:after="120" w:line="360" w:lineRule="atLeast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basedOn w:val="Fuentedeprrafopredeter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rsid w:val="003A31F6"/>
    <w:rPr>
      <w:rFonts w:ascii="Century Gothic" w:hAnsi="Century Gothic"/>
      <w:b/>
      <w:bCs/>
    </w:rPr>
  </w:style>
  <w:style w:type="character" w:customStyle="1" w:styleId="SubttuloCar">
    <w:name w:val="Subtítulo Car"/>
    <w:basedOn w:val="Fuentedeprrafopredeter"/>
    <w:link w:val="Subttulo"/>
    <w:rsid w:val="003A31F6"/>
    <w:rPr>
      <w:rFonts w:ascii="Century Gothic" w:hAnsi="Century Gothic"/>
      <w:b/>
      <w:bCs/>
      <w:sz w:val="24"/>
      <w:szCs w:val="24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textAlignment w:val="baseline"/>
    </w:pPr>
    <w:rPr>
      <w:rFonts w:ascii="Arial" w:hAnsi="Arial"/>
      <w:sz w:val="22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3A05D1"/>
    <w:rPr>
      <w:rFonts w:ascii="Bookman Old Style" w:hAnsi="Bookman Old Style"/>
      <w:b/>
      <w:sz w:val="24"/>
      <w:szCs w:val="24"/>
      <w:lang w:val="es-CO"/>
    </w:rPr>
  </w:style>
  <w:style w:type="paragraph" w:styleId="Textonotapie">
    <w:name w:val="footnote text"/>
    <w:basedOn w:val="Normal"/>
    <w:link w:val="TextonotapieCar"/>
    <w:semiHidden/>
    <w:rsid w:val="00A35D3E"/>
    <w:pPr>
      <w:widowControl w:val="0"/>
      <w:adjustRightInd w:val="0"/>
      <w:spacing w:line="360" w:lineRule="atLeast"/>
      <w:textAlignment w:val="baseline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semiHidden/>
    <w:rsid w:val="00A35D3E"/>
    <w:rPr>
      <w:lang w:val="es-ES" w:eastAsia="es-ES"/>
    </w:rPr>
  </w:style>
  <w:style w:type="paragraph" w:customStyle="1" w:styleId="ARTICULOS">
    <w:name w:val="ARTICULOS"/>
    <w:basedOn w:val="Normal"/>
    <w:link w:val="ARTICULOSCar"/>
    <w:autoRedefine/>
    <w:qFormat/>
    <w:rsid w:val="009E3506"/>
    <w:pPr>
      <w:tabs>
        <w:tab w:val="left" w:pos="1560"/>
      </w:tabs>
      <w:adjustRightInd w:val="0"/>
      <w:spacing w:before="120"/>
      <w:ind w:right="567"/>
      <w:textAlignment w:val="baseline"/>
    </w:pPr>
    <w:rPr>
      <w:bCs/>
    </w:rPr>
  </w:style>
  <w:style w:type="character" w:customStyle="1" w:styleId="ARTICULOSCar">
    <w:name w:val="ARTICULOS Car"/>
    <w:basedOn w:val="Fuentedeprrafopredeter"/>
    <w:link w:val="ARTICULOS"/>
    <w:rsid w:val="009E3506"/>
    <w:rPr>
      <w:rFonts w:ascii="Bookman Old Style" w:hAnsi="Bookman Old Style"/>
      <w:bCs/>
      <w:sz w:val="24"/>
      <w:szCs w:val="24"/>
    </w:rPr>
  </w:style>
  <w:style w:type="paragraph" w:customStyle="1" w:styleId="Estilo2">
    <w:name w:val="Estilo2"/>
    <w:basedOn w:val="Estilo1"/>
    <w:link w:val="Estilo2Car"/>
    <w:rsid w:val="00103C82"/>
    <w:pPr>
      <w:keepNext/>
      <w:widowControl w:val="0"/>
      <w:shd w:val="clear" w:color="auto" w:fill="auto"/>
      <w:tabs>
        <w:tab w:val="num" w:pos="5126"/>
      </w:tabs>
      <w:adjustRightInd w:val="0"/>
      <w:ind w:left="3686"/>
      <w:jc w:val="both"/>
      <w:textAlignment w:val="baseline"/>
      <w:outlineLvl w:val="0"/>
    </w:pPr>
    <w:rPr>
      <w:rFonts w:ascii="Bookman Old Style" w:hAnsi="Bookman Old Style"/>
      <w:b/>
      <w:bCs/>
      <w:color w:val="auto"/>
      <w:sz w:val="24"/>
      <w:szCs w:val="24"/>
      <w:lang w:eastAsia="ar-SA"/>
    </w:rPr>
  </w:style>
  <w:style w:type="character" w:customStyle="1" w:styleId="Estilo2Car">
    <w:name w:val="Estilo2 Car"/>
    <w:link w:val="Estilo2"/>
    <w:rsid w:val="00103C82"/>
    <w:rPr>
      <w:rFonts w:ascii="Bookman Old Style" w:hAnsi="Bookman Old Style"/>
      <w:b/>
      <w:bCs/>
      <w:sz w:val="24"/>
      <w:szCs w:val="24"/>
      <w:lang w:eastAsia="ar-SA"/>
    </w:rPr>
  </w:style>
  <w:style w:type="paragraph" w:customStyle="1" w:styleId="CUERPOTEXTO">
    <w:name w:val="CUERPO TEXTO"/>
    <w:rsid w:val="00AC734B"/>
    <w:pPr>
      <w:widowControl w:val="0"/>
      <w:tabs>
        <w:tab w:val="center" w:pos="510"/>
        <w:tab w:val="left" w:pos="1134"/>
      </w:tabs>
      <w:autoSpaceDE w:val="0"/>
      <w:autoSpaceDN w:val="0"/>
      <w:adjustRightInd w:val="0"/>
      <w:spacing w:before="28" w:after="28" w:line="210" w:lineRule="atLeast"/>
      <w:ind w:firstLine="283"/>
      <w:jc w:val="both"/>
    </w:pPr>
    <w:rPr>
      <w:color w:val="000000"/>
      <w:sz w:val="19"/>
      <w:szCs w:val="19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54014B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54014B"/>
    <w:rPr>
      <w:sz w:val="16"/>
      <w:szCs w:val="16"/>
    </w:rPr>
  </w:style>
  <w:style w:type="paragraph" w:styleId="HTMLconformatoprevio">
    <w:name w:val="HTML Preformatted"/>
    <w:basedOn w:val="Normal"/>
    <w:link w:val="HTMLconformatoprevioCar"/>
    <w:semiHidden/>
    <w:rsid w:val="005401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rsid w:val="0054014B"/>
    <w:rPr>
      <w:rFonts w:ascii="Arial Unicode MS" w:eastAsia="Arial Unicode MS" w:hAnsi="Arial Unicode MS" w:cs="Arial Unicode MS"/>
    </w:rPr>
  </w:style>
  <w:style w:type="character" w:customStyle="1" w:styleId="Ttulo1Car">
    <w:name w:val="Título 1 Car"/>
    <w:aliases w:val="Capítulo Car"/>
    <w:basedOn w:val="Fuentedeprrafopredeter"/>
    <w:link w:val="Ttulo1"/>
    <w:rsid w:val="003A05D1"/>
    <w:rPr>
      <w:rFonts w:ascii="Bookman Old Style" w:hAnsi="Bookman Old Style"/>
      <w:b/>
      <w:sz w:val="24"/>
      <w:szCs w:val="24"/>
      <w:lang w:val="es-CO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227944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227944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71391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13917"/>
    <w:pPr>
      <w:ind w:left="567"/>
      <w:jc w:val="left"/>
    </w:pPr>
    <w:rPr>
      <w:rFonts w:ascii="Times New Roman" w:hAnsi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13917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73212"/>
    <w:pPr>
      <w:ind w:left="0"/>
      <w:jc w:val="both"/>
    </w:pPr>
    <w:rPr>
      <w:rFonts w:ascii="Bookman Old Style" w:hAnsi="Bookman Old Style"/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73212"/>
    <w:rPr>
      <w:rFonts w:ascii="Bookman Old Style" w:hAnsi="Bookman Old Style"/>
      <w:b/>
      <w:bCs/>
    </w:rPr>
  </w:style>
  <w:style w:type="paragraph" w:styleId="Sangranormal">
    <w:name w:val="Normal Indent"/>
    <w:basedOn w:val="Normal"/>
    <w:semiHidden/>
    <w:rsid w:val="00F05A50"/>
    <w:pPr>
      <w:overflowPunct w:val="0"/>
      <w:autoSpaceDE w:val="0"/>
      <w:autoSpaceDN w:val="0"/>
      <w:adjustRightInd w:val="0"/>
      <w:spacing w:before="120" w:after="120"/>
      <w:ind w:left="461"/>
      <w:jc w:val="left"/>
      <w:textAlignment w:val="baseline"/>
    </w:pPr>
    <w:rPr>
      <w:rFonts w:ascii="Arial" w:hAnsi="Arial"/>
      <w:szCs w:val="20"/>
      <w:lang w:val="es-ES_tradnl"/>
    </w:rPr>
  </w:style>
  <w:style w:type="paragraph" w:styleId="Revisin">
    <w:name w:val="Revision"/>
    <w:hidden/>
    <w:uiPriority w:val="99"/>
    <w:semiHidden/>
    <w:rsid w:val="00FA1CB4"/>
    <w:rPr>
      <w:rFonts w:ascii="Bookman Old Style" w:hAnsi="Bookman Old Style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B5666"/>
    <w:rPr>
      <w:color w:val="0000FF" w:themeColor="hyperlink"/>
      <w:u w:val="single"/>
    </w:rPr>
  </w:style>
  <w:style w:type="character" w:customStyle="1" w:styleId="PiedepginaCar">
    <w:name w:val="Pie de página Car"/>
    <w:basedOn w:val="Fuentedeprrafopredeter"/>
    <w:link w:val="Piedepgina"/>
    <w:semiHidden/>
    <w:rsid w:val="007C75D1"/>
    <w:rPr>
      <w:rFonts w:ascii="Bookman Old Style" w:hAnsi="Bookman Old Style"/>
      <w:sz w:val="24"/>
      <w:szCs w:val="24"/>
    </w:rPr>
  </w:style>
  <w:style w:type="paragraph" w:customStyle="1" w:styleId="Citas">
    <w:name w:val="Citas"/>
    <w:basedOn w:val="Normal"/>
    <w:rsid w:val="00D1111E"/>
    <w:pPr>
      <w:ind w:left="708" w:right="618"/>
    </w:pPr>
    <w:rPr>
      <w:rFonts w:cs="Arial"/>
      <w:i/>
      <w:iCs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/>
    <w:lsdException w:name="Default Paragraph Font" w:uiPriority="1"/>
    <w:lsdException w:name="Body Text" w:uiPriority="0"/>
    <w:lsdException w:name="Subtitle" w:semiHidden="0" w:uiPriority="0" w:unhideWhenUsed="0"/>
    <w:lsdException w:name="Body Tex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6A2"/>
    <w:pPr>
      <w:jc w:val="both"/>
    </w:pPr>
    <w:rPr>
      <w:rFonts w:ascii="Bookman Old Style" w:hAnsi="Bookman Old Style"/>
      <w:sz w:val="24"/>
      <w:szCs w:val="24"/>
    </w:rPr>
  </w:style>
  <w:style w:type="paragraph" w:styleId="Ttulo1">
    <w:name w:val="heading 1"/>
    <w:aliases w:val="Capítulo"/>
    <w:basedOn w:val="Normal"/>
    <w:next w:val="Normal"/>
    <w:link w:val="Ttulo1Car"/>
    <w:qFormat/>
    <w:rsid w:val="003A05D1"/>
    <w:pPr>
      <w:jc w:val="center"/>
      <w:outlineLvl w:val="0"/>
    </w:pPr>
    <w:rPr>
      <w:b/>
      <w:lang w:val="es-CO"/>
    </w:rPr>
  </w:style>
  <w:style w:type="paragraph" w:styleId="Ttulo2">
    <w:name w:val="heading 2"/>
    <w:basedOn w:val="Ttulo1"/>
    <w:next w:val="Normal"/>
    <w:link w:val="Ttulo2Car"/>
    <w:uiPriority w:val="9"/>
    <w:unhideWhenUsed/>
    <w:qFormat/>
    <w:rsid w:val="003A05D1"/>
    <w:pPr>
      <w:outlineLvl w:val="1"/>
    </w:pPr>
  </w:style>
  <w:style w:type="paragraph" w:styleId="Ttulo3">
    <w:name w:val="heading 3"/>
    <w:basedOn w:val="Normal"/>
    <w:next w:val="Normal"/>
    <w:link w:val="Ttulo3Car"/>
    <w:qFormat/>
    <w:rsid w:val="003101DA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95BF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</w:pPr>
    <w:rPr>
      <w:rFonts w:ascii="CG Times" w:hAnsi="CG Times"/>
      <w:szCs w:val="20"/>
      <w:lang w:val="es-CO"/>
    </w:rPr>
  </w:style>
  <w:style w:type="paragraph" w:styleId="Piedepgina">
    <w:name w:val="footer"/>
    <w:basedOn w:val="Normal"/>
    <w:link w:val="PiedepginaCar"/>
    <w:semiHidden/>
    <w:rsid w:val="003101DA"/>
    <w:pPr>
      <w:tabs>
        <w:tab w:val="center" w:pos="4252"/>
        <w:tab w:val="right" w:pos="8504"/>
      </w:tabs>
    </w:pPr>
  </w:style>
  <w:style w:type="paragraph" w:customStyle="1" w:styleId="Estilo1">
    <w:name w:val="Estilo1"/>
    <w:basedOn w:val="Normal"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</w:rPr>
  </w:style>
  <w:style w:type="character" w:styleId="Nmerodepgina">
    <w:name w:val="page number"/>
    <w:basedOn w:val="Fuentedeprrafopredeter"/>
    <w:semiHidden/>
    <w:rsid w:val="003101DA"/>
  </w:style>
  <w:style w:type="paragraph" w:styleId="Textoindependiente">
    <w:name w:val="Body Text"/>
    <w:basedOn w:val="Normal"/>
    <w:link w:val="TextoindependienteCar"/>
    <w:semiHidden/>
    <w:rsid w:val="003101DA"/>
    <w:pPr>
      <w:jc w:val="center"/>
    </w:pPr>
    <w:rPr>
      <w:rFonts w:ascii="Arial" w:hAnsi="Arial" w:cs="Arial"/>
      <w:b/>
      <w:bCs/>
    </w:rPr>
  </w:style>
  <w:style w:type="paragraph" w:styleId="Textoindependiente3">
    <w:name w:val="Body Text 3"/>
    <w:basedOn w:val="Normal"/>
    <w:link w:val="Textoindependiente3Car"/>
    <w:semiHidden/>
    <w:rsid w:val="003101DA"/>
    <w:pPr>
      <w:jc w:val="center"/>
      <w:outlineLvl w:val="0"/>
    </w:pPr>
    <w:rPr>
      <w:rFonts w:ascii="Arial" w:hAnsi="Arial" w:cs="Arial"/>
      <w:b/>
      <w:bCs/>
      <w:spacing w:val="-3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25FA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5FA4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rsid w:val="00593C4F"/>
    <w:rPr>
      <w:rFonts w:ascii="CG Times" w:hAnsi="CG Times"/>
      <w:sz w:val="24"/>
      <w:lang w:val="es-CO"/>
    </w:rPr>
  </w:style>
  <w:style w:type="character" w:customStyle="1" w:styleId="Ttulo3Car">
    <w:name w:val="Título 3 Car"/>
    <w:basedOn w:val="Fuentedeprrafopredeter"/>
    <w:link w:val="Ttulo3"/>
    <w:rsid w:val="00141013"/>
    <w:rPr>
      <w:rFonts w:ascii="CG Times" w:hAnsi="CG Times"/>
      <w:b/>
      <w:snapToGrid w:val="0"/>
      <w:color w:val="000000"/>
      <w:sz w:val="24"/>
      <w:lang w:val="es-ES_tradnl"/>
    </w:rPr>
  </w:style>
  <w:style w:type="character" w:customStyle="1" w:styleId="Ttulo4Car">
    <w:name w:val="Título 4 Car"/>
    <w:basedOn w:val="Fuentedeprrafopredete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/>
    </w:rPr>
  </w:style>
  <w:style w:type="character" w:customStyle="1" w:styleId="Ttulo5Car">
    <w:name w:val="Título 5 Car"/>
    <w:basedOn w:val="Fuentedeprrafopredete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141013"/>
    <w:rPr>
      <w:rFonts w:ascii="Arial" w:hAnsi="Arial" w:cs="Arial"/>
      <w:b/>
      <w:bCs/>
      <w:sz w:val="24"/>
      <w:szCs w:val="24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sid w:val="00141013"/>
    <w:rPr>
      <w:rFonts w:ascii="Arial" w:hAnsi="Arial" w:cs="Arial"/>
      <w:b/>
      <w:bCs/>
      <w:spacing w:val="-3"/>
      <w:sz w:val="24"/>
      <w:szCs w:val="24"/>
    </w:rPr>
  </w:style>
  <w:style w:type="table" w:styleId="Tablaconcuadrcula">
    <w:name w:val="Table Grid"/>
    <w:basedOn w:val="Tablanormal"/>
    <w:uiPriority w:val="59"/>
    <w:rsid w:val="001410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6Car">
    <w:name w:val="Título 6 Car"/>
    <w:basedOn w:val="Fuentedeprrafopredeter"/>
    <w:link w:val="Ttulo6"/>
    <w:uiPriority w:val="9"/>
    <w:semiHidden/>
    <w:rsid w:val="00795BFB"/>
    <w:rPr>
      <w:rFonts w:ascii="Calibri" w:eastAsia="Times New Roman" w:hAnsi="Calibri" w:cs="Times New Roman"/>
      <w:b/>
      <w:bCs/>
      <w:sz w:val="22"/>
      <w:szCs w:val="22"/>
    </w:rPr>
  </w:style>
  <w:style w:type="paragraph" w:styleId="Ttulo">
    <w:name w:val="Title"/>
    <w:basedOn w:val="Normal"/>
    <w:link w:val="TtuloCar"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</w:rPr>
  </w:style>
  <w:style w:type="character" w:customStyle="1" w:styleId="TtuloCar">
    <w:name w:val="Título Car"/>
    <w:basedOn w:val="Fuentedeprrafopredete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link w:val="PrrafodelistaCar"/>
    <w:qFormat/>
    <w:rsid w:val="001405C6"/>
    <w:pPr>
      <w:ind w:left="708"/>
    </w:pPr>
    <w:rPr>
      <w:sz w:val="20"/>
      <w:szCs w:val="20"/>
      <w:lang w:val="es-CO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1405C6"/>
    <w:rPr>
      <w:lang w:val="es-CO"/>
    </w:rPr>
  </w:style>
  <w:style w:type="paragraph" w:styleId="TDC1">
    <w:name w:val="toc 1"/>
    <w:basedOn w:val="Normal"/>
    <w:next w:val="Normal"/>
    <w:autoRedefine/>
    <w:semiHidden/>
    <w:rsid w:val="00D03800"/>
    <w:pPr>
      <w:tabs>
        <w:tab w:val="left" w:pos="480"/>
        <w:tab w:val="right" w:leader="dot" w:pos="8828"/>
      </w:tabs>
      <w:spacing w:before="120"/>
    </w:pPr>
    <w:rPr>
      <w:rFonts w:ascii="Arial" w:hAnsi="Arial"/>
      <w:noProof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semiHidden/>
    <w:unhideWhenUsed/>
    <w:rsid w:val="00006AE2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06AE2"/>
    <w:rPr>
      <w:sz w:val="24"/>
      <w:szCs w:val="24"/>
    </w:rPr>
  </w:style>
  <w:style w:type="paragraph" w:styleId="Epgrafe">
    <w:name w:val="caption"/>
    <w:basedOn w:val="Normal"/>
    <w:next w:val="Normal"/>
    <w:uiPriority w:val="35"/>
    <w:qFormat/>
    <w:rsid w:val="003A31F6"/>
    <w:pPr>
      <w:widowControl w:val="0"/>
      <w:adjustRightInd w:val="0"/>
      <w:spacing w:before="120" w:after="120" w:line="360" w:lineRule="atLeast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basedOn w:val="Fuentedeprrafopredeter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rsid w:val="003A31F6"/>
    <w:rPr>
      <w:rFonts w:ascii="Century Gothic" w:hAnsi="Century Gothic"/>
      <w:b/>
      <w:bCs/>
    </w:rPr>
  </w:style>
  <w:style w:type="character" w:customStyle="1" w:styleId="SubttuloCar">
    <w:name w:val="Subtítulo Car"/>
    <w:basedOn w:val="Fuentedeprrafopredeter"/>
    <w:link w:val="Subttulo"/>
    <w:rsid w:val="003A31F6"/>
    <w:rPr>
      <w:rFonts w:ascii="Century Gothic" w:hAnsi="Century Gothic"/>
      <w:b/>
      <w:bCs/>
      <w:sz w:val="24"/>
      <w:szCs w:val="24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textAlignment w:val="baseline"/>
    </w:pPr>
    <w:rPr>
      <w:rFonts w:ascii="Arial" w:hAnsi="Arial"/>
      <w:sz w:val="22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3A05D1"/>
    <w:rPr>
      <w:rFonts w:ascii="Bookman Old Style" w:hAnsi="Bookman Old Style"/>
      <w:b/>
      <w:sz w:val="24"/>
      <w:szCs w:val="24"/>
      <w:lang w:val="es-CO"/>
    </w:rPr>
  </w:style>
  <w:style w:type="paragraph" w:styleId="Textonotapie">
    <w:name w:val="footnote text"/>
    <w:basedOn w:val="Normal"/>
    <w:link w:val="TextonotapieCar"/>
    <w:semiHidden/>
    <w:rsid w:val="00A35D3E"/>
    <w:pPr>
      <w:widowControl w:val="0"/>
      <w:adjustRightInd w:val="0"/>
      <w:spacing w:line="360" w:lineRule="atLeast"/>
      <w:textAlignment w:val="baseline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semiHidden/>
    <w:rsid w:val="00A35D3E"/>
    <w:rPr>
      <w:lang w:val="es-ES" w:eastAsia="es-ES"/>
    </w:rPr>
  </w:style>
  <w:style w:type="paragraph" w:customStyle="1" w:styleId="ARTICULOS">
    <w:name w:val="ARTICULOS"/>
    <w:basedOn w:val="Normal"/>
    <w:link w:val="ARTICULOSCar"/>
    <w:autoRedefine/>
    <w:qFormat/>
    <w:rsid w:val="009E3506"/>
    <w:pPr>
      <w:tabs>
        <w:tab w:val="left" w:pos="1560"/>
      </w:tabs>
      <w:adjustRightInd w:val="0"/>
      <w:spacing w:before="120"/>
      <w:ind w:right="567"/>
      <w:textAlignment w:val="baseline"/>
    </w:pPr>
    <w:rPr>
      <w:bCs/>
    </w:rPr>
  </w:style>
  <w:style w:type="character" w:customStyle="1" w:styleId="ARTICULOSCar">
    <w:name w:val="ARTICULOS Car"/>
    <w:basedOn w:val="Fuentedeprrafopredeter"/>
    <w:link w:val="ARTICULOS"/>
    <w:rsid w:val="009E3506"/>
    <w:rPr>
      <w:rFonts w:ascii="Bookman Old Style" w:hAnsi="Bookman Old Style"/>
      <w:bCs/>
      <w:sz w:val="24"/>
      <w:szCs w:val="24"/>
    </w:rPr>
  </w:style>
  <w:style w:type="paragraph" w:customStyle="1" w:styleId="Estilo2">
    <w:name w:val="Estilo2"/>
    <w:basedOn w:val="Estilo1"/>
    <w:link w:val="Estilo2Car"/>
    <w:rsid w:val="00103C82"/>
    <w:pPr>
      <w:keepNext/>
      <w:widowControl w:val="0"/>
      <w:shd w:val="clear" w:color="auto" w:fill="auto"/>
      <w:tabs>
        <w:tab w:val="num" w:pos="5126"/>
      </w:tabs>
      <w:adjustRightInd w:val="0"/>
      <w:ind w:left="3686"/>
      <w:jc w:val="both"/>
      <w:textAlignment w:val="baseline"/>
      <w:outlineLvl w:val="0"/>
    </w:pPr>
    <w:rPr>
      <w:rFonts w:ascii="Bookman Old Style" w:hAnsi="Bookman Old Style"/>
      <w:b/>
      <w:bCs/>
      <w:color w:val="auto"/>
      <w:sz w:val="24"/>
      <w:szCs w:val="24"/>
      <w:lang w:eastAsia="ar-SA"/>
    </w:rPr>
  </w:style>
  <w:style w:type="character" w:customStyle="1" w:styleId="Estilo2Car">
    <w:name w:val="Estilo2 Car"/>
    <w:link w:val="Estilo2"/>
    <w:rsid w:val="00103C82"/>
    <w:rPr>
      <w:rFonts w:ascii="Bookman Old Style" w:hAnsi="Bookman Old Style"/>
      <w:b/>
      <w:bCs/>
      <w:sz w:val="24"/>
      <w:szCs w:val="24"/>
      <w:lang w:eastAsia="ar-SA"/>
    </w:rPr>
  </w:style>
  <w:style w:type="paragraph" w:customStyle="1" w:styleId="CUERPOTEXTO">
    <w:name w:val="CUERPO TEXTO"/>
    <w:rsid w:val="00AC734B"/>
    <w:pPr>
      <w:widowControl w:val="0"/>
      <w:tabs>
        <w:tab w:val="center" w:pos="510"/>
        <w:tab w:val="left" w:pos="1134"/>
      </w:tabs>
      <w:autoSpaceDE w:val="0"/>
      <w:autoSpaceDN w:val="0"/>
      <w:adjustRightInd w:val="0"/>
      <w:spacing w:before="28" w:after="28" w:line="210" w:lineRule="atLeast"/>
      <w:ind w:firstLine="283"/>
      <w:jc w:val="both"/>
    </w:pPr>
    <w:rPr>
      <w:color w:val="000000"/>
      <w:sz w:val="19"/>
      <w:szCs w:val="19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54014B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54014B"/>
    <w:rPr>
      <w:sz w:val="16"/>
      <w:szCs w:val="16"/>
    </w:rPr>
  </w:style>
  <w:style w:type="paragraph" w:styleId="HTMLconformatoprevio">
    <w:name w:val="HTML Preformatted"/>
    <w:basedOn w:val="Normal"/>
    <w:link w:val="HTMLconformatoprevioCar"/>
    <w:semiHidden/>
    <w:rsid w:val="005401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rsid w:val="0054014B"/>
    <w:rPr>
      <w:rFonts w:ascii="Arial Unicode MS" w:eastAsia="Arial Unicode MS" w:hAnsi="Arial Unicode MS" w:cs="Arial Unicode MS"/>
    </w:rPr>
  </w:style>
  <w:style w:type="character" w:customStyle="1" w:styleId="Ttulo1Car">
    <w:name w:val="Título 1 Car"/>
    <w:aliases w:val="Capítulo Car"/>
    <w:basedOn w:val="Fuentedeprrafopredeter"/>
    <w:link w:val="Ttulo1"/>
    <w:rsid w:val="003A05D1"/>
    <w:rPr>
      <w:rFonts w:ascii="Bookman Old Style" w:hAnsi="Bookman Old Style"/>
      <w:b/>
      <w:sz w:val="24"/>
      <w:szCs w:val="24"/>
      <w:lang w:val="es-CO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227944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227944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71391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13917"/>
    <w:pPr>
      <w:ind w:left="567"/>
      <w:jc w:val="left"/>
    </w:pPr>
    <w:rPr>
      <w:rFonts w:ascii="Times New Roman" w:hAnsi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13917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73212"/>
    <w:pPr>
      <w:ind w:left="0"/>
      <w:jc w:val="both"/>
    </w:pPr>
    <w:rPr>
      <w:rFonts w:ascii="Bookman Old Style" w:hAnsi="Bookman Old Style"/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73212"/>
    <w:rPr>
      <w:rFonts w:ascii="Bookman Old Style" w:hAnsi="Bookman Old Style"/>
      <w:b/>
      <w:bCs/>
    </w:rPr>
  </w:style>
  <w:style w:type="paragraph" w:styleId="Sangranormal">
    <w:name w:val="Normal Indent"/>
    <w:basedOn w:val="Normal"/>
    <w:semiHidden/>
    <w:rsid w:val="00F05A50"/>
    <w:pPr>
      <w:overflowPunct w:val="0"/>
      <w:autoSpaceDE w:val="0"/>
      <w:autoSpaceDN w:val="0"/>
      <w:adjustRightInd w:val="0"/>
      <w:spacing w:before="120" w:after="120"/>
      <w:ind w:left="461"/>
      <w:jc w:val="left"/>
      <w:textAlignment w:val="baseline"/>
    </w:pPr>
    <w:rPr>
      <w:rFonts w:ascii="Arial" w:hAnsi="Arial"/>
      <w:szCs w:val="20"/>
      <w:lang w:val="es-ES_tradnl"/>
    </w:rPr>
  </w:style>
  <w:style w:type="paragraph" w:styleId="Revisin">
    <w:name w:val="Revision"/>
    <w:hidden/>
    <w:uiPriority w:val="99"/>
    <w:semiHidden/>
    <w:rsid w:val="00FA1CB4"/>
    <w:rPr>
      <w:rFonts w:ascii="Bookman Old Style" w:hAnsi="Bookman Old Style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B5666"/>
    <w:rPr>
      <w:color w:val="0000FF" w:themeColor="hyperlink"/>
      <w:u w:val="single"/>
    </w:rPr>
  </w:style>
  <w:style w:type="character" w:customStyle="1" w:styleId="PiedepginaCar">
    <w:name w:val="Pie de página Car"/>
    <w:basedOn w:val="Fuentedeprrafopredeter"/>
    <w:link w:val="Piedepgina"/>
    <w:semiHidden/>
    <w:rsid w:val="007C75D1"/>
    <w:rPr>
      <w:rFonts w:ascii="Bookman Old Style" w:hAnsi="Bookman Old Style"/>
      <w:sz w:val="24"/>
      <w:szCs w:val="24"/>
    </w:rPr>
  </w:style>
  <w:style w:type="paragraph" w:customStyle="1" w:styleId="Citas">
    <w:name w:val="Citas"/>
    <w:basedOn w:val="Normal"/>
    <w:rsid w:val="00D1111E"/>
    <w:pPr>
      <w:ind w:left="708" w:right="618"/>
    </w:pPr>
    <w:rPr>
      <w:rFonts w:cs="Arial"/>
      <w:i/>
      <w:i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5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3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tella%20Rojas\Nueva%20carpeta\PLANTILLA1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D75F4-1EFC-4893-9F83-1C60A803D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PLANTILLA1</Template>
  <TotalTime>1</TotalTime>
  <Pages>4</Pages>
  <Words>1426</Words>
  <Characters>7292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CREG</Company>
  <LinksUpToDate>false</LinksUpToDate>
  <CharactersWithSpaces>8701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Benigno Aragon Aldana</dc:creator>
  <cp:lastModifiedBy>Maria Eugenia Murillo Ramirez</cp:lastModifiedBy>
  <cp:revision>2</cp:revision>
  <cp:lastPrinted>2011-10-26T19:43:00Z</cp:lastPrinted>
  <dcterms:created xsi:type="dcterms:W3CDTF">2011-11-03T17:01:00Z</dcterms:created>
  <dcterms:modified xsi:type="dcterms:W3CDTF">2011-11-03T17:01:00Z</dcterms:modified>
</cp:coreProperties>
</file>