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6599E" w:rsidRDefault="00463178" w:rsidP="005B03E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65324526" r:id="rId10"/>
        </w:pict>
      </w:r>
    </w:p>
    <w:p w:rsidR="00625DC6" w:rsidRPr="0046599E" w:rsidRDefault="00625DC6" w:rsidP="005B03E9">
      <w:pPr>
        <w:pStyle w:val="Encabezado"/>
        <w:tabs>
          <w:tab w:val="clear" w:pos="8504"/>
          <w:tab w:val="left" w:pos="0"/>
          <w:tab w:val="right" w:pos="9356"/>
        </w:tabs>
        <w:ind w:left="0"/>
        <w:jc w:val="both"/>
        <w:rPr>
          <w:rFonts w:ascii="Bookman Old Style" w:hAnsi="Bookman Old Style"/>
          <w:szCs w:val="24"/>
        </w:rPr>
      </w:pPr>
    </w:p>
    <w:p w:rsidR="00CA77FB" w:rsidRPr="0046599E" w:rsidRDefault="00CA77FB" w:rsidP="005B03E9">
      <w:pPr>
        <w:pStyle w:val="Ttulo4"/>
        <w:tabs>
          <w:tab w:val="left" w:pos="0"/>
          <w:tab w:val="right" w:pos="9356"/>
        </w:tabs>
        <w:ind w:left="0"/>
        <w:rPr>
          <w:rFonts w:ascii="Bookman Old Style" w:hAnsi="Bookman Old Style"/>
          <w:b w:val="0"/>
          <w:bCs/>
          <w:noProof/>
          <w:sz w:val="24"/>
          <w:szCs w:val="24"/>
          <w:lang w:val="es-ES"/>
        </w:rPr>
      </w:pPr>
      <w:r w:rsidRPr="0046599E">
        <w:rPr>
          <w:rFonts w:ascii="Bookman Old Style" w:hAnsi="Bookman Old Style"/>
          <w:b w:val="0"/>
          <w:bCs/>
          <w:sz w:val="24"/>
          <w:szCs w:val="24"/>
        </w:rPr>
        <w:t>Ministerio de Minas y Energía</w:t>
      </w:r>
    </w:p>
    <w:p w:rsidR="00CA77FB" w:rsidRPr="0046599E" w:rsidRDefault="00CA77FB" w:rsidP="005B03E9">
      <w:pPr>
        <w:pStyle w:val="Ttulo4"/>
        <w:tabs>
          <w:tab w:val="left" w:pos="0"/>
          <w:tab w:val="right" w:pos="9356"/>
        </w:tabs>
        <w:ind w:left="0"/>
        <w:rPr>
          <w:rFonts w:ascii="Bookman Old Style" w:hAnsi="Bookman Old Style"/>
          <w:b w:val="0"/>
          <w:bCs/>
          <w:sz w:val="24"/>
          <w:szCs w:val="24"/>
        </w:rPr>
      </w:pPr>
    </w:p>
    <w:p w:rsidR="00CA77FB" w:rsidRPr="0046599E" w:rsidRDefault="00CA77FB" w:rsidP="005B03E9">
      <w:pPr>
        <w:pStyle w:val="Ttulo3"/>
        <w:tabs>
          <w:tab w:val="left" w:pos="0"/>
          <w:tab w:val="right" w:pos="9356"/>
        </w:tabs>
        <w:ind w:left="0"/>
        <w:rPr>
          <w:rFonts w:ascii="Bookman Old Style" w:hAnsi="Bookman Old Style" w:cs="Arial"/>
          <w:spacing w:val="20"/>
          <w:szCs w:val="24"/>
        </w:rPr>
      </w:pPr>
      <w:r w:rsidRPr="0046599E">
        <w:rPr>
          <w:rFonts w:ascii="Bookman Old Style" w:hAnsi="Bookman Old Style" w:cs="Arial"/>
          <w:spacing w:val="20"/>
          <w:szCs w:val="24"/>
        </w:rPr>
        <w:t>COMISIÓN DE REGULACIÓN DE ENERGÍA Y GAS</w:t>
      </w: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r w:rsidRPr="0046599E">
        <w:rPr>
          <w:rFonts w:ascii="Bookman Old Style" w:hAnsi="Bookman Old Style"/>
          <w:sz w:val="24"/>
          <w:szCs w:val="24"/>
        </w:rPr>
        <w:t xml:space="preserve">RESOLUCIÓN No. </w:t>
      </w:r>
      <w:r w:rsidR="00795BFB" w:rsidRPr="0046599E">
        <w:rPr>
          <w:rFonts w:ascii="Bookman Old Style" w:hAnsi="Bookman Old Style"/>
          <w:sz w:val="24"/>
          <w:szCs w:val="24"/>
        </w:rPr>
        <w:t xml:space="preserve">                  </w:t>
      </w:r>
      <w:r w:rsidRPr="0046599E">
        <w:rPr>
          <w:rFonts w:ascii="Bookman Old Style" w:hAnsi="Bookman Old Style"/>
          <w:sz w:val="24"/>
          <w:szCs w:val="24"/>
        </w:rPr>
        <w:t>DE 20</w:t>
      </w:r>
      <w:r w:rsidR="00A11754">
        <w:rPr>
          <w:rFonts w:ascii="Bookman Old Style" w:hAnsi="Bookman Old Style"/>
          <w:sz w:val="24"/>
          <w:szCs w:val="24"/>
        </w:rPr>
        <w:t>11</w:t>
      </w:r>
    </w:p>
    <w:p w:rsidR="00CA77FB" w:rsidRPr="0046599E" w:rsidRDefault="00CA77FB" w:rsidP="005B03E9">
      <w:pPr>
        <w:tabs>
          <w:tab w:val="left" w:pos="0"/>
          <w:tab w:val="right" w:pos="9356"/>
        </w:tabs>
        <w:ind w:left="0"/>
        <w:jc w:val="center"/>
        <w:rPr>
          <w:rFonts w:ascii="Bookman Old Style" w:hAnsi="Bookman Old Style" w:cs="Arial"/>
          <w:b/>
          <w:snapToGrid w:val="0"/>
          <w:color w:val="000000"/>
          <w:lang w:val="es-ES_tradnl"/>
        </w:rPr>
      </w:pPr>
    </w:p>
    <w:p w:rsidR="00CA77FB" w:rsidRPr="0046599E" w:rsidRDefault="00CA77FB" w:rsidP="005B03E9">
      <w:pPr>
        <w:pStyle w:val="Ttulo3"/>
        <w:tabs>
          <w:tab w:val="left" w:pos="0"/>
          <w:tab w:val="right" w:pos="9356"/>
        </w:tabs>
        <w:ind w:left="0"/>
        <w:rPr>
          <w:rFonts w:ascii="Bookman Old Style" w:hAnsi="Bookman Old Style"/>
          <w:b w:val="0"/>
          <w:szCs w:val="24"/>
        </w:rPr>
      </w:pPr>
      <w:r w:rsidRPr="0046599E">
        <w:rPr>
          <w:rFonts w:ascii="Bookman Old Style" w:hAnsi="Bookman Old Style"/>
          <w:b w:val="0"/>
          <w:szCs w:val="24"/>
        </w:rPr>
        <w:t>(                                  )</w:t>
      </w:r>
    </w:p>
    <w:p w:rsidR="00CA77FB" w:rsidRPr="0046599E" w:rsidRDefault="00CA77FB" w:rsidP="005B03E9">
      <w:pPr>
        <w:tabs>
          <w:tab w:val="left" w:pos="0"/>
          <w:tab w:val="right" w:pos="9356"/>
        </w:tabs>
        <w:ind w:left="0"/>
        <w:jc w:val="center"/>
        <w:rPr>
          <w:rFonts w:ascii="Bookman Old Style" w:hAnsi="Bookman Old Style"/>
          <w:lang w:val="es-ES_tradnl"/>
        </w:rPr>
      </w:pPr>
    </w:p>
    <w:p w:rsidR="00C034CB" w:rsidRDefault="00C034CB" w:rsidP="005B03E9">
      <w:pPr>
        <w:tabs>
          <w:tab w:val="left" w:pos="0"/>
        </w:tabs>
        <w:ind w:left="0"/>
        <w:rPr>
          <w:rFonts w:ascii="Bookman Old Style" w:hAnsi="Bookman Old Style"/>
          <w:bCs/>
          <w:lang w:val="es-CO"/>
        </w:rPr>
      </w:pPr>
    </w:p>
    <w:p w:rsidR="007229E9" w:rsidRPr="0046599E" w:rsidRDefault="007229E9" w:rsidP="005B03E9">
      <w:pPr>
        <w:tabs>
          <w:tab w:val="left" w:pos="0"/>
        </w:tabs>
        <w:ind w:left="0"/>
        <w:rPr>
          <w:rFonts w:ascii="Bookman Old Style" w:hAnsi="Bookman Old Style"/>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Por la cual se ordena el archivo de una actuación administrativa</w:t>
      </w:r>
    </w:p>
    <w:p w:rsidR="005B03E9"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rsidR="005B03E9" w:rsidRPr="000B33DF" w:rsidRDefault="005B03E9" w:rsidP="005B03E9">
      <w:pPr>
        <w:tabs>
          <w:tab w:val="left" w:pos="0"/>
        </w:tabs>
        <w:ind w:left="0"/>
        <w:jc w:val="center"/>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y 2253 de 1994 y,</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it-IT"/>
        </w:rPr>
      </w:pPr>
      <w:r w:rsidRPr="000B33DF">
        <w:rPr>
          <w:rFonts w:ascii="Bookman Old Style" w:hAnsi="Bookman Old Style" w:cs="Arial"/>
          <w:b/>
          <w:bCs/>
          <w:lang w:val="it-IT"/>
        </w:rPr>
        <w:t>CONSIDERANDO</w:t>
      </w:r>
      <w:r>
        <w:rPr>
          <w:rFonts w:ascii="Bookman Old Style" w:hAnsi="Bookman Old Style" w:cs="Arial"/>
          <w:b/>
          <w:bCs/>
          <w:lang w:val="it-IT"/>
        </w:rPr>
        <w:t xml:space="preserve"> QUE</w:t>
      </w:r>
      <w:r w:rsidRPr="000B33DF">
        <w:rPr>
          <w:rFonts w:ascii="Bookman Old Style" w:hAnsi="Bookman Old Style" w:cs="Arial"/>
          <w:b/>
          <w:bCs/>
          <w:lang w:val="it-IT"/>
        </w:rPr>
        <w:t>:</w:t>
      </w:r>
    </w:p>
    <w:p w:rsidR="005B03E9" w:rsidRPr="000B33DF" w:rsidRDefault="005B03E9" w:rsidP="005B03E9">
      <w:pPr>
        <w:tabs>
          <w:tab w:val="left" w:pos="0"/>
        </w:tabs>
        <w:ind w:left="0"/>
        <w:jc w:val="both"/>
        <w:rPr>
          <w:rFonts w:ascii="Bookman Old Style" w:hAnsi="Bookman Old Style" w:cs="Arial"/>
          <w:b/>
          <w:bCs/>
          <w:lang w:val="it-IT"/>
        </w:rPr>
      </w:pPr>
    </w:p>
    <w:p w:rsidR="005B03E9" w:rsidRPr="000B33DF" w:rsidRDefault="005B03E9" w:rsidP="005B03E9">
      <w:pPr>
        <w:tabs>
          <w:tab w:val="left" w:pos="0"/>
        </w:tabs>
        <w:ind w:left="0"/>
        <w:jc w:val="both"/>
        <w:rPr>
          <w:rFonts w:ascii="Bookman Old Style" w:hAnsi="Bookman Old Style" w:cs="Arial"/>
          <w:lang w:val="it-IT"/>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it-IT"/>
        </w:rPr>
        <w:t>Med</w:t>
      </w:r>
      <w:r>
        <w:rPr>
          <w:rFonts w:ascii="Bookman Old Style" w:hAnsi="Bookman Old Style" w:cs="Arial"/>
          <w:lang w:val="es-CO"/>
        </w:rPr>
        <w:t>iante</w:t>
      </w:r>
      <w:r w:rsidRPr="000B33DF">
        <w:rPr>
          <w:rFonts w:ascii="Bookman Old Style" w:hAnsi="Bookman Old Style" w:cs="Arial"/>
          <w:lang w:val="es-CO"/>
        </w:rPr>
        <w:t xml:space="preserve"> la Resolución CREG</w:t>
      </w:r>
      <w:r>
        <w:rPr>
          <w:rFonts w:ascii="Bookman Old Style" w:hAnsi="Bookman Old Style" w:cs="Arial"/>
          <w:lang w:val="es-CO"/>
        </w:rPr>
        <w:t xml:space="preserve"> </w:t>
      </w:r>
      <w:r w:rsidRPr="000B33DF">
        <w:rPr>
          <w:rFonts w:ascii="Bookman Old Style" w:hAnsi="Bookman Old Style" w:cs="Arial"/>
          <w:lang w:val="es-CO"/>
        </w:rPr>
        <w:t xml:space="preserve">071 de 2006 se creó el Cargo por Confiabilidad en el Mercado Mayorista de Energía, se precisó su método de cálculo y se estableció un sistema de verificación de los valores de los parámetros reportados </w:t>
      </w:r>
      <w:r>
        <w:rPr>
          <w:rFonts w:ascii="Bookman Old Style" w:hAnsi="Bookman Old Style" w:cs="Arial"/>
          <w:lang w:val="es-CO"/>
        </w:rPr>
        <w:t>por los agentes para su cálculo.</w:t>
      </w:r>
    </w:p>
    <w:p w:rsidR="005B03E9"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El artículo 39 de la mencionada Resolución CREG 0</w:t>
      </w:r>
      <w:r w:rsidR="00485389">
        <w:rPr>
          <w:rFonts w:ascii="Bookman Old Style" w:hAnsi="Bookman Old Style" w:cs="Arial"/>
          <w:lang w:val="es-CO"/>
        </w:rPr>
        <w:t>71</w:t>
      </w:r>
      <w:r>
        <w:rPr>
          <w:rFonts w:ascii="Bookman Old Style" w:hAnsi="Bookman Old Style" w:cs="Arial"/>
          <w:lang w:val="es-CO"/>
        </w:rPr>
        <w:t xml:space="preserve"> de 2006 estableció la obligación de verificar los datos reportados por los agentes con el fin de declarar su ENFICC, así como la forma de establecer la existencia de discrepancias y la consecuencia que de ella se deriva. En efecto, dicho artículo determinó lo siguiente:</w:t>
      </w:r>
    </w:p>
    <w:p w:rsidR="005B03E9" w:rsidRDefault="005B03E9" w:rsidP="005B03E9">
      <w:pPr>
        <w:tabs>
          <w:tab w:val="left" w:pos="0"/>
        </w:tabs>
        <w:ind w:left="0"/>
        <w:jc w:val="both"/>
        <w:rPr>
          <w:rFonts w:ascii="Bookman Old Style" w:hAnsi="Bookman Old Style" w:cs="Arial"/>
          <w:lang w:val="es-CO"/>
        </w:rPr>
      </w:pPr>
    </w:p>
    <w:p w:rsidR="005B03E9" w:rsidRPr="007801D1" w:rsidRDefault="005B03E9" w:rsidP="005B03E9">
      <w:pPr>
        <w:ind w:right="567"/>
        <w:jc w:val="both"/>
        <w:rPr>
          <w:rFonts w:ascii="Bookman Old Style" w:hAnsi="Bookman Old Style" w:cs="Arial"/>
          <w:i/>
          <w:sz w:val="22"/>
          <w:szCs w:val="22"/>
          <w:lang w:val="es-MX"/>
        </w:rPr>
      </w:pPr>
      <w:r w:rsidRPr="005B03E9">
        <w:rPr>
          <w:rFonts w:ascii="Bookman Old Style" w:hAnsi="Bookman Old Style" w:cs="Arial"/>
          <w:bCs/>
          <w:i/>
          <w:sz w:val="22"/>
          <w:szCs w:val="22"/>
          <w:lang w:val="es-MX"/>
        </w:rPr>
        <w:t>“</w:t>
      </w:r>
      <w:r w:rsidRPr="007801D1">
        <w:rPr>
          <w:rFonts w:ascii="Bookman Old Style" w:hAnsi="Bookman Old Style" w:cs="Arial"/>
          <w:b/>
          <w:bCs/>
          <w:i/>
          <w:sz w:val="22"/>
          <w:szCs w:val="22"/>
          <w:lang w:val="es-MX"/>
        </w:rPr>
        <w:t xml:space="preserve">Artículo 39. Verificación de Parámetros.  </w:t>
      </w:r>
      <w:r w:rsidRPr="007801D1">
        <w:rPr>
          <w:rFonts w:ascii="Bookman Old Style" w:hAnsi="Bookman Old Style" w:cs="Arial"/>
          <w:i/>
          <w:sz w:val="22"/>
          <w:szCs w:val="22"/>
          <w:lang w:val="es-MX"/>
        </w:rPr>
        <w:t xml:space="preserve">Los parámetros declarados por los agentes para el cálculo de la ENFICC se verificarán mediante el mecanismo definido en el Anexo 6 de esta resolución.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MX"/>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 xml:space="preserve">La definición de 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 Lo anterior implica la cesación de los pagos por concepto de Cargo por Confiabilidad que aún no se hayan efectuado y la devolución de los pagos recibidos en la forma como lo defina la CREG. </w:t>
      </w:r>
    </w:p>
    <w:p w:rsidR="005B03E9" w:rsidRDefault="005B03E9" w:rsidP="005B03E9">
      <w:pPr>
        <w:widowControl w:val="0"/>
        <w:adjustRightInd w:val="0"/>
        <w:ind w:right="567"/>
        <w:jc w:val="both"/>
        <w:textAlignment w:val="baseline"/>
        <w:rPr>
          <w:rFonts w:ascii="Bookman Old Style" w:hAnsi="Bookman Old Style" w:cs="Arial"/>
          <w:i/>
          <w:sz w:val="22"/>
          <w:szCs w:val="22"/>
          <w:lang w:val="es-CO"/>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lastRenderedPageBreak/>
        <w:t>En consecuencia, los pagos por concepto del Cargo por Confiabilidad están sometidos a condición resolutoria, consistente en que si mediante acto administrativo en firme de la CREG, se determina la existencia de las referidas discrepancias, por fuera de los rangos de holgura o margen de error definidos por la CREG, los pagos hechos sobre el correspondiente período, se tendrán como pago de lo no debido.</w:t>
      </w: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p>
    <w:p w:rsidR="005B03E9" w:rsidRPr="007801D1" w:rsidRDefault="005B03E9" w:rsidP="005B03E9">
      <w:pPr>
        <w:ind w:right="567"/>
        <w:jc w:val="both"/>
        <w:rPr>
          <w:rFonts w:ascii="Bookman Old Style" w:hAnsi="Bookman Old Style" w:cs="Arial"/>
          <w:i/>
          <w:iCs/>
          <w:sz w:val="22"/>
          <w:szCs w:val="22"/>
        </w:rPr>
      </w:pPr>
      <w:r w:rsidRPr="007801D1">
        <w:rPr>
          <w:rFonts w:ascii="Bookman Old Style" w:hAnsi="Bookman Old Style" w:cs="Arial"/>
          <w:i/>
          <w:iCs/>
          <w:sz w:val="22"/>
          <w:szCs w:val="22"/>
        </w:rPr>
        <w:t>La CREG con el propósito de establecer plenamente la existencia de dichas discrepancias y sus consecuencias y de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 plantas y/o unidades con discrepancias, por fuera de los rangos de holgura o margen de error definidos por la CREG, se comunicará la decisión al ASIC, quien deberá adoptar las medidas correspondientes.  Para las posteriores asignaciones de Obligaciones de Energía Firme se considerará la energía firme resultante de la corrección del parámetro con discrepancias según se establezca en la correspondiente actuación administrativa.</w:t>
      </w:r>
    </w:p>
    <w:p w:rsidR="005B03E9" w:rsidRPr="007801D1" w:rsidRDefault="005B03E9" w:rsidP="005B03E9">
      <w:pPr>
        <w:ind w:right="567"/>
        <w:jc w:val="both"/>
        <w:rPr>
          <w:rFonts w:ascii="Bookman Old Style" w:hAnsi="Bookman Old Style" w:cs="Arial"/>
          <w:i/>
          <w:iCs/>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r w:rsidRPr="007801D1">
        <w:rPr>
          <w:rFonts w:ascii="Bookman Old Style" w:hAnsi="Bookman Old Style" w:cs="Arial"/>
          <w:i/>
          <w:iCs/>
          <w:sz w:val="22"/>
          <w:szCs w:val="22"/>
        </w:rPr>
        <w:t>(…)”</w:t>
      </w: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 </w:t>
      </w: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n el Anexo No. 6 de la Resolución CREG</w:t>
      </w:r>
      <w:r>
        <w:rPr>
          <w:rFonts w:ascii="Bookman Old Style" w:hAnsi="Bookman Old Style" w:cs="Arial"/>
          <w:lang w:val="es-CO"/>
        </w:rPr>
        <w:t xml:space="preserve"> </w:t>
      </w:r>
      <w:r w:rsidRPr="000B33DF">
        <w:rPr>
          <w:rFonts w:ascii="Bookman Old Style" w:hAnsi="Bookman Old Style" w:cs="Arial"/>
          <w:lang w:val="es-CO"/>
        </w:rPr>
        <w:t>071 de 2006</w:t>
      </w:r>
      <w:r>
        <w:rPr>
          <w:rFonts w:ascii="Bookman Old Style" w:hAnsi="Bookman Old Style" w:cs="Arial"/>
          <w:lang w:val="es-CO"/>
        </w:rPr>
        <w:t>, adicionado por la Resolución CREG 079 de 2007,</w:t>
      </w:r>
      <w:r w:rsidRPr="000B33DF">
        <w:rPr>
          <w:rFonts w:ascii="Bookman Old Style" w:hAnsi="Bookman Old Style" w:cs="Arial"/>
          <w:lang w:val="es-CO"/>
        </w:rPr>
        <w:t xml:space="preserve"> se establecieron los criterios para la contratación</w:t>
      </w:r>
      <w:r>
        <w:rPr>
          <w:rFonts w:ascii="Bookman Old Style" w:hAnsi="Bookman Old Style" w:cs="Arial"/>
          <w:lang w:val="es-CO"/>
        </w:rPr>
        <w:t xml:space="preserve"> y desarrollo</w:t>
      </w:r>
      <w:r w:rsidRPr="000B33DF">
        <w:rPr>
          <w:rFonts w:ascii="Bookman Old Style" w:hAnsi="Bookman Old Style" w:cs="Arial"/>
          <w:lang w:val="es-CO"/>
        </w:rPr>
        <w:t xml:space="preserve"> de la auditoría para la verificación de parámetros y se definió que al CND corresponde tal contratación</w:t>
      </w:r>
      <w:r>
        <w:rPr>
          <w:rFonts w:ascii="Bookman Old Style" w:hAnsi="Bookman Old Style" w:cs="Arial"/>
          <w:lang w:val="es-CO"/>
        </w:rPr>
        <w:t>.</w:t>
      </w:r>
    </w:p>
    <w:p w:rsidR="005B03E9" w:rsidRDefault="005B03E9" w:rsidP="005B03E9">
      <w:pPr>
        <w:tabs>
          <w:tab w:val="left" w:pos="0"/>
        </w:tabs>
        <w:ind w:left="0"/>
        <w:jc w:val="both"/>
        <w:rPr>
          <w:rFonts w:ascii="Bookman Old Style" w:hAnsi="Bookman Old Style" w:cs="Arial"/>
          <w:lang w:val="es-CO"/>
        </w:rPr>
      </w:pPr>
    </w:p>
    <w:p w:rsidR="00DC2B43"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 xml:space="preserve">n cumplimiento de las citadas disposiciones el CND contrató a la firma </w:t>
      </w:r>
      <w:r>
        <w:rPr>
          <w:rFonts w:ascii="Bookman Old Style" w:hAnsi="Bookman Old Style" w:cs="Arial"/>
          <w:lang w:val="es-CO"/>
        </w:rPr>
        <w:t>SEDIC S.A.</w:t>
      </w:r>
      <w:r w:rsidRPr="000B33DF">
        <w:rPr>
          <w:rFonts w:ascii="Bookman Old Style" w:hAnsi="Bookman Old Style" w:cs="Arial"/>
          <w:lang w:val="es-CO"/>
        </w:rPr>
        <w:t xml:space="preserve"> para la realización de la audi</w:t>
      </w:r>
      <w:r>
        <w:rPr>
          <w:rFonts w:ascii="Bookman Old Style" w:hAnsi="Bookman Old Style" w:cs="Arial"/>
          <w:lang w:val="es-CO"/>
        </w:rPr>
        <w:t>toría, empresa esta que el día 6 de julio de 2010</w:t>
      </w:r>
      <w:r w:rsidRPr="000B33DF">
        <w:rPr>
          <w:rFonts w:ascii="Bookman Old Style" w:hAnsi="Bookman Old Style" w:cs="Arial"/>
          <w:lang w:val="es-CO"/>
        </w:rPr>
        <w:t xml:space="preserve"> presentó </w:t>
      </w:r>
      <w:r>
        <w:rPr>
          <w:rFonts w:ascii="Bookman Old Style" w:hAnsi="Bookman Old Style" w:cs="Arial"/>
          <w:lang w:val="es-CO"/>
        </w:rPr>
        <w:t>a esta Comisión (</w:t>
      </w:r>
      <w:r w:rsidRPr="000B33DF">
        <w:rPr>
          <w:rFonts w:ascii="Bookman Old Style" w:hAnsi="Bookman Old Style" w:cs="Arial"/>
          <w:lang w:val="es-CO"/>
        </w:rPr>
        <w:t>radicación CREG E-20</w:t>
      </w:r>
      <w:r>
        <w:rPr>
          <w:rFonts w:ascii="Bookman Old Style" w:hAnsi="Bookman Old Style" w:cs="Arial"/>
          <w:lang w:val="es-CO"/>
        </w:rPr>
        <w:t>10</w:t>
      </w:r>
      <w:r w:rsidRPr="000B33DF">
        <w:rPr>
          <w:rFonts w:ascii="Bookman Old Style" w:hAnsi="Bookman Old Style" w:cs="Arial"/>
          <w:lang w:val="es-CO"/>
        </w:rPr>
        <w:t>-0</w:t>
      </w:r>
      <w:r>
        <w:rPr>
          <w:rFonts w:ascii="Bookman Old Style" w:hAnsi="Bookman Old Style" w:cs="Arial"/>
          <w:lang w:val="es-CO"/>
        </w:rPr>
        <w:t>05968)</w:t>
      </w:r>
      <w:r w:rsidRPr="000B33DF">
        <w:rPr>
          <w:rFonts w:ascii="Bookman Old Style" w:hAnsi="Bookman Old Style" w:cs="Arial"/>
          <w:lang w:val="es-CO"/>
        </w:rPr>
        <w:t xml:space="preserve"> el informe final detallado sobre la verificación de parámetros del cargo por confiabilidad</w:t>
      </w:r>
      <w:r w:rsidR="00DC2B43">
        <w:rPr>
          <w:rFonts w:ascii="Bookman Old Style" w:hAnsi="Bookman Old Style" w:cs="Arial"/>
          <w:lang w:val="es-CO"/>
        </w:rPr>
        <w:t>.</w:t>
      </w:r>
    </w:p>
    <w:p w:rsidR="00DC2B43" w:rsidRDefault="00DC2B43" w:rsidP="005B03E9">
      <w:pPr>
        <w:tabs>
          <w:tab w:val="left" w:pos="0"/>
        </w:tabs>
        <w:ind w:left="0"/>
        <w:jc w:val="both"/>
        <w:rPr>
          <w:rFonts w:ascii="Bookman Old Style" w:hAnsi="Bookman Old Style" w:cs="Arial"/>
          <w:lang w:val="es-CO"/>
        </w:rPr>
      </w:pPr>
    </w:p>
    <w:p w:rsidR="005B03E9" w:rsidRPr="000B33DF" w:rsidRDefault="00DC2B43"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Dicho informe contiene los </w:t>
      </w:r>
      <w:r w:rsidR="005B03E9">
        <w:rPr>
          <w:rFonts w:ascii="Bookman Old Style" w:hAnsi="Bookman Old Style" w:cs="Arial"/>
          <w:lang w:val="es-CO"/>
        </w:rPr>
        <w:t>documento</w:t>
      </w:r>
      <w:r>
        <w:rPr>
          <w:rFonts w:ascii="Bookman Old Style" w:hAnsi="Bookman Old Style" w:cs="Arial"/>
          <w:lang w:val="es-CO"/>
        </w:rPr>
        <w:t>s</w:t>
      </w:r>
      <w:r w:rsidR="005B03E9">
        <w:rPr>
          <w:rFonts w:ascii="Bookman Old Style" w:hAnsi="Bookman Old Style" w:cs="Arial"/>
          <w:lang w:val="es-CO"/>
        </w:rPr>
        <w:t xml:space="preserve"> número</w:t>
      </w:r>
      <w:r>
        <w:rPr>
          <w:rFonts w:ascii="Bookman Old Style" w:hAnsi="Bookman Old Style" w:cs="Arial"/>
          <w:lang w:val="es-CO"/>
        </w:rPr>
        <w:t>s</w:t>
      </w:r>
      <w:r w:rsidR="005B03E9">
        <w:rPr>
          <w:rFonts w:ascii="Bookman Old Style" w:hAnsi="Bookman Old Style" w:cs="Arial"/>
          <w:lang w:val="es-CO"/>
        </w:rPr>
        <w:t xml:space="preserve"> </w:t>
      </w:r>
      <w:r w:rsidRPr="00DC2B43">
        <w:rPr>
          <w:rFonts w:ascii="Bookman Old Style" w:hAnsi="Bookman Old Style" w:cs="Arial"/>
          <w:bCs/>
          <w:lang w:val="es-ES_tradnl"/>
        </w:rPr>
        <w:t>I-T370-DPOT-3300-053</w:t>
      </w:r>
      <w:r w:rsidR="009307EE">
        <w:rPr>
          <w:rFonts w:ascii="Bookman Old Style" w:hAnsi="Bookman Old Style" w:cs="Arial"/>
          <w:bCs/>
          <w:lang w:val="es-ES_tradnl"/>
        </w:rPr>
        <w:t>,</w:t>
      </w:r>
      <w:r>
        <w:rPr>
          <w:rFonts w:ascii="Bookman Old Style" w:hAnsi="Bookman Old Style" w:cs="Arial"/>
          <w:bCs/>
          <w:lang w:val="es-ES_tradnl"/>
        </w:rPr>
        <w:t xml:space="preserve"> I-T370-</w:t>
      </w:r>
      <w:r w:rsidRPr="00DC2B43">
        <w:rPr>
          <w:rFonts w:ascii="Bookman Old Style" w:hAnsi="Bookman Old Style" w:cs="Arial"/>
          <w:bCs/>
          <w:lang w:val="es-ES_tradnl"/>
        </w:rPr>
        <w:t>DPOT-3300-05</w:t>
      </w:r>
      <w:r>
        <w:rPr>
          <w:rFonts w:ascii="Bookman Old Style" w:hAnsi="Bookman Old Style" w:cs="Arial"/>
          <w:bCs/>
          <w:lang w:val="es-ES_tradnl"/>
        </w:rPr>
        <w:t>5, I-T370-</w:t>
      </w:r>
      <w:r w:rsidRPr="00DC2B43">
        <w:rPr>
          <w:rFonts w:ascii="Bookman Old Style" w:hAnsi="Bookman Old Style" w:cs="Arial"/>
          <w:bCs/>
          <w:lang w:val="es-ES_tradnl"/>
        </w:rPr>
        <w:t>DPOT-3300-05</w:t>
      </w:r>
      <w:r>
        <w:rPr>
          <w:rFonts w:ascii="Bookman Old Style" w:hAnsi="Bookman Old Style" w:cs="Arial"/>
          <w:bCs/>
          <w:lang w:val="es-ES_tradnl"/>
        </w:rPr>
        <w:t>6, I-T370-</w:t>
      </w:r>
      <w:r w:rsidRPr="00DC2B43">
        <w:rPr>
          <w:rFonts w:ascii="Bookman Old Style" w:hAnsi="Bookman Old Style" w:cs="Arial"/>
          <w:bCs/>
          <w:lang w:val="es-ES_tradnl"/>
        </w:rPr>
        <w:t>DPOT-3300-05</w:t>
      </w:r>
      <w:r>
        <w:rPr>
          <w:rFonts w:ascii="Bookman Old Style" w:hAnsi="Bookman Old Style" w:cs="Arial"/>
          <w:bCs/>
          <w:lang w:val="es-ES_tradnl"/>
        </w:rPr>
        <w:t>7, I-T370-</w:t>
      </w:r>
      <w:r w:rsidRPr="00DC2B43">
        <w:rPr>
          <w:rFonts w:ascii="Bookman Old Style" w:hAnsi="Bookman Old Style" w:cs="Arial"/>
          <w:bCs/>
          <w:lang w:val="es-ES_tradnl"/>
        </w:rPr>
        <w:t>DPOT-3300-05</w:t>
      </w:r>
      <w:r>
        <w:rPr>
          <w:rFonts w:ascii="Bookman Old Style" w:hAnsi="Bookman Old Style" w:cs="Arial"/>
          <w:bCs/>
          <w:lang w:val="es-ES_tradnl"/>
        </w:rPr>
        <w:t>8 y I-T370-</w:t>
      </w:r>
      <w:r w:rsidRPr="00DC2B43">
        <w:rPr>
          <w:rFonts w:ascii="Bookman Old Style" w:hAnsi="Bookman Old Style" w:cs="Arial"/>
          <w:bCs/>
          <w:lang w:val="es-ES_tradnl"/>
        </w:rPr>
        <w:t>DPOT-3300-0</w:t>
      </w:r>
      <w:r>
        <w:rPr>
          <w:rFonts w:ascii="Bookman Old Style" w:hAnsi="Bookman Old Style" w:cs="Arial"/>
          <w:bCs/>
          <w:lang w:val="es-ES_tradnl"/>
        </w:rPr>
        <w:t xml:space="preserve">70, los cuales contienen los informes individualizados de los ríos </w:t>
      </w:r>
      <w:r w:rsidRPr="00D6285E">
        <w:rPr>
          <w:rFonts w:ascii="Bookman Old Style" w:hAnsi="Bookman Old Style" w:cs="Arial"/>
          <w:bCs/>
          <w:lang w:val="es-ES_tradnl"/>
        </w:rPr>
        <w:t>Checua</w:t>
      </w:r>
      <w:r>
        <w:rPr>
          <w:rFonts w:ascii="Bookman Old Style" w:hAnsi="Bookman Old Style" w:cs="Arial"/>
          <w:bCs/>
          <w:lang w:val="es-ES_tradnl"/>
        </w:rPr>
        <w:t>, F</w:t>
      </w:r>
      <w:r w:rsidR="00B774E9">
        <w:rPr>
          <w:rFonts w:ascii="Bookman Old Style" w:hAnsi="Bookman Old Style" w:cs="Arial"/>
          <w:bCs/>
          <w:lang w:val="es-ES_tradnl"/>
        </w:rPr>
        <w:t>ilo de A</w:t>
      </w:r>
      <w:r>
        <w:rPr>
          <w:rFonts w:ascii="Bookman Old Style" w:hAnsi="Bookman Old Style" w:cs="Arial"/>
          <w:bCs/>
          <w:lang w:val="es-ES_tradnl"/>
        </w:rPr>
        <w:t>gua Alicachín, Rioblanco, Teuscá, Tominé y Neusa, respectivamente,</w:t>
      </w:r>
      <w:r w:rsidR="009307EE">
        <w:rPr>
          <w:rFonts w:ascii="Bookman Old Style" w:hAnsi="Bookman Old Style" w:cs="Arial"/>
          <w:bCs/>
          <w:lang w:val="es-ES_tradnl"/>
        </w:rPr>
        <w:t xml:space="preserve"> </w:t>
      </w:r>
      <w:r w:rsidR="009E245F">
        <w:rPr>
          <w:rFonts w:ascii="Bookman Old Style" w:hAnsi="Bookman Old Style" w:cs="Arial"/>
          <w:bCs/>
          <w:lang w:val="es-ES_tradnl"/>
        </w:rPr>
        <w:t xml:space="preserve">en relación con </w:t>
      </w:r>
      <w:r w:rsidR="009307EE">
        <w:rPr>
          <w:rFonts w:ascii="Bookman Old Style" w:hAnsi="Bookman Old Style" w:cs="Arial"/>
          <w:bCs/>
          <w:lang w:val="es-ES_tradnl"/>
        </w:rPr>
        <w:t>el parámetro “</w:t>
      </w:r>
      <w:r w:rsidR="009307EE" w:rsidRPr="009307EE">
        <w:rPr>
          <w:rFonts w:ascii="Bookman Old Style" w:hAnsi="Bookman Old Style" w:cs="Arial"/>
          <w:bCs/>
          <w:lang w:val="es-ES_tradnl"/>
        </w:rPr>
        <w:t>Serie Histórica De Caudales Medios Mensuales</w:t>
      </w:r>
      <w:r w:rsidR="009307EE">
        <w:rPr>
          <w:rFonts w:ascii="Bookman Old Style" w:hAnsi="Bookman Old Style" w:cs="Arial"/>
          <w:bCs/>
          <w:lang w:val="es-ES_tradnl"/>
        </w:rPr>
        <w:t xml:space="preserve"> de los Ríos del SIN” para la</w:t>
      </w:r>
      <w:r>
        <w:rPr>
          <w:rFonts w:ascii="Bookman Old Style" w:hAnsi="Bookman Old Style" w:cs="Arial"/>
          <w:bCs/>
          <w:lang w:val="es-ES_tradnl"/>
        </w:rPr>
        <w:t>s</w:t>
      </w:r>
      <w:r w:rsidR="009307EE">
        <w:rPr>
          <w:rFonts w:ascii="Bookman Old Style" w:hAnsi="Bookman Old Style" w:cs="Arial"/>
          <w:bCs/>
          <w:lang w:val="es-ES_tradnl"/>
        </w:rPr>
        <w:t xml:space="preserve"> planta</w:t>
      </w:r>
      <w:r>
        <w:rPr>
          <w:rFonts w:ascii="Bookman Old Style" w:hAnsi="Bookman Old Style" w:cs="Arial"/>
          <w:bCs/>
          <w:lang w:val="es-ES_tradnl"/>
        </w:rPr>
        <w:t>s de generación PARAÍSO Y LA GUACA</w:t>
      </w:r>
      <w:r w:rsidR="009307EE">
        <w:rPr>
          <w:rFonts w:ascii="Bookman Old Style" w:hAnsi="Bookman Old Style" w:cs="Arial"/>
          <w:bCs/>
          <w:lang w:val="es-ES_tradnl"/>
        </w:rPr>
        <w:t xml:space="preserve">, propiedad de la empresa </w:t>
      </w:r>
      <w:r>
        <w:rPr>
          <w:rFonts w:ascii="Bookman Old Style" w:hAnsi="Bookman Old Style" w:cs="Arial"/>
          <w:bCs/>
          <w:lang w:val="es-ES_tradnl"/>
        </w:rPr>
        <w:t xml:space="preserve">EMGESA </w:t>
      </w:r>
      <w:r w:rsidR="009307EE" w:rsidRPr="009307EE">
        <w:rPr>
          <w:rFonts w:ascii="Bookman Old Style" w:hAnsi="Bookman Old Style" w:cs="Arial"/>
          <w:bCs/>
          <w:lang w:val="es-ES_tradnl"/>
        </w:rPr>
        <w:t>S.A. E.S.P.</w:t>
      </w:r>
      <w:r w:rsidR="005B03E9" w:rsidRPr="000B33DF">
        <w:rPr>
          <w:rFonts w:ascii="Bookman Old Style" w:hAnsi="Bookman Old Style" w:cs="Arial"/>
          <w:lang w:val="es-CO"/>
        </w:rPr>
        <w:t xml:space="preserve"> </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En dicho</w:t>
      </w:r>
      <w:r w:rsidR="0045778F">
        <w:rPr>
          <w:rFonts w:ascii="Bookman Old Style" w:hAnsi="Bookman Old Style" w:cs="Arial"/>
          <w:lang w:val="es-CO"/>
        </w:rPr>
        <w:t>s</w:t>
      </w:r>
      <w:r>
        <w:rPr>
          <w:rFonts w:ascii="Bookman Old Style" w:hAnsi="Bookman Old Style" w:cs="Arial"/>
          <w:lang w:val="es-CO"/>
        </w:rPr>
        <w:t xml:space="preserve"> informe</w:t>
      </w:r>
      <w:r w:rsidR="0045778F">
        <w:rPr>
          <w:rFonts w:ascii="Bookman Old Style" w:hAnsi="Bookman Old Style" w:cs="Arial"/>
          <w:lang w:val="es-CO"/>
        </w:rPr>
        <w:t>s</w:t>
      </w:r>
      <w:r>
        <w:rPr>
          <w:rFonts w:ascii="Bookman Old Style" w:hAnsi="Bookman Old Style" w:cs="Arial"/>
          <w:lang w:val="es-CO"/>
        </w:rPr>
        <w:t xml:space="preserve">, la firma auditora concluyó que se evidenciaron discrepancias entre los valores reportados por </w:t>
      </w:r>
      <w:r w:rsidR="009E245F">
        <w:rPr>
          <w:rFonts w:ascii="Bookman Old Style" w:hAnsi="Bookman Old Style" w:cs="Arial"/>
          <w:lang w:val="es-CO"/>
        </w:rPr>
        <w:t>EMGESA</w:t>
      </w:r>
      <w:r>
        <w:rPr>
          <w:rFonts w:ascii="Bookman Old Style" w:hAnsi="Bookman Old Style" w:cs="Arial"/>
          <w:lang w:val="es-CO"/>
        </w:rPr>
        <w:t xml:space="preserve"> S.A. E.S.P., y los valores calculados por ella. Luego de explicar el proceso de verificación</w:t>
      </w:r>
      <w:r w:rsidR="009E245F">
        <w:rPr>
          <w:rFonts w:ascii="Bookman Old Style" w:hAnsi="Bookman Old Style" w:cs="Arial"/>
          <w:lang w:val="es-CO"/>
        </w:rPr>
        <w:t xml:space="preserve"> en cada informe</w:t>
      </w:r>
      <w:r>
        <w:rPr>
          <w:rFonts w:ascii="Bookman Old Style" w:hAnsi="Bookman Old Style" w:cs="Arial"/>
          <w:lang w:val="es-CO"/>
        </w:rPr>
        <w:t>, se afirma lo siguiente:</w:t>
      </w:r>
    </w:p>
    <w:p w:rsidR="005B03E9" w:rsidRDefault="005B03E9" w:rsidP="005B03E9">
      <w:pPr>
        <w:tabs>
          <w:tab w:val="left" w:pos="0"/>
        </w:tabs>
        <w:ind w:left="0"/>
        <w:jc w:val="both"/>
        <w:rPr>
          <w:rFonts w:ascii="Bookman Old Style" w:hAnsi="Bookman Old Style" w:cs="Arial"/>
          <w:lang w:val="es-CO"/>
        </w:rPr>
      </w:pPr>
    </w:p>
    <w:p w:rsidR="009E245F" w:rsidRPr="00B774E9" w:rsidRDefault="009E245F" w:rsidP="00B774E9">
      <w:pPr>
        <w:tabs>
          <w:tab w:val="left" w:pos="0"/>
        </w:tabs>
        <w:ind w:left="0"/>
        <w:jc w:val="both"/>
        <w:rPr>
          <w:rFonts w:ascii="Bookman Old Style" w:hAnsi="Bookman Old Style" w:cs="Arial"/>
          <w:b/>
          <w:i/>
          <w:sz w:val="22"/>
          <w:szCs w:val="22"/>
          <w:lang w:val="es-CO"/>
        </w:rPr>
      </w:pPr>
      <w:r w:rsidRPr="00B774E9">
        <w:rPr>
          <w:rFonts w:ascii="Bookman Old Style" w:hAnsi="Bookman Old Style" w:cs="Arial"/>
        </w:rPr>
        <w:t xml:space="preserve">Documento </w:t>
      </w:r>
      <w:r w:rsidRPr="00B774E9">
        <w:rPr>
          <w:rFonts w:ascii="Bookman Old Style" w:hAnsi="Bookman Old Style" w:cs="Arial"/>
          <w:bCs/>
          <w:lang w:val="es-ES_tradnl"/>
        </w:rPr>
        <w:t>I-T370-DPOT-3300-053 (Río Checua)</w:t>
      </w:r>
    </w:p>
    <w:p w:rsidR="009E245F" w:rsidRDefault="009E245F" w:rsidP="009E245F">
      <w:pPr>
        <w:tabs>
          <w:tab w:val="left" w:pos="0"/>
        </w:tabs>
        <w:ind w:left="0"/>
        <w:jc w:val="both"/>
        <w:rPr>
          <w:rFonts w:ascii="Bookman Old Style" w:hAnsi="Bookman Old Style" w:cs="Arial"/>
          <w:b/>
          <w:i/>
          <w:sz w:val="22"/>
          <w:szCs w:val="22"/>
        </w:rPr>
      </w:pPr>
    </w:p>
    <w:p w:rsidR="00B774E9" w:rsidRDefault="00B774E9" w:rsidP="009E245F">
      <w:pPr>
        <w:ind w:right="567"/>
        <w:jc w:val="both"/>
        <w:rPr>
          <w:rFonts w:ascii="Bookman Old Style" w:hAnsi="Bookman Old Style" w:cs="Arial"/>
          <w:i/>
          <w:sz w:val="22"/>
          <w:szCs w:val="22"/>
          <w:lang w:val="es-ES_tradnl"/>
        </w:rPr>
      </w:pPr>
      <w:bookmarkStart w:id="1" w:name="_Toc244686409"/>
      <w:bookmarkStart w:id="2" w:name="_Toc248209554"/>
      <w:bookmarkStart w:id="3" w:name="_Toc248228539"/>
      <w:bookmarkStart w:id="4" w:name="_Toc265151171"/>
      <w:r>
        <w:rPr>
          <w:rFonts w:ascii="Bookman Old Style" w:hAnsi="Bookman Old Style" w:cs="Arial"/>
          <w:i/>
          <w:sz w:val="22"/>
          <w:szCs w:val="22"/>
          <w:lang w:val="es-ES_tradnl"/>
        </w:rPr>
        <w:t>“(…)</w:t>
      </w:r>
    </w:p>
    <w:p w:rsidR="00B774E9" w:rsidRDefault="00B774E9" w:rsidP="009E245F">
      <w:pPr>
        <w:ind w:right="567"/>
        <w:jc w:val="both"/>
        <w:rPr>
          <w:rFonts w:ascii="Bookman Old Style" w:hAnsi="Bookman Old Style" w:cs="Arial"/>
          <w:i/>
          <w:sz w:val="22"/>
          <w:szCs w:val="22"/>
          <w:lang w:val="es-ES_tradnl"/>
        </w:rPr>
      </w:pPr>
    </w:p>
    <w:p w:rsidR="009E245F" w:rsidRPr="009E245F" w:rsidRDefault="009E245F" w:rsidP="009E245F">
      <w:pPr>
        <w:ind w:right="567"/>
        <w:jc w:val="both"/>
        <w:rPr>
          <w:rFonts w:ascii="Bookman Old Style" w:hAnsi="Bookman Old Style" w:cs="Arial"/>
          <w:b/>
          <w:i/>
          <w:sz w:val="22"/>
          <w:szCs w:val="22"/>
          <w:lang w:val="es-ES_tradnl"/>
        </w:rPr>
      </w:pPr>
      <w:r w:rsidRPr="009E245F">
        <w:rPr>
          <w:rFonts w:ascii="Bookman Old Style" w:hAnsi="Bookman Old Style" w:cs="Arial"/>
          <w:b/>
          <w:i/>
          <w:sz w:val="22"/>
          <w:szCs w:val="22"/>
          <w:lang w:val="es-ES_tradnl"/>
        </w:rPr>
        <w:t>3.8. Análisis de resultados</w:t>
      </w:r>
      <w:bookmarkEnd w:id="1"/>
      <w:bookmarkEnd w:id="2"/>
      <w:bookmarkEnd w:id="3"/>
      <w:bookmarkEnd w:id="4"/>
    </w:p>
    <w:p w:rsidR="009E245F" w:rsidRPr="009E245F" w:rsidRDefault="009E245F" w:rsidP="009E245F">
      <w:pPr>
        <w:ind w:right="567"/>
        <w:jc w:val="both"/>
        <w:rPr>
          <w:rFonts w:ascii="Bookman Old Style" w:hAnsi="Bookman Old Style" w:cs="Arial"/>
          <w:i/>
          <w:sz w:val="22"/>
          <w:szCs w:val="22"/>
          <w:lang w:val="es-ES_tradnl"/>
        </w:rPr>
      </w:pPr>
    </w:p>
    <w:p w:rsidR="009E245F" w:rsidRPr="009E245F" w:rsidRDefault="009E245F" w:rsidP="009E245F">
      <w:pPr>
        <w:ind w:right="567"/>
        <w:jc w:val="both"/>
        <w:rPr>
          <w:rFonts w:ascii="Bookman Old Style" w:hAnsi="Bookman Old Style" w:cs="Arial"/>
          <w:i/>
          <w:sz w:val="22"/>
          <w:szCs w:val="22"/>
          <w:lang w:val="es-ES_tradnl"/>
        </w:rPr>
      </w:pPr>
      <w:r w:rsidRPr="009E245F">
        <w:rPr>
          <w:rFonts w:ascii="Bookman Old Style" w:hAnsi="Bookman Old Style" w:cs="Arial"/>
          <w:i/>
          <w:sz w:val="22"/>
          <w:szCs w:val="22"/>
          <w:lang w:val="es-ES_tradnl"/>
        </w:rPr>
        <w:t xml:space="preserve">La serie de caudales medios mensuales Checua  reportada por EMGESA S.A. E.S.P. a la CREG (Tabla 1), ha sido verificada en todos los meses </w:t>
      </w:r>
      <w:r w:rsidRPr="009E245F">
        <w:rPr>
          <w:rFonts w:ascii="Bookman Old Style" w:hAnsi="Bookman Old Style" w:cs="Arial"/>
          <w:i/>
          <w:sz w:val="22"/>
          <w:szCs w:val="22"/>
          <w:lang w:val="es-ES_tradnl"/>
        </w:rPr>
        <w:lastRenderedPageBreak/>
        <w:t>correspondientes al período Enero/1965 a Diciembre/2007 en el cual se dispuso de la información necesaria. Se presentaron en la verificación preliminar diferencias positivas entre los valores declarados por EMGESA S.A. E.S.P. y los calculados por SEDIC S.A., que no pudieron ser resueltas con el agente, razón por la cual se sostienen en este informe las discrepancias previamente encontradas en la serie Checua en el periodo Enero/2001 a Enero/2003.</w:t>
      </w:r>
    </w:p>
    <w:p w:rsidR="009E245F" w:rsidRPr="009E245F" w:rsidRDefault="009E245F" w:rsidP="009E245F">
      <w:pPr>
        <w:ind w:right="567"/>
        <w:jc w:val="both"/>
        <w:rPr>
          <w:rFonts w:ascii="Bookman Old Style" w:hAnsi="Bookman Old Style" w:cs="Arial"/>
          <w:i/>
          <w:sz w:val="22"/>
          <w:szCs w:val="22"/>
        </w:rPr>
      </w:pPr>
    </w:p>
    <w:p w:rsidR="009E245F" w:rsidRPr="009E245F" w:rsidRDefault="009E245F" w:rsidP="009E245F">
      <w:pPr>
        <w:ind w:right="567"/>
        <w:jc w:val="both"/>
        <w:rPr>
          <w:rFonts w:ascii="Bookman Old Style" w:hAnsi="Bookman Old Style" w:cs="Arial"/>
          <w:b/>
          <w:i/>
          <w:sz w:val="22"/>
          <w:szCs w:val="22"/>
          <w:lang w:val="es-ES_tradnl"/>
        </w:rPr>
      </w:pPr>
      <w:bookmarkStart w:id="5" w:name="_Toc244686410"/>
      <w:bookmarkStart w:id="6" w:name="_Toc248209555"/>
      <w:bookmarkStart w:id="7" w:name="_Toc248228540"/>
      <w:bookmarkStart w:id="8" w:name="_Toc265151172"/>
      <w:r w:rsidRPr="009E245F">
        <w:rPr>
          <w:rFonts w:ascii="Bookman Old Style" w:hAnsi="Bookman Old Style" w:cs="Arial"/>
          <w:b/>
          <w:i/>
          <w:sz w:val="22"/>
          <w:szCs w:val="22"/>
          <w:lang w:val="es-ES_tradnl"/>
        </w:rPr>
        <w:t>4. CONCLUSIÓN</w:t>
      </w:r>
      <w:bookmarkEnd w:id="5"/>
      <w:bookmarkEnd w:id="6"/>
      <w:bookmarkEnd w:id="7"/>
      <w:bookmarkEnd w:id="8"/>
      <w:r w:rsidRPr="009E245F">
        <w:rPr>
          <w:rFonts w:ascii="Bookman Old Style" w:hAnsi="Bookman Old Style" w:cs="Arial"/>
          <w:b/>
          <w:i/>
          <w:sz w:val="22"/>
          <w:szCs w:val="22"/>
          <w:lang w:val="es-ES_tradnl"/>
        </w:rPr>
        <w:t xml:space="preserve"> </w:t>
      </w:r>
    </w:p>
    <w:p w:rsidR="009E245F" w:rsidRPr="009E245F" w:rsidRDefault="009E245F" w:rsidP="009E245F">
      <w:pPr>
        <w:ind w:right="567"/>
        <w:jc w:val="both"/>
        <w:rPr>
          <w:rFonts w:ascii="Bookman Old Style" w:hAnsi="Bookman Old Style" w:cs="Arial"/>
          <w:i/>
          <w:sz w:val="22"/>
          <w:szCs w:val="22"/>
          <w:lang w:val="es-ES_tradnl"/>
        </w:rPr>
      </w:pPr>
    </w:p>
    <w:p w:rsidR="009E245F" w:rsidRDefault="009E245F" w:rsidP="009E245F">
      <w:pPr>
        <w:ind w:right="567"/>
        <w:jc w:val="both"/>
        <w:rPr>
          <w:rFonts w:ascii="Bookman Old Style" w:hAnsi="Bookman Old Style" w:cs="Arial"/>
          <w:i/>
          <w:sz w:val="22"/>
          <w:szCs w:val="22"/>
          <w:lang w:val="es-ES_tradnl"/>
        </w:rPr>
      </w:pPr>
      <w:r w:rsidRPr="009E245F">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CHECUA verificada </w:t>
      </w:r>
      <w:r w:rsidRPr="009E245F">
        <w:rPr>
          <w:rFonts w:ascii="Bookman Old Style" w:hAnsi="Bookman Old Style" w:cs="Arial"/>
          <w:b/>
          <w:i/>
          <w:sz w:val="22"/>
          <w:szCs w:val="22"/>
        </w:rPr>
        <w:t>PRESENTA DISCREPANCIA</w:t>
      </w:r>
      <w:r w:rsidRPr="009E245F">
        <w:rPr>
          <w:rFonts w:ascii="Bookman Old Style" w:hAnsi="Bookman Old Style" w:cs="Arial"/>
          <w:i/>
          <w:sz w:val="22"/>
          <w:szCs w:val="22"/>
        </w:rPr>
        <w:t xml:space="preserve"> con la reportada a la CREG por EMGESA</w:t>
      </w:r>
      <w:r w:rsidRPr="009E245F">
        <w:rPr>
          <w:rFonts w:ascii="Bookman Old Style" w:hAnsi="Bookman Old Style" w:cs="Arial"/>
          <w:i/>
          <w:sz w:val="22"/>
          <w:szCs w:val="22"/>
          <w:lang w:val="es-ES_tradnl"/>
        </w:rPr>
        <w:t xml:space="preserve"> S.A. E.S.P.</w:t>
      </w:r>
      <w:r>
        <w:rPr>
          <w:rFonts w:ascii="Bookman Old Style" w:hAnsi="Bookman Old Style" w:cs="Arial"/>
          <w:i/>
          <w:sz w:val="22"/>
          <w:szCs w:val="22"/>
          <w:lang w:val="es-ES_tradnl"/>
        </w:rPr>
        <w:t>”</w:t>
      </w:r>
    </w:p>
    <w:p w:rsidR="00B774E9" w:rsidRDefault="00B774E9" w:rsidP="00B774E9">
      <w:pPr>
        <w:ind w:left="0" w:right="567"/>
        <w:jc w:val="both"/>
        <w:rPr>
          <w:rFonts w:ascii="Bookman Old Style" w:hAnsi="Bookman Old Style" w:cs="Arial"/>
          <w:i/>
          <w:sz w:val="22"/>
          <w:szCs w:val="22"/>
          <w:lang w:val="es-ES_tradnl"/>
        </w:rPr>
      </w:pPr>
    </w:p>
    <w:p w:rsidR="00B774E9" w:rsidRPr="00B774E9" w:rsidRDefault="00B774E9" w:rsidP="00B774E9">
      <w:pPr>
        <w:ind w:left="0"/>
        <w:jc w:val="both"/>
        <w:rPr>
          <w:rFonts w:ascii="Bookman Old Style" w:hAnsi="Bookman Old Style" w:cs="Arial"/>
        </w:rPr>
      </w:pPr>
      <w:r w:rsidRPr="00B774E9">
        <w:rPr>
          <w:rFonts w:ascii="Bookman Old Style" w:hAnsi="Bookman Old Style" w:cs="Arial"/>
        </w:rPr>
        <w:t xml:space="preserve">Documento </w:t>
      </w:r>
      <w:r w:rsidRPr="00B774E9">
        <w:rPr>
          <w:rFonts w:ascii="Bookman Old Style" w:hAnsi="Bookman Old Style" w:cs="Arial"/>
          <w:bCs/>
          <w:lang w:val="es-ES_tradnl"/>
        </w:rPr>
        <w:t>I-T370-DPOT-3300-055 (Río Filo de Agua Alicachín)</w:t>
      </w:r>
    </w:p>
    <w:p w:rsidR="009E245F" w:rsidRPr="009E245F" w:rsidRDefault="009E245F" w:rsidP="009E245F">
      <w:pPr>
        <w:tabs>
          <w:tab w:val="left" w:pos="0"/>
        </w:tabs>
        <w:ind w:left="0"/>
        <w:jc w:val="both"/>
        <w:rPr>
          <w:rFonts w:ascii="Bookman Old Style" w:hAnsi="Bookman Old Style" w:cs="Arial"/>
          <w:b/>
          <w:sz w:val="22"/>
          <w:szCs w:val="22"/>
        </w:rPr>
      </w:pPr>
    </w:p>
    <w:p w:rsidR="005B03E9" w:rsidRDefault="00B774E9" w:rsidP="005B03E9">
      <w:pPr>
        <w:widowControl w:val="0"/>
        <w:ind w:right="567"/>
        <w:jc w:val="both"/>
        <w:rPr>
          <w:rFonts w:ascii="Bookman Old Style" w:hAnsi="Bookman Old Style" w:cs="Arial"/>
          <w:i/>
          <w:sz w:val="22"/>
          <w:szCs w:val="22"/>
        </w:rPr>
      </w:pPr>
      <w:r>
        <w:rPr>
          <w:rFonts w:ascii="Bookman Old Style" w:hAnsi="Bookman Old Style" w:cs="Arial"/>
          <w:i/>
          <w:sz w:val="22"/>
          <w:szCs w:val="22"/>
        </w:rPr>
        <w:t>“(…)</w:t>
      </w:r>
    </w:p>
    <w:p w:rsidR="00B774E9" w:rsidRDefault="00B774E9" w:rsidP="005B03E9">
      <w:pPr>
        <w:widowControl w:val="0"/>
        <w:ind w:right="567"/>
        <w:jc w:val="both"/>
        <w:rPr>
          <w:rFonts w:ascii="Bookman Old Style" w:hAnsi="Bookman Old Style" w:cs="Arial"/>
          <w:i/>
          <w:sz w:val="22"/>
          <w:szCs w:val="22"/>
        </w:rPr>
      </w:pPr>
    </w:p>
    <w:p w:rsidR="00B774E9" w:rsidRPr="00B774E9" w:rsidRDefault="00B774E9" w:rsidP="00B774E9">
      <w:pPr>
        <w:widowControl w:val="0"/>
        <w:ind w:right="567"/>
        <w:jc w:val="both"/>
        <w:rPr>
          <w:rFonts w:ascii="Bookman Old Style" w:hAnsi="Bookman Old Style" w:cs="Arial"/>
          <w:b/>
          <w:i/>
          <w:sz w:val="22"/>
          <w:szCs w:val="22"/>
          <w:lang w:val="es-ES_tradnl"/>
        </w:rPr>
      </w:pPr>
      <w:bookmarkStart w:id="9" w:name="_Toc248233726"/>
      <w:bookmarkStart w:id="10" w:name="_Toc248236317"/>
      <w:bookmarkStart w:id="11" w:name="_Toc265228925"/>
      <w:r>
        <w:rPr>
          <w:rFonts w:ascii="Bookman Old Style" w:hAnsi="Bookman Old Style" w:cs="Arial"/>
          <w:b/>
          <w:i/>
          <w:sz w:val="22"/>
          <w:szCs w:val="22"/>
          <w:lang w:val="es-ES_tradnl"/>
        </w:rPr>
        <w:t xml:space="preserve">3.8. </w:t>
      </w:r>
      <w:r w:rsidRPr="00B774E9">
        <w:rPr>
          <w:rFonts w:ascii="Bookman Old Style" w:hAnsi="Bookman Old Style" w:cs="Arial"/>
          <w:b/>
          <w:i/>
          <w:sz w:val="22"/>
          <w:szCs w:val="22"/>
          <w:lang w:val="es-ES_tradnl"/>
        </w:rPr>
        <w:t>Análisis de resultados</w:t>
      </w:r>
      <w:bookmarkEnd w:id="9"/>
      <w:bookmarkEnd w:id="10"/>
      <w:bookmarkEnd w:id="11"/>
    </w:p>
    <w:p w:rsidR="00B774E9" w:rsidRPr="00B774E9" w:rsidRDefault="00B774E9" w:rsidP="00B774E9">
      <w:pPr>
        <w:widowControl w:val="0"/>
        <w:ind w:right="567"/>
        <w:jc w:val="both"/>
        <w:rPr>
          <w:rFonts w:ascii="Bookman Old Style" w:hAnsi="Bookman Old Style" w:cs="Arial"/>
          <w:i/>
          <w:sz w:val="22"/>
          <w:szCs w:val="22"/>
          <w:lang w:val="es-ES_tradnl"/>
        </w:rPr>
      </w:pPr>
    </w:p>
    <w:p w:rsidR="00B774E9" w:rsidRPr="00B774E9" w:rsidRDefault="00B774E9" w:rsidP="00B774E9">
      <w:pPr>
        <w:widowControl w:val="0"/>
        <w:ind w:right="567"/>
        <w:jc w:val="both"/>
        <w:rPr>
          <w:rFonts w:ascii="Bookman Old Style" w:hAnsi="Bookman Old Style" w:cs="Arial"/>
          <w:i/>
          <w:sz w:val="22"/>
          <w:szCs w:val="22"/>
          <w:lang w:val="es-ES_tradnl"/>
        </w:rPr>
      </w:pPr>
      <w:r w:rsidRPr="00B774E9">
        <w:rPr>
          <w:rFonts w:ascii="Bookman Old Style" w:hAnsi="Bookman Old Style" w:cs="Arial"/>
          <w:i/>
          <w:sz w:val="22"/>
          <w:szCs w:val="22"/>
          <w:lang w:val="es-ES_tradnl"/>
        </w:rPr>
        <w:t>La serie de caudales medios mensuales Fagua Alicachín  reportada por EMGESA S.A. E.S.P. a la CREG (Tabla 1), ha sido verificada en todos los meses correspondientes al período Enero/1965 a Diciembre/2007 en el cual se dispuso de la información necesaria. Se presentaron en la verificación preliminar diferencias positivas entre los valores declarados por EMGESA S.A. E.S.P. y los calculados por SEDIC S.A., que no pudieron ser resueltas con el agente, razón por la cual se sostienen en este informe las discrepancias previamente encontradas en la serie Fagua Alicachín en el periodo Enero/2001 a Diciembre/2007.</w:t>
      </w:r>
    </w:p>
    <w:p w:rsidR="00B774E9" w:rsidRPr="00B774E9" w:rsidRDefault="00B774E9" w:rsidP="00B774E9">
      <w:pPr>
        <w:widowControl w:val="0"/>
        <w:ind w:right="567"/>
        <w:jc w:val="both"/>
        <w:rPr>
          <w:rFonts w:ascii="Bookman Old Style" w:hAnsi="Bookman Old Style" w:cs="Arial"/>
          <w:i/>
          <w:sz w:val="22"/>
          <w:szCs w:val="22"/>
          <w:lang w:val="es-ES_tradnl"/>
        </w:rPr>
      </w:pPr>
    </w:p>
    <w:p w:rsidR="00B774E9" w:rsidRPr="00B774E9" w:rsidRDefault="00B774E9" w:rsidP="00B774E9">
      <w:pPr>
        <w:widowControl w:val="0"/>
        <w:ind w:right="567"/>
        <w:jc w:val="both"/>
        <w:rPr>
          <w:rFonts w:ascii="Bookman Old Style" w:hAnsi="Bookman Old Style" w:cs="Arial"/>
          <w:b/>
          <w:i/>
          <w:sz w:val="22"/>
          <w:szCs w:val="22"/>
          <w:lang w:val="es-ES_tradnl"/>
        </w:rPr>
      </w:pPr>
      <w:bookmarkStart w:id="12" w:name="_Toc248233727"/>
      <w:bookmarkStart w:id="13" w:name="_Toc248236318"/>
      <w:bookmarkStart w:id="14" w:name="_Toc265228926"/>
      <w:r>
        <w:rPr>
          <w:rFonts w:ascii="Bookman Old Style" w:hAnsi="Bookman Old Style" w:cs="Arial"/>
          <w:b/>
          <w:i/>
          <w:sz w:val="22"/>
          <w:szCs w:val="22"/>
          <w:lang w:val="es-ES_tradnl"/>
        </w:rPr>
        <w:t xml:space="preserve">4. </w:t>
      </w:r>
      <w:r w:rsidRPr="00B774E9">
        <w:rPr>
          <w:rFonts w:ascii="Bookman Old Style" w:hAnsi="Bookman Old Style" w:cs="Arial"/>
          <w:b/>
          <w:i/>
          <w:sz w:val="22"/>
          <w:szCs w:val="22"/>
          <w:lang w:val="es-ES_tradnl"/>
        </w:rPr>
        <w:t>CONCLUSIÓN</w:t>
      </w:r>
      <w:bookmarkEnd w:id="12"/>
      <w:bookmarkEnd w:id="13"/>
      <w:bookmarkEnd w:id="14"/>
      <w:r w:rsidRPr="00B774E9">
        <w:rPr>
          <w:rFonts w:ascii="Bookman Old Style" w:hAnsi="Bookman Old Style" w:cs="Arial"/>
          <w:b/>
          <w:i/>
          <w:sz w:val="22"/>
          <w:szCs w:val="22"/>
          <w:lang w:val="es-ES_tradnl"/>
        </w:rPr>
        <w:t xml:space="preserve"> </w:t>
      </w:r>
    </w:p>
    <w:p w:rsidR="00B774E9" w:rsidRPr="00B774E9" w:rsidRDefault="00B774E9" w:rsidP="00B774E9">
      <w:pPr>
        <w:widowControl w:val="0"/>
        <w:ind w:right="567"/>
        <w:jc w:val="both"/>
        <w:rPr>
          <w:rFonts w:ascii="Bookman Old Style" w:hAnsi="Bookman Old Style" w:cs="Arial"/>
          <w:i/>
          <w:sz w:val="22"/>
          <w:szCs w:val="22"/>
          <w:lang w:val="es-ES_tradnl"/>
        </w:rPr>
      </w:pPr>
    </w:p>
    <w:p w:rsidR="00B774E9" w:rsidRDefault="00B774E9" w:rsidP="00B774E9">
      <w:pPr>
        <w:widowControl w:val="0"/>
        <w:ind w:right="567"/>
        <w:jc w:val="both"/>
        <w:rPr>
          <w:rFonts w:ascii="Bookman Old Style" w:hAnsi="Bookman Old Style" w:cs="Arial"/>
          <w:i/>
          <w:sz w:val="22"/>
          <w:szCs w:val="22"/>
          <w:lang w:val="es-ES_tradnl"/>
        </w:rPr>
      </w:pPr>
      <w:r w:rsidRPr="00B774E9">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FAGUA ALICACHÍN verificada </w:t>
      </w:r>
      <w:r w:rsidRPr="00B774E9">
        <w:rPr>
          <w:rFonts w:ascii="Bookman Old Style" w:hAnsi="Bookman Old Style" w:cs="Arial"/>
          <w:b/>
          <w:i/>
          <w:sz w:val="22"/>
          <w:szCs w:val="22"/>
        </w:rPr>
        <w:t>PRESENTA DISCREPANCIA</w:t>
      </w:r>
      <w:r w:rsidRPr="00B774E9">
        <w:rPr>
          <w:rFonts w:ascii="Bookman Old Style" w:hAnsi="Bookman Old Style" w:cs="Arial"/>
          <w:i/>
          <w:sz w:val="22"/>
          <w:szCs w:val="22"/>
        </w:rPr>
        <w:t xml:space="preserve"> con la reportada a la CREG por EMGESA </w:t>
      </w:r>
      <w:r w:rsidRPr="00B774E9">
        <w:rPr>
          <w:rFonts w:ascii="Bookman Old Style" w:hAnsi="Bookman Old Style" w:cs="Arial"/>
          <w:i/>
          <w:sz w:val="22"/>
          <w:szCs w:val="22"/>
          <w:lang w:val="es-ES_tradnl"/>
        </w:rPr>
        <w:t>S.A. E.S.P.</w:t>
      </w:r>
      <w:r>
        <w:rPr>
          <w:rFonts w:ascii="Bookman Old Style" w:hAnsi="Bookman Old Style" w:cs="Arial"/>
          <w:i/>
          <w:sz w:val="22"/>
          <w:szCs w:val="22"/>
          <w:lang w:val="es-ES_tradnl"/>
        </w:rPr>
        <w:t>”</w:t>
      </w:r>
    </w:p>
    <w:p w:rsidR="00B774E9" w:rsidRDefault="00B774E9" w:rsidP="00B774E9">
      <w:pPr>
        <w:widowControl w:val="0"/>
        <w:ind w:left="0" w:right="567"/>
        <w:jc w:val="both"/>
        <w:rPr>
          <w:rFonts w:ascii="Bookman Old Style" w:hAnsi="Bookman Old Style" w:cs="Arial"/>
          <w:i/>
          <w:sz w:val="22"/>
          <w:szCs w:val="22"/>
          <w:lang w:val="es-ES_tradnl"/>
        </w:rPr>
      </w:pPr>
    </w:p>
    <w:p w:rsidR="00B774E9" w:rsidRDefault="00B774E9" w:rsidP="00B774E9">
      <w:pPr>
        <w:widowControl w:val="0"/>
        <w:ind w:left="0" w:right="567"/>
        <w:jc w:val="both"/>
        <w:rPr>
          <w:rFonts w:ascii="Bookman Old Style" w:hAnsi="Bookman Old Style" w:cs="Arial"/>
          <w:bCs/>
          <w:lang w:val="es-ES_tradnl"/>
        </w:rPr>
      </w:pPr>
      <w:r w:rsidRPr="00B774E9">
        <w:rPr>
          <w:rFonts w:ascii="Bookman Old Style" w:hAnsi="Bookman Old Style" w:cs="Arial"/>
        </w:rPr>
        <w:t xml:space="preserve">Documento </w:t>
      </w:r>
      <w:r>
        <w:rPr>
          <w:rFonts w:ascii="Bookman Old Style" w:hAnsi="Bookman Old Style" w:cs="Arial"/>
          <w:bCs/>
          <w:lang w:val="es-ES_tradnl"/>
        </w:rPr>
        <w:t>I-T370-</w:t>
      </w:r>
      <w:r w:rsidRPr="00B774E9">
        <w:rPr>
          <w:rFonts w:ascii="Bookman Old Style" w:hAnsi="Bookman Old Style" w:cs="Arial"/>
          <w:bCs/>
          <w:lang w:val="es-ES_tradnl"/>
        </w:rPr>
        <w:t>DPOT-3300-056</w:t>
      </w:r>
      <w:r>
        <w:rPr>
          <w:rFonts w:ascii="Bookman Old Style" w:hAnsi="Bookman Old Style" w:cs="Arial"/>
          <w:bCs/>
          <w:lang w:val="es-ES_tradnl"/>
        </w:rPr>
        <w:t xml:space="preserve"> (Río Rioblanco)</w:t>
      </w:r>
    </w:p>
    <w:p w:rsidR="00B774E9" w:rsidRDefault="00B774E9" w:rsidP="00B774E9">
      <w:pPr>
        <w:widowControl w:val="0"/>
        <w:ind w:left="0" w:right="567"/>
        <w:jc w:val="both"/>
        <w:rPr>
          <w:rFonts w:ascii="Bookman Old Style" w:hAnsi="Bookman Old Style" w:cs="Arial"/>
          <w:bCs/>
          <w:lang w:val="es-ES_tradnl"/>
        </w:rPr>
      </w:pPr>
    </w:p>
    <w:p w:rsidR="00B774E9" w:rsidRPr="00B774E9" w:rsidRDefault="00B774E9" w:rsidP="00B774E9">
      <w:pPr>
        <w:widowControl w:val="0"/>
        <w:ind w:right="567"/>
        <w:jc w:val="both"/>
        <w:rPr>
          <w:rFonts w:ascii="Bookman Old Style" w:hAnsi="Bookman Old Style" w:cs="Arial"/>
          <w:bCs/>
          <w:i/>
          <w:sz w:val="22"/>
          <w:szCs w:val="22"/>
          <w:lang w:val="es-ES_tradnl"/>
        </w:rPr>
      </w:pPr>
      <w:r w:rsidRPr="00B774E9">
        <w:rPr>
          <w:rFonts w:ascii="Bookman Old Style" w:hAnsi="Bookman Old Style" w:cs="Arial"/>
          <w:bCs/>
          <w:i/>
          <w:sz w:val="22"/>
          <w:szCs w:val="22"/>
          <w:lang w:val="es-ES_tradnl"/>
        </w:rPr>
        <w:t>“(…)</w:t>
      </w:r>
    </w:p>
    <w:p w:rsidR="00B774E9" w:rsidRPr="00B774E9" w:rsidRDefault="00B774E9" w:rsidP="00B774E9">
      <w:pPr>
        <w:widowControl w:val="0"/>
        <w:ind w:right="567"/>
        <w:jc w:val="both"/>
        <w:rPr>
          <w:rFonts w:ascii="Bookman Old Style" w:hAnsi="Bookman Old Style" w:cs="Arial"/>
          <w:bCs/>
          <w:i/>
          <w:sz w:val="22"/>
          <w:szCs w:val="22"/>
          <w:lang w:val="es-ES_tradnl"/>
        </w:rPr>
      </w:pPr>
    </w:p>
    <w:p w:rsidR="00B774E9" w:rsidRPr="00B774E9" w:rsidRDefault="00B774E9" w:rsidP="00B774E9">
      <w:pPr>
        <w:widowControl w:val="0"/>
        <w:ind w:right="567"/>
        <w:jc w:val="both"/>
        <w:rPr>
          <w:rFonts w:ascii="Bookman Old Style" w:hAnsi="Bookman Old Style" w:cs="Arial"/>
          <w:b/>
          <w:i/>
          <w:sz w:val="22"/>
          <w:szCs w:val="22"/>
          <w:lang w:val="es-ES_tradnl"/>
        </w:rPr>
      </w:pPr>
      <w:bookmarkStart w:id="15" w:name="_Toc248287545"/>
      <w:bookmarkStart w:id="16" w:name="_Toc248290544"/>
      <w:bookmarkStart w:id="17" w:name="_Toc265229579"/>
      <w:r w:rsidRPr="00B774E9">
        <w:rPr>
          <w:rFonts w:ascii="Bookman Old Style" w:hAnsi="Bookman Old Style" w:cs="Arial"/>
          <w:b/>
          <w:i/>
          <w:sz w:val="22"/>
          <w:szCs w:val="22"/>
          <w:lang w:val="es-ES_tradnl"/>
        </w:rPr>
        <w:t>3.8. Análisis de resultados</w:t>
      </w:r>
      <w:bookmarkEnd w:id="15"/>
      <w:bookmarkEnd w:id="16"/>
      <w:bookmarkEnd w:id="17"/>
    </w:p>
    <w:p w:rsidR="00B774E9" w:rsidRPr="00B774E9" w:rsidRDefault="00B774E9" w:rsidP="00B774E9">
      <w:pPr>
        <w:widowControl w:val="0"/>
        <w:ind w:right="567"/>
        <w:jc w:val="both"/>
        <w:rPr>
          <w:rFonts w:ascii="Bookman Old Style" w:hAnsi="Bookman Old Style" w:cs="Arial"/>
          <w:i/>
          <w:sz w:val="22"/>
          <w:szCs w:val="22"/>
          <w:lang w:val="es-ES_tradnl"/>
        </w:rPr>
      </w:pPr>
    </w:p>
    <w:p w:rsidR="00B774E9" w:rsidRPr="00B774E9" w:rsidRDefault="00B774E9" w:rsidP="00B774E9">
      <w:pPr>
        <w:widowControl w:val="0"/>
        <w:ind w:right="567"/>
        <w:jc w:val="both"/>
        <w:rPr>
          <w:rFonts w:ascii="Bookman Old Style" w:hAnsi="Bookman Old Style" w:cs="Arial"/>
          <w:i/>
          <w:sz w:val="22"/>
          <w:szCs w:val="22"/>
          <w:lang w:val="es-ES_tradnl"/>
        </w:rPr>
      </w:pPr>
      <w:r w:rsidRPr="00B774E9">
        <w:rPr>
          <w:rFonts w:ascii="Bookman Old Style" w:hAnsi="Bookman Old Style" w:cs="Arial"/>
          <w:i/>
          <w:sz w:val="22"/>
          <w:szCs w:val="22"/>
          <w:lang w:val="es-ES_tradnl"/>
        </w:rPr>
        <w:t xml:space="preserve">La serie de caudales medios mensuales Río Blanco  reportada por EMGESA S.A. E.S.P. a la CREG (Tabla 1), ha sido verificada en todos los meses correspondientes al período Enero/1972 – Diciembre/2007 en el cual se dispuso de la información necesaria. Se presentaron en la verificación preliminar diferencias positivas entre los valores declarados por EMGESA S.A. E.S.P. para la serie Río Blanco hidrología antigua y los remitidos en su soporte de cálculo que fue verificado por SEDIC S.A., que no pudieron ser resueltas con el agente, razón por la cual se sostienen en este informe las </w:t>
      </w:r>
      <w:r w:rsidRPr="00B774E9">
        <w:rPr>
          <w:rFonts w:ascii="Bookman Old Style" w:hAnsi="Bookman Old Style" w:cs="Arial"/>
          <w:i/>
          <w:sz w:val="22"/>
          <w:szCs w:val="22"/>
          <w:lang w:val="es-ES_tradnl"/>
        </w:rPr>
        <w:lastRenderedPageBreak/>
        <w:t>discrepancias previamente encontradas en la serie Río Blanco en el periodo Enero/2001 a Diciembre/2005.</w:t>
      </w:r>
    </w:p>
    <w:p w:rsidR="00B774E9" w:rsidRPr="00B774E9" w:rsidRDefault="00B774E9" w:rsidP="00B774E9">
      <w:pPr>
        <w:widowControl w:val="0"/>
        <w:ind w:right="567"/>
        <w:jc w:val="both"/>
        <w:rPr>
          <w:rFonts w:ascii="Bookman Old Style" w:hAnsi="Bookman Old Style" w:cs="Arial"/>
          <w:i/>
          <w:sz w:val="22"/>
          <w:szCs w:val="22"/>
          <w:lang w:val="es-ES_tradnl"/>
        </w:rPr>
      </w:pPr>
    </w:p>
    <w:p w:rsidR="00B774E9" w:rsidRPr="00B774E9" w:rsidRDefault="00B774E9" w:rsidP="00B774E9">
      <w:pPr>
        <w:widowControl w:val="0"/>
        <w:ind w:right="567"/>
        <w:jc w:val="both"/>
        <w:rPr>
          <w:rFonts w:ascii="Bookman Old Style" w:hAnsi="Bookman Old Style" w:cs="Arial"/>
          <w:b/>
          <w:i/>
          <w:sz w:val="22"/>
          <w:szCs w:val="22"/>
          <w:lang w:val="es-ES_tradnl"/>
        </w:rPr>
      </w:pPr>
      <w:bookmarkStart w:id="18" w:name="_Toc248287546"/>
      <w:bookmarkStart w:id="19" w:name="_Toc248290545"/>
      <w:bookmarkStart w:id="20" w:name="_Toc265229580"/>
      <w:r w:rsidRPr="00B774E9">
        <w:rPr>
          <w:rFonts w:ascii="Bookman Old Style" w:hAnsi="Bookman Old Style" w:cs="Arial"/>
          <w:b/>
          <w:i/>
          <w:sz w:val="22"/>
          <w:szCs w:val="22"/>
          <w:lang w:val="es-ES_tradnl"/>
        </w:rPr>
        <w:t>4. CONCLUSIÓN</w:t>
      </w:r>
      <w:bookmarkEnd w:id="18"/>
      <w:bookmarkEnd w:id="19"/>
      <w:bookmarkEnd w:id="20"/>
      <w:r w:rsidRPr="00B774E9">
        <w:rPr>
          <w:rFonts w:ascii="Bookman Old Style" w:hAnsi="Bookman Old Style" w:cs="Arial"/>
          <w:b/>
          <w:i/>
          <w:sz w:val="22"/>
          <w:szCs w:val="22"/>
          <w:lang w:val="es-ES_tradnl"/>
        </w:rPr>
        <w:t xml:space="preserve"> </w:t>
      </w:r>
    </w:p>
    <w:p w:rsidR="00B774E9" w:rsidRPr="00B774E9" w:rsidRDefault="00B774E9" w:rsidP="00B774E9">
      <w:pPr>
        <w:widowControl w:val="0"/>
        <w:ind w:right="567"/>
        <w:jc w:val="both"/>
        <w:rPr>
          <w:rFonts w:ascii="Bookman Old Style" w:hAnsi="Bookman Old Style" w:cs="Arial"/>
          <w:i/>
          <w:sz w:val="22"/>
          <w:szCs w:val="22"/>
          <w:lang w:val="es-ES_tradnl"/>
        </w:rPr>
      </w:pPr>
    </w:p>
    <w:p w:rsidR="00B774E9" w:rsidRPr="00B774E9" w:rsidRDefault="00B774E9" w:rsidP="00B774E9">
      <w:pPr>
        <w:widowControl w:val="0"/>
        <w:ind w:right="567"/>
        <w:jc w:val="both"/>
        <w:rPr>
          <w:rFonts w:ascii="Bookman Old Style" w:hAnsi="Bookman Old Style" w:cs="Arial"/>
          <w:b/>
          <w:i/>
          <w:sz w:val="22"/>
          <w:szCs w:val="22"/>
        </w:rPr>
      </w:pPr>
      <w:r w:rsidRPr="00B774E9">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RÍO BLANCO verificada </w:t>
      </w:r>
      <w:r w:rsidRPr="00B774E9">
        <w:rPr>
          <w:rFonts w:ascii="Bookman Old Style" w:hAnsi="Bookman Old Style" w:cs="Arial"/>
          <w:b/>
          <w:i/>
          <w:sz w:val="22"/>
          <w:szCs w:val="22"/>
        </w:rPr>
        <w:t>PRESENTA DISCREPANCIA</w:t>
      </w:r>
      <w:r w:rsidRPr="00B774E9">
        <w:rPr>
          <w:rFonts w:ascii="Bookman Old Style" w:hAnsi="Bookman Old Style" w:cs="Arial"/>
          <w:i/>
          <w:sz w:val="22"/>
          <w:szCs w:val="22"/>
        </w:rPr>
        <w:t xml:space="preserve"> con la reportada a la CREG por EMGESA </w:t>
      </w:r>
      <w:r w:rsidRPr="00B774E9">
        <w:rPr>
          <w:rFonts w:ascii="Bookman Old Style" w:hAnsi="Bookman Old Style" w:cs="Arial"/>
          <w:i/>
          <w:sz w:val="22"/>
          <w:szCs w:val="22"/>
          <w:lang w:val="es-ES_tradnl"/>
        </w:rPr>
        <w:t>S.A. E.S.P.</w:t>
      </w:r>
      <w:r>
        <w:rPr>
          <w:rFonts w:ascii="Bookman Old Style" w:hAnsi="Bookman Old Style" w:cs="Arial"/>
          <w:i/>
          <w:sz w:val="22"/>
          <w:szCs w:val="22"/>
          <w:lang w:val="es-ES_tradnl"/>
        </w:rPr>
        <w:t>”</w:t>
      </w:r>
    </w:p>
    <w:p w:rsidR="00B774E9" w:rsidRPr="00B774E9" w:rsidRDefault="00B774E9" w:rsidP="00B774E9">
      <w:pPr>
        <w:widowControl w:val="0"/>
        <w:ind w:left="0" w:right="567"/>
        <w:jc w:val="both"/>
        <w:rPr>
          <w:rFonts w:ascii="Bookman Old Style" w:hAnsi="Bookman Old Style" w:cs="Arial"/>
          <w:i/>
          <w:sz w:val="22"/>
          <w:szCs w:val="22"/>
        </w:rPr>
      </w:pPr>
    </w:p>
    <w:p w:rsidR="005B03E9" w:rsidRDefault="00B774E9" w:rsidP="005B03E9">
      <w:pPr>
        <w:tabs>
          <w:tab w:val="left" w:pos="0"/>
        </w:tabs>
        <w:ind w:left="0"/>
        <w:jc w:val="both"/>
        <w:rPr>
          <w:rFonts w:ascii="Bookman Old Style" w:hAnsi="Bookman Old Style" w:cs="Arial"/>
          <w:bCs/>
          <w:lang w:val="es-ES_tradnl"/>
        </w:rPr>
      </w:pPr>
      <w:r>
        <w:rPr>
          <w:rFonts w:ascii="Bookman Old Style" w:hAnsi="Bookman Old Style" w:cs="Arial"/>
        </w:rPr>
        <w:t xml:space="preserve">Documento </w:t>
      </w:r>
      <w:r w:rsidRPr="00B774E9">
        <w:rPr>
          <w:rFonts w:ascii="Bookman Old Style" w:hAnsi="Bookman Old Style" w:cs="Arial"/>
          <w:bCs/>
          <w:lang w:val="es-ES_tradnl"/>
        </w:rPr>
        <w:t>I-T370-DPOT-3300-057</w:t>
      </w:r>
      <w:r>
        <w:rPr>
          <w:rFonts w:ascii="Bookman Old Style" w:hAnsi="Bookman Old Style" w:cs="Arial"/>
          <w:bCs/>
          <w:lang w:val="es-ES_tradnl"/>
        </w:rPr>
        <w:t xml:space="preserve"> (Río Teusacá)</w:t>
      </w:r>
    </w:p>
    <w:p w:rsidR="00B774E9" w:rsidRDefault="00B774E9" w:rsidP="005B03E9">
      <w:pPr>
        <w:tabs>
          <w:tab w:val="left" w:pos="0"/>
        </w:tabs>
        <w:ind w:left="0"/>
        <w:jc w:val="both"/>
        <w:rPr>
          <w:rFonts w:ascii="Bookman Old Style" w:hAnsi="Bookman Old Style" w:cs="Arial"/>
          <w:bCs/>
          <w:lang w:val="es-ES_tradnl"/>
        </w:rPr>
      </w:pPr>
    </w:p>
    <w:p w:rsidR="00B774E9" w:rsidRDefault="00B774E9" w:rsidP="00B774E9">
      <w:pPr>
        <w:ind w:right="567"/>
        <w:jc w:val="both"/>
        <w:rPr>
          <w:rFonts w:ascii="Bookman Old Style" w:hAnsi="Bookman Old Style" w:cs="Arial"/>
          <w:i/>
          <w:sz w:val="22"/>
          <w:szCs w:val="22"/>
          <w:lang w:val="es-ES_tradnl"/>
        </w:rPr>
      </w:pPr>
      <w:bookmarkStart w:id="21" w:name="_Toc265231337"/>
      <w:r>
        <w:rPr>
          <w:rFonts w:ascii="Bookman Old Style" w:hAnsi="Bookman Old Style" w:cs="Arial"/>
          <w:i/>
          <w:sz w:val="22"/>
          <w:szCs w:val="22"/>
          <w:lang w:val="es-ES_tradnl"/>
        </w:rPr>
        <w:t>“(…)</w:t>
      </w:r>
    </w:p>
    <w:p w:rsidR="00B774E9" w:rsidRDefault="00B774E9" w:rsidP="00B774E9">
      <w:pPr>
        <w:ind w:right="567"/>
        <w:jc w:val="both"/>
        <w:rPr>
          <w:rFonts w:ascii="Bookman Old Style" w:hAnsi="Bookman Old Style" w:cs="Arial"/>
          <w:i/>
          <w:sz w:val="22"/>
          <w:szCs w:val="22"/>
          <w:lang w:val="es-ES_tradnl"/>
        </w:rPr>
      </w:pPr>
    </w:p>
    <w:p w:rsidR="00B774E9" w:rsidRPr="00B774E9" w:rsidRDefault="00B774E9" w:rsidP="00B774E9">
      <w:pPr>
        <w:ind w:right="567"/>
        <w:jc w:val="both"/>
        <w:rPr>
          <w:rFonts w:ascii="Bookman Old Style" w:hAnsi="Bookman Old Style" w:cs="Arial"/>
          <w:b/>
          <w:i/>
          <w:sz w:val="22"/>
          <w:szCs w:val="22"/>
          <w:lang w:val="es-ES_tradnl"/>
        </w:rPr>
      </w:pPr>
      <w:r>
        <w:rPr>
          <w:rFonts w:ascii="Bookman Old Style" w:hAnsi="Bookman Old Style" w:cs="Arial"/>
          <w:b/>
          <w:i/>
          <w:sz w:val="22"/>
          <w:szCs w:val="22"/>
          <w:lang w:val="es-ES_tradnl"/>
        </w:rPr>
        <w:t xml:space="preserve">3.8. </w:t>
      </w:r>
      <w:r w:rsidRPr="00B774E9">
        <w:rPr>
          <w:rFonts w:ascii="Bookman Old Style" w:hAnsi="Bookman Old Style" w:cs="Arial"/>
          <w:b/>
          <w:i/>
          <w:sz w:val="22"/>
          <w:szCs w:val="22"/>
          <w:lang w:val="es-ES_tradnl"/>
        </w:rPr>
        <w:t>Análisis de resultados</w:t>
      </w:r>
      <w:bookmarkEnd w:id="21"/>
    </w:p>
    <w:p w:rsidR="00B774E9" w:rsidRPr="00B774E9" w:rsidRDefault="00B774E9" w:rsidP="00B774E9">
      <w:pPr>
        <w:ind w:right="567"/>
        <w:jc w:val="both"/>
        <w:rPr>
          <w:rFonts w:ascii="Bookman Old Style" w:hAnsi="Bookman Old Style" w:cs="Arial"/>
          <w:i/>
          <w:sz w:val="22"/>
          <w:szCs w:val="22"/>
          <w:lang w:val="es-ES_tradnl"/>
        </w:rPr>
      </w:pPr>
    </w:p>
    <w:p w:rsidR="00B774E9" w:rsidRPr="00B774E9" w:rsidRDefault="00B774E9" w:rsidP="00B774E9">
      <w:pPr>
        <w:ind w:right="567"/>
        <w:jc w:val="both"/>
        <w:rPr>
          <w:rFonts w:ascii="Bookman Old Style" w:hAnsi="Bookman Old Style" w:cs="Arial"/>
          <w:i/>
          <w:sz w:val="22"/>
          <w:szCs w:val="22"/>
          <w:lang w:val="es-ES_tradnl"/>
        </w:rPr>
      </w:pPr>
      <w:r w:rsidRPr="00B774E9">
        <w:rPr>
          <w:rFonts w:ascii="Bookman Old Style" w:hAnsi="Bookman Old Style" w:cs="Arial"/>
          <w:i/>
          <w:sz w:val="22"/>
          <w:szCs w:val="22"/>
          <w:lang w:val="es-ES_tradnl"/>
        </w:rPr>
        <w:t>La serie de caudales medios mensuales Teusacá  reportada por EMGESA S.A. E.S.P. a la CREG (Tabla 1), ha sido verificada en todos los meses correspondientes al período Enero/1947 a Diciembre/2007 en el cual se dispuso de la información necesaria. Se presentaron en la verificación preliminar diferencias positivas entre los valores declarados por EMGESA S.A. E.S.P. y los calculados por SEDIC S.A., que no pudieron ser resueltas con el agente, razón por la cual se sostienen en este informe las discrepancias previamente encontradas en la serie Teusacá en el periodo Enero/2001 a Diciembre/2007.</w:t>
      </w:r>
    </w:p>
    <w:p w:rsidR="00B774E9" w:rsidRPr="00B774E9" w:rsidRDefault="00B774E9" w:rsidP="00B774E9">
      <w:pPr>
        <w:ind w:right="567"/>
        <w:jc w:val="both"/>
        <w:rPr>
          <w:rFonts w:ascii="Bookman Old Style" w:hAnsi="Bookman Old Style" w:cs="Arial"/>
          <w:i/>
          <w:sz w:val="22"/>
          <w:szCs w:val="22"/>
          <w:lang w:val="es-ES_tradnl"/>
        </w:rPr>
      </w:pPr>
    </w:p>
    <w:p w:rsidR="00B774E9" w:rsidRPr="00B774E9" w:rsidRDefault="00B774E9" w:rsidP="00B774E9">
      <w:pPr>
        <w:ind w:right="567"/>
        <w:jc w:val="both"/>
        <w:rPr>
          <w:rFonts w:ascii="Bookman Old Style" w:hAnsi="Bookman Old Style" w:cs="Arial"/>
          <w:b/>
          <w:i/>
          <w:sz w:val="22"/>
          <w:szCs w:val="22"/>
          <w:lang w:val="es-ES_tradnl"/>
        </w:rPr>
      </w:pPr>
      <w:bookmarkStart w:id="22" w:name="_Toc265231338"/>
      <w:r>
        <w:rPr>
          <w:rFonts w:ascii="Bookman Old Style" w:hAnsi="Bookman Old Style" w:cs="Arial"/>
          <w:b/>
          <w:i/>
          <w:sz w:val="22"/>
          <w:szCs w:val="22"/>
          <w:lang w:val="es-ES_tradnl"/>
        </w:rPr>
        <w:t xml:space="preserve">4. </w:t>
      </w:r>
      <w:r w:rsidRPr="00B774E9">
        <w:rPr>
          <w:rFonts w:ascii="Bookman Old Style" w:hAnsi="Bookman Old Style" w:cs="Arial"/>
          <w:b/>
          <w:i/>
          <w:sz w:val="22"/>
          <w:szCs w:val="22"/>
          <w:lang w:val="es-ES_tradnl"/>
        </w:rPr>
        <w:t>CONCLUSIÓN</w:t>
      </w:r>
      <w:bookmarkEnd w:id="22"/>
      <w:r w:rsidRPr="00B774E9">
        <w:rPr>
          <w:rFonts w:ascii="Bookman Old Style" w:hAnsi="Bookman Old Style" w:cs="Arial"/>
          <w:b/>
          <w:i/>
          <w:sz w:val="22"/>
          <w:szCs w:val="22"/>
          <w:lang w:val="es-ES_tradnl"/>
        </w:rPr>
        <w:t xml:space="preserve"> </w:t>
      </w:r>
    </w:p>
    <w:p w:rsidR="00B774E9" w:rsidRPr="00B774E9" w:rsidRDefault="00B774E9" w:rsidP="00B774E9">
      <w:pPr>
        <w:ind w:right="567"/>
        <w:jc w:val="both"/>
        <w:rPr>
          <w:rFonts w:ascii="Bookman Old Style" w:hAnsi="Bookman Old Style" w:cs="Arial"/>
          <w:i/>
          <w:sz w:val="22"/>
          <w:szCs w:val="22"/>
          <w:lang w:val="es-ES_tradnl"/>
        </w:rPr>
      </w:pPr>
    </w:p>
    <w:p w:rsidR="00B774E9" w:rsidRPr="00B774E9" w:rsidRDefault="00B774E9" w:rsidP="00B774E9">
      <w:pPr>
        <w:ind w:right="567"/>
        <w:jc w:val="both"/>
        <w:rPr>
          <w:rFonts w:ascii="Bookman Old Style" w:hAnsi="Bookman Old Style" w:cs="Arial"/>
          <w:i/>
          <w:sz w:val="22"/>
          <w:szCs w:val="22"/>
        </w:rPr>
      </w:pPr>
      <w:r w:rsidRPr="00B774E9">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TEUSACÁ verificada </w:t>
      </w:r>
      <w:r w:rsidRPr="00B774E9">
        <w:rPr>
          <w:rFonts w:ascii="Bookman Old Style" w:hAnsi="Bookman Old Style" w:cs="Arial"/>
          <w:b/>
          <w:i/>
          <w:sz w:val="22"/>
          <w:szCs w:val="22"/>
        </w:rPr>
        <w:t>PRESENTA DISCREPANCIA</w:t>
      </w:r>
      <w:r w:rsidRPr="00B774E9">
        <w:rPr>
          <w:rFonts w:ascii="Bookman Old Style" w:hAnsi="Bookman Old Style" w:cs="Arial"/>
          <w:i/>
          <w:sz w:val="22"/>
          <w:szCs w:val="22"/>
        </w:rPr>
        <w:t xml:space="preserve"> con la reportada a la CREG por EMGESA </w:t>
      </w:r>
      <w:r w:rsidRPr="00B774E9">
        <w:rPr>
          <w:rFonts w:ascii="Bookman Old Style" w:hAnsi="Bookman Old Style" w:cs="Arial"/>
          <w:i/>
          <w:sz w:val="22"/>
          <w:szCs w:val="22"/>
          <w:lang w:val="es-ES_tradnl"/>
        </w:rPr>
        <w:t>S.A. E.S.P.</w:t>
      </w:r>
      <w:r>
        <w:rPr>
          <w:rFonts w:ascii="Bookman Old Style" w:hAnsi="Bookman Old Style" w:cs="Arial"/>
          <w:i/>
          <w:sz w:val="22"/>
          <w:szCs w:val="22"/>
          <w:lang w:val="es-ES_tradnl"/>
        </w:rPr>
        <w:t>”</w:t>
      </w:r>
      <w:r w:rsidRPr="00B774E9">
        <w:rPr>
          <w:rFonts w:ascii="Bookman Old Style" w:hAnsi="Bookman Old Style" w:cs="Arial"/>
          <w:i/>
          <w:sz w:val="22"/>
          <w:szCs w:val="22"/>
          <w:lang w:val="es-ES_tradnl"/>
        </w:rPr>
        <w:t xml:space="preserve">  </w:t>
      </w:r>
    </w:p>
    <w:p w:rsidR="00B774E9" w:rsidRDefault="00B774E9" w:rsidP="005B03E9">
      <w:pPr>
        <w:tabs>
          <w:tab w:val="left" w:pos="0"/>
        </w:tabs>
        <w:ind w:left="0"/>
        <w:jc w:val="both"/>
        <w:rPr>
          <w:rFonts w:ascii="Bookman Old Style" w:hAnsi="Bookman Old Style" w:cs="Arial"/>
        </w:rPr>
      </w:pPr>
    </w:p>
    <w:p w:rsidR="00B774E9" w:rsidRDefault="00B774E9" w:rsidP="005B03E9">
      <w:pPr>
        <w:tabs>
          <w:tab w:val="left" w:pos="0"/>
        </w:tabs>
        <w:ind w:left="0"/>
        <w:jc w:val="both"/>
        <w:rPr>
          <w:rFonts w:ascii="Bookman Old Style" w:hAnsi="Bookman Old Style" w:cs="Arial"/>
          <w:bCs/>
          <w:lang w:val="es-ES_tradnl"/>
        </w:rPr>
      </w:pPr>
      <w:r>
        <w:rPr>
          <w:rFonts w:ascii="Bookman Old Style" w:hAnsi="Bookman Old Style" w:cs="Arial"/>
        </w:rPr>
        <w:t xml:space="preserve">Documento </w:t>
      </w:r>
      <w:r w:rsidRPr="00B774E9">
        <w:rPr>
          <w:rFonts w:ascii="Bookman Old Style" w:hAnsi="Bookman Old Style" w:cs="Arial"/>
          <w:bCs/>
          <w:lang w:val="es-ES_tradnl"/>
        </w:rPr>
        <w:t>I-T370-DPOT-3300-058</w:t>
      </w:r>
      <w:r>
        <w:rPr>
          <w:rFonts w:ascii="Bookman Old Style" w:hAnsi="Bookman Old Style" w:cs="Arial"/>
          <w:bCs/>
          <w:lang w:val="es-ES_tradnl"/>
        </w:rPr>
        <w:t xml:space="preserve"> (</w:t>
      </w:r>
      <w:r w:rsidR="00636915">
        <w:rPr>
          <w:rFonts w:ascii="Bookman Old Style" w:hAnsi="Bookman Old Style" w:cs="Arial"/>
          <w:bCs/>
          <w:lang w:val="es-ES_tradnl"/>
        </w:rPr>
        <w:t>Río Tominé)</w:t>
      </w:r>
    </w:p>
    <w:p w:rsidR="00636915" w:rsidRDefault="00636915" w:rsidP="005B03E9">
      <w:pPr>
        <w:tabs>
          <w:tab w:val="left" w:pos="0"/>
        </w:tabs>
        <w:ind w:left="0"/>
        <w:jc w:val="both"/>
        <w:rPr>
          <w:rFonts w:ascii="Bookman Old Style" w:hAnsi="Bookman Old Style" w:cs="Arial"/>
          <w:bCs/>
          <w:lang w:val="es-ES_tradnl"/>
        </w:rPr>
      </w:pPr>
    </w:p>
    <w:p w:rsidR="00636915" w:rsidRPr="00636915" w:rsidRDefault="00636915" w:rsidP="00636915">
      <w:pPr>
        <w:ind w:right="567"/>
        <w:jc w:val="both"/>
        <w:rPr>
          <w:rFonts w:ascii="Bookman Old Style" w:hAnsi="Bookman Old Style" w:cs="Arial"/>
          <w:i/>
          <w:sz w:val="22"/>
          <w:szCs w:val="22"/>
          <w:lang w:val="es-ES_tradnl"/>
        </w:rPr>
      </w:pPr>
      <w:r w:rsidRPr="00636915">
        <w:rPr>
          <w:rFonts w:ascii="Bookman Old Style" w:hAnsi="Bookman Old Style" w:cs="Arial"/>
          <w:i/>
          <w:sz w:val="22"/>
          <w:szCs w:val="22"/>
          <w:lang w:val="es-ES_tradnl"/>
        </w:rPr>
        <w:t>“(…)</w:t>
      </w:r>
    </w:p>
    <w:p w:rsidR="00636915" w:rsidRPr="00636915" w:rsidRDefault="00636915" w:rsidP="00636915">
      <w:pPr>
        <w:ind w:right="567"/>
        <w:jc w:val="both"/>
        <w:rPr>
          <w:rFonts w:ascii="Bookman Old Style" w:hAnsi="Bookman Old Style" w:cs="Arial"/>
          <w:i/>
          <w:sz w:val="22"/>
          <w:szCs w:val="22"/>
          <w:lang w:val="es-ES_tradnl"/>
        </w:rPr>
      </w:pPr>
    </w:p>
    <w:p w:rsidR="00636915" w:rsidRPr="00636915" w:rsidRDefault="00636915" w:rsidP="00636915">
      <w:pPr>
        <w:ind w:right="567"/>
        <w:jc w:val="both"/>
        <w:rPr>
          <w:rFonts w:ascii="Bookman Old Style" w:hAnsi="Bookman Old Style" w:cs="Arial"/>
          <w:b/>
          <w:i/>
          <w:sz w:val="22"/>
          <w:szCs w:val="22"/>
          <w:lang w:val="es-ES_tradnl"/>
        </w:rPr>
      </w:pPr>
      <w:r w:rsidRPr="00636915">
        <w:rPr>
          <w:rFonts w:ascii="Bookman Old Style" w:hAnsi="Bookman Old Style" w:cs="Arial"/>
          <w:b/>
          <w:i/>
          <w:sz w:val="22"/>
          <w:szCs w:val="22"/>
          <w:lang w:val="es-ES_tradnl"/>
        </w:rPr>
        <w:t>3.8. Análisis de resultados</w:t>
      </w:r>
    </w:p>
    <w:p w:rsidR="00636915" w:rsidRPr="00636915" w:rsidRDefault="00636915" w:rsidP="00636915">
      <w:pPr>
        <w:ind w:right="567"/>
        <w:jc w:val="both"/>
        <w:rPr>
          <w:rFonts w:ascii="Bookman Old Style" w:hAnsi="Bookman Old Style" w:cs="Arial"/>
          <w:i/>
          <w:sz w:val="22"/>
          <w:szCs w:val="22"/>
          <w:lang w:val="es-ES_tradnl"/>
        </w:rPr>
      </w:pPr>
    </w:p>
    <w:p w:rsidR="00636915" w:rsidRPr="00636915" w:rsidRDefault="00636915" w:rsidP="00636915">
      <w:pPr>
        <w:ind w:right="567"/>
        <w:jc w:val="both"/>
        <w:rPr>
          <w:rFonts w:ascii="Bookman Old Style" w:hAnsi="Bookman Old Style" w:cs="Arial"/>
          <w:i/>
          <w:sz w:val="22"/>
          <w:szCs w:val="22"/>
          <w:lang w:val="es-ES_tradnl"/>
        </w:rPr>
      </w:pPr>
      <w:r w:rsidRPr="00636915">
        <w:rPr>
          <w:rFonts w:ascii="Bookman Old Style" w:hAnsi="Bookman Old Style" w:cs="Arial"/>
          <w:i/>
          <w:sz w:val="22"/>
          <w:szCs w:val="22"/>
          <w:lang w:val="es-ES_tradnl"/>
        </w:rPr>
        <w:t>La serie de caudales medios mensuales Tominé  reportada por EMGESA S.A. E.S.P. a la CREG (Tabla 1), ha sido verificada en todos los meses correspondientes al período Enero/1947 – Diciembre/2007 en el cual se dispuso de la información necesaria. Se presentaron en la verificación preliminar diferencias positivas entre los valores declarados por EMGESA S.A. E.S.P. para la serie Tominé hidrología antigua y los remitidos en su soporte de cálculo que fue verificado por SEDIC S.A., que no pudieron ser resueltas con el agente, razón por la cual se sostienen en este informe las discrepancias previamente encontradas en la serie Tominé en el periodo Enero/2001 a Diciembre/2001, y para el mes de julio de 2003.</w:t>
      </w:r>
    </w:p>
    <w:p w:rsidR="00636915" w:rsidRDefault="00636915" w:rsidP="00636915">
      <w:pPr>
        <w:ind w:right="567"/>
        <w:jc w:val="both"/>
        <w:rPr>
          <w:rFonts w:ascii="Bookman Old Style" w:hAnsi="Bookman Old Style" w:cs="Arial"/>
          <w:i/>
          <w:sz w:val="22"/>
          <w:szCs w:val="22"/>
        </w:rPr>
      </w:pPr>
    </w:p>
    <w:p w:rsidR="007229E9" w:rsidRDefault="007229E9" w:rsidP="00636915">
      <w:pPr>
        <w:ind w:right="567"/>
        <w:jc w:val="both"/>
        <w:rPr>
          <w:rFonts w:ascii="Bookman Old Style" w:hAnsi="Bookman Old Style" w:cs="Arial"/>
          <w:i/>
          <w:sz w:val="22"/>
          <w:szCs w:val="22"/>
        </w:rPr>
      </w:pPr>
    </w:p>
    <w:p w:rsidR="007229E9" w:rsidRPr="00636915" w:rsidRDefault="007229E9" w:rsidP="00636915">
      <w:pPr>
        <w:ind w:right="567"/>
        <w:jc w:val="both"/>
        <w:rPr>
          <w:rFonts w:ascii="Bookman Old Style" w:hAnsi="Bookman Old Style" w:cs="Arial"/>
          <w:i/>
          <w:sz w:val="22"/>
          <w:szCs w:val="22"/>
        </w:rPr>
      </w:pPr>
    </w:p>
    <w:p w:rsidR="00636915" w:rsidRPr="00636915" w:rsidRDefault="00636915" w:rsidP="00636915">
      <w:pPr>
        <w:ind w:right="567"/>
        <w:jc w:val="both"/>
        <w:rPr>
          <w:rFonts w:ascii="Bookman Old Style" w:hAnsi="Bookman Old Style" w:cs="Arial"/>
          <w:b/>
          <w:i/>
          <w:sz w:val="22"/>
          <w:szCs w:val="22"/>
          <w:lang w:val="es-ES_tradnl"/>
        </w:rPr>
      </w:pPr>
      <w:r w:rsidRPr="00636915">
        <w:rPr>
          <w:rFonts w:ascii="Bookman Old Style" w:hAnsi="Bookman Old Style" w:cs="Arial"/>
          <w:b/>
          <w:i/>
          <w:sz w:val="22"/>
          <w:szCs w:val="22"/>
          <w:lang w:val="es-ES_tradnl"/>
        </w:rPr>
        <w:lastRenderedPageBreak/>
        <w:t xml:space="preserve">4. CONCLUSIÓN </w:t>
      </w:r>
    </w:p>
    <w:p w:rsidR="00636915" w:rsidRPr="00636915" w:rsidRDefault="00636915" w:rsidP="00636915">
      <w:pPr>
        <w:ind w:right="567"/>
        <w:jc w:val="both"/>
        <w:rPr>
          <w:rFonts w:ascii="Bookman Old Style" w:hAnsi="Bookman Old Style" w:cs="Arial"/>
          <w:i/>
          <w:sz w:val="22"/>
          <w:szCs w:val="22"/>
          <w:lang w:val="es-ES_tradnl"/>
        </w:rPr>
      </w:pPr>
    </w:p>
    <w:p w:rsidR="00636915" w:rsidRPr="00636915" w:rsidRDefault="00636915" w:rsidP="00636915">
      <w:pPr>
        <w:ind w:right="567"/>
        <w:jc w:val="both"/>
        <w:rPr>
          <w:rFonts w:ascii="Bookman Old Style" w:hAnsi="Bookman Old Style" w:cs="Arial"/>
          <w:i/>
          <w:sz w:val="22"/>
          <w:szCs w:val="22"/>
        </w:rPr>
      </w:pPr>
      <w:r w:rsidRPr="00636915">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TOMINÉ verificada </w:t>
      </w:r>
      <w:r w:rsidRPr="00636915">
        <w:rPr>
          <w:rFonts w:ascii="Bookman Old Style" w:hAnsi="Bookman Old Style" w:cs="Arial"/>
          <w:b/>
          <w:i/>
          <w:sz w:val="22"/>
          <w:szCs w:val="22"/>
        </w:rPr>
        <w:t>PRESENTA DISCREPANCIA</w:t>
      </w:r>
      <w:r w:rsidRPr="00636915">
        <w:rPr>
          <w:rFonts w:ascii="Bookman Old Style" w:hAnsi="Bookman Old Style" w:cs="Arial"/>
          <w:i/>
          <w:sz w:val="22"/>
          <w:szCs w:val="22"/>
        </w:rPr>
        <w:t xml:space="preserve"> con la reportada a la CREG por EMGESA</w:t>
      </w:r>
      <w:r w:rsidRPr="00636915">
        <w:rPr>
          <w:rFonts w:ascii="Bookman Old Style" w:hAnsi="Bookman Old Style" w:cs="Arial"/>
          <w:b/>
          <w:i/>
          <w:sz w:val="22"/>
          <w:szCs w:val="22"/>
        </w:rPr>
        <w:t xml:space="preserve"> </w:t>
      </w:r>
      <w:r w:rsidRPr="00636915">
        <w:rPr>
          <w:rFonts w:ascii="Bookman Old Style" w:hAnsi="Bookman Old Style" w:cs="Arial"/>
          <w:i/>
          <w:sz w:val="22"/>
          <w:szCs w:val="22"/>
          <w:lang w:val="es-ES_tradnl"/>
        </w:rPr>
        <w:t xml:space="preserve">S.A. E.S.P.”  </w:t>
      </w:r>
    </w:p>
    <w:p w:rsidR="00B774E9" w:rsidRDefault="00B774E9" w:rsidP="005B03E9">
      <w:pPr>
        <w:tabs>
          <w:tab w:val="left" w:pos="0"/>
        </w:tabs>
        <w:ind w:left="0"/>
        <w:jc w:val="both"/>
        <w:rPr>
          <w:rFonts w:ascii="Bookman Old Style" w:hAnsi="Bookman Old Style" w:cs="Arial"/>
        </w:rPr>
      </w:pPr>
    </w:p>
    <w:p w:rsidR="00636915" w:rsidRDefault="00636915" w:rsidP="005B03E9">
      <w:pPr>
        <w:tabs>
          <w:tab w:val="left" w:pos="0"/>
        </w:tabs>
        <w:ind w:left="0"/>
        <w:jc w:val="both"/>
        <w:rPr>
          <w:rFonts w:ascii="Bookman Old Style" w:hAnsi="Bookman Old Style" w:cs="Arial"/>
          <w:bCs/>
          <w:lang w:val="es-ES_tradnl"/>
        </w:rPr>
      </w:pPr>
      <w:r w:rsidRPr="00636915">
        <w:rPr>
          <w:rFonts w:ascii="Bookman Old Style" w:hAnsi="Bookman Old Style" w:cs="Arial"/>
        </w:rPr>
        <w:t xml:space="preserve">Documento </w:t>
      </w:r>
      <w:r>
        <w:rPr>
          <w:rFonts w:ascii="Bookman Old Style" w:hAnsi="Bookman Old Style" w:cs="Arial"/>
          <w:bCs/>
          <w:lang w:val="es-ES_tradnl"/>
        </w:rPr>
        <w:t>I-T370-</w:t>
      </w:r>
      <w:r w:rsidRPr="00636915">
        <w:rPr>
          <w:rFonts w:ascii="Bookman Old Style" w:hAnsi="Bookman Old Style" w:cs="Arial"/>
          <w:bCs/>
          <w:lang w:val="es-ES_tradnl"/>
        </w:rPr>
        <w:t>DPOT-3300-070</w:t>
      </w:r>
      <w:r>
        <w:rPr>
          <w:rFonts w:ascii="Bookman Old Style" w:hAnsi="Bookman Old Style" w:cs="Arial"/>
          <w:bCs/>
          <w:lang w:val="es-ES_tradnl"/>
        </w:rPr>
        <w:t xml:space="preserve"> (Río Neusa)</w:t>
      </w:r>
    </w:p>
    <w:p w:rsidR="00636915" w:rsidRDefault="00636915" w:rsidP="005B03E9">
      <w:pPr>
        <w:tabs>
          <w:tab w:val="left" w:pos="0"/>
        </w:tabs>
        <w:ind w:left="0"/>
        <w:jc w:val="both"/>
        <w:rPr>
          <w:rFonts w:ascii="Bookman Old Style" w:hAnsi="Bookman Old Style" w:cs="Arial"/>
          <w:bCs/>
          <w:lang w:val="es-ES_tradnl"/>
        </w:rPr>
      </w:pPr>
    </w:p>
    <w:p w:rsidR="00636915" w:rsidRPr="00636915" w:rsidRDefault="00636915" w:rsidP="00636915">
      <w:pPr>
        <w:ind w:right="567"/>
        <w:jc w:val="both"/>
        <w:rPr>
          <w:rFonts w:ascii="Bookman Old Style" w:hAnsi="Bookman Old Style" w:cs="Arial"/>
          <w:bCs/>
          <w:i/>
          <w:sz w:val="22"/>
          <w:szCs w:val="22"/>
          <w:lang w:val="es-ES_tradnl"/>
        </w:rPr>
      </w:pPr>
      <w:r w:rsidRPr="00636915">
        <w:rPr>
          <w:rFonts w:ascii="Bookman Old Style" w:hAnsi="Bookman Old Style" w:cs="Arial"/>
          <w:bCs/>
          <w:i/>
          <w:sz w:val="22"/>
          <w:szCs w:val="22"/>
          <w:lang w:val="es-ES_tradnl"/>
        </w:rPr>
        <w:t>“(…)</w:t>
      </w:r>
    </w:p>
    <w:p w:rsidR="00636915" w:rsidRPr="00636915" w:rsidRDefault="00636915" w:rsidP="00636915">
      <w:pPr>
        <w:ind w:right="567"/>
        <w:jc w:val="both"/>
        <w:rPr>
          <w:rFonts w:ascii="Bookman Old Style" w:hAnsi="Bookman Old Style" w:cs="Arial"/>
          <w:bCs/>
          <w:i/>
          <w:sz w:val="22"/>
          <w:szCs w:val="22"/>
          <w:lang w:val="es-ES_tradnl"/>
        </w:rPr>
      </w:pPr>
    </w:p>
    <w:p w:rsidR="00636915" w:rsidRPr="00636915" w:rsidRDefault="00636915" w:rsidP="00636915">
      <w:pPr>
        <w:ind w:right="567"/>
        <w:jc w:val="both"/>
        <w:rPr>
          <w:rFonts w:ascii="Bookman Old Style" w:hAnsi="Bookman Old Style" w:cs="Arial"/>
          <w:b/>
          <w:i/>
          <w:sz w:val="22"/>
          <w:szCs w:val="22"/>
          <w:lang w:val="es-ES_tradnl"/>
        </w:rPr>
      </w:pPr>
      <w:bookmarkStart w:id="23" w:name="_Toc265326362"/>
      <w:r>
        <w:rPr>
          <w:rFonts w:ascii="Bookman Old Style" w:hAnsi="Bookman Old Style" w:cs="Arial"/>
          <w:b/>
          <w:i/>
          <w:sz w:val="22"/>
          <w:szCs w:val="22"/>
          <w:lang w:val="es-ES_tradnl"/>
        </w:rPr>
        <w:t xml:space="preserve">3.8. </w:t>
      </w:r>
      <w:r w:rsidRPr="00636915">
        <w:rPr>
          <w:rFonts w:ascii="Bookman Old Style" w:hAnsi="Bookman Old Style" w:cs="Arial"/>
          <w:b/>
          <w:i/>
          <w:sz w:val="22"/>
          <w:szCs w:val="22"/>
          <w:lang w:val="es-ES_tradnl"/>
        </w:rPr>
        <w:t>Análisis de resultados</w:t>
      </w:r>
      <w:bookmarkEnd w:id="23"/>
    </w:p>
    <w:p w:rsidR="00636915" w:rsidRPr="00636915" w:rsidRDefault="00636915" w:rsidP="00636915">
      <w:pPr>
        <w:ind w:right="567"/>
        <w:jc w:val="both"/>
        <w:rPr>
          <w:rFonts w:ascii="Bookman Old Style" w:hAnsi="Bookman Old Style" w:cs="Arial"/>
          <w:i/>
          <w:sz w:val="22"/>
          <w:szCs w:val="22"/>
          <w:lang w:val="es-ES_tradnl"/>
        </w:rPr>
      </w:pPr>
    </w:p>
    <w:p w:rsidR="00636915" w:rsidRPr="00636915" w:rsidRDefault="00636915" w:rsidP="00636915">
      <w:pPr>
        <w:ind w:right="567"/>
        <w:jc w:val="both"/>
        <w:rPr>
          <w:rFonts w:ascii="Bookman Old Style" w:hAnsi="Bookman Old Style" w:cs="Arial"/>
          <w:i/>
          <w:sz w:val="22"/>
          <w:szCs w:val="22"/>
          <w:lang w:val="es-ES_tradnl"/>
        </w:rPr>
      </w:pPr>
      <w:r w:rsidRPr="00636915">
        <w:rPr>
          <w:rFonts w:ascii="Bookman Old Style" w:hAnsi="Bookman Old Style" w:cs="Arial"/>
          <w:i/>
          <w:sz w:val="22"/>
          <w:szCs w:val="22"/>
          <w:lang w:val="es-ES_tradnl"/>
        </w:rPr>
        <w:t>La serie de caudales medios mensuales Neusa  reportada por EMGESA S.A. E.S.P.  a la CREG (Tabla 1), ha sido verificada en todos los meses correspondientes al período Enero/1953 – Diciembre/2007 en el cual se dispuso de la información necesaria. Se presentaron en la verificación preliminar diferencias positivas entre los valores declarados por EMGESA  S.A. E.S.P. para la serie Neusa hidrología antigua y los remitidos en su soporte de cálculo que fue verificado por SEDIC S.A., que no pudieron ser resueltas con el agente, razón por la cual se sostienen en este informe las discrepancias previamente encontradas en la serie Neusa en el periodo Enero/2001 a Diciembre/2001.</w:t>
      </w:r>
    </w:p>
    <w:p w:rsidR="00636915" w:rsidRPr="00636915" w:rsidRDefault="00636915" w:rsidP="00636915">
      <w:pPr>
        <w:ind w:right="567"/>
        <w:jc w:val="both"/>
        <w:rPr>
          <w:rFonts w:ascii="Bookman Old Style" w:hAnsi="Bookman Old Style" w:cs="Arial"/>
          <w:i/>
          <w:sz w:val="22"/>
          <w:szCs w:val="22"/>
          <w:lang w:val="es-ES_tradnl"/>
        </w:rPr>
      </w:pPr>
    </w:p>
    <w:p w:rsidR="00636915" w:rsidRPr="00636915" w:rsidRDefault="00636915" w:rsidP="00636915">
      <w:pPr>
        <w:ind w:right="567"/>
        <w:jc w:val="both"/>
        <w:rPr>
          <w:rFonts w:ascii="Bookman Old Style" w:hAnsi="Bookman Old Style" w:cs="Arial"/>
          <w:i/>
          <w:sz w:val="22"/>
          <w:szCs w:val="22"/>
        </w:rPr>
      </w:pPr>
    </w:p>
    <w:p w:rsidR="00636915" w:rsidRPr="00636915" w:rsidRDefault="00636915" w:rsidP="00636915">
      <w:pPr>
        <w:ind w:right="567"/>
        <w:jc w:val="both"/>
        <w:rPr>
          <w:rFonts w:ascii="Bookman Old Style" w:hAnsi="Bookman Old Style" w:cs="Arial"/>
          <w:b/>
          <w:i/>
          <w:sz w:val="22"/>
          <w:szCs w:val="22"/>
          <w:lang w:val="es-ES_tradnl"/>
        </w:rPr>
      </w:pPr>
      <w:bookmarkStart w:id="24" w:name="_Toc265326363"/>
      <w:r>
        <w:rPr>
          <w:rFonts w:ascii="Bookman Old Style" w:hAnsi="Bookman Old Style" w:cs="Arial"/>
          <w:b/>
          <w:i/>
          <w:sz w:val="22"/>
          <w:szCs w:val="22"/>
          <w:lang w:val="es-ES_tradnl"/>
        </w:rPr>
        <w:t xml:space="preserve">4. </w:t>
      </w:r>
      <w:r w:rsidRPr="00636915">
        <w:rPr>
          <w:rFonts w:ascii="Bookman Old Style" w:hAnsi="Bookman Old Style" w:cs="Arial"/>
          <w:b/>
          <w:i/>
          <w:sz w:val="22"/>
          <w:szCs w:val="22"/>
          <w:lang w:val="es-ES_tradnl"/>
        </w:rPr>
        <w:t>CONCLUSIÓN</w:t>
      </w:r>
      <w:bookmarkEnd w:id="24"/>
      <w:r w:rsidRPr="00636915">
        <w:rPr>
          <w:rFonts w:ascii="Bookman Old Style" w:hAnsi="Bookman Old Style" w:cs="Arial"/>
          <w:b/>
          <w:i/>
          <w:sz w:val="22"/>
          <w:szCs w:val="22"/>
          <w:lang w:val="es-ES_tradnl"/>
        </w:rPr>
        <w:t xml:space="preserve"> </w:t>
      </w:r>
    </w:p>
    <w:p w:rsidR="00636915" w:rsidRPr="00636915" w:rsidRDefault="00636915" w:rsidP="00636915">
      <w:pPr>
        <w:ind w:right="567"/>
        <w:jc w:val="both"/>
        <w:rPr>
          <w:rFonts w:ascii="Bookman Old Style" w:hAnsi="Bookman Old Style" w:cs="Arial"/>
          <w:i/>
          <w:sz w:val="22"/>
          <w:szCs w:val="22"/>
          <w:lang w:val="es-ES_tradnl"/>
        </w:rPr>
      </w:pPr>
    </w:p>
    <w:p w:rsidR="00636915" w:rsidRPr="00636915" w:rsidRDefault="00636915" w:rsidP="00636915">
      <w:pPr>
        <w:ind w:right="567"/>
        <w:jc w:val="both"/>
        <w:rPr>
          <w:rFonts w:ascii="Bookman Old Style" w:hAnsi="Bookman Old Style" w:cs="Arial"/>
          <w:b/>
          <w:i/>
          <w:sz w:val="22"/>
          <w:szCs w:val="22"/>
        </w:rPr>
      </w:pPr>
      <w:r w:rsidRPr="00636915">
        <w:rPr>
          <w:rFonts w:ascii="Bookman Old Style" w:hAnsi="Bookman Old Style" w:cs="Arial"/>
          <w:i/>
          <w:sz w:val="22"/>
          <w:szCs w:val="22"/>
        </w:rPr>
        <w:t xml:space="preserve">Teniendo en cuenta que la Resolución CREG 079 de 2007 establece textualmente: “Se considerará discrepancia cualquier valor declarado superior al calculado por la firma auditora”, y acorde con los resultados del proceso antes señalado, se concluye del proceso que la serie NEUSA verificada </w:t>
      </w:r>
      <w:r w:rsidRPr="00636915">
        <w:rPr>
          <w:rFonts w:ascii="Bookman Old Style" w:hAnsi="Bookman Old Style" w:cs="Arial"/>
          <w:b/>
          <w:i/>
          <w:sz w:val="22"/>
          <w:szCs w:val="22"/>
        </w:rPr>
        <w:t>PRESENTA DISCREPANCIA</w:t>
      </w:r>
      <w:r w:rsidRPr="00636915">
        <w:rPr>
          <w:rFonts w:ascii="Bookman Old Style" w:hAnsi="Bookman Old Style" w:cs="Arial"/>
          <w:i/>
          <w:sz w:val="22"/>
          <w:szCs w:val="22"/>
        </w:rPr>
        <w:t xml:space="preserve"> con la reportada a la CREG por EMGESA S.A. E.S.P.</w:t>
      </w:r>
      <w:r>
        <w:rPr>
          <w:rFonts w:ascii="Bookman Old Style" w:hAnsi="Bookman Old Style" w:cs="Arial"/>
          <w:i/>
          <w:sz w:val="22"/>
          <w:szCs w:val="22"/>
        </w:rPr>
        <w:t>”</w:t>
      </w:r>
      <w:r w:rsidRPr="00636915">
        <w:rPr>
          <w:rFonts w:ascii="Bookman Old Style" w:hAnsi="Bookman Old Style" w:cs="Arial"/>
          <w:i/>
          <w:sz w:val="22"/>
          <w:szCs w:val="22"/>
        </w:rPr>
        <w:t xml:space="preserve"> </w:t>
      </w:r>
    </w:p>
    <w:p w:rsidR="00636915" w:rsidRPr="00636915" w:rsidRDefault="00636915" w:rsidP="005B03E9">
      <w:pPr>
        <w:tabs>
          <w:tab w:val="left" w:pos="0"/>
        </w:tabs>
        <w:ind w:left="0"/>
        <w:jc w:val="both"/>
        <w:rPr>
          <w:rFonts w:ascii="Bookman Old Style" w:hAnsi="Bookman Old Style" w:cs="Arial"/>
          <w:i/>
        </w:rPr>
      </w:pPr>
    </w:p>
    <w:p w:rsidR="005B03E9" w:rsidRPr="002517E2" w:rsidRDefault="005B03E9" w:rsidP="005B03E9">
      <w:pPr>
        <w:tabs>
          <w:tab w:val="left" w:pos="0"/>
        </w:tabs>
        <w:ind w:left="0"/>
        <w:jc w:val="both"/>
        <w:rPr>
          <w:rFonts w:ascii="Bookman Old Style" w:hAnsi="Bookman Old Style" w:cs="Arial"/>
          <w:lang w:val="es-MX"/>
        </w:rPr>
      </w:pPr>
      <w:r>
        <w:rPr>
          <w:rFonts w:ascii="Bookman Old Style" w:hAnsi="Bookman Old Style" w:cs="Arial"/>
          <w:lang w:val="es-CO"/>
        </w:rPr>
        <w:t>Teniendo en cuenta lo anterior, y dando cumplimiento al inciso quinto del artículo 39 de la Resolución 071 de 2006, m</w:t>
      </w:r>
      <w:r w:rsidRPr="002517E2">
        <w:rPr>
          <w:rFonts w:ascii="Bookman Old Style" w:hAnsi="Bookman Old Style" w:cs="Arial"/>
          <w:lang w:val="es-CO"/>
        </w:rPr>
        <w:t xml:space="preserve">ediante auto del </w:t>
      </w:r>
      <w:r>
        <w:rPr>
          <w:rFonts w:ascii="Bookman Old Style" w:hAnsi="Bookman Old Style" w:cs="Arial"/>
          <w:lang w:val="es-CO"/>
        </w:rPr>
        <w:t>27</w:t>
      </w:r>
      <w:r w:rsidRPr="002517E2">
        <w:rPr>
          <w:rFonts w:ascii="Bookman Old Style" w:hAnsi="Bookman Old Style" w:cs="Arial"/>
          <w:lang w:val="es-CO"/>
        </w:rPr>
        <w:t xml:space="preserve"> de </w:t>
      </w:r>
      <w:r>
        <w:rPr>
          <w:rFonts w:ascii="Bookman Old Style" w:hAnsi="Bookman Old Style" w:cs="Arial"/>
          <w:lang w:val="es-CO"/>
        </w:rPr>
        <w:t>julio</w:t>
      </w:r>
      <w:r w:rsidRPr="002517E2">
        <w:rPr>
          <w:rFonts w:ascii="Bookman Old Style" w:hAnsi="Bookman Old Style" w:cs="Arial"/>
          <w:lang w:val="es-CO"/>
        </w:rPr>
        <w:t xml:space="preserve"> de 20</w:t>
      </w:r>
      <w:r>
        <w:rPr>
          <w:rFonts w:ascii="Bookman Old Style" w:hAnsi="Bookman Old Style" w:cs="Arial"/>
          <w:lang w:val="es-CO"/>
        </w:rPr>
        <w:t>10</w:t>
      </w:r>
      <w:r w:rsidRPr="002517E2">
        <w:rPr>
          <w:rFonts w:ascii="Bookman Old Style" w:hAnsi="Bookman Old Style" w:cs="Arial"/>
          <w:lang w:val="es-CO"/>
        </w:rPr>
        <w:t>, la Comisión de Regulación de Energía y Gas</w:t>
      </w:r>
      <w:r>
        <w:rPr>
          <w:rFonts w:ascii="Bookman Old Style" w:hAnsi="Bookman Old Style" w:cs="Arial"/>
          <w:lang w:val="es-CO"/>
        </w:rPr>
        <w:t xml:space="preserve"> </w:t>
      </w:r>
      <w:r w:rsidRPr="002517E2">
        <w:rPr>
          <w:rFonts w:ascii="Bookman Old Style" w:hAnsi="Bookman Old Style" w:cs="Arial"/>
          <w:lang w:val="es-CO"/>
        </w:rPr>
        <w:t>dio inicio a las presentes diligencias dirigidas a establecer plenamente la existencia o inexistencia de las discrepancias que según el informe final detallado sobre la verificación de parámetros del cargo por confiabilidad</w:t>
      </w:r>
      <w:r w:rsidRPr="002517E2">
        <w:rPr>
          <w:rFonts w:ascii="Bookman Old Style" w:hAnsi="Bookman Old Style" w:cs="Arial"/>
        </w:rPr>
        <w:t xml:space="preserve">, entregado por la firma </w:t>
      </w:r>
      <w:r>
        <w:rPr>
          <w:rFonts w:ascii="Bookman Old Style" w:hAnsi="Bookman Old Style" w:cs="Arial"/>
        </w:rPr>
        <w:t>SEDIC S.A.</w:t>
      </w:r>
      <w:r w:rsidRPr="002517E2">
        <w:rPr>
          <w:rFonts w:ascii="Bookman Old Style" w:hAnsi="Bookman Old Style" w:cs="Arial"/>
        </w:rPr>
        <w:t>, presenta</w:t>
      </w:r>
      <w:r w:rsidR="00636915">
        <w:rPr>
          <w:rFonts w:ascii="Bookman Old Style" w:hAnsi="Bookman Old Style" w:cs="Arial"/>
        </w:rPr>
        <w:t>n</w:t>
      </w:r>
      <w:r w:rsidRPr="002517E2">
        <w:rPr>
          <w:rFonts w:ascii="Bookman Old Style" w:hAnsi="Bookman Old Style" w:cs="Arial"/>
        </w:rPr>
        <w:t xml:space="preserve"> la</w:t>
      </w:r>
      <w:r w:rsidR="00636915">
        <w:rPr>
          <w:rFonts w:ascii="Bookman Old Style" w:hAnsi="Bookman Old Style" w:cs="Arial"/>
        </w:rPr>
        <w:t>s</w:t>
      </w:r>
      <w:r w:rsidRPr="002517E2">
        <w:rPr>
          <w:rFonts w:ascii="Bookman Old Style" w:hAnsi="Bookman Old Style" w:cs="Arial"/>
        </w:rPr>
        <w:t xml:space="preserve"> planta</w:t>
      </w:r>
      <w:r w:rsidR="00636915">
        <w:rPr>
          <w:rFonts w:ascii="Bookman Old Style" w:hAnsi="Bookman Old Style" w:cs="Arial"/>
        </w:rPr>
        <w:t>s de generación</w:t>
      </w:r>
      <w:r w:rsidRPr="002517E2">
        <w:rPr>
          <w:rFonts w:ascii="Bookman Old Style" w:hAnsi="Bookman Old Style" w:cs="Arial"/>
        </w:rPr>
        <w:t xml:space="preserve"> </w:t>
      </w:r>
      <w:r w:rsidR="00636915">
        <w:rPr>
          <w:rFonts w:ascii="Bookman Old Style" w:hAnsi="Bookman Old Style" w:cs="Arial"/>
        </w:rPr>
        <w:t>PARAÍSO y LA GUACA</w:t>
      </w:r>
      <w:r w:rsidRPr="002517E2">
        <w:rPr>
          <w:rFonts w:ascii="Bookman Old Style" w:hAnsi="Bookman Old Style" w:cs="Arial"/>
        </w:rPr>
        <w:t xml:space="preserve"> </w:t>
      </w:r>
      <w:r>
        <w:rPr>
          <w:rFonts w:ascii="Bookman Old Style" w:hAnsi="Bookman Old Style" w:cs="Arial"/>
        </w:rPr>
        <w:t xml:space="preserve">en algunos de los </w:t>
      </w:r>
      <w:r w:rsidRPr="002517E2">
        <w:rPr>
          <w:rFonts w:ascii="Bookman Old Style" w:hAnsi="Bookman Old Style" w:cs="Arial"/>
        </w:rPr>
        <w:t>valor</w:t>
      </w:r>
      <w:r>
        <w:rPr>
          <w:rFonts w:ascii="Bookman Old Style" w:hAnsi="Bookman Old Style" w:cs="Arial"/>
        </w:rPr>
        <w:t>es</w:t>
      </w:r>
      <w:r w:rsidRPr="002517E2">
        <w:rPr>
          <w:rFonts w:ascii="Bookman Old Style" w:hAnsi="Bookman Old Style" w:cs="Arial"/>
        </w:rPr>
        <w:t xml:space="preserve"> reportado</w:t>
      </w:r>
      <w:r>
        <w:rPr>
          <w:rFonts w:ascii="Bookman Old Style" w:hAnsi="Bookman Old Style" w:cs="Arial"/>
        </w:rPr>
        <w:t>s</w:t>
      </w:r>
      <w:r w:rsidRPr="002517E2">
        <w:rPr>
          <w:rFonts w:ascii="Bookman Old Style" w:hAnsi="Bookman Old Style" w:cs="Arial"/>
        </w:rPr>
        <w:t xml:space="preserve">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Pr>
          <w:rFonts w:ascii="Bookman Old Style" w:hAnsi="Bookman Old Style"/>
        </w:rPr>
        <w:t>.</w:t>
      </w:r>
      <w:r w:rsidRPr="002517E2">
        <w:rPr>
          <w:rFonts w:ascii="Bookman Old Style" w:hAnsi="Bookman Old Style" w:cs="Arial"/>
        </w:rPr>
        <w:t xml:space="preserve"> </w:t>
      </w:r>
    </w:p>
    <w:p w:rsidR="005B03E9" w:rsidRPr="00993027" w:rsidRDefault="005B03E9" w:rsidP="005B03E9">
      <w:pPr>
        <w:tabs>
          <w:tab w:val="left" w:pos="0"/>
        </w:tabs>
        <w:ind w:left="0"/>
        <w:jc w:val="both"/>
        <w:rPr>
          <w:rFonts w:ascii="Bookman Old Style" w:hAnsi="Bookman Old Style" w:cs="Arial"/>
          <w:lang w:val="es-MX"/>
        </w:rPr>
      </w:pPr>
    </w:p>
    <w:p w:rsidR="005B03E9" w:rsidRPr="008F7E14" w:rsidRDefault="005B03E9" w:rsidP="005B03E9">
      <w:pPr>
        <w:tabs>
          <w:tab w:val="left" w:pos="0"/>
        </w:tabs>
        <w:ind w:left="0"/>
        <w:jc w:val="both"/>
        <w:rPr>
          <w:rFonts w:ascii="Bookman Old Style" w:hAnsi="Bookman Old Style" w:cs="Arial"/>
          <w:i/>
        </w:rPr>
      </w:pPr>
      <w:r>
        <w:rPr>
          <w:rFonts w:ascii="Bookman Old Style" w:hAnsi="Bookman Old Style" w:cs="Arial"/>
        </w:rPr>
        <w:t>E</w:t>
      </w:r>
      <w:r w:rsidRPr="000B33DF">
        <w:rPr>
          <w:rFonts w:ascii="Bookman Old Style" w:hAnsi="Bookman Old Style" w:cs="Arial"/>
        </w:rPr>
        <w:t>l referido auto también tuvo por objeto:</w:t>
      </w:r>
    </w:p>
    <w:p w:rsidR="005B03E9" w:rsidRPr="008F7E14" w:rsidRDefault="005B03E9" w:rsidP="005B03E9">
      <w:pPr>
        <w:tabs>
          <w:tab w:val="left" w:pos="0"/>
        </w:tabs>
        <w:ind w:left="0"/>
        <w:jc w:val="both"/>
        <w:rPr>
          <w:rFonts w:ascii="Bookman Old Style" w:hAnsi="Bookman Old Style" w:cs="Arial"/>
          <w:i/>
        </w:rPr>
      </w:pPr>
    </w:p>
    <w:p w:rsidR="005B03E9" w:rsidRPr="005B03E9" w:rsidRDefault="005B03E9" w:rsidP="00966F8B">
      <w:pPr>
        <w:numPr>
          <w:ilvl w:val="0"/>
          <w:numId w:val="18"/>
        </w:numPr>
        <w:ind w:left="993" w:right="567"/>
        <w:jc w:val="both"/>
        <w:rPr>
          <w:rFonts w:ascii="Bookman Old Style" w:hAnsi="Bookman Old Style"/>
          <w:i/>
          <w:sz w:val="22"/>
          <w:szCs w:val="22"/>
        </w:rPr>
      </w:pPr>
      <w:r w:rsidRPr="005B03E9">
        <w:rPr>
          <w:rFonts w:ascii="Bookman Old Style" w:hAnsi="Bookman Old Style"/>
          <w:i/>
          <w:sz w:val="22"/>
          <w:szCs w:val="22"/>
        </w:rPr>
        <w:t xml:space="preserve">“Definir si como consecuencia de la eventual confirmación de las referidas discrepancias, </w:t>
      </w:r>
      <w:r w:rsidRPr="005B03E9">
        <w:rPr>
          <w:rFonts w:ascii="Bookman Old Style" w:hAnsi="Bookman Old Style"/>
          <w:i/>
          <w:sz w:val="22"/>
          <w:szCs w:val="22"/>
          <w:lang w:val="es-CO"/>
        </w:rPr>
        <w:t xml:space="preserve">la asignación a </w:t>
      </w:r>
      <w:r w:rsidR="00636915">
        <w:rPr>
          <w:rFonts w:ascii="Bookman Old Style" w:hAnsi="Bookman Old Style"/>
          <w:i/>
          <w:sz w:val="22"/>
          <w:szCs w:val="22"/>
        </w:rPr>
        <w:t>EMGESA</w:t>
      </w:r>
      <w:r w:rsidRPr="005B03E9">
        <w:rPr>
          <w:rFonts w:ascii="Bookman Old Style" w:hAnsi="Bookman Old Style"/>
          <w:i/>
          <w:sz w:val="22"/>
          <w:szCs w:val="22"/>
        </w:rPr>
        <w:t xml:space="preserve"> S.A E.S.P</w:t>
      </w:r>
      <w:r w:rsidRPr="005B03E9">
        <w:rPr>
          <w:rFonts w:ascii="Bookman Old Style" w:hAnsi="Bookman Old Style"/>
          <w:i/>
          <w:sz w:val="22"/>
          <w:szCs w:val="22"/>
          <w:lang w:val="es-CO"/>
        </w:rPr>
        <w:t xml:space="preserve"> de Obligaciones de Energía Firme respaldadas</w:t>
      </w:r>
      <w:r w:rsidR="00636915">
        <w:rPr>
          <w:rFonts w:ascii="Bookman Old Style" w:hAnsi="Bookman Old Style"/>
          <w:i/>
          <w:sz w:val="22"/>
          <w:szCs w:val="22"/>
          <w:lang w:val="es-CO"/>
        </w:rPr>
        <w:t xml:space="preserve"> con las plantas de generación PARAÍSO y LA GUACA,</w:t>
      </w:r>
      <w:r w:rsidRPr="005B03E9">
        <w:rPr>
          <w:rFonts w:ascii="Bookman Old Style" w:hAnsi="Bookman Old Style"/>
          <w:i/>
          <w:sz w:val="22"/>
          <w:szCs w:val="22"/>
          <w:lang w:val="es-CO"/>
        </w:rPr>
        <w:t xml:space="preserve"> es igual a cero (0) </w:t>
      </w:r>
      <w:r w:rsidRPr="005B03E9">
        <w:rPr>
          <w:rFonts w:ascii="Bookman Old Style" w:hAnsi="Bookman Old Style"/>
          <w:i/>
          <w:iCs/>
          <w:sz w:val="22"/>
          <w:szCs w:val="22"/>
        </w:rPr>
        <w:t>para el año de vigencia comprendido entre el primero (1°) de diciembre de 20</w:t>
      </w:r>
      <w:r w:rsidR="00B14301">
        <w:rPr>
          <w:rFonts w:ascii="Bookman Old Style" w:hAnsi="Bookman Old Style"/>
          <w:i/>
          <w:iCs/>
          <w:sz w:val="22"/>
          <w:szCs w:val="22"/>
        </w:rPr>
        <w:t>12</w:t>
      </w:r>
      <w:r w:rsidRPr="005B03E9">
        <w:rPr>
          <w:rFonts w:ascii="Bookman Old Style" w:hAnsi="Bookman Old Style"/>
          <w:i/>
          <w:iCs/>
          <w:sz w:val="22"/>
          <w:szCs w:val="22"/>
        </w:rPr>
        <w:t xml:space="preserve"> y el treinta (30) de noviembre de 20</w:t>
      </w:r>
      <w:r w:rsidR="00B14301">
        <w:rPr>
          <w:rFonts w:ascii="Bookman Old Style" w:hAnsi="Bookman Old Style"/>
          <w:i/>
          <w:iCs/>
          <w:sz w:val="22"/>
          <w:szCs w:val="22"/>
        </w:rPr>
        <w:t>13</w:t>
      </w:r>
      <w:r w:rsidRPr="005B03E9">
        <w:rPr>
          <w:rFonts w:ascii="Bookman Old Style" w:hAnsi="Bookman Old Style"/>
          <w:i/>
          <w:iCs/>
          <w:sz w:val="22"/>
          <w:szCs w:val="22"/>
        </w:rPr>
        <w:t xml:space="preserve"> y si hay lugar a la cesación de pagos por concepto de Cargo por Confiabilidad que aún no se hayan efectuado </w:t>
      </w:r>
      <w:r w:rsidRPr="005B03E9">
        <w:rPr>
          <w:rFonts w:ascii="Bookman Old Style" w:hAnsi="Bookman Old Style"/>
          <w:i/>
          <w:iCs/>
          <w:sz w:val="22"/>
          <w:szCs w:val="22"/>
        </w:rPr>
        <w:lastRenderedPageBreak/>
        <w:t>y a la devolución de los pagos recibidos en los términos del artículo 39 inciso 3 de la Resolución CREG – 071 de 2006.</w:t>
      </w:r>
    </w:p>
    <w:p w:rsidR="005B03E9" w:rsidRPr="005B03E9" w:rsidRDefault="005B03E9" w:rsidP="005B03E9">
      <w:pPr>
        <w:pStyle w:val="Prrafodelista"/>
        <w:ind w:left="993" w:right="567"/>
        <w:jc w:val="both"/>
        <w:rPr>
          <w:rFonts w:ascii="Bookman Old Style" w:hAnsi="Bookman Old Style"/>
          <w:i/>
          <w:sz w:val="22"/>
          <w:szCs w:val="22"/>
        </w:rPr>
      </w:pPr>
    </w:p>
    <w:p w:rsidR="005B03E9" w:rsidRPr="005B03E9" w:rsidRDefault="005B03E9" w:rsidP="00966F8B">
      <w:pPr>
        <w:numPr>
          <w:ilvl w:val="0"/>
          <w:numId w:val="18"/>
        </w:numPr>
        <w:ind w:left="993" w:right="567"/>
        <w:jc w:val="both"/>
        <w:rPr>
          <w:rFonts w:ascii="Bookman Old Style" w:hAnsi="Bookman Old Style"/>
          <w:i/>
          <w:sz w:val="22"/>
          <w:szCs w:val="22"/>
        </w:rPr>
      </w:pPr>
      <w:r w:rsidRPr="005B03E9">
        <w:rPr>
          <w:rFonts w:ascii="Bookman Old Style" w:hAnsi="Bookman Old Style"/>
          <w:i/>
          <w:sz w:val="22"/>
          <w:szCs w:val="22"/>
        </w:rPr>
        <w:t>“Definir sí para posteriores asignaciones de Obligaciones de Energía Firme se considerará la energía resultante de la corrección del parámetro con discrepancias, según se establezca en la presente actuación administrativa.”</w:t>
      </w:r>
    </w:p>
    <w:p w:rsidR="005B03E9" w:rsidRPr="000B33DF" w:rsidRDefault="005B03E9" w:rsidP="005B03E9">
      <w:pPr>
        <w:tabs>
          <w:tab w:val="left" w:pos="0"/>
        </w:tabs>
        <w:ind w:left="0"/>
        <w:jc w:val="both"/>
        <w:rPr>
          <w:rFonts w:ascii="Bookman Old Style" w:hAnsi="Bookman Old Style" w:cs="Arial"/>
        </w:rPr>
      </w:pPr>
    </w:p>
    <w:p w:rsidR="005B03E9" w:rsidRPr="008F7E14"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8F7E14">
        <w:rPr>
          <w:rFonts w:ascii="Bookman Old Style" w:hAnsi="Bookman Old Style" w:cs="Arial"/>
          <w:lang w:val="es-CO"/>
        </w:rPr>
        <w:t>n desarrollo de la actuación a que dio lugar el mencionado acto,</w:t>
      </w:r>
      <w:r w:rsidR="00400866">
        <w:rPr>
          <w:rFonts w:ascii="Bookman Old Style" w:hAnsi="Bookman Old Style" w:cs="Arial"/>
          <w:lang w:val="es-CO"/>
        </w:rPr>
        <w:t xml:space="preserve"> mediante comunicacio</w:t>
      </w:r>
      <w:r>
        <w:rPr>
          <w:rFonts w:ascii="Bookman Old Style" w:hAnsi="Bookman Old Style" w:cs="Arial"/>
          <w:lang w:val="es-CO"/>
        </w:rPr>
        <w:t>n</w:t>
      </w:r>
      <w:r w:rsidR="00400866">
        <w:rPr>
          <w:rFonts w:ascii="Bookman Old Style" w:hAnsi="Bookman Old Style" w:cs="Arial"/>
          <w:lang w:val="es-CO"/>
        </w:rPr>
        <w:t>es S-2010-002819</w:t>
      </w:r>
      <w:r>
        <w:rPr>
          <w:rFonts w:ascii="Bookman Old Style" w:hAnsi="Bookman Old Style" w:cs="Arial"/>
          <w:lang w:val="es-CO"/>
        </w:rPr>
        <w:t xml:space="preserve"> del 28 de julio de 2010</w:t>
      </w:r>
      <w:r w:rsidR="00400866">
        <w:rPr>
          <w:rFonts w:ascii="Bookman Old Style" w:hAnsi="Bookman Old Style" w:cs="Arial"/>
          <w:lang w:val="es-CO"/>
        </w:rPr>
        <w:t xml:space="preserve"> y S-2010-003522 del 30 de agosto de 2010</w:t>
      </w:r>
      <w:r>
        <w:rPr>
          <w:rFonts w:ascii="Bookman Old Style" w:hAnsi="Bookman Old Style" w:cs="Arial"/>
          <w:lang w:val="es-CO"/>
        </w:rPr>
        <w:t>, la CREG</w:t>
      </w:r>
      <w:r w:rsidRPr="008F7E14">
        <w:rPr>
          <w:rFonts w:ascii="Bookman Old Style" w:hAnsi="Bookman Old Style" w:cs="Arial"/>
          <w:lang w:val="es-CO"/>
        </w:rPr>
        <w:t xml:space="preserve"> puso en conocimiento de la empresa interesada, esto es, de </w:t>
      </w:r>
      <w:r w:rsidR="00400866">
        <w:rPr>
          <w:rFonts w:ascii="Bookman Old Style" w:hAnsi="Bookman Old Style" w:cs="Arial"/>
          <w:lang w:val="es-CO"/>
        </w:rPr>
        <w:t>EMGESA</w:t>
      </w:r>
      <w:r>
        <w:rPr>
          <w:rFonts w:ascii="Bookman Old Style" w:hAnsi="Bookman Old Style"/>
        </w:rPr>
        <w:t xml:space="preserve"> S.A. E.S.P.,</w:t>
      </w:r>
      <w:r w:rsidR="00400866">
        <w:rPr>
          <w:rFonts w:ascii="Bookman Old Style" w:hAnsi="Bookman Old Style" w:cs="Arial"/>
          <w:lang w:val="es-CO"/>
        </w:rPr>
        <w:t xml:space="preserve"> </w:t>
      </w:r>
      <w:r w:rsidRPr="008F7E14">
        <w:rPr>
          <w:rFonts w:ascii="Bookman Old Style" w:hAnsi="Bookman Old Style" w:cs="Arial"/>
          <w:lang w:val="es-CO"/>
        </w:rPr>
        <w:t>l</w:t>
      </w:r>
      <w:r w:rsidR="00400866">
        <w:rPr>
          <w:rFonts w:ascii="Bookman Old Style" w:hAnsi="Bookman Old Style" w:cs="Arial"/>
          <w:lang w:val="es-CO"/>
        </w:rPr>
        <w:t>os documentos arriba referenciados, contentivos del</w:t>
      </w:r>
      <w:r w:rsidRPr="008F7E14">
        <w:rPr>
          <w:rFonts w:ascii="Bookman Old Style" w:hAnsi="Bookman Old Style" w:cs="Arial"/>
          <w:lang w:val="es-CO"/>
        </w:rPr>
        <w:t xml:space="preserve"> informe de verificación de parámetros con sus respectivos soportes</w:t>
      </w:r>
      <w:r w:rsidR="00400866">
        <w:rPr>
          <w:rFonts w:ascii="Bookman Old Style" w:hAnsi="Bookman Old Style" w:cs="Arial"/>
          <w:lang w:val="es-CO"/>
        </w:rPr>
        <w:t>,</w:t>
      </w:r>
      <w:r w:rsidRPr="008F7E14">
        <w:rPr>
          <w:rFonts w:ascii="Bookman Old Style" w:hAnsi="Bookman Old Style" w:cs="Arial"/>
          <w:lang w:val="es-CO"/>
        </w:rPr>
        <w:t xml:space="preserve"> y se dio oportunidad a la citada empresa para que ejerciera su derecho de defensa, lo cual efectivamente hizo mediante memorial con radicación</w:t>
      </w:r>
      <w:r w:rsidR="00400866">
        <w:rPr>
          <w:rFonts w:ascii="Bookman Old Style" w:hAnsi="Bookman Old Style" w:cs="Arial"/>
          <w:lang w:val="es-CO"/>
        </w:rPr>
        <w:t xml:space="preserve"> CREG número</w:t>
      </w:r>
      <w:r w:rsidRPr="008F7E14">
        <w:rPr>
          <w:rFonts w:ascii="Bookman Old Style" w:hAnsi="Bookman Old Style" w:cs="Arial"/>
          <w:lang w:val="es-CO"/>
        </w:rPr>
        <w:t xml:space="preserve"> </w:t>
      </w:r>
      <w:r w:rsidRPr="00DC3460">
        <w:rPr>
          <w:rFonts w:ascii="Bookman Old Style" w:hAnsi="Bookman Old Style" w:cs="Arial"/>
          <w:lang w:val="es-CO"/>
        </w:rPr>
        <w:t>E-20</w:t>
      </w:r>
      <w:r>
        <w:rPr>
          <w:rFonts w:ascii="Bookman Old Style" w:hAnsi="Bookman Old Style" w:cs="Arial"/>
          <w:lang w:val="es-CO"/>
        </w:rPr>
        <w:t>10</w:t>
      </w:r>
      <w:r w:rsidRPr="00DC3460">
        <w:rPr>
          <w:rFonts w:ascii="Bookman Old Style" w:hAnsi="Bookman Old Style" w:cs="Arial"/>
          <w:lang w:val="es-CO"/>
        </w:rPr>
        <w:t>-00</w:t>
      </w:r>
      <w:r w:rsidR="00400866">
        <w:rPr>
          <w:rFonts w:ascii="Bookman Old Style" w:hAnsi="Bookman Old Style" w:cs="Arial"/>
          <w:lang w:val="es-CO"/>
        </w:rPr>
        <w:t>8154 del 13 de septiembre de 2010.</w:t>
      </w:r>
    </w:p>
    <w:p w:rsidR="005B03E9" w:rsidRDefault="005B03E9" w:rsidP="005B03E9">
      <w:pPr>
        <w:tabs>
          <w:tab w:val="left" w:pos="0"/>
        </w:tabs>
        <w:ind w:left="0"/>
        <w:jc w:val="both"/>
        <w:rPr>
          <w:rFonts w:ascii="Bookman Old Style" w:hAnsi="Bookman Old Style" w:cs="Arial"/>
          <w:lang w:val="es-CO"/>
        </w:rPr>
      </w:pPr>
    </w:p>
    <w:p w:rsidR="00F816DE" w:rsidRPr="002B5E3D" w:rsidRDefault="00F816DE" w:rsidP="00F816DE">
      <w:pPr>
        <w:tabs>
          <w:tab w:val="left" w:pos="0"/>
        </w:tabs>
        <w:ind w:left="0"/>
        <w:jc w:val="both"/>
        <w:rPr>
          <w:rFonts w:ascii="Bookman Old Style" w:hAnsi="Bookman Old Style" w:cs="Arial"/>
          <w:b/>
          <w:i/>
          <w:u w:val="single"/>
          <w:lang w:val="es-CO"/>
        </w:rPr>
      </w:pPr>
      <w:r w:rsidRPr="002B5E3D">
        <w:rPr>
          <w:rFonts w:ascii="Bookman Old Style" w:hAnsi="Bookman Old Style" w:cs="Arial"/>
          <w:b/>
          <w:i/>
          <w:u w:val="single"/>
          <w:lang w:val="es-CO"/>
        </w:rPr>
        <w:t>Consideraciones de EMGESA S.A. E.S.P.</w:t>
      </w:r>
    </w:p>
    <w:p w:rsidR="00F816DE" w:rsidRDefault="00F816DE" w:rsidP="00F816DE">
      <w:pPr>
        <w:tabs>
          <w:tab w:val="left" w:pos="0"/>
        </w:tabs>
        <w:ind w:left="0"/>
        <w:jc w:val="both"/>
        <w:rPr>
          <w:rFonts w:ascii="Bookman Old Style" w:hAnsi="Bookman Old Style" w:cs="Arial"/>
          <w:lang w:val="es-CO"/>
        </w:rPr>
      </w:pPr>
    </w:p>
    <w:p w:rsidR="00F816DE" w:rsidRDefault="00F816DE" w:rsidP="00F816DE">
      <w:pPr>
        <w:tabs>
          <w:tab w:val="left" w:pos="0"/>
        </w:tabs>
        <w:ind w:left="0"/>
        <w:jc w:val="both"/>
        <w:rPr>
          <w:rFonts w:ascii="Bookman Old Style" w:hAnsi="Bookman Old Style" w:cs="Arial"/>
          <w:lang w:val="es-CO"/>
        </w:rPr>
      </w:pPr>
      <w:r>
        <w:rPr>
          <w:rFonts w:ascii="Bookman Old Style" w:hAnsi="Bookman Old Style" w:cs="Arial"/>
          <w:lang w:val="es-CO"/>
        </w:rPr>
        <w:t>La comunicación remitida por EMGESA S.A. E.S.P. se compone de cuatro acápites, tres de los cuales contienen diferentes consideraciones que apoyan la solicitud de archivo de la presente actuación administrativa, contenida en el cuarto, así:</w:t>
      </w:r>
    </w:p>
    <w:p w:rsidR="00F816DE" w:rsidRPr="00B23E3A" w:rsidRDefault="00F816DE" w:rsidP="00F816DE">
      <w:pPr>
        <w:ind w:right="567"/>
        <w:jc w:val="both"/>
        <w:rPr>
          <w:rFonts w:ascii="Bookman Old Style" w:hAnsi="Bookman Old Style" w:cs="Arial"/>
          <w:lang w:val="es-CO"/>
        </w:rPr>
      </w:pPr>
    </w:p>
    <w:p w:rsidR="00F816DE" w:rsidRPr="00B23E3A" w:rsidRDefault="00F816DE" w:rsidP="00966F8B">
      <w:pPr>
        <w:pStyle w:val="Prrafodelista"/>
        <w:numPr>
          <w:ilvl w:val="0"/>
          <w:numId w:val="19"/>
        </w:numPr>
        <w:ind w:right="567"/>
        <w:jc w:val="both"/>
        <w:rPr>
          <w:rFonts w:ascii="Bookman Old Style" w:hAnsi="Bookman Old Style" w:cs="Arial"/>
          <w:i/>
          <w:sz w:val="24"/>
          <w:szCs w:val="24"/>
        </w:rPr>
      </w:pPr>
      <w:r>
        <w:rPr>
          <w:rFonts w:ascii="Bookman Old Style" w:hAnsi="Bookman Old Style" w:cs="Arial"/>
          <w:b/>
          <w:i/>
          <w:sz w:val="24"/>
          <w:szCs w:val="24"/>
        </w:rPr>
        <w:t>“</w:t>
      </w:r>
      <w:r w:rsidRPr="00B23E3A">
        <w:rPr>
          <w:rFonts w:ascii="Bookman Old Style" w:hAnsi="Bookman Old Style" w:cs="Arial"/>
          <w:b/>
          <w:i/>
          <w:sz w:val="24"/>
          <w:szCs w:val="24"/>
        </w:rPr>
        <w:t>De las Diferencias Encontradas</w:t>
      </w:r>
      <w:r>
        <w:rPr>
          <w:rFonts w:ascii="Bookman Old Style" w:hAnsi="Bookman Old Style" w:cs="Arial"/>
          <w:b/>
          <w:i/>
          <w:sz w:val="24"/>
          <w:szCs w:val="24"/>
        </w:rPr>
        <w:t>”</w:t>
      </w:r>
    </w:p>
    <w:p w:rsidR="00F816DE" w:rsidRDefault="00F816DE" w:rsidP="00F816DE">
      <w:pPr>
        <w:ind w:left="0" w:right="567"/>
        <w:jc w:val="both"/>
        <w:rPr>
          <w:rFonts w:ascii="Bookman Old Style" w:hAnsi="Bookman Old Style" w:cs="Arial"/>
          <w:i/>
          <w:sz w:val="22"/>
          <w:szCs w:val="22"/>
          <w:lang w:val="es-CO"/>
        </w:rPr>
      </w:pPr>
    </w:p>
    <w:p w:rsidR="00F816DE" w:rsidRDefault="00F816DE" w:rsidP="00F816DE">
      <w:pPr>
        <w:ind w:left="0" w:right="567"/>
        <w:jc w:val="both"/>
        <w:rPr>
          <w:rFonts w:ascii="Bookman Old Style" w:hAnsi="Bookman Old Style" w:cs="Arial"/>
          <w:sz w:val="22"/>
          <w:szCs w:val="22"/>
          <w:lang w:val="es-CO"/>
        </w:rPr>
      </w:pPr>
      <w:r>
        <w:rPr>
          <w:rFonts w:ascii="Bookman Old Style" w:hAnsi="Bookman Old Style" w:cs="Arial"/>
          <w:sz w:val="22"/>
          <w:szCs w:val="22"/>
          <w:lang w:val="es-CO"/>
        </w:rPr>
        <w:t>En el presente acápite, EMGESA hace las siguientes afirmaciones:</w:t>
      </w:r>
    </w:p>
    <w:p w:rsidR="00F816DE" w:rsidRPr="00B23E3A" w:rsidRDefault="00F816DE" w:rsidP="00F816DE">
      <w:pPr>
        <w:ind w:left="0" w:right="567"/>
        <w:jc w:val="both"/>
        <w:rPr>
          <w:rFonts w:ascii="Bookman Old Style" w:hAnsi="Bookman Old Style" w:cs="Arial"/>
          <w:sz w:val="22"/>
          <w:szCs w:val="22"/>
          <w:lang w:val="es-CO"/>
        </w:rPr>
      </w:pPr>
    </w:p>
    <w:p w:rsidR="00F816DE" w:rsidRDefault="00F816DE" w:rsidP="00F816DE">
      <w:pPr>
        <w:ind w:right="567"/>
        <w:jc w:val="both"/>
        <w:rPr>
          <w:rFonts w:ascii="Bookman Old Style" w:hAnsi="Bookman Old Style" w:cs="Arial"/>
          <w:i/>
          <w:sz w:val="22"/>
          <w:szCs w:val="22"/>
        </w:rPr>
      </w:pPr>
      <w:r w:rsidRPr="001D2D95">
        <w:rPr>
          <w:rFonts w:ascii="Bookman Old Style" w:hAnsi="Bookman Old Style" w:cs="Arial"/>
          <w:i/>
          <w:sz w:val="22"/>
          <w:szCs w:val="22"/>
          <w:lang w:val="es-CO"/>
        </w:rPr>
        <w:t>“</w:t>
      </w:r>
      <w:r>
        <w:rPr>
          <w:rFonts w:ascii="Bookman Old Style" w:hAnsi="Bookman Old Style" w:cs="Arial"/>
          <w:i/>
          <w:sz w:val="22"/>
          <w:szCs w:val="22"/>
        </w:rPr>
        <w:t>Una vez conocido el informe presentado por el Auditor, EMGESA identificó que las diferencias encontradas responden a hechos que, no obstante la diligencia y cuidado esmerado de EMGESA en la estimación del parámetro “Serie Histórica de Caudales Medios Mensuales de los Ríos del SIN” conforme a lo establecido en la resolución CREG 079 de 2007, por circunstancias ajenas a su voluntad, no afectan la ENFICC declarada más allá del margen de tolerancia del 10% establecido en el artículo 41 de la Resolución CREG 071 de 2006 modificado por el Artículo 1 de la Resolución CREG-028 de 2007 y adicionado por el Artículo 3 de la resolución CREG-085 de 2007, como se pasa a ver:</w:t>
      </w:r>
    </w:p>
    <w:p w:rsidR="00F816DE" w:rsidRDefault="00F816DE" w:rsidP="00F816DE">
      <w:pPr>
        <w:ind w:right="567"/>
        <w:jc w:val="both"/>
        <w:rPr>
          <w:rFonts w:ascii="Bookman Old Style" w:hAnsi="Bookman Old Style" w:cs="Arial"/>
          <w:i/>
          <w:sz w:val="22"/>
          <w:szCs w:val="22"/>
        </w:rPr>
      </w:pPr>
    </w:p>
    <w:p w:rsidR="00F816DE" w:rsidRDefault="00F816DE" w:rsidP="00966F8B">
      <w:pPr>
        <w:pStyle w:val="Prrafodelista"/>
        <w:numPr>
          <w:ilvl w:val="1"/>
          <w:numId w:val="20"/>
        </w:numPr>
        <w:ind w:right="567"/>
        <w:jc w:val="both"/>
        <w:rPr>
          <w:rFonts w:ascii="Bookman Old Style" w:hAnsi="Bookman Old Style" w:cs="Arial"/>
          <w:i/>
          <w:sz w:val="22"/>
          <w:szCs w:val="22"/>
        </w:rPr>
      </w:pPr>
      <w:r>
        <w:rPr>
          <w:rFonts w:ascii="Bookman Old Style" w:hAnsi="Bookman Old Style" w:cs="Arial"/>
          <w:i/>
          <w:sz w:val="22"/>
          <w:szCs w:val="22"/>
        </w:rPr>
        <w:t>(…)</w:t>
      </w:r>
    </w:p>
    <w:p w:rsidR="00F816DE" w:rsidRDefault="00F816DE" w:rsidP="00F816DE">
      <w:pPr>
        <w:ind w:right="567"/>
        <w:jc w:val="both"/>
        <w:rPr>
          <w:rFonts w:ascii="Bookman Old Style" w:hAnsi="Bookman Old Style" w:cs="Arial"/>
          <w:i/>
          <w:sz w:val="22"/>
          <w:szCs w:val="22"/>
        </w:rPr>
      </w:pPr>
    </w:p>
    <w:p w:rsidR="00F816DE" w:rsidRDefault="00F816DE" w:rsidP="00966F8B">
      <w:pPr>
        <w:pStyle w:val="Prrafodelista"/>
        <w:numPr>
          <w:ilvl w:val="0"/>
          <w:numId w:val="21"/>
        </w:numPr>
        <w:ind w:left="993" w:right="567"/>
        <w:jc w:val="both"/>
        <w:rPr>
          <w:rFonts w:ascii="Bookman Old Style" w:hAnsi="Bookman Old Style" w:cs="Arial"/>
          <w:i/>
          <w:sz w:val="22"/>
          <w:szCs w:val="22"/>
        </w:rPr>
      </w:pPr>
      <w:r w:rsidRPr="00F816DE">
        <w:rPr>
          <w:rFonts w:ascii="Bookman Old Style" w:hAnsi="Bookman Old Style" w:cs="Arial"/>
          <w:i/>
          <w:sz w:val="22"/>
          <w:szCs w:val="22"/>
          <w:u w:val="single"/>
        </w:rPr>
        <w:t>Neusa: Periodo comprendido entre enero a diciembre de 2001</w:t>
      </w:r>
      <w:r w:rsidRPr="00F816DE">
        <w:rPr>
          <w:rFonts w:ascii="Bookman Old Style" w:hAnsi="Bookman Old Style" w:cs="Arial"/>
          <w:i/>
          <w:sz w:val="22"/>
          <w:szCs w:val="22"/>
        </w:rPr>
        <w:t>”</w:t>
      </w:r>
      <w:r>
        <w:rPr>
          <w:rFonts w:ascii="Bookman Old Style" w:hAnsi="Bookman Old Style" w:cs="Arial"/>
          <w:i/>
          <w:sz w:val="22"/>
          <w:szCs w:val="22"/>
        </w:rPr>
        <w:t>: Para el reporte del año 2001 se utilizó involuntariamente el valor promedio mensual multianual 1952-2001 de la serie suministrada por la Corporación Autónoma Regional de Cundinamarca “CAR”, cuan</w:t>
      </w:r>
      <w:r w:rsidR="00C230AD">
        <w:rPr>
          <w:rFonts w:ascii="Bookman Old Style" w:hAnsi="Bookman Old Style" w:cs="Arial"/>
          <w:i/>
          <w:sz w:val="22"/>
          <w:szCs w:val="22"/>
        </w:rPr>
        <w:t>do</w:t>
      </w:r>
      <w:r>
        <w:rPr>
          <w:rFonts w:ascii="Bookman Old Style" w:hAnsi="Bookman Old Style" w:cs="Arial"/>
          <w:i/>
          <w:sz w:val="22"/>
          <w:szCs w:val="22"/>
        </w:rPr>
        <w:t xml:space="preserve"> en realidad se debió utilizar los valores mensuales correspondientes al año 2001, según consta en el Anexo 7 del Acta SH&amp;PH No 100.</w:t>
      </w:r>
    </w:p>
    <w:p w:rsidR="00F816DE" w:rsidRDefault="00F816DE" w:rsidP="00F816DE">
      <w:pPr>
        <w:pStyle w:val="Prrafodelista"/>
        <w:ind w:left="993" w:right="567"/>
        <w:jc w:val="both"/>
        <w:rPr>
          <w:rFonts w:ascii="Bookman Old Style" w:hAnsi="Bookman Old Style" w:cs="Arial"/>
          <w:i/>
          <w:sz w:val="22"/>
          <w:szCs w:val="22"/>
        </w:rPr>
      </w:pPr>
    </w:p>
    <w:p w:rsidR="00F816DE" w:rsidRDefault="00F816DE" w:rsidP="00966F8B">
      <w:pPr>
        <w:pStyle w:val="Prrafodelista"/>
        <w:numPr>
          <w:ilvl w:val="0"/>
          <w:numId w:val="21"/>
        </w:numPr>
        <w:ind w:left="993" w:right="567"/>
        <w:jc w:val="both"/>
        <w:rPr>
          <w:rFonts w:ascii="Bookman Old Style" w:hAnsi="Bookman Old Style" w:cs="Arial"/>
          <w:i/>
          <w:sz w:val="22"/>
          <w:szCs w:val="22"/>
          <w:u w:val="single"/>
        </w:rPr>
      </w:pPr>
      <w:r w:rsidRPr="00F816DE">
        <w:rPr>
          <w:rFonts w:ascii="Bookman Old Style" w:hAnsi="Bookman Old Style" w:cs="Arial"/>
          <w:i/>
          <w:sz w:val="22"/>
          <w:szCs w:val="22"/>
          <w:u w:val="single"/>
        </w:rPr>
        <w:t>Tominé:</w:t>
      </w:r>
    </w:p>
    <w:p w:rsidR="00F816DE" w:rsidRPr="00F816DE" w:rsidRDefault="00F816DE" w:rsidP="00F816DE">
      <w:pPr>
        <w:pStyle w:val="Prrafodelista"/>
        <w:rPr>
          <w:rFonts w:ascii="Bookman Old Style" w:hAnsi="Bookman Old Style" w:cs="Arial"/>
          <w:i/>
          <w:sz w:val="22"/>
          <w:szCs w:val="22"/>
          <w:u w:val="single"/>
        </w:rPr>
      </w:pPr>
    </w:p>
    <w:p w:rsidR="00F816DE" w:rsidRPr="00C230AD" w:rsidRDefault="00F816DE" w:rsidP="00966F8B">
      <w:pPr>
        <w:pStyle w:val="Prrafodelista"/>
        <w:numPr>
          <w:ilvl w:val="0"/>
          <w:numId w:val="22"/>
        </w:numPr>
        <w:ind w:left="993" w:right="567"/>
        <w:jc w:val="both"/>
        <w:rPr>
          <w:rFonts w:ascii="Bookman Old Style" w:hAnsi="Bookman Old Style" w:cs="Arial"/>
        </w:rPr>
      </w:pPr>
      <w:r w:rsidRPr="00F816DE">
        <w:rPr>
          <w:rFonts w:ascii="Bookman Old Style" w:hAnsi="Bookman Old Style" w:cs="Arial"/>
          <w:i/>
          <w:sz w:val="22"/>
          <w:szCs w:val="22"/>
          <w:u w:val="single"/>
        </w:rPr>
        <w:t xml:space="preserve">Periodo comprendido entre enero a diciembre de 2001: </w:t>
      </w:r>
      <w:r>
        <w:rPr>
          <w:rFonts w:ascii="Bookman Old Style" w:hAnsi="Bookman Old Style" w:cs="Arial"/>
          <w:i/>
          <w:sz w:val="22"/>
          <w:szCs w:val="22"/>
        </w:rPr>
        <w:t>Para el reporte del año 2001 se utilizó involuntariamente el valor promedio mensual multianu</w:t>
      </w:r>
      <w:r w:rsidR="00C230AD">
        <w:rPr>
          <w:rFonts w:ascii="Bookman Old Style" w:hAnsi="Bookman Old Style" w:cs="Arial"/>
          <w:i/>
          <w:sz w:val="22"/>
          <w:szCs w:val="22"/>
        </w:rPr>
        <w:t>al 1960</w:t>
      </w:r>
      <w:r>
        <w:rPr>
          <w:rFonts w:ascii="Bookman Old Style" w:hAnsi="Bookman Old Style" w:cs="Arial"/>
          <w:i/>
          <w:sz w:val="22"/>
          <w:szCs w:val="22"/>
        </w:rPr>
        <w:t>-2001 de la serie suministrada por la</w:t>
      </w:r>
      <w:r w:rsidR="00C230AD">
        <w:rPr>
          <w:rFonts w:ascii="Bookman Old Style" w:hAnsi="Bookman Old Style" w:cs="Arial"/>
          <w:i/>
          <w:sz w:val="22"/>
          <w:szCs w:val="22"/>
        </w:rPr>
        <w:t xml:space="preserve"> </w:t>
      </w:r>
      <w:r>
        <w:rPr>
          <w:rFonts w:ascii="Bookman Old Style" w:hAnsi="Bookman Old Style" w:cs="Arial"/>
          <w:i/>
          <w:sz w:val="22"/>
          <w:szCs w:val="22"/>
        </w:rPr>
        <w:t>CAR, cuan</w:t>
      </w:r>
      <w:r w:rsidR="00C230AD">
        <w:rPr>
          <w:rFonts w:ascii="Bookman Old Style" w:hAnsi="Bookman Old Style" w:cs="Arial"/>
          <w:i/>
          <w:sz w:val="22"/>
          <w:szCs w:val="22"/>
        </w:rPr>
        <w:t>do</w:t>
      </w:r>
      <w:r>
        <w:rPr>
          <w:rFonts w:ascii="Bookman Old Style" w:hAnsi="Bookman Old Style" w:cs="Arial"/>
          <w:i/>
          <w:sz w:val="22"/>
          <w:szCs w:val="22"/>
        </w:rPr>
        <w:t xml:space="preserve"> en </w:t>
      </w:r>
      <w:r>
        <w:rPr>
          <w:rFonts w:ascii="Bookman Old Style" w:hAnsi="Bookman Old Style" w:cs="Arial"/>
          <w:i/>
          <w:sz w:val="22"/>
          <w:szCs w:val="22"/>
        </w:rPr>
        <w:lastRenderedPageBreak/>
        <w:t>realidad se debió utilizar los valores mensuales correspondientes al año 2001, según consta en el An</w:t>
      </w:r>
      <w:r w:rsidR="00D6285E">
        <w:rPr>
          <w:rFonts w:ascii="Bookman Old Style" w:hAnsi="Bookman Old Style" w:cs="Arial"/>
          <w:i/>
          <w:sz w:val="22"/>
          <w:szCs w:val="22"/>
        </w:rPr>
        <w:t>e</w:t>
      </w:r>
      <w:r>
        <w:rPr>
          <w:rFonts w:ascii="Bookman Old Style" w:hAnsi="Bookman Old Style" w:cs="Arial"/>
          <w:i/>
          <w:sz w:val="22"/>
          <w:szCs w:val="22"/>
        </w:rPr>
        <w:t>xo 7 del Acta SH&amp;PH No 100</w:t>
      </w:r>
      <w:r w:rsidR="00C230AD">
        <w:rPr>
          <w:rFonts w:ascii="Bookman Old Style" w:hAnsi="Bookman Old Style" w:cs="Arial"/>
          <w:i/>
          <w:sz w:val="22"/>
          <w:szCs w:val="22"/>
        </w:rPr>
        <w:t>.</w:t>
      </w:r>
    </w:p>
    <w:p w:rsidR="00C230AD" w:rsidRPr="00C230AD" w:rsidRDefault="00C230AD" w:rsidP="00C230AD">
      <w:pPr>
        <w:pStyle w:val="Prrafodelista"/>
        <w:ind w:left="993" w:right="567"/>
        <w:jc w:val="both"/>
        <w:rPr>
          <w:rFonts w:ascii="Bookman Old Style" w:hAnsi="Bookman Old Style" w:cs="Arial"/>
        </w:rPr>
      </w:pPr>
    </w:p>
    <w:p w:rsidR="00C230AD" w:rsidRPr="00C230AD" w:rsidRDefault="00C230AD" w:rsidP="00966F8B">
      <w:pPr>
        <w:pStyle w:val="Prrafodelista"/>
        <w:numPr>
          <w:ilvl w:val="0"/>
          <w:numId w:val="22"/>
        </w:numPr>
        <w:ind w:left="993" w:right="567"/>
        <w:jc w:val="both"/>
        <w:rPr>
          <w:rFonts w:ascii="Bookman Old Style" w:hAnsi="Bookman Old Style" w:cs="Arial"/>
          <w:sz w:val="22"/>
          <w:szCs w:val="22"/>
        </w:rPr>
      </w:pPr>
      <w:r w:rsidRPr="00C230AD">
        <w:rPr>
          <w:rFonts w:ascii="Bookman Old Style" w:hAnsi="Bookman Old Style" w:cs="Arial"/>
          <w:i/>
          <w:sz w:val="22"/>
          <w:szCs w:val="22"/>
          <w:u w:val="single"/>
        </w:rPr>
        <w:t>Julio de 2003</w:t>
      </w:r>
      <w:r w:rsidRPr="00C230AD">
        <w:rPr>
          <w:rFonts w:ascii="Bookman Old Style" w:hAnsi="Bookman Old Style" w:cs="Arial"/>
          <w:i/>
          <w:sz w:val="22"/>
          <w:szCs w:val="22"/>
        </w:rPr>
        <w:t>: Involuntariamente en el cálculo del caudal reportado originalmente, no fueron empleadas correctamente las unidades de medida del bombeo al embalse Tonié en la ecuación de Cálculo de las afluencias</w:t>
      </w:r>
    </w:p>
    <w:p w:rsidR="00C230AD" w:rsidRPr="00C230AD" w:rsidRDefault="00C230AD" w:rsidP="00C230AD">
      <w:pPr>
        <w:pStyle w:val="Prrafodelista"/>
        <w:rPr>
          <w:rFonts w:ascii="Bookman Old Style" w:hAnsi="Bookman Old Style" w:cs="Arial"/>
          <w:sz w:val="22"/>
          <w:szCs w:val="22"/>
        </w:rPr>
      </w:pPr>
    </w:p>
    <w:p w:rsidR="00C230AD" w:rsidRPr="00C230AD" w:rsidRDefault="00C230AD" w:rsidP="00C230AD">
      <w:pPr>
        <w:ind w:right="567"/>
        <w:jc w:val="both"/>
        <w:rPr>
          <w:rFonts w:ascii="Bookman Old Style" w:hAnsi="Bookman Old Style" w:cs="Arial"/>
          <w:i/>
          <w:sz w:val="22"/>
          <w:szCs w:val="22"/>
        </w:rPr>
      </w:pPr>
      <w:r w:rsidRPr="00C230AD">
        <w:rPr>
          <w:rFonts w:ascii="Bookman Old Style" w:hAnsi="Bookman Old Style" w:cs="Arial"/>
          <w:i/>
          <w:sz w:val="22"/>
          <w:szCs w:val="22"/>
        </w:rPr>
        <w:t>En el caso de las series Checua, Teusacá, Rio Blanco y Filo de Agua Alicachín no fue posible identificar la causa precisa de las discrepancias por la cantidad de variables que intervienen en el cálculo de dichos caudales, donde la mayor parte de la información proviene de terceros (CAR, EAAB) ajenos a EMGESA. Durante el proceso de recopilación de información para la verificación del parámetro se detectó que la información histórica de estas otras entidades ha sufrido cambios posteriores a su reporte inicial, lo cual se sale del control de EMGESA. Al no contar con el soporte original de algunas variables se desconoce cuales (sic) fueron exactamente los datos empleados para el cálculo y reporte de los caudales asociados”</w:t>
      </w:r>
    </w:p>
    <w:p w:rsidR="00F816DE" w:rsidRDefault="00F816DE" w:rsidP="00F816DE">
      <w:pPr>
        <w:tabs>
          <w:tab w:val="left" w:pos="0"/>
        </w:tabs>
        <w:ind w:right="567"/>
        <w:jc w:val="both"/>
        <w:rPr>
          <w:rFonts w:ascii="Bookman Old Style" w:hAnsi="Bookman Old Style" w:cs="Arial"/>
        </w:rPr>
      </w:pPr>
    </w:p>
    <w:p w:rsidR="00F816DE" w:rsidRDefault="00F816DE" w:rsidP="00F816DE">
      <w:pPr>
        <w:tabs>
          <w:tab w:val="left" w:pos="0"/>
        </w:tabs>
        <w:ind w:left="0"/>
        <w:jc w:val="both"/>
        <w:rPr>
          <w:rFonts w:ascii="Bookman Old Style" w:hAnsi="Bookman Old Style" w:cs="Arial"/>
          <w:lang w:val="es-CO"/>
        </w:rPr>
      </w:pPr>
      <w:r>
        <w:rPr>
          <w:rFonts w:ascii="Bookman Old Style" w:hAnsi="Bookman Old Style" w:cs="Arial"/>
          <w:lang w:val="es-CO"/>
        </w:rPr>
        <w:t xml:space="preserve">EMGESA, entonces, hace algunas consideraciones referidas a la diligencia y cuidado de la empresa en la recopilación y reporte de los datos. Se refiere además a la dificultad y complejidad del proceso, afirmando que </w:t>
      </w:r>
      <w:r>
        <w:rPr>
          <w:rFonts w:ascii="Bookman Old Style" w:hAnsi="Bookman Old Style" w:cs="Arial"/>
          <w:i/>
          <w:lang w:val="es-CO"/>
        </w:rPr>
        <w:t xml:space="preserve">“las diferencias entre los valores declarados y los cálculos realizados por SEDIC (…) son un resultado de la complejidad asociada a los procesos de recopilación, trascripción, almacenamiento, análisis y reporte de la información recopilada”. </w:t>
      </w:r>
      <w:r>
        <w:rPr>
          <w:rFonts w:ascii="Bookman Old Style" w:hAnsi="Bookman Old Style" w:cs="Arial"/>
          <w:lang w:val="es-CO"/>
        </w:rPr>
        <w:t xml:space="preserve">En el mismo sentido se refiere a una comunicación del CNO (23 de diciembre de 2008) en la que dicho ente pone en conocimiento de la CREG las posibles dificultades que enfrentaría el proceso de auditoría. </w:t>
      </w:r>
    </w:p>
    <w:p w:rsidR="00F816DE" w:rsidRPr="00B23E3A" w:rsidRDefault="00F816DE" w:rsidP="00F816DE">
      <w:pPr>
        <w:tabs>
          <w:tab w:val="left" w:pos="0"/>
        </w:tabs>
        <w:ind w:left="0"/>
        <w:jc w:val="both"/>
        <w:rPr>
          <w:rFonts w:ascii="Bookman Old Style" w:hAnsi="Bookman Old Style" w:cs="Arial"/>
          <w:lang w:val="es-CO"/>
        </w:rPr>
      </w:pPr>
    </w:p>
    <w:p w:rsidR="00F816DE" w:rsidRPr="00B23E3A" w:rsidRDefault="00F816DE" w:rsidP="00966F8B">
      <w:pPr>
        <w:pStyle w:val="Prrafodelista"/>
        <w:numPr>
          <w:ilvl w:val="0"/>
          <w:numId w:val="19"/>
        </w:numPr>
        <w:tabs>
          <w:tab w:val="left" w:pos="0"/>
        </w:tabs>
        <w:jc w:val="both"/>
        <w:rPr>
          <w:rFonts w:ascii="Bookman Old Style" w:hAnsi="Bookman Old Style" w:cs="Arial"/>
          <w:b/>
          <w:i/>
          <w:sz w:val="24"/>
          <w:szCs w:val="24"/>
        </w:rPr>
      </w:pPr>
      <w:r>
        <w:rPr>
          <w:rFonts w:ascii="Bookman Old Style" w:hAnsi="Bookman Old Style" w:cs="Arial"/>
          <w:b/>
          <w:i/>
          <w:sz w:val="24"/>
          <w:szCs w:val="24"/>
        </w:rPr>
        <w:t>“</w:t>
      </w:r>
      <w:r w:rsidRPr="00B23E3A">
        <w:rPr>
          <w:rFonts w:ascii="Bookman Old Style" w:hAnsi="Bookman Old Style" w:cs="Arial"/>
          <w:b/>
          <w:i/>
          <w:sz w:val="24"/>
          <w:szCs w:val="24"/>
        </w:rPr>
        <w:t>Inexistencia de impacto sobre la ENFICC por las diferencias encontradas pro el Auditor</w:t>
      </w:r>
      <w:r>
        <w:rPr>
          <w:rFonts w:ascii="Bookman Old Style" w:hAnsi="Bookman Old Style" w:cs="Arial"/>
          <w:b/>
          <w:i/>
          <w:sz w:val="24"/>
          <w:szCs w:val="24"/>
        </w:rPr>
        <w:t>”</w:t>
      </w:r>
    </w:p>
    <w:p w:rsidR="00F816DE" w:rsidRDefault="00F816DE" w:rsidP="00F816DE">
      <w:pPr>
        <w:tabs>
          <w:tab w:val="left" w:pos="0"/>
        </w:tabs>
        <w:ind w:left="0"/>
        <w:jc w:val="both"/>
        <w:rPr>
          <w:rFonts w:ascii="Bookman Old Style" w:hAnsi="Bookman Old Style" w:cs="Arial"/>
          <w:lang w:val="es-CO"/>
        </w:rPr>
      </w:pPr>
    </w:p>
    <w:p w:rsidR="00F816DE" w:rsidRDefault="00F816DE" w:rsidP="00F816DE">
      <w:pPr>
        <w:tabs>
          <w:tab w:val="left" w:pos="0"/>
        </w:tabs>
        <w:ind w:left="0"/>
        <w:jc w:val="both"/>
        <w:rPr>
          <w:rFonts w:ascii="Bookman Old Style" w:hAnsi="Bookman Old Style" w:cs="Arial"/>
          <w:lang w:val="es-CO"/>
        </w:rPr>
      </w:pPr>
      <w:r>
        <w:rPr>
          <w:rFonts w:ascii="Bookman Old Style" w:hAnsi="Bookman Old Style" w:cs="Arial"/>
          <w:lang w:val="es-CO"/>
        </w:rPr>
        <w:t>Trascribimos lo pertinente:</w:t>
      </w:r>
    </w:p>
    <w:p w:rsidR="00F816DE" w:rsidRDefault="00F816DE" w:rsidP="00F816DE">
      <w:pPr>
        <w:tabs>
          <w:tab w:val="left" w:pos="0"/>
        </w:tabs>
        <w:ind w:left="0"/>
        <w:jc w:val="both"/>
        <w:rPr>
          <w:rFonts w:ascii="Bookman Old Style" w:hAnsi="Bookman Old Style" w:cs="Arial"/>
          <w:lang w:val="es-CO"/>
        </w:rPr>
      </w:pPr>
    </w:p>
    <w:p w:rsidR="00C230AD" w:rsidRPr="00C230AD" w:rsidRDefault="00C230AD" w:rsidP="00C230AD">
      <w:pPr>
        <w:rPr>
          <w:rFonts w:ascii="Bookman Old Style" w:hAnsi="Bookman Old Style" w:cs="Arial"/>
          <w:i/>
          <w:sz w:val="22"/>
          <w:szCs w:val="22"/>
          <w:lang w:val="es-CO"/>
        </w:rPr>
      </w:pPr>
      <w:r w:rsidRPr="00C230AD">
        <w:rPr>
          <w:rFonts w:ascii="Bookman Old Style" w:hAnsi="Bookman Old Style" w:cs="Arial"/>
          <w:i/>
          <w:sz w:val="22"/>
          <w:szCs w:val="22"/>
          <w:lang w:val="es-CO"/>
        </w:rPr>
        <w:t>“</w:t>
      </w:r>
    </w:p>
    <w:p w:rsidR="00F816DE" w:rsidRPr="00B23E3A" w:rsidRDefault="00C230AD" w:rsidP="00C230AD">
      <w:pPr>
        <w:ind w:left="1701" w:right="567" w:hanging="732"/>
        <w:jc w:val="both"/>
        <w:rPr>
          <w:rFonts w:ascii="Bookman Old Style" w:hAnsi="Bookman Old Style" w:cs="Arial"/>
          <w:i/>
          <w:sz w:val="22"/>
          <w:szCs w:val="22"/>
          <w:lang w:val="es-CO"/>
        </w:rPr>
      </w:pPr>
      <w:r>
        <w:rPr>
          <w:rFonts w:ascii="Bookman Old Style" w:hAnsi="Bookman Old Style" w:cs="Arial"/>
          <w:i/>
          <w:sz w:val="22"/>
          <w:szCs w:val="22"/>
          <w:lang w:val="es-CO"/>
        </w:rPr>
        <w:t>2.1.</w:t>
      </w:r>
      <w:r>
        <w:rPr>
          <w:rFonts w:ascii="Bookman Old Style" w:hAnsi="Bookman Old Style" w:cs="Arial"/>
          <w:i/>
          <w:sz w:val="22"/>
          <w:szCs w:val="22"/>
          <w:lang w:val="es-CO"/>
        </w:rPr>
        <w:tab/>
        <w:t xml:space="preserve">Conforme a la reglamentación vigente, el propósito de la verificación de parámetros, es asegurarse que, derivado de la declaración de los parámetros necesarios para el cálculo de la ENFICC, no existan agentes que se beneficien con la obtención de una asignación mayor de ENFICC. </w:t>
      </w:r>
    </w:p>
    <w:p w:rsidR="00F816DE" w:rsidRPr="00B23E3A" w:rsidRDefault="00F816DE" w:rsidP="00F816DE">
      <w:pPr>
        <w:ind w:right="567"/>
        <w:jc w:val="both"/>
        <w:rPr>
          <w:rFonts w:ascii="Bookman Old Style" w:hAnsi="Bookman Old Style" w:cs="Arial"/>
          <w:i/>
          <w:sz w:val="22"/>
          <w:szCs w:val="22"/>
          <w:lang w:val="es-CO"/>
        </w:rPr>
      </w:pPr>
    </w:p>
    <w:p w:rsidR="00F816DE" w:rsidRDefault="00F816DE" w:rsidP="00966F8B">
      <w:pPr>
        <w:pStyle w:val="Prrafodelista"/>
        <w:numPr>
          <w:ilvl w:val="1"/>
          <w:numId w:val="19"/>
        </w:numPr>
        <w:ind w:left="1701" w:right="567"/>
        <w:jc w:val="both"/>
        <w:rPr>
          <w:rFonts w:ascii="Bookman Old Style" w:hAnsi="Bookman Old Style" w:cs="Arial"/>
          <w:i/>
          <w:sz w:val="22"/>
          <w:szCs w:val="22"/>
        </w:rPr>
      </w:pPr>
      <w:r w:rsidRPr="00B23E3A">
        <w:rPr>
          <w:rFonts w:ascii="Bookman Old Style" w:hAnsi="Bookman Old Style" w:cs="Arial"/>
          <w:i/>
          <w:sz w:val="22"/>
          <w:szCs w:val="22"/>
        </w:rPr>
        <w:t xml:space="preserve">De acuerdo con los resultados de la auditoría, </w:t>
      </w:r>
      <w:r w:rsidR="0060483C">
        <w:rPr>
          <w:rFonts w:ascii="Bookman Old Style" w:hAnsi="Bookman Old Style" w:cs="Arial"/>
          <w:i/>
          <w:sz w:val="22"/>
          <w:szCs w:val="22"/>
        </w:rPr>
        <w:t>realizamos</w:t>
      </w:r>
      <w:r w:rsidRPr="00B23E3A">
        <w:rPr>
          <w:rFonts w:ascii="Bookman Old Style" w:hAnsi="Bookman Old Style" w:cs="Arial"/>
          <w:i/>
          <w:sz w:val="22"/>
          <w:szCs w:val="22"/>
        </w:rPr>
        <w:t xml:space="preserve"> un análisis del efecto en la ENFICC de la</w:t>
      </w:r>
      <w:r w:rsidR="0060483C">
        <w:rPr>
          <w:rFonts w:ascii="Bookman Old Style" w:hAnsi="Bookman Old Style" w:cs="Arial"/>
          <w:i/>
          <w:sz w:val="22"/>
          <w:szCs w:val="22"/>
        </w:rPr>
        <w:t>s plantas de generación PARAISO y LA GUACA para</w:t>
      </w:r>
      <w:r w:rsidRPr="00B23E3A">
        <w:rPr>
          <w:rFonts w:ascii="Bookman Old Style" w:hAnsi="Bookman Old Style" w:cs="Arial"/>
          <w:i/>
          <w:sz w:val="22"/>
          <w:szCs w:val="22"/>
        </w:rPr>
        <w:t xml:space="preserve"> el periodo 2012-2013 empleando los valores de la serie calculada por el auditor para los meses en que el valor declarado era mayor al calculado, </w:t>
      </w:r>
      <w:r w:rsidR="0060483C">
        <w:rPr>
          <w:rFonts w:ascii="Bookman Old Style" w:hAnsi="Bookman Old Style" w:cs="Arial"/>
          <w:i/>
          <w:sz w:val="22"/>
          <w:szCs w:val="22"/>
        </w:rPr>
        <w:t>obteniendo</w:t>
      </w:r>
      <w:r w:rsidRPr="00B23E3A">
        <w:rPr>
          <w:rFonts w:ascii="Bookman Old Style" w:hAnsi="Bookman Old Style" w:cs="Arial"/>
          <w:i/>
          <w:sz w:val="22"/>
          <w:szCs w:val="22"/>
        </w:rPr>
        <w:t xml:space="preserve"> los siguientes resultados:</w:t>
      </w:r>
    </w:p>
    <w:p w:rsidR="00F816DE" w:rsidRDefault="00F816DE" w:rsidP="00F816DE">
      <w:pPr>
        <w:ind w:right="567"/>
        <w:jc w:val="both"/>
        <w:rPr>
          <w:rFonts w:ascii="Bookman Old Style" w:hAnsi="Bookman Old Style" w:cs="Arial"/>
          <w:i/>
          <w:sz w:val="22"/>
          <w:szCs w:val="22"/>
        </w:rPr>
      </w:pPr>
    </w:p>
    <w:p w:rsidR="00F816DE" w:rsidRDefault="0060483C" w:rsidP="00F816DE">
      <w:pPr>
        <w:tabs>
          <w:tab w:val="left" w:pos="0"/>
        </w:tabs>
        <w:ind w:left="0"/>
        <w:jc w:val="center"/>
        <w:rPr>
          <w:rFonts w:ascii="Bookman Old Style" w:hAnsi="Bookman Old Style" w:cs="Arial"/>
          <w:lang w:val="es-CO"/>
        </w:rPr>
      </w:pPr>
      <w:r>
        <w:rPr>
          <w:rFonts w:ascii="Bookman Old Style" w:hAnsi="Bookman Old Style" w:cs="Arial"/>
          <w:noProof/>
          <w:lang w:val="es-CO" w:eastAsia="es-CO"/>
        </w:rPr>
        <w:lastRenderedPageBreak/>
        <w:drawing>
          <wp:inline distT="0" distB="0" distL="0" distR="0">
            <wp:extent cx="4076700" cy="185737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076700" cy="1857375"/>
                    </a:xfrm>
                    <a:prstGeom prst="rect">
                      <a:avLst/>
                    </a:prstGeom>
                    <a:noFill/>
                    <a:ln w="9525">
                      <a:noFill/>
                      <a:miter lim="800000"/>
                      <a:headEnd/>
                      <a:tailEnd/>
                    </a:ln>
                  </pic:spPr>
                </pic:pic>
              </a:graphicData>
            </a:graphic>
          </wp:inline>
        </w:drawing>
      </w:r>
    </w:p>
    <w:p w:rsidR="00F816DE" w:rsidRPr="00FF434D" w:rsidRDefault="00F816DE" w:rsidP="00F816DE">
      <w:pPr>
        <w:tabs>
          <w:tab w:val="left" w:pos="0"/>
        </w:tabs>
        <w:ind w:left="0"/>
        <w:jc w:val="both"/>
        <w:rPr>
          <w:rFonts w:ascii="Bookman Old Style" w:hAnsi="Bookman Old Style" w:cs="Arial"/>
          <w:sz w:val="22"/>
          <w:szCs w:val="22"/>
          <w:lang w:val="es-CO"/>
        </w:rPr>
      </w:pPr>
    </w:p>
    <w:p w:rsidR="00F816DE" w:rsidRDefault="00F816DE" w:rsidP="00966F8B">
      <w:pPr>
        <w:pStyle w:val="Prrafodelista"/>
        <w:numPr>
          <w:ilvl w:val="1"/>
          <w:numId w:val="19"/>
        </w:numPr>
        <w:ind w:left="1701" w:right="567"/>
        <w:jc w:val="both"/>
        <w:rPr>
          <w:rFonts w:ascii="Bookman Old Style" w:hAnsi="Bookman Old Style" w:cs="Arial"/>
          <w:i/>
          <w:sz w:val="22"/>
          <w:szCs w:val="22"/>
        </w:rPr>
      </w:pPr>
      <w:r>
        <w:rPr>
          <w:rFonts w:ascii="Bookman Old Style" w:hAnsi="Bookman Old Style" w:cs="Arial"/>
          <w:i/>
          <w:sz w:val="22"/>
          <w:szCs w:val="22"/>
        </w:rPr>
        <w:t>De acuerdo con lo establecido en el artículo 41 de la resolución CREG 071 de 2006 (…), los resultados de la Tabla 1, muestra</w:t>
      </w:r>
      <w:r w:rsidR="0060483C">
        <w:rPr>
          <w:rFonts w:ascii="Bookman Old Style" w:hAnsi="Bookman Old Style" w:cs="Arial"/>
          <w:i/>
          <w:sz w:val="22"/>
          <w:szCs w:val="22"/>
        </w:rPr>
        <w:t>n que la ENFICC Base estaría</w:t>
      </w:r>
      <w:r>
        <w:rPr>
          <w:rFonts w:ascii="Bookman Old Style" w:hAnsi="Bookman Old Style" w:cs="Arial"/>
          <w:i/>
          <w:sz w:val="22"/>
          <w:szCs w:val="22"/>
        </w:rPr>
        <w:t xml:space="preserve"> por debajo del margen de tolerancia del 10% para el incremento de la ENFICC de una planta de generación por cambios en sus parámetros, pue</w:t>
      </w:r>
      <w:r w:rsidR="0060483C">
        <w:rPr>
          <w:rFonts w:ascii="Bookman Old Style" w:hAnsi="Bookman Old Style" w:cs="Arial"/>
          <w:i/>
          <w:sz w:val="22"/>
          <w:szCs w:val="22"/>
        </w:rPr>
        <w:t>s su valor corresponde a una</w:t>
      </w:r>
      <w:r>
        <w:rPr>
          <w:rFonts w:ascii="Bookman Old Style" w:hAnsi="Bookman Old Style" w:cs="Arial"/>
          <w:i/>
          <w:sz w:val="22"/>
          <w:szCs w:val="22"/>
        </w:rPr>
        <w:t xml:space="preserve"> variación</w:t>
      </w:r>
      <w:r w:rsidR="0060483C">
        <w:rPr>
          <w:rFonts w:ascii="Bookman Old Style" w:hAnsi="Bookman Old Style" w:cs="Arial"/>
          <w:i/>
          <w:sz w:val="22"/>
          <w:szCs w:val="22"/>
        </w:rPr>
        <w:t xml:space="preserve"> del 4,28</w:t>
      </w:r>
      <w:r>
        <w:rPr>
          <w:rFonts w:ascii="Bookman Old Style" w:hAnsi="Bookman Old Style" w:cs="Arial"/>
          <w:i/>
          <w:sz w:val="22"/>
          <w:szCs w:val="22"/>
        </w:rPr>
        <w:t xml:space="preserve">% por debajo de la ENFICC Base vigente de </w:t>
      </w:r>
      <w:r w:rsidR="0060483C">
        <w:rPr>
          <w:rFonts w:ascii="Bookman Old Style" w:hAnsi="Bookman Old Style" w:cs="Arial"/>
          <w:i/>
          <w:sz w:val="22"/>
          <w:szCs w:val="22"/>
        </w:rPr>
        <w:t>PARAISO y LA GUACA</w:t>
      </w:r>
      <w:r w:rsidR="0060483C">
        <w:rPr>
          <w:rStyle w:val="Refdenotaalpie"/>
          <w:rFonts w:ascii="Bookman Old Style" w:hAnsi="Bookman Old Style" w:cs="Arial"/>
          <w:i/>
          <w:sz w:val="22"/>
          <w:szCs w:val="22"/>
        </w:rPr>
        <w:footnoteReference w:id="1"/>
      </w:r>
      <w:r>
        <w:rPr>
          <w:rFonts w:ascii="Bookman Old Style" w:hAnsi="Bookman Old Style" w:cs="Arial"/>
          <w:i/>
          <w:sz w:val="22"/>
          <w:szCs w:val="22"/>
        </w:rPr>
        <w:t>. En consecuencia, es claro que EMGESA no se benefició de la diferencia encontrada en la verificación del parámetro.</w:t>
      </w:r>
    </w:p>
    <w:p w:rsidR="00F816DE" w:rsidRDefault="00F816DE" w:rsidP="00F816DE">
      <w:pPr>
        <w:pStyle w:val="Prrafodelista"/>
        <w:ind w:left="1701" w:right="567"/>
        <w:jc w:val="both"/>
        <w:rPr>
          <w:rFonts w:ascii="Bookman Old Style" w:hAnsi="Bookman Old Style" w:cs="Arial"/>
          <w:i/>
          <w:sz w:val="22"/>
          <w:szCs w:val="22"/>
        </w:rPr>
      </w:pPr>
    </w:p>
    <w:p w:rsidR="00F816DE" w:rsidRPr="00FF434D" w:rsidRDefault="00F816DE" w:rsidP="00966F8B">
      <w:pPr>
        <w:pStyle w:val="Prrafodelista"/>
        <w:numPr>
          <w:ilvl w:val="0"/>
          <w:numId w:val="19"/>
        </w:numPr>
        <w:ind w:right="567"/>
        <w:jc w:val="both"/>
        <w:rPr>
          <w:rFonts w:ascii="Bookman Old Style" w:hAnsi="Bookman Old Style" w:cs="Arial"/>
          <w:i/>
          <w:sz w:val="24"/>
          <w:szCs w:val="24"/>
        </w:rPr>
      </w:pPr>
      <w:r>
        <w:rPr>
          <w:rFonts w:ascii="Bookman Old Style" w:hAnsi="Bookman Old Style" w:cs="Arial"/>
          <w:b/>
          <w:i/>
          <w:sz w:val="24"/>
          <w:szCs w:val="24"/>
        </w:rPr>
        <w:t>“</w:t>
      </w:r>
      <w:r w:rsidRPr="00FF434D">
        <w:rPr>
          <w:rFonts w:ascii="Bookman Old Style" w:hAnsi="Bookman Old Style" w:cs="Arial"/>
          <w:b/>
          <w:i/>
          <w:sz w:val="24"/>
          <w:szCs w:val="24"/>
        </w:rPr>
        <w:t xml:space="preserve">Finalidad de la Verificación de Parámetros – Energía Firme Para El Cargo Por Confiabilidad </w:t>
      </w:r>
      <w:r>
        <w:rPr>
          <w:rFonts w:ascii="Bookman Old Style" w:hAnsi="Bookman Old Style" w:cs="Arial"/>
          <w:b/>
          <w:i/>
          <w:sz w:val="24"/>
          <w:szCs w:val="24"/>
        </w:rPr>
        <w:t>–</w:t>
      </w:r>
      <w:r w:rsidRPr="00FF434D">
        <w:rPr>
          <w:rFonts w:ascii="Bookman Old Style" w:hAnsi="Bookman Old Style" w:cs="Arial"/>
          <w:b/>
          <w:i/>
          <w:sz w:val="24"/>
          <w:szCs w:val="24"/>
        </w:rPr>
        <w:t xml:space="preserve"> ENFICC</w:t>
      </w:r>
      <w:r>
        <w:rPr>
          <w:rFonts w:ascii="Bookman Old Style" w:hAnsi="Bookman Old Style" w:cs="Arial"/>
          <w:b/>
          <w:i/>
          <w:sz w:val="24"/>
          <w:szCs w:val="24"/>
        </w:rPr>
        <w:t>”</w:t>
      </w:r>
    </w:p>
    <w:p w:rsidR="00F816DE" w:rsidRDefault="00F816DE" w:rsidP="00F816DE">
      <w:pPr>
        <w:tabs>
          <w:tab w:val="left" w:pos="0"/>
        </w:tabs>
        <w:ind w:left="0"/>
        <w:jc w:val="both"/>
        <w:rPr>
          <w:rFonts w:ascii="Bookman Old Style" w:hAnsi="Bookman Old Style" w:cs="Arial"/>
          <w:lang w:val="es-CO"/>
        </w:rPr>
      </w:pPr>
    </w:p>
    <w:p w:rsidR="00F816DE" w:rsidRDefault="0060483C" w:rsidP="00F816DE">
      <w:pPr>
        <w:tabs>
          <w:tab w:val="left" w:pos="0"/>
        </w:tabs>
        <w:ind w:left="0"/>
        <w:jc w:val="both"/>
        <w:rPr>
          <w:rFonts w:ascii="Bookman Old Style" w:hAnsi="Bookman Old Style" w:cs="Arial"/>
          <w:lang w:val="es-CO"/>
        </w:rPr>
      </w:pPr>
      <w:r>
        <w:rPr>
          <w:rFonts w:ascii="Bookman Old Style" w:hAnsi="Bookman Old Style" w:cs="Arial"/>
          <w:lang w:val="es-CO"/>
        </w:rPr>
        <w:t>Trascribim</w:t>
      </w:r>
      <w:r w:rsidR="00F816DE">
        <w:rPr>
          <w:rFonts w:ascii="Bookman Old Style" w:hAnsi="Bookman Old Style" w:cs="Arial"/>
          <w:lang w:val="es-CO"/>
        </w:rPr>
        <w:t>os los apartes pertinentes:</w:t>
      </w:r>
    </w:p>
    <w:p w:rsidR="00F816DE" w:rsidRDefault="00F816DE" w:rsidP="00F816DE">
      <w:pPr>
        <w:tabs>
          <w:tab w:val="left" w:pos="0"/>
        </w:tabs>
        <w:ind w:left="0"/>
        <w:jc w:val="both"/>
        <w:rPr>
          <w:rFonts w:ascii="Bookman Old Style" w:hAnsi="Bookman Old Style" w:cs="Arial"/>
          <w:lang w:val="es-CO"/>
        </w:rPr>
      </w:pPr>
    </w:p>
    <w:p w:rsidR="00F816DE" w:rsidRDefault="00F816DE" w:rsidP="00F816DE">
      <w:pPr>
        <w:ind w:right="567"/>
        <w:jc w:val="both"/>
        <w:rPr>
          <w:rFonts w:ascii="Bookman Old Style" w:hAnsi="Bookman Old Style" w:cs="Arial"/>
          <w:i/>
          <w:sz w:val="22"/>
          <w:szCs w:val="22"/>
          <w:lang w:val="es-CO"/>
        </w:rPr>
      </w:pPr>
      <w:r>
        <w:rPr>
          <w:rFonts w:ascii="Bookman Old Style" w:hAnsi="Bookman Old Style" w:cs="Arial"/>
          <w:i/>
          <w:sz w:val="22"/>
          <w:szCs w:val="22"/>
          <w:lang w:val="es-CO"/>
        </w:rPr>
        <w:t>“(…)</w:t>
      </w:r>
    </w:p>
    <w:p w:rsidR="00F816DE" w:rsidRDefault="00F816DE" w:rsidP="00F816DE">
      <w:pPr>
        <w:ind w:right="567"/>
        <w:jc w:val="both"/>
        <w:rPr>
          <w:rFonts w:ascii="Bookman Old Style" w:hAnsi="Bookman Old Style" w:cs="Arial"/>
          <w:i/>
          <w:sz w:val="22"/>
          <w:szCs w:val="22"/>
          <w:lang w:val="es-CO"/>
        </w:rPr>
      </w:pPr>
    </w:p>
    <w:p w:rsidR="00F816DE" w:rsidRPr="00FF434D" w:rsidRDefault="00F816DE" w:rsidP="00966F8B">
      <w:pPr>
        <w:pStyle w:val="Prrafodelista"/>
        <w:numPr>
          <w:ilvl w:val="1"/>
          <w:numId w:val="19"/>
        </w:numPr>
        <w:ind w:left="1701" w:right="567"/>
        <w:jc w:val="both"/>
        <w:rPr>
          <w:rFonts w:ascii="Bookman Old Style" w:hAnsi="Bookman Old Style" w:cs="Arial"/>
          <w:i/>
          <w:sz w:val="22"/>
          <w:szCs w:val="22"/>
        </w:rPr>
      </w:pPr>
      <w:r>
        <w:rPr>
          <w:rFonts w:ascii="Bookman Old Style" w:hAnsi="Bookman Old Style" w:cs="Arial"/>
          <w:i/>
          <w:sz w:val="22"/>
          <w:szCs w:val="22"/>
        </w:rPr>
        <w:t>Frente al particular, la CREG ha sido clara en establecer en diversas oportunidades</w:t>
      </w:r>
      <w:r>
        <w:rPr>
          <w:rStyle w:val="Refdenotaalpie"/>
          <w:rFonts w:ascii="Bookman Old Style" w:hAnsi="Bookman Old Style" w:cs="Arial"/>
          <w:i/>
          <w:sz w:val="22"/>
          <w:szCs w:val="22"/>
        </w:rPr>
        <w:footnoteReference w:id="2"/>
      </w:r>
      <w:r>
        <w:rPr>
          <w:rFonts w:ascii="Bookman Old Style" w:hAnsi="Bookman Old Style" w:cs="Arial"/>
          <w:i/>
          <w:sz w:val="22"/>
          <w:szCs w:val="22"/>
        </w:rPr>
        <w:t>, que a pesar que el valor esté por fuera de las holguras o márgenes de error definidas por la CREG, “</w:t>
      </w:r>
      <w:r w:rsidRPr="00FF434D">
        <w:rPr>
          <w:rFonts w:ascii="Bookman Old Style" w:hAnsi="Bookman Old Style" w:cs="Arial"/>
          <w:i/>
          <w:sz w:val="22"/>
          <w:szCs w:val="22"/>
          <w:lang w:val="es-ES"/>
        </w:rPr>
        <w:t xml:space="preserve">no por ello ha de ignorarse el alegato del interesado en orden a examinar si el valor declarado conlleva a una menor o mayor asignación de la ENFICC porque, con independencia de que las holguras o márgenes de error tengan tal propósito, el criterio normativo que se busca garantizar de no considerar discrepancias valores que den lugar a una menor asignación de ENFICC, es autónomo, más aun si se considera que, en últimas, </w:t>
      </w:r>
      <w:r w:rsidRPr="00FF434D">
        <w:rPr>
          <w:rFonts w:ascii="Bookman Old Style" w:hAnsi="Bookman Old Style" w:cs="Arial"/>
          <w:i/>
          <w:sz w:val="22"/>
          <w:szCs w:val="22"/>
          <w:u w:val="single"/>
          <w:lang w:val="es-ES"/>
        </w:rPr>
        <w:t>lo que se está examinando es el correcto cálculo de la ENFICC declarada por el interesado (…)”</w:t>
      </w:r>
      <w:r>
        <w:rPr>
          <w:rFonts w:ascii="Bookman Old Style" w:hAnsi="Bookman Old Style" w:cs="Arial"/>
          <w:i/>
          <w:sz w:val="22"/>
          <w:szCs w:val="22"/>
          <w:lang w:val="es-ES"/>
        </w:rPr>
        <w:t xml:space="preserve"> (el subrayado es nuestro).</w:t>
      </w:r>
    </w:p>
    <w:p w:rsidR="00F816DE" w:rsidRPr="00FF434D" w:rsidRDefault="00F816DE" w:rsidP="00F816DE">
      <w:pPr>
        <w:pStyle w:val="Prrafodelista"/>
        <w:ind w:left="1701" w:right="567"/>
        <w:jc w:val="both"/>
        <w:rPr>
          <w:rFonts w:ascii="Bookman Old Style" w:hAnsi="Bookman Old Style" w:cs="Arial"/>
          <w:i/>
          <w:sz w:val="22"/>
          <w:szCs w:val="22"/>
        </w:rPr>
      </w:pPr>
    </w:p>
    <w:p w:rsidR="00F816DE" w:rsidRDefault="00F816DE" w:rsidP="00966F8B">
      <w:pPr>
        <w:pStyle w:val="Prrafodelista"/>
        <w:numPr>
          <w:ilvl w:val="1"/>
          <w:numId w:val="19"/>
        </w:numPr>
        <w:ind w:left="1701" w:right="567"/>
        <w:jc w:val="both"/>
        <w:rPr>
          <w:rFonts w:ascii="Bookman Old Style" w:hAnsi="Bookman Old Style" w:cs="Arial"/>
          <w:i/>
          <w:sz w:val="22"/>
          <w:szCs w:val="22"/>
        </w:rPr>
      </w:pPr>
      <w:r>
        <w:rPr>
          <w:rFonts w:ascii="Bookman Old Style" w:hAnsi="Bookman Old Style" w:cs="Arial"/>
          <w:i/>
          <w:sz w:val="22"/>
          <w:szCs w:val="22"/>
        </w:rPr>
        <w:t>Conforme a lo anterior, es claro que la Comisión fundamentada en los principios objetivos del cargo por confiabilidad, tiene autonomía para considerar las discrepancias y determinar la existencia de ellas siempre que sus valores den lugar a una mayor asignación de ENFICC en beneficio de los agentes, traducidos en una mayor remuneración por cargo de confiabilidad.”</w:t>
      </w:r>
    </w:p>
    <w:p w:rsidR="00F816DE" w:rsidRPr="007229E9" w:rsidRDefault="00F816DE" w:rsidP="00F816DE">
      <w:pPr>
        <w:pStyle w:val="Prrafodelista"/>
        <w:rPr>
          <w:rFonts w:ascii="Bookman Old Style" w:hAnsi="Bookman Old Style" w:cs="Arial"/>
          <w:i/>
          <w:sz w:val="14"/>
          <w:szCs w:val="22"/>
        </w:rPr>
      </w:pPr>
    </w:p>
    <w:p w:rsidR="00F816DE" w:rsidRPr="002B5E3D" w:rsidRDefault="00F816DE" w:rsidP="00966F8B">
      <w:pPr>
        <w:pStyle w:val="Prrafodelista"/>
        <w:numPr>
          <w:ilvl w:val="0"/>
          <w:numId w:val="19"/>
        </w:numPr>
        <w:tabs>
          <w:tab w:val="left" w:pos="0"/>
        </w:tabs>
        <w:jc w:val="both"/>
        <w:rPr>
          <w:rFonts w:ascii="Bookman Old Style" w:hAnsi="Bookman Old Style" w:cs="Arial"/>
          <w:b/>
          <w:i/>
          <w:sz w:val="24"/>
          <w:szCs w:val="24"/>
        </w:rPr>
      </w:pPr>
      <w:r w:rsidRPr="002B5E3D">
        <w:rPr>
          <w:rFonts w:ascii="Bookman Old Style" w:hAnsi="Bookman Old Style" w:cs="Arial"/>
          <w:b/>
          <w:i/>
          <w:sz w:val="24"/>
          <w:szCs w:val="24"/>
        </w:rPr>
        <w:t>“Solicitud”</w:t>
      </w:r>
    </w:p>
    <w:p w:rsidR="00F816DE" w:rsidRDefault="00F816DE" w:rsidP="00F816DE">
      <w:pPr>
        <w:tabs>
          <w:tab w:val="left" w:pos="0"/>
        </w:tabs>
        <w:jc w:val="both"/>
        <w:rPr>
          <w:rFonts w:ascii="Bookman Old Style" w:hAnsi="Bookman Old Style" w:cs="Arial"/>
          <w:b/>
          <w:i/>
        </w:rPr>
      </w:pPr>
    </w:p>
    <w:p w:rsidR="00F816DE" w:rsidRPr="002B5E3D" w:rsidRDefault="00F816DE" w:rsidP="00F816DE">
      <w:pPr>
        <w:tabs>
          <w:tab w:val="left" w:pos="0"/>
        </w:tabs>
        <w:ind w:left="0"/>
        <w:jc w:val="both"/>
        <w:rPr>
          <w:rFonts w:ascii="Bookman Old Style" w:hAnsi="Bookman Old Style" w:cs="Arial"/>
        </w:rPr>
      </w:pPr>
      <w:r w:rsidRPr="002B5E3D">
        <w:rPr>
          <w:rFonts w:ascii="Bookman Old Style" w:hAnsi="Bookman Old Style" w:cs="Arial"/>
        </w:rPr>
        <w:t>Finalmente, EMGESA hace la siguiente solicitud:</w:t>
      </w:r>
    </w:p>
    <w:p w:rsidR="00F816DE" w:rsidRPr="002B5E3D" w:rsidRDefault="00F816DE" w:rsidP="00F816DE">
      <w:pPr>
        <w:tabs>
          <w:tab w:val="left" w:pos="0"/>
        </w:tabs>
        <w:ind w:right="567"/>
        <w:jc w:val="both"/>
        <w:rPr>
          <w:rFonts w:ascii="Bookman Old Style" w:hAnsi="Bookman Old Style" w:cs="Arial"/>
          <w:i/>
          <w:sz w:val="22"/>
          <w:szCs w:val="22"/>
        </w:rPr>
      </w:pPr>
      <w:r w:rsidRPr="002B5E3D">
        <w:rPr>
          <w:rFonts w:ascii="Bookman Old Style" w:hAnsi="Bookman Old Style" w:cs="Arial"/>
          <w:i/>
          <w:sz w:val="22"/>
          <w:szCs w:val="22"/>
        </w:rPr>
        <w:lastRenderedPageBreak/>
        <w:t>“Con base en los argumentos y consideraciones presentadas, respetuosamente le solicitamos a la Comisión ordenar el archivo de la actuación administrativa por considerar que no existe mérito alguno para continuar con el objeto de la actuación mencionada”</w:t>
      </w:r>
    </w:p>
    <w:p w:rsidR="00F816DE" w:rsidRPr="000B33DF" w:rsidRDefault="00F816DE" w:rsidP="00F816DE">
      <w:pPr>
        <w:tabs>
          <w:tab w:val="left" w:pos="0"/>
        </w:tabs>
        <w:ind w:left="0"/>
        <w:jc w:val="both"/>
        <w:rPr>
          <w:rFonts w:ascii="Bookman Old Style" w:hAnsi="Bookman Old Style" w:cs="Arial"/>
          <w:lang w:val="es-CO"/>
        </w:rPr>
      </w:pPr>
    </w:p>
    <w:p w:rsidR="00F816DE" w:rsidRPr="000B33DF" w:rsidRDefault="00F816DE" w:rsidP="00F816DE">
      <w:pPr>
        <w:tabs>
          <w:tab w:val="left" w:pos="0"/>
        </w:tabs>
        <w:ind w:left="0"/>
        <w:jc w:val="both"/>
        <w:rPr>
          <w:rFonts w:ascii="Bookman Old Style" w:hAnsi="Bookman Old Style" w:cs="Arial"/>
          <w:b/>
          <w:bCs/>
          <w:lang w:val="es-CO"/>
        </w:rPr>
      </w:pPr>
      <w:r>
        <w:rPr>
          <w:rFonts w:ascii="Bookman Old Style" w:hAnsi="Bookman Old Style" w:cs="Arial"/>
          <w:lang w:val="es-CO"/>
        </w:rPr>
        <w:t>P</w:t>
      </w:r>
      <w:r w:rsidRPr="000B33DF">
        <w:rPr>
          <w:rFonts w:ascii="Bookman Old Style" w:hAnsi="Bookman Old Style" w:cs="Arial"/>
          <w:lang w:val="es-CO"/>
        </w:rPr>
        <w:t>ara resolver lo pertinente se analizará la presunta discrepancia que en el respectivo parámetro reportado presenta la</w:t>
      </w:r>
      <w:r w:rsidR="0060483C">
        <w:rPr>
          <w:rFonts w:ascii="Bookman Old Style" w:hAnsi="Bookman Old Style" w:cs="Arial"/>
          <w:lang w:val="es-CO"/>
        </w:rPr>
        <w:t>s</w:t>
      </w:r>
      <w:r w:rsidRPr="000B33DF">
        <w:rPr>
          <w:rFonts w:ascii="Bookman Old Style" w:hAnsi="Bookman Old Style" w:cs="Arial"/>
          <w:lang w:val="es-CO"/>
        </w:rPr>
        <w:t xml:space="preserve"> planta</w:t>
      </w:r>
      <w:r w:rsidR="0060483C">
        <w:rPr>
          <w:rFonts w:ascii="Bookman Old Style" w:hAnsi="Bookman Old Style" w:cs="Arial"/>
          <w:lang w:val="es-CO"/>
        </w:rPr>
        <w:t>s</w:t>
      </w:r>
      <w:r w:rsidRPr="000B33DF">
        <w:rPr>
          <w:rFonts w:ascii="Bookman Old Style" w:hAnsi="Bookman Old Style" w:cs="Arial"/>
          <w:lang w:val="es-CO"/>
        </w:rPr>
        <w:t xml:space="preserve"> de generación</w:t>
      </w:r>
      <w:r>
        <w:rPr>
          <w:rFonts w:ascii="Bookman Old Style" w:hAnsi="Bookman Old Style" w:cs="Arial"/>
          <w:lang w:val="es-CO"/>
        </w:rPr>
        <w:t xml:space="preserve"> </w:t>
      </w:r>
      <w:r w:rsidR="0060483C">
        <w:rPr>
          <w:rFonts w:ascii="Bookman Old Style" w:hAnsi="Bookman Old Style" w:cs="Arial"/>
          <w:lang w:val="es-CO"/>
        </w:rPr>
        <w:t>PARAISO y LA GUACA</w:t>
      </w:r>
      <w:r w:rsidRPr="000B33DF">
        <w:rPr>
          <w:rFonts w:ascii="Bookman Old Style" w:hAnsi="Bookman Old Style" w:cs="Arial"/>
          <w:lang w:val="es-CO"/>
        </w:rPr>
        <w:t>, con el propósito de establecer si ella debe o no ser confirmada</w:t>
      </w:r>
      <w:r w:rsidR="0060483C">
        <w:rPr>
          <w:rFonts w:ascii="Bookman Old Style" w:hAnsi="Bookman Old Style" w:cs="Arial"/>
          <w:lang w:val="es-CO"/>
        </w:rPr>
        <w:t>.</w:t>
      </w:r>
    </w:p>
    <w:p w:rsidR="00F816DE" w:rsidRDefault="00F816DE" w:rsidP="005B03E9">
      <w:pPr>
        <w:tabs>
          <w:tab w:val="left" w:pos="0"/>
        </w:tabs>
        <w:ind w:left="0"/>
        <w:jc w:val="both"/>
        <w:rPr>
          <w:rFonts w:ascii="Bookman Old Style" w:hAnsi="Bookman Old Style" w:cs="Arial"/>
          <w:lang w:val="es-CO"/>
        </w:rPr>
      </w:pPr>
    </w:p>
    <w:p w:rsidR="000B3FE6" w:rsidRPr="002B5E3D" w:rsidRDefault="000B3FE6" w:rsidP="000B3FE6">
      <w:pPr>
        <w:tabs>
          <w:tab w:val="left" w:pos="0"/>
        </w:tabs>
        <w:ind w:left="0"/>
        <w:jc w:val="both"/>
        <w:rPr>
          <w:rFonts w:ascii="Bookman Old Style" w:hAnsi="Bookman Old Style" w:cs="Arial"/>
          <w:b/>
          <w:bCs/>
          <w:i/>
          <w:u w:val="single"/>
          <w:lang w:val="es-CO"/>
        </w:rPr>
      </w:pPr>
      <w:r w:rsidRPr="002B5E3D">
        <w:rPr>
          <w:rFonts w:ascii="Bookman Old Style" w:hAnsi="Bookman Old Style" w:cs="Arial"/>
          <w:b/>
          <w:bCs/>
          <w:i/>
          <w:u w:val="single"/>
        </w:rPr>
        <w:t>Consideraciones de la CREG sobre la presunta discrepancia</w:t>
      </w:r>
    </w:p>
    <w:p w:rsidR="000B3FE6" w:rsidRPr="000B33DF" w:rsidRDefault="000B3FE6" w:rsidP="000B3FE6">
      <w:pPr>
        <w:tabs>
          <w:tab w:val="left" w:pos="0"/>
        </w:tabs>
        <w:ind w:left="0"/>
        <w:jc w:val="both"/>
        <w:rPr>
          <w:rFonts w:ascii="Bookman Old Style" w:hAnsi="Bookman Old Style" w:cs="Arial"/>
          <w:lang w:val="es-CO"/>
        </w:rPr>
      </w:pPr>
    </w:p>
    <w:p w:rsidR="000B3FE6" w:rsidRPr="00DC3460" w:rsidRDefault="000B3FE6" w:rsidP="000B3FE6">
      <w:pPr>
        <w:tabs>
          <w:tab w:val="left" w:pos="0"/>
        </w:tabs>
        <w:ind w:left="0"/>
        <w:jc w:val="both"/>
        <w:rPr>
          <w:rFonts w:ascii="Bookman Old Style" w:hAnsi="Bookman Old Style" w:cs="Arial"/>
          <w:lang w:val="es-CO"/>
        </w:rPr>
      </w:pPr>
      <w:r>
        <w:rPr>
          <w:rFonts w:ascii="Bookman Old Style" w:hAnsi="Bookman Old Style" w:cs="Arial"/>
          <w:lang w:val="es-CO"/>
        </w:rPr>
        <w:t>Tal y como se deduce del informe de la empresa auditora, así como de la defensa de EMGESA S.A. E.S.P., l</w:t>
      </w:r>
      <w:r w:rsidRPr="00DC3460">
        <w:rPr>
          <w:rFonts w:ascii="Bookman Old Style" w:hAnsi="Bookman Old Style" w:cs="Arial"/>
          <w:lang w:val="es-CO"/>
        </w:rPr>
        <w:t xml:space="preserve">a discrepancia hallada consiste en que </w:t>
      </w:r>
      <w:r w:rsidR="00AB36E2">
        <w:rPr>
          <w:rFonts w:ascii="Bookman Old Style" w:hAnsi="Bookman Old Style" w:cs="Arial"/>
          <w:lang w:val="es-CO"/>
        </w:rPr>
        <w:t>algunos</w:t>
      </w:r>
      <w:r w:rsidRPr="00DC3460">
        <w:rPr>
          <w:rFonts w:ascii="Bookman Old Style" w:hAnsi="Bookman Old Style" w:cs="Arial"/>
          <w:lang w:val="es-CO"/>
        </w:rPr>
        <w:t xml:space="preserve"> valor</w:t>
      </w:r>
      <w:r>
        <w:rPr>
          <w:rFonts w:ascii="Bookman Old Style" w:hAnsi="Bookman Old Style" w:cs="Arial"/>
          <w:lang w:val="es-CO"/>
        </w:rPr>
        <w:t>es</w:t>
      </w:r>
      <w:r w:rsidRPr="00DC3460">
        <w:rPr>
          <w:rFonts w:ascii="Bookman Old Style" w:hAnsi="Bookman Old Style" w:cs="Arial"/>
          <w:lang w:val="es-CO"/>
        </w:rPr>
        <w:t xml:space="preserve"> declarado</w:t>
      </w:r>
      <w:r w:rsidR="00AB36E2">
        <w:rPr>
          <w:rFonts w:ascii="Bookman Old Style" w:hAnsi="Bookman Old Style" w:cs="Arial"/>
          <w:lang w:val="es-CO"/>
        </w:rPr>
        <w:t>s</w:t>
      </w:r>
      <w:r w:rsidRPr="00DC3460">
        <w:rPr>
          <w:rFonts w:ascii="Bookman Old Style" w:hAnsi="Bookman Old Style" w:cs="Arial"/>
          <w:lang w:val="es-CO"/>
        </w:rPr>
        <w:t xml:space="preserve"> ante la CREG para el parámetro </w:t>
      </w:r>
      <w:r w:rsidRPr="008D73D8">
        <w:rPr>
          <w:rFonts w:ascii="Bookman Old Style" w:hAnsi="Bookman Old Style"/>
        </w:rPr>
        <w:t>“</w:t>
      </w:r>
      <w:r w:rsidRPr="008D73D8">
        <w:rPr>
          <w:rFonts w:ascii="Bookman Old Style" w:hAnsi="Bookman Old Style"/>
          <w:bCs/>
          <w:lang w:val="es-CO"/>
        </w:rPr>
        <w:t>Serie Histórica de Caudales Medios Mensuales de los Ríos del SIN</w:t>
      </w:r>
      <w:r w:rsidRPr="008D73D8">
        <w:rPr>
          <w:rFonts w:ascii="Bookman Old Style" w:hAnsi="Bookman Old Style"/>
        </w:rPr>
        <w:t>”</w:t>
      </w:r>
      <w:r>
        <w:rPr>
          <w:rFonts w:ascii="Bookman Old Style" w:hAnsi="Bookman Old Style" w:cs="Arial"/>
          <w:lang w:val="es-CO"/>
        </w:rPr>
        <w:t xml:space="preserve"> </w:t>
      </w:r>
      <w:r w:rsidR="00AB36E2">
        <w:rPr>
          <w:rFonts w:ascii="Bookman Old Style" w:hAnsi="Bookman Old Style" w:cs="Arial"/>
          <w:lang w:val="es-CO"/>
        </w:rPr>
        <w:t xml:space="preserve">para </w:t>
      </w:r>
      <w:r w:rsidRPr="00DC3460">
        <w:rPr>
          <w:rFonts w:ascii="Bookman Old Style" w:hAnsi="Bookman Old Style" w:cs="Arial"/>
          <w:lang w:val="es-CO"/>
        </w:rPr>
        <w:t>la</w:t>
      </w:r>
      <w:r w:rsidR="00AB36E2">
        <w:rPr>
          <w:rFonts w:ascii="Bookman Old Style" w:hAnsi="Bookman Old Style" w:cs="Arial"/>
          <w:lang w:val="es-CO"/>
        </w:rPr>
        <w:t>s</w:t>
      </w:r>
      <w:r w:rsidRPr="00DC3460">
        <w:rPr>
          <w:rFonts w:ascii="Bookman Old Style" w:hAnsi="Bookman Old Style" w:cs="Arial"/>
          <w:lang w:val="es-CO"/>
        </w:rPr>
        <w:t xml:space="preserve"> planta</w:t>
      </w:r>
      <w:r w:rsidR="00AB36E2">
        <w:rPr>
          <w:rFonts w:ascii="Bookman Old Style" w:hAnsi="Bookman Old Style" w:cs="Arial"/>
          <w:lang w:val="es-CO"/>
        </w:rPr>
        <w:t>s de generación PARAÍSO y LA GUACA</w:t>
      </w:r>
      <w:r w:rsidRPr="00DC3460">
        <w:rPr>
          <w:rFonts w:ascii="Bookman Old Style" w:hAnsi="Bookman Old Style" w:cs="Arial"/>
          <w:lang w:val="es-CO"/>
        </w:rPr>
        <w:t>,</w:t>
      </w:r>
      <w:r>
        <w:rPr>
          <w:rFonts w:ascii="Bookman Old Style" w:hAnsi="Bookman Old Style" w:cs="Arial"/>
          <w:lang w:val="es-CO"/>
        </w:rPr>
        <w:t xml:space="preserve"> </w:t>
      </w:r>
      <w:r w:rsidR="00AB36E2">
        <w:rPr>
          <w:rFonts w:ascii="Bookman Old Style" w:hAnsi="Bookman Old Style" w:cs="Arial"/>
          <w:lang w:val="es-CO"/>
        </w:rPr>
        <w:t xml:space="preserve">no corresponden a aquéllos </w:t>
      </w:r>
      <w:r>
        <w:rPr>
          <w:rFonts w:ascii="Bookman Old Style" w:hAnsi="Bookman Old Style" w:cs="Arial"/>
          <w:lang w:val="es-CO"/>
        </w:rPr>
        <w:t>calculados por SEDIC S.A.</w:t>
      </w:r>
    </w:p>
    <w:p w:rsidR="000B3FE6" w:rsidRPr="000B33DF" w:rsidRDefault="000B3FE6" w:rsidP="000B3FE6">
      <w:pPr>
        <w:tabs>
          <w:tab w:val="left" w:pos="0"/>
        </w:tabs>
        <w:ind w:left="0"/>
        <w:jc w:val="both"/>
        <w:rPr>
          <w:rFonts w:ascii="Bookman Old Style" w:hAnsi="Bookman Old Style" w:cs="Arial"/>
          <w:lang w:val="es-CO"/>
        </w:rPr>
      </w:pPr>
    </w:p>
    <w:p w:rsidR="000B3FE6" w:rsidRDefault="00AB36E2" w:rsidP="000B3FE6">
      <w:pPr>
        <w:tabs>
          <w:tab w:val="left" w:pos="0"/>
        </w:tabs>
        <w:ind w:left="0"/>
        <w:jc w:val="both"/>
        <w:rPr>
          <w:rFonts w:ascii="Bookman Old Style" w:hAnsi="Bookman Old Style" w:cs="Arial"/>
          <w:lang w:val="es-CO"/>
        </w:rPr>
      </w:pPr>
      <w:r>
        <w:rPr>
          <w:rFonts w:ascii="Bookman Old Style" w:hAnsi="Bookman Old Style" w:cs="Arial"/>
          <w:lang w:val="es-CO"/>
        </w:rPr>
        <w:t>Entre las alegaciones expuesta</w:t>
      </w:r>
      <w:r w:rsidR="000B3FE6" w:rsidRPr="000B33DF">
        <w:rPr>
          <w:rFonts w:ascii="Bookman Old Style" w:hAnsi="Bookman Old Style" w:cs="Arial"/>
          <w:lang w:val="es-CO"/>
        </w:rPr>
        <w:t xml:space="preserve">s por </w:t>
      </w:r>
      <w:r w:rsidR="000B3FE6">
        <w:rPr>
          <w:rFonts w:ascii="Bookman Old Style" w:hAnsi="Bookman Old Style" w:cs="Arial"/>
          <w:lang w:val="es-CO"/>
        </w:rPr>
        <w:t>EMGESA</w:t>
      </w:r>
      <w:r w:rsidR="000B3FE6" w:rsidRPr="00DC3460">
        <w:rPr>
          <w:rFonts w:ascii="Bookman Old Style" w:hAnsi="Bookman Old Style" w:cs="Arial"/>
          <w:lang w:val="es-CO"/>
        </w:rPr>
        <w:t xml:space="preserve"> S.A E.S.P </w:t>
      </w:r>
      <w:r w:rsidR="000B3FE6" w:rsidRPr="000B33DF">
        <w:rPr>
          <w:rFonts w:ascii="Bookman Old Style" w:hAnsi="Bookman Old Style" w:cs="Arial"/>
          <w:lang w:val="es-CO"/>
        </w:rPr>
        <w:t>en su</w:t>
      </w:r>
      <w:r>
        <w:rPr>
          <w:rFonts w:ascii="Bookman Old Style" w:hAnsi="Bookman Old Style" w:cs="Arial"/>
          <w:lang w:val="es-CO"/>
        </w:rPr>
        <w:t xml:space="preserve"> memorial de</w:t>
      </w:r>
      <w:r w:rsidR="000B3FE6" w:rsidRPr="000B33DF">
        <w:rPr>
          <w:rFonts w:ascii="Bookman Old Style" w:hAnsi="Bookman Old Style" w:cs="Arial"/>
          <w:lang w:val="es-CO"/>
        </w:rPr>
        <w:t xml:space="preserve"> defensa se </w:t>
      </w:r>
      <w:r>
        <w:rPr>
          <w:rFonts w:ascii="Bookman Old Style" w:hAnsi="Bookman Old Style" w:cs="Arial"/>
          <w:lang w:val="es-CO"/>
        </w:rPr>
        <w:t xml:space="preserve">pueden deducir, esencialmente, tres explicaciones para las discrepancias encontradas por el auditor: i) errores </w:t>
      </w:r>
      <w:r>
        <w:rPr>
          <w:rFonts w:ascii="Bookman Old Style" w:hAnsi="Bookman Old Style" w:cs="Arial"/>
          <w:i/>
          <w:lang w:val="es-CO"/>
        </w:rPr>
        <w:t xml:space="preserve">“involuntarios” </w:t>
      </w:r>
      <w:r w:rsidRPr="00AB36E2">
        <w:rPr>
          <w:rFonts w:ascii="Bookman Old Style" w:hAnsi="Bookman Old Style" w:cs="Arial"/>
          <w:lang w:val="es-CO"/>
        </w:rPr>
        <w:t xml:space="preserve">en la </w:t>
      </w:r>
      <w:r>
        <w:rPr>
          <w:rFonts w:ascii="Bookman Old Style" w:hAnsi="Bookman Old Style" w:cs="Arial"/>
          <w:lang w:val="es-CO"/>
        </w:rPr>
        <w:t xml:space="preserve">digitación de datos para el reporte; ii) la información reportada proviene de terceros (CAR, EAAB); iii) </w:t>
      </w:r>
      <w:r w:rsidR="000B3FE6" w:rsidRPr="00DC3460">
        <w:rPr>
          <w:rFonts w:ascii="Bookman Old Style" w:hAnsi="Bookman Old Style" w:cs="Arial"/>
          <w:lang w:val="es-CO"/>
        </w:rPr>
        <w:t>que el reporte del valor cuestionado no entrañ</w:t>
      </w:r>
      <w:r w:rsidR="000B3FE6">
        <w:rPr>
          <w:rFonts w:ascii="Bookman Old Style" w:hAnsi="Bookman Old Style" w:cs="Arial"/>
          <w:lang w:val="es-CO"/>
        </w:rPr>
        <w:t>a un beneficio adicional para la empresa (acápite 3, arriba trascrito).</w:t>
      </w:r>
      <w:r>
        <w:rPr>
          <w:rFonts w:ascii="Bookman Old Style" w:hAnsi="Bookman Old Style" w:cs="Arial"/>
          <w:lang w:val="es-CO"/>
        </w:rPr>
        <w:t xml:space="preserve"> A continuación nos referimos a cada una de las alegaciones.</w:t>
      </w:r>
    </w:p>
    <w:p w:rsidR="00AB36E2" w:rsidRDefault="00AB36E2" w:rsidP="000B3FE6">
      <w:pPr>
        <w:tabs>
          <w:tab w:val="left" w:pos="0"/>
        </w:tabs>
        <w:ind w:left="0"/>
        <w:jc w:val="both"/>
        <w:rPr>
          <w:rFonts w:ascii="Bookman Old Style" w:hAnsi="Bookman Old Style" w:cs="Arial"/>
          <w:lang w:val="es-CO"/>
        </w:rPr>
      </w:pPr>
    </w:p>
    <w:p w:rsidR="00AB36E2" w:rsidRPr="00AB36E2" w:rsidRDefault="00AB36E2" w:rsidP="00AB36E2">
      <w:pPr>
        <w:pStyle w:val="Prrafodelista"/>
        <w:numPr>
          <w:ilvl w:val="0"/>
          <w:numId w:val="23"/>
        </w:numPr>
        <w:tabs>
          <w:tab w:val="left" w:pos="0"/>
        </w:tabs>
        <w:jc w:val="both"/>
        <w:rPr>
          <w:rFonts w:ascii="Bookman Old Style" w:hAnsi="Bookman Old Style" w:cs="Arial"/>
          <w:b/>
          <w:sz w:val="24"/>
          <w:szCs w:val="24"/>
        </w:rPr>
      </w:pPr>
      <w:r w:rsidRPr="00AB36E2">
        <w:rPr>
          <w:rFonts w:ascii="Bookman Old Style" w:hAnsi="Bookman Old Style" w:cs="Arial"/>
          <w:b/>
          <w:sz w:val="24"/>
          <w:szCs w:val="24"/>
        </w:rPr>
        <w:t xml:space="preserve">Errores </w:t>
      </w:r>
      <w:r w:rsidRPr="00AB36E2">
        <w:rPr>
          <w:rFonts w:ascii="Bookman Old Style" w:hAnsi="Bookman Old Style" w:cs="Arial"/>
          <w:b/>
          <w:i/>
          <w:sz w:val="24"/>
          <w:szCs w:val="24"/>
        </w:rPr>
        <w:t>“involuntarios” en la digitación de datos</w:t>
      </w:r>
    </w:p>
    <w:p w:rsidR="00AB36E2" w:rsidRDefault="00AB36E2" w:rsidP="00AB36E2">
      <w:pPr>
        <w:tabs>
          <w:tab w:val="left" w:pos="0"/>
        </w:tabs>
        <w:ind w:left="0"/>
        <w:jc w:val="both"/>
        <w:rPr>
          <w:rFonts w:ascii="Bookman Old Style" w:hAnsi="Bookman Old Style" w:cs="Arial"/>
          <w:b/>
        </w:rPr>
      </w:pPr>
    </w:p>
    <w:p w:rsidR="00F85B7C" w:rsidRDefault="00F85B7C" w:rsidP="00AB36E2">
      <w:pPr>
        <w:tabs>
          <w:tab w:val="left" w:pos="0"/>
        </w:tabs>
        <w:ind w:left="0"/>
        <w:jc w:val="both"/>
        <w:rPr>
          <w:rFonts w:ascii="Bookman Old Style" w:hAnsi="Bookman Old Style" w:cs="Arial"/>
        </w:rPr>
      </w:pPr>
      <w:r>
        <w:rPr>
          <w:rFonts w:ascii="Bookman Old Style" w:hAnsi="Bookman Old Style" w:cs="Arial"/>
        </w:rPr>
        <w:t xml:space="preserve">En efecto, como arriba se trascribió, para las discrepancias encontradas en las series Neusa y Tominé, EMGESA se excusa en errores </w:t>
      </w:r>
      <w:r>
        <w:rPr>
          <w:rFonts w:ascii="Bookman Old Style" w:hAnsi="Bookman Old Style" w:cs="Arial"/>
          <w:i/>
        </w:rPr>
        <w:t xml:space="preserve">“involuntarios” </w:t>
      </w:r>
      <w:r>
        <w:rPr>
          <w:rFonts w:ascii="Bookman Old Style" w:hAnsi="Bookman Old Style" w:cs="Arial"/>
        </w:rPr>
        <w:t>para el reporte del año 2001. Tal alegación no es de recibo por la CREG, pues cada agente se hace responsable de los datos que fueron reportados, tal y como lo establecen las disposiciones del Capítulo VI de la Resolución CREG 071 de 2006. En efecto, los artículos 34, 38 y 39 establecen lo siguiente:</w:t>
      </w:r>
    </w:p>
    <w:p w:rsidR="00F85B7C" w:rsidRDefault="00F85B7C" w:rsidP="00AB36E2">
      <w:pPr>
        <w:tabs>
          <w:tab w:val="left" w:pos="0"/>
        </w:tabs>
        <w:ind w:left="0"/>
        <w:jc w:val="both"/>
        <w:rPr>
          <w:rFonts w:ascii="Bookman Old Style" w:hAnsi="Bookman Old Style" w:cs="Arial"/>
        </w:rPr>
      </w:pPr>
    </w:p>
    <w:p w:rsidR="00F85B7C" w:rsidRPr="00F85B7C" w:rsidRDefault="00F85B7C" w:rsidP="00F85B7C">
      <w:pPr>
        <w:ind w:right="567"/>
        <w:jc w:val="both"/>
        <w:rPr>
          <w:rFonts w:ascii="Bookman Old Style" w:hAnsi="Bookman Old Style" w:cs="Arial"/>
          <w:i/>
          <w:sz w:val="22"/>
          <w:szCs w:val="22"/>
          <w:lang w:val="es-MX"/>
        </w:rPr>
      </w:pPr>
      <w:bookmarkStart w:id="25" w:name="_Ref140566416"/>
      <w:r>
        <w:rPr>
          <w:rFonts w:ascii="Bookman Old Style" w:hAnsi="Bookman Old Style" w:cs="Arial"/>
          <w:bCs/>
          <w:i/>
          <w:sz w:val="22"/>
          <w:szCs w:val="22"/>
          <w:lang w:val="es-MX"/>
        </w:rPr>
        <w:t>“</w:t>
      </w:r>
      <w:r w:rsidRPr="00F85B7C">
        <w:rPr>
          <w:rFonts w:ascii="Bookman Old Style" w:hAnsi="Bookman Old Style" w:cs="Arial"/>
          <w:b/>
          <w:bCs/>
          <w:i/>
          <w:sz w:val="22"/>
          <w:szCs w:val="22"/>
          <w:lang w:val="es-MX"/>
        </w:rPr>
        <w:t xml:space="preserve">Artículo 34. </w:t>
      </w:r>
      <w:r w:rsidRPr="00F85B7C">
        <w:rPr>
          <w:rFonts w:ascii="Bookman Old Style" w:hAnsi="Bookman Old Style" w:cs="Arial"/>
          <w:bCs/>
          <w:i/>
          <w:sz w:val="22"/>
          <w:szCs w:val="22"/>
          <w:lang w:val="es-MX"/>
        </w:rPr>
        <w:t>Responsable del cálculo de la ENFICC.</w:t>
      </w:r>
      <w:r w:rsidRPr="00F85B7C">
        <w:rPr>
          <w:rFonts w:ascii="Bookman Old Style" w:hAnsi="Bookman Old Style" w:cs="Arial"/>
          <w:i/>
          <w:sz w:val="22"/>
          <w:szCs w:val="22"/>
          <w:lang w:val="es-MX"/>
        </w:rPr>
        <w:t xml:space="preserve"> </w:t>
      </w:r>
      <w:r w:rsidRPr="00F85B7C">
        <w:rPr>
          <w:rFonts w:ascii="Bookman Old Style" w:hAnsi="Bookman Old Style" w:cs="Arial"/>
          <w:i/>
          <w:sz w:val="22"/>
          <w:szCs w:val="22"/>
          <w:u w:val="single"/>
          <w:lang w:val="es-MX"/>
        </w:rPr>
        <w:t xml:space="preserve">La ENFICC será calculada </w:t>
      </w:r>
      <w:r w:rsidRPr="00F85B7C">
        <w:rPr>
          <w:rFonts w:ascii="Bookman Old Style" w:hAnsi="Bookman Old Style" w:cs="Arial"/>
          <w:b/>
          <w:i/>
          <w:sz w:val="22"/>
          <w:szCs w:val="22"/>
          <w:u w:val="single"/>
          <w:lang w:val="es-MX"/>
        </w:rPr>
        <w:t>por cada agente</w:t>
      </w:r>
      <w:r w:rsidRPr="00F85B7C">
        <w:rPr>
          <w:rFonts w:ascii="Bookman Old Style" w:hAnsi="Bookman Old Style" w:cs="Arial"/>
          <w:i/>
          <w:sz w:val="22"/>
          <w:szCs w:val="22"/>
          <w:lang w:val="es-MX"/>
        </w:rPr>
        <w:t xml:space="preserve">, teniendo en cuenta los parámetros y reglas establecidas en el Anexo 3 de esta resolución. </w:t>
      </w:r>
    </w:p>
    <w:p w:rsidR="00F85B7C" w:rsidRPr="00F85B7C" w:rsidRDefault="00F85B7C" w:rsidP="00F85B7C">
      <w:pPr>
        <w:ind w:right="567"/>
        <w:jc w:val="both"/>
        <w:rPr>
          <w:rFonts w:ascii="Bookman Old Style" w:hAnsi="Bookman Old Style" w:cs="Arial"/>
          <w:b/>
          <w:bCs/>
          <w:i/>
          <w:sz w:val="22"/>
          <w:szCs w:val="22"/>
        </w:rPr>
      </w:pPr>
      <w:bookmarkStart w:id="26" w:name="_Ref139270148"/>
      <w:bookmarkStart w:id="27" w:name="_Ref142189386"/>
      <w:bookmarkEnd w:id="25"/>
    </w:p>
    <w:p w:rsidR="00F85B7C" w:rsidRPr="00F85B7C" w:rsidRDefault="00F85B7C" w:rsidP="00F85B7C">
      <w:pPr>
        <w:ind w:right="567"/>
        <w:jc w:val="both"/>
        <w:rPr>
          <w:rFonts w:ascii="Bookman Old Style" w:hAnsi="Bookman Old Style" w:cs="Arial"/>
          <w:i/>
          <w:sz w:val="22"/>
          <w:szCs w:val="22"/>
          <w:lang w:val="es-MX"/>
        </w:rPr>
      </w:pPr>
      <w:bookmarkStart w:id="28" w:name="_Ref140550495"/>
      <w:bookmarkEnd w:id="26"/>
      <w:bookmarkEnd w:id="27"/>
      <w:r w:rsidRPr="00F85B7C">
        <w:rPr>
          <w:rFonts w:ascii="Bookman Old Style" w:hAnsi="Bookman Old Style" w:cs="Arial"/>
          <w:b/>
          <w:bCs/>
          <w:i/>
          <w:sz w:val="22"/>
          <w:szCs w:val="22"/>
        </w:rPr>
        <w:t xml:space="preserve">Artículo 38. </w:t>
      </w:r>
      <w:r w:rsidRPr="00F85B7C">
        <w:rPr>
          <w:rFonts w:ascii="Bookman Old Style" w:hAnsi="Bookman Old Style" w:cs="Arial"/>
          <w:bCs/>
          <w:i/>
          <w:sz w:val="22"/>
          <w:szCs w:val="22"/>
        </w:rPr>
        <w:t>Verificación de la ENFICC.</w:t>
      </w:r>
      <w:r w:rsidRPr="00F85B7C">
        <w:rPr>
          <w:rFonts w:ascii="Bookman Old Style" w:hAnsi="Bookman Old Style" w:cs="Arial"/>
          <w:b/>
          <w:bCs/>
          <w:i/>
          <w:sz w:val="22"/>
          <w:szCs w:val="22"/>
        </w:rPr>
        <w:t xml:space="preserve"> </w:t>
      </w:r>
      <w:r w:rsidRPr="00F85B7C">
        <w:rPr>
          <w:rFonts w:ascii="Bookman Old Style" w:hAnsi="Bookman Old Style" w:cs="Arial"/>
          <w:i/>
          <w:sz w:val="22"/>
          <w:szCs w:val="22"/>
          <w:lang w:val="es-MX"/>
        </w:rPr>
        <w:t xml:space="preserve"> </w:t>
      </w:r>
      <w:r w:rsidRPr="00F85B7C">
        <w:rPr>
          <w:rFonts w:ascii="Bookman Old Style" w:hAnsi="Bookman Old Style" w:cs="Arial"/>
          <w:i/>
          <w:sz w:val="22"/>
          <w:szCs w:val="22"/>
          <w:u w:val="single"/>
          <w:lang w:val="es-MX"/>
        </w:rPr>
        <w:t xml:space="preserve">El valor de la ENFICC declarado por el agente será </w:t>
      </w:r>
      <w:r w:rsidRPr="00F85B7C">
        <w:rPr>
          <w:rFonts w:ascii="Bookman Old Style" w:hAnsi="Bookman Old Style" w:cs="Arial"/>
          <w:b/>
          <w:i/>
          <w:sz w:val="22"/>
          <w:szCs w:val="22"/>
          <w:u w:val="single"/>
          <w:lang w:val="es-MX"/>
        </w:rPr>
        <w:t>verificado</w:t>
      </w:r>
      <w:r w:rsidRPr="00F85B7C">
        <w:rPr>
          <w:rFonts w:ascii="Bookman Old Style" w:hAnsi="Bookman Old Style" w:cs="Arial"/>
          <w:i/>
          <w:sz w:val="22"/>
          <w:szCs w:val="22"/>
          <w:u w:val="single"/>
          <w:lang w:val="es-MX"/>
        </w:rPr>
        <w:t xml:space="preserve"> por el CND</w:t>
      </w:r>
      <w:r w:rsidRPr="00F85B7C">
        <w:rPr>
          <w:rFonts w:ascii="Bookman Old Style" w:hAnsi="Bookman Old Style" w:cs="Arial"/>
          <w:i/>
          <w:sz w:val="22"/>
          <w:szCs w:val="22"/>
          <w:lang w:val="es-MX"/>
        </w:rPr>
        <w:t xml:space="preserve">, de conformidad con el numeral 5.1 del Anexo 5 de esta resolución.  Para tal efecto, </w:t>
      </w:r>
      <w:r w:rsidRPr="00F85B7C">
        <w:rPr>
          <w:rFonts w:ascii="Bookman Old Style" w:hAnsi="Bookman Old Style" w:cs="Arial"/>
          <w:b/>
          <w:i/>
          <w:sz w:val="22"/>
          <w:szCs w:val="22"/>
          <w:u w:val="single"/>
          <w:lang w:val="es-MX"/>
        </w:rPr>
        <w:t>el agente</w:t>
      </w:r>
      <w:r w:rsidRPr="00F85B7C">
        <w:rPr>
          <w:rFonts w:ascii="Bookman Old Style" w:hAnsi="Bookman Old Style" w:cs="Arial"/>
          <w:i/>
          <w:sz w:val="22"/>
          <w:szCs w:val="22"/>
          <w:u w:val="single"/>
          <w:lang w:val="es-MX"/>
        </w:rPr>
        <w:t xml:space="preserve"> deberá reportar a la CREG, en la fecha que ésta determine, los formatos del numeral 5.2 del Anexo 5 de la resolución, debidamente diligenciados</w:t>
      </w:r>
      <w:r w:rsidRPr="00F85B7C">
        <w:rPr>
          <w:rFonts w:ascii="Bookman Old Style" w:hAnsi="Bookman Old Style" w:cs="Arial"/>
          <w:i/>
          <w:sz w:val="22"/>
          <w:szCs w:val="22"/>
          <w:lang w:val="es-MX"/>
        </w:rPr>
        <w:t xml:space="preserve">; de lo contrario la capacidad de la planta y/o unidad de generación a ser utilizada para la declaración de la ENFICC será igual a cero (0) MW.  </w:t>
      </w:r>
    </w:p>
    <w:p w:rsidR="00F85B7C" w:rsidRPr="00F85B7C" w:rsidRDefault="00F85B7C" w:rsidP="00F85B7C">
      <w:pPr>
        <w:ind w:right="567"/>
        <w:jc w:val="both"/>
        <w:rPr>
          <w:rFonts w:ascii="Bookman Old Style" w:hAnsi="Bookman Old Style" w:cs="Arial"/>
          <w:b/>
          <w:bCs/>
          <w:i/>
          <w:sz w:val="22"/>
          <w:szCs w:val="22"/>
          <w:lang w:val="es-MX"/>
        </w:rPr>
      </w:pPr>
    </w:p>
    <w:p w:rsidR="00F85B7C" w:rsidRPr="00F85B7C" w:rsidRDefault="00F85B7C" w:rsidP="00F85B7C">
      <w:pPr>
        <w:ind w:right="567"/>
        <w:jc w:val="both"/>
        <w:rPr>
          <w:rFonts w:ascii="Bookman Old Style" w:hAnsi="Bookman Old Style" w:cs="Arial"/>
          <w:i/>
          <w:sz w:val="22"/>
          <w:szCs w:val="22"/>
          <w:u w:val="single"/>
          <w:lang w:val="es-MX"/>
        </w:rPr>
      </w:pPr>
      <w:r w:rsidRPr="00F85B7C">
        <w:rPr>
          <w:rFonts w:ascii="Bookman Old Style" w:hAnsi="Bookman Old Style" w:cs="Arial"/>
          <w:b/>
          <w:bCs/>
          <w:i/>
          <w:sz w:val="22"/>
          <w:szCs w:val="22"/>
          <w:lang w:val="es-MX"/>
        </w:rPr>
        <w:t xml:space="preserve">Artículo 39. </w:t>
      </w:r>
      <w:r w:rsidRPr="00F85B7C">
        <w:rPr>
          <w:rFonts w:ascii="Bookman Old Style" w:hAnsi="Bookman Old Style" w:cs="Arial"/>
          <w:bCs/>
          <w:i/>
          <w:sz w:val="22"/>
          <w:szCs w:val="22"/>
          <w:lang w:val="es-MX"/>
        </w:rPr>
        <w:t>Verificación de Parámetros.</w:t>
      </w:r>
      <w:r w:rsidRPr="00F85B7C">
        <w:rPr>
          <w:rFonts w:ascii="Bookman Old Style" w:hAnsi="Bookman Old Style" w:cs="Arial"/>
          <w:b/>
          <w:bCs/>
          <w:i/>
          <w:sz w:val="22"/>
          <w:szCs w:val="22"/>
          <w:lang w:val="es-MX"/>
        </w:rPr>
        <w:t xml:space="preserve">  </w:t>
      </w:r>
      <w:r w:rsidRPr="00F85B7C">
        <w:rPr>
          <w:rFonts w:ascii="Bookman Old Style" w:hAnsi="Bookman Old Style" w:cs="Arial"/>
          <w:i/>
          <w:sz w:val="22"/>
          <w:szCs w:val="22"/>
          <w:u w:val="single"/>
          <w:lang w:val="es-MX"/>
        </w:rPr>
        <w:t xml:space="preserve">Los parámetros </w:t>
      </w:r>
      <w:r w:rsidRPr="00F85B7C">
        <w:rPr>
          <w:rFonts w:ascii="Bookman Old Style" w:hAnsi="Bookman Old Style" w:cs="Arial"/>
          <w:b/>
          <w:i/>
          <w:sz w:val="22"/>
          <w:szCs w:val="22"/>
          <w:u w:val="single"/>
          <w:lang w:val="es-MX"/>
        </w:rPr>
        <w:t>declarados por los agentes</w:t>
      </w:r>
      <w:r w:rsidRPr="00F85B7C">
        <w:rPr>
          <w:rFonts w:ascii="Bookman Old Style" w:hAnsi="Bookman Old Style" w:cs="Arial"/>
          <w:i/>
          <w:sz w:val="22"/>
          <w:szCs w:val="22"/>
          <w:u w:val="single"/>
          <w:lang w:val="es-MX"/>
        </w:rPr>
        <w:t xml:space="preserve"> para el cálculo de la ENFICC se verificarán mediante el mecanismo definido en el Anexo 6 de esta resolución. </w:t>
      </w:r>
    </w:p>
    <w:p w:rsidR="00F85B7C" w:rsidRPr="00F85B7C" w:rsidRDefault="00F85B7C" w:rsidP="00F85B7C">
      <w:pPr>
        <w:ind w:right="567"/>
        <w:jc w:val="both"/>
        <w:rPr>
          <w:rFonts w:ascii="Bookman Old Style" w:hAnsi="Bookman Old Style" w:cs="Arial"/>
          <w:i/>
          <w:sz w:val="22"/>
          <w:szCs w:val="22"/>
          <w:lang w:val="es-CO"/>
        </w:rPr>
      </w:pPr>
    </w:p>
    <w:p w:rsidR="00F85B7C" w:rsidRDefault="00F85B7C" w:rsidP="00F85B7C">
      <w:pPr>
        <w:ind w:right="567"/>
        <w:jc w:val="both"/>
        <w:rPr>
          <w:rFonts w:ascii="Bookman Old Style" w:hAnsi="Bookman Old Style" w:cs="Arial"/>
          <w:sz w:val="22"/>
          <w:szCs w:val="22"/>
          <w:lang w:val="es-CO"/>
        </w:rPr>
      </w:pPr>
      <w:r w:rsidRPr="00F85B7C">
        <w:rPr>
          <w:rFonts w:ascii="Bookman Old Style" w:hAnsi="Bookman Old Style" w:cs="Arial"/>
          <w:i/>
          <w:sz w:val="22"/>
          <w:szCs w:val="22"/>
          <w:lang w:val="es-CO"/>
        </w:rPr>
        <w:t>(…)”</w:t>
      </w:r>
      <w:r w:rsidR="00E94DD1">
        <w:rPr>
          <w:rFonts w:ascii="Bookman Old Style" w:hAnsi="Bookman Old Style" w:cs="Arial"/>
          <w:i/>
          <w:sz w:val="22"/>
          <w:szCs w:val="22"/>
          <w:lang w:val="es-CO"/>
        </w:rPr>
        <w:t xml:space="preserve"> </w:t>
      </w:r>
      <w:r w:rsidR="00E94DD1">
        <w:rPr>
          <w:rFonts w:ascii="Bookman Old Style" w:hAnsi="Bookman Old Style" w:cs="Arial"/>
          <w:sz w:val="22"/>
          <w:szCs w:val="22"/>
          <w:lang w:val="es-CO"/>
        </w:rPr>
        <w:t>(Subrayamos y resaltamos).</w:t>
      </w:r>
    </w:p>
    <w:p w:rsidR="00E94DD1" w:rsidRDefault="00E94DD1" w:rsidP="00F85B7C">
      <w:pPr>
        <w:ind w:right="567"/>
        <w:jc w:val="both"/>
        <w:rPr>
          <w:rFonts w:ascii="Bookman Old Style" w:hAnsi="Bookman Old Style" w:cs="Arial"/>
        </w:rPr>
      </w:pPr>
    </w:p>
    <w:p w:rsidR="00E94DD1" w:rsidRDefault="00E94DD1" w:rsidP="00E94DD1">
      <w:pPr>
        <w:ind w:left="0"/>
        <w:jc w:val="both"/>
        <w:rPr>
          <w:rFonts w:ascii="Bookman Old Style" w:hAnsi="Bookman Old Style" w:cs="Arial"/>
        </w:rPr>
      </w:pPr>
      <w:r>
        <w:rPr>
          <w:rFonts w:ascii="Bookman Old Style" w:hAnsi="Bookman Old Style" w:cs="Arial"/>
        </w:rPr>
        <w:lastRenderedPageBreak/>
        <w:t xml:space="preserve">Así, es el agente el responsable ante la CREG de reportar los parámetros exigidos por la Regulación, al punto de que los mismo fueron objetos de verificación, so pena de que el cargo asignado sea igual a cero (0). Por lo tanto, la intencionalidad o culpabilidad de los errores que se cometieren no pueden servir como excusa, pues la Regulación, precisamente para evitarlos, estableció consecuencias severas. </w:t>
      </w:r>
    </w:p>
    <w:p w:rsidR="00E94DD1" w:rsidRDefault="00E94DD1" w:rsidP="00E94DD1">
      <w:pPr>
        <w:ind w:left="0"/>
        <w:jc w:val="both"/>
        <w:rPr>
          <w:rFonts w:ascii="Bookman Old Style" w:hAnsi="Bookman Old Style" w:cs="Arial"/>
        </w:rPr>
      </w:pPr>
    </w:p>
    <w:p w:rsidR="00E94DD1" w:rsidRDefault="00E94DD1" w:rsidP="00E94DD1">
      <w:pPr>
        <w:ind w:left="0"/>
        <w:jc w:val="both"/>
        <w:rPr>
          <w:rFonts w:ascii="Bookman Old Style" w:hAnsi="Bookman Old Style" w:cs="Arial"/>
        </w:rPr>
      </w:pPr>
      <w:r>
        <w:rPr>
          <w:rFonts w:ascii="Bookman Old Style" w:hAnsi="Bookman Old Style" w:cs="Arial"/>
        </w:rPr>
        <w:t xml:space="preserve">Y es que la ENFICC corresponde a </w:t>
      </w:r>
      <w:r w:rsidRPr="00E94DD1">
        <w:rPr>
          <w:rFonts w:ascii="Bookman Old Style" w:hAnsi="Bookman Old Style" w:cs="Arial"/>
          <w:i/>
        </w:rPr>
        <w:t>“la máxima energía eléctrica que es capaz de entregar una planta de generación continuamente, en condiciones de baja hidrología, en un período de un año”</w:t>
      </w:r>
      <w:r>
        <w:rPr>
          <w:rFonts w:ascii="Bookman Old Style" w:hAnsi="Bookman Old Style" w:cs="Arial"/>
        </w:rPr>
        <w:t>, y lo que se buscó con su declaración, es asegurar el abastecimiento nacional</w:t>
      </w:r>
      <w:r w:rsidR="0045778F">
        <w:rPr>
          <w:rFonts w:ascii="Bookman Old Style" w:hAnsi="Bookman Old Style" w:cs="Arial"/>
        </w:rPr>
        <w:t xml:space="preserve"> del servicio público de energía eléctrica</w:t>
      </w:r>
      <w:r>
        <w:rPr>
          <w:rFonts w:ascii="Bookman Old Style" w:hAnsi="Bookman Old Style" w:cs="Arial"/>
        </w:rPr>
        <w:t>, en condiciones extremas. Por lo tanto, cometer errores en el reporte de parámetros para su estimaci</w:t>
      </w:r>
      <w:r w:rsidR="0045778F">
        <w:rPr>
          <w:rFonts w:ascii="Bookman Old Style" w:hAnsi="Bookman Old Style" w:cs="Arial"/>
        </w:rPr>
        <w:t>ón</w:t>
      </w:r>
      <w:r>
        <w:rPr>
          <w:rFonts w:ascii="Bookman Old Style" w:hAnsi="Bookman Old Style" w:cs="Arial"/>
        </w:rPr>
        <w:t xml:space="preserve"> no es cuestión de poca monta, pues pueden conllevar a declarar una ENFICC que no es la real y, por lo tanto, pone</w:t>
      </w:r>
      <w:r w:rsidR="0045778F">
        <w:rPr>
          <w:rFonts w:ascii="Bookman Old Style" w:hAnsi="Bookman Old Style" w:cs="Arial"/>
        </w:rPr>
        <w:t>r</w:t>
      </w:r>
      <w:r>
        <w:rPr>
          <w:rFonts w:ascii="Bookman Old Style" w:hAnsi="Bookman Old Style" w:cs="Arial"/>
        </w:rPr>
        <w:t xml:space="preserve"> en riesgo la operación del sistema como tal. </w:t>
      </w:r>
    </w:p>
    <w:p w:rsidR="00E94DD1" w:rsidRDefault="00E94DD1" w:rsidP="00E94DD1">
      <w:pPr>
        <w:ind w:left="0"/>
        <w:jc w:val="both"/>
        <w:rPr>
          <w:rFonts w:ascii="Bookman Old Style" w:hAnsi="Bookman Old Style" w:cs="Arial"/>
        </w:rPr>
      </w:pPr>
    </w:p>
    <w:p w:rsidR="00E94DD1" w:rsidRDefault="00E94DD1" w:rsidP="00E94DD1">
      <w:pPr>
        <w:ind w:left="0"/>
        <w:jc w:val="both"/>
        <w:rPr>
          <w:rFonts w:ascii="Bookman Old Style" w:hAnsi="Bookman Old Style" w:cs="Arial"/>
        </w:rPr>
      </w:pPr>
      <w:r>
        <w:rPr>
          <w:rFonts w:ascii="Bookman Old Style" w:hAnsi="Bookman Old Style" w:cs="Arial"/>
        </w:rPr>
        <w:t xml:space="preserve">De esta manera, los agentes son y deben ser los responsables ante la CREG de los datos reportados, ajustados o no a la realidad, y asumir las consecuencias que de ello se derive, según los principios y normas establecidos. </w:t>
      </w:r>
    </w:p>
    <w:p w:rsidR="00E94DD1" w:rsidRDefault="00E94DD1" w:rsidP="00E94DD1">
      <w:pPr>
        <w:ind w:left="0"/>
        <w:jc w:val="both"/>
        <w:rPr>
          <w:rFonts w:ascii="Bookman Old Style" w:hAnsi="Bookman Old Style" w:cs="Arial"/>
        </w:rPr>
      </w:pPr>
    </w:p>
    <w:p w:rsidR="00E94DD1" w:rsidRDefault="00E94DD1" w:rsidP="00E94DD1">
      <w:pPr>
        <w:pStyle w:val="Prrafodelista"/>
        <w:numPr>
          <w:ilvl w:val="0"/>
          <w:numId w:val="23"/>
        </w:numPr>
        <w:jc w:val="both"/>
        <w:rPr>
          <w:rFonts w:ascii="Bookman Old Style" w:hAnsi="Bookman Old Style" w:cs="Arial"/>
          <w:b/>
          <w:sz w:val="24"/>
          <w:szCs w:val="24"/>
        </w:rPr>
      </w:pPr>
      <w:r w:rsidRPr="00E94DD1">
        <w:rPr>
          <w:rFonts w:ascii="Bookman Old Style" w:hAnsi="Bookman Old Style" w:cs="Arial"/>
          <w:b/>
          <w:sz w:val="24"/>
          <w:szCs w:val="24"/>
        </w:rPr>
        <w:t xml:space="preserve">La información proviene de terceros (CAR y EAAB) </w:t>
      </w:r>
    </w:p>
    <w:p w:rsidR="00E94DD1" w:rsidRDefault="00E94DD1" w:rsidP="00E94DD1">
      <w:pPr>
        <w:ind w:left="0"/>
        <w:jc w:val="both"/>
        <w:rPr>
          <w:rFonts w:ascii="Bookman Old Style" w:hAnsi="Bookman Old Style" w:cs="Arial"/>
          <w:b/>
        </w:rPr>
      </w:pPr>
    </w:p>
    <w:p w:rsidR="00E94DD1" w:rsidRDefault="003F0BE7" w:rsidP="00E94DD1">
      <w:pPr>
        <w:ind w:left="0"/>
        <w:jc w:val="both"/>
        <w:rPr>
          <w:rFonts w:ascii="Bookman Old Style" w:hAnsi="Bookman Old Style" w:cs="Arial"/>
        </w:rPr>
      </w:pPr>
      <w:r>
        <w:rPr>
          <w:rFonts w:ascii="Bookman Old Style" w:hAnsi="Bookman Old Style" w:cs="Arial"/>
        </w:rPr>
        <w:t xml:space="preserve">Asimismo, EMGESA S.A. E.S.P. alega que la información recopilada para reportar las series Checua, Teusacá, Rio Blanco, y Filo de Agua Alicachín proviene de la Corporación Autónoma Regional y de la Empresa de Acueducto de Bogotá. </w:t>
      </w:r>
    </w:p>
    <w:p w:rsidR="003F0BE7" w:rsidRDefault="003F0BE7" w:rsidP="00E94DD1">
      <w:pPr>
        <w:ind w:left="0"/>
        <w:jc w:val="both"/>
        <w:rPr>
          <w:rFonts w:ascii="Bookman Old Style" w:hAnsi="Bookman Old Style" w:cs="Arial"/>
        </w:rPr>
      </w:pPr>
    </w:p>
    <w:p w:rsidR="003F0BE7" w:rsidRDefault="003F0BE7" w:rsidP="00E94DD1">
      <w:pPr>
        <w:ind w:left="0"/>
        <w:jc w:val="both"/>
        <w:rPr>
          <w:rFonts w:ascii="Bookman Old Style" w:hAnsi="Bookman Old Style" w:cs="Arial"/>
        </w:rPr>
      </w:pPr>
      <w:r>
        <w:rPr>
          <w:rFonts w:ascii="Bookman Old Style" w:hAnsi="Bookman Old Style" w:cs="Arial"/>
        </w:rPr>
        <w:t>Lo afirmado en el acápite anterior aplica a la presente alegación. En efecto,  si bien es cierto que dicha información puede provenir de terceros, es responsabilidad del agente su verificación previa, de tal manera que su ENFICC corresponda a la real. Así se deduce de las normas regulatorias arriba trascritas. Se reitera que el agente no puede descargar su respon</w:t>
      </w:r>
      <w:r w:rsidR="0045778F">
        <w:rPr>
          <w:rFonts w:ascii="Bookman Old Style" w:hAnsi="Bookman Old Style" w:cs="Arial"/>
        </w:rPr>
        <w:t>sabilidad en terceros, pues es aquél</w:t>
      </w:r>
      <w:r>
        <w:rPr>
          <w:rFonts w:ascii="Bookman Old Style" w:hAnsi="Bookman Old Style" w:cs="Arial"/>
        </w:rPr>
        <w:t xml:space="preserve"> quien debe declarar la ENFICC y los parámetros que la soportan. Las Obligaciones de Energía Firme que de ella se derivan son del agente y no de terceros y, por lo tanto, la responsabilidad de lo acertado o no de los datos reportados, recae en él. </w:t>
      </w:r>
    </w:p>
    <w:p w:rsidR="003F0BE7" w:rsidRDefault="003F0BE7" w:rsidP="00E94DD1">
      <w:pPr>
        <w:ind w:left="0"/>
        <w:jc w:val="both"/>
        <w:rPr>
          <w:rFonts w:ascii="Bookman Old Style" w:hAnsi="Bookman Old Style" w:cs="Arial"/>
        </w:rPr>
      </w:pPr>
    </w:p>
    <w:p w:rsidR="003F0BE7" w:rsidRPr="003F0BE7" w:rsidRDefault="003F0BE7" w:rsidP="003F0BE7">
      <w:pPr>
        <w:pStyle w:val="Prrafodelista"/>
        <w:numPr>
          <w:ilvl w:val="0"/>
          <w:numId w:val="23"/>
        </w:numPr>
        <w:jc w:val="both"/>
        <w:rPr>
          <w:rFonts w:ascii="Bookman Old Style" w:hAnsi="Bookman Old Style" w:cs="Arial"/>
          <w:b/>
          <w:sz w:val="24"/>
          <w:szCs w:val="24"/>
        </w:rPr>
      </w:pPr>
      <w:r w:rsidRPr="003F0BE7">
        <w:rPr>
          <w:rFonts w:ascii="Bookman Old Style" w:hAnsi="Bookman Old Style" w:cs="Arial"/>
          <w:b/>
          <w:sz w:val="24"/>
          <w:szCs w:val="24"/>
        </w:rPr>
        <w:t>Las discrepancias reportadas no entrañan un beneficio adicional para EMGESA S.A. E.S.P.</w:t>
      </w:r>
    </w:p>
    <w:bookmarkEnd w:id="28"/>
    <w:p w:rsidR="00AB36E2" w:rsidRDefault="00AB36E2" w:rsidP="00AB36E2">
      <w:pPr>
        <w:tabs>
          <w:tab w:val="left" w:pos="0"/>
        </w:tabs>
        <w:ind w:left="0"/>
        <w:jc w:val="both"/>
        <w:rPr>
          <w:rFonts w:ascii="Bookman Old Style" w:hAnsi="Bookman Old Style" w:cs="Arial"/>
        </w:rPr>
      </w:pPr>
    </w:p>
    <w:p w:rsidR="00045697" w:rsidRPr="000B33DF" w:rsidRDefault="00045697" w:rsidP="00045697">
      <w:pPr>
        <w:tabs>
          <w:tab w:val="left" w:pos="0"/>
        </w:tabs>
        <w:ind w:left="0"/>
        <w:jc w:val="both"/>
        <w:rPr>
          <w:rFonts w:ascii="Bookman Old Style" w:hAnsi="Bookman Old Style" w:cs="Arial"/>
          <w:lang w:val="es-MX"/>
        </w:rPr>
      </w:pPr>
      <w:r>
        <w:rPr>
          <w:rFonts w:ascii="Bookman Old Style" w:hAnsi="Bookman Old Style" w:cs="Arial"/>
          <w:lang w:val="es-MX"/>
        </w:rPr>
        <w:t xml:space="preserve">Como primer punto, es pertinente referirse al argumento según el cual se debe dar aplicación al artículo 41 de la Resolución CREG 071 de 2006. EMGESA S.A. E.S.P. alega que de acuerdo con dicha norma, </w:t>
      </w:r>
      <w:r>
        <w:rPr>
          <w:rFonts w:ascii="Bookman Old Style" w:hAnsi="Bookman Old Style" w:cs="Arial"/>
          <w:i/>
          <w:lang w:val="es-MX"/>
        </w:rPr>
        <w:t>“</w:t>
      </w:r>
      <w:r w:rsidRPr="00106323">
        <w:rPr>
          <w:rFonts w:ascii="Bookman Old Style" w:hAnsi="Bookman Old Style" w:cs="Arial"/>
          <w:i/>
        </w:rPr>
        <w:t>los resultados de la Tabla 1, muestran que la ENFICC Base estaría por debajo del margen de tolerancia del 10% para el incremento de la ENFICC de una planta de generación por cambios en sus parámetros, pues su valor corresponde a una variación del 4,28% por debajo de la ENFICC Base vigente de PARAISO y LA GUACA. En consecuencia, es claro que EMGESA no se benefició de la diferencia encontrada en la verificación del parámetro</w:t>
      </w:r>
      <w:r>
        <w:rPr>
          <w:rFonts w:ascii="Bookman Old Style" w:hAnsi="Bookman Old Style" w:cs="Arial"/>
          <w:i/>
        </w:rPr>
        <w:t>”</w:t>
      </w:r>
    </w:p>
    <w:p w:rsidR="00045697" w:rsidRDefault="00045697" w:rsidP="00045697">
      <w:pPr>
        <w:tabs>
          <w:tab w:val="left" w:pos="0"/>
        </w:tabs>
        <w:ind w:left="0"/>
        <w:jc w:val="both"/>
        <w:rPr>
          <w:rFonts w:ascii="Bookman Old Style" w:hAnsi="Bookman Old Style" w:cs="Arial"/>
          <w:lang w:val="es-MX"/>
        </w:rPr>
      </w:pPr>
    </w:p>
    <w:p w:rsidR="00045697" w:rsidRDefault="00045697" w:rsidP="00045697">
      <w:pPr>
        <w:tabs>
          <w:tab w:val="left" w:pos="0"/>
        </w:tabs>
        <w:ind w:left="0"/>
        <w:jc w:val="both"/>
        <w:rPr>
          <w:rFonts w:ascii="Bookman Old Style" w:hAnsi="Bookman Old Style" w:cs="Arial"/>
          <w:lang w:val="es-MX"/>
        </w:rPr>
      </w:pPr>
      <w:r>
        <w:rPr>
          <w:rFonts w:ascii="Bookman Old Style" w:hAnsi="Bookman Old Style" w:cs="Arial"/>
          <w:lang w:val="es-MX"/>
        </w:rPr>
        <w:t>Para mayor claridad, trascribimos el artículo en cuestión:</w:t>
      </w:r>
    </w:p>
    <w:p w:rsidR="00045697" w:rsidRPr="00045697" w:rsidRDefault="00045697" w:rsidP="00045697">
      <w:pPr>
        <w:ind w:right="567"/>
        <w:jc w:val="both"/>
        <w:rPr>
          <w:rFonts w:ascii="Bookman Old Style" w:hAnsi="Bookman Old Style" w:cs="Arial"/>
          <w:i/>
          <w:sz w:val="22"/>
          <w:szCs w:val="22"/>
        </w:rPr>
      </w:pPr>
      <w:bookmarkStart w:id="29" w:name="_Ref148416867"/>
      <w:r>
        <w:rPr>
          <w:rFonts w:ascii="Bookman Old Style" w:hAnsi="Bookman Old Style" w:cs="Arial"/>
          <w:bCs/>
          <w:i/>
          <w:sz w:val="22"/>
          <w:szCs w:val="22"/>
        </w:rPr>
        <w:lastRenderedPageBreak/>
        <w:t>“</w:t>
      </w:r>
      <w:r w:rsidRPr="00045697">
        <w:rPr>
          <w:rFonts w:ascii="Bookman Old Style" w:hAnsi="Bookman Old Style" w:cs="Arial"/>
          <w:b/>
          <w:bCs/>
          <w:i/>
          <w:sz w:val="22"/>
          <w:szCs w:val="22"/>
        </w:rPr>
        <w:t>Artículo 41. Modificado por el Artículo 1 de la Resolución CREG-028 de 2007; y adicionado por el Artículo 3 de la Resolución CREG-085 de 2007. Declaración de la ENFICC</w:t>
      </w:r>
      <w:r w:rsidRPr="00045697">
        <w:rPr>
          <w:rFonts w:ascii="Bookman Old Style" w:hAnsi="Bookman Old Style" w:cs="Arial"/>
          <w:i/>
          <w:sz w:val="22"/>
          <w:szCs w:val="22"/>
        </w:rPr>
        <w:t xml:space="preserve">. La declaración de la ENFICC se hará por una sola vez, antes del inicio del Período de Transición, empleando el formato de comunicación del Anexo 4 de esta resolución. No obstante, el agente </w:t>
      </w:r>
      <w:r w:rsidRPr="00045697">
        <w:rPr>
          <w:rFonts w:ascii="Bookman Old Style" w:hAnsi="Bookman Old Style" w:cs="Arial"/>
          <w:i/>
          <w:sz w:val="22"/>
          <w:szCs w:val="22"/>
          <w:u w:val="single"/>
        </w:rPr>
        <w:t>podrá declarar una distinta con al menos tres (3) meses de antelación al inicio de una Subasta o del mecanismo de asignación que haga sus veces</w:t>
      </w:r>
      <w:r w:rsidRPr="00045697">
        <w:rPr>
          <w:rFonts w:ascii="Bookman Old Style" w:hAnsi="Bookman Old Style" w:cs="Arial"/>
          <w:i/>
          <w:sz w:val="22"/>
          <w:szCs w:val="22"/>
        </w:rPr>
        <w:t>, cuando:</w:t>
      </w:r>
    </w:p>
    <w:p w:rsidR="00045697" w:rsidRPr="00045697" w:rsidRDefault="00045697" w:rsidP="00045697">
      <w:pPr>
        <w:ind w:right="567"/>
        <w:jc w:val="both"/>
        <w:rPr>
          <w:rFonts w:ascii="Bookman Old Style" w:hAnsi="Bookman Old Style" w:cs="Arial"/>
          <w:i/>
          <w:sz w:val="22"/>
          <w:szCs w:val="22"/>
        </w:rPr>
      </w:pPr>
    </w:p>
    <w:p w:rsidR="00045697" w:rsidRPr="00045697" w:rsidRDefault="00045697" w:rsidP="00045697">
      <w:pPr>
        <w:ind w:right="567"/>
        <w:jc w:val="both"/>
        <w:rPr>
          <w:rFonts w:ascii="Bookman Old Style" w:hAnsi="Bookman Old Style" w:cs="Arial"/>
          <w:i/>
          <w:sz w:val="22"/>
          <w:szCs w:val="22"/>
        </w:rPr>
      </w:pPr>
      <w:r w:rsidRPr="00045697">
        <w:rPr>
          <w:rFonts w:ascii="Bookman Old Style" w:hAnsi="Bookman Old Style" w:cs="Arial"/>
          <w:i/>
          <w:sz w:val="22"/>
          <w:szCs w:val="22"/>
        </w:rPr>
        <w:t>1.</w:t>
      </w:r>
      <w:r w:rsidRPr="00045697">
        <w:rPr>
          <w:rFonts w:ascii="Bookman Old Style" w:hAnsi="Bookman Old Style" w:cs="Arial"/>
          <w:i/>
          <w:sz w:val="22"/>
          <w:szCs w:val="22"/>
        </w:rPr>
        <w:tab/>
        <w:t>Sea una planta o unidad de generación a la que no se le haya calculado previamente ENFICC; ó</w:t>
      </w:r>
    </w:p>
    <w:p w:rsidR="00045697" w:rsidRPr="00045697" w:rsidRDefault="00045697" w:rsidP="00045697">
      <w:pPr>
        <w:ind w:right="567"/>
        <w:jc w:val="both"/>
        <w:rPr>
          <w:rFonts w:ascii="Bookman Old Style" w:hAnsi="Bookman Old Style" w:cs="Arial"/>
          <w:i/>
          <w:sz w:val="22"/>
          <w:szCs w:val="22"/>
        </w:rPr>
      </w:pPr>
    </w:p>
    <w:p w:rsidR="00045697" w:rsidRPr="00045697" w:rsidRDefault="00045697" w:rsidP="00045697">
      <w:pPr>
        <w:ind w:right="567"/>
        <w:jc w:val="both"/>
        <w:rPr>
          <w:rFonts w:ascii="Bookman Old Style" w:hAnsi="Bookman Old Style" w:cs="Arial"/>
          <w:i/>
          <w:sz w:val="22"/>
          <w:szCs w:val="22"/>
        </w:rPr>
      </w:pPr>
      <w:r w:rsidRPr="00045697">
        <w:rPr>
          <w:rFonts w:ascii="Bookman Old Style" w:hAnsi="Bookman Old Style" w:cs="Arial"/>
          <w:i/>
          <w:sz w:val="22"/>
          <w:szCs w:val="22"/>
        </w:rPr>
        <w:t>2.</w:t>
      </w:r>
      <w:r w:rsidRPr="00045697">
        <w:rPr>
          <w:rFonts w:ascii="Bookman Old Style" w:hAnsi="Bookman Old Style" w:cs="Arial"/>
          <w:i/>
          <w:sz w:val="22"/>
          <w:szCs w:val="22"/>
        </w:rPr>
        <w:tab/>
        <w:t xml:space="preserve">Una planta y/o unidad de generación tenga </w:t>
      </w:r>
      <w:r w:rsidRPr="00045697">
        <w:rPr>
          <w:rFonts w:ascii="Bookman Old Style" w:hAnsi="Bookman Old Style" w:cs="Arial"/>
          <w:b/>
          <w:i/>
          <w:sz w:val="22"/>
          <w:szCs w:val="22"/>
          <w:u w:val="single"/>
        </w:rPr>
        <w:t xml:space="preserve">cambios en sus características </w:t>
      </w:r>
      <w:r w:rsidRPr="00045697">
        <w:rPr>
          <w:rFonts w:ascii="Bookman Old Style" w:hAnsi="Bookman Old Style" w:cs="Arial"/>
          <w:i/>
          <w:sz w:val="22"/>
          <w:szCs w:val="22"/>
          <w:u w:val="single"/>
        </w:rPr>
        <w:t>que afecten su ENFICC en uno de dos (2) los casos siguientes</w:t>
      </w:r>
      <w:r w:rsidRPr="00045697">
        <w:rPr>
          <w:rFonts w:ascii="Bookman Old Style" w:hAnsi="Bookman Old Style" w:cs="Arial"/>
          <w:i/>
          <w:sz w:val="22"/>
          <w:szCs w:val="22"/>
        </w:rPr>
        <w:t>: que el incremento de su ENFICC exceda el 10% de la misma (</w:t>
      </w:r>
      <w:r w:rsidRPr="00045697">
        <w:rPr>
          <w:rFonts w:ascii="Bookman Old Style" w:hAnsi="Bookman Old Style" w:cs="Arial"/>
          <w:b/>
          <w:i/>
          <w:sz w:val="22"/>
          <w:szCs w:val="22"/>
          <w:u w:val="single"/>
        </w:rPr>
        <w:t>desvíos de ríos, contrato de combustibles, otros</w:t>
      </w:r>
      <w:r w:rsidRPr="00045697">
        <w:rPr>
          <w:rFonts w:ascii="Bookman Old Style" w:hAnsi="Bookman Old Style" w:cs="Arial"/>
          <w:i/>
          <w:sz w:val="22"/>
          <w:szCs w:val="22"/>
        </w:rPr>
        <w:t xml:space="preserve">); o que el incremento de su ENFICC por tales cambios exceda el 10% del incremento de la demanda nacional del año inmediatamente anterior al que se hace el cálculo. Esta revisión solamente tendrá efecto en la oferta del generador para la siguiente Subasta o para los años siguientes del Período de Transición. </w:t>
      </w:r>
    </w:p>
    <w:p w:rsidR="00045697" w:rsidRPr="00045697" w:rsidRDefault="00045697" w:rsidP="00045697">
      <w:pPr>
        <w:ind w:right="567"/>
        <w:jc w:val="both"/>
        <w:rPr>
          <w:rFonts w:ascii="Bookman Old Style" w:hAnsi="Bookman Old Style" w:cs="Arial"/>
          <w:i/>
          <w:sz w:val="22"/>
          <w:szCs w:val="22"/>
        </w:rPr>
      </w:pPr>
    </w:p>
    <w:p w:rsidR="00045697" w:rsidRPr="00045697" w:rsidRDefault="00045697" w:rsidP="00045697">
      <w:pPr>
        <w:ind w:right="567"/>
        <w:jc w:val="both"/>
        <w:rPr>
          <w:rFonts w:ascii="Bookman Old Style" w:hAnsi="Bookman Old Style" w:cs="Arial"/>
          <w:b/>
          <w:bCs/>
          <w:i/>
          <w:sz w:val="22"/>
          <w:szCs w:val="22"/>
        </w:rPr>
      </w:pPr>
      <w:r w:rsidRPr="00045697">
        <w:rPr>
          <w:rFonts w:ascii="Bookman Old Style" w:hAnsi="Bookman Old Style" w:cs="Arial"/>
          <w:i/>
          <w:sz w:val="22"/>
          <w:szCs w:val="22"/>
        </w:rPr>
        <w:t>En el caso de plantas y/o unidades de generación térmica cuyos contratos de suministro y transporte de combustible no cubran el Período de Vigencia de la Obligación, y que no hayan cumplido las exigencias de los artículos 48 y 49 de esta resolución, la ENFICC se recalculará de conformidad con los ajustes a que de lugar la nueva información de los contratos. Esto sin perjuicio del cumplimiento de su Obligación de Energía Firme durante el Período de Vigencia establecido, y de la ejecución de la respectiva garantía.</w:t>
      </w:r>
      <w:r w:rsidRPr="00045697">
        <w:rPr>
          <w:rFonts w:ascii="Bookman Old Style" w:hAnsi="Bookman Old Style" w:cs="Arial"/>
          <w:b/>
          <w:bCs/>
          <w:i/>
          <w:sz w:val="22"/>
          <w:szCs w:val="22"/>
        </w:rPr>
        <w:t xml:space="preserve"> </w:t>
      </w:r>
    </w:p>
    <w:bookmarkEnd w:id="29"/>
    <w:p w:rsidR="00045697" w:rsidRPr="00045697" w:rsidRDefault="00045697" w:rsidP="00045697">
      <w:pPr>
        <w:ind w:right="567"/>
        <w:jc w:val="both"/>
        <w:rPr>
          <w:rFonts w:ascii="Bookman Old Style" w:hAnsi="Bookman Old Style" w:cs="Arial"/>
          <w:b/>
          <w:bCs/>
          <w:i/>
          <w:sz w:val="22"/>
          <w:szCs w:val="22"/>
        </w:rPr>
      </w:pPr>
    </w:p>
    <w:p w:rsidR="00045697" w:rsidRPr="00045697" w:rsidRDefault="00045697" w:rsidP="00045697">
      <w:pPr>
        <w:ind w:right="567"/>
        <w:jc w:val="both"/>
        <w:rPr>
          <w:rFonts w:ascii="Bookman Old Style" w:hAnsi="Bookman Old Style" w:cs="Arial"/>
          <w:i/>
          <w:sz w:val="22"/>
          <w:szCs w:val="22"/>
        </w:rPr>
      </w:pPr>
      <w:r w:rsidRPr="00045697">
        <w:rPr>
          <w:rFonts w:ascii="Bookman Old Style" w:hAnsi="Bookman Old Style" w:cs="Arial"/>
          <w:b/>
          <w:bCs/>
          <w:i/>
          <w:sz w:val="22"/>
          <w:szCs w:val="22"/>
        </w:rPr>
        <w:t xml:space="preserve">Parágrafo 1. </w:t>
      </w:r>
      <w:r w:rsidRPr="00045697">
        <w:rPr>
          <w:rFonts w:ascii="Bookman Old Style" w:hAnsi="Bookman Old Style" w:cs="Arial"/>
          <w:i/>
          <w:sz w:val="22"/>
          <w:szCs w:val="22"/>
        </w:rPr>
        <w:t>Una planta y/o unidad de generación que tenga cambios en sus características que afecten su ENFICC, disminuyéndola en más del 10%, deberá declarar nuevamente los parámetros para que le sea recalculada la ENFICC. La CREG podrá iniciar este proceso de oficio.</w:t>
      </w:r>
    </w:p>
    <w:p w:rsidR="00045697" w:rsidRPr="00045697" w:rsidRDefault="00045697" w:rsidP="00045697">
      <w:pPr>
        <w:ind w:right="567"/>
        <w:jc w:val="both"/>
        <w:rPr>
          <w:rFonts w:ascii="Bookman Old Style" w:hAnsi="Bookman Old Style" w:cs="Arial"/>
          <w:i/>
          <w:sz w:val="22"/>
          <w:szCs w:val="22"/>
        </w:rPr>
      </w:pPr>
    </w:p>
    <w:p w:rsidR="00045697" w:rsidRPr="00045697" w:rsidRDefault="00045697" w:rsidP="00045697">
      <w:pPr>
        <w:ind w:right="567"/>
        <w:jc w:val="both"/>
        <w:rPr>
          <w:rFonts w:ascii="Bookman Old Style" w:hAnsi="Bookman Old Style" w:cs="Arial"/>
          <w:i/>
          <w:sz w:val="22"/>
          <w:szCs w:val="22"/>
        </w:rPr>
      </w:pPr>
      <w:r w:rsidRPr="00045697">
        <w:rPr>
          <w:rFonts w:ascii="Bookman Old Style" w:hAnsi="Bookman Old Style" w:cs="Arial"/>
          <w:b/>
          <w:bCs/>
          <w:i/>
          <w:sz w:val="22"/>
          <w:szCs w:val="22"/>
        </w:rPr>
        <w:t xml:space="preserve">Parágrafo 2. </w:t>
      </w:r>
      <w:r w:rsidRPr="00045697">
        <w:rPr>
          <w:rFonts w:ascii="Bookman Old Style" w:hAnsi="Bookman Old Style" w:cs="Arial"/>
          <w:i/>
          <w:sz w:val="22"/>
          <w:szCs w:val="22"/>
        </w:rPr>
        <w:t>Cuando no se realice declaración de ENFICC, se tomará como declaración la última realizada y verificada por el CND</w:t>
      </w:r>
      <w:r>
        <w:rPr>
          <w:rFonts w:ascii="Bookman Old Style" w:hAnsi="Bookman Old Style" w:cs="Arial"/>
          <w:i/>
          <w:sz w:val="22"/>
          <w:szCs w:val="22"/>
        </w:rPr>
        <w:t xml:space="preserve">” </w:t>
      </w:r>
      <w:r>
        <w:rPr>
          <w:rFonts w:ascii="Bookman Old Style" w:hAnsi="Bookman Old Style" w:cs="Arial"/>
          <w:sz w:val="22"/>
          <w:szCs w:val="22"/>
        </w:rPr>
        <w:t>(subrayas y negrillas propias)</w:t>
      </w:r>
      <w:r w:rsidRPr="00045697">
        <w:rPr>
          <w:rFonts w:ascii="Bookman Old Style" w:hAnsi="Bookman Old Style" w:cs="Arial"/>
          <w:i/>
          <w:sz w:val="22"/>
          <w:szCs w:val="22"/>
        </w:rPr>
        <w:t>.</w:t>
      </w:r>
    </w:p>
    <w:p w:rsidR="00045697" w:rsidRPr="00045697" w:rsidRDefault="00045697" w:rsidP="00045697">
      <w:pPr>
        <w:tabs>
          <w:tab w:val="left" w:pos="0"/>
        </w:tabs>
        <w:ind w:left="0"/>
        <w:jc w:val="both"/>
        <w:rPr>
          <w:rFonts w:ascii="Bookman Old Style" w:hAnsi="Bookman Old Style" w:cs="Arial"/>
        </w:rPr>
      </w:pPr>
    </w:p>
    <w:p w:rsidR="00045697" w:rsidRDefault="00045697" w:rsidP="00045697">
      <w:pPr>
        <w:tabs>
          <w:tab w:val="left" w:pos="0"/>
        </w:tabs>
        <w:ind w:left="0"/>
        <w:jc w:val="both"/>
        <w:rPr>
          <w:rFonts w:ascii="Bookman Old Style" w:hAnsi="Bookman Old Style" w:cs="Arial"/>
          <w:lang w:val="es-MX"/>
        </w:rPr>
      </w:pPr>
      <w:r>
        <w:rPr>
          <w:rFonts w:ascii="Bookman Old Style" w:hAnsi="Bookman Old Style" w:cs="Arial"/>
          <w:lang w:val="es-MX"/>
        </w:rPr>
        <w:t xml:space="preserve">Como se observa en los apartes subrayados, la norma trascrita permite </w:t>
      </w:r>
      <w:r>
        <w:rPr>
          <w:rFonts w:ascii="Bookman Old Style" w:hAnsi="Bookman Old Style" w:cs="Arial"/>
          <w:i/>
          <w:lang w:val="es-MX"/>
        </w:rPr>
        <w:t>“declarar”</w:t>
      </w:r>
      <w:r>
        <w:rPr>
          <w:rFonts w:ascii="Bookman Old Style" w:hAnsi="Bookman Old Style" w:cs="Arial"/>
          <w:lang w:val="es-MX"/>
        </w:rPr>
        <w:t xml:space="preserve"> una ENFICC mayor para una planta, en el caso de que existan </w:t>
      </w:r>
      <w:r>
        <w:rPr>
          <w:rFonts w:ascii="Bookman Old Style" w:hAnsi="Bookman Old Style" w:cs="Arial"/>
          <w:i/>
          <w:lang w:val="es-MX"/>
        </w:rPr>
        <w:t>“cambios en sus características”</w:t>
      </w:r>
      <w:r>
        <w:rPr>
          <w:rFonts w:ascii="Bookman Old Style" w:hAnsi="Bookman Old Style" w:cs="Arial"/>
          <w:lang w:val="es-MX"/>
        </w:rPr>
        <w:t xml:space="preserve"> que incrementen su ENFICC en más de un 10%. </w:t>
      </w:r>
    </w:p>
    <w:p w:rsidR="00045697" w:rsidRDefault="00045697" w:rsidP="00045697">
      <w:pPr>
        <w:tabs>
          <w:tab w:val="left" w:pos="0"/>
        </w:tabs>
        <w:ind w:left="0"/>
        <w:jc w:val="both"/>
        <w:rPr>
          <w:rFonts w:ascii="Bookman Old Style" w:hAnsi="Bookman Old Style" w:cs="Arial"/>
          <w:lang w:val="es-MX"/>
        </w:rPr>
      </w:pPr>
    </w:p>
    <w:p w:rsidR="00045697" w:rsidRDefault="00045697" w:rsidP="00045697">
      <w:pPr>
        <w:tabs>
          <w:tab w:val="left" w:pos="0"/>
        </w:tabs>
        <w:ind w:left="0"/>
        <w:jc w:val="both"/>
        <w:rPr>
          <w:rFonts w:ascii="Bookman Old Style" w:hAnsi="Bookman Old Style"/>
          <w:bCs/>
          <w:lang w:val="es-CO"/>
        </w:rPr>
      </w:pPr>
      <w:r>
        <w:rPr>
          <w:rFonts w:ascii="Bookman Old Style" w:hAnsi="Bookman Old Style" w:cs="Arial"/>
          <w:lang w:val="es-MX"/>
        </w:rPr>
        <w:t xml:space="preserve">El presente caso no se ajusta a los supuestos de hecho de la norma. En efecto, el incremento en la ENFICC de las plantas PARAISO y LA GUACA se debió a errores injustificados en el reporte del parámetro </w:t>
      </w:r>
      <w:r>
        <w:rPr>
          <w:rFonts w:ascii="Bookman Old Style" w:hAnsi="Bookman Old Style" w:cs="Arial"/>
        </w:rPr>
        <w:t>“</w:t>
      </w:r>
      <w:r w:rsidRPr="008D73D8">
        <w:rPr>
          <w:rFonts w:ascii="Bookman Old Style" w:hAnsi="Bookman Old Style"/>
          <w:bCs/>
          <w:lang w:val="es-CO"/>
        </w:rPr>
        <w:t>Serie Histórica de Caudales Medios Mensuales de los Ríos del SIN</w:t>
      </w:r>
      <w:r>
        <w:rPr>
          <w:rFonts w:ascii="Bookman Old Style" w:hAnsi="Bookman Old Style"/>
          <w:bCs/>
          <w:lang w:val="es-CO"/>
        </w:rPr>
        <w:t xml:space="preserve">” y no a cambios en las características propias de ellas. Tampoco puede considerarse ésta una nueva </w:t>
      </w:r>
      <w:r>
        <w:rPr>
          <w:rFonts w:ascii="Bookman Old Style" w:hAnsi="Bookman Old Style"/>
          <w:bCs/>
          <w:i/>
          <w:lang w:val="es-CO"/>
        </w:rPr>
        <w:t>declaración</w:t>
      </w:r>
      <w:r>
        <w:rPr>
          <w:rFonts w:ascii="Bookman Old Style" w:hAnsi="Bookman Old Style"/>
          <w:bCs/>
          <w:lang w:val="es-CO"/>
        </w:rPr>
        <w:t xml:space="preserve"> de ENFICC, pues las presentes diligencias se iniciaron, precisamente, por el error en la declaración inicial.</w:t>
      </w:r>
    </w:p>
    <w:p w:rsidR="00045697" w:rsidRDefault="00045697" w:rsidP="00045697">
      <w:pPr>
        <w:tabs>
          <w:tab w:val="left" w:pos="0"/>
        </w:tabs>
        <w:ind w:left="0"/>
        <w:jc w:val="both"/>
        <w:rPr>
          <w:rFonts w:ascii="Bookman Old Style" w:hAnsi="Bookman Old Style"/>
          <w:bCs/>
          <w:lang w:val="es-CO"/>
        </w:rPr>
      </w:pPr>
    </w:p>
    <w:p w:rsidR="00045697" w:rsidRDefault="00045697" w:rsidP="00045697">
      <w:pPr>
        <w:tabs>
          <w:tab w:val="left" w:pos="0"/>
        </w:tabs>
        <w:ind w:left="0"/>
        <w:jc w:val="both"/>
        <w:rPr>
          <w:rFonts w:ascii="Bookman Old Style" w:hAnsi="Bookman Old Style" w:cs="Arial"/>
          <w:lang w:val="es-MX"/>
        </w:rPr>
      </w:pPr>
      <w:r>
        <w:rPr>
          <w:rFonts w:ascii="Bookman Old Style" w:hAnsi="Bookman Old Style"/>
          <w:bCs/>
          <w:lang w:val="es-CO"/>
        </w:rPr>
        <w:t xml:space="preserve">Por lo tanto, no es admisible la aplicación de lo establecido en el artículo 41 de la Resolución 071 de 2006 en el presente caso. </w:t>
      </w:r>
    </w:p>
    <w:p w:rsidR="00045697" w:rsidRDefault="00045697" w:rsidP="00AB36E2">
      <w:pPr>
        <w:tabs>
          <w:tab w:val="left" w:pos="0"/>
        </w:tabs>
        <w:ind w:left="0"/>
        <w:jc w:val="both"/>
        <w:rPr>
          <w:rFonts w:ascii="Bookman Old Style" w:hAnsi="Bookman Old Style" w:cs="Arial"/>
        </w:rPr>
      </w:pPr>
    </w:p>
    <w:p w:rsidR="003F0BE7" w:rsidRPr="003F0BE7" w:rsidRDefault="00AD3FB6" w:rsidP="00AB36E2">
      <w:pPr>
        <w:tabs>
          <w:tab w:val="left" w:pos="0"/>
        </w:tabs>
        <w:ind w:left="0"/>
        <w:jc w:val="both"/>
        <w:rPr>
          <w:rFonts w:ascii="Bookman Old Style" w:hAnsi="Bookman Old Style" w:cs="Arial"/>
          <w:i/>
        </w:rPr>
      </w:pPr>
      <w:r>
        <w:rPr>
          <w:rFonts w:ascii="Bookman Old Style" w:hAnsi="Bookman Old Style" w:cs="Arial"/>
        </w:rPr>
        <w:lastRenderedPageBreak/>
        <w:t>Ahora bien, e</w:t>
      </w:r>
      <w:r w:rsidR="003F0BE7">
        <w:rPr>
          <w:rFonts w:ascii="Bookman Old Style" w:hAnsi="Bookman Old Style" w:cs="Arial"/>
        </w:rPr>
        <w:t xml:space="preserve">l agente acertadamente afirma en el acápite 2.1. de su comunicación que </w:t>
      </w:r>
      <w:r w:rsidR="003F0BE7">
        <w:rPr>
          <w:rFonts w:ascii="Bookman Old Style" w:hAnsi="Bookman Old Style" w:cs="Arial"/>
          <w:i/>
        </w:rPr>
        <w:t>“</w:t>
      </w:r>
      <w:r w:rsidR="003F0BE7">
        <w:rPr>
          <w:rFonts w:ascii="Bookman Old Style" w:hAnsi="Bookman Old Style" w:cs="Arial"/>
          <w:i/>
          <w:lang w:val="es-CO"/>
        </w:rPr>
        <w:t>c</w:t>
      </w:r>
      <w:r w:rsidR="003F0BE7" w:rsidRPr="003F0BE7">
        <w:rPr>
          <w:rFonts w:ascii="Bookman Old Style" w:hAnsi="Bookman Old Style" w:cs="Arial"/>
          <w:i/>
          <w:lang w:val="es-CO"/>
        </w:rPr>
        <w:t>onforme a la reglamentación vigente, el propósito de la verificación de parámetros, es asegurarse que, derivado de la declaración de los parámetros necesarios para el cálculo de la ENFICC, no existan agentes que se beneficien con la obtención de una asignación mayor de ENFICC</w:t>
      </w:r>
      <w:r w:rsidR="003F0BE7">
        <w:rPr>
          <w:rFonts w:ascii="Bookman Old Style" w:hAnsi="Bookman Old Style" w:cs="Arial"/>
          <w:i/>
        </w:rPr>
        <w:t>”.</w:t>
      </w:r>
    </w:p>
    <w:p w:rsidR="003F0BE7" w:rsidRDefault="003F0BE7" w:rsidP="000B3FE6">
      <w:pPr>
        <w:tabs>
          <w:tab w:val="left" w:pos="0"/>
        </w:tabs>
        <w:ind w:left="0"/>
        <w:jc w:val="both"/>
        <w:rPr>
          <w:rFonts w:ascii="Bookman Old Style" w:hAnsi="Bookman Old Style" w:cs="Arial"/>
          <w:lang w:val="es-CO"/>
        </w:rPr>
      </w:pPr>
    </w:p>
    <w:p w:rsidR="000B3FE6" w:rsidRPr="000B33DF" w:rsidRDefault="000B3FE6" w:rsidP="000B3FE6">
      <w:pPr>
        <w:tabs>
          <w:tab w:val="left" w:pos="0"/>
        </w:tabs>
        <w:ind w:left="0"/>
        <w:jc w:val="both"/>
        <w:rPr>
          <w:rFonts w:ascii="Bookman Old Style" w:hAnsi="Bookman Old Style" w:cs="Arial"/>
          <w:i/>
          <w:lang w:val="es-CO"/>
        </w:rPr>
      </w:pPr>
      <w:r>
        <w:rPr>
          <w:rFonts w:ascii="Bookman Old Style" w:hAnsi="Bookman Old Style" w:cs="Arial"/>
          <w:lang w:val="es-CO"/>
        </w:rPr>
        <w:t>En efecto, d</w:t>
      </w:r>
      <w:r w:rsidRPr="000B33DF">
        <w:rPr>
          <w:rFonts w:ascii="Bookman Old Style" w:hAnsi="Bookman Old Style" w:cs="Arial"/>
          <w:lang w:val="es-CO"/>
        </w:rPr>
        <w:t xml:space="preserve">e acuerdo con los dispuesto en el numeral 6.2 del Anexo no. 6 de la Resolución CREG – 071 de 2006 </w:t>
      </w:r>
      <w:r w:rsidRPr="000B33DF">
        <w:rPr>
          <w:rFonts w:ascii="Bookman Old Style" w:hAnsi="Bookman Old Style" w:cs="Arial"/>
          <w:i/>
          <w:lang w:val="es-CO"/>
        </w:rPr>
        <w:t>“Las holguras y márgenes de error que se definen buscan garantizar que aquellos valores declarados por el agente, con discrepancias que conlleven la asignación de una menor ENFICC, no sean consideradas discrepancias.”</w:t>
      </w:r>
    </w:p>
    <w:p w:rsidR="000B3FE6" w:rsidRPr="000B33DF" w:rsidRDefault="000B3FE6" w:rsidP="000B3FE6">
      <w:pPr>
        <w:tabs>
          <w:tab w:val="left" w:pos="0"/>
        </w:tabs>
        <w:ind w:left="0"/>
        <w:jc w:val="both"/>
        <w:rPr>
          <w:rFonts w:ascii="Bookman Old Style" w:hAnsi="Bookman Old Style" w:cs="Arial"/>
          <w:lang w:val="es-CO"/>
        </w:rPr>
      </w:pPr>
    </w:p>
    <w:p w:rsidR="000B3FE6" w:rsidRPr="00DC3460" w:rsidRDefault="000B3FE6" w:rsidP="000B3FE6">
      <w:pPr>
        <w:tabs>
          <w:tab w:val="left" w:pos="0"/>
        </w:tabs>
        <w:ind w:left="0"/>
        <w:jc w:val="both"/>
        <w:rPr>
          <w:rFonts w:ascii="Bookman Old Style" w:hAnsi="Bookman Old Style" w:cs="Arial"/>
          <w:lang w:val="es-CO"/>
        </w:rPr>
      </w:pPr>
      <w:r w:rsidRPr="00DC3460">
        <w:rPr>
          <w:rFonts w:ascii="Bookman Old Style" w:hAnsi="Bookman Old Style" w:cs="Arial"/>
          <w:lang w:val="es-CO"/>
        </w:rPr>
        <w:t>Aunque</w:t>
      </w:r>
      <w:r>
        <w:rPr>
          <w:rFonts w:ascii="Bookman Old Style" w:hAnsi="Bookman Old Style" w:cs="Arial"/>
          <w:lang w:val="es-CO"/>
        </w:rPr>
        <w:t>, según el auditor, el valor declarado está por fuera de las holguras o márgenes de error definidas</w:t>
      </w:r>
      <w:r w:rsidRPr="00DC3460">
        <w:rPr>
          <w:rFonts w:ascii="Bookman Old Style" w:hAnsi="Bookman Old Style" w:cs="Arial"/>
          <w:lang w:val="es-CO"/>
        </w:rPr>
        <w:t xml:space="preserve"> en el referido Anexo, no por ello ha de ignorarse el alegato del interesado en orden a examinar si el valor declarado conlleva a una menor o mayor asignación de la ENFICC porque,</w:t>
      </w:r>
      <w:r>
        <w:rPr>
          <w:rFonts w:ascii="Bookman Old Style" w:hAnsi="Bookman Old Style" w:cs="Arial"/>
          <w:lang w:val="es-CO"/>
        </w:rPr>
        <w:t xml:space="preserve"> tal y como lo ha reiterado esta Comisión,</w:t>
      </w:r>
      <w:r w:rsidRPr="00DC3460">
        <w:rPr>
          <w:rFonts w:ascii="Bookman Old Style" w:hAnsi="Bookman Old Style" w:cs="Arial"/>
          <w:lang w:val="es-CO"/>
        </w:rPr>
        <w:t xml:space="preserve"> con independencia de que las holguras o márgenes de error tengan tal propósito, el criterio normativo que se busca garantizar de no considerar discrepancias valores que den lugar a una </w:t>
      </w:r>
      <w:r w:rsidR="00F66AD2">
        <w:rPr>
          <w:rFonts w:ascii="Bookman Old Style" w:hAnsi="Bookman Old Style" w:cs="Arial"/>
          <w:lang w:val="es-CO"/>
        </w:rPr>
        <w:t>mayor</w:t>
      </w:r>
      <w:r w:rsidRPr="00DC3460">
        <w:rPr>
          <w:rFonts w:ascii="Bookman Old Style" w:hAnsi="Bookman Old Style" w:cs="Arial"/>
          <w:lang w:val="es-CO"/>
        </w:rPr>
        <w:t xml:space="preserve"> asignación de ENFICC, es autónomo, más aun si se considera que, en últimas, lo que se está examinando es el correcto cálculo de la ENFICC declarada por el interesado, para prevenir el riesgo de que sea superior a la real; más no a la inversa, pues lo que se pretende evitar es que se adquiera una obligación de energía</w:t>
      </w:r>
      <w:r w:rsidR="00CC6ACA">
        <w:rPr>
          <w:rFonts w:ascii="Bookman Old Style" w:hAnsi="Bookman Old Style" w:cs="Arial"/>
          <w:lang w:val="es-CO"/>
        </w:rPr>
        <w:t xml:space="preserve"> firme superior a la verdadera </w:t>
      </w:r>
      <w:r w:rsidRPr="00DC3460">
        <w:rPr>
          <w:rFonts w:ascii="Bookman Old Style" w:hAnsi="Bookman Old Style" w:cs="Arial"/>
          <w:lang w:val="es-CO"/>
        </w:rPr>
        <w:t>ENFICC de la respectiva planta y/o unidad.</w:t>
      </w:r>
    </w:p>
    <w:p w:rsidR="000B3FE6" w:rsidRPr="000B33DF" w:rsidRDefault="000B3FE6" w:rsidP="000B3FE6">
      <w:pPr>
        <w:tabs>
          <w:tab w:val="left" w:pos="0"/>
        </w:tabs>
        <w:ind w:left="0"/>
        <w:jc w:val="both"/>
        <w:rPr>
          <w:rFonts w:ascii="Bookman Old Style" w:hAnsi="Bookman Old Style" w:cs="Arial"/>
          <w:lang w:val="es-CO"/>
        </w:rPr>
      </w:pPr>
    </w:p>
    <w:p w:rsidR="00CC6ACA" w:rsidRDefault="00CC6ACA" w:rsidP="000B3FE6">
      <w:pPr>
        <w:widowControl w:val="0"/>
        <w:tabs>
          <w:tab w:val="left" w:pos="0"/>
        </w:tabs>
        <w:adjustRightInd w:val="0"/>
        <w:ind w:left="0"/>
        <w:jc w:val="both"/>
        <w:textAlignment w:val="baseline"/>
        <w:rPr>
          <w:rFonts w:ascii="Bookman Old Style" w:hAnsi="Bookman Old Style" w:cs="Arial"/>
          <w:lang w:val="es-ES_tradnl"/>
        </w:rPr>
      </w:pPr>
      <w:r>
        <w:rPr>
          <w:rFonts w:ascii="Bookman Old Style" w:hAnsi="Bookman Old Style" w:cs="Arial"/>
          <w:lang w:val="es-CO"/>
        </w:rPr>
        <w:t>Teniendo en cuenta lo anterior, la CREG mediante comunicación S-2010-004611, procedió</w:t>
      </w:r>
      <w:r w:rsidR="000B3FE6">
        <w:rPr>
          <w:rFonts w:ascii="Bookman Old Style" w:hAnsi="Bookman Old Style" w:cs="Arial"/>
          <w:lang w:val="es-CO"/>
        </w:rPr>
        <w:t xml:space="preserve"> a </w:t>
      </w:r>
      <w:r>
        <w:rPr>
          <w:rFonts w:ascii="Bookman Old Style" w:hAnsi="Bookman Old Style" w:cs="Arial"/>
          <w:lang w:val="es-CO"/>
        </w:rPr>
        <w:t xml:space="preserve">solicitar a XM S.A. E.S.P., empresa encargada de realizar las labores del Centro Nacional de Despacho, </w:t>
      </w:r>
      <w:r w:rsidRPr="00CC6ACA">
        <w:rPr>
          <w:rFonts w:ascii="Bookman Old Style" w:hAnsi="Bookman Old Style" w:cs="Arial"/>
          <w:lang w:val="es-ES_tradnl"/>
        </w:rPr>
        <w:t>la verificación de la ENFICC para las citadas plantas, utilizando los datos que encon</w:t>
      </w:r>
      <w:r>
        <w:rPr>
          <w:rFonts w:ascii="Bookman Old Style" w:hAnsi="Bookman Old Style" w:cs="Arial"/>
          <w:lang w:val="es-ES_tradnl"/>
        </w:rPr>
        <w:t>tró el auditor con discrepancia, c</w:t>
      </w:r>
      <w:r w:rsidRPr="00CC6ACA">
        <w:rPr>
          <w:rFonts w:ascii="Bookman Old Style" w:hAnsi="Bookman Old Style" w:cs="Arial"/>
          <w:lang w:val="es-ES_tradnl"/>
        </w:rPr>
        <w:t xml:space="preserve">on el fin </w:t>
      </w:r>
      <w:r>
        <w:rPr>
          <w:rFonts w:ascii="Bookman Old Style" w:hAnsi="Bookman Old Style" w:cs="Arial"/>
          <w:lang w:val="es-ES_tradnl"/>
        </w:rPr>
        <w:t xml:space="preserve">de </w:t>
      </w:r>
      <w:r w:rsidRPr="00CC6ACA">
        <w:rPr>
          <w:rFonts w:ascii="Bookman Old Style" w:hAnsi="Bookman Old Style" w:cs="Arial"/>
          <w:lang w:val="es-ES_tradnl"/>
        </w:rPr>
        <w:t xml:space="preserve">hacer la estimación de la ENFICC con el mismo programa con el </w:t>
      </w:r>
      <w:r>
        <w:rPr>
          <w:rFonts w:ascii="Bookman Old Style" w:hAnsi="Bookman Old Style" w:cs="Arial"/>
          <w:lang w:val="es-ES_tradnl"/>
        </w:rPr>
        <w:t>que</w:t>
      </w:r>
      <w:r w:rsidRPr="00CC6ACA">
        <w:rPr>
          <w:rFonts w:ascii="Bookman Old Style" w:hAnsi="Bookman Old Style" w:cs="Arial"/>
          <w:lang w:val="es-ES_tradnl"/>
        </w:rPr>
        <w:t xml:space="preserve"> se hizo la verificación para la subasta que asignaba O</w:t>
      </w:r>
      <w:r>
        <w:rPr>
          <w:rFonts w:ascii="Bookman Old Style" w:hAnsi="Bookman Old Style" w:cs="Arial"/>
          <w:lang w:val="es-ES_tradnl"/>
        </w:rPr>
        <w:t xml:space="preserve">bligaciones de </w:t>
      </w:r>
      <w:r w:rsidRPr="00CC6ACA">
        <w:rPr>
          <w:rFonts w:ascii="Bookman Old Style" w:hAnsi="Bookman Old Style" w:cs="Arial"/>
          <w:lang w:val="es-ES_tradnl"/>
        </w:rPr>
        <w:t>E</w:t>
      </w:r>
      <w:r>
        <w:rPr>
          <w:rFonts w:ascii="Bookman Old Style" w:hAnsi="Bookman Old Style" w:cs="Arial"/>
          <w:lang w:val="es-ES_tradnl"/>
        </w:rPr>
        <w:t xml:space="preserve">nergía </w:t>
      </w:r>
      <w:r w:rsidRPr="00CC6ACA">
        <w:rPr>
          <w:rFonts w:ascii="Bookman Old Style" w:hAnsi="Bookman Old Style" w:cs="Arial"/>
          <w:lang w:val="es-ES_tradnl"/>
        </w:rPr>
        <w:t xml:space="preserve">F </w:t>
      </w:r>
      <w:r>
        <w:rPr>
          <w:rFonts w:ascii="Bookman Old Style" w:hAnsi="Bookman Old Style" w:cs="Arial"/>
          <w:lang w:val="es-ES_tradnl"/>
        </w:rPr>
        <w:t xml:space="preserve">irme </w:t>
      </w:r>
      <w:r w:rsidRPr="00CC6ACA">
        <w:rPr>
          <w:rFonts w:ascii="Bookman Old Style" w:hAnsi="Bookman Old Style" w:cs="Arial"/>
          <w:lang w:val="es-ES_tradnl"/>
        </w:rPr>
        <w:t>para el período 2012-2</w:t>
      </w:r>
      <w:r>
        <w:rPr>
          <w:rFonts w:ascii="Bookman Old Style" w:hAnsi="Bookman Old Style" w:cs="Arial"/>
          <w:lang w:val="es-ES_tradnl"/>
        </w:rPr>
        <w:t xml:space="preserve">013. </w:t>
      </w:r>
    </w:p>
    <w:p w:rsidR="00CC6ACA" w:rsidRDefault="00CC6ACA" w:rsidP="000B3FE6">
      <w:pPr>
        <w:widowControl w:val="0"/>
        <w:tabs>
          <w:tab w:val="left" w:pos="0"/>
        </w:tabs>
        <w:adjustRightInd w:val="0"/>
        <w:ind w:left="0"/>
        <w:jc w:val="both"/>
        <w:textAlignment w:val="baseline"/>
        <w:rPr>
          <w:rFonts w:ascii="Bookman Old Style" w:hAnsi="Bookman Old Style" w:cs="Arial"/>
          <w:lang w:val="es-ES_tradnl"/>
        </w:rPr>
      </w:pPr>
    </w:p>
    <w:p w:rsidR="000B3FE6" w:rsidRDefault="00CC6ACA" w:rsidP="000B3FE6">
      <w:pPr>
        <w:widowControl w:val="0"/>
        <w:tabs>
          <w:tab w:val="left" w:pos="0"/>
        </w:tabs>
        <w:adjustRightInd w:val="0"/>
        <w:ind w:left="0"/>
        <w:jc w:val="both"/>
        <w:textAlignment w:val="baseline"/>
        <w:rPr>
          <w:rFonts w:ascii="Bookman Old Style" w:hAnsi="Bookman Old Style" w:cs="Arial"/>
          <w:lang w:val="es-CO"/>
        </w:rPr>
      </w:pPr>
      <w:r>
        <w:rPr>
          <w:rFonts w:ascii="Bookman Old Style" w:hAnsi="Bookman Old Style" w:cs="Arial"/>
          <w:lang w:val="es-ES_tradnl"/>
        </w:rPr>
        <w:t xml:space="preserve">Mediante comunicación con radicación CREG E-2010-010874, XM S.A. E.S.P. respondió a dicha solicitud </w:t>
      </w:r>
      <w:r w:rsidR="000B3FE6">
        <w:rPr>
          <w:rFonts w:ascii="Bookman Old Style" w:hAnsi="Bookman Old Style" w:cs="Arial"/>
          <w:lang w:val="es-CO"/>
        </w:rPr>
        <w:t xml:space="preserve">y </w:t>
      </w:r>
      <w:r w:rsidR="000B3FE6" w:rsidRPr="00677CB2">
        <w:rPr>
          <w:rFonts w:ascii="Bookman Old Style" w:hAnsi="Bookman Old Style" w:cs="Arial"/>
          <w:lang w:val="es-CO"/>
        </w:rPr>
        <w:t>se encontraron los siguientes resultados:</w:t>
      </w:r>
    </w:p>
    <w:p w:rsidR="000B3FE6" w:rsidRDefault="000B3FE6" w:rsidP="000B3FE6">
      <w:pPr>
        <w:widowControl w:val="0"/>
        <w:tabs>
          <w:tab w:val="left" w:pos="0"/>
        </w:tabs>
        <w:adjustRightInd w:val="0"/>
        <w:ind w:left="0"/>
        <w:jc w:val="both"/>
        <w:textAlignment w:val="baseline"/>
        <w:rPr>
          <w:rFonts w:ascii="Bookman Old Style" w:hAnsi="Bookman Old Style" w:cs="Arial"/>
          <w:lang w:val="es-CO"/>
        </w:rPr>
      </w:pPr>
    </w:p>
    <w:p w:rsidR="000B3FE6" w:rsidRDefault="00CC6ACA" w:rsidP="00CC6ACA">
      <w:pPr>
        <w:tabs>
          <w:tab w:val="left" w:pos="0"/>
        </w:tabs>
        <w:ind w:left="0"/>
        <w:jc w:val="center"/>
        <w:rPr>
          <w:rFonts w:ascii="Bookman Old Style" w:hAnsi="Bookman Old Style" w:cs="Arial"/>
          <w:lang w:val="es-CO"/>
        </w:rPr>
      </w:pPr>
      <w:r>
        <w:rPr>
          <w:rFonts w:ascii="Bookman Old Style" w:hAnsi="Bookman Old Style" w:cs="Arial"/>
          <w:noProof/>
          <w:lang w:val="es-CO" w:eastAsia="es-CO"/>
        </w:rPr>
        <w:drawing>
          <wp:inline distT="0" distB="0" distL="0" distR="0">
            <wp:extent cx="4337200" cy="2076450"/>
            <wp:effectExtent l="19050" t="0" r="620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337200" cy="2076450"/>
                    </a:xfrm>
                    <a:prstGeom prst="rect">
                      <a:avLst/>
                    </a:prstGeom>
                    <a:noFill/>
                    <a:ln w="9525">
                      <a:noFill/>
                      <a:miter lim="800000"/>
                      <a:headEnd/>
                      <a:tailEnd/>
                    </a:ln>
                  </pic:spPr>
                </pic:pic>
              </a:graphicData>
            </a:graphic>
          </wp:inline>
        </w:drawing>
      </w:r>
    </w:p>
    <w:p w:rsidR="00CC6ACA" w:rsidRDefault="00CC6ACA" w:rsidP="00CC6ACA">
      <w:pPr>
        <w:tabs>
          <w:tab w:val="left" w:pos="0"/>
        </w:tabs>
        <w:ind w:left="0"/>
        <w:jc w:val="center"/>
        <w:rPr>
          <w:rFonts w:ascii="Bookman Old Style" w:hAnsi="Bookman Old Style" w:cs="Arial"/>
          <w:lang w:val="es-CO"/>
        </w:rPr>
      </w:pPr>
    </w:p>
    <w:p w:rsidR="00CC6ACA" w:rsidRDefault="00CC6ACA" w:rsidP="00CC6ACA">
      <w:pPr>
        <w:tabs>
          <w:tab w:val="left" w:pos="0"/>
        </w:tabs>
        <w:ind w:left="0"/>
        <w:jc w:val="center"/>
        <w:rPr>
          <w:rFonts w:ascii="Bookman Old Style" w:hAnsi="Bookman Old Style" w:cs="Arial"/>
          <w:lang w:val="es-CO"/>
        </w:rPr>
      </w:pPr>
      <w:r>
        <w:rPr>
          <w:rFonts w:ascii="Bookman Old Style" w:hAnsi="Bookman Old Style" w:cs="Arial"/>
          <w:noProof/>
          <w:lang w:val="es-CO" w:eastAsia="es-CO"/>
        </w:rPr>
        <w:lastRenderedPageBreak/>
        <w:drawing>
          <wp:inline distT="0" distB="0" distL="0" distR="0">
            <wp:extent cx="3945532" cy="16859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945532" cy="1685925"/>
                    </a:xfrm>
                    <a:prstGeom prst="rect">
                      <a:avLst/>
                    </a:prstGeom>
                    <a:noFill/>
                    <a:ln w="9525">
                      <a:noFill/>
                      <a:miter lim="800000"/>
                      <a:headEnd/>
                      <a:tailEnd/>
                    </a:ln>
                  </pic:spPr>
                </pic:pic>
              </a:graphicData>
            </a:graphic>
          </wp:inline>
        </w:drawing>
      </w:r>
    </w:p>
    <w:p w:rsidR="0045778F" w:rsidRDefault="0045778F" w:rsidP="009B5E3F">
      <w:pPr>
        <w:widowControl w:val="0"/>
        <w:tabs>
          <w:tab w:val="left" w:pos="0"/>
        </w:tabs>
        <w:adjustRightInd w:val="0"/>
        <w:ind w:left="0"/>
        <w:jc w:val="both"/>
        <w:textAlignment w:val="baseline"/>
        <w:rPr>
          <w:rFonts w:ascii="Bookman Old Style" w:hAnsi="Bookman Old Style" w:cs="Arial"/>
          <w:lang w:val="es-CO"/>
        </w:rPr>
      </w:pPr>
    </w:p>
    <w:p w:rsidR="000B3FE6" w:rsidRDefault="009B5E3F" w:rsidP="009B5E3F">
      <w:pPr>
        <w:widowControl w:val="0"/>
        <w:tabs>
          <w:tab w:val="left" w:pos="0"/>
        </w:tabs>
        <w:adjustRightInd w:val="0"/>
        <w:ind w:left="0"/>
        <w:jc w:val="both"/>
        <w:textAlignment w:val="baseline"/>
        <w:rPr>
          <w:rFonts w:ascii="Bookman Old Style" w:hAnsi="Bookman Old Style" w:cs="Arial"/>
          <w:lang w:val="es-CO"/>
        </w:rPr>
      </w:pPr>
      <w:r>
        <w:rPr>
          <w:rFonts w:ascii="Bookman Old Style" w:hAnsi="Bookman Old Style" w:cs="Arial"/>
          <w:lang w:val="es-CO"/>
        </w:rPr>
        <w:t>En resumen, se obtuvo la siguiente información:</w:t>
      </w:r>
    </w:p>
    <w:p w:rsidR="009B5E3F" w:rsidRDefault="009B5E3F" w:rsidP="009B5E3F">
      <w:pPr>
        <w:widowControl w:val="0"/>
        <w:tabs>
          <w:tab w:val="left" w:pos="0"/>
        </w:tabs>
        <w:adjustRightInd w:val="0"/>
        <w:ind w:left="0"/>
        <w:jc w:val="both"/>
        <w:textAlignment w:val="baseline"/>
        <w:rPr>
          <w:rFonts w:ascii="Bookman Old Style" w:hAnsi="Bookman Old Style" w:cs="Arial"/>
          <w:lang w:val="es-CO"/>
        </w:rPr>
      </w:pPr>
    </w:p>
    <w:p w:rsidR="009B5E3F" w:rsidRDefault="009B5E3F" w:rsidP="009B5E3F">
      <w:pPr>
        <w:widowControl w:val="0"/>
        <w:tabs>
          <w:tab w:val="left" w:pos="0"/>
        </w:tabs>
        <w:adjustRightInd w:val="0"/>
        <w:ind w:left="0"/>
        <w:jc w:val="center"/>
        <w:textAlignment w:val="baseline"/>
        <w:rPr>
          <w:rFonts w:ascii="Bookman Old Style" w:hAnsi="Bookman Old Style" w:cs="Arial"/>
          <w:lang w:val="es-CO"/>
        </w:rPr>
      </w:pPr>
      <w:r w:rsidRPr="009B5E3F">
        <w:rPr>
          <w:noProof/>
          <w:lang w:val="es-CO" w:eastAsia="es-CO"/>
        </w:rPr>
        <w:drawing>
          <wp:inline distT="0" distB="0" distL="0" distR="0">
            <wp:extent cx="3819525" cy="2686050"/>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819525" cy="2686050"/>
                    </a:xfrm>
                    <a:prstGeom prst="rect">
                      <a:avLst/>
                    </a:prstGeom>
                    <a:noFill/>
                    <a:ln w="9525">
                      <a:noFill/>
                      <a:miter lim="800000"/>
                      <a:headEnd/>
                      <a:tailEnd/>
                    </a:ln>
                  </pic:spPr>
                </pic:pic>
              </a:graphicData>
            </a:graphic>
          </wp:inline>
        </w:drawing>
      </w:r>
    </w:p>
    <w:p w:rsidR="00CC6ACA" w:rsidRDefault="00CC6ACA" w:rsidP="000B3FE6">
      <w:pPr>
        <w:widowControl w:val="0"/>
        <w:tabs>
          <w:tab w:val="left" w:pos="0"/>
        </w:tabs>
        <w:adjustRightInd w:val="0"/>
        <w:ind w:left="0"/>
        <w:jc w:val="both"/>
        <w:textAlignment w:val="baseline"/>
        <w:rPr>
          <w:rFonts w:ascii="Bookman Old Style" w:hAnsi="Bookman Old Style" w:cs="Arial"/>
          <w:lang w:val="es-CO"/>
        </w:rPr>
      </w:pPr>
    </w:p>
    <w:p w:rsidR="00CC6ACA" w:rsidRPr="00677CB2" w:rsidRDefault="00CC6ACA" w:rsidP="000B3FE6">
      <w:pPr>
        <w:widowControl w:val="0"/>
        <w:tabs>
          <w:tab w:val="left" w:pos="0"/>
        </w:tabs>
        <w:adjustRightInd w:val="0"/>
        <w:ind w:left="0"/>
        <w:jc w:val="both"/>
        <w:textAlignment w:val="baseline"/>
        <w:rPr>
          <w:rFonts w:ascii="Bookman Old Style" w:hAnsi="Bookman Old Style" w:cs="Arial"/>
          <w:lang w:val="es-CO"/>
        </w:rPr>
      </w:pPr>
    </w:p>
    <w:p w:rsidR="00272975" w:rsidRDefault="000B3FE6" w:rsidP="000B3FE6">
      <w:pPr>
        <w:widowControl w:val="0"/>
        <w:tabs>
          <w:tab w:val="left" w:pos="0"/>
        </w:tabs>
        <w:adjustRightInd w:val="0"/>
        <w:ind w:left="0"/>
        <w:jc w:val="both"/>
        <w:textAlignment w:val="baseline"/>
        <w:rPr>
          <w:rFonts w:ascii="Bookman Old Style" w:hAnsi="Bookman Old Style" w:cs="Arial"/>
          <w:lang w:val="es-CO"/>
        </w:rPr>
      </w:pPr>
      <w:r w:rsidRPr="00677CB2">
        <w:rPr>
          <w:rFonts w:ascii="Bookman Old Style" w:hAnsi="Bookman Old Style" w:cs="Arial"/>
          <w:lang w:val="es-CO"/>
        </w:rPr>
        <w:t>De acuerdo con lo anterior, se encuentra que la ENFICC</w:t>
      </w:r>
      <w:r w:rsidR="00272975">
        <w:rPr>
          <w:rFonts w:ascii="Bookman Old Style" w:hAnsi="Bookman Old Style" w:cs="Arial"/>
          <w:lang w:val="es-CO"/>
        </w:rPr>
        <w:t xml:space="preserve"> Base calculada con los datos del auditor es de 5.207.271 y 6.115.032 kWh/día, para las plantas PARAÍSO y LA GUACA, respectivamente. La ENFICC declarada por EMGESA S.A. E.S.P., es de 5.662.261 y 6.649.339 kWh/día.</w:t>
      </w:r>
    </w:p>
    <w:p w:rsidR="00272975" w:rsidRDefault="00272975" w:rsidP="000B3FE6">
      <w:pPr>
        <w:widowControl w:val="0"/>
        <w:tabs>
          <w:tab w:val="left" w:pos="0"/>
        </w:tabs>
        <w:adjustRightInd w:val="0"/>
        <w:ind w:left="0"/>
        <w:jc w:val="both"/>
        <w:textAlignment w:val="baseline"/>
        <w:rPr>
          <w:rFonts w:ascii="Bookman Old Style" w:hAnsi="Bookman Old Style" w:cs="Arial"/>
          <w:lang w:val="es-CO"/>
        </w:rPr>
      </w:pPr>
    </w:p>
    <w:p w:rsidR="000B3FE6" w:rsidRDefault="00272975" w:rsidP="000B3FE6">
      <w:pPr>
        <w:widowControl w:val="0"/>
        <w:tabs>
          <w:tab w:val="left" w:pos="0"/>
        </w:tabs>
        <w:adjustRightInd w:val="0"/>
        <w:ind w:left="0"/>
        <w:jc w:val="both"/>
        <w:textAlignment w:val="baseline"/>
        <w:rPr>
          <w:rFonts w:ascii="Bookman Old Style" w:hAnsi="Bookman Old Style" w:cs="Arial"/>
          <w:lang w:val="es-CO"/>
        </w:rPr>
      </w:pPr>
      <w:r>
        <w:rPr>
          <w:rFonts w:ascii="Bookman Old Style" w:hAnsi="Bookman Old Style" w:cs="Arial"/>
          <w:lang w:val="es-CO"/>
        </w:rPr>
        <w:t xml:space="preserve">Como se observa, el agente declaró una ENFICC que se encuentra dentro de los 95% PPS, lo que está permitido según el parágrafo 1 del artículo 31 de la Resolución CREG 071 de 2006, el cual estipula lo siguiente: </w:t>
      </w:r>
    </w:p>
    <w:p w:rsidR="00272975" w:rsidRDefault="00272975" w:rsidP="000B3FE6">
      <w:pPr>
        <w:widowControl w:val="0"/>
        <w:tabs>
          <w:tab w:val="left" w:pos="0"/>
        </w:tabs>
        <w:adjustRightInd w:val="0"/>
        <w:ind w:left="0"/>
        <w:jc w:val="both"/>
        <w:textAlignment w:val="baseline"/>
        <w:rPr>
          <w:rFonts w:ascii="Bookman Old Style" w:hAnsi="Bookman Old Style" w:cs="Arial"/>
          <w:lang w:val="es-CO"/>
        </w:rPr>
      </w:pPr>
    </w:p>
    <w:p w:rsidR="00272975" w:rsidRPr="00272975" w:rsidRDefault="00272975" w:rsidP="00272975">
      <w:pPr>
        <w:widowControl w:val="0"/>
        <w:adjustRightInd w:val="0"/>
        <w:ind w:right="567"/>
        <w:jc w:val="both"/>
        <w:textAlignment w:val="baseline"/>
        <w:rPr>
          <w:rFonts w:ascii="Bookman Old Style" w:hAnsi="Bookman Old Style" w:cs="Arial"/>
          <w:i/>
          <w:sz w:val="22"/>
          <w:szCs w:val="22"/>
        </w:rPr>
      </w:pPr>
      <w:r w:rsidRPr="00272975">
        <w:rPr>
          <w:rFonts w:ascii="Bookman Old Style" w:hAnsi="Bookman Old Style" w:cs="Arial"/>
          <w:b/>
          <w:bCs/>
          <w:i/>
          <w:sz w:val="22"/>
          <w:szCs w:val="22"/>
        </w:rPr>
        <w:t>Parágrafo 1</w:t>
      </w:r>
      <w:r w:rsidRPr="00272975">
        <w:rPr>
          <w:rFonts w:ascii="Bookman Old Style" w:hAnsi="Bookman Old Style" w:cs="Arial"/>
          <w:i/>
          <w:sz w:val="22"/>
          <w:szCs w:val="22"/>
        </w:rPr>
        <w:t>. El agente generador podrá declarar una ENFICC superior a la ENFICC Base e inferior a la ENFICC 95% PSS siempre y cuando respalde esta diferencia con una garantía de conformidad con lo establecido en el Capítulo VIII de esta resolución.</w:t>
      </w:r>
    </w:p>
    <w:p w:rsidR="00272975" w:rsidRPr="00272975" w:rsidRDefault="00272975" w:rsidP="000B3FE6">
      <w:pPr>
        <w:widowControl w:val="0"/>
        <w:tabs>
          <w:tab w:val="left" w:pos="0"/>
        </w:tabs>
        <w:adjustRightInd w:val="0"/>
        <w:ind w:left="0"/>
        <w:jc w:val="both"/>
        <w:textAlignment w:val="baseline"/>
        <w:rPr>
          <w:rFonts w:ascii="Bookman Old Style" w:hAnsi="Bookman Old Style" w:cs="Arial"/>
        </w:rPr>
      </w:pPr>
    </w:p>
    <w:p w:rsidR="000B3FE6" w:rsidRDefault="00272975" w:rsidP="000B3FE6">
      <w:pPr>
        <w:tabs>
          <w:tab w:val="left" w:pos="0"/>
        </w:tabs>
        <w:ind w:left="0"/>
        <w:jc w:val="both"/>
        <w:rPr>
          <w:rFonts w:ascii="Bookman Old Style" w:hAnsi="Bookman Old Style" w:cs="Arial"/>
          <w:lang w:val="es-CO"/>
        </w:rPr>
      </w:pPr>
      <w:r>
        <w:rPr>
          <w:rFonts w:ascii="Bookman Old Style" w:hAnsi="Bookman Old Style" w:cs="Arial"/>
          <w:lang w:val="es-CO"/>
        </w:rPr>
        <w:t>Más aún, la ENFICC declarada por el agente, se encuentra dentro de la ENFICC 95% PPS que resulta según los cálculos con los datos del auditor (6.551.143 y 7.693.176 kWh/día para PARAISO y LA GUACA, respectivamente).</w:t>
      </w:r>
    </w:p>
    <w:p w:rsidR="00272975" w:rsidRDefault="00272975" w:rsidP="000B3FE6">
      <w:pPr>
        <w:tabs>
          <w:tab w:val="left" w:pos="0"/>
        </w:tabs>
        <w:ind w:left="0"/>
        <w:jc w:val="both"/>
        <w:rPr>
          <w:rFonts w:ascii="Bookman Old Style" w:hAnsi="Bookman Old Style" w:cs="Arial"/>
          <w:lang w:val="es-CO"/>
        </w:rPr>
      </w:pPr>
    </w:p>
    <w:p w:rsidR="002C04BB" w:rsidRPr="002C04BB" w:rsidRDefault="00272975" w:rsidP="002C04BB">
      <w:pPr>
        <w:tabs>
          <w:tab w:val="left" w:pos="0"/>
        </w:tabs>
        <w:ind w:left="0"/>
        <w:jc w:val="both"/>
        <w:rPr>
          <w:rFonts w:ascii="Bookman Old Style" w:hAnsi="Bookman Old Style" w:cs="Arial"/>
        </w:rPr>
      </w:pPr>
      <w:r>
        <w:rPr>
          <w:rFonts w:ascii="Bookman Old Style" w:hAnsi="Bookman Old Style" w:cs="Arial"/>
          <w:lang w:val="es-CO"/>
        </w:rPr>
        <w:t xml:space="preserve">Así las cosas, </w:t>
      </w:r>
      <w:r w:rsidR="000B3FE6">
        <w:rPr>
          <w:rFonts w:ascii="Bookman Old Style" w:hAnsi="Bookman Old Style" w:cs="Arial"/>
          <w:lang w:val="es-CO"/>
        </w:rPr>
        <w:t>debe dársele validez a</w:t>
      </w:r>
      <w:r w:rsidR="000B3FE6" w:rsidRPr="000B33DF">
        <w:rPr>
          <w:rFonts w:ascii="Bookman Old Style" w:hAnsi="Bookman Old Style" w:cs="Arial"/>
          <w:lang w:val="es-CO"/>
        </w:rPr>
        <w:t xml:space="preserve"> la alegación del agente y no se puede confirmar la presunta discrepancia dictaminada por </w:t>
      </w:r>
      <w:r w:rsidR="000B3FE6">
        <w:rPr>
          <w:rFonts w:ascii="Bookman Old Style" w:hAnsi="Bookman Old Style" w:cs="Arial"/>
          <w:lang w:val="es-CO"/>
        </w:rPr>
        <w:t>SEDIC.</w:t>
      </w:r>
      <w:r>
        <w:rPr>
          <w:rFonts w:ascii="Bookman Old Style" w:hAnsi="Bookman Old Style" w:cs="Arial"/>
          <w:lang w:val="es-CO"/>
        </w:rPr>
        <w:t xml:space="preserve"> Sin embargo, sí se ordenará ajustar la garantía a que hace referencia el parágrafo 1 del artículo 31 </w:t>
      </w:r>
      <w:r>
        <w:rPr>
          <w:rFonts w:ascii="Bookman Old Style" w:hAnsi="Bookman Old Style" w:cs="Arial"/>
          <w:lang w:val="es-CO"/>
        </w:rPr>
        <w:lastRenderedPageBreak/>
        <w:t xml:space="preserve">de la Resolución 071 de 2006, pues la misma fue </w:t>
      </w:r>
      <w:r w:rsidR="002C04BB">
        <w:rPr>
          <w:rFonts w:ascii="Bookman Old Style" w:hAnsi="Bookman Old Style" w:cs="Arial"/>
          <w:lang w:val="es-CO"/>
        </w:rPr>
        <w:t>estimada</w:t>
      </w:r>
      <w:r>
        <w:rPr>
          <w:rFonts w:ascii="Bookman Old Style" w:hAnsi="Bookman Old Style" w:cs="Arial"/>
          <w:lang w:val="es-CO"/>
        </w:rPr>
        <w:t xml:space="preserve"> sobre la ENFICC Base calculada con los datos glosados, que corresponde a </w:t>
      </w:r>
      <w:r w:rsidR="002C04BB">
        <w:rPr>
          <w:rFonts w:ascii="Bookman Old Style" w:hAnsi="Bookman Old Style" w:cs="Arial"/>
          <w:lang w:val="es-CO"/>
        </w:rPr>
        <w:t xml:space="preserve">5.567.766 y 6.538.371 kWh/día, con una diferencia de </w:t>
      </w:r>
      <w:r w:rsidR="002C04BB">
        <w:rPr>
          <w:rFonts w:ascii="Bookman Old Style" w:hAnsi="Bookman Old Style" w:cs="Arial"/>
        </w:rPr>
        <w:t>360.</w:t>
      </w:r>
      <w:r w:rsidR="002C04BB" w:rsidRPr="002C04BB">
        <w:rPr>
          <w:rFonts w:ascii="Bookman Old Style" w:hAnsi="Bookman Old Style" w:cs="Arial"/>
        </w:rPr>
        <w:t>495</w:t>
      </w:r>
      <w:r w:rsidR="002C04BB">
        <w:rPr>
          <w:rFonts w:ascii="Bookman Old Style" w:hAnsi="Bookman Old Style" w:cs="Arial"/>
        </w:rPr>
        <w:t xml:space="preserve"> y 423.</w:t>
      </w:r>
      <w:r w:rsidR="002C04BB" w:rsidRPr="002C04BB">
        <w:rPr>
          <w:rFonts w:ascii="Bookman Old Style" w:hAnsi="Bookman Old Style" w:cs="Arial"/>
        </w:rPr>
        <w:t>339</w:t>
      </w:r>
      <w:r w:rsidR="002C04BB">
        <w:rPr>
          <w:rFonts w:ascii="Bookman Old Style" w:hAnsi="Bookman Old Style" w:cs="Arial"/>
        </w:rPr>
        <w:t xml:space="preserve">, respecto a la ENFICC Base calculada con los datos del auditor, para las plantas </w:t>
      </w:r>
      <w:r w:rsidR="002C04BB">
        <w:rPr>
          <w:rFonts w:ascii="Bookman Old Style" w:hAnsi="Bookman Old Style" w:cs="Arial"/>
          <w:lang w:val="es-CO"/>
        </w:rPr>
        <w:t>PARAISO y LA GUACA, respectivamente.</w:t>
      </w:r>
    </w:p>
    <w:p w:rsidR="00106323" w:rsidRDefault="00106323" w:rsidP="000B3FE6">
      <w:pPr>
        <w:tabs>
          <w:tab w:val="left" w:pos="0"/>
        </w:tabs>
        <w:ind w:left="0"/>
        <w:jc w:val="both"/>
        <w:rPr>
          <w:rFonts w:ascii="Bookman Old Style" w:hAnsi="Bookman Old Style" w:cs="Arial"/>
          <w:lang w:val="es-MX"/>
        </w:rPr>
      </w:pPr>
    </w:p>
    <w:p w:rsidR="000B3FE6" w:rsidRPr="000B33DF" w:rsidRDefault="000B3FE6" w:rsidP="000B3FE6">
      <w:pPr>
        <w:tabs>
          <w:tab w:val="left" w:pos="0"/>
        </w:tabs>
        <w:ind w:left="0"/>
        <w:jc w:val="both"/>
        <w:rPr>
          <w:rFonts w:ascii="Bookman Old Style" w:hAnsi="Bookman Old Style" w:cs="Arial"/>
          <w:lang w:val="es-CO"/>
        </w:rPr>
      </w:pPr>
      <w:r w:rsidRPr="007229E9">
        <w:rPr>
          <w:rFonts w:ascii="Bookman Old Style" w:hAnsi="Bookman Old Style" w:cs="Arial"/>
        </w:rPr>
        <w:t xml:space="preserve">La Comisión de Regulación de Energía y Gas, en su sesión No. </w:t>
      </w:r>
      <w:r w:rsidR="007229E9">
        <w:rPr>
          <w:rFonts w:ascii="Bookman Old Style" w:hAnsi="Bookman Old Style" w:cs="Arial"/>
        </w:rPr>
        <w:t>483</w:t>
      </w:r>
      <w:r w:rsidRPr="007229E9">
        <w:rPr>
          <w:rFonts w:ascii="Bookman Old Style" w:hAnsi="Bookman Old Style" w:cs="Arial"/>
        </w:rPr>
        <w:t xml:space="preserve"> del día </w:t>
      </w:r>
      <w:r w:rsidR="007229E9">
        <w:rPr>
          <w:rFonts w:ascii="Bookman Old Style" w:hAnsi="Bookman Old Style" w:cs="Arial"/>
        </w:rPr>
        <w:t>7</w:t>
      </w:r>
      <w:r w:rsidRPr="007229E9">
        <w:rPr>
          <w:rFonts w:ascii="Bookman Old Style" w:hAnsi="Bookman Old Style" w:cs="Arial"/>
        </w:rPr>
        <w:t xml:space="preserve">  de </w:t>
      </w:r>
      <w:r w:rsidR="007229E9">
        <w:rPr>
          <w:rFonts w:ascii="Bookman Old Style" w:hAnsi="Bookman Old Style" w:cs="Arial"/>
        </w:rPr>
        <w:t>abril</w:t>
      </w:r>
      <w:r w:rsidRPr="007229E9">
        <w:rPr>
          <w:rFonts w:ascii="Bookman Old Style" w:hAnsi="Bookman Old Style" w:cs="Arial"/>
        </w:rPr>
        <w:t xml:space="preserve"> de 2011, acordó expedir la presente Resolución.</w:t>
      </w:r>
    </w:p>
    <w:p w:rsidR="000B3FE6" w:rsidRPr="000B33DF" w:rsidRDefault="000B3FE6" w:rsidP="000B3FE6">
      <w:pPr>
        <w:tabs>
          <w:tab w:val="left" w:pos="0"/>
        </w:tabs>
        <w:ind w:left="0"/>
        <w:jc w:val="both"/>
        <w:rPr>
          <w:rFonts w:ascii="Bookman Old Style" w:hAnsi="Bookman Old Style" w:cs="Arial"/>
          <w:lang w:val="es-CO"/>
        </w:rPr>
      </w:pPr>
    </w:p>
    <w:p w:rsidR="000B3FE6" w:rsidRDefault="000B3FE6" w:rsidP="000B3FE6">
      <w:pPr>
        <w:tabs>
          <w:tab w:val="left" w:pos="0"/>
        </w:tabs>
        <w:ind w:left="0"/>
        <w:jc w:val="both"/>
        <w:rPr>
          <w:rFonts w:ascii="Bookman Old Style" w:hAnsi="Bookman Old Style" w:cs="Arial"/>
          <w:lang w:val="es-CO"/>
        </w:rPr>
      </w:pPr>
    </w:p>
    <w:p w:rsidR="000B3FE6" w:rsidRPr="000B33DF" w:rsidRDefault="000B3FE6" w:rsidP="000B3FE6">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R E S U E L V E:</w:t>
      </w:r>
    </w:p>
    <w:p w:rsidR="000B3FE6" w:rsidRPr="000B33DF" w:rsidRDefault="000B3FE6" w:rsidP="000B3FE6">
      <w:pPr>
        <w:tabs>
          <w:tab w:val="left" w:pos="0"/>
        </w:tabs>
        <w:ind w:left="0"/>
        <w:jc w:val="both"/>
        <w:rPr>
          <w:rFonts w:ascii="Bookman Old Style" w:hAnsi="Bookman Old Style" w:cs="Arial"/>
          <w:lang w:val="es-CO"/>
        </w:rPr>
      </w:pPr>
    </w:p>
    <w:p w:rsidR="000B3FE6" w:rsidRPr="000B33DF" w:rsidRDefault="000B3FE6" w:rsidP="000B3FE6">
      <w:pPr>
        <w:tabs>
          <w:tab w:val="left" w:pos="0"/>
        </w:tabs>
        <w:ind w:left="0"/>
        <w:jc w:val="both"/>
        <w:rPr>
          <w:rFonts w:ascii="Bookman Old Style" w:hAnsi="Bookman Old Style" w:cs="Arial"/>
          <w:sz w:val="14"/>
          <w:lang w:val="es-CO"/>
        </w:rPr>
      </w:pPr>
    </w:p>
    <w:p w:rsidR="000B3FE6" w:rsidRPr="00DC3460" w:rsidRDefault="000B3FE6" w:rsidP="000B3FE6">
      <w:pPr>
        <w:tabs>
          <w:tab w:val="left" w:pos="0"/>
        </w:tabs>
        <w:ind w:left="0"/>
        <w:jc w:val="both"/>
        <w:rPr>
          <w:rFonts w:ascii="Bookman Old Style" w:hAnsi="Bookman Old Style" w:cs="Arial"/>
        </w:rPr>
      </w:pPr>
      <w:r w:rsidRPr="000B33DF">
        <w:rPr>
          <w:rFonts w:ascii="Bookman Old Style" w:hAnsi="Bookman Old Style" w:cs="Arial"/>
          <w:b/>
          <w:bCs/>
          <w:lang w:val="es-CO"/>
        </w:rPr>
        <w:t xml:space="preserve">ARTÍCULO 1.  </w:t>
      </w:r>
      <w:r w:rsidRPr="00DC3460">
        <w:rPr>
          <w:rFonts w:ascii="Bookman Old Style" w:hAnsi="Bookman Old Style" w:cs="Arial"/>
          <w:lang w:val="es-CO"/>
        </w:rPr>
        <w:t>Declarar que no se confirmó</w:t>
      </w:r>
      <w:r w:rsidRPr="00DC3460">
        <w:rPr>
          <w:rFonts w:ascii="Bookman Old Style" w:hAnsi="Bookman Old Style" w:cs="Arial"/>
          <w:b/>
          <w:bCs/>
          <w:lang w:val="es-CO"/>
        </w:rPr>
        <w:t xml:space="preserve"> </w:t>
      </w:r>
      <w:r w:rsidRPr="00DC3460">
        <w:rPr>
          <w:rFonts w:ascii="Bookman Old Style" w:hAnsi="Bookman Old Style" w:cs="Arial"/>
          <w:lang w:val="es-CO"/>
        </w:rPr>
        <w:t xml:space="preserve">la existencia de discrepancias en el valor reportado por </w:t>
      </w:r>
      <w:r>
        <w:rPr>
          <w:rFonts w:ascii="Bookman Old Style" w:hAnsi="Bookman Old Style" w:cs="Arial"/>
          <w:lang w:val="es-CO"/>
        </w:rPr>
        <w:t>EMGESA</w:t>
      </w:r>
      <w:r w:rsidRPr="00984CBD">
        <w:rPr>
          <w:rFonts w:ascii="Bookman Old Style" w:hAnsi="Bookman Old Style" w:cs="Arial"/>
          <w:lang w:val="es-CO"/>
        </w:rPr>
        <w:t xml:space="preserve"> S.A</w:t>
      </w:r>
      <w:r w:rsidRPr="00984CBD">
        <w:rPr>
          <w:rFonts w:ascii="Bookman Old Style" w:hAnsi="Bookman Old Style" w:cs="Arial"/>
        </w:rPr>
        <w:t xml:space="preserve"> E.S.P</w:t>
      </w:r>
      <w:r w:rsidRPr="00984CBD">
        <w:rPr>
          <w:rFonts w:ascii="Bookman Old Style" w:hAnsi="Bookman Old Style" w:cs="Arial"/>
          <w:lang w:val="es-CO"/>
        </w:rPr>
        <w:t xml:space="preserve"> </w:t>
      </w:r>
      <w:r w:rsidRPr="00DC3460">
        <w:rPr>
          <w:rFonts w:ascii="Bookman Old Style" w:hAnsi="Bookman Old Style" w:cs="Arial"/>
          <w:lang w:val="es-CO"/>
        </w:rPr>
        <w:t>para el  parámetro</w:t>
      </w:r>
      <w:r w:rsidRPr="00DC3460">
        <w:rPr>
          <w:rFonts w:ascii="Bookman Old Style" w:hAnsi="Bookman Old Style" w:cs="Arial"/>
        </w:rPr>
        <w:t xml:space="preserve"> </w:t>
      </w:r>
      <w:r>
        <w:rPr>
          <w:rFonts w:ascii="Bookman Old Style" w:hAnsi="Bookman Old Style" w:cs="Arial"/>
        </w:rPr>
        <w:t>“</w:t>
      </w:r>
      <w:r w:rsidRPr="008D73D8">
        <w:rPr>
          <w:rFonts w:ascii="Bookman Old Style" w:hAnsi="Bookman Old Style"/>
          <w:bCs/>
          <w:lang w:val="es-CO"/>
        </w:rPr>
        <w:t>Serie Histórica de Caudales Medios Mensuales de los Ríos del SIN</w:t>
      </w:r>
      <w:r>
        <w:rPr>
          <w:rFonts w:ascii="Bookman Old Style" w:hAnsi="Bookman Old Style"/>
          <w:bCs/>
          <w:lang w:val="es-CO"/>
        </w:rPr>
        <w:t>”</w:t>
      </w:r>
      <w:r w:rsidRPr="00DC3460">
        <w:rPr>
          <w:rFonts w:ascii="Bookman Old Style" w:hAnsi="Bookman Old Style" w:cs="Arial"/>
        </w:rPr>
        <w:t xml:space="preserve"> de la</w:t>
      </w:r>
      <w:r w:rsidR="002C04BB">
        <w:rPr>
          <w:rFonts w:ascii="Bookman Old Style" w:hAnsi="Bookman Old Style" w:cs="Arial"/>
        </w:rPr>
        <w:t>s</w:t>
      </w:r>
      <w:r w:rsidRPr="00DC3460">
        <w:rPr>
          <w:rFonts w:ascii="Bookman Old Style" w:hAnsi="Bookman Old Style" w:cs="Arial"/>
        </w:rPr>
        <w:t xml:space="preserve"> planta</w:t>
      </w:r>
      <w:r w:rsidR="002C04BB">
        <w:rPr>
          <w:rFonts w:ascii="Bookman Old Style" w:hAnsi="Bookman Old Style" w:cs="Arial"/>
        </w:rPr>
        <w:t>s</w:t>
      </w:r>
      <w:r w:rsidRPr="00DC3460">
        <w:rPr>
          <w:rFonts w:ascii="Bookman Old Style" w:hAnsi="Bookman Old Style" w:cs="Arial"/>
        </w:rPr>
        <w:t xml:space="preserve"> </w:t>
      </w:r>
      <w:r w:rsidR="002C04BB">
        <w:rPr>
          <w:rFonts w:ascii="Bookman Old Style" w:hAnsi="Bookman Old Style" w:cs="Arial"/>
        </w:rPr>
        <w:t>PARAÍSO y LA GUACA</w:t>
      </w:r>
      <w:r>
        <w:rPr>
          <w:rFonts w:ascii="Bookman Old Style" w:hAnsi="Bookman Old Style" w:cs="Arial"/>
        </w:rPr>
        <w:t xml:space="preserve">, </w:t>
      </w:r>
      <w:r w:rsidRPr="00DC3460">
        <w:rPr>
          <w:rFonts w:ascii="Bookman Old Style" w:hAnsi="Bookman Old Style" w:cs="Arial"/>
          <w:lang w:val="es-CO"/>
        </w:rPr>
        <w:t xml:space="preserve">para el cálculo del Cargo por </w:t>
      </w:r>
      <w:r>
        <w:rPr>
          <w:rFonts w:ascii="Bookman Old Style" w:hAnsi="Bookman Old Style" w:cs="Arial"/>
          <w:lang w:val="es-CO"/>
        </w:rPr>
        <w:t>C</w:t>
      </w:r>
      <w:r w:rsidR="002C04BB">
        <w:rPr>
          <w:rFonts w:ascii="Bookman Old Style" w:hAnsi="Bookman Old Style" w:cs="Arial"/>
          <w:lang w:val="es-CO"/>
        </w:rPr>
        <w:t>onfiabilidad 2</w:t>
      </w:r>
      <w:r>
        <w:rPr>
          <w:rFonts w:ascii="Bookman Old Style" w:hAnsi="Bookman Old Style" w:cs="Arial"/>
          <w:lang w:val="es-CO"/>
        </w:rPr>
        <w:t>012</w:t>
      </w:r>
      <w:r w:rsidRPr="00DC3460">
        <w:rPr>
          <w:rFonts w:ascii="Bookman Old Style" w:hAnsi="Bookman Old Style" w:cs="Arial"/>
          <w:lang w:val="es-CO"/>
        </w:rPr>
        <w:t>-20</w:t>
      </w:r>
      <w:r>
        <w:rPr>
          <w:rFonts w:ascii="Bookman Old Style" w:hAnsi="Bookman Old Style" w:cs="Arial"/>
          <w:lang w:val="es-CO"/>
        </w:rPr>
        <w:t>13</w:t>
      </w:r>
      <w:r w:rsidRPr="00DC3460">
        <w:rPr>
          <w:rFonts w:ascii="Bookman Old Style" w:hAnsi="Bookman Old Style" w:cs="Arial"/>
          <w:lang w:val="es-CO"/>
        </w:rPr>
        <w:t>.</w:t>
      </w:r>
    </w:p>
    <w:p w:rsidR="000B3FE6" w:rsidRPr="002F1E9F" w:rsidRDefault="000B3FE6" w:rsidP="000B3FE6">
      <w:pPr>
        <w:tabs>
          <w:tab w:val="left" w:pos="0"/>
        </w:tabs>
        <w:ind w:left="0"/>
        <w:jc w:val="both"/>
        <w:rPr>
          <w:rFonts w:ascii="Bookman Old Style" w:hAnsi="Bookman Old Style" w:cs="Arial"/>
        </w:rPr>
      </w:pPr>
    </w:p>
    <w:p w:rsidR="000B3FE6" w:rsidRPr="000B33DF" w:rsidRDefault="000B3FE6" w:rsidP="000B3FE6">
      <w:pPr>
        <w:tabs>
          <w:tab w:val="left" w:pos="0"/>
        </w:tabs>
        <w:ind w:left="0"/>
        <w:jc w:val="both"/>
        <w:rPr>
          <w:rFonts w:ascii="Bookman Old Style" w:hAnsi="Bookman Old Style" w:cs="Arial"/>
          <w:lang w:val="es-CO"/>
        </w:rPr>
      </w:pPr>
    </w:p>
    <w:p w:rsidR="002C04BB" w:rsidRPr="0045778F" w:rsidRDefault="000B3FE6" w:rsidP="000B3FE6">
      <w:pPr>
        <w:tabs>
          <w:tab w:val="left" w:pos="0"/>
        </w:tabs>
        <w:ind w:left="0"/>
        <w:jc w:val="both"/>
        <w:rPr>
          <w:rFonts w:ascii="Bookman Old Style" w:hAnsi="Bookman Old Style" w:cs="Arial"/>
          <w:b/>
          <w:bCs/>
          <w:color w:val="000000"/>
          <w:lang w:val="es-CO"/>
        </w:rPr>
      </w:pPr>
      <w:r w:rsidRPr="000B33DF">
        <w:rPr>
          <w:rFonts w:ascii="Bookman Old Style" w:hAnsi="Bookman Old Style" w:cs="Arial"/>
          <w:b/>
          <w:lang w:val="es-CO"/>
        </w:rPr>
        <w:t>ARTÍCULO 2.</w:t>
      </w:r>
      <w:r w:rsidRPr="000B33DF">
        <w:rPr>
          <w:rFonts w:ascii="Bookman Old Style" w:hAnsi="Bookman Old Style" w:cs="Arial"/>
          <w:b/>
          <w:bCs/>
          <w:color w:val="000000"/>
          <w:lang w:val="es-CO"/>
        </w:rPr>
        <w:t xml:space="preserve"> </w:t>
      </w:r>
      <w:r w:rsidR="002C04BB" w:rsidRPr="0045778F">
        <w:rPr>
          <w:rFonts w:ascii="Bookman Old Style" w:hAnsi="Bookman Old Style" w:cs="Arial"/>
          <w:bCs/>
          <w:color w:val="000000"/>
          <w:lang w:val="es-CO"/>
        </w:rPr>
        <w:t>Ordenar el ajuste de la garantía presentada por EMGESA S.A. E.S.P. para la declaración de Energía Firme para el Cargo de Confiabilidad de las plantas</w:t>
      </w:r>
      <w:r w:rsidR="002C04BB">
        <w:rPr>
          <w:rFonts w:ascii="Bookman Old Style" w:hAnsi="Bookman Old Style" w:cs="Arial"/>
          <w:b/>
          <w:bCs/>
          <w:color w:val="000000"/>
          <w:lang w:val="es-CO"/>
        </w:rPr>
        <w:t xml:space="preserve"> </w:t>
      </w:r>
      <w:r w:rsidR="002C04BB">
        <w:rPr>
          <w:rFonts w:ascii="Bookman Old Style" w:hAnsi="Bookman Old Style" w:cs="Arial"/>
          <w:lang w:val="es-CO"/>
        </w:rPr>
        <w:t xml:space="preserve">PARAISO y LA GUACA, según lo establecido en el Capítulo </w:t>
      </w:r>
      <w:r w:rsidR="0045778F">
        <w:rPr>
          <w:rFonts w:ascii="Bookman Old Style" w:hAnsi="Bookman Old Style" w:cs="Arial"/>
          <w:lang w:val="es-CO"/>
        </w:rPr>
        <w:t xml:space="preserve">VIII de la Resolución CREG 071 de 2006 </w:t>
      </w:r>
      <w:r w:rsidR="0045778F">
        <w:rPr>
          <w:rFonts w:ascii="Bookman Old Style" w:hAnsi="Bookman Old Style" w:cs="Arial"/>
          <w:i/>
          <w:lang w:val="es-CO"/>
        </w:rPr>
        <w:t>“</w:t>
      </w:r>
      <w:r w:rsidR="0045778F" w:rsidRPr="0045778F">
        <w:rPr>
          <w:rFonts w:ascii="Bookman Old Style" w:hAnsi="Bookman Old Style" w:cs="Arial"/>
          <w:i/>
        </w:rPr>
        <w:t>Por la cual se adopta la metodología para la remuneración del Cargo por Confiabilidad en el Mercado Mayorista de Energía</w:t>
      </w:r>
      <w:r w:rsidR="0045778F">
        <w:rPr>
          <w:rFonts w:ascii="Bookman Old Style" w:hAnsi="Bookman Old Style" w:cs="Arial"/>
          <w:i/>
        </w:rPr>
        <w:t>”</w:t>
      </w:r>
      <w:r w:rsidR="0045778F">
        <w:rPr>
          <w:rFonts w:ascii="Bookman Old Style" w:hAnsi="Bookman Old Style" w:cs="Arial"/>
        </w:rPr>
        <w:t>,</w:t>
      </w:r>
      <w:r w:rsidR="0045778F">
        <w:rPr>
          <w:rFonts w:ascii="Bookman Old Style" w:hAnsi="Bookman Old Style" w:cs="Arial"/>
          <w:lang w:val="es-CO"/>
        </w:rPr>
        <w:t xml:space="preserve">  la Resolución CREG 061 de 2007 </w:t>
      </w:r>
      <w:r w:rsidR="0045778F">
        <w:rPr>
          <w:rFonts w:ascii="Bookman Old Style" w:hAnsi="Bookman Old Style" w:cs="Arial"/>
          <w:i/>
          <w:lang w:val="es-CO"/>
        </w:rPr>
        <w:t>“</w:t>
      </w:r>
      <w:r w:rsidR="0045778F" w:rsidRPr="0045778F">
        <w:rPr>
          <w:rFonts w:ascii="Bookman Old Style" w:hAnsi="Bookman Old Style" w:cs="Arial"/>
          <w:i/>
        </w:rPr>
        <w:t>Por la cual se expiden normas sobre las garantías para el Cargo por Confiabilidad</w:t>
      </w:r>
      <w:r w:rsidR="0045778F">
        <w:rPr>
          <w:rFonts w:ascii="Bookman Old Style" w:hAnsi="Bookman Old Style" w:cs="Arial"/>
          <w:i/>
          <w:lang w:val="es-CO"/>
        </w:rPr>
        <w:t>”</w:t>
      </w:r>
      <w:r w:rsidR="0045778F">
        <w:rPr>
          <w:rFonts w:ascii="Bookman Old Style" w:hAnsi="Bookman Old Style" w:cs="Arial"/>
          <w:lang w:val="es-CO"/>
        </w:rPr>
        <w:t xml:space="preserve"> y las normas que las modifican, adicionan y complementan</w:t>
      </w:r>
      <w:r w:rsidR="00DF7454">
        <w:rPr>
          <w:rFonts w:ascii="Bookman Old Style" w:hAnsi="Bookman Old Style" w:cs="Arial"/>
          <w:lang w:val="es-CO"/>
        </w:rPr>
        <w:t xml:space="preserve">, dentro de los </w:t>
      </w:r>
      <w:r w:rsidR="00DA362F">
        <w:rPr>
          <w:rFonts w:ascii="Bookman Old Style" w:hAnsi="Bookman Old Style" w:cs="Arial"/>
          <w:lang w:val="es-CO"/>
        </w:rPr>
        <w:t>quince</w:t>
      </w:r>
      <w:r w:rsidR="00DF7454">
        <w:rPr>
          <w:rFonts w:ascii="Bookman Old Style" w:hAnsi="Bookman Old Style" w:cs="Arial"/>
          <w:lang w:val="es-CO"/>
        </w:rPr>
        <w:t xml:space="preserve"> (</w:t>
      </w:r>
      <w:r w:rsidR="00DA362F">
        <w:rPr>
          <w:rFonts w:ascii="Bookman Old Style" w:hAnsi="Bookman Old Style" w:cs="Arial"/>
          <w:lang w:val="es-CO"/>
        </w:rPr>
        <w:t>15</w:t>
      </w:r>
      <w:r w:rsidR="00DF7454">
        <w:rPr>
          <w:rFonts w:ascii="Bookman Old Style" w:hAnsi="Bookman Old Style" w:cs="Arial"/>
          <w:lang w:val="es-CO"/>
        </w:rPr>
        <w:t>) días siguientes a la ejecutoria de la presente Resolución</w:t>
      </w:r>
      <w:r w:rsidR="0045778F">
        <w:rPr>
          <w:rFonts w:ascii="Bookman Old Style" w:hAnsi="Bookman Old Style" w:cs="Arial"/>
          <w:lang w:val="es-CO"/>
        </w:rPr>
        <w:t>.</w:t>
      </w:r>
    </w:p>
    <w:p w:rsidR="002C04BB" w:rsidRDefault="002C04BB" w:rsidP="000B3FE6">
      <w:pPr>
        <w:tabs>
          <w:tab w:val="left" w:pos="0"/>
        </w:tabs>
        <w:ind w:left="0"/>
        <w:jc w:val="both"/>
        <w:rPr>
          <w:rFonts w:ascii="Bookman Old Style" w:hAnsi="Bookman Old Style" w:cs="Arial"/>
          <w:b/>
          <w:bCs/>
          <w:color w:val="000000"/>
          <w:lang w:val="es-CO"/>
        </w:rPr>
      </w:pPr>
    </w:p>
    <w:p w:rsidR="000B3FE6" w:rsidRPr="000B33DF" w:rsidRDefault="0045778F" w:rsidP="000B3FE6">
      <w:pPr>
        <w:tabs>
          <w:tab w:val="left" w:pos="0"/>
        </w:tabs>
        <w:ind w:left="0"/>
        <w:jc w:val="both"/>
        <w:rPr>
          <w:rFonts w:ascii="Bookman Old Style" w:hAnsi="Bookman Old Style" w:cs="Arial"/>
        </w:rPr>
      </w:pPr>
      <w:r>
        <w:rPr>
          <w:rFonts w:ascii="Bookman Old Style" w:hAnsi="Bookman Old Style" w:cs="Arial"/>
          <w:b/>
          <w:color w:val="000000"/>
          <w:lang w:val="es-CO"/>
        </w:rPr>
        <w:t xml:space="preserve">ARTÍCULO 3. </w:t>
      </w:r>
      <w:r>
        <w:rPr>
          <w:rFonts w:ascii="Bookman Old Style" w:hAnsi="Bookman Old Style" w:cs="Arial"/>
          <w:color w:val="000000"/>
          <w:lang w:val="es-CO"/>
        </w:rPr>
        <w:t>Una vez se verifique el cumplimiento del numeral anterior, o</w:t>
      </w:r>
      <w:r w:rsidR="000B3FE6" w:rsidRPr="000B33DF">
        <w:rPr>
          <w:rFonts w:ascii="Bookman Old Style" w:hAnsi="Bookman Old Style" w:cs="Arial"/>
          <w:color w:val="000000"/>
          <w:lang w:val="es-CO"/>
        </w:rPr>
        <w:t xml:space="preserve">rdenar el archivo de la actuación administrativa de </w:t>
      </w:r>
      <w:r w:rsidR="000B3FE6">
        <w:rPr>
          <w:rFonts w:ascii="Bookman Old Style" w:hAnsi="Bookman Old Style" w:cs="Arial"/>
          <w:color w:val="000000"/>
          <w:lang w:val="es-CO"/>
        </w:rPr>
        <w:t>que da cuenta el expediente 2010</w:t>
      </w:r>
      <w:r w:rsidR="000B3FE6" w:rsidRPr="000B33DF">
        <w:rPr>
          <w:rFonts w:ascii="Bookman Old Style" w:hAnsi="Bookman Old Style" w:cs="Arial"/>
          <w:color w:val="000000"/>
          <w:lang w:val="es-CO"/>
        </w:rPr>
        <w:t xml:space="preserve"> – 00</w:t>
      </w:r>
      <w:r>
        <w:rPr>
          <w:rFonts w:ascii="Bookman Old Style" w:hAnsi="Bookman Old Style" w:cs="Arial"/>
          <w:color w:val="000000"/>
          <w:lang w:val="es-CO"/>
        </w:rPr>
        <w:t>70</w:t>
      </w:r>
      <w:r w:rsidR="000B3FE6" w:rsidRPr="000B33DF">
        <w:rPr>
          <w:rFonts w:ascii="Bookman Old Style" w:hAnsi="Bookman Old Style" w:cs="Arial"/>
          <w:color w:val="000000"/>
          <w:lang w:val="es-CO"/>
        </w:rPr>
        <w:t>.</w:t>
      </w:r>
    </w:p>
    <w:p w:rsidR="000B3FE6" w:rsidRPr="00984CBD" w:rsidRDefault="000B3FE6" w:rsidP="000B3FE6">
      <w:pPr>
        <w:tabs>
          <w:tab w:val="left" w:pos="0"/>
        </w:tabs>
        <w:ind w:left="0"/>
        <w:jc w:val="both"/>
        <w:rPr>
          <w:rFonts w:ascii="Bookman Old Style" w:hAnsi="Bookman Old Style" w:cs="Arial"/>
        </w:rPr>
      </w:pPr>
    </w:p>
    <w:p w:rsidR="000B3FE6" w:rsidRPr="000B33DF" w:rsidRDefault="000B3FE6" w:rsidP="000B3FE6">
      <w:pPr>
        <w:tabs>
          <w:tab w:val="left" w:pos="0"/>
        </w:tabs>
        <w:ind w:left="0"/>
        <w:jc w:val="both"/>
        <w:rPr>
          <w:rFonts w:ascii="Bookman Old Style" w:hAnsi="Bookman Old Style" w:cs="Arial"/>
          <w:lang w:val="es-CO"/>
        </w:rPr>
      </w:pPr>
      <w:r w:rsidRPr="000B33DF">
        <w:rPr>
          <w:rFonts w:ascii="Bookman Old Style" w:hAnsi="Bookman Old Style" w:cs="Arial"/>
          <w:b/>
          <w:bCs/>
          <w:lang w:val="es-CO"/>
        </w:rPr>
        <w:t xml:space="preserve">ARTÍCULO 4.  </w:t>
      </w:r>
      <w:r w:rsidRPr="00DC3460">
        <w:rPr>
          <w:rFonts w:ascii="Bookman Old Style" w:hAnsi="Bookman Old Style" w:cs="Arial"/>
          <w:lang w:val="es-CO"/>
        </w:rPr>
        <w:t xml:space="preserve">La presente Resolución deberá notificarse personalmente a la </w:t>
      </w:r>
      <w:r>
        <w:rPr>
          <w:rFonts w:ascii="Bookman Old Style" w:hAnsi="Bookman Old Style" w:cs="Arial"/>
          <w:lang w:val="es-CO"/>
        </w:rPr>
        <w:t>EMGESA</w:t>
      </w:r>
      <w:r w:rsidRPr="00984CBD">
        <w:rPr>
          <w:rFonts w:ascii="Bookman Old Style" w:hAnsi="Bookman Old Style" w:cs="Arial"/>
          <w:lang w:val="es-CO"/>
        </w:rPr>
        <w:t xml:space="preserve"> S.A</w:t>
      </w:r>
      <w:r w:rsidRPr="00984CBD">
        <w:rPr>
          <w:rFonts w:ascii="Bookman Old Style" w:hAnsi="Bookman Old Style" w:cs="Arial"/>
        </w:rPr>
        <w:t xml:space="preserve"> E.S.P</w:t>
      </w:r>
      <w:r>
        <w:rPr>
          <w:rFonts w:ascii="Bookman Old Style" w:hAnsi="Bookman Old Style" w:cs="Arial"/>
        </w:rPr>
        <w:t>.</w:t>
      </w:r>
      <w:r w:rsidRPr="00984CBD">
        <w:rPr>
          <w:rFonts w:ascii="Bookman Old Style" w:hAnsi="Bookman Old Style" w:cs="Arial"/>
          <w:lang w:val="es-CO"/>
        </w:rPr>
        <w:t xml:space="preserve"> </w:t>
      </w:r>
      <w:r w:rsidRPr="00DC3460">
        <w:rPr>
          <w:rFonts w:ascii="Bookman Old Style" w:hAnsi="Bookman Old Style" w:cs="Arial"/>
          <w:lang w:val="es-CO"/>
        </w:rPr>
        <w:t>Contra las disposiciones contenidas en esta Resolución procede el recurso de reposición, el cual podrá interponerse ante la Dirección Ejecutiva de la CREG dentro de los cinco (5) días hábiles siguientes a la fecha de su notificación.</w:t>
      </w:r>
    </w:p>
    <w:p w:rsidR="000B3FE6" w:rsidRDefault="000B3FE6" w:rsidP="000B3FE6">
      <w:pPr>
        <w:tabs>
          <w:tab w:val="left" w:pos="0"/>
        </w:tabs>
        <w:ind w:left="0"/>
        <w:jc w:val="both"/>
        <w:rPr>
          <w:rFonts w:ascii="Bookman Old Style" w:hAnsi="Bookman Old Style" w:cs="Arial"/>
          <w:spacing w:val="-4"/>
          <w:lang w:val="es-CO"/>
        </w:rPr>
      </w:pPr>
    </w:p>
    <w:p w:rsidR="000B3FE6" w:rsidRPr="000B33DF" w:rsidRDefault="000B3FE6" w:rsidP="000B3FE6">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NOTIFÍQUESE Y CÚMPLASE</w:t>
      </w:r>
    </w:p>
    <w:p w:rsidR="000B3FE6" w:rsidRPr="000B33DF" w:rsidRDefault="000B3FE6" w:rsidP="000B3FE6">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Dada en Bogotá, D.C. </w:t>
      </w:r>
    </w:p>
    <w:p w:rsidR="000B3FE6" w:rsidRPr="000B33DF" w:rsidRDefault="000B3FE6" w:rsidP="000B3FE6">
      <w:pPr>
        <w:tabs>
          <w:tab w:val="left" w:pos="-720"/>
          <w:tab w:val="left" w:pos="0"/>
        </w:tabs>
        <w:suppressAutoHyphens/>
        <w:ind w:left="0"/>
        <w:jc w:val="both"/>
        <w:rPr>
          <w:rFonts w:ascii="Bookman Old Style" w:hAnsi="Bookman Old Style" w:cs="Arial"/>
          <w:spacing w:val="-3"/>
          <w:lang w:val="es-CO"/>
        </w:rPr>
      </w:pPr>
    </w:p>
    <w:p w:rsidR="000B3FE6" w:rsidRPr="000B33DF" w:rsidRDefault="000B3FE6" w:rsidP="000B3FE6">
      <w:pPr>
        <w:pStyle w:val="t1"/>
        <w:tabs>
          <w:tab w:val="left" w:pos="0"/>
          <w:tab w:val="left" w:pos="720"/>
        </w:tabs>
        <w:spacing w:line="240" w:lineRule="auto"/>
        <w:jc w:val="both"/>
        <w:rPr>
          <w:rFonts w:ascii="Bookman Old Style" w:hAnsi="Bookman Old Style" w:cs="Arial"/>
          <w:lang w:val="es-CO"/>
        </w:rPr>
      </w:pPr>
    </w:p>
    <w:p w:rsidR="000B3FE6" w:rsidRDefault="000B3FE6" w:rsidP="000B3FE6">
      <w:pPr>
        <w:tabs>
          <w:tab w:val="left" w:pos="0"/>
        </w:tabs>
        <w:ind w:left="0"/>
        <w:jc w:val="both"/>
        <w:rPr>
          <w:rFonts w:ascii="Bookman Old Style" w:hAnsi="Bookman Old Style"/>
          <w:color w:val="000000"/>
          <w:lang w:eastAsia="es-CO"/>
        </w:rPr>
      </w:pPr>
    </w:p>
    <w:p w:rsidR="0021658F" w:rsidRPr="000B33DF" w:rsidRDefault="0021658F" w:rsidP="000B3FE6">
      <w:pPr>
        <w:tabs>
          <w:tab w:val="left" w:pos="0"/>
        </w:tabs>
        <w:ind w:left="0"/>
        <w:jc w:val="both"/>
        <w:rPr>
          <w:rFonts w:ascii="Bookman Old Style" w:hAnsi="Bookman Old Style"/>
          <w:color w:val="000000"/>
          <w:lang w:eastAsia="es-CO"/>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0B3FE6" w:rsidRPr="0046599E" w:rsidTr="008C5294">
        <w:tc>
          <w:tcPr>
            <w:tcW w:w="4491" w:type="dxa"/>
            <w:tcBorders>
              <w:top w:val="nil"/>
              <w:left w:val="nil"/>
              <w:bottom w:val="nil"/>
              <w:right w:val="nil"/>
            </w:tcBorders>
            <w:vAlign w:val="center"/>
          </w:tcPr>
          <w:p w:rsidR="000B3FE6" w:rsidRPr="0046599E" w:rsidRDefault="000B3FE6" w:rsidP="008C5294">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0B3FE6" w:rsidRPr="0046599E" w:rsidRDefault="000B3FE6" w:rsidP="008C5294">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JAVIER AUGUSTO DÍAZ VELASCO</w:t>
            </w:r>
          </w:p>
        </w:tc>
      </w:tr>
      <w:tr w:rsidR="000B3FE6" w:rsidRPr="0046599E" w:rsidTr="008C5294">
        <w:tc>
          <w:tcPr>
            <w:tcW w:w="4491" w:type="dxa"/>
            <w:tcBorders>
              <w:top w:val="nil"/>
              <w:left w:val="nil"/>
              <w:bottom w:val="nil"/>
              <w:right w:val="nil"/>
            </w:tcBorders>
            <w:vAlign w:val="center"/>
          </w:tcPr>
          <w:p w:rsidR="000B3FE6" w:rsidRPr="0046599E" w:rsidRDefault="000B3FE6" w:rsidP="008C5294">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0B3FE6" w:rsidRPr="0046599E" w:rsidRDefault="000B3FE6" w:rsidP="008C5294">
            <w:pPr>
              <w:tabs>
                <w:tab w:val="left" w:pos="-720"/>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0B3FE6" w:rsidRPr="0046599E" w:rsidTr="008C5294">
        <w:tc>
          <w:tcPr>
            <w:tcW w:w="4491" w:type="dxa"/>
            <w:tcBorders>
              <w:top w:val="nil"/>
              <w:left w:val="nil"/>
              <w:bottom w:val="nil"/>
              <w:right w:val="nil"/>
            </w:tcBorders>
            <w:vAlign w:val="center"/>
          </w:tcPr>
          <w:p w:rsidR="000B3FE6" w:rsidRPr="0046599E" w:rsidRDefault="000B3FE6" w:rsidP="008C5294">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0B3FE6" w:rsidRPr="0046599E" w:rsidRDefault="000B3FE6" w:rsidP="008C5294">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0B3FE6" w:rsidRPr="0046599E" w:rsidRDefault="000B3FE6" w:rsidP="008C5294">
            <w:pPr>
              <w:tabs>
                <w:tab w:val="left" w:pos="-720"/>
                <w:tab w:val="left" w:pos="0"/>
              </w:tabs>
              <w:suppressAutoHyphens/>
              <w:ind w:left="0"/>
              <w:jc w:val="center"/>
              <w:rPr>
                <w:rFonts w:ascii="Bookman Old Style" w:hAnsi="Bookman Old Style" w:cs="Arial"/>
                <w:color w:val="000000"/>
                <w:spacing w:val="-3"/>
              </w:rPr>
            </w:pPr>
          </w:p>
        </w:tc>
      </w:tr>
    </w:tbl>
    <w:p w:rsidR="005B03E9" w:rsidRPr="000B33DF" w:rsidRDefault="005B03E9" w:rsidP="005B03E9">
      <w:pPr>
        <w:tabs>
          <w:tab w:val="left" w:pos="0"/>
        </w:tabs>
        <w:ind w:left="0"/>
        <w:jc w:val="both"/>
        <w:rPr>
          <w:rFonts w:ascii="Bookman Old Style" w:hAnsi="Bookman Old Style" w:cs="Arial"/>
          <w:lang w:val="es-CO"/>
        </w:rPr>
      </w:pPr>
    </w:p>
    <w:sectPr w:rsidR="005B03E9" w:rsidRPr="000B33DF" w:rsidSect="00430593">
      <w:headerReference w:type="default" r:id="rId15"/>
      <w:headerReference w:type="first" r:id="rId16"/>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5E" w:rsidRDefault="00D6285E">
      <w:r>
        <w:separator/>
      </w:r>
    </w:p>
  </w:endnote>
  <w:endnote w:type="continuationSeparator" w:id="0">
    <w:p w:rsidR="00D6285E" w:rsidRDefault="00D6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5E" w:rsidRDefault="00D6285E">
      <w:r>
        <w:separator/>
      </w:r>
    </w:p>
  </w:footnote>
  <w:footnote w:type="continuationSeparator" w:id="0">
    <w:p w:rsidR="00D6285E" w:rsidRDefault="00D6285E">
      <w:r>
        <w:continuationSeparator/>
      </w:r>
    </w:p>
  </w:footnote>
  <w:footnote w:id="1">
    <w:p w:rsidR="00D6285E" w:rsidRPr="0060483C" w:rsidRDefault="00D6285E">
      <w:pPr>
        <w:pStyle w:val="Textonotapie"/>
        <w:rPr>
          <w:i/>
        </w:rPr>
      </w:pPr>
      <w:r>
        <w:rPr>
          <w:rStyle w:val="Refdenotaalpie"/>
        </w:rPr>
        <w:footnoteRef/>
      </w:r>
      <w:r>
        <w:t xml:space="preserve"> </w:t>
      </w:r>
      <w:r>
        <w:rPr>
          <w:i/>
        </w:rPr>
        <w:t>“Es importante precisar que la ENFICC declarada se encuentra entre la ENFICC Base y la ENFICC al 95PSS”</w:t>
      </w:r>
    </w:p>
  </w:footnote>
  <w:footnote w:id="2">
    <w:p w:rsidR="00D6285E" w:rsidRPr="00FF434D" w:rsidRDefault="00D6285E" w:rsidP="00F816DE">
      <w:pPr>
        <w:pStyle w:val="Textonotapie"/>
        <w:rPr>
          <w:lang w:val="es-CO"/>
        </w:rPr>
      </w:pPr>
      <w:r>
        <w:rPr>
          <w:rStyle w:val="Refdenotaalpie"/>
        </w:rPr>
        <w:footnoteRef/>
      </w:r>
      <w:r>
        <w:t xml:space="preserve"> </w:t>
      </w:r>
      <w:r>
        <w:rPr>
          <w:lang w:val="es-CO"/>
        </w:rPr>
        <w:t>Resolución CREG-061 del 27 de abril de 2010. Resolución CREG 174 de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5E" w:rsidRDefault="00D6285E" w:rsidP="00951F79">
    <w:pPr>
      <w:pStyle w:val="Ttulo1"/>
      <w:ind w:right="6"/>
      <w:jc w:val="left"/>
      <w:rPr>
        <w:rFonts w:ascii="Bookman Old Style" w:hAnsi="Bookman Old Style" w:cs="Arial"/>
        <w:b w:val="0"/>
        <w:sz w:val="22"/>
        <w:szCs w:val="22"/>
      </w:rPr>
    </w:pPr>
  </w:p>
  <w:p w:rsidR="00D6285E" w:rsidRPr="00951F79" w:rsidRDefault="00D6285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EE22F9"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EE22F9" w:rsidRPr="00654384">
      <w:rPr>
        <w:rFonts w:ascii="Bookman Old Style" w:hAnsi="Bookman Old Style" w:cs="Arial"/>
        <w:b w:val="0"/>
        <w:sz w:val="22"/>
        <w:szCs w:val="22"/>
      </w:rPr>
      <w:fldChar w:fldCharType="separate"/>
    </w:r>
    <w:r w:rsidR="00463178">
      <w:rPr>
        <w:rFonts w:ascii="Bookman Old Style" w:hAnsi="Bookman Old Style" w:cs="Arial"/>
        <w:b w:val="0"/>
        <w:noProof/>
        <w:sz w:val="22"/>
        <w:szCs w:val="22"/>
      </w:rPr>
      <w:t>14</w:t>
    </w:r>
    <w:r w:rsidR="00EE22F9"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63178" w:rsidRPr="00463178">
        <w:rPr>
          <w:rFonts w:ascii="Bookman Old Style" w:hAnsi="Bookman Old Style" w:cs="Arial"/>
          <w:b w:val="0"/>
          <w:noProof/>
          <w:sz w:val="22"/>
          <w:szCs w:val="22"/>
        </w:rPr>
        <w:t>14</w:t>
      </w:r>
    </w:fldSimple>
  </w:p>
  <w:p w:rsidR="00D6285E" w:rsidRDefault="0046317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7229E9" w:rsidRPr="000B33DF" w:rsidRDefault="007229E9" w:rsidP="007229E9">
    <w:pPr>
      <w:tabs>
        <w:tab w:val="left" w:pos="0"/>
      </w:tabs>
      <w:ind w:left="0"/>
      <w:jc w:val="center"/>
      <w:rPr>
        <w:rFonts w:ascii="Bookman Old Style" w:hAnsi="Bookman Old Style" w:cs="Arial"/>
        <w:lang w:val="es-CO"/>
      </w:rPr>
    </w:pPr>
    <w:r w:rsidRPr="000B33DF">
      <w:rPr>
        <w:rFonts w:ascii="Bookman Old Style" w:hAnsi="Bookman Old Style" w:cs="Arial"/>
        <w:lang w:val="es-CO"/>
      </w:rPr>
      <w:t>Por la cual se ordena el archivo de una actuación administrativa</w:t>
    </w:r>
  </w:p>
  <w:p w:rsidR="00D6285E" w:rsidRPr="00423CDB" w:rsidRDefault="00D6285E" w:rsidP="00423CDB">
    <w:pPr>
      <w:ind w:left="0"/>
      <w:rPr>
        <w:rFonts w:ascii="Bookman Old Style" w:hAnsi="Bookman Old Style"/>
        <w:bCs/>
        <w:sz w:val="20"/>
        <w:szCs w:val="20"/>
        <w:lang w:val="es-CO"/>
      </w:rPr>
    </w:pPr>
    <w:r>
      <w:rPr>
        <w:rFonts w:ascii="Bookman Old Style" w:hAnsi="Bookman Old Style"/>
        <w:bCs/>
        <w:sz w:val="20"/>
        <w:szCs w:val="20"/>
        <w:lang w:val="es-CO"/>
      </w:rPr>
      <w:t>____________________________________________________________________________________________</w:t>
    </w:r>
  </w:p>
  <w:p w:rsidR="00D6285E" w:rsidRPr="00CB5DD0" w:rsidRDefault="00D6285E"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5E" w:rsidRDefault="00D6285E"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D6285E" w:rsidRDefault="00D6285E">
    <w:pPr>
      <w:pStyle w:val="Encabezado"/>
      <w:jc w:val="center"/>
      <w:rPr>
        <w:rFonts w:ascii="Arial" w:hAnsi="Arial" w:cs="Arial"/>
        <w:spacing w:val="20"/>
        <w:sz w:val="20"/>
      </w:rPr>
    </w:pPr>
  </w:p>
  <w:p w:rsidR="00D6285E" w:rsidRDefault="0046317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wjeQ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6dcI3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DE2B9D"/>
    <w:multiLevelType w:val="hybridMultilevel"/>
    <w:tmpl w:val="F0626BAC"/>
    <w:lvl w:ilvl="0" w:tplc="C860B5D6">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0F8B0638"/>
    <w:multiLevelType w:val="hybridMultilevel"/>
    <w:tmpl w:val="8C82D698"/>
    <w:name w:val="Anexo"/>
    <w:lvl w:ilvl="0" w:tplc="362A3680">
      <w:start w:val="1"/>
      <w:numFmt w:val="bullet"/>
      <w:lvlText w:val=""/>
      <w:lvlJc w:val="left"/>
      <w:pPr>
        <w:tabs>
          <w:tab w:val="num" w:pos="2220"/>
        </w:tabs>
        <w:ind w:left="2220" w:hanging="360"/>
      </w:pPr>
      <w:rPr>
        <w:rFonts w:ascii="Symbol" w:hAnsi="Symbol" w:hint="default"/>
      </w:rPr>
    </w:lvl>
    <w:lvl w:ilvl="1" w:tplc="5BE4CC72" w:tentative="1">
      <w:start w:val="1"/>
      <w:numFmt w:val="bullet"/>
      <w:lvlText w:val="o"/>
      <w:lvlJc w:val="left"/>
      <w:pPr>
        <w:tabs>
          <w:tab w:val="num" w:pos="2940"/>
        </w:tabs>
        <w:ind w:left="2940" w:hanging="360"/>
      </w:pPr>
      <w:rPr>
        <w:rFonts w:ascii="Courier New" w:hAnsi="Courier New" w:hint="default"/>
      </w:rPr>
    </w:lvl>
    <w:lvl w:ilvl="2" w:tplc="EE3CFDF4" w:tentative="1">
      <w:start w:val="1"/>
      <w:numFmt w:val="bullet"/>
      <w:lvlText w:val=""/>
      <w:lvlJc w:val="left"/>
      <w:pPr>
        <w:tabs>
          <w:tab w:val="num" w:pos="3660"/>
        </w:tabs>
        <w:ind w:left="3660" w:hanging="360"/>
      </w:pPr>
      <w:rPr>
        <w:rFonts w:ascii="Wingdings" w:hAnsi="Wingdings" w:hint="default"/>
      </w:rPr>
    </w:lvl>
    <w:lvl w:ilvl="3" w:tplc="FF0ABFF6" w:tentative="1">
      <w:start w:val="1"/>
      <w:numFmt w:val="bullet"/>
      <w:lvlText w:val=""/>
      <w:lvlJc w:val="left"/>
      <w:pPr>
        <w:tabs>
          <w:tab w:val="num" w:pos="4380"/>
        </w:tabs>
        <w:ind w:left="4380" w:hanging="360"/>
      </w:pPr>
      <w:rPr>
        <w:rFonts w:ascii="Symbol" w:hAnsi="Symbol" w:hint="default"/>
      </w:rPr>
    </w:lvl>
    <w:lvl w:ilvl="4" w:tplc="E4D2D34A" w:tentative="1">
      <w:start w:val="1"/>
      <w:numFmt w:val="bullet"/>
      <w:lvlText w:val="o"/>
      <w:lvlJc w:val="left"/>
      <w:pPr>
        <w:tabs>
          <w:tab w:val="num" w:pos="5100"/>
        </w:tabs>
        <w:ind w:left="5100" w:hanging="360"/>
      </w:pPr>
      <w:rPr>
        <w:rFonts w:ascii="Courier New" w:hAnsi="Courier New" w:hint="default"/>
      </w:rPr>
    </w:lvl>
    <w:lvl w:ilvl="5" w:tplc="49129EF4" w:tentative="1">
      <w:start w:val="1"/>
      <w:numFmt w:val="bullet"/>
      <w:lvlText w:val=""/>
      <w:lvlJc w:val="left"/>
      <w:pPr>
        <w:tabs>
          <w:tab w:val="num" w:pos="5820"/>
        </w:tabs>
        <w:ind w:left="5820" w:hanging="360"/>
      </w:pPr>
      <w:rPr>
        <w:rFonts w:ascii="Wingdings" w:hAnsi="Wingdings" w:hint="default"/>
      </w:rPr>
    </w:lvl>
    <w:lvl w:ilvl="6" w:tplc="87EAAE80" w:tentative="1">
      <w:start w:val="1"/>
      <w:numFmt w:val="bullet"/>
      <w:lvlText w:val=""/>
      <w:lvlJc w:val="left"/>
      <w:pPr>
        <w:tabs>
          <w:tab w:val="num" w:pos="6540"/>
        </w:tabs>
        <w:ind w:left="6540" w:hanging="360"/>
      </w:pPr>
      <w:rPr>
        <w:rFonts w:ascii="Symbol" w:hAnsi="Symbol" w:hint="default"/>
      </w:rPr>
    </w:lvl>
    <w:lvl w:ilvl="7" w:tplc="0778DCC6" w:tentative="1">
      <w:start w:val="1"/>
      <w:numFmt w:val="bullet"/>
      <w:lvlText w:val="o"/>
      <w:lvlJc w:val="left"/>
      <w:pPr>
        <w:tabs>
          <w:tab w:val="num" w:pos="7260"/>
        </w:tabs>
        <w:ind w:left="7260" w:hanging="360"/>
      </w:pPr>
      <w:rPr>
        <w:rFonts w:ascii="Courier New" w:hAnsi="Courier New" w:hint="default"/>
      </w:rPr>
    </w:lvl>
    <w:lvl w:ilvl="8" w:tplc="25FC8364" w:tentative="1">
      <w:start w:val="1"/>
      <w:numFmt w:val="bullet"/>
      <w:lvlText w:val=""/>
      <w:lvlJc w:val="left"/>
      <w:pPr>
        <w:tabs>
          <w:tab w:val="num" w:pos="7980"/>
        </w:tabs>
        <w:ind w:left="7980" w:hanging="360"/>
      </w:pPr>
      <w:rPr>
        <w:rFonts w:ascii="Wingdings" w:hAnsi="Wingdings" w:hint="default"/>
      </w:rPr>
    </w:lvl>
  </w:abstractNum>
  <w:abstractNum w:abstractNumId="5">
    <w:nsid w:val="101D6B31"/>
    <w:multiLevelType w:val="hybridMultilevel"/>
    <w:tmpl w:val="1CD43BF2"/>
    <w:name w:val="WW8Num6423223"/>
    <w:lvl w:ilvl="0" w:tplc="2A7C39E8">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6">
    <w:nsid w:val="10FF2C9C"/>
    <w:multiLevelType w:val="hybridMultilevel"/>
    <w:tmpl w:val="384E7DF0"/>
    <w:name w:val="WW8Num642322222"/>
    <w:lvl w:ilvl="0" w:tplc="8012D2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591B89"/>
    <w:multiLevelType w:val="hybridMultilevel"/>
    <w:tmpl w:val="30BAA2EE"/>
    <w:name w:val="WW8Num6423222232"/>
    <w:lvl w:ilvl="0" w:tplc="2732F80A">
      <w:start w:val="1"/>
      <w:numFmt w:val="decimal"/>
      <w:pStyle w:val="articulo"/>
      <w:lvlText w:val="Artículo %1."/>
      <w:lvlJc w:val="left"/>
      <w:pPr>
        <w:tabs>
          <w:tab w:val="num" w:pos="1440"/>
        </w:tabs>
        <w:ind w:left="0" w:firstLine="0"/>
      </w:pPr>
      <w:rPr>
        <w:b/>
        <w:i w:val="0"/>
        <w:sz w:val="24"/>
      </w:rPr>
    </w:lvl>
    <w:lvl w:ilvl="1" w:tplc="0C0A0019">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bullet"/>
      <w:lvlText w:val=""/>
      <w:lvlJc w:val="left"/>
      <w:pPr>
        <w:tabs>
          <w:tab w:val="num" w:pos="2340"/>
        </w:tabs>
        <w:ind w:left="2340" w:hanging="360"/>
      </w:pPr>
      <w:rPr>
        <w:rFonts w:ascii="Symbol" w:hAnsi="Symbol" w:hint="default"/>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12C41B92"/>
    <w:multiLevelType w:val="hybridMultilevel"/>
    <w:tmpl w:val="D1D2F5EA"/>
    <w:name w:val="WW8Num5222222223"/>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98B2CE0"/>
    <w:multiLevelType w:val="hybridMultilevel"/>
    <w:tmpl w:val="B10EE664"/>
    <w:name w:val="WW8Num6423222"/>
    <w:lvl w:ilvl="0" w:tplc="D76257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030153"/>
    <w:multiLevelType w:val="multilevel"/>
    <w:tmpl w:val="D5080F66"/>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3CB81FEB"/>
    <w:multiLevelType w:val="hybridMultilevel"/>
    <w:tmpl w:val="9EC0B1CE"/>
    <w:lvl w:ilvl="0" w:tplc="240A000F">
      <w:start w:val="1"/>
      <w:numFmt w:val="upperLetter"/>
      <w:pStyle w:val="Ttulo2"/>
      <w:lvlText w:val="%1."/>
      <w:lvlJc w:val="left"/>
      <w:pPr>
        <w:tabs>
          <w:tab w:val="num" w:pos="502"/>
        </w:tabs>
        <w:ind w:left="502" w:hanging="360"/>
      </w:pPr>
      <w:rPr>
        <w:rFonts w:hint="default"/>
        <w:b/>
      </w:rPr>
    </w:lvl>
    <w:lvl w:ilvl="1" w:tplc="240A0019" w:tentative="1">
      <w:start w:val="1"/>
      <w:numFmt w:val="lowerLetter"/>
      <w:lvlText w:val="%2."/>
      <w:lvlJc w:val="left"/>
      <w:pPr>
        <w:tabs>
          <w:tab w:val="num" w:pos="1222"/>
        </w:tabs>
        <w:ind w:left="1222" w:hanging="360"/>
      </w:pPr>
    </w:lvl>
    <w:lvl w:ilvl="2" w:tplc="240A001B" w:tentative="1">
      <w:start w:val="1"/>
      <w:numFmt w:val="lowerRoman"/>
      <w:lvlText w:val="%3."/>
      <w:lvlJc w:val="right"/>
      <w:pPr>
        <w:tabs>
          <w:tab w:val="num" w:pos="1942"/>
        </w:tabs>
        <w:ind w:left="1942" w:hanging="180"/>
      </w:pPr>
    </w:lvl>
    <w:lvl w:ilvl="3" w:tplc="240A000F" w:tentative="1">
      <w:start w:val="1"/>
      <w:numFmt w:val="decimal"/>
      <w:lvlText w:val="%4."/>
      <w:lvlJc w:val="left"/>
      <w:pPr>
        <w:tabs>
          <w:tab w:val="num" w:pos="2662"/>
        </w:tabs>
        <w:ind w:left="2662" w:hanging="360"/>
      </w:pPr>
    </w:lvl>
    <w:lvl w:ilvl="4" w:tplc="240A0019" w:tentative="1">
      <w:start w:val="1"/>
      <w:numFmt w:val="lowerLetter"/>
      <w:lvlText w:val="%5."/>
      <w:lvlJc w:val="left"/>
      <w:pPr>
        <w:tabs>
          <w:tab w:val="num" w:pos="3382"/>
        </w:tabs>
        <w:ind w:left="3382" w:hanging="360"/>
      </w:pPr>
    </w:lvl>
    <w:lvl w:ilvl="5" w:tplc="240A001B" w:tentative="1">
      <w:start w:val="1"/>
      <w:numFmt w:val="lowerRoman"/>
      <w:lvlText w:val="%6."/>
      <w:lvlJc w:val="right"/>
      <w:pPr>
        <w:tabs>
          <w:tab w:val="num" w:pos="4102"/>
        </w:tabs>
        <w:ind w:left="4102" w:hanging="180"/>
      </w:pPr>
    </w:lvl>
    <w:lvl w:ilvl="6" w:tplc="240A000F" w:tentative="1">
      <w:start w:val="1"/>
      <w:numFmt w:val="decimal"/>
      <w:lvlText w:val="%7."/>
      <w:lvlJc w:val="left"/>
      <w:pPr>
        <w:tabs>
          <w:tab w:val="num" w:pos="4822"/>
        </w:tabs>
        <w:ind w:left="4822" w:hanging="360"/>
      </w:pPr>
    </w:lvl>
    <w:lvl w:ilvl="7" w:tplc="240A0019" w:tentative="1">
      <w:start w:val="1"/>
      <w:numFmt w:val="lowerLetter"/>
      <w:lvlText w:val="%8."/>
      <w:lvlJc w:val="left"/>
      <w:pPr>
        <w:tabs>
          <w:tab w:val="num" w:pos="5542"/>
        </w:tabs>
        <w:ind w:left="5542" w:hanging="360"/>
      </w:pPr>
    </w:lvl>
    <w:lvl w:ilvl="8" w:tplc="240A001B" w:tentative="1">
      <w:start w:val="1"/>
      <w:numFmt w:val="lowerRoman"/>
      <w:lvlText w:val="%9."/>
      <w:lvlJc w:val="right"/>
      <w:pPr>
        <w:tabs>
          <w:tab w:val="num" w:pos="6262"/>
        </w:tabs>
        <w:ind w:left="6262" w:hanging="180"/>
      </w:pPr>
    </w:lvl>
  </w:abstractNum>
  <w:abstractNum w:abstractNumId="16">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2EA5996"/>
    <w:multiLevelType w:val="hybridMultilevel"/>
    <w:tmpl w:val="F836BDF8"/>
    <w:lvl w:ilvl="0" w:tplc="95241FB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AD728C1"/>
    <w:multiLevelType w:val="hybridMultilevel"/>
    <w:tmpl w:val="98EC145E"/>
    <w:name w:val="WW8Num642322223"/>
    <w:lvl w:ilvl="0" w:tplc="79563E18">
      <w:start w:val="1"/>
      <w:numFmt w:val="decimal"/>
      <w:lvlText w:val="Ecuación %1."/>
      <w:lvlJc w:val="left"/>
      <w:pPr>
        <w:ind w:left="720" w:hanging="360"/>
      </w:pPr>
      <w:rPr>
        <w:rFonts w:hint="default"/>
        <w:b w:val="0"/>
      </w:rPr>
    </w:lvl>
    <w:lvl w:ilvl="1" w:tplc="AFF8687E">
      <w:start w:val="1"/>
      <w:numFmt w:val="lowerLetter"/>
      <w:lvlText w:val="%2."/>
      <w:lvlJc w:val="left"/>
      <w:pPr>
        <w:ind w:left="1440" w:hanging="360"/>
      </w:pPr>
    </w:lvl>
    <w:lvl w:ilvl="2" w:tplc="12A6BD52" w:tentative="1">
      <w:start w:val="1"/>
      <w:numFmt w:val="lowerRoman"/>
      <w:lvlText w:val="%3."/>
      <w:lvlJc w:val="right"/>
      <w:pPr>
        <w:ind w:left="2160" w:hanging="180"/>
      </w:pPr>
    </w:lvl>
    <w:lvl w:ilvl="3" w:tplc="8FFAF700" w:tentative="1">
      <w:start w:val="1"/>
      <w:numFmt w:val="decimal"/>
      <w:lvlText w:val="%4."/>
      <w:lvlJc w:val="left"/>
      <w:pPr>
        <w:ind w:left="2880" w:hanging="360"/>
      </w:pPr>
    </w:lvl>
    <w:lvl w:ilvl="4" w:tplc="65C47016" w:tentative="1">
      <w:start w:val="1"/>
      <w:numFmt w:val="lowerLetter"/>
      <w:lvlText w:val="%5."/>
      <w:lvlJc w:val="left"/>
      <w:pPr>
        <w:ind w:left="3600" w:hanging="360"/>
      </w:pPr>
    </w:lvl>
    <w:lvl w:ilvl="5" w:tplc="5940776E" w:tentative="1">
      <w:start w:val="1"/>
      <w:numFmt w:val="lowerRoman"/>
      <w:lvlText w:val="%6."/>
      <w:lvlJc w:val="right"/>
      <w:pPr>
        <w:ind w:left="4320" w:hanging="180"/>
      </w:pPr>
    </w:lvl>
    <w:lvl w:ilvl="6" w:tplc="1DD0F840" w:tentative="1">
      <w:start w:val="1"/>
      <w:numFmt w:val="decimal"/>
      <w:lvlText w:val="%7."/>
      <w:lvlJc w:val="left"/>
      <w:pPr>
        <w:ind w:left="5040" w:hanging="360"/>
      </w:pPr>
    </w:lvl>
    <w:lvl w:ilvl="7" w:tplc="563A7716" w:tentative="1">
      <w:start w:val="1"/>
      <w:numFmt w:val="lowerLetter"/>
      <w:lvlText w:val="%8."/>
      <w:lvlJc w:val="left"/>
      <w:pPr>
        <w:ind w:left="5760" w:hanging="360"/>
      </w:pPr>
    </w:lvl>
    <w:lvl w:ilvl="8" w:tplc="F3F80C44" w:tentative="1">
      <w:start w:val="1"/>
      <w:numFmt w:val="lowerRoman"/>
      <w:lvlText w:val="%9."/>
      <w:lvlJc w:val="right"/>
      <w:pPr>
        <w:ind w:left="6480" w:hanging="180"/>
      </w:pPr>
    </w:lvl>
  </w:abstractNum>
  <w:abstractNum w:abstractNumId="22">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80D101A"/>
    <w:multiLevelType w:val="hybridMultilevel"/>
    <w:tmpl w:val="A22C1F46"/>
    <w:lvl w:ilvl="0" w:tplc="9A04053C">
      <w:start w:val="1"/>
      <w:numFmt w:val="lowerLetter"/>
      <w:pStyle w:val="Estilo5"/>
      <w:lvlText w:val="%1)"/>
      <w:lvlJc w:val="left"/>
      <w:pPr>
        <w:tabs>
          <w:tab w:val="num" w:pos="360"/>
        </w:tabs>
        <w:ind w:left="360" w:hanging="360"/>
      </w:pPr>
      <w:rPr>
        <w:rFonts w:hint="default"/>
      </w:rPr>
    </w:lvl>
    <w:lvl w:ilvl="1" w:tplc="4CC0E0A6" w:tentative="1">
      <w:start w:val="1"/>
      <w:numFmt w:val="lowerLetter"/>
      <w:lvlText w:val="%2."/>
      <w:lvlJc w:val="left"/>
      <w:pPr>
        <w:tabs>
          <w:tab w:val="num" w:pos="1080"/>
        </w:tabs>
        <w:ind w:left="1080" w:hanging="360"/>
      </w:pPr>
    </w:lvl>
    <w:lvl w:ilvl="2" w:tplc="05F61642" w:tentative="1">
      <w:start w:val="1"/>
      <w:numFmt w:val="lowerRoman"/>
      <w:lvlText w:val="%3."/>
      <w:lvlJc w:val="right"/>
      <w:pPr>
        <w:tabs>
          <w:tab w:val="num" w:pos="1800"/>
        </w:tabs>
        <w:ind w:left="1800" w:hanging="180"/>
      </w:pPr>
    </w:lvl>
    <w:lvl w:ilvl="3" w:tplc="448292FC" w:tentative="1">
      <w:start w:val="1"/>
      <w:numFmt w:val="decimal"/>
      <w:lvlText w:val="%4."/>
      <w:lvlJc w:val="left"/>
      <w:pPr>
        <w:tabs>
          <w:tab w:val="num" w:pos="2520"/>
        </w:tabs>
        <w:ind w:left="2520" w:hanging="360"/>
      </w:pPr>
    </w:lvl>
    <w:lvl w:ilvl="4" w:tplc="688A170A" w:tentative="1">
      <w:start w:val="1"/>
      <w:numFmt w:val="lowerLetter"/>
      <w:lvlText w:val="%5."/>
      <w:lvlJc w:val="left"/>
      <w:pPr>
        <w:tabs>
          <w:tab w:val="num" w:pos="3240"/>
        </w:tabs>
        <w:ind w:left="3240" w:hanging="360"/>
      </w:pPr>
    </w:lvl>
    <w:lvl w:ilvl="5" w:tplc="55528FEA" w:tentative="1">
      <w:start w:val="1"/>
      <w:numFmt w:val="lowerRoman"/>
      <w:lvlText w:val="%6."/>
      <w:lvlJc w:val="right"/>
      <w:pPr>
        <w:tabs>
          <w:tab w:val="num" w:pos="3960"/>
        </w:tabs>
        <w:ind w:left="3960" w:hanging="180"/>
      </w:pPr>
    </w:lvl>
    <w:lvl w:ilvl="6" w:tplc="76E0E710" w:tentative="1">
      <w:start w:val="1"/>
      <w:numFmt w:val="decimal"/>
      <w:lvlText w:val="%7."/>
      <w:lvlJc w:val="left"/>
      <w:pPr>
        <w:tabs>
          <w:tab w:val="num" w:pos="4680"/>
        </w:tabs>
        <w:ind w:left="4680" w:hanging="360"/>
      </w:pPr>
    </w:lvl>
    <w:lvl w:ilvl="7" w:tplc="14848118" w:tentative="1">
      <w:start w:val="1"/>
      <w:numFmt w:val="lowerLetter"/>
      <w:lvlText w:val="%8."/>
      <w:lvlJc w:val="left"/>
      <w:pPr>
        <w:tabs>
          <w:tab w:val="num" w:pos="5400"/>
        </w:tabs>
        <w:ind w:left="5400" w:hanging="360"/>
      </w:pPr>
    </w:lvl>
    <w:lvl w:ilvl="8" w:tplc="E7A64B1C" w:tentative="1">
      <w:start w:val="1"/>
      <w:numFmt w:val="lowerRoman"/>
      <w:lvlText w:val="%9."/>
      <w:lvlJc w:val="right"/>
      <w:pPr>
        <w:tabs>
          <w:tab w:val="num" w:pos="6120"/>
        </w:tabs>
        <w:ind w:left="6120" w:hanging="180"/>
      </w:pPr>
    </w:lvl>
  </w:abstractNum>
  <w:abstractNum w:abstractNumId="24">
    <w:nsid w:val="6B78217D"/>
    <w:multiLevelType w:val="hybridMultilevel"/>
    <w:tmpl w:val="FCE208B2"/>
    <w:name w:val="Anexo2"/>
    <w:lvl w:ilvl="0" w:tplc="8070EF18">
      <w:start w:val="1"/>
      <w:numFmt w:val="lowerLetter"/>
      <w:lvlText w:val="%1."/>
      <w:lvlJc w:val="left"/>
      <w:pPr>
        <w:ind w:left="502" w:hanging="360"/>
      </w:pPr>
    </w:lvl>
    <w:lvl w:ilvl="1" w:tplc="17AA29DE" w:tentative="1">
      <w:start w:val="1"/>
      <w:numFmt w:val="lowerLetter"/>
      <w:lvlText w:val="%2."/>
      <w:lvlJc w:val="left"/>
      <w:pPr>
        <w:ind w:left="2858" w:hanging="360"/>
      </w:pPr>
    </w:lvl>
    <w:lvl w:ilvl="2" w:tplc="997480CE" w:tentative="1">
      <w:start w:val="1"/>
      <w:numFmt w:val="lowerRoman"/>
      <w:lvlText w:val="%3."/>
      <w:lvlJc w:val="right"/>
      <w:pPr>
        <w:ind w:left="3578" w:hanging="180"/>
      </w:pPr>
    </w:lvl>
    <w:lvl w:ilvl="3" w:tplc="00D8DCA4" w:tentative="1">
      <w:start w:val="1"/>
      <w:numFmt w:val="decimal"/>
      <w:lvlText w:val="%4."/>
      <w:lvlJc w:val="left"/>
      <w:pPr>
        <w:ind w:left="4298" w:hanging="360"/>
      </w:pPr>
    </w:lvl>
    <w:lvl w:ilvl="4" w:tplc="0F605BA0" w:tentative="1">
      <w:start w:val="1"/>
      <w:numFmt w:val="lowerLetter"/>
      <w:lvlText w:val="%5."/>
      <w:lvlJc w:val="left"/>
      <w:pPr>
        <w:ind w:left="5018" w:hanging="360"/>
      </w:pPr>
    </w:lvl>
    <w:lvl w:ilvl="5" w:tplc="92C2C2B0" w:tentative="1">
      <w:start w:val="1"/>
      <w:numFmt w:val="lowerRoman"/>
      <w:lvlText w:val="%6."/>
      <w:lvlJc w:val="right"/>
      <w:pPr>
        <w:ind w:left="5738" w:hanging="180"/>
      </w:pPr>
    </w:lvl>
    <w:lvl w:ilvl="6" w:tplc="8C9EFB26" w:tentative="1">
      <w:start w:val="1"/>
      <w:numFmt w:val="decimal"/>
      <w:lvlText w:val="%7."/>
      <w:lvlJc w:val="left"/>
      <w:pPr>
        <w:ind w:left="6458" w:hanging="360"/>
      </w:pPr>
    </w:lvl>
    <w:lvl w:ilvl="7" w:tplc="71044500" w:tentative="1">
      <w:start w:val="1"/>
      <w:numFmt w:val="lowerLetter"/>
      <w:lvlText w:val="%8."/>
      <w:lvlJc w:val="left"/>
      <w:pPr>
        <w:ind w:left="7178" w:hanging="360"/>
      </w:pPr>
    </w:lvl>
    <w:lvl w:ilvl="8" w:tplc="947285C6" w:tentative="1">
      <w:start w:val="1"/>
      <w:numFmt w:val="lowerRoman"/>
      <w:lvlText w:val="%9."/>
      <w:lvlJc w:val="right"/>
      <w:pPr>
        <w:ind w:left="7898" w:hanging="180"/>
      </w:pPr>
    </w:lvl>
  </w:abstractNum>
  <w:abstractNum w:abstractNumId="25">
    <w:nsid w:val="6D330801"/>
    <w:multiLevelType w:val="hybridMultilevel"/>
    <w:tmpl w:val="1FCC1BDE"/>
    <w:lvl w:ilvl="0" w:tplc="A4828520">
      <w:start w:val="1"/>
      <w:numFmt w:val="none"/>
      <w:pStyle w:val="Estilo6"/>
      <w:lvlText w:val="a)"/>
      <w:lvlJc w:val="left"/>
      <w:pPr>
        <w:tabs>
          <w:tab w:val="num" w:pos="0"/>
        </w:tabs>
        <w:ind w:left="720" w:hanging="360"/>
      </w:pPr>
      <w:rPr>
        <w:rFonts w:hint="default"/>
      </w:rPr>
    </w:lvl>
    <w:lvl w:ilvl="1" w:tplc="87E6270A" w:tentative="1">
      <w:start w:val="1"/>
      <w:numFmt w:val="lowerLetter"/>
      <w:lvlText w:val="%2."/>
      <w:lvlJc w:val="left"/>
      <w:pPr>
        <w:ind w:left="1440" w:hanging="360"/>
      </w:pPr>
    </w:lvl>
    <w:lvl w:ilvl="2" w:tplc="3778458A" w:tentative="1">
      <w:start w:val="1"/>
      <w:numFmt w:val="lowerRoman"/>
      <w:lvlText w:val="%3."/>
      <w:lvlJc w:val="right"/>
      <w:pPr>
        <w:ind w:left="2160" w:hanging="180"/>
      </w:pPr>
    </w:lvl>
    <w:lvl w:ilvl="3" w:tplc="3C804B08" w:tentative="1">
      <w:start w:val="1"/>
      <w:numFmt w:val="decimal"/>
      <w:lvlText w:val="%4."/>
      <w:lvlJc w:val="left"/>
      <w:pPr>
        <w:ind w:left="2880" w:hanging="360"/>
      </w:pPr>
    </w:lvl>
    <w:lvl w:ilvl="4" w:tplc="FD76393E" w:tentative="1">
      <w:start w:val="1"/>
      <w:numFmt w:val="lowerLetter"/>
      <w:lvlText w:val="%5."/>
      <w:lvlJc w:val="left"/>
      <w:pPr>
        <w:ind w:left="3600" w:hanging="360"/>
      </w:pPr>
    </w:lvl>
    <w:lvl w:ilvl="5" w:tplc="668EF4D6" w:tentative="1">
      <w:start w:val="1"/>
      <w:numFmt w:val="lowerRoman"/>
      <w:lvlText w:val="%6."/>
      <w:lvlJc w:val="right"/>
      <w:pPr>
        <w:ind w:left="4320" w:hanging="180"/>
      </w:pPr>
    </w:lvl>
    <w:lvl w:ilvl="6" w:tplc="528C34FE" w:tentative="1">
      <w:start w:val="1"/>
      <w:numFmt w:val="decimal"/>
      <w:lvlText w:val="%7."/>
      <w:lvlJc w:val="left"/>
      <w:pPr>
        <w:ind w:left="5040" w:hanging="360"/>
      </w:pPr>
    </w:lvl>
    <w:lvl w:ilvl="7" w:tplc="808AC2B0" w:tentative="1">
      <w:start w:val="1"/>
      <w:numFmt w:val="lowerLetter"/>
      <w:lvlText w:val="%8."/>
      <w:lvlJc w:val="left"/>
      <w:pPr>
        <w:ind w:left="5760" w:hanging="360"/>
      </w:pPr>
    </w:lvl>
    <w:lvl w:ilvl="8" w:tplc="786C489E" w:tentative="1">
      <w:start w:val="1"/>
      <w:numFmt w:val="lowerRoman"/>
      <w:lvlText w:val="%9."/>
      <w:lvlJc w:val="right"/>
      <w:pPr>
        <w:ind w:left="6480" w:hanging="180"/>
      </w:pPr>
    </w:lvl>
  </w:abstractNum>
  <w:abstractNum w:abstractNumId="26">
    <w:nsid w:val="6D8F5AC7"/>
    <w:multiLevelType w:val="hybridMultilevel"/>
    <w:tmpl w:val="B8AE7016"/>
    <w:name w:val="WW8Num64232232"/>
    <w:lvl w:ilvl="0" w:tplc="03F8A176">
      <w:start w:val="1"/>
      <w:numFmt w:val="bullet"/>
      <w:lvlText w:val=""/>
      <w:lvlJc w:val="left"/>
      <w:pPr>
        <w:ind w:left="1724" w:hanging="360"/>
      </w:pPr>
      <w:rPr>
        <w:rFonts w:ascii="Wingdings" w:hAnsi="Wingdings" w:hint="default"/>
      </w:rPr>
    </w:lvl>
    <w:lvl w:ilvl="1" w:tplc="ACACB5C6" w:tentative="1">
      <w:start w:val="1"/>
      <w:numFmt w:val="lowerLetter"/>
      <w:lvlText w:val="%2."/>
      <w:lvlJc w:val="left"/>
      <w:pPr>
        <w:ind w:left="1440" w:hanging="360"/>
      </w:pPr>
    </w:lvl>
    <w:lvl w:ilvl="2" w:tplc="14E052F0" w:tentative="1">
      <w:start w:val="1"/>
      <w:numFmt w:val="lowerRoman"/>
      <w:lvlText w:val="%3."/>
      <w:lvlJc w:val="right"/>
      <w:pPr>
        <w:ind w:left="2160" w:hanging="180"/>
      </w:pPr>
    </w:lvl>
    <w:lvl w:ilvl="3" w:tplc="34C62036" w:tentative="1">
      <w:start w:val="1"/>
      <w:numFmt w:val="decimal"/>
      <w:lvlText w:val="%4."/>
      <w:lvlJc w:val="left"/>
      <w:pPr>
        <w:ind w:left="2880" w:hanging="360"/>
      </w:pPr>
    </w:lvl>
    <w:lvl w:ilvl="4" w:tplc="27566CD4" w:tentative="1">
      <w:start w:val="1"/>
      <w:numFmt w:val="lowerLetter"/>
      <w:lvlText w:val="%5."/>
      <w:lvlJc w:val="left"/>
      <w:pPr>
        <w:ind w:left="3600" w:hanging="360"/>
      </w:pPr>
    </w:lvl>
    <w:lvl w:ilvl="5" w:tplc="82CE9616" w:tentative="1">
      <w:start w:val="1"/>
      <w:numFmt w:val="lowerRoman"/>
      <w:lvlText w:val="%6."/>
      <w:lvlJc w:val="right"/>
      <w:pPr>
        <w:ind w:left="4320" w:hanging="180"/>
      </w:pPr>
    </w:lvl>
    <w:lvl w:ilvl="6" w:tplc="3EFA5434" w:tentative="1">
      <w:start w:val="1"/>
      <w:numFmt w:val="decimal"/>
      <w:lvlText w:val="%7."/>
      <w:lvlJc w:val="left"/>
      <w:pPr>
        <w:ind w:left="5040" w:hanging="360"/>
      </w:pPr>
    </w:lvl>
    <w:lvl w:ilvl="7" w:tplc="EADA3FD8" w:tentative="1">
      <w:start w:val="1"/>
      <w:numFmt w:val="lowerLetter"/>
      <w:lvlText w:val="%8."/>
      <w:lvlJc w:val="left"/>
      <w:pPr>
        <w:ind w:left="5760" w:hanging="360"/>
      </w:pPr>
    </w:lvl>
    <w:lvl w:ilvl="8" w:tplc="B1688F80" w:tentative="1">
      <w:start w:val="1"/>
      <w:numFmt w:val="lowerRoman"/>
      <w:lvlText w:val="%9."/>
      <w:lvlJc w:val="right"/>
      <w:pPr>
        <w:ind w:left="6480" w:hanging="180"/>
      </w:pPr>
    </w:lvl>
  </w:abstractNum>
  <w:abstractNum w:abstractNumId="27">
    <w:nsid w:val="72E475B7"/>
    <w:multiLevelType w:val="hybridMultilevel"/>
    <w:tmpl w:val="CD3E58BE"/>
    <w:lvl w:ilvl="0" w:tplc="FC40F08C">
      <w:start w:val="1"/>
      <w:numFmt w:val="bullet"/>
      <w:lvlText w:val="-"/>
      <w:lvlJc w:val="left"/>
      <w:pPr>
        <w:ind w:left="927" w:hanging="360"/>
      </w:pPr>
      <w:rPr>
        <w:rFonts w:ascii="Bookman Old Style" w:eastAsia="Times New Roman" w:hAnsi="Bookman Old Style"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8">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CFF10CD"/>
    <w:multiLevelType w:val="multilevel"/>
    <w:tmpl w:val="5036A0A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D236F0B"/>
    <w:multiLevelType w:val="hybridMultilevel"/>
    <w:tmpl w:val="6F163D5C"/>
    <w:lvl w:ilvl="0" w:tplc="240A000F">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nsid w:val="7F566188"/>
    <w:multiLevelType w:val="hybridMultilevel"/>
    <w:tmpl w:val="BA5497B4"/>
    <w:name w:val="WW8Num64232222222"/>
    <w:lvl w:ilvl="0" w:tplc="C9020232">
      <w:start w:val="1"/>
      <w:numFmt w:val="decimal"/>
      <w:lvlText w:val="%1."/>
      <w:lvlJc w:val="left"/>
      <w:pPr>
        <w:ind w:left="720" w:hanging="360"/>
      </w:pPr>
      <w:rPr>
        <w:rFonts w:hint="default"/>
      </w:rPr>
    </w:lvl>
    <w:lvl w:ilvl="1" w:tplc="9386FF42" w:tentative="1">
      <w:start w:val="1"/>
      <w:numFmt w:val="lowerLetter"/>
      <w:lvlText w:val="%2."/>
      <w:lvlJc w:val="left"/>
      <w:pPr>
        <w:ind w:left="1440" w:hanging="360"/>
      </w:pPr>
    </w:lvl>
    <w:lvl w:ilvl="2" w:tplc="4146AF84" w:tentative="1">
      <w:start w:val="1"/>
      <w:numFmt w:val="lowerRoman"/>
      <w:lvlText w:val="%3."/>
      <w:lvlJc w:val="right"/>
      <w:pPr>
        <w:ind w:left="2160" w:hanging="180"/>
      </w:pPr>
    </w:lvl>
    <w:lvl w:ilvl="3" w:tplc="106083A4" w:tentative="1">
      <w:start w:val="1"/>
      <w:numFmt w:val="decimal"/>
      <w:lvlText w:val="%4."/>
      <w:lvlJc w:val="left"/>
      <w:pPr>
        <w:ind w:left="2880" w:hanging="360"/>
      </w:pPr>
    </w:lvl>
    <w:lvl w:ilvl="4" w:tplc="C7A6D284" w:tentative="1">
      <w:start w:val="1"/>
      <w:numFmt w:val="lowerLetter"/>
      <w:lvlText w:val="%5."/>
      <w:lvlJc w:val="left"/>
      <w:pPr>
        <w:ind w:left="3600" w:hanging="360"/>
      </w:pPr>
    </w:lvl>
    <w:lvl w:ilvl="5" w:tplc="9A86B37E" w:tentative="1">
      <w:start w:val="1"/>
      <w:numFmt w:val="lowerRoman"/>
      <w:lvlText w:val="%6."/>
      <w:lvlJc w:val="right"/>
      <w:pPr>
        <w:ind w:left="4320" w:hanging="180"/>
      </w:pPr>
    </w:lvl>
    <w:lvl w:ilvl="6" w:tplc="5568CA96" w:tentative="1">
      <w:start w:val="1"/>
      <w:numFmt w:val="decimal"/>
      <w:lvlText w:val="%7."/>
      <w:lvlJc w:val="left"/>
      <w:pPr>
        <w:ind w:left="5040" w:hanging="360"/>
      </w:pPr>
    </w:lvl>
    <w:lvl w:ilvl="7" w:tplc="8F0C350E" w:tentative="1">
      <w:start w:val="1"/>
      <w:numFmt w:val="lowerLetter"/>
      <w:lvlText w:val="%8."/>
      <w:lvlJc w:val="left"/>
      <w:pPr>
        <w:ind w:left="5760" w:hanging="360"/>
      </w:pPr>
    </w:lvl>
    <w:lvl w:ilvl="8" w:tplc="D9343EF8" w:tentative="1">
      <w:start w:val="1"/>
      <w:numFmt w:val="lowerRoman"/>
      <w:lvlText w:val="%9."/>
      <w:lvlJc w:val="right"/>
      <w:pPr>
        <w:ind w:left="6480" w:hanging="180"/>
      </w:pPr>
    </w:lvl>
  </w:abstractNum>
  <w:num w:numId="1">
    <w:abstractNumId w:val="15"/>
  </w:num>
  <w:num w:numId="2">
    <w:abstractNumId w:val="16"/>
  </w:num>
  <w:num w:numId="3">
    <w:abstractNumId w:val="0"/>
  </w:num>
  <w:num w:numId="4">
    <w:abstractNumId w:val="1"/>
  </w:num>
  <w:num w:numId="5">
    <w:abstractNumId w:val="23"/>
  </w:num>
  <w:num w:numId="6">
    <w:abstractNumId w:val="2"/>
  </w:num>
  <w:num w:numId="7">
    <w:abstractNumId w:val="25"/>
    <w:lvlOverride w:ilvl="0">
      <w:startOverride w:val="1"/>
    </w:lvlOverride>
  </w:num>
  <w:num w:numId="8">
    <w:abstractNumId w:val="20"/>
  </w:num>
  <w:num w:numId="9">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8"/>
  </w:num>
  <w:num w:numId="12">
    <w:abstractNumId w:val="12"/>
  </w:num>
  <w:num w:numId="13">
    <w:abstractNumId w:val="19"/>
  </w:num>
  <w:num w:numId="14">
    <w:abstractNumId w:val="22"/>
  </w:num>
  <w:num w:numId="15">
    <w:abstractNumId w:val="11"/>
  </w:num>
  <w:num w:numId="16">
    <w:abstractNumId w:val="13"/>
  </w:num>
  <w:num w:numId="17">
    <w:abstractNumId w:val="9"/>
  </w:num>
  <w:num w:numId="18">
    <w:abstractNumId w:val="4"/>
  </w:num>
  <w:num w:numId="19">
    <w:abstractNumId w:val="29"/>
  </w:num>
  <w:num w:numId="20">
    <w:abstractNumId w:val="14"/>
  </w:num>
  <w:num w:numId="21">
    <w:abstractNumId w:val="30"/>
  </w:num>
  <w:num w:numId="22">
    <w:abstractNumId w:val="27"/>
  </w:num>
  <w:num w:numId="23">
    <w:abstractNumId w:val="17"/>
  </w:num>
  <w:num w:numId="24">
    <w:abstractNumId w:val="8"/>
  </w:num>
  <w:num w:numId="25">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32C2"/>
    <w:rsid w:val="00045697"/>
    <w:rsid w:val="00046413"/>
    <w:rsid w:val="00063120"/>
    <w:rsid w:val="00063657"/>
    <w:rsid w:val="00074273"/>
    <w:rsid w:val="00076680"/>
    <w:rsid w:val="0008073E"/>
    <w:rsid w:val="000847DF"/>
    <w:rsid w:val="00084EA5"/>
    <w:rsid w:val="00091CDB"/>
    <w:rsid w:val="00097E20"/>
    <w:rsid w:val="000A19AC"/>
    <w:rsid w:val="000A3E48"/>
    <w:rsid w:val="000B3FE6"/>
    <w:rsid w:val="000C30C3"/>
    <w:rsid w:val="000D1602"/>
    <w:rsid w:val="000D26F8"/>
    <w:rsid w:val="000D425F"/>
    <w:rsid w:val="000D5C38"/>
    <w:rsid w:val="000E7B4C"/>
    <w:rsid w:val="000F78D2"/>
    <w:rsid w:val="00104E83"/>
    <w:rsid w:val="00106323"/>
    <w:rsid w:val="00110CC4"/>
    <w:rsid w:val="00120489"/>
    <w:rsid w:val="001231A4"/>
    <w:rsid w:val="001319BD"/>
    <w:rsid w:val="00134A58"/>
    <w:rsid w:val="0013774E"/>
    <w:rsid w:val="001405C6"/>
    <w:rsid w:val="00141013"/>
    <w:rsid w:val="00177666"/>
    <w:rsid w:val="00183613"/>
    <w:rsid w:val="00183AB8"/>
    <w:rsid w:val="00190722"/>
    <w:rsid w:val="0019162B"/>
    <w:rsid w:val="00192CBF"/>
    <w:rsid w:val="00192FF1"/>
    <w:rsid w:val="00193AFD"/>
    <w:rsid w:val="001A0FBC"/>
    <w:rsid w:val="001A5F1B"/>
    <w:rsid w:val="001B1C22"/>
    <w:rsid w:val="001B231A"/>
    <w:rsid w:val="001B34C6"/>
    <w:rsid w:val="001C5813"/>
    <w:rsid w:val="001D7832"/>
    <w:rsid w:val="001F2313"/>
    <w:rsid w:val="001F5268"/>
    <w:rsid w:val="001F6EE4"/>
    <w:rsid w:val="00205145"/>
    <w:rsid w:val="00211D34"/>
    <w:rsid w:val="00214F04"/>
    <w:rsid w:val="0021658F"/>
    <w:rsid w:val="00231A93"/>
    <w:rsid w:val="00235E85"/>
    <w:rsid w:val="00236966"/>
    <w:rsid w:val="00242BDB"/>
    <w:rsid w:val="00247088"/>
    <w:rsid w:val="00247D60"/>
    <w:rsid w:val="0026627F"/>
    <w:rsid w:val="00266CD6"/>
    <w:rsid w:val="00272975"/>
    <w:rsid w:val="00275DAB"/>
    <w:rsid w:val="00283B40"/>
    <w:rsid w:val="00287F6A"/>
    <w:rsid w:val="002B11E2"/>
    <w:rsid w:val="002B24B8"/>
    <w:rsid w:val="002C04BB"/>
    <w:rsid w:val="002C19AF"/>
    <w:rsid w:val="002D3AE9"/>
    <w:rsid w:val="002D4440"/>
    <w:rsid w:val="002D4510"/>
    <w:rsid w:val="002D589B"/>
    <w:rsid w:val="002F0734"/>
    <w:rsid w:val="002F46E7"/>
    <w:rsid w:val="003101DA"/>
    <w:rsid w:val="00314757"/>
    <w:rsid w:val="00315165"/>
    <w:rsid w:val="003211CE"/>
    <w:rsid w:val="00337C29"/>
    <w:rsid w:val="00341F46"/>
    <w:rsid w:val="0035403A"/>
    <w:rsid w:val="00357B32"/>
    <w:rsid w:val="0036394B"/>
    <w:rsid w:val="00364F4B"/>
    <w:rsid w:val="003665E8"/>
    <w:rsid w:val="00367C1C"/>
    <w:rsid w:val="003709B5"/>
    <w:rsid w:val="003759C2"/>
    <w:rsid w:val="003867CF"/>
    <w:rsid w:val="00386819"/>
    <w:rsid w:val="003959F5"/>
    <w:rsid w:val="00397322"/>
    <w:rsid w:val="00397365"/>
    <w:rsid w:val="003A31F6"/>
    <w:rsid w:val="003A6BB4"/>
    <w:rsid w:val="003C06F5"/>
    <w:rsid w:val="003C3447"/>
    <w:rsid w:val="003D076C"/>
    <w:rsid w:val="003D09CE"/>
    <w:rsid w:val="003D4A07"/>
    <w:rsid w:val="003E7AC8"/>
    <w:rsid w:val="003E7D1D"/>
    <w:rsid w:val="003F0BE7"/>
    <w:rsid w:val="003F1903"/>
    <w:rsid w:val="00400866"/>
    <w:rsid w:val="004079CE"/>
    <w:rsid w:val="00415BAB"/>
    <w:rsid w:val="00415ED2"/>
    <w:rsid w:val="00416B7D"/>
    <w:rsid w:val="0042068C"/>
    <w:rsid w:val="00423CDB"/>
    <w:rsid w:val="00430593"/>
    <w:rsid w:val="00450ECB"/>
    <w:rsid w:val="004528FC"/>
    <w:rsid w:val="0045778F"/>
    <w:rsid w:val="00463178"/>
    <w:rsid w:val="0046599E"/>
    <w:rsid w:val="0047122B"/>
    <w:rsid w:val="00473B7A"/>
    <w:rsid w:val="00485389"/>
    <w:rsid w:val="004960E9"/>
    <w:rsid w:val="004A2E88"/>
    <w:rsid w:val="004A5305"/>
    <w:rsid w:val="004B098C"/>
    <w:rsid w:val="004B7012"/>
    <w:rsid w:val="004C2483"/>
    <w:rsid w:val="004D7634"/>
    <w:rsid w:val="004E4726"/>
    <w:rsid w:val="004E59A0"/>
    <w:rsid w:val="004E6A11"/>
    <w:rsid w:val="005030C9"/>
    <w:rsid w:val="00503503"/>
    <w:rsid w:val="005155E3"/>
    <w:rsid w:val="00515FC8"/>
    <w:rsid w:val="00523FC3"/>
    <w:rsid w:val="00526E32"/>
    <w:rsid w:val="005300D3"/>
    <w:rsid w:val="00530723"/>
    <w:rsid w:val="00532211"/>
    <w:rsid w:val="00532BFD"/>
    <w:rsid w:val="00537ED5"/>
    <w:rsid w:val="00544F82"/>
    <w:rsid w:val="00551731"/>
    <w:rsid w:val="005641C4"/>
    <w:rsid w:val="005709AE"/>
    <w:rsid w:val="00571C1E"/>
    <w:rsid w:val="0057262F"/>
    <w:rsid w:val="00572A75"/>
    <w:rsid w:val="005753C0"/>
    <w:rsid w:val="00584DAF"/>
    <w:rsid w:val="005853E9"/>
    <w:rsid w:val="00585620"/>
    <w:rsid w:val="00593AF9"/>
    <w:rsid w:val="00593C4F"/>
    <w:rsid w:val="005946A8"/>
    <w:rsid w:val="0059698F"/>
    <w:rsid w:val="005A32F7"/>
    <w:rsid w:val="005A4407"/>
    <w:rsid w:val="005A59EF"/>
    <w:rsid w:val="005B03E9"/>
    <w:rsid w:val="005B3531"/>
    <w:rsid w:val="005B52BC"/>
    <w:rsid w:val="005B72DC"/>
    <w:rsid w:val="005B78F3"/>
    <w:rsid w:val="005C39BB"/>
    <w:rsid w:val="005C6EB9"/>
    <w:rsid w:val="005D4479"/>
    <w:rsid w:val="005D6BA7"/>
    <w:rsid w:val="005F39A0"/>
    <w:rsid w:val="005F6B9C"/>
    <w:rsid w:val="0060140E"/>
    <w:rsid w:val="0060483C"/>
    <w:rsid w:val="00614643"/>
    <w:rsid w:val="0062175F"/>
    <w:rsid w:val="00625DC6"/>
    <w:rsid w:val="00626B92"/>
    <w:rsid w:val="00634719"/>
    <w:rsid w:val="00634FC7"/>
    <w:rsid w:val="00636915"/>
    <w:rsid w:val="00637B9D"/>
    <w:rsid w:val="006405F6"/>
    <w:rsid w:val="00651821"/>
    <w:rsid w:val="00654384"/>
    <w:rsid w:val="00655713"/>
    <w:rsid w:val="00666C5D"/>
    <w:rsid w:val="006675CD"/>
    <w:rsid w:val="00684D9B"/>
    <w:rsid w:val="0068626D"/>
    <w:rsid w:val="00697556"/>
    <w:rsid w:val="006A62A2"/>
    <w:rsid w:val="006A7EFA"/>
    <w:rsid w:val="006B1D5B"/>
    <w:rsid w:val="006B3EB8"/>
    <w:rsid w:val="006B4C2B"/>
    <w:rsid w:val="006B6A26"/>
    <w:rsid w:val="006B6D47"/>
    <w:rsid w:val="006E2A86"/>
    <w:rsid w:val="006E409A"/>
    <w:rsid w:val="006F4ACA"/>
    <w:rsid w:val="006F6D95"/>
    <w:rsid w:val="00703F27"/>
    <w:rsid w:val="00706F13"/>
    <w:rsid w:val="007072E8"/>
    <w:rsid w:val="00707774"/>
    <w:rsid w:val="0071618D"/>
    <w:rsid w:val="007229E9"/>
    <w:rsid w:val="00725FA4"/>
    <w:rsid w:val="0073352A"/>
    <w:rsid w:val="00740446"/>
    <w:rsid w:val="00742718"/>
    <w:rsid w:val="007438A9"/>
    <w:rsid w:val="0074491E"/>
    <w:rsid w:val="00775964"/>
    <w:rsid w:val="00785B17"/>
    <w:rsid w:val="00787A72"/>
    <w:rsid w:val="00795BFB"/>
    <w:rsid w:val="007A16ED"/>
    <w:rsid w:val="007A5AF7"/>
    <w:rsid w:val="007B0D28"/>
    <w:rsid w:val="007B1F82"/>
    <w:rsid w:val="007B2760"/>
    <w:rsid w:val="007D561B"/>
    <w:rsid w:val="007E66FE"/>
    <w:rsid w:val="007F4155"/>
    <w:rsid w:val="007F6336"/>
    <w:rsid w:val="008020AA"/>
    <w:rsid w:val="00802249"/>
    <w:rsid w:val="00806C01"/>
    <w:rsid w:val="008122F2"/>
    <w:rsid w:val="008148CC"/>
    <w:rsid w:val="008211A4"/>
    <w:rsid w:val="00822DFD"/>
    <w:rsid w:val="00840EE8"/>
    <w:rsid w:val="008475AF"/>
    <w:rsid w:val="008528C2"/>
    <w:rsid w:val="00856DF7"/>
    <w:rsid w:val="00863F5D"/>
    <w:rsid w:val="00866B76"/>
    <w:rsid w:val="00873150"/>
    <w:rsid w:val="0087657D"/>
    <w:rsid w:val="008807D5"/>
    <w:rsid w:val="00880832"/>
    <w:rsid w:val="00884994"/>
    <w:rsid w:val="00886EE1"/>
    <w:rsid w:val="0088727D"/>
    <w:rsid w:val="00892A8E"/>
    <w:rsid w:val="00894974"/>
    <w:rsid w:val="00897C75"/>
    <w:rsid w:val="008B380F"/>
    <w:rsid w:val="008C1130"/>
    <w:rsid w:val="008C5294"/>
    <w:rsid w:val="008D18E6"/>
    <w:rsid w:val="008D7A9B"/>
    <w:rsid w:val="008E76AC"/>
    <w:rsid w:val="008F21F6"/>
    <w:rsid w:val="00904826"/>
    <w:rsid w:val="00922208"/>
    <w:rsid w:val="00922DDA"/>
    <w:rsid w:val="00930732"/>
    <w:rsid w:val="009307EE"/>
    <w:rsid w:val="00941289"/>
    <w:rsid w:val="00943185"/>
    <w:rsid w:val="009519A5"/>
    <w:rsid w:val="00951F79"/>
    <w:rsid w:val="0095276B"/>
    <w:rsid w:val="00953D29"/>
    <w:rsid w:val="00954675"/>
    <w:rsid w:val="00966F8B"/>
    <w:rsid w:val="00974AB5"/>
    <w:rsid w:val="00980D19"/>
    <w:rsid w:val="00985EF3"/>
    <w:rsid w:val="0098706D"/>
    <w:rsid w:val="009935FB"/>
    <w:rsid w:val="009A15E6"/>
    <w:rsid w:val="009A65FA"/>
    <w:rsid w:val="009B5E3F"/>
    <w:rsid w:val="009D2739"/>
    <w:rsid w:val="009E245F"/>
    <w:rsid w:val="009F4A54"/>
    <w:rsid w:val="009F4BEC"/>
    <w:rsid w:val="00A10A76"/>
    <w:rsid w:val="00A11754"/>
    <w:rsid w:val="00A17728"/>
    <w:rsid w:val="00A215FB"/>
    <w:rsid w:val="00A25FD7"/>
    <w:rsid w:val="00A43AFF"/>
    <w:rsid w:val="00A446A0"/>
    <w:rsid w:val="00A56FF9"/>
    <w:rsid w:val="00A6519E"/>
    <w:rsid w:val="00A7793A"/>
    <w:rsid w:val="00A800AB"/>
    <w:rsid w:val="00A871A2"/>
    <w:rsid w:val="00A93925"/>
    <w:rsid w:val="00AA049F"/>
    <w:rsid w:val="00AA369F"/>
    <w:rsid w:val="00AA4711"/>
    <w:rsid w:val="00AB36E2"/>
    <w:rsid w:val="00AB6CA7"/>
    <w:rsid w:val="00AC2EFA"/>
    <w:rsid w:val="00AC5B83"/>
    <w:rsid w:val="00AD01E4"/>
    <w:rsid w:val="00AD0858"/>
    <w:rsid w:val="00AD3FB6"/>
    <w:rsid w:val="00AE7340"/>
    <w:rsid w:val="00AF1BBD"/>
    <w:rsid w:val="00B05441"/>
    <w:rsid w:val="00B10207"/>
    <w:rsid w:val="00B141E7"/>
    <w:rsid w:val="00B14301"/>
    <w:rsid w:val="00B2564B"/>
    <w:rsid w:val="00B27317"/>
    <w:rsid w:val="00B349EE"/>
    <w:rsid w:val="00B351B4"/>
    <w:rsid w:val="00B40503"/>
    <w:rsid w:val="00B430DD"/>
    <w:rsid w:val="00B46BCA"/>
    <w:rsid w:val="00B704EB"/>
    <w:rsid w:val="00B7584F"/>
    <w:rsid w:val="00B75EF0"/>
    <w:rsid w:val="00B774E9"/>
    <w:rsid w:val="00B777AA"/>
    <w:rsid w:val="00B82006"/>
    <w:rsid w:val="00B85247"/>
    <w:rsid w:val="00B87806"/>
    <w:rsid w:val="00B87EC9"/>
    <w:rsid w:val="00B9388A"/>
    <w:rsid w:val="00BC38FD"/>
    <w:rsid w:val="00BE0099"/>
    <w:rsid w:val="00C031B9"/>
    <w:rsid w:val="00C034CB"/>
    <w:rsid w:val="00C051A8"/>
    <w:rsid w:val="00C054BC"/>
    <w:rsid w:val="00C14491"/>
    <w:rsid w:val="00C17897"/>
    <w:rsid w:val="00C230AD"/>
    <w:rsid w:val="00C409D5"/>
    <w:rsid w:val="00C435C3"/>
    <w:rsid w:val="00C4684A"/>
    <w:rsid w:val="00C5133A"/>
    <w:rsid w:val="00C5276F"/>
    <w:rsid w:val="00C57780"/>
    <w:rsid w:val="00C609DD"/>
    <w:rsid w:val="00C6234B"/>
    <w:rsid w:val="00C63EAE"/>
    <w:rsid w:val="00C7629F"/>
    <w:rsid w:val="00C8661B"/>
    <w:rsid w:val="00C87CB2"/>
    <w:rsid w:val="00C90A37"/>
    <w:rsid w:val="00CA05CA"/>
    <w:rsid w:val="00CA139A"/>
    <w:rsid w:val="00CA2899"/>
    <w:rsid w:val="00CA77FB"/>
    <w:rsid w:val="00CB379B"/>
    <w:rsid w:val="00CB5DD0"/>
    <w:rsid w:val="00CC1A43"/>
    <w:rsid w:val="00CC28B0"/>
    <w:rsid w:val="00CC3F4D"/>
    <w:rsid w:val="00CC51D4"/>
    <w:rsid w:val="00CC65DA"/>
    <w:rsid w:val="00CC6ACA"/>
    <w:rsid w:val="00CD3B55"/>
    <w:rsid w:val="00CD4941"/>
    <w:rsid w:val="00CD5F2A"/>
    <w:rsid w:val="00CE41FF"/>
    <w:rsid w:val="00CF21B9"/>
    <w:rsid w:val="00CF6BF9"/>
    <w:rsid w:val="00CF7048"/>
    <w:rsid w:val="00D03800"/>
    <w:rsid w:val="00D05562"/>
    <w:rsid w:val="00D065D3"/>
    <w:rsid w:val="00D144C9"/>
    <w:rsid w:val="00D14C94"/>
    <w:rsid w:val="00D1611A"/>
    <w:rsid w:val="00D247A9"/>
    <w:rsid w:val="00D27FBA"/>
    <w:rsid w:val="00D342A6"/>
    <w:rsid w:val="00D464BF"/>
    <w:rsid w:val="00D53586"/>
    <w:rsid w:val="00D53E26"/>
    <w:rsid w:val="00D6285E"/>
    <w:rsid w:val="00D62B41"/>
    <w:rsid w:val="00D81214"/>
    <w:rsid w:val="00D9344A"/>
    <w:rsid w:val="00D9569E"/>
    <w:rsid w:val="00D95C1D"/>
    <w:rsid w:val="00DA2B25"/>
    <w:rsid w:val="00DA362F"/>
    <w:rsid w:val="00DB0E08"/>
    <w:rsid w:val="00DC29E4"/>
    <w:rsid w:val="00DC2B43"/>
    <w:rsid w:val="00DC3A56"/>
    <w:rsid w:val="00DC6634"/>
    <w:rsid w:val="00DC6F4A"/>
    <w:rsid w:val="00DD4F0E"/>
    <w:rsid w:val="00DF7454"/>
    <w:rsid w:val="00E05E0A"/>
    <w:rsid w:val="00E12427"/>
    <w:rsid w:val="00E151C1"/>
    <w:rsid w:val="00E15805"/>
    <w:rsid w:val="00E22F2E"/>
    <w:rsid w:val="00E32DDE"/>
    <w:rsid w:val="00E5289F"/>
    <w:rsid w:val="00E534CF"/>
    <w:rsid w:val="00E66F3A"/>
    <w:rsid w:val="00E731D0"/>
    <w:rsid w:val="00E77BEA"/>
    <w:rsid w:val="00E81CB4"/>
    <w:rsid w:val="00E8585B"/>
    <w:rsid w:val="00E94DD1"/>
    <w:rsid w:val="00EA3F15"/>
    <w:rsid w:val="00EA7298"/>
    <w:rsid w:val="00EA7847"/>
    <w:rsid w:val="00EB1A5C"/>
    <w:rsid w:val="00ED5AE6"/>
    <w:rsid w:val="00EE22F9"/>
    <w:rsid w:val="00EE2E6E"/>
    <w:rsid w:val="00F07014"/>
    <w:rsid w:val="00F0759E"/>
    <w:rsid w:val="00F41386"/>
    <w:rsid w:val="00F449C2"/>
    <w:rsid w:val="00F5651A"/>
    <w:rsid w:val="00F66AD2"/>
    <w:rsid w:val="00F8063D"/>
    <w:rsid w:val="00F816DE"/>
    <w:rsid w:val="00F821A3"/>
    <w:rsid w:val="00F85B7C"/>
    <w:rsid w:val="00F86F50"/>
    <w:rsid w:val="00F919A8"/>
    <w:rsid w:val="00F9314A"/>
    <w:rsid w:val="00F974D3"/>
    <w:rsid w:val="00FC58EF"/>
    <w:rsid w:val="00FD33DF"/>
    <w:rsid w:val="00FE39D7"/>
    <w:rsid w:val="00FF2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Título 1 Car Car,Título 1 Car Car Car Car,Título 1 Car Car Car Car Car Car Car Car Car Car Car Car Car Car Car Car Car Car Car Car Car Car Car Car Car,Edgar 1, Car, Car Char Char, Char Char Char Char, Char Char,Car,Car Char Char"/>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Edgar 2,ING-PORCE III (T2),Título 2 Car3,Título 2 Car2 Car1,Título 2 Car Car1 Car1,Título 2 Car1 Car Car Car1,Título 2 Car Car Car Car Car1,Título 2 Car1 Car1 Car1,Título 2 Car Car Car1 Car1,2 2 Car Car Car,Título 2 Car Car2,Título 2 Car2"/>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aliases w:val="Edgar 3,Título 3 Car1,Título 3 Car Car,Título 3 Car Car Car Car,JAVIER3 Car"/>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ítulo 4 Car1,Edgar 4,JAVIER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aliases w:val="Edgar 3 Car,Título 3 Car1 Car,Título 3 Car Car Car,Título 3 Car Car Car Car Car,JAVIER3 Car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aliases w:val="Título 4 Car1 Car,Edgar 4 Car,JAVIER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Edgar 2 Car,ING-PORCE III (T2) Car,Título 2 Car3 Car,Título 2 Car2 Car1 Car,Título 2 Car Car1 Car1 Car,Título 2 Car1 Car Car Car1 Car,Título 2 Car Car Car Car Car1 Car,Título 2 Car1 Car1 Car1 Car,Título 2 Car Car Car1 Car1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aliases w:val="Título 1 Car Car Car,Título 1 Car Car Car Car Car,Título 1 Car Car Car Car Car Car Car Car Car Car Car Car Car Car Car Car Car Car Car Car Car Car Car Car Car Car,Edgar 1 Car, Car Car, Car Char Char Car, Char Char Char Char Car,Car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7"/>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Título 1 Car Car,Título 1 Car Car Car Car,Título 1 Car Car Car Car Car Car Car Car Car Car Car Car Car Car Car Car Car Car Car Car Car Car Car Car Car,Edgar 1, Car, Car Char Char, Char Char Char Char, Char Char,Car,Car Char Char"/>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Edgar 2,ING-PORCE III (T2),Título 2 Car3,Título 2 Car2 Car1,Título 2 Car Car1 Car1,Título 2 Car1 Car Car Car1,Título 2 Car Car Car Car Car1,Título 2 Car1 Car1 Car1,Título 2 Car Car Car1 Car1,2 2 Car Car Car,Título 2 Car Car2,Título 2 Car2"/>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aliases w:val="Edgar 3,Título 3 Car1,Título 3 Car Car,Título 3 Car Car Car Car,JAVIER3 Car"/>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ítulo 4 Car1,Edgar 4,JAVIER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aliases w:val="Edgar 3 Car,Título 3 Car1 Car,Título 3 Car Car Car,Título 3 Car Car Car Car Car,JAVIER3 Car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aliases w:val="Título 4 Car1 Car,Edgar 4 Car,JAVIER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Edgar 2 Car,ING-PORCE III (T2) Car,Título 2 Car3 Car,Título 2 Car2 Car1 Car,Título 2 Car Car1 Car1 Car,Título 2 Car1 Car Car Car1 Car,Título 2 Car Car Car Car Car1 Car,Título 2 Car1 Car1 Car1 Car,Título 2 Car Car Car1 Car1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aliases w:val="Título 1 Car Car Car,Título 1 Car Car Car Car Car,Título 1 Car Car Car Car Car Car Car Car Car Car Car Car Car Car Car Car Car Car Car Car Car Car Car Car Car Car,Edgar 1 Car, Car Car, Car Char Char Car, Char Char Char Char Car,Car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7"/>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435">
      <w:bodyDiv w:val="1"/>
      <w:marLeft w:val="0"/>
      <w:marRight w:val="0"/>
      <w:marTop w:val="0"/>
      <w:marBottom w:val="0"/>
      <w:divBdr>
        <w:top w:val="none" w:sz="0" w:space="0" w:color="auto"/>
        <w:left w:val="none" w:sz="0" w:space="0" w:color="auto"/>
        <w:bottom w:val="none" w:sz="0" w:space="0" w:color="auto"/>
        <w:right w:val="none" w:sz="0" w:space="0" w:color="auto"/>
      </w:divBdr>
    </w:div>
    <w:div w:id="261377792">
      <w:bodyDiv w:val="1"/>
      <w:marLeft w:val="0"/>
      <w:marRight w:val="0"/>
      <w:marTop w:val="0"/>
      <w:marBottom w:val="0"/>
      <w:divBdr>
        <w:top w:val="none" w:sz="0" w:space="0" w:color="auto"/>
        <w:left w:val="none" w:sz="0" w:space="0" w:color="auto"/>
        <w:bottom w:val="none" w:sz="0" w:space="0" w:color="auto"/>
        <w:right w:val="none" w:sz="0" w:space="0" w:color="auto"/>
      </w:divBdr>
    </w:div>
    <w:div w:id="429395610">
      <w:bodyDiv w:val="1"/>
      <w:marLeft w:val="0"/>
      <w:marRight w:val="0"/>
      <w:marTop w:val="0"/>
      <w:marBottom w:val="0"/>
      <w:divBdr>
        <w:top w:val="none" w:sz="0" w:space="0" w:color="auto"/>
        <w:left w:val="none" w:sz="0" w:space="0" w:color="auto"/>
        <w:bottom w:val="none" w:sz="0" w:space="0" w:color="auto"/>
        <w:right w:val="none" w:sz="0" w:space="0" w:color="auto"/>
      </w:divBdr>
    </w:div>
    <w:div w:id="80373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0E5C6-BE57-4638-9DBD-BAB6FF84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14</Pages>
  <Words>5155</Words>
  <Characters>28355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2011-04-11T15:37:00Z</cp:lastPrinted>
  <dcterms:created xsi:type="dcterms:W3CDTF">2011-04-26T17:02:00Z</dcterms:created>
  <dcterms:modified xsi:type="dcterms:W3CDTF">2011-04-26T17:02:00Z</dcterms:modified>
</cp:coreProperties>
</file>