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AD13" w14:textId="4FDC8A1D" w:rsidR="009776A9" w:rsidRPr="00110519" w:rsidRDefault="006D7A3E" w:rsidP="009776A9">
      <w:pPr>
        <w:ind w:left="2124" w:firstLine="708"/>
        <w:rPr>
          <w:rFonts w:ascii="Bookman Old Style" w:hAnsi="Bookman Old Style"/>
        </w:rPr>
      </w:pPr>
      <w:r>
        <w:rPr>
          <w:rFonts w:ascii="Bookman Old Style" w:hAnsi="Bookman Old Style"/>
          <w:noProof/>
        </w:rPr>
        <w:object w:dxaOrig="1440" w:dyaOrig="1440" w14:anchorId="216EA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8.85pt;width:52.55pt;height:48.8pt;z-index:251659264" fillcolor="#0c9">
            <v:imagedata r:id="rId8" o:title=""/>
          </v:shape>
          <o:OLEObject Type="Embed" ProgID="PBrush" ShapeID="_x0000_s2050" DrawAspect="Content" ObjectID="_1711960979" r:id="rId9"/>
        </w:object>
      </w:r>
      <w:r w:rsidR="009776A9" w:rsidRPr="00110519">
        <w:rPr>
          <w:rFonts w:ascii="Bookman Old Style" w:hAnsi="Bookman Old Style"/>
        </w:rPr>
        <w:t>Ministerio de Minas y Energía</w:t>
      </w:r>
    </w:p>
    <w:p w14:paraId="216EAD14" w14:textId="77777777" w:rsidR="009776A9" w:rsidRPr="00110519" w:rsidRDefault="009776A9" w:rsidP="009776A9">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216EAD15" w14:textId="77777777" w:rsidR="009776A9" w:rsidRPr="00110519" w:rsidRDefault="009776A9" w:rsidP="009776A9">
      <w:pPr>
        <w:widowControl w:val="0"/>
        <w:ind w:left="0"/>
        <w:jc w:val="center"/>
        <w:rPr>
          <w:rFonts w:ascii="Bookman Old Style" w:hAnsi="Bookman Old Style"/>
          <w:b/>
        </w:rPr>
      </w:pPr>
      <w:r w:rsidRPr="00110519">
        <w:rPr>
          <w:rFonts w:ascii="Bookman Old Style" w:hAnsi="Bookman Old Style"/>
          <w:b/>
        </w:rPr>
        <w:t>COMISIÓN DE REGULACIÓN DE ENERGÍA Y GAS</w:t>
      </w:r>
    </w:p>
    <w:p w14:paraId="216EAD16" w14:textId="0170DBAD" w:rsidR="009776A9" w:rsidRPr="00110519" w:rsidRDefault="009776A9" w:rsidP="009776A9">
      <w:pPr>
        <w:widowControl w:val="0"/>
        <w:rPr>
          <w:rFonts w:ascii="Bookman Old Style" w:hAnsi="Bookman Old Style"/>
        </w:rPr>
      </w:pPr>
    </w:p>
    <w:p w14:paraId="216EAD17" w14:textId="75C141BF" w:rsidR="009776A9" w:rsidRPr="00110519" w:rsidRDefault="009776A9" w:rsidP="009776A9">
      <w:pPr>
        <w:widowControl w:val="0"/>
        <w:ind w:left="0"/>
        <w:jc w:val="center"/>
        <w:rPr>
          <w:rFonts w:ascii="Bookman Old Style" w:hAnsi="Bookman Old Style"/>
          <w:b/>
        </w:rPr>
      </w:pPr>
      <w:r w:rsidRPr="00110519">
        <w:rPr>
          <w:rFonts w:ascii="Bookman Old Style" w:hAnsi="Bookman Old Style"/>
          <w:b/>
        </w:rPr>
        <w:t>RESOLUCIÓN No.</w:t>
      </w:r>
      <w:r w:rsidR="00D52A5C" w:rsidRPr="00D52A5C">
        <w:rPr>
          <w:rFonts w:ascii="Bookman Old Style" w:hAnsi="Bookman Old Style"/>
          <w:b/>
          <w:sz w:val="32"/>
          <w:szCs w:val="32"/>
        </w:rPr>
        <w:t>501 010</w:t>
      </w:r>
      <w:r w:rsidRPr="00110519">
        <w:rPr>
          <w:rFonts w:ascii="Bookman Old Style" w:hAnsi="Bookman Old Style"/>
          <w:b/>
          <w:sz w:val="32"/>
          <w:szCs w:val="32"/>
        </w:rPr>
        <w:t xml:space="preserve"> </w:t>
      </w:r>
      <w:r w:rsidRPr="00110519">
        <w:rPr>
          <w:rFonts w:ascii="Bookman Old Style" w:hAnsi="Bookman Old Style"/>
          <w:b/>
        </w:rPr>
        <w:t>DE 202</w:t>
      </w:r>
      <w:r w:rsidR="00C3356D" w:rsidRPr="00110519">
        <w:rPr>
          <w:rFonts w:ascii="Bookman Old Style" w:hAnsi="Bookman Old Style"/>
          <w:b/>
        </w:rPr>
        <w:t>2</w:t>
      </w:r>
    </w:p>
    <w:p w14:paraId="216EAD18" w14:textId="77777777" w:rsidR="009776A9" w:rsidRPr="00110519" w:rsidRDefault="009776A9" w:rsidP="009776A9">
      <w:pPr>
        <w:widowControl w:val="0"/>
        <w:ind w:left="0"/>
        <w:jc w:val="center"/>
        <w:rPr>
          <w:rFonts w:ascii="Bookman Old Style" w:hAnsi="Bookman Old Style" w:cs="Arial"/>
          <w:b/>
          <w:snapToGrid w:val="0"/>
          <w:color w:val="000000"/>
          <w:lang w:val="es-ES_tradnl"/>
        </w:rPr>
      </w:pPr>
    </w:p>
    <w:p w14:paraId="216EAD19" w14:textId="7DFCE351" w:rsidR="009776A9" w:rsidRPr="00110519" w:rsidRDefault="009776A9" w:rsidP="009776A9">
      <w:pPr>
        <w:widowControl w:val="0"/>
        <w:ind w:left="0"/>
        <w:jc w:val="center"/>
        <w:rPr>
          <w:rFonts w:ascii="Bookman Old Style" w:hAnsi="Bookman Old Style"/>
          <w:b/>
        </w:rPr>
      </w:pPr>
      <w:proofErr w:type="gramStart"/>
      <w:r w:rsidRPr="00110519">
        <w:rPr>
          <w:rFonts w:ascii="Bookman Old Style" w:hAnsi="Bookman Old Style"/>
          <w:b/>
        </w:rPr>
        <w:t>(</w:t>
      </w:r>
      <w:r w:rsidRPr="00110519">
        <w:rPr>
          <w:rFonts w:ascii="Bookman Old Style" w:hAnsi="Bookman Old Style"/>
          <w:b/>
          <w:sz w:val="32"/>
          <w:szCs w:val="32"/>
        </w:rPr>
        <w:t xml:space="preserve"> </w:t>
      </w:r>
      <w:r w:rsidR="00133131">
        <w:rPr>
          <w:rFonts w:ascii="Bookman Old Style" w:hAnsi="Bookman Old Style"/>
          <w:b/>
          <w:sz w:val="32"/>
          <w:szCs w:val="32"/>
        </w:rPr>
        <w:t>08</w:t>
      </w:r>
      <w:proofErr w:type="gramEnd"/>
      <w:r w:rsidR="00133131">
        <w:rPr>
          <w:rFonts w:ascii="Bookman Old Style" w:hAnsi="Bookman Old Style"/>
          <w:b/>
          <w:sz w:val="32"/>
          <w:szCs w:val="32"/>
        </w:rPr>
        <w:t xml:space="preserve"> FEB.</w:t>
      </w:r>
      <w:r w:rsidR="00D17FB5" w:rsidRPr="00110519">
        <w:rPr>
          <w:rFonts w:ascii="Bookman Old Style" w:hAnsi="Bookman Old Style"/>
          <w:b/>
          <w:sz w:val="32"/>
          <w:szCs w:val="32"/>
        </w:rPr>
        <w:t xml:space="preserve"> 202</w:t>
      </w:r>
      <w:r w:rsidR="00EC7D9D" w:rsidRPr="00110519">
        <w:rPr>
          <w:rFonts w:ascii="Bookman Old Style" w:hAnsi="Bookman Old Style"/>
          <w:b/>
          <w:sz w:val="32"/>
          <w:szCs w:val="32"/>
        </w:rPr>
        <w:t>2</w:t>
      </w:r>
      <w:r w:rsidR="00133131">
        <w:rPr>
          <w:rFonts w:ascii="Bookman Old Style" w:hAnsi="Bookman Old Style"/>
          <w:b/>
          <w:sz w:val="32"/>
          <w:szCs w:val="32"/>
        </w:rPr>
        <w:t xml:space="preserve"> </w:t>
      </w:r>
      <w:r w:rsidRPr="00110519">
        <w:rPr>
          <w:rFonts w:ascii="Bookman Old Style" w:hAnsi="Bookman Old Style"/>
          <w:b/>
        </w:rPr>
        <w:t>)</w:t>
      </w:r>
    </w:p>
    <w:p w14:paraId="216EAD1A" w14:textId="77777777" w:rsidR="009776A9" w:rsidRPr="00110519" w:rsidRDefault="009776A9" w:rsidP="009776A9">
      <w:pPr>
        <w:widowControl w:val="0"/>
        <w:ind w:left="0"/>
        <w:jc w:val="center"/>
        <w:rPr>
          <w:rFonts w:ascii="Bookman Old Style" w:hAnsi="Bookman Old Style"/>
          <w:lang w:val="es-ES_tradnl"/>
        </w:rPr>
      </w:pPr>
    </w:p>
    <w:p w14:paraId="216EAD1B" w14:textId="38DC8728" w:rsidR="009776A9" w:rsidRPr="00110519" w:rsidRDefault="009776A9" w:rsidP="009776A9">
      <w:pPr>
        <w:ind w:left="0"/>
        <w:jc w:val="center"/>
        <w:rPr>
          <w:rFonts w:ascii="Bookman Old Style" w:hAnsi="Bookman Old Style"/>
          <w:lang w:val="es-CO"/>
        </w:rPr>
      </w:pPr>
      <w:r w:rsidRPr="00110519">
        <w:rPr>
          <w:rFonts w:ascii="Bookman Old Style" w:hAnsi="Bookman Old Style"/>
        </w:rPr>
        <w:t xml:space="preserve">Por la cual se decide </w:t>
      </w:r>
      <w:r w:rsidRPr="00110519">
        <w:rPr>
          <w:rFonts w:ascii="Bookman Old Style" w:hAnsi="Bookman Old Style"/>
          <w:lang w:val="es-CO"/>
        </w:rPr>
        <w:t xml:space="preserve">la actuación administrativa iniciada por la presunta existencia de discrepancias en valores reportados por </w:t>
      </w:r>
      <w:r w:rsidR="00DF182D" w:rsidRPr="00110519">
        <w:rPr>
          <w:rFonts w:ascii="Bookman Old Style" w:hAnsi="Bookman Old Style"/>
          <w:lang w:val="es-CO"/>
        </w:rPr>
        <w:t xml:space="preserve">HIDROELÉCTRICA DEL ALTO PORCE </w:t>
      </w:r>
      <w:r w:rsidR="009E6A3E" w:rsidRPr="00110519">
        <w:rPr>
          <w:rFonts w:ascii="Bookman Old Style" w:hAnsi="Bookman Old Style"/>
          <w:lang w:val="es-CO"/>
        </w:rPr>
        <w:t xml:space="preserve">S.A.S. E.S.P., </w:t>
      </w:r>
      <w:r w:rsidR="009E6A3E" w:rsidRPr="00110519">
        <w:rPr>
          <w:rFonts w:ascii="Bookman Old Style" w:hAnsi="Bookman Old Style"/>
        </w:rPr>
        <w:t>HIDRALPOR S.A.S. E.S.P.</w:t>
      </w:r>
      <w:r w:rsidR="00BD588B" w:rsidRPr="00110519">
        <w:t xml:space="preserve"> </w:t>
      </w:r>
      <w:r w:rsidRPr="00110519">
        <w:rPr>
          <w:rFonts w:ascii="Bookman Old Style" w:hAnsi="Bookman Old Style"/>
        </w:rPr>
        <w:t xml:space="preserve">para la Planta </w:t>
      </w:r>
      <w:r w:rsidR="00A426F8" w:rsidRPr="00110519">
        <w:rPr>
          <w:rFonts w:ascii="Bookman Old Style" w:hAnsi="Bookman Old Style"/>
        </w:rPr>
        <w:t>Carlos Lleras Restrepo</w:t>
      </w:r>
      <w:r w:rsidR="004207A7" w:rsidRPr="00110519">
        <w:rPr>
          <w:rFonts w:ascii="Bookman Old Style" w:hAnsi="Bookman Old Style"/>
        </w:rPr>
        <w:t xml:space="preserve">. </w:t>
      </w:r>
      <w:r w:rsidRPr="00110519">
        <w:rPr>
          <w:rFonts w:ascii="Bookman Old Style" w:hAnsi="Bookman Old Style"/>
          <w:lang w:val="es-CO"/>
        </w:rPr>
        <w:t xml:space="preserve">Expediente </w:t>
      </w:r>
      <w:r w:rsidRPr="00110519">
        <w:rPr>
          <w:rFonts w:ascii="Bookman Old Style" w:hAnsi="Bookman Old Style"/>
        </w:rPr>
        <w:t>2021-00</w:t>
      </w:r>
      <w:r w:rsidR="009E6A3E" w:rsidRPr="00110519">
        <w:rPr>
          <w:rFonts w:ascii="Bookman Old Style" w:hAnsi="Bookman Old Style"/>
        </w:rPr>
        <w:t>41</w:t>
      </w:r>
    </w:p>
    <w:p w14:paraId="216EAD1C" w14:textId="77777777" w:rsidR="00FD1C9C" w:rsidRPr="00110519" w:rsidRDefault="00FD1C9C" w:rsidP="00837C24">
      <w:pPr>
        <w:widowControl w:val="0"/>
        <w:spacing w:after="120"/>
        <w:ind w:left="0"/>
        <w:rPr>
          <w:rFonts w:ascii="Bookman Old Style" w:hAnsi="Bookman Old Style" w:cs="Arial"/>
        </w:rPr>
      </w:pPr>
    </w:p>
    <w:p w14:paraId="216EAD1D" w14:textId="77777777" w:rsidR="009776A9" w:rsidRPr="00110519" w:rsidRDefault="009776A9" w:rsidP="00837C24">
      <w:pPr>
        <w:ind w:left="0"/>
        <w:jc w:val="center"/>
        <w:rPr>
          <w:rFonts w:ascii="Bookman Old Style" w:hAnsi="Bookman Old Style" w:cs="Arial"/>
          <w:b/>
          <w:bCs/>
          <w:lang w:val="es-CO"/>
        </w:rPr>
      </w:pPr>
      <w:r w:rsidRPr="00110519">
        <w:rPr>
          <w:rFonts w:ascii="Bookman Old Style" w:hAnsi="Bookman Old Style" w:cs="Arial"/>
          <w:b/>
          <w:bCs/>
          <w:lang w:val="es-CO"/>
        </w:rPr>
        <w:t>LA COMISIÓN DE REGULACIÓN DE ENERGÍA Y GAS</w:t>
      </w:r>
    </w:p>
    <w:p w14:paraId="216EAD1E" w14:textId="77777777" w:rsidR="009776A9" w:rsidRPr="00110519" w:rsidRDefault="009776A9" w:rsidP="009776A9">
      <w:pPr>
        <w:jc w:val="center"/>
        <w:rPr>
          <w:rFonts w:ascii="Bookman Old Style" w:hAnsi="Bookman Old Style" w:cs="Arial"/>
          <w:b/>
          <w:bCs/>
          <w:lang w:val="es-CO"/>
        </w:rPr>
      </w:pPr>
    </w:p>
    <w:p w14:paraId="216EAD1F" w14:textId="77777777" w:rsidR="009776A9" w:rsidRPr="00110519" w:rsidRDefault="009776A9" w:rsidP="009776A9">
      <w:pPr>
        <w:ind w:right="284"/>
        <w:jc w:val="center"/>
        <w:rPr>
          <w:rFonts w:ascii="Bookman Old Style" w:hAnsi="Bookman Old Style" w:cs="Arial"/>
          <w:lang w:val="es-CO"/>
        </w:rPr>
      </w:pPr>
      <w:r w:rsidRPr="00110519">
        <w:rPr>
          <w:rFonts w:ascii="Bookman Old Style" w:hAnsi="Bookman Old Style" w:cs="Arial"/>
          <w:lang w:val="es-CO"/>
        </w:rPr>
        <w:t xml:space="preserve">En ejercicio de sus atribuciones legales, en especial las conferidas por las leyes 142 y 143 de 1994, y los decretos 1524 de 1994 y </w:t>
      </w:r>
      <w:r w:rsidRPr="00110519">
        <w:rPr>
          <w:rFonts w:ascii="Bookman Old Style" w:hAnsi="Bookman Old Style" w:cs="Arial"/>
          <w:bCs/>
          <w:spacing w:val="-3"/>
        </w:rPr>
        <w:t>1260 de 2013 y</w:t>
      </w:r>
      <w:r w:rsidRPr="00110519">
        <w:rPr>
          <w:rFonts w:ascii="Bookman Old Style" w:hAnsi="Bookman Old Style" w:cs="Arial"/>
          <w:lang w:val="es-CO"/>
        </w:rPr>
        <w:t>,</w:t>
      </w:r>
    </w:p>
    <w:p w14:paraId="216EAD20" w14:textId="77777777" w:rsidR="009776A9" w:rsidRPr="00110519" w:rsidRDefault="009776A9" w:rsidP="00837C24">
      <w:pPr>
        <w:spacing w:after="120"/>
        <w:ind w:left="0"/>
        <w:rPr>
          <w:rFonts w:ascii="Bookman Old Style" w:hAnsi="Bookman Old Style" w:cs="Arial"/>
          <w:lang w:val="es-CO"/>
        </w:rPr>
      </w:pPr>
    </w:p>
    <w:p w14:paraId="216EAD21" w14:textId="77777777" w:rsidR="009776A9" w:rsidRPr="00110519" w:rsidRDefault="009776A9" w:rsidP="00837C24">
      <w:pPr>
        <w:ind w:left="0"/>
        <w:jc w:val="center"/>
        <w:rPr>
          <w:rFonts w:ascii="Bookman Old Style" w:hAnsi="Bookman Old Style" w:cs="Arial"/>
          <w:b/>
          <w:bCs/>
          <w:lang w:val="it-IT"/>
        </w:rPr>
      </w:pPr>
      <w:r w:rsidRPr="00110519">
        <w:rPr>
          <w:rFonts w:ascii="Bookman Old Style" w:hAnsi="Bookman Old Style" w:cs="Arial"/>
          <w:b/>
          <w:bCs/>
          <w:lang w:val="it-IT"/>
        </w:rPr>
        <w:t>C O N S I D E R A N D O   Q U E:</w:t>
      </w:r>
    </w:p>
    <w:p w14:paraId="216EAD22" w14:textId="77777777" w:rsidR="009776A9" w:rsidRPr="00110519" w:rsidRDefault="009776A9" w:rsidP="009776A9">
      <w:pPr>
        <w:ind w:left="0"/>
        <w:rPr>
          <w:rFonts w:ascii="Bookman Old Style" w:hAnsi="Bookman Old Style" w:cs="Arial"/>
          <w:b/>
          <w:bCs/>
          <w:lang w:val="it-IT"/>
        </w:rPr>
      </w:pPr>
    </w:p>
    <w:p w14:paraId="216EAD23" w14:textId="69A8B723" w:rsidR="009776A9" w:rsidRPr="00110519" w:rsidRDefault="009776A9" w:rsidP="009776A9">
      <w:pPr>
        <w:ind w:left="0"/>
        <w:jc w:val="both"/>
        <w:rPr>
          <w:rFonts w:ascii="Bookman Old Style" w:hAnsi="Bookman Old Style"/>
          <w:color w:val="1D2228"/>
          <w:shd w:val="clear" w:color="auto" w:fill="FFFFFF"/>
        </w:rPr>
      </w:pPr>
      <w:r w:rsidRPr="00110519">
        <w:rPr>
          <w:rFonts w:ascii="Bookman Old Style" w:hAnsi="Bookman Old Style"/>
          <w:color w:val="1D2228"/>
          <w:shd w:val="clear" w:color="auto" w:fill="FFFFFF"/>
        </w:rPr>
        <w:t xml:space="preserve">En razón a que mediante esta decisión se pone fin a la actuación administrativa adelantada por la CREG recogida en el expediente </w:t>
      </w:r>
      <w:r w:rsidRPr="00110519">
        <w:rPr>
          <w:rFonts w:ascii="Bookman Old Style" w:hAnsi="Bookman Old Style"/>
          <w:lang w:val="es-CO"/>
        </w:rPr>
        <w:t>2021 – 00</w:t>
      </w:r>
      <w:r w:rsidR="00E846DF" w:rsidRPr="00110519">
        <w:rPr>
          <w:rFonts w:ascii="Bookman Old Style" w:hAnsi="Bookman Old Style"/>
          <w:lang w:val="es-CO"/>
        </w:rPr>
        <w:t>41</w:t>
      </w:r>
      <w:r w:rsidRPr="00110519">
        <w:rPr>
          <w:rFonts w:ascii="Bookman Old Style" w:hAnsi="Bookman Old Style"/>
          <w:color w:val="1D2228"/>
          <w:shd w:val="clear" w:color="auto" w:fill="FFFFFF"/>
        </w:rPr>
        <w:t>, en esta parte motiva</w:t>
      </w:r>
      <w:r w:rsidR="001F17F7">
        <w:rPr>
          <w:rFonts w:ascii="Bookman Old Style" w:hAnsi="Bookman Old Style"/>
          <w:color w:val="1D2228"/>
          <w:shd w:val="clear" w:color="auto" w:fill="FFFFFF"/>
        </w:rPr>
        <w:t xml:space="preserve"> </w:t>
      </w:r>
      <w:r w:rsidRPr="00110519">
        <w:rPr>
          <w:rFonts w:ascii="Bookman Old Style" w:hAnsi="Bookman Old Style"/>
          <w:color w:val="1D2228"/>
          <w:shd w:val="clear" w:color="auto" w:fill="FFFFFF"/>
        </w:rPr>
        <w:t xml:space="preserve">se trata </w:t>
      </w:r>
      <w:proofErr w:type="gramStart"/>
      <w:r w:rsidRPr="00110519">
        <w:rPr>
          <w:rFonts w:ascii="Bookman Old Style" w:hAnsi="Bookman Old Style"/>
          <w:color w:val="1D2228"/>
          <w:shd w:val="clear" w:color="auto" w:fill="FFFFFF"/>
        </w:rPr>
        <w:t>inicialmente  la</w:t>
      </w:r>
      <w:proofErr w:type="gramEnd"/>
      <w:r w:rsidRPr="00110519">
        <w:rPr>
          <w:rFonts w:ascii="Bookman Old Style" w:hAnsi="Bookman Old Style"/>
          <w:color w:val="1D2228"/>
          <w:shd w:val="clear" w:color="auto" w:fill="FFFFFF"/>
        </w:rPr>
        <w:t xml:space="preserve"> competencia de la CREG</w:t>
      </w:r>
      <w:r w:rsidR="008E7F21" w:rsidRPr="00110519">
        <w:rPr>
          <w:rFonts w:ascii="Bookman Old Style" w:hAnsi="Bookman Old Style"/>
          <w:color w:val="1D2228"/>
          <w:shd w:val="clear" w:color="auto" w:fill="FFFFFF"/>
        </w:rPr>
        <w:t xml:space="preserve">, </w:t>
      </w:r>
      <w:r w:rsidRPr="00110519">
        <w:rPr>
          <w:rFonts w:ascii="Bookman Old Style" w:hAnsi="Bookman Old Style"/>
          <w:color w:val="1D2228"/>
          <w:shd w:val="clear" w:color="auto" w:fill="FFFFFF"/>
        </w:rPr>
        <w:t xml:space="preserve">el informe de la </w:t>
      </w:r>
      <w:r w:rsidR="002D06F6" w:rsidRPr="00110519">
        <w:rPr>
          <w:rFonts w:ascii="Bookman Old Style" w:hAnsi="Bookman Old Style"/>
          <w:color w:val="1D2228"/>
          <w:shd w:val="clear" w:color="auto" w:fill="FFFFFF"/>
        </w:rPr>
        <w:t>a</w:t>
      </w:r>
      <w:r w:rsidRPr="00110519">
        <w:rPr>
          <w:rFonts w:ascii="Bookman Old Style" w:hAnsi="Bookman Old Style"/>
          <w:color w:val="1D2228"/>
          <w:shd w:val="clear" w:color="auto" w:fill="FFFFFF"/>
        </w:rPr>
        <w:t>uditoría; luego el trámite surtido, las pruebas decretadas y practicadas</w:t>
      </w:r>
      <w:r w:rsidR="008E7F21" w:rsidRPr="00110519">
        <w:rPr>
          <w:rFonts w:ascii="Bookman Old Style" w:hAnsi="Bookman Old Style"/>
          <w:color w:val="1D2228"/>
          <w:shd w:val="clear" w:color="auto" w:fill="FFFFFF"/>
        </w:rPr>
        <w:t>,</w:t>
      </w:r>
      <w:r w:rsidRPr="00110519">
        <w:rPr>
          <w:rFonts w:ascii="Bookman Old Style" w:hAnsi="Bookman Old Style"/>
          <w:color w:val="1D2228"/>
          <w:shd w:val="clear" w:color="auto" w:fill="FFFFFF"/>
        </w:rPr>
        <w:t xml:space="preserve"> la forma como </w:t>
      </w:r>
      <w:r w:rsidR="00F91A5C" w:rsidRPr="00110519">
        <w:rPr>
          <w:rFonts w:ascii="Bookman Old Style" w:hAnsi="Bookman Old Style"/>
        </w:rPr>
        <w:t xml:space="preserve">HIDRALPOR S.A.S. E.S.P., Planta </w:t>
      </w:r>
      <w:r w:rsidR="008E7F21" w:rsidRPr="00110519">
        <w:rPr>
          <w:rFonts w:ascii="Bookman Old Style" w:hAnsi="Bookman Old Style"/>
        </w:rPr>
        <w:t>Carlos Lleras Restrepo</w:t>
      </w:r>
      <w:r w:rsidR="00F91A5C" w:rsidRPr="00110519">
        <w:rPr>
          <w:rFonts w:ascii="Bookman Old Style" w:hAnsi="Bookman Old Style"/>
        </w:rPr>
        <w:t>,</w:t>
      </w:r>
      <w:r w:rsidR="005525A5" w:rsidRPr="00110519">
        <w:rPr>
          <w:rFonts w:ascii="Bookman Old Style" w:hAnsi="Bookman Old Style"/>
        </w:rPr>
        <w:t xml:space="preserve"> </w:t>
      </w:r>
      <w:r w:rsidR="00F91A5C" w:rsidRPr="00110519">
        <w:rPr>
          <w:rFonts w:ascii="Bookman Old Style" w:hAnsi="Bookman Old Style"/>
        </w:rPr>
        <w:t>ejer</w:t>
      </w:r>
      <w:r w:rsidRPr="00110519">
        <w:rPr>
          <w:rFonts w:ascii="Bookman Old Style" w:hAnsi="Bookman Old Style"/>
          <w:color w:val="1D2228"/>
          <w:shd w:val="clear" w:color="auto" w:fill="FFFFFF"/>
        </w:rPr>
        <w:t>ció su derecho de contradicción y defensa, para finalmente</w:t>
      </w:r>
      <w:r w:rsidR="00F65531">
        <w:rPr>
          <w:rFonts w:ascii="Bookman Old Style" w:hAnsi="Bookman Old Style"/>
          <w:color w:val="1D2228"/>
          <w:shd w:val="clear" w:color="auto" w:fill="FFFFFF"/>
        </w:rPr>
        <w:t>,</w:t>
      </w:r>
      <w:r w:rsidRPr="00110519">
        <w:rPr>
          <w:rFonts w:ascii="Bookman Old Style" w:hAnsi="Bookman Old Style"/>
          <w:color w:val="1D2228"/>
          <w:shd w:val="clear" w:color="auto" w:fill="FFFFFF"/>
        </w:rPr>
        <w:t xml:space="preserve"> y conforme la valoración del acervo probatorio, determinar el contenido y alcance de </w:t>
      </w:r>
      <w:r w:rsidR="008E7F21" w:rsidRPr="00110519">
        <w:rPr>
          <w:rFonts w:ascii="Bookman Old Style" w:hAnsi="Bookman Old Style"/>
          <w:color w:val="1D2228"/>
          <w:shd w:val="clear" w:color="auto" w:fill="FFFFFF"/>
        </w:rPr>
        <w:t>la decisión de la C</w:t>
      </w:r>
      <w:r w:rsidR="00F65531">
        <w:rPr>
          <w:rFonts w:ascii="Bookman Old Style" w:hAnsi="Bookman Old Style"/>
          <w:color w:val="1D2228"/>
          <w:shd w:val="clear" w:color="auto" w:fill="FFFFFF"/>
        </w:rPr>
        <w:t>REG</w:t>
      </w:r>
      <w:r w:rsidRPr="00110519">
        <w:rPr>
          <w:rFonts w:ascii="Bookman Old Style" w:hAnsi="Bookman Old Style"/>
          <w:color w:val="1D2228"/>
          <w:shd w:val="clear" w:color="auto" w:fill="FFFFFF"/>
        </w:rPr>
        <w:t>.</w:t>
      </w:r>
    </w:p>
    <w:p w14:paraId="216EAD24" w14:textId="26FAFF42" w:rsidR="009776A9" w:rsidRDefault="009776A9" w:rsidP="001F17F7">
      <w:pPr>
        <w:spacing w:after="120"/>
        <w:ind w:left="0"/>
        <w:rPr>
          <w:rFonts w:ascii="Bookman Old Style" w:hAnsi="Bookman Old Style"/>
          <w:b/>
        </w:rPr>
      </w:pPr>
    </w:p>
    <w:p w14:paraId="216EAD25" w14:textId="77777777" w:rsidR="009776A9" w:rsidRPr="00110519" w:rsidRDefault="009776A9" w:rsidP="009776A9">
      <w:pPr>
        <w:ind w:left="0"/>
        <w:rPr>
          <w:rFonts w:ascii="Bookman Old Style" w:hAnsi="Bookman Old Style"/>
          <w:b/>
        </w:rPr>
      </w:pPr>
      <w:r w:rsidRPr="00110519">
        <w:rPr>
          <w:rFonts w:ascii="Bookman Old Style" w:hAnsi="Bookman Old Style"/>
          <w:b/>
        </w:rPr>
        <w:t>I. COMPETENCIA DE LA CREG</w:t>
      </w:r>
    </w:p>
    <w:p w14:paraId="216EAD26" w14:textId="77777777" w:rsidR="009776A9" w:rsidRPr="00110519" w:rsidRDefault="009776A9" w:rsidP="009776A9">
      <w:pPr>
        <w:rPr>
          <w:rFonts w:ascii="Bookman Old Style" w:hAnsi="Bookman Old Style" w:cs="Arial"/>
          <w:lang w:val="it-IT"/>
        </w:rPr>
      </w:pPr>
    </w:p>
    <w:p w14:paraId="216EAD27" w14:textId="77777777" w:rsidR="009776A9" w:rsidRPr="00110519" w:rsidRDefault="009776A9" w:rsidP="009776A9">
      <w:pPr>
        <w:ind w:left="0"/>
        <w:jc w:val="both"/>
        <w:rPr>
          <w:rFonts w:ascii="Bookman Old Style" w:hAnsi="Bookman Old Style" w:cs="Arial"/>
        </w:rPr>
      </w:pPr>
      <w:r w:rsidRPr="00110519">
        <w:rPr>
          <w:rFonts w:ascii="Bookman Old Style" w:hAnsi="Bookman Old Style" w:cs="Arial"/>
        </w:rPr>
        <w:t>La Ley 143 de 1994, en su artículo 20, definió como objetivo fundamental de la regulación asegurar una adecuada prestación del servicio mediante el aprovechamiento eficiente de los diferentes recursos energéticos, en beneficio del usuario en términos de calidad, oportunidad y costo del servicio. Así mismo, esa ley estableció como función del regulador, la CREG, “la de valorar la capacidad de generación de respaldo de la oferta eficiente”, con sujeción a lo establecido en su artículo 23.</w:t>
      </w:r>
    </w:p>
    <w:p w14:paraId="216EAD28" w14:textId="77777777" w:rsidR="009776A9" w:rsidRPr="00110519" w:rsidRDefault="009776A9" w:rsidP="009776A9">
      <w:pPr>
        <w:rPr>
          <w:rFonts w:ascii="Bookman Old Style" w:hAnsi="Bookman Old Style" w:cs="Arial"/>
          <w:lang w:val="es-CO"/>
        </w:rPr>
      </w:pPr>
    </w:p>
    <w:p w14:paraId="216EAD29" w14:textId="0886AF35" w:rsidR="009776A9" w:rsidRPr="00110519" w:rsidRDefault="009776A9" w:rsidP="009776A9">
      <w:pPr>
        <w:ind w:left="0"/>
        <w:jc w:val="both"/>
        <w:rPr>
          <w:rFonts w:ascii="Bookman Old Style" w:hAnsi="Bookman Old Style" w:cs="Arial"/>
          <w:lang w:val="es-CO"/>
        </w:rPr>
      </w:pPr>
      <w:r w:rsidRPr="00110519">
        <w:rPr>
          <w:rFonts w:ascii="Bookman Old Style" w:hAnsi="Bookman Old Style" w:cs="Arial"/>
          <w:lang w:val="es-CO"/>
        </w:rPr>
        <w:t xml:space="preserve">En desarrollo de los precitados mandatos legales, la Comisión de Regulación de Energía y Gas, CREG, mediante la Resolución CREG 071 de 2006 </w:t>
      </w:r>
      <w:r w:rsidR="00D46F1B">
        <w:rPr>
          <w:rFonts w:ascii="Bookman Old Style" w:hAnsi="Bookman Old Style" w:cs="Arial"/>
          <w:lang w:val="es-CO"/>
        </w:rPr>
        <w:t>estableció</w:t>
      </w:r>
      <w:r w:rsidRPr="00110519">
        <w:rPr>
          <w:rFonts w:ascii="Bookman Old Style" w:hAnsi="Bookman Old Style" w:cs="Arial"/>
          <w:lang w:val="es-CO"/>
        </w:rPr>
        <w:t xml:space="preserve"> el Cargo por Confiabilidad en el Mercado Mayorista de Energía, precisó su método de cálculo</w:t>
      </w:r>
      <w:r w:rsidR="00F65531">
        <w:rPr>
          <w:rFonts w:ascii="Bookman Old Style" w:hAnsi="Bookman Old Style" w:cs="Arial"/>
          <w:lang w:val="es-CO"/>
        </w:rPr>
        <w:t>,</w:t>
      </w:r>
      <w:r w:rsidRPr="00110519">
        <w:rPr>
          <w:rFonts w:ascii="Bookman Old Style" w:hAnsi="Bookman Old Style" w:cs="Arial"/>
          <w:lang w:val="es-CO"/>
        </w:rPr>
        <w:t xml:space="preserve"> y </w:t>
      </w:r>
      <w:r w:rsidR="00D46F1B">
        <w:rPr>
          <w:rFonts w:ascii="Bookman Old Style" w:hAnsi="Bookman Old Style" w:cs="Arial"/>
          <w:lang w:val="es-CO"/>
        </w:rPr>
        <w:t>defin</w:t>
      </w:r>
      <w:r w:rsidRPr="00110519">
        <w:rPr>
          <w:rFonts w:ascii="Bookman Old Style" w:hAnsi="Bookman Old Style" w:cs="Arial"/>
          <w:lang w:val="es-CO"/>
        </w:rPr>
        <w:t>ió un sistema de verificación de los valores de los parámetros que reporten los agentes para efectuarlo.</w:t>
      </w:r>
    </w:p>
    <w:p w14:paraId="216EAD2A" w14:textId="77777777" w:rsidR="009776A9" w:rsidRPr="00110519" w:rsidRDefault="009776A9" w:rsidP="00F65531">
      <w:pPr>
        <w:ind w:left="0"/>
        <w:rPr>
          <w:rFonts w:ascii="Bookman Old Style" w:hAnsi="Bookman Old Style" w:cs="Arial"/>
          <w:lang w:val="es-CO"/>
        </w:rPr>
      </w:pPr>
    </w:p>
    <w:p w14:paraId="216EAD2D" w14:textId="4F0EC985" w:rsidR="009776A9" w:rsidRPr="00110519" w:rsidRDefault="009776A9" w:rsidP="00E672F9">
      <w:pPr>
        <w:ind w:left="0"/>
        <w:jc w:val="both"/>
        <w:rPr>
          <w:rFonts w:ascii="Bookman Old Style" w:hAnsi="Bookman Old Style"/>
          <w:b/>
          <w:bCs/>
          <w:spacing w:val="-5"/>
          <w:lang w:eastAsia="en-US"/>
        </w:rPr>
      </w:pPr>
      <w:r w:rsidRPr="00110519">
        <w:rPr>
          <w:rFonts w:ascii="Bookman Old Style" w:hAnsi="Bookman Old Style" w:cs="Arial"/>
          <w:lang w:val="es-CO"/>
        </w:rPr>
        <w:t xml:space="preserve">Para la verificación de esos parámetros a cargo de la CREG, en el Anexo No. 6 de la Resolución CREG 071 de 2006 se estableció que se </w:t>
      </w:r>
      <w:r w:rsidR="005D6502">
        <w:rPr>
          <w:rFonts w:ascii="Bookman Old Style" w:hAnsi="Bookman Old Style" w:cs="Arial"/>
          <w:lang w:val="es-CO"/>
        </w:rPr>
        <w:t>realizaría</w:t>
      </w:r>
      <w:r w:rsidRPr="00110519">
        <w:rPr>
          <w:rFonts w:ascii="Bookman Old Style" w:hAnsi="Bookman Old Style" w:cs="Arial"/>
          <w:lang w:val="es-CO"/>
        </w:rPr>
        <w:t xml:space="preserve"> una auditoría contratada por el CND.</w:t>
      </w:r>
      <w:r w:rsidR="00E672F9">
        <w:rPr>
          <w:rFonts w:ascii="Bookman Old Style" w:hAnsi="Bookman Old Style" w:cs="Arial"/>
          <w:lang w:val="es-CO"/>
        </w:rPr>
        <w:t xml:space="preserve"> </w:t>
      </w:r>
      <w:r w:rsidRPr="00110519">
        <w:rPr>
          <w:rFonts w:ascii="Bookman Old Style" w:hAnsi="Bookman Old Style"/>
          <w:spacing w:val="-5"/>
          <w:lang w:eastAsia="en-US"/>
        </w:rPr>
        <w:t xml:space="preserve">Si en el informe de auditoría se determina la </w:t>
      </w:r>
      <w:r w:rsidRPr="00110519">
        <w:rPr>
          <w:rFonts w:ascii="Bookman Old Style" w:hAnsi="Bookman Old Style"/>
          <w:spacing w:val="-5"/>
          <w:lang w:eastAsia="en-US"/>
        </w:rPr>
        <w:lastRenderedPageBreak/>
        <w:t>existencia de discrepancias, con lo reportado por el agente, la CREG debe establecer su existencia en forma plena y sus consecuencias. En el inciso 5 del artículo 39 de la Resolución CREG 071 de 2006, se estableció el procedimiento que la CREG debe surtir con la garantía plena del derecho de defensa de los afectados, para lo cual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216EAD2E" w14:textId="77777777" w:rsidR="00E940D2" w:rsidRPr="00110519" w:rsidRDefault="00E940D2" w:rsidP="009776A9">
      <w:pPr>
        <w:pStyle w:val="Textoindependiente"/>
        <w:ind w:left="0"/>
        <w:jc w:val="both"/>
        <w:rPr>
          <w:rFonts w:ascii="Bookman Old Style" w:hAnsi="Bookman Old Style"/>
          <w:b w:val="0"/>
          <w:bCs w:val="0"/>
          <w:spacing w:val="-5"/>
          <w:lang w:eastAsia="en-US"/>
        </w:rPr>
      </w:pPr>
    </w:p>
    <w:p w14:paraId="216EAD32" w14:textId="31FC308A" w:rsidR="009776A9" w:rsidRPr="00110519" w:rsidRDefault="005B3966" w:rsidP="009776A9">
      <w:pPr>
        <w:ind w:left="0"/>
        <w:jc w:val="both"/>
        <w:rPr>
          <w:rFonts w:ascii="Bookman Old Style" w:hAnsi="Bookman Old Style" w:cs="Arial"/>
          <w:iCs/>
          <w:lang w:val="es-CO"/>
        </w:rPr>
      </w:pPr>
      <w:r w:rsidRPr="00110519">
        <w:rPr>
          <w:rFonts w:ascii="Bookman Old Style" w:hAnsi="Bookman Old Style" w:cs="Arial"/>
          <w:lang w:val="es-CO"/>
        </w:rPr>
        <w:t>M</w:t>
      </w:r>
      <w:r w:rsidR="009776A9" w:rsidRPr="00110519">
        <w:rPr>
          <w:rFonts w:ascii="Bookman Old Style" w:hAnsi="Bookman Old Style" w:cs="Arial"/>
          <w:lang w:val="es-CO"/>
        </w:rPr>
        <w:t>ediante la Resolución 030 de 2019</w:t>
      </w:r>
      <w:r w:rsidR="00F65531">
        <w:rPr>
          <w:rFonts w:ascii="Bookman Old Style" w:hAnsi="Bookman Old Style" w:cs="Arial"/>
          <w:lang w:val="es-CO"/>
        </w:rPr>
        <w:t>,</w:t>
      </w:r>
      <w:r w:rsidR="009776A9" w:rsidRPr="00110519">
        <w:rPr>
          <w:rFonts w:ascii="Bookman Old Style" w:hAnsi="Bookman Old Style" w:cs="Arial"/>
          <w:lang w:val="es-CO"/>
        </w:rPr>
        <w:t xml:space="preserve"> la CREG ordenó la contratación de una auditoría “</w:t>
      </w:r>
      <w:r w:rsidR="009776A9" w:rsidRPr="00110519">
        <w:rPr>
          <w:rFonts w:ascii="Bookman Old Style" w:hAnsi="Bookman Old Style" w:cs="Arial"/>
          <w:i/>
          <w:iCs/>
          <w:lang w:val="es-CO"/>
        </w:rPr>
        <w:t xml:space="preserve">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 </w:t>
      </w:r>
      <w:r w:rsidR="009776A9" w:rsidRPr="00110519">
        <w:rPr>
          <w:rFonts w:ascii="Bookman Old Style" w:hAnsi="Bookman Old Style" w:cs="Arial"/>
          <w:iCs/>
          <w:lang w:val="es-CO"/>
        </w:rPr>
        <w:t xml:space="preserve">entre ellas, la planta </w:t>
      </w:r>
      <w:r w:rsidR="00126077" w:rsidRPr="00110519">
        <w:rPr>
          <w:rFonts w:ascii="Bookman Old Style" w:hAnsi="Bookman Old Style" w:cs="Arial"/>
          <w:iCs/>
          <w:lang w:val="es-CO"/>
        </w:rPr>
        <w:t>Carlos Lleras Restrepo</w:t>
      </w:r>
      <w:r w:rsidR="004B5FDB" w:rsidRPr="00110519">
        <w:rPr>
          <w:rFonts w:ascii="Bookman Old Style" w:hAnsi="Bookman Old Style" w:cs="Arial"/>
          <w:iCs/>
          <w:lang w:val="es-CO"/>
        </w:rPr>
        <w:t>.</w:t>
      </w:r>
    </w:p>
    <w:p w14:paraId="67388EE7" w14:textId="77777777" w:rsidR="00126077" w:rsidRPr="00110519" w:rsidRDefault="00126077" w:rsidP="009776A9">
      <w:pPr>
        <w:ind w:left="0"/>
        <w:jc w:val="both"/>
        <w:rPr>
          <w:rFonts w:ascii="Bookman Old Style" w:hAnsi="Bookman Old Style" w:cs="Arial"/>
          <w:iCs/>
          <w:lang w:val="es-CO"/>
        </w:rPr>
      </w:pPr>
    </w:p>
    <w:p w14:paraId="745149D4" w14:textId="1289CA1C" w:rsidR="00126077" w:rsidRPr="00110519" w:rsidRDefault="00616CB6" w:rsidP="009776A9">
      <w:pPr>
        <w:ind w:left="0"/>
        <w:jc w:val="both"/>
        <w:rPr>
          <w:rFonts w:ascii="Bookman Old Style" w:hAnsi="Bookman Old Style" w:cs="Arial"/>
          <w:iCs/>
          <w:lang w:val="es-CO"/>
        </w:rPr>
      </w:pPr>
      <w:r w:rsidRPr="00110519">
        <w:rPr>
          <w:rFonts w:ascii="Bookman Old Style" w:hAnsi="Bookman Old Style" w:cs="Arial"/>
          <w:iCs/>
          <w:lang w:val="es-CO"/>
        </w:rPr>
        <w:t>En desarrollo de la actuación</w:t>
      </w:r>
      <w:r w:rsidR="00A7483C">
        <w:rPr>
          <w:rFonts w:ascii="Bookman Old Style" w:hAnsi="Bookman Old Style" w:cs="Arial"/>
          <w:iCs/>
          <w:lang w:val="es-CO"/>
        </w:rPr>
        <w:t>,</w:t>
      </w:r>
      <w:r w:rsidRPr="00110519">
        <w:rPr>
          <w:rFonts w:ascii="Bookman Old Style" w:hAnsi="Bookman Old Style" w:cs="Arial"/>
          <w:iCs/>
          <w:lang w:val="es-CO"/>
        </w:rPr>
        <w:t xml:space="preserve"> </w:t>
      </w:r>
      <w:r w:rsidR="00697A64">
        <w:rPr>
          <w:rFonts w:ascii="Bookman Old Style" w:hAnsi="Bookman Old Style" w:cs="Arial"/>
          <w:iCs/>
          <w:lang w:val="es-CO"/>
        </w:rPr>
        <w:t xml:space="preserve">la </w:t>
      </w:r>
      <w:r w:rsidRPr="00110519">
        <w:rPr>
          <w:rFonts w:ascii="Bookman Old Style" w:hAnsi="Bookman Old Style" w:cs="Arial"/>
          <w:iCs/>
          <w:lang w:val="es-CO"/>
        </w:rPr>
        <w:t>CREG decretó y practicó una prueba</w:t>
      </w:r>
      <w:r w:rsidR="00F65531">
        <w:rPr>
          <w:rFonts w:ascii="Bookman Old Style" w:hAnsi="Bookman Old Style" w:cs="Arial"/>
          <w:iCs/>
          <w:lang w:val="es-CO"/>
        </w:rPr>
        <w:t>,</w:t>
      </w:r>
      <w:r w:rsidRPr="00110519">
        <w:rPr>
          <w:rFonts w:ascii="Bookman Old Style" w:hAnsi="Bookman Old Style" w:cs="Arial"/>
          <w:iCs/>
          <w:lang w:val="es-CO"/>
        </w:rPr>
        <w:t xml:space="preserve"> a lo cual hay que adicionar </w:t>
      </w:r>
      <w:r w:rsidR="00A7483C">
        <w:rPr>
          <w:rFonts w:ascii="Bookman Old Style" w:hAnsi="Bookman Old Style" w:cs="Arial"/>
          <w:iCs/>
          <w:lang w:val="es-CO"/>
        </w:rPr>
        <w:t xml:space="preserve">el </w:t>
      </w:r>
      <w:r w:rsidRPr="00110519">
        <w:rPr>
          <w:rFonts w:ascii="Bookman Old Style" w:hAnsi="Bookman Old Style" w:cs="Arial"/>
          <w:iCs/>
          <w:lang w:val="es-CO"/>
        </w:rPr>
        <w:t>tiempo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 tanto para las controversias procesales administrativas como judiciales, no pueden ser vulnerados y prevalecen sobre la duración de los términos para poner fin a esas actuaciones, y con mayor razón si, como en este caso, no se trata de actos sujetos al silencio administrativo positivo, y s</w:t>
      </w:r>
      <w:r w:rsidR="00F65531">
        <w:rPr>
          <w:rFonts w:ascii="Bookman Old Style" w:hAnsi="Bookman Old Style" w:cs="Arial"/>
          <w:iCs/>
          <w:lang w:val="es-CO"/>
        </w:rPr>
        <w:t>í</w:t>
      </w:r>
      <w:r w:rsidRPr="00110519">
        <w:rPr>
          <w:rFonts w:ascii="Bookman Old Style" w:hAnsi="Bookman Old Style" w:cs="Arial"/>
          <w:iCs/>
          <w:lang w:val="es-CO"/>
        </w:rPr>
        <w:t xml:space="preserve"> se tiene en cuenta que se trata del cumplimiento de las funciones propias de la CREG, que por su naturaleza permanecen en el tiempo.</w:t>
      </w:r>
    </w:p>
    <w:p w14:paraId="7C1E0C9D" w14:textId="60E8253B" w:rsidR="00E60FF2" w:rsidRDefault="00E60FF2" w:rsidP="00A7483C">
      <w:pPr>
        <w:spacing w:after="120"/>
        <w:ind w:left="0"/>
        <w:jc w:val="both"/>
        <w:rPr>
          <w:rFonts w:ascii="Bookman Old Style" w:hAnsi="Bookman Old Style" w:cs="Arial"/>
          <w:iCs/>
          <w:lang w:val="es-CO"/>
        </w:rPr>
      </w:pPr>
    </w:p>
    <w:p w14:paraId="44E92BB7" w14:textId="77777777" w:rsidR="006D7A3E" w:rsidRPr="00110519" w:rsidRDefault="006D7A3E" w:rsidP="00A7483C">
      <w:pPr>
        <w:spacing w:after="120"/>
        <w:ind w:left="0"/>
        <w:jc w:val="both"/>
        <w:rPr>
          <w:rFonts w:ascii="Bookman Old Style" w:hAnsi="Bookman Old Style" w:cs="Arial"/>
          <w:iCs/>
          <w:lang w:val="es-CO"/>
        </w:rPr>
      </w:pPr>
    </w:p>
    <w:p w14:paraId="216EAD34" w14:textId="77777777" w:rsidR="009776A9" w:rsidRPr="00110519" w:rsidRDefault="009776A9" w:rsidP="009776A9">
      <w:pPr>
        <w:ind w:left="0"/>
        <w:jc w:val="both"/>
        <w:rPr>
          <w:rFonts w:ascii="Bookman Old Style" w:hAnsi="Bookman Old Style" w:cs="Arial"/>
          <w:b/>
          <w:iCs/>
          <w:lang w:val="es-CO"/>
        </w:rPr>
      </w:pPr>
      <w:r w:rsidRPr="00110519">
        <w:rPr>
          <w:rFonts w:ascii="Bookman Old Style" w:hAnsi="Bookman Old Style" w:cs="Arial"/>
          <w:b/>
          <w:iCs/>
          <w:lang w:val="es-CO"/>
        </w:rPr>
        <w:t>II.  INFORME DE LA AUDITORÍA</w:t>
      </w:r>
    </w:p>
    <w:p w14:paraId="216EAD35" w14:textId="27D6D71A" w:rsidR="008E7F21" w:rsidRDefault="008E7F21" w:rsidP="009776A9">
      <w:pPr>
        <w:ind w:left="0"/>
        <w:jc w:val="both"/>
        <w:rPr>
          <w:rFonts w:ascii="Bookman Old Style" w:hAnsi="Bookman Old Style" w:cs="Arial"/>
          <w:b/>
          <w:iCs/>
          <w:lang w:val="es-CO"/>
        </w:rPr>
      </w:pPr>
    </w:p>
    <w:p w14:paraId="7806C1DB" w14:textId="77777777" w:rsidR="00E60FF2" w:rsidRPr="00110519" w:rsidRDefault="00E60FF2" w:rsidP="009776A9">
      <w:pPr>
        <w:ind w:left="0"/>
        <w:jc w:val="both"/>
        <w:rPr>
          <w:rFonts w:ascii="Bookman Old Style" w:hAnsi="Bookman Old Style" w:cs="Arial"/>
          <w:b/>
          <w:iCs/>
          <w:lang w:val="es-CO"/>
        </w:rPr>
      </w:pPr>
    </w:p>
    <w:p w14:paraId="216EAD36" w14:textId="161F21F5" w:rsidR="008E7F21" w:rsidRPr="00110519" w:rsidRDefault="008E7F21" w:rsidP="008E7F21">
      <w:pPr>
        <w:pStyle w:val="Textoindependiente"/>
        <w:ind w:left="0"/>
        <w:jc w:val="both"/>
        <w:rPr>
          <w:rFonts w:ascii="Bookman Old Style" w:hAnsi="Bookman Old Style"/>
          <w:b w:val="0"/>
          <w:bCs w:val="0"/>
          <w:spacing w:val="-5"/>
          <w:lang w:val="es-CO" w:eastAsia="en-US"/>
        </w:rPr>
      </w:pPr>
      <w:r w:rsidRPr="00110519">
        <w:rPr>
          <w:rFonts w:ascii="Bookman Old Style" w:hAnsi="Bookman Old Style"/>
          <w:b w:val="0"/>
          <w:bCs w:val="0"/>
          <w:spacing w:val="-5"/>
          <w:lang w:val="es-CO" w:eastAsia="en-US"/>
        </w:rPr>
        <w:t>La planta Carlos Lleras Restrepo, representada por Hidroeléctrica del Alto Porce S.A.</w:t>
      </w:r>
      <w:r w:rsidR="00034F6B">
        <w:rPr>
          <w:rFonts w:ascii="Bookman Old Style" w:hAnsi="Bookman Old Style"/>
          <w:b w:val="0"/>
          <w:bCs w:val="0"/>
          <w:spacing w:val="-5"/>
          <w:lang w:val="es-CO" w:eastAsia="en-US"/>
        </w:rPr>
        <w:t>S.</w:t>
      </w:r>
      <w:r w:rsidRPr="00110519">
        <w:rPr>
          <w:rFonts w:ascii="Bookman Old Style" w:hAnsi="Bookman Old Style"/>
          <w:b w:val="0"/>
          <w:bCs w:val="0"/>
          <w:spacing w:val="-5"/>
          <w:lang w:val="es-CO" w:eastAsia="en-US"/>
        </w:rPr>
        <w:t xml:space="preserve"> E.S.P., en adelante </w:t>
      </w:r>
      <w:r w:rsidR="00034F6B" w:rsidRPr="00110519">
        <w:rPr>
          <w:rFonts w:ascii="Bookman Old Style" w:hAnsi="Bookman Old Style"/>
          <w:b w:val="0"/>
          <w:bCs w:val="0"/>
          <w:spacing w:val="-5"/>
          <w:lang w:val="es-CO" w:eastAsia="en-US"/>
        </w:rPr>
        <w:t>HIDRALPOR</w:t>
      </w:r>
      <w:r w:rsidRPr="00110519">
        <w:rPr>
          <w:rFonts w:ascii="Bookman Old Style" w:hAnsi="Bookman Old Style"/>
          <w:b w:val="0"/>
          <w:bCs w:val="0"/>
          <w:spacing w:val="-5"/>
          <w:lang w:val="es-CO" w:eastAsia="en-US"/>
        </w:rPr>
        <w:t>, participó en la subasta del Cargo por Confiabilidad para el período 2015-2016 obteniendo asignaciones de OEF por 54</w:t>
      </w:r>
      <w:r w:rsidR="00544564" w:rsidRPr="00110519">
        <w:rPr>
          <w:rFonts w:ascii="Bookman Old Style" w:hAnsi="Bookman Old Style"/>
          <w:b w:val="0"/>
          <w:bCs w:val="0"/>
          <w:spacing w:val="-5"/>
          <w:lang w:val="es-CO" w:eastAsia="en-US"/>
        </w:rPr>
        <w:t>7</w:t>
      </w:r>
      <w:r w:rsidRPr="00110519">
        <w:rPr>
          <w:rFonts w:ascii="Bookman Old Style" w:hAnsi="Bookman Old Style"/>
          <w:b w:val="0"/>
          <w:bCs w:val="0"/>
          <w:spacing w:val="-5"/>
          <w:lang w:val="es-CO" w:eastAsia="en-US"/>
        </w:rPr>
        <w:t>.945 kWh/día.</w:t>
      </w:r>
    </w:p>
    <w:p w14:paraId="216EAD38" w14:textId="77777777" w:rsidR="009776A9" w:rsidRPr="00110519" w:rsidRDefault="009776A9" w:rsidP="009776A9">
      <w:pPr>
        <w:ind w:left="0"/>
        <w:jc w:val="both"/>
        <w:rPr>
          <w:rFonts w:ascii="Bookman Old Style" w:hAnsi="Bookman Old Style" w:cs="Arial"/>
          <w:iCs/>
          <w:lang w:val="es-CO"/>
        </w:rPr>
      </w:pPr>
    </w:p>
    <w:p w14:paraId="4610420F" w14:textId="77777777" w:rsidR="006D7A3E" w:rsidRDefault="009776A9" w:rsidP="009776A9">
      <w:pPr>
        <w:spacing w:after="212"/>
        <w:ind w:left="0"/>
        <w:jc w:val="both"/>
        <w:rPr>
          <w:rFonts w:ascii="Bookman Old Style" w:hAnsi="Bookman Old Style" w:cs="Arial"/>
          <w:lang w:val="es-CO"/>
        </w:rPr>
      </w:pPr>
      <w:r w:rsidRPr="00110519">
        <w:rPr>
          <w:rFonts w:ascii="Bookman Old Style" w:hAnsi="Bookman Old Style" w:cs="Arial"/>
          <w:iCs/>
          <w:lang w:val="es-CO"/>
        </w:rPr>
        <w:t xml:space="preserve">En cumplimiento de lo </w:t>
      </w:r>
      <w:r w:rsidR="00C3356D" w:rsidRPr="00110519">
        <w:rPr>
          <w:rFonts w:ascii="Bookman Old Style" w:hAnsi="Bookman Old Style" w:cs="Arial"/>
          <w:iCs/>
          <w:lang w:val="es-CO"/>
        </w:rPr>
        <w:t>ordenado por la Resolución CREG 030 de 2019</w:t>
      </w:r>
      <w:r w:rsidRPr="00110519">
        <w:rPr>
          <w:rFonts w:ascii="Bookman Old Style" w:hAnsi="Bookman Old Style" w:cs="Arial"/>
          <w:iCs/>
          <w:lang w:val="es-CO"/>
        </w:rPr>
        <w:t>, X</w:t>
      </w:r>
      <w:r w:rsidRPr="00110519">
        <w:rPr>
          <w:rFonts w:ascii="Bookman Old Style" w:hAnsi="Bookman Old Style" w:cs="Arial"/>
          <w:lang w:val="es-CO"/>
        </w:rPr>
        <w:t xml:space="preserve">M S.A. E.S.P. contrató a la firma auditora HMV </w:t>
      </w:r>
      <w:r w:rsidR="00B461CF" w:rsidRPr="00110519">
        <w:rPr>
          <w:rFonts w:ascii="Bookman Old Style" w:hAnsi="Bookman Old Style" w:cs="Arial"/>
          <w:lang w:val="es-CO"/>
        </w:rPr>
        <w:t>Ingenieros</w:t>
      </w:r>
      <w:r w:rsidRPr="00110519">
        <w:rPr>
          <w:rFonts w:ascii="Bookman Old Style" w:hAnsi="Bookman Old Style" w:cs="Arial"/>
          <w:lang w:val="es-CO"/>
        </w:rPr>
        <w:t xml:space="preserve">, que rindió su informe final </w:t>
      </w:r>
      <w:r w:rsidR="00034F6B">
        <w:rPr>
          <w:rFonts w:ascii="Bookman Old Style" w:hAnsi="Bookman Old Style" w:cs="Arial"/>
          <w:lang w:val="es-CO"/>
        </w:rPr>
        <w:t xml:space="preserve">de auditoría </w:t>
      </w:r>
      <w:r w:rsidRPr="00110519">
        <w:rPr>
          <w:rFonts w:ascii="Bookman Old Style" w:hAnsi="Bookman Old Style"/>
        </w:rPr>
        <w:t xml:space="preserve">el día 16 de febrero de 2021, </w:t>
      </w:r>
      <w:r w:rsidR="00CA1008" w:rsidRPr="00110519">
        <w:rPr>
          <w:rFonts w:ascii="Bookman Old Style" w:hAnsi="Bookman Old Style"/>
        </w:rPr>
        <w:t xml:space="preserve">radicados </w:t>
      </w:r>
      <w:r w:rsidR="00ED3FC6" w:rsidRPr="00110519">
        <w:rPr>
          <w:rFonts w:ascii="Bookman Old Style" w:hAnsi="Bookman Old Style"/>
        </w:rPr>
        <w:t>CREG E-2021-002123</w:t>
      </w:r>
      <w:r w:rsidR="00CA1008" w:rsidRPr="00110519">
        <w:rPr>
          <w:rFonts w:ascii="Bookman Old Style" w:hAnsi="Bookman Old Style" w:cs="Arial"/>
          <w:lang w:val="es-CO"/>
        </w:rPr>
        <w:t>, E-2021-002124, E-2021-002126, E-2021-002131 y E-2021-002199</w:t>
      </w:r>
      <w:r w:rsidR="00D80E6C" w:rsidRPr="00110519">
        <w:rPr>
          <w:rFonts w:ascii="Bookman Old Style" w:hAnsi="Bookman Old Style" w:cs="Arial"/>
          <w:lang w:val="es-CO"/>
        </w:rPr>
        <w:t>. Estos documentos contienen en forma detallada la verificación de los</w:t>
      </w:r>
      <w:r w:rsidRPr="00110519">
        <w:rPr>
          <w:rFonts w:ascii="Bookman Old Style" w:hAnsi="Bookman Old Style"/>
        </w:rPr>
        <w:t xml:space="preserve"> parámetros declarados </w:t>
      </w:r>
      <w:r w:rsidR="00A447D9">
        <w:rPr>
          <w:rFonts w:ascii="Bookman Old Style" w:hAnsi="Bookman Old Style"/>
        </w:rPr>
        <w:t>por la</w:t>
      </w:r>
      <w:r w:rsidR="00F65531">
        <w:rPr>
          <w:rFonts w:ascii="Bookman Old Style" w:hAnsi="Bookman Old Style"/>
        </w:rPr>
        <w:t xml:space="preserve">s </w:t>
      </w:r>
      <w:r w:rsidR="00A447D9">
        <w:rPr>
          <w:rFonts w:ascii="Bookman Old Style" w:hAnsi="Bookman Old Style"/>
        </w:rPr>
        <w:t xml:space="preserve">plantas hidráulicas existentes </w:t>
      </w:r>
      <w:r w:rsidRPr="00110519">
        <w:rPr>
          <w:rFonts w:ascii="Bookman Old Style" w:hAnsi="Bookman Old Style"/>
        </w:rPr>
        <w:t>para participar en la subasta del cargo por confiabilidad para el período 2022-2023,</w:t>
      </w:r>
      <w:r w:rsidR="009031BE" w:rsidRPr="00110519">
        <w:rPr>
          <w:rFonts w:ascii="Bookman Old Style" w:hAnsi="Bookman Old Style"/>
        </w:rPr>
        <w:t xml:space="preserve"> </w:t>
      </w:r>
      <w:r w:rsidR="009031BE" w:rsidRPr="00110519">
        <w:rPr>
          <w:rFonts w:ascii="Bookman Old Style" w:hAnsi="Bookman Old Style" w:cs="Arial"/>
          <w:lang w:val="es-CO"/>
        </w:rPr>
        <w:t xml:space="preserve">y las plantas hidráulicas </w:t>
      </w:r>
      <w:r w:rsidR="00C66AF3" w:rsidRPr="00110519">
        <w:rPr>
          <w:rFonts w:ascii="Bookman Old Style" w:hAnsi="Bookman Old Style" w:cs="Arial"/>
          <w:lang w:val="es-CO"/>
        </w:rPr>
        <w:t xml:space="preserve">con </w:t>
      </w:r>
      <w:r w:rsidR="009031BE" w:rsidRPr="00110519">
        <w:rPr>
          <w:rFonts w:ascii="Bookman Old Style" w:hAnsi="Bookman Old Style" w:cs="Arial"/>
          <w:lang w:val="es-CO"/>
        </w:rPr>
        <w:t>asignaciones previas para este período y que se encuentren en operación, de acuerdo con lo definido en el Anexo 6 de la Resolución CREG 071 de 2006.</w:t>
      </w:r>
    </w:p>
    <w:p w14:paraId="216EAD39" w14:textId="403ED8CF" w:rsidR="009776A9" w:rsidRPr="00110519" w:rsidRDefault="009776A9" w:rsidP="009776A9">
      <w:pPr>
        <w:spacing w:after="212"/>
        <w:ind w:left="0"/>
        <w:jc w:val="both"/>
        <w:rPr>
          <w:rFonts w:ascii="Bookman Old Style" w:hAnsi="Bookman Old Style"/>
        </w:rPr>
      </w:pPr>
      <w:r w:rsidRPr="00110519">
        <w:rPr>
          <w:rFonts w:ascii="Bookman Old Style" w:hAnsi="Bookman Old Style"/>
        </w:rPr>
        <w:t xml:space="preserve"> </w:t>
      </w:r>
    </w:p>
    <w:p w14:paraId="216EAD3A" w14:textId="710DBA61" w:rsidR="009776A9" w:rsidRPr="00110519" w:rsidRDefault="009776A9" w:rsidP="009776A9">
      <w:pPr>
        <w:ind w:left="0"/>
        <w:jc w:val="both"/>
        <w:rPr>
          <w:rFonts w:ascii="Bookman Old Style" w:hAnsi="Bookman Old Style" w:cs="Arial"/>
        </w:rPr>
      </w:pPr>
      <w:r w:rsidRPr="00110519">
        <w:rPr>
          <w:rFonts w:ascii="Bookman Old Style" w:hAnsi="Bookman Old Style" w:cs="Arial"/>
          <w:lang w:val="es-CO"/>
        </w:rPr>
        <w:lastRenderedPageBreak/>
        <w:t xml:space="preserve">El informe incluyó la auditoría </w:t>
      </w:r>
      <w:r w:rsidR="00C721CA">
        <w:rPr>
          <w:rFonts w:ascii="Bookman Old Style" w:hAnsi="Bookman Old Style" w:cs="Arial"/>
          <w:lang w:val="es-CO"/>
        </w:rPr>
        <w:t>de</w:t>
      </w:r>
      <w:r w:rsidRPr="00110519">
        <w:rPr>
          <w:rFonts w:ascii="Bookman Old Style" w:hAnsi="Bookman Old Style" w:cs="Arial"/>
        </w:rPr>
        <w:t xml:space="preserve"> los siguientes 17 parámetros de las plantas hidráulicas: </w:t>
      </w:r>
    </w:p>
    <w:p w14:paraId="216EAD3B" w14:textId="77777777" w:rsidR="009776A9" w:rsidRPr="00110519" w:rsidRDefault="009776A9" w:rsidP="009776A9">
      <w:pPr>
        <w:ind w:left="0"/>
        <w:jc w:val="both"/>
        <w:rPr>
          <w:rFonts w:ascii="Bookman Old Style" w:hAnsi="Bookman Old Style" w:cs="Arial"/>
        </w:rPr>
      </w:pPr>
    </w:p>
    <w:p w14:paraId="216EAD3C"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Capacidad Efectiva Neta </w:t>
      </w:r>
    </w:p>
    <w:p w14:paraId="216EAD3D"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Factor de Conversión </w:t>
      </w:r>
    </w:p>
    <w:p w14:paraId="216EAD3E"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IHF Plantas Hidráulicas </w:t>
      </w:r>
    </w:p>
    <w:p w14:paraId="216EAD3F"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Volumen de Espera </w:t>
      </w:r>
    </w:p>
    <w:p w14:paraId="216EAD40"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Curva Guía Máxima y Mínima </w:t>
      </w:r>
    </w:p>
    <w:p w14:paraId="015D57EB" w14:textId="77777777" w:rsidR="00C721CA" w:rsidRPr="00C721CA"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lang w:val="es-ES"/>
        </w:rPr>
        <w:t>Arcos de Generación</w:t>
      </w:r>
    </w:p>
    <w:p w14:paraId="216EAD41" w14:textId="75028ACA"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Arcos de Descarga </w:t>
      </w:r>
    </w:p>
    <w:p w14:paraId="216EAD42"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Arcos de Bombeo </w:t>
      </w:r>
    </w:p>
    <w:p w14:paraId="216EAD43"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Demanda Acueducto y Riego </w:t>
      </w:r>
    </w:p>
    <w:p w14:paraId="216EAD44"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Factor de Retorno de Acueducto y Riego </w:t>
      </w:r>
    </w:p>
    <w:p w14:paraId="216EAD45"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Topología de Plantas Hidráulicas </w:t>
      </w:r>
    </w:p>
    <w:p w14:paraId="216EAD46"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Filtraciones </w:t>
      </w:r>
    </w:p>
    <w:p w14:paraId="216EAD47"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Descarga Máximas Embalses (aplicable a Bogotá) </w:t>
      </w:r>
    </w:p>
    <w:p w14:paraId="216EAD48"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Capacidad de Túneles (aplicable a Chivor) </w:t>
      </w:r>
    </w:p>
    <w:p w14:paraId="216EAD49"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Serie Histórica de Caudales Medios Mensuales </w:t>
      </w:r>
    </w:p>
    <w:p w14:paraId="216EAD4A"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 xml:space="preserve">Embalse Mínimo Técnico </w:t>
      </w:r>
    </w:p>
    <w:p w14:paraId="216EAD4B" w14:textId="77777777" w:rsidR="009776A9" w:rsidRPr="00110519" w:rsidRDefault="009776A9" w:rsidP="009776A9">
      <w:pPr>
        <w:pStyle w:val="Prrafodelista"/>
        <w:numPr>
          <w:ilvl w:val="0"/>
          <w:numId w:val="1"/>
        </w:numPr>
        <w:jc w:val="both"/>
        <w:rPr>
          <w:rFonts w:ascii="Bookman Old Style" w:hAnsi="Bookman Old Style" w:cs="Arial"/>
          <w:sz w:val="24"/>
          <w:szCs w:val="24"/>
        </w:rPr>
      </w:pPr>
      <w:r w:rsidRPr="00110519">
        <w:rPr>
          <w:rFonts w:ascii="Bookman Old Style" w:hAnsi="Bookman Old Style" w:cs="Arial"/>
          <w:sz w:val="24"/>
          <w:szCs w:val="24"/>
        </w:rPr>
        <w:t>Embalse Máximo Técnico</w:t>
      </w:r>
    </w:p>
    <w:p w14:paraId="216EAD4C" w14:textId="77777777" w:rsidR="009776A9" w:rsidRPr="00110519" w:rsidRDefault="009776A9" w:rsidP="009776A9">
      <w:pPr>
        <w:ind w:left="0"/>
        <w:jc w:val="both"/>
        <w:rPr>
          <w:rFonts w:ascii="Bookman Old Style" w:hAnsi="Bookman Old Style" w:cs="Arial"/>
          <w:lang w:val="es-CO"/>
        </w:rPr>
      </w:pPr>
    </w:p>
    <w:p w14:paraId="216EAD4D" w14:textId="609482F1" w:rsidR="009776A9" w:rsidRPr="00110519" w:rsidRDefault="009776A9" w:rsidP="009776A9">
      <w:pPr>
        <w:ind w:left="0"/>
        <w:jc w:val="both"/>
        <w:rPr>
          <w:rFonts w:ascii="Bookman Old Style" w:hAnsi="Bookman Old Style" w:cs="Arial"/>
          <w:lang w:val="es-CO"/>
        </w:rPr>
      </w:pPr>
      <w:r w:rsidRPr="00110519">
        <w:rPr>
          <w:rFonts w:ascii="Bookman Old Style" w:hAnsi="Bookman Old Style" w:cs="Arial"/>
          <w:lang w:val="es-CO"/>
        </w:rPr>
        <w:t xml:space="preserve">En relación con la planta </w:t>
      </w:r>
      <w:r w:rsidR="00536228" w:rsidRPr="00110519">
        <w:rPr>
          <w:rFonts w:ascii="Bookman Old Style" w:hAnsi="Bookman Old Style" w:cs="Arial"/>
          <w:lang w:val="es-CO"/>
        </w:rPr>
        <w:t>Carlos Lleras Restrepo</w:t>
      </w:r>
      <w:r w:rsidR="00E725D7">
        <w:rPr>
          <w:rFonts w:ascii="Bookman Old Style" w:hAnsi="Bookman Old Style" w:cs="Arial"/>
          <w:lang w:val="es-CO"/>
        </w:rPr>
        <w:t>,</w:t>
      </w:r>
      <w:r w:rsidR="00536228" w:rsidRPr="00110519">
        <w:rPr>
          <w:rFonts w:ascii="Bookman Old Style" w:hAnsi="Bookman Old Style" w:cs="Arial"/>
          <w:lang w:val="es-CO"/>
        </w:rPr>
        <w:t xml:space="preserve"> </w:t>
      </w:r>
      <w:r w:rsidRPr="00110519">
        <w:rPr>
          <w:rFonts w:ascii="Bookman Old Style" w:hAnsi="Bookman Old Style" w:cs="Arial"/>
          <w:lang w:val="es-CO"/>
        </w:rPr>
        <w:t xml:space="preserve">el </w:t>
      </w:r>
      <w:r w:rsidR="00536228" w:rsidRPr="00110519">
        <w:rPr>
          <w:rFonts w:ascii="Bookman Old Style" w:hAnsi="Bookman Old Style" w:cs="Arial"/>
          <w:lang w:val="es-CO"/>
        </w:rPr>
        <w:t>a</w:t>
      </w:r>
      <w:r w:rsidRPr="00110519">
        <w:rPr>
          <w:rFonts w:ascii="Bookman Old Style" w:hAnsi="Bookman Old Style" w:cs="Arial"/>
          <w:lang w:val="es-CO"/>
        </w:rPr>
        <w:t xml:space="preserve">uditor </w:t>
      </w:r>
      <w:r w:rsidR="00536228" w:rsidRPr="00110519">
        <w:rPr>
          <w:rFonts w:ascii="Bookman Old Style" w:hAnsi="Bookman Old Style" w:cs="Arial"/>
          <w:lang w:val="es-CO"/>
        </w:rPr>
        <w:t xml:space="preserve">HMV Ingenieros </w:t>
      </w:r>
      <w:r w:rsidRPr="00110519">
        <w:rPr>
          <w:rFonts w:ascii="Bookman Old Style" w:hAnsi="Bookman Old Style" w:cs="Arial"/>
          <w:lang w:val="es-CO"/>
        </w:rPr>
        <w:t>detalló en la “</w:t>
      </w:r>
      <w:r w:rsidRPr="00110519">
        <w:rPr>
          <w:rFonts w:ascii="Bookman Old Style" w:hAnsi="Bookman Old Style" w:cs="Arial"/>
        </w:rPr>
        <w:t>Tabla 2</w:t>
      </w:r>
      <w:r w:rsidR="00A571EC" w:rsidRPr="00110519">
        <w:rPr>
          <w:rFonts w:ascii="Bookman Old Style" w:hAnsi="Bookman Old Style" w:cs="Arial"/>
        </w:rPr>
        <w:t>1</w:t>
      </w:r>
      <w:r w:rsidRPr="00110519">
        <w:rPr>
          <w:rFonts w:ascii="Bookman Old Style" w:hAnsi="Bookman Old Style" w:cs="Arial"/>
        </w:rPr>
        <w:t xml:space="preserve">. Resumen resultados parámetros auditados y condición de discrepancia </w:t>
      </w:r>
      <w:r w:rsidR="00B36822" w:rsidRPr="00110519">
        <w:rPr>
          <w:rFonts w:ascii="Bookman Old Style" w:hAnsi="Bookman Old Style" w:cs="Arial"/>
        </w:rPr>
        <w:t>–</w:t>
      </w:r>
      <w:r w:rsidRPr="00110519">
        <w:rPr>
          <w:rFonts w:ascii="Bookman Old Style" w:hAnsi="Bookman Old Style" w:cs="Arial"/>
        </w:rPr>
        <w:t xml:space="preserve"> Agente </w:t>
      </w:r>
      <w:r w:rsidR="00A571EC" w:rsidRPr="00110519">
        <w:rPr>
          <w:rFonts w:ascii="Bookman Old Style" w:hAnsi="Bookman Old Style" w:cs="Arial"/>
        </w:rPr>
        <w:t xml:space="preserve">HIDRALPOR, </w:t>
      </w:r>
      <w:r w:rsidRPr="00110519">
        <w:rPr>
          <w:rFonts w:ascii="Bookman Old Style" w:hAnsi="Bookman Old Style" w:cs="Arial"/>
          <w:lang w:val="es-CO"/>
        </w:rPr>
        <w:t>lo siguiente:</w:t>
      </w:r>
    </w:p>
    <w:p w14:paraId="216EAD4E" w14:textId="77777777" w:rsidR="009776A9" w:rsidRPr="00110519" w:rsidRDefault="009776A9" w:rsidP="009776A9">
      <w:pPr>
        <w:ind w:left="0"/>
        <w:jc w:val="both"/>
        <w:rPr>
          <w:rFonts w:ascii="Bookman Old Style" w:hAnsi="Bookman Old Style" w:cs="Arial"/>
          <w:lang w:val="es-CO"/>
        </w:rPr>
      </w:pPr>
    </w:p>
    <w:tbl>
      <w:tblPr>
        <w:tblStyle w:val="Tablaconcuadrcula"/>
        <w:tblW w:w="0" w:type="auto"/>
        <w:jc w:val="center"/>
        <w:tblLook w:val="04A0" w:firstRow="1" w:lastRow="0" w:firstColumn="1" w:lastColumn="0" w:noHBand="0" w:noVBand="1"/>
      </w:tblPr>
      <w:tblGrid>
        <w:gridCol w:w="4106"/>
        <w:gridCol w:w="1559"/>
      </w:tblGrid>
      <w:tr w:rsidR="009776A9" w:rsidRPr="00110519" w14:paraId="216EAD52" w14:textId="77777777" w:rsidTr="00F42613">
        <w:trPr>
          <w:jc w:val="center"/>
        </w:trPr>
        <w:tc>
          <w:tcPr>
            <w:tcW w:w="4106" w:type="dxa"/>
          </w:tcPr>
          <w:p w14:paraId="216EAD4F" w14:textId="77777777" w:rsidR="009776A9" w:rsidRPr="00110519" w:rsidRDefault="009776A9" w:rsidP="00F42613">
            <w:pPr>
              <w:ind w:left="0"/>
              <w:jc w:val="center"/>
              <w:rPr>
                <w:rFonts w:ascii="Calibri Light" w:hAnsi="Calibri Light" w:cs="Calibri Light"/>
                <w:b/>
                <w:bCs/>
                <w:lang w:val="es-CO"/>
              </w:rPr>
            </w:pPr>
            <w:r w:rsidRPr="00110519">
              <w:rPr>
                <w:rFonts w:ascii="Calibri Light" w:hAnsi="Calibri Light" w:cs="Calibri Light"/>
                <w:b/>
                <w:bCs/>
                <w:lang w:val="es-CO"/>
              </w:rPr>
              <w:t>PARÁMETRO</w:t>
            </w:r>
          </w:p>
          <w:p w14:paraId="216EAD50" w14:textId="77777777" w:rsidR="009776A9" w:rsidRPr="00110519" w:rsidRDefault="009776A9" w:rsidP="00F42613">
            <w:pPr>
              <w:ind w:left="0"/>
              <w:jc w:val="center"/>
              <w:rPr>
                <w:rFonts w:ascii="Calibri Light" w:hAnsi="Calibri Light" w:cs="Calibri Light"/>
                <w:b/>
                <w:bCs/>
                <w:lang w:val="es-CO"/>
              </w:rPr>
            </w:pPr>
            <w:r w:rsidRPr="00110519">
              <w:rPr>
                <w:rFonts w:ascii="Calibri Light" w:hAnsi="Calibri Light" w:cs="Calibri Light"/>
                <w:b/>
                <w:bCs/>
                <w:lang w:val="es-CO"/>
              </w:rPr>
              <w:t>CENTRAL-RÍO-EMBALSE-SERIE</w:t>
            </w:r>
          </w:p>
        </w:tc>
        <w:tc>
          <w:tcPr>
            <w:tcW w:w="1559" w:type="dxa"/>
          </w:tcPr>
          <w:p w14:paraId="216EAD51" w14:textId="77777777" w:rsidR="009776A9" w:rsidRPr="00110519" w:rsidRDefault="008A5AA7" w:rsidP="008A5AA7">
            <w:pPr>
              <w:ind w:left="0"/>
              <w:jc w:val="center"/>
              <w:rPr>
                <w:rFonts w:ascii="Calibri Light" w:hAnsi="Calibri Light" w:cs="Calibri Light"/>
                <w:b/>
                <w:bCs/>
                <w:lang w:val="es-CO"/>
              </w:rPr>
            </w:pPr>
            <w:r w:rsidRPr="00110519">
              <w:rPr>
                <w:rFonts w:ascii="Calibri Light" w:hAnsi="Calibri Light" w:cs="Calibri Light"/>
                <w:b/>
                <w:bCs/>
                <w:lang w:val="es-CO"/>
              </w:rPr>
              <w:t>CARLOS LLERAS</w:t>
            </w:r>
          </w:p>
        </w:tc>
      </w:tr>
      <w:tr w:rsidR="009776A9" w:rsidRPr="00110519" w14:paraId="216EAD55" w14:textId="77777777" w:rsidTr="00F42613">
        <w:trPr>
          <w:jc w:val="center"/>
        </w:trPr>
        <w:tc>
          <w:tcPr>
            <w:tcW w:w="4106" w:type="dxa"/>
          </w:tcPr>
          <w:p w14:paraId="216EAD53"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Capacidad Efectiva Neta </w:t>
            </w:r>
          </w:p>
        </w:tc>
        <w:tc>
          <w:tcPr>
            <w:tcW w:w="1559" w:type="dxa"/>
          </w:tcPr>
          <w:p w14:paraId="216EAD54"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58" w14:textId="77777777" w:rsidTr="00F42613">
        <w:trPr>
          <w:jc w:val="center"/>
        </w:trPr>
        <w:tc>
          <w:tcPr>
            <w:tcW w:w="4106" w:type="dxa"/>
          </w:tcPr>
          <w:p w14:paraId="216EAD56"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Factor de Conversión </w:t>
            </w:r>
          </w:p>
        </w:tc>
        <w:tc>
          <w:tcPr>
            <w:tcW w:w="1559" w:type="dxa"/>
          </w:tcPr>
          <w:p w14:paraId="216EAD57"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5B" w14:textId="77777777" w:rsidTr="00F42613">
        <w:trPr>
          <w:jc w:val="center"/>
        </w:trPr>
        <w:tc>
          <w:tcPr>
            <w:tcW w:w="4106" w:type="dxa"/>
          </w:tcPr>
          <w:p w14:paraId="216EAD59"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IHF</w:t>
            </w:r>
          </w:p>
        </w:tc>
        <w:tc>
          <w:tcPr>
            <w:tcW w:w="1559" w:type="dxa"/>
          </w:tcPr>
          <w:p w14:paraId="216EAD5A"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5E" w14:textId="77777777" w:rsidTr="00F42613">
        <w:trPr>
          <w:jc w:val="center"/>
        </w:trPr>
        <w:tc>
          <w:tcPr>
            <w:tcW w:w="4106" w:type="dxa"/>
          </w:tcPr>
          <w:p w14:paraId="216EAD5C"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Topología </w:t>
            </w:r>
          </w:p>
        </w:tc>
        <w:tc>
          <w:tcPr>
            <w:tcW w:w="1559" w:type="dxa"/>
          </w:tcPr>
          <w:p w14:paraId="216EAD5D" w14:textId="77777777" w:rsidR="009776A9" w:rsidRPr="00110519" w:rsidRDefault="00851131" w:rsidP="00851131">
            <w:pPr>
              <w:ind w:left="0"/>
              <w:jc w:val="center"/>
              <w:rPr>
                <w:rFonts w:ascii="Calibri Light" w:hAnsi="Calibri Light" w:cs="Calibri Light"/>
                <w:lang w:val="es-CO"/>
              </w:rPr>
            </w:pPr>
            <w:r w:rsidRPr="00110519">
              <w:rPr>
                <w:rFonts w:ascii="Calibri Light" w:hAnsi="Calibri Light" w:cs="Calibri Light"/>
                <w:lang w:val="es-CO"/>
              </w:rPr>
              <w:t>SI</w:t>
            </w:r>
          </w:p>
        </w:tc>
      </w:tr>
      <w:tr w:rsidR="009776A9" w:rsidRPr="00110519" w14:paraId="216EAD61" w14:textId="77777777" w:rsidTr="00F42613">
        <w:trPr>
          <w:jc w:val="center"/>
        </w:trPr>
        <w:tc>
          <w:tcPr>
            <w:tcW w:w="4106" w:type="dxa"/>
          </w:tcPr>
          <w:p w14:paraId="216EAD5F"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Arcos de Generación </w:t>
            </w:r>
          </w:p>
        </w:tc>
        <w:tc>
          <w:tcPr>
            <w:tcW w:w="1559" w:type="dxa"/>
          </w:tcPr>
          <w:p w14:paraId="216EAD60"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64" w14:textId="77777777" w:rsidTr="00F42613">
        <w:trPr>
          <w:jc w:val="center"/>
        </w:trPr>
        <w:tc>
          <w:tcPr>
            <w:tcW w:w="4106" w:type="dxa"/>
          </w:tcPr>
          <w:p w14:paraId="216EAD62"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Arcos de Descarga </w:t>
            </w:r>
          </w:p>
        </w:tc>
        <w:tc>
          <w:tcPr>
            <w:tcW w:w="1559" w:type="dxa"/>
          </w:tcPr>
          <w:p w14:paraId="216EAD63"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67" w14:textId="77777777" w:rsidTr="00F42613">
        <w:trPr>
          <w:jc w:val="center"/>
        </w:trPr>
        <w:tc>
          <w:tcPr>
            <w:tcW w:w="4106" w:type="dxa"/>
          </w:tcPr>
          <w:p w14:paraId="216EAD65"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Arcos de Bombeo</w:t>
            </w:r>
          </w:p>
        </w:tc>
        <w:tc>
          <w:tcPr>
            <w:tcW w:w="1559" w:type="dxa"/>
          </w:tcPr>
          <w:p w14:paraId="216EAD66"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6A" w14:textId="77777777" w:rsidTr="00F42613">
        <w:trPr>
          <w:jc w:val="center"/>
        </w:trPr>
        <w:tc>
          <w:tcPr>
            <w:tcW w:w="4106" w:type="dxa"/>
          </w:tcPr>
          <w:p w14:paraId="216EAD68"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Embalse Mínimo Técnico</w:t>
            </w:r>
          </w:p>
        </w:tc>
        <w:tc>
          <w:tcPr>
            <w:tcW w:w="1559" w:type="dxa"/>
          </w:tcPr>
          <w:p w14:paraId="216EAD69"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6D" w14:textId="77777777" w:rsidTr="00F42613">
        <w:trPr>
          <w:jc w:val="center"/>
        </w:trPr>
        <w:tc>
          <w:tcPr>
            <w:tcW w:w="4106" w:type="dxa"/>
          </w:tcPr>
          <w:p w14:paraId="216EAD6B"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Embalse Máximo Técnico </w:t>
            </w:r>
          </w:p>
        </w:tc>
        <w:tc>
          <w:tcPr>
            <w:tcW w:w="1559" w:type="dxa"/>
          </w:tcPr>
          <w:p w14:paraId="216EAD6C"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70" w14:textId="77777777" w:rsidTr="00F42613">
        <w:trPr>
          <w:jc w:val="center"/>
        </w:trPr>
        <w:tc>
          <w:tcPr>
            <w:tcW w:w="4106" w:type="dxa"/>
          </w:tcPr>
          <w:p w14:paraId="216EAD6E"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Volumen de Espera</w:t>
            </w:r>
          </w:p>
        </w:tc>
        <w:tc>
          <w:tcPr>
            <w:tcW w:w="1559" w:type="dxa"/>
          </w:tcPr>
          <w:p w14:paraId="216EAD6F"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73" w14:textId="77777777" w:rsidTr="00F42613">
        <w:trPr>
          <w:jc w:val="center"/>
        </w:trPr>
        <w:tc>
          <w:tcPr>
            <w:tcW w:w="4106" w:type="dxa"/>
          </w:tcPr>
          <w:p w14:paraId="216EAD71"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Curva Guía Mínima y Máxima </w:t>
            </w:r>
          </w:p>
        </w:tc>
        <w:tc>
          <w:tcPr>
            <w:tcW w:w="1559" w:type="dxa"/>
          </w:tcPr>
          <w:p w14:paraId="216EAD72"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76" w14:textId="77777777" w:rsidTr="00F42613">
        <w:trPr>
          <w:jc w:val="center"/>
        </w:trPr>
        <w:tc>
          <w:tcPr>
            <w:tcW w:w="4106" w:type="dxa"/>
          </w:tcPr>
          <w:p w14:paraId="216EAD74"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Demanda de Acueducto y Riego </w:t>
            </w:r>
          </w:p>
        </w:tc>
        <w:tc>
          <w:tcPr>
            <w:tcW w:w="1559" w:type="dxa"/>
          </w:tcPr>
          <w:p w14:paraId="216EAD75" w14:textId="77777777" w:rsidR="009776A9" w:rsidRPr="00110519" w:rsidRDefault="009776A9" w:rsidP="00F42613">
            <w:pPr>
              <w:ind w:left="0"/>
              <w:jc w:val="center"/>
              <w:rPr>
                <w:rFonts w:ascii="Calibri Light" w:hAnsi="Calibri Light" w:cs="Calibri Light"/>
                <w:b/>
                <w:bCs/>
                <w:lang w:val="es-CO"/>
              </w:rPr>
            </w:pPr>
            <w:r w:rsidRPr="00110519">
              <w:rPr>
                <w:rFonts w:ascii="Calibri Light" w:hAnsi="Calibri Light" w:cs="Calibri Light"/>
                <w:lang w:val="es-CO"/>
              </w:rPr>
              <w:t>NO</w:t>
            </w:r>
          </w:p>
        </w:tc>
      </w:tr>
      <w:tr w:rsidR="009776A9" w:rsidRPr="00110519" w14:paraId="216EAD79" w14:textId="77777777" w:rsidTr="00F42613">
        <w:trPr>
          <w:jc w:val="center"/>
        </w:trPr>
        <w:tc>
          <w:tcPr>
            <w:tcW w:w="4106" w:type="dxa"/>
          </w:tcPr>
          <w:p w14:paraId="216EAD77"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Factor de Retorno de Acueducto y Riego </w:t>
            </w:r>
          </w:p>
        </w:tc>
        <w:tc>
          <w:tcPr>
            <w:tcW w:w="1559" w:type="dxa"/>
          </w:tcPr>
          <w:p w14:paraId="216EAD78" w14:textId="77777777" w:rsidR="009776A9" w:rsidRPr="00110519" w:rsidRDefault="009776A9" w:rsidP="00F42613">
            <w:pPr>
              <w:ind w:left="0"/>
              <w:jc w:val="center"/>
              <w:rPr>
                <w:rFonts w:ascii="Calibri Light" w:hAnsi="Calibri Light" w:cs="Calibri Light"/>
                <w:lang w:val="es-CO"/>
              </w:rPr>
            </w:pPr>
            <w:r w:rsidRPr="00110519">
              <w:rPr>
                <w:rFonts w:ascii="Calibri Light" w:hAnsi="Calibri Light" w:cs="Calibri Light"/>
                <w:lang w:val="es-CO"/>
              </w:rPr>
              <w:t>NO</w:t>
            </w:r>
          </w:p>
        </w:tc>
      </w:tr>
      <w:tr w:rsidR="009776A9" w:rsidRPr="00110519" w14:paraId="216EAD7C" w14:textId="77777777" w:rsidTr="00F42613">
        <w:trPr>
          <w:jc w:val="center"/>
        </w:trPr>
        <w:tc>
          <w:tcPr>
            <w:tcW w:w="4106" w:type="dxa"/>
          </w:tcPr>
          <w:p w14:paraId="216EAD7A"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 xml:space="preserve">Filtraciones </w:t>
            </w:r>
          </w:p>
        </w:tc>
        <w:tc>
          <w:tcPr>
            <w:tcW w:w="1559" w:type="dxa"/>
          </w:tcPr>
          <w:p w14:paraId="216EAD7B" w14:textId="77777777" w:rsidR="009776A9" w:rsidRPr="00110519" w:rsidRDefault="009776A9" w:rsidP="00F42613">
            <w:pPr>
              <w:ind w:left="0"/>
              <w:jc w:val="center"/>
              <w:rPr>
                <w:rFonts w:ascii="Calibri Light" w:hAnsi="Calibri Light" w:cs="Calibri Light"/>
                <w:b/>
                <w:bCs/>
                <w:lang w:val="es-CO"/>
              </w:rPr>
            </w:pPr>
            <w:r w:rsidRPr="00110519">
              <w:rPr>
                <w:rFonts w:ascii="Calibri Light" w:hAnsi="Calibri Light" w:cs="Calibri Light"/>
                <w:lang w:val="es-CO"/>
              </w:rPr>
              <w:t>NO</w:t>
            </w:r>
          </w:p>
        </w:tc>
      </w:tr>
      <w:tr w:rsidR="009776A9" w:rsidRPr="00110519" w14:paraId="216EAD7F" w14:textId="77777777" w:rsidTr="00F42613">
        <w:trPr>
          <w:jc w:val="center"/>
        </w:trPr>
        <w:tc>
          <w:tcPr>
            <w:tcW w:w="4106" w:type="dxa"/>
          </w:tcPr>
          <w:p w14:paraId="216EAD7D" w14:textId="77777777" w:rsidR="009776A9" w:rsidRPr="00110519" w:rsidRDefault="009776A9" w:rsidP="00F42613">
            <w:pPr>
              <w:ind w:left="0"/>
              <w:jc w:val="both"/>
              <w:rPr>
                <w:rFonts w:ascii="Calibri Light" w:hAnsi="Calibri Light" w:cs="Calibri Light"/>
                <w:lang w:val="es-CO"/>
              </w:rPr>
            </w:pPr>
            <w:r w:rsidRPr="00110519">
              <w:rPr>
                <w:rFonts w:ascii="Calibri Light" w:hAnsi="Calibri Light" w:cs="Calibri Light"/>
                <w:lang w:val="es-CO"/>
              </w:rPr>
              <w:t>Series SIN</w:t>
            </w:r>
          </w:p>
        </w:tc>
        <w:tc>
          <w:tcPr>
            <w:tcW w:w="1559" w:type="dxa"/>
          </w:tcPr>
          <w:p w14:paraId="216EAD7E" w14:textId="77777777" w:rsidR="009776A9" w:rsidRPr="00110519" w:rsidRDefault="00851131" w:rsidP="00F42613">
            <w:pPr>
              <w:ind w:left="0"/>
              <w:jc w:val="center"/>
              <w:rPr>
                <w:rFonts w:ascii="Calibri Light" w:hAnsi="Calibri Light" w:cs="Calibri Light"/>
                <w:lang w:val="es-CO"/>
              </w:rPr>
            </w:pPr>
            <w:r w:rsidRPr="00110519">
              <w:rPr>
                <w:rFonts w:ascii="Calibri Light" w:hAnsi="Calibri Light" w:cs="Calibri Light"/>
                <w:lang w:val="es-CO"/>
              </w:rPr>
              <w:t>NO</w:t>
            </w:r>
          </w:p>
        </w:tc>
      </w:tr>
    </w:tbl>
    <w:p w14:paraId="216EAD80" w14:textId="77777777" w:rsidR="009776A9" w:rsidRPr="00110519" w:rsidRDefault="009776A9" w:rsidP="009776A9">
      <w:pPr>
        <w:ind w:left="0"/>
        <w:jc w:val="both"/>
        <w:rPr>
          <w:rFonts w:ascii="Bookman Old Style" w:hAnsi="Bookman Old Style" w:cs="Arial"/>
          <w:lang w:val="es-CO"/>
        </w:rPr>
      </w:pPr>
    </w:p>
    <w:p w14:paraId="72DF2618" w14:textId="0832BF4D" w:rsidR="00DE08A0" w:rsidRPr="00110519" w:rsidRDefault="00CE0305" w:rsidP="009776A9">
      <w:pPr>
        <w:ind w:left="0"/>
        <w:jc w:val="both"/>
        <w:rPr>
          <w:rFonts w:ascii="Bookman Old Style" w:hAnsi="Bookman Old Style" w:cs="Arial"/>
          <w:lang w:val="es-CO"/>
        </w:rPr>
      </w:pPr>
      <w:r w:rsidRPr="00110519">
        <w:rPr>
          <w:rFonts w:ascii="Bookman Old Style" w:hAnsi="Bookman Old Style" w:cs="Arial"/>
          <w:lang w:val="es-CO"/>
        </w:rPr>
        <w:t>E</w:t>
      </w:r>
      <w:r w:rsidR="005B3598" w:rsidRPr="00110519">
        <w:rPr>
          <w:rFonts w:ascii="Bookman Old Style" w:hAnsi="Bookman Old Style" w:cs="Arial"/>
          <w:lang w:val="es-CO"/>
        </w:rPr>
        <w:t>n relación con el parámetro Topología,</w:t>
      </w:r>
      <w:r w:rsidRPr="00110519">
        <w:rPr>
          <w:rFonts w:ascii="Bookman Old Style" w:hAnsi="Bookman Old Style" w:cs="Arial"/>
          <w:lang w:val="es-CO"/>
        </w:rPr>
        <w:t xml:space="preserve"> el auditor en su informe</w:t>
      </w:r>
      <w:r w:rsidR="000524F1" w:rsidRPr="00110519">
        <w:rPr>
          <w:rFonts w:ascii="Bookman Old Style" w:hAnsi="Bookman Old Style" w:cs="Arial"/>
          <w:lang w:val="es-CO"/>
        </w:rPr>
        <w:t xml:space="preserve"> señala que</w:t>
      </w:r>
      <w:r w:rsidR="00DE08A0" w:rsidRPr="00110519">
        <w:rPr>
          <w:rFonts w:ascii="Bookman Old Style" w:hAnsi="Bookman Old Style" w:cs="Arial"/>
          <w:lang w:val="es-CO"/>
        </w:rPr>
        <w:t>:</w:t>
      </w:r>
      <w:r w:rsidR="000524F1" w:rsidRPr="00110519">
        <w:rPr>
          <w:rFonts w:ascii="Bookman Old Style" w:hAnsi="Bookman Old Style" w:cs="Arial"/>
          <w:lang w:val="es-CO"/>
        </w:rPr>
        <w:t xml:space="preserve"> </w:t>
      </w:r>
    </w:p>
    <w:p w14:paraId="6B2F1AC5" w14:textId="4E4ABD53" w:rsidR="00DE08A0" w:rsidRPr="00110519" w:rsidRDefault="00DE08A0" w:rsidP="009776A9">
      <w:pPr>
        <w:ind w:left="0"/>
        <w:jc w:val="both"/>
        <w:rPr>
          <w:rFonts w:ascii="Bookman Old Style" w:hAnsi="Bookman Old Style" w:cs="Arial"/>
          <w:lang w:val="es-CO"/>
        </w:rPr>
      </w:pPr>
    </w:p>
    <w:p w14:paraId="5F931EE7" w14:textId="60EE8D07" w:rsidR="00DE08A0" w:rsidRPr="00110519" w:rsidRDefault="00ED63B8">
      <w:pPr>
        <w:ind w:left="708"/>
        <w:jc w:val="both"/>
        <w:rPr>
          <w:rFonts w:ascii="Bookman Old Style" w:hAnsi="Bookman Old Style" w:cs="Arial"/>
          <w:lang w:val="es-CO"/>
        </w:rPr>
      </w:pPr>
      <w:r w:rsidRPr="00110519">
        <w:rPr>
          <w:rFonts w:ascii="Bookman Old Style" w:hAnsi="Bookman Old Style" w:cs="Arial"/>
          <w:lang w:val="es-CO"/>
        </w:rPr>
        <w:t>“</w:t>
      </w:r>
      <w:r w:rsidR="00DE08A0" w:rsidRPr="00110519">
        <w:rPr>
          <w:rFonts w:ascii="Bookman Old Style" w:hAnsi="Bookman Old Style" w:cs="Arial"/>
          <w:lang w:val="es-CO"/>
        </w:rPr>
        <w:t>Dando aplicación a las normas transcritas y con base a la información recibida se tiene lo siguiente:</w:t>
      </w:r>
    </w:p>
    <w:p w14:paraId="176E321B" w14:textId="77777777" w:rsidR="00D743A3" w:rsidRPr="00110519" w:rsidRDefault="00D743A3" w:rsidP="00D614F2">
      <w:pPr>
        <w:ind w:left="708"/>
        <w:jc w:val="both"/>
        <w:rPr>
          <w:rFonts w:ascii="Bookman Old Style" w:hAnsi="Bookman Old Style" w:cs="Arial"/>
          <w:lang w:val="es-CO"/>
        </w:rPr>
      </w:pPr>
    </w:p>
    <w:p w14:paraId="6A42F508" w14:textId="3B67CA39" w:rsidR="00DE08A0" w:rsidRPr="00110519" w:rsidRDefault="00DE08A0" w:rsidP="00D614F2">
      <w:pPr>
        <w:ind w:left="708"/>
        <w:jc w:val="both"/>
        <w:rPr>
          <w:rFonts w:ascii="Bookman Old Style" w:hAnsi="Bookman Old Style" w:cs="Arial"/>
          <w:lang w:val="es-CO"/>
        </w:rPr>
      </w:pPr>
      <w:r w:rsidRPr="00110519">
        <w:rPr>
          <w:rFonts w:ascii="Bookman Old Style" w:hAnsi="Bookman Old Style" w:cs="Arial"/>
          <w:lang w:val="es-CO"/>
        </w:rPr>
        <w:t>• La Resolución de CORANTIOQUIA 1108-12109 de 2011, modificada por la Resolución 1206-13256 del 22 de junio de 2012 de la misma entidad, señala que la Central tendrá un caudal ecológico de 3,55 m3/s, reportado por el agente como filtración en el “Formato 6. Filtraciones” del Anexo</w:t>
      </w:r>
      <w:r w:rsidR="00207225">
        <w:rPr>
          <w:rFonts w:ascii="Bookman Old Style" w:hAnsi="Bookman Old Style" w:cs="Arial"/>
          <w:lang w:val="es-CO"/>
        </w:rPr>
        <w:t xml:space="preserve"> </w:t>
      </w:r>
      <w:r w:rsidRPr="00110519">
        <w:rPr>
          <w:rFonts w:ascii="Bookman Old Style" w:hAnsi="Bookman Old Style" w:cs="Arial"/>
          <w:lang w:val="es-CO"/>
        </w:rPr>
        <w:t>3 de la Circular CREG 041 de 2019, observando que:</w:t>
      </w:r>
    </w:p>
    <w:p w14:paraId="32AF2E50" w14:textId="3FFE15AF" w:rsidR="00DE08A0" w:rsidRPr="00110519" w:rsidRDefault="00DE08A0">
      <w:pPr>
        <w:ind w:left="1416"/>
        <w:jc w:val="both"/>
        <w:rPr>
          <w:rFonts w:ascii="Bookman Old Style" w:hAnsi="Bookman Old Style" w:cs="Arial"/>
          <w:lang w:val="es-CO"/>
        </w:rPr>
      </w:pPr>
      <w:r w:rsidRPr="00110519">
        <w:rPr>
          <w:rFonts w:ascii="Bookman Old Style" w:hAnsi="Bookman Old Style" w:cs="Arial"/>
          <w:lang w:val="es-CO"/>
        </w:rPr>
        <w:t>o Este elemento no se presenta en la descripción del “Formato 2. Topología Plantas Hidráulicas” del Anexo1 de la Circular CREG 041 de 2019.</w:t>
      </w:r>
    </w:p>
    <w:p w14:paraId="395E5C44" w14:textId="77777777" w:rsidR="00992D25" w:rsidRPr="00110519" w:rsidRDefault="00992D25" w:rsidP="00D614F2">
      <w:pPr>
        <w:ind w:left="1416"/>
        <w:jc w:val="both"/>
        <w:rPr>
          <w:rFonts w:ascii="Bookman Old Style" w:hAnsi="Bookman Old Style" w:cs="Arial"/>
          <w:lang w:val="es-CO"/>
        </w:rPr>
      </w:pPr>
    </w:p>
    <w:p w14:paraId="11CB7603" w14:textId="1EEA5AF5" w:rsidR="00DE08A0" w:rsidRPr="00110519" w:rsidRDefault="00DE08A0" w:rsidP="00D614F2">
      <w:pPr>
        <w:ind w:left="1416"/>
        <w:jc w:val="both"/>
        <w:rPr>
          <w:rFonts w:ascii="Bookman Old Style" w:hAnsi="Bookman Old Style" w:cs="Arial"/>
          <w:lang w:val="es-CO"/>
        </w:rPr>
      </w:pPr>
      <w:r w:rsidRPr="00110519">
        <w:rPr>
          <w:rFonts w:ascii="Bookman Old Style" w:hAnsi="Bookman Old Style" w:cs="Arial"/>
          <w:lang w:val="es-CO"/>
        </w:rPr>
        <w:t>o No se representa gráficamente en el diagrama topológico remitido por el CNO en comunicación del 16 de junio de 2020.</w:t>
      </w:r>
    </w:p>
    <w:p w14:paraId="0C5E89B3" w14:textId="77777777" w:rsidR="0023493E" w:rsidRPr="00110519" w:rsidRDefault="0023493E" w:rsidP="00DE08A0">
      <w:pPr>
        <w:ind w:left="708"/>
        <w:jc w:val="both"/>
        <w:rPr>
          <w:rFonts w:ascii="Bookman Old Style" w:hAnsi="Bookman Old Style" w:cs="Arial"/>
          <w:lang w:val="es-CO"/>
        </w:rPr>
      </w:pPr>
    </w:p>
    <w:p w14:paraId="54A4518C" w14:textId="4635788D" w:rsidR="00DE08A0" w:rsidRPr="00110519" w:rsidRDefault="00DE08A0" w:rsidP="00DE08A0">
      <w:pPr>
        <w:ind w:left="708"/>
        <w:jc w:val="both"/>
        <w:rPr>
          <w:rFonts w:ascii="Bookman Old Style" w:hAnsi="Bookman Old Style" w:cs="Arial"/>
          <w:lang w:val="es-CO"/>
        </w:rPr>
      </w:pPr>
      <w:r w:rsidRPr="00110519">
        <w:rPr>
          <w:rFonts w:ascii="Bookman Old Style" w:hAnsi="Bookman Old Style" w:cs="Arial"/>
          <w:lang w:val="es-CO"/>
        </w:rPr>
        <w:t>• Igualmente, el vertimiento presentado en la descripción del “Formato 2. Topología Plantas Hidráulicas” del Anexo1 de la Circular CREG 041 de 2019, no se representa adecuadamente en el diagrama topológico remitido por el CNO en comunicación del 16 de junio de 2020.</w:t>
      </w:r>
    </w:p>
    <w:p w14:paraId="145C12BC" w14:textId="77777777" w:rsidR="0023493E" w:rsidRPr="00110519" w:rsidRDefault="0023493E" w:rsidP="00D614F2">
      <w:pPr>
        <w:ind w:left="708"/>
        <w:jc w:val="both"/>
        <w:rPr>
          <w:rFonts w:ascii="Bookman Old Style" w:hAnsi="Bookman Old Style" w:cs="Arial"/>
          <w:lang w:val="es-CO"/>
        </w:rPr>
      </w:pPr>
    </w:p>
    <w:p w14:paraId="3ED94825" w14:textId="77777777" w:rsidR="00DE08A0" w:rsidRPr="00110519" w:rsidRDefault="00DE08A0">
      <w:pPr>
        <w:ind w:left="708"/>
        <w:jc w:val="both"/>
        <w:rPr>
          <w:rFonts w:ascii="Bookman Old Style" w:hAnsi="Bookman Old Style" w:cs="Arial"/>
          <w:lang w:val="es-CO"/>
        </w:rPr>
      </w:pPr>
      <w:r w:rsidRPr="00110519">
        <w:rPr>
          <w:rFonts w:ascii="Bookman Old Style" w:hAnsi="Bookman Old Style" w:cs="Arial"/>
          <w:lang w:val="es-CO"/>
        </w:rPr>
        <w:t>Teniendo en cuenta lo anterior se concluye que:</w:t>
      </w:r>
    </w:p>
    <w:p w14:paraId="1DD22505" w14:textId="77777777" w:rsidR="009A1537" w:rsidRPr="00110519" w:rsidRDefault="009A1537" w:rsidP="00D614F2">
      <w:pPr>
        <w:ind w:left="708"/>
        <w:jc w:val="both"/>
        <w:rPr>
          <w:rFonts w:ascii="Bookman Old Style" w:hAnsi="Bookman Old Style" w:cs="Arial"/>
          <w:lang w:val="es-CO"/>
        </w:rPr>
      </w:pPr>
    </w:p>
    <w:p w14:paraId="231EDC04" w14:textId="06288B46" w:rsidR="00DE08A0" w:rsidRPr="00110519" w:rsidRDefault="00DE08A0" w:rsidP="00D614F2">
      <w:pPr>
        <w:ind w:left="708"/>
        <w:jc w:val="both"/>
        <w:rPr>
          <w:rFonts w:ascii="Bookman Old Style" w:hAnsi="Bookman Old Style" w:cs="Arial"/>
          <w:lang w:val="es-CO"/>
        </w:rPr>
      </w:pPr>
      <w:r w:rsidRPr="00110519">
        <w:rPr>
          <w:rFonts w:ascii="Bookman Old Style" w:hAnsi="Bookman Old Style" w:cs="Arial"/>
          <w:lang w:val="es-CO"/>
        </w:rPr>
        <w:t>• El Formato 2. Topología Plantas Hidráulicas, no cuenta con todos los elementos que</w:t>
      </w:r>
      <w:r w:rsidR="0023493E" w:rsidRPr="00110519">
        <w:rPr>
          <w:rFonts w:ascii="Bookman Old Style" w:hAnsi="Bookman Old Style" w:cs="Arial"/>
          <w:lang w:val="es-CO"/>
        </w:rPr>
        <w:t xml:space="preserve"> </w:t>
      </w:r>
      <w:r w:rsidRPr="00110519">
        <w:rPr>
          <w:rFonts w:ascii="Bookman Old Style" w:hAnsi="Bookman Old Style" w:cs="Arial"/>
          <w:lang w:val="es-CO"/>
        </w:rPr>
        <w:t>describen la planta hidráulica Carlos Lleras Restrepo.</w:t>
      </w:r>
    </w:p>
    <w:p w14:paraId="6384B2C5" w14:textId="77777777" w:rsidR="0023493E" w:rsidRPr="00110519" w:rsidRDefault="0023493E" w:rsidP="00DE08A0">
      <w:pPr>
        <w:ind w:left="708"/>
        <w:jc w:val="both"/>
        <w:rPr>
          <w:rFonts w:ascii="Bookman Old Style" w:hAnsi="Bookman Old Style" w:cs="Arial"/>
          <w:lang w:val="es-CO"/>
        </w:rPr>
      </w:pPr>
    </w:p>
    <w:p w14:paraId="244DF371" w14:textId="3CCE7262" w:rsidR="00DE08A0" w:rsidRPr="00110519" w:rsidRDefault="00DE08A0" w:rsidP="00D614F2">
      <w:pPr>
        <w:ind w:left="708"/>
        <w:jc w:val="both"/>
        <w:rPr>
          <w:rFonts w:ascii="Bookman Old Style" w:hAnsi="Bookman Old Style" w:cs="Arial"/>
          <w:lang w:val="es-CO"/>
        </w:rPr>
      </w:pPr>
      <w:r w:rsidRPr="00110519">
        <w:rPr>
          <w:rFonts w:ascii="Bookman Old Style" w:hAnsi="Bookman Old Style" w:cs="Arial"/>
          <w:lang w:val="es-CO"/>
        </w:rPr>
        <w:t>• El diagrama topológico, no representa adecuadamente la disposición y componentes</w:t>
      </w:r>
      <w:r w:rsidR="0023493E" w:rsidRPr="00110519">
        <w:rPr>
          <w:rFonts w:ascii="Bookman Old Style" w:hAnsi="Bookman Old Style" w:cs="Arial"/>
          <w:lang w:val="es-CO"/>
        </w:rPr>
        <w:t xml:space="preserve"> </w:t>
      </w:r>
      <w:r w:rsidRPr="00110519">
        <w:rPr>
          <w:rFonts w:ascii="Bookman Old Style" w:hAnsi="Bookman Old Style" w:cs="Arial"/>
          <w:lang w:val="es-CO"/>
        </w:rPr>
        <w:t>de cada uno de los elementos integrantes de la planta hidráulica Carlos Lleras</w:t>
      </w:r>
      <w:r w:rsidR="0023493E" w:rsidRPr="00110519">
        <w:rPr>
          <w:rFonts w:ascii="Bookman Old Style" w:hAnsi="Bookman Old Style" w:cs="Arial"/>
          <w:lang w:val="es-CO"/>
        </w:rPr>
        <w:t xml:space="preserve"> </w:t>
      </w:r>
      <w:r w:rsidRPr="00110519">
        <w:rPr>
          <w:rFonts w:ascii="Bookman Old Style" w:hAnsi="Bookman Old Style" w:cs="Arial"/>
          <w:lang w:val="es-CO"/>
        </w:rPr>
        <w:t>Restrepo, de acuerdo con las definiciones generales del numeral 2 del Anexo 1 del</w:t>
      </w:r>
      <w:r w:rsidR="0023493E" w:rsidRPr="00110519">
        <w:rPr>
          <w:rFonts w:ascii="Bookman Old Style" w:hAnsi="Bookman Old Style" w:cs="Arial"/>
          <w:lang w:val="es-CO"/>
        </w:rPr>
        <w:t xml:space="preserve"> </w:t>
      </w:r>
      <w:r w:rsidRPr="00110519">
        <w:rPr>
          <w:rFonts w:ascii="Bookman Old Style" w:hAnsi="Bookman Old Style" w:cs="Arial"/>
          <w:lang w:val="es-CO"/>
        </w:rPr>
        <w:t>Acuerdo CNO 396 de 2007.</w:t>
      </w:r>
      <w:r w:rsidR="00ED63B8" w:rsidRPr="00110519">
        <w:rPr>
          <w:rFonts w:ascii="Bookman Old Style" w:hAnsi="Bookman Old Style" w:cs="Arial"/>
          <w:lang w:val="es-CO"/>
        </w:rPr>
        <w:t>”</w:t>
      </w:r>
    </w:p>
    <w:p w14:paraId="33D41C6A" w14:textId="77777777" w:rsidR="00DE08A0" w:rsidRPr="00110519" w:rsidRDefault="00DE08A0" w:rsidP="009776A9">
      <w:pPr>
        <w:ind w:left="0"/>
        <w:jc w:val="both"/>
        <w:rPr>
          <w:rFonts w:ascii="Bookman Old Style" w:hAnsi="Bookman Old Style" w:cs="Arial"/>
          <w:lang w:val="es-CO"/>
        </w:rPr>
      </w:pPr>
    </w:p>
    <w:p w14:paraId="59F3146D" w14:textId="62F6632A" w:rsidR="00DE08A0" w:rsidRPr="00110519" w:rsidRDefault="00ED63B8" w:rsidP="00D614F2">
      <w:pPr>
        <w:ind w:left="708" w:hanging="708"/>
        <w:jc w:val="both"/>
        <w:rPr>
          <w:rFonts w:ascii="Bookman Old Style" w:hAnsi="Bookman Old Style" w:cs="Arial"/>
          <w:lang w:val="es-CO"/>
        </w:rPr>
      </w:pPr>
      <w:r w:rsidRPr="00110519">
        <w:rPr>
          <w:rFonts w:ascii="Bookman Old Style" w:hAnsi="Bookman Old Style" w:cs="Arial"/>
          <w:lang w:val="es-CO"/>
        </w:rPr>
        <w:t>En resumen</w:t>
      </w:r>
      <w:r w:rsidR="006F4909" w:rsidRPr="00110519">
        <w:rPr>
          <w:rFonts w:ascii="Bookman Old Style" w:hAnsi="Bookman Old Style" w:cs="Arial"/>
          <w:lang w:val="es-CO"/>
        </w:rPr>
        <w:t>,</w:t>
      </w:r>
      <w:r w:rsidRPr="00110519">
        <w:rPr>
          <w:rFonts w:ascii="Bookman Old Style" w:hAnsi="Bookman Old Style" w:cs="Arial"/>
          <w:lang w:val="es-CO"/>
        </w:rPr>
        <w:t xml:space="preserve"> </w:t>
      </w:r>
      <w:r w:rsidR="00567A8E" w:rsidRPr="00110519">
        <w:rPr>
          <w:rFonts w:ascii="Bookman Old Style" w:hAnsi="Bookman Old Style" w:cs="Arial"/>
          <w:lang w:val="es-CO"/>
        </w:rPr>
        <w:t xml:space="preserve">indica </w:t>
      </w:r>
      <w:r w:rsidRPr="00110519">
        <w:rPr>
          <w:rFonts w:ascii="Bookman Old Style" w:hAnsi="Bookman Old Style" w:cs="Arial"/>
          <w:lang w:val="es-CO"/>
        </w:rPr>
        <w:t xml:space="preserve">el auditor que: </w:t>
      </w:r>
    </w:p>
    <w:p w14:paraId="15EE2922" w14:textId="77777777" w:rsidR="00ED63B8" w:rsidRPr="00110519" w:rsidRDefault="00ED63B8" w:rsidP="009776A9">
      <w:pPr>
        <w:ind w:left="0"/>
        <w:jc w:val="both"/>
        <w:rPr>
          <w:rFonts w:ascii="Bookman Old Style" w:hAnsi="Bookman Old Style" w:cs="Arial"/>
          <w:lang w:val="es-CO"/>
        </w:rPr>
      </w:pPr>
    </w:p>
    <w:p w14:paraId="216EAD81" w14:textId="120E69DB" w:rsidR="000524F1" w:rsidRPr="00110519" w:rsidRDefault="000524F1" w:rsidP="00567A8E">
      <w:pPr>
        <w:ind w:left="708"/>
        <w:jc w:val="both"/>
        <w:rPr>
          <w:rFonts w:ascii="Bookman Old Style" w:hAnsi="Bookman Old Style" w:cs="Arial"/>
        </w:rPr>
      </w:pPr>
      <w:r w:rsidRPr="00110519">
        <w:rPr>
          <w:rFonts w:ascii="Bookman Old Style" w:hAnsi="Bookman Old Style" w:cs="Arial"/>
          <w:lang w:val="es-CO"/>
        </w:rPr>
        <w:t xml:space="preserve">“… </w:t>
      </w:r>
      <w:r w:rsidRPr="00110519">
        <w:rPr>
          <w:rFonts w:ascii="Bookman Old Style" w:hAnsi="Bookman Old Style" w:cs="Arial"/>
        </w:rPr>
        <w:t>el diagrama topológico,</w:t>
      </w:r>
      <w:r w:rsidR="00014FD0" w:rsidRPr="00110519">
        <w:rPr>
          <w:rFonts w:ascii="Bookman Old Style" w:hAnsi="Bookman Old Style" w:cs="Arial"/>
        </w:rPr>
        <w:t xml:space="preserve"> </w:t>
      </w:r>
      <w:r w:rsidRPr="00110519">
        <w:rPr>
          <w:rFonts w:ascii="Bookman Old Style" w:hAnsi="Bookman Old Style" w:cs="Arial"/>
        </w:rPr>
        <w:t>no representa adecuadamente la disposición y componentes de cada uno de los elementos integrantes de la planta hidráulica</w:t>
      </w:r>
      <w:r w:rsidR="0050784F" w:rsidRPr="00110519">
        <w:rPr>
          <w:rFonts w:ascii="Bookman Old Style" w:hAnsi="Bookman Old Style" w:cs="Arial"/>
        </w:rPr>
        <w:t xml:space="preserve"> Carlos Lleras Restrepo, de acuerdo con las definiciones generales del numeral 2 del Anexo 1 del Acuerdo CNO 396 de 2007.</w:t>
      </w:r>
      <w:r w:rsidRPr="00110519">
        <w:rPr>
          <w:rFonts w:ascii="Bookman Old Style" w:hAnsi="Bookman Old Style" w:cs="Arial"/>
        </w:rPr>
        <w:t xml:space="preserve">”  </w:t>
      </w:r>
    </w:p>
    <w:p w14:paraId="7E29FCD5" w14:textId="78C31083" w:rsidR="00E60FF2" w:rsidRDefault="00E60FF2" w:rsidP="00E80E8F">
      <w:pPr>
        <w:spacing w:after="120"/>
        <w:ind w:left="0"/>
        <w:jc w:val="both"/>
        <w:rPr>
          <w:rFonts w:ascii="Bookman Old Style" w:hAnsi="Bookman Old Style" w:cs="Arial"/>
          <w:lang w:val="es-CO"/>
        </w:rPr>
      </w:pPr>
    </w:p>
    <w:p w14:paraId="6E5D7456" w14:textId="77777777" w:rsidR="006D7A3E" w:rsidRPr="00110519" w:rsidRDefault="006D7A3E" w:rsidP="00E80E8F">
      <w:pPr>
        <w:spacing w:after="120"/>
        <w:ind w:left="0"/>
        <w:jc w:val="both"/>
        <w:rPr>
          <w:rFonts w:ascii="Bookman Old Style" w:hAnsi="Bookman Old Style" w:cs="Arial"/>
          <w:lang w:val="es-CO"/>
        </w:rPr>
      </w:pPr>
    </w:p>
    <w:p w14:paraId="216EAD85" w14:textId="77777777" w:rsidR="009776A9" w:rsidRPr="00110519" w:rsidRDefault="009776A9" w:rsidP="00E80E8F">
      <w:pPr>
        <w:ind w:hanging="567"/>
        <w:jc w:val="both"/>
        <w:rPr>
          <w:rFonts w:ascii="Bookman Old Style" w:hAnsi="Bookman Old Style"/>
          <w:b/>
        </w:rPr>
      </w:pPr>
      <w:r w:rsidRPr="00110519">
        <w:rPr>
          <w:rFonts w:ascii="Bookman Old Style" w:hAnsi="Bookman Old Style"/>
          <w:b/>
        </w:rPr>
        <w:t xml:space="preserve">III. PROCEDIMIENTO ADMINISTRATIVO SURTIDO POR LA CREG EN RELACIÓN CON EL INFORME DE LA AUDITORÍA </w:t>
      </w:r>
    </w:p>
    <w:p w14:paraId="216EAD86" w14:textId="2BD564ED" w:rsidR="009776A9" w:rsidRDefault="009776A9" w:rsidP="009776A9">
      <w:pPr>
        <w:ind w:left="0"/>
        <w:jc w:val="both"/>
        <w:rPr>
          <w:rFonts w:ascii="Bookman Old Style" w:hAnsi="Bookman Old Style" w:cs="Arial"/>
          <w:lang w:val="es-CO"/>
        </w:rPr>
      </w:pPr>
    </w:p>
    <w:p w14:paraId="348DA127" w14:textId="77777777" w:rsidR="00E60FF2" w:rsidRPr="00110519" w:rsidRDefault="00E60FF2" w:rsidP="009776A9">
      <w:pPr>
        <w:ind w:left="0"/>
        <w:jc w:val="both"/>
        <w:rPr>
          <w:rFonts w:ascii="Bookman Old Style" w:hAnsi="Bookman Old Style" w:cs="Arial"/>
          <w:lang w:val="es-CO"/>
        </w:rPr>
      </w:pPr>
    </w:p>
    <w:p w14:paraId="216EAD87" w14:textId="39D57BF6" w:rsidR="009776A9" w:rsidRPr="00110519" w:rsidRDefault="009776A9" w:rsidP="009776A9">
      <w:pPr>
        <w:ind w:left="0"/>
        <w:jc w:val="both"/>
        <w:rPr>
          <w:rFonts w:ascii="Bookman Old Style" w:hAnsi="Bookman Old Style" w:cs="Arial"/>
          <w:lang w:val="es-CO"/>
        </w:rPr>
      </w:pPr>
      <w:r w:rsidRPr="00110519">
        <w:rPr>
          <w:rFonts w:ascii="Bookman Old Style" w:hAnsi="Bookman Old Style" w:cs="Arial"/>
          <w:bCs/>
        </w:rPr>
        <w:t>La CREG</w:t>
      </w:r>
      <w:r w:rsidR="00E725D7">
        <w:rPr>
          <w:rFonts w:ascii="Bookman Old Style" w:hAnsi="Bookman Old Style" w:cs="Arial"/>
          <w:bCs/>
        </w:rPr>
        <w:t>,</w:t>
      </w:r>
      <w:r w:rsidRPr="00110519">
        <w:rPr>
          <w:rFonts w:ascii="Bookman Old Style" w:hAnsi="Bookman Old Style" w:cs="Arial"/>
          <w:bCs/>
        </w:rPr>
        <w:t xml:space="preserve"> en cumplimiento de sus funciones</w:t>
      </w:r>
      <w:r w:rsidR="00E725D7">
        <w:rPr>
          <w:rFonts w:ascii="Bookman Old Style" w:hAnsi="Bookman Old Style" w:cs="Arial"/>
          <w:bCs/>
        </w:rPr>
        <w:t>,</w:t>
      </w:r>
      <w:r w:rsidRPr="00110519">
        <w:rPr>
          <w:rFonts w:ascii="Bookman Old Style" w:hAnsi="Bookman Old Style" w:cs="Arial"/>
          <w:bCs/>
        </w:rPr>
        <w:t xml:space="preserve"> y con fundamento en el informe de la Auditoría, </w:t>
      </w:r>
      <w:r w:rsidRPr="00110519">
        <w:rPr>
          <w:rFonts w:ascii="Bookman Old Style" w:hAnsi="Bookman Old Style" w:cs="Arial"/>
          <w:lang w:val="es-CO"/>
        </w:rPr>
        <w:t>mediante auto</w:t>
      </w:r>
      <w:r w:rsidR="009321BC" w:rsidRPr="00110519">
        <w:rPr>
          <w:rFonts w:ascii="Bookman Old Style" w:hAnsi="Bookman Old Style" w:cs="Arial"/>
          <w:lang w:val="es-CO"/>
        </w:rPr>
        <w:t xml:space="preserve"> </w:t>
      </w:r>
      <w:r w:rsidR="00B36822" w:rsidRPr="00110519">
        <w:rPr>
          <w:rFonts w:ascii="Bookman Old Style" w:hAnsi="Bookman Old Style" w:cs="Arial"/>
          <w:lang w:val="es-CO"/>
        </w:rPr>
        <w:t xml:space="preserve">con radicado </w:t>
      </w:r>
      <w:r w:rsidR="009321BC" w:rsidRPr="00110519">
        <w:rPr>
          <w:rFonts w:ascii="Bookman Old Style" w:hAnsi="Bookman Old Style" w:cs="Arial"/>
          <w:lang w:val="es-CO"/>
        </w:rPr>
        <w:t>I</w:t>
      </w:r>
      <w:r w:rsidR="00B36822" w:rsidRPr="00110519">
        <w:rPr>
          <w:rFonts w:ascii="Bookman Old Style" w:hAnsi="Bookman Old Style" w:cs="Arial"/>
          <w:lang w:val="es-CO"/>
        </w:rPr>
        <w:t>-</w:t>
      </w:r>
      <w:r w:rsidR="00E81A01" w:rsidRPr="00110519">
        <w:rPr>
          <w:rFonts w:ascii="Bookman Old Style" w:hAnsi="Bookman Old Style" w:cs="Arial"/>
          <w:lang w:val="es-CO"/>
        </w:rPr>
        <w:t>2021</w:t>
      </w:r>
      <w:r w:rsidR="00B36822" w:rsidRPr="00110519">
        <w:rPr>
          <w:rFonts w:ascii="Bookman Old Style" w:hAnsi="Bookman Old Style" w:cs="Arial"/>
          <w:lang w:val="es-CO"/>
        </w:rPr>
        <w:t>-</w:t>
      </w:r>
      <w:r w:rsidR="00E81A01" w:rsidRPr="00110519">
        <w:rPr>
          <w:rFonts w:ascii="Bookman Old Style" w:hAnsi="Bookman Old Style" w:cs="Arial"/>
          <w:lang w:val="es-CO"/>
        </w:rPr>
        <w:t>001406 del</w:t>
      </w:r>
      <w:r w:rsidRPr="00110519">
        <w:rPr>
          <w:rFonts w:ascii="Bookman Old Style" w:hAnsi="Bookman Old Style" w:cs="Arial"/>
          <w:lang w:val="es-CO"/>
        </w:rPr>
        <w:t xml:space="preserve"> 20 de mayo de 2021, inició la actuación administrativa dirigida a establecer plenamente la existencia de </w:t>
      </w:r>
      <w:r w:rsidRPr="00110519">
        <w:rPr>
          <w:rFonts w:ascii="Bookman Old Style" w:hAnsi="Bookman Old Style" w:cs="Arial"/>
          <w:iCs/>
        </w:rPr>
        <w:t>discrepancias respecto del parámetro “Topología” y</w:t>
      </w:r>
      <w:r w:rsidR="007E65AD" w:rsidRPr="00110519">
        <w:rPr>
          <w:rFonts w:ascii="Bookman Old Style" w:hAnsi="Bookman Old Style" w:cs="Arial"/>
          <w:iCs/>
        </w:rPr>
        <w:t xml:space="preserve"> determinar </w:t>
      </w:r>
      <w:r w:rsidRPr="00110519">
        <w:rPr>
          <w:rFonts w:ascii="Bookman Old Style" w:hAnsi="Bookman Old Style" w:cs="Arial"/>
          <w:iCs/>
        </w:rPr>
        <w:t xml:space="preserve">sus </w:t>
      </w:r>
      <w:r w:rsidR="00B5363E">
        <w:rPr>
          <w:rFonts w:ascii="Bookman Old Style" w:hAnsi="Bookman Old Style" w:cs="Arial"/>
          <w:iCs/>
        </w:rPr>
        <w:t>consecuencias</w:t>
      </w:r>
      <w:r w:rsidRPr="00110519">
        <w:rPr>
          <w:rFonts w:ascii="Bookman Old Style" w:hAnsi="Bookman Old Style" w:cs="Arial"/>
          <w:lang w:val="es-CO"/>
        </w:rPr>
        <w:t xml:space="preserve">. </w:t>
      </w:r>
    </w:p>
    <w:p w14:paraId="216EAD88" w14:textId="77777777" w:rsidR="009776A9" w:rsidRPr="00110519" w:rsidRDefault="009776A9" w:rsidP="009776A9">
      <w:pPr>
        <w:ind w:left="0"/>
        <w:jc w:val="both"/>
        <w:rPr>
          <w:rFonts w:ascii="Bookman Old Style" w:hAnsi="Bookman Old Style" w:cs="Arial"/>
          <w:lang w:val="es-CO"/>
        </w:rPr>
      </w:pPr>
    </w:p>
    <w:p w14:paraId="216EAD89" w14:textId="4E016E26" w:rsidR="00B345AA" w:rsidRPr="00110519" w:rsidRDefault="001166D9" w:rsidP="00763D37">
      <w:pPr>
        <w:spacing w:after="3" w:line="253" w:lineRule="auto"/>
        <w:ind w:left="0"/>
        <w:jc w:val="both"/>
        <w:rPr>
          <w:rFonts w:ascii="Bookman Old Style" w:hAnsi="Bookman Old Style"/>
        </w:rPr>
      </w:pPr>
      <w:r w:rsidRPr="00110519">
        <w:rPr>
          <w:rFonts w:ascii="Bookman Old Style" w:hAnsi="Bookman Old Style" w:cs="Arial"/>
          <w:b/>
          <w:lang w:val="es-CO"/>
        </w:rPr>
        <w:t xml:space="preserve">A. </w:t>
      </w:r>
      <w:r w:rsidR="009776A9" w:rsidRPr="00110519">
        <w:rPr>
          <w:rFonts w:ascii="Bookman Old Style" w:hAnsi="Bookman Old Style" w:cs="Arial"/>
          <w:b/>
          <w:lang w:val="es-CO"/>
        </w:rPr>
        <w:t>Derecho de defensa y de contradicción-</w:t>
      </w:r>
      <w:r w:rsidR="009776A9" w:rsidRPr="00110519">
        <w:rPr>
          <w:rFonts w:ascii="Bookman Old Style" w:hAnsi="Bookman Old Style" w:cs="Arial"/>
          <w:lang w:val="es-CO"/>
        </w:rPr>
        <w:t xml:space="preserve">. </w:t>
      </w:r>
      <w:r w:rsidR="007E65AD" w:rsidRPr="00110519">
        <w:rPr>
          <w:rFonts w:ascii="Bookman Old Style" w:hAnsi="Bookman Old Style" w:cs="Arial"/>
          <w:lang w:val="es-CO"/>
        </w:rPr>
        <w:t xml:space="preserve">Informada </w:t>
      </w:r>
      <w:r w:rsidR="009776A9" w:rsidRPr="00110519">
        <w:rPr>
          <w:rFonts w:ascii="Bookman Old Style" w:hAnsi="Bookman Old Style" w:cs="Arial"/>
          <w:lang w:val="es-CO"/>
        </w:rPr>
        <w:t>en debida forma</w:t>
      </w:r>
      <w:r w:rsidR="00E725D7">
        <w:rPr>
          <w:rFonts w:ascii="Bookman Old Style" w:hAnsi="Bookman Old Style" w:cs="Arial"/>
          <w:lang w:val="es-CO"/>
        </w:rPr>
        <w:t>,</w:t>
      </w:r>
      <w:r w:rsidR="009776A9" w:rsidRPr="00110519">
        <w:rPr>
          <w:rFonts w:ascii="Bookman Old Style" w:hAnsi="Bookman Old Style" w:cs="Arial"/>
          <w:lang w:val="es-CO"/>
        </w:rPr>
        <w:t xml:space="preserve"> </w:t>
      </w:r>
      <w:r w:rsidR="00B5363E" w:rsidRPr="00110519">
        <w:rPr>
          <w:rFonts w:ascii="Bookman Old Style" w:hAnsi="Bookman Old Style" w:cs="Arial"/>
          <w:lang w:val="es-CO"/>
        </w:rPr>
        <w:t>HIDRALPOR</w:t>
      </w:r>
      <w:r w:rsidR="00B5363E" w:rsidRPr="00110519">
        <w:rPr>
          <w:rFonts w:ascii="Bookman Old Style" w:hAnsi="Bookman Old Style"/>
        </w:rPr>
        <w:t xml:space="preserve"> </w:t>
      </w:r>
      <w:r w:rsidR="009776A9" w:rsidRPr="00110519">
        <w:rPr>
          <w:rFonts w:ascii="Bookman Old Style" w:hAnsi="Bookman Old Style"/>
        </w:rPr>
        <w:t xml:space="preserve">se pronunció sobre el objeto de la actuación mediante </w:t>
      </w:r>
      <w:r w:rsidR="009776A9" w:rsidRPr="00110519">
        <w:rPr>
          <w:rFonts w:ascii="Bookman Old Style" w:hAnsi="Bookman Old Style"/>
        </w:rPr>
        <w:lastRenderedPageBreak/>
        <w:t>comunicación</w:t>
      </w:r>
      <w:r w:rsidR="00540E0D" w:rsidRPr="00110519">
        <w:rPr>
          <w:rFonts w:ascii="Bookman Old Style" w:hAnsi="Bookman Old Style"/>
        </w:rPr>
        <w:t xml:space="preserve"> del 4 de junio de 2021</w:t>
      </w:r>
      <w:r w:rsidR="009D0EA7" w:rsidRPr="00110519">
        <w:rPr>
          <w:rFonts w:ascii="Bookman Old Style" w:hAnsi="Bookman Old Style"/>
        </w:rPr>
        <w:t>,</w:t>
      </w:r>
      <w:r w:rsidR="00540E0D" w:rsidRPr="00110519">
        <w:rPr>
          <w:rFonts w:ascii="Bookman Old Style" w:hAnsi="Bookman Old Style"/>
        </w:rPr>
        <w:t xml:space="preserve"> No. 1417</w:t>
      </w:r>
      <w:r w:rsidR="00E42E33" w:rsidRPr="00110519">
        <w:rPr>
          <w:rFonts w:ascii="Bookman Old Style" w:hAnsi="Bookman Old Style"/>
        </w:rPr>
        <w:t>-</w:t>
      </w:r>
      <w:r w:rsidR="00540E0D" w:rsidRPr="00110519">
        <w:rPr>
          <w:rFonts w:ascii="Bookman Old Style" w:hAnsi="Bookman Old Style"/>
        </w:rPr>
        <w:t xml:space="preserve">2021, </w:t>
      </w:r>
      <w:r w:rsidR="00E42E33" w:rsidRPr="00110519">
        <w:rPr>
          <w:rFonts w:ascii="Bookman Old Style" w:hAnsi="Bookman Old Style"/>
        </w:rPr>
        <w:t xml:space="preserve">con radicado Creg E-2021-006580, </w:t>
      </w:r>
      <w:r w:rsidR="00540E0D" w:rsidRPr="00110519">
        <w:rPr>
          <w:rFonts w:ascii="Bookman Old Style" w:hAnsi="Bookman Old Style"/>
        </w:rPr>
        <w:t>e</w:t>
      </w:r>
      <w:r w:rsidR="009776A9" w:rsidRPr="00110519">
        <w:rPr>
          <w:rFonts w:ascii="Bookman Old Style" w:hAnsi="Bookman Old Style"/>
        </w:rPr>
        <w:t xml:space="preserve">xponiendo los argumentos que fundamentan </w:t>
      </w:r>
      <w:r w:rsidR="00B345AA" w:rsidRPr="00110519">
        <w:rPr>
          <w:rFonts w:ascii="Bookman Old Style" w:hAnsi="Bookman Old Style"/>
        </w:rPr>
        <w:t>que “no existe ninguna discrepancia en los parámetros declarados en el Formato 2 como lo afirma el Auditor, y, en todo caso, cualquier diferencia en la topología declarada es irrelevante por cuanto no hay una afectación de la ENFICC calculada para la P</w:t>
      </w:r>
      <w:r w:rsidR="00455746" w:rsidRPr="00110519">
        <w:rPr>
          <w:rFonts w:ascii="Bookman Old Style" w:hAnsi="Bookman Old Style"/>
        </w:rPr>
        <w:t>lanta”.</w:t>
      </w:r>
      <w:r w:rsidR="004F6A40" w:rsidRPr="00110519">
        <w:rPr>
          <w:rFonts w:ascii="Bookman Old Style" w:hAnsi="Bookman Old Style"/>
        </w:rPr>
        <w:t xml:space="preserve"> También solicita que se ordene el archivo de la actuaci</w:t>
      </w:r>
      <w:r w:rsidR="008B6F59" w:rsidRPr="00110519">
        <w:rPr>
          <w:rFonts w:ascii="Bookman Old Style" w:hAnsi="Bookman Old Style"/>
        </w:rPr>
        <w:t>ón administrativa iniciada por la CREG.</w:t>
      </w:r>
    </w:p>
    <w:p w14:paraId="216EAD8A" w14:textId="77777777" w:rsidR="00455746" w:rsidRPr="00110519" w:rsidRDefault="00455746"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cs="Arial"/>
          <w:lang w:val="es-CO"/>
        </w:rPr>
      </w:pPr>
    </w:p>
    <w:p w14:paraId="216EAD8B" w14:textId="27EB8338" w:rsidR="009776A9" w:rsidRPr="00110519" w:rsidRDefault="008705C2"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r w:rsidRPr="00110519">
        <w:rPr>
          <w:rFonts w:ascii="Bookman Old Style" w:hAnsi="Bookman Old Style" w:cs="Arial"/>
          <w:lang w:val="es-CO"/>
        </w:rPr>
        <w:t xml:space="preserve">Para </w:t>
      </w:r>
      <w:r w:rsidR="00DB1A69" w:rsidRPr="00110519">
        <w:rPr>
          <w:rFonts w:ascii="Bookman Old Style" w:hAnsi="Bookman Old Style" w:cs="Arial"/>
          <w:lang w:val="es-CO"/>
        </w:rPr>
        <w:t xml:space="preserve">HIDRALPOR </w:t>
      </w:r>
      <w:r w:rsidRPr="00110519">
        <w:rPr>
          <w:rFonts w:ascii="Bookman Old Style" w:hAnsi="Bookman Old Style"/>
        </w:rPr>
        <w:t>debe archivarse la actuación</w:t>
      </w:r>
      <w:r w:rsidR="00E725D7">
        <w:rPr>
          <w:rFonts w:ascii="Bookman Old Style" w:hAnsi="Bookman Old Style"/>
        </w:rPr>
        <w:t>,</w:t>
      </w:r>
      <w:r w:rsidR="00A335B4" w:rsidRPr="00110519">
        <w:rPr>
          <w:rFonts w:ascii="Bookman Old Style" w:hAnsi="Bookman Old Style"/>
        </w:rPr>
        <w:t xml:space="preserve"> y fundamenta </w:t>
      </w:r>
      <w:r w:rsidR="006B5A10" w:rsidRPr="00110519">
        <w:rPr>
          <w:rFonts w:ascii="Bookman Old Style" w:hAnsi="Bookman Old Style"/>
        </w:rPr>
        <w:t>su solicitud principalmente en los siguientes argumentos</w:t>
      </w:r>
      <w:r w:rsidRPr="00110519">
        <w:rPr>
          <w:rFonts w:ascii="Bookman Old Style" w:hAnsi="Bookman Old Style"/>
        </w:rPr>
        <w:t>:</w:t>
      </w:r>
    </w:p>
    <w:p w14:paraId="216EAD8C" w14:textId="77777777" w:rsidR="008705C2" w:rsidRPr="006D7A3E" w:rsidRDefault="008705C2"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sz w:val="32"/>
          <w:szCs w:val="32"/>
        </w:rPr>
      </w:pPr>
    </w:p>
    <w:p w14:paraId="216EAD8D" w14:textId="73003934" w:rsidR="008705C2" w:rsidRPr="00110519" w:rsidRDefault="003B10CF" w:rsidP="00E725D7">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rPr>
      </w:pPr>
      <w:r w:rsidRPr="00110519">
        <w:rPr>
          <w:rFonts w:ascii="Bookman Old Style" w:hAnsi="Bookman Old Style"/>
        </w:rPr>
        <w:t>“En primer lugar, la ausencia de declaración del caudal ecológico en el FORMATO 2 no puede considerarse como una discrepancia, ya que HIDRALPOR, en cumplimiento de lo señalado en la Resolución CREG 071 de 2006 y en el Acuerdo CN</w:t>
      </w:r>
      <w:r w:rsidR="00DB1A69">
        <w:rPr>
          <w:rFonts w:ascii="Bookman Old Style" w:hAnsi="Bookman Old Style"/>
        </w:rPr>
        <w:t>O</w:t>
      </w:r>
      <w:r w:rsidRPr="00110519">
        <w:rPr>
          <w:rFonts w:ascii="Bookman Old Style" w:hAnsi="Bookman Old Style"/>
        </w:rPr>
        <w:t xml:space="preserve"> 396 del 31 de mayo de 2007 (</w:t>
      </w:r>
      <w:r w:rsidR="001511D2" w:rsidRPr="00110519">
        <w:rPr>
          <w:rFonts w:ascii="Bookman Old Style" w:hAnsi="Bookman Old Style"/>
        </w:rPr>
        <w:t>&lt;&lt;</w:t>
      </w:r>
      <w:r w:rsidRPr="00110519">
        <w:rPr>
          <w:rFonts w:ascii="Bookman Old Style" w:hAnsi="Bookman Old Style"/>
        </w:rPr>
        <w:t>ACUERDO 396</w:t>
      </w:r>
      <w:r w:rsidR="001511D2" w:rsidRPr="00110519">
        <w:rPr>
          <w:rFonts w:ascii="Bookman Old Style" w:hAnsi="Bookman Old Style"/>
        </w:rPr>
        <w:t>&gt;&gt;</w:t>
      </w:r>
      <w:r w:rsidRPr="00110519">
        <w:rPr>
          <w:rFonts w:ascii="Bookman Old Style" w:hAnsi="Bookman Old Style"/>
        </w:rPr>
        <w:t>)</w:t>
      </w:r>
      <w:r w:rsidR="004518E4" w:rsidRPr="00110519">
        <w:rPr>
          <w:rFonts w:ascii="Bookman Old Style" w:hAnsi="Bookman Old Style"/>
        </w:rPr>
        <w:t>,</w:t>
      </w:r>
      <w:r w:rsidRPr="00110519">
        <w:rPr>
          <w:rFonts w:ascii="Bookman Old Style" w:hAnsi="Bookman Old Style"/>
        </w:rPr>
        <w:t xml:space="preserve"> que ha clasificado los caudales ecológicos como </w:t>
      </w:r>
      <w:r w:rsidR="004518E4" w:rsidRPr="00110519">
        <w:rPr>
          <w:rFonts w:ascii="Bookman Old Style" w:hAnsi="Bookman Old Style"/>
        </w:rPr>
        <w:t>&lt;&lt;</w:t>
      </w:r>
      <w:r w:rsidRPr="00110519">
        <w:rPr>
          <w:rFonts w:ascii="Bookman Old Style" w:hAnsi="Bookman Old Style"/>
        </w:rPr>
        <w:t>filtraciones</w:t>
      </w:r>
      <w:r w:rsidR="004518E4" w:rsidRPr="00110519">
        <w:rPr>
          <w:rFonts w:ascii="Bookman Old Style" w:hAnsi="Bookman Old Style"/>
        </w:rPr>
        <w:t>&gt;&gt;</w:t>
      </w:r>
      <w:r w:rsidRPr="00110519">
        <w:rPr>
          <w:rFonts w:ascii="Bookman Old Style" w:hAnsi="Bookman Old Style"/>
        </w:rPr>
        <w:t>, ha declarado dicho elemento en el FORMATO 6.</w:t>
      </w:r>
    </w:p>
    <w:p w14:paraId="216EAD8E" w14:textId="77777777" w:rsidR="003B10CF" w:rsidRPr="006D7A3E" w:rsidRDefault="003B10CF" w:rsidP="00E725D7">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sz w:val="32"/>
          <w:szCs w:val="32"/>
        </w:rPr>
      </w:pPr>
    </w:p>
    <w:p w14:paraId="216EAD8F" w14:textId="6C4F9975" w:rsidR="003B10CF" w:rsidRPr="00110519" w:rsidRDefault="003B10CF" w:rsidP="00E725D7">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rPr>
      </w:pPr>
      <w:r w:rsidRPr="00110519">
        <w:rPr>
          <w:rFonts w:ascii="Bookman Old Style" w:hAnsi="Bookman Old Style"/>
        </w:rPr>
        <w:t>En segundo lugar, según lo señalado por el C</w:t>
      </w:r>
      <w:r w:rsidR="00515FBD" w:rsidRPr="00110519">
        <w:rPr>
          <w:rFonts w:ascii="Bookman Old Style" w:hAnsi="Bookman Old Style"/>
        </w:rPr>
        <w:t>N</w:t>
      </w:r>
      <w:r w:rsidRPr="00110519">
        <w:rPr>
          <w:rFonts w:ascii="Bookman Old Style" w:hAnsi="Bookman Old Style"/>
        </w:rPr>
        <w:t>O</w:t>
      </w:r>
      <w:r w:rsidR="00DB1A69">
        <w:rPr>
          <w:rFonts w:ascii="Bookman Old Style" w:hAnsi="Bookman Old Style"/>
        </w:rPr>
        <w:t>,</w:t>
      </w:r>
      <w:r w:rsidRPr="00110519">
        <w:rPr>
          <w:rFonts w:ascii="Bookman Old Style" w:hAnsi="Bookman Old Style"/>
        </w:rPr>
        <w:t xml:space="preserve"> el caudal ecológico no hace parte de la lista de elementos que componen el esquema topológico. En consecuencia, la ausencia de representación del caudal ecológico en el gráfico no es inadecuada como señala el AUDITOR.</w:t>
      </w:r>
    </w:p>
    <w:p w14:paraId="216EAD90" w14:textId="77777777" w:rsidR="003B10CF" w:rsidRPr="006D7A3E" w:rsidRDefault="003B10CF" w:rsidP="00E725D7">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sz w:val="28"/>
          <w:szCs w:val="28"/>
        </w:rPr>
      </w:pPr>
    </w:p>
    <w:p w14:paraId="28978E5F" w14:textId="6E592C54" w:rsidR="00B02F90" w:rsidRPr="00110519" w:rsidRDefault="003B10CF" w:rsidP="00E725D7">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rPr>
      </w:pPr>
      <w:r w:rsidRPr="00110519">
        <w:rPr>
          <w:rFonts w:ascii="Bookman Old Style" w:hAnsi="Bookman Old Style"/>
        </w:rPr>
        <w:t>En tercer lugar, cualquier omisión en el diagrama topológico es inmaterial en la medida en que no hay una afectación de la ENFICC</w:t>
      </w:r>
      <w:r w:rsidR="00B02F90" w:rsidRPr="00110519">
        <w:rPr>
          <w:rFonts w:ascii="Bookman Old Style" w:hAnsi="Bookman Old Style"/>
        </w:rPr>
        <w:t xml:space="preserve"> por cuanto: </w:t>
      </w:r>
    </w:p>
    <w:p w14:paraId="216EAD91" w14:textId="139040C3" w:rsidR="003B10CF" w:rsidRPr="00110519" w:rsidRDefault="001D6D35" w:rsidP="00E725D7">
      <w:pPr>
        <w:pStyle w:val="Prrafodelista"/>
        <w:numPr>
          <w:ilvl w:val="0"/>
          <w:numId w:val="8"/>
        </w:numPr>
        <w:tabs>
          <w:tab w:val="center" w:pos="708"/>
          <w:tab w:val="center" w:pos="2125"/>
          <w:tab w:val="center" w:pos="2833"/>
          <w:tab w:val="center" w:pos="3541"/>
          <w:tab w:val="center" w:pos="4249"/>
          <w:tab w:val="center" w:pos="4957"/>
          <w:tab w:val="center" w:pos="6592"/>
        </w:tabs>
        <w:spacing w:before="60"/>
        <w:ind w:left="1276" w:hanging="437"/>
        <w:jc w:val="both"/>
        <w:rPr>
          <w:rFonts w:ascii="Bookman Old Style" w:hAnsi="Bookman Old Style"/>
          <w:sz w:val="24"/>
          <w:szCs w:val="24"/>
        </w:rPr>
      </w:pPr>
      <w:r w:rsidRPr="00110519">
        <w:rPr>
          <w:rFonts w:ascii="Bookman Old Style" w:hAnsi="Bookman Old Style"/>
          <w:sz w:val="24"/>
          <w:szCs w:val="24"/>
          <w:lang w:val="es-ES"/>
        </w:rPr>
        <w:t>La finalidad de la verificación de parámetros es determinar la existencia de discrepancias que conlleven a la asignación de una menor ENFICC.</w:t>
      </w:r>
      <w:r w:rsidR="000209FA" w:rsidRPr="00110519">
        <w:rPr>
          <w:rFonts w:ascii="Bookman Old Style" w:hAnsi="Bookman Old Style"/>
          <w:sz w:val="24"/>
          <w:szCs w:val="24"/>
          <w:lang w:val="es-ES"/>
        </w:rPr>
        <w:t xml:space="preserve"> En casos análogos, la CREG ha determinado que no hay </w:t>
      </w:r>
      <w:r w:rsidR="00D3767D" w:rsidRPr="00110519">
        <w:rPr>
          <w:rFonts w:ascii="Bookman Old Style" w:hAnsi="Bookman Old Style"/>
          <w:sz w:val="24"/>
          <w:szCs w:val="24"/>
          <w:lang w:val="es-ES"/>
        </w:rPr>
        <w:t>discrepancia en el evento en que la ENFICC no se vea afectada.</w:t>
      </w:r>
    </w:p>
    <w:p w14:paraId="0A499AA6" w14:textId="084FAC61" w:rsidR="00E46903" w:rsidRPr="00110519" w:rsidRDefault="008F21F6" w:rsidP="00E725D7">
      <w:pPr>
        <w:pStyle w:val="Prrafodelista"/>
        <w:numPr>
          <w:ilvl w:val="0"/>
          <w:numId w:val="8"/>
        </w:numPr>
        <w:tabs>
          <w:tab w:val="center" w:pos="708"/>
          <w:tab w:val="center" w:pos="2125"/>
          <w:tab w:val="center" w:pos="2833"/>
          <w:tab w:val="center" w:pos="3541"/>
          <w:tab w:val="center" w:pos="4249"/>
          <w:tab w:val="center" w:pos="4957"/>
          <w:tab w:val="center" w:pos="6592"/>
        </w:tabs>
        <w:spacing w:before="60"/>
        <w:ind w:left="1276" w:hanging="437"/>
        <w:jc w:val="both"/>
        <w:rPr>
          <w:rFonts w:ascii="Bookman Old Style" w:hAnsi="Bookman Old Style"/>
          <w:sz w:val="24"/>
          <w:szCs w:val="24"/>
        </w:rPr>
      </w:pPr>
      <w:r w:rsidRPr="00110519">
        <w:rPr>
          <w:rFonts w:ascii="Bookman Old Style" w:hAnsi="Bookman Old Style"/>
          <w:sz w:val="24"/>
          <w:szCs w:val="24"/>
          <w:lang w:val="es-ES"/>
        </w:rPr>
        <w:t xml:space="preserve">La ENFICC está calculada </w:t>
      </w:r>
      <w:proofErr w:type="gramStart"/>
      <w:r w:rsidRPr="00110519">
        <w:rPr>
          <w:rFonts w:ascii="Bookman Old Style" w:hAnsi="Bookman Old Style"/>
          <w:sz w:val="24"/>
          <w:szCs w:val="24"/>
          <w:lang w:val="es-ES"/>
        </w:rPr>
        <w:t>sin lugar a dudas</w:t>
      </w:r>
      <w:proofErr w:type="gramEnd"/>
      <w:r w:rsidRPr="00110519">
        <w:rPr>
          <w:rFonts w:ascii="Bookman Old Style" w:hAnsi="Bookman Old Style"/>
          <w:sz w:val="24"/>
          <w:szCs w:val="24"/>
          <w:lang w:val="es-ES"/>
        </w:rPr>
        <w:t xml:space="preserve"> considerando la condición física real de la Central, aportes, vertimientos, caudal ecológico, y demás elementos y características reportados</w:t>
      </w:r>
      <w:r w:rsidR="00E46903" w:rsidRPr="00110519">
        <w:rPr>
          <w:rFonts w:ascii="Bookman Old Style" w:hAnsi="Bookman Old Style"/>
          <w:sz w:val="24"/>
          <w:szCs w:val="24"/>
          <w:lang w:val="es-ES"/>
        </w:rPr>
        <w:t xml:space="preserve"> para la planta en la totalidad de los formatos exigidos. </w:t>
      </w:r>
    </w:p>
    <w:p w14:paraId="27EC6BFE" w14:textId="77777777" w:rsidR="00E46903" w:rsidRPr="00110519" w:rsidRDefault="00E46903" w:rsidP="00E725D7">
      <w:pPr>
        <w:pStyle w:val="Prrafodelista"/>
        <w:numPr>
          <w:ilvl w:val="0"/>
          <w:numId w:val="8"/>
        </w:numPr>
        <w:tabs>
          <w:tab w:val="center" w:pos="708"/>
          <w:tab w:val="center" w:pos="2125"/>
          <w:tab w:val="center" w:pos="2833"/>
          <w:tab w:val="center" w:pos="3541"/>
          <w:tab w:val="center" w:pos="4249"/>
          <w:tab w:val="center" w:pos="4957"/>
          <w:tab w:val="center" w:pos="6592"/>
        </w:tabs>
        <w:spacing w:before="60"/>
        <w:ind w:left="1276" w:hanging="437"/>
        <w:jc w:val="both"/>
        <w:rPr>
          <w:rFonts w:ascii="Bookman Old Style" w:hAnsi="Bookman Old Style"/>
          <w:sz w:val="24"/>
          <w:szCs w:val="24"/>
        </w:rPr>
      </w:pPr>
      <w:r w:rsidRPr="00110519">
        <w:rPr>
          <w:rFonts w:ascii="Bookman Old Style" w:hAnsi="Bookman Old Style"/>
          <w:sz w:val="24"/>
          <w:szCs w:val="24"/>
          <w:lang w:val="es-ES"/>
        </w:rPr>
        <w:t xml:space="preserve">El caudal ecológico fue tenido en cuenta a la hora de calcular la ENFICC. </w:t>
      </w:r>
    </w:p>
    <w:p w14:paraId="06FA1E36" w14:textId="07793864" w:rsidR="001D6D35" w:rsidRPr="00110519" w:rsidRDefault="00E46903" w:rsidP="00E725D7">
      <w:pPr>
        <w:pStyle w:val="Prrafodelista"/>
        <w:numPr>
          <w:ilvl w:val="0"/>
          <w:numId w:val="8"/>
        </w:numPr>
        <w:tabs>
          <w:tab w:val="center" w:pos="708"/>
          <w:tab w:val="center" w:pos="2125"/>
          <w:tab w:val="center" w:pos="2833"/>
          <w:tab w:val="center" w:pos="3541"/>
          <w:tab w:val="center" w:pos="4249"/>
          <w:tab w:val="center" w:pos="4957"/>
          <w:tab w:val="center" w:pos="6592"/>
        </w:tabs>
        <w:spacing w:before="60"/>
        <w:ind w:left="1276" w:hanging="437"/>
        <w:jc w:val="both"/>
        <w:rPr>
          <w:rFonts w:ascii="Bookman Old Style" w:hAnsi="Bookman Old Style"/>
          <w:sz w:val="24"/>
          <w:szCs w:val="24"/>
        </w:rPr>
      </w:pPr>
      <w:r w:rsidRPr="00110519">
        <w:rPr>
          <w:rFonts w:ascii="Bookman Old Style" w:hAnsi="Bookman Old Style"/>
          <w:sz w:val="24"/>
          <w:szCs w:val="24"/>
          <w:lang w:val="es-ES"/>
        </w:rPr>
        <w:t>Las discrepancias se pueden presentar respecto de los valores de los parámetros y su consecuente afectación en el cálculo de la ENFICC, no sobre la representación de la topología.</w:t>
      </w:r>
      <w:r w:rsidR="008F21F6" w:rsidRPr="00110519">
        <w:rPr>
          <w:rFonts w:ascii="Bookman Old Style" w:hAnsi="Bookman Old Style"/>
          <w:sz w:val="24"/>
          <w:szCs w:val="24"/>
          <w:lang w:val="es-ES"/>
        </w:rPr>
        <w:t xml:space="preserve"> </w:t>
      </w:r>
    </w:p>
    <w:p w14:paraId="216EAD92" w14:textId="77777777" w:rsidR="00E20EE7" w:rsidRPr="00110519" w:rsidRDefault="00E20EE7" w:rsidP="00E725D7">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lang w:val="es-CO"/>
        </w:rPr>
      </w:pPr>
    </w:p>
    <w:p w14:paraId="216EAD93" w14:textId="72F36159" w:rsidR="00E20EE7" w:rsidRPr="00110519" w:rsidRDefault="00E81A01" w:rsidP="00E725D7">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rPr>
      </w:pPr>
      <w:r w:rsidRPr="00110519">
        <w:rPr>
          <w:rFonts w:ascii="Bookman Old Style" w:hAnsi="Bookman Old Style"/>
        </w:rPr>
        <w:t>En</w:t>
      </w:r>
      <w:r w:rsidR="00E20EE7" w:rsidRPr="00110519">
        <w:rPr>
          <w:rFonts w:ascii="Bookman Old Style" w:hAnsi="Bookman Old Style"/>
        </w:rPr>
        <w:t xml:space="preserve"> cuarto y último lugar, aún si hay diferencia en el diagrama topológico, ésta no debe s</w:t>
      </w:r>
      <w:r w:rsidR="00BD1B78" w:rsidRPr="00110519">
        <w:rPr>
          <w:rFonts w:ascii="Bookman Old Style" w:hAnsi="Bookman Old Style"/>
        </w:rPr>
        <w:t xml:space="preserve">er considerada una discrepancia al no presentarse un riesgo de </w:t>
      </w:r>
      <w:proofErr w:type="spellStart"/>
      <w:r w:rsidR="00BD1B78" w:rsidRPr="00110519">
        <w:rPr>
          <w:rFonts w:ascii="Bookman Old Style" w:hAnsi="Bookman Old Style"/>
        </w:rPr>
        <w:t>sobrerremuneración</w:t>
      </w:r>
      <w:proofErr w:type="spellEnd"/>
      <w:r w:rsidR="00BD1B78" w:rsidRPr="00110519">
        <w:rPr>
          <w:rFonts w:ascii="Bookman Old Style" w:hAnsi="Bookman Old Style"/>
        </w:rPr>
        <w:t xml:space="preserve"> o incumplimiento de las OEF asignadas”.</w:t>
      </w:r>
    </w:p>
    <w:p w14:paraId="585CFC67" w14:textId="4937BCD8" w:rsidR="002E6799" w:rsidRPr="00110519" w:rsidRDefault="002E6799"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p>
    <w:p w14:paraId="7D07B47C" w14:textId="77777777" w:rsidR="006D7A3E" w:rsidRDefault="006D7A3E"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p>
    <w:p w14:paraId="4D363711" w14:textId="77777777" w:rsidR="006D7A3E" w:rsidRDefault="006D7A3E"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p>
    <w:p w14:paraId="69A7B498" w14:textId="77777777" w:rsidR="006D7A3E" w:rsidRDefault="006D7A3E"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p>
    <w:p w14:paraId="4937F3C3" w14:textId="33EB6C54" w:rsidR="002E6799" w:rsidRPr="00110519" w:rsidRDefault="002E6799"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r w:rsidRPr="00110519">
        <w:rPr>
          <w:rFonts w:ascii="Bookman Old Style" w:hAnsi="Bookman Old Style"/>
        </w:rPr>
        <w:lastRenderedPageBreak/>
        <w:t xml:space="preserve">Destaca </w:t>
      </w:r>
      <w:r w:rsidR="00393F95" w:rsidRPr="00110519">
        <w:rPr>
          <w:rFonts w:ascii="Bookman Old Style" w:hAnsi="Bookman Old Style"/>
        </w:rPr>
        <w:t xml:space="preserve">HIDRALPOR </w:t>
      </w:r>
      <w:r w:rsidRPr="00110519">
        <w:rPr>
          <w:rFonts w:ascii="Bookman Old Style" w:hAnsi="Bookman Old Style"/>
        </w:rPr>
        <w:t xml:space="preserve">que las representaciones gráficas que se </w:t>
      </w:r>
      <w:r w:rsidR="004D27E4" w:rsidRPr="00110519">
        <w:rPr>
          <w:rFonts w:ascii="Bookman Old Style" w:hAnsi="Bookman Old Style"/>
        </w:rPr>
        <w:t>hagan “no tienen incidencia en el cálculo de la ENFICC, ya que su insumo principal son datos numéricos.”</w:t>
      </w:r>
      <w:r w:rsidR="00DD22DB" w:rsidRPr="00110519">
        <w:rPr>
          <w:rFonts w:ascii="Bookman Old Style" w:hAnsi="Bookman Old Style"/>
        </w:rPr>
        <w:t xml:space="preserve">, y reitera que: </w:t>
      </w:r>
    </w:p>
    <w:p w14:paraId="3447CBFD" w14:textId="77777777" w:rsidR="00DD22DB" w:rsidRPr="00110519" w:rsidRDefault="00DD22DB" w:rsidP="009776A9">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p>
    <w:p w14:paraId="75F39825" w14:textId="158ACBE3" w:rsidR="00DD22DB" w:rsidRPr="00110519" w:rsidRDefault="00DD22DB" w:rsidP="00957CB3">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rPr>
      </w:pPr>
      <w:r w:rsidRPr="00110519">
        <w:rPr>
          <w:rFonts w:ascii="Bookman Old Style" w:hAnsi="Bookman Old Style"/>
        </w:rPr>
        <w:tab/>
        <w:t>“</w:t>
      </w:r>
      <w:r w:rsidR="0066150D" w:rsidRPr="00110519">
        <w:rPr>
          <w:rFonts w:ascii="Bookman Old Style" w:hAnsi="Bookman Old Style"/>
        </w:rPr>
        <w:t xml:space="preserve">El hecho de que el caudal ecológico </w:t>
      </w:r>
      <w:r w:rsidR="00843F1B" w:rsidRPr="00110519">
        <w:rPr>
          <w:rFonts w:ascii="Bookman Old Style" w:hAnsi="Bookman Old Style"/>
        </w:rPr>
        <w:t xml:space="preserve">no esté representado en el diagrama topológico no significa que </w:t>
      </w:r>
      <w:proofErr w:type="spellStart"/>
      <w:r w:rsidR="00843F1B" w:rsidRPr="00110519">
        <w:rPr>
          <w:rFonts w:ascii="Bookman Old Style" w:hAnsi="Bookman Old Style"/>
        </w:rPr>
        <w:t>Hidralpor</w:t>
      </w:r>
      <w:proofErr w:type="spellEnd"/>
      <w:r w:rsidR="00843F1B" w:rsidRPr="00110519">
        <w:rPr>
          <w:rFonts w:ascii="Bookman Old Style" w:hAnsi="Bookman Old Style"/>
        </w:rPr>
        <w:t xml:space="preserve"> haya </w:t>
      </w:r>
      <w:r w:rsidR="00DA7FDF" w:rsidRPr="00110519">
        <w:rPr>
          <w:rFonts w:ascii="Bookman Old Style" w:hAnsi="Bookman Old Style"/>
        </w:rPr>
        <w:t>ignorado</w:t>
      </w:r>
      <w:r w:rsidR="00843F1B" w:rsidRPr="00110519">
        <w:rPr>
          <w:rFonts w:ascii="Bookman Old Style" w:hAnsi="Bookman Old Style"/>
        </w:rPr>
        <w:t xml:space="preserve"> la existencia de dicho parámetro en el cálculo de su ENFICC. </w:t>
      </w:r>
      <w:r w:rsidR="00957CB3" w:rsidRPr="00110519">
        <w:rPr>
          <w:rFonts w:ascii="Bookman Old Style" w:hAnsi="Bookman Old Style"/>
        </w:rPr>
        <w:t>Por el contrario, siguiendo los protocolos de declaración establecidos por el CNO en el Anexo 3 del Acuerdo 396, la COMPAÑÍA reportó el caudal ecológico como filtración en el FORMATO 6.”</w:t>
      </w:r>
    </w:p>
    <w:p w14:paraId="783DA186" w14:textId="77777777" w:rsidR="00D664D5" w:rsidRPr="00110519" w:rsidRDefault="00D664D5" w:rsidP="00A335B4">
      <w:pPr>
        <w:tabs>
          <w:tab w:val="center" w:pos="708"/>
          <w:tab w:val="center" w:pos="1416"/>
          <w:tab w:val="center" w:pos="2125"/>
          <w:tab w:val="center" w:pos="2833"/>
          <w:tab w:val="center" w:pos="3541"/>
          <w:tab w:val="center" w:pos="4249"/>
          <w:tab w:val="center" w:pos="4957"/>
          <w:tab w:val="center" w:pos="6592"/>
        </w:tabs>
        <w:ind w:left="708"/>
        <w:jc w:val="both"/>
        <w:rPr>
          <w:rFonts w:ascii="Bookman Old Style" w:hAnsi="Bookman Old Style"/>
        </w:rPr>
      </w:pPr>
    </w:p>
    <w:p w14:paraId="4ED57A17" w14:textId="4248606B" w:rsidR="00D664D5" w:rsidRPr="00110519" w:rsidRDefault="00D664D5" w:rsidP="00D664D5">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r w:rsidRPr="00110519">
        <w:rPr>
          <w:rFonts w:ascii="Bookman Old Style" w:hAnsi="Bookman Old Style"/>
        </w:rPr>
        <w:t xml:space="preserve">Adicionalmente, </w:t>
      </w:r>
      <w:r w:rsidR="00DA7FDF" w:rsidRPr="00110519">
        <w:rPr>
          <w:rFonts w:ascii="Bookman Old Style" w:hAnsi="Bookman Old Style"/>
        </w:rPr>
        <w:t xml:space="preserve">HIDRALPOR </w:t>
      </w:r>
      <w:r w:rsidRPr="00110519">
        <w:rPr>
          <w:rFonts w:ascii="Bookman Old Style" w:hAnsi="Bookman Old Style"/>
        </w:rPr>
        <w:t>pone de presente que en casos recientes la Comisión ha considerado que no hay discrepancias cuando no se afecta el cálculo de la ENFICC.</w:t>
      </w:r>
    </w:p>
    <w:p w14:paraId="7330B43B" w14:textId="77777777" w:rsidR="00D664D5" w:rsidRPr="00110519" w:rsidRDefault="00D664D5" w:rsidP="00D664D5">
      <w:pPr>
        <w:tabs>
          <w:tab w:val="center" w:pos="708"/>
          <w:tab w:val="center" w:pos="1416"/>
          <w:tab w:val="center" w:pos="2125"/>
          <w:tab w:val="center" w:pos="2833"/>
          <w:tab w:val="center" w:pos="3541"/>
          <w:tab w:val="center" w:pos="4249"/>
          <w:tab w:val="center" w:pos="4957"/>
          <w:tab w:val="center" w:pos="6592"/>
        </w:tabs>
        <w:ind w:left="-15"/>
        <w:jc w:val="both"/>
        <w:rPr>
          <w:rFonts w:ascii="Bookman Old Style" w:hAnsi="Bookman Old Style"/>
        </w:rPr>
      </w:pPr>
    </w:p>
    <w:p w14:paraId="435F5E75" w14:textId="59EDDA61" w:rsidR="00D664D5" w:rsidRPr="00110519" w:rsidRDefault="00D664D5" w:rsidP="00A335B4">
      <w:pPr>
        <w:tabs>
          <w:tab w:val="center" w:pos="708"/>
          <w:tab w:val="center" w:pos="1416"/>
          <w:tab w:val="center" w:pos="2125"/>
          <w:tab w:val="center" w:pos="2833"/>
          <w:tab w:val="center" w:pos="3541"/>
          <w:tab w:val="center" w:pos="4249"/>
          <w:tab w:val="center" w:pos="4957"/>
          <w:tab w:val="center" w:pos="6592"/>
        </w:tabs>
        <w:ind w:left="0"/>
        <w:jc w:val="both"/>
        <w:rPr>
          <w:rFonts w:ascii="Bookman Old Style" w:hAnsi="Bookman Old Style"/>
        </w:rPr>
      </w:pPr>
      <w:r w:rsidRPr="00110519">
        <w:rPr>
          <w:rFonts w:ascii="Bookman Old Style" w:hAnsi="Bookman Old Style"/>
        </w:rPr>
        <w:t xml:space="preserve">Finalmente, </w:t>
      </w:r>
      <w:r w:rsidR="00DA7FDF" w:rsidRPr="00110519">
        <w:rPr>
          <w:rFonts w:ascii="Bookman Old Style" w:hAnsi="Bookman Old Style"/>
        </w:rPr>
        <w:t xml:space="preserve">HIDRALPOR </w:t>
      </w:r>
      <w:r w:rsidR="00B575AF" w:rsidRPr="00110519">
        <w:rPr>
          <w:rFonts w:ascii="Bookman Old Style" w:hAnsi="Bookman Old Style"/>
        </w:rPr>
        <w:t xml:space="preserve">destaca que </w:t>
      </w:r>
      <w:r w:rsidRPr="00110519">
        <w:rPr>
          <w:rFonts w:ascii="Bookman Old Style" w:hAnsi="Bookman Old Style"/>
        </w:rPr>
        <w:t>la planta cuenta con una la ENFICC Base superior a la OEF asignadas comprobando que cuenta con mayor capacidad para cumplir con los compromisos adquiridos.</w:t>
      </w:r>
    </w:p>
    <w:p w14:paraId="216EAD96" w14:textId="77777777" w:rsidR="009776A9" w:rsidRPr="00110519" w:rsidRDefault="009776A9" w:rsidP="009776A9">
      <w:pPr>
        <w:spacing w:after="3" w:line="253" w:lineRule="auto"/>
        <w:ind w:left="0"/>
        <w:jc w:val="both"/>
        <w:rPr>
          <w:rFonts w:ascii="Bookman Old Style" w:hAnsi="Bookman Old Style" w:cs="Arial"/>
          <w:b/>
          <w:lang w:val="es-CO"/>
        </w:rPr>
      </w:pPr>
    </w:p>
    <w:p w14:paraId="093108F0" w14:textId="1D7321B4" w:rsidR="006163B7" w:rsidRPr="00110519" w:rsidRDefault="001166D9" w:rsidP="00DB3376">
      <w:pPr>
        <w:spacing w:after="5" w:line="250" w:lineRule="auto"/>
        <w:ind w:left="0"/>
        <w:jc w:val="both"/>
        <w:rPr>
          <w:rFonts w:ascii="Bookman Old Style" w:hAnsi="Bookman Old Style"/>
          <w:sz w:val="22"/>
          <w:szCs w:val="22"/>
        </w:rPr>
      </w:pPr>
      <w:r w:rsidRPr="00110519">
        <w:rPr>
          <w:rFonts w:ascii="Bookman Old Style" w:hAnsi="Bookman Old Style" w:cs="Arial"/>
          <w:b/>
          <w:spacing w:val="-5"/>
          <w:lang w:val="es-CO" w:eastAsia="en-US"/>
        </w:rPr>
        <w:t>B</w:t>
      </w:r>
      <w:r w:rsidR="009776A9" w:rsidRPr="00110519">
        <w:rPr>
          <w:rFonts w:ascii="Bookman Old Style" w:hAnsi="Bookman Old Style" w:cs="Arial"/>
          <w:b/>
          <w:spacing w:val="-5"/>
          <w:lang w:val="es-CO" w:eastAsia="en-US"/>
        </w:rPr>
        <w:t>. Pruebas decretadas.</w:t>
      </w:r>
      <w:r w:rsidR="009776A9" w:rsidRPr="00110519">
        <w:rPr>
          <w:rFonts w:ascii="Bookman Old Style" w:hAnsi="Bookman Old Style" w:cs="Arial"/>
          <w:spacing w:val="-5"/>
          <w:lang w:val="es-CO" w:eastAsia="en-US"/>
        </w:rPr>
        <w:t xml:space="preserve"> – La CREG</w:t>
      </w:r>
      <w:r w:rsidR="00CE3854" w:rsidRPr="00110519">
        <w:rPr>
          <w:rFonts w:ascii="Bookman Old Style" w:hAnsi="Bookman Old Style" w:cs="Arial"/>
          <w:spacing w:val="-5"/>
          <w:lang w:val="es-CO" w:eastAsia="en-US"/>
        </w:rPr>
        <w:t>,</w:t>
      </w:r>
      <w:r w:rsidR="009776A9" w:rsidRPr="00110519">
        <w:rPr>
          <w:rFonts w:ascii="Bookman Old Style" w:hAnsi="Bookman Old Style" w:cs="Arial"/>
          <w:spacing w:val="-5"/>
          <w:lang w:val="es-CO" w:eastAsia="en-US"/>
        </w:rPr>
        <w:t xml:space="preserve"> mediante auto de 28 de septiembre de </w:t>
      </w:r>
      <w:r w:rsidR="009776A9" w:rsidRPr="00110519">
        <w:rPr>
          <w:rFonts w:ascii="Bookman Old Style" w:hAnsi="Bookman Old Style" w:cs="Arial"/>
          <w:spacing w:val="-5"/>
          <w:sz w:val="22"/>
          <w:szCs w:val="22"/>
          <w:lang w:val="es-CO" w:eastAsia="en-US"/>
        </w:rPr>
        <w:t xml:space="preserve">2021, </w:t>
      </w:r>
      <w:r w:rsidR="005418C5" w:rsidRPr="00371DC3">
        <w:rPr>
          <w:rFonts w:ascii="Bookman Old Style" w:hAnsi="Bookman Old Style" w:cs="Arial"/>
          <w:spacing w:val="-5"/>
          <w:lang w:val="es-CO" w:eastAsia="en-US"/>
        </w:rPr>
        <w:t xml:space="preserve">con radicado </w:t>
      </w:r>
      <w:r w:rsidR="007535CB" w:rsidRPr="00371DC3">
        <w:rPr>
          <w:rFonts w:ascii="Bookman Old Style" w:hAnsi="Bookman Old Style" w:cs="Arial"/>
          <w:spacing w:val="-5"/>
          <w:lang w:val="es-CO" w:eastAsia="en-US"/>
        </w:rPr>
        <w:t>I-2021-00</w:t>
      </w:r>
      <w:r w:rsidR="00B00D06" w:rsidRPr="00371DC3">
        <w:rPr>
          <w:rFonts w:ascii="Bookman Old Style" w:hAnsi="Bookman Old Style" w:cs="Arial"/>
          <w:spacing w:val="-5"/>
          <w:lang w:val="es-CO" w:eastAsia="en-US"/>
        </w:rPr>
        <w:t>2754</w:t>
      </w:r>
      <w:r w:rsidR="005418C5" w:rsidRPr="00371DC3">
        <w:rPr>
          <w:rFonts w:ascii="Bookman Old Style" w:hAnsi="Bookman Old Style" w:cs="Arial"/>
          <w:spacing w:val="-5"/>
          <w:lang w:val="es-CO" w:eastAsia="en-US"/>
        </w:rPr>
        <w:t xml:space="preserve">, </w:t>
      </w:r>
      <w:r w:rsidR="009776A9" w:rsidRPr="00371DC3">
        <w:rPr>
          <w:rFonts w:ascii="Bookman Old Style" w:hAnsi="Bookman Old Style" w:cs="Arial"/>
          <w:spacing w:val="-5"/>
          <w:lang w:val="es-CO" w:eastAsia="en-US"/>
        </w:rPr>
        <w:t>dispuso oficiar a XM S.A E.S.P.</w:t>
      </w:r>
      <w:r w:rsidR="006163B7" w:rsidRPr="00371DC3">
        <w:rPr>
          <w:rFonts w:ascii="Bookman Old Style" w:hAnsi="Bookman Old Style" w:cs="Arial"/>
          <w:spacing w:val="-5"/>
          <w:lang w:val="es-CO" w:eastAsia="en-US"/>
        </w:rPr>
        <w:t>:</w:t>
      </w:r>
      <w:r w:rsidR="009776A9" w:rsidRPr="00110519">
        <w:rPr>
          <w:rFonts w:ascii="Bookman Old Style" w:hAnsi="Bookman Old Style"/>
          <w:sz w:val="22"/>
          <w:szCs w:val="22"/>
        </w:rPr>
        <w:t xml:space="preserve"> </w:t>
      </w:r>
    </w:p>
    <w:p w14:paraId="11223D8C" w14:textId="77777777" w:rsidR="006163B7" w:rsidRPr="006D7A3E" w:rsidRDefault="006163B7" w:rsidP="006163B7">
      <w:pPr>
        <w:spacing w:after="5" w:line="250" w:lineRule="auto"/>
        <w:ind w:left="708"/>
        <w:jc w:val="both"/>
        <w:rPr>
          <w:rFonts w:ascii="Bookman Old Style" w:hAnsi="Bookman Old Style"/>
          <w:iCs/>
        </w:rPr>
      </w:pPr>
    </w:p>
    <w:p w14:paraId="216EAD97" w14:textId="7AA117FD" w:rsidR="00F42613" w:rsidRPr="00110519" w:rsidRDefault="00F42613" w:rsidP="009570E4">
      <w:pPr>
        <w:spacing w:after="5" w:line="250" w:lineRule="auto"/>
        <w:ind w:left="284"/>
        <w:jc w:val="both"/>
        <w:rPr>
          <w:rFonts w:ascii="Bookman Old Style" w:hAnsi="Bookman Old Style"/>
          <w:iCs/>
        </w:rPr>
      </w:pPr>
      <w:r w:rsidRPr="00110519">
        <w:rPr>
          <w:rFonts w:ascii="Bookman Old Style" w:hAnsi="Bookman Old Style"/>
          <w:iCs/>
        </w:rPr>
        <w:t>“Manifieste clara e inequívocamente a esta Comisión si al realizar el cálculo de la ENFICC de la planta Carlos Lleras Restrepo utilizando el modelo HIDENFICC, se consideraron el caudal ecológico y el vertimiento al Rio Medellín, que conforme al informe del auditor no fueron representados en el diagrama topológico y que, según lo manifestado por la empresa, fueron declarados en el Formato 6, como filtraciones y en el Formato 2 respectivamente. Solo en caso de que toda o parte de la información referida en el punto 1) anterior no haya sido considerada al calcular la ENFICC de la planta Carlos Lleras Restrepo, se solicita a XM SA ESP adelantar el cálculo de la ENFICC de la planta mencionada utilizando el modelo HIDENFICC, teniendo en cuenta los resultados de la auditoría de parámetros adelantada por la firma HMV y remitir el resultado solicitado dentro de los 15 días hábiles siguientes contados a partir del recibo de la comunicación.</w:t>
      </w:r>
      <w:r w:rsidR="00DB3376" w:rsidRPr="00110519">
        <w:rPr>
          <w:rFonts w:ascii="Bookman Old Style" w:hAnsi="Bookman Old Style"/>
          <w:iCs/>
        </w:rPr>
        <w:t>”.</w:t>
      </w:r>
    </w:p>
    <w:p w14:paraId="216EAD98" w14:textId="77777777" w:rsidR="00F42613" w:rsidRPr="00110519" w:rsidRDefault="00DB3376" w:rsidP="00DB3376">
      <w:pPr>
        <w:spacing w:line="259" w:lineRule="auto"/>
        <w:ind w:left="12"/>
        <w:rPr>
          <w:i/>
        </w:rPr>
      </w:pPr>
      <w:r w:rsidRPr="00110519">
        <w:rPr>
          <w:i/>
        </w:rPr>
        <w:t xml:space="preserve"> </w:t>
      </w:r>
    </w:p>
    <w:p w14:paraId="216EAD99" w14:textId="01FFC7D4" w:rsidR="00942FE9" w:rsidRPr="00110519" w:rsidRDefault="00F42613" w:rsidP="00942FE9">
      <w:pPr>
        <w:ind w:left="0"/>
        <w:jc w:val="both"/>
        <w:rPr>
          <w:rFonts w:ascii="Bookman Old Style" w:hAnsi="Bookman Old Style"/>
        </w:rPr>
      </w:pPr>
      <w:r w:rsidRPr="00110519">
        <w:rPr>
          <w:rFonts w:ascii="Bookman Old Style" w:hAnsi="Bookman Old Style"/>
        </w:rPr>
        <w:t xml:space="preserve">En el mismo auto, </w:t>
      </w:r>
      <w:r w:rsidR="00942FE9" w:rsidRPr="00110519">
        <w:rPr>
          <w:rFonts w:ascii="Bookman Old Style" w:hAnsi="Bookman Old Style"/>
        </w:rPr>
        <w:t xml:space="preserve">dispuso tener como pruebas y reconocer el valor probatorio que corresponda a los documentos allegados por </w:t>
      </w:r>
      <w:r w:rsidR="00371DC3" w:rsidRPr="00110519">
        <w:rPr>
          <w:rFonts w:ascii="Bookman Old Style" w:hAnsi="Bookman Old Style"/>
        </w:rPr>
        <w:t xml:space="preserve">HIDRALPOR </w:t>
      </w:r>
      <w:r w:rsidR="00942FE9" w:rsidRPr="00110519">
        <w:rPr>
          <w:rFonts w:ascii="Bookman Old Style" w:hAnsi="Bookman Old Style"/>
        </w:rPr>
        <w:t>S.A.</w:t>
      </w:r>
      <w:r w:rsidR="00371DC3">
        <w:rPr>
          <w:rFonts w:ascii="Bookman Old Style" w:hAnsi="Bookman Old Style"/>
        </w:rPr>
        <w:t>S.</w:t>
      </w:r>
      <w:r w:rsidR="00942FE9" w:rsidRPr="00110519">
        <w:rPr>
          <w:rFonts w:ascii="Bookman Old Style" w:hAnsi="Bookman Old Style"/>
        </w:rPr>
        <w:t xml:space="preserve"> E.S.P en el escrito de contestación, relacionados en el numeral 5 del a</w:t>
      </w:r>
      <w:r w:rsidR="008C15C4" w:rsidRPr="00110519">
        <w:rPr>
          <w:rFonts w:ascii="Bookman Old Style" w:hAnsi="Bookman Old Style"/>
        </w:rPr>
        <w:t>parte Antecedentes de este auto, a saber:</w:t>
      </w:r>
    </w:p>
    <w:p w14:paraId="216EAD9B" w14:textId="140559DC" w:rsidR="00FA79C6" w:rsidRPr="00110519" w:rsidRDefault="00FA79C6" w:rsidP="009570E4">
      <w:pPr>
        <w:numPr>
          <w:ilvl w:val="2"/>
          <w:numId w:val="6"/>
        </w:numPr>
        <w:spacing w:before="100" w:line="250" w:lineRule="auto"/>
        <w:ind w:left="284" w:hanging="284"/>
        <w:jc w:val="both"/>
        <w:rPr>
          <w:rFonts w:ascii="Bookman Old Style" w:hAnsi="Bookman Old Style"/>
        </w:rPr>
      </w:pPr>
      <w:r w:rsidRPr="00110519">
        <w:rPr>
          <w:rFonts w:ascii="Bookman Old Style" w:hAnsi="Bookman Old Style"/>
        </w:rPr>
        <w:t xml:space="preserve">Certificado de existencia y representación legal de </w:t>
      </w:r>
      <w:r w:rsidR="00371DC3" w:rsidRPr="00110519">
        <w:rPr>
          <w:rFonts w:ascii="Bookman Old Style" w:hAnsi="Bookman Old Style"/>
        </w:rPr>
        <w:t xml:space="preserve">HIDRALPOR </w:t>
      </w:r>
      <w:r w:rsidRPr="00110519">
        <w:rPr>
          <w:rFonts w:ascii="Bookman Old Style" w:hAnsi="Bookman Old Style"/>
        </w:rPr>
        <w:t>S.A.</w:t>
      </w:r>
      <w:r w:rsidR="00371DC3">
        <w:rPr>
          <w:rFonts w:ascii="Bookman Old Style" w:hAnsi="Bookman Old Style"/>
        </w:rPr>
        <w:t>S.</w:t>
      </w:r>
      <w:r w:rsidRPr="00110519">
        <w:rPr>
          <w:rFonts w:ascii="Bookman Old Style" w:hAnsi="Bookman Old Style"/>
        </w:rPr>
        <w:t xml:space="preserve"> E.S.P. </w:t>
      </w:r>
    </w:p>
    <w:p w14:paraId="216EAD9C" w14:textId="77777777" w:rsidR="00FA79C6" w:rsidRPr="00110519" w:rsidRDefault="00FA79C6" w:rsidP="009570E4">
      <w:pPr>
        <w:numPr>
          <w:ilvl w:val="2"/>
          <w:numId w:val="6"/>
        </w:numPr>
        <w:spacing w:before="100" w:line="250" w:lineRule="auto"/>
        <w:ind w:left="284" w:hanging="284"/>
        <w:jc w:val="both"/>
        <w:rPr>
          <w:rFonts w:ascii="Bookman Old Style" w:hAnsi="Bookman Old Style"/>
        </w:rPr>
      </w:pPr>
      <w:r w:rsidRPr="00110519">
        <w:rPr>
          <w:rFonts w:ascii="Bookman Old Style" w:hAnsi="Bookman Old Style"/>
        </w:rPr>
        <w:t xml:space="preserve">Hoja de Cálculo HIDENFICC_64_circular 41_2019 de fecha 24 de mayo de 2019. </w:t>
      </w:r>
    </w:p>
    <w:p w14:paraId="216EAD9D" w14:textId="29199988" w:rsidR="00FA79C6" w:rsidRDefault="00FA79C6" w:rsidP="009570E4">
      <w:pPr>
        <w:numPr>
          <w:ilvl w:val="2"/>
          <w:numId w:val="6"/>
        </w:numPr>
        <w:spacing w:before="100" w:line="250" w:lineRule="auto"/>
        <w:ind w:left="284" w:hanging="284"/>
        <w:jc w:val="both"/>
        <w:rPr>
          <w:rFonts w:ascii="Bookman Old Style" w:hAnsi="Bookman Old Style"/>
        </w:rPr>
      </w:pPr>
      <w:r w:rsidRPr="00110519">
        <w:rPr>
          <w:rFonts w:ascii="Bookman Old Style" w:hAnsi="Bookman Old Style"/>
        </w:rPr>
        <w:t xml:space="preserve">XM-Centro Nacional de Despacho Comunicación 009105-1 XM de fecha 18 de junio de 2019. </w:t>
      </w:r>
    </w:p>
    <w:p w14:paraId="5623CBE6" w14:textId="77777777" w:rsidR="006D7A3E" w:rsidRPr="00110519" w:rsidRDefault="006D7A3E" w:rsidP="006D7A3E">
      <w:pPr>
        <w:spacing w:before="100" w:line="250" w:lineRule="auto"/>
        <w:ind w:left="284"/>
        <w:jc w:val="both"/>
        <w:rPr>
          <w:rFonts w:ascii="Bookman Old Style" w:hAnsi="Bookman Old Style"/>
        </w:rPr>
      </w:pPr>
    </w:p>
    <w:p w14:paraId="216EAD9E" w14:textId="77777777" w:rsidR="00FA79C6" w:rsidRPr="00110519" w:rsidRDefault="00FA79C6" w:rsidP="009570E4">
      <w:pPr>
        <w:numPr>
          <w:ilvl w:val="2"/>
          <w:numId w:val="6"/>
        </w:numPr>
        <w:spacing w:before="100" w:line="250" w:lineRule="auto"/>
        <w:ind w:left="284" w:hanging="284"/>
        <w:jc w:val="both"/>
        <w:rPr>
          <w:rFonts w:ascii="Bookman Old Style" w:hAnsi="Bookman Old Style"/>
        </w:rPr>
      </w:pPr>
      <w:r w:rsidRPr="00110519">
        <w:rPr>
          <w:rFonts w:ascii="Bookman Old Style" w:hAnsi="Bookman Old Style"/>
        </w:rPr>
        <w:lastRenderedPageBreak/>
        <w:t xml:space="preserve">SGS ETSA- Estudios Técnicos SAS, Informe Final de Auditoría de marzo de 2016. </w:t>
      </w:r>
    </w:p>
    <w:p w14:paraId="216EAD9F" w14:textId="77777777" w:rsidR="00FA79C6" w:rsidRPr="00110519" w:rsidRDefault="00FA79C6" w:rsidP="009570E4">
      <w:pPr>
        <w:numPr>
          <w:ilvl w:val="2"/>
          <w:numId w:val="6"/>
        </w:numPr>
        <w:spacing w:before="100" w:line="250" w:lineRule="auto"/>
        <w:ind w:left="284" w:hanging="284"/>
        <w:jc w:val="both"/>
        <w:rPr>
          <w:rFonts w:ascii="Bookman Old Style" w:hAnsi="Bookman Old Style"/>
        </w:rPr>
      </w:pPr>
      <w:r w:rsidRPr="00110519">
        <w:rPr>
          <w:rFonts w:ascii="Bookman Old Style" w:hAnsi="Bookman Old Style"/>
        </w:rPr>
        <w:t xml:space="preserve">Formato 2. Topología Plantas Hidráulicas mayo de 2019 compuesto de dos libros denominados Formato 2 y Formato 2a. Diagrama Topología.  </w:t>
      </w:r>
    </w:p>
    <w:p w14:paraId="216EADA0" w14:textId="77777777" w:rsidR="00FA79C6" w:rsidRPr="00110519" w:rsidRDefault="00FA79C6" w:rsidP="009570E4">
      <w:pPr>
        <w:numPr>
          <w:ilvl w:val="2"/>
          <w:numId w:val="6"/>
        </w:numPr>
        <w:spacing w:before="100" w:line="250" w:lineRule="auto"/>
        <w:ind w:left="284" w:hanging="284"/>
        <w:jc w:val="both"/>
        <w:rPr>
          <w:rFonts w:ascii="Bookman Old Style" w:hAnsi="Bookman Old Style"/>
        </w:rPr>
      </w:pPr>
      <w:r w:rsidRPr="00110519">
        <w:rPr>
          <w:rFonts w:ascii="Bookman Old Style" w:hAnsi="Bookman Old Style"/>
        </w:rPr>
        <w:t xml:space="preserve">Informe Técnico CONSORCIO HMV No. 3281-11-QS -RP.007-1 del 23 de noviembre de 2020. </w:t>
      </w:r>
    </w:p>
    <w:p w14:paraId="216EADA1" w14:textId="77777777" w:rsidR="009776A9" w:rsidRPr="00110519" w:rsidRDefault="009776A9" w:rsidP="009776A9">
      <w:pPr>
        <w:ind w:left="-5" w:right="4"/>
        <w:jc w:val="both"/>
        <w:rPr>
          <w:rFonts w:ascii="Bookman Old Style" w:hAnsi="Bookman Old Style"/>
        </w:rPr>
      </w:pPr>
    </w:p>
    <w:p w14:paraId="216EADA3" w14:textId="5AC0C920" w:rsidR="008C5A59" w:rsidRPr="00110519" w:rsidRDefault="001166D9" w:rsidP="00110519">
      <w:pPr>
        <w:widowControl w:val="0"/>
        <w:adjustRightInd w:val="0"/>
        <w:ind w:left="0"/>
        <w:jc w:val="both"/>
        <w:textAlignment w:val="baseline"/>
        <w:rPr>
          <w:rFonts w:ascii="Bookman Old Style" w:hAnsi="Bookman Old Style" w:cs="Arial"/>
          <w:spacing w:val="-5"/>
          <w:lang w:val="es-CO" w:eastAsia="en-US"/>
        </w:rPr>
      </w:pPr>
      <w:r w:rsidRPr="00110519">
        <w:rPr>
          <w:rFonts w:ascii="Bookman Old Style" w:hAnsi="Bookman Old Style" w:cs="Arial"/>
          <w:b/>
          <w:spacing w:val="-5"/>
          <w:lang w:eastAsia="en-US"/>
        </w:rPr>
        <w:t>C</w:t>
      </w:r>
      <w:r w:rsidR="009776A9" w:rsidRPr="00110519">
        <w:rPr>
          <w:rFonts w:ascii="Bookman Old Style" w:hAnsi="Bookman Old Style" w:cs="Arial"/>
          <w:spacing w:val="-5"/>
          <w:lang w:eastAsia="en-US"/>
        </w:rPr>
        <w:t>.</w:t>
      </w:r>
      <w:r w:rsidR="009776A9" w:rsidRPr="00110519">
        <w:rPr>
          <w:rFonts w:ascii="Bookman Old Style" w:hAnsi="Bookman Old Style" w:cs="Arial"/>
          <w:b/>
          <w:spacing w:val="-5"/>
          <w:lang w:val="es-CO" w:eastAsia="en-US"/>
        </w:rPr>
        <w:t xml:space="preserve"> Información entregada e incorporada. -</w:t>
      </w:r>
      <w:r w:rsidR="009776A9" w:rsidRPr="00110519">
        <w:rPr>
          <w:rFonts w:ascii="Bookman Old Style" w:hAnsi="Bookman Old Style" w:cs="Arial"/>
          <w:spacing w:val="-5"/>
          <w:lang w:val="es-CO" w:eastAsia="en-US"/>
        </w:rPr>
        <w:t xml:space="preserve">  En acatamiento a lo ordenado en el auto de pruebas</w:t>
      </w:r>
      <w:r w:rsidR="00422E17">
        <w:rPr>
          <w:rFonts w:ascii="Bookman Old Style" w:hAnsi="Bookman Old Style" w:cs="Arial"/>
          <w:spacing w:val="-5"/>
          <w:lang w:val="es-CO" w:eastAsia="en-US"/>
        </w:rPr>
        <w:t>,</w:t>
      </w:r>
      <w:r w:rsidR="009776A9" w:rsidRPr="00110519">
        <w:rPr>
          <w:rFonts w:ascii="Bookman Old Style" w:hAnsi="Bookman Old Style" w:cs="Arial"/>
          <w:spacing w:val="-5"/>
          <w:lang w:val="es-CO" w:eastAsia="en-US"/>
        </w:rPr>
        <w:t xml:space="preserve"> </w:t>
      </w:r>
      <w:r w:rsidR="009776A9" w:rsidRPr="00110519">
        <w:rPr>
          <w:rFonts w:ascii="Bookman Old Style" w:hAnsi="Bookman Old Style" w:cs="Arial"/>
          <w:spacing w:val="-5"/>
          <w:lang w:eastAsia="en-US"/>
        </w:rPr>
        <w:t>XM S.A</w:t>
      </w:r>
      <w:r w:rsidR="00422E17">
        <w:rPr>
          <w:rFonts w:ascii="Bookman Old Style" w:hAnsi="Bookman Old Style" w:cs="Arial"/>
          <w:spacing w:val="-5"/>
          <w:lang w:eastAsia="en-US"/>
        </w:rPr>
        <w:t>.</w:t>
      </w:r>
      <w:r w:rsidR="009776A9" w:rsidRPr="00110519">
        <w:rPr>
          <w:rFonts w:ascii="Bookman Old Style" w:hAnsi="Bookman Old Style" w:cs="Arial"/>
          <w:spacing w:val="-5"/>
          <w:lang w:eastAsia="en-US"/>
        </w:rPr>
        <w:t xml:space="preserve"> E.S.P. mediante escrito número</w:t>
      </w:r>
      <w:r w:rsidR="00AD6EDA" w:rsidRPr="00110519">
        <w:rPr>
          <w:rFonts w:ascii="Bookman Old Style" w:hAnsi="Bookman Old Style" w:cs="Arial"/>
          <w:spacing w:val="-5"/>
          <w:lang w:eastAsia="en-US"/>
        </w:rPr>
        <w:t xml:space="preserve"> </w:t>
      </w:r>
      <w:bookmarkStart w:id="0" w:name="_Hlk85620973"/>
      <w:r w:rsidR="00AD6EDA" w:rsidRPr="00110519">
        <w:rPr>
          <w:rFonts w:ascii="Bookman Old Style" w:eastAsia="Arial" w:hAnsi="Bookman Old Style" w:cs="Arial"/>
        </w:rPr>
        <w:t>202144023605-1 d</w:t>
      </w:r>
      <w:r w:rsidR="009776A9" w:rsidRPr="00110519">
        <w:rPr>
          <w:rFonts w:ascii="Bookman Old Style" w:eastAsia="Arial" w:hAnsi="Bookman Old Style" w:cs="Arial"/>
        </w:rPr>
        <w:t xml:space="preserve">el </w:t>
      </w:r>
      <w:r w:rsidR="00AD6EDA" w:rsidRPr="00110519">
        <w:rPr>
          <w:rFonts w:ascii="Bookman Old Style" w:eastAsia="Arial" w:hAnsi="Bookman Old Style" w:cs="Arial"/>
        </w:rPr>
        <w:t>6</w:t>
      </w:r>
      <w:r w:rsidR="009776A9" w:rsidRPr="00110519">
        <w:rPr>
          <w:rFonts w:ascii="Bookman Old Style" w:eastAsia="Arial" w:hAnsi="Bookman Old Style" w:cs="Arial"/>
        </w:rPr>
        <w:t xml:space="preserve"> de octubre de 2021</w:t>
      </w:r>
      <w:r w:rsidR="00CE3854" w:rsidRPr="00110519">
        <w:rPr>
          <w:rFonts w:ascii="Bookman Old Style" w:eastAsia="Arial" w:hAnsi="Bookman Old Style" w:cs="Arial"/>
        </w:rPr>
        <w:t>, radicado CREG E-2021-</w:t>
      </w:r>
      <w:r w:rsidR="00ED3FC6" w:rsidRPr="00110519">
        <w:rPr>
          <w:rFonts w:ascii="Bookman Old Style" w:eastAsia="Arial" w:hAnsi="Bookman Old Style" w:cs="Arial"/>
        </w:rPr>
        <w:t>011789</w:t>
      </w:r>
      <w:r w:rsidR="009776A9" w:rsidRPr="00110519">
        <w:rPr>
          <w:rFonts w:ascii="Bookman Old Style" w:eastAsia="Arial" w:hAnsi="Bookman Old Style" w:cs="Arial"/>
        </w:rPr>
        <w:t>,</w:t>
      </w:r>
      <w:r w:rsidR="00985141" w:rsidRPr="00110519">
        <w:rPr>
          <w:rFonts w:ascii="Bookman Old Style" w:eastAsia="Arial" w:hAnsi="Bookman Old Style" w:cs="Arial"/>
        </w:rPr>
        <w:t xml:space="preserve"> </w:t>
      </w:r>
      <w:r w:rsidR="009776A9" w:rsidRPr="00110519">
        <w:rPr>
          <w:rFonts w:ascii="Bookman Old Style" w:eastAsia="Arial" w:hAnsi="Bookman Old Style" w:cs="Arial"/>
        </w:rPr>
        <w:t>señal</w:t>
      </w:r>
      <w:r w:rsidR="00985141" w:rsidRPr="00110519">
        <w:rPr>
          <w:rFonts w:ascii="Bookman Old Style" w:eastAsia="Arial" w:hAnsi="Bookman Old Style" w:cs="Arial"/>
        </w:rPr>
        <w:t>ó</w:t>
      </w:r>
      <w:r w:rsidR="009776A9" w:rsidRPr="00110519">
        <w:rPr>
          <w:rFonts w:ascii="Bookman Old Style" w:eastAsia="Arial" w:hAnsi="Bookman Old Style" w:cs="Arial"/>
        </w:rPr>
        <w:t xml:space="preserve"> </w:t>
      </w:r>
      <w:bookmarkEnd w:id="0"/>
      <w:r w:rsidR="009776A9" w:rsidRPr="00110519">
        <w:rPr>
          <w:rFonts w:ascii="Bookman Old Style" w:hAnsi="Bookman Old Style" w:cs="Arial"/>
          <w:spacing w:val="-5"/>
          <w:lang w:val="es-CO" w:eastAsia="en-US"/>
        </w:rPr>
        <w:t>lo siguiente:</w:t>
      </w:r>
      <w:r w:rsidR="00AD6EDA" w:rsidRPr="00110519">
        <w:rPr>
          <w:rFonts w:ascii="Bookman Old Style" w:hAnsi="Bookman Old Style" w:cs="Arial"/>
          <w:spacing w:val="-5"/>
          <w:lang w:val="es-CO" w:eastAsia="en-US"/>
        </w:rPr>
        <w:t xml:space="preserve"> </w:t>
      </w:r>
    </w:p>
    <w:p w14:paraId="216EADA4" w14:textId="77777777" w:rsidR="008C5A59" w:rsidRPr="00110519" w:rsidRDefault="008C5A59" w:rsidP="00110519">
      <w:pPr>
        <w:widowControl w:val="0"/>
        <w:adjustRightInd w:val="0"/>
        <w:ind w:left="0"/>
        <w:jc w:val="both"/>
        <w:textAlignment w:val="baseline"/>
        <w:rPr>
          <w:rFonts w:ascii="Bookman Old Style" w:hAnsi="Bookman Old Style" w:cs="Arial"/>
          <w:spacing w:val="-5"/>
          <w:lang w:val="es-CO" w:eastAsia="en-US"/>
        </w:rPr>
      </w:pPr>
    </w:p>
    <w:p w14:paraId="216EADA5" w14:textId="0ED0BEA1" w:rsidR="008C5A59" w:rsidRPr="00110519" w:rsidRDefault="00AD6EDA" w:rsidP="009570E4">
      <w:pPr>
        <w:widowControl w:val="0"/>
        <w:adjustRightInd w:val="0"/>
        <w:ind w:left="284"/>
        <w:jc w:val="both"/>
        <w:textAlignment w:val="baseline"/>
        <w:rPr>
          <w:rFonts w:ascii="Bookman Old Style" w:hAnsi="Bookman Old Style" w:cs="Arial"/>
          <w:spacing w:val="-5"/>
          <w:lang w:val="es-CO" w:eastAsia="en-US"/>
        </w:rPr>
      </w:pPr>
      <w:r w:rsidRPr="00110519">
        <w:rPr>
          <w:rFonts w:ascii="Bookman Old Style" w:hAnsi="Bookman Old Style" w:cs="Arial"/>
          <w:spacing w:val="-5"/>
          <w:lang w:val="es-CO" w:eastAsia="en-US"/>
        </w:rPr>
        <w:t>“Al respecto el CND informa que para el cálculo de la Energía Firme del Cargo por Confiabilidad –ENFICC</w:t>
      </w:r>
      <w:r w:rsidR="00422E17" w:rsidRPr="00110519">
        <w:rPr>
          <w:rFonts w:ascii="Bookman Old Style" w:hAnsi="Bookman Old Style" w:cs="Arial"/>
          <w:spacing w:val="-5"/>
          <w:lang w:val="es-CO" w:eastAsia="en-US"/>
        </w:rPr>
        <w:t>–</w:t>
      </w:r>
      <w:r w:rsidRPr="00110519">
        <w:rPr>
          <w:rFonts w:ascii="Bookman Old Style" w:hAnsi="Bookman Old Style" w:cs="Arial"/>
          <w:spacing w:val="-5"/>
          <w:lang w:val="es-CO" w:eastAsia="en-US"/>
        </w:rPr>
        <w:t xml:space="preserve"> de la planta Carlos Lleras Restrepo consideró toda la información de los Formatos 2 y 6 consignada en el Anexo 1 de la Circular CREG 041 de 2019, correspondientes a</w:t>
      </w:r>
      <w:r w:rsidR="004458D3">
        <w:rPr>
          <w:rFonts w:ascii="Bookman Old Style" w:hAnsi="Bookman Old Style" w:cs="Arial"/>
          <w:spacing w:val="-5"/>
          <w:lang w:val="es-CO" w:eastAsia="en-US"/>
        </w:rPr>
        <w:t>l</w:t>
      </w:r>
      <w:r w:rsidRPr="00110519">
        <w:rPr>
          <w:rFonts w:ascii="Bookman Old Style" w:hAnsi="Bookman Old Style" w:cs="Arial"/>
          <w:spacing w:val="-5"/>
          <w:lang w:val="es-CO" w:eastAsia="en-US"/>
        </w:rPr>
        <w:t xml:space="preserve"> “Retorno Acueducto (</w:t>
      </w:r>
      <w:proofErr w:type="spellStart"/>
      <w:r w:rsidRPr="00110519">
        <w:rPr>
          <w:rFonts w:ascii="Bookman Old Style" w:hAnsi="Bookman Old Style" w:cs="Arial"/>
          <w:spacing w:val="-5"/>
          <w:lang w:val="es-CO" w:eastAsia="en-US"/>
        </w:rPr>
        <w:t>Nare+Riogrande</w:t>
      </w:r>
      <w:proofErr w:type="spellEnd"/>
      <w:r w:rsidRPr="00110519">
        <w:rPr>
          <w:rFonts w:ascii="Bookman Old Style" w:hAnsi="Bookman Old Style" w:cs="Arial"/>
          <w:spacing w:val="-5"/>
          <w:lang w:val="es-CO" w:eastAsia="en-US"/>
        </w:rPr>
        <w:t xml:space="preserve">) </w:t>
      </w:r>
      <w:proofErr w:type="gramStart"/>
      <w:r w:rsidRPr="00110519">
        <w:rPr>
          <w:rFonts w:ascii="Bookman Old Style" w:hAnsi="Bookman Old Style" w:cs="Arial"/>
          <w:spacing w:val="-5"/>
          <w:lang w:val="es-CO" w:eastAsia="en-US"/>
        </w:rPr>
        <w:t>“</w:t>
      </w:r>
      <w:r w:rsidR="00422E17">
        <w:rPr>
          <w:rFonts w:ascii="Bookman Old Style" w:hAnsi="Bookman Old Style" w:cs="Arial"/>
          <w:spacing w:val="-5"/>
          <w:lang w:val="es-CO" w:eastAsia="en-US"/>
        </w:rPr>
        <w:t xml:space="preserve"> y</w:t>
      </w:r>
      <w:proofErr w:type="gramEnd"/>
      <w:r w:rsidR="00422E17">
        <w:rPr>
          <w:rFonts w:ascii="Bookman Old Style" w:hAnsi="Bookman Old Style" w:cs="Arial"/>
          <w:spacing w:val="-5"/>
          <w:lang w:val="es-CO" w:eastAsia="en-US"/>
        </w:rPr>
        <w:t xml:space="preserve"> </w:t>
      </w:r>
      <w:r w:rsidRPr="00110519">
        <w:rPr>
          <w:rFonts w:ascii="Bookman Old Style" w:hAnsi="Bookman Old Style" w:cs="Arial"/>
          <w:spacing w:val="-5"/>
          <w:lang w:val="es-CO" w:eastAsia="en-US"/>
        </w:rPr>
        <w:t>“Caudal ecológico” respectivamente”.</w:t>
      </w:r>
    </w:p>
    <w:p w14:paraId="216EADA6" w14:textId="77777777" w:rsidR="008C5A59" w:rsidRPr="00110519" w:rsidRDefault="008C5A59" w:rsidP="00110519">
      <w:pPr>
        <w:widowControl w:val="0"/>
        <w:adjustRightInd w:val="0"/>
        <w:ind w:left="0"/>
        <w:jc w:val="both"/>
        <w:textAlignment w:val="baseline"/>
        <w:rPr>
          <w:rFonts w:ascii="Bookman Old Style" w:hAnsi="Bookman Old Style" w:cs="Arial"/>
          <w:spacing w:val="-5"/>
          <w:lang w:val="es-CO" w:eastAsia="en-US"/>
        </w:rPr>
      </w:pPr>
    </w:p>
    <w:p w14:paraId="216EADA7" w14:textId="7CA0FA2D" w:rsidR="00C354DC" w:rsidRPr="00110519" w:rsidRDefault="00AD6EDA" w:rsidP="00110519">
      <w:pPr>
        <w:widowControl w:val="0"/>
        <w:adjustRightInd w:val="0"/>
        <w:ind w:left="0"/>
        <w:jc w:val="both"/>
        <w:textAlignment w:val="baseline"/>
        <w:rPr>
          <w:rFonts w:ascii="Bookman Old Style" w:hAnsi="Bookman Old Style" w:cs="Arial"/>
          <w:spacing w:val="-5"/>
          <w:lang w:val="es-CO" w:eastAsia="en-US"/>
        </w:rPr>
      </w:pPr>
      <w:r w:rsidRPr="00110519">
        <w:rPr>
          <w:rFonts w:ascii="Bookman Old Style" w:hAnsi="Bookman Old Style" w:cs="Arial"/>
          <w:spacing w:val="-5"/>
          <w:lang w:val="es-CO" w:eastAsia="en-US"/>
        </w:rPr>
        <w:t xml:space="preserve">Estos </w:t>
      </w:r>
      <w:r w:rsidR="00422E17">
        <w:rPr>
          <w:rFonts w:ascii="Bookman Old Style" w:hAnsi="Bookman Old Style" w:cs="Arial"/>
          <w:spacing w:val="-5"/>
          <w:lang w:val="es-CO" w:eastAsia="en-US"/>
        </w:rPr>
        <w:t>f</w:t>
      </w:r>
      <w:r w:rsidRPr="00110519">
        <w:rPr>
          <w:rFonts w:ascii="Bookman Old Style" w:hAnsi="Bookman Old Style" w:cs="Arial"/>
          <w:spacing w:val="-5"/>
          <w:lang w:val="es-CO" w:eastAsia="en-US"/>
        </w:rPr>
        <w:t>ormatos obran en la comunicación remitida por XM</w:t>
      </w:r>
      <w:r w:rsidR="009570E4">
        <w:rPr>
          <w:rFonts w:ascii="Bookman Old Style" w:hAnsi="Bookman Old Style" w:cs="Arial"/>
          <w:spacing w:val="-5"/>
          <w:lang w:val="es-CO" w:eastAsia="en-US"/>
        </w:rPr>
        <w:t xml:space="preserve"> S.A. E.S.P</w:t>
      </w:r>
      <w:r w:rsidRPr="00110519">
        <w:rPr>
          <w:rFonts w:ascii="Bookman Old Style" w:hAnsi="Bookman Old Style" w:cs="Arial"/>
          <w:spacing w:val="-5"/>
          <w:lang w:val="es-CO" w:eastAsia="en-US"/>
        </w:rPr>
        <w:t>.</w:t>
      </w:r>
    </w:p>
    <w:p w14:paraId="29E6CACE" w14:textId="36521A0F" w:rsidR="00E60FF2" w:rsidRDefault="00E60FF2" w:rsidP="005A5383">
      <w:pPr>
        <w:widowControl w:val="0"/>
        <w:adjustRightInd w:val="0"/>
        <w:spacing w:after="120"/>
        <w:ind w:left="0"/>
        <w:jc w:val="both"/>
        <w:textAlignment w:val="baseline"/>
        <w:rPr>
          <w:rFonts w:ascii="Bookman Old Style" w:hAnsi="Bookman Old Style" w:cs="Arial"/>
          <w:spacing w:val="-5"/>
          <w:lang w:val="es-CO" w:eastAsia="en-US"/>
        </w:rPr>
      </w:pPr>
    </w:p>
    <w:p w14:paraId="06BE93AF" w14:textId="77777777" w:rsidR="006D7A3E" w:rsidRPr="00422E17" w:rsidRDefault="006D7A3E" w:rsidP="005A5383">
      <w:pPr>
        <w:widowControl w:val="0"/>
        <w:adjustRightInd w:val="0"/>
        <w:spacing w:after="120"/>
        <w:ind w:left="0"/>
        <w:jc w:val="both"/>
        <w:textAlignment w:val="baseline"/>
        <w:rPr>
          <w:rFonts w:ascii="Bookman Old Style" w:hAnsi="Bookman Old Style" w:cs="Arial"/>
          <w:spacing w:val="-5"/>
          <w:lang w:val="es-CO" w:eastAsia="en-US"/>
        </w:rPr>
      </w:pPr>
    </w:p>
    <w:p w14:paraId="216EADA9" w14:textId="1424C307" w:rsidR="009776A9" w:rsidRPr="00110519" w:rsidRDefault="009776A9" w:rsidP="009776A9">
      <w:pPr>
        <w:ind w:left="0"/>
        <w:rPr>
          <w:rFonts w:ascii="Bookman Old Style" w:hAnsi="Bookman Old Style"/>
          <w:b/>
        </w:rPr>
      </w:pPr>
      <w:r w:rsidRPr="00110519">
        <w:rPr>
          <w:rFonts w:ascii="Bookman Old Style" w:hAnsi="Bookman Old Style"/>
          <w:b/>
        </w:rPr>
        <w:t>IV.</w:t>
      </w:r>
      <w:r w:rsidR="005A5383">
        <w:rPr>
          <w:rFonts w:ascii="Bookman Old Style" w:hAnsi="Bookman Old Style"/>
          <w:b/>
        </w:rPr>
        <w:t xml:space="preserve"> </w:t>
      </w:r>
      <w:r w:rsidRPr="00110519">
        <w:rPr>
          <w:rFonts w:ascii="Bookman Old Style" w:hAnsi="Bookman Old Style"/>
          <w:b/>
        </w:rPr>
        <w:t xml:space="preserve"> ANÁLISIS PROBATORIO Y CONCLUSIONES</w:t>
      </w:r>
    </w:p>
    <w:p w14:paraId="216EADAA" w14:textId="58345912" w:rsidR="009776A9" w:rsidRDefault="009776A9" w:rsidP="005A5383">
      <w:pPr>
        <w:widowControl w:val="0"/>
        <w:adjustRightInd w:val="0"/>
        <w:ind w:left="0"/>
        <w:jc w:val="both"/>
        <w:textAlignment w:val="baseline"/>
        <w:rPr>
          <w:rFonts w:ascii="Bookman Old Style" w:hAnsi="Bookman Old Style" w:cs="Arial"/>
          <w:lang w:val="es-CO"/>
        </w:rPr>
      </w:pPr>
    </w:p>
    <w:p w14:paraId="6B49DFBA" w14:textId="77777777" w:rsidR="006D7A3E" w:rsidRDefault="006D7A3E" w:rsidP="005A5383">
      <w:pPr>
        <w:widowControl w:val="0"/>
        <w:adjustRightInd w:val="0"/>
        <w:ind w:left="0"/>
        <w:jc w:val="both"/>
        <w:textAlignment w:val="baseline"/>
        <w:rPr>
          <w:rFonts w:ascii="Bookman Old Style" w:hAnsi="Bookman Old Style" w:cs="Arial"/>
          <w:lang w:val="es-CO"/>
        </w:rPr>
      </w:pPr>
    </w:p>
    <w:p w14:paraId="216EADAB" w14:textId="1ACB5648" w:rsidR="009776A9" w:rsidRPr="00110519" w:rsidRDefault="009776A9" w:rsidP="009776A9">
      <w:pPr>
        <w:ind w:left="0"/>
        <w:jc w:val="both"/>
        <w:rPr>
          <w:rFonts w:ascii="Bookman Old Style" w:hAnsi="Bookman Old Style" w:cs="Arial"/>
          <w:lang w:val="es-CO"/>
        </w:rPr>
      </w:pPr>
      <w:r w:rsidRPr="00110519">
        <w:rPr>
          <w:rFonts w:ascii="Bookman Old Style" w:hAnsi="Bookman Old Style" w:cs="Arial"/>
          <w:lang w:val="es-CO"/>
        </w:rPr>
        <w:t>Con fundamento en</w:t>
      </w:r>
      <w:r w:rsidR="00CE3854" w:rsidRPr="00110519">
        <w:rPr>
          <w:rFonts w:ascii="Bookman Old Style" w:hAnsi="Bookman Old Style" w:cs="Arial"/>
          <w:lang w:val="es-CO"/>
        </w:rPr>
        <w:t xml:space="preserve"> el informe de auditoría, los argumentos presentados por </w:t>
      </w:r>
      <w:r w:rsidR="005A5383" w:rsidRPr="00110519">
        <w:rPr>
          <w:rFonts w:ascii="Bookman Old Style" w:hAnsi="Bookman Old Style" w:cs="Arial"/>
          <w:lang w:val="es-CO"/>
        </w:rPr>
        <w:t xml:space="preserve">HIDRALPOR </w:t>
      </w:r>
      <w:r w:rsidR="00CE3854" w:rsidRPr="00110519">
        <w:rPr>
          <w:rFonts w:ascii="Bookman Old Style" w:hAnsi="Bookman Old Style" w:cs="Arial"/>
          <w:lang w:val="es-CO"/>
        </w:rPr>
        <w:t xml:space="preserve">y </w:t>
      </w:r>
      <w:r w:rsidRPr="00110519">
        <w:rPr>
          <w:rFonts w:ascii="Bookman Old Style" w:hAnsi="Bookman Old Style" w:cs="Arial"/>
          <w:lang w:val="es-CO"/>
        </w:rPr>
        <w:t>las pruebas recaudadas</w:t>
      </w:r>
      <w:r w:rsidR="005A5383">
        <w:rPr>
          <w:rFonts w:ascii="Bookman Old Style" w:hAnsi="Bookman Old Style" w:cs="Arial"/>
          <w:lang w:val="es-CO"/>
        </w:rPr>
        <w:t>,</w:t>
      </w:r>
      <w:r w:rsidRPr="00110519">
        <w:rPr>
          <w:rFonts w:ascii="Bookman Old Style" w:hAnsi="Bookman Old Style" w:cs="Arial"/>
          <w:lang w:val="es-CO"/>
        </w:rPr>
        <w:t xml:space="preserve"> se procede a determinar la existencia o no de la presunta discrepancia en el parámetro Topología de la Planta </w:t>
      </w:r>
      <w:r w:rsidR="00792FCA" w:rsidRPr="00110519">
        <w:rPr>
          <w:rFonts w:ascii="Bookman Old Style" w:hAnsi="Bookman Old Style" w:cs="Arial"/>
          <w:lang w:val="es-CO"/>
        </w:rPr>
        <w:t>Carlos Lleras</w:t>
      </w:r>
      <w:r w:rsidR="00123BBF">
        <w:rPr>
          <w:rFonts w:ascii="Bookman Old Style" w:hAnsi="Bookman Old Style" w:cs="Arial"/>
          <w:lang w:val="es-CO"/>
        </w:rPr>
        <w:t xml:space="preserve"> Restrepo</w:t>
      </w:r>
      <w:r w:rsidR="00792FCA" w:rsidRPr="00110519">
        <w:rPr>
          <w:rFonts w:ascii="Bookman Old Style" w:hAnsi="Bookman Old Style" w:cs="Arial"/>
          <w:lang w:val="es-CO"/>
        </w:rPr>
        <w:t>.</w:t>
      </w:r>
    </w:p>
    <w:p w14:paraId="216EADAC" w14:textId="77777777" w:rsidR="00792FCA" w:rsidRPr="00110519" w:rsidRDefault="00792FCA" w:rsidP="009776A9">
      <w:pPr>
        <w:ind w:left="0"/>
        <w:jc w:val="both"/>
        <w:rPr>
          <w:rFonts w:ascii="Bookman Old Style" w:hAnsi="Bookman Old Style" w:cs="Arial"/>
          <w:lang w:val="es-CO"/>
        </w:rPr>
      </w:pPr>
    </w:p>
    <w:p w14:paraId="216EADAF" w14:textId="6B1BDD9C" w:rsidR="00817F86" w:rsidRPr="00110519" w:rsidRDefault="005A5383" w:rsidP="009776A9">
      <w:pPr>
        <w:ind w:left="0"/>
        <w:jc w:val="both"/>
        <w:rPr>
          <w:rFonts w:ascii="Bookman Old Style" w:hAnsi="Bookman Old Style" w:cs="Arial"/>
        </w:rPr>
      </w:pPr>
      <w:r w:rsidRPr="00110519">
        <w:rPr>
          <w:rFonts w:ascii="Bookman Old Style" w:hAnsi="Bookman Old Style" w:cs="Arial"/>
          <w:lang w:val="es-CO"/>
        </w:rPr>
        <w:t xml:space="preserve">HIDRALPOR </w:t>
      </w:r>
      <w:r w:rsidR="00792FCA" w:rsidRPr="00110519">
        <w:rPr>
          <w:rFonts w:ascii="Bookman Old Style" w:hAnsi="Bookman Old Style" w:cs="Arial"/>
          <w:lang w:val="es-CO"/>
        </w:rPr>
        <w:t>afirma que no existe la discrepancia en el parámetro Topología, y, en tal virtud, solicita que la CREG declare la inexistencia de discrepancia en este parámetro, y, ordene el archivo de la actuación administrativa identificada con el expediente No. 2021 – 0041.</w:t>
      </w:r>
      <w:r w:rsidR="0088677B" w:rsidRPr="00110519">
        <w:rPr>
          <w:rFonts w:ascii="Bookman Old Style" w:hAnsi="Bookman Old Style" w:cs="Arial"/>
          <w:lang w:val="es-CO"/>
        </w:rPr>
        <w:t xml:space="preserve"> </w:t>
      </w:r>
      <w:r w:rsidR="00123BBF" w:rsidRPr="00110519">
        <w:rPr>
          <w:rFonts w:ascii="Bookman Old Style" w:hAnsi="Bookman Old Style" w:cs="Arial"/>
        </w:rPr>
        <w:t xml:space="preserve">HIDRALPOR </w:t>
      </w:r>
      <w:r w:rsidR="00817F86" w:rsidRPr="00110519">
        <w:rPr>
          <w:rFonts w:ascii="Bookman Old Style" w:hAnsi="Bookman Old Style" w:cs="Arial"/>
        </w:rPr>
        <w:t>pone de presente que la respuesta proporcionada por XM</w:t>
      </w:r>
      <w:r w:rsidR="009570E4">
        <w:rPr>
          <w:rFonts w:ascii="Bookman Old Style" w:hAnsi="Bookman Old Style" w:cs="Arial"/>
        </w:rPr>
        <w:t xml:space="preserve"> S.A. E.S.P.</w:t>
      </w:r>
      <w:r w:rsidR="00817F86" w:rsidRPr="00110519">
        <w:rPr>
          <w:rFonts w:ascii="Bookman Old Style" w:hAnsi="Bookman Old Style" w:cs="Arial"/>
        </w:rPr>
        <w:t xml:space="preserve"> confirma los argumentos que fueron expuestos en el escrito E- 2021-006580 del 4 de junio de 2021, mediante el cual dio respuesta al </w:t>
      </w:r>
      <w:r w:rsidR="00CE3854" w:rsidRPr="00110519">
        <w:rPr>
          <w:rFonts w:ascii="Bookman Old Style" w:hAnsi="Bookman Old Style" w:cs="Arial"/>
        </w:rPr>
        <w:t>auto de inicio de la actuación</w:t>
      </w:r>
      <w:r w:rsidR="00817F86" w:rsidRPr="00110519">
        <w:rPr>
          <w:rFonts w:ascii="Bookman Old Style" w:hAnsi="Bookman Old Style" w:cs="Arial"/>
        </w:rPr>
        <w:t>, y solicitó el archivo de la actuación administrativa.</w:t>
      </w:r>
    </w:p>
    <w:p w14:paraId="216EADB0" w14:textId="77777777" w:rsidR="0095743F" w:rsidRPr="00110519" w:rsidRDefault="0095743F" w:rsidP="009776A9">
      <w:pPr>
        <w:ind w:left="0"/>
        <w:jc w:val="both"/>
        <w:rPr>
          <w:rFonts w:ascii="Bookman Old Style" w:hAnsi="Bookman Old Style" w:cs="Arial"/>
        </w:rPr>
      </w:pPr>
    </w:p>
    <w:p w14:paraId="216EADB2" w14:textId="32A185C8" w:rsidR="00DD087B" w:rsidRPr="00110519" w:rsidRDefault="00181BF8" w:rsidP="00DD087B">
      <w:pPr>
        <w:ind w:left="0"/>
        <w:jc w:val="both"/>
        <w:rPr>
          <w:rFonts w:ascii="Bookman Old Style" w:hAnsi="Bookman Old Style" w:cs="Arial"/>
        </w:rPr>
      </w:pPr>
      <w:r w:rsidRPr="00110519">
        <w:rPr>
          <w:rFonts w:ascii="Bookman Old Style" w:hAnsi="Bookman Old Style" w:cs="Arial"/>
        </w:rPr>
        <w:t xml:space="preserve">Al respecto se observa que </w:t>
      </w:r>
      <w:r w:rsidR="00921279" w:rsidRPr="00110519">
        <w:rPr>
          <w:rFonts w:ascii="Bookman Old Style" w:hAnsi="Bookman Old Style" w:cs="Arial"/>
        </w:rPr>
        <w:t xml:space="preserve">en </w:t>
      </w:r>
      <w:r w:rsidR="00817F86" w:rsidRPr="00110519">
        <w:rPr>
          <w:rFonts w:ascii="Bookman Old Style" w:hAnsi="Bookman Old Style" w:cs="Arial"/>
        </w:rPr>
        <w:t>la respuesta de XM</w:t>
      </w:r>
      <w:r w:rsidR="009570E4">
        <w:rPr>
          <w:rFonts w:ascii="Bookman Old Style" w:hAnsi="Bookman Old Style" w:cs="Arial"/>
        </w:rPr>
        <w:t xml:space="preserve"> S.A. E.S.P.</w:t>
      </w:r>
      <w:r w:rsidR="00817F86" w:rsidRPr="00110519">
        <w:rPr>
          <w:rFonts w:ascii="Bookman Old Style" w:hAnsi="Bookman Old Style" w:cs="Arial"/>
        </w:rPr>
        <w:t xml:space="preserve">, la entidad </w:t>
      </w:r>
      <w:r w:rsidR="00123BBF">
        <w:rPr>
          <w:rFonts w:ascii="Bookman Old Style" w:hAnsi="Bookman Old Style" w:cs="Arial"/>
        </w:rPr>
        <w:t xml:space="preserve">operadora y </w:t>
      </w:r>
      <w:r w:rsidR="00817F86" w:rsidRPr="00110519">
        <w:rPr>
          <w:rFonts w:ascii="Bookman Old Style" w:hAnsi="Bookman Old Style" w:cs="Arial"/>
        </w:rPr>
        <w:t>administradora del mercado da fe de que</w:t>
      </w:r>
      <w:r w:rsidR="00FA5D63" w:rsidRPr="00110519">
        <w:rPr>
          <w:rFonts w:ascii="Bookman Old Style" w:hAnsi="Bookman Old Style" w:cs="Arial"/>
        </w:rPr>
        <w:t xml:space="preserve"> </w:t>
      </w:r>
      <w:r w:rsidR="00123BBF" w:rsidRPr="00110519">
        <w:rPr>
          <w:rFonts w:ascii="Bookman Old Style" w:hAnsi="Bookman Old Style" w:cs="Arial"/>
        </w:rPr>
        <w:t xml:space="preserve">HIDRALPOR </w:t>
      </w:r>
      <w:r w:rsidR="00817F86" w:rsidRPr="00110519">
        <w:rPr>
          <w:rFonts w:ascii="Bookman Old Style" w:hAnsi="Bookman Old Style" w:cs="Arial"/>
        </w:rPr>
        <w:t xml:space="preserve">efectivamente reportó el caudal ecológico y el vertimiento al Río Medellín en la declaración de parámetros para la subasta del cargo por confiabilidad del período 2022-2023; el primero como filtración en el Formato 6 y el segundo en el Formato 2. </w:t>
      </w:r>
      <w:r w:rsidR="00DD087B" w:rsidRPr="00110519">
        <w:rPr>
          <w:rFonts w:ascii="Bookman Old Style" w:hAnsi="Bookman Old Style" w:cs="Arial"/>
        </w:rPr>
        <w:t>Así mismo</w:t>
      </w:r>
      <w:r w:rsidR="009570E4">
        <w:rPr>
          <w:rFonts w:ascii="Bookman Old Style" w:hAnsi="Bookman Old Style" w:cs="Arial"/>
        </w:rPr>
        <w:t>,</w:t>
      </w:r>
      <w:r w:rsidR="00DD087B" w:rsidRPr="00110519">
        <w:rPr>
          <w:rFonts w:ascii="Bookman Old Style" w:hAnsi="Bookman Old Style" w:cs="Arial"/>
        </w:rPr>
        <w:t xml:space="preserve"> en su comunicación XM señala que “…para el cálculo de la Energía Firme del Cargo por Confiabilidad -ENFICC- de la planta Carlos Lleras Restrepo consideró toda la</w:t>
      </w:r>
      <w:r w:rsidR="009D2174" w:rsidRPr="00110519">
        <w:rPr>
          <w:rFonts w:ascii="Bookman Old Style" w:hAnsi="Bookman Old Style" w:cs="Arial"/>
        </w:rPr>
        <w:t xml:space="preserve"> </w:t>
      </w:r>
      <w:r w:rsidR="00DD087B" w:rsidRPr="00110519">
        <w:rPr>
          <w:rFonts w:ascii="Bookman Old Style" w:hAnsi="Bookman Old Style" w:cs="Arial"/>
        </w:rPr>
        <w:t>información de los Formatos 2 y 6 consignada en el anexo 1 de la Circular CREG 041 de 2019, correspondientes al “Retorno Acueducto (</w:t>
      </w:r>
      <w:proofErr w:type="spellStart"/>
      <w:r w:rsidR="00DD087B" w:rsidRPr="00110519">
        <w:rPr>
          <w:rFonts w:ascii="Bookman Old Style" w:hAnsi="Bookman Old Style" w:cs="Arial"/>
        </w:rPr>
        <w:t>Nare+Riogrande</w:t>
      </w:r>
      <w:proofErr w:type="spellEnd"/>
      <w:r w:rsidR="00DD087B" w:rsidRPr="00110519">
        <w:rPr>
          <w:rFonts w:ascii="Bookman Old Style" w:hAnsi="Bookman Old Style" w:cs="Arial"/>
        </w:rPr>
        <w:t>)” y “Caudal ecológico” respectivamente.</w:t>
      </w:r>
      <w:r w:rsidR="000524F1" w:rsidRPr="00110519">
        <w:rPr>
          <w:rFonts w:ascii="Bookman Old Style" w:hAnsi="Bookman Old Style" w:cs="Arial"/>
        </w:rPr>
        <w:t>”</w:t>
      </w:r>
      <w:r w:rsidR="00DD087B" w:rsidRPr="00110519">
        <w:rPr>
          <w:rFonts w:ascii="Bookman Old Style" w:hAnsi="Bookman Old Style" w:cs="Arial"/>
        </w:rPr>
        <w:t xml:space="preserve"> </w:t>
      </w:r>
    </w:p>
    <w:p w14:paraId="216EADB3" w14:textId="77777777" w:rsidR="00B905AD" w:rsidRPr="00110519" w:rsidRDefault="00B905AD" w:rsidP="00DD087B">
      <w:pPr>
        <w:ind w:left="0"/>
        <w:jc w:val="both"/>
        <w:rPr>
          <w:rFonts w:ascii="Bookman Old Style" w:hAnsi="Bookman Old Style" w:cs="Arial"/>
        </w:rPr>
      </w:pPr>
    </w:p>
    <w:p w14:paraId="216EADB6" w14:textId="2AB1DE0B" w:rsidR="002744D7" w:rsidRPr="00110519" w:rsidRDefault="008C5A59" w:rsidP="00E9538C">
      <w:pPr>
        <w:widowControl w:val="0"/>
        <w:adjustRightInd w:val="0"/>
        <w:ind w:left="0"/>
        <w:jc w:val="both"/>
        <w:textAlignment w:val="baseline"/>
        <w:rPr>
          <w:rFonts w:ascii="Bookman Old Style" w:hAnsi="Bookman Old Style" w:cs="Arial"/>
        </w:rPr>
      </w:pPr>
      <w:r w:rsidRPr="00110519">
        <w:rPr>
          <w:rFonts w:ascii="Bookman Old Style" w:hAnsi="Bookman Old Style" w:cs="Arial"/>
        </w:rPr>
        <w:lastRenderedPageBreak/>
        <w:t>Entiende entonces la Comisión que</w:t>
      </w:r>
      <w:r w:rsidR="004458D3">
        <w:rPr>
          <w:rFonts w:ascii="Bookman Old Style" w:hAnsi="Bookman Old Style" w:cs="Arial"/>
        </w:rPr>
        <w:t>,</w:t>
      </w:r>
      <w:r w:rsidRPr="00110519">
        <w:rPr>
          <w:rFonts w:ascii="Bookman Old Style" w:hAnsi="Bookman Old Style" w:cs="Arial"/>
        </w:rPr>
        <w:t xml:space="preserve"> si bien el caudal ecológico y </w:t>
      </w:r>
      <w:r w:rsidR="004458D3">
        <w:rPr>
          <w:rFonts w:ascii="Bookman Old Style" w:hAnsi="Bookman Old Style" w:cs="Arial"/>
        </w:rPr>
        <w:t>el vertimiento</w:t>
      </w:r>
      <w:r w:rsidRPr="00110519">
        <w:rPr>
          <w:rFonts w:ascii="Bookman Old Style" w:hAnsi="Bookman Old Style" w:cs="Arial"/>
        </w:rPr>
        <w:t xml:space="preserve"> no </w:t>
      </w:r>
      <w:r w:rsidR="004458D3">
        <w:rPr>
          <w:rFonts w:ascii="Bookman Old Style" w:hAnsi="Bookman Old Style" w:cs="Arial"/>
        </w:rPr>
        <w:t xml:space="preserve">hacen parte de la representación </w:t>
      </w:r>
      <w:r w:rsidR="006A4619">
        <w:rPr>
          <w:rFonts w:ascii="Bookman Old Style" w:hAnsi="Bookman Old Style" w:cs="Arial"/>
        </w:rPr>
        <w:t xml:space="preserve">gráfica </w:t>
      </w:r>
      <w:r w:rsidR="004458D3">
        <w:rPr>
          <w:rFonts w:ascii="Bookman Old Style" w:hAnsi="Bookman Old Style" w:cs="Arial"/>
        </w:rPr>
        <w:t>de</w:t>
      </w:r>
      <w:r w:rsidRPr="00110519">
        <w:rPr>
          <w:rFonts w:ascii="Bookman Old Style" w:hAnsi="Bookman Old Style" w:cs="Arial"/>
        </w:rPr>
        <w:t xml:space="preserve"> la Topología, la información relevante a las mismas si fue consignada por el</w:t>
      </w:r>
      <w:r w:rsidR="00FB283B" w:rsidRPr="00110519">
        <w:rPr>
          <w:rFonts w:ascii="Bookman Old Style" w:hAnsi="Bookman Old Style" w:cs="Arial"/>
        </w:rPr>
        <w:t xml:space="preserve"> agente en los </w:t>
      </w:r>
      <w:r w:rsidR="00104249">
        <w:rPr>
          <w:rFonts w:ascii="Bookman Old Style" w:hAnsi="Bookman Old Style" w:cs="Arial"/>
        </w:rPr>
        <w:t xml:space="preserve">antes citados </w:t>
      </w:r>
      <w:r w:rsidR="00FB283B" w:rsidRPr="00110519">
        <w:rPr>
          <w:rFonts w:ascii="Bookman Old Style" w:hAnsi="Bookman Old Style" w:cs="Arial"/>
        </w:rPr>
        <w:t>formatos 2 y 6</w:t>
      </w:r>
      <w:r w:rsidR="00C72E91" w:rsidRPr="00110519">
        <w:rPr>
          <w:rFonts w:ascii="Bookman Old Style" w:hAnsi="Bookman Old Style" w:cs="Arial"/>
        </w:rPr>
        <w:t xml:space="preserve">. </w:t>
      </w:r>
      <w:r w:rsidR="00E9538C" w:rsidRPr="00110519">
        <w:rPr>
          <w:rFonts w:ascii="Bookman Old Style" w:hAnsi="Bookman Old Style" w:cs="Arial"/>
        </w:rPr>
        <w:t>Lo anterior permite concluir que la discrepancia advertida por el auditor no afecta la ENFICC</w:t>
      </w:r>
      <w:r w:rsidR="000524F1" w:rsidRPr="00110519">
        <w:rPr>
          <w:rFonts w:ascii="Bookman Old Style" w:hAnsi="Bookman Old Style" w:cs="Arial"/>
        </w:rPr>
        <w:t>, por cuanto para su cálculo se tuvieron en cuenta</w:t>
      </w:r>
      <w:r w:rsidR="009570E4">
        <w:rPr>
          <w:rFonts w:ascii="Bookman Old Style" w:hAnsi="Bookman Old Style" w:cs="Arial"/>
        </w:rPr>
        <w:t>,</w:t>
      </w:r>
      <w:r w:rsidR="000524F1" w:rsidRPr="00110519">
        <w:rPr>
          <w:rFonts w:ascii="Bookman Old Style" w:hAnsi="Bookman Old Style" w:cs="Arial"/>
        </w:rPr>
        <w:t xml:space="preserve"> tanto el caudal ecológico</w:t>
      </w:r>
      <w:r w:rsidR="009570E4">
        <w:rPr>
          <w:rFonts w:ascii="Bookman Old Style" w:hAnsi="Bookman Old Style" w:cs="Arial"/>
        </w:rPr>
        <w:t>,</w:t>
      </w:r>
      <w:r w:rsidR="000524F1" w:rsidRPr="00110519">
        <w:rPr>
          <w:rFonts w:ascii="Bookman Old Style" w:hAnsi="Bookman Old Style" w:cs="Arial"/>
        </w:rPr>
        <w:t xml:space="preserve"> </w:t>
      </w:r>
      <w:r w:rsidR="00F03B72" w:rsidRPr="00110519">
        <w:rPr>
          <w:rFonts w:ascii="Bookman Old Style" w:hAnsi="Bookman Old Style" w:cs="Arial"/>
        </w:rPr>
        <w:t xml:space="preserve">como </w:t>
      </w:r>
      <w:r w:rsidR="000524F1" w:rsidRPr="00110519">
        <w:rPr>
          <w:rFonts w:ascii="Bookman Old Style" w:hAnsi="Bookman Old Style" w:cs="Arial"/>
        </w:rPr>
        <w:t>el vertimiento al Río Medellín</w:t>
      </w:r>
      <w:r w:rsidR="002744D7" w:rsidRPr="00110519">
        <w:rPr>
          <w:rFonts w:ascii="Bookman Old Style" w:hAnsi="Bookman Old Style" w:cs="Arial"/>
        </w:rPr>
        <w:t>, tal y como lo confirmo XM</w:t>
      </w:r>
      <w:r w:rsidR="009570E4">
        <w:rPr>
          <w:rFonts w:ascii="Bookman Old Style" w:hAnsi="Bookman Old Style" w:cs="Arial"/>
        </w:rPr>
        <w:t xml:space="preserve"> S.A. E.S.P.</w:t>
      </w:r>
      <w:r w:rsidR="002744D7" w:rsidRPr="00110519">
        <w:rPr>
          <w:rFonts w:ascii="Bookman Old Style" w:hAnsi="Bookman Old Style" w:cs="Arial"/>
        </w:rPr>
        <w:t xml:space="preserve"> en su comunicación</w:t>
      </w:r>
      <w:r w:rsidR="00E9538C" w:rsidRPr="00110519">
        <w:rPr>
          <w:rFonts w:ascii="Bookman Old Style" w:hAnsi="Bookman Old Style" w:cs="Arial"/>
        </w:rPr>
        <w:t xml:space="preserve">. </w:t>
      </w:r>
    </w:p>
    <w:p w14:paraId="216EADB7" w14:textId="77777777" w:rsidR="002744D7" w:rsidRPr="00110519" w:rsidRDefault="002744D7" w:rsidP="00E9538C">
      <w:pPr>
        <w:widowControl w:val="0"/>
        <w:adjustRightInd w:val="0"/>
        <w:ind w:left="0"/>
        <w:jc w:val="both"/>
        <w:textAlignment w:val="baseline"/>
        <w:rPr>
          <w:rFonts w:ascii="Bookman Old Style" w:hAnsi="Bookman Old Style" w:cs="Arial"/>
        </w:rPr>
      </w:pPr>
    </w:p>
    <w:p w14:paraId="3F9BE2F9" w14:textId="04A01488" w:rsidR="001C03C8" w:rsidRPr="00110519" w:rsidRDefault="001C03C8" w:rsidP="001C03C8">
      <w:pPr>
        <w:widowControl w:val="0"/>
        <w:adjustRightInd w:val="0"/>
        <w:ind w:left="0"/>
        <w:jc w:val="both"/>
        <w:textAlignment w:val="baseline"/>
        <w:rPr>
          <w:rFonts w:ascii="Bookman Old Style" w:hAnsi="Bookman Old Style" w:cs="Arial"/>
          <w:lang w:val="es-CO"/>
        </w:rPr>
      </w:pPr>
      <w:r w:rsidRPr="00110519">
        <w:rPr>
          <w:rFonts w:ascii="Bookman Old Style" w:hAnsi="Bookman Old Style" w:cs="Arial"/>
        </w:rPr>
        <w:t>Además</w:t>
      </w:r>
      <w:r w:rsidR="00104249">
        <w:rPr>
          <w:rFonts w:ascii="Bookman Old Style" w:hAnsi="Bookman Old Style" w:cs="Arial"/>
        </w:rPr>
        <w:t>,</w:t>
      </w:r>
      <w:r w:rsidRPr="00110519">
        <w:rPr>
          <w:rFonts w:ascii="Bookman Old Style" w:hAnsi="Bookman Old Style" w:cs="Arial"/>
        </w:rPr>
        <w:t xml:space="preserve"> debe tenerse en cuenta que el </w:t>
      </w:r>
      <w:r w:rsidRPr="00110519">
        <w:rPr>
          <w:rFonts w:ascii="Bookman Old Style" w:hAnsi="Bookman Old Style" w:cs="Arial"/>
          <w:lang w:val="es-CO"/>
        </w:rPr>
        <w:t>criterio normativo que se busca garantizar, conforme lo establecido por la CREG</w:t>
      </w:r>
      <w:r w:rsidR="00104249">
        <w:rPr>
          <w:rFonts w:ascii="Bookman Old Style" w:hAnsi="Bookman Old Style" w:cs="Arial"/>
          <w:lang w:val="es-CO"/>
        </w:rPr>
        <w:t>,</w:t>
      </w:r>
      <w:r w:rsidRPr="00110519">
        <w:rPr>
          <w:rFonts w:ascii="Bookman Old Style" w:hAnsi="Bookman Old Style" w:cs="Arial"/>
          <w:lang w:val="es-CO"/>
        </w:rPr>
        <w:t xml:space="preserve"> es el de no considerar como discrepancias las diferencias en la información declarada</w:t>
      </w:r>
      <w:r w:rsidR="009570E4">
        <w:rPr>
          <w:rFonts w:ascii="Bookman Old Style" w:hAnsi="Bookman Old Style" w:cs="Arial"/>
          <w:lang w:val="es-CO"/>
        </w:rPr>
        <w:t>,</w:t>
      </w:r>
      <w:r w:rsidRPr="00110519">
        <w:rPr>
          <w:rFonts w:ascii="Bookman Old Style" w:hAnsi="Bookman Old Style" w:cs="Arial"/>
          <w:lang w:val="es-CO"/>
        </w:rPr>
        <w:t xml:space="preserve"> si la ENFICC calculada con base en los resultados de la auditoría es igual o mayor a la ENFICC declarada por el agente en cumplimiento de lo señalado en la </w:t>
      </w:r>
      <w:r w:rsidRPr="004B113A">
        <w:rPr>
          <w:rFonts w:ascii="Bookman Old Style" w:hAnsi="Bookman Old Style" w:cs="Arial"/>
          <w:lang w:val="es-CO"/>
        </w:rPr>
        <w:t>Resolución CREG 1</w:t>
      </w:r>
      <w:r w:rsidR="004B113A" w:rsidRPr="004B113A">
        <w:rPr>
          <w:rFonts w:ascii="Bookman Old Style" w:hAnsi="Bookman Old Style" w:cs="Arial"/>
          <w:lang w:val="es-CO"/>
        </w:rPr>
        <w:t>04</w:t>
      </w:r>
      <w:r w:rsidRPr="004B113A">
        <w:rPr>
          <w:rFonts w:ascii="Bookman Old Style" w:hAnsi="Bookman Old Style" w:cs="Arial"/>
          <w:lang w:val="es-CO"/>
        </w:rPr>
        <w:t xml:space="preserve"> de 2018</w:t>
      </w:r>
      <w:r w:rsidRPr="00110519">
        <w:rPr>
          <w:rFonts w:ascii="Bookman Old Style" w:hAnsi="Bookman Old Style" w:cs="Arial"/>
          <w:lang w:val="es-CO"/>
        </w:rPr>
        <w:t xml:space="preserve"> para la asignación del período 2022-2023.</w:t>
      </w:r>
    </w:p>
    <w:p w14:paraId="216EADBA" w14:textId="0C40524B" w:rsidR="00E9538C" w:rsidRPr="00110519" w:rsidRDefault="00E9538C" w:rsidP="00E9538C">
      <w:pPr>
        <w:widowControl w:val="0"/>
        <w:adjustRightInd w:val="0"/>
        <w:ind w:left="0"/>
        <w:jc w:val="both"/>
        <w:textAlignment w:val="baseline"/>
        <w:rPr>
          <w:rFonts w:ascii="Bookman Old Style" w:hAnsi="Bookman Old Style" w:cs="Arial"/>
          <w:lang w:val="es-CO"/>
        </w:rPr>
      </w:pPr>
      <w:r w:rsidRPr="00110519">
        <w:rPr>
          <w:rFonts w:ascii="Bookman Old Style" w:hAnsi="Bookman Old Style" w:cs="Arial"/>
          <w:lang w:val="es-CO"/>
        </w:rPr>
        <w:t>En consecuencia, la CREG no confirma la existencia de la discrepancia advertida por el auditor</w:t>
      </w:r>
      <w:r w:rsidR="009570E4">
        <w:rPr>
          <w:rFonts w:ascii="Bookman Old Style" w:hAnsi="Bookman Old Style" w:cs="Arial"/>
          <w:lang w:val="es-CO"/>
        </w:rPr>
        <w:t>,</w:t>
      </w:r>
      <w:r w:rsidRPr="00110519">
        <w:rPr>
          <w:rFonts w:ascii="Bookman Old Style" w:hAnsi="Bookman Old Style" w:cs="Arial"/>
          <w:lang w:val="es-CO"/>
        </w:rPr>
        <w:t xml:space="preserve"> dado que </w:t>
      </w:r>
      <w:r w:rsidR="00C80CF1" w:rsidRPr="00110519">
        <w:rPr>
          <w:rFonts w:ascii="Bookman Old Style" w:hAnsi="Bookman Old Style" w:cs="Arial"/>
          <w:lang w:val="es-CO"/>
        </w:rPr>
        <w:t xml:space="preserve">no se ha evidenciado </w:t>
      </w:r>
      <w:r w:rsidRPr="00110519">
        <w:rPr>
          <w:rFonts w:ascii="Bookman Old Style" w:hAnsi="Bookman Old Style" w:cs="Arial"/>
        </w:rPr>
        <w:t xml:space="preserve">que el agente haya declarado una mayor </w:t>
      </w:r>
      <w:r w:rsidR="00FC1463" w:rsidRPr="00110519">
        <w:rPr>
          <w:rFonts w:ascii="Bookman Old Style" w:hAnsi="Bookman Old Style" w:cs="Arial"/>
        </w:rPr>
        <w:t>ENFICC base o 98%</w:t>
      </w:r>
      <w:r w:rsidR="009D6941">
        <w:rPr>
          <w:rFonts w:ascii="Bookman Old Style" w:hAnsi="Bookman Old Style" w:cs="Arial"/>
        </w:rPr>
        <w:t xml:space="preserve"> </w:t>
      </w:r>
      <w:r w:rsidR="00FC1463" w:rsidRPr="00110519">
        <w:rPr>
          <w:rFonts w:ascii="Bookman Old Style" w:hAnsi="Bookman Old Style" w:cs="Arial"/>
        </w:rPr>
        <w:t>PSS</w:t>
      </w:r>
      <w:r w:rsidR="00FC1463" w:rsidRPr="00110519">
        <w:rPr>
          <w:rFonts w:ascii="Bookman Old Style" w:hAnsi="Bookman Old Style" w:cs="Arial"/>
          <w:lang w:val="es-CO"/>
        </w:rPr>
        <w:t>,</w:t>
      </w:r>
      <w:r w:rsidRPr="00110519">
        <w:rPr>
          <w:rFonts w:ascii="Bookman Old Style" w:hAnsi="Bookman Old Style" w:cs="Arial"/>
          <w:lang w:val="es-CO"/>
        </w:rPr>
        <w:t xml:space="preserve"> y ordenará el archivo de la actuación</w:t>
      </w:r>
      <w:r w:rsidR="000D0D82" w:rsidRPr="00110519">
        <w:rPr>
          <w:rFonts w:ascii="Bookman Old Style" w:hAnsi="Bookman Old Style" w:cs="Arial"/>
          <w:lang w:val="es-CO"/>
        </w:rPr>
        <w:t>, no sin antes advertir que tal conclusión</w:t>
      </w:r>
      <w:r w:rsidRPr="00110519">
        <w:rPr>
          <w:rFonts w:ascii="Bookman Old Style" w:hAnsi="Bookman Old Style" w:cs="Arial"/>
          <w:lang w:val="es-CO"/>
        </w:rPr>
        <w:t xml:space="preserve"> no desdice del trabajo de auditoría, pues, su alcance no comprendía las valoraciones que aquí se han hecho.</w:t>
      </w:r>
    </w:p>
    <w:p w14:paraId="07C5C77C" w14:textId="059D2F43" w:rsidR="0021387E" w:rsidRDefault="0021387E" w:rsidP="00E9538C">
      <w:pPr>
        <w:widowControl w:val="0"/>
        <w:adjustRightInd w:val="0"/>
        <w:ind w:left="0"/>
        <w:jc w:val="both"/>
        <w:textAlignment w:val="baseline"/>
        <w:rPr>
          <w:rFonts w:ascii="Bookman Old Style" w:hAnsi="Bookman Old Style" w:cs="Arial"/>
          <w:lang w:val="es-CO"/>
        </w:rPr>
      </w:pPr>
    </w:p>
    <w:p w14:paraId="47DC4DC6" w14:textId="77777777" w:rsidR="009D6941" w:rsidRPr="00110519" w:rsidRDefault="009D6941" w:rsidP="009D6941">
      <w:pPr>
        <w:widowControl w:val="0"/>
        <w:adjustRightInd w:val="0"/>
        <w:ind w:left="0"/>
        <w:jc w:val="both"/>
        <w:textAlignment w:val="baseline"/>
        <w:rPr>
          <w:rFonts w:ascii="Bookman Old Style" w:hAnsi="Bookman Old Style" w:cs="Arial"/>
          <w:lang w:val="es-CO"/>
        </w:rPr>
      </w:pPr>
      <w:r w:rsidRPr="00110519">
        <w:rPr>
          <w:rFonts w:ascii="Bookman Old Style" w:hAnsi="Bookman Old Style" w:cs="Arial"/>
          <w:lang w:val="es-CO"/>
        </w:rPr>
        <w:t>Esta decisión no afecta la declaración de parámetros y cálculo de la ENFICC que se haya hecho con posterioridad a la asignación de OEF para el período 2022-2023.</w:t>
      </w:r>
    </w:p>
    <w:p w14:paraId="1D1EA300" w14:textId="77777777" w:rsidR="009D6941" w:rsidRPr="00110519" w:rsidRDefault="009D6941" w:rsidP="00E9538C">
      <w:pPr>
        <w:widowControl w:val="0"/>
        <w:adjustRightInd w:val="0"/>
        <w:ind w:left="0"/>
        <w:jc w:val="both"/>
        <w:textAlignment w:val="baseline"/>
        <w:rPr>
          <w:rFonts w:ascii="Bookman Old Style" w:hAnsi="Bookman Old Style" w:cs="Arial"/>
          <w:lang w:val="es-CO"/>
        </w:rPr>
      </w:pPr>
    </w:p>
    <w:p w14:paraId="2CB36786" w14:textId="65E0632F" w:rsidR="0021387E" w:rsidRPr="00110519" w:rsidRDefault="0021387E" w:rsidP="0021387E">
      <w:pPr>
        <w:widowControl w:val="0"/>
        <w:adjustRightInd w:val="0"/>
        <w:ind w:left="0"/>
        <w:jc w:val="both"/>
        <w:textAlignment w:val="baseline"/>
        <w:rPr>
          <w:rFonts w:ascii="Bookman Old Style" w:hAnsi="Bookman Old Style" w:cs="Arial"/>
          <w:lang w:val="es-CO"/>
        </w:rPr>
      </w:pPr>
      <w:r w:rsidRPr="00110519">
        <w:rPr>
          <w:rFonts w:ascii="Bookman Old Style" w:hAnsi="Bookman Old Style" w:cs="Arial"/>
        </w:rPr>
        <w:t>Sin perjuicio de lo anterior, se advierte que en la declaración de parámetros que realice el agente siempre deberá reflejar la situación real de su planta o unidad</w:t>
      </w:r>
      <w:r w:rsidR="00E60FF2">
        <w:rPr>
          <w:rFonts w:ascii="Bookman Old Style" w:hAnsi="Bookman Old Style" w:cs="Arial"/>
        </w:rPr>
        <w:t>,</w:t>
      </w:r>
      <w:r w:rsidRPr="00110519">
        <w:rPr>
          <w:rFonts w:ascii="Bookman Old Style" w:hAnsi="Bookman Old Style" w:cs="Arial"/>
        </w:rPr>
        <w:t xml:space="preserve"> de tal forma que se pueda determinar </w:t>
      </w:r>
      <w:r w:rsidRPr="00110519">
        <w:rPr>
          <w:rFonts w:ascii="Bookman Old Style" w:hAnsi="Bookman Old Style" w:cs="Arial"/>
          <w:lang w:val="es-CO"/>
        </w:rPr>
        <w:t xml:space="preserve">correctamente la ENFICC al momento de la declaración. En consecuencia, teniendo en cuenta los resultados de la auditoría, el agente deberá hacer los ajustes a la información que considere necesarios. </w:t>
      </w:r>
    </w:p>
    <w:p w14:paraId="325F41F9" w14:textId="77777777" w:rsidR="0021387E" w:rsidRPr="00110519" w:rsidRDefault="0021387E" w:rsidP="00E9538C">
      <w:pPr>
        <w:widowControl w:val="0"/>
        <w:adjustRightInd w:val="0"/>
        <w:ind w:left="0"/>
        <w:jc w:val="both"/>
        <w:textAlignment w:val="baseline"/>
        <w:rPr>
          <w:rFonts w:ascii="Bookman Old Style" w:hAnsi="Bookman Old Style" w:cs="Arial"/>
          <w:lang w:val="es-CO"/>
        </w:rPr>
      </w:pPr>
    </w:p>
    <w:p w14:paraId="216EADBC" w14:textId="4EF835A3" w:rsidR="00E9538C" w:rsidRPr="00110519" w:rsidRDefault="00E9538C" w:rsidP="00E9538C">
      <w:pPr>
        <w:ind w:left="0"/>
        <w:rPr>
          <w:rFonts w:ascii="Bookman Old Style" w:hAnsi="Bookman Old Style" w:cs="Arial"/>
          <w:lang w:val="es-CO"/>
        </w:rPr>
      </w:pPr>
      <w:r w:rsidRPr="00110519">
        <w:rPr>
          <w:rFonts w:ascii="Bookman Old Style" w:hAnsi="Bookman Old Style" w:cs="Arial"/>
        </w:rPr>
        <w:t xml:space="preserve">La Comisión de Regulación de Energía y Gas, en su </w:t>
      </w:r>
      <w:r w:rsidRPr="003229EC">
        <w:rPr>
          <w:rFonts w:ascii="Bookman Old Style" w:hAnsi="Bookman Old Style" w:cs="Arial"/>
        </w:rPr>
        <w:t>sesión No.</w:t>
      </w:r>
      <w:r w:rsidR="003305F8" w:rsidRPr="003229EC">
        <w:rPr>
          <w:rFonts w:ascii="Bookman Old Style" w:hAnsi="Bookman Old Style" w:cs="Arial"/>
        </w:rPr>
        <w:t>1149</w:t>
      </w:r>
      <w:r w:rsidRPr="003229EC">
        <w:rPr>
          <w:rFonts w:ascii="Bookman Old Style" w:hAnsi="Bookman Old Style" w:cs="Arial"/>
        </w:rPr>
        <w:t xml:space="preserve"> del </w:t>
      </w:r>
      <w:r w:rsidR="00590BFD" w:rsidRPr="003229EC">
        <w:rPr>
          <w:rFonts w:ascii="Bookman Old Style" w:hAnsi="Bookman Old Style" w:cs="Arial"/>
        </w:rPr>
        <w:t>08</w:t>
      </w:r>
      <w:r w:rsidR="00ED3627" w:rsidRPr="003229EC">
        <w:rPr>
          <w:rFonts w:ascii="Bookman Old Style" w:hAnsi="Bookman Old Style" w:cs="Arial"/>
        </w:rPr>
        <w:t xml:space="preserve"> </w:t>
      </w:r>
      <w:r w:rsidRPr="003229EC">
        <w:rPr>
          <w:rFonts w:ascii="Bookman Old Style" w:hAnsi="Bookman Old Style" w:cs="Arial"/>
        </w:rPr>
        <w:t xml:space="preserve">de </w:t>
      </w:r>
      <w:r w:rsidR="00ED3FC6" w:rsidRPr="003229EC">
        <w:rPr>
          <w:rFonts w:ascii="Bookman Old Style" w:hAnsi="Bookman Old Style" w:cs="Arial"/>
        </w:rPr>
        <w:t>febrero de 2022, acordó expedir la presente Resolución;</w:t>
      </w:r>
    </w:p>
    <w:p w14:paraId="216EADBD" w14:textId="77777777" w:rsidR="00E9538C" w:rsidRPr="00110519" w:rsidRDefault="00E9538C" w:rsidP="001172C2">
      <w:pPr>
        <w:spacing w:after="120"/>
        <w:rPr>
          <w:rFonts w:ascii="Bookman Old Style" w:hAnsi="Bookman Old Style" w:cs="Arial"/>
          <w:lang w:val="es-CO"/>
        </w:rPr>
      </w:pPr>
    </w:p>
    <w:p w14:paraId="216EADBE" w14:textId="77777777" w:rsidR="00E9538C" w:rsidRPr="00110519" w:rsidRDefault="00E9538C" w:rsidP="00E9538C">
      <w:pPr>
        <w:jc w:val="center"/>
        <w:rPr>
          <w:rFonts w:ascii="Bookman Old Style" w:hAnsi="Bookman Old Style" w:cs="Arial"/>
          <w:b/>
          <w:bCs/>
          <w:lang w:val="es-CO"/>
        </w:rPr>
      </w:pPr>
      <w:r w:rsidRPr="00110519">
        <w:rPr>
          <w:rFonts w:ascii="Bookman Old Style" w:hAnsi="Bookman Old Style" w:cs="Arial"/>
          <w:b/>
          <w:bCs/>
          <w:lang w:val="es-CO"/>
        </w:rPr>
        <w:t>R E S U E L V E:</w:t>
      </w:r>
    </w:p>
    <w:p w14:paraId="216EADBF" w14:textId="77777777" w:rsidR="009776A9" w:rsidRPr="00110519" w:rsidRDefault="009776A9" w:rsidP="009776A9">
      <w:pPr>
        <w:ind w:left="0"/>
        <w:jc w:val="both"/>
        <w:rPr>
          <w:rFonts w:ascii="Bookman Old Style" w:hAnsi="Bookman Old Style" w:cs="Arial"/>
        </w:rPr>
      </w:pPr>
    </w:p>
    <w:p w14:paraId="216EADC0" w14:textId="77777777" w:rsidR="009776A9" w:rsidRPr="00110519" w:rsidRDefault="009776A9" w:rsidP="009776A9">
      <w:pPr>
        <w:rPr>
          <w:rFonts w:ascii="Bookman Old Style" w:hAnsi="Bookman Old Style" w:cs="Arial"/>
          <w:sz w:val="14"/>
          <w:lang w:val="es-CO"/>
        </w:rPr>
      </w:pPr>
    </w:p>
    <w:p w14:paraId="216EADC1" w14:textId="6AE7D643" w:rsidR="009776A9" w:rsidRPr="00110519" w:rsidRDefault="009776A9" w:rsidP="009776A9">
      <w:pPr>
        <w:ind w:left="0"/>
        <w:jc w:val="both"/>
        <w:rPr>
          <w:rFonts w:ascii="Bookman Old Style" w:hAnsi="Bookman Old Style" w:cs="Arial"/>
        </w:rPr>
      </w:pPr>
      <w:r w:rsidRPr="00110519">
        <w:rPr>
          <w:rFonts w:ascii="Bookman Old Style" w:hAnsi="Bookman Old Style" w:cs="Arial"/>
          <w:b/>
          <w:bCs/>
          <w:lang w:val="es-CO"/>
        </w:rPr>
        <w:t xml:space="preserve">ARTÍCULO 1.  </w:t>
      </w:r>
      <w:proofErr w:type="gramStart"/>
      <w:r w:rsidRPr="00110519">
        <w:rPr>
          <w:rFonts w:ascii="Bookman Old Style" w:hAnsi="Bookman Old Style" w:cs="Arial"/>
          <w:lang w:val="es-CO"/>
        </w:rPr>
        <w:t>Declarar</w:t>
      </w:r>
      <w:proofErr w:type="gramEnd"/>
      <w:r w:rsidRPr="00110519">
        <w:rPr>
          <w:rFonts w:ascii="Bookman Old Style" w:hAnsi="Bookman Old Style" w:cs="Arial"/>
          <w:lang w:val="es-CO"/>
        </w:rPr>
        <w:t xml:space="preserve"> que no se confirmó</w:t>
      </w:r>
      <w:r w:rsidRPr="00110519">
        <w:rPr>
          <w:rFonts w:ascii="Bookman Old Style" w:hAnsi="Bookman Old Style" w:cs="Arial"/>
          <w:b/>
          <w:bCs/>
          <w:lang w:val="es-CO"/>
        </w:rPr>
        <w:t xml:space="preserve"> </w:t>
      </w:r>
      <w:r w:rsidRPr="00110519">
        <w:rPr>
          <w:rFonts w:ascii="Bookman Old Style" w:hAnsi="Bookman Old Style" w:cs="Arial"/>
          <w:lang w:val="es-CO"/>
        </w:rPr>
        <w:t xml:space="preserve">la existencia de discrepancias en el valor </w:t>
      </w:r>
      <w:r w:rsidR="00944741" w:rsidRPr="00110519">
        <w:rPr>
          <w:rFonts w:ascii="Bookman Old Style" w:hAnsi="Bookman Old Style" w:cs="Arial"/>
          <w:lang w:val="es-CO"/>
        </w:rPr>
        <w:t xml:space="preserve">del parámetro “Topología” </w:t>
      </w:r>
      <w:r w:rsidRPr="00110519">
        <w:rPr>
          <w:rFonts w:ascii="Bookman Old Style" w:hAnsi="Bookman Old Style" w:cs="Arial"/>
          <w:lang w:val="es-CO"/>
        </w:rPr>
        <w:t>reportado por la empresa</w:t>
      </w:r>
      <w:r w:rsidR="00944741" w:rsidRPr="00110519">
        <w:rPr>
          <w:rFonts w:ascii="Bookman Old Style" w:hAnsi="Bookman Old Style" w:cs="Arial"/>
          <w:lang w:val="es-CO"/>
        </w:rPr>
        <w:t xml:space="preserve"> </w:t>
      </w:r>
      <w:r w:rsidR="00944741" w:rsidRPr="00110519">
        <w:rPr>
          <w:rFonts w:ascii="Bookman Old Style" w:hAnsi="Bookman Old Style"/>
          <w:lang w:val="es-CO"/>
        </w:rPr>
        <w:t xml:space="preserve">HIDROELÉCTRICA DEL ALTO PORCE S.A.S. E.S.P., </w:t>
      </w:r>
      <w:r w:rsidR="00944741" w:rsidRPr="00110519">
        <w:rPr>
          <w:rFonts w:ascii="Bookman Old Style" w:hAnsi="Bookman Old Style"/>
        </w:rPr>
        <w:t>HIDRALPOR S.A.S. E.S.P.</w:t>
      </w:r>
      <w:r w:rsidR="00E60FF2">
        <w:rPr>
          <w:rFonts w:ascii="Bookman Old Style" w:hAnsi="Bookman Old Style"/>
        </w:rPr>
        <w:t>,</w:t>
      </w:r>
      <w:r w:rsidR="00944741" w:rsidRPr="00110519">
        <w:t xml:space="preserve"> </w:t>
      </w:r>
      <w:r w:rsidR="00944741" w:rsidRPr="00110519">
        <w:rPr>
          <w:rFonts w:ascii="Bookman Old Style" w:hAnsi="Bookman Old Style"/>
        </w:rPr>
        <w:t xml:space="preserve">para la Planta </w:t>
      </w:r>
      <w:r w:rsidR="005D074F" w:rsidRPr="00110519">
        <w:rPr>
          <w:rFonts w:ascii="Bookman Old Style" w:hAnsi="Bookman Old Style"/>
        </w:rPr>
        <w:t>Carlos Lleras Restrepo</w:t>
      </w:r>
      <w:r w:rsidR="00E60FF2">
        <w:rPr>
          <w:rFonts w:ascii="Bookman Old Style" w:hAnsi="Bookman Old Style"/>
        </w:rPr>
        <w:t>,</w:t>
      </w:r>
      <w:r w:rsidR="005D074F" w:rsidRPr="00110519">
        <w:rPr>
          <w:rFonts w:ascii="Bookman Old Style" w:hAnsi="Bookman Old Style"/>
        </w:rPr>
        <w:t xml:space="preserve"> </w:t>
      </w:r>
      <w:r w:rsidR="00E9538C" w:rsidRPr="00110519">
        <w:rPr>
          <w:rFonts w:ascii="Bookman Old Style" w:hAnsi="Bookman Old Style" w:cs="Arial"/>
          <w:iCs/>
        </w:rPr>
        <w:t>que compromet</w:t>
      </w:r>
      <w:r w:rsidR="005D074F">
        <w:rPr>
          <w:rFonts w:ascii="Bookman Old Style" w:hAnsi="Bookman Old Style" w:cs="Arial"/>
          <w:iCs/>
        </w:rPr>
        <w:t>a</w:t>
      </w:r>
      <w:r w:rsidR="00E9538C" w:rsidRPr="00110519">
        <w:rPr>
          <w:rFonts w:ascii="Bookman Old Style" w:hAnsi="Bookman Old Style" w:cs="Arial"/>
          <w:iCs/>
        </w:rPr>
        <w:t xml:space="preserve"> </w:t>
      </w:r>
      <w:r w:rsidRPr="00110519">
        <w:rPr>
          <w:rFonts w:ascii="Bookman Old Style" w:hAnsi="Bookman Old Style" w:cs="Arial"/>
        </w:rPr>
        <w:t>la ENFICC que respalda las OEF del período 2022-2023</w:t>
      </w:r>
      <w:r w:rsidR="00944741" w:rsidRPr="00110519">
        <w:rPr>
          <w:rFonts w:ascii="Bookman Old Style" w:hAnsi="Bookman Old Style" w:cs="Arial"/>
        </w:rPr>
        <w:t>.</w:t>
      </w:r>
      <w:r w:rsidRPr="00110519">
        <w:rPr>
          <w:rFonts w:ascii="Bookman Old Style" w:hAnsi="Bookman Old Style" w:cs="Arial"/>
        </w:rPr>
        <w:t xml:space="preserve"> </w:t>
      </w:r>
    </w:p>
    <w:p w14:paraId="216EADC2" w14:textId="1ADB6527" w:rsidR="009776A9" w:rsidRDefault="009776A9" w:rsidP="009776A9">
      <w:pPr>
        <w:ind w:left="0"/>
        <w:jc w:val="both"/>
        <w:rPr>
          <w:rFonts w:ascii="Bookman Old Style" w:hAnsi="Bookman Old Style" w:cs="Arial"/>
        </w:rPr>
      </w:pPr>
    </w:p>
    <w:p w14:paraId="6DC4463B" w14:textId="77777777" w:rsidR="00E60FF2" w:rsidRPr="00110519" w:rsidRDefault="00E60FF2" w:rsidP="009776A9">
      <w:pPr>
        <w:ind w:left="0"/>
        <w:jc w:val="both"/>
        <w:rPr>
          <w:rFonts w:ascii="Bookman Old Style" w:hAnsi="Bookman Old Style" w:cs="Arial"/>
        </w:rPr>
      </w:pPr>
    </w:p>
    <w:p w14:paraId="216EADC3" w14:textId="77777777" w:rsidR="009776A9" w:rsidRPr="00110519" w:rsidRDefault="009776A9" w:rsidP="009776A9">
      <w:pPr>
        <w:ind w:left="0"/>
        <w:jc w:val="both"/>
        <w:rPr>
          <w:rFonts w:ascii="Bookman Old Style" w:hAnsi="Bookman Old Style" w:cs="Arial"/>
          <w:lang w:val="es-CO"/>
        </w:rPr>
      </w:pPr>
      <w:r w:rsidRPr="00110519">
        <w:rPr>
          <w:rFonts w:ascii="Bookman Old Style" w:hAnsi="Bookman Old Style" w:cs="Arial"/>
          <w:b/>
          <w:bCs/>
          <w:lang w:val="es-CO"/>
        </w:rPr>
        <w:t xml:space="preserve">ARTÍCULO 2.  </w:t>
      </w:r>
      <w:r w:rsidRPr="00110519">
        <w:rPr>
          <w:rFonts w:ascii="Bookman Old Style" w:hAnsi="Bookman Old Style" w:cs="Arial"/>
          <w:bCs/>
          <w:lang w:val="es-CO"/>
        </w:rPr>
        <w:t>En consecuencia, de lo anterior, o</w:t>
      </w:r>
      <w:r w:rsidRPr="00110519">
        <w:rPr>
          <w:rFonts w:ascii="Bookman Old Style" w:hAnsi="Bookman Old Style" w:cs="Arial"/>
          <w:lang w:val="es-CO"/>
        </w:rPr>
        <w:t>rdenar el archivo de la actuación administrativa de que da cuenta el expediente 2021-00</w:t>
      </w:r>
      <w:r w:rsidR="00944741" w:rsidRPr="00110519">
        <w:rPr>
          <w:rFonts w:ascii="Bookman Old Style" w:hAnsi="Bookman Old Style" w:cs="Arial"/>
          <w:lang w:val="es-CO"/>
        </w:rPr>
        <w:t>41</w:t>
      </w:r>
      <w:r w:rsidRPr="00110519">
        <w:rPr>
          <w:rFonts w:ascii="Bookman Old Style" w:hAnsi="Bookman Old Style" w:cs="Arial"/>
          <w:lang w:val="es-CO"/>
        </w:rPr>
        <w:t>.</w:t>
      </w:r>
    </w:p>
    <w:p w14:paraId="216EADC4" w14:textId="77777777" w:rsidR="009776A9" w:rsidRPr="00110519" w:rsidRDefault="009776A9" w:rsidP="009776A9">
      <w:pPr>
        <w:ind w:left="0"/>
        <w:jc w:val="both"/>
        <w:rPr>
          <w:rFonts w:ascii="Bookman Old Style" w:hAnsi="Bookman Old Style" w:cs="Arial"/>
          <w:lang w:val="es-CO"/>
        </w:rPr>
      </w:pPr>
    </w:p>
    <w:p w14:paraId="216EADC5" w14:textId="5B13AA92" w:rsidR="009776A9" w:rsidRPr="00110519" w:rsidRDefault="009776A9" w:rsidP="009776A9">
      <w:pPr>
        <w:ind w:left="0"/>
        <w:jc w:val="both"/>
        <w:rPr>
          <w:rFonts w:ascii="Bookman Old Style" w:hAnsi="Bookman Old Style" w:cs="Arial"/>
          <w:lang w:val="es-CO"/>
        </w:rPr>
      </w:pPr>
      <w:r w:rsidRPr="00110519">
        <w:rPr>
          <w:rFonts w:ascii="Bookman Old Style" w:hAnsi="Bookman Old Style" w:cs="Arial"/>
          <w:b/>
          <w:bCs/>
          <w:lang w:val="es-CO"/>
        </w:rPr>
        <w:lastRenderedPageBreak/>
        <w:t xml:space="preserve">ARTÍCULO 3.  </w:t>
      </w:r>
      <w:r w:rsidRPr="00110519">
        <w:rPr>
          <w:rFonts w:ascii="Bookman Old Style" w:hAnsi="Bookman Old Style" w:cs="Arial"/>
          <w:lang w:val="es-CO"/>
        </w:rPr>
        <w:t xml:space="preserve">La presente Resolución deberá notificarse personalmente </w:t>
      </w:r>
      <w:r w:rsidR="00944741" w:rsidRPr="00110519">
        <w:rPr>
          <w:rFonts w:ascii="Bookman Old Style" w:hAnsi="Bookman Old Style" w:cs="Arial"/>
          <w:lang w:val="es-CO"/>
        </w:rPr>
        <w:t xml:space="preserve">a </w:t>
      </w:r>
      <w:r w:rsidR="00E81A01" w:rsidRPr="00110519">
        <w:rPr>
          <w:rFonts w:ascii="Bookman Old Style" w:hAnsi="Bookman Old Style" w:cs="Arial"/>
          <w:lang w:val="es-CO"/>
        </w:rPr>
        <w:t>la señora</w:t>
      </w:r>
      <w:r w:rsidR="00944741" w:rsidRPr="00110519">
        <w:rPr>
          <w:rFonts w:ascii="Bookman Old Style" w:hAnsi="Bookman Old Style" w:cs="Arial"/>
          <w:lang w:val="es-CO"/>
        </w:rPr>
        <w:t xml:space="preserve"> ALEXANDRA GREIDINGER RESTREPO, </w:t>
      </w:r>
      <w:r w:rsidRPr="00110519">
        <w:rPr>
          <w:rFonts w:ascii="Bookman Old Style" w:hAnsi="Bookman Old Style" w:cs="Arial"/>
          <w:lang w:val="es-CO"/>
        </w:rPr>
        <w:t xml:space="preserve">en su calidad de representante legal de la empresa </w:t>
      </w:r>
      <w:r w:rsidR="00944741" w:rsidRPr="00110519">
        <w:rPr>
          <w:rFonts w:ascii="Bookman Old Style" w:hAnsi="Bookman Old Style" w:cs="Arial"/>
          <w:lang w:val="es-CO"/>
        </w:rPr>
        <w:t xml:space="preserve">HIDRALPOR S.A.S. </w:t>
      </w:r>
      <w:r w:rsidRPr="00110519">
        <w:rPr>
          <w:rFonts w:ascii="Bookman Old Style" w:hAnsi="Bookman Old Style" w:cs="Arial"/>
          <w:lang w:val="es-CO"/>
        </w:rPr>
        <w:t>E.S.P.</w:t>
      </w:r>
      <w:r w:rsidR="00E60FF2">
        <w:rPr>
          <w:rFonts w:ascii="Bookman Old Style" w:hAnsi="Bookman Old Style" w:cs="Arial"/>
          <w:lang w:val="es-CO"/>
        </w:rPr>
        <w:t>,</w:t>
      </w:r>
      <w:r w:rsidRPr="00110519">
        <w:rPr>
          <w:rFonts w:ascii="Bookman Old Style" w:hAnsi="Bookman Old Style" w:cs="Arial"/>
          <w:lang w:val="es-CO"/>
        </w:rPr>
        <w:t xml:space="preserve"> o quien haga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216EADC6" w14:textId="4C086C9E" w:rsidR="009776A9" w:rsidRDefault="009776A9" w:rsidP="009776A9">
      <w:pPr>
        <w:ind w:left="0"/>
        <w:jc w:val="both"/>
        <w:rPr>
          <w:rFonts w:ascii="Bookman Old Style" w:hAnsi="Bookman Old Style" w:cs="Arial"/>
          <w:lang w:val="es-CO"/>
        </w:rPr>
      </w:pPr>
    </w:p>
    <w:p w14:paraId="216EADC7" w14:textId="77777777" w:rsidR="009776A9" w:rsidRPr="00110519" w:rsidRDefault="009776A9" w:rsidP="009776A9">
      <w:pPr>
        <w:ind w:left="0"/>
        <w:jc w:val="center"/>
        <w:rPr>
          <w:rFonts w:ascii="Bookman Old Style" w:hAnsi="Bookman Old Style" w:cs="Arial"/>
          <w:b/>
          <w:bCs/>
          <w:lang w:val="es-CO"/>
        </w:rPr>
      </w:pPr>
      <w:r w:rsidRPr="00110519">
        <w:rPr>
          <w:rFonts w:ascii="Bookman Old Style" w:hAnsi="Bookman Old Style" w:cs="Arial"/>
          <w:b/>
          <w:bCs/>
          <w:lang w:val="es-CO"/>
        </w:rPr>
        <w:t>NOTIFÍQUESE Y CÚMPLASE</w:t>
      </w:r>
    </w:p>
    <w:p w14:paraId="216EADC8" w14:textId="61BAECF6" w:rsidR="009776A9" w:rsidRDefault="009776A9" w:rsidP="009776A9">
      <w:pPr>
        <w:ind w:left="0"/>
        <w:jc w:val="both"/>
        <w:rPr>
          <w:rFonts w:ascii="Bookman Old Style" w:hAnsi="Bookman Old Style" w:cs="Arial"/>
          <w:lang w:val="es-CO"/>
        </w:rPr>
      </w:pPr>
    </w:p>
    <w:p w14:paraId="5B2176F4" w14:textId="77777777" w:rsidR="001172C2" w:rsidRPr="00110519" w:rsidRDefault="001172C2" w:rsidP="009776A9">
      <w:pPr>
        <w:ind w:left="0"/>
        <w:jc w:val="both"/>
        <w:rPr>
          <w:rFonts w:ascii="Bookman Old Style" w:hAnsi="Bookman Old Style" w:cs="Arial"/>
          <w:lang w:val="es-CO"/>
        </w:rPr>
      </w:pPr>
    </w:p>
    <w:p w14:paraId="216EADC9" w14:textId="3D90B4C1" w:rsidR="009776A9" w:rsidRDefault="009776A9" w:rsidP="009776A9">
      <w:pPr>
        <w:ind w:left="0"/>
        <w:jc w:val="both"/>
        <w:rPr>
          <w:rFonts w:ascii="Bookman Old Style" w:hAnsi="Bookman Old Style" w:cs="Arial"/>
          <w:b/>
          <w:bCs/>
        </w:rPr>
      </w:pPr>
      <w:r w:rsidRPr="00110519">
        <w:rPr>
          <w:rFonts w:ascii="Bookman Old Style" w:hAnsi="Bookman Old Style" w:cs="Arial"/>
        </w:rPr>
        <w:t xml:space="preserve">Dada en Bogotá, D.C. a </w:t>
      </w:r>
      <w:r w:rsidR="00590BFD" w:rsidRPr="00110519">
        <w:rPr>
          <w:rFonts w:ascii="Bookman Old Style" w:hAnsi="Bookman Old Style" w:cs="Arial"/>
          <w:b/>
          <w:bCs/>
        </w:rPr>
        <w:t>08</w:t>
      </w:r>
      <w:r w:rsidRPr="00110519">
        <w:rPr>
          <w:rFonts w:ascii="Bookman Old Style" w:hAnsi="Bookman Old Style" w:cs="Arial"/>
          <w:b/>
          <w:bCs/>
        </w:rPr>
        <w:t xml:space="preserve"> </w:t>
      </w:r>
      <w:r w:rsidR="00590BFD" w:rsidRPr="00110519">
        <w:rPr>
          <w:rFonts w:ascii="Bookman Old Style" w:hAnsi="Bookman Old Style" w:cs="Arial"/>
          <w:b/>
          <w:bCs/>
        </w:rPr>
        <w:t>FEB</w:t>
      </w:r>
      <w:r w:rsidRPr="00110519">
        <w:rPr>
          <w:rFonts w:ascii="Bookman Old Style" w:hAnsi="Bookman Old Style" w:cs="Arial"/>
          <w:b/>
          <w:bCs/>
        </w:rPr>
        <w:t>. 202</w:t>
      </w:r>
      <w:r w:rsidR="00590BFD" w:rsidRPr="00110519">
        <w:rPr>
          <w:rFonts w:ascii="Bookman Old Style" w:hAnsi="Bookman Old Style" w:cs="Arial"/>
          <w:b/>
          <w:bCs/>
        </w:rPr>
        <w:t>2</w:t>
      </w:r>
    </w:p>
    <w:p w14:paraId="737330EB" w14:textId="25289B4A" w:rsidR="00110519" w:rsidRDefault="00110519" w:rsidP="009776A9">
      <w:pPr>
        <w:ind w:left="0"/>
        <w:jc w:val="both"/>
        <w:rPr>
          <w:rFonts w:ascii="Bookman Old Style" w:hAnsi="Bookman Old Style" w:cs="Arial"/>
          <w:b/>
          <w:bCs/>
        </w:rPr>
      </w:pPr>
    </w:p>
    <w:p w14:paraId="21DA195C" w14:textId="470BB018" w:rsidR="00110519" w:rsidRDefault="00110519" w:rsidP="009776A9">
      <w:pPr>
        <w:ind w:left="0"/>
        <w:jc w:val="both"/>
        <w:rPr>
          <w:rFonts w:ascii="Bookman Old Style" w:hAnsi="Bookman Old Style" w:cs="Arial"/>
          <w:b/>
          <w:bCs/>
        </w:rPr>
      </w:pPr>
    </w:p>
    <w:p w14:paraId="266F621C" w14:textId="77777777" w:rsidR="00110519" w:rsidRPr="00110519" w:rsidRDefault="00110519" w:rsidP="009776A9">
      <w:pPr>
        <w:ind w:left="0"/>
        <w:jc w:val="both"/>
        <w:rPr>
          <w:rFonts w:ascii="Bookman Old Style" w:hAnsi="Bookman Old Style" w:cs="Arial"/>
          <w:b/>
          <w:bCs/>
        </w:rPr>
      </w:pPr>
    </w:p>
    <w:p w14:paraId="00FDED95" w14:textId="77777777" w:rsidR="00E60FF2" w:rsidRPr="00110519" w:rsidRDefault="00E60FF2" w:rsidP="009776A9">
      <w:pPr>
        <w:ind w:left="0"/>
        <w:jc w:val="both"/>
        <w:rPr>
          <w:rFonts w:ascii="Bookman Old Style" w:hAnsi="Bookman Old Style" w:cs="Arial"/>
          <w:b/>
          <w:bCs/>
        </w:rPr>
      </w:pPr>
    </w:p>
    <w:p w14:paraId="216EADCE" w14:textId="77777777" w:rsidR="009776A9" w:rsidRPr="00110519" w:rsidRDefault="009776A9" w:rsidP="009776A9">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9776A9" w:rsidRPr="00110519" w14:paraId="216EADD1" w14:textId="77777777" w:rsidTr="00F42613">
        <w:trPr>
          <w:tblCellSpacing w:w="0" w:type="dxa"/>
          <w:jc w:val="center"/>
        </w:trPr>
        <w:tc>
          <w:tcPr>
            <w:tcW w:w="4111" w:type="dxa"/>
          </w:tcPr>
          <w:p w14:paraId="216EADCF" w14:textId="11035595" w:rsidR="009776A9" w:rsidRPr="00110519" w:rsidRDefault="00590BFD" w:rsidP="00F42613">
            <w:pPr>
              <w:ind w:left="66"/>
              <w:jc w:val="center"/>
              <w:rPr>
                <w:rFonts w:ascii="Bookman Old Style" w:hAnsi="Bookman Old Style" w:cs="Arial"/>
                <w:b/>
              </w:rPr>
            </w:pPr>
            <w:r w:rsidRPr="00110519">
              <w:rPr>
                <w:rFonts w:ascii="Bookman Old Style" w:hAnsi="Bookman Old Style" w:cs="Arial"/>
                <w:b/>
              </w:rPr>
              <w:t>DIEGO MESA PU</w:t>
            </w:r>
            <w:r w:rsidR="001172C2">
              <w:rPr>
                <w:rFonts w:ascii="Bookman Old Style" w:hAnsi="Bookman Old Style" w:cs="Arial"/>
                <w:b/>
              </w:rPr>
              <w:t>Y</w:t>
            </w:r>
            <w:r w:rsidRPr="00110519">
              <w:rPr>
                <w:rFonts w:ascii="Bookman Old Style" w:hAnsi="Bookman Old Style" w:cs="Arial"/>
                <w:b/>
              </w:rPr>
              <w:t>O</w:t>
            </w:r>
          </w:p>
        </w:tc>
        <w:tc>
          <w:tcPr>
            <w:tcW w:w="4820" w:type="dxa"/>
          </w:tcPr>
          <w:p w14:paraId="216EADD0" w14:textId="77777777" w:rsidR="009776A9" w:rsidRPr="00110519" w:rsidRDefault="009776A9" w:rsidP="00F42613">
            <w:pPr>
              <w:ind w:left="69"/>
              <w:jc w:val="center"/>
              <w:rPr>
                <w:rFonts w:ascii="Bookman Old Style" w:hAnsi="Bookman Old Style" w:cs="Arial"/>
                <w:b/>
              </w:rPr>
            </w:pPr>
            <w:r w:rsidRPr="00110519">
              <w:rPr>
                <w:rFonts w:ascii="Bookman Old Style" w:hAnsi="Bookman Old Style" w:cs="Arial"/>
                <w:b/>
              </w:rPr>
              <w:t xml:space="preserve">JORGE ALBERTO VALENCIA MARÍN </w:t>
            </w:r>
          </w:p>
        </w:tc>
      </w:tr>
      <w:tr w:rsidR="009776A9" w:rsidRPr="00E60FF2" w14:paraId="216EADD4" w14:textId="77777777" w:rsidTr="00F42613">
        <w:trPr>
          <w:tblCellSpacing w:w="0" w:type="dxa"/>
          <w:jc w:val="center"/>
        </w:trPr>
        <w:tc>
          <w:tcPr>
            <w:tcW w:w="4111" w:type="dxa"/>
            <w:hideMark/>
          </w:tcPr>
          <w:p w14:paraId="216EADD2" w14:textId="7E20E795" w:rsidR="009776A9" w:rsidRPr="00E60FF2" w:rsidRDefault="009776A9" w:rsidP="00F42613">
            <w:pPr>
              <w:ind w:left="66"/>
              <w:jc w:val="center"/>
              <w:rPr>
                <w:rFonts w:ascii="Bookman Old Style" w:eastAsia="Arial Unicode MS" w:hAnsi="Bookman Old Style" w:cs="Arial"/>
                <w:color w:val="000000"/>
              </w:rPr>
            </w:pPr>
            <w:r w:rsidRPr="00E60FF2">
              <w:rPr>
                <w:rFonts w:ascii="Bookman Old Style" w:hAnsi="Bookman Old Style" w:cs="Arial"/>
              </w:rPr>
              <w:t>Ministro de Minas y Energía</w:t>
            </w:r>
          </w:p>
        </w:tc>
        <w:tc>
          <w:tcPr>
            <w:tcW w:w="4820" w:type="dxa"/>
            <w:hideMark/>
          </w:tcPr>
          <w:p w14:paraId="216EADD3" w14:textId="77777777" w:rsidR="009776A9" w:rsidRPr="00E60FF2" w:rsidRDefault="009776A9" w:rsidP="00F42613">
            <w:pPr>
              <w:jc w:val="center"/>
              <w:rPr>
                <w:rFonts w:ascii="Bookman Old Style" w:eastAsia="Arial Unicode MS" w:hAnsi="Bookman Old Style" w:cs="Arial"/>
                <w:color w:val="000000"/>
              </w:rPr>
            </w:pPr>
            <w:r w:rsidRPr="00E60FF2">
              <w:rPr>
                <w:rFonts w:ascii="Bookman Old Style" w:hAnsi="Bookman Old Style" w:cs="Arial"/>
              </w:rPr>
              <w:t xml:space="preserve">Director Ejecutivo </w:t>
            </w:r>
          </w:p>
        </w:tc>
      </w:tr>
      <w:tr w:rsidR="009776A9" w:rsidRPr="00E60FF2" w14:paraId="216EADD7" w14:textId="77777777" w:rsidTr="00F42613">
        <w:trPr>
          <w:tblCellSpacing w:w="0" w:type="dxa"/>
          <w:jc w:val="center"/>
        </w:trPr>
        <w:tc>
          <w:tcPr>
            <w:tcW w:w="4111" w:type="dxa"/>
            <w:hideMark/>
          </w:tcPr>
          <w:p w14:paraId="216EADD5" w14:textId="77777777" w:rsidR="009776A9" w:rsidRPr="00E60FF2" w:rsidRDefault="009776A9" w:rsidP="00F42613">
            <w:pPr>
              <w:ind w:left="66"/>
              <w:jc w:val="center"/>
              <w:rPr>
                <w:rFonts w:ascii="Bookman Old Style" w:eastAsia="Arial Unicode MS" w:hAnsi="Bookman Old Style" w:cs="Arial"/>
                <w:color w:val="000000"/>
              </w:rPr>
            </w:pPr>
            <w:r w:rsidRPr="00E60FF2">
              <w:rPr>
                <w:rFonts w:ascii="Bookman Old Style" w:hAnsi="Bookman Old Style" w:cs="Arial"/>
              </w:rPr>
              <w:t>Presidente</w:t>
            </w:r>
          </w:p>
        </w:tc>
        <w:tc>
          <w:tcPr>
            <w:tcW w:w="4820" w:type="dxa"/>
          </w:tcPr>
          <w:p w14:paraId="216EADD6" w14:textId="77777777" w:rsidR="009776A9" w:rsidRPr="00E60FF2" w:rsidRDefault="009776A9" w:rsidP="00F42613">
            <w:pPr>
              <w:jc w:val="center"/>
              <w:rPr>
                <w:rFonts w:ascii="Bookman Old Style" w:eastAsia="Arial Unicode MS" w:hAnsi="Bookman Old Style" w:cs="Arial"/>
                <w:color w:val="000000"/>
              </w:rPr>
            </w:pPr>
          </w:p>
        </w:tc>
      </w:tr>
    </w:tbl>
    <w:p w14:paraId="216EADDA" w14:textId="47F701EE" w:rsidR="00F42613" w:rsidRDefault="00F42613" w:rsidP="00110519"/>
    <w:p w14:paraId="6A11E844" w14:textId="77777777" w:rsidR="001172C2" w:rsidRDefault="001172C2" w:rsidP="00110519"/>
    <w:sectPr w:rsidR="001172C2" w:rsidSect="00F42613">
      <w:headerReference w:type="default" r:id="rId10"/>
      <w:headerReference w:type="first" r:id="rId11"/>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2031" w14:textId="77777777" w:rsidR="009B1195" w:rsidRDefault="009B1195" w:rsidP="006C6660">
      <w:r>
        <w:separator/>
      </w:r>
    </w:p>
  </w:endnote>
  <w:endnote w:type="continuationSeparator" w:id="0">
    <w:p w14:paraId="5DC5F1CE" w14:textId="77777777" w:rsidR="009B1195" w:rsidRDefault="009B1195" w:rsidP="006C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87CD" w14:textId="77777777" w:rsidR="009B1195" w:rsidRDefault="009B1195" w:rsidP="006C6660">
      <w:r>
        <w:separator/>
      </w:r>
    </w:p>
  </w:footnote>
  <w:footnote w:type="continuationSeparator" w:id="0">
    <w:p w14:paraId="5FBE1F2D" w14:textId="77777777" w:rsidR="009B1195" w:rsidRDefault="009B1195" w:rsidP="006C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ADE0" w14:textId="77777777" w:rsidR="00F42613" w:rsidRDefault="00F42613" w:rsidP="00F42613">
    <w:pPr>
      <w:pStyle w:val="Ttulo1"/>
      <w:ind w:right="6"/>
      <w:jc w:val="left"/>
      <w:rPr>
        <w:rFonts w:ascii="Bookman Old Style" w:hAnsi="Bookman Old Style" w:cs="Arial"/>
        <w:b w:val="0"/>
        <w:sz w:val="22"/>
        <w:szCs w:val="22"/>
      </w:rPr>
    </w:pPr>
  </w:p>
  <w:p w14:paraId="216EADE1" w14:textId="457A1E30" w:rsidR="00F42613" w:rsidRPr="00951F79" w:rsidRDefault="00F42613" w:rsidP="00F4261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229EC" w:rsidRPr="003229EC">
      <w:rPr>
        <w:rFonts w:ascii="Bookman Old Style" w:hAnsi="Bookman Old Style" w:cs="Arial"/>
        <w:bCs/>
        <w:sz w:val="22"/>
        <w:szCs w:val="22"/>
        <w:u w:val="single"/>
      </w:rPr>
      <w:t xml:space="preserve">501 </w:t>
    </w:r>
    <w:proofErr w:type="gramStart"/>
    <w:r w:rsidR="003229EC" w:rsidRPr="003229EC">
      <w:rPr>
        <w:rFonts w:ascii="Bookman Old Style" w:hAnsi="Bookman Old Style" w:cs="Arial"/>
        <w:bCs/>
        <w:sz w:val="22"/>
        <w:szCs w:val="22"/>
        <w:u w:val="single"/>
      </w:rPr>
      <w:t>010</w:t>
    </w:r>
    <w:r w:rsidR="003229EC">
      <w:rPr>
        <w:rFonts w:ascii="Bookman Old Style" w:hAnsi="Bookman Old Style" w:cs="Arial"/>
        <w:b w:val="0"/>
        <w:sz w:val="22"/>
        <w:szCs w:val="22"/>
        <w:u w:val="single"/>
      </w:rPr>
      <w:t xml:space="preserve"> </w:t>
    </w:r>
    <w:r>
      <w:rPr>
        <w:rFonts w:ascii="Bookman Old Style" w:hAnsi="Bookman Old Style" w:cs="Arial"/>
        <w:b w:val="0"/>
        <w:sz w:val="22"/>
        <w:szCs w:val="22"/>
        <w:u w:val="single"/>
      </w:rPr>
      <w:t xml:space="preserve"> </w:t>
    </w:r>
    <w:r>
      <w:rPr>
        <w:rFonts w:ascii="Bookman Old Style" w:hAnsi="Bookman Old Style" w:cs="Arial"/>
        <w:b w:val="0"/>
        <w:sz w:val="22"/>
        <w:szCs w:val="22"/>
      </w:rPr>
      <w:t>DE</w:t>
    </w:r>
    <w:proofErr w:type="gramEnd"/>
    <w:r>
      <w:rPr>
        <w:rFonts w:ascii="Bookman Old Style" w:hAnsi="Bookman Old Style" w:cs="Arial"/>
        <w:b w:val="0"/>
        <w:sz w:val="22"/>
        <w:szCs w:val="22"/>
      </w:rPr>
      <w:t xml:space="preserve"> </w:t>
    </w:r>
    <w:r w:rsidR="003229EC" w:rsidRPr="003229EC">
      <w:rPr>
        <w:rFonts w:ascii="Bookman Old Style" w:hAnsi="Bookman Old Style" w:cs="Arial"/>
        <w:bCs/>
        <w:szCs w:val="24"/>
        <w:u w:val="single"/>
      </w:rPr>
      <w:t>08 FEB. 2022</w:t>
    </w:r>
    <w:r w:rsidR="003229EC">
      <w:rPr>
        <w:rFonts w:ascii="Bookman Old Style" w:hAnsi="Bookman Old Style" w:cs="Arial"/>
        <w:b w:val="0"/>
        <w:sz w:val="22"/>
        <w:szCs w:val="22"/>
        <w:u w:val="single"/>
      </w:rPr>
      <w:t xml:space="preserve"> </w:t>
    </w:r>
    <w:r>
      <w:rPr>
        <w:rFonts w:ascii="Bookman Old Style" w:hAnsi="Bookman Old Style" w:cs="Arial"/>
        <w:b w:val="0"/>
        <w:sz w:val="22"/>
        <w:szCs w:val="22"/>
        <w:u w:val="single"/>
      </w:rPr>
      <w:t>H</w:t>
    </w:r>
    <w:r w:rsidRPr="00654384">
      <w:rPr>
        <w:rFonts w:ascii="Bookman Old Style" w:hAnsi="Bookman Old Style" w:cs="Arial"/>
        <w:b w:val="0"/>
        <w:sz w:val="22"/>
        <w:szCs w:val="22"/>
      </w:rPr>
      <w:t xml:space="preserve">OJA No. </w:t>
    </w:r>
    <w:r w:rsidR="00ED3FC6"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ED3FC6" w:rsidRPr="00654384">
      <w:rPr>
        <w:rFonts w:ascii="Bookman Old Style" w:hAnsi="Bookman Old Style" w:cs="Arial"/>
        <w:b w:val="0"/>
        <w:sz w:val="22"/>
        <w:szCs w:val="22"/>
      </w:rPr>
      <w:fldChar w:fldCharType="separate"/>
    </w:r>
    <w:r w:rsidR="00FB283B">
      <w:rPr>
        <w:rFonts w:ascii="Bookman Old Style" w:hAnsi="Bookman Old Style" w:cs="Arial"/>
        <w:b w:val="0"/>
        <w:noProof/>
        <w:sz w:val="22"/>
        <w:szCs w:val="22"/>
      </w:rPr>
      <w:t>6</w:t>
    </w:r>
    <w:r w:rsidR="00ED3FC6"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D7A3E">
      <w:fldChar w:fldCharType="begin"/>
    </w:r>
    <w:r w:rsidR="006D7A3E">
      <w:instrText>NUMPAGES  \* MERGEFORMAT</w:instrText>
    </w:r>
    <w:r w:rsidR="006D7A3E">
      <w:fldChar w:fldCharType="separate"/>
    </w:r>
    <w:r w:rsidR="00FB283B" w:rsidRPr="00FB283B">
      <w:rPr>
        <w:rFonts w:ascii="Bookman Old Style" w:hAnsi="Bookman Old Style" w:cs="Arial"/>
        <w:b w:val="0"/>
        <w:noProof/>
        <w:sz w:val="22"/>
        <w:szCs w:val="22"/>
      </w:rPr>
      <w:t>7</w:t>
    </w:r>
    <w:r w:rsidR="006D7A3E">
      <w:rPr>
        <w:rFonts w:ascii="Bookman Old Style" w:hAnsi="Bookman Old Style" w:cs="Arial"/>
        <w:b w:val="0"/>
        <w:noProof/>
        <w:sz w:val="22"/>
        <w:szCs w:val="22"/>
      </w:rPr>
      <w:fldChar w:fldCharType="end"/>
    </w:r>
  </w:p>
  <w:p w14:paraId="216EADE2" w14:textId="7972B3BD" w:rsidR="00F42613" w:rsidRDefault="00D26361" w:rsidP="00F42613">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216EADE8" wp14:editId="09180489">
              <wp:simplePos x="0" y="0"/>
              <wp:positionH relativeFrom="column">
                <wp:posOffset>-175260</wp:posOffset>
              </wp:positionH>
              <wp:positionV relativeFrom="paragraph">
                <wp:posOffset>139065</wp:posOffset>
              </wp:positionV>
              <wp:extent cx="6267450" cy="9900920"/>
              <wp:effectExtent l="0" t="0" r="0" b="50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9FDB7"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216EADE3" w14:textId="779BF033" w:rsidR="00F42613" w:rsidRDefault="00F42613" w:rsidP="00495E84">
    <w:pPr>
      <w:spacing w:before="120"/>
      <w:ind w:left="0"/>
      <w:jc w:val="both"/>
      <w:rPr>
        <w:rFonts w:ascii="Bookman Old Style" w:hAnsi="Bookman Old Style" w:cs="Arial"/>
      </w:rPr>
    </w:pPr>
    <w:r>
      <w:rPr>
        <w:rFonts w:ascii="Bookman Old Style" w:hAnsi="Bookman Old Style" w:cs="Arial"/>
      </w:rPr>
      <w:t xml:space="preserve">Por la cual se decide </w:t>
    </w:r>
    <w:r w:rsidRPr="005B755A">
      <w:rPr>
        <w:rFonts w:ascii="Bookman Old Style" w:hAnsi="Bookman Old Style" w:cs="Arial"/>
        <w:lang w:val="es-CO"/>
      </w:rPr>
      <w:t xml:space="preserve">la actuación administrativa </w:t>
    </w:r>
    <w:r>
      <w:rPr>
        <w:rFonts w:ascii="Bookman Old Style" w:hAnsi="Bookman Old Style" w:cs="Arial"/>
        <w:lang w:val="es-CO"/>
      </w:rPr>
      <w:t xml:space="preserve">iniciada </w:t>
    </w:r>
    <w:r w:rsidRPr="005B755A">
      <w:rPr>
        <w:rFonts w:ascii="Bookman Old Style" w:hAnsi="Bookman Old Style" w:cs="Arial"/>
        <w:lang w:val="es-CO"/>
      </w:rPr>
      <w:t>por la pres</w:t>
    </w:r>
    <w:r>
      <w:rPr>
        <w:rFonts w:ascii="Bookman Old Style" w:hAnsi="Bookman Old Style" w:cs="Arial"/>
        <w:lang w:val="es-CO"/>
      </w:rPr>
      <w:t>u</w:t>
    </w:r>
    <w:r w:rsidRPr="005B755A">
      <w:rPr>
        <w:rFonts w:ascii="Bookman Old Style" w:hAnsi="Bookman Old Style" w:cs="Arial"/>
        <w:lang w:val="es-CO"/>
      </w:rPr>
      <w:t>nta existencia de discrepancias en valor</w:t>
    </w:r>
    <w:r>
      <w:rPr>
        <w:rFonts w:ascii="Bookman Old Style" w:hAnsi="Bookman Old Style" w:cs="Arial"/>
        <w:lang w:val="es-CO"/>
      </w:rPr>
      <w:t>es</w:t>
    </w:r>
    <w:r w:rsidRPr="005B755A">
      <w:rPr>
        <w:rFonts w:ascii="Bookman Old Style" w:hAnsi="Bookman Old Style" w:cs="Arial"/>
        <w:lang w:val="es-CO"/>
      </w:rPr>
      <w:t xml:space="preserve"> reportado</w:t>
    </w:r>
    <w:r>
      <w:rPr>
        <w:rFonts w:ascii="Bookman Old Style" w:hAnsi="Bookman Old Style" w:cs="Arial"/>
        <w:lang w:val="es-CO"/>
      </w:rPr>
      <w:t>s</w:t>
    </w:r>
    <w:r w:rsidRPr="005B755A">
      <w:rPr>
        <w:rFonts w:ascii="Bookman Old Style" w:hAnsi="Bookman Old Style" w:cs="Arial"/>
        <w:lang w:val="es-CO"/>
      </w:rPr>
      <w:t xml:space="preserve"> por</w:t>
    </w:r>
    <w:r>
      <w:rPr>
        <w:rFonts w:ascii="Bookman Old Style" w:hAnsi="Bookman Old Style" w:cs="Arial"/>
        <w:lang w:val="es-CO"/>
      </w:rPr>
      <w:t xml:space="preserve"> HIDRALPOR S.A.</w:t>
    </w:r>
    <w:r w:rsidR="00E672F9">
      <w:rPr>
        <w:rFonts w:ascii="Bookman Old Style" w:hAnsi="Bookman Old Style" w:cs="Arial"/>
        <w:lang w:val="es-CO"/>
      </w:rPr>
      <w:t>S.</w:t>
    </w:r>
    <w:r>
      <w:rPr>
        <w:rFonts w:ascii="Bookman Old Style" w:hAnsi="Bookman Old Style" w:cs="Arial"/>
        <w:lang w:val="es-CO"/>
      </w:rPr>
      <w:t xml:space="preserve"> E.S.P., </w:t>
    </w:r>
    <w:r w:rsidR="00E672F9" w:rsidRPr="00BC133E">
      <w:rPr>
        <w:rFonts w:ascii="Bookman Old Style" w:hAnsi="Bookman Old Style" w:cs="Arial"/>
      </w:rPr>
      <w:t xml:space="preserve">Planta </w:t>
    </w:r>
    <w:r w:rsidR="00E672F9">
      <w:rPr>
        <w:rFonts w:ascii="Bookman Old Style" w:hAnsi="Bookman Old Style" w:cs="Arial"/>
      </w:rPr>
      <w:t>Carlos Lleras Restrepo</w:t>
    </w:r>
    <w:r>
      <w:rPr>
        <w:rFonts w:ascii="Bookman Old Style" w:hAnsi="Bookman Old Style" w:cs="Arial"/>
      </w:rPr>
      <w:t>.</w:t>
    </w:r>
  </w:p>
  <w:p w14:paraId="216EADE4" w14:textId="2DAC0E53" w:rsidR="00F42613" w:rsidRPr="005B755A" w:rsidRDefault="00F42613" w:rsidP="00495E84">
    <w:pPr>
      <w:spacing w:after="120"/>
      <w:ind w:left="0"/>
      <w:jc w:val="both"/>
      <w:rPr>
        <w:rFonts w:ascii="Bookman Old Style" w:hAnsi="Bookman Old Style" w:cs="Arial"/>
        <w:lang w:val="es-CO"/>
      </w:rPr>
    </w:pPr>
    <w:r>
      <w:rPr>
        <w:rFonts w:ascii="Bookman Old Style" w:hAnsi="Bookman Old Style" w:cs="Arial"/>
        <w:lang w:val="es-CO"/>
      </w:rPr>
      <w:t>_______________________________________________________________________</w:t>
    </w:r>
    <w:r w:rsidR="00495E84">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ADE5" w14:textId="77777777" w:rsidR="00F42613" w:rsidRDefault="00F42613" w:rsidP="00F42613">
    <w:pPr>
      <w:pStyle w:val="Encabezado"/>
      <w:jc w:val="both"/>
      <w:rPr>
        <w:rFonts w:ascii="Arial" w:hAnsi="Arial" w:cs="Arial"/>
        <w:spacing w:val="20"/>
        <w:sz w:val="20"/>
      </w:rPr>
    </w:pPr>
    <w:r>
      <w:rPr>
        <w:rFonts w:ascii="Arial" w:hAnsi="Arial" w:cs="Arial"/>
        <w:spacing w:val="20"/>
        <w:sz w:val="20"/>
      </w:rPr>
      <w:t xml:space="preserve">                                   República de Colombia</w:t>
    </w:r>
  </w:p>
  <w:p w14:paraId="216EADE6" w14:textId="77777777" w:rsidR="00F42613" w:rsidRDefault="00F42613">
    <w:pPr>
      <w:pStyle w:val="Encabezado"/>
      <w:jc w:val="center"/>
      <w:rPr>
        <w:rFonts w:ascii="Arial" w:hAnsi="Arial" w:cs="Arial"/>
        <w:spacing w:val="20"/>
        <w:sz w:val="20"/>
      </w:rPr>
    </w:pPr>
  </w:p>
  <w:p w14:paraId="216EADE7" w14:textId="2F15BBA9" w:rsidR="00F42613" w:rsidRDefault="00D26361" w:rsidP="00F4261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16EADE9" wp14:editId="12C51DD2">
              <wp:simplePos x="0" y="0"/>
              <wp:positionH relativeFrom="column">
                <wp:posOffset>-213360</wp:posOffset>
              </wp:positionH>
              <wp:positionV relativeFrom="paragraph">
                <wp:posOffset>377190</wp:posOffset>
              </wp:positionV>
              <wp:extent cx="6343650" cy="9839325"/>
              <wp:effectExtent l="0" t="0" r="0" b="952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4E6E3"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461844"/>
    <w:multiLevelType w:val="hybridMultilevel"/>
    <w:tmpl w:val="79E25E06"/>
    <w:lvl w:ilvl="0" w:tplc="83444F5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DB022A6"/>
    <w:multiLevelType w:val="hybridMultilevel"/>
    <w:tmpl w:val="00EE171C"/>
    <w:lvl w:ilvl="0" w:tplc="00C26B84">
      <w:start w:val="1"/>
      <w:numFmt w:val="decimal"/>
      <w:lvlText w:val="%1)"/>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62248C">
      <w:start w:val="1"/>
      <w:numFmt w:val="lowerLetter"/>
      <w:lvlText w:val="%2"/>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30FF46">
      <w:start w:val="1"/>
      <w:numFmt w:val="lowerRoman"/>
      <w:lvlText w:val="%3"/>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A4004">
      <w:start w:val="1"/>
      <w:numFmt w:val="decimal"/>
      <w:lvlText w:val="%4"/>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E6F66">
      <w:start w:val="1"/>
      <w:numFmt w:val="lowerLetter"/>
      <w:lvlText w:val="%5"/>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D6F340">
      <w:start w:val="1"/>
      <w:numFmt w:val="lowerRoman"/>
      <w:lvlText w:val="%6"/>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58CE74">
      <w:start w:val="1"/>
      <w:numFmt w:val="decimal"/>
      <w:lvlText w:val="%7"/>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EABEA">
      <w:start w:val="1"/>
      <w:numFmt w:val="lowerLetter"/>
      <w:lvlText w:val="%8"/>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E830D0">
      <w:start w:val="1"/>
      <w:numFmt w:val="lowerRoman"/>
      <w:lvlText w:val="%9"/>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960F9F"/>
    <w:multiLevelType w:val="hybridMultilevel"/>
    <w:tmpl w:val="E5DA69EE"/>
    <w:lvl w:ilvl="0" w:tplc="4364DE62">
      <w:start w:val="1"/>
      <w:numFmt w:val="decimal"/>
      <w:lvlText w:val="%1)"/>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30E042">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009D42">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6800F0">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801B4">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E011D0">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10F2A6">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C278E6">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7CCEE0">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0C56E3"/>
    <w:multiLevelType w:val="hybridMultilevel"/>
    <w:tmpl w:val="4362759A"/>
    <w:lvl w:ilvl="0" w:tplc="BDA88142">
      <w:start w:val="1"/>
      <w:numFmt w:val="upperRoman"/>
      <w:lvlText w:val="%1."/>
      <w:lvlJc w:val="left"/>
      <w:pPr>
        <w:ind w:left="4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B407B1C">
      <w:start w:val="1"/>
      <w:numFmt w:val="decimal"/>
      <w:lvlText w:val="%2."/>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369592">
      <w:start w:val="1"/>
      <w:numFmt w:val="decimal"/>
      <w:lvlText w:val="%3)"/>
      <w:lvlJc w:val="left"/>
      <w:pPr>
        <w:ind w:left="1452"/>
      </w:pPr>
      <w:rPr>
        <w:rFonts w:ascii="Bookman Old Style" w:eastAsia="Arial" w:hAnsi="Bookman Old Style" w:cs="Arial" w:hint="default"/>
        <w:b w:val="0"/>
        <w:i w:val="0"/>
        <w:strike w:val="0"/>
        <w:dstrike w:val="0"/>
        <w:color w:val="000000"/>
        <w:sz w:val="22"/>
        <w:szCs w:val="22"/>
        <w:u w:val="none" w:color="000000"/>
        <w:bdr w:val="none" w:sz="0" w:space="0" w:color="auto"/>
        <w:shd w:val="clear" w:color="auto" w:fill="auto"/>
        <w:vertAlign w:val="baseline"/>
      </w:rPr>
    </w:lvl>
    <w:lvl w:ilvl="3" w:tplc="EAE6064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C325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B65A7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2C6BA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A48A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0A909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440EC3"/>
    <w:multiLevelType w:val="hybridMultilevel"/>
    <w:tmpl w:val="05920F0C"/>
    <w:lvl w:ilvl="0" w:tplc="997837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CE7B6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B0366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92B7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C8EF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E63CB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9649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84DE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C090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2283736"/>
    <w:multiLevelType w:val="hybridMultilevel"/>
    <w:tmpl w:val="4B1CE85E"/>
    <w:lvl w:ilvl="0" w:tplc="25BAA956">
      <w:start w:val="1"/>
      <w:numFmt w:val="upperRoman"/>
      <w:lvlText w:val="%1."/>
      <w:lvlJc w:val="left"/>
      <w:pPr>
        <w:ind w:left="4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C1624FC">
      <w:start w:val="1"/>
      <w:numFmt w:val="upperLetter"/>
      <w:lvlText w:val="%2."/>
      <w:lvlJc w:val="left"/>
      <w:pPr>
        <w:ind w:left="1077" w:hanging="360"/>
      </w:pPr>
      <w:rPr>
        <w:b/>
        <w:bCs/>
        <w:lang w:val="es-CO"/>
      </w:rPr>
    </w:lvl>
    <w:lvl w:ilvl="2" w:tplc="46ACCA46">
      <w:start w:val="1"/>
      <w:numFmt w:val="lowerRoman"/>
      <w:lvlText w:val="%3"/>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E255A2">
      <w:start w:val="1"/>
      <w:numFmt w:val="decimal"/>
      <w:lvlText w:val="%4"/>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4E0734">
      <w:start w:val="1"/>
      <w:numFmt w:val="lowerLetter"/>
      <w:lvlText w:val="%5"/>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5A08FA">
      <w:start w:val="1"/>
      <w:numFmt w:val="lowerRoman"/>
      <w:lvlText w:val="%6"/>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6A397E">
      <w:start w:val="1"/>
      <w:numFmt w:val="decimal"/>
      <w:lvlText w:val="%7"/>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69CA2">
      <w:start w:val="1"/>
      <w:numFmt w:val="lowerLetter"/>
      <w:lvlText w:val="%8"/>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B82ABE">
      <w:start w:val="1"/>
      <w:numFmt w:val="lowerRoman"/>
      <w:lvlText w:val="%9"/>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142C24"/>
    <w:multiLevelType w:val="hybridMultilevel"/>
    <w:tmpl w:val="388828CE"/>
    <w:lvl w:ilvl="0" w:tplc="C7EE6A8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D8E5A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A01EA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462A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828F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62E5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0AFF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3CAE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AA77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40161119">
    <w:abstractNumId w:val="0"/>
  </w:num>
  <w:num w:numId="2" w16cid:durableId="473564891">
    <w:abstractNumId w:val="6"/>
  </w:num>
  <w:num w:numId="3" w16cid:durableId="1916471135">
    <w:abstractNumId w:val="2"/>
  </w:num>
  <w:num w:numId="4" w16cid:durableId="46298397">
    <w:abstractNumId w:val="5"/>
  </w:num>
  <w:num w:numId="5" w16cid:durableId="411895052">
    <w:abstractNumId w:val="7"/>
  </w:num>
  <w:num w:numId="6" w16cid:durableId="975112259">
    <w:abstractNumId w:val="4"/>
  </w:num>
  <w:num w:numId="7" w16cid:durableId="1123156784">
    <w:abstractNumId w:val="3"/>
  </w:num>
  <w:num w:numId="8" w16cid:durableId="99845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9"/>
    <w:rsid w:val="00010D43"/>
    <w:rsid w:val="00012528"/>
    <w:rsid w:val="00014FD0"/>
    <w:rsid w:val="000209FA"/>
    <w:rsid w:val="00034730"/>
    <w:rsid w:val="00034F6B"/>
    <w:rsid w:val="00042B90"/>
    <w:rsid w:val="00045BB3"/>
    <w:rsid w:val="000524F1"/>
    <w:rsid w:val="0006758C"/>
    <w:rsid w:val="000B4E1F"/>
    <w:rsid w:val="000D0D82"/>
    <w:rsid w:val="000E6EC8"/>
    <w:rsid w:val="00104249"/>
    <w:rsid w:val="00110519"/>
    <w:rsid w:val="001166D9"/>
    <w:rsid w:val="001172C2"/>
    <w:rsid w:val="001172E6"/>
    <w:rsid w:val="00123BBF"/>
    <w:rsid w:val="00126077"/>
    <w:rsid w:val="00133131"/>
    <w:rsid w:val="0013644D"/>
    <w:rsid w:val="001511D2"/>
    <w:rsid w:val="00166F20"/>
    <w:rsid w:val="00181BF8"/>
    <w:rsid w:val="001C03C8"/>
    <w:rsid w:val="001D0D4A"/>
    <w:rsid w:val="001D5111"/>
    <w:rsid w:val="001D6D35"/>
    <w:rsid w:val="001E02F7"/>
    <w:rsid w:val="001F17F7"/>
    <w:rsid w:val="00207225"/>
    <w:rsid w:val="00211C73"/>
    <w:rsid w:val="00213817"/>
    <w:rsid w:val="0021387E"/>
    <w:rsid w:val="002251E1"/>
    <w:rsid w:val="0023493E"/>
    <w:rsid w:val="00250313"/>
    <w:rsid w:val="00262135"/>
    <w:rsid w:val="00262F8F"/>
    <w:rsid w:val="002744D7"/>
    <w:rsid w:val="002B00FF"/>
    <w:rsid w:val="002D06F6"/>
    <w:rsid w:val="002D295C"/>
    <w:rsid w:val="002E6799"/>
    <w:rsid w:val="003033A4"/>
    <w:rsid w:val="00312201"/>
    <w:rsid w:val="00314DB4"/>
    <w:rsid w:val="003229EC"/>
    <w:rsid w:val="003305F8"/>
    <w:rsid w:val="00371DC3"/>
    <w:rsid w:val="003817C3"/>
    <w:rsid w:val="00393F95"/>
    <w:rsid w:val="003B10CF"/>
    <w:rsid w:val="003B76D2"/>
    <w:rsid w:val="003E35C1"/>
    <w:rsid w:val="003F0A7D"/>
    <w:rsid w:val="004109E5"/>
    <w:rsid w:val="0041241E"/>
    <w:rsid w:val="004207A7"/>
    <w:rsid w:val="00422E17"/>
    <w:rsid w:val="004325FA"/>
    <w:rsid w:val="004458D3"/>
    <w:rsid w:val="00445D1E"/>
    <w:rsid w:val="004518E4"/>
    <w:rsid w:val="00455746"/>
    <w:rsid w:val="004700B2"/>
    <w:rsid w:val="00495E84"/>
    <w:rsid w:val="004A28C7"/>
    <w:rsid w:val="004B113A"/>
    <w:rsid w:val="004B5FDB"/>
    <w:rsid w:val="004C06A8"/>
    <w:rsid w:val="004C6EB6"/>
    <w:rsid w:val="004D27E4"/>
    <w:rsid w:val="004F6A40"/>
    <w:rsid w:val="0050784F"/>
    <w:rsid w:val="00515FBD"/>
    <w:rsid w:val="00522F79"/>
    <w:rsid w:val="00536228"/>
    <w:rsid w:val="00540E0D"/>
    <w:rsid w:val="005418C5"/>
    <w:rsid w:val="00544564"/>
    <w:rsid w:val="005474CE"/>
    <w:rsid w:val="005525A5"/>
    <w:rsid w:val="00554A24"/>
    <w:rsid w:val="00567A8E"/>
    <w:rsid w:val="0057733D"/>
    <w:rsid w:val="00590BFD"/>
    <w:rsid w:val="005974D7"/>
    <w:rsid w:val="005A233B"/>
    <w:rsid w:val="005A5383"/>
    <w:rsid w:val="005B3598"/>
    <w:rsid w:val="005B3966"/>
    <w:rsid w:val="005B5412"/>
    <w:rsid w:val="005B6D64"/>
    <w:rsid w:val="005D074F"/>
    <w:rsid w:val="005D44DB"/>
    <w:rsid w:val="005D6502"/>
    <w:rsid w:val="005E17D2"/>
    <w:rsid w:val="00610732"/>
    <w:rsid w:val="006163B7"/>
    <w:rsid w:val="00616CB6"/>
    <w:rsid w:val="00626E8C"/>
    <w:rsid w:val="00630E97"/>
    <w:rsid w:val="0066150D"/>
    <w:rsid w:val="006637C3"/>
    <w:rsid w:val="00697A64"/>
    <w:rsid w:val="006A0C46"/>
    <w:rsid w:val="006A4619"/>
    <w:rsid w:val="006B5A10"/>
    <w:rsid w:val="006C147A"/>
    <w:rsid w:val="006C6660"/>
    <w:rsid w:val="006D6890"/>
    <w:rsid w:val="006D7A3E"/>
    <w:rsid w:val="006F4909"/>
    <w:rsid w:val="006F5CA6"/>
    <w:rsid w:val="006F617B"/>
    <w:rsid w:val="00703F66"/>
    <w:rsid w:val="007535CB"/>
    <w:rsid w:val="00763D37"/>
    <w:rsid w:val="00792FCA"/>
    <w:rsid w:val="007A29DE"/>
    <w:rsid w:val="007C73FE"/>
    <w:rsid w:val="007E65AD"/>
    <w:rsid w:val="00817F86"/>
    <w:rsid w:val="00837C24"/>
    <w:rsid w:val="00843F1B"/>
    <w:rsid w:val="00851131"/>
    <w:rsid w:val="0085686C"/>
    <w:rsid w:val="008705C2"/>
    <w:rsid w:val="008855D4"/>
    <w:rsid w:val="0088677B"/>
    <w:rsid w:val="00891984"/>
    <w:rsid w:val="008A5AA7"/>
    <w:rsid w:val="008B0626"/>
    <w:rsid w:val="008B6F59"/>
    <w:rsid w:val="008C15C4"/>
    <w:rsid w:val="008C5A59"/>
    <w:rsid w:val="008E7F21"/>
    <w:rsid w:val="008F21F6"/>
    <w:rsid w:val="009031BE"/>
    <w:rsid w:val="00921279"/>
    <w:rsid w:val="009321BC"/>
    <w:rsid w:val="00942FE9"/>
    <w:rsid w:val="00944741"/>
    <w:rsid w:val="00946C1B"/>
    <w:rsid w:val="009570E4"/>
    <w:rsid w:val="0095743F"/>
    <w:rsid w:val="00957CB3"/>
    <w:rsid w:val="00962823"/>
    <w:rsid w:val="009678EB"/>
    <w:rsid w:val="009776A9"/>
    <w:rsid w:val="00985141"/>
    <w:rsid w:val="00992D25"/>
    <w:rsid w:val="009A1537"/>
    <w:rsid w:val="009B111C"/>
    <w:rsid w:val="009B1195"/>
    <w:rsid w:val="009C34DE"/>
    <w:rsid w:val="009C724C"/>
    <w:rsid w:val="009D0EA7"/>
    <w:rsid w:val="009D2174"/>
    <w:rsid w:val="009D6941"/>
    <w:rsid w:val="009E6A3E"/>
    <w:rsid w:val="009F5EFE"/>
    <w:rsid w:val="009F5FE9"/>
    <w:rsid w:val="00A15596"/>
    <w:rsid w:val="00A279C6"/>
    <w:rsid w:val="00A335B4"/>
    <w:rsid w:val="00A426F8"/>
    <w:rsid w:val="00A447D9"/>
    <w:rsid w:val="00A52C00"/>
    <w:rsid w:val="00A571EC"/>
    <w:rsid w:val="00A650FB"/>
    <w:rsid w:val="00A7483C"/>
    <w:rsid w:val="00A74D7F"/>
    <w:rsid w:val="00A942BA"/>
    <w:rsid w:val="00AB1727"/>
    <w:rsid w:val="00AD6EDA"/>
    <w:rsid w:val="00B00D06"/>
    <w:rsid w:val="00B00E1E"/>
    <w:rsid w:val="00B02F90"/>
    <w:rsid w:val="00B11AF3"/>
    <w:rsid w:val="00B127F6"/>
    <w:rsid w:val="00B345AA"/>
    <w:rsid w:val="00B36822"/>
    <w:rsid w:val="00B4286A"/>
    <w:rsid w:val="00B461CF"/>
    <w:rsid w:val="00B52CB5"/>
    <w:rsid w:val="00B5363E"/>
    <w:rsid w:val="00B575AF"/>
    <w:rsid w:val="00B82D57"/>
    <w:rsid w:val="00B8719A"/>
    <w:rsid w:val="00B905AD"/>
    <w:rsid w:val="00BC508F"/>
    <w:rsid w:val="00BD1B78"/>
    <w:rsid w:val="00BD588B"/>
    <w:rsid w:val="00BD6F6B"/>
    <w:rsid w:val="00BE34F3"/>
    <w:rsid w:val="00BF1E6E"/>
    <w:rsid w:val="00C3356D"/>
    <w:rsid w:val="00C354DC"/>
    <w:rsid w:val="00C519D5"/>
    <w:rsid w:val="00C5270B"/>
    <w:rsid w:val="00C66AF3"/>
    <w:rsid w:val="00C721CA"/>
    <w:rsid w:val="00C72E91"/>
    <w:rsid w:val="00C80CF1"/>
    <w:rsid w:val="00C81B95"/>
    <w:rsid w:val="00CA1008"/>
    <w:rsid w:val="00CD1A20"/>
    <w:rsid w:val="00CE0305"/>
    <w:rsid w:val="00CE0B08"/>
    <w:rsid w:val="00CE3854"/>
    <w:rsid w:val="00CF0CD9"/>
    <w:rsid w:val="00D17FB5"/>
    <w:rsid w:val="00D26361"/>
    <w:rsid w:val="00D3767D"/>
    <w:rsid w:val="00D46F1B"/>
    <w:rsid w:val="00D52A5C"/>
    <w:rsid w:val="00D614F2"/>
    <w:rsid w:val="00D664D5"/>
    <w:rsid w:val="00D743A3"/>
    <w:rsid w:val="00D80E6C"/>
    <w:rsid w:val="00DA7FDF"/>
    <w:rsid w:val="00DB1A69"/>
    <w:rsid w:val="00DB3376"/>
    <w:rsid w:val="00DD087B"/>
    <w:rsid w:val="00DD22DB"/>
    <w:rsid w:val="00DE07A5"/>
    <w:rsid w:val="00DE08A0"/>
    <w:rsid w:val="00DF182D"/>
    <w:rsid w:val="00DF4E58"/>
    <w:rsid w:val="00E037AF"/>
    <w:rsid w:val="00E133DB"/>
    <w:rsid w:val="00E20EE7"/>
    <w:rsid w:val="00E42E33"/>
    <w:rsid w:val="00E46612"/>
    <w:rsid w:val="00E46903"/>
    <w:rsid w:val="00E60FF2"/>
    <w:rsid w:val="00E672F9"/>
    <w:rsid w:val="00E725D7"/>
    <w:rsid w:val="00E80E8F"/>
    <w:rsid w:val="00E81A01"/>
    <w:rsid w:val="00E846DF"/>
    <w:rsid w:val="00E92E6B"/>
    <w:rsid w:val="00E940D2"/>
    <w:rsid w:val="00E9538C"/>
    <w:rsid w:val="00EC7D9D"/>
    <w:rsid w:val="00ED1059"/>
    <w:rsid w:val="00ED3627"/>
    <w:rsid w:val="00ED3FC6"/>
    <w:rsid w:val="00ED63B8"/>
    <w:rsid w:val="00EE31A6"/>
    <w:rsid w:val="00EE4347"/>
    <w:rsid w:val="00F03B72"/>
    <w:rsid w:val="00F04E14"/>
    <w:rsid w:val="00F22213"/>
    <w:rsid w:val="00F232B7"/>
    <w:rsid w:val="00F42613"/>
    <w:rsid w:val="00F42694"/>
    <w:rsid w:val="00F50F5E"/>
    <w:rsid w:val="00F519EC"/>
    <w:rsid w:val="00F536EF"/>
    <w:rsid w:val="00F65531"/>
    <w:rsid w:val="00F80389"/>
    <w:rsid w:val="00F80E9F"/>
    <w:rsid w:val="00F91A5C"/>
    <w:rsid w:val="00FA3815"/>
    <w:rsid w:val="00FA5D63"/>
    <w:rsid w:val="00FA79C6"/>
    <w:rsid w:val="00FB283B"/>
    <w:rsid w:val="00FC1463"/>
    <w:rsid w:val="00FC507E"/>
    <w:rsid w:val="00FD1C9C"/>
    <w:rsid w:val="00FF348F"/>
    <w:rsid w:val="4B04C688"/>
    <w:rsid w:val="7120A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6EAD13"/>
  <w15:docId w15:val="{D7A28CAE-F49A-4DD1-9897-0E40DBFF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A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776A9"/>
    <w:pPr>
      <w:keepNext/>
      <w:jc w:val="center"/>
      <w:outlineLvl w:val="0"/>
    </w:pPr>
    <w:rPr>
      <w:rFonts w:ascii="CG Times" w:hAnsi="CG Times"/>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76A9"/>
    <w:rPr>
      <w:rFonts w:ascii="CG Times" w:eastAsia="Times New Roman" w:hAnsi="CG Times" w:cs="Times New Roman"/>
      <w:b/>
      <w:sz w:val="24"/>
      <w:szCs w:val="20"/>
      <w:lang w:eastAsia="es-ES"/>
    </w:rPr>
  </w:style>
  <w:style w:type="paragraph" w:styleId="Encabezado">
    <w:name w:val="header"/>
    <w:basedOn w:val="Normal"/>
    <w:link w:val="EncabezadoCar"/>
    <w:rsid w:val="009776A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776A9"/>
    <w:rPr>
      <w:rFonts w:ascii="CG Times" w:eastAsia="Times New Roman" w:hAnsi="CG Times" w:cs="Times New Roman"/>
      <w:sz w:val="24"/>
      <w:szCs w:val="20"/>
      <w:lang w:eastAsia="es-ES"/>
    </w:rPr>
  </w:style>
  <w:style w:type="paragraph" w:styleId="Textoindependiente">
    <w:name w:val="Body Text"/>
    <w:basedOn w:val="Normal"/>
    <w:link w:val="TextoindependienteCar"/>
    <w:rsid w:val="009776A9"/>
    <w:pPr>
      <w:jc w:val="center"/>
    </w:pPr>
    <w:rPr>
      <w:rFonts w:ascii="Arial" w:hAnsi="Arial" w:cs="Arial"/>
      <w:b/>
      <w:bCs/>
    </w:rPr>
  </w:style>
  <w:style w:type="character" w:customStyle="1" w:styleId="TextoindependienteCar">
    <w:name w:val="Texto independiente Car"/>
    <w:basedOn w:val="Fuentedeprrafopredeter"/>
    <w:link w:val="Textoindependiente"/>
    <w:rsid w:val="009776A9"/>
    <w:rPr>
      <w:rFonts w:ascii="Arial" w:eastAsia="Times New Roman" w:hAnsi="Arial" w:cs="Arial"/>
      <w:b/>
      <w:bCs/>
      <w:sz w:val="24"/>
      <w:szCs w:val="24"/>
      <w:lang w:val="es-ES" w:eastAsia="es-ES"/>
    </w:rPr>
  </w:style>
  <w:style w:type="table" w:styleId="Tablaconcuadrcula">
    <w:name w:val="Table Grid"/>
    <w:basedOn w:val="Tablanormal"/>
    <w:uiPriority w:val="59"/>
    <w:rsid w:val="009776A9"/>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9776A9"/>
    <w:pPr>
      <w:ind w:left="708"/>
    </w:pPr>
    <w:rPr>
      <w:sz w:val="20"/>
      <w:szCs w:val="20"/>
      <w:lang w:val="es-CO"/>
    </w:rPr>
  </w:style>
  <w:style w:type="character" w:customStyle="1" w:styleId="PrrafodelistaCar">
    <w:name w:val="Párrafo de lista Car"/>
    <w:link w:val="Prrafodelista"/>
    <w:uiPriority w:val="34"/>
    <w:rsid w:val="009776A9"/>
    <w:rPr>
      <w:rFonts w:ascii="Times New Roman" w:eastAsia="Times New Roman" w:hAnsi="Times New Roman" w:cs="Times New Roman"/>
      <w:sz w:val="20"/>
      <w:szCs w:val="20"/>
      <w:lang w:eastAsia="es-ES"/>
    </w:rPr>
  </w:style>
  <w:style w:type="table" w:customStyle="1" w:styleId="TableGrid0">
    <w:name w:val="Table Grid0"/>
    <w:rsid w:val="009776A9"/>
    <w:pPr>
      <w:spacing w:after="0" w:line="240" w:lineRule="auto"/>
    </w:pPr>
    <w:rPr>
      <w:rFonts w:eastAsiaTheme="minorEastAsia"/>
      <w:lang w:eastAsia="es-CO"/>
    </w:rPr>
    <w:tblPr>
      <w:tblCellMar>
        <w:top w:w="0" w:type="dxa"/>
        <w:left w:w="0" w:type="dxa"/>
        <w:bottom w:w="0" w:type="dxa"/>
        <w:right w:w="0" w:type="dxa"/>
      </w:tblCellMar>
    </w:tblPr>
  </w:style>
  <w:style w:type="paragraph" w:styleId="Piedepgina">
    <w:name w:val="footer"/>
    <w:basedOn w:val="Normal"/>
    <w:link w:val="PiedepginaCar"/>
    <w:uiPriority w:val="99"/>
    <w:unhideWhenUsed/>
    <w:rsid w:val="006C6660"/>
    <w:pPr>
      <w:tabs>
        <w:tab w:val="center" w:pos="4419"/>
        <w:tab w:val="right" w:pos="8838"/>
      </w:tabs>
    </w:pPr>
  </w:style>
  <w:style w:type="character" w:customStyle="1" w:styleId="PiedepginaCar">
    <w:name w:val="Pie de página Car"/>
    <w:basedOn w:val="Fuentedeprrafopredeter"/>
    <w:link w:val="Piedepgina"/>
    <w:uiPriority w:val="99"/>
    <w:rsid w:val="006C6660"/>
    <w:rPr>
      <w:rFonts w:ascii="Times New Roman" w:eastAsia="Times New Roman" w:hAnsi="Times New Roman" w:cs="Times New Roman"/>
      <w:sz w:val="24"/>
      <w:szCs w:val="24"/>
      <w:lang w:val="es-ES" w:eastAsia="es-ES"/>
    </w:rPr>
  </w:style>
  <w:style w:type="paragraph" w:styleId="Revisin">
    <w:name w:val="Revision"/>
    <w:hidden/>
    <w:uiPriority w:val="99"/>
    <w:semiHidden/>
    <w:rsid w:val="004700B2"/>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46C1B"/>
    <w:rPr>
      <w:rFonts w:ascii="Tahoma" w:hAnsi="Tahoma" w:cs="Tahoma"/>
      <w:sz w:val="16"/>
      <w:szCs w:val="16"/>
    </w:rPr>
  </w:style>
  <w:style w:type="character" w:customStyle="1" w:styleId="TextodegloboCar">
    <w:name w:val="Texto de globo Car"/>
    <w:basedOn w:val="Fuentedeprrafopredeter"/>
    <w:link w:val="Textodeglobo"/>
    <w:uiPriority w:val="99"/>
    <w:semiHidden/>
    <w:rsid w:val="00946C1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DF4E58"/>
    <w:rPr>
      <w:sz w:val="16"/>
      <w:szCs w:val="16"/>
    </w:rPr>
  </w:style>
  <w:style w:type="paragraph" w:styleId="Textocomentario">
    <w:name w:val="annotation text"/>
    <w:basedOn w:val="Normal"/>
    <w:link w:val="TextocomentarioCar"/>
    <w:uiPriority w:val="99"/>
    <w:unhideWhenUsed/>
    <w:rsid w:val="00DF4E58"/>
    <w:rPr>
      <w:sz w:val="20"/>
      <w:szCs w:val="20"/>
    </w:rPr>
  </w:style>
  <w:style w:type="character" w:customStyle="1" w:styleId="TextocomentarioCar">
    <w:name w:val="Texto comentario Car"/>
    <w:basedOn w:val="Fuentedeprrafopredeter"/>
    <w:link w:val="Textocomentario"/>
    <w:uiPriority w:val="99"/>
    <w:rsid w:val="00DF4E5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F4E58"/>
    <w:rPr>
      <w:b/>
      <w:bCs/>
    </w:rPr>
  </w:style>
  <w:style w:type="character" w:customStyle="1" w:styleId="AsuntodelcomentarioCar">
    <w:name w:val="Asunto del comentario Car"/>
    <w:basedOn w:val="TextocomentarioCar"/>
    <w:link w:val="Asuntodelcomentario"/>
    <w:uiPriority w:val="99"/>
    <w:semiHidden/>
    <w:rsid w:val="00DF4E58"/>
    <w:rPr>
      <w:rFonts w:ascii="Times New Roman" w:eastAsia="Times New Roman" w:hAnsi="Times New Roman" w:cs="Times New Roman"/>
      <w:b/>
      <w:bCs/>
      <w:sz w:val="20"/>
      <w:szCs w:val="20"/>
      <w:lang w:val="es-ES" w:eastAsia="es-ES"/>
    </w:rPr>
  </w:style>
  <w:style w:type="character" w:styleId="Mencionar">
    <w:name w:val="Mention"/>
    <w:basedOn w:val="Fuentedeprrafopredeter"/>
    <w:uiPriority w:val="99"/>
    <w:unhideWhenUsed/>
    <w:rsid w:val="001C03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6159-5780-433B-9F24-5AB044B1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2953</Words>
  <Characters>16244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Nohora</dc:creator>
  <cp:lastModifiedBy>Luz Stella Rojas Macias</cp:lastModifiedBy>
  <cp:revision>3</cp:revision>
  <cp:lastPrinted>2022-04-05T14:26:00Z</cp:lastPrinted>
  <dcterms:created xsi:type="dcterms:W3CDTF">2022-04-11T17:35:00Z</dcterms:created>
  <dcterms:modified xsi:type="dcterms:W3CDTF">2022-04-20T16:57:00Z</dcterms:modified>
</cp:coreProperties>
</file>