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F9C7" w14:textId="77777777" w:rsidR="0079088F" w:rsidRDefault="002027A1" w:rsidP="0079088F">
      <w:pPr>
        <w:ind w:left="2124" w:firstLine="708"/>
        <w:rPr>
          <w:rFonts w:ascii="Bookman Old Style" w:hAnsi="Bookman Old Style"/>
        </w:rPr>
      </w:pPr>
      <w:r>
        <w:rPr>
          <w:rFonts w:ascii="Bookman Old Style" w:hAnsi="Bookman Old Style"/>
          <w:noProof/>
        </w:rPr>
        <w:object w:dxaOrig="1440" w:dyaOrig="1440" w14:anchorId="1B6A2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07.35pt;margin-top:-48.85pt;width:52.55pt;height:48.8pt;z-index:251658240" fillcolor="#0c9">
            <v:imagedata r:id="rId11" o:title=""/>
          </v:shape>
          <o:OLEObject Type="Embed" ProgID="PBrush" ShapeID="_x0000_s2054" DrawAspect="Content" ObjectID="_1710318283" r:id="rId12"/>
        </w:object>
      </w:r>
      <w:r w:rsidR="0079088F">
        <w:rPr>
          <w:rFonts w:ascii="Bookman Old Style" w:hAnsi="Bookman Old Style"/>
        </w:rPr>
        <w:t>M</w:t>
      </w:r>
      <w:r w:rsidR="0079088F" w:rsidRPr="00B103F1">
        <w:rPr>
          <w:rFonts w:ascii="Bookman Old Style" w:hAnsi="Bookman Old Style"/>
        </w:rPr>
        <w:t>inisterio de Minas y Energía</w:t>
      </w:r>
    </w:p>
    <w:p w14:paraId="35131478" w14:textId="77777777" w:rsidR="0079088F" w:rsidRDefault="0079088F" w:rsidP="0079088F">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38051CE1" w14:textId="77777777" w:rsidR="0079088F" w:rsidRPr="00427C0A" w:rsidRDefault="0079088F" w:rsidP="0079088F">
      <w:pPr>
        <w:widowControl w:val="0"/>
        <w:ind w:left="0"/>
        <w:jc w:val="center"/>
        <w:rPr>
          <w:rFonts w:ascii="Bookman Old Style" w:hAnsi="Bookman Old Style"/>
          <w:b/>
        </w:rPr>
      </w:pPr>
      <w:r w:rsidRPr="00427C0A">
        <w:rPr>
          <w:rFonts w:ascii="Bookman Old Style" w:hAnsi="Bookman Old Style"/>
          <w:b/>
        </w:rPr>
        <w:t>COMISIÓN DE REGULACIÓN DE ENERGÍA Y GAS</w:t>
      </w:r>
    </w:p>
    <w:p w14:paraId="3731C30C" w14:textId="77777777" w:rsidR="0079088F" w:rsidRPr="00427C0A" w:rsidRDefault="0079088F" w:rsidP="0079088F">
      <w:pPr>
        <w:widowControl w:val="0"/>
        <w:rPr>
          <w:rFonts w:ascii="Bookman Old Style" w:hAnsi="Bookman Old Style"/>
        </w:rPr>
      </w:pPr>
    </w:p>
    <w:p w14:paraId="0B147F00" w14:textId="6A74B9AA" w:rsidR="0079088F" w:rsidRPr="00427C0A" w:rsidRDefault="0079088F" w:rsidP="0079088F">
      <w:pPr>
        <w:widowControl w:val="0"/>
        <w:ind w:left="0"/>
        <w:jc w:val="center"/>
        <w:rPr>
          <w:rFonts w:ascii="Bookman Old Style" w:hAnsi="Bookman Old Style"/>
          <w:b/>
        </w:rPr>
      </w:pPr>
      <w:r w:rsidRPr="00427C0A">
        <w:rPr>
          <w:rFonts w:ascii="Bookman Old Style" w:hAnsi="Bookman Old Style"/>
          <w:b/>
        </w:rPr>
        <w:t>RESOLUCIÓN No.</w:t>
      </w:r>
      <w:r w:rsidR="00581E02" w:rsidRPr="00581E02">
        <w:rPr>
          <w:rFonts w:ascii="Bookman Old Style" w:hAnsi="Bookman Old Style"/>
          <w:b/>
          <w:sz w:val="32"/>
          <w:szCs w:val="32"/>
        </w:rPr>
        <w:t>501 011</w:t>
      </w:r>
      <w:r w:rsidR="00045572">
        <w:rPr>
          <w:rFonts w:ascii="Bookman Old Style" w:hAnsi="Bookman Old Style"/>
          <w:b/>
          <w:sz w:val="32"/>
          <w:szCs w:val="32"/>
        </w:rPr>
        <w:t xml:space="preserve"> </w:t>
      </w:r>
      <w:r w:rsidRPr="00427C0A">
        <w:rPr>
          <w:rFonts w:ascii="Bookman Old Style" w:hAnsi="Bookman Old Style"/>
          <w:b/>
        </w:rPr>
        <w:t>DE 2</w:t>
      </w:r>
      <w:r>
        <w:rPr>
          <w:rFonts w:ascii="Bookman Old Style" w:hAnsi="Bookman Old Style"/>
          <w:b/>
        </w:rPr>
        <w:t>02</w:t>
      </w:r>
      <w:r w:rsidR="00CB122E">
        <w:rPr>
          <w:rFonts w:ascii="Bookman Old Style" w:hAnsi="Bookman Old Style"/>
          <w:b/>
        </w:rPr>
        <w:t>2</w:t>
      </w:r>
    </w:p>
    <w:p w14:paraId="2C58DC19" w14:textId="77777777" w:rsidR="0079088F" w:rsidRPr="00B103F1" w:rsidRDefault="0079088F" w:rsidP="0079088F">
      <w:pPr>
        <w:widowControl w:val="0"/>
        <w:ind w:left="0"/>
        <w:jc w:val="center"/>
        <w:rPr>
          <w:rFonts w:ascii="Bookman Old Style" w:hAnsi="Bookman Old Style" w:cs="Arial"/>
          <w:b/>
          <w:snapToGrid w:val="0"/>
          <w:color w:val="000000"/>
          <w:lang w:val="es-ES_tradnl"/>
        </w:rPr>
      </w:pPr>
    </w:p>
    <w:p w14:paraId="68006E4A" w14:textId="373FE650" w:rsidR="0079088F" w:rsidRPr="00427C0A" w:rsidRDefault="00045572" w:rsidP="0079088F">
      <w:pPr>
        <w:widowControl w:val="0"/>
        <w:ind w:left="0"/>
        <w:jc w:val="center"/>
        <w:rPr>
          <w:rFonts w:ascii="Bookman Old Style" w:hAnsi="Bookman Old Style"/>
          <w:b/>
        </w:rPr>
      </w:pPr>
      <w:r w:rsidRPr="00045572">
        <w:rPr>
          <w:rFonts w:ascii="Bookman Old Style" w:hAnsi="Bookman Old Style"/>
          <w:b/>
        </w:rPr>
        <w:t>(</w:t>
      </w:r>
      <w:r>
        <w:rPr>
          <w:rFonts w:ascii="Bookman Old Style" w:hAnsi="Bookman Old Style"/>
          <w:b/>
          <w:sz w:val="32"/>
          <w:szCs w:val="32"/>
        </w:rPr>
        <w:t xml:space="preserve"> </w:t>
      </w:r>
      <w:r w:rsidR="00581E02">
        <w:rPr>
          <w:rFonts w:ascii="Bookman Old Style" w:hAnsi="Bookman Old Style"/>
          <w:b/>
          <w:sz w:val="32"/>
          <w:szCs w:val="32"/>
        </w:rPr>
        <w:t>08 FEB.</w:t>
      </w:r>
      <w:r w:rsidR="00C91D00">
        <w:rPr>
          <w:rFonts w:ascii="Bookman Old Style" w:hAnsi="Bookman Old Style"/>
          <w:b/>
          <w:sz w:val="32"/>
          <w:szCs w:val="32"/>
        </w:rPr>
        <w:t xml:space="preserve"> </w:t>
      </w:r>
      <w:r w:rsidR="0079088F">
        <w:rPr>
          <w:rFonts w:ascii="Bookman Old Style" w:hAnsi="Bookman Old Style"/>
          <w:b/>
          <w:sz w:val="32"/>
          <w:szCs w:val="32"/>
        </w:rPr>
        <w:t>202</w:t>
      </w:r>
      <w:r w:rsidR="00CB122E">
        <w:rPr>
          <w:rFonts w:ascii="Bookman Old Style" w:hAnsi="Bookman Old Style"/>
          <w:b/>
          <w:sz w:val="32"/>
          <w:szCs w:val="32"/>
        </w:rPr>
        <w:t>2</w:t>
      </w:r>
      <w:r>
        <w:rPr>
          <w:rFonts w:ascii="Bookman Old Style" w:hAnsi="Bookman Old Style"/>
          <w:b/>
          <w:sz w:val="32"/>
          <w:szCs w:val="32"/>
        </w:rPr>
        <w:t xml:space="preserve"> </w:t>
      </w:r>
      <w:r w:rsidR="0079088F" w:rsidRPr="00427C0A">
        <w:rPr>
          <w:rFonts w:ascii="Bookman Old Style" w:hAnsi="Bookman Old Style"/>
          <w:b/>
        </w:rPr>
        <w:t>)</w:t>
      </w:r>
    </w:p>
    <w:p w14:paraId="73940A76" w14:textId="77777777" w:rsidR="0079088F" w:rsidRPr="00B103F1" w:rsidRDefault="0079088F" w:rsidP="0079088F">
      <w:pPr>
        <w:widowControl w:val="0"/>
        <w:ind w:left="0"/>
        <w:jc w:val="center"/>
        <w:rPr>
          <w:rFonts w:ascii="Bookman Old Style" w:hAnsi="Bookman Old Style"/>
          <w:lang w:val="es-ES_tradnl"/>
        </w:rPr>
      </w:pPr>
    </w:p>
    <w:p w14:paraId="11623B32" w14:textId="77777777" w:rsidR="0079088F" w:rsidRPr="00B103F1" w:rsidRDefault="0079088F" w:rsidP="0079088F">
      <w:pPr>
        <w:widowControl w:val="0"/>
        <w:ind w:left="0"/>
        <w:jc w:val="center"/>
        <w:rPr>
          <w:rFonts w:ascii="Bookman Old Style" w:hAnsi="Bookman Old Style"/>
          <w:lang w:val="es-ES_tradnl"/>
        </w:rPr>
      </w:pPr>
    </w:p>
    <w:p w14:paraId="76B9A78B" w14:textId="7AE5BD59" w:rsidR="005B755A" w:rsidRPr="005B755A" w:rsidRDefault="005B755A" w:rsidP="00C91D00">
      <w:pPr>
        <w:ind w:left="0"/>
        <w:jc w:val="center"/>
        <w:rPr>
          <w:rFonts w:ascii="Bookman Old Style" w:hAnsi="Bookman Old Style"/>
          <w:lang w:val="es-CO"/>
        </w:rPr>
      </w:pPr>
      <w:r w:rsidRPr="00B037FD">
        <w:rPr>
          <w:rFonts w:ascii="Bookman Old Style" w:hAnsi="Bookman Old Style"/>
        </w:rPr>
        <w:t xml:space="preserve">Por la cual se decide </w:t>
      </w:r>
      <w:r w:rsidRPr="00B037FD">
        <w:rPr>
          <w:rFonts w:ascii="Bookman Old Style" w:hAnsi="Bookman Old Style"/>
          <w:lang w:val="es-CO"/>
        </w:rPr>
        <w:t xml:space="preserve">la actuación administrativa </w:t>
      </w:r>
      <w:r w:rsidR="001A7647" w:rsidRPr="00B037FD">
        <w:rPr>
          <w:rFonts w:ascii="Bookman Old Style" w:hAnsi="Bookman Old Style"/>
          <w:lang w:val="es-CO"/>
        </w:rPr>
        <w:t xml:space="preserve">iniciada </w:t>
      </w:r>
      <w:r w:rsidRPr="00B037FD">
        <w:rPr>
          <w:rFonts w:ascii="Bookman Old Style" w:hAnsi="Bookman Old Style"/>
          <w:lang w:val="es-CO"/>
        </w:rPr>
        <w:t>por la presunta existencia de discrepancias en valor</w:t>
      </w:r>
      <w:r w:rsidR="00D652C9" w:rsidRPr="00B037FD">
        <w:rPr>
          <w:rFonts w:ascii="Bookman Old Style" w:hAnsi="Bookman Old Style"/>
          <w:lang w:val="es-CO"/>
        </w:rPr>
        <w:t>es</w:t>
      </w:r>
      <w:r w:rsidRPr="00B037FD">
        <w:rPr>
          <w:rFonts w:ascii="Bookman Old Style" w:hAnsi="Bookman Old Style"/>
          <w:lang w:val="es-CO"/>
        </w:rPr>
        <w:t xml:space="preserve"> reportado</w:t>
      </w:r>
      <w:r w:rsidR="00D652C9" w:rsidRPr="00B037FD">
        <w:rPr>
          <w:rFonts w:ascii="Bookman Old Style" w:hAnsi="Bookman Old Style"/>
          <w:lang w:val="es-CO"/>
        </w:rPr>
        <w:t>s</w:t>
      </w:r>
      <w:r w:rsidRPr="00B037FD">
        <w:rPr>
          <w:rFonts w:ascii="Bookman Old Style" w:hAnsi="Bookman Old Style"/>
          <w:lang w:val="es-CO"/>
        </w:rPr>
        <w:t xml:space="preserve"> por </w:t>
      </w:r>
      <w:r w:rsidR="00C91D00" w:rsidRPr="00B037FD">
        <w:rPr>
          <w:rFonts w:ascii="Bookman Old Style" w:hAnsi="Bookman Old Style"/>
          <w:lang w:val="es-CO"/>
        </w:rPr>
        <w:t xml:space="preserve">Celsia Colombia </w:t>
      </w:r>
      <w:r w:rsidRPr="00B037FD">
        <w:rPr>
          <w:rFonts w:ascii="Bookman Old Style" w:hAnsi="Bookman Old Style"/>
          <w:lang w:val="es-CO"/>
        </w:rPr>
        <w:t>S</w:t>
      </w:r>
      <w:r w:rsidR="00E72FCD" w:rsidRPr="00B037FD">
        <w:rPr>
          <w:rFonts w:ascii="Bookman Old Style" w:hAnsi="Bookman Old Style"/>
          <w:lang w:val="es-CO"/>
        </w:rPr>
        <w:t>.</w:t>
      </w:r>
      <w:r w:rsidRPr="00B037FD">
        <w:rPr>
          <w:rFonts w:ascii="Bookman Old Style" w:hAnsi="Bookman Old Style"/>
          <w:lang w:val="es-CO"/>
        </w:rPr>
        <w:t>A E</w:t>
      </w:r>
      <w:r w:rsidR="00E72FCD" w:rsidRPr="00B037FD">
        <w:rPr>
          <w:rFonts w:ascii="Bookman Old Style" w:hAnsi="Bookman Old Style"/>
          <w:lang w:val="es-CO"/>
        </w:rPr>
        <w:t>.</w:t>
      </w:r>
      <w:r w:rsidRPr="00B037FD">
        <w:rPr>
          <w:rFonts w:ascii="Bookman Old Style" w:hAnsi="Bookman Old Style"/>
          <w:lang w:val="es-CO"/>
        </w:rPr>
        <w:t>S</w:t>
      </w:r>
      <w:r w:rsidR="00E72FCD" w:rsidRPr="00B037FD">
        <w:rPr>
          <w:rFonts w:ascii="Bookman Old Style" w:hAnsi="Bookman Old Style"/>
          <w:lang w:val="es-CO"/>
        </w:rPr>
        <w:t>.</w:t>
      </w:r>
      <w:r w:rsidRPr="00B037FD">
        <w:rPr>
          <w:rFonts w:ascii="Bookman Old Style" w:hAnsi="Bookman Old Style"/>
          <w:lang w:val="es-CO"/>
        </w:rPr>
        <w:t>P.</w:t>
      </w:r>
      <w:r w:rsidR="00BB289D" w:rsidRPr="00B037FD">
        <w:rPr>
          <w:rFonts w:ascii="Bookman Old Style" w:hAnsi="Bookman Old Style"/>
          <w:lang w:val="es-CO"/>
        </w:rPr>
        <w:t>, planta Bajo Anchicayá</w:t>
      </w:r>
      <w:r w:rsidR="00AE4086">
        <w:rPr>
          <w:rFonts w:ascii="Bookman Old Style" w:hAnsi="Bookman Old Style"/>
          <w:lang w:val="es-CO"/>
        </w:rPr>
        <w:t>. Expediente 2021 - 0044</w:t>
      </w:r>
    </w:p>
    <w:p w14:paraId="2F4D705A" w14:textId="77777777" w:rsidR="0079088F" w:rsidRPr="000B33DF" w:rsidRDefault="0079088F" w:rsidP="00777010">
      <w:pPr>
        <w:ind w:left="0"/>
        <w:rPr>
          <w:rFonts w:ascii="Bookman Old Style" w:hAnsi="Bookman Old Style" w:cs="Arial"/>
          <w:b/>
          <w:bCs/>
          <w:lang w:val="es-CO"/>
        </w:rPr>
      </w:pPr>
    </w:p>
    <w:p w14:paraId="3A97B717" w14:textId="77777777" w:rsidR="0079088F" w:rsidRPr="000B33DF" w:rsidRDefault="0079088F" w:rsidP="0079088F">
      <w:pPr>
        <w:jc w:val="center"/>
        <w:rPr>
          <w:rFonts w:ascii="Bookman Old Style" w:hAnsi="Bookman Old Style" w:cs="Arial"/>
          <w:b/>
          <w:bCs/>
          <w:lang w:val="es-CO"/>
        </w:rPr>
      </w:pPr>
      <w:r w:rsidRPr="000B33DF">
        <w:rPr>
          <w:rFonts w:ascii="Bookman Old Style" w:hAnsi="Bookman Old Style" w:cs="Arial"/>
          <w:b/>
          <w:bCs/>
          <w:lang w:val="es-CO"/>
        </w:rPr>
        <w:t>LA COMISIÓN DE REGULACIÓN DE ENERGÍA Y GAS</w:t>
      </w:r>
    </w:p>
    <w:p w14:paraId="6957C6AB" w14:textId="77777777" w:rsidR="0079088F" w:rsidRPr="000B33DF" w:rsidRDefault="0079088F" w:rsidP="0079088F">
      <w:pPr>
        <w:jc w:val="center"/>
        <w:rPr>
          <w:rFonts w:ascii="Bookman Old Style" w:hAnsi="Bookman Old Style" w:cs="Arial"/>
          <w:b/>
          <w:bCs/>
          <w:lang w:val="es-CO"/>
        </w:rPr>
      </w:pPr>
    </w:p>
    <w:p w14:paraId="676D7BBD" w14:textId="77777777" w:rsidR="0079088F" w:rsidRPr="000B33DF" w:rsidRDefault="0079088F" w:rsidP="0079088F">
      <w:pPr>
        <w:ind w:right="284"/>
        <w:jc w:val="center"/>
        <w:rPr>
          <w:rFonts w:ascii="Bookman Old Style" w:hAnsi="Bookman Old Style" w:cs="Arial"/>
          <w:lang w:val="es-CO"/>
        </w:rPr>
      </w:pPr>
      <w:r w:rsidRPr="000B33DF">
        <w:rPr>
          <w:rFonts w:ascii="Bookman Old Style" w:hAnsi="Bookman Old Style" w:cs="Arial"/>
          <w:lang w:val="es-CO"/>
        </w:rPr>
        <w:t>En ejercicio de sus atribuciones legales, en especial las conferidas por las leyes 142 y 143 de 1994, y los decretos 1524 de 1994 y</w:t>
      </w:r>
      <w:r>
        <w:rPr>
          <w:rFonts w:ascii="Bookman Old Style" w:hAnsi="Bookman Old Style" w:cs="Arial"/>
          <w:lang w:val="es-CO"/>
        </w:rPr>
        <w:t xml:space="preserve"> </w:t>
      </w:r>
      <w:r w:rsidRPr="008E10C2">
        <w:rPr>
          <w:rFonts w:ascii="Bookman Old Style" w:hAnsi="Bookman Old Style" w:cs="Arial"/>
          <w:bCs/>
          <w:spacing w:val="-3"/>
        </w:rPr>
        <w:t>1260 de 2013</w:t>
      </w:r>
      <w:r>
        <w:rPr>
          <w:rFonts w:ascii="Bookman Old Style" w:hAnsi="Bookman Old Style" w:cs="Arial"/>
          <w:bCs/>
          <w:spacing w:val="-3"/>
        </w:rPr>
        <w:t xml:space="preserve"> y</w:t>
      </w:r>
      <w:r w:rsidRPr="000B33DF">
        <w:rPr>
          <w:rFonts w:ascii="Bookman Old Style" w:hAnsi="Bookman Old Style" w:cs="Arial"/>
          <w:lang w:val="es-CO"/>
        </w:rPr>
        <w:t>,</w:t>
      </w:r>
    </w:p>
    <w:p w14:paraId="67A2FE28" w14:textId="77777777" w:rsidR="0079088F" w:rsidRPr="000B33DF" w:rsidRDefault="0079088F" w:rsidP="00176ED4">
      <w:pPr>
        <w:ind w:left="0"/>
        <w:rPr>
          <w:rFonts w:ascii="Bookman Old Style" w:hAnsi="Bookman Old Style" w:cs="Arial"/>
          <w:lang w:val="es-CO"/>
        </w:rPr>
      </w:pPr>
    </w:p>
    <w:p w14:paraId="72FD2902" w14:textId="286D34BD" w:rsidR="0079088F" w:rsidRDefault="0079088F" w:rsidP="0079088F">
      <w:pPr>
        <w:jc w:val="center"/>
        <w:rPr>
          <w:rFonts w:ascii="Bookman Old Style" w:hAnsi="Bookman Old Style" w:cs="Arial"/>
          <w:b/>
          <w:bCs/>
          <w:lang w:val="it-IT"/>
        </w:rPr>
      </w:pPr>
      <w:r w:rsidRPr="000B33DF">
        <w:rPr>
          <w:rFonts w:ascii="Bookman Old Style" w:hAnsi="Bookman Old Style" w:cs="Arial"/>
          <w:b/>
          <w:bCs/>
          <w:lang w:val="it-IT"/>
        </w:rPr>
        <w:t>C O N S I D E R A N D O</w:t>
      </w:r>
      <w:r>
        <w:rPr>
          <w:rFonts w:ascii="Bookman Old Style" w:hAnsi="Bookman Old Style" w:cs="Arial"/>
          <w:b/>
          <w:bCs/>
          <w:lang w:val="it-IT"/>
        </w:rPr>
        <w:t xml:space="preserve">   Q U E</w:t>
      </w:r>
      <w:r w:rsidRPr="000B33DF">
        <w:rPr>
          <w:rFonts w:ascii="Bookman Old Style" w:hAnsi="Bookman Old Style" w:cs="Arial"/>
          <w:b/>
          <w:bCs/>
          <w:lang w:val="it-IT"/>
        </w:rPr>
        <w:t>:</w:t>
      </w:r>
    </w:p>
    <w:p w14:paraId="008D0CE8" w14:textId="207BE3FE" w:rsidR="00BF1320" w:rsidRDefault="00BF1320" w:rsidP="0079088F">
      <w:pPr>
        <w:jc w:val="center"/>
        <w:rPr>
          <w:rFonts w:ascii="Bookman Old Style" w:hAnsi="Bookman Old Style" w:cs="Arial"/>
          <w:b/>
          <w:bCs/>
          <w:lang w:val="it-IT"/>
        </w:rPr>
      </w:pPr>
    </w:p>
    <w:p w14:paraId="2755A8BD" w14:textId="122DD944" w:rsidR="00BF1320" w:rsidRPr="00152705" w:rsidRDefault="00B037FD" w:rsidP="00BF1320">
      <w:pPr>
        <w:ind w:left="0"/>
        <w:jc w:val="both"/>
        <w:rPr>
          <w:rFonts w:ascii="Bookman Old Style" w:hAnsi="Bookman Old Style"/>
          <w:color w:val="1D2228"/>
          <w:shd w:val="clear" w:color="auto" w:fill="FFFFFF"/>
        </w:rPr>
      </w:pPr>
      <w:r>
        <w:rPr>
          <w:rFonts w:ascii="Bookman Old Style" w:hAnsi="Bookman Old Style"/>
          <w:color w:val="1D2228"/>
          <w:shd w:val="clear" w:color="auto" w:fill="FFFFFF"/>
        </w:rPr>
        <w:t>C</w:t>
      </w:r>
      <w:r w:rsidR="00BF1320">
        <w:rPr>
          <w:rFonts w:ascii="Bookman Old Style" w:hAnsi="Bookman Old Style"/>
          <w:color w:val="1D2228"/>
          <w:shd w:val="clear" w:color="auto" w:fill="FFFFFF"/>
        </w:rPr>
        <w:t xml:space="preserve">on </w:t>
      </w:r>
      <w:r w:rsidR="00BF1320" w:rsidRPr="00152705">
        <w:rPr>
          <w:rFonts w:ascii="Bookman Old Style" w:hAnsi="Bookman Old Style"/>
          <w:color w:val="1D2228"/>
          <w:shd w:val="clear" w:color="auto" w:fill="FFFFFF"/>
        </w:rPr>
        <w:t xml:space="preserve">esta decisión se pone fin a la actuación administrativa </w:t>
      </w:r>
      <w:r w:rsidR="00BF1320">
        <w:rPr>
          <w:rFonts w:ascii="Bookman Old Style" w:hAnsi="Bookman Old Style"/>
          <w:color w:val="1D2228"/>
          <w:shd w:val="clear" w:color="auto" w:fill="FFFFFF"/>
        </w:rPr>
        <w:t xml:space="preserve">del </w:t>
      </w:r>
      <w:r w:rsidR="00BF1320" w:rsidRPr="00152705">
        <w:rPr>
          <w:rFonts w:ascii="Bookman Old Style" w:hAnsi="Bookman Old Style"/>
          <w:color w:val="1D2228"/>
          <w:shd w:val="clear" w:color="auto" w:fill="FFFFFF"/>
        </w:rPr>
        <w:t xml:space="preserve">expediente </w:t>
      </w:r>
      <w:r w:rsidR="00BF1320" w:rsidRPr="00152705">
        <w:rPr>
          <w:rFonts w:ascii="Bookman Old Style" w:hAnsi="Bookman Old Style"/>
        </w:rPr>
        <w:t>2021 – 004</w:t>
      </w:r>
      <w:r w:rsidR="00AE4086">
        <w:rPr>
          <w:rFonts w:ascii="Bookman Old Style" w:hAnsi="Bookman Old Style"/>
        </w:rPr>
        <w:t>4</w:t>
      </w:r>
      <w:r w:rsidR="00BF1320">
        <w:rPr>
          <w:rFonts w:ascii="Bookman Old Style" w:hAnsi="Bookman Old Style"/>
        </w:rPr>
        <w:t xml:space="preserve">, </w:t>
      </w:r>
      <w:r w:rsidR="00BF1320">
        <w:rPr>
          <w:rFonts w:ascii="Bookman Old Style" w:hAnsi="Bookman Old Style"/>
          <w:color w:val="1D2228"/>
          <w:shd w:val="clear" w:color="auto" w:fill="FFFFFF"/>
        </w:rPr>
        <w:t xml:space="preserve">precisa a continuación </w:t>
      </w:r>
      <w:r w:rsidR="00BF1320" w:rsidRPr="00152705">
        <w:rPr>
          <w:rFonts w:ascii="Bookman Old Style" w:hAnsi="Bookman Old Style"/>
          <w:color w:val="1D2228"/>
          <w:shd w:val="clear" w:color="auto" w:fill="FFFFFF"/>
        </w:rPr>
        <w:t>su competencia</w:t>
      </w:r>
      <w:r w:rsidR="00BF1320">
        <w:rPr>
          <w:rFonts w:ascii="Bookman Old Style" w:hAnsi="Bookman Old Style"/>
          <w:color w:val="1D2228"/>
          <w:shd w:val="clear" w:color="auto" w:fill="FFFFFF"/>
        </w:rPr>
        <w:t xml:space="preserve"> para decidir en el presente caso</w:t>
      </w:r>
      <w:r w:rsidR="00446EB8">
        <w:rPr>
          <w:rFonts w:ascii="Bookman Old Style" w:hAnsi="Bookman Old Style"/>
          <w:color w:val="1D2228"/>
          <w:shd w:val="clear" w:color="auto" w:fill="FFFFFF"/>
        </w:rPr>
        <w:t>,</w:t>
      </w:r>
      <w:r w:rsidR="00BF1320">
        <w:rPr>
          <w:rFonts w:ascii="Bookman Old Style" w:hAnsi="Bookman Old Style"/>
          <w:color w:val="1D2228"/>
          <w:shd w:val="clear" w:color="auto" w:fill="FFFFFF"/>
        </w:rPr>
        <w:t xml:space="preserve"> y en</w:t>
      </w:r>
      <w:r w:rsidR="00BF1320" w:rsidRPr="00152705">
        <w:rPr>
          <w:rFonts w:ascii="Bookman Old Style" w:hAnsi="Bookman Old Style"/>
          <w:color w:val="1D2228"/>
          <w:shd w:val="clear" w:color="auto" w:fill="FFFFFF"/>
        </w:rPr>
        <w:t xml:space="preserve"> </w:t>
      </w:r>
      <w:r w:rsidR="00BF1320">
        <w:rPr>
          <w:rFonts w:ascii="Bookman Old Style" w:hAnsi="Bookman Old Style"/>
          <w:color w:val="1D2228"/>
          <w:shd w:val="clear" w:color="auto" w:fill="FFFFFF"/>
        </w:rPr>
        <w:t xml:space="preserve">su desarrollo transcribe </w:t>
      </w:r>
      <w:r w:rsidR="00BF1320" w:rsidRPr="00152705">
        <w:rPr>
          <w:rFonts w:ascii="Bookman Old Style" w:hAnsi="Bookman Old Style"/>
          <w:color w:val="1D2228"/>
          <w:shd w:val="clear" w:color="auto" w:fill="FFFFFF"/>
        </w:rPr>
        <w:t>el contenido pertinente del informe de auditoría</w:t>
      </w:r>
      <w:r w:rsidR="00BF1320">
        <w:rPr>
          <w:rFonts w:ascii="Bookman Old Style" w:hAnsi="Bookman Old Style"/>
          <w:color w:val="1D2228"/>
          <w:shd w:val="clear" w:color="auto" w:fill="FFFFFF"/>
        </w:rPr>
        <w:t>;</w:t>
      </w:r>
      <w:r w:rsidR="00BF1320" w:rsidRPr="00152705">
        <w:rPr>
          <w:rFonts w:ascii="Bookman Old Style" w:hAnsi="Bookman Old Style"/>
          <w:color w:val="1D2228"/>
          <w:shd w:val="clear" w:color="auto" w:fill="FFFFFF"/>
        </w:rPr>
        <w:t xml:space="preserve"> </w:t>
      </w:r>
      <w:r w:rsidR="00BF1320">
        <w:rPr>
          <w:rFonts w:ascii="Bookman Old Style" w:hAnsi="Bookman Old Style"/>
          <w:color w:val="1D2228"/>
          <w:shd w:val="clear" w:color="auto" w:fill="FFFFFF"/>
        </w:rPr>
        <w:t xml:space="preserve">señala </w:t>
      </w:r>
      <w:r w:rsidR="00BF1320" w:rsidRPr="00152705">
        <w:rPr>
          <w:rFonts w:ascii="Bookman Old Style" w:hAnsi="Bookman Old Style"/>
          <w:color w:val="1D2228"/>
          <w:shd w:val="clear" w:color="auto" w:fill="FFFFFF"/>
        </w:rPr>
        <w:t xml:space="preserve">el trámite </w:t>
      </w:r>
      <w:r w:rsidR="00BF1320">
        <w:rPr>
          <w:rFonts w:ascii="Bookman Old Style" w:hAnsi="Bookman Old Style"/>
          <w:color w:val="1D2228"/>
          <w:shd w:val="clear" w:color="auto" w:fill="FFFFFF"/>
        </w:rPr>
        <w:t>cumplido</w:t>
      </w:r>
      <w:r w:rsidR="00BF1320" w:rsidRPr="00152705">
        <w:rPr>
          <w:rFonts w:ascii="Bookman Old Style" w:hAnsi="Bookman Old Style"/>
          <w:color w:val="1D2228"/>
          <w:shd w:val="clear" w:color="auto" w:fill="FFFFFF"/>
        </w:rPr>
        <w:t xml:space="preserve">, las pruebas decretadas y practicadas, y la forma como la sociedad </w:t>
      </w:r>
      <w:r w:rsidR="00BF1320" w:rsidRPr="00152705">
        <w:rPr>
          <w:rFonts w:ascii="Bookman Old Style" w:hAnsi="Bookman Old Style"/>
        </w:rPr>
        <w:t xml:space="preserve">CELSIA COLOMBIA S.A. E.S.P., </w:t>
      </w:r>
      <w:r w:rsidR="006121B1">
        <w:rPr>
          <w:rFonts w:ascii="Bookman Old Style" w:hAnsi="Bookman Old Style"/>
        </w:rPr>
        <w:t>p</w:t>
      </w:r>
      <w:r w:rsidR="006121B1" w:rsidRPr="00152705">
        <w:rPr>
          <w:rFonts w:ascii="Bookman Old Style" w:hAnsi="Bookman Old Style"/>
        </w:rPr>
        <w:t>lanta</w:t>
      </w:r>
      <w:r w:rsidR="006121B1">
        <w:rPr>
          <w:rFonts w:ascii="Bookman Old Style" w:hAnsi="Bookman Old Style"/>
        </w:rPr>
        <w:t xml:space="preserve"> Bajo Anchicayá</w:t>
      </w:r>
      <w:r w:rsidR="00BF1320">
        <w:rPr>
          <w:rFonts w:ascii="Bookman Old Style" w:hAnsi="Bookman Old Style"/>
        </w:rPr>
        <w:t>,</w:t>
      </w:r>
      <w:r w:rsidR="00BF1320" w:rsidRPr="00152705">
        <w:rPr>
          <w:rFonts w:ascii="Bookman Old Style" w:hAnsi="Bookman Old Style"/>
          <w:color w:val="1D2228"/>
          <w:shd w:val="clear" w:color="auto" w:fill="FFFFFF"/>
        </w:rPr>
        <w:t xml:space="preserve"> ejerció su derecho de contradicción y defensa</w:t>
      </w:r>
      <w:r w:rsidR="00BF1320">
        <w:rPr>
          <w:rFonts w:ascii="Bookman Old Style" w:hAnsi="Bookman Old Style"/>
          <w:color w:val="1D2228"/>
          <w:shd w:val="clear" w:color="auto" w:fill="FFFFFF"/>
        </w:rPr>
        <w:t>;</w:t>
      </w:r>
      <w:r w:rsidR="00BF1320" w:rsidRPr="00152705">
        <w:rPr>
          <w:rFonts w:ascii="Bookman Old Style" w:hAnsi="Bookman Old Style"/>
          <w:color w:val="1D2228"/>
          <w:shd w:val="clear" w:color="auto" w:fill="FFFFFF"/>
        </w:rPr>
        <w:t xml:space="preserve"> para, finalmente</w:t>
      </w:r>
      <w:r w:rsidR="00BF1320">
        <w:rPr>
          <w:rFonts w:ascii="Bookman Old Style" w:hAnsi="Bookman Old Style"/>
          <w:color w:val="1D2228"/>
          <w:shd w:val="clear" w:color="auto" w:fill="FFFFFF"/>
        </w:rPr>
        <w:t>,</w:t>
      </w:r>
      <w:r w:rsidR="00BF1320" w:rsidRPr="00152705">
        <w:rPr>
          <w:rFonts w:ascii="Bookman Old Style" w:hAnsi="Bookman Old Style"/>
          <w:color w:val="1D2228"/>
          <w:shd w:val="clear" w:color="auto" w:fill="FFFFFF"/>
        </w:rPr>
        <w:t xml:space="preserve"> y conforme </w:t>
      </w:r>
      <w:r w:rsidR="00BF1320">
        <w:rPr>
          <w:rFonts w:ascii="Bookman Old Style" w:hAnsi="Bookman Old Style"/>
          <w:color w:val="1D2228"/>
          <w:shd w:val="clear" w:color="auto" w:fill="FFFFFF"/>
        </w:rPr>
        <w:t>con</w:t>
      </w:r>
      <w:r w:rsidR="00BF1320" w:rsidRPr="00152705">
        <w:rPr>
          <w:rFonts w:ascii="Bookman Old Style" w:hAnsi="Bookman Old Style"/>
          <w:color w:val="1D2228"/>
          <w:shd w:val="clear" w:color="auto" w:fill="FFFFFF"/>
        </w:rPr>
        <w:t xml:space="preserve"> la valoración del acervo probatorio, determinar el contenido y alcance de esta resolución.</w:t>
      </w:r>
    </w:p>
    <w:p w14:paraId="0B64B581" w14:textId="77777777" w:rsidR="00BF1320" w:rsidRPr="00152705" w:rsidRDefault="00BF1320" w:rsidP="00581E02">
      <w:pPr>
        <w:spacing w:after="120"/>
        <w:ind w:left="0"/>
        <w:rPr>
          <w:rFonts w:ascii="Bookman Old Style" w:hAnsi="Bookman Old Style"/>
          <w:b/>
        </w:rPr>
      </w:pPr>
    </w:p>
    <w:p w14:paraId="3193D807" w14:textId="77777777" w:rsidR="00BF1320" w:rsidRPr="00152705" w:rsidRDefault="00BF1320" w:rsidP="00BF1320">
      <w:pPr>
        <w:ind w:left="0"/>
        <w:rPr>
          <w:rFonts w:ascii="Bookman Old Style" w:hAnsi="Bookman Old Style"/>
          <w:b/>
        </w:rPr>
      </w:pPr>
      <w:r w:rsidRPr="00152705">
        <w:rPr>
          <w:rFonts w:ascii="Bookman Old Style" w:hAnsi="Bookman Old Style"/>
          <w:b/>
        </w:rPr>
        <w:t>I. COMPETENCIA DE LA CREG</w:t>
      </w:r>
    </w:p>
    <w:p w14:paraId="0FD346EF" w14:textId="77777777" w:rsidR="00BF1320" w:rsidRPr="00152705" w:rsidRDefault="00BF1320" w:rsidP="00581E02">
      <w:pPr>
        <w:ind w:left="0"/>
        <w:rPr>
          <w:rFonts w:ascii="Bookman Old Style" w:hAnsi="Bookman Old Style" w:cs="Arial"/>
        </w:rPr>
      </w:pPr>
    </w:p>
    <w:p w14:paraId="3754EFC1" w14:textId="5A9DE8D4" w:rsidR="00BF1320" w:rsidRPr="00152705" w:rsidRDefault="00BF1320" w:rsidP="00BF1320">
      <w:pPr>
        <w:ind w:left="0"/>
        <w:jc w:val="both"/>
        <w:rPr>
          <w:rFonts w:ascii="Bookman Old Style" w:hAnsi="Bookman Old Style" w:cs="Arial"/>
        </w:rPr>
      </w:pPr>
      <w:r w:rsidRPr="00152705">
        <w:rPr>
          <w:rFonts w:ascii="Bookman Old Style" w:hAnsi="Bookman Old Style" w:cs="Arial"/>
        </w:rPr>
        <w:t xml:space="preserve">En el artículo 20 de la Ley 143 de 1994, se define como objetivo básico de la función de regulación </w:t>
      </w:r>
      <w:r w:rsidRPr="00581E02">
        <w:rPr>
          <w:rFonts w:ascii="Bookman Old Style" w:hAnsi="Bookman Old Style" w:cs="Arial"/>
          <w:i/>
          <w:iCs/>
        </w:rPr>
        <w:t>“</w:t>
      </w:r>
      <w:r w:rsidRPr="00581E02">
        <w:rPr>
          <w:rFonts w:ascii="Bookman Old Style" w:hAnsi="Bookman Old Style" w:cs="Arial"/>
          <w:i/>
          <w:iCs/>
          <w:sz w:val="22"/>
          <w:szCs w:val="22"/>
        </w:rPr>
        <w:t>asegurar una adecuada prestación del servicio mediante el aprovechamiento eficiente de los diferentes recursos energéticos, en beneficio del usuario en términos de calidad, oportunidad y costo del servicio</w:t>
      </w:r>
      <w:r w:rsidRPr="00581E02">
        <w:rPr>
          <w:rFonts w:ascii="Bookman Old Style" w:hAnsi="Bookman Old Style" w:cs="Arial"/>
          <w:i/>
          <w:iCs/>
        </w:rPr>
        <w:t>”</w:t>
      </w:r>
      <w:r w:rsidRPr="00152705">
        <w:rPr>
          <w:rFonts w:ascii="Bookman Old Style" w:hAnsi="Bookman Old Style" w:cs="Arial"/>
        </w:rPr>
        <w:t xml:space="preserve">. Así mismo, en el artículo 23 de la misma Ley se establece como función de la Comisión de Regulación de Energía y Gas, entre otras, la de valorar la capacidad de generación de respaldo según los criterios que establezca la Unidad de Planeación </w:t>
      </w:r>
      <w:r w:rsidR="00E72ADB" w:rsidRPr="00152705">
        <w:rPr>
          <w:rFonts w:ascii="Bookman Old Style" w:hAnsi="Bookman Old Style" w:cs="Arial"/>
        </w:rPr>
        <w:t>Minero</w:t>
      </w:r>
      <w:r w:rsidR="00446EB8">
        <w:rPr>
          <w:rFonts w:ascii="Bookman Old Style" w:hAnsi="Bookman Old Style" w:cs="Arial"/>
        </w:rPr>
        <w:t xml:space="preserve"> </w:t>
      </w:r>
      <w:r w:rsidR="00E72ADB" w:rsidRPr="00152705">
        <w:rPr>
          <w:rFonts w:ascii="Bookman Old Style" w:hAnsi="Bookman Old Style" w:cs="Arial"/>
        </w:rPr>
        <w:t>Energética</w:t>
      </w:r>
      <w:r w:rsidRPr="00152705">
        <w:rPr>
          <w:rFonts w:ascii="Bookman Old Style" w:hAnsi="Bookman Old Style" w:cs="Arial"/>
        </w:rPr>
        <w:t xml:space="preserve"> en el plan de expansión.</w:t>
      </w:r>
    </w:p>
    <w:p w14:paraId="507E8A0A" w14:textId="77777777" w:rsidR="00BF1320" w:rsidRPr="00152705" w:rsidRDefault="00BF1320" w:rsidP="00BF1320">
      <w:pPr>
        <w:rPr>
          <w:rFonts w:ascii="Bookman Old Style" w:hAnsi="Bookman Old Style" w:cs="Arial"/>
        </w:rPr>
      </w:pPr>
    </w:p>
    <w:p w14:paraId="2182940D" w14:textId="1A5CE81F" w:rsidR="00BF1320" w:rsidRPr="00152705" w:rsidRDefault="00BF1320" w:rsidP="00BF1320">
      <w:pPr>
        <w:ind w:left="0"/>
        <w:jc w:val="both"/>
        <w:rPr>
          <w:rFonts w:ascii="Bookman Old Style" w:hAnsi="Bookman Old Style" w:cs="Arial"/>
        </w:rPr>
      </w:pPr>
      <w:r w:rsidRPr="00152705">
        <w:rPr>
          <w:rFonts w:ascii="Bookman Old Style" w:hAnsi="Bookman Old Style" w:cs="Arial"/>
        </w:rPr>
        <w:t>En desarrollo de los precitados mandatos legales, la Comisión de Regulación de Energía y Gas</w:t>
      </w:r>
      <w:r w:rsidR="00934DA5">
        <w:rPr>
          <w:rFonts w:ascii="Bookman Old Style" w:hAnsi="Bookman Old Style" w:cs="Arial"/>
        </w:rPr>
        <w:t xml:space="preserve">, </w:t>
      </w:r>
      <w:r w:rsidRPr="00152705">
        <w:rPr>
          <w:rFonts w:ascii="Bookman Old Style" w:hAnsi="Bookman Old Style" w:cs="Arial"/>
        </w:rPr>
        <w:t xml:space="preserve">CREG, en la Resolución 071 de 2006, </w:t>
      </w:r>
      <w:r w:rsidR="00613F3E">
        <w:rPr>
          <w:rFonts w:ascii="Bookman Old Style" w:hAnsi="Bookman Old Style" w:cs="Arial"/>
        </w:rPr>
        <w:t xml:space="preserve">establece </w:t>
      </w:r>
      <w:r w:rsidRPr="00152705">
        <w:rPr>
          <w:rFonts w:ascii="Bookman Old Style" w:hAnsi="Bookman Old Style" w:cs="Arial"/>
        </w:rPr>
        <w:t xml:space="preserve">las </w:t>
      </w:r>
      <w:r w:rsidR="00613F3E">
        <w:rPr>
          <w:rFonts w:ascii="Bookman Old Style" w:hAnsi="Bookman Old Style" w:cs="Arial"/>
        </w:rPr>
        <w:t>disposiciones</w:t>
      </w:r>
      <w:r w:rsidRPr="00152705">
        <w:rPr>
          <w:rFonts w:ascii="Bookman Old Style" w:hAnsi="Bookman Old Style" w:cs="Arial"/>
        </w:rPr>
        <w:t xml:space="preserve"> sobre </w:t>
      </w:r>
      <w:r w:rsidR="00613F3E">
        <w:rPr>
          <w:rFonts w:ascii="Bookman Old Style" w:hAnsi="Bookman Old Style" w:cs="Arial"/>
        </w:rPr>
        <w:t xml:space="preserve">el </w:t>
      </w:r>
      <w:r w:rsidRPr="00152705">
        <w:rPr>
          <w:rFonts w:ascii="Bookman Old Style" w:hAnsi="Bookman Old Style" w:cs="Arial"/>
        </w:rPr>
        <w:t>Cargo por Confiabilidad en el Mercado de Energía Mayorista, precisa el método de cálculo de la Energía Firme para el Cargo por Confiabilidad</w:t>
      </w:r>
      <w:r w:rsidR="00934DA5">
        <w:rPr>
          <w:rFonts w:ascii="Bookman Old Style" w:hAnsi="Bookman Old Style" w:cs="Arial"/>
        </w:rPr>
        <w:t>,</w:t>
      </w:r>
      <w:r w:rsidRPr="00152705">
        <w:rPr>
          <w:rFonts w:ascii="Bookman Old Style" w:hAnsi="Bookman Old Style" w:cs="Arial"/>
        </w:rPr>
        <w:t xml:space="preserve"> ENFICC</w:t>
      </w:r>
      <w:r w:rsidR="00934DA5">
        <w:rPr>
          <w:rFonts w:ascii="Bookman Old Style" w:hAnsi="Bookman Old Style" w:cs="Arial"/>
        </w:rPr>
        <w:t>,</w:t>
      </w:r>
      <w:r w:rsidR="00934DA5" w:rsidRPr="00152705">
        <w:rPr>
          <w:rFonts w:ascii="Bookman Old Style" w:hAnsi="Bookman Old Style" w:cs="Arial"/>
        </w:rPr>
        <w:t xml:space="preserve"> </w:t>
      </w:r>
      <w:r w:rsidRPr="00152705">
        <w:rPr>
          <w:rFonts w:ascii="Bookman Old Style" w:hAnsi="Bookman Old Style" w:cs="Arial"/>
        </w:rPr>
        <w:t>y establece el mecanismo de verificación de la información reportada por los agentes</w:t>
      </w:r>
      <w:r w:rsidRPr="00152705" w:rsidDel="008C3FBD">
        <w:rPr>
          <w:rFonts w:ascii="Bookman Old Style" w:hAnsi="Bookman Old Style" w:cs="Arial"/>
        </w:rPr>
        <w:t xml:space="preserve"> </w:t>
      </w:r>
      <w:r w:rsidRPr="00152705">
        <w:rPr>
          <w:rFonts w:ascii="Bookman Old Style" w:hAnsi="Bookman Old Style" w:cs="Arial"/>
        </w:rPr>
        <w:t xml:space="preserve">para su estimación. </w:t>
      </w:r>
    </w:p>
    <w:p w14:paraId="29767836" w14:textId="77777777" w:rsidR="00BF1320" w:rsidRPr="00152705" w:rsidRDefault="00BF1320" w:rsidP="00BF1320">
      <w:pPr>
        <w:rPr>
          <w:rFonts w:ascii="Bookman Old Style" w:hAnsi="Bookman Old Style" w:cs="Arial"/>
        </w:rPr>
      </w:pPr>
    </w:p>
    <w:p w14:paraId="18B1EF79" w14:textId="75A306F0" w:rsidR="00BF1320" w:rsidRPr="00152705" w:rsidRDefault="00BF1320" w:rsidP="00581E02">
      <w:pPr>
        <w:ind w:left="0"/>
        <w:jc w:val="both"/>
        <w:rPr>
          <w:rFonts w:ascii="Bookman Old Style" w:hAnsi="Bookman Old Style"/>
          <w:spacing w:val="-5"/>
          <w:lang w:eastAsia="en-US"/>
        </w:rPr>
      </w:pPr>
      <w:r w:rsidRPr="00152705">
        <w:rPr>
          <w:rFonts w:ascii="Bookman Old Style" w:hAnsi="Bookman Old Style" w:cs="Arial"/>
        </w:rPr>
        <w:t>En ese sentido, en el artículo 39 de la misma Resolución, la CREG designa al Centro Nacional de Despacho</w:t>
      </w:r>
      <w:r w:rsidR="00934DA5">
        <w:rPr>
          <w:rFonts w:ascii="Bookman Old Style" w:hAnsi="Bookman Old Style" w:cs="Arial"/>
        </w:rPr>
        <w:t xml:space="preserve">, </w:t>
      </w:r>
      <w:r w:rsidRPr="00152705">
        <w:rPr>
          <w:rFonts w:ascii="Bookman Old Style" w:hAnsi="Bookman Old Style" w:cs="Arial"/>
        </w:rPr>
        <w:t>CND</w:t>
      </w:r>
      <w:r w:rsidR="00934DA5">
        <w:rPr>
          <w:rFonts w:ascii="Bookman Old Style" w:hAnsi="Bookman Old Style" w:cs="Arial"/>
        </w:rPr>
        <w:t>,</w:t>
      </w:r>
      <w:r w:rsidR="00934DA5" w:rsidRPr="00152705">
        <w:rPr>
          <w:rFonts w:ascii="Bookman Old Style" w:hAnsi="Bookman Old Style" w:cs="Arial"/>
        </w:rPr>
        <w:t xml:space="preserve"> </w:t>
      </w:r>
      <w:r w:rsidRPr="00152705">
        <w:rPr>
          <w:rFonts w:ascii="Bookman Old Style" w:hAnsi="Bookman Old Style" w:cs="Arial"/>
        </w:rPr>
        <w:t xml:space="preserve">para la contratación de la verificación de </w:t>
      </w:r>
      <w:r w:rsidRPr="00152705">
        <w:rPr>
          <w:rFonts w:ascii="Bookman Old Style" w:hAnsi="Bookman Old Style" w:cs="Arial"/>
        </w:rPr>
        <w:lastRenderedPageBreak/>
        <w:t>los parámetros</w:t>
      </w:r>
      <w:r w:rsidR="00934DA5">
        <w:rPr>
          <w:rFonts w:ascii="Bookman Old Style" w:hAnsi="Bookman Old Style" w:cs="Arial"/>
        </w:rPr>
        <w:t>,</w:t>
      </w:r>
      <w:r w:rsidRPr="00152705">
        <w:rPr>
          <w:rFonts w:ascii="Bookman Old Style" w:hAnsi="Bookman Old Style" w:cs="Arial"/>
        </w:rPr>
        <w:t xml:space="preserve"> y en el Anexo No. 6 establece los requisitos mínimos para la contratación de la auditoría y los criterios de verificación de dichos parámetros. </w:t>
      </w:r>
      <w:r w:rsidR="00934DA5">
        <w:rPr>
          <w:rFonts w:ascii="Bookman Old Style" w:hAnsi="Bookman Old Style"/>
          <w:spacing w:val="-5"/>
          <w:lang w:eastAsia="en-US"/>
        </w:rPr>
        <w:t xml:space="preserve">Así </w:t>
      </w:r>
      <w:r w:rsidRPr="00152705">
        <w:rPr>
          <w:rFonts w:ascii="Bookman Old Style" w:hAnsi="Bookman Old Style"/>
          <w:spacing w:val="-5"/>
          <w:lang w:eastAsia="en-US"/>
        </w:rPr>
        <w:t xml:space="preserve">mismo, establece en el inciso tercero del mencionado artículo 39, que </w:t>
      </w:r>
      <w:r w:rsidRPr="00581E02">
        <w:rPr>
          <w:rFonts w:ascii="Bookman Old Style" w:hAnsi="Bookman Old Style"/>
          <w:i/>
          <w:iCs/>
          <w:spacing w:val="-5"/>
          <w:lang w:eastAsia="en-US"/>
        </w:rPr>
        <w:t>“</w:t>
      </w:r>
      <w:r w:rsidRPr="00581E02">
        <w:rPr>
          <w:rFonts w:ascii="Bookman Old Style" w:hAnsi="Bookman Old Style"/>
          <w:i/>
          <w:iCs/>
          <w:spacing w:val="-5"/>
          <w:sz w:val="22"/>
          <w:szCs w:val="22"/>
          <w:lang w:eastAsia="en-US"/>
        </w:rPr>
        <w:t>la existencia de discrepancias entre los valores verificados de los parámetros y los reportados por los agentes, por fuera de los rangos de holgura o margen de error definidos por la CREG, dará lugar a que la asignación de Obligaciones de Energía Firme sea igual a cero (0) para el Período de Vigencia de la Obligación para el cual se utilizó la información sobre parámetros entregada por los agentes</w:t>
      </w:r>
      <w:r w:rsidRPr="00581E02">
        <w:rPr>
          <w:rFonts w:ascii="Bookman Old Style" w:hAnsi="Bookman Old Style"/>
          <w:i/>
          <w:iCs/>
          <w:spacing w:val="-5"/>
          <w:lang w:eastAsia="en-US"/>
        </w:rPr>
        <w:t>”</w:t>
      </w:r>
      <w:r w:rsidRPr="00152705">
        <w:rPr>
          <w:rFonts w:ascii="Bookman Old Style" w:hAnsi="Bookman Old Style"/>
          <w:spacing w:val="-5"/>
          <w:lang w:eastAsia="en-US"/>
        </w:rPr>
        <w:t>;</w:t>
      </w:r>
      <w:r w:rsidR="00613F3E">
        <w:rPr>
          <w:rFonts w:ascii="Bookman Old Style" w:hAnsi="Bookman Old Style"/>
          <w:spacing w:val="-5"/>
          <w:lang w:eastAsia="en-US"/>
        </w:rPr>
        <w:t xml:space="preserve"> </w:t>
      </w:r>
      <w:r w:rsidRPr="00152705">
        <w:rPr>
          <w:rFonts w:ascii="Bookman Old Style" w:hAnsi="Bookman Old Style"/>
          <w:spacing w:val="-5"/>
          <w:lang w:eastAsia="en-US"/>
        </w:rPr>
        <w:t>sin perjuicio de que, como menciona en el inciso quinto del mismo artículo, se surta la garantía plena del derecho de defensa de los afectados, para lo cual se debe agotar el trámite previsto en los artículos 106 y siguientes de la Ley 142 de 1994, y en lo no previsto en ellos, determina que se apliquen las normas de la parte primera del Código de Procedimiento Administrativo y de lo Contencioso Administrativo que le sean compatibles.</w:t>
      </w:r>
    </w:p>
    <w:p w14:paraId="7D3CBC83" w14:textId="77777777" w:rsidR="00BF1320" w:rsidRPr="00152705" w:rsidRDefault="00BF1320" w:rsidP="00BF1320">
      <w:pPr>
        <w:rPr>
          <w:rFonts w:ascii="Bookman Old Style" w:hAnsi="Bookman Old Style" w:cs="Arial"/>
        </w:rPr>
      </w:pPr>
    </w:p>
    <w:p w14:paraId="1E18D957" w14:textId="0CE12A96" w:rsidR="00BF1320" w:rsidRDefault="00280903" w:rsidP="00BF1320">
      <w:pPr>
        <w:ind w:left="0"/>
        <w:jc w:val="both"/>
        <w:rPr>
          <w:rFonts w:ascii="Bookman Old Style" w:hAnsi="Bookman Old Style" w:cs="Arial"/>
          <w:i/>
          <w:iCs/>
        </w:rPr>
      </w:pPr>
      <w:r>
        <w:rPr>
          <w:rFonts w:ascii="Bookman Old Style" w:hAnsi="Bookman Old Style" w:cs="Arial"/>
        </w:rPr>
        <w:t>M</w:t>
      </w:r>
      <w:r w:rsidR="00176ED4" w:rsidRPr="00B56CF8">
        <w:rPr>
          <w:rFonts w:ascii="Bookman Old Style" w:hAnsi="Bookman Old Style" w:cs="Arial"/>
        </w:rPr>
        <w:t>ediante</w:t>
      </w:r>
      <w:r w:rsidR="00BF1320" w:rsidRPr="00B56CF8">
        <w:rPr>
          <w:rFonts w:ascii="Bookman Old Style" w:hAnsi="Bookman Old Style" w:cs="Arial"/>
        </w:rPr>
        <w:t xml:space="preserve"> la Resolución 030 de 2019</w:t>
      </w:r>
      <w:r w:rsidR="00934DA5">
        <w:rPr>
          <w:rFonts w:ascii="Bookman Old Style" w:hAnsi="Bookman Old Style" w:cs="Arial"/>
        </w:rPr>
        <w:t>,</w:t>
      </w:r>
      <w:r w:rsidR="00BF1320" w:rsidRPr="00B56CF8">
        <w:rPr>
          <w:rFonts w:ascii="Bookman Old Style" w:hAnsi="Bookman Old Style" w:cs="Arial"/>
        </w:rPr>
        <w:t xml:space="preserve"> la CREG solicitó al CND adelantar la contratación</w:t>
      </w:r>
      <w:r w:rsidR="00BF1320" w:rsidRPr="00152705">
        <w:rPr>
          <w:rFonts w:ascii="Bookman Old Style" w:hAnsi="Bookman Old Style" w:cs="Arial"/>
        </w:rPr>
        <w:t xml:space="preserve"> de una auditoría “</w:t>
      </w:r>
      <w:r w:rsidR="00BF1320" w:rsidRPr="00280903">
        <w:rPr>
          <w:rFonts w:ascii="Bookman Old Style" w:hAnsi="Bookman Old Style" w:cs="Arial"/>
          <w:i/>
          <w:iCs/>
          <w:sz w:val="22"/>
          <w:szCs w:val="22"/>
        </w:rPr>
        <w:t>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CREG 071 de 2006</w:t>
      </w:r>
      <w:r w:rsidR="00BF1320" w:rsidRPr="00B56CF8">
        <w:rPr>
          <w:rFonts w:ascii="Bookman Old Style" w:hAnsi="Bookman Old Style" w:cs="Arial"/>
          <w:i/>
          <w:iCs/>
        </w:rPr>
        <w:t xml:space="preserve">”. </w:t>
      </w:r>
    </w:p>
    <w:p w14:paraId="3A5699E0" w14:textId="77777777" w:rsidR="00BF1320" w:rsidRDefault="00BF1320" w:rsidP="00BF1320">
      <w:pPr>
        <w:ind w:left="0"/>
        <w:jc w:val="both"/>
        <w:rPr>
          <w:rFonts w:ascii="Bookman Old Style" w:hAnsi="Bookman Old Style" w:cs="Arial"/>
          <w:bCs/>
          <w:i/>
          <w:iCs/>
        </w:rPr>
      </w:pPr>
    </w:p>
    <w:p w14:paraId="2759F3DA" w14:textId="722B6896" w:rsidR="00BF1320" w:rsidRPr="00B56CF8" w:rsidRDefault="00BF1320" w:rsidP="00BF1320">
      <w:pPr>
        <w:ind w:left="0"/>
        <w:jc w:val="both"/>
        <w:rPr>
          <w:rFonts w:ascii="Bookman Old Style" w:hAnsi="Bookman Old Style" w:cs="Arial"/>
          <w:bCs/>
          <w:iCs/>
        </w:rPr>
      </w:pPr>
      <w:r w:rsidRPr="00B56CF8">
        <w:rPr>
          <w:rFonts w:ascii="Bookman Old Style" w:hAnsi="Bookman Old Style" w:cs="Arial"/>
          <w:bCs/>
          <w:iCs/>
        </w:rPr>
        <w:t xml:space="preserve">Finalmente, y como </w:t>
      </w:r>
      <w:r w:rsidR="00613F3E">
        <w:rPr>
          <w:rFonts w:ascii="Bookman Old Style" w:hAnsi="Bookman Old Style" w:cs="Arial"/>
          <w:bCs/>
          <w:iCs/>
        </w:rPr>
        <w:t>se observa más adelante</w:t>
      </w:r>
      <w:r w:rsidRPr="00B56CF8">
        <w:rPr>
          <w:rFonts w:ascii="Bookman Old Style" w:hAnsi="Bookman Old Style" w:cs="Arial"/>
          <w:bCs/>
          <w:iCs/>
        </w:rPr>
        <w:t>, la CREG</w:t>
      </w:r>
      <w:r w:rsidR="00934DA5">
        <w:rPr>
          <w:rFonts w:ascii="Bookman Old Style" w:hAnsi="Bookman Old Style" w:cs="Arial"/>
          <w:bCs/>
          <w:iCs/>
        </w:rPr>
        <w:t>,</w:t>
      </w:r>
      <w:r w:rsidRPr="00B56CF8">
        <w:rPr>
          <w:rFonts w:ascii="Bookman Old Style" w:hAnsi="Bookman Old Style" w:cs="Arial"/>
          <w:bCs/>
          <w:iCs/>
        </w:rPr>
        <w:t xml:space="preserve"> en diversas etapas de la actuación procesal</w:t>
      </w:r>
      <w:r w:rsidR="00934DA5">
        <w:rPr>
          <w:rFonts w:ascii="Bookman Old Style" w:hAnsi="Bookman Old Style" w:cs="Arial"/>
          <w:bCs/>
          <w:iCs/>
        </w:rPr>
        <w:t>,</w:t>
      </w:r>
      <w:r w:rsidRPr="00B56CF8">
        <w:rPr>
          <w:rFonts w:ascii="Bookman Old Style" w:hAnsi="Bookman Old Style" w:cs="Arial"/>
          <w:bCs/>
          <w:iCs/>
        </w:rPr>
        <w:t xml:space="preserve"> y no solo cuando decretó pruebas, acudió a su facultad oficiosa para que se le aportara nueva información, que necesariamente requería de tiempo adicional para que sus destinatarios</w:t>
      </w:r>
      <w:r w:rsidR="00613F3E">
        <w:rPr>
          <w:rFonts w:ascii="Bookman Old Style" w:hAnsi="Bookman Old Style" w:cs="Arial"/>
          <w:bCs/>
          <w:iCs/>
        </w:rPr>
        <w:t xml:space="preserve"> </w:t>
      </w:r>
      <w:r w:rsidRPr="00B56CF8">
        <w:rPr>
          <w:rFonts w:ascii="Bookman Old Style" w:hAnsi="Bookman Old Style" w:cs="Arial"/>
          <w:bCs/>
          <w:iCs/>
        </w:rPr>
        <w:t> la diligenciaran, y llevaron a que el término para decidir se prolongara</w:t>
      </w:r>
      <w:r w:rsidR="00934DA5">
        <w:rPr>
          <w:rFonts w:ascii="Bookman Old Style" w:hAnsi="Bookman Old Style" w:cs="Arial"/>
          <w:bCs/>
          <w:iCs/>
        </w:rPr>
        <w:t>,</w:t>
      </w:r>
      <w:r w:rsidRPr="00B56CF8">
        <w:rPr>
          <w:rFonts w:ascii="Bookman Old Style" w:hAnsi="Bookman Old Style" w:cs="Arial"/>
          <w:bCs/>
          <w:iCs/>
        </w:rPr>
        <w:t xml:space="preserve"> sin que se afectara su competencia</w:t>
      </w:r>
      <w:r>
        <w:rPr>
          <w:rFonts w:ascii="Bookman Old Style" w:hAnsi="Bookman Old Style" w:cs="Arial"/>
          <w:bCs/>
          <w:iCs/>
        </w:rPr>
        <w:t xml:space="preserve"> por tratarse de funciones propias de la entidad</w:t>
      </w:r>
      <w:r w:rsidRPr="00B56CF8">
        <w:rPr>
          <w:rFonts w:ascii="Bookman Old Style" w:hAnsi="Bookman Old Style" w:cs="Arial"/>
          <w:bCs/>
          <w:iCs/>
        </w:rPr>
        <w:t>; a lo cual hay que adicionar el transcurrido para que se pudiera cumplir el ejercicio del derecho de defensa con pleno acatamiento a los principios de publicidad y contradicción probatoria; principios que son fundamentales para poder decidir con arreglo a Derecho y, que, en una interpretación jurídica sistémica, aplicable</w:t>
      </w:r>
      <w:r w:rsidR="00934DA5">
        <w:rPr>
          <w:rFonts w:ascii="Bookman Old Style" w:hAnsi="Bookman Old Style" w:cs="Arial"/>
          <w:bCs/>
          <w:iCs/>
        </w:rPr>
        <w:t>,</w:t>
      </w:r>
      <w:r w:rsidRPr="00B56CF8">
        <w:rPr>
          <w:rFonts w:ascii="Bookman Old Style" w:hAnsi="Bookman Old Style" w:cs="Arial"/>
          <w:bCs/>
          <w:iCs/>
        </w:rPr>
        <w:t xml:space="preserve"> tanto para las controversias procesales administrativas</w:t>
      </w:r>
      <w:r w:rsidR="00934DA5">
        <w:rPr>
          <w:rFonts w:ascii="Bookman Old Style" w:hAnsi="Bookman Old Style" w:cs="Arial"/>
          <w:bCs/>
          <w:iCs/>
        </w:rPr>
        <w:t>,</w:t>
      </w:r>
      <w:r w:rsidRPr="00B56CF8">
        <w:rPr>
          <w:rFonts w:ascii="Bookman Old Style" w:hAnsi="Bookman Old Style" w:cs="Arial"/>
          <w:bCs/>
          <w:iCs/>
        </w:rPr>
        <w:t xml:space="preserve"> como judiciales, no pueden ser vulnerados y prevalecen</w:t>
      </w:r>
      <w:r>
        <w:rPr>
          <w:rFonts w:ascii="Bookman Old Style" w:hAnsi="Bookman Old Style" w:cs="Arial"/>
          <w:bCs/>
          <w:iCs/>
        </w:rPr>
        <w:t xml:space="preserve"> </w:t>
      </w:r>
      <w:r w:rsidRPr="00B56CF8">
        <w:rPr>
          <w:rFonts w:ascii="Bookman Old Style" w:hAnsi="Bookman Old Style" w:cs="Arial"/>
          <w:bCs/>
          <w:iCs/>
        </w:rPr>
        <w:t xml:space="preserve">sobre la duración de los términos para poner fin a esas actuaciones, y con mayor razón si, como en este caso, no se trata </w:t>
      </w:r>
      <w:r w:rsidR="00134F74">
        <w:rPr>
          <w:rFonts w:ascii="Bookman Old Style" w:hAnsi="Bookman Old Style" w:cs="Arial"/>
          <w:bCs/>
          <w:iCs/>
        </w:rPr>
        <w:t xml:space="preserve">de </w:t>
      </w:r>
      <w:r w:rsidRPr="00B56CF8">
        <w:rPr>
          <w:rFonts w:ascii="Bookman Old Style" w:hAnsi="Bookman Old Style" w:cs="Arial"/>
          <w:bCs/>
          <w:iCs/>
        </w:rPr>
        <w:t>actos sujetos al silencio administrativo positivo.</w:t>
      </w:r>
    </w:p>
    <w:p w14:paraId="40ECC4FE" w14:textId="487A4D89" w:rsidR="00BF1320" w:rsidRDefault="00BF1320" w:rsidP="00581E02">
      <w:pPr>
        <w:spacing w:after="120"/>
        <w:ind w:left="0"/>
        <w:jc w:val="both"/>
        <w:rPr>
          <w:rFonts w:ascii="Bookman Old Style" w:hAnsi="Bookman Old Style" w:cs="Arial"/>
          <w:bCs/>
          <w:i/>
          <w:iCs/>
        </w:rPr>
      </w:pPr>
    </w:p>
    <w:p w14:paraId="564E1319" w14:textId="77777777" w:rsidR="00BF1320" w:rsidRPr="00152705" w:rsidRDefault="00BF1320" w:rsidP="00F61993">
      <w:pPr>
        <w:ind w:left="0"/>
        <w:jc w:val="both"/>
        <w:rPr>
          <w:rFonts w:ascii="Bookman Old Style" w:hAnsi="Bookman Old Style" w:cs="Arial"/>
          <w:b/>
          <w:iCs/>
        </w:rPr>
      </w:pPr>
      <w:r w:rsidRPr="00152705">
        <w:rPr>
          <w:rFonts w:ascii="Bookman Old Style" w:hAnsi="Bookman Old Style" w:cs="Arial"/>
          <w:b/>
          <w:iCs/>
        </w:rPr>
        <w:t>II.  INFORME DE LA AUDITORÍA</w:t>
      </w:r>
    </w:p>
    <w:p w14:paraId="0C3F8339" w14:textId="77777777" w:rsidR="00BF1320" w:rsidRPr="00152705" w:rsidRDefault="00BF1320" w:rsidP="00BF1320">
      <w:pPr>
        <w:ind w:left="0"/>
        <w:jc w:val="both"/>
        <w:rPr>
          <w:rFonts w:ascii="Bookman Old Style" w:hAnsi="Bookman Old Style" w:cs="Arial"/>
          <w:b/>
          <w:iCs/>
        </w:rPr>
      </w:pPr>
    </w:p>
    <w:p w14:paraId="678C0D6F" w14:textId="11B8C768" w:rsidR="00280903" w:rsidRPr="00E77EA9" w:rsidRDefault="00280903" w:rsidP="00280903">
      <w:pPr>
        <w:ind w:left="0"/>
        <w:jc w:val="both"/>
        <w:rPr>
          <w:rFonts w:ascii="Bookman Old Style" w:hAnsi="Bookman Old Style" w:cs="Arial"/>
          <w:bCs/>
          <w:iCs/>
        </w:rPr>
      </w:pPr>
      <w:r w:rsidRPr="00E77EA9">
        <w:rPr>
          <w:rFonts w:ascii="Bookman Old Style" w:hAnsi="Bookman Old Style" w:cs="Arial"/>
          <w:bCs/>
          <w:iCs/>
        </w:rPr>
        <w:t xml:space="preserve">La planta </w:t>
      </w:r>
      <w:r>
        <w:rPr>
          <w:rFonts w:ascii="Bookman Old Style" w:hAnsi="Bookman Old Style" w:cs="Arial"/>
          <w:bCs/>
          <w:iCs/>
        </w:rPr>
        <w:t>Bajo</w:t>
      </w:r>
      <w:r w:rsidRPr="00E77EA9">
        <w:rPr>
          <w:rFonts w:ascii="Bookman Old Style" w:hAnsi="Bookman Old Style" w:cs="Arial"/>
          <w:bCs/>
          <w:iCs/>
        </w:rPr>
        <w:t xml:space="preserve"> Anchicayá, representada por CELSIA COLOMBIA S.A. E.S.P., participó en la subasta del Cargo por Confiabilidad para el período 2022-2023 </w:t>
      </w:r>
      <w:r w:rsidR="004407B4">
        <w:rPr>
          <w:rFonts w:ascii="Bookman Old Style" w:hAnsi="Bookman Old Style" w:cs="Arial"/>
          <w:bCs/>
          <w:iCs/>
        </w:rPr>
        <w:t>como parte de la Cadena ALBAN</w:t>
      </w:r>
      <w:r w:rsidR="00E9538C">
        <w:rPr>
          <w:rFonts w:ascii="Bookman Old Style" w:hAnsi="Bookman Old Style" w:cs="Arial"/>
          <w:bCs/>
          <w:iCs/>
        </w:rPr>
        <w:t>,</w:t>
      </w:r>
      <w:r w:rsidR="004407B4">
        <w:rPr>
          <w:rFonts w:ascii="Bookman Old Style" w:hAnsi="Bookman Old Style" w:cs="Arial"/>
          <w:bCs/>
          <w:iCs/>
        </w:rPr>
        <w:t xml:space="preserve"> la cual obtuvo</w:t>
      </w:r>
      <w:r w:rsidR="004407B4" w:rsidRPr="00E77EA9">
        <w:rPr>
          <w:rFonts w:ascii="Bookman Old Style" w:hAnsi="Bookman Old Style" w:cs="Arial"/>
          <w:bCs/>
          <w:iCs/>
        </w:rPr>
        <w:t xml:space="preserve"> </w:t>
      </w:r>
      <w:r w:rsidRPr="00E77EA9">
        <w:rPr>
          <w:rFonts w:ascii="Bookman Old Style" w:hAnsi="Bookman Old Style" w:cs="Arial"/>
          <w:bCs/>
          <w:iCs/>
        </w:rPr>
        <w:t xml:space="preserve">asignaciones de OEF por </w:t>
      </w:r>
      <w:r w:rsidR="004407B4">
        <w:rPr>
          <w:rFonts w:ascii="Bookman Old Style" w:hAnsi="Bookman Old Style" w:cs="Arial"/>
          <w:bCs/>
          <w:iCs/>
        </w:rPr>
        <w:t xml:space="preserve">un total para la cadena de </w:t>
      </w:r>
      <w:r w:rsidR="002F75A1" w:rsidRPr="002F75A1">
        <w:rPr>
          <w:rFonts w:ascii="Bookman Old Style" w:hAnsi="Bookman Old Style" w:cs="Arial"/>
          <w:bCs/>
          <w:iCs/>
        </w:rPr>
        <w:t>2</w:t>
      </w:r>
      <w:r w:rsidR="00F87F82">
        <w:rPr>
          <w:rFonts w:ascii="Bookman Old Style" w:hAnsi="Bookman Old Style" w:cs="Arial"/>
          <w:bCs/>
          <w:iCs/>
        </w:rPr>
        <w:t>,</w:t>
      </w:r>
      <w:r w:rsidR="002F75A1" w:rsidRPr="002F75A1">
        <w:rPr>
          <w:rFonts w:ascii="Bookman Old Style" w:hAnsi="Bookman Old Style" w:cs="Arial"/>
          <w:bCs/>
          <w:iCs/>
        </w:rPr>
        <w:t>172</w:t>
      </w:r>
      <w:r w:rsidR="002F75A1">
        <w:rPr>
          <w:rFonts w:ascii="Bookman Old Style" w:hAnsi="Bookman Old Style" w:cs="Arial"/>
          <w:bCs/>
          <w:iCs/>
        </w:rPr>
        <w:t>,</w:t>
      </w:r>
      <w:r w:rsidR="002F75A1" w:rsidRPr="002F75A1">
        <w:rPr>
          <w:rFonts w:ascii="Bookman Old Style" w:hAnsi="Bookman Old Style" w:cs="Arial"/>
          <w:bCs/>
          <w:iCs/>
        </w:rPr>
        <w:t>419</w:t>
      </w:r>
      <w:r w:rsidR="002F75A1">
        <w:rPr>
          <w:rFonts w:ascii="Bookman Old Style" w:hAnsi="Bookman Old Style" w:cs="Arial"/>
          <w:bCs/>
          <w:iCs/>
        </w:rPr>
        <w:t xml:space="preserve"> </w:t>
      </w:r>
      <w:r w:rsidRPr="00E77EA9">
        <w:rPr>
          <w:rFonts w:ascii="Bookman Old Style" w:hAnsi="Bookman Old Style" w:cs="Arial"/>
          <w:bCs/>
          <w:iCs/>
        </w:rPr>
        <w:t>kWh/día</w:t>
      </w:r>
      <w:r w:rsidR="00E9538C">
        <w:rPr>
          <w:rFonts w:ascii="Bookman Old Style" w:hAnsi="Bookman Old Style" w:cs="Arial"/>
          <w:bCs/>
          <w:iCs/>
        </w:rPr>
        <w:t>,</w:t>
      </w:r>
      <w:r w:rsidR="00D53AD1">
        <w:rPr>
          <w:rFonts w:ascii="Bookman Old Style" w:hAnsi="Bookman Old Style" w:cs="Arial"/>
          <w:bCs/>
          <w:iCs/>
        </w:rPr>
        <w:t xml:space="preserve"> y de la cual la planta </w:t>
      </w:r>
      <w:r w:rsidR="00256666">
        <w:rPr>
          <w:rFonts w:ascii="Bookman Old Style" w:hAnsi="Bookman Old Style" w:cs="Arial"/>
          <w:bCs/>
          <w:iCs/>
        </w:rPr>
        <w:t xml:space="preserve">Bajo Anchicayá </w:t>
      </w:r>
      <w:r w:rsidR="00AA26D9">
        <w:rPr>
          <w:rFonts w:ascii="Bookman Old Style" w:hAnsi="Bookman Old Style" w:cs="Arial"/>
          <w:bCs/>
          <w:iCs/>
        </w:rPr>
        <w:t>tiene una ENFICC</w:t>
      </w:r>
      <w:r w:rsidR="00DD0107">
        <w:rPr>
          <w:rFonts w:ascii="Bookman Old Style" w:hAnsi="Bookman Old Style" w:cs="Arial"/>
          <w:bCs/>
          <w:iCs/>
        </w:rPr>
        <w:t xml:space="preserve"> verificada </w:t>
      </w:r>
      <w:r w:rsidR="006D5C36">
        <w:rPr>
          <w:rFonts w:ascii="Bookman Old Style" w:hAnsi="Bookman Old Style" w:cs="Arial"/>
          <w:bCs/>
          <w:iCs/>
        </w:rPr>
        <w:t>en el</w:t>
      </w:r>
      <w:r w:rsidR="00DD0107">
        <w:rPr>
          <w:rFonts w:ascii="Bookman Old Style" w:hAnsi="Bookman Old Style" w:cs="Arial"/>
          <w:bCs/>
          <w:iCs/>
        </w:rPr>
        <w:t xml:space="preserve"> año 2019 de </w:t>
      </w:r>
      <w:r w:rsidR="00DD0107" w:rsidRPr="00DD0107">
        <w:rPr>
          <w:rFonts w:ascii="Bookman Old Style" w:hAnsi="Bookman Old Style" w:cs="Arial"/>
          <w:bCs/>
          <w:iCs/>
        </w:rPr>
        <w:t>322,275</w:t>
      </w:r>
      <w:r w:rsidR="00DD0107">
        <w:rPr>
          <w:rFonts w:ascii="Bookman Old Style" w:hAnsi="Bookman Old Style" w:cs="Arial"/>
          <w:bCs/>
          <w:iCs/>
        </w:rPr>
        <w:t xml:space="preserve"> kWh/día</w:t>
      </w:r>
      <w:r w:rsidRPr="00E77EA9">
        <w:rPr>
          <w:rFonts w:ascii="Bookman Old Style" w:hAnsi="Bookman Old Style" w:cs="Arial"/>
          <w:bCs/>
          <w:iCs/>
        </w:rPr>
        <w:t>. </w:t>
      </w:r>
    </w:p>
    <w:p w14:paraId="0C605AE7" w14:textId="77777777" w:rsidR="00280903" w:rsidRDefault="00280903" w:rsidP="00BF1320">
      <w:pPr>
        <w:ind w:left="0"/>
        <w:jc w:val="both"/>
        <w:rPr>
          <w:rFonts w:ascii="Bookman Old Style" w:hAnsi="Bookman Old Style" w:cs="Arial"/>
          <w:iCs/>
        </w:rPr>
      </w:pPr>
    </w:p>
    <w:p w14:paraId="3B68C90A" w14:textId="21D5FA46" w:rsidR="006907EB" w:rsidRPr="006907EB" w:rsidRDefault="006907EB" w:rsidP="006907EB">
      <w:pPr>
        <w:ind w:left="0"/>
        <w:jc w:val="both"/>
        <w:rPr>
          <w:rFonts w:ascii="Bookman Old Style" w:hAnsi="Bookman Old Style" w:cs="Arial"/>
        </w:rPr>
      </w:pPr>
      <w:r>
        <w:rPr>
          <w:rFonts w:ascii="Bookman Old Style" w:hAnsi="Bookman Old Style" w:cs="Arial"/>
          <w:iCs/>
        </w:rPr>
        <w:t xml:space="preserve">En cumplimiento de lo ordenado en </w:t>
      </w:r>
      <w:r w:rsidRPr="00152705">
        <w:rPr>
          <w:rFonts w:ascii="Bookman Old Style" w:hAnsi="Bookman Old Style" w:cs="Arial"/>
        </w:rPr>
        <w:t>Resolución CREG 030</w:t>
      </w:r>
      <w:r w:rsidR="007F1FA3">
        <w:rPr>
          <w:rFonts w:ascii="Bookman Old Style" w:hAnsi="Bookman Old Style" w:cs="Arial"/>
        </w:rPr>
        <w:t xml:space="preserve"> de </w:t>
      </w:r>
      <w:r w:rsidRPr="00152705">
        <w:rPr>
          <w:rFonts w:ascii="Bookman Old Style" w:hAnsi="Bookman Old Style" w:cs="Arial"/>
        </w:rPr>
        <w:t>2019</w:t>
      </w:r>
      <w:r>
        <w:rPr>
          <w:rFonts w:ascii="Bookman Old Style" w:hAnsi="Bookman Old Style" w:cs="Arial"/>
        </w:rPr>
        <w:t xml:space="preserve">, </w:t>
      </w:r>
      <w:r w:rsidR="00BF1320" w:rsidRPr="00152705">
        <w:rPr>
          <w:rFonts w:ascii="Bookman Old Style" w:hAnsi="Bookman Old Style" w:cs="Arial"/>
          <w:iCs/>
        </w:rPr>
        <w:t>X</w:t>
      </w:r>
      <w:r w:rsidR="00BF1320" w:rsidRPr="00152705">
        <w:rPr>
          <w:rFonts w:ascii="Bookman Old Style" w:hAnsi="Bookman Old Style" w:cs="Arial"/>
        </w:rPr>
        <w:t xml:space="preserve">M Compañía Expertos en Mercados S.A. E.S.P. autorizada para desarrollar las funciones encargadas al CND, de acuerdo con lo contemplado en el artículo 1 del </w:t>
      </w:r>
      <w:r w:rsidR="00DD3BF8">
        <w:rPr>
          <w:rFonts w:ascii="Bookman Old Style" w:hAnsi="Bookman Old Style" w:cs="Arial"/>
        </w:rPr>
        <w:t>D</w:t>
      </w:r>
      <w:r w:rsidR="00BF1320" w:rsidRPr="00152705">
        <w:rPr>
          <w:rFonts w:ascii="Bookman Old Style" w:hAnsi="Bookman Old Style" w:cs="Arial"/>
        </w:rPr>
        <w:t>ecreto 848 de 2005, contrató a la compañía HMV INGENIEROS</w:t>
      </w:r>
      <w:r w:rsidR="00F10F3B">
        <w:rPr>
          <w:rFonts w:ascii="Bookman Old Style" w:hAnsi="Bookman Old Style" w:cs="Arial"/>
        </w:rPr>
        <w:t>,</w:t>
      </w:r>
      <w:r w:rsidR="00BF1320" w:rsidRPr="00152705">
        <w:rPr>
          <w:rFonts w:ascii="Bookman Old Style" w:hAnsi="Bookman Old Style" w:cs="Arial"/>
        </w:rPr>
        <w:t xml:space="preserve"> que radicó el informe final</w:t>
      </w:r>
      <w:r w:rsidR="00613F3E">
        <w:rPr>
          <w:rFonts w:ascii="Bookman Old Style" w:hAnsi="Bookman Old Style" w:cs="Arial"/>
        </w:rPr>
        <w:t xml:space="preserve"> de auditoría </w:t>
      </w:r>
      <w:r w:rsidR="00BF1320" w:rsidRPr="00152705">
        <w:rPr>
          <w:rFonts w:ascii="Bookman Old Style" w:hAnsi="Bookman Old Style" w:cs="Arial"/>
        </w:rPr>
        <w:t>el 16 de febrero de 2021 bajo los números E-2021-002123, E-2021-002124, E-2021-002126</w:t>
      </w:r>
      <w:r>
        <w:rPr>
          <w:rFonts w:ascii="Bookman Old Style" w:hAnsi="Bookman Old Style" w:cs="Arial"/>
        </w:rPr>
        <w:t>,</w:t>
      </w:r>
      <w:r w:rsidR="00BF1320" w:rsidRPr="00152705">
        <w:rPr>
          <w:rFonts w:ascii="Bookman Old Style" w:hAnsi="Bookman Old Style" w:cs="Arial"/>
        </w:rPr>
        <w:t xml:space="preserve"> E-2021-002131</w:t>
      </w:r>
      <w:r>
        <w:rPr>
          <w:rFonts w:ascii="Bookman Old Style" w:hAnsi="Bookman Old Style" w:cs="Arial"/>
        </w:rPr>
        <w:t xml:space="preserve"> y E-2021-002199</w:t>
      </w:r>
      <w:r w:rsidR="00BF1320" w:rsidRPr="00152705">
        <w:rPr>
          <w:rFonts w:ascii="Bookman Old Style" w:hAnsi="Bookman Old Style" w:cs="Arial"/>
        </w:rPr>
        <w:t xml:space="preserve">. </w:t>
      </w:r>
      <w:r w:rsidRPr="006907EB">
        <w:rPr>
          <w:rFonts w:ascii="Bookman Old Style" w:hAnsi="Bookman Old Style" w:cs="Arial"/>
        </w:rPr>
        <w:t xml:space="preserve">Estos documentos contienen en forma detallada la verificación de los </w:t>
      </w:r>
      <w:r w:rsidRPr="006907EB">
        <w:rPr>
          <w:rFonts w:ascii="Bookman Old Style" w:hAnsi="Bookman Old Style" w:cs="Arial"/>
        </w:rPr>
        <w:lastRenderedPageBreak/>
        <w:t>parámetros declarados por las plantas y/o unidades de generación hidráulica existentes que resultaron con asignaciones de Obligaciones de Energía Firme</w:t>
      </w:r>
      <w:r w:rsidR="007F1FA3">
        <w:rPr>
          <w:rFonts w:ascii="Bookman Old Style" w:hAnsi="Bookman Old Style" w:cs="Arial"/>
        </w:rPr>
        <w:t xml:space="preserve">, </w:t>
      </w:r>
      <w:r w:rsidRPr="006907EB">
        <w:rPr>
          <w:rFonts w:ascii="Bookman Old Style" w:hAnsi="Bookman Old Style" w:cs="Arial"/>
        </w:rPr>
        <w:t>OEF</w:t>
      </w:r>
      <w:r w:rsidR="007F1FA3">
        <w:rPr>
          <w:rFonts w:ascii="Bookman Old Style" w:hAnsi="Bookman Old Style" w:cs="Arial"/>
        </w:rPr>
        <w:t>,</w:t>
      </w:r>
      <w:r w:rsidR="007F1FA3" w:rsidRPr="006907EB">
        <w:rPr>
          <w:rFonts w:ascii="Bookman Old Style" w:hAnsi="Bookman Old Style" w:cs="Arial"/>
        </w:rPr>
        <w:t xml:space="preserve"> </w:t>
      </w:r>
      <w:r w:rsidRPr="006907EB">
        <w:rPr>
          <w:rFonts w:ascii="Bookman Old Style" w:hAnsi="Bookman Old Style" w:cs="Arial"/>
        </w:rPr>
        <w:t>en la subasta 2022–2023</w:t>
      </w:r>
      <w:r w:rsidR="007F1FA3">
        <w:rPr>
          <w:rFonts w:ascii="Bookman Old Style" w:hAnsi="Bookman Old Style" w:cs="Arial"/>
        </w:rPr>
        <w:t>,</w:t>
      </w:r>
      <w:r w:rsidRPr="006907EB">
        <w:rPr>
          <w:rFonts w:ascii="Bookman Old Style" w:hAnsi="Bookman Old Style" w:cs="Arial"/>
        </w:rPr>
        <w:t xml:space="preserve"> y las plantas hidráulicas que tengan asignaciones previas para este período y que se encuentren en operación, de acuerdo con lo definido en el Anexo 6 de la Resolución CREG 071 de 2006.</w:t>
      </w:r>
    </w:p>
    <w:p w14:paraId="564F6C5C" w14:textId="77777777" w:rsidR="00BF1320" w:rsidRPr="00152705" w:rsidRDefault="00BF1320" w:rsidP="00BF1320">
      <w:pPr>
        <w:ind w:left="0"/>
        <w:jc w:val="both"/>
        <w:rPr>
          <w:rFonts w:ascii="Bookman Old Style" w:hAnsi="Bookman Old Style" w:cs="Arial"/>
        </w:rPr>
      </w:pPr>
    </w:p>
    <w:p w14:paraId="3FFCE435" w14:textId="77777777" w:rsidR="00BF1320" w:rsidRPr="00152705" w:rsidRDefault="00BF1320" w:rsidP="00BF1320">
      <w:pPr>
        <w:ind w:left="0"/>
        <w:jc w:val="both"/>
        <w:rPr>
          <w:rFonts w:ascii="Bookman Old Style" w:hAnsi="Bookman Old Style" w:cs="Arial"/>
        </w:rPr>
      </w:pPr>
      <w:r w:rsidRPr="00152705">
        <w:rPr>
          <w:rFonts w:ascii="Bookman Old Style" w:hAnsi="Bookman Old Style" w:cs="Arial"/>
        </w:rPr>
        <w:t xml:space="preserve">El informe incluyó la auditoría de los siguientes 17 parámetros de las plantas hidráulicas: </w:t>
      </w:r>
    </w:p>
    <w:p w14:paraId="63CB9679" w14:textId="77777777" w:rsidR="00BF1320" w:rsidRPr="00152705" w:rsidRDefault="00BF1320" w:rsidP="00BF1320">
      <w:pPr>
        <w:ind w:left="0"/>
        <w:jc w:val="both"/>
        <w:rPr>
          <w:rFonts w:ascii="Bookman Old Style" w:hAnsi="Bookman Old Style" w:cs="Arial"/>
        </w:rPr>
      </w:pPr>
    </w:p>
    <w:p w14:paraId="14589C44"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1.</w:t>
      </w:r>
      <w:r w:rsidRPr="00152705">
        <w:rPr>
          <w:rFonts w:ascii="Bookman Old Style" w:hAnsi="Bookman Old Style" w:cs="Arial"/>
        </w:rPr>
        <w:tab/>
        <w:t xml:space="preserve">Capacidad Efectiva Neta </w:t>
      </w:r>
    </w:p>
    <w:p w14:paraId="266F9D4B"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2.</w:t>
      </w:r>
      <w:r w:rsidRPr="00152705">
        <w:rPr>
          <w:rFonts w:ascii="Bookman Old Style" w:hAnsi="Bookman Old Style" w:cs="Arial"/>
        </w:rPr>
        <w:tab/>
        <w:t xml:space="preserve">Factor de Conversión </w:t>
      </w:r>
    </w:p>
    <w:p w14:paraId="22F20FC1"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3.</w:t>
      </w:r>
      <w:r w:rsidRPr="00152705">
        <w:rPr>
          <w:rFonts w:ascii="Bookman Old Style" w:hAnsi="Bookman Old Style" w:cs="Arial"/>
        </w:rPr>
        <w:tab/>
        <w:t xml:space="preserve">IHF Plantas Hidráulicas </w:t>
      </w:r>
    </w:p>
    <w:p w14:paraId="3B5319DC"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4.</w:t>
      </w:r>
      <w:r w:rsidRPr="00152705">
        <w:rPr>
          <w:rFonts w:ascii="Bookman Old Style" w:hAnsi="Bookman Old Style" w:cs="Arial"/>
        </w:rPr>
        <w:tab/>
        <w:t xml:space="preserve">Volumen de Espera </w:t>
      </w:r>
    </w:p>
    <w:p w14:paraId="7E13CFFB"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5.</w:t>
      </w:r>
      <w:r w:rsidRPr="00152705">
        <w:rPr>
          <w:rFonts w:ascii="Bookman Old Style" w:hAnsi="Bookman Old Style" w:cs="Arial"/>
        </w:rPr>
        <w:tab/>
        <w:t xml:space="preserve">Curva Guía Máxima y Mínima </w:t>
      </w:r>
    </w:p>
    <w:p w14:paraId="591EBFD3"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6.</w:t>
      </w:r>
      <w:r w:rsidRPr="00152705">
        <w:rPr>
          <w:rFonts w:ascii="Bookman Old Style" w:hAnsi="Bookman Old Style" w:cs="Arial"/>
        </w:rPr>
        <w:tab/>
        <w:t xml:space="preserve">Arcos de Generación </w:t>
      </w:r>
    </w:p>
    <w:p w14:paraId="0BB1F45F"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7.</w:t>
      </w:r>
      <w:r w:rsidRPr="00152705">
        <w:rPr>
          <w:rFonts w:ascii="Bookman Old Style" w:hAnsi="Bookman Old Style" w:cs="Arial"/>
        </w:rPr>
        <w:tab/>
        <w:t>Arcos de Descarga</w:t>
      </w:r>
    </w:p>
    <w:p w14:paraId="44F89782"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8.</w:t>
      </w:r>
      <w:r w:rsidRPr="00152705">
        <w:rPr>
          <w:rFonts w:ascii="Bookman Old Style" w:hAnsi="Bookman Old Style" w:cs="Arial"/>
        </w:rPr>
        <w:tab/>
        <w:t>Arcos de Bombeo</w:t>
      </w:r>
    </w:p>
    <w:p w14:paraId="0FD93C82"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9.</w:t>
      </w:r>
      <w:r w:rsidRPr="00152705">
        <w:rPr>
          <w:rFonts w:ascii="Bookman Old Style" w:hAnsi="Bookman Old Style" w:cs="Arial"/>
        </w:rPr>
        <w:tab/>
        <w:t xml:space="preserve">Demanda Acueducto y Riego  </w:t>
      </w:r>
    </w:p>
    <w:p w14:paraId="1BF2F862" w14:textId="77777777" w:rsidR="00BF1320" w:rsidRPr="00152705" w:rsidRDefault="00BF1320" w:rsidP="00176ED4">
      <w:pPr>
        <w:ind w:left="708"/>
        <w:jc w:val="both"/>
        <w:rPr>
          <w:rFonts w:ascii="Bookman Old Style" w:hAnsi="Bookman Old Style" w:cs="Arial"/>
        </w:rPr>
      </w:pPr>
      <w:r w:rsidRPr="00152705">
        <w:rPr>
          <w:rFonts w:ascii="Bookman Old Style" w:hAnsi="Bookman Old Style" w:cs="Arial"/>
        </w:rPr>
        <w:t>10.</w:t>
      </w:r>
      <w:r w:rsidRPr="00152705">
        <w:rPr>
          <w:rFonts w:ascii="Bookman Old Style" w:hAnsi="Bookman Old Style" w:cs="Arial"/>
        </w:rPr>
        <w:tab/>
        <w:t xml:space="preserve">Factor de Retorno de Acueducto y Riego </w:t>
      </w:r>
    </w:p>
    <w:p w14:paraId="532F8112"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11.</w:t>
      </w:r>
      <w:r w:rsidRPr="00152705">
        <w:rPr>
          <w:rFonts w:ascii="Bookman Old Style" w:hAnsi="Bookman Old Style" w:cs="Arial"/>
        </w:rPr>
        <w:tab/>
        <w:t xml:space="preserve">Topología de Plantas Hidráulicas </w:t>
      </w:r>
    </w:p>
    <w:p w14:paraId="60777597"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12.</w:t>
      </w:r>
      <w:r w:rsidRPr="00152705">
        <w:rPr>
          <w:rFonts w:ascii="Bookman Old Style" w:hAnsi="Bookman Old Style" w:cs="Arial"/>
        </w:rPr>
        <w:tab/>
        <w:t xml:space="preserve">Filtraciones </w:t>
      </w:r>
    </w:p>
    <w:p w14:paraId="61E70AD4"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13.</w:t>
      </w:r>
      <w:r w:rsidRPr="00152705">
        <w:rPr>
          <w:rFonts w:ascii="Bookman Old Style" w:hAnsi="Bookman Old Style" w:cs="Arial"/>
        </w:rPr>
        <w:tab/>
        <w:t xml:space="preserve">Descarga Máximas Embalses (aplicable a Bogotá) </w:t>
      </w:r>
    </w:p>
    <w:p w14:paraId="77975336"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14.</w:t>
      </w:r>
      <w:r w:rsidRPr="00152705">
        <w:rPr>
          <w:rFonts w:ascii="Bookman Old Style" w:hAnsi="Bookman Old Style" w:cs="Arial"/>
        </w:rPr>
        <w:tab/>
        <w:t xml:space="preserve">Capacidad de Túneles (aplicable a Chivor) </w:t>
      </w:r>
    </w:p>
    <w:p w14:paraId="0360238D"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15.</w:t>
      </w:r>
      <w:r w:rsidRPr="00152705">
        <w:rPr>
          <w:rFonts w:ascii="Bookman Old Style" w:hAnsi="Bookman Old Style" w:cs="Arial"/>
        </w:rPr>
        <w:tab/>
        <w:t xml:space="preserve">Serie Histórica de Caudales Medios Mensuales </w:t>
      </w:r>
    </w:p>
    <w:p w14:paraId="1A407F1D" w14:textId="77777777" w:rsidR="00BF1320" w:rsidRPr="00152705" w:rsidRDefault="00BF1320" w:rsidP="00BF1320">
      <w:pPr>
        <w:ind w:left="708"/>
        <w:jc w:val="both"/>
        <w:rPr>
          <w:rFonts w:ascii="Bookman Old Style" w:hAnsi="Bookman Old Style" w:cs="Arial"/>
        </w:rPr>
      </w:pPr>
      <w:r w:rsidRPr="00152705">
        <w:rPr>
          <w:rFonts w:ascii="Bookman Old Style" w:hAnsi="Bookman Old Style" w:cs="Arial"/>
        </w:rPr>
        <w:t>16.</w:t>
      </w:r>
      <w:r w:rsidRPr="00152705">
        <w:rPr>
          <w:rFonts w:ascii="Bookman Old Style" w:hAnsi="Bookman Old Style" w:cs="Arial"/>
        </w:rPr>
        <w:tab/>
        <w:t xml:space="preserve">Embalse Mínimo Técnico </w:t>
      </w:r>
    </w:p>
    <w:p w14:paraId="3759396D" w14:textId="2C73549C" w:rsidR="00BF1320" w:rsidRDefault="00BF1320" w:rsidP="00BF1320">
      <w:pPr>
        <w:ind w:left="708"/>
        <w:jc w:val="both"/>
        <w:rPr>
          <w:rFonts w:ascii="Bookman Old Style" w:hAnsi="Bookman Old Style" w:cs="Arial"/>
        </w:rPr>
      </w:pPr>
      <w:r w:rsidRPr="00152705">
        <w:rPr>
          <w:rFonts w:ascii="Bookman Old Style" w:hAnsi="Bookman Old Style" w:cs="Arial"/>
        </w:rPr>
        <w:t>17.</w:t>
      </w:r>
      <w:r w:rsidRPr="00152705">
        <w:rPr>
          <w:rFonts w:ascii="Bookman Old Style" w:hAnsi="Bookman Old Style" w:cs="Arial"/>
        </w:rPr>
        <w:tab/>
        <w:t>Embalse Máximo Técnico</w:t>
      </w:r>
    </w:p>
    <w:p w14:paraId="74FCE5C8" w14:textId="7B851853" w:rsidR="00BF1320" w:rsidRDefault="00BF1320">
      <w:pPr>
        <w:spacing w:after="120"/>
        <w:ind w:left="0"/>
        <w:jc w:val="both"/>
        <w:rPr>
          <w:rFonts w:ascii="Bookman Old Style" w:hAnsi="Bookman Old Style" w:cs="Arial"/>
        </w:rPr>
      </w:pPr>
    </w:p>
    <w:p w14:paraId="3C0315B3" w14:textId="77777777" w:rsidR="007F1FA3" w:rsidRDefault="007F1FA3" w:rsidP="00581E02">
      <w:pPr>
        <w:spacing w:after="120"/>
        <w:ind w:left="0"/>
        <w:jc w:val="both"/>
        <w:rPr>
          <w:rFonts w:ascii="Bookman Old Style" w:hAnsi="Bookman Old Style" w:cs="Arial"/>
        </w:rPr>
      </w:pPr>
    </w:p>
    <w:p w14:paraId="4BE63847" w14:textId="2592133E" w:rsidR="00BF1320" w:rsidRDefault="00BF1320" w:rsidP="00BF1320">
      <w:pPr>
        <w:ind w:left="0"/>
        <w:rPr>
          <w:rFonts w:ascii="Bookman Old Style" w:hAnsi="Bookman Old Style" w:cs="Arial"/>
          <w:b/>
          <w:iCs/>
        </w:rPr>
      </w:pPr>
      <w:r w:rsidRPr="00152705">
        <w:rPr>
          <w:rFonts w:ascii="Bookman Old Style" w:hAnsi="Bookman Old Style" w:cs="Arial"/>
          <w:b/>
          <w:iCs/>
        </w:rPr>
        <w:t>III.  INFORME DE LA AUDITORÍA DE LA PLANTA</w:t>
      </w:r>
      <w:r w:rsidR="00AB2F63">
        <w:rPr>
          <w:rFonts w:ascii="Bookman Old Style" w:hAnsi="Bookman Old Style" w:cs="Arial"/>
          <w:b/>
          <w:iCs/>
        </w:rPr>
        <w:t xml:space="preserve"> BAJO ANCHICAYÁ</w:t>
      </w:r>
    </w:p>
    <w:p w14:paraId="2D9F1084" w14:textId="77777777" w:rsidR="006F100B" w:rsidRDefault="006F100B" w:rsidP="00833315">
      <w:pPr>
        <w:ind w:left="0"/>
        <w:jc w:val="both"/>
        <w:rPr>
          <w:rFonts w:ascii="Bookman Old Style" w:hAnsi="Bookman Old Style" w:cs="Arial"/>
          <w:lang w:val="es-CO"/>
        </w:rPr>
      </w:pPr>
    </w:p>
    <w:p w14:paraId="34AC88FC" w14:textId="77777777" w:rsidR="006F100B" w:rsidRDefault="006F100B" w:rsidP="006F100B">
      <w:pPr>
        <w:ind w:left="0"/>
        <w:jc w:val="both"/>
        <w:rPr>
          <w:rFonts w:ascii="Bookman Old Style" w:hAnsi="Bookman Old Style" w:cs="Arial"/>
          <w:lang w:val="es-CO"/>
        </w:rPr>
      </w:pPr>
      <w:r>
        <w:rPr>
          <w:rFonts w:ascii="Bookman Old Style" w:hAnsi="Bookman Old Style" w:cs="Arial"/>
          <w:lang w:val="es-CO"/>
        </w:rPr>
        <w:t>En el precitado informe, el auditor detalló en la “</w:t>
      </w:r>
      <w:r w:rsidRPr="00BA073A">
        <w:rPr>
          <w:rFonts w:ascii="Bookman Old Style" w:hAnsi="Bookman Old Style" w:cs="Arial"/>
        </w:rPr>
        <w:t>Tabla 24. Resumen resultados parámetros auditados y condición de discrepancia - Agente EPSA</w:t>
      </w:r>
      <w:r>
        <w:rPr>
          <w:rFonts w:ascii="Bookman Old Style" w:hAnsi="Bookman Old Style" w:cs="Arial"/>
        </w:rPr>
        <w:t xml:space="preserve">”, para la planta BAJO ANCHICAYÁ </w:t>
      </w:r>
      <w:r>
        <w:rPr>
          <w:rFonts w:ascii="Bookman Old Style" w:hAnsi="Bookman Old Style" w:cs="Arial"/>
          <w:lang w:val="es-CO"/>
        </w:rPr>
        <w:t>lo siguiente:</w:t>
      </w:r>
    </w:p>
    <w:p w14:paraId="5A100396" w14:textId="77777777" w:rsidR="006F100B" w:rsidRDefault="006F100B" w:rsidP="006F100B">
      <w:pPr>
        <w:ind w:left="0"/>
        <w:jc w:val="both"/>
        <w:rPr>
          <w:rFonts w:ascii="Bookman Old Style" w:hAnsi="Bookman Old Style" w:cs="Arial"/>
          <w:lang w:val="es-CO"/>
        </w:rPr>
      </w:pPr>
    </w:p>
    <w:tbl>
      <w:tblPr>
        <w:tblStyle w:val="Tablaconcuadrcula"/>
        <w:tblW w:w="0" w:type="auto"/>
        <w:jc w:val="center"/>
        <w:tblLook w:val="04A0" w:firstRow="1" w:lastRow="0" w:firstColumn="1" w:lastColumn="0" w:noHBand="0" w:noVBand="1"/>
      </w:tblPr>
      <w:tblGrid>
        <w:gridCol w:w="4106"/>
        <w:gridCol w:w="1559"/>
      </w:tblGrid>
      <w:tr w:rsidR="006F100B" w14:paraId="205F58AB" w14:textId="77777777" w:rsidTr="002159B3">
        <w:trPr>
          <w:jc w:val="center"/>
        </w:trPr>
        <w:tc>
          <w:tcPr>
            <w:tcW w:w="4106" w:type="dxa"/>
          </w:tcPr>
          <w:p w14:paraId="33667BBE" w14:textId="77777777" w:rsidR="006F100B" w:rsidRPr="00900EAA" w:rsidRDefault="006F100B" w:rsidP="002159B3">
            <w:pPr>
              <w:ind w:left="0"/>
              <w:jc w:val="center"/>
              <w:rPr>
                <w:rFonts w:ascii="Calibri Light" w:hAnsi="Calibri Light" w:cs="Calibri Light"/>
                <w:b/>
                <w:bCs/>
                <w:lang w:val="es-CO"/>
              </w:rPr>
            </w:pPr>
            <w:r w:rsidRPr="00900EAA">
              <w:rPr>
                <w:rFonts w:ascii="Calibri Light" w:hAnsi="Calibri Light" w:cs="Calibri Light"/>
                <w:b/>
                <w:bCs/>
                <w:lang w:val="es-CO"/>
              </w:rPr>
              <w:t>PARÁMETRO</w:t>
            </w:r>
          </w:p>
          <w:p w14:paraId="7DA5F13A" w14:textId="77777777" w:rsidR="006F100B" w:rsidRPr="00900EAA" w:rsidRDefault="006F100B" w:rsidP="002159B3">
            <w:pPr>
              <w:ind w:left="0"/>
              <w:jc w:val="center"/>
              <w:rPr>
                <w:rFonts w:ascii="Calibri Light" w:hAnsi="Calibri Light" w:cs="Calibri Light"/>
                <w:b/>
                <w:bCs/>
                <w:lang w:val="es-CO"/>
              </w:rPr>
            </w:pPr>
            <w:r w:rsidRPr="00900EAA">
              <w:rPr>
                <w:rFonts w:ascii="Calibri Light" w:hAnsi="Calibri Light" w:cs="Calibri Light"/>
                <w:b/>
                <w:bCs/>
                <w:lang w:val="es-CO"/>
              </w:rPr>
              <w:t>CENTRAL-RÍO-EMBALSE-SERIE</w:t>
            </w:r>
          </w:p>
        </w:tc>
        <w:tc>
          <w:tcPr>
            <w:tcW w:w="1559" w:type="dxa"/>
          </w:tcPr>
          <w:p w14:paraId="622429AA" w14:textId="77777777" w:rsidR="006F100B" w:rsidRPr="00900EAA" w:rsidRDefault="006F100B" w:rsidP="002159B3">
            <w:pPr>
              <w:ind w:left="0"/>
              <w:jc w:val="center"/>
              <w:rPr>
                <w:rFonts w:ascii="Calibri Light" w:hAnsi="Calibri Light" w:cs="Calibri Light"/>
                <w:b/>
                <w:bCs/>
                <w:lang w:val="es-CO"/>
              </w:rPr>
            </w:pPr>
            <w:r>
              <w:rPr>
                <w:rFonts w:ascii="Calibri Light" w:hAnsi="Calibri Light" w:cs="Calibri Light"/>
                <w:b/>
                <w:bCs/>
                <w:lang w:val="es-CO"/>
              </w:rPr>
              <w:t>BAJO ANCHICAYÁ</w:t>
            </w:r>
          </w:p>
        </w:tc>
      </w:tr>
      <w:tr w:rsidR="006F100B" w14:paraId="31F1F560" w14:textId="77777777" w:rsidTr="002159B3">
        <w:trPr>
          <w:jc w:val="center"/>
        </w:trPr>
        <w:tc>
          <w:tcPr>
            <w:tcW w:w="4106" w:type="dxa"/>
          </w:tcPr>
          <w:p w14:paraId="04D95FE8"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 xml:space="preserve">Capacidad Efectiva Neta </w:t>
            </w:r>
          </w:p>
        </w:tc>
        <w:tc>
          <w:tcPr>
            <w:tcW w:w="1559" w:type="dxa"/>
          </w:tcPr>
          <w:p w14:paraId="2240FB35" w14:textId="77777777" w:rsidR="006F100B" w:rsidRPr="00900EAA" w:rsidRDefault="006F100B" w:rsidP="002159B3">
            <w:pPr>
              <w:ind w:left="0"/>
              <w:jc w:val="center"/>
              <w:rPr>
                <w:rFonts w:ascii="Calibri Light" w:hAnsi="Calibri Light" w:cs="Calibri Light"/>
                <w:lang w:val="es-CO"/>
              </w:rPr>
            </w:pPr>
            <w:r w:rsidRPr="00900EAA">
              <w:rPr>
                <w:rFonts w:ascii="Calibri Light" w:hAnsi="Calibri Light" w:cs="Calibri Light"/>
                <w:lang w:val="es-CO"/>
              </w:rPr>
              <w:t>NO</w:t>
            </w:r>
          </w:p>
        </w:tc>
      </w:tr>
      <w:tr w:rsidR="006F100B" w14:paraId="4D4A214B" w14:textId="77777777" w:rsidTr="002159B3">
        <w:trPr>
          <w:jc w:val="center"/>
        </w:trPr>
        <w:tc>
          <w:tcPr>
            <w:tcW w:w="4106" w:type="dxa"/>
          </w:tcPr>
          <w:p w14:paraId="2A5F248A"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 xml:space="preserve">Factor de Conversión </w:t>
            </w:r>
          </w:p>
        </w:tc>
        <w:tc>
          <w:tcPr>
            <w:tcW w:w="1559" w:type="dxa"/>
          </w:tcPr>
          <w:p w14:paraId="1F09929C" w14:textId="77777777" w:rsidR="006F100B" w:rsidRPr="00900EAA" w:rsidRDefault="006F100B" w:rsidP="002159B3">
            <w:pPr>
              <w:ind w:left="0"/>
              <w:jc w:val="center"/>
              <w:rPr>
                <w:rFonts w:ascii="Calibri Light" w:hAnsi="Calibri Light" w:cs="Calibri Light"/>
                <w:lang w:val="es-CO"/>
              </w:rPr>
            </w:pPr>
            <w:r w:rsidRPr="00900EAA">
              <w:rPr>
                <w:rFonts w:ascii="Calibri Light" w:hAnsi="Calibri Light" w:cs="Calibri Light"/>
                <w:lang w:val="es-CO"/>
              </w:rPr>
              <w:t>NO</w:t>
            </w:r>
          </w:p>
        </w:tc>
      </w:tr>
      <w:tr w:rsidR="006F100B" w14:paraId="6C04AADB" w14:textId="77777777" w:rsidTr="002159B3">
        <w:trPr>
          <w:jc w:val="center"/>
        </w:trPr>
        <w:tc>
          <w:tcPr>
            <w:tcW w:w="4106" w:type="dxa"/>
          </w:tcPr>
          <w:p w14:paraId="2FEC240C"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IHF</w:t>
            </w:r>
          </w:p>
        </w:tc>
        <w:tc>
          <w:tcPr>
            <w:tcW w:w="1559" w:type="dxa"/>
          </w:tcPr>
          <w:p w14:paraId="112FA61F" w14:textId="77777777" w:rsidR="006F100B" w:rsidRPr="00900EAA" w:rsidRDefault="006F100B" w:rsidP="002159B3">
            <w:pPr>
              <w:ind w:left="0"/>
              <w:jc w:val="center"/>
              <w:rPr>
                <w:rFonts w:ascii="Calibri Light" w:hAnsi="Calibri Light" w:cs="Calibri Light"/>
                <w:lang w:val="es-CO"/>
              </w:rPr>
            </w:pPr>
            <w:r w:rsidRPr="00900EAA">
              <w:rPr>
                <w:rFonts w:ascii="Calibri Light" w:hAnsi="Calibri Light" w:cs="Calibri Light"/>
                <w:lang w:val="es-CO"/>
              </w:rPr>
              <w:t>NO</w:t>
            </w:r>
          </w:p>
        </w:tc>
      </w:tr>
      <w:tr w:rsidR="006F100B" w14:paraId="13B74051" w14:textId="77777777" w:rsidTr="002159B3">
        <w:trPr>
          <w:jc w:val="center"/>
        </w:trPr>
        <w:tc>
          <w:tcPr>
            <w:tcW w:w="4106" w:type="dxa"/>
          </w:tcPr>
          <w:p w14:paraId="0A1B8B39"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 xml:space="preserve">Topología </w:t>
            </w:r>
          </w:p>
        </w:tc>
        <w:tc>
          <w:tcPr>
            <w:tcW w:w="1559" w:type="dxa"/>
          </w:tcPr>
          <w:p w14:paraId="5DB8C054" w14:textId="77777777" w:rsidR="006F100B" w:rsidRPr="00A5613A" w:rsidRDefault="006F100B" w:rsidP="002159B3">
            <w:pPr>
              <w:ind w:left="0"/>
              <w:jc w:val="center"/>
              <w:rPr>
                <w:rFonts w:ascii="Calibri Light" w:hAnsi="Calibri Light" w:cs="Calibri Light"/>
                <w:lang w:val="es-CO"/>
              </w:rPr>
            </w:pPr>
            <w:r w:rsidRPr="00A5613A">
              <w:rPr>
                <w:rFonts w:ascii="Calibri Light" w:hAnsi="Calibri Light" w:cs="Calibri Light"/>
                <w:lang w:val="es-CO"/>
              </w:rPr>
              <w:t>NO</w:t>
            </w:r>
          </w:p>
        </w:tc>
      </w:tr>
      <w:tr w:rsidR="006F100B" w14:paraId="340800B8" w14:textId="77777777" w:rsidTr="002159B3">
        <w:trPr>
          <w:jc w:val="center"/>
        </w:trPr>
        <w:tc>
          <w:tcPr>
            <w:tcW w:w="4106" w:type="dxa"/>
          </w:tcPr>
          <w:p w14:paraId="782B292E"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 xml:space="preserve">Arcos de Generación </w:t>
            </w:r>
          </w:p>
        </w:tc>
        <w:tc>
          <w:tcPr>
            <w:tcW w:w="1559" w:type="dxa"/>
          </w:tcPr>
          <w:p w14:paraId="2AD7CE09" w14:textId="77777777" w:rsidR="006F100B" w:rsidRPr="00900EAA" w:rsidRDefault="006F100B" w:rsidP="002159B3">
            <w:pPr>
              <w:ind w:left="0"/>
              <w:jc w:val="center"/>
              <w:rPr>
                <w:rFonts w:ascii="Calibri Light" w:hAnsi="Calibri Light" w:cs="Calibri Light"/>
                <w:lang w:val="es-CO"/>
              </w:rPr>
            </w:pPr>
            <w:r w:rsidRPr="00900EAA">
              <w:rPr>
                <w:rFonts w:ascii="Calibri Light" w:hAnsi="Calibri Light" w:cs="Calibri Light"/>
                <w:lang w:val="es-CO"/>
              </w:rPr>
              <w:t>NO</w:t>
            </w:r>
          </w:p>
        </w:tc>
      </w:tr>
      <w:tr w:rsidR="006F100B" w14:paraId="02243271" w14:textId="77777777" w:rsidTr="002159B3">
        <w:trPr>
          <w:jc w:val="center"/>
        </w:trPr>
        <w:tc>
          <w:tcPr>
            <w:tcW w:w="4106" w:type="dxa"/>
          </w:tcPr>
          <w:p w14:paraId="32105754"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 xml:space="preserve">Arcos de Descarga </w:t>
            </w:r>
          </w:p>
        </w:tc>
        <w:tc>
          <w:tcPr>
            <w:tcW w:w="1559" w:type="dxa"/>
          </w:tcPr>
          <w:p w14:paraId="37F30C1B" w14:textId="77777777" w:rsidR="006F100B" w:rsidRPr="00900EAA" w:rsidRDefault="006F100B" w:rsidP="002159B3">
            <w:pPr>
              <w:ind w:left="0"/>
              <w:jc w:val="center"/>
              <w:rPr>
                <w:rFonts w:ascii="Calibri Light" w:hAnsi="Calibri Light" w:cs="Calibri Light"/>
                <w:lang w:val="es-CO"/>
              </w:rPr>
            </w:pPr>
            <w:r>
              <w:rPr>
                <w:rFonts w:ascii="Calibri Light" w:hAnsi="Calibri Light" w:cs="Calibri Light"/>
                <w:lang w:val="es-CO"/>
              </w:rPr>
              <w:t>NO</w:t>
            </w:r>
          </w:p>
        </w:tc>
      </w:tr>
      <w:tr w:rsidR="006F100B" w14:paraId="7A7AB1AE" w14:textId="77777777" w:rsidTr="002159B3">
        <w:trPr>
          <w:jc w:val="center"/>
        </w:trPr>
        <w:tc>
          <w:tcPr>
            <w:tcW w:w="4106" w:type="dxa"/>
          </w:tcPr>
          <w:p w14:paraId="41AFC93B"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Arcos de Bombeo</w:t>
            </w:r>
          </w:p>
        </w:tc>
        <w:tc>
          <w:tcPr>
            <w:tcW w:w="1559" w:type="dxa"/>
          </w:tcPr>
          <w:p w14:paraId="0FC7AE69" w14:textId="77777777" w:rsidR="006F100B" w:rsidRPr="00900EAA" w:rsidRDefault="006F100B" w:rsidP="002159B3">
            <w:pPr>
              <w:ind w:left="0"/>
              <w:jc w:val="center"/>
              <w:rPr>
                <w:rFonts w:ascii="Calibri Light" w:hAnsi="Calibri Light" w:cs="Calibri Light"/>
                <w:lang w:val="es-CO"/>
              </w:rPr>
            </w:pPr>
            <w:r w:rsidRPr="00900EAA">
              <w:rPr>
                <w:rFonts w:ascii="Calibri Light" w:hAnsi="Calibri Light" w:cs="Calibri Light"/>
                <w:lang w:val="es-CO"/>
              </w:rPr>
              <w:t>NO</w:t>
            </w:r>
          </w:p>
        </w:tc>
      </w:tr>
      <w:tr w:rsidR="006F100B" w14:paraId="1505003A" w14:textId="77777777" w:rsidTr="002159B3">
        <w:trPr>
          <w:jc w:val="center"/>
        </w:trPr>
        <w:tc>
          <w:tcPr>
            <w:tcW w:w="4106" w:type="dxa"/>
          </w:tcPr>
          <w:p w14:paraId="4FFF619D"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Embalse Mínimo Técnico</w:t>
            </w:r>
          </w:p>
        </w:tc>
        <w:tc>
          <w:tcPr>
            <w:tcW w:w="1559" w:type="dxa"/>
          </w:tcPr>
          <w:p w14:paraId="13509230" w14:textId="77777777" w:rsidR="006F100B" w:rsidRPr="00900EAA" w:rsidRDefault="006F100B" w:rsidP="002159B3">
            <w:pPr>
              <w:ind w:left="0"/>
              <w:jc w:val="center"/>
              <w:rPr>
                <w:rFonts w:ascii="Calibri Light" w:hAnsi="Calibri Light" w:cs="Calibri Light"/>
                <w:lang w:val="es-CO"/>
              </w:rPr>
            </w:pPr>
            <w:r w:rsidRPr="00900EAA">
              <w:rPr>
                <w:rFonts w:ascii="Calibri Light" w:hAnsi="Calibri Light" w:cs="Calibri Light"/>
                <w:lang w:val="es-CO"/>
              </w:rPr>
              <w:t>NO</w:t>
            </w:r>
          </w:p>
        </w:tc>
      </w:tr>
      <w:tr w:rsidR="006F100B" w14:paraId="76A71502" w14:textId="77777777" w:rsidTr="002159B3">
        <w:trPr>
          <w:jc w:val="center"/>
        </w:trPr>
        <w:tc>
          <w:tcPr>
            <w:tcW w:w="4106" w:type="dxa"/>
          </w:tcPr>
          <w:p w14:paraId="7BE65ACD"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 xml:space="preserve">Embalse Máximo Técnico </w:t>
            </w:r>
          </w:p>
        </w:tc>
        <w:tc>
          <w:tcPr>
            <w:tcW w:w="1559" w:type="dxa"/>
          </w:tcPr>
          <w:p w14:paraId="4F367158" w14:textId="77777777" w:rsidR="006F100B" w:rsidRPr="00900EAA" w:rsidRDefault="006F100B" w:rsidP="002159B3">
            <w:pPr>
              <w:ind w:left="0"/>
              <w:jc w:val="center"/>
              <w:rPr>
                <w:rFonts w:ascii="Calibri Light" w:hAnsi="Calibri Light" w:cs="Calibri Light"/>
                <w:lang w:val="es-CO"/>
              </w:rPr>
            </w:pPr>
            <w:r w:rsidRPr="00900EAA">
              <w:rPr>
                <w:rFonts w:ascii="Calibri Light" w:hAnsi="Calibri Light" w:cs="Calibri Light"/>
                <w:lang w:val="es-CO"/>
              </w:rPr>
              <w:t>NO</w:t>
            </w:r>
          </w:p>
        </w:tc>
      </w:tr>
      <w:tr w:rsidR="006F100B" w14:paraId="62BDA085" w14:textId="77777777" w:rsidTr="002159B3">
        <w:trPr>
          <w:jc w:val="center"/>
        </w:trPr>
        <w:tc>
          <w:tcPr>
            <w:tcW w:w="4106" w:type="dxa"/>
          </w:tcPr>
          <w:p w14:paraId="02DDD7FB"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Volumen de Espera</w:t>
            </w:r>
          </w:p>
        </w:tc>
        <w:tc>
          <w:tcPr>
            <w:tcW w:w="1559" w:type="dxa"/>
          </w:tcPr>
          <w:p w14:paraId="13B35B2E" w14:textId="77777777" w:rsidR="006F100B" w:rsidRPr="00900EAA" w:rsidRDefault="006F100B" w:rsidP="002159B3">
            <w:pPr>
              <w:ind w:left="0"/>
              <w:jc w:val="center"/>
              <w:rPr>
                <w:rFonts w:ascii="Calibri Light" w:hAnsi="Calibri Light" w:cs="Calibri Light"/>
                <w:lang w:val="es-CO"/>
              </w:rPr>
            </w:pPr>
            <w:r w:rsidRPr="00900EAA">
              <w:rPr>
                <w:rFonts w:ascii="Calibri Light" w:hAnsi="Calibri Light" w:cs="Calibri Light"/>
                <w:lang w:val="es-CO"/>
              </w:rPr>
              <w:t>NO</w:t>
            </w:r>
          </w:p>
        </w:tc>
      </w:tr>
      <w:tr w:rsidR="006F100B" w14:paraId="13F819EE" w14:textId="77777777" w:rsidTr="002159B3">
        <w:trPr>
          <w:jc w:val="center"/>
        </w:trPr>
        <w:tc>
          <w:tcPr>
            <w:tcW w:w="4106" w:type="dxa"/>
          </w:tcPr>
          <w:p w14:paraId="1FC3F0A0"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 xml:space="preserve">Curva Guía Mínima y Máxima </w:t>
            </w:r>
          </w:p>
        </w:tc>
        <w:tc>
          <w:tcPr>
            <w:tcW w:w="1559" w:type="dxa"/>
          </w:tcPr>
          <w:p w14:paraId="3AF2E997" w14:textId="77777777" w:rsidR="006F100B" w:rsidRPr="00900EAA" w:rsidRDefault="006F100B" w:rsidP="002159B3">
            <w:pPr>
              <w:ind w:left="0"/>
              <w:jc w:val="center"/>
              <w:rPr>
                <w:rFonts w:ascii="Calibri Light" w:hAnsi="Calibri Light" w:cs="Calibri Light"/>
                <w:lang w:val="es-CO"/>
              </w:rPr>
            </w:pPr>
            <w:r w:rsidRPr="00900EAA">
              <w:rPr>
                <w:rFonts w:ascii="Calibri Light" w:hAnsi="Calibri Light" w:cs="Calibri Light"/>
                <w:lang w:val="es-CO"/>
              </w:rPr>
              <w:t>NO</w:t>
            </w:r>
          </w:p>
        </w:tc>
      </w:tr>
      <w:tr w:rsidR="006F100B" w14:paraId="0C8ACA78" w14:textId="77777777" w:rsidTr="002159B3">
        <w:trPr>
          <w:jc w:val="center"/>
        </w:trPr>
        <w:tc>
          <w:tcPr>
            <w:tcW w:w="4106" w:type="dxa"/>
          </w:tcPr>
          <w:p w14:paraId="30076B4C"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 xml:space="preserve">Demanda de Acueducto y Riego </w:t>
            </w:r>
          </w:p>
        </w:tc>
        <w:tc>
          <w:tcPr>
            <w:tcW w:w="1559" w:type="dxa"/>
          </w:tcPr>
          <w:p w14:paraId="27AC000D" w14:textId="77777777" w:rsidR="006F100B" w:rsidRPr="00900EAA" w:rsidRDefault="006F100B" w:rsidP="002159B3">
            <w:pPr>
              <w:ind w:left="0"/>
              <w:jc w:val="center"/>
              <w:rPr>
                <w:rFonts w:ascii="Calibri Light" w:hAnsi="Calibri Light" w:cs="Calibri Light"/>
                <w:b/>
                <w:bCs/>
                <w:lang w:val="es-CO"/>
              </w:rPr>
            </w:pPr>
            <w:r w:rsidRPr="00900EAA">
              <w:rPr>
                <w:rFonts w:ascii="Calibri Light" w:hAnsi="Calibri Light" w:cs="Calibri Light"/>
                <w:lang w:val="es-CO"/>
              </w:rPr>
              <w:t>NO</w:t>
            </w:r>
          </w:p>
        </w:tc>
      </w:tr>
      <w:tr w:rsidR="006F100B" w14:paraId="030AF4BD" w14:textId="77777777" w:rsidTr="002159B3">
        <w:trPr>
          <w:jc w:val="center"/>
        </w:trPr>
        <w:tc>
          <w:tcPr>
            <w:tcW w:w="4106" w:type="dxa"/>
          </w:tcPr>
          <w:p w14:paraId="4386059B"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 xml:space="preserve">Factor de Retorno de Acueducto y Riego </w:t>
            </w:r>
          </w:p>
        </w:tc>
        <w:tc>
          <w:tcPr>
            <w:tcW w:w="1559" w:type="dxa"/>
          </w:tcPr>
          <w:p w14:paraId="0791E500" w14:textId="77777777" w:rsidR="006F100B" w:rsidRPr="00900EAA" w:rsidRDefault="006F100B" w:rsidP="002159B3">
            <w:pPr>
              <w:ind w:left="0"/>
              <w:jc w:val="center"/>
              <w:rPr>
                <w:rFonts w:ascii="Calibri Light" w:hAnsi="Calibri Light" w:cs="Calibri Light"/>
                <w:lang w:val="es-CO"/>
              </w:rPr>
            </w:pPr>
            <w:r w:rsidRPr="00900EAA">
              <w:rPr>
                <w:rFonts w:ascii="Calibri Light" w:hAnsi="Calibri Light" w:cs="Calibri Light"/>
                <w:lang w:val="es-CO"/>
              </w:rPr>
              <w:t>NO</w:t>
            </w:r>
          </w:p>
        </w:tc>
      </w:tr>
      <w:tr w:rsidR="006F100B" w14:paraId="3C2114FD" w14:textId="77777777" w:rsidTr="002159B3">
        <w:trPr>
          <w:jc w:val="center"/>
        </w:trPr>
        <w:tc>
          <w:tcPr>
            <w:tcW w:w="4106" w:type="dxa"/>
          </w:tcPr>
          <w:p w14:paraId="565BB1ED"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 xml:space="preserve">Filtraciones </w:t>
            </w:r>
          </w:p>
        </w:tc>
        <w:tc>
          <w:tcPr>
            <w:tcW w:w="1559" w:type="dxa"/>
          </w:tcPr>
          <w:p w14:paraId="16C5C4F1" w14:textId="77777777" w:rsidR="006F100B" w:rsidRPr="00900EAA" w:rsidRDefault="006F100B" w:rsidP="002159B3">
            <w:pPr>
              <w:ind w:left="0"/>
              <w:jc w:val="center"/>
              <w:rPr>
                <w:rFonts w:ascii="Calibri Light" w:hAnsi="Calibri Light" w:cs="Calibri Light"/>
                <w:b/>
                <w:bCs/>
                <w:lang w:val="es-CO"/>
              </w:rPr>
            </w:pPr>
            <w:r w:rsidRPr="00900EAA">
              <w:rPr>
                <w:rFonts w:ascii="Calibri Light" w:hAnsi="Calibri Light" w:cs="Calibri Light"/>
                <w:lang w:val="es-CO"/>
              </w:rPr>
              <w:t>NO</w:t>
            </w:r>
          </w:p>
        </w:tc>
      </w:tr>
      <w:tr w:rsidR="006F100B" w14:paraId="060387EE" w14:textId="77777777" w:rsidTr="002159B3">
        <w:trPr>
          <w:jc w:val="center"/>
        </w:trPr>
        <w:tc>
          <w:tcPr>
            <w:tcW w:w="4106" w:type="dxa"/>
          </w:tcPr>
          <w:p w14:paraId="5C2EF3AB" w14:textId="77777777" w:rsidR="006F100B" w:rsidRPr="00900EAA" w:rsidRDefault="006F100B" w:rsidP="002159B3">
            <w:pPr>
              <w:ind w:left="0"/>
              <w:jc w:val="both"/>
              <w:rPr>
                <w:rFonts w:ascii="Calibri Light" w:hAnsi="Calibri Light" w:cs="Calibri Light"/>
                <w:lang w:val="es-CO"/>
              </w:rPr>
            </w:pPr>
            <w:r w:rsidRPr="00900EAA">
              <w:rPr>
                <w:rFonts w:ascii="Calibri Light" w:hAnsi="Calibri Light" w:cs="Calibri Light"/>
                <w:lang w:val="es-CO"/>
              </w:rPr>
              <w:t>Series SIN</w:t>
            </w:r>
          </w:p>
        </w:tc>
        <w:tc>
          <w:tcPr>
            <w:tcW w:w="1559" w:type="dxa"/>
          </w:tcPr>
          <w:p w14:paraId="1046C516" w14:textId="2BD84792" w:rsidR="006F100B" w:rsidRPr="00A5613A" w:rsidRDefault="00CB2FF0" w:rsidP="002159B3">
            <w:pPr>
              <w:ind w:left="0"/>
              <w:jc w:val="center"/>
              <w:rPr>
                <w:rFonts w:ascii="Calibri Light" w:hAnsi="Calibri Light" w:cs="Calibri Light"/>
                <w:b/>
                <w:bCs/>
                <w:lang w:val="es-CO"/>
              </w:rPr>
            </w:pPr>
            <w:r>
              <w:rPr>
                <w:rFonts w:ascii="Calibri Light" w:hAnsi="Calibri Light" w:cs="Calibri Light"/>
                <w:b/>
                <w:bCs/>
                <w:lang w:val="es-CO"/>
              </w:rPr>
              <w:t>.</w:t>
            </w:r>
          </w:p>
        </w:tc>
      </w:tr>
    </w:tbl>
    <w:p w14:paraId="7B778EC1" w14:textId="77777777" w:rsidR="006F100B" w:rsidRDefault="006F100B" w:rsidP="00833315">
      <w:pPr>
        <w:ind w:left="0"/>
        <w:jc w:val="both"/>
        <w:rPr>
          <w:rFonts w:ascii="Bookman Old Style" w:hAnsi="Bookman Old Style" w:cs="Arial"/>
          <w:lang w:val="es-CO"/>
        </w:rPr>
      </w:pPr>
    </w:p>
    <w:p w14:paraId="4B9E7A17" w14:textId="4A495CBD" w:rsidR="00833315" w:rsidRPr="00833315" w:rsidRDefault="0079088F" w:rsidP="00833315">
      <w:pPr>
        <w:ind w:left="0"/>
        <w:jc w:val="both"/>
        <w:rPr>
          <w:rFonts w:ascii="Bookman Old Style" w:hAnsi="Bookman Old Style" w:cs="Arial"/>
        </w:rPr>
      </w:pPr>
      <w:r w:rsidRPr="00895BA5">
        <w:rPr>
          <w:rFonts w:ascii="Bookman Old Style" w:hAnsi="Bookman Old Style" w:cs="Arial"/>
          <w:lang w:val="es-CO"/>
        </w:rPr>
        <w:t xml:space="preserve">En el </w:t>
      </w:r>
      <w:r w:rsidR="00833315" w:rsidRPr="00895BA5">
        <w:rPr>
          <w:rFonts w:ascii="Bookman Old Style" w:hAnsi="Bookman Old Style" w:cs="Arial"/>
          <w:spacing w:val="-5"/>
          <w:lang w:eastAsia="en-US"/>
        </w:rPr>
        <w:t>Documento 3281-15-QS-RP-007 “Informe de Serie Histórica de Caudales Medios Mensuales de los Ríos del SIN – Digua”</w:t>
      </w:r>
      <w:r w:rsidR="00833315" w:rsidRPr="00895BA5">
        <w:rPr>
          <w:rFonts w:ascii="Bookman Old Style" w:hAnsi="Bookman Old Style" w:cs="Arial"/>
          <w:lang w:val="es-CO"/>
        </w:rPr>
        <w:t xml:space="preserve"> el </w:t>
      </w:r>
      <w:r w:rsidRPr="00895BA5">
        <w:rPr>
          <w:rFonts w:ascii="Bookman Old Style" w:hAnsi="Bookman Old Style" w:cs="Arial"/>
          <w:lang w:val="es-CO"/>
        </w:rPr>
        <w:t xml:space="preserve">auditor </w:t>
      </w:r>
      <w:r w:rsidR="00833315" w:rsidRPr="00895BA5">
        <w:rPr>
          <w:rFonts w:ascii="Bookman Old Style" w:hAnsi="Bookman Old Style" w:cs="Arial"/>
          <w:lang w:val="es-CO"/>
        </w:rPr>
        <w:t xml:space="preserve">concluye: </w:t>
      </w:r>
      <w:r w:rsidR="00833315" w:rsidRPr="00581E02">
        <w:rPr>
          <w:rFonts w:ascii="Bookman Old Style" w:hAnsi="Bookman Old Style" w:cs="Arial"/>
          <w:i/>
          <w:iCs/>
          <w:lang w:val="es-CO"/>
        </w:rPr>
        <w:t>“</w:t>
      </w:r>
      <w:r w:rsidR="00833315" w:rsidRPr="00581E02">
        <w:rPr>
          <w:rFonts w:ascii="Bookman Old Style" w:hAnsi="Bookman Old Style" w:cs="Arial"/>
          <w:i/>
          <w:iCs/>
          <w:sz w:val="22"/>
          <w:szCs w:val="22"/>
        </w:rPr>
        <w:t>Considerando que, de acuerdo con los resultados del proceso de auditoría se encontraron valores declarados superiores a los calculados por la firma auditora en el periodo que fue verificado (2009 - 2017), y teniendo en cuenta que no fue posible auditar el periodo agosto 1975 – diciembre 2008 por falta de información, la serie Digua PRESENTA DISCREPANCIA</w:t>
      </w:r>
      <w:r w:rsidR="00833315" w:rsidRPr="00581E02">
        <w:rPr>
          <w:rFonts w:ascii="Bookman Old Style" w:hAnsi="Bookman Old Style" w:cs="Arial"/>
          <w:i/>
          <w:iCs/>
        </w:rPr>
        <w:t>.”</w:t>
      </w:r>
    </w:p>
    <w:p w14:paraId="5739C072" w14:textId="6E1F8E2E" w:rsidR="00900EAA" w:rsidRDefault="00833315" w:rsidP="00833315">
      <w:pPr>
        <w:ind w:left="0"/>
        <w:jc w:val="both"/>
        <w:rPr>
          <w:rFonts w:ascii="Bookman Old Style" w:hAnsi="Bookman Old Style" w:cs="Arial"/>
          <w:lang w:val="es-CO"/>
        </w:rPr>
      </w:pPr>
      <w:r>
        <w:rPr>
          <w:rFonts w:ascii="Bookman Old Style" w:hAnsi="Bookman Old Style" w:cs="Arial"/>
          <w:lang w:val="es-CO"/>
        </w:rPr>
        <w:t xml:space="preserve"> </w:t>
      </w:r>
    </w:p>
    <w:p w14:paraId="48E61041" w14:textId="77777777" w:rsidR="003B0CAA" w:rsidRDefault="004B13AD" w:rsidP="0043586D">
      <w:pPr>
        <w:ind w:left="0"/>
        <w:jc w:val="both"/>
        <w:rPr>
          <w:rFonts w:ascii="Bookman Old Style" w:hAnsi="Bookman Old Style" w:cs="Arial"/>
          <w:lang w:val="es-CO"/>
        </w:rPr>
      </w:pPr>
      <w:r>
        <w:rPr>
          <w:rFonts w:ascii="Bookman Old Style" w:hAnsi="Bookman Old Style" w:cs="Arial"/>
          <w:lang w:val="es-CO"/>
        </w:rPr>
        <w:t xml:space="preserve">Adicionalmente, en el informe de auditoría 3281-01-QS-RP-015 denominado -INFORME DE CAPACIDAD EFECTIVA NETA -BAJO ANCHICAYÁ-, </w:t>
      </w:r>
      <w:r w:rsidR="003B0CAA">
        <w:rPr>
          <w:rFonts w:ascii="Bookman Old Style" w:hAnsi="Bookman Old Style" w:cs="Arial"/>
          <w:lang w:val="es-CO"/>
        </w:rPr>
        <w:t>se señaló:</w:t>
      </w:r>
    </w:p>
    <w:p w14:paraId="551848D3" w14:textId="77777777" w:rsidR="003B0CAA" w:rsidRDefault="003B0CAA" w:rsidP="0043586D">
      <w:pPr>
        <w:ind w:left="0"/>
        <w:jc w:val="both"/>
        <w:rPr>
          <w:rFonts w:ascii="Bookman Old Style" w:hAnsi="Bookman Old Style" w:cs="Arial"/>
          <w:lang w:val="es-CO"/>
        </w:rPr>
      </w:pPr>
    </w:p>
    <w:p w14:paraId="7AA1838D" w14:textId="77777777" w:rsidR="003B0CAA" w:rsidRPr="003B0CAA" w:rsidRDefault="004B13AD" w:rsidP="003B0CAA">
      <w:pPr>
        <w:jc w:val="both"/>
        <w:rPr>
          <w:rFonts w:ascii="Bookman Old Style" w:hAnsi="Bookman Old Style" w:cs="Arial"/>
          <w:sz w:val="22"/>
          <w:szCs w:val="22"/>
          <w:lang w:val="es-CO"/>
        </w:rPr>
      </w:pPr>
      <w:r>
        <w:rPr>
          <w:rFonts w:ascii="Bookman Old Style" w:hAnsi="Bookman Old Style" w:cs="Arial"/>
          <w:lang w:val="es-CO"/>
        </w:rPr>
        <w:t xml:space="preserve"> </w:t>
      </w:r>
      <w:r w:rsidR="003B0CAA" w:rsidRPr="003B0CAA">
        <w:rPr>
          <w:rFonts w:ascii="Bookman Old Style" w:hAnsi="Bookman Old Style" w:cs="Arial"/>
          <w:sz w:val="22"/>
          <w:szCs w:val="22"/>
          <w:lang w:val="es-CO"/>
        </w:rPr>
        <w:t>“(…)</w:t>
      </w:r>
    </w:p>
    <w:p w14:paraId="63E80BC1" w14:textId="49015F15" w:rsidR="003B0CAA" w:rsidRPr="003B0CAA" w:rsidRDefault="003B0CAA" w:rsidP="003B0CAA">
      <w:pPr>
        <w:jc w:val="both"/>
        <w:rPr>
          <w:rFonts w:ascii="Bookman Old Style" w:hAnsi="Bookman Old Style" w:cs="Arial"/>
          <w:sz w:val="22"/>
          <w:szCs w:val="22"/>
        </w:rPr>
      </w:pPr>
      <w:r w:rsidRPr="003B0CAA">
        <w:rPr>
          <w:rFonts w:ascii="Bookman Old Style" w:hAnsi="Bookman Old Style" w:cs="Arial"/>
          <w:sz w:val="22"/>
          <w:szCs w:val="22"/>
        </w:rPr>
        <w:t xml:space="preserve">Dando aplicación a las normas transcritas y de acuerdo con la información recibida se tiene que: </w:t>
      </w:r>
    </w:p>
    <w:p w14:paraId="54A992E0" w14:textId="77777777" w:rsidR="003B0CAA" w:rsidRDefault="003B0CAA" w:rsidP="003B0CAA">
      <w:pPr>
        <w:jc w:val="both"/>
        <w:rPr>
          <w:rFonts w:ascii="Bookman Old Style" w:hAnsi="Bookman Old Style" w:cs="Arial"/>
        </w:rPr>
      </w:pPr>
    </w:p>
    <w:p w14:paraId="26836CEE" w14:textId="11A2A92E" w:rsidR="003B0CAA" w:rsidRPr="003B0CAA" w:rsidRDefault="003B0CAA" w:rsidP="003B0CAA">
      <w:pPr>
        <w:pStyle w:val="Prrafodelista"/>
        <w:numPr>
          <w:ilvl w:val="0"/>
          <w:numId w:val="43"/>
        </w:numPr>
        <w:ind w:left="1068"/>
        <w:jc w:val="both"/>
        <w:rPr>
          <w:rFonts w:ascii="Bookman Old Style" w:hAnsi="Bookman Old Style" w:cs="Arial"/>
          <w:sz w:val="22"/>
          <w:szCs w:val="22"/>
        </w:rPr>
      </w:pPr>
      <w:r w:rsidRPr="003B0CAA">
        <w:rPr>
          <w:rFonts w:ascii="Bookman Old Style" w:hAnsi="Bookman Old Style" w:cs="Arial"/>
          <w:sz w:val="22"/>
          <w:szCs w:val="22"/>
        </w:rPr>
        <w:t xml:space="preserve">El valor declarado por EPSA para la planta hidráulica Bajo Anchicayá de 74,00 MW es menor o igual al valor registrado en el contrato de conexión de 78,00 MW. </w:t>
      </w:r>
    </w:p>
    <w:p w14:paraId="0502F541" w14:textId="77777777" w:rsidR="003B0CAA" w:rsidRPr="003B0CAA" w:rsidRDefault="003B0CAA" w:rsidP="003B0CAA">
      <w:pPr>
        <w:ind w:left="915"/>
        <w:jc w:val="both"/>
        <w:rPr>
          <w:rFonts w:ascii="Bookman Old Style" w:hAnsi="Bookman Old Style" w:cs="Arial"/>
          <w:sz w:val="22"/>
          <w:szCs w:val="22"/>
        </w:rPr>
      </w:pPr>
    </w:p>
    <w:p w14:paraId="20EEFE8D" w14:textId="5D1D6142" w:rsidR="004B13AD" w:rsidRPr="003B0CAA" w:rsidRDefault="003B0CAA" w:rsidP="003B0CAA">
      <w:pPr>
        <w:pStyle w:val="Prrafodelista"/>
        <w:numPr>
          <w:ilvl w:val="0"/>
          <w:numId w:val="43"/>
        </w:numPr>
        <w:ind w:left="1068"/>
        <w:jc w:val="both"/>
        <w:rPr>
          <w:rFonts w:ascii="Bookman Old Style" w:hAnsi="Bookman Old Style" w:cs="Arial"/>
          <w:sz w:val="22"/>
          <w:szCs w:val="22"/>
        </w:rPr>
      </w:pPr>
      <w:r w:rsidRPr="003B0CAA">
        <w:rPr>
          <w:rFonts w:ascii="Bookman Old Style" w:hAnsi="Bookman Old Style" w:cs="Arial"/>
          <w:sz w:val="22"/>
          <w:szCs w:val="22"/>
        </w:rPr>
        <w:t>El máximo valor registrado en la Frontera Comercial de Bajo Anchicayá en los últimos 5 años de 72,69 MW no es mayor o igual al declarado por EPSA para la planta hidráulica Bajo Anchicayá de 74,00 MW. (…)”</w:t>
      </w:r>
    </w:p>
    <w:p w14:paraId="3FE931AD" w14:textId="296FE6A9" w:rsidR="001A4CAA" w:rsidRDefault="001A4CAA" w:rsidP="003B0CAA">
      <w:pPr>
        <w:ind w:left="0"/>
        <w:jc w:val="both"/>
        <w:rPr>
          <w:rFonts w:ascii="Bookman Old Style" w:hAnsi="Bookman Old Style" w:cs="Arial"/>
          <w:lang w:val="es-CO"/>
        </w:rPr>
      </w:pPr>
    </w:p>
    <w:p w14:paraId="44F099BE" w14:textId="7B272054" w:rsidR="003B0CAA" w:rsidRDefault="00BF1320" w:rsidP="003B0CAA">
      <w:pPr>
        <w:ind w:left="0"/>
        <w:jc w:val="both"/>
        <w:rPr>
          <w:rFonts w:ascii="Bookman Old Style" w:hAnsi="Bookman Old Style" w:cs="Arial"/>
        </w:rPr>
      </w:pPr>
      <w:r w:rsidRPr="00F43A2E">
        <w:rPr>
          <w:rFonts w:ascii="Bookman Old Style" w:hAnsi="Bookman Old Style" w:cs="Arial"/>
          <w:lang w:val="es-CO"/>
        </w:rPr>
        <w:t>Concluye</w:t>
      </w:r>
      <w:r w:rsidR="003B0CAA" w:rsidRPr="00F43A2E">
        <w:rPr>
          <w:rFonts w:ascii="Bookman Old Style" w:hAnsi="Bookman Old Style" w:cs="Arial"/>
          <w:lang w:val="es-CO"/>
        </w:rPr>
        <w:t xml:space="preserve"> que, al evidenciarse </w:t>
      </w:r>
      <w:r w:rsidR="003B0CAA" w:rsidRPr="00F43A2E">
        <w:rPr>
          <w:rFonts w:ascii="Bookman Old Style" w:hAnsi="Bookman Old Style" w:cs="Arial"/>
        </w:rPr>
        <w:t>que el valor declarado NO excede lo consignado en el contrato o convenio de conexión que se encontraba vigente al momento de la declaración</w:t>
      </w:r>
      <w:r w:rsidR="007F1FA3">
        <w:rPr>
          <w:rFonts w:ascii="Bookman Old Style" w:hAnsi="Bookman Old Style" w:cs="Arial"/>
        </w:rPr>
        <w:t>,</w:t>
      </w:r>
      <w:r w:rsidR="003B0CAA" w:rsidRPr="00F43A2E">
        <w:rPr>
          <w:rFonts w:ascii="Bookman Old Style" w:hAnsi="Bookman Old Style" w:cs="Arial"/>
        </w:rPr>
        <w:t xml:space="preserve"> y NO ha sido superado al menos una vez durante los últimos 5 años en la frontera comercial, </w:t>
      </w:r>
      <w:r w:rsidR="000E0C39" w:rsidRPr="00F43A2E">
        <w:rPr>
          <w:rFonts w:ascii="Bookman Old Style" w:hAnsi="Bookman Old Style" w:cs="Arial"/>
        </w:rPr>
        <w:t xml:space="preserve">se presenta discrepancia en </w:t>
      </w:r>
      <w:r w:rsidR="00DF5E52" w:rsidRPr="00F43A2E">
        <w:rPr>
          <w:rFonts w:ascii="Bookman Old Style" w:hAnsi="Bookman Old Style" w:cs="Arial"/>
        </w:rPr>
        <w:t>el parámetro “Capacidad Efectiva Neta - Bajo Anchicayá”</w:t>
      </w:r>
      <w:r w:rsidR="000E0C39" w:rsidRPr="00F43A2E">
        <w:rPr>
          <w:rFonts w:ascii="Bookman Old Style" w:hAnsi="Bookman Old Style" w:cs="Arial"/>
        </w:rPr>
        <w:t>.</w:t>
      </w:r>
      <w:r w:rsidR="00DF5E52">
        <w:rPr>
          <w:rFonts w:ascii="Bookman Old Style" w:hAnsi="Bookman Old Style" w:cs="Arial"/>
        </w:rPr>
        <w:t xml:space="preserve"> </w:t>
      </w:r>
    </w:p>
    <w:p w14:paraId="2F25DCC1" w14:textId="0D1058EE" w:rsidR="00BF1320" w:rsidRDefault="00BF1320" w:rsidP="00581E02">
      <w:pPr>
        <w:spacing w:after="120"/>
        <w:ind w:left="0"/>
        <w:jc w:val="both"/>
        <w:rPr>
          <w:rFonts w:ascii="Bookman Old Style" w:hAnsi="Bookman Old Style" w:cs="Arial"/>
        </w:rPr>
      </w:pPr>
    </w:p>
    <w:p w14:paraId="701ADCA3" w14:textId="4D16BF9B" w:rsidR="00BF1320" w:rsidRDefault="00BF1320" w:rsidP="00581E02">
      <w:pPr>
        <w:ind w:hanging="567"/>
        <w:jc w:val="both"/>
        <w:rPr>
          <w:rFonts w:ascii="Bookman Old Style" w:hAnsi="Bookman Old Style"/>
          <w:b/>
        </w:rPr>
      </w:pPr>
      <w:r w:rsidRPr="00152705">
        <w:rPr>
          <w:rFonts w:ascii="Bookman Old Style" w:hAnsi="Bookman Old Style"/>
          <w:b/>
        </w:rPr>
        <w:t xml:space="preserve">IV. PROCEDIMIENTO ADMINISTRATIVO SURTIDO POR LA CREG EN RELACIÓN CON EL INFORME DE LA AUDITORÍA DE LA PLANTA </w:t>
      </w:r>
      <w:r w:rsidR="00EC381E">
        <w:rPr>
          <w:rFonts w:ascii="Bookman Old Style" w:hAnsi="Bookman Old Style"/>
          <w:b/>
        </w:rPr>
        <w:t>BAJO ANCHICAYÁ</w:t>
      </w:r>
    </w:p>
    <w:p w14:paraId="7CC17412" w14:textId="77777777" w:rsidR="00EC381E" w:rsidRPr="00152705" w:rsidRDefault="00EC381E" w:rsidP="00BF1320">
      <w:pPr>
        <w:ind w:left="0"/>
        <w:jc w:val="both"/>
        <w:rPr>
          <w:rFonts w:ascii="Bookman Old Style" w:hAnsi="Bookman Old Style" w:cs="Arial"/>
        </w:rPr>
      </w:pPr>
    </w:p>
    <w:p w14:paraId="518F47F5" w14:textId="61379212" w:rsidR="00BF1320" w:rsidRPr="00152705" w:rsidRDefault="00BF1320" w:rsidP="00BF1320">
      <w:pPr>
        <w:ind w:left="0"/>
        <w:jc w:val="both"/>
        <w:rPr>
          <w:rFonts w:ascii="Bookman Old Style" w:hAnsi="Bookman Old Style" w:cs="Arial"/>
        </w:rPr>
      </w:pPr>
      <w:r w:rsidRPr="00152705">
        <w:rPr>
          <w:rFonts w:ascii="Bookman Old Style" w:hAnsi="Bookman Old Style" w:cs="Arial"/>
          <w:bCs/>
        </w:rPr>
        <w:t xml:space="preserve">La CREG, en cumplimiento de sus funciones y con fundamento en el informe de auditoría, </w:t>
      </w:r>
      <w:r w:rsidRPr="00152705">
        <w:rPr>
          <w:rFonts w:ascii="Bookman Old Style" w:hAnsi="Bookman Old Style" w:cs="Arial"/>
        </w:rPr>
        <w:t xml:space="preserve">mediante auto del 26 de mayo de 2021, inició la actuación administrativa dirigida a establecer plenamente la existencia de </w:t>
      </w:r>
      <w:r w:rsidRPr="00152705">
        <w:rPr>
          <w:rFonts w:ascii="Bookman Old Style" w:hAnsi="Bookman Old Style" w:cs="Arial"/>
          <w:iCs/>
        </w:rPr>
        <w:t xml:space="preserve">discrepancias </w:t>
      </w:r>
      <w:r w:rsidR="008B7C64" w:rsidRPr="00D92DD0">
        <w:rPr>
          <w:rFonts w:ascii="Bookman Old Style" w:hAnsi="Bookman Old Style" w:cs="Arial"/>
          <w:iCs/>
        </w:rPr>
        <w:t>respecto de</w:t>
      </w:r>
      <w:r w:rsidR="008B7C64">
        <w:rPr>
          <w:rFonts w:ascii="Bookman Old Style" w:hAnsi="Bookman Old Style" w:cs="Arial"/>
          <w:iCs/>
        </w:rPr>
        <w:t xml:space="preserve"> los</w:t>
      </w:r>
      <w:r w:rsidR="008B7C64" w:rsidRPr="00D92DD0">
        <w:rPr>
          <w:rFonts w:ascii="Bookman Old Style" w:hAnsi="Bookman Old Style" w:cs="Arial"/>
          <w:iCs/>
        </w:rPr>
        <w:t xml:space="preserve"> </w:t>
      </w:r>
      <w:r w:rsidR="008B7C64" w:rsidRPr="00886B63">
        <w:rPr>
          <w:rFonts w:ascii="Bookman Old Style" w:hAnsi="Bookman Old Style" w:cs="Arial"/>
          <w:iCs/>
        </w:rPr>
        <w:t xml:space="preserve">parámetros </w:t>
      </w:r>
      <w:r w:rsidR="008B7C64">
        <w:rPr>
          <w:rFonts w:ascii="Bookman Old Style" w:hAnsi="Bookman Old Style" w:cs="Arial"/>
          <w:iCs/>
        </w:rPr>
        <w:t>“</w:t>
      </w:r>
      <w:r w:rsidR="00F43A2E" w:rsidRPr="00886B63">
        <w:rPr>
          <w:rFonts w:ascii="Bookman Old Style" w:hAnsi="Bookman Old Style" w:cs="Arial"/>
          <w:lang w:val="es-CO"/>
        </w:rPr>
        <w:t xml:space="preserve">Capacidad </w:t>
      </w:r>
      <w:r w:rsidR="008B7C64" w:rsidRPr="00886B63">
        <w:rPr>
          <w:rFonts w:ascii="Bookman Old Style" w:hAnsi="Bookman Old Style" w:cs="Arial"/>
          <w:lang w:val="es-CO"/>
        </w:rPr>
        <w:t>efectiva neta (CEN)</w:t>
      </w:r>
      <w:r w:rsidR="008B7C64">
        <w:rPr>
          <w:rFonts w:ascii="Bookman Old Style" w:hAnsi="Bookman Old Style" w:cs="Arial"/>
          <w:lang w:val="es-CO"/>
        </w:rPr>
        <w:t>”</w:t>
      </w:r>
      <w:r w:rsidR="008B7C64" w:rsidRPr="00D62BF7">
        <w:rPr>
          <w:rFonts w:ascii="Bookman Old Style" w:hAnsi="Bookman Old Style" w:cs="Arial"/>
          <w:lang w:val="es-CO"/>
        </w:rPr>
        <w:t xml:space="preserve"> y </w:t>
      </w:r>
      <w:r w:rsidRPr="00152705">
        <w:rPr>
          <w:rFonts w:ascii="Bookman Old Style" w:hAnsi="Bookman Old Style" w:cs="Arial"/>
          <w:iCs/>
        </w:rPr>
        <w:t>“</w:t>
      </w:r>
      <w:r w:rsidR="00F43A2E" w:rsidRPr="00152705">
        <w:rPr>
          <w:rFonts w:ascii="Bookman Old Style" w:hAnsi="Bookman Old Style" w:cs="Arial"/>
        </w:rPr>
        <w:t xml:space="preserve">Serie </w:t>
      </w:r>
      <w:r w:rsidRPr="00152705">
        <w:rPr>
          <w:rFonts w:ascii="Bookman Old Style" w:hAnsi="Bookman Old Style" w:cs="Arial"/>
        </w:rPr>
        <w:t xml:space="preserve">histórica de caudales medios mensuales de los ríos del SIN” y sus consecuencias. </w:t>
      </w:r>
    </w:p>
    <w:p w14:paraId="00C86DD4" w14:textId="77777777" w:rsidR="00BF1320" w:rsidRPr="00152705" w:rsidRDefault="00BF1320" w:rsidP="00BF1320">
      <w:pPr>
        <w:ind w:left="0"/>
        <w:jc w:val="both"/>
        <w:rPr>
          <w:rFonts w:ascii="Bookman Old Style" w:hAnsi="Bookman Old Style" w:cs="Arial"/>
        </w:rPr>
      </w:pPr>
    </w:p>
    <w:p w14:paraId="199E552E" w14:textId="014A3EB6" w:rsidR="00BF1320" w:rsidRPr="00DF5E52" w:rsidRDefault="00BF1320" w:rsidP="00BF1320">
      <w:pPr>
        <w:ind w:left="0"/>
        <w:jc w:val="both"/>
        <w:rPr>
          <w:rFonts w:ascii="Bookman Old Style" w:hAnsi="Bookman Old Style" w:cs="Arial"/>
        </w:rPr>
      </w:pPr>
      <w:r w:rsidRPr="00152705">
        <w:rPr>
          <w:rFonts w:ascii="Bookman Old Style" w:hAnsi="Bookman Old Style" w:cs="Arial"/>
          <w:b/>
        </w:rPr>
        <w:t>A. Derecho de defensa y de contradicción-</w:t>
      </w:r>
      <w:r w:rsidRPr="00152705">
        <w:rPr>
          <w:rFonts w:ascii="Bookman Old Style" w:hAnsi="Bookman Old Style" w:cs="Arial"/>
        </w:rPr>
        <w:t xml:space="preserve">. </w:t>
      </w:r>
      <w:r w:rsidR="008B7C64">
        <w:rPr>
          <w:rFonts w:ascii="Bookman Old Style" w:hAnsi="Bookman Old Style" w:cs="Arial"/>
        </w:rPr>
        <w:t>Comun</w:t>
      </w:r>
      <w:r w:rsidRPr="00152705">
        <w:rPr>
          <w:rFonts w:ascii="Bookman Old Style" w:hAnsi="Bookman Old Style" w:cs="Arial"/>
        </w:rPr>
        <w:t xml:space="preserve">icada en debida forma, el </w:t>
      </w:r>
      <w:r w:rsidRPr="00152705">
        <w:rPr>
          <w:rFonts w:ascii="Bookman Old Style" w:hAnsi="Bookman Old Style" w:cs="Arial"/>
          <w:spacing w:val="-5"/>
          <w:lang w:eastAsia="en-US"/>
        </w:rPr>
        <w:t xml:space="preserve">28 de junio de 2021, </w:t>
      </w:r>
      <w:r w:rsidRPr="00152705">
        <w:rPr>
          <w:rFonts w:ascii="Bookman Old Style" w:hAnsi="Bookman Old Style" w:cs="Arial"/>
        </w:rPr>
        <w:t>la sociedad CELSIA</w:t>
      </w:r>
      <w:r w:rsidRPr="00152705">
        <w:rPr>
          <w:rFonts w:ascii="Bookman Old Style" w:hAnsi="Bookman Old Style"/>
        </w:rPr>
        <w:t xml:space="preserve"> COLOMBIA S.A. E.S.P.,</w:t>
      </w:r>
      <w:r w:rsidRPr="00152705">
        <w:rPr>
          <w:rFonts w:ascii="Bookman Old Style" w:hAnsi="Bookman Old Style" w:cs="Arial"/>
        </w:rPr>
        <w:t xml:space="preserve"> en adelante CELSIA, </w:t>
      </w:r>
      <w:r w:rsidRPr="00152705">
        <w:rPr>
          <w:rFonts w:ascii="Bookman Old Style" w:hAnsi="Bookman Old Style" w:cs="Arial"/>
          <w:spacing w:val="-5"/>
          <w:lang w:eastAsia="en-US"/>
        </w:rPr>
        <w:t>por medio de su representante legal, mediante escrito radicado baj</w:t>
      </w:r>
      <w:r>
        <w:rPr>
          <w:rFonts w:ascii="Bookman Old Style" w:hAnsi="Bookman Old Style" w:cs="Arial"/>
          <w:spacing w:val="-5"/>
          <w:lang w:eastAsia="en-US"/>
        </w:rPr>
        <w:t>o el número interno E-2021-007388</w:t>
      </w:r>
      <w:r w:rsidRPr="00152705">
        <w:rPr>
          <w:rFonts w:ascii="Bookman Old Style" w:hAnsi="Bookman Old Style" w:cs="Arial"/>
          <w:spacing w:val="-5"/>
          <w:lang w:eastAsia="en-US"/>
        </w:rPr>
        <w:t>, manifestó:</w:t>
      </w:r>
    </w:p>
    <w:p w14:paraId="33C9ECB2" w14:textId="77777777" w:rsidR="000E0C39" w:rsidRDefault="000E0C39" w:rsidP="0079088F">
      <w:pPr>
        <w:ind w:left="0"/>
        <w:jc w:val="both"/>
        <w:rPr>
          <w:rFonts w:ascii="Bookman Old Style" w:hAnsi="Bookman Old Style" w:cs="Arial"/>
          <w:spacing w:val="-5"/>
          <w:lang w:val="es-CO" w:eastAsia="en-US"/>
        </w:rPr>
      </w:pPr>
    </w:p>
    <w:p w14:paraId="2D251F7E" w14:textId="77777777" w:rsidR="005F41AA" w:rsidRPr="00350550" w:rsidRDefault="005F41AA" w:rsidP="005F41AA">
      <w:pPr>
        <w:ind w:left="426"/>
        <w:jc w:val="both"/>
        <w:rPr>
          <w:rFonts w:ascii="Bookman Old Style" w:hAnsi="Bookman Old Style" w:cs="Arial"/>
          <w:spacing w:val="-5"/>
          <w:sz w:val="22"/>
          <w:szCs w:val="22"/>
          <w:lang w:val="es-CO" w:eastAsia="en-US"/>
        </w:rPr>
      </w:pPr>
      <w:r w:rsidRPr="00350550">
        <w:rPr>
          <w:rFonts w:ascii="Bookman Old Style" w:hAnsi="Bookman Old Style" w:cs="Arial"/>
          <w:spacing w:val="-5"/>
          <w:sz w:val="22"/>
          <w:szCs w:val="22"/>
          <w:lang w:val="es-CO" w:eastAsia="en-US"/>
        </w:rPr>
        <w:t>“(…)</w:t>
      </w:r>
    </w:p>
    <w:p w14:paraId="37F02BB9" w14:textId="77777777" w:rsidR="00DF5E52" w:rsidRDefault="00E7685D" w:rsidP="00767C77">
      <w:pPr>
        <w:ind w:left="426"/>
        <w:jc w:val="both"/>
        <w:rPr>
          <w:rFonts w:ascii="Bookman Old Style" w:hAnsi="Bookman Old Style" w:cs="Arial"/>
          <w:spacing w:val="-5"/>
          <w:sz w:val="22"/>
          <w:szCs w:val="22"/>
          <w:lang w:eastAsia="en-US"/>
        </w:rPr>
      </w:pPr>
      <w:r w:rsidRPr="00E7685D">
        <w:rPr>
          <w:rFonts w:ascii="Bookman Old Style" w:hAnsi="Bookman Old Style" w:cs="Arial"/>
          <w:spacing w:val="-5"/>
          <w:sz w:val="22"/>
          <w:szCs w:val="22"/>
          <w:lang w:eastAsia="en-US"/>
        </w:rPr>
        <w:t>Con relación actuación administrativa iniciada con base en la versión definitiva del informe de auditoría de la firma HMV, Documento 3281-01-QS-RP-015, Rev. 0 “Informe de Capacidad Efectiva Neta – Bajo Anchicayá” y al Documento 3281-15-QS-RP-007, Rev. 0 “Informe de Serie Histórica de Caudales Medios Mensuales de los Ríos</w:t>
      </w:r>
    </w:p>
    <w:p w14:paraId="51EE0ADD" w14:textId="2C4DD2AE" w:rsidR="00767C77" w:rsidRPr="00350550" w:rsidRDefault="00E7685D" w:rsidP="00767C77">
      <w:pPr>
        <w:ind w:left="426"/>
        <w:jc w:val="both"/>
        <w:rPr>
          <w:rFonts w:ascii="Bookman Old Style" w:hAnsi="Bookman Old Style" w:cs="Arial"/>
          <w:spacing w:val="-5"/>
          <w:sz w:val="22"/>
          <w:szCs w:val="22"/>
          <w:lang w:eastAsia="en-US"/>
        </w:rPr>
      </w:pPr>
      <w:r w:rsidRPr="00E7685D">
        <w:rPr>
          <w:rFonts w:ascii="Bookman Old Style" w:hAnsi="Bookman Old Style" w:cs="Arial"/>
          <w:spacing w:val="-5"/>
          <w:sz w:val="22"/>
          <w:szCs w:val="22"/>
          <w:lang w:eastAsia="en-US"/>
        </w:rPr>
        <w:t xml:space="preserve"> del SIN – Digua” sobre la verificación de parámetros declarados para participar en la subasta del cargo por confiabilidad para el período 2022-2023 el cual plantea que la planta Bajo Anchicayá presenta discrepancias en el reporte de los parámetros capacidad efectiva neta (CEN) y Serie histórica de caudales medios mensuales de los ríos del SIN, a </w:t>
      </w:r>
      <w:r w:rsidR="00D71237" w:rsidRPr="00E7685D">
        <w:rPr>
          <w:rFonts w:ascii="Bookman Old Style" w:hAnsi="Bookman Old Style" w:cs="Arial"/>
          <w:spacing w:val="-5"/>
          <w:sz w:val="22"/>
          <w:szCs w:val="22"/>
          <w:lang w:eastAsia="en-US"/>
        </w:rPr>
        <w:t>continuación,</w:t>
      </w:r>
      <w:r w:rsidRPr="00E7685D">
        <w:rPr>
          <w:rFonts w:ascii="Bookman Old Style" w:hAnsi="Bookman Old Style" w:cs="Arial"/>
          <w:spacing w:val="-5"/>
          <w:sz w:val="22"/>
          <w:szCs w:val="22"/>
          <w:lang w:eastAsia="en-US"/>
        </w:rPr>
        <w:t xml:space="preserve"> presentamos nuestros argumentos mediante los cuales rechazamos la existencia de discrepancia planteada por el auditor:</w:t>
      </w:r>
      <w:r w:rsidR="00767C77" w:rsidRPr="00350550">
        <w:rPr>
          <w:rFonts w:ascii="Bookman Old Style" w:hAnsi="Bookman Old Style" w:cs="Arial"/>
          <w:spacing w:val="-5"/>
          <w:sz w:val="22"/>
          <w:szCs w:val="22"/>
          <w:lang w:eastAsia="en-US"/>
        </w:rPr>
        <w:t xml:space="preserve"> </w:t>
      </w:r>
    </w:p>
    <w:p w14:paraId="587FE565" w14:textId="77777777" w:rsidR="00767C77" w:rsidRPr="00350550" w:rsidRDefault="00767C77" w:rsidP="00091ECF">
      <w:pPr>
        <w:ind w:left="0"/>
        <w:jc w:val="both"/>
        <w:rPr>
          <w:rFonts w:ascii="Bookman Old Style" w:hAnsi="Bookman Old Style" w:cs="Arial"/>
          <w:spacing w:val="-5"/>
          <w:sz w:val="22"/>
          <w:szCs w:val="22"/>
          <w:lang w:val="es-CO" w:eastAsia="en-US"/>
        </w:rPr>
      </w:pPr>
    </w:p>
    <w:p w14:paraId="2813DCC0" w14:textId="4FD69674" w:rsidR="00091ECF" w:rsidRPr="00350550" w:rsidRDefault="00E7685D" w:rsidP="00091ECF">
      <w:pPr>
        <w:pStyle w:val="Prrafodelista"/>
        <w:numPr>
          <w:ilvl w:val="0"/>
          <w:numId w:val="36"/>
        </w:numPr>
        <w:jc w:val="both"/>
        <w:rPr>
          <w:rFonts w:ascii="Bookman Old Style" w:hAnsi="Bookman Old Style" w:cs="Arial"/>
          <w:b/>
          <w:bCs/>
          <w:spacing w:val="-5"/>
          <w:sz w:val="22"/>
          <w:szCs w:val="22"/>
          <w:lang w:eastAsia="en-US"/>
        </w:rPr>
      </w:pPr>
      <w:r w:rsidRPr="00E7685D">
        <w:rPr>
          <w:rFonts w:ascii="Bookman Old Style" w:hAnsi="Bookman Old Style" w:cs="Arial"/>
          <w:b/>
          <w:bCs/>
          <w:spacing w:val="-5"/>
          <w:sz w:val="22"/>
          <w:szCs w:val="22"/>
          <w:lang w:val="es-ES" w:eastAsia="en-US"/>
        </w:rPr>
        <w:t xml:space="preserve">Diferencias en el parámetro Capacidad Efectiva Neta de la planta Bajo Anchicayá, Documento 3281-01-QS-RP-015, Rev. 0 “Informe de Capacidad Efectiva Neta – Bajo Anchicayá” </w:t>
      </w:r>
    </w:p>
    <w:p w14:paraId="5776A87F" w14:textId="77777777" w:rsidR="00091ECF" w:rsidRPr="00350550" w:rsidRDefault="00091ECF" w:rsidP="00091ECF">
      <w:pPr>
        <w:ind w:left="0"/>
        <w:jc w:val="both"/>
        <w:rPr>
          <w:rFonts w:ascii="Bookman Old Style" w:hAnsi="Bookman Old Style" w:cs="Arial"/>
          <w:spacing w:val="-5"/>
          <w:sz w:val="22"/>
          <w:szCs w:val="22"/>
          <w:lang w:eastAsia="en-US"/>
        </w:rPr>
      </w:pPr>
    </w:p>
    <w:p w14:paraId="3D47F632" w14:textId="70C5A954" w:rsidR="00155C03" w:rsidRPr="00350550" w:rsidRDefault="00E7685D" w:rsidP="00091ECF">
      <w:pPr>
        <w:ind w:left="426"/>
        <w:jc w:val="both"/>
        <w:rPr>
          <w:rFonts w:ascii="Bookman Old Style" w:hAnsi="Bookman Old Style" w:cs="Arial"/>
          <w:spacing w:val="-5"/>
          <w:sz w:val="22"/>
          <w:szCs w:val="22"/>
          <w:lang w:val="es-CO" w:eastAsia="en-US"/>
        </w:rPr>
      </w:pPr>
      <w:r w:rsidRPr="00E7685D">
        <w:rPr>
          <w:rFonts w:ascii="Bookman Old Style" w:hAnsi="Bookman Old Style" w:cs="Arial"/>
          <w:spacing w:val="-5"/>
          <w:sz w:val="22"/>
          <w:szCs w:val="22"/>
          <w:lang w:eastAsia="en-US"/>
        </w:rPr>
        <w:t xml:space="preserve">La consideración de existencia de discrepancia en la Capacidad Efectiva Neta (CEN) no es correcta, pues como demostramos a continuación, la CEN declarada corresponde con los registros de la frontera comercial de cada unidad de generación. Además, la diferencia en Capacidad Efectiva Neta identificada por el Auditor no representa una mayor ENFICC respecto a la declarada por parte de Celsia para esta planta: </w:t>
      </w:r>
    </w:p>
    <w:p w14:paraId="7450AD92" w14:textId="561FAB8E" w:rsidR="007E4DA8" w:rsidRPr="00350550" w:rsidRDefault="007E4DA8" w:rsidP="00237DB3">
      <w:pPr>
        <w:ind w:left="0"/>
        <w:jc w:val="both"/>
        <w:rPr>
          <w:rFonts w:ascii="Bookman Old Style" w:hAnsi="Bookman Old Style" w:cs="Arial"/>
          <w:spacing w:val="-5"/>
          <w:sz w:val="22"/>
          <w:szCs w:val="22"/>
          <w:lang w:eastAsia="en-US"/>
        </w:rPr>
      </w:pPr>
    </w:p>
    <w:p w14:paraId="3719FA82" w14:textId="7AAC172D" w:rsidR="00E7685D" w:rsidRPr="00E7685D" w:rsidRDefault="00E7685D" w:rsidP="00E7685D">
      <w:pPr>
        <w:pStyle w:val="Prrafodelista"/>
        <w:numPr>
          <w:ilvl w:val="1"/>
          <w:numId w:val="36"/>
        </w:numPr>
        <w:ind w:hanging="295"/>
        <w:jc w:val="both"/>
        <w:rPr>
          <w:rFonts w:ascii="Bookman Old Style" w:hAnsi="Bookman Old Style" w:cs="Arial"/>
          <w:spacing w:val="-5"/>
          <w:sz w:val="22"/>
          <w:szCs w:val="22"/>
          <w:lang w:eastAsia="en-US"/>
        </w:rPr>
      </w:pPr>
      <w:r w:rsidRPr="00E7685D">
        <w:rPr>
          <w:rFonts w:ascii="Bookman Old Style" w:hAnsi="Bookman Old Style" w:cs="Arial"/>
          <w:spacing w:val="-5"/>
          <w:sz w:val="22"/>
          <w:szCs w:val="22"/>
          <w:lang w:val="es-ES" w:eastAsia="en-US"/>
        </w:rPr>
        <w:t xml:space="preserve">De acuerdo con el cronograma definido en la resolución CREG 104 de 2018, modificada por la resolución 142 de 2018, Celsia Colombia S.A. E.S.P. (antes EPSA E.S.P.) presentó la declaración de parámetros para la asignación de Obligaciones de Energía Firme del Cargo por Confiabilidad, en la cual se incluye el reporte de la Capacidad Efectiva Neta para la planta de generación Bajo Anchicayá por un valor de 74 MW. </w:t>
      </w:r>
    </w:p>
    <w:p w14:paraId="37022444" w14:textId="77777777" w:rsidR="00E7685D" w:rsidRPr="00E7685D" w:rsidRDefault="00E7685D" w:rsidP="00E7685D">
      <w:pPr>
        <w:pStyle w:val="Prrafodelista"/>
        <w:ind w:left="1146"/>
        <w:jc w:val="both"/>
        <w:rPr>
          <w:rFonts w:ascii="Bookman Old Style" w:hAnsi="Bookman Old Style" w:cs="Arial"/>
          <w:spacing w:val="-5"/>
          <w:sz w:val="22"/>
          <w:szCs w:val="22"/>
          <w:lang w:eastAsia="en-US"/>
        </w:rPr>
      </w:pPr>
    </w:p>
    <w:p w14:paraId="21B83CAE" w14:textId="77777777" w:rsidR="00E7685D" w:rsidRPr="00E7685D" w:rsidRDefault="00E7685D" w:rsidP="00E7685D">
      <w:pPr>
        <w:pStyle w:val="Prrafodelista"/>
        <w:numPr>
          <w:ilvl w:val="1"/>
          <w:numId w:val="36"/>
        </w:numPr>
        <w:ind w:hanging="295"/>
        <w:jc w:val="both"/>
        <w:rPr>
          <w:rFonts w:ascii="Bookman Old Style" w:hAnsi="Bookman Old Style" w:cs="Arial"/>
          <w:spacing w:val="-5"/>
          <w:sz w:val="22"/>
          <w:szCs w:val="22"/>
          <w:lang w:eastAsia="en-US"/>
        </w:rPr>
      </w:pPr>
      <w:r w:rsidRPr="00E7685D">
        <w:rPr>
          <w:rFonts w:ascii="Bookman Old Style" w:hAnsi="Bookman Old Style" w:cs="Arial"/>
          <w:spacing w:val="-5"/>
          <w:sz w:val="22"/>
          <w:szCs w:val="22"/>
          <w:lang w:val="es-ES" w:eastAsia="en-US"/>
        </w:rPr>
        <w:t>La planta Bajo Anchicayá se encuentra registrada ante el ASIC con 4 unidades de generación, cada unidad con su frontera comercial correspondiente, así:</w:t>
      </w:r>
    </w:p>
    <w:p w14:paraId="42DDE79B" w14:textId="77777777" w:rsidR="008E6771" w:rsidRPr="00237DB3" w:rsidRDefault="008E6771" w:rsidP="00237DB3">
      <w:pPr>
        <w:pStyle w:val="Prrafodelista"/>
        <w:jc w:val="center"/>
        <w:rPr>
          <w:rFonts w:asciiTheme="minorHAnsi" w:hAnsiTheme="minorHAnsi" w:cstheme="minorHAnsi"/>
          <w:i/>
          <w:iCs/>
          <w:spacing w:val="-5"/>
          <w:lang w:eastAsia="en-US"/>
        </w:rPr>
      </w:pPr>
    </w:p>
    <w:tbl>
      <w:tblPr>
        <w:tblStyle w:val="Tablaconcuadrcula"/>
        <w:tblW w:w="0" w:type="auto"/>
        <w:jc w:val="center"/>
        <w:tblLook w:val="04A0" w:firstRow="1" w:lastRow="0" w:firstColumn="1" w:lastColumn="0" w:noHBand="0" w:noVBand="1"/>
      </w:tblPr>
      <w:tblGrid>
        <w:gridCol w:w="1843"/>
        <w:gridCol w:w="1559"/>
        <w:gridCol w:w="2127"/>
      </w:tblGrid>
      <w:tr w:rsidR="00237DB3" w:rsidRPr="00237DB3" w14:paraId="3942585B" w14:textId="77777777" w:rsidTr="00A7633D">
        <w:trPr>
          <w:jc w:val="center"/>
        </w:trPr>
        <w:tc>
          <w:tcPr>
            <w:tcW w:w="1843" w:type="dxa"/>
          </w:tcPr>
          <w:p w14:paraId="54BFEA22" w14:textId="30D299B8" w:rsidR="00237DB3" w:rsidRPr="00237DB3" w:rsidRDefault="00237DB3" w:rsidP="00237DB3">
            <w:pPr>
              <w:pStyle w:val="Prrafodelista"/>
              <w:ind w:left="0"/>
              <w:jc w:val="center"/>
              <w:rPr>
                <w:rFonts w:asciiTheme="minorHAnsi" w:hAnsiTheme="minorHAnsi" w:cstheme="minorHAnsi"/>
                <w:b/>
                <w:bCs/>
                <w:spacing w:val="-5"/>
                <w:lang w:eastAsia="en-US"/>
              </w:rPr>
            </w:pPr>
            <w:r w:rsidRPr="00237DB3">
              <w:rPr>
                <w:rFonts w:asciiTheme="minorHAnsi" w:hAnsiTheme="minorHAnsi" w:cstheme="minorHAnsi"/>
                <w:b/>
                <w:bCs/>
                <w:spacing w:val="-5"/>
                <w:lang w:eastAsia="en-US"/>
              </w:rPr>
              <w:t>Unidad de generación</w:t>
            </w:r>
          </w:p>
        </w:tc>
        <w:tc>
          <w:tcPr>
            <w:tcW w:w="1559" w:type="dxa"/>
          </w:tcPr>
          <w:p w14:paraId="6186075F" w14:textId="1A600462" w:rsidR="00237DB3" w:rsidRPr="00237DB3" w:rsidRDefault="00237DB3" w:rsidP="00237DB3">
            <w:pPr>
              <w:pStyle w:val="Prrafodelista"/>
              <w:ind w:left="0"/>
              <w:jc w:val="center"/>
              <w:rPr>
                <w:rFonts w:asciiTheme="minorHAnsi" w:hAnsiTheme="minorHAnsi" w:cstheme="minorHAnsi"/>
                <w:b/>
                <w:bCs/>
                <w:spacing w:val="-5"/>
                <w:lang w:eastAsia="en-US"/>
              </w:rPr>
            </w:pPr>
            <w:r w:rsidRPr="00237DB3">
              <w:rPr>
                <w:rFonts w:asciiTheme="minorHAnsi" w:hAnsiTheme="minorHAnsi" w:cstheme="minorHAnsi"/>
                <w:b/>
                <w:bCs/>
                <w:spacing w:val="-5"/>
                <w:lang w:eastAsia="en-US"/>
              </w:rPr>
              <w:t>Código frontera comercial</w:t>
            </w:r>
          </w:p>
        </w:tc>
        <w:tc>
          <w:tcPr>
            <w:tcW w:w="2127" w:type="dxa"/>
          </w:tcPr>
          <w:p w14:paraId="6DD5AC5D" w14:textId="7094E396" w:rsidR="00237DB3" w:rsidRPr="00237DB3" w:rsidRDefault="00237DB3" w:rsidP="00237DB3">
            <w:pPr>
              <w:pStyle w:val="Prrafodelista"/>
              <w:ind w:left="0"/>
              <w:jc w:val="center"/>
              <w:rPr>
                <w:rFonts w:asciiTheme="minorHAnsi" w:hAnsiTheme="minorHAnsi" w:cstheme="minorHAnsi"/>
                <w:b/>
                <w:bCs/>
                <w:spacing w:val="-5"/>
                <w:lang w:eastAsia="en-US"/>
              </w:rPr>
            </w:pPr>
            <w:r w:rsidRPr="00237DB3">
              <w:rPr>
                <w:rFonts w:asciiTheme="minorHAnsi" w:hAnsiTheme="minorHAnsi" w:cstheme="minorHAnsi"/>
                <w:b/>
                <w:bCs/>
                <w:spacing w:val="-5"/>
                <w:lang w:eastAsia="en-US"/>
              </w:rPr>
              <w:t>Capacidad Efectiva Neta [MW]</w:t>
            </w:r>
            <w:r w:rsidRPr="00237DB3">
              <w:rPr>
                <w:rStyle w:val="Refdenotaalpie"/>
                <w:rFonts w:asciiTheme="minorHAnsi" w:hAnsiTheme="minorHAnsi" w:cstheme="minorHAnsi"/>
                <w:b/>
                <w:bCs/>
                <w:spacing w:val="-5"/>
                <w:lang w:eastAsia="en-US"/>
              </w:rPr>
              <w:footnoteReference w:id="2"/>
            </w:r>
          </w:p>
        </w:tc>
      </w:tr>
      <w:tr w:rsidR="00237DB3" w:rsidRPr="00237DB3" w14:paraId="09D128DA" w14:textId="77777777" w:rsidTr="00A7633D">
        <w:trPr>
          <w:jc w:val="center"/>
        </w:trPr>
        <w:tc>
          <w:tcPr>
            <w:tcW w:w="1843" w:type="dxa"/>
          </w:tcPr>
          <w:p w14:paraId="41447C8A" w14:textId="107EA539" w:rsidR="00237DB3" w:rsidRPr="00237DB3" w:rsidRDefault="00237DB3" w:rsidP="00237DB3">
            <w:pPr>
              <w:pStyle w:val="Prrafodelista"/>
              <w:ind w:left="0"/>
              <w:jc w:val="center"/>
              <w:rPr>
                <w:rFonts w:asciiTheme="minorHAnsi" w:hAnsiTheme="minorHAnsi" w:cstheme="minorHAnsi"/>
                <w:spacing w:val="-5"/>
                <w:lang w:eastAsia="en-US"/>
              </w:rPr>
            </w:pPr>
            <w:r w:rsidRPr="00237DB3">
              <w:rPr>
                <w:rFonts w:asciiTheme="minorHAnsi" w:hAnsiTheme="minorHAnsi" w:cstheme="minorHAnsi"/>
                <w:spacing w:val="-5"/>
                <w:lang w:eastAsia="en-US"/>
              </w:rPr>
              <w:t>BAJOANCHICAYÁ1</w:t>
            </w:r>
          </w:p>
        </w:tc>
        <w:tc>
          <w:tcPr>
            <w:tcW w:w="1559" w:type="dxa"/>
          </w:tcPr>
          <w:p w14:paraId="7B6AA008" w14:textId="1E31F5DE" w:rsidR="00237DB3" w:rsidRPr="00237DB3" w:rsidRDefault="00237DB3" w:rsidP="00237DB3">
            <w:pPr>
              <w:pStyle w:val="Prrafodelista"/>
              <w:ind w:left="0"/>
              <w:jc w:val="center"/>
              <w:rPr>
                <w:rFonts w:asciiTheme="minorHAnsi" w:hAnsiTheme="minorHAnsi" w:cstheme="minorHAnsi"/>
                <w:spacing w:val="-5"/>
                <w:lang w:eastAsia="en-US"/>
              </w:rPr>
            </w:pPr>
            <w:r w:rsidRPr="00237DB3">
              <w:rPr>
                <w:rFonts w:asciiTheme="minorHAnsi" w:hAnsiTheme="minorHAnsi" w:cstheme="minorHAnsi"/>
                <w:spacing w:val="-5"/>
                <w:lang w:eastAsia="en-US"/>
              </w:rPr>
              <w:t>FRT00017</w:t>
            </w:r>
          </w:p>
        </w:tc>
        <w:tc>
          <w:tcPr>
            <w:tcW w:w="2127" w:type="dxa"/>
          </w:tcPr>
          <w:p w14:paraId="448A544F" w14:textId="27C68941" w:rsidR="00237DB3" w:rsidRPr="00237DB3" w:rsidRDefault="00A7633D" w:rsidP="00237DB3">
            <w:pPr>
              <w:pStyle w:val="Prrafodelista"/>
              <w:ind w:left="0"/>
              <w:jc w:val="center"/>
              <w:rPr>
                <w:rFonts w:asciiTheme="minorHAnsi" w:hAnsiTheme="minorHAnsi" w:cstheme="minorHAnsi"/>
                <w:spacing w:val="-5"/>
                <w:lang w:eastAsia="en-US"/>
              </w:rPr>
            </w:pPr>
            <w:r>
              <w:rPr>
                <w:rFonts w:asciiTheme="minorHAnsi" w:hAnsiTheme="minorHAnsi" w:cstheme="minorHAnsi"/>
                <w:spacing w:val="-5"/>
                <w:lang w:eastAsia="en-US"/>
              </w:rPr>
              <w:t>13</w:t>
            </w:r>
          </w:p>
        </w:tc>
      </w:tr>
      <w:tr w:rsidR="00237DB3" w:rsidRPr="00237DB3" w14:paraId="0C807BCD" w14:textId="77777777" w:rsidTr="00A7633D">
        <w:trPr>
          <w:jc w:val="center"/>
        </w:trPr>
        <w:tc>
          <w:tcPr>
            <w:tcW w:w="1843" w:type="dxa"/>
          </w:tcPr>
          <w:p w14:paraId="3818F7FB" w14:textId="1DAFF5E8" w:rsidR="00237DB3" w:rsidRPr="00237DB3" w:rsidRDefault="00237DB3" w:rsidP="00237DB3">
            <w:pPr>
              <w:pStyle w:val="Prrafodelista"/>
              <w:ind w:left="0"/>
              <w:jc w:val="center"/>
              <w:rPr>
                <w:rFonts w:asciiTheme="minorHAnsi" w:hAnsiTheme="minorHAnsi" w:cstheme="minorHAnsi"/>
                <w:spacing w:val="-5"/>
                <w:lang w:eastAsia="en-US"/>
              </w:rPr>
            </w:pPr>
            <w:r w:rsidRPr="00237DB3">
              <w:rPr>
                <w:rFonts w:asciiTheme="minorHAnsi" w:hAnsiTheme="minorHAnsi" w:cstheme="minorHAnsi"/>
                <w:spacing w:val="-5"/>
                <w:lang w:eastAsia="en-US"/>
              </w:rPr>
              <w:t>BAJOANCHICAYÁ2</w:t>
            </w:r>
          </w:p>
        </w:tc>
        <w:tc>
          <w:tcPr>
            <w:tcW w:w="1559" w:type="dxa"/>
          </w:tcPr>
          <w:p w14:paraId="30EE2848" w14:textId="0EF000A6" w:rsidR="00237DB3" w:rsidRPr="00237DB3" w:rsidRDefault="00237DB3" w:rsidP="00237DB3">
            <w:pPr>
              <w:pStyle w:val="Prrafodelista"/>
              <w:ind w:left="0"/>
              <w:jc w:val="center"/>
              <w:rPr>
                <w:rFonts w:asciiTheme="minorHAnsi" w:hAnsiTheme="minorHAnsi" w:cstheme="minorHAnsi"/>
                <w:spacing w:val="-5"/>
                <w:lang w:eastAsia="en-US"/>
              </w:rPr>
            </w:pPr>
            <w:r w:rsidRPr="00237DB3">
              <w:rPr>
                <w:rFonts w:asciiTheme="minorHAnsi" w:hAnsiTheme="minorHAnsi" w:cstheme="minorHAnsi"/>
                <w:spacing w:val="-5"/>
                <w:lang w:eastAsia="en-US"/>
              </w:rPr>
              <w:t>FRT00018</w:t>
            </w:r>
          </w:p>
        </w:tc>
        <w:tc>
          <w:tcPr>
            <w:tcW w:w="2127" w:type="dxa"/>
          </w:tcPr>
          <w:p w14:paraId="3B8C32AA" w14:textId="5095CD64" w:rsidR="00237DB3" w:rsidRPr="00237DB3" w:rsidRDefault="00A7633D" w:rsidP="00237DB3">
            <w:pPr>
              <w:pStyle w:val="Prrafodelista"/>
              <w:ind w:left="0"/>
              <w:jc w:val="center"/>
              <w:rPr>
                <w:rFonts w:asciiTheme="minorHAnsi" w:hAnsiTheme="minorHAnsi" w:cstheme="minorHAnsi"/>
                <w:spacing w:val="-5"/>
                <w:lang w:eastAsia="en-US"/>
              </w:rPr>
            </w:pPr>
            <w:r>
              <w:rPr>
                <w:rFonts w:asciiTheme="minorHAnsi" w:hAnsiTheme="minorHAnsi" w:cstheme="minorHAnsi"/>
                <w:spacing w:val="-5"/>
                <w:lang w:eastAsia="en-US"/>
              </w:rPr>
              <w:t>13</w:t>
            </w:r>
          </w:p>
        </w:tc>
      </w:tr>
      <w:tr w:rsidR="00237DB3" w:rsidRPr="00237DB3" w14:paraId="404F36C1" w14:textId="77777777" w:rsidTr="00A7633D">
        <w:trPr>
          <w:jc w:val="center"/>
        </w:trPr>
        <w:tc>
          <w:tcPr>
            <w:tcW w:w="1843" w:type="dxa"/>
          </w:tcPr>
          <w:p w14:paraId="381A2B5C" w14:textId="3C611857" w:rsidR="00237DB3" w:rsidRPr="00237DB3" w:rsidRDefault="00237DB3" w:rsidP="00237DB3">
            <w:pPr>
              <w:pStyle w:val="Prrafodelista"/>
              <w:ind w:left="0"/>
              <w:jc w:val="center"/>
              <w:rPr>
                <w:rFonts w:asciiTheme="minorHAnsi" w:hAnsiTheme="minorHAnsi" w:cstheme="minorHAnsi"/>
                <w:spacing w:val="-5"/>
                <w:lang w:eastAsia="en-US"/>
              </w:rPr>
            </w:pPr>
            <w:r w:rsidRPr="00237DB3">
              <w:rPr>
                <w:rFonts w:asciiTheme="minorHAnsi" w:hAnsiTheme="minorHAnsi" w:cstheme="minorHAnsi"/>
                <w:spacing w:val="-5"/>
                <w:lang w:eastAsia="en-US"/>
              </w:rPr>
              <w:t>BAJOANCHICAYÁ3</w:t>
            </w:r>
          </w:p>
        </w:tc>
        <w:tc>
          <w:tcPr>
            <w:tcW w:w="1559" w:type="dxa"/>
          </w:tcPr>
          <w:p w14:paraId="5EFE31A0" w14:textId="4003168A" w:rsidR="00237DB3" w:rsidRPr="00237DB3" w:rsidRDefault="00237DB3" w:rsidP="00237DB3">
            <w:pPr>
              <w:pStyle w:val="Prrafodelista"/>
              <w:ind w:left="0"/>
              <w:jc w:val="center"/>
              <w:rPr>
                <w:rFonts w:asciiTheme="minorHAnsi" w:hAnsiTheme="minorHAnsi" w:cstheme="minorHAnsi"/>
                <w:spacing w:val="-5"/>
                <w:lang w:eastAsia="en-US"/>
              </w:rPr>
            </w:pPr>
            <w:r w:rsidRPr="00237DB3">
              <w:rPr>
                <w:rFonts w:asciiTheme="minorHAnsi" w:hAnsiTheme="minorHAnsi" w:cstheme="minorHAnsi"/>
                <w:spacing w:val="-5"/>
                <w:lang w:eastAsia="en-US"/>
              </w:rPr>
              <w:t>FRT00019</w:t>
            </w:r>
          </w:p>
        </w:tc>
        <w:tc>
          <w:tcPr>
            <w:tcW w:w="2127" w:type="dxa"/>
          </w:tcPr>
          <w:p w14:paraId="58C2B2B9" w14:textId="6874C493" w:rsidR="00237DB3" w:rsidRPr="00237DB3" w:rsidRDefault="00A7633D" w:rsidP="00237DB3">
            <w:pPr>
              <w:pStyle w:val="Prrafodelista"/>
              <w:ind w:left="0"/>
              <w:jc w:val="center"/>
              <w:rPr>
                <w:rFonts w:asciiTheme="minorHAnsi" w:hAnsiTheme="minorHAnsi" w:cstheme="minorHAnsi"/>
                <w:spacing w:val="-5"/>
                <w:lang w:eastAsia="en-US"/>
              </w:rPr>
            </w:pPr>
            <w:r>
              <w:rPr>
                <w:rFonts w:asciiTheme="minorHAnsi" w:hAnsiTheme="minorHAnsi" w:cstheme="minorHAnsi"/>
                <w:spacing w:val="-5"/>
                <w:lang w:eastAsia="en-US"/>
              </w:rPr>
              <w:t>24</w:t>
            </w:r>
          </w:p>
        </w:tc>
      </w:tr>
      <w:tr w:rsidR="00237DB3" w:rsidRPr="00237DB3" w14:paraId="1D4E4E80" w14:textId="77777777" w:rsidTr="00A7633D">
        <w:trPr>
          <w:jc w:val="center"/>
        </w:trPr>
        <w:tc>
          <w:tcPr>
            <w:tcW w:w="1843" w:type="dxa"/>
          </w:tcPr>
          <w:p w14:paraId="39F451E5" w14:textId="4B5D7F59" w:rsidR="00237DB3" w:rsidRPr="00237DB3" w:rsidRDefault="00237DB3" w:rsidP="00237DB3">
            <w:pPr>
              <w:pStyle w:val="Prrafodelista"/>
              <w:ind w:left="0"/>
              <w:jc w:val="center"/>
              <w:rPr>
                <w:rFonts w:asciiTheme="minorHAnsi" w:hAnsiTheme="minorHAnsi" w:cstheme="minorHAnsi"/>
                <w:spacing w:val="-5"/>
                <w:lang w:eastAsia="en-US"/>
              </w:rPr>
            </w:pPr>
            <w:r w:rsidRPr="00237DB3">
              <w:rPr>
                <w:rFonts w:asciiTheme="minorHAnsi" w:hAnsiTheme="minorHAnsi" w:cstheme="minorHAnsi"/>
                <w:spacing w:val="-5"/>
                <w:lang w:eastAsia="en-US"/>
              </w:rPr>
              <w:t>BAJOANCHICAYÁ4</w:t>
            </w:r>
          </w:p>
        </w:tc>
        <w:tc>
          <w:tcPr>
            <w:tcW w:w="1559" w:type="dxa"/>
          </w:tcPr>
          <w:p w14:paraId="6CF6987A" w14:textId="1D101B8C" w:rsidR="00237DB3" w:rsidRPr="00237DB3" w:rsidRDefault="00237DB3" w:rsidP="00237DB3">
            <w:pPr>
              <w:pStyle w:val="Prrafodelista"/>
              <w:ind w:left="0"/>
              <w:jc w:val="center"/>
              <w:rPr>
                <w:rFonts w:asciiTheme="minorHAnsi" w:hAnsiTheme="minorHAnsi" w:cstheme="minorHAnsi"/>
                <w:spacing w:val="-5"/>
                <w:lang w:eastAsia="en-US"/>
              </w:rPr>
            </w:pPr>
            <w:r w:rsidRPr="00237DB3">
              <w:rPr>
                <w:rFonts w:asciiTheme="minorHAnsi" w:hAnsiTheme="minorHAnsi" w:cstheme="minorHAnsi"/>
                <w:spacing w:val="-5"/>
                <w:lang w:eastAsia="en-US"/>
              </w:rPr>
              <w:t>FRT00020</w:t>
            </w:r>
          </w:p>
        </w:tc>
        <w:tc>
          <w:tcPr>
            <w:tcW w:w="2127" w:type="dxa"/>
          </w:tcPr>
          <w:p w14:paraId="4B447BCD" w14:textId="1A194B39" w:rsidR="00237DB3" w:rsidRPr="00237DB3" w:rsidRDefault="00A7633D" w:rsidP="00237DB3">
            <w:pPr>
              <w:pStyle w:val="Prrafodelista"/>
              <w:ind w:left="0"/>
              <w:jc w:val="center"/>
              <w:rPr>
                <w:rFonts w:asciiTheme="minorHAnsi" w:hAnsiTheme="minorHAnsi" w:cstheme="minorHAnsi"/>
                <w:spacing w:val="-5"/>
                <w:lang w:eastAsia="en-US"/>
              </w:rPr>
            </w:pPr>
            <w:r>
              <w:rPr>
                <w:rFonts w:asciiTheme="minorHAnsi" w:hAnsiTheme="minorHAnsi" w:cstheme="minorHAnsi"/>
                <w:spacing w:val="-5"/>
                <w:lang w:eastAsia="en-US"/>
              </w:rPr>
              <w:t>24</w:t>
            </w:r>
          </w:p>
        </w:tc>
      </w:tr>
    </w:tbl>
    <w:p w14:paraId="1575984E" w14:textId="2A3722E3" w:rsidR="00E7685D" w:rsidRPr="00A7633D" w:rsidRDefault="00A7633D" w:rsidP="00A7633D">
      <w:pPr>
        <w:pStyle w:val="Prrafodelista"/>
        <w:ind w:left="1843"/>
        <w:rPr>
          <w:rFonts w:asciiTheme="minorHAnsi" w:hAnsiTheme="minorHAnsi" w:cstheme="minorHAnsi"/>
          <w:spacing w:val="-5"/>
          <w:lang w:eastAsia="en-US"/>
        </w:rPr>
      </w:pPr>
      <w:r>
        <w:rPr>
          <w:rFonts w:asciiTheme="minorHAnsi" w:hAnsiTheme="minorHAnsi" w:cstheme="minorHAnsi"/>
          <w:spacing w:val="-5"/>
          <w:lang w:eastAsia="en-US"/>
        </w:rPr>
        <w:t xml:space="preserve">1 </w:t>
      </w:r>
      <w:r w:rsidR="00D71237">
        <w:rPr>
          <w:rFonts w:asciiTheme="minorHAnsi" w:hAnsiTheme="minorHAnsi" w:cstheme="minorHAnsi"/>
          <w:spacing w:val="-5"/>
          <w:lang w:eastAsia="en-US"/>
        </w:rPr>
        <w:t>información</w:t>
      </w:r>
      <w:r>
        <w:rPr>
          <w:rFonts w:asciiTheme="minorHAnsi" w:hAnsiTheme="minorHAnsi" w:cstheme="minorHAnsi"/>
          <w:spacing w:val="-5"/>
          <w:lang w:eastAsia="en-US"/>
        </w:rPr>
        <w:t xml:space="preserve"> tomada de Paratec, XM</w:t>
      </w:r>
    </w:p>
    <w:p w14:paraId="260997EF" w14:textId="77777777" w:rsidR="00E7685D" w:rsidRPr="00E7685D" w:rsidRDefault="00E7685D" w:rsidP="00E7685D">
      <w:pPr>
        <w:pStyle w:val="Prrafodelista"/>
        <w:rPr>
          <w:rFonts w:ascii="Bookman Old Style" w:hAnsi="Bookman Old Style" w:cs="Arial"/>
          <w:i/>
          <w:iCs/>
          <w:spacing w:val="-5"/>
          <w:sz w:val="22"/>
          <w:szCs w:val="22"/>
          <w:lang w:eastAsia="en-US"/>
        </w:rPr>
      </w:pPr>
    </w:p>
    <w:p w14:paraId="28FD62D8" w14:textId="77777777" w:rsidR="00A7633D" w:rsidRPr="00A7633D" w:rsidRDefault="00E7685D" w:rsidP="00E7685D">
      <w:pPr>
        <w:pStyle w:val="Prrafodelista"/>
        <w:numPr>
          <w:ilvl w:val="1"/>
          <w:numId w:val="36"/>
        </w:numPr>
        <w:ind w:hanging="295"/>
        <w:jc w:val="both"/>
        <w:rPr>
          <w:rFonts w:ascii="Bookman Old Style" w:hAnsi="Bookman Old Style" w:cs="Arial"/>
          <w:spacing w:val="-5"/>
          <w:sz w:val="22"/>
          <w:szCs w:val="22"/>
          <w:lang w:eastAsia="en-US"/>
        </w:rPr>
      </w:pPr>
      <w:r w:rsidRPr="00A7633D">
        <w:rPr>
          <w:rFonts w:ascii="Bookman Old Style" w:hAnsi="Bookman Old Style" w:cs="Arial"/>
          <w:spacing w:val="-5"/>
          <w:sz w:val="22"/>
          <w:szCs w:val="22"/>
          <w:lang w:val="es-ES" w:eastAsia="en-US"/>
        </w:rPr>
        <w:t xml:space="preserve">El Anexo 1 del Acuerdo CNO 512 define la Capacidad Efectiva Neta de la siguiente manera: </w:t>
      </w:r>
    </w:p>
    <w:p w14:paraId="0E391CDA" w14:textId="77777777" w:rsidR="00A7633D" w:rsidRDefault="00A7633D" w:rsidP="00A7633D">
      <w:pPr>
        <w:pStyle w:val="Prrafodelista"/>
        <w:ind w:left="1146"/>
        <w:jc w:val="both"/>
        <w:rPr>
          <w:rFonts w:ascii="Bookman Old Style" w:hAnsi="Bookman Old Style" w:cs="Arial"/>
          <w:i/>
          <w:iCs/>
          <w:spacing w:val="-5"/>
          <w:sz w:val="22"/>
          <w:szCs w:val="22"/>
          <w:lang w:val="es-ES" w:eastAsia="en-US"/>
        </w:rPr>
      </w:pPr>
    </w:p>
    <w:p w14:paraId="0F7586F7" w14:textId="77777777" w:rsidR="00A7633D" w:rsidRDefault="00E7685D" w:rsidP="00A7633D">
      <w:pPr>
        <w:pStyle w:val="Prrafodelista"/>
        <w:ind w:left="1146"/>
        <w:jc w:val="both"/>
        <w:rPr>
          <w:rFonts w:ascii="Bookman Old Style" w:hAnsi="Bookman Old Style" w:cs="Arial"/>
          <w:i/>
          <w:iCs/>
          <w:spacing w:val="-5"/>
          <w:sz w:val="22"/>
          <w:szCs w:val="22"/>
          <w:lang w:val="es-ES" w:eastAsia="en-US"/>
        </w:rPr>
      </w:pPr>
      <w:r w:rsidRPr="00E7685D">
        <w:rPr>
          <w:rFonts w:ascii="Bookman Old Style" w:hAnsi="Bookman Old Style" w:cs="Arial"/>
          <w:i/>
          <w:iCs/>
          <w:spacing w:val="-5"/>
          <w:sz w:val="22"/>
          <w:szCs w:val="22"/>
          <w:lang w:val="es-ES" w:eastAsia="en-US"/>
        </w:rPr>
        <w:t xml:space="preserve">“1. Definición. Capacidad Efectiva Neta. </w:t>
      </w:r>
    </w:p>
    <w:p w14:paraId="3CD90711" w14:textId="77777777" w:rsidR="00A7633D" w:rsidRPr="00A7633D" w:rsidRDefault="00E7685D" w:rsidP="00A7633D">
      <w:pPr>
        <w:pStyle w:val="Prrafodelista"/>
        <w:ind w:left="1146"/>
        <w:jc w:val="both"/>
        <w:rPr>
          <w:rFonts w:ascii="Bookman Old Style" w:hAnsi="Bookman Old Style" w:cs="Arial"/>
          <w:spacing w:val="-5"/>
          <w:sz w:val="22"/>
          <w:szCs w:val="22"/>
          <w:lang w:val="es-ES" w:eastAsia="en-US"/>
        </w:rPr>
      </w:pPr>
      <w:r w:rsidRPr="00A7633D">
        <w:rPr>
          <w:rFonts w:ascii="Bookman Old Style" w:hAnsi="Bookman Old Style" w:cs="Arial"/>
          <w:i/>
          <w:iCs/>
          <w:spacing w:val="-5"/>
          <w:sz w:val="22"/>
          <w:szCs w:val="22"/>
          <w:u w:val="single"/>
          <w:lang w:val="es-ES" w:eastAsia="en-US"/>
        </w:rPr>
        <w:t>Es la máxima cantidad de potencia expresada en valores enteros, que puede suministrar una unidad de generación</w:t>
      </w:r>
      <w:r w:rsidRPr="00E7685D">
        <w:rPr>
          <w:rFonts w:ascii="Bookman Old Style" w:hAnsi="Bookman Old Style" w:cs="Arial"/>
          <w:i/>
          <w:iCs/>
          <w:spacing w:val="-5"/>
          <w:sz w:val="22"/>
          <w:szCs w:val="22"/>
          <w:lang w:val="es-ES" w:eastAsia="en-US"/>
        </w:rPr>
        <w:t xml:space="preserve"> o planta en condiciones normales de operación al SIN en el punto de conexión o frontera comercial.” </w:t>
      </w:r>
      <w:r w:rsidRPr="00A7633D">
        <w:rPr>
          <w:rFonts w:ascii="Bookman Old Style" w:hAnsi="Bookman Old Style" w:cs="Arial"/>
          <w:spacing w:val="-5"/>
          <w:sz w:val="22"/>
          <w:szCs w:val="22"/>
          <w:lang w:val="es-ES" w:eastAsia="en-US"/>
        </w:rPr>
        <w:t xml:space="preserve">Subrayado fuera de texto. </w:t>
      </w:r>
    </w:p>
    <w:p w14:paraId="71B43FA0" w14:textId="77777777" w:rsidR="00A7633D" w:rsidRDefault="00A7633D" w:rsidP="00A7633D">
      <w:pPr>
        <w:pStyle w:val="Prrafodelista"/>
        <w:ind w:left="1146"/>
        <w:jc w:val="both"/>
        <w:rPr>
          <w:rFonts w:ascii="Bookman Old Style" w:hAnsi="Bookman Old Style" w:cs="Arial"/>
          <w:i/>
          <w:iCs/>
          <w:spacing w:val="-5"/>
          <w:sz w:val="22"/>
          <w:szCs w:val="22"/>
          <w:lang w:val="es-ES" w:eastAsia="en-US"/>
        </w:rPr>
      </w:pPr>
    </w:p>
    <w:p w14:paraId="4A2EE4FE" w14:textId="77777777" w:rsidR="00A7633D" w:rsidRDefault="00E7685D" w:rsidP="00A7633D">
      <w:pPr>
        <w:pStyle w:val="Prrafodelista"/>
        <w:ind w:left="1146"/>
        <w:jc w:val="both"/>
        <w:rPr>
          <w:rFonts w:ascii="Bookman Old Style" w:hAnsi="Bookman Old Style" w:cs="Arial"/>
          <w:i/>
          <w:iCs/>
          <w:spacing w:val="-5"/>
          <w:sz w:val="22"/>
          <w:szCs w:val="22"/>
          <w:lang w:val="es-ES" w:eastAsia="en-US"/>
        </w:rPr>
      </w:pPr>
      <w:r w:rsidRPr="00E7685D">
        <w:rPr>
          <w:rFonts w:ascii="Bookman Old Style" w:hAnsi="Bookman Old Style" w:cs="Arial"/>
          <w:i/>
          <w:iCs/>
          <w:spacing w:val="-5"/>
          <w:sz w:val="22"/>
          <w:szCs w:val="22"/>
          <w:lang w:val="es-ES" w:eastAsia="en-US"/>
        </w:rPr>
        <w:t xml:space="preserve">“2. Metodología – Procedimiento de cálculo. </w:t>
      </w:r>
    </w:p>
    <w:p w14:paraId="053D4707" w14:textId="77777777" w:rsidR="00A7633D" w:rsidRDefault="00E7685D" w:rsidP="00A7633D">
      <w:pPr>
        <w:pStyle w:val="Prrafodelista"/>
        <w:ind w:left="1146"/>
        <w:jc w:val="both"/>
        <w:rPr>
          <w:rFonts w:ascii="Bookman Old Style" w:hAnsi="Bookman Old Style" w:cs="Arial"/>
          <w:i/>
          <w:iCs/>
          <w:spacing w:val="-5"/>
          <w:sz w:val="22"/>
          <w:szCs w:val="22"/>
          <w:lang w:val="es-ES" w:eastAsia="en-US"/>
        </w:rPr>
      </w:pPr>
      <w:r w:rsidRPr="00A7633D">
        <w:rPr>
          <w:rFonts w:ascii="Bookman Old Style" w:hAnsi="Bookman Old Style" w:cs="Arial"/>
          <w:i/>
          <w:iCs/>
          <w:spacing w:val="-5"/>
          <w:sz w:val="22"/>
          <w:szCs w:val="22"/>
          <w:u w:val="single"/>
          <w:lang w:val="es-ES" w:eastAsia="en-US"/>
        </w:rPr>
        <w:t>La Capacidad Efectiva Neta de las plantas hidráulicas será como máximo la capacidad declarada en el contrato de conexión, siempre y cuando este valor haya sido igualado o superado en los registros de la frontera comercial</w:t>
      </w:r>
      <w:r w:rsidRPr="00E7685D">
        <w:rPr>
          <w:rFonts w:ascii="Bookman Old Style" w:hAnsi="Bookman Old Style" w:cs="Arial"/>
          <w:i/>
          <w:iCs/>
          <w:spacing w:val="-5"/>
          <w:sz w:val="22"/>
          <w:szCs w:val="22"/>
          <w:lang w:val="es-ES" w:eastAsia="en-US"/>
        </w:rPr>
        <w:t xml:space="preserve">, al menos una vez, de acuerdo con los valores que reposan en el Sistema de Intercambios Comerciales (SIC).” </w:t>
      </w:r>
      <w:r w:rsidRPr="00A7633D">
        <w:rPr>
          <w:rFonts w:ascii="Bookman Old Style" w:hAnsi="Bookman Old Style" w:cs="Arial"/>
          <w:spacing w:val="-5"/>
          <w:sz w:val="22"/>
          <w:szCs w:val="22"/>
          <w:lang w:val="es-ES" w:eastAsia="en-US"/>
        </w:rPr>
        <w:t>Subrayado fuera de texto.</w:t>
      </w:r>
      <w:r w:rsidRPr="00E7685D">
        <w:rPr>
          <w:rFonts w:ascii="Bookman Old Style" w:hAnsi="Bookman Old Style" w:cs="Arial"/>
          <w:i/>
          <w:iCs/>
          <w:spacing w:val="-5"/>
          <w:sz w:val="22"/>
          <w:szCs w:val="22"/>
          <w:lang w:val="es-ES" w:eastAsia="en-US"/>
        </w:rPr>
        <w:t xml:space="preserve"> </w:t>
      </w:r>
    </w:p>
    <w:p w14:paraId="4F27D890" w14:textId="77777777" w:rsidR="00A7633D" w:rsidRDefault="00A7633D" w:rsidP="00A7633D">
      <w:pPr>
        <w:pStyle w:val="Prrafodelista"/>
        <w:ind w:left="1146"/>
        <w:jc w:val="both"/>
        <w:rPr>
          <w:rFonts w:ascii="Bookman Old Style" w:hAnsi="Bookman Old Style" w:cs="Arial"/>
          <w:i/>
          <w:iCs/>
          <w:spacing w:val="-5"/>
          <w:sz w:val="22"/>
          <w:szCs w:val="22"/>
          <w:lang w:val="es-ES" w:eastAsia="en-US"/>
        </w:rPr>
      </w:pPr>
    </w:p>
    <w:p w14:paraId="1ED10BA1" w14:textId="0F1946FB" w:rsidR="00E7685D" w:rsidRPr="00207844" w:rsidRDefault="00E7685D" w:rsidP="00A7633D">
      <w:pPr>
        <w:pStyle w:val="Prrafodelista"/>
        <w:ind w:left="1146"/>
        <w:jc w:val="both"/>
        <w:rPr>
          <w:rFonts w:ascii="Bookman Old Style" w:hAnsi="Bookman Old Style" w:cs="Arial"/>
          <w:spacing w:val="-5"/>
          <w:sz w:val="22"/>
          <w:szCs w:val="22"/>
          <w:lang w:val="es-ES" w:eastAsia="en-US"/>
        </w:rPr>
      </w:pPr>
      <w:r w:rsidRPr="00207844">
        <w:rPr>
          <w:rFonts w:ascii="Bookman Old Style" w:hAnsi="Bookman Old Style" w:cs="Arial"/>
          <w:spacing w:val="-5"/>
          <w:sz w:val="22"/>
          <w:szCs w:val="22"/>
          <w:lang w:val="es-ES" w:eastAsia="en-US"/>
        </w:rPr>
        <w:t xml:space="preserve">En cumplimiento de lo definido en el Acuerdo CNO 512 y considerando la información reportada ante el ASIC para el periodo comprendido entre el 1 de diciembre de 2013 y el 30 de noviembre de 2018 para cada una de las fronteras comerciales de las unidades de generación del Bajo Anchicayá, se ha superado los valores reportados ante el ASIC de Capacidad Efectiva Neta en al menos una vez para el periodo evaluado. En ese sentido, el valor reportado en la declaración de parámetros corresponde a la sumatoria de los valores máximos alcanzados para cada unidad. (Ver anexo: “01_Resumen_Energiaori_BA_2013-2018.xlsx”). </w:t>
      </w:r>
    </w:p>
    <w:p w14:paraId="57C4BD9C" w14:textId="77777777" w:rsidR="00207844" w:rsidRPr="00E7685D" w:rsidRDefault="00207844" w:rsidP="00A7633D">
      <w:pPr>
        <w:pStyle w:val="Prrafodelista"/>
        <w:ind w:left="1146"/>
        <w:jc w:val="both"/>
        <w:rPr>
          <w:rFonts w:ascii="Bookman Old Style" w:hAnsi="Bookman Old Style" w:cs="Arial"/>
          <w:spacing w:val="-5"/>
          <w:sz w:val="22"/>
          <w:szCs w:val="22"/>
          <w:lang w:eastAsia="en-US"/>
        </w:rPr>
      </w:pPr>
    </w:p>
    <w:p w14:paraId="21F64C49" w14:textId="654D6021" w:rsidR="00E7685D" w:rsidRPr="000F2787" w:rsidRDefault="00E7685D" w:rsidP="00E7685D">
      <w:pPr>
        <w:pStyle w:val="Prrafodelista"/>
        <w:numPr>
          <w:ilvl w:val="1"/>
          <w:numId w:val="36"/>
        </w:numPr>
        <w:ind w:hanging="295"/>
        <w:jc w:val="both"/>
        <w:rPr>
          <w:rFonts w:ascii="Bookman Old Style" w:hAnsi="Bookman Old Style" w:cs="Arial"/>
          <w:spacing w:val="-5"/>
          <w:sz w:val="22"/>
          <w:szCs w:val="22"/>
          <w:lang w:eastAsia="en-US"/>
        </w:rPr>
      </w:pPr>
      <w:r w:rsidRPr="00E7685D">
        <w:rPr>
          <w:rFonts w:ascii="Bookman Old Style" w:hAnsi="Bookman Old Style" w:cs="Arial"/>
          <w:spacing w:val="-5"/>
          <w:sz w:val="22"/>
          <w:szCs w:val="22"/>
          <w:lang w:val="es-ES" w:eastAsia="en-US"/>
        </w:rPr>
        <w:t>Aún con la Capacidad Efectiva Neta que determina en el informe el auditor, inferior a la reportada por Celsia, no se configura una discrepancia pues no se altera el resultado de la ENFICC. De acuerdo con el cronograma definido en la resolución CREG 104 de 2018, modificada por la resolución 142 de 2018, Celsia Colombia S.A. E.S.P presentó la declaración de ENFICC para la planta Bajo Anchicayá por un valor de 322,275 kWh/día. Al evaluar la ENFICC de la planta Bajo Anchicayá considerando una Capacidad Efectiva Neta de 72.96 MW, equivalente al valor presentado por HMV en el Documento 3281-01-QS-RP-015, Rev. 0 “Informe de Capacidad Efectiva Neta – Bajo Anchicayá”, se obtiene una ENFICC por un valor de 322,275 kWh/día, siendo igual a la ENFICC reportada por Celsia Colombia S.A. E.S.P. (Ver anexo: “02_Verificación_ENFICC _BA.xls”).</w:t>
      </w:r>
    </w:p>
    <w:p w14:paraId="17499C03" w14:textId="77777777" w:rsidR="000F2787" w:rsidRPr="00E7685D" w:rsidRDefault="000F2787" w:rsidP="000F2787">
      <w:pPr>
        <w:pStyle w:val="Prrafodelista"/>
        <w:ind w:left="1146"/>
        <w:jc w:val="both"/>
        <w:rPr>
          <w:rFonts w:ascii="Bookman Old Style" w:hAnsi="Bookman Old Style" w:cs="Arial"/>
          <w:spacing w:val="-5"/>
          <w:sz w:val="22"/>
          <w:szCs w:val="22"/>
          <w:lang w:eastAsia="en-US"/>
        </w:rPr>
      </w:pPr>
    </w:p>
    <w:p w14:paraId="6BBE59FC" w14:textId="77777777" w:rsidR="00E22208" w:rsidRPr="002E7AE8" w:rsidRDefault="007C7C2A" w:rsidP="00E7685D">
      <w:pPr>
        <w:pStyle w:val="Prrafodelista"/>
        <w:numPr>
          <w:ilvl w:val="1"/>
          <w:numId w:val="36"/>
        </w:numPr>
        <w:ind w:hanging="295"/>
        <w:jc w:val="both"/>
        <w:rPr>
          <w:rFonts w:ascii="Bookman Old Style" w:hAnsi="Bookman Old Style" w:cs="Arial"/>
          <w:spacing w:val="-5"/>
          <w:sz w:val="22"/>
          <w:szCs w:val="22"/>
          <w:lang w:eastAsia="en-US"/>
        </w:rPr>
      </w:pPr>
      <w:r w:rsidRPr="007C7C2A">
        <w:rPr>
          <w:rFonts w:ascii="Bookman Old Style" w:hAnsi="Bookman Old Style" w:cs="Arial"/>
          <w:spacing w:val="-5"/>
          <w:sz w:val="22"/>
          <w:szCs w:val="22"/>
          <w:lang w:val="es-ES" w:eastAsia="en-US"/>
        </w:rPr>
        <w:t xml:space="preserve">El Anexo 6 de la resolución CREG 071 de 2006, en el numeral 6.2 define: “6.2 Criterios de la Verificación de Parámetros. La verificación de parámetros observará los siguientes criterios: Las holguras y márgenes de error que se definen buscan garantizar que aquellos valores declarados por el agente, con discrepancias que conlleven a la asignación de una menor ENFICC, no sean considerados como discrepancias.” Subrayado fuera de texto. </w:t>
      </w:r>
    </w:p>
    <w:p w14:paraId="008F0A38" w14:textId="77777777" w:rsidR="00E22208" w:rsidRPr="002E7AE8" w:rsidRDefault="00E22208" w:rsidP="002E7AE8">
      <w:pPr>
        <w:pStyle w:val="Prrafodelista"/>
        <w:rPr>
          <w:rFonts w:ascii="Bookman Old Style" w:hAnsi="Bookman Old Style" w:cs="Arial"/>
          <w:spacing w:val="-5"/>
          <w:sz w:val="22"/>
          <w:szCs w:val="22"/>
          <w:lang w:val="es-ES" w:eastAsia="en-US"/>
        </w:rPr>
      </w:pPr>
    </w:p>
    <w:p w14:paraId="646DC6BA" w14:textId="3BF97305" w:rsidR="00E7685D" w:rsidRPr="000B16A2" w:rsidRDefault="007C7C2A" w:rsidP="002E7AE8">
      <w:pPr>
        <w:pStyle w:val="Prrafodelista"/>
        <w:ind w:left="1146"/>
        <w:jc w:val="both"/>
        <w:rPr>
          <w:rFonts w:ascii="Bookman Old Style" w:hAnsi="Bookman Old Style" w:cs="Arial"/>
          <w:spacing w:val="-5"/>
          <w:sz w:val="22"/>
          <w:szCs w:val="22"/>
          <w:lang w:eastAsia="en-US"/>
        </w:rPr>
      </w:pPr>
      <w:r w:rsidRPr="007C7C2A">
        <w:rPr>
          <w:rFonts w:ascii="Bookman Old Style" w:hAnsi="Bookman Old Style" w:cs="Arial"/>
          <w:spacing w:val="-5"/>
          <w:sz w:val="22"/>
          <w:szCs w:val="22"/>
          <w:lang w:val="es-ES" w:eastAsia="en-US"/>
        </w:rPr>
        <w:t>La diferencia en la CEN determinada por el auditor no representa la existencia de discrepancia, pues la diferencia en CEN no tiene efectos en el resultado de la ENFICC declarada por Celsia.</w:t>
      </w:r>
    </w:p>
    <w:p w14:paraId="3E6FFEBC" w14:textId="77777777" w:rsidR="000B16A2" w:rsidRPr="00350550" w:rsidRDefault="000B16A2" w:rsidP="000B16A2">
      <w:pPr>
        <w:pStyle w:val="Prrafodelista"/>
        <w:ind w:left="1146"/>
        <w:jc w:val="both"/>
        <w:rPr>
          <w:rFonts w:ascii="Bookman Old Style" w:hAnsi="Bookman Old Style" w:cs="Arial"/>
          <w:spacing w:val="-5"/>
          <w:sz w:val="22"/>
          <w:szCs w:val="22"/>
          <w:lang w:eastAsia="en-US"/>
        </w:rPr>
      </w:pPr>
    </w:p>
    <w:p w14:paraId="54359235" w14:textId="07E8C45A" w:rsidR="00223282" w:rsidRPr="007C7C2A" w:rsidRDefault="007C7C2A" w:rsidP="007C7C2A">
      <w:pPr>
        <w:ind w:left="426"/>
        <w:jc w:val="both"/>
        <w:rPr>
          <w:rFonts w:ascii="Bookman Old Style" w:hAnsi="Bookman Old Style" w:cs="Arial"/>
          <w:b/>
          <w:bCs/>
          <w:spacing w:val="-5"/>
          <w:sz w:val="22"/>
          <w:szCs w:val="22"/>
          <w:lang w:eastAsia="en-US"/>
        </w:rPr>
      </w:pPr>
      <w:r w:rsidRPr="007C7C2A">
        <w:rPr>
          <w:rFonts w:ascii="Bookman Old Style" w:hAnsi="Bookman Old Style" w:cs="Arial"/>
          <w:b/>
          <w:bCs/>
          <w:spacing w:val="-5"/>
          <w:sz w:val="22"/>
          <w:szCs w:val="22"/>
          <w:lang w:eastAsia="en-US"/>
        </w:rPr>
        <w:t xml:space="preserve">Comentarios al Documento 3281-15-QS-RP-007, Rev. 0 “Informe de Serie Histórica de Caudales Medios Mensuales de los Ríos del SIN – </w:t>
      </w:r>
      <w:r w:rsidR="0096490B" w:rsidRPr="007C7C2A">
        <w:rPr>
          <w:rFonts w:ascii="Bookman Old Style" w:hAnsi="Bookman Old Style" w:cs="Arial"/>
          <w:b/>
          <w:bCs/>
          <w:spacing w:val="-5"/>
          <w:sz w:val="22"/>
          <w:szCs w:val="22"/>
          <w:lang w:eastAsia="en-US"/>
        </w:rPr>
        <w:t>Dig</w:t>
      </w:r>
      <w:r w:rsidR="00D71237">
        <w:rPr>
          <w:rFonts w:ascii="Bookman Old Style" w:hAnsi="Bookman Old Style" w:cs="Arial"/>
          <w:b/>
          <w:bCs/>
          <w:spacing w:val="-5"/>
          <w:sz w:val="22"/>
          <w:szCs w:val="22"/>
          <w:lang w:eastAsia="en-US"/>
        </w:rPr>
        <w:t>u</w:t>
      </w:r>
      <w:r w:rsidR="0096490B" w:rsidRPr="007C7C2A">
        <w:rPr>
          <w:rFonts w:ascii="Bookman Old Style" w:hAnsi="Bookman Old Style" w:cs="Arial"/>
          <w:b/>
          <w:bCs/>
          <w:spacing w:val="-5"/>
          <w:sz w:val="22"/>
          <w:szCs w:val="22"/>
          <w:lang w:eastAsia="en-US"/>
        </w:rPr>
        <w:t>a</w:t>
      </w:r>
      <w:r w:rsidRPr="007C7C2A">
        <w:rPr>
          <w:rFonts w:ascii="Bookman Old Style" w:hAnsi="Bookman Old Style" w:cs="Arial"/>
          <w:b/>
          <w:bCs/>
          <w:spacing w:val="-5"/>
          <w:sz w:val="22"/>
          <w:szCs w:val="22"/>
          <w:lang w:eastAsia="en-US"/>
        </w:rPr>
        <w:t>”:</w:t>
      </w:r>
    </w:p>
    <w:p w14:paraId="70468B63" w14:textId="58B0A9BC" w:rsidR="00223282" w:rsidRPr="00350550" w:rsidRDefault="00223282" w:rsidP="00223282">
      <w:pPr>
        <w:ind w:left="0"/>
        <w:jc w:val="both"/>
        <w:rPr>
          <w:rFonts w:ascii="Bookman Old Style" w:hAnsi="Bookman Old Style" w:cs="Arial"/>
          <w:spacing w:val="-5"/>
          <w:sz w:val="22"/>
          <w:szCs w:val="22"/>
          <w:lang w:eastAsia="en-US"/>
        </w:rPr>
      </w:pPr>
    </w:p>
    <w:p w14:paraId="0C6C8092" w14:textId="0307D360" w:rsidR="00223282" w:rsidRPr="007C7C2A" w:rsidRDefault="007C7C2A" w:rsidP="00914DA4">
      <w:pPr>
        <w:pStyle w:val="Prrafodelista"/>
        <w:numPr>
          <w:ilvl w:val="0"/>
          <w:numId w:val="36"/>
        </w:numPr>
        <w:jc w:val="both"/>
        <w:rPr>
          <w:rFonts w:ascii="Bookman Old Style" w:hAnsi="Bookman Old Style" w:cs="Arial"/>
          <w:b/>
          <w:bCs/>
          <w:spacing w:val="-5"/>
          <w:sz w:val="22"/>
          <w:szCs w:val="22"/>
          <w:lang w:eastAsia="en-US"/>
        </w:rPr>
      </w:pPr>
      <w:r w:rsidRPr="007C7C2A">
        <w:rPr>
          <w:rFonts w:ascii="Bookman Old Style" w:hAnsi="Bookman Old Style"/>
          <w:b/>
          <w:bCs/>
          <w:sz w:val="22"/>
          <w:szCs w:val="22"/>
          <w:lang w:val="es-ES"/>
        </w:rPr>
        <w:t>Supuesta discrepancia respecto a la serie mensual de caudales para el periodo agosto 1975 - diciembre 2000 al considerar este periodo como meses “No Auditables” y en ese sentido considerados como valores inferiores al declarado por el Agente:</w:t>
      </w:r>
    </w:p>
    <w:p w14:paraId="5E44B6AE" w14:textId="0D2122E2" w:rsidR="007C7C2A" w:rsidRDefault="007C7C2A" w:rsidP="007C7C2A">
      <w:pPr>
        <w:pStyle w:val="Prrafodelista"/>
        <w:ind w:left="786"/>
        <w:jc w:val="both"/>
        <w:rPr>
          <w:rFonts w:ascii="Bookman Old Style" w:hAnsi="Bookman Old Style"/>
          <w:b/>
          <w:bCs/>
          <w:sz w:val="22"/>
          <w:szCs w:val="22"/>
        </w:rPr>
      </w:pPr>
    </w:p>
    <w:p w14:paraId="4B43F146" w14:textId="3125CC77" w:rsidR="007C7C2A" w:rsidRPr="007C7C2A" w:rsidRDefault="007C7C2A" w:rsidP="007C7C2A">
      <w:pPr>
        <w:pStyle w:val="Prrafodelista"/>
        <w:ind w:left="426"/>
        <w:jc w:val="both"/>
        <w:rPr>
          <w:rFonts w:ascii="Bookman Old Style" w:hAnsi="Bookman Old Style" w:cs="Arial"/>
          <w:spacing w:val="-5"/>
          <w:sz w:val="22"/>
          <w:szCs w:val="22"/>
          <w:lang w:eastAsia="en-US"/>
        </w:rPr>
      </w:pPr>
      <w:r w:rsidRPr="007C7C2A">
        <w:rPr>
          <w:rFonts w:ascii="Bookman Old Style" w:hAnsi="Bookman Old Style" w:cs="Arial"/>
          <w:spacing w:val="-5"/>
          <w:sz w:val="22"/>
          <w:szCs w:val="22"/>
          <w:lang w:val="es-ES" w:eastAsia="en-US"/>
        </w:rPr>
        <w:t>La discrepancia argumentada por el auditor se basa en considerar que para la serie mensual de caudales para el periodo agosto 1975 - diciembre 2000 no se cuenta con información y por lo tanto no fue posible auditar dicho periodo por falta de información.</w:t>
      </w:r>
    </w:p>
    <w:p w14:paraId="7AC10AEC" w14:textId="77777777" w:rsidR="007C7C2A" w:rsidRPr="00CE0799" w:rsidRDefault="007C7C2A" w:rsidP="00CE0799">
      <w:pPr>
        <w:ind w:left="0"/>
        <w:jc w:val="both"/>
        <w:rPr>
          <w:rFonts w:ascii="Bookman Old Style" w:hAnsi="Bookman Old Style" w:cs="Arial"/>
          <w:b/>
          <w:bCs/>
          <w:spacing w:val="-5"/>
          <w:sz w:val="22"/>
          <w:szCs w:val="22"/>
          <w:lang w:eastAsia="en-US"/>
        </w:rPr>
      </w:pPr>
    </w:p>
    <w:p w14:paraId="05899E5B" w14:textId="77777777" w:rsidR="0096490B" w:rsidRDefault="007C7C2A" w:rsidP="0096490B">
      <w:pPr>
        <w:ind w:left="426"/>
        <w:jc w:val="both"/>
        <w:rPr>
          <w:rFonts w:ascii="Bookman Old Style" w:hAnsi="Bookman Old Style"/>
          <w:sz w:val="22"/>
          <w:szCs w:val="22"/>
        </w:rPr>
      </w:pPr>
      <w:r w:rsidRPr="0096490B">
        <w:rPr>
          <w:rFonts w:ascii="Bookman Old Style" w:hAnsi="Bookman Old Style" w:cs="Arial"/>
          <w:spacing w:val="-5"/>
          <w:sz w:val="22"/>
          <w:szCs w:val="22"/>
          <w:lang w:eastAsia="en-US"/>
        </w:rPr>
        <w:t>Al respecto, mediante comunicación 202000044475, Celsia presentó las aclaraciones al informe preliminar de las Series históricas de caudales medios mensuales para Digua No. 3281-15-QS-RP-007 para los años 2000 y anteriores. (Ver anexo: “20201222_Respuesta series AA-Digua-CA-PR-SA.pdf”) indicando las razones por las cuales no consideramos válida la consideración de discrepancia, las cuales describimos a continuación:</w:t>
      </w:r>
      <w:r w:rsidRPr="007C7C2A">
        <w:rPr>
          <w:rFonts w:ascii="Bookman Old Style" w:hAnsi="Bookman Old Style"/>
          <w:sz w:val="22"/>
          <w:szCs w:val="22"/>
        </w:rPr>
        <w:t xml:space="preserve"> </w:t>
      </w:r>
    </w:p>
    <w:p w14:paraId="3199C066" w14:textId="77777777" w:rsidR="0096490B" w:rsidRDefault="0096490B" w:rsidP="007C7C2A">
      <w:pPr>
        <w:ind w:left="0"/>
        <w:jc w:val="both"/>
        <w:rPr>
          <w:rFonts w:ascii="Bookman Old Style" w:hAnsi="Bookman Old Style"/>
          <w:sz w:val="22"/>
          <w:szCs w:val="22"/>
        </w:rPr>
      </w:pPr>
    </w:p>
    <w:p w14:paraId="1259FADC" w14:textId="77777777" w:rsidR="0096490B" w:rsidRDefault="007C7C2A" w:rsidP="0096490B">
      <w:pPr>
        <w:ind w:left="426"/>
        <w:jc w:val="both"/>
        <w:rPr>
          <w:rFonts w:ascii="Bookman Old Style" w:hAnsi="Bookman Old Style" w:cs="Arial"/>
          <w:spacing w:val="-5"/>
          <w:sz w:val="22"/>
          <w:szCs w:val="22"/>
          <w:lang w:eastAsia="en-US"/>
        </w:rPr>
      </w:pPr>
      <w:r w:rsidRPr="007C7C2A">
        <w:rPr>
          <w:rFonts w:ascii="Bookman Old Style" w:hAnsi="Bookman Old Style"/>
          <w:sz w:val="22"/>
          <w:szCs w:val="22"/>
        </w:rPr>
        <w:t>2</w:t>
      </w:r>
      <w:r w:rsidRPr="0096490B">
        <w:rPr>
          <w:rFonts w:ascii="Bookman Old Style" w:hAnsi="Bookman Old Style" w:cs="Arial"/>
          <w:spacing w:val="-5"/>
          <w:sz w:val="22"/>
          <w:szCs w:val="22"/>
          <w:lang w:eastAsia="en-US"/>
        </w:rPr>
        <w:t xml:space="preserve">.1 La información histórica correspondiente a los años 2000 y anteriores, se encuentra homologada y validada a partir de la aplicación del Acuerdo CNO 159 de 2001, mediante el cual se formalizaron los procedimientos de actualización de las series hidrológicas. Esto además coincide con lo indicado en el numeral 5.3 del Acuerdo CNO 159 de 2001 que indica: </w:t>
      </w:r>
    </w:p>
    <w:p w14:paraId="7839057C" w14:textId="77777777" w:rsidR="0096490B" w:rsidRDefault="0096490B" w:rsidP="007C7C2A">
      <w:pPr>
        <w:ind w:left="0"/>
        <w:jc w:val="both"/>
        <w:rPr>
          <w:rFonts w:ascii="Bookman Old Style" w:hAnsi="Bookman Old Style" w:cs="Arial"/>
          <w:spacing w:val="-5"/>
          <w:sz w:val="22"/>
          <w:szCs w:val="22"/>
          <w:lang w:eastAsia="en-US"/>
        </w:rPr>
      </w:pPr>
    </w:p>
    <w:p w14:paraId="71489A78" w14:textId="77777777" w:rsidR="0096490B" w:rsidRPr="0096490B" w:rsidRDefault="007C7C2A" w:rsidP="0096490B">
      <w:pPr>
        <w:ind w:left="709"/>
        <w:jc w:val="both"/>
        <w:rPr>
          <w:rFonts w:ascii="Bookman Old Style" w:hAnsi="Bookman Old Style"/>
          <w:i/>
          <w:iCs/>
          <w:sz w:val="22"/>
          <w:szCs w:val="22"/>
        </w:rPr>
      </w:pPr>
      <w:r w:rsidRPr="0096490B">
        <w:rPr>
          <w:rFonts w:ascii="Bookman Old Style" w:hAnsi="Bookman Old Style"/>
          <w:b/>
          <w:bCs/>
          <w:i/>
          <w:iCs/>
          <w:sz w:val="22"/>
          <w:szCs w:val="22"/>
        </w:rPr>
        <w:t>“5.3 Validación de Información Operativa como Histórica</w:t>
      </w:r>
      <w:r w:rsidRPr="0096490B">
        <w:rPr>
          <w:rFonts w:ascii="Bookman Old Style" w:hAnsi="Bookman Old Style"/>
          <w:i/>
          <w:iCs/>
          <w:sz w:val="22"/>
          <w:szCs w:val="22"/>
        </w:rPr>
        <w:t xml:space="preserve"> </w:t>
      </w:r>
    </w:p>
    <w:p w14:paraId="41FBB133" w14:textId="77777777" w:rsidR="0096490B" w:rsidRPr="0096490B" w:rsidRDefault="007C7C2A" w:rsidP="0096490B">
      <w:pPr>
        <w:ind w:left="709"/>
        <w:jc w:val="both"/>
        <w:rPr>
          <w:rFonts w:ascii="Bookman Old Style" w:hAnsi="Bookman Old Style"/>
          <w:i/>
          <w:iCs/>
          <w:sz w:val="22"/>
          <w:szCs w:val="22"/>
        </w:rPr>
      </w:pPr>
      <w:r w:rsidRPr="0096490B">
        <w:rPr>
          <w:rFonts w:ascii="Bookman Old Style" w:hAnsi="Bookman Old Style"/>
          <w:i/>
          <w:iCs/>
          <w:sz w:val="22"/>
          <w:szCs w:val="22"/>
        </w:rPr>
        <w:t xml:space="preserve">En caso de que alguna empresa considere que la Información hidrológica reportada diariamente al CND, calculada por balance operativo, es la que debería considerarse como histórica, enviará una comunicación escrita al CND, con copia al Presidente y Secretario Técnico del SHyPH donde ratifique esta determinación, dentro de los plazos establecidos por el Acuerdo 10 del 29 de enero de 1999. Si en años posteriores, no se ha modificado esa determinación por el Agente, el CND la asumirá como histórica. Si el agente decide cambiar el método de cálculo de los aportes, informará su decisión mediante comunicación escrita al Presidente y Secretario técnico del SHyPH, especificando su nuevo procedimiento. El Presidente Informará al Subcomité y CND de dicho cambio y el agente seguirá el numeral 5.1 de este procedimiento.” </w:t>
      </w:r>
    </w:p>
    <w:p w14:paraId="2C2C9F94" w14:textId="77777777" w:rsidR="0096490B" w:rsidRDefault="0096490B" w:rsidP="007C7C2A">
      <w:pPr>
        <w:ind w:left="0"/>
        <w:jc w:val="both"/>
        <w:rPr>
          <w:rFonts w:ascii="Bookman Old Style" w:hAnsi="Bookman Old Style"/>
          <w:sz w:val="22"/>
          <w:szCs w:val="22"/>
        </w:rPr>
      </w:pPr>
    </w:p>
    <w:p w14:paraId="458745BE" w14:textId="77777777" w:rsidR="0096490B" w:rsidRDefault="007C7C2A" w:rsidP="0096490B">
      <w:pPr>
        <w:ind w:left="426"/>
        <w:jc w:val="both"/>
        <w:rPr>
          <w:rFonts w:ascii="Bookman Old Style" w:hAnsi="Bookman Old Style" w:cs="Arial"/>
          <w:spacing w:val="-5"/>
          <w:sz w:val="22"/>
          <w:szCs w:val="22"/>
          <w:lang w:eastAsia="en-US"/>
        </w:rPr>
      </w:pPr>
      <w:r w:rsidRPr="0096490B">
        <w:rPr>
          <w:rFonts w:ascii="Bookman Old Style" w:hAnsi="Bookman Old Style" w:cs="Arial"/>
          <w:spacing w:val="-5"/>
          <w:sz w:val="22"/>
          <w:szCs w:val="22"/>
          <w:lang w:eastAsia="en-US"/>
        </w:rPr>
        <w:t xml:space="preserve">Adicionalmente, esto se ratifica mediante la comunicación remitida por el CNO a la CREG del 23 de diciembre de 2008, en la cual el CNO presentó algunos elementos importantes a considerar en la auditoria del parámetro “Serie de caudales medios mensuales de los ríos del SIN”, así: </w:t>
      </w:r>
    </w:p>
    <w:p w14:paraId="0C99BA6A" w14:textId="77777777" w:rsidR="0096490B" w:rsidRDefault="0096490B" w:rsidP="0096490B">
      <w:pPr>
        <w:ind w:left="426"/>
        <w:jc w:val="both"/>
        <w:rPr>
          <w:rFonts w:ascii="Bookman Old Style" w:hAnsi="Bookman Old Style" w:cs="Arial"/>
          <w:spacing w:val="-5"/>
          <w:sz w:val="22"/>
          <w:szCs w:val="22"/>
          <w:lang w:eastAsia="en-US"/>
        </w:rPr>
      </w:pPr>
    </w:p>
    <w:p w14:paraId="0D050510" w14:textId="77777777" w:rsidR="0036339E" w:rsidRDefault="007C7C2A" w:rsidP="0036339E">
      <w:pPr>
        <w:ind w:left="709"/>
        <w:jc w:val="both"/>
        <w:rPr>
          <w:rFonts w:ascii="Bookman Old Style" w:hAnsi="Bookman Old Style" w:cs="Arial"/>
          <w:i/>
          <w:iCs/>
          <w:spacing w:val="-5"/>
          <w:sz w:val="22"/>
          <w:szCs w:val="22"/>
          <w:lang w:eastAsia="en-US"/>
        </w:rPr>
      </w:pPr>
      <w:r w:rsidRPr="0036339E">
        <w:rPr>
          <w:rFonts w:ascii="Bookman Old Style" w:hAnsi="Bookman Old Style" w:cs="Arial"/>
          <w:i/>
          <w:iCs/>
          <w:spacing w:val="-5"/>
          <w:sz w:val="22"/>
          <w:szCs w:val="22"/>
          <w:lang w:eastAsia="en-US"/>
        </w:rPr>
        <w:t xml:space="preserve">“Es importante tener presente que en el año 2001 se formalizaron los procedimientos de actualización de las series hidrológicas de todos los agentes del SIN, lo cual dio origen al Acuerdo No. 159 del CNO de Agosto 30 de 2001, por lo que </w:t>
      </w:r>
      <w:r w:rsidRPr="0036339E">
        <w:rPr>
          <w:rFonts w:ascii="Bookman Old Style" w:hAnsi="Bookman Old Style" w:cs="Arial"/>
          <w:i/>
          <w:iCs/>
          <w:spacing w:val="-5"/>
          <w:sz w:val="22"/>
          <w:szCs w:val="22"/>
          <w:u w:val="single"/>
          <w:lang w:eastAsia="en-US"/>
        </w:rPr>
        <w:t>es claro que la información hidrológica de las diferentes empresas quedó homologada y catalogada a partir de dicha fecha como Información Hidrológica Histórica del SIN</w:t>
      </w:r>
      <w:r w:rsidRPr="0036339E">
        <w:rPr>
          <w:rFonts w:ascii="Bookman Old Style" w:hAnsi="Bookman Old Style" w:cs="Arial"/>
          <w:i/>
          <w:iCs/>
          <w:spacing w:val="-5"/>
          <w:sz w:val="22"/>
          <w:szCs w:val="22"/>
          <w:lang w:eastAsia="en-US"/>
        </w:rPr>
        <w:t xml:space="preserve"> (ver numeral 3.2 de dicho Acuerdo)” Subrayado fuera de texto. </w:t>
      </w:r>
    </w:p>
    <w:p w14:paraId="540EC006" w14:textId="77777777" w:rsidR="0036339E" w:rsidRDefault="0036339E" w:rsidP="0036339E">
      <w:pPr>
        <w:ind w:left="709"/>
        <w:jc w:val="both"/>
        <w:rPr>
          <w:rFonts w:ascii="Bookman Old Style" w:hAnsi="Bookman Old Style" w:cs="Arial"/>
          <w:i/>
          <w:iCs/>
          <w:spacing w:val="-5"/>
          <w:sz w:val="22"/>
          <w:szCs w:val="22"/>
          <w:lang w:eastAsia="en-US"/>
        </w:rPr>
      </w:pPr>
    </w:p>
    <w:p w14:paraId="5EFF1A74" w14:textId="158862BB" w:rsidR="0096490B" w:rsidRDefault="007C7C2A" w:rsidP="00777010">
      <w:pPr>
        <w:ind w:left="709"/>
        <w:jc w:val="both"/>
        <w:rPr>
          <w:rFonts w:ascii="Bookman Old Style" w:hAnsi="Bookman Old Style" w:cs="Arial"/>
          <w:spacing w:val="-5"/>
          <w:sz w:val="22"/>
          <w:szCs w:val="22"/>
          <w:lang w:eastAsia="en-US"/>
        </w:rPr>
      </w:pPr>
      <w:r w:rsidRPr="0036339E">
        <w:rPr>
          <w:rFonts w:ascii="Bookman Old Style" w:hAnsi="Bookman Old Style" w:cs="Arial"/>
          <w:spacing w:val="-5"/>
          <w:sz w:val="22"/>
          <w:szCs w:val="22"/>
          <w:lang w:eastAsia="en-US"/>
        </w:rPr>
        <w:t xml:space="preserve">(Ver anexo: “Carta a CREG - Auditoria serie históricas caudales ríos SIN.pdf”) </w:t>
      </w:r>
    </w:p>
    <w:p w14:paraId="2C4054D6" w14:textId="77777777" w:rsidR="00F25AE0" w:rsidRPr="0096490B" w:rsidRDefault="00F25AE0" w:rsidP="00777010">
      <w:pPr>
        <w:ind w:left="709"/>
        <w:jc w:val="both"/>
        <w:rPr>
          <w:rFonts w:ascii="Bookman Old Style" w:hAnsi="Bookman Old Style" w:cs="Arial"/>
          <w:spacing w:val="-5"/>
          <w:sz w:val="22"/>
          <w:szCs w:val="22"/>
          <w:lang w:eastAsia="en-US"/>
        </w:rPr>
      </w:pPr>
    </w:p>
    <w:p w14:paraId="00057D62" w14:textId="77777777" w:rsidR="0036339E" w:rsidRDefault="007C7C2A" w:rsidP="0036339E">
      <w:pPr>
        <w:ind w:left="426"/>
        <w:jc w:val="both"/>
        <w:rPr>
          <w:rFonts w:ascii="Bookman Old Style" w:hAnsi="Bookman Old Style"/>
          <w:sz w:val="22"/>
          <w:szCs w:val="22"/>
        </w:rPr>
      </w:pPr>
      <w:r w:rsidRPr="007C7C2A">
        <w:rPr>
          <w:rFonts w:ascii="Bookman Old Style" w:hAnsi="Bookman Old Style"/>
          <w:sz w:val="22"/>
          <w:szCs w:val="22"/>
        </w:rPr>
        <w:t xml:space="preserve">Considerando que previo a la expedición de este Acuerdo no se contaba con una exigencia y/o procedimiento específico respecto a los soportes de la información de caudales y que la serie de caudales hasta el año 2000 fueron homologados por parte del CNO para considerarlos “Información Histórica del SIN”, es incorrecta la interpretación del auditor respecto a tener como inválida la información por el hecho de no contar con información soporte, en especial porque la serie de caudales reportada por Celsia para la subasta 2022-2023 correspondió exactamente a la homologada por el CNO, como lo puede verificar la CREG. </w:t>
      </w:r>
    </w:p>
    <w:p w14:paraId="597DCABD" w14:textId="77777777" w:rsidR="0036339E" w:rsidRDefault="0036339E" w:rsidP="0036339E">
      <w:pPr>
        <w:ind w:left="426"/>
        <w:jc w:val="both"/>
        <w:rPr>
          <w:rFonts w:ascii="Bookman Old Style" w:hAnsi="Bookman Old Style"/>
          <w:sz w:val="22"/>
          <w:szCs w:val="22"/>
        </w:rPr>
      </w:pPr>
    </w:p>
    <w:p w14:paraId="7084F383" w14:textId="77777777" w:rsidR="0036339E" w:rsidRDefault="007C7C2A" w:rsidP="0036339E">
      <w:pPr>
        <w:ind w:left="426"/>
        <w:jc w:val="both"/>
        <w:rPr>
          <w:rFonts w:ascii="Bookman Old Style" w:hAnsi="Bookman Old Style"/>
          <w:sz w:val="22"/>
          <w:szCs w:val="22"/>
        </w:rPr>
      </w:pPr>
      <w:r w:rsidRPr="007C7C2A">
        <w:rPr>
          <w:rFonts w:ascii="Bookman Old Style" w:hAnsi="Bookman Old Style"/>
          <w:sz w:val="22"/>
          <w:szCs w:val="22"/>
        </w:rPr>
        <w:t xml:space="preserve">2.2 El numeral 3.2 del Acuerdo CNO 159 de 2001, establece la información hidrológica histórica así: </w:t>
      </w:r>
    </w:p>
    <w:p w14:paraId="161AFA85" w14:textId="77777777" w:rsidR="0036339E" w:rsidRDefault="0036339E" w:rsidP="0036339E">
      <w:pPr>
        <w:ind w:left="426"/>
        <w:jc w:val="both"/>
        <w:rPr>
          <w:rFonts w:ascii="Bookman Old Style" w:hAnsi="Bookman Old Style"/>
          <w:sz w:val="22"/>
          <w:szCs w:val="22"/>
        </w:rPr>
      </w:pPr>
    </w:p>
    <w:p w14:paraId="328745D1" w14:textId="77777777" w:rsidR="00B56FD5" w:rsidRDefault="007C7C2A" w:rsidP="00B56FD5">
      <w:pPr>
        <w:ind w:left="709"/>
        <w:jc w:val="both"/>
        <w:rPr>
          <w:rFonts w:ascii="Bookman Old Style" w:hAnsi="Bookman Old Style"/>
          <w:sz w:val="22"/>
          <w:szCs w:val="22"/>
        </w:rPr>
      </w:pPr>
      <w:r w:rsidRPr="00B56FD5">
        <w:rPr>
          <w:rFonts w:ascii="Bookman Old Style" w:hAnsi="Bookman Old Style"/>
          <w:sz w:val="22"/>
          <w:szCs w:val="22"/>
          <w:u w:val="single"/>
        </w:rPr>
        <w:t>“</w:t>
      </w:r>
      <w:r w:rsidRPr="00B56FD5">
        <w:rPr>
          <w:rFonts w:ascii="Bookman Old Style" w:hAnsi="Bookman Old Style"/>
          <w:i/>
          <w:iCs/>
          <w:sz w:val="22"/>
          <w:szCs w:val="22"/>
          <w:u w:val="single"/>
        </w:rPr>
        <w:t>3.2 Información Hidrológica Histórica</w:t>
      </w:r>
      <w:r w:rsidRPr="00B56FD5">
        <w:rPr>
          <w:rFonts w:ascii="Bookman Old Style" w:hAnsi="Bookman Old Style"/>
          <w:i/>
          <w:iCs/>
          <w:sz w:val="22"/>
          <w:szCs w:val="22"/>
        </w:rPr>
        <w:t xml:space="preserve">: datos hidrológicos definitivos entregados al CND luego de su aprobación por el Subcomité Hidrológico y de Plantas Hidráulicas (SHyPH). </w:t>
      </w:r>
      <w:r w:rsidRPr="00B56FD5">
        <w:rPr>
          <w:rFonts w:ascii="Bookman Old Style" w:hAnsi="Bookman Old Style"/>
          <w:i/>
          <w:iCs/>
          <w:sz w:val="22"/>
          <w:szCs w:val="22"/>
          <w:u w:val="single"/>
        </w:rPr>
        <w:t>Se incluyen en esta categoría las series hidrológicas almacenadas hasta hoy</w:t>
      </w:r>
      <w:r w:rsidRPr="00B56FD5">
        <w:rPr>
          <w:rFonts w:ascii="Bookman Old Style" w:hAnsi="Bookman Old Style"/>
          <w:i/>
          <w:iCs/>
          <w:sz w:val="22"/>
          <w:szCs w:val="22"/>
        </w:rPr>
        <w:t>. Su resolución es mensual y no estará influida por desviaciones, trasvases o caudales vertidos o turbinados en centrales aguas arriba, (es decir se trata de series naturales) y por tanto constituyen los aportes totales de la cuenca tributaria hasta el sitio de presa.”</w:t>
      </w:r>
      <w:r w:rsidRPr="007C7C2A">
        <w:rPr>
          <w:rFonts w:ascii="Bookman Old Style" w:hAnsi="Bookman Old Style"/>
          <w:sz w:val="22"/>
          <w:szCs w:val="22"/>
        </w:rPr>
        <w:t xml:space="preserve"> Subrayado fuera de texto. </w:t>
      </w:r>
    </w:p>
    <w:p w14:paraId="5E66C343" w14:textId="77777777" w:rsidR="00B56FD5" w:rsidRDefault="00B56FD5" w:rsidP="00B56FD5">
      <w:pPr>
        <w:ind w:left="0"/>
        <w:jc w:val="both"/>
        <w:rPr>
          <w:rFonts w:ascii="Bookman Old Style" w:hAnsi="Bookman Old Style"/>
          <w:sz w:val="22"/>
          <w:szCs w:val="22"/>
        </w:rPr>
      </w:pPr>
    </w:p>
    <w:p w14:paraId="56970FA6" w14:textId="77777777" w:rsidR="00B56FD5" w:rsidRDefault="007C7C2A" w:rsidP="0036339E">
      <w:pPr>
        <w:ind w:left="426"/>
        <w:jc w:val="both"/>
        <w:rPr>
          <w:rFonts w:ascii="Bookman Old Style" w:hAnsi="Bookman Old Style"/>
          <w:sz w:val="22"/>
          <w:szCs w:val="22"/>
        </w:rPr>
      </w:pPr>
      <w:r w:rsidRPr="007C7C2A">
        <w:rPr>
          <w:rFonts w:ascii="Bookman Old Style" w:hAnsi="Bookman Old Style"/>
          <w:sz w:val="22"/>
          <w:szCs w:val="22"/>
        </w:rPr>
        <w:t xml:space="preserve">En ese sentido, el Acuerdo CNO considera como información hidrológica histórica las series hidrológicas almacenadas hasta ese momento (2001) y que fueron aprobadas por el Subcomité Hidrológico y de Plantas Hidráulicas (SHyPH). </w:t>
      </w:r>
    </w:p>
    <w:p w14:paraId="46724635" w14:textId="77777777" w:rsidR="00B56FD5" w:rsidRDefault="00B56FD5" w:rsidP="0036339E">
      <w:pPr>
        <w:ind w:left="426"/>
        <w:jc w:val="both"/>
        <w:rPr>
          <w:rFonts w:ascii="Bookman Old Style" w:hAnsi="Bookman Old Style"/>
          <w:sz w:val="22"/>
          <w:szCs w:val="22"/>
        </w:rPr>
      </w:pPr>
    </w:p>
    <w:p w14:paraId="6DDF6E22" w14:textId="77777777" w:rsidR="00B56FD5" w:rsidRDefault="007C7C2A" w:rsidP="0036339E">
      <w:pPr>
        <w:ind w:left="426"/>
        <w:jc w:val="both"/>
        <w:rPr>
          <w:rFonts w:ascii="Bookman Old Style" w:hAnsi="Bookman Old Style"/>
          <w:sz w:val="22"/>
          <w:szCs w:val="22"/>
        </w:rPr>
      </w:pPr>
      <w:r w:rsidRPr="007C7C2A">
        <w:rPr>
          <w:rFonts w:ascii="Bookman Old Style" w:hAnsi="Bookman Old Style"/>
          <w:sz w:val="22"/>
          <w:szCs w:val="22"/>
        </w:rPr>
        <w:t xml:space="preserve">Por lo tanto, las series hidrológicas que están registradas en el CND para ese periodo se consideran las oficiales y no debería requerirse otra validación por parte del auditor, más allá que las declaradas para el periodo 2022-2023 coincidan con estas. </w:t>
      </w:r>
    </w:p>
    <w:p w14:paraId="66816207" w14:textId="77777777" w:rsidR="00B56FD5" w:rsidRDefault="00B56FD5" w:rsidP="0036339E">
      <w:pPr>
        <w:ind w:left="426"/>
        <w:jc w:val="both"/>
        <w:rPr>
          <w:rFonts w:ascii="Bookman Old Style" w:hAnsi="Bookman Old Style"/>
          <w:sz w:val="22"/>
          <w:szCs w:val="22"/>
        </w:rPr>
      </w:pPr>
    </w:p>
    <w:p w14:paraId="672B2CB3" w14:textId="1FD70EC8" w:rsidR="007C7C2A" w:rsidRDefault="007C7C2A" w:rsidP="0036339E">
      <w:pPr>
        <w:ind w:left="426"/>
        <w:jc w:val="both"/>
        <w:rPr>
          <w:rFonts w:ascii="Bookman Old Style" w:hAnsi="Bookman Old Style"/>
          <w:sz w:val="22"/>
          <w:szCs w:val="22"/>
        </w:rPr>
      </w:pPr>
      <w:r w:rsidRPr="007C7C2A">
        <w:rPr>
          <w:rFonts w:ascii="Bookman Old Style" w:hAnsi="Bookman Old Style"/>
          <w:sz w:val="22"/>
          <w:szCs w:val="22"/>
        </w:rPr>
        <w:t xml:space="preserve">2.3 Adicionalmente, para la última auditoría de parámetros realizada a la planta en el año 2008, el informe presentado por SEDIC a la CREG en virtud del proceso de </w:t>
      </w:r>
      <w:r w:rsidR="00B56FD5" w:rsidRPr="007C7C2A">
        <w:rPr>
          <w:rFonts w:ascii="Bookman Old Style" w:hAnsi="Bookman Old Style"/>
          <w:sz w:val="22"/>
          <w:szCs w:val="22"/>
        </w:rPr>
        <w:t>auditoría</w:t>
      </w:r>
      <w:r w:rsidRPr="007C7C2A">
        <w:rPr>
          <w:rFonts w:ascii="Bookman Old Style" w:hAnsi="Bookman Old Style"/>
          <w:sz w:val="22"/>
          <w:szCs w:val="22"/>
        </w:rPr>
        <w:t xml:space="preserve"> del parámetro Serie Histórica de Caudales Medios Mensuales de los Ríos del SIN para el río Dígua, no presentó discrepancia en la validación de las series de caudales para el periodo agosto 1975 - diciembre 2007, lo que refuerza la conclusión que mientras que las series hidrológicas entre 1975 y 2000 declaradas para la subasta del 2022-2023 correspondan con las homologadas, no podría considerarse como sin información disponible para certificar su validez</w:t>
      </w:r>
      <w:r>
        <w:rPr>
          <w:rFonts w:ascii="Bookman Old Style" w:hAnsi="Bookman Old Style"/>
          <w:sz w:val="22"/>
          <w:szCs w:val="22"/>
        </w:rPr>
        <w:t>.</w:t>
      </w:r>
    </w:p>
    <w:p w14:paraId="1EB6DCD6" w14:textId="6842B1BE" w:rsidR="007C7C2A" w:rsidRDefault="007C7C2A" w:rsidP="0036339E">
      <w:pPr>
        <w:ind w:left="426"/>
        <w:jc w:val="both"/>
        <w:rPr>
          <w:rFonts w:ascii="Bookman Old Style" w:hAnsi="Bookman Old Style"/>
          <w:sz w:val="22"/>
          <w:szCs w:val="22"/>
        </w:rPr>
      </w:pPr>
    </w:p>
    <w:p w14:paraId="27E31280" w14:textId="77777777" w:rsidR="00107AC7" w:rsidRDefault="007C7C2A" w:rsidP="0036339E">
      <w:pPr>
        <w:ind w:left="426"/>
        <w:jc w:val="both"/>
        <w:rPr>
          <w:rFonts w:ascii="Bookman Old Style" w:hAnsi="Bookman Old Style"/>
          <w:sz w:val="22"/>
          <w:szCs w:val="22"/>
        </w:rPr>
      </w:pPr>
      <w:r w:rsidRPr="007C7C2A">
        <w:rPr>
          <w:rFonts w:ascii="Bookman Old Style" w:hAnsi="Bookman Old Style"/>
          <w:sz w:val="22"/>
          <w:szCs w:val="22"/>
        </w:rPr>
        <w:t>De acuerdo con el cronograma definido en la Resolución CREG 104 de 2018, modificada por la Resolución 142 de 2018, Celsia Colombia S.A. E.S.P. (antes EPSA E.S</w:t>
      </w:r>
      <w:r w:rsidR="00B56FD5" w:rsidRPr="00B56FD5">
        <w:rPr>
          <w:rFonts w:ascii="Bookman Old Style" w:hAnsi="Bookman Old Style"/>
          <w:sz w:val="22"/>
          <w:szCs w:val="22"/>
        </w:rPr>
        <w:t xml:space="preserve">.P.) presentó la declaración de parámetros </w:t>
      </w:r>
      <w:r w:rsidR="00B56FD5">
        <w:rPr>
          <w:rFonts w:ascii="Bookman Old Style" w:hAnsi="Bookman Old Style"/>
          <w:sz w:val="22"/>
          <w:szCs w:val="22"/>
        </w:rPr>
        <w:t>para la asignación de Obligaciones de Energía Firme del Cargo por Confiabilidad</w:t>
      </w:r>
      <w:r w:rsidR="00107AC7">
        <w:rPr>
          <w:rFonts w:ascii="Bookman Old Style" w:hAnsi="Bookman Old Style"/>
          <w:sz w:val="22"/>
          <w:szCs w:val="22"/>
        </w:rPr>
        <w:t xml:space="preserve">, en el cual incluye </w:t>
      </w:r>
      <w:r w:rsidR="00107AC7" w:rsidRPr="00107AC7">
        <w:rPr>
          <w:rFonts w:ascii="Bookman Old Style" w:hAnsi="Bookman Old Style"/>
          <w:sz w:val="22"/>
          <w:szCs w:val="22"/>
        </w:rPr>
        <w:t>el reporte de las series de caudales para el río Dígua, sin presentar cambios respecto a la información homologada por el CNO y previamente auditada en el proceso ya mencionado, la cual fue presentada ante la CREG sin discrepancias.</w:t>
      </w:r>
    </w:p>
    <w:p w14:paraId="6E537239" w14:textId="07C16992" w:rsidR="00107AC7" w:rsidRDefault="00107AC7" w:rsidP="00D71237">
      <w:pPr>
        <w:ind w:left="0"/>
        <w:jc w:val="both"/>
        <w:rPr>
          <w:rFonts w:ascii="Bookman Old Style" w:hAnsi="Bookman Old Style"/>
          <w:sz w:val="22"/>
          <w:szCs w:val="22"/>
        </w:rPr>
      </w:pPr>
    </w:p>
    <w:p w14:paraId="52F6971D" w14:textId="6FFC2F2E" w:rsidR="00107AC7" w:rsidRPr="007C7C2A" w:rsidRDefault="00107AC7" w:rsidP="00107AC7">
      <w:pPr>
        <w:pStyle w:val="Prrafodelista"/>
        <w:numPr>
          <w:ilvl w:val="0"/>
          <w:numId w:val="36"/>
        </w:numPr>
        <w:jc w:val="both"/>
        <w:rPr>
          <w:rFonts w:ascii="Bookman Old Style" w:hAnsi="Bookman Old Style" w:cs="Arial"/>
          <w:b/>
          <w:bCs/>
          <w:spacing w:val="-5"/>
          <w:sz w:val="22"/>
          <w:szCs w:val="22"/>
          <w:lang w:eastAsia="en-US"/>
        </w:rPr>
      </w:pPr>
      <w:r w:rsidRPr="007C7C2A">
        <w:rPr>
          <w:rFonts w:ascii="Bookman Old Style" w:hAnsi="Bookman Old Style"/>
          <w:b/>
          <w:bCs/>
          <w:sz w:val="22"/>
          <w:szCs w:val="22"/>
          <w:lang w:val="es-ES"/>
        </w:rPr>
        <w:t>S</w:t>
      </w:r>
      <w:r>
        <w:rPr>
          <w:rFonts w:ascii="Bookman Old Style" w:hAnsi="Bookman Old Style"/>
          <w:b/>
          <w:bCs/>
          <w:sz w:val="22"/>
          <w:szCs w:val="22"/>
          <w:lang w:val="es-ES"/>
        </w:rPr>
        <w:t>erie mensual de caudales para el periodo 2001 al 2017:</w:t>
      </w:r>
      <w:r w:rsidRPr="007C7C2A">
        <w:rPr>
          <w:rFonts w:ascii="Bookman Old Style" w:hAnsi="Bookman Old Style"/>
          <w:b/>
          <w:bCs/>
          <w:sz w:val="22"/>
          <w:szCs w:val="22"/>
          <w:lang w:val="es-ES"/>
        </w:rPr>
        <w:t xml:space="preserve"> </w:t>
      </w:r>
    </w:p>
    <w:p w14:paraId="6A11244A" w14:textId="77777777" w:rsidR="00107AC7" w:rsidRDefault="00107AC7" w:rsidP="0036339E">
      <w:pPr>
        <w:ind w:left="426"/>
        <w:jc w:val="both"/>
        <w:rPr>
          <w:rFonts w:ascii="Bookman Old Style" w:hAnsi="Bookman Old Style"/>
          <w:sz w:val="22"/>
          <w:szCs w:val="22"/>
        </w:rPr>
      </w:pPr>
    </w:p>
    <w:p w14:paraId="09E51A83" w14:textId="74B9C093" w:rsidR="00B56FD5" w:rsidRDefault="00107AC7" w:rsidP="0036339E">
      <w:pPr>
        <w:ind w:left="426"/>
        <w:jc w:val="both"/>
        <w:rPr>
          <w:rFonts w:ascii="Bookman Old Style" w:hAnsi="Bookman Old Style"/>
          <w:sz w:val="22"/>
          <w:szCs w:val="22"/>
        </w:rPr>
      </w:pPr>
      <w:r>
        <w:rPr>
          <w:rFonts w:ascii="Bookman Old Style" w:hAnsi="Bookman Old Style"/>
          <w:sz w:val="22"/>
          <w:szCs w:val="22"/>
        </w:rPr>
        <w:t>3.1. E</w:t>
      </w:r>
      <w:r w:rsidR="00BE5CD0" w:rsidRPr="00BE5CD0">
        <w:rPr>
          <w:rFonts w:ascii="Bookman Old Style" w:hAnsi="Bookman Old Style"/>
          <w:sz w:val="22"/>
          <w:szCs w:val="22"/>
        </w:rPr>
        <w:t xml:space="preserve">n el informe preliminar Documento 3281-15-QS-RP-007, Rev. 0, HMV presentó su revisión a las series de caudales para los años 2009 a 2017 presentando algunas diferencias entre el valor calculado y el declarado por Celsia. </w:t>
      </w:r>
    </w:p>
    <w:p w14:paraId="1468275B" w14:textId="77777777" w:rsidR="00B56FD5" w:rsidRDefault="00B56FD5" w:rsidP="0036339E">
      <w:pPr>
        <w:ind w:left="426"/>
        <w:jc w:val="both"/>
        <w:rPr>
          <w:rFonts w:ascii="Bookman Old Style" w:hAnsi="Bookman Old Style"/>
          <w:sz w:val="22"/>
          <w:szCs w:val="22"/>
        </w:rPr>
      </w:pPr>
    </w:p>
    <w:p w14:paraId="2E4C476D" w14:textId="77777777" w:rsidR="00107AC7" w:rsidRDefault="00BE5CD0" w:rsidP="0036339E">
      <w:pPr>
        <w:ind w:left="426"/>
        <w:jc w:val="both"/>
        <w:rPr>
          <w:rFonts w:ascii="Bookman Old Style" w:hAnsi="Bookman Old Style"/>
          <w:sz w:val="22"/>
          <w:szCs w:val="22"/>
        </w:rPr>
      </w:pPr>
      <w:r w:rsidRPr="00BE5CD0">
        <w:rPr>
          <w:rFonts w:ascii="Bookman Old Style" w:hAnsi="Bookman Old Style"/>
          <w:sz w:val="22"/>
          <w:szCs w:val="22"/>
        </w:rPr>
        <w:t xml:space="preserve">3.2 </w:t>
      </w:r>
      <w:r w:rsidRPr="00F21D8F">
        <w:rPr>
          <w:rFonts w:ascii="Bookman Old Style" w:hAnsi="Bookman Old Style"/>
          <w:sz w:val="22"/>
          <w:szCs w:val="22"/>
        </w:rPr>
        <w:t>Mediante comunicación 202100000524, Celsia presentó las aclaraciones al informe preliminar de las Series históricas de caudales medios mensuales para la planta Bajo Anchicayá No. 3281-15-QS-RP-007 para los años 2009 al 2017. En esta comunicación se remitió también la información faltante para los años 2001 al 2008 y se aclaran algunas diferencias presentadas.</w:t>
      </w:r>
      <w:r w:rsidRPr="00BE5CD0">
        <w:rPr>
          <w:rFonts w:ascii="Bookman Old Style" w:hAnsi="Bookman Old Style"/>
          <w:sz w:val="22"/>
          <w:szCs w:val="22"/>
        </w:rPr>
        <w:t xml:space="preserve"> </w:t>
      </w:r>
    </w:p>
    <w:p w14:paraId="693D77AE" w14:textId="77777777" w:rsidR="00107AC7" w:rsidRDefault="00107AC7" w:rsidP="0036339E">
      <w:pPr>
        <w:ind w:left="426"/>
        <w:jc w:val="both"/>
        <w:rPr>
          <w:rFonts w:ascii="Bookman Old Style" w:hAnsi="Bookman Old Style"/>
          <w:sz w:val="22"/>
          <w:szCs w:val="22"/>
        </w:rPr>
      </w:pPr>
    </w:p>
    <w:p w14:paraId="32E18D1F" w14:textId="77777777" w:rsidR="00FC3B35" w:rsidRDefault="00BE5CD0" w:rsidP="0036339E">
      <w:pPr>
        <w:ind w:left="426"/>
        <w:jc w:val="both"/>
        <w:rPr>
          <w:rFonts w:ascii="Bookman Old Style" w:hAnsi="Bookman Old Style"/>
          <w:sz w:val="22"/>
          <w:szCs w:val="22"/>
        </w:rPr>
      </w:pPr>
      <w:r w:rsidRPr="00F21D8F">
        <w:rPr>
          <w:rFonts w:ascii="Bookman Old Style" w:hAnsi="Bookman Old Style"/>
          <w:sz w:val="22"/>
          <w:szCs w:val="22"/>
        </w:rPr>
        <w:t>Sin embargo, esta información no fue tenida en cuenta para el informe final, toda vez que para el auditor aun persistía la discrepancia del parámetro reportado por la ausencia de la información soporte de las series hasta el año 2000. (Ver anexo: “20210107_Respuesta series 2001-2017 Calima Prado Alto y Digua.pdf” y “Consolidado serie Digua.xlsx”).</w:t>
      </w:r>
      <w:r w:rsidRPr="00BE5CD0">
        <w:rPr>
          <w:rFonts w:ascii="Bookman Old Style" w:hAnsi="Bookman Old Style"/>
          <w:sz w:val="22"/>
          <w:szCs w:val="22"/>
        </w:rPr>
        <w:t xml:space="preserve"> </w:t>
      </w:r>
    </w:p>
    <w:p w14:paraId="34B2EC67" w14:textId="77777777" w:rsidR="00FC3B35" w:rsidRDefault="00FC3B35" w:rsidP="0036339E">
      <w:pPr>
        <w:ind w:left="426"/>
        <w:jc w:val="both"/>
        <w:rPr>
          <w:rFonts w:ascii="Bookman Old Style" w:hAnsi="Bookman Old Style"/>
          <w:sz w:val="22"/>
          <w:szCs w:val="22"/>
        </w:rPr>
      </w:pPr>
    </w:p>
    <w:p w14:paraId="3260B85E" w14:textId="77777777" w:rsidR="00FC3B35" w:rsidRDefault="00BE5CD0" w:rsidP="0036339E">
      <w:pPr>
        <w:ind w:left="426"/>
        <w:jc w:val="both"/>
        <w:rPr>
          <w:rFonts w:ascii="Bookman Old Style" w:hAnsi="Bookman Old Style"/>
          <w:sz w:val="22"/>
          <w:szCs w:val="22"/>
        </w:rPr>
      </w:pPr>
      <w:r w:rsidRPr="00F21D8F">
        <w:rPr>
          <w:rFonts w:ascii="Bookman Old Style" w:hAnsi="Bookman Old Style"/>
          <w:sz w:val="22"/>
          <w:szCs w:val="22"/>
        </w:rPr>
        <w:t>3.3 En ese sentido, la información remitida al auditor permite verificar las series históricas de caudales para el periodo 2001 – 2017. Esto puede corroborarse con el auditor, el cual recibió la información mediante comunicación Celsia 202100000524.</w:t>
      </w:r>
      <w:r w:rsidRPr="00BE5CD0">
        <w:rPr>
          <w:rFonts w:ascii="Bookman Old Style" w:hAnsi="Bookman Old Style"/>
          <w:sz w:val="22"/>
          <w:szCs w:val="22"/>
        </w:rPr>
        <w:t xml:space="preserve"> </w:t>
      </w:r>
    </w:p>
    <w:p w14:paraId="2F8BFA1D" w14:textId="77777777" w:rsidR="00FC3B35" w:rsidRDefault="00FC3B35" w:rsidP="0036339E">
      <w:pPr>
        <w:ind w:left="426"/>
        <w:jc w:val="both"/>
        <w:rPr>
          <w:rFonts w:ascii="Bookman Old Style" w:hAnsi="Bookman Old Style"/>
          <w:sz w:val="22"/>
          <w:szCs w:val="22"/>
        </w:rPr>
      </w:pPr>
    </w:p>
    <w:p w14:paraId="4B71B498" w14:textId="77777777" w:rsidR="000B16A2" w:rsidRDefault="00BE5CD0" w:rsidP="0036339E">
      <w:pPr>
        <w:ind w:left="426"/>
        <w:jc w:val="both"/>
        <w:rPr>
          <w:rFonts w:ascii="Bookman Old Style" w:hAnsi="Bookman Old Style"/>
          <w:sz w:val="22"/>
          <w:szCs w:val="22"/>
        </w:rPr>
      </w:pPr>
      <w:r w:rsidRPr="00BE5CD0">
        <w:rPr>
          <w:rFonts w:ascii="Bookman Old Style" w:hAnsi="Bookman Old Style"/>
          <w:sz w:val="22"/>
          <w:szCs w:val="22"/>
        </w:rPr>
        <w:t xml:space="preserve">Teniendo en cuenta lo expuesto anteriormente, es claro que las series hidrológicas para el periodo 1975-2008 cuentan con el soporte de su validez y verificación de auditorías previas bajo la regulación vigente en ese momento, así como las diferencias identificadas para el periodo 2009-2017 no constituyen una mayor ENFICC a la declarada. </w:t>
      </w:r>
    </w:p>
    <w:p w14:paraId="3C9AC768" w14:textId="77777777" w:rsidR="000B16A2" w:rsidRDefault="000B16A2" w:rsidP="0036339E">
      <w:pPr>
        <w:ind w:left="426"/>
        <w:jc w:val="both"/>
        <w:rPr>
          <w:rFonts w:ascii="Bookman Old Style" w:hAnsi="Bookman Old Style"/>
          <w:sz w:val="22"/>
          <w:szCs w:val="22"/>
        </w:rPr>
      </w:pPr>
    </w:p>
    <w:p w14:paraId="0097F51C" w14:textId="77777777" w:rsidR="000B16A2" w:rsidRDefault="00BE5CD0" w:rsidP="0036339E">
      <w:pPr>
        <w:ind w:left="426"/>
        <w:jc w:val="both"/>
        <w:rPr>
          <w:rFonts w:ascii="Bookman Old Style" w:hAnsi="Bookman Old Style"/>
          <w:sz w:val="22"/>
          <w:szCs w:val="22"/>
        </w:rPr>
      </w:pPr>
      <w:r w:rsidRPr="00BE5CD0">
        <w:rPr>
          <w:rFonts w:ascii="Bookman Old Style" w:hAnsi="Bookman Old Style"/>
          <w:sz w:val="22"/>
          <w:szCs w:val="22"/>
        </w:rPr>
        <w:t>Teniendo en cuenta lo expuesto queda demostrado que la declaración de parámetros para el cálculo de la ENFFIC correspondiente a la Serie Histórica de Caudales Medios Mensuales fue realizada por Celsia en cumplimiento del Acuerdo CNO 159 de 2001 (Anexo 6 de la Resolución CREG 071 de 2006), razón por la cual dicho parámetro declarado por la Compañía cumple con lo establecido en el Procedimiento de cálculo de</w:t>
      </w:r>
      <w:r>
        <w:rPr>
          <w:rFonts w:ascii="Bookman Old Style" w:hAnsi="Bookman Old Style"/>
          <w:sz w:val="22"/>
          <w:szCs w:val="22"/>
        </w:rPr>
        <w:t xml:space="preserve"> </w:t>
      </w:r>
      <w:r w:rsidRPr="00BE5CD0">
        <w:rPr>
          <w:rFonts w:ascii="Bookman Old Style" w:hAnsi="Bookman Old Style"/>
          <w:sz w:val="22"/>
          <w:szCs w:val="22"/>
        </w:rPr>
        <w:t xml:space="preserve">este parámetro presentado por cada empresa al Subcomité Hidrológico y de Plantas Hidráulicas, y en consecuencia no existen discrepancias en los valores reportados que representen la asignación de una mayor ENFICC para la Compañía. </w:t>
      </w:r>
    </w:p>
    <w:p w14:paraId="64C7BC5B" w14:textId="77777777" w:rsidR="000B16A2" w:rsidRDefault="000B16A2" w:rsidP="0036339E">
      <w:pPr>
        <w:ind w:left="426"/>
        <w:jc w:val="both"/>
        <w:rPr>
          <w:rFonts w:ascii="Bookman Old Style" w:hAnsi="Bookman Old Style"/>
          <w:sz w:val="22"/>
          <w:szCs w:val="22"/>
        </w:rPr>
      </w:pPr>
    </w:p>
    <w:p w14:paraId="26A365D6" w14:textId="60A2E8BE" w:rsidR="00BE5CD0" w:rsidRDefault="00BE5CD0" w:rsidP="0036339E">
      <w:pPr>
        <w:ind w:left="426"/>
        <w:jc w:val="both"/>
        <w:rPr>
          <w:rFonts w:ascii="Bookman Old Style" w:hAnsi="Bookman Old Style"/>
          <w:sz w:val="22"/>
          <w:szCs w:val="22"/>
        </w:rPr>
      </w:pPr>
      <w:r w:rsidRPr="00F21D8F">
        <w:rPr>
          <w:rFonts w:ascii="Bookman Old Style" w:hAnsi="Bookman Old Style"/>
          <w:sz w:val="22"/>
          <w:szCs w:val="22"/>
        </w:rPr>
        <w:t>Cabe mencionar que en la Auditoria realizada por la firma SEDIC en 2008-2009 sobre las series de caudales medios hasta el año 2007 y con base en la información aportada por CELSIA para soportar el cálculo de las series, estas fueron validadas por el Auditor quien determinó que no fueron detectadas discrepancias que implicaran un beneficio para la Compañía en la asignación de OEF, razón por la cual en aplicación del principio de Confianza Legitima establecido en el artículo 83 de la Constitución Política consideramos que no es dable que la CREG inicie la presente actuación administrativa modificando situaciones jurídicas consolidadas, especialmente porque las autoridades sectoriales avalaron que la declaración de parámetros de las series del caudal se habían realizado según los parámetros adoptados por el CNO en el Acuerdo 159 de 2001. Así mismo porque si para dichos parámetros, los cuáles son objeto nuevamente de investigación, la auditoria los encontró acordes, genera incertidumbre jurídica para los agentes, que posteriormente otra auditoria desconozca las decisiones ya adoptadas, y que ya han contado con el respaldo de las autoridades sectoriales.</w:t>
      </w:r>
    </w:p>
    <w:p w14:paraId="63AAC847" w14:textId="29D23AB0" w:rsidR="00530EE9" w:rsidRPr="00350550" w:rsidRDefault="00530EE9" w:rsidP="000B16A2">
      <w:pPr>
        <w:ind w:left="0"/>
        <w:jc w:val="both"/>
        <w:rPr>
          <w:rFonts w:ascii="Bookman Old Style" w:hAnsi="Bookman Old Style"/>
          <w:sz w:val="22"/>
          <w:szCs w:val="22"/>
        </w:rPr>
      </w:pPr>
    </w:p>
    <w:p w14:paraId="36364ED2" w14:textId="77777777" w:rsidR="00530EE9" w:rsidRPr="00E876A7" w:rsidRDefault="00530EE9" w:rsidP="0090109C">
      <w:pPr>
        <w:ind w:left="426"/>
        <w:jc w:val="both"/>
        <w:rPr>
          <w:rFonts w:ascii="Bookman Old Style" w:hAnsi="Bookman Old Style"/>
          <w:b/>
          <w:bCs/>
          <w:sz w:val="22"/>
          <w:szCs w:val="22"/>
        </w:rPr>
      </w:pPr>
      <w:bookmarkStart w:id="0" w:name="_Hlk94535108"/>
      <w:r w:rsidRPr="00E876A7">
        <w:rPr>
          <w:rFonts w:ascii="Bookman Old Style" w:hAnsi="Bookman Old Style"/>
          <w:b/>
          <w:bCs/>
          <w:sz w:val="22"/>
          <w:szCs w:val="22"/>
        </w:rPr>
        <w:t xml:space="preserve">PETICIÓN </w:t>
      </w:r>
    </w:p>
    <w:p w14:paraId="68546E60" w14:textId="77777777" w:rsidR="00530EE9" w:rsidRPr="00350550" w:rsidRDefault="00530EE9" w:rsidP="0090109C">
      <w:pPr>
        <w:ind w:left="426"/>
        <w:jc w:val="both"/>
        <w:rPr>
          <w:rFonts w:ascii="Bookman Old Style" w:hAnsi="Bookman Old Style"/>
          <w:sz w:val="22"/>
          <w:szCs w:val="22"/>
        </w:rPr>
      </w:pPr>
    </w:p>
    <w:p w14:paraId="2B69517F" w14:textId="58EA3F00" w:rsidR="00BE5CD0" w:rsidRPr="00D43BE2" w:rsidRDefault="00530EE9" w:rsidP="0090109C">
      <w:pPr>
        <w:ind w:left="426"/>
        <w:jc w:val="both"/>
        <w:rPr>
          <w:rFonts w:ascii="Bookman Old Style" w:hAnsi="Bookman Old Style"/>
          <w:sz w:val="22"/>
          <w:szCs w:val="22"/>
        </w:rPr>
      </w:pPr>
      <w:r w:rsidRPr="00F21D8F">
        <w:rPr>
          <w:rFonts w:ascii="Bookman Old Style" w:hAnsi="Bookman Old Style"/>
          <w:sz w:val="22"/>
          <w:szCs w:val="22"/>
        </w:rPr>
        <w:t>En virtud de lo expuesto consideramos que no se presenta la existencia de discrepancia para la planta Alto Anchicayá</w:t>
      </w:r>
      <w:r w:rsidR="00BE5CD0" w:rsidRPr="00F21D8F">
        <w:rPr>
          <w:rFonts w:ascii="Bookman Old Style" w:hAnsi="Bookman Old Style"/>
          <w:sz w:val="22"/>
          <w:szCs w:val="22"/>
        </w:rPr>
        <w:t xml:space="preserve"> (sic)</w:t>
      </w:r>
      <w:r w:rsidRPr="00F21D8F">
        <w:rPr>
          <w:rFonts w:ascii="Bookman Old Style" w:hAnsi="Bookman Old Style"/>
          <w:sz w:val="22"/>
          <w:szCs w:val="22"/>
        </w:rPr>
        <w:t xml:space="preserve"> como se explicó y soportó con la información suministrada al expediente 2021-004</w:t>
      </w:r>
      <w:r w:rsidR="00775D19">
        <w:rPr>
          <w:rFonts w:ascii="Bookman Old Style" w:hAnsi="Bookman Old Style"/>
          <w:sz w:val="22"/>
          <w:szCs w:val="22"/>
        </w:rPr>
        <w:t>4</w:t>
      </w:r>
      <w:r w:rsidR="00BE5CD0" w:rsidRPr="00F21D8F">
        <w:rPr>
          <w:rFonts w:ascii="Bookman Old Style" w:hAnsi="Bookman Old Style"/>
          <w:sz w:val="22"/>
          <w:szCs w:val="22"/>
        </w:rPr>
        <w:t xml:space="preserve"> (sic)</w:t>
      </w:r>
      <w:r w:rsidRPr="00F21D8F">
        <w:rPr>
          <w:rFonts w:ascii="Bookman Old Style" w:hAnsi="Bookman Old Style"/>
          <w:sz w:val="22"/>
          <w:szCs w:val="22"/>
        </w:rPr>
        <w:t>, razón por la cual solicitamos respetuosamente ARCHIVAR la presente investigación administrativa</w:t>
      </w:r>
      <w:r w:rsidR="00F57983" w:rsidRPr="00F21D8F">
        <w:rPr>
          <w:rFonts w:ascii="Bookman Old Style" w:hAnsi="Bookman Old Style"/>
          <w:sz w:val="22"/>
          <w:szCs w:val="22"/>
        </w:rPr>
        <w:t xml:space="preserve"> </w:t>
      </w:r>
      <w:r w:rsidRPr="00F21D8F">
        <w:rPr>
          <w:rFonts w:ascii="Bookman Old Style" w:hAnsi="Bookman Old Style"/>
          <w:sz w:val="22"/>
          <w:szCs w:val="22"/>
        </w:rPr>
        <w:t>en contra de Celsia Colombia S.A. E.S.P.</w:t>
      </w:r>
      <w:r w:rsidRPr="00D43BE2">
        <w:rPr>
          <w:rFonts w:ascii="Bookman Old Style" w:hAnsi="Bookman Old Style"/>
          <w:sz w:val="22"/>
          <w:szCs w:val="22"/>
        </w:rPr>
        <w:t xml:space="preserve"> </w:t>
      </w:r>
    </w:p>
    <w:bookmarkEnd w:id="0"/>
    <w:p w14:paraId="55853CB9" w14:textId="656F15B9" w:rsidR="005E5EA9" w:rsidRDefault="005E5EA9" w:rsidP="005E5EA9">
      <w:pPr>
        <w:ind w:left="426"/>
        <w:jc w:val="both"/>
        <w:rPr>
          <w:rFonts w:ascii="Bookman Old Style" w:hAnsi="Bookman Old Style" w:cs="Arial"/>
          <w:spacing w:val="-5"/>
          <w:sz w:val="22"/>
          <w:szCs w:val="22"/>
          <w:lang w:val="es-CO" w:eastAsia="en-US"/>
        </w:rPr>
      </w:pPr>
      <w:r w:rsidRPr="00350550">
        <w:rPr>
          <w:rFonts w:ascii="Bookman Old Style" w:hAnsi="Bookman Old Style" w:cs="Arial"/>
          <w:spacing w:val="-5"/>
          <w:sz w:val="22"/>
          <w:szCs w:val="22"/>
          <w:lang w:val="es-CO" w:eastAsia="en-US"/>
        </w:rPr>
        <w:t>(…)”</w:t>
      </w:r>
    </w:p>
    <w:p w14:paraId="69339B0E" w14:textId="77777777" w:rsidR="00BF1320" w:rsidRPr="00350550" w:rsidRDefault="00BF1320" w:rsidP="00775D19">
      <w:pPr>
        <w:ind w:left="0"/>
        <w:jc w:val="both"/>
        <w:rPr>
          <w:rFonts w:ascii="Bookman Old Style" w:hAnsi="Bookman Old Style" w:cs="Arial"/>
          <w:spacing w:val="-5"/>
          <w:sz w:val="22"/>
          <w:szCs w:val="22"/>
          <w:lang w:val="es-CO" w:eastAsia="en-US"/>
        </w:rPr>
      </w:pPr>
    </w:p>
    <w:p w14:paraId="0A50A8D0" w14:textId="4DF44B1D" w:rsidR="00BF1320" w:rsidRPr="0098279E" w:rsidRDefault="00BF1320" w:rsidP="00BF1320">
      <w:pPr>
        <w:widowControl w:val="0"/>
        <w:adjustRightInd w:val="0"/>
        <w:ind w:left="0"/>
        <w:jc w:val="both"/>
        <w:textAlignment w:val="baseline"/>
        <w:rPr>
          <w:rFonts w:ascii="Bookman Old Style" w:hAnsi="Bookman Old Style" w:cs="Arial"/>
          <w:spacing w:val="-5"/>
          <w:lang w:eastAsia="en-US"/>
        </w:rPr>
      </w:pPr>
      <w:r w:rsidRPr="0098279E">
        <w:rPr>
          <w:rFonts w:ascii="Bookman Old Style" w:hAnsi="Bookman Old Style" w:cs="Arial"/>
          <w:b/>
          <w:spacing w:val="-5"/>
          <w:lang w:eastAsia="en-US"/>
        </w:rPr>
        <w:t xml:space="preserve">B. Pruebas decretadas-. </w:t>
      </w:r>
      <w:r w:rsidRPr="0098279E">
        <w:rPr>
          <w:rFonts w:ascii="Bookman Old Style" w:hAnsi="Bookman Old Style" w:cs="Arial"/>
          <w:spacing w:val="-5"/>
          <w:lang w:eastAsia="en-US"/>
        </w:rPr>
        <w:t>La CREG, mediante el auto I-2021-0023</w:t>
      </w:r>
      <w:r w:rsidR="00F610A8">
        <w:rPr>
          <w:rFonts w:ascii="Bookman Old Style" w:hAnsi="Bookman Old Style" w:cs="Arial"/>
          <w:spacing w:val="-5"/>
          <w:lang w:eastAsia="en-US"/>
        </w:rPr>
        <w:t>09</w:t>
      </w:r>
      <w:r w:rsidRPr="0098279E">
        <w:rPr>
          <w:rFonts w:ascii="Bookman Old Style" w:hAnsi="Bookman Old Style" w:cs="Arial"/>
          <w:spacing w:val="-5"/>
          <w:lang w:eastAsia="en-US"/>
        </w:rPr>
        <w:t xml:space="preserve"> del 25 de agosto de 2021, decretó la práctica de pruebas</w:t>
      </w:r>
      <w:r w:rsidR="00841AAE">
        <w:rPr>
          <w:rFonts w:ascii="Bookman Old Style" w:hAnsi="Bookman Old Style" w:cs="Arial"/>
          <w:spacing w:val="-5"/>
          <w:lang w:eastAsia="en-US"/>
        </w:rPr>
        <w:t>,</w:t>
      </w:r>
      <w:r w:rsidRPr="0098279E">
        <w:rPr>
          <w:rFonts w:ascii="Bookman Old Style" w:hAnsi="Bookman Old Style" w:cs="Arial"/>
          <w:spacing w:val="-5"/>
          <w:lang w:eastAsia="en-US"/>
        </w:rPr>
        <w:t xml:space="preserve"> requiriendo de oficio a la empresa XM S.A. E.S.P. para que adelantara el cálculo de la ENFICC de la planta </w:t>
      </w:r>
      <w:r w:rsidR="00D43BE2" w:rsidRPr="00D43BE2">
        <w:rPr>
          <w:rFonts w:ascii="Bookman Old Style" w:hAnsi="Bookman Old Style" w:cs="Arial"/>
          <w:spacing w:val="-5"/>
          <w:lang w:eastAsia="en-US"/>
        </w:rPr>
        <w:t>Bajo Anchicayá</w:t>
      </w:r>
      <w:r w:rsidR="00D43BE2">
        <w:rPr>
          <w:rFonts w:ascii="Bookman Old Style" w:hAnsi="Bookman Old Style" w:cs="Arial"/>
          <w:spacing w:val="-5"/>
          <w:lang w:eastAsia="en-US"/>
        </w:rPr>
        <w:t xml:space="preserve"> </w:t>
      </w:r>
      <w:r w:rsidRPr="00D43BE2">
        <w:rPr>
          <w:rFonts w:ascii="Bookman Old Style" w:hAnsi="Bookman Old Style" w:cs="Arial"/>
          <w:spacing w:val="-5"/>
          <w:lang w:eastAsia="en-US"/>
        </w:rPr>
        <w:t>utilizando el modelo HIDENFICC, teniendo en cuenta los resultados de la auditoría de parámetros adelantada por la firma HMV Ingenieros.</w:t>
      </w:r>
      <w:r w:rsidRPr="0098279E">
        <w:rPr>
          <w:rFonts w:ascii="Bookman Old Style" w:hAnsi="Bookman Old Style" w:cs="Arial"/>
          <w:spacing w:val="-5"/>
          <w:lang w:eastAsia="en-US"/>
        </w:rPr>
        <w:t xml:space="preserve"> </w:t>
      </w:r>
    </w:p>
    <w:p w14:paraId="5368E9CF" w14:textId="77777777" w:rsidR="00BF1320" w:rsidRPr="0098279E" w:rsidRDefault="00BF1320" w:rsidP="00BF1320">
      <w:pPr>
        <w:widowControl w:val="0"/>
        <w:adjustRightInd w:val="0"/>
        <w:ind w:left="0"/>
        <w:jc w:val="both"/>
        <w:textAlignment w:val="baseline"/>
        <w:rPr>
          <w:rFonts w:ascii="Bookman Old Style" w:hAnsi="Bookman Old Style" w:cs="Arial"/>
          <w:spacing w:val="-5"/>
          <w:lang w:eastAsia="en-US"/>
        </w:rPr>
      </w:pPr>
    </w:p>
    <w:p w14:paraId="7ADE9784" w14:textId="7F055195" w:rsidR="00BF1320" w:rsidRDefault="00BF1320" w:rsidP="00BF1320">
      <w:pPr>
        <w:widowControl w:val="0"/>
        <w:adjustRightInd w:val="0"/>
        <w:ind w:left="0"/>
        <w:jc w:val="both"/>
        <w:textAlignment w:val="baseline"/>
        <w:rPr>
          <w:rFonts w:ascii="Bookman Old Style" w:hAnsi="Bookman Old Style" w:cs="Arial"/>
          <w:spacing w:val="-5"/>
          <w:lang w:eastAsia="en-US"/>
        </w:rPr>
      </w:pPr>
      <w:r w:rsidRPr="0098279E">
        <w:rPr>
          <w:rFonts w:ascii="Bookman Old Style" w:hAnsi="Bookman Old Style" w:cs="Arial"/>
          <w:spacing w:val="-5"/>
          <w:lang w:eastAsia="en-US"/>
        </w:rPr>
        <w:t>En el mismo auto, también requirió a la empresa CELSIA COLOMBIA S.A. E.S.P. para que precisara algunos aspectos de la información allegada</w:t>
      </w:r>
      <w:r w:rsidR="00841AAE">
        <w:rPr>
          <w:rFonts w:ascii="Bookman Old Style" w:hAnsi="Bookman Old Style" w:cs="Arial"/>
          <w:spacing w:val="-5"/>
          <w:lang w:eastAsia="en-US"/>
        </w:rPr>
        <w:t>,</w:t>
      </w:r>
      <w:r w:rsidRPr="0098279E">
        <w:rPr>
          <w:rFonts w:ascii="Bookman Old Style" w:hAnsi="Bookman Old Style" w:cs="Arial"/>
          <w:spacing w:val="-5"/>
          <w:lang w:eastAsia="en-US"/>
        </w:rPr>
        <w:t xml:space="preserve"> y a la firma auditora HMV Ingenieros para que aclarara si había recibido o no la información descrita por la empresa CELSIA COLOMBIA S.A. E.S.P., advirtiendo “(…) en caso de que no se hubiese tenido en cuenta dicha información, deberá incluirla dentro de su análisis y proceder a allegar los resultados a la presente actuación. (…)”</w:t>
      </w:r>
    </w:p>
    <w:p w14:paraId="0A17CEAC" w14:textId="77777777" w:rsidR="005F440E" w:rsidRPr="0098279E" w:rsidRDefault="005F440E" w:rsidP="00BF1320">
      <w:pPr>
        <w:widowControl w:val="0"/>
        <w:adjustRightInd w:val="0"/>
        <w:ind w:left="0"/>
        <w:jc w:val="both"/>
        <w:textAlignment w:val="baseline"/>
        <w:rPr>
          <w:rFonts w:ascii="Bookman Old Style" w:hAnsi="Bookman Old Style" w:cs="Arial"/>
          <w:spacing w:val="-5"/>
          <w:lang w:eastAsia="en-US"/>
        </w:rPr>
      </w:pPr>
    </w:p>
    <w:p w14:paraId="4867A3AE" w14:textId="77777777" w:rsidR="00BF1320" w:rsidRPr="0098279E" w:rsidRDefault="00BF1320" w:rsidP="00BF1320">
      <w:pPr>
        <w:widowControl w:val="0"/>
        <w:adjustRightInd w:val="0"/>
        <w:ind w:left="0"/>
        <w:jc w:val="both"/>
        <w:textAlignment w:val="baseline"/>
        <w:rPr>
          <w:rFonts w:ascii="Bookman Old Style" w:hAnsi="Bookman Old Style" w:cs="Arial"/>
          <w:spacing w:val="-5"/>
          <w:lang w:eastAsia="en-US"/>
        </w:rPr>
      </w:pPr>
    </w:p>
    <w:p w14:paraId="4AFF2673" w14:textId="77777777" w:rsidR="00BF1320" w:rsidRPr="008A1B4E" w:rsidRDefault="00BF1320" w:rsidP="00BF1320">
      <w:pPr>
        <w:widowControl w:val="0"/>
        <w:adjustRightInd w:val="0"/>
        <w:ind w:left="0"/>
        <w:jc w:val="both"/>
        <w:textAlignment w:val="baseline"/>
        <w:rPr>
          <w:rFonts w:ascii="Bookman Old Style" w:hAnsi="Bookman Old Style" w:cs="Arial"/>
          <w:spacing w:val="-5"/>
          <w:lang w:eastAsia="en-US"/>
        </w:rPr>
      </w:pPr>
      <w:r w:rsidRPr="0098279E">
        <w:rPr>
          <w:rFonts w:ascii="Bookman Old Style" w:hAnsi="Bookman Old Style" w:cs="Arial"/>
          <w:b/>
          <w:spacing w:val="-5"/>
          <w:lang w:eastAsia="en-US"/>
        </w:rPr>
        <w:t>C</w:t>
      </w:r>
      <w:r w:rsidRPr="0098279E">
        <w:rPr>
          <w:rFonts w:ascii="Bookman Old Style" w:hAnsi="Bookman Old Style" w:cs="Arial"/>
          <w:spacing w:val="-5"/>
          <w:lang w:eastAsia="en-US"/>
        </w:rPr>
        <w:t>.</w:t>
      </w:r>
      <w:r w:rsidRPr="0098279E">
        <w:rPr>
          <w:rFonts w:ascii="Bookman Old Style" w:hAnsi="Bookman Old Style" w:cs="Arial"/>
          <w:b/>
          <w:spacing w:val="-5"/>
          <w:lang w:eastAsia="en-US"/>
        </w:rPr>
        <w:t xml:space="preserve"> Información recibida e incorporada a la actuación-. </w:t>
      </w:r>
      <w:r w:rsidRPr="00804F34">
        <w:rPr>
          <w:rFonts w:ascii="Bookman Old Style" w:hAnsi="Bookman Old Style" w:cs="Arial"/>
          <w:spacing w:val="-5"/>
          <w:lang w:eastAsia="en-US"/>
        </w:rPr>
        <w:t>En acatamiento a lo ordenado en el auto de pruebas se recibieron los siguientes informes y documentos:</w:t>
      </w:r>
    </w:p>
    <w:p w14:paraId="3972D442" w14:textId="7BFCBFAB" w:rsidR="00BF1320" w:rsidRPr="008A1B4E" w:rsidRDefault="00BF1320" w:rsidP="00BF1320">
      <w:pPr>
        <w:widowControl w:val="0"/>
        <w:adjustRightInd w:val="0"/>
        <w:ind w:left="0"/>
        <w:jc w:val="both"/>
        <w:textAlignment w:val="baseline"/>
        <w:rPr>
          <w:rFonts w:ascii="Bookman Old Style" w:hAnsi="Bookman Old Style" w:cs="Arial"/>
          <w:spacing w:val="-5"/>
          <w:lang w:eastAsia="en-US"/>
        </w:rPr>
      </w:pPr>
    </w:p>
    <w:p w14:paraId="46A78938" w14:textId="7C7D170C" w:rsidR="009D4422" w:rsidRDefault="006E5822" w:rsidP="009D4422">
      <w:pPr>
        <w:widowControl w:val="0"/>
        <w:adjustRightInd w:val="0"/>
        <w:ind w:left="0"/>
        <w:jc w:val="both"/>
        <w:textAlignment w:val="baseline"/>
        <w:rPr>
          <w:rFonts w:ascii="Bookman Old Style" w:hAnsi="Bookman Old Style" w:cs="Arial"/>
          <w:spacing w:val="-5"/>
          <w:lang w:val="es-CO" w:eastAsia="en-US"/>
        </w:rPr>
      </w:pPr>
      <w:r>
        <w:rPr>
          <w:rFonts w:ascii="Bookman Old Style" w:hAnsi="Bookman Old Style" w:cs="Arial"/>
          <w:spacing w:val="-5"/>
          <w:lang w:eastAsia="en-US"/>
        </w:rPr>
        <w:t xml:space="preserve">- </w:t>
      </w:r>
      <w:r w:rsidR="00BF1320" w:rsidRPr="008A1B4E">
        <w:rPr>
          <w:rFonts w:ascii="Bookman Old Style" w:hAnsi="Bookman Old Style" w:cs="Arial"/>
          <w:spacing w:val="-5"/>
          <w:lang w:eastAsia="en-US"/>
        </w:rPr>
        <w:t>La empresa</w:t>
      </w:r>
      <w:r w:rsidR="00D43BE2">
        <w:rPr>
          <w:rFonts w:ascii="Bookman Old Style" w:hAnsi="Bookman Old Style" w:cs="Arial"/>
          <w:spacing w:val="-5"/>
          <w:lang w:eastAsia="en-US"/>
        </w:rPr>
        <w:t xml:space="preserve"> </w:t>
      </w:r>
      <w:r w:rsidR="009D4422" w:rsidRPr="00D43BE2">
        <w:rPr>
          <w:rFonts w:ascii="Bookman Old Style" w:hAnsi="Bookman Old Style" w:cs="Arial"/>
          <w:spacing w:val="-5"/>
          <w:lang w:val="es-CO" w:eastAsia="en-US"/>
        </w:rPr>
        <w:t xml:space="preserve">HMV Ingenieros, </w:t>
      </w:r>
      <w:r w:rsidR="00841AAE">
        <w:rPr>
          <w:rFonts w:ascii="Bookman Old Style" w:hAnsi="Bookman Old Style" w:cs="Arial"/>
          <w:spacing w:val="-5"/>
          <w:lang w:val="es-CO" w:eastAsia="en-US"/>
        </w:rPr>
        <w:t xml:space="preserve">a </w:t>
      </w:r>
      <w:r w:rsidR="009D4422" w:rsidRPr="00D43BE2">
        <w:rPr>
          <w:rFonts w:ascii="Bookman Old Style" w:hAnsi="Bookman Old Style" w:cs="Arial"/>
          <w:spacing w:val="-5"/>
          <w:lang w:val="es-CO" w:eastAsia="en-US"/>
        </w:rPr>
        <w:t>través del radicado E-2021-010167 del 1 de septiembre de 2021, sobre lo solicitado en el auto de pruebas</w:t>
      </w:r>
      <w:r w:rsidR="00841AAE">
        <w:rPr>
          <w:rFonts w:ascii="Bookman Old Style" w:hAnsi="Bookman Old Style" w:cs="Arial"/>
          <w:spacing w:val="-5"/>
          <w:lang w:val="es-CO" w:eastAsia="en-US"/>
        </w:rPr>
        <w:t>,</w:t>
      </w:r>
      <w:r w:rsidR="009D4422" w:rsidRPr="00D43BE2">
        <w:rPr>
          <w:rFonts w:ascii="Bookman Old Style" w:hAnsi="Bookman Old Style" w:cs="Arial"/>
          <w:spacing w:val="-5"/>
          <w:lang w:val="es-CO" w:eastAsia="en-US"/>
        </w:rPr>
        <w:t xml:space="preserve"> señaló:</w:t>
      </w:r>
    </w:p>
    <w:p w14:paraId="24480FC6" w14:textId="77777777" w:rsidR="009D4422" w:rsidRDefault="009D4422" w:rsidP="009D4422">
      <w:pPr>
        <w:widowControl w:val="0"/>
        <w:adjustRightInd w:val="0"/>
        <w:ind w:left="0"/>
        <w:jc w:val="both"/>
        <w:textAlignment w:val="baseline"/>
        <w:rPr>
          <w:rFonts w:ascii="Bookman Old Style" w:hAnsi="Bookman Old Style" w:cs="Arial"/>
          <w:spacing w:val="-5"/>
          <w:lang w:val="es-CO" w:eastAsia="en-US"/>
        </w:rPr>
      </w:pPr>
    </w:p>
    <w:p w14:paraId="7B91DE04" w14:textId="77777777" w:rsidR="009D442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r>
        <w:rPr>
          <w:rFonts w:ascii="Bookman Old Style" w:hAnsi="Bookman Old Style" w:cs="Arial"/>
          <w:spacing w:val="-5"/>
          <w:sz w:val="22"/>
          <w:szCs w:val="22"/>
          <w:lang w:eastAsia="en-US"/>
        </w:rPr>
        <w:t>“(…)</w:t>
      </w:r>
    </w:p>
    <w:p w14:paraId="25FF3D69" w14:textId="77777777" w:rsidR="009D442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r w:rsidRPr="00112024">
        <w:rPr>
          <w:rFonts w:ascii="Bookman Old Style" w:hAnsi="Bookman Old Style" w:cs="Arial"/>
          <w:spacing w:val="-5"/>
          <w:sz w:val="22"/>
          <w:szCs w:val="22"/>
          <w:lang w:eastAsia="en-US"/>
        </w:rPr>
        <w:t xml:space="preserve">1. La Auditoría al revisar los buzones donde se reportaba la información enviada por el Agente, en especial el e-mail larango@h-mv.com, relacionado en la comunicación M2019-1830 del 13 de noviembre de 2019 (anexa al documento adjunto), no se encontró correo electrónico donde CELSIA (Antes EPSA) remitiera la comunicación 202100000524 del 07 de enero de 2021. </w:t>
      </w:r>
    </w:p>
    <w:p w14:paraId="4BE3A5A8" w14:textId="77777777" w:rsidR="009D442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p>
    <w:p w14:paraId="775706EE" w14:textId="166A6335" w:rsidR="009D442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r w:rsidRPr="00112024">
        <w:rPr>
          <w:rFonts w:ascii="Bookman Old Style" w:hAnsi="Bookman Old Style" w:cs="Arial"/>
          <w:spacing w:val="-5"/>
          <w:sz w:val="22"/>
          <w:szCs w:val="22"/>
          <w:lang w:eastAsia="en-US"/>
        </w:rPr>
        <w:t xml:space="preserve">2. Igualmente, al consultarle a XM sobre la recepción de e-mail donde se </w:t>
      </w:r>
      <w:r w:rsidR="00775D19" w:rsidRPr="00112024">
        <w:rPr>
          <w:rFonts w:ascii="Bookman Old Style" w:hAnsi="Bookman Old Style" w:cs="Arial"/>
          <w:spacing w:val="-5"/>
          <w:sz w:val="22"/>
          <w:szCs w:val="22"/>
          <w:lang w:eastAsia="en-US"/>
        </w:rPr>
        <w:t>notificar</w:t>
      </w:r>
      <w:r w:rsidR="00F610A8">
        <w:rPr>
          <w:rFonts w:ascii="Bookman Old Style" w:hAnsi="Bookman Old Style" w:cs="Arial"/>
          <w:spacing w:val="-5"/>
          <w:sz w:val="22"/>
          <w:szCs w:val="22"/>
          <w:lang w:eastAsia="en-US"/>
        </w:rPr>
        <w:t>a</w:t>
      </w:r>
      <w:r w:rsidRPr="00112024">
        <w:rPr>
          <w:rFonts w:ascii="Bookman Old Style" w:hAnsi="Bookman Old Style" w:cs="Arial"/>
          <w:spacing w:val="-5"/>
          <w:sz w:val="22"/>
          <w:szCs w:val="22"/>
          <w:lang w:eastAsia="en-US"/>
        </w:rPr>
        <w:t xml:space="preserve"> la comunicación de CELSIA, mediante correo electrónico del 31 de agosto de 2021 (anexo al documento adjunto) XM informó: </w:t>
      </w:r>
    </w:p>
    <w:p w14:paraId="60B1BDB0" w14:textId="77777777" w:rsidR="009D442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p>
    <w:p w14:paraId="1DC6F210" w14:textId="77777777" w:rsidR="009D4422" w:rsidRPr="00337ABE" w:rsidRDefault="009D4422" w:rsidP="009D4422">
      <w:pPr>
        <w:widowControl w:val="0"/>
        <w:adjustRightInd w:val="0"/>
        <w:ind w:left="851" w:right="283"/>
        <w:jc w:val="both"/>
        <w:textAlignment w:val="baseline"/>
        <w:rPr>
          <w:rFonts w:ascii="Bookman Old Style" w:hAnsi="Bookman Old Style" w:cs="Arial"/>
          <w:i/>
          <w:iCs/>
          <w:spacing w:val="-5"/>
          <w:sz w:val="22"/>
          <w:szCs w:val="22"/>
          <w:lang w:eastAsia="en-US"/>
        </w:rPr>
      </w:pPr>
      <w:r w:rsidRPr="00337ABE">
        <w:rPr>
          <w:rFonts w:ascii="Bookman Old Style" w:hAnsi="Bookman Old Style" w:cs="Arial"/>
          <w:i/>
          <w:iCs/>
          <w:spacing w:val="-5"/>
          <w:sz w:val="22"/>
          <w:szCs w:val="22"/>
          <w:lang w:eastAsia="en-US"/>
        </w:rPr>
        <w:t xml:space="preserve">“(…) </w:t>
      </w:r>
    </w:p>
    <w:p w14:paraId="74412394" w14:textId="77777777" w:rsidR="009D4422" w:rsidRPr="00337ABE" w:rsidRDefault="009D4422" w:rsidP="009D4422">
      <w:pPr>
        <w:widowControl w:val="0"/>
        <w:adjustRightInd w:val="0"/>
        <w:ind w:left="851" w:right="283"/>
        <w:jc w:val="both"/>
        <w:textAlignment w:val="baseline"/>
        <w:rPr>
          <w:rFonts w:ascii="Bookman Old Style" w:hAnsi="Bookman Old Style" w:cs="Arial"/>
          <w:i/>
          <w:iCs/>
          <w:spacing w:val="-5"/>
          <w:sz w:val="22"/>
          <w:szCs w:val="22"/>
          <w:lang w:eastAsia="en-US"/>
        </w:rPr>
      </w:pPr>
      <w:r w:rsidRPr="00337ABE">
        <w:rPr>
          <w:rFonts w:ascii="Bookman Old Style" w:hAnsi="Bookman Old Style" w:cs="Arial"/>
          <w:i/>
          <w:iCs/>
          <w:spacing w:val="-5"/>
          <w:sz w:val="22"/>
          <w:szCs w:val="22"/>
          <w:lang w:eastAsia="en-US"/>
        </w:rPr>
        <w:t xml:space="preserve">Inicialmente, nos permitimos precisar que durante el desarrollo de la auditoria de parámetros definida mediante Resolución CREG 030 de 2019, XM dispuso del buzón electrónico auditoriaparametroscxc@XM.com.co, para el intercambio de información con los auditores y con los agentes generadores, sin embargo, entendemos que cada uno de los auditores definió como se realizaría el intercambio de información de manera directa con los agentes generadores. No obstante, dado que en el buzón mencionado se recibió copia de comunicaciones intercambiadas entre auditor y agentes, les informamos que ni en el buzón auditoriaparametroscxc@XM.com.co ni en el buzón oficial de recibo de información en XM info@xm.com.co, identificamos algún correo electrónico por parte de Celsia donde se notifique la comunicación 202100000524 del 07 de enero de 2021. </w:t>
      </w:r>
    </w:p>
    <w:p w14:paraId="01FEE7D2" w14:textId="77777777" w:rsidR="009D4422" w:rsidRPr="00337ABE" w:rsidRDefault="009D4422" w:rsidP="009D4422">
      <w:pPr>
        <w:widowControl w:val="0"/>
        <w:adjustRightInd w:val="0"/>
        <w:ind w:left="851" w:right="283"/>
        <w:jc w:val="both"/>
        <w:textAlignment w:val="baseline"/>
        <w:rPr>
          <w:rFonts w:ascii="Bookman Old Style" w:hAnsi="Bookman Old Style" w:cs="Arial"/>
          <w:i/>
          <w:iCs/>
          <w:spacing w:val="-5"/>
          <w:sz w:val="22"/>
          <w:szCs w:val="22"/>
          <w:lang w:eastAsia="en-US"/>
        </w:rPr>
      </w:pPr>
      <w:r w:rsidRPr="00337ABE">
        <w:rPr>
          <w:rFonts w:ascii="Bookman Old Style" w:hAnsi="Bookman Old Style" w:cs="Arial"/>
          <w:i/>
          <w:iCs/>
          <w:spacing w:val="-5"/>
          <w:sz w:val="22"/>
          <w:szCs w:val="22"/>
          <w:lang w:eastAsia="en-US"/>
        </w:rPr>
        <w:t xml:space="preserve">(…)” </w:t>
      </w:r>
    </w:p>
    <w:p w14:paraId="2B100AEE" w14:textId="77777777" w:rsidR="009D442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p>
    <w:p w14:paraId="21800350" w14:textId="4E251A24" w:rsidR="009D442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r w:rsidRPr="00F21D8F">
        <w:rPr>
          <w:rFonts w:ascii="Bookman Old Style" w:hAnsi="Bookman Old Style" w:cs="Arial"/>
          <w:spacing w:val="-5"/>
          <w:sz w:val="22"/>
          <w:szCs w:val="22"/>
          <w:lang w:eastAsia="en-US"/>
        </w:rPr>
        <w:t>3. Al revisar el ftp asignado a CELSIA para el respaldo de la información, se encuentra carpeta con la comunicación 202100000524 del 07 de enero de 2021 (anexa al documento adjunto) y 4 archivos de Excel, destacándose el archivo &lt;Consolidado serie Digua.xls&gt; (anexo al documento adjunto).</w:t>
      </w:r>
      <w:r w:rsidRPr="00112024">
        <w:rPr>
          <w:rFonts w:ascii="Bookman Old Style" w:hAnsi="Bookman Old Style" w:cs="Arial"/>
          <w:spacing w:val="-5"/>
          <w:sz w:val="22"/>
          <w:szCs w:val="22"/>
          <w:lang w:eastAsia="en-US"/>
        </w:rPr>
        <w:t xml:space="preserve"> </w:t>
      </w:r>
    </w:p>
    <w:p w14:paraId="470BDD0B" w14:textId="77777777" w:rsidR="009D442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p>
    <w:p w14:paraId="2D2BC5B1" w14:textId="7435E985" w:rsidR="009D442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r w:rsidRPr="00112024">
        <w:rPr>
          <w:rFonts w:ascii="Bookman Old Style" w:hAnsi="Bookman Old Style" w:cs="Arial"/>
          <w:spacing w:val="-5"/>
          <w:sz w:val="22"/>
          <w:szCs w:val="22"/>
          <w:lang w:eastAsia="en-US"/>
        </w:rPr>
        <w:t xml:space="preserve">4. En atención al numeral cuarto del Auto de Pruebas del 25 de agosto de 2021, </w:t>
      </w:r>
      <w:r w:rsidRPr="00F21D8F">
        <w:rPr>
          <w:rFonts w:ascii="Bookman Old Style" w:hAnsi="Bookman Old Style" w:cs="Arial"/>
          <w:spacing w:val="-5"/>
          <w:sz w:val="22"/>
          <w:szCs w:val="22"/>
          <w:lang w:eastAsia="en-US"/>
        </w:rPr>
        <w:t>expediente No. 2021-0044, la Auditoría actualiza el informe “Documento 3281-15-QS-RP-007, Rev. 0. Informe de Serie Histórica</w:t>
      </w:r>
      <w:r w:rsidRPr="00112024">
        <w:rPr>
          <w:rFonts w:ascii="Bookman Old Style" w:hAnsi="Bookman Old Style" w:cs="Arial"/>
          <w:spacing w:val="-5"/>
          <w:sz w:val="22"/>
          <w:szCs w:val="22"/>
          <w:lang w:eastAsia="en-US"/>
        </w:rPr>
        <w:t xml:space="preserve"> de Caudales Medios Mensuales de los Ríos del SIN – </w:t>
      </w:r>
      <w:r>
        <w:rPr>
          <w:rFonts w:ascii="Bookman Old Style" w:hAnsi="Bookman Old Style" w:cs="Arial"/>
          <w:spacing w:val="-5"/>
          <w:sz w:val="22"/>
          <w:szCs w:val="22"/>
          <w:lang w:eastAsia="en-US"/>
        </w:rPr>
        <w:t>Digua</w:t>
      </w:r>
      <w:r w:rsidRPr="00112024">
        <w:rPr>
          <w:rFonts w:ascii="Bookman Old Style" w:hAnsi="Bookman Old Style" w:cs="Arial"/>
          <w:spacing w:val="-5"/>
          <w:sz w:val="22"/>
          <w:szCs w:val="22"/>
          <w:lang w:eastAsia="en-US"/>
        </w:rPr>
        <w:t xml:space="preserve">” por el: </w:t>
      </w:r>
    </w:p>
    <w:p w14:paraId="534C7911" w14:textId="77777777" w:rsidR="009D442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p>
    <w:p w14:paraId="034BD0DA" w14:textId="3B1FA465" w:rsidR="009D4422" w:rsidRDefault="009D4422" w:rsidP="009D4422">
      <w:pPr>
        <w:pStyle w:val="Prrafodelista"/>
        <w:widowControl w:val="0"/>
        <w:numPr>
          <w:ilvl w:val="0"/>
          <w:numId w:val="40"/>
        </w:numPr>
        <w:adjustRightInd w:val="0"/>
        <w:jc w:val="both"/>
        <w:textAlignment w:val="baseline"/>
        <w:rPr>
          <w:rFonts w:ascii="Bookman Old Style" w:hAnsi="Bookman Old Style" w:cs="Arial"/>
          <w:spacing w:val="-5"/>
          <w:sz w:val="22"/>
          <w:szCs w:val="22"/>
          <w:lang w:eastAsia="en-US"/>
        </w:rPr>
      </w:pPr>
      <w:r w:rsidRPr="00337ABE">
        <w:rPr>
          <w:rFonts w:ascii="Bookman Old Style" w:hAnsi="Bookman Old Style" w:cs="Arial"/>
          <w:spacing w:val="-5"/>
          <w:sz w:val="22"/>
          <w:szCs w:val="22"/>
          <w:lang w:eastAsia="en-US"/>
        </w:rPr>
        <w:t>Documento 3281-15-QS-RP-00</w:t>
      </w:r>
      <w:r>
        <w:rPr>
          <w:rFonts w:ascii="Bookman Old Style" w:hAnsi="Bookman Old Style" w:cs="Arial"/>
          <w:spacing w:val="-5"/>
          <w:sz w:val="22"/>
          <w:szCs w:val="22"/>
          <w:lang w:eastAsia="en-US"/>
        </w:rPr>
        <w:t>7</w:t>
      </w:r>
      <w:r w:rsidRPr="00337ABE">
        <w:rPr>
          <w:rFonts w:ascii="Bookman Old Style" w:hAnsi="Bookman Old Style" w:cs="Arial"/>
          <w:spacing w:val="-5"/>
          <w:sz w:val="22"/>
          <w:szCs w:val="22"/>
          <w:lang w:eastAsia="en-US"/>
        </w:rPr>
        <w:t xml:space="preserve">, Rev. 1 “Informe de Serie Histórica de Caudales Medios Mensuales de los Ríos del SIN – </w:t>
      </w:r>
      <w:r>
        <w:rPr>
          <w:rFonts w:ascii="Bookman Old Style" w:hAnsi="Bookman Old Style" w:cs="Arial"/>
          <w:spacing w:val="-5"/>
          <w:sz w:val="22"/>
          <w:szCs w:val="22"/>
          <w:lang w:eastAsia="en-US"/>
        </w:rPr>
        <w:t>Digua</w:t>
      </w:r>
      <w:r w:rsidRPr="00337ABE">
        <w:rPr>
          <w:rFonts w:ascii="Bookman Old Style" w:hAnsi="Bookman Old Style" w:cs="Arial"/>
          <w:spacing w:val="-5"/>
          <w:sz w:val="22"/>
          <w:szCs w:val="22"/>
          <w:lang w:eastAsia="en-US"/>
        </w:rPr>
        <w:t xml:space="preserve">”. </w:t>
      </w:r>
    </w:p>
    <w:p w14:paraId="0E97DB7E" w14:textId="77777777" w:rsidR="009D4422" w:rsidRDefault="009D4422" w:rsidP="009D4422">
      <w:pPr>
        <w:pStyle w:val="Prrafodelista"/>
        <w:widowControl w:val="0"/>
        <w:adjustRightInd w:val="0"/>
        <w:ind w:left="1146"/>
        <w:jc w:val="both"/>
        <w:textAlignment w:val="baseline"/>
        <w:rPr>
          <w:rFonts w:ascii="Bookman Old Style" w:hAnsi="Bookman Old Style" w:cs="Arial"/>
          <w:spacing w:val="-5"/>
          <w:sz w:val="22"/>
          <w:szCs w:val="22"/>
          <w:lang w:eastAsia="en-US"/>
        </w:rPr>
      </w:pPr>
    </w:p>
    <w:p w14:paraId="72CC2F43" w14:textId="0D45A490" w:rsidR="009D4422" w:rsidRDefault="009D4422" w:rsidP="009D4422">
      <w:pPr>
        <w:pStyle w:val="Prrafodelista"/>
        <w:widowControl w:val="0"/>
        <w:adjustRightInd w:val="0"/>
        <w:ind w:left="567"/>
        <w:jc w:val="both"/>
        <w:textAlignment w:val="baseline"/>
        <w:rPr>
          <w:rFonts w:ascii="Bookman Old Style" w:hAnsi="Bookman Old Style" w:cs="Arial"/>
          <w:spacing w:val="-5"/>
          <w:sz w:val="22"/>
          <w:szCs w:val="22"/>
          <w:lang w:eastAsia="en-US"/>
        </w:rPr>
      </w:pPr>
      <w:r w:rsidRPr="00337ABE">
        <w:rPr>
          <w:rFonts w:ascii="Bookman Old Style" w:hAnsi="Bookman Old Style" w:cs="Arial"/>
          <w:spacing w:val="-5"/>
          <w:sz w:val="22"/>
          <w:szCs w:val="22"/>
          <w:lang w:eastAsia="en-US"/>
        </w:rPr>
        <w:t>En el citado documento se incluyen los comentarios y la información soporte de la serie de caudales para los años 2001 al 2017. La serie</w:t>
      </w:r>
      <w:r>
        <w:rPr>
          <w:rFonts w:ascii="Bookman Old Style" w:hAnsi="Bookman Old Style" w:cs="Arial"/>
          <w:spacing w:val="-5"/>
          <w:sz w:val="22"/>
          <w:szCs w:val="22"/>
          <w:lang w:eastAsia="en-US"/>
        </w:rPr>
        <w:t xml:space="preserve"> Digua (Planta Bajo </w:t>
      </w:r>
      <w:r w:rsidRPr="00337ABE">
        <w:rPr>
          <w:rFonts w:ascii="Bookman Old Style" w:hAnsi="Bookman Old Style" w:cs="Arial"/>
          <w:spacing w:val="-5"/>
          <w:sz w:val="22"/>
          <w:szCs w:val="22"/>
          <w:lang w:eastAsia="en-US"/>
        </w:rPr>
        <w:t>Anchicayá</w:t>
      </w:r>
      <w:r>
        <w:rPr>
          <w:rFonts w:ascii="Bookman Old Style" w:hAnsi="Bookman Old Style" w:cs="Arial"/>
          <w:spacing w:val="-5"/>
          <w:sz w:val="22"/>
          <w:szCs w:val="22"/>
          <w:lang w:eastAsia="en-US"/>
        </w:rPr>
        <w:t>)</w:t>
      </w:r>
      <w:r w:rsidRPr="00337ABE">
        <w:rPr>
          <w:rFonts w:ascii="Bookman Old Style" w:hAnsi="Bookman Old Style" w:cs="Arial"/>
          <w:spacing w:val="-5"/>
          <w:sz w:val="22"/>
          <w:szCs w:val="22"/>
          <w:lang w:eastAsia="en-US"/>
        </w:rPr>
        <w:t xml:space="preserve"> obtenida a partir de la metodología presentada al hoy Subcomité de Recursos Energéticos Renovables –SURER– (Acta SH&amp;PH 88 del 5 de septiembre de 2001</w:t>
      </w:r>
      <w:r w:rsidR="00D6216C">
        <w:rPr>
          <w:rFonts w:ascii="Bookman Old Style" w:hAnsi="Bookman Old Style" w:cs="Arial"/>
          <w:spacing w:val="-5"/>
          <w:sz w:val="22"/>
          <w:szCs w:val="22"/>
          <w:lang w:eastAsia="en-US"/>
        </w:rPr>
        <w:t xml:space="preserve"> y Acta</w:t>
      </w:r>
      <w:r w:rsidR="00D6216C" w:rsidRPr="00D6216C">
        <w:rPr>
          <w:sz w:val="24"/>
          <w:szCs w:val="24"/>
          <w:lang w:val="es-ES"/>
        </w:rPr>
        <w:t xml:space="preserve"> </w:t>
      </w:r>
      <w:r w:rsidR="00D6216C" w:rsidRPr="00D6216C">
        <w:rPr>
          <w:rFonts w:ascii="Bookman Old Style" w:hAnsi="Bookman Old Style" w:cs="Arial"/>
          <w:spacing w:val="-5"/>
          <w:sz w:val="22"/>
          <w:szCs w:val="22"/>
          <w:lang w:val="es-ES" w:eastAsia="en-US"/>
        </w:rPr>
        <w:t>SH 333 del 10 de mayo de 2018) se muestra en la Tabla 1</w:t>
      </w:r>
      <w:r w:rsidRPr="00337ABE">
        <w:rPr>
          <w:rFonts w:ascii="Bookman Old Style" w:hAnsi="Bookman Old Style" w:cs="Arial"/>
          <w:spacing w:val="-5"/>
          <w:sz w:val="22"/>
          <w:szCs w:val="22"/>
          <w:lang w:eastAsia="en-US"/>
        </w:rPr>
        <w:t>. En la Tabla 2 se presentan las diferencias encontradas entre la serie declarada por el Agente y la serie estimada por la Auditoría (Tabla 1). Las diferencias positivas corresponden a los casos en que el valor declarado es superior al calculado por la auditoría</w:t>
      </w:r>
      <w:r>
        <w:rPr>
          <w:rFonts w:ascii="Bookman Old Style" w:hAnsi="Bookman Old Style" w:cs="Arial"/>
          <w:spacing w:val="-5"/>
          <w:sz w:val="22"/>
          <w:szCs w:val="22"/>
          <w:lang w:eastAsia="en-US"/>
        </w:rPr>
        <w:t>.</w:t>
      </w:r>
    </w:p>
    <w:p w14:paraId="50818959" w14:textId="77777777" w:rsidR="009D4422" w:rsidRPr="00337ABE" w:rsidRDefault="009D4422" w:rsidP="009D4422">
      <w:pPr>
        <w:pStyle w:val="Prrafodelista"/>
        <w:widowControl w:val="0"/>
        <w:adjustRightInd w:val="0"/>
        <w:ind w:left="567"/>
        <w:jc w:val="both"/>
        <w:textAlignment w:val="baseline"/>
        <w:rPr>
          <w:rFonts w:ascii="Bookman Old Style" w:hAnsi="Bookman Old Style" w:cs="Arial"/>
          <w:spacing w:val="-5"/>
          <w:sz w:val="22"/>
          <w:szCs w:val="22"/>
          <w:lang w:eastAsia="en-US"/>
        </w:rPr>
      </w:pPr>
      <w:r>
        <w:rPr>
          <w:rFonts w:ascii="Bookman Old Style" w:hAnsi="Bookman Old Style" w:cs="Arial"/>
          <w:spacing w:val="-5"/>
          <w:sz w:val="22"/>
          <w:szCs w:val="22"/>
          <w:lang w:eastAsia="en-US"/>
        </w:rPr>
        <w:t>(…)</w:t>
      </w:r>
      <w:r w:rsidRPr="00337ABE">
        <w:rPr>
          <w:rFonts w:ascii="Bookman Old Style" w:hAnsi="Bookman Old Style" w:cs="Arial"/>
          <w:spacing w:val="-5"/>
          <w:sz w:val="22"/>
          <w:szCs w:val="22"/>
          <w:lang w:eastAsia="en-US"/>
        </w:rPr>
        <w:t xml:space="preserve"> </w:t>
      </w:r>
    </w:p>
    <w:p w14:paraId="147EFB18" w14:textId="77777777" w:rsidR="009D4422" w:rsidRPr="00112024"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p>
    <w:p w14:paraId="66738070" w14:textId="6CE4E31B" w:rsidR="009D4422" w:rsidRPr="00D43BE2" w:rsidRDefault="009D4422" w:rsidP="009D4422">
      <w:pPr>
        <w:widowControl w:val="0"/>
        <w:adjustRightInd w:val="0"/>
        <w:ind w:left="426"/>
        <w:jc w:val="both"/>
        <w:textAlignment w:val="baseline"/>
        <w:rPr>
          <w:rFonts w:ascii="Bookman Old Style" w:hAnsi="Bookman Old Style" w:cs="Arial"/>
          <w:b/>
          <w:bCs/>
          <w:spacing w:val="-5"/>
          <w:sz w:val="22"/>
          <w:szCs w:val="22"/>
          <w:lang w:eastAsia="en-US"/>
        </w:rPr>
      </w:pPr>
      <w:r w:rsidRPr="00112024">
        <w:rPr>
          <w:rFonts w:ascii="Bookman Old Style" w:hAnsi="Bookman Old Style" w:cs="Arial"/>
          <w:spacing w:val="-5"/>
          <w:sz w:val="22"/>
          <w:szCs w:val="22"/>
          <w:lang w:eastAsia="en-US"/>
        </w:rPr>
        <w:t xml:space="preserve">5. De conformidad con lo indicado en el numeral 6.3 del Anexo 6 de la Resolución CREG 071 de 2006, adicionado mediante el artículo 1 de la Resolución CREG 079 de 2007, se considera discrepancia cualquier valor declarado superior al calculado por la firma auditora. </w:t>
      </w:r>
      <w:r w:rsidR="00D6216C">
        <w:rPr>
          <w:rFonts w:ascii="Bookman Old Style" w:hAnsi="Bookman Old Style" w:cs="Arial"/>
          <w:spacing w:val="-5"/>
          <w:sz w:val="22"/>
          <w:szCs w:val="22"/>
          <w:lang w:eastAsia="en-US"/>
        </w:rPr>
        <w:t>De acuerdo con l</w:t>
      </w:r>
      <w:r w:rsidR="00D6216C" w:rsidRPr="00D6216C">
        <w:rPr>
          <w:rFonts w:ascii="Bookman Old Style" w:hAnsi="Bookman Old Style" w:cs="Arial"/>
          <w:spacing w:val="-5"/>
          <w:sz w:val="22"/>
          <w:szCs w:val="22"/>
          <w:lang w:eastAsia="en-US"/>
        </w:rPr>
        <w:t xml:space="preserve">os resultados del proceso de auditoría, la serie Digua no presenta discrepancias en el periodo que fue verificados (2001 – 2017). No obstante, considerando que no fue posible auditar el periodo agosto 1975 – diciembre 2000, debido a que el Agente no suministró la información requerida para verificar dicho periodo, </w:t>
      </w:r>
      <w:r w:rsidR="00D6216C" w:rsidRPr="00D43BE2">
        <w:rPr>
          <w:rFonts w:ascii="Bookman Old Style" w:hAnsi="Bookman Old Style" w:cs="Arial"/>
          <w:spacing w:val="-5"/>
          <w:sz w:val="22"/>
          <w:szCs w:val="22"/>
          <w:lang w:eastAsia="en-US"/>
        </w:rPr>
        <w:t xml:space="preserve">se establece que la serie Digua </w:t>
      </w:r>
      <w:r w:rsidR="00D6216C" w:rsidRPr="00D43BE2">
        <w:rPr>
          <w:rFonts w:ascii="Bookman Old Style" w:hAnsi="Bookman Old Style" w:cs="Arial"/>
          <w:b/>
          <w:bCs/>
          <w:spacing w:val="-5"/>
          <w:sz w:val="22"/>
          <w:szCs w:val="22"/>
          <w:lang w:eastAsia="en-US"/>
        </w:rPr>
        <w:t>PRESENTA DISCREPANCIA.</w:t>
      </w:r>
      <w:r w:rsidRPr="00D43BE2">
        <w:rPr>
          <w:rFonts w:ascii="Bookman Old Style" w:hAnsi="Bookman Old Style" w:cs="Arial"/>
          <w:b/>
          <w:bCs/>
          <w:spacing w:val="-5"/>
          <w:sz w:val="22"/>
          <w:szCs w:val="22"/>
          <w:lang w:eastAsia="en-US"/>
        </w:rPr>
        <w:t xml:space="preserve"> </w:t>
      </w:r>
    </w:p>
    <w:p w14:paraId="781335C8" w14:textId="77777777" w:rsidR="009D4422" w:rsidRPr="00D43BE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p>
    <w:p w14:paraId="1403257B" w14:textId="43192942" w:rsidR="009D4422" w:rsidRPr="00D43BE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r w:rsidRPr="00D43BE2">
        <w:rPr>
          <w:rFonts w:ascii="Bookman Old Style" w:hAnsi="Bookman Old Style" w:cs="Arial"/>
          <w:spacing w:val="-5"/>
          <w:sz w:val="22"/>
          <w:szCs w:val="22"/>
          <w:lang w:eastAsia="en-US"/>
        </w:rPr>
        <w:t>6. El Documento 3281-15-QS-RP-00</w:t>
      </w:r>
      <w:r w:rsidR="00D6216C" w:rsidRPr="00D43BE2">
        <w:rPr>
          <w:rFonts w:ascii="Bookman Old Style" w:hAnsi="Bookman Old Style" w:cs="Arial"/>
          <w:spacing w:val="-5"/>
          <w:sz w:val="22"/>
          <w:szCs w:val="22"/>
          <w:lang w:eastAsia="en-US"/>
        </w:rPr>
        <w:t>7</w:t>
      </w:r>
      <w:r w:rsidRPr="00D43BE2">
        <w:rPr>
          <w:rFonts w:ascii="Bookman Old Style" w:hAnsi="Bookman Old Style" w:cs="Arial"/>
          <w:spacing w:val="-5"/>
          <w:sz w:val="22"/>
          <w:szCs w:val="22"/>
          <w:lang w:eastAsia="en-US"/>
        </w:rPr>
        <w:t>, Rev. 1 “Informe de Serie Histórica</w:t>
      </w:r>
      <w:r w:rsidRPr="00112024">
        <w:rPr>
          <w:rFonts w:ascii="Bookman Old Style" w:hAnsi="Bookman Old Style" w:cs="Arial"/>
          <w:spacing w:val="-5"/>
          <w:sz w:val="22"/>
          <w:szCs w:val="22"/>
          <w:lang w:eastAsia="en-US"/>
        </w:rPr>
        <w:t xml:space="preserve"> de Caudales Medios Mensuales de los Ríos del SIN – </w:t>
      </w:r>
      <w:r w:rsidR="00D6216C">
        <w:rPr>
          <w:rFonts w:ascii="Bookman Old Style" w:hAnsi="Bookman Old Style" w:cs="Arial"/>
          <w:spacing w:val="-5"/>
          <w:sz w:val="22"/>
          <w:szCs w:val="22"/>
          <w:lang w:eastAsia="en-US"/>
        </w:rPr>
        <w:t>Digua</w:t>
      </w:r>
      <w:r w:rsidRPr="00112024">
        <w:rPr>
          <w:rFonts w:ascii="Bookman Old Style" w:hAnsi="Bookman Old Style" w:cs="Arial"/>
          <w:spacing w:val="-5"/>
          <w:sz w:val="22"/>
          <w:szCs w:val="22"/>
          <w:lang w:eastAsia="en-US"/>
        </w:rPr>
        <w:t>” y sus archivos adjuntos serán remitidos a la Comisión en medio magnético (USB) anexo a una comunicación física por su tamaño.</w:t>
      </w:r>
    </w:p>
    <w:p w14:paraId="3A6AC438" w14:textId="77777777" w:rsidR="009D4422" w:rsidRPr="00D43BE2" w:rsidRDefault="009D4422" w:rsidP="009D4422">
      <w:pPr>
        <w:widowControl w:val="0"/>
        <w:adjustRightInd w:val="0"/>
        <w:ind w:left="426"/>
        <w:jc w:val="both"/>
        <w:textAlignment w:val="baseline"/>
        <w:rPr>
          <w:rFonts w:ascii="Bookman Old Style" w:hAnsi="Bookman Old Style" w:cs="Arial"/>
          <w:spacing w:val="-5"/>
          <w:sz w:val="22"/>
          <w:szCs w:val="22"/>
          <w:lang w:eastAsia="en-US"/>
        </w:rPr>
      </w:pPr>
      <w:r w:rsidRPr="00D43BE2">
        <w:rPr>
          <w:rFonts w:ascii="Bookman Old Style" w:hAnsi="Bookman Old Style" w:cs="Arial"/>
          <w:spacing w:val="-5"/>
          <w:sz w:val="22"/>
          <w:szCs w:val="22"/>
          <w:lang w:eastAsia="en-US"/>
        </w:rPr>
        <w:t>(…)”</w:t>
      </w:r>
    </w:p>
    <w:p w14:paraId="6813476A" w14:textId="77777777" w:rsidR="009D4422" w:rsidRPr="00D43BE2" w:rsidRDefault="009D4422" w:rsidP="005E5EA9">
      <w:pPr>
        <w:widowControl w:val="0"/>
        <w:adjustRightInd w:val="0"/>
        <w:ind w:left="0"/>
        <w:jc w:val="both"/>
        <w:textAlignment w:val="baseline"/>
        <w:rPr>
          <w:rFonts w:ascii="Bookman Old Style" w:hAnsi="Bookman Old Style" w:cs="Arial"/>
          <w:b/>
          <w:spacing w:val="-5"/>
          <w:lang w:eastAsia="en-US"/>
        </w:rPr>
      </w:pPr>
    </w:p>
    <w:p w14:paraId="0832743D" w14:textId="0F4AA296" w:rsidR="005C07DD" w:rsidRDefault="006E5822" w:rsidP="005C07DD">
      <w:pPr>
        <w:widowControl w:val="0"/>
        <w:adjustRightInd w:val="0"/>
        <w:ind w:left="0"/>
        <w:jc w:val="both"/>
        <w:textAlignment w:val="baseline"/>
        <w:rPr>
          <w:rFonts w:ascii="Bookman Old Style" w:hAnsi="Bookman Old Style" w:cs="Arial"/>
          <w:spacing w:val="-5"/>
          <w:lang w:val="es-CO" w:eastAsia="en-US"/>
        </w:rPr>
      </w:pPr>
      <w:r>
        <w:rPr>
          <w:rFonts w:ascii="Bookman Old Style" w:hAnsi="Bookman Old Style" w:cs="Arial"/>
          <w:spacing w:val="-5"/>
          <w:lang w:val="es-CO" w:eastAsia="en-US"/>
        </w:rPr>
        <w:t xml:space="preserve">- </w:t>
      </w:r>
      <w:r w:rsidR="005C07DD" w:rsidRPr="00F21D8F">
        <w:rPr>
          <w:rFonts w:ascii="Bookman Old Style" w:hAnsi="Bookman Old Style" w:cs="Arial"/>
          <w:spacing w:val="-5"/>
          <w:lang w:val="es-CO" w:eastAsia="en-US"/>
        </w:rPr>
        <w:t>Por su parte, la empresa CELSIA COLOMBIA S.A. E.S.P.</w:t>
      </w:r>
      <w:r w:rsidR="005F5AB5">
        <w:rPr>
          <w:rFonts w:ascii="Bookman Old Style" w:hAnsi="Bookman Old Style" w:cs="Arial"/>
          <w:spacing w:val="-5"/>
          <w:lang w:val="es-CO" w:eastAsia="en-US"/>
        </w:rPr>
        <w:t>,</w:t>
      </w:r>
      <w:r w:rsidR="005C07DD" w:rsidRPr="00F21D8F">
        <w:rPr>
          <w:rFonts w:ascii="Bookman Old Style" w:hAnsi="Bookman Old Style" w:cs="Arial"/>
          <w:spacing w:val="-5"/>
          <w:lang w:val="es-CO" w:eastAsia="en-US"/>
        </w:rPr>
        <w:t xml:space="preserve"> a través de su representante legal, mediante el radicado E-2021-010232 del 1 de septiembre de 2021, expuso:</w:t>
      </w:r>
    </w:p>
    <w:p w14:paraId="12A1F62B" w14:textId="77777777" w:rsidR="005C07DD" w:rsidRDefault="005C07DD" w:rsidP="005C07DD">
      <w:pPr>
        <w:widowControl w:val="0"/>
        <w:adjustRightInd w:val="0"/>
        <w:ind w:left="0"/>
        <w:jc w:val="both"/>
        <w:textAlignment w:val="baseline"/>
        <w:rPr>
          <w:rFonts w:ascii="Bookman Old Style" w:hAnsi="Bookman Old Style" w:cs="Arial"/>
          <w:spacing w:val="-5"/>
          <w:lang w:val="es-CO" w:eastAsia="en-US"/>
        </w:rPr>
      </w:pPr>
    </w:p>
    <w:p w14:paraId="6A6D9753" w14:textId="77777777" w:rsidR="005C07DD" w:rsidRPr="00BD45EC" w:rsidRDefault="005C07DD" w:rsidP="005C07DD">
      <w:pPr>
        <w:widowControl w:val="0"/>
        <w:adjustRightInd w:val="0"/>
        <w:ind w:left="426"/>
        <w:jc w:val="both"/>
        <w:textAlignment w:val="baseline"/>
        <w:rPr>
          <w:rFonts w:ascii="Bookman Old Style" w:hAnsi="Bookman Old Style" w:cs="Arial"/>
          <w:spacing w:val="-5"/>
          <w:sz w:val="22"/>
          <w:szCs w:val="22"/>
          <w:lang w:eastAsia="en-US"/>
        </w:rPr>
      </w:pPr>
      <w:r w:rsidRPr="00BD45EC">
        <w:rPr>
          <w:rFonts w:ascii="Bookman Old Style" w:hAnsi="Bookman Old Style" w:cs="Arial"/>
          <w:spacing w:val="-5"/>
          <w:sz w:val="22"/>
          <w:szCs w:val="22"/>
          <w:lang w:eastAsia="en-US"/>
        </w:rPr>
        <w:t>“(…)</w:t>
      </w:r>
    </w:p>
    <w:p w14:paraId="095344D7" w14:textId="3AD81D77" w:rsidR="005C07DD" w:rsidRPr="00BD45EC" w:rsidRDefault="005C07DD" w:rsidP="005C07DD">
      <w:pPr>
        <w:widowControl w:val="0"/>
        <w:adjustRightInd w:val="0"/>
        <w:ind w:left="426"/>
        <w:jc w:val="both"/>
        <w:textAlignment w:val="baseline"/>
        <w:rPr>
          <w:rFonts w:ascii="Bookman Old Style" w:hAnsi="Bookman Old Style" w:cs="Arial"/>
          <w:spacing w:val="-5"/>
          <w:sz w:val="22"/>
          <w:szCs w:val="22"/>
          <w:lang w:eastAsia="en-US"/>
        </w:rPr>
      </w:pPr>
      <w:r w:rsidRPr="00BD45EC">
        <w:rPr>
          <w:rFonts w:ascii="Bookman Old Style" w:hAnsi="Bookman Old Style" w:cs="Arial"/>
          <w:spacing w:val="-5"/>
          <w:sz w:val="22"/>
          <w:szCs w:val="22"/>
          <w:lang w:eastAsia="en-US"/>
        </w:rPr>
        <w:t xml:space="preserve">En el anexo denominado -Consolidado serie </w:t>
      </w:r>
      <w:r>
        <w:rPr>
          <w:rFonts w:ascii="Bookman Old Style" w:hAnsi="Bookman Old Style" w:cs="Arial"/>
          <w:spacing w:val="-5"/>
          <w:sz w:val="22"/>
          <w:szCs w:val="22"/>
          <w:lang w:eastAsia="en-US"/>
        </w:rPr>
        <w:t xml:space="preserve">Digua </w:t>
      </w:r>
      <w:r w:rsidRPr="00BD45EC">
        <w:rPr>
          <w:rFonts w:ascii="Bookman Old Style" w:hAnsi="Bookman Old Style" w:cs="Arial"/>
          <w:spacing w:val="-5"/>
          <w:sz w:val="22"/>
          <w:szCs w:val="22"/>
          <w:lang w:eastAsia="en-US"/>
        </w:rPr>
        <w:t xml:space="preserve">- en la pestaña Serie </w:t>
      </w:r>
      <w:r>
        <w:rPr>
          <w:rFonts w:ascii="Bookman Old Style" w:hAnsi="Bookman Old Style" w:cs="Arial"/>
          <w:spacing w:val="-5"/>
          <w:sz w:val="22"/>
          <w:szCs w:val="22"/>
          <w:lang w:eastAsia="en-US"/>
        </w:rPr>
        <w:t>Digua</w:t>
      </w:r>
      <w:r w:rsidRPr="00BD45EC">
        <w:rPr>
          <w:rFonts w:ascii="Bookman Old Style" w:hAnsi="Bookman Old Style" w:cs="Arial"/>
          <w:spacing w:val="-5"/>
          <w:sz w:val="22"/>
          <w:szCs w:val="22"/>
          <w:lang w:eastAsia="en-US"/>
        </w:rPr>
        <w:t>, presentado en la comunicación con radicado E-2021-0073</w:t>
      </w:r>
      <w:r>
        <w:rPr>
          <w:rFonts w:ascii="Bookman Old Style" w:hAnsi="Bookman Old Style" w:cs="Arial"/>
          <w:spacing w:val="-5"/>
          <w:sz w:val="22"/>
          <w:szCs w:val="22"/>
          <w:lang w:eastAsia="en-US"/>
        </w:rPr>
        <w:t>88</w:t>
      </w:r>
      <w:r w:rsidRPr="00BD45EC">
        <w:rPr>
          <w:rFonts w:ascii="Bookman Old Style" w:hAnsi="Bookman Old Style" w:cs="Arial"/>
          <w:spacing w:val="-5"/>
          <w:sz w:val="22"/>
          <w:szCs w:val="22"/>
          <w:lang w:eastAsia="en-US"/>
        </w:rPr>
        <w:t>, Celsia Colombia realizó los cálculos correspondientes a la verificación de la serie de caudales usando la misma metodología, y formato de verificación, llevada a cabo por la firma auditora HMV Ingenieros. En este sentido, en el anexo mencionado se hace referencia al “Caudal calculado por la auditoría (…)” al ser presentado en el mismo formato (archivo) usado por HMV Ingenieros, pero no corresponden a cálculos realizados por la firma auditora, sino que representa cálculos realizados por Celsia Colombia, para indicar cual sería el resultado de la verificación si el auditor hubiese tomado la información remitida por Celsia Colombia.</w:t>
      </w:r>
    </w:p>
    <w:p w14:paraId="5A849EFB" w14:textId="77777777" w:rsidR="005C07DD" w:rsidRPr="00BD45EC" w:rsidRDefault="005C07DD" w:rsidP="005C07DD">
      <w:pPr>
        <w:widowControl w:val="0"/>
        <w:adjustRightInd w:val="0"/>
        <w:ind w:left="426"/>
        <w:jc w:val="both"/>
        <w:textAlignment w:val="baseline"/>
        <w:rPr>
          <w:rFonts w:ascii="Bookman Old Style" w:hAnsi="Bookman Old Style" w:cs="Arial"/>
          <w:spacing w:val="-5"/>
          <w:sz w:val="22"/>
          <w:szCs w:val="22"/>
          <w:lang w:eastAsia="en-US"/>
        </w:rPr>
      </w:pPr>
    </w:p>
    <w:p w14:paraId="2CD3E9D6" w14:textId="63F6E25C" w:rsidR="005C07DD" w:rsidRDefault="005C07DD" w:rsidP="005C07DD">
      <w:pPr>
        <w:widowControl w:val="0"/>
        <w:adjustRightInd w:val="0"/>
        <w:ind w:left="426"/>
        <w:jc w:val="both"/>
        <w:textAlignment w:val="baseline"/>
        <w:rPr>
          <w:rFonts w:ascii="Bookman Old Style" w:hAnsi="Bookman Old Style" w:cs="Arial"/>
          <w:spacing w:val="-5"/>
          <w:sz w:val="22"/>
          <w:szCs w:val="22"/>
          <w:lang w:eastAsia="en-US"/>
        </w:rPr>
      </w:pPr>
      <w:r w:rsidRPr="00F21D8F">
        <w:rPr>
          <w:rFonts w:ascii="Bookman Old Style" w:hAnsi="Bookman Old Style" w:cs="Arial"/>
          <w:spacing w:val="-5"/>
          <w:sz w:val="22"/>
          <w:szCs w:val="22"/>
          <w:lang w:eastAsia="en-US"/>
        </w:rPr>
        <w:t>De otro lado, complementado la información presentada por Celsia Colombia en la comunicación 202100018115, presentamos algunos aspectos adicionales que consideramos importantes para ser incorporados al expediente del asunto:</w:t>
      </w:r>
      <w:r w:rsidRPr="00BD45EC">
        <w:rPr>
          <w:rFonts w:ascii="Bookman Old Style" w:hAnsi="Bookman Old Style" w:cs="Arial"/>
          <w:spacing w:val="-5"/>
          <w:sz w:val="22"/>
          <w:szCs w:val="22"/>
          <w:lang w:eastAsia="en-US"/>
        </w:rPr>
        <w:t xml:space="preserve"> </w:t>
      </w:r>
    </w:p>
    <w:p w14:paraId="58BE8ABC" w14:textId="77777777" w:rsidR="005C07DD" w:rsidRDefault="005C07DD" w:rsidP="005C07DD">
      <w:pPr>
        <w:widowControl w:val="0"/>
        <w:adjustRightInd w:val="0"/>
        <w:ind w:left="426"/>
        <w:jc w:val="both"/>
        <w:textAlignment w:val="baseline"/>
        <w:rPr>
          <w:rFonts w:ascii="Bookman Old Style" w:hAnsi="Bookman Old Style" w:cs="Arial"/>
          <w:spacing w:val="-5"/>
          <w:sz w:val="22"/>
          <w:szCs w:val="22"/>
          <w:lang w:eastAsia="en-US"/>
        </w:rPr>
      </w:pPr>
    </w:p>
    <w:p w14:paraId="20DD3FE4" w14:textId="77777777" w:rsidR="005C07DD" w:rsidRDefault="005C07DD" w:rsidP="005C07DD">
      <w:pPr>
        <w:pStyle w:val="Prrafodelista"/>
        <w:widowControl w:val="0"/>
        <w:numPr>
          <w:ilvl w:val="0"/>
          <w:numId w:val="39"/>
        </w:numPr>
        <w:adjustRightInd w:val="0"/>
        <w:jc w:val="both"/>
        <w:textAlignment w:val="baseline"/>
        <w:rPr>
          <w:rFonts w:ascii="Bookman Old Style" w:hAnsi="Bookman Old Style" w:cs="Arial"/>
          <w:spacing w:val="-5"/>
          <w:sz w:val="22"/>
          <w:szCs w:val="22"/>
          <w:lang w:eastAsia="en-US"/>
        </w:rPr>
      </w:pPr>
      <w:r w:rsidRPr="00BD45EC">
        <w:rPr>
          <w:rFonts w:ascii="Bookman Old Style" w:hAnsi="Bookman Old Style" w:cs="Arial"/>
          <w:spacing w:val="-5"/>
          <w:sz w:val="22"/>
          <w:szCs w:val="22"/>
          <w:lang w:eastAsia="en-US"/>
        </w:rPr>
        <w:t xml:space="preserve">Con relación a las series de caudales para el año 2000 y anteriores, consideramos importante adicionar que Celsia Colombia reportó a la firma auditora HMV las series históricas de caudales para los años 2000 y anteriores, que fueron aprobadas por el Acuerdo CNO 172 de 2001 sin presentar ninguna modificación respecto a la información aprobada por el acuerdo mencionado. En ese sentido consideramos que Celsia Colombia entregó la información requerida de manera que el auditor pudiera contrastarla con la declaración de parámetros realizada. </w:t>
      </w:r>
    </w:p>
    <w:p w14:paraId="62E8CF63" w14:textId="77777777" w:rsidR="005C07DD" w:rsidRDefault="005C07DD" w:rsidP="005C07DD">
      <w:pPr>
        <w:pStyle w:val="Prrafodelista"/>
        <w:widowControl w:val="0"/>
        <w:numPr>
          <w:ilvl w:val="0"/>
          <w:numId w:val="39"/>
        </w:numPr>
        <w:adjustRightInd w:val="0"/>
        <w:jc w:val="both"/>
        <w:textAlignment w:val="baseline"/>
        <w:rPr>
          <w:rFonts w:ascii="Bookman Old Style" w:hAnsi="Bookman Old Style" w:cs="Arial"/>
          <w:spacing w:val="-5"/>
          <w:sz w:val="22"/>
          <w:szCs w:val="22"/>
          <w:lang w:eastAsia="en-US"/>
        </w:rPr>
      </w:pPr>
      <w:r w:rsidRPr="00BD45EC">
        <w:rPr>
          <w:rFonts w:ascii="Bookman Old Style" w:hAnsi="Bookman Old Style" w:cs="Arial"/>
          <w:spacing w:val="-5"/>
          <w:sz w:val="22"/>
          <w:szCs w:val="22"/>
          <w:lang w:eastAsia="en-US"/>
        </w:rPr>
        <w:t xml:space="preserve">La validez de las series históricas de caudales para los años 2000 y anteriores como fuente de información válida se evidencia en el Acta 88 de 2001 de la reunión del Subcomité Hidrológico y de Plantas Hidráulicas, SH&amp;PH, y en los correspondientes anexos 8 y 9, cómo se presentó en la comunicación con radicado 202000044475 remitida a la firma auditora. </w:t>
      </w:r>
    </w:p>
    <w:p w14:paraId="186906B2" w14:textId="77777777" w:rsidR="005C07DD" w:rsidRPr="00BD45EC" w:rsidRDefault="005C07DD" w:rsidP="005C07DD">
      <w:pPr>
        <w:pStyle w:val="Prrafodelista"/>
        <w:widowControl w:val="0"/>
        <w:numPr>
          <w:ilvl w:val="0"/>
          <w:numId w:val="39"/>
        </w:numPr>
        <w:adjustRightInd w:val="0"/>
        <w:jc w:val="both"/>
        <w:textAlignment w:val="baseline"/>
        <w:rPr>
          <w:rFonts w:ascii="Bookman Old Style" w:hAnsi="Bookman Old Style" w:cs="Arial"/>
          <w:spacing w:val="-5"/>
          <w:sz w:val="22"/>
          <w:szCs w:val="22"/>
          <w:lang w:eastAsia="en-US"/>
        </w:rPr>
      </w:pPr>
      <w:r w:rsidRPr="00BD45EC">
        <w:rPr>
          <w:rFonts w:ascii="Bookman Old Style" w:hAnsi="Bookman Old Style" w:cs="Arial"/>
          <w:spacing w:val="-5"/>
          <w:sz w:val="22"/>
          <w:szCs w:val="22"/>
          <w:lang w:eastAsia="en-US"/>
        </w:rPr>
        <w:t>Mediante la comunicación con radicado 202100000524, Celsia Colombia presentó las aclaraciones a los informes preliminares de las series de caudales para los años 2001 al 2017. Esta información fue suministrada a través del servidor FTP antes mencionado</w:t>
      </w:r>
    </w:p>
    <w:p w14:paraId="7B1FA6C6" w14:textId="741D6E66" w:rsidR="005C07DD" w:rsidRDefault="005C07DD" w:rsidP="005C07DD">
      <w:pPr>
        <w:widowControl w:val="0"/>
        <w:adjustRightInd w:val="0"/>
        <w:ind w:left="426"/>
        <w:jc w:val="both"/>
        <w:textAlignment w:val="baseline"/>
        <w:rPr>
          <w:rFonts w:ascii="Bookman Old Style" w:hAnsi="Bookman Old Style" w:cs="Arial"/>
          <w:spacing w:val="-5"/>
          <w:sz w:val="22"/>
          <w:szCs w:val="22"/>
          <w:lang w:eastAsia="en-US"/>
        </w:rPr>
      </w:pPr>
      <w:r>
        <w:rPr>
          <w:rFonts w:ascii="Bookman Old Style" w:hAnsi="Bookman Old Style" w:cs="Arial"/>
          <w:spacing w:val="-5"/>
          <w:sz w:val="22"/>
          <w:szCs w:val="22"/>
          <w:lang w:eastAsia="en-US"/>
        </w:rPr>
        <w:t>(…)</w:t>
      </w:r>
    </w:p>
    <w:p w14:paraId="28213020" w14:textId="77777777" w:rsidR="00C90971" w:rsidRDefault="00C90971" w:rsidP="005C07DD">
      <w:pPr>
        <w:widowControl w:val="0"/>
        <w:adjustRightInd w:val="0"/>
        <w:ind w:left="426"/>
        <w:jc w:val="both"/>
        <w:textAlignment w:val="baseline"/>
        <w:rPr>
          <w:rFonts w:ascii="Bookman Old Style" w:hAnsi="Bookman Old Style" w:cs="Arial"/>
          <w:spacing w:val="-5"/>
          <w:sz w:val="22"/>
          <w:szCs w:val="22"/>
          <w:lang w:eastAsia="en-US"/>
        </w:rPr>
      </w:pPr>
    </w:p>
    <w:p w14:paraId="65D5E2B8" w14:textId="77777777" w:rsidR="005C4167" w:rsidRDefault="005C07DD" w:rsidP="005C07DD">
      <w:pPr>
        <w:widowControl w:val="0"/>
        <w:adjustRightInd w:val="0"/>
        <w:ind w:left="426"/>
        <w:jc w:val="both"/>
        <w:textAlignment w:val="baseline"/>
        <w:rPr>
          <w:rFonts w:ascii="Bookman Old Style" w:hAnsi="Bookman Old Style" w:cs="Arial"/>
          <w:spacing w:val="-5"/>
          <w:sz w:val="22"/>
          <w:szCs w:val="22"/>
          <w:lang w:eastAsia="en-US"/>
        </w:rPr>
      </w:pPr>
      <w:r w:rsidRPr="00BD45EC">
        <w:rPr>
          <w:rFonts w:ascii="Bookman Old Style" w:hAnsi="Bookman Old Style" w:cs="Arial"/>
          <w:spacing w:val="-5"/>
          <w:sz w:val="22"/>
          <w:szCs w:val="22"/>
          <w:lang w:eastAsia="en-US"/>
        </w:rPr>
        <w:t>Adicionalmente, solicitamos respetuosamente y antes de agotarse el periodo probatorio de la presente actuación administrativa, se fije fecha y hora para que celebrar una reunión entre la CREG, XM S.A. E.S.P., la firma auditora HMV Ingenieros y a Celsia</w:t>
      </w:r>
      <w:r>
        <w:rPr>
          <w:rFonts w:ascii="Bookman Old Style" w:hAnsi="Bookman Old Style" w:cs="Arial"/>
          <w:spacing w:val="-5"/>
          <w:sz w:val="22"/>
          <w:szCs w:val="22"/>
          <w:lang w:eastAsia="en-US"/>
        </w:rPr>
        <w:t xml:space="preserve"> </w:t>
      </w:r>
      <w:r w:rsidRPr="00BD45EC">
        <w:rPr>
          <w:rFonts w:ascii="Bookman Old Style" w:hAnsi="Bookman Old Style" w:cs="Arial"/>
          <w:spacing w:val="-5"/>
          <w:sz w:val="22"/>
          <w:szCs w:val="22"/>
          <w:lang w:eastAsia="en-US"/>
        </w:rPr>
        <w:t xml:space="preserve">Colombia, con el fin de discutir y despejar las dudas que subsistan sobre las observaciones de la firma auditora. </w:t>
      </w:r>
    </w:p>
    <w:p w14:paraId="7E64E565" w14:textId="77777777" w:rsidR="005C4167" w:rsidRDefault="005C4167" w:rsidP="005C07DD">
      <w:pPr>
        <w:widowControl w:val="0"/>
        <w:adjustRightInd w:val="0"/>
        <w:ind w:left="426"/>
        <w:jc w:val="both"/>
        <w:textAlignment w:val="baseline"/>
        <w:rPr>
          <w:rFonts w:ascii="Bookman Old Style" w:hAnsi="Bookman Old Style" w:cs="Arial"/>
          <w:spacing w:val="-5"/>
          <w:sz w:val="22"/>
          <w:szCs w:val="22"/>
          <w:lang w:eastAsia="en-US"/>
        </w:rPr>
      </w:pPr>
    </w:p>
    <w:p w14:paraId="0312D83F" w14:textId="3B1A636B" w:rsidR="005C07DD" w:rsidRPr="00A15928" w:rsidRDefault="005C07DD" w:rsidP="005C07DD">
      <w:pPr>
        <w:widowControl w:val="0"/>
        <w:adjustRightInd w:val="0"/>
        <w:ind w:left="426"/>
        <w:jc w:val="both"/>
        <w:textAlignment w:val="baseline"/>
        <w:rPr>
          <w:rFonts w:ascii="Bookman Old Style" w:hAnsi="Bookman Old Style" w:cs="Arial"/>
          <w:b/>
          <w:spacing w:val="-5"/>
          <w:sz w:val="22"/>
          <w:szCs w:val="22"/>
          <w:lang w:eastAsia="en-US"/>
        </w:rPr>
      </w:pPr>
      <w:r w:rsidRPr="00BD45EC">
        <w:rPr>
          <w:rFonts w:ascii="Bookman Old Style" w:hAnsi="Bookman Old Style" w:cs="Arial"/>
          <w:spacing w:val="-5"/>
          <w:sz w:val="22"/>
          <w:szCs w:val="22"/>
          <w:lang w:eastAsia="en-US"/>
        </w:rPr>
        <w:t>De igual manera, consideramos necesario que la CREG aclare a la empresa XM que, en el proceso de cálculo de la ENFICC requerido en el auto de pruebas utilizando el modelo HIDENFICC, incluya las series de caudales históricas correspondientes a los años 2000 y anteriores, con relación a la explicación antes presentada.</w:t>
      </w:r>
      <w:r>
        <w:rPr>
          <w:rFonts w:ascii="Bookman Old Style" w:hAnsi="Bookman Old Style" w:cs="Arial"/>
          <w:spacing w:val="-5"/>
          <w:sz w:val="22"/>
          <w:szCs w:val="22"/>
          <w:lang w:eastAsia="en-US"/>
        </w:rPr>
        <w:t xml:space="preserve"> (…)”</w:t>
      </w:r>
    </w:p>
    <w:p w14:paraId="4EF0D544" w14:textId="77777777" w:rsidR="005C07DD" w:rsidRPr="00A15928" w:rsidRDefault="005C07DD" w:rsidP="005E5EA9">
      <w:pPr>
        <w:widowControl w:val="0"/>
        <w:adjustRightInd w:val="0"/>
        <w:ind w:left="0"/>
        <w:jc w:val="both"/>
        <w:textAlignment w:val="baseline"/>
        <w:rPr>
          <w:rFonts w:ascii="Bookman Old Style" w:hAnsi="Bookman Old Style" w:cs="Arial"/>
          <w:b/>
          <w:spacing w:val="-5"/>
          <w:lang w:eastAsia="en-US"/>
        </w:rPr>
      </w:pPr>
    </w:p>
    <w:p w14:paraId="5027B222" w14:textId="65C22DB9" w:rsidR="005E5EA9" w:rsidRDefault="0032434F" w:rsidP="005E5EA9">
      <w:pPr>
        <w:widowControl w:val="0"/>
        <w:adjustRightInd w:val="0"/>
        <w:ind w:left="0"/>
        <w:jc w:val="both"/>
        <w:textAlignment w:val="baseline"/>
        <w:rPr>
          <w:rFonts w:ascii="Bookman Old Style" w:hAnsi="Bookman Old Style" w:cs="Arial"/>
          <w:spacing w:val="-5"/>
          <w:lang w:val="es-CO" w:eastAsia="en-US"/>
        </w:rPr>
      </w:pPr>
      <w:r>
        <w:rPr>
          <w:rFonts w:ascii="Bookman Old Style" w:hAnsi="Bookman Old Style" w:cs="Arial"/>
          <w:spacing w:val="-5"/>
          <w:lang w:eastAsia="en-US"/>
        </w:rPr>
        <w:t xml:space="preserve">- </w:t>
      </w:r>
      <w:r w:rsidR="00A13921" w:rsidRPr="00A15928">
        <w:rPr>
          <w:rFonts w:ascii="Bookman Old Style" w:hAnsi="Bookman Old Style" w:cs="Arial"/>
          <w:spacing w:val="-5"/>
          <w:lang w:eastAsia="en-US"/>
        </w:rPr>
        <w:t>Y l</w:t>
      </w:r>
      <w:r w:rsidR="003A3AD0" w:rsidRPr="00A15928">
        <w:rPr>
          <w:rFonts w:ascii="Bookman Old Style" w:hAnsi="Bookman Old Style" w:cs="Arial"/>
          <w:spacing w:val="-5"/>
          <w:lang w:eastAsia="en-US"/>
        </w:rPr>
        <w:t xml:space="preserve">a </w:t>
      </w:r>
      <w:r w:rsidR="00A13921" w:rsidRPr="00A15928">
        <w:rPr>
          <w:rFonts w:ascii="Bookman Old Style" w:hAnsi="Bookman Old Style" w:cs="Arial"/>
          <w:spacing w:val="-5"/>
          <w:lang w:eastAsia="en-US"/>
        </w:rPr>
        <w:t>e</w:t>
      </w:r>
      <w:r w:rsidR="003A3AD0" w:rsidRPr="00A15928">
        <w:rPr>
          <w:rFonts w:ascii="Bookman Old Style" w:hAnsi="Bookman Old Style" w:cs="Arial"/>
          <w:spacing w:val="-5"/>
          <w:lang w:eastAsia="en-US"/>
        </w:rPr>
        <w:t>mpresa XM S.A</w:t>
      </w:r>
      <w:r w:rsidR="005F5AB5">
        <w:rPr>
          <w:rFonts w:ascii="Bookman Old Style" w:hAnsi="Bookman Old Style" w:cs="Arial"/>
          <w:spacing w:val="-5"/>
          <w:lang w:eastAsia="en-US"/>
        </w:rPr>
        <w:t>.</w:t>
      </w:r>
      <w:r w:rsidR="003A3AD0" w:rsidRPr="00A15928">
        <w:rPr>
          <w:rFonts w:ascii="Bookman Old Style" w:hAnsi="Bookman Old Style" w:cs="Arial"/>
          <w:spacing w:val="-5"/>
          <w:lang w:eastAsia="en-US"/>
        </w:rPr>
        <w:t xml:space="preserve"> E.S.P. </w:t>
      </w:r>
      <w:r w:rsidR="00A3076C" w:rsidRPr="00A15928">
        <w:rPr>
          <w:rFonts w:ascii="Bookman Old Style" w:hAnsi="Bookman Old Style" w:cs="Arial"/>
          <w:spacing w:val="-5"/>
          <w:lang w:eastAsia="en-US"/>
        </w:rPr>
        <w:t>atendi</w:t>
      </w:r>
      <w:r w:rsidR="000937D7" w:rsidRPr="00A15928">
        <w:rPr>
          <w:rFonts w:ascii="Bookman Old Style" w:hAnsi="Bookman Old Style" w:cs="Arial"/>
          <w:spacing w:val="-5"/>
          <w:lang w:eastAsia="en-US"/>
        </w:rPr>
        <w:t>ó</w:t>
      </w:r>
      <w:r w:rsidR="00A3076C" w:rsidRPr="00A15928">
        <w:rPr>
          <w:rFonts w:ascii="Bookman Old Style" w:hAnsi="Bookman Old Style" w:cs="Arial"/>
          <w:spacing w:val="-5"/>
          <w:lang w:eastAsia="en-US"/>
        </w:rPr>
        <w:t xml:space="preserve"> </w:t>
      </w:r>
      <w:r w:rsidR="003A3AD0" w:rsidRPr="00A15928">
        <w:rPr>
          <w:rFonts w:ascii="Bookman Old Style" w:hAnsi="Bookman Old Style" w:cs="Arial"/>
          <w:spacing w:val="-5"/>
          <w:lang w:eastAsia="en-US"/>
        </w:rPr>
        <w:t xml:space="preserve">el requerimiento </w:t>
      </w:r>
      <w:r w:rsidR="000937D7" w:rsidRPr="00A15928">
        <w:rPr>
          <w:rFonts w:ascii="Bookman Old Style" w:hAnsi="Bookman Old Style" w:cs="Arial"/>
          <w:spacing w:val="-5"/>
          <w:lang w:eastAsia="en-US"/>
        </w:rPr>
        <w:t xml:space="preserve">efectuado </w:t>
      </w:r>
      <w:r w:rsidR="00A3076C" w:rsidRPr="00A15928">
        <w:rPr>
          <w:rFonts w:ascii="Bookman Old Style" w:hAnsi="Bookman Old Style" w:cs="Arial"/>
          <w:spacing w:val="-5"/>
          <w:lang w:eastAsia="en-US"/>
        </w:rPr>
        <w:t xml:space="preserve">a través del radicado </w:t>
      </w:r>
      <w:bookmarkStart w:id="1" w:name="_Hlk85620973"/>
      <w:r w:rsidR="00A3076C" w:rsidRPr="00A15928">
        <w:rPr>
          <w:rFonts w:ascii="Bookman Old Style" w:hAnsi="Bookman Old Style" w:cs="Arial"/>
          <w:spacing w:val="-5"/>
          <w:lang w:eastAsia="en-US"/>
        </w:rPr>
        <w:t>E-2021-</w:t>
      </w:r>
      <w:r w:rsidR="006F6000" w:rsidRPr="00A15928">
        <w:rPr>
          <w:rFonts w:ascii="Bookman Old Style" w:hAnsi="Bookman Old Style" w:cs="Arial"/>
          <w:spacing w:val="-5"/>
          <w:lang w:val="es-CO" w:eastAsia="en-US"/>
        </w:rPr>
        <w:t>010</w:t>
      </w:r>
      <w:r w:rsidR="00AE179B" w:rsidRPr="00A15928">
        <w:rPr>
          <w:rFonts w:ascii="Bookman Old Style" w:hAnsi="Bookman Old Style" w:cs="Arial"/>
          <w:spacing w:val="-5"/>
          <w:lang w:val="es-CO" w:eastAsia="en-US"/>
        </w:rPr>
        <w:t>44</w:t>
      </w:r>
      <w:r w:rsidR="009638D0" w:rsidRPr="00A15928">
        <w:rPr>
          <w:rFonts w:ascii="Bookman Old Style" w:hAnsi="Bookman Old Style" w:cs="Arial"/>
          <w:spacing w:val="-5"/>
          <w:lang w:val="es-CO" w:eastAsia="en-US"/>
        </w:rPr>
        <w:t>9</w:t>
      </w:r>
      <w:r w:rsidR="006F6000">
        <w:rPr>
          <w:rFonts w:ascii="Bookman Old Style" w:hAnsi="Bookman Old Style" w:cs="Arial"/>
          <w:spacing w:val="-5"/>
          <w:lang w:val="es-CO" w:eastAsia="en-US"/>
        </w:rPr>
        <w:t xml:space="preserve"> del </w:t>
      </w:r>
      <w:r w:rsidR="00AE179B">
        <w:rPr>
          <w:rFonts w:ascii="Bookman Old Style" w:hAnsi="Bookman Old Style" w:cs="Arial"/>
          <w:spacing w:val="-5"/>
          <w:lang w:val="es-CO" w:eastAsia="en-US"/>
        </w:rPr>
        <w:t>7</w:t>
      </w:r>
      <w:r w:rsidR="006F6000">
        <w:rPr>
          <w:rFonts w:ascii="Bookman Old Style" w:hAnsi="Bookman Old Style" w:cs="Arial"/>
          <w:spacing w:val="-5"/>
          <w:lang w:val="es-CO" w:eastAsia="en-US"/>
        </w:rPr>
        <w:t xml:space="preserve"> de septiembre de 2021</w:t>
      </w:r>
      <w:r w:rsidR="005F5AB5">
        <w:rPr>
          <w:rFonts w:ascii="Bookman Old Style" w:hAnsi="Bookman Old Style" w:cs="Arial"/>
          <w:spacing w:val="-5"/>
          <w:lang w:val="es-CO" w:eastAsia="en-US"/>
        </w:rPr>
        <w:t>,</w:t>
      </w:r>
      <w:r w:rsidR="006F6000">
        <w:rPr>
          <w:rFonts w:ascii="Bookman Old Style" w:hAnsi="Bookman Old Style" w:cs="Arial"/>
          <w:spacing w:val="-5"/>
          <w:lang w:val="es-CO" w:eastAsia="en-US"/>
        </w:rPr>
        <w:t xml:space="preserve"> </w:t>
      </w:r>
      <w:bookmarkEnd w:id="1"/>
      <w:r w:rsidR="00AE179B">
        <w:rPr>
          <w:rFonts w:ascii="Bookman Old Style" w:hAnsi="Bookman Old Style" w:cs="Arial"/>
          <w:spacing w:val="-5"/>
          <w:lang w:val="es-CO" w:eastAsia="en-US"/>
        </w:rPr>
        <w:t xml:space="preserve">señalando </w:t>
      </w:r>
      <w:r w:rsidR="006F6000">
        <w:rPr>
          <w:rFonts w:ascii="Bookman Old Style" w:hAnsi="Bookman Old Style" w:cs="Arial"/>
          <w:spacing w:val="-5"/>
          <w:lang w:val="es-CO" w:eastAsia="en-US"/>
        </w:rPr>
        <w:t>lo siguiente:</w:t>
      </w:r>
    </w:p>
    <w:p w14:paraId="2EB9D3E7" w14:textId="2A0314CB" w:rsidR="006F6000" w:rsidRDefault="006F6000" w:rsidP="005E5EA9">
      <w:pPr>
        <w:widowControl w:val="0"/>
        <w:adjustRightInd w:val="0"/>
        <w:ind w:left="0"/>
        <w:jc w:val="both"/>
        <w:textAlignment w:val="baseline"/>
        <w:rPr>
          <w:rFonts w:ascii="Bookman Old Style" w:hAnsi="Bookman Old Style" w:cs="Arial"/>
          <w:spacing w:val="-5"/>
          <w:lang w:val="es-CO" w:eastAsia="en-US"/>
        </w:rPr>
      </w:pPr>
    </w:p>
    <w:p w14:paraId="53417B59" w14:textId="120018B2" w:rsidR="006F6000" w:rsidRPr="00BD45EC" w:rsidRDefault="0023378B" w:rsidP="00AE179B">
      <w:pPr>
        <w:widowControl w:val="0"/>
        <w:adjustRightInd w:val="0"/>
        <w:ind w:left="426"/>
        <w:jc w:val="both"/>
        <w:textAlignment w:val="baseline"/>
        <w:rPr>
          <w:rFonts w:ascii="Bookman Old Style" w:hAnsi="Bookman Old Style" w:cs="Arial"/>
          <w:spacing w:val="-5"/>
          <w:sz w:val="22"/>
          <w:szCs w:val="22"/>
          <w:lang w:eastAsia="en-US"/>
        </w:rPr>
      </w:pPr>
      <w:r w:rsidRPr="00BD45EC">
        <w:rPr>
          <w:rFonts w:ascii="Bookman Old Style" w:hAnsi="Bookman Old Style" w:cs="Arial"/>
          <w:spacing w:val="-5"/>
          <w:sz w:val="22"/>
          <w:szCs w:val="22"/>
          <w:lang w:eastAsia="en-US"/>
        </w:rPr>
        <w:t>“(…)</w:t>
      </w:r>
    </w:p>
    <w:p w14:paraId="28C02EB2" w14:textId="265EB6BD" w:rsidR="00AE179B" w:rsidRPr="00BD45EC" w:rsidRDefault="00A13921" w:rsidP="00AE179B">
      <w:pPr>
        <w:widowControl w:val="0"/>
        <w:adjustRightInd w:val="0"/>
        <w:ind w:left="426"/>
        <w:jc w:val="both"/>
        <w:textAlignment w:val="baseline"/>
        <w:rPr>
          <w:rFonts w:ascii="Bookman Old Style" w:hAnsi="Bookman Old Style" w:cs="Arial"/>
          <w:spacing w:val="-5"/>
          <w:sz w:val="22"/>
          <w:szCs w:val="22"/>
          <w:lang w:eastAsia="en-US"/>
        </w:rPr>
      </w:pPr>
      <w:r w:rsidRPr="00A13921">
        <w:rPr>
          <w:rFonts w:ascii="Bookman Old Style" w:hAnsi="Bookman Old Style" w:cs="Arial"/>
          <w:spacing w:val="-5"/>
          <w:sz w:val="22"/>
          <w:szCs w:val="22"/>
          <w:lang w:eastAsia="en-US"/>
        </w:rPr>
        <w:t>Con base en lo anterior y con el fin de poder elaborar adecuadamente el cálculo ordenado en la actuación administrativa de la referencia, solicitamos a la Comisión nos precise los valores que deben ser utilizados por el CND para el cálculo de la ENFICC de la planta Bajo Anchicayá de acuerdo con la siguiente tabla, toda vez que la información contenida en los resultados de la auditoria no es suficiente para el efecto. Lo anterior, considerando que algunas discrepancias se dan precisamente por falta de información de acuerdo con lo que plantea el mismo auditor:</w:t>
      </w:r>
    </w:p>
    <w:p w14:paraId="2855A268" w14:textId="78443E3A" w:rsidR="00AE179B" w:rsidRPr="00BD45EC" w:rsidRDefault="00AE179B" w:rsidP="00AE179B">
      <w:pPr>
        <w:widowControl w:val="0"/>
        <w:adjustRightInd w:val="0"/>
        <w:ind w:left="426"/>
        <w:jc w:val="both"/>
        <w:textAlignment w:val="baseline"/>
        <w:rPr>
          <w:rFonts w:ascii="Bookman Old Style" w:hAnsi="Bookman Old Style" w:cs="Arial"/>
          <w:spacing w:val="-5"/>
          <w:sz w:val="22"/>
          <w:szCs w:val="22"/>
          <w:lang w:eastAsia="en-US"/>
        </w:rPr>
      </w:pPr>
    </w:p>
    <w:p w14:paraId="6D143E17" w14:textId="01F4610E" w:rsidR="00AE179B" w:rsidRPr="00BD45EC" w:rsidRDefault="00AE179B" w:rsidP="00AE179B">
      <w:pPr>
        <w:widowControl w:val="0"/>
        <w:adjustRightInd w:val="0"/>
        <w:ind w:left="426"/>
        <w:jc w:val="both"/>
        <w:textAlignment w:val="baseline"/>
        <w:rPr>
          <w:rFonts w:ascii="Bookman Old Style" w:hAnsi="Bookman Old Style" w:cs="Arial"/>
          <w:spacing w:val="-5"/>
          <w:sz w:val="22"/>
          <w:szCs w:val="22"/>
          <w:lang w:eastAsia="en-US"/>
        </w:rPr>
      </w:pPr>
      <w:r w:rsidRPr="00BD45EC">
        <w:rPr>
          <w:rFonts w:ascii="Bookman Old Style" w:hAnsi="Bookman Old Style" w:cs="Arial"/>
          <w:spacing w:val="-5"/>
          <w:sz w:val="22"/>
          <w:szCs w:val="22"/>
          <w:lang w:eastAsia="en-US"/>
        </w:rPr>
        <w:t>(…)</w:t>
      </w:r>
    </w:p>
    <w:p w14:paraId="1C4F4FB0" w14:textId="77777777" w:rsidR="00AE179B" w:rsidRPr="00BD45EC" w:rsidRDefault="00AE179B" w:rsidP="00AE179B">
      <w:pPr>
        <w:widowControl w:val="0"/>
        <w:adjustRightInd w:val="0"/>
        <w:ind w:left="426"/>
        <w:jc w:val="both"/>
        <w:textAlignment w:val="baseline"/>
        <w:rPr>
          <w:rFonts w:ascii="Bookman Old Style" w:hAnsi="Bookman Old Style" w:cs="Arial"/>
          <w:spacing w:val="-5"/>
          <w:sz w:val="22"/>
          <w:szCs w:val="22"/>
          <w:lang w:eastAsia="en-US"/>
        </w:rPr>
      </w:pPr>
      <w:r w:rsidRPr="00BD45EC">
        <w:rPr>
          <w:rFonts w:ascii="Bookman Old Style" w:hAnsi="Bookman Old Style" w:cs="Arial"/>
          <w:spacing w:val="-5"/>
          <w:sz w:val="22"/>
          <w:szCs w:val="22"/>
          <w:lang w:eastAsia="en-US"/>
        </w:rPr>
        <w:t xml:space="preserve">De otra parte, entendemos que para el cálculo de la ENFICC solicitado también se deberá considerar la información publicada en la Circular CREG 027 de 2019 para los parámetros que no presentaron discrepancias. </w:t>
      </w:r>
    </w:p>
    <w:p w14:paraId="7E1A5DC7" w14:textId="77777777" w:rsidR="00AE179B" w:rsidRPr="00BD45EC" w:rsidRDefault="00AE179B" w:rsidP="00AE179B">
      <w:pPr>
        <w:widowControl w:val="0"/>
        <w:adjustRightInd w:val="0"/>
        <w:ind w:left="426"/>
        <w:jc w:val="both"/>
        <w:textAlignment w:val="baseline"/>
        <w:rPr>
          <w:rFonts w:ascii="Bookman Old Style" w:hAnsi="Bookman Old Style" w:cs="Arial"/>
          <w:spacing w:val="-5"/>
          <w:sz w:val="22"/>
          <w:szCs w:val="22"/>
          <w:lang w:eastAsia="en-US"/>
        </w:rPr>
      </w:pPr>
    </w:p>
    <w:p w14:paraId="7E27096E" w14:textId="3C04CF0A" w:rsidR="00BA26EB" w:rsidRDefault="00AE179B" w:rsidP="00775D19">
      <w:pPr>
        <w:widowControl w:val="0"/>
        <w:adjustRightInd w:val="0"/>
        <w:ind w:left="426"/>
        <w:jc w:val="both"/>
        <w:textAlignment w:val="baseline"/>
        <w:rPr>
          <w:rFonts w:ascii="Bookman Old Style" w:hAnsi="Bookman Old Style" w:cs="Arial"/>
          <w:spacing w:val="-5"/>
          <w:sz w:val="22"/>
          <w:szCs w:val="22"/>
          <w:lang w:eastAsia="en-US"/>
        </w:rPr>
      </w:pPr>
      <w:r w:rsidRPr="00BD45EC">
        <w:rPr>
          <w:rFonts w:ascii="Bookman Old Style" w:hAnsi="Bookman Old Style" w:cs="Arial"/>
          <w:spacing w:val="-5"/>
          <w:sz w:val="22"/>
          <w:szCs w:val="22"/>
          <w:lang w:eastAsia="en-US"/>
        </w:rPr>
        <w:t>Quedamos atentos a la información para proceder de conformidad con lo ordenado en la Actuación Administrativa del asunto y a resolver cualquier inquietud al respecto.”</w:t>
      </w:r>
      <w:r w:rsidR="00A15928">
        <w:rPr>
          <w:rFonts w:ascii="Bookman Old Style" w:hAnsi="Bookman Old Style" w:cs="Arial"/>
          <w:spacing w:val="-5"/>
          <w:sz w:val="22"/>
          <w:szCs w:val="22"/>
          <w:lang w:eastAsia="en-US"/>
        </w:rPr>
        <w:t>.</w:t>
      </w:r>
    </w:p>
    <w:p w14:paraId="1F8787AE" w14:textId="77777777" w:rsidR="00777010" w:rsidRPr="00775D19" w:rsidRDefault="00777010" w:rsidP="00775D19">
      <w:pPr>
        <w:widowControl w:val="0"/>
        <w:adjustRightInd w:val="0"/>
        <w:ind w:left="426"/>
        <w:jc w:val="both"/>
        <w:textAlignment w:val="baseline"/>
        <w:rPr>
          <w:rFonts w:ascii="Bookman Old Style" w:hAnsi="Bookman Old Style" w:cs="Arial"/>
          <w:b/>
          <w:spacing w:val="-5"/>
          <w:sz w:val="22"/>
          <w:szCs w:val="22"/>
          <w:lang w:eastAsia="en-US"/>
        </w:rPr>
      </w:pPr>
    </w:p>
    <w:p w14:paraId="3E693276" w14:textId="4F877FBC" w:rsidR="007C3C6F" w:rsidRPr="00803ADC" w:rsidRDefault="0032434F" w:rsidP="005E5EA9">
      <w:pPr>
        <w:widowControl w:val="0"/>
        <w:adjustRightInd w:val="0"/>
        <w:ind w:left="0"/>
        <w:jc w:val="both"/>
        <w:textAlignment w:val="baseline"/>
        <w:rPr>
          <w:rFonts w:ascii="Bookman Old Style" w:hAnsi="Bookman Old Style" w:cs="Arial"/>
          <w:spacing w:val="-5"/>
          <w:lang w:val="es-CO" w:eastAsia="en-US"/>
        </w:rPr>
      </w:pPr>
      <w:bookmarkStart w:id="2" w:name="_Hlk94537003"/>
      <w:r>
        <w:rPr>
          <w:rFonts w:ascii="Bookman Old Style" w:hAnsi="Bookman Old Style" w:cs="Arial"/>
          <w:spacing w:val="-5"/>
          <w:lang w:val="es-CO" w:eastAsia="en-US"/>
        </w:rPr>
        <w:t xml:space="preserve">- </w:t>
      </w:r>
      <w:r w:rsidR="007C3C6F">
        <w:rPr>
          <w:rFonts w:ascii="Bookman Old Style" w:hAnsi="Bookman Old Style" w:cs="Arial"/>
          <w:spacing w:val="-5"/>
          <w:lang w:val="es-CO" w:eastAsia="en-US"/>
        </w:rPr>
        <w:t>Posteriormente, la Comisión</w:t>
      </w:r>
      <w:r w:rsidR="005F5AB5">
        <w:rPr>
          <w:rFonts w:ascii="Bookman Old Style" w:hAnsi="Bookman Old Style" w:cs="Arial"/>
          <w:spacing w:val="-5"/>
          <w:lang w:val="es-CO" w:eastAsia="en-US"/>
        </w:rPr>
        <w:t>,</w:t>
      </w:r>
      <w:r w:rsidR="007C3C6F">
        <w:rPr>
          <w:rFonts w:ascii="Bookman Old Style" w:hAnsi="Bookman Old Style" w:cs="Arial"/>
          <w:spacing w:val="-5"/>
          <w:lang w:val="es-CO" w:eastAsia="en-US"/>
        </w:rPr>
        <w:t xml:space="preserve"> a través del oficio </w:t>
      </w:r>
      <w:bookmarkEnd w:id="2"/>
      <w:r w:rsidR="007C3C6F">
        <w:rPr>
          <w:rFonts w:ascii="Bookman Old Style" w:hAnsi="Bookman Old Style" w:cs="Arial"/>
          <w:spacing w:val="-5"/>
          <w:lang w:val="es-CO" w:eastAsia="en-US"/>
        </w:rPr>
        <w:t>S-2021-00</w:t>
      </w:r>
      <w:r w:rsidR="0081065E">
        <w:rPr>
          <w:rFonts w:ascii="Bookman Old Style" w:hAnsi="Bookman Old Style" w:cs="Arial"/>
          <w:spacing w:val="-5"/>
          <w:lang w:val="es-CO" w:eastAsia="en-US"/>
        </w:rPr>
        <w:t>39</w:t>
      </w:r>
      <w:r w:rsidR="00393D7A">
        <w:rPr>
          <w:rFonts w:ascii="Bookman Old Style" w:hAnsi="Bookman Old Style" w:cs="Arial"/>
          <w:spacing w:val="-5"/>
          <w:lang w:val="es-CO" w:eastAsia="en-US"/>
        </w:rPr>
        <w:t>30</w:t>
      </w:r>
      <w:r w:rsidR="007C3C6F">
        <w:rPr>
          <w:rFonts w:ascii="Bookman Old Style" w:hAnsi="Bookman Old Style" w:cs="Arial"/>
          <w:spacing w:val="-5"/>
          <w:lang w:val="es-CO" w:eastAsia="en-US"/>
        </w:rPr>
        <w:t xml:space="preserve"> </w:t>
      </w:r>
      <w:r w:rsidR="0081065E">
        <w:rPr>
          <w:rFonts w:ascii="Bookman Old Style" w:hAnsi="Bookman Old Style" w:cs="Arial"/>
          <w:spacing w:val="-5"/>
          <w:lang w:val="es-CO" w:eastAsia="en-US"/>
        </w:rPr>
        <w:t xml:space="preserve">del </w:t>
      </w:r>
      <w:r w:rsidR="00393D7A">
        <w:rPr>
          <w:rFonts w:ascii="Bookman Old Style" w:hAnsi="Bookman Old Style" w:cs="Arial"/>
          <w:spacing w:val="-5"/>
          <w:lang w:val="es-CO" w:eastAsia="en-US"/>
        </w:rPr>
        <w:t>2</w:t>
      </w:r>
      <w:r w:rsidR="0081065E">
        <w:rPr>
          <w:rFonts w:ascii="Bookman Old Style" w:hAnsi="Bookman Old Style" w:cs="Arial"/>
          <w:spacing w:val="-5"/>
          <w:lang w:val="es-CO" w:eastAsia="en-US"/>
        </w:rPr>
        <w:t xml:space="preserve"> de septiembre de 2021</w:t>
      </w:r>
      <w:r w:rsidR="005F5AB5">
        <w:rPr>
          <w:rFonts w:ascii="Bookman Old Style" w:hAnsi="Bookman Old Style" w:cs="Arial"/>
          <w:spacing w:val="-5"/>
          <w:lang w:val="es-CO" w:eastAsia="en-US"/>
        </w:rPr>
        <w:t>,</w:t>
      </w:r>
      <w:r w:rsidR="0081065E">
        <w:rPr>
          <w:rFonts w:ascii="Bookman Old Style" w:hAnsi="Bookman Old Style" w:cs="Arial"/>
          <w:spacing w:val="-5"/>
          <w:lang w:val="es-CO" w:eastAsia="en-US"/>
        </w:rPr>
        <w:t xml:space="preserve"> decidió poner en conocimiento de la empresa CELSIA COLOMBIA S</w:t>
      </w:r>
      <w:r w:rsidR="0081065E" w:rsidRPr="00803ADC">
        <w:rPr>
          <w:rFonts w:ascii="Bookman Old Style" w:hAnsi="Bookman Old Style" w:cs="Arial"/>
          <w:spacing w:val="-5"/>
          <w:lang w:val="es-CO" w:eastAsia="en-US"/>
        </w:rPr>
        <w:t>.A. E.S.P. lo expuesto por la firma auditora</w:t>
      </w:r>
      <w:r w:rsidR="00332DF1" w:rsidRPr="00803ADC">
        <w:rPr>
          <w:rFonts w:ascii="Bookman Old Style" w:hAnsi="Bookman Old Style" w:cs="Arial"/>
          <w:spacing w:val="-5"/>
          <w:lang w:val="es-CO" w:eastAsia="en-US"/>
        </w:rPr>
        <w:t>, quien</w:t>
      </w:r>
      <w:r w:rsidR="005F5AB5">
        <w:rPr>
          <w:rFonts w:ascii="Bookman Old Style" w:hAnsi="Bookman Old Style" w:cs="Arial"/>
          <w:spacing w:val="-5"/>
          <w:lang w:val="es-CO" w:eastAsia="en-US"/>
        </w:rPr>
        <w:t>,</w:t>
      </w:r>
      <w:r w:rsidR="00332DF1" w:rsidRPr="00803ADC">
        <w:rPr>
          <w:rFonts w:ascii="Bookman Old Style" w:hAnsi="Bookman Old Style" w:cs="Arial"/>
          <w:spacing w:val="-5"/>
          <w:lang w:val="es-CO" w:eastAsia="en-US"/>
        </w:rPr>
        <w:t xml:space="preserve"> a través del radicado E-2021-01128</w:t>
      </w:r>
      <w:r w:rsidR="00C9046A" w:rsidRPr="00803ADC">
        <w:rPr>
          <w:rFonts w:ascii="Bookman Old Style" w:hAnsi="Bookman Old Style" w:cs="Arial"/>
          <w:spacing w:val="-5"/>
          <w:lang w:val="es-CO" w:eastAsia="en-US"/>
        </w:rPr>
        <w:t>2</w:t>
      </w:r>
      <w:r w:rsidR="00332DF1" w:rsidRPr="00803ADC">
        <w:rPr>
          <w:rFonts w:ascii="Bookman Old Style" w:hAnsi="Bookman Old Style" w:cs="Arial"/>
          <w:spacing w:val="-5"/>
          <w:lang w:val="es-CO" w:eastAsia="en-US"/>
        </w:rPr>
        <w:t xml:space="preserve"> del 24 de septiembre de 2021</w:t>
      </w:r>
      <w:r w:rsidR="005F5AB5">
        <w:rPr>
          <w:rFonts w:ascii="Bookman Old Style" w:hAnsi="Bookman Old Style" w:cs="Arial"/>
          <w:spacing w:val="-5"/>
          <w:lang w:val="es-CO" w:eastAsia="en-US"/>
        </w:rPr>
        <w:t>,</w:t>
      </w:r>
      <w:r w:rsidR="00332DF1" w:rsidRPr="00803ADC">
        <w:rPr>
          <w:rFonts w:ascii="Bookman Old Style" w:hAnsi="Bookman Old Style" w:cs="Arial"/>
          <w:spacing w:val="-5"/>
          <w:lang w:val="es-CO" w:eastAsia="en-US"/>
        </w:rPr>
        <w:t xml:space="preserve"> señaló:</w:t>
      </w:r>
    </w:p>
    <w:p w14:paraId="0EA1F16F" w14:textId="75B7E412" w:rsidR="00332DF1" w:rsidRPr="00803ADC" w:rsidRDefault="00332DF1" w:rsidP="005E5EA9">
      <w:pPr>
        <w:widowControl w:val="0"/>
        <w:adjustRightInd w:val="0"/>
        <w:ind w:left="0"/>
        <w:jc w:val="both"/>
        <w:textAlignment w:val="baseline"/>
        <w:rPr>
          <w:rFonts w:ascii="Bookman Old Style" w:hAnsi="Bookman Old Style" w:cs="Arial"/>
          <w:spacing w:val="-5"/>
          <w:lang w:val="es-CO" w:eastAsia="en-US"/>
        </w:rPr>
      </w:pPr>
    </w:p>
    <w:p w14:paraId="6C466AF8" w14:textId="77777777" w:rsidR="00332DF1" w:rsidRPr="00803ADC" w:rsidRDefault="00332DF1" w:rsidP="00332DF1">
      <w:pPr>
        <w:widowControl w:val="0"/>
        <w:adjustRightInd w:val="0"/>
        <w:ind w:left="426"/>
        <w:jc w:val="both"/>
        <w:textAlignment w:val="baseline"/>
        <w:rPr>
          <w:rFonts w:ascii="Bookman Old Style" w:hAnsi="Bookman Old Style" w:cs="Arial"/>
          <w:spacing w:val="-5"/>
          <w:sz w:val="22"/>
          <w:szCs w:val="22"/>
          <w:lang w:eastAsia="en-US"/>
        </w:rPr>
      </w:pPr>
      <w:r w:rsidRPr="00803ADC">
        <w:rPr>
          <w:rFonts w:ascii="Bookman Old Style" w:hAnsi="Bookman Old Style" w:cs="Arial"/>
          <w:spacing w:val="-5"/>
          <w:sz w:val="22"/>
          <w:szCs w:val="22"/>
          <w:lang w:eastAsia="en-US"/>
        </w:rPr>
        <w:t>“(…)</w:t>
      </w:r>
    </w:p>
    <w:p w14:paraId="44A4EF73" w14:textId="15C159B8" w:rsidR="00332DF1" w:rsidRPr="00803ADC" w:rsidRDefault="00332DF1" w:rsidP="00C9046A">
      <w:pPr>
        <w:pStyle w:val="Prrafodelista"/>
        <w:widowControl w:val="0"/>
        <w:numPr>
          <w:ilvl w:val="0"/>
          <w:numId w:val="40"/>
        </w:numPr>
        <w:adjustRightInd w:val="0"/>
        <w:ind w:left="851"/>
        <w:jc w:val="both"/>
        <w:textAlignment w:val="baseline"/>
        <w:rPr>
          <w:rFonts w:ascii="Bookman Old Style" w:hAnsi="Bookman Old Style" w:cs="Arial"/>
          <w:spacing w:val="-5"/>
          <w:sz w:val="22"/>
          <w:szCs w:val="22"/>
          <w:lang w:eastAsia="en-US"/>
        </w:rPr>
      </w:pPr>
      <w:r w:rsidRPr="00803ADC">
        <w:rPr>
          <w:rFonts w:ascii="Bookman Old Style" w:hAnsi="Bookman Old Style" w:cs="Arial"/>
          <w:spacing w:val="-5"/>
          <w:sz w:val="22"/>
          <w:szCs w:val="22"/>
          <w:lang w:eastAsia="en-US"/>
        </w:rPr>
        <w:t>Tal como lo presenta la firma auditora HMV Ingenieros en el numeral 3 de la comunicación E-2021-0101</w:t>
      </w:r>
      <w:r w:rsidR="00C9046A" w:rsidRPr="00803ADC">
        <w:rPr>
          <w:rFonts w:ascii="Bookman Old Style" w:hAnsi="Bookman Old Style" w:cs="Arial"/>
          <w:spacing w:val="-5"/>
          <w:sz w:val="22"/>
          <w:szCs w:val="22"/>
          <w:lang w:eastAsia="en-US"/>
        </w:rPr>
        <w:t>67</w:t>
      </w:r>
      <w:r w:rsidRPr="00803ADC">
        <w:rPr>
          <w:rFonts w:ascii="Bookman Old Style" w:hAnsi="Bookman Old Style" w:cs="Arial"/>
          <w:spacing w:val="-5"/>
          <w:sz w:val="22"/>
          <w:szCs w:val="22"/>
          <w:lang w:eastAsia="en-US"/>
        </w:rPr>
        <w:t>, Celsia Colombia respaldó la información asociada con la comunicación 202100000524 en el servidor FTP determinado por la firma auditora para el envió de información. Información que fue presentada por Celsia Colombia a la CREG mediante comunicación 20210002226</w:t>
      </w:r>
      <w:r w:rsidR="00C9046A" w:rsidRPr="00803ADC">
        <w:rPr>
          <w:rFonts w:ascii="Bookman Old Style" w:hAnsi="Bookman Old Style" w:cs="Arial"/>
          <w:spacing w:val="-5"/>
          <w:sz w:val="22"/>
          <w:szCs w:val="22"/>
          <w:lang w:eastAsia="en-US"/>
        </w:rPr>
        <w:t>4</w:t>
      </w:r>
      <w:r w:rsidRPr="00803ADC">
        <w:rPr>
          <w:rFonts w:ascii="Bookman Old Style" w:hAnsi="Bookman Old Style" w:cs="Arial"/>
          <w:spacing w:val="-5"/>
          <w:sz w:val="22"/>
          <w:szCs w:val="22"/>
          <w:lang w:eastAsia="en-US"/>
        </w:rPr>
        <w:t xml:space="preserve">.  </w:t>
      </w:r>
    </w:p>
    <w:p w14:paraId="2AB581F3" w14:textId="1DB5F7EE" w:rsidR="00332DF1" w:rsidRPr="00803ADC" w:rsidRDefault="00332DF1" w:rsidP="00332DF1">
      <w:pPr>
        <w:pStyle w:val="Prrafodelista"/>
        <w:widowControl w:val="0"/>
        <w:numPr>
          <w:ilvl w:val="0"/>
          <w:numId w:val="40"/>
        </w:numPr>
        <w:adjustRightInd w:val="0"/>
        <w:ind w:left="851"/>
        <w:jc w:val="both"/>
        <w:textAlignment w:val="baseline"/>
        <w:rPr>
          <w:rFonts w:ascii="Bookman Old Style" w:hAnsi="Bookman Old Style" w:cs="Arial"/>
          <w:spacing w:val="-5"/>
          <w:sz w:val="22"/>
          <w:szCs w:val="22"/>
          <w:lang w:eastAsia="en-US"/>
        </w:rPr>
      </w:pPr>
      <w:r w:rsidRPr="00803ADC">
        <w:rPr>
          <w:rFonts w:ascii="Bookman Old Style" w:hAnsi="Bookman Old Style" w:cs="Arial"/>
          <w:spacing w:val="-5"/>
          <w:sz w:val="22"/>
          <w:szCs w:val="22"/>
          <w:lang w:eastAsia="en-US"/>
        </w:rPr>
        <w:t>Con relación a las discrepancias presentadas para las series de caudales para el año 2000 y anteriores por falta de información, consideramos necesario que la CREG aclare a la empresa XM que, en el proceso de cálculo de la ENFICC utilizando el modelo HIDENFICC, incluya las series de caudales históricas correspondientes a los años 2000 y anteriores, con relación a las explicaciones presentadas por Celsia Colombia a la CREG mediante comunicaciones 20210002226</w:t>
      </w:r>
      <w:r w:rsidR="00C9046A" w:rsidRPr="00803ADC">
        <w:rPr>
          <w:rFonts w:ascii="Bookman Old Style" w:hAnsi="Bookman Old Style" w:cs="Arial"/>
          <w:spacing w:val="-5"/>
          <w:sz w:val="22"/>
          <w:szCs w:val="22"/>
          <w:lang w:eastAsia="en-US"/>
        </w:rPr>
        <w:t>4</w:t>
      </w:r>
      <w:r w:rsidRPr="00803ADC">
        <w:rPr>
          <w:rFonts w:ascii="Bookman Old Style" w:hAnsi="Bookman Old Style" w:cs="Arial"/>
          <w:spacing w:val="-5"/>
          <w:sz w:val="22"/>
          <w:szCs w:val="22"/>
          <w:lang w:eastAsia="en-US"/>
        </w:rPr>
        <w:t xml:space="preserve"> y 20210001811</w:t>
      </w:r>
      <w:r w:rsidR="00C9046A" w:rsidRPr="00803ADC">
        <w:rPr>
          <w:rFonts w:ascii="Bookman Old Style" w:hAnsi="Bookman Old Style" w:cs="Arial"/>
          <w:spacing w:val="-5"/>
          <w:sz w:val="22"/>
          <w:szCs w:val="22"/>
          <w:lang w:eastAsia="en-US"/>
        </w:rPr>
        <w:t>5</w:t>
      </w:r>
      <w:r w:rsidRPr="00803ADC">
        <w:rPr>
          <w:rFonts w:ascii="Bookman Old Style" w:hAnsi="Bookman Old Style" w:cs="Arial"/>
          <w:spacing w:val="-5"/>
          <w:sz w:val="22"/>
          <w:szCs w:val="22"/>
          <w:lang w:eastAsia="en-US"/>
        </w:rPr>
        <w:t>.</w:t>
      </w:r>
    </w:p>
    <w:p w14:paraId="7DCB4A6F" w14:textId="62AD65E1" w:rsidR="0081065E" w:rsidRDefault="00332DF1" w:rsidP="00332DF1">
      <w:pPr>
        <w:widowControl w:val="0"/>
        <w:adjustRightInd w:val="0"/>
        <w:ind w:left="491"/>
        <w:jc w:val="both"/>
        <w:textAlignment w:val="baseline"/>
        <w:rPr>
          <w:rFonts w:ascii="Bookman Old Style" w:hAnsi="Bookman Old Style" w:cs="Arial"/>
          <w:spacing w:val="-5"/>
          <w:sz w:val="22"/>
          <w:szCs w:val="22"/>
          <w:lang w:eastAsia="en-US"/>
        </w:rPr>
      </w:pPr>
      <w:r w:rsidRPr="00803ADC">
        <w:rPr>
          <w:rFonts w:ascii="Bookman Old Style" w:hAnsi="Bookman Old Style" w:cs="Arial"/>
          <w:spacing w:val="-5"/>
          <w:sz w:val="22"/>
          <w:szCs w:val="22"/>
          <w:lang w:eastAsia="en-US"/>
        </w:rPr>
        <w:t>(…)”</w:t>
      </w:r>
    </w:p>
    <w:p w14:paraId="312A4893" w14:textId="77777777" w:rsidR="000937D7" w:rsidRPr="00332DF1" w:rsidRDefault="000937D7" w:rsidP="00332DF1">
      <w:pPr>
        <w:widowControl w:val="0"/>
        <w:adjustRightInd w:val="0"/>
        <w:ind w:left="491"/>
        <w:jc w:val="both"/>
        <w:textAlignment w:val="baseline"/>
        <w:rPr>
          <w:rFonts w:ascii="Bookman Old Style" w:hAnsi="Bookman Old Style" w:cs="Arial"/>
          <w:spacing w:val="-5"/>
          <w:sz w:val="22"/>
          <w:szCs w:val="22"/>
          <w:lang w:eastAsia="en-US"/>
        </w:rPr>
      </w:pPr>
    </w:p>
    <w:p w14:paraId="780E031C" w14:textId="7305C219" w:rsidR="007C3C6F" w:rsidRDefault="0032434F" w:rsidP="005E5EA9">
      <w:pPr>
        <w:widowControl w:val="0"/>
        <w:adjustRightInd w:val="0"/>
        <w:ind w:left="0"/>
        <w:jc w:val="both"/>
        <w:textAlignment w:val="baseline"/>
        <w:rPr>
          <w:rFonts w:ascii="Bookman Old Style" w:hAnsi="Bookman Old Style" w:cs="Arial"/>
          <w:spacing w:val="-5"/>
          <w:lang w:val="es-CO" w:eastAsia="en-US"/>
        </w:rPr>
      </w:pPr>
      <w:r>
        <w:rPr>
          <w:rFonts w:ascii="Bookman Old Style" w:hAnsi="Bookman Old Style" w:cs="Arial"/>
          <w:spacing w:val="-5"/>
          <w:lang w:val="es-CO" w:eastAsia="en-US"/>
        </w:rPr>
        <w:t xml:space="preserve">- </w:t>
      </w:r>
      <w:r w:rsidR="00BC4C64">
        <w:rPr>
          <w:rFonts w:ascii="Bookman Old Style" w:hAnsi="Bookman Old Style" w:cs="Arial"/>
          <w:spacing w:val="-5"/>
          <w:lang w:val="es-CO" w:eastAsia="en-US"/>
        </w:rPr>
        <w:t>En</w:t>
      </w:r>
      <w:r w:rsidR="00A15928">
        <w:rPr>
          <w:rFonts w:ascii="Bookman Old Style" w:hAnsi="Bookman Old Style" w:cs="Arial"/>
          <w:spacing w:val="-5"/>
          <w:lang w:val="es-CO" w:eastAsia="en-US"/>
        </w:rPr>
        <w:t xml:space="preserve"> respuesta o lo solicitado </w:t>
      </w:r>
      <w:r w:rsidR="00693F76">
        <w:rPr>
          <w:rFonts w:ascii="Bookman Old Style" w:hAnsi="Bookman Old Style" w:cs="Arial"/>
          <w:spacing w:val="-5"/>
          <w:lang w:val="es-CO" w:eastAsia="en-US"/>
        </w:rPr>
        <w:t>por XM S.A</w:t>
      </w:r>
      <w:r w:rsidR="005F5AB5">
        <w:rPr>
          <w:rFonts w:ascii="Bookman Old Style" w:hAnsi="Bookman Old Style" w:cs="Arial"/>
          <w:spacing w:val="-5"/>
          <w:lang w:val="es-CO" w:eastAsia="en-US"/>
        </w:rPr>
        <w:t>.</w:t>
      </w:r>
      <w:r w:rsidR="00693F76">
        <w:rPr>
          <w:rFonts w:ascii="Bookman Old Style" w:hAnsi="Bookman Old Style" w:cs="Arial"/>
          <w:spacing w:val="-5"/>
          <w:lang w:val="es-CO" w:eastAsia="en-US"/>
        </w:rPr>
        <w:t xml:space="preserve"> E.S.P., </w:t>
      </w:r>
      <w:r w:rsidR="00A15928">
        <w:rPr>
          <w:rFonts w:ascii="Bookman Old Style" w:hAnsi="Bookman Old Style" w:cs="Arial"/>
          <w:spacing w:val="-5"/>
          <w:lang w:val="es-CO" w:eastAsia="en-US"/>
        </w:rPr>
        <w:t>la Comisión</w:t>
      </w:r>
      <w:r w:rsidR="005F5AB5">
        <w:rPr>
          <w:rFonts w:ascii="Bookman Old Style" w:hAnsi="Bookman Old Style" w:cs="Arial"/>
          <w:spacing w:val="-5"/>
          <w:lang w:val="es-CO" w:eastAsia="en-US"/>
        </w:rPr>
        <w:t>,</w:t>
      </w:r>
      <w:r w:rsidR="00A15928">
        <w:rPr>
          <w:rFonts w:ascii="Bookman Old Style" w:hAnsi="Bookman Old Style" w:cs="Arial"/>
          <w:spacing w:val="-5"/>
          <w:lang w:val="es-CO" w:eastAsia="en-US"/>
        </w:rPr>
        <w:t xml:space="preserve"> </w:t>
      </w:r>
      <w:r w:rsidR="00693F76">
        <w:rPr>
          <w:rFonts w:ascii="Bookman Old Style" w:hAnsi="Bookman Old Style" w:cs="Arial"/>
          <w:spacing w:val="-5"/>
          <w:lang w:val="es-CO" w:eastAsia="en-US"/>
        </w:rPr>
        <w:t>mediante el radicado S-2021-00417</w:t>
      </w:r>
      <w:r w:rsidR="00AD5DD1">
        <w:rPr>
          <w:rFonts w:ascii="Bookman Old Style" w:hAnsi="Bookman Old Style" w:cs="Arial"/>
          <w:spacing w:val="-5"/>
          <w:lang w:val="es-CO" w:eastAsia="en-US"/>
        </w:rPr>
        <w:t>9</w:t>
      </w:r>
      <w:r w:rsidR="00693F76">
        <w:rPr>
          <w:rFonts w:ascii="Bookman Old Style" w:hAnsi="Bookman Old Style" w:cs="Arial"/>
          <w:spacing w:val="-5"/>
          <w:lang w:val="es-CO" w:eastAsia="en-US"/>
        </w:rPr>
        <w:t xml:space="preserve"> del 2</w:t>
      </w:r>
      <w:r w:rsidR="00CA75D9">
        <w:rPr>
          <w:rFonts w:ascii="Bookman Old Style" w:hAnsi="Bookman Old Style" w:cs="Arial"/>
          <w:spacing w:val="-5"/>
          <w:lang w:val="es-CO" w:eastAsia="en-US"/>
        </w:rPr>
        <w:t>2</w:t>
      </w:r>
      <w:r w:rsidR="00693F76">
        <w:rPr>
          <w:rFonts w:ascii="Bookman Old Style" w:hAnsi="Bookman Old Style" w:cs="Arial"/>
          <w:spacing w:val="-5"/>
          <w:lang w:val="es-CO" w:eastAsia="en-US"/>
        </w:rPr>
        <w:t xml:space="preserve"> de septiembre de 2021, precisó</w:t>
      </w:r>
      <w:r w:rsidR="005F5AB5">
        <w:rPr>
          <w:rFonts w:ascii="Bookman Old Style" w:hAnsi="Bookman Old Style" w:cs="Arial"/>
          <w:spacing w:val="-5"/>
          <w:lang w:val="es-CO" w:eastAsia="en-US"/>
        </w:rPr>
        <w:t>,</w:t>
      </w:r>
      <w:r w:rsidR="00693F76">
        <w:rPr>
          <w:rFonts w:ascii="Bookman Old Style" w:hAnsi="Bookman Old Style" w:cs="Arial"/>
          <w:spacing w:val="-5"/>
          <w:lang w:val="es-CO" w:eastAsia="en-US"/>
        </w:rPr>
        <w:t xml:space="preserve"> sobre la información a utilizar </w:t>
      </w:r>
      <w:r w:rsidR="00CA75D9">
        <w:rPr>
          <w:rFonts w:ascii="Bookman Old Style" w:hAnsi="Bookman Old Style" w:cs="Arial"/>
          <w:spacing w:val="-5"/>
          <w:lang w:val="es-CO" w:eastAsia="en-US"/>
        </w:rPr>
        <w:t>para el cálculo</w:t>
      </w:r>
      <w:r w:rsidR="005F5AB5">
        <w:rPr>
          <w:rFonts w:ascii="Bookman Old Style" w:hAnsi="Bookman Old Style" w:cs="Arial"/>
          <w:spacing w:val="-5"/>
          <w:lang w:val="es-CO" w:eastAsia="en-US"/>
        </w:rPr>
        <w:t>,</w:t>
      </w:r>
      <w:r w:rsidR="00CA75D9">
        <w:rPr>
          <w:rFonts w:ascii="Bookman Old Style" w:hAnsi="Bookman Old Style" w:cs="Arial"/>
          <w:spacing w:val="-5"/>
          <w:lang w:val="es-CO" w:eastAsia="en-US"/>
        </w:rPr>
        <w:t xml:space="preserve"> </w:t>
      </w:r>
      <w:r w:rsidR="00693F76">
        <w:rPr>
          <w:rFonts w:ascii="Bookman Old Style" w:hAnsi="Bookman Old Style" w:cs="Arial"/>
          <w:spacing w:val="-5"/>
          <w:lang w:val="es-CO" w:eastAsia="en-US"/>
        </w:rPr>
        <w:t>lo siguiente:</w:t>
      </w:r>
    </w:p>
    <w:p w14:paraId="468E0101" w14:textId="09E5CF54" w:rsidR="00693F76" w:rsidRDefault="00693F76" w:rsidP="005E5EA9">
      <w:pPr>
        <w:widowControl w:val="0"/>
        <w:adjustRightInd w:val="0"/>
        <w:ind w:left="0"/>
        <w:jc w:val="both"/>
        <w:textAlignment w:val="baseline"/>
        <w:rPr>
          <w:rFonts w:ascii="Bookman Old Style" w:hAnsi="Bookman Old Style" w:cs="Arial"/>
          <w:spacing w:val="-5"/>
          <w:lang w:val="es-CO" w:eastAsia="en-US"/>
        </w:rPr>
      </w:pPr>
    </w:p>
    <w:p w14:paraId="504F8562" w14:textId="5602BDA0" w:rsidR="00693F76" w:rsidRPr="00693F76" w:rsidRDefault="00693F76" w:rsidP="00693F76">
      <w:pPr>
        <w:widowControl w:val="0"/>
        <w:adjustRightInd w:val="0"/>
        <w:ind w:left="284"/>
        <w:jc w:val="both"/>
        <w:textAlignment w:val="baseline"/>
        <w:rPr>
          <w:rFonts w:ascii="Bookman Old Style" w:hAnsi="Bookman Old Style" w:cs="Arial"/>
          <w:spacing w:val="-5"/>
          <w:sz w:val="22"/>
          <w:szCs w:val="22"/>
          <w:lang w:val="es-CO" w:eastAsia="en-US"/>
        </w:rPr>
      </w:pPr>
      <w:r w:rsidRPr="00693F76">
        <w:rPr>
          <w:rFonts w:ascii="Bookman Old Style" w:hAnsi="Bookman Old Style" w:cs="Arial"/>
          <w:spacing w:val="-5"/>
          <w:sz w:val="22"/>
          <w:szCs w:val="22"/>
          <w:lang w:val="es-CO" w:eastAsia="en-US"/>
        </w:rPr>
        <w:t>“(…)</w:t>
      </w:r>
    </w:p>
    <w:p w14:paraId="4CEF7875" w14:textId="0ED4224C" w:rsidR="00693F76" w:rsidRPr="00693F76" w:rsidRDefault="00693F76" w:rsidP="00693F76">
      <w:pPr>
        <w:pStyle w:val="Prrafodelista"/>
        <w:widowControl w:val="0"/>
        <w:numPr>
          <w:ilvl w:val="0"/>
          <w:numId w:val="41"/>
        </w:numPr>
        <w:adjustRightInd w:val="0"/>
        <w:jc w:val="both"/>
        <w:textAlignment w:val="baseline"/>
        <w:rPr>
          <w:rFonts w:ascii="Bookman Old Style" w:hAnsi="Bookman Old Style" w:cs="Arial"/>
          <w:spacing w:val="-5"/>
          <w:sz w:val="22"/>
          <w:szCs w:val="22"/>
          <w:lang w:eastAsia="en-US"/>
        </w:rPr>
      </w:pPr>
      <w:r w:rsidRPr="00693F76">
        <w:rPr>
          <w:rFonts w:ascii="Bookman Old Style" w:hAnsi="Bookman Old Style" w:cs="Arial"/>
          <w:spacing w:val="-5"/>
          <w:sz w:val="22"/>
          <w:szCs w:val="22"/>
          <w:lang w:eastAsia="en-US"/>
        </w:rPr>
        <w:t xml:space="preserve">Utilizar la información presentada en la Tabla 1: Serie </w:t>
      </w:r>
      <w:r w:rsidR="00AD5DD1">
        <w:rPr>
          <w:rFonts w:ascii="Bookman Old Style" w:hAnsi="Bookman Old Style" w:cs="Arial"/>
          <w:spacing w:val="-5"/>
          <w:sz w:val="22"/>
          <w:szCs w:val="22"/>
          <w:lang w:eastAsia="en-US"/>
        </w:rPr>
        <w:t xml:space="preserve">Digua </w:t>
      </w:r>
      <w:r w:rsidRPr="00693F76">
        <w:rPr>
          <w:rFonts w:ascii="Bookman Old Style" w:hAnsi="Bookman Old Style" w:cs="Arial"/>
          <w:spacing w:val="-5"/>
          <w:sz w:val="22"/>
          <w:szCs w:val="22"/>
          <w:lang w:eastAsia="en-US"/>
        </w:rPr>
        <w:t>(m3/s) calculada por la auditoría, la cual se tiene en la comunicación M2021 – 147</w:t>
      </w:r>
      <w:r w:rsidR="00AD5DD1">
        <w:rPr>
          <w:rFonts w:ascii="Bookman Old Style" w:hAnsi="Bookman Old Style" w:cs="Arial"/>
          <w:spacing w:val="-5"/>
          <w:sz w:val="22"/>
          <w:szCs w:val="22"/>
          <w:lang w:eastAsia="en-US"/>
        </w:rPr>
        <w:t>7</w:t>
      </w:r>
      <w:r w:rsidRPr="00693F76">
        <w:rPr>
          <w:rFonts w:ascii="Bookman Old Style" w:hAnsi="Bookman Old Style" w:cs="Arial"/>
          <w:spacing w:val="-5"/>
          <w:sz w:val="22"/>
          <w:szCs w:val="22"/>
          <w:lang w:eastAsia="en-US"/>
        </w:rPr>
        <w:t xml:space="preserve"> de HMV en respuesta de requerimiento de la CREG, la cual anexamos. </w:t>
      </w:r>
    </w:p>
    <w:p w14:paraId="09B151AB" w14:textId="6C1D525D" w:rsidR="00693F76" w:rsidRDefault="00693F76" w:rsidP="00693F76">
      <w:pPr>
        <w:pStyle w:val="Prrafodelista"/>
        <w:widowControl w:val="0"/>
        <w:numPr>
          <w:ilvl w:val="0"/>
          <w:numId w:val="41"/>
        </w:numPr>
        <w:adjustRightInd w:val="0"/>
        <w:jc w:val="both"/>
        <w:textAlignment w:val="baseline"/>
        <w:rPr>
          <w:rFonts w:ascii="Bookman Old Style" w:hAnsi="Bookman Old Style" w:cs="Arial"/>
          <w:spacing w:val="-5"/>
          <w:sz w:val="22"/>
          <w:szCs w:val="22"/>
          <w:lang w:eastAsia="en-US"/>
        </w:rPr>
      </w:pPr>
      <w:r w:rsidRPr="00693F76">
        <w:rPr>
          <w:rFonts w:ascii="Bookman Old Style" w:hAnsi="Bookman Old Style" w:cs="Arial"/>
          <w:spacing w:val="-5"/>
          <w:sz w:val="22"/>
          <w:szCs w:val="22"/>
          <w:lang w:eastAsia="en-US"/>
        </w:rPr>
        <w:t>Para los meses sin información que corresponden los meses agosto de 1975 a diciembre de 2000, utilizar la información publicada en la Circular CREG 031 DE 2008</w:t>
      </w:r>
      <w:r>
        <w:rPr>
          <w:rFonts w:ascii="Bookman Old Style" w:hAnsi="Bookman Old Style" w:cs="Arial"/>
          <w:spacing w:val="-5"/>
          <w:sz w:val="22"/>
          <w:szCs w:val="22"/>
          <w:lang w:eastAsia="en-US"/>
        </w:rPr>
        <w:t>.</w:t>
      </w:r>
    </w:p>
    <w:p w14:paraId="3BED9C04" w14:textId="2DF50C5A" w:rsidR="00693F76" w:rsidRPr="00693F76" w:rsidRDefault="00693F76" w:rsidP="00693F76">
      <w:pPr>
        <w:widowControl w:val="0"/>
        <w:adjustRightInd w:val="0"/>
        <w:ind w:left="360"/>
        <w:jc w:val="both"/>
        <w:textAlignment w:val="baseline"/>
        <w:rPr>
          <w:rFonts w:ascii="Bookman Old Style" w:hAnsi="Bookman Old Style" w:cs="Arial"/>
          <w:spacing w:val="-5"/>
          <w:sz w:val="22"/>
          <w:szCs w:val="22"/>
          <w:lang w:eastAsia="en-US"/>
        </w:rPr>
      </w:pPr>
      <w:r>
        <w:rPr>
          <w:rFonts w:ascii="Bookman Old Style" w:hAnsi="Bookman Old Style" w:cs="Arial"/>
          <w:spacing w:val="-5"/>
          <w:sz w:val="22"/>
          <w:szCs w:val="22"/>
          <w:lang w:eastAsia="en-US"/>
        </w:rPr>
        <w:t>(…)”</w:t>
      </w:r>
    </w:p>
    <w:p w14:paraId="5574434E" w14:textId="2E519F84" w:rsidR="00693F76" w:rsidRDefault="00693F76" w:rsidP="005E5EA9">
      <w:pPr>
        <w:widowControl w:val="0"/>
        <w:adjustRightInd w:val="0"/>
        <w:ind w:left="0"/>
        <w:jc w:val="both"/>
        <w:textAlignment w:val="baseline"/>
        <w:rPr>
          <w:rFonts w:ascii="Bookman Old Style" w:hAnsi="Bookman Old Style" w:cs="Arial"/>
          <w:spacing w:val="-5"/>
          <w:sz w:val="22"/>
          <w:szCs w:val="22"/>
          <w:lang w:val="es-CO" w:eastAsia="en-US"/>
        </w:rPr>
      </w:pPr>
    </w:p>
    <w:p w14:paraId="41DF8EC0" w14:textId="519EB1FF" w:rsidR="00CA75D9" w:rsidRDefault="0032434F" w:rsidP="005E5EA9">
      <w:pPr>
        <w:widowControl w:val="0"/>
        <w:adjustRightInd w:val="0"/>
        <w:ind w:left="0"/>
        <w:jc w:val="both"/>
        <w:textAlignment w:val="baseline"/>
        <w:rPr>
          <w:rFonts w:ascii="Bookman Old Style" w:hAnsi="Bookman Old Style" w:cs="Arial"/>
          <w:spacing w:val="-5"/>
          <w:lang w:val="es-CO" w:eastAsia="en-US"/>
        </w:rPr>
      </w:pPr>
      <w:r>
        <w:rPr>
          <w:rFonts w:ascii="Bookman Old Style" w:hAnsi="Bookman Old Style" w:cs="Arial"/>
          <w:spacing w:val="-5"/>
          <w:lang w:val="es-CO" w:eastAsia="en-US"/>
        </w:rPr>
        <w:t xml:space="preserve">- </w:t>
      </w:r>
      <w:r w:rsidR="00A15928" w:rsidRPr="00A15928">
        <w:rPr>
          <w:rFonts w:ascii="Bookman Old Style" w:hAnsi="Bookman Old Style" w:cs="Arial"/>
          <w:spacing w:val="-5"/>
          <w:lang w:val="es-CO" w:eastAsia="en-US"/>
        </w:rPr>
        <w:t>En acatamiento</w:t>
      </w:r>
      <w:r w:rsidR="00A15928">
        <w:rPr>
          <w:rFonts w:ascii="Bookman Old Style" w:hAnsi="Bookman Old Style" w:cs="Arial"/>
          <w:spacing w:val="-5"/>
          <w:lang w:val="es-CO" w:eastAsia="en-US"/>
        </w:rPr>
        <w:t xml:space="preserve"> a </w:t>
      </w:r>
      <w:r w:rsidR="00904816">
        <w:rPr>
          <w:rFonts w:ascii="Bookman Old Style" w:hAnsi="Bookman Old Style" w:cs="Arial"/>
          <w:spacing w:val="-5"/>
          <w:lang w:val="es-CO" w:eastAsia="en-US"/>
        </w:rPr>
        <w:t>lo anterior XM S.A</w:t>
      </w:r>
      <w:r w:rsidR="005F5AB5">
        <w:rPr>
          <w:rFonts w:ascii="Bookman Old Style" w:hAnsi="Bookman Old Style" w:cs="Arial"/>
          <w:spacing w:val="-5"/>
          <w:lang w:val="es-CO" w:eastAsia="en-US"/>
        </w:rPr>
        <w:t>.</w:t>
      </w:r>
      <w:r w:rsidR="00904816">
        <w:rPr>
          <w:rFonts w:ascii="Bookman Old Style" w:hAnsi="Bookman Old Style" w:cs="Arial"/>
          <w:spacing w:val="-5"/>
          <w:lang w:val="es-CO" w:eastAsia="en-US"/>
        </w:rPr>
        <w:t xml:space="preserve"> E.S.P., mediante el oficio </w:t>
      </w:r>
      <w:bookmarkStart w:id="3" w:name="_Hlk86764631"/>
      <w:r w:rsidR="00904816">
        <w:rPr>
          <w:rFonts w:ascii="Bookman Old Style" w:hAnsi="Bookman Old Style" w:cs="Arial"/>
          <w:spacing w:val="-5"/>
          <w:lang w:val="es-CO" w:eastAsia="en-US"/>
        </w:rPr>
        <w:t>E-2021-01235</w:t>
      </w:r>
      <w:r w:rsidR="00FC6884">
        <w:rPr>
          <w:rFonts w:ascii="Bookman Old Style" w:hAnsi="Bookman Old Style" w:cs="Arial"/>
          <w:spacing w:val="-5"/>
          <w:lang w:val="es-CO" w:eastAsia="en-US"/>
        </w:rPr>
        <w:t>9</w:t>
      </w:r>
      <w:r w:rsidR="00904816">
        <w:rPr>
          <w:rFonts w:ascii="Bookman Old Style" w:hAnsi="Bookman Old Style" w:cs="Arial"/>
          <w:spacing w:val="-5"/>
          <w:lang w:val="es-CO" w:eastAsia="en-US"/>
        </w:rPr>
        <w:t xml:space="preserve"> del 21 de o</w:t>
      </w:r>
      <w:r w:rsidR="005E1111">
        <w:rPr>
          <w:rFonts w:ascii="Bookman Old Style" w:hAnsi="Bookman Old Style" w:cs="Arial"/>
          <w:spacing w:val="-5"/>
          <w:lang w:val="es-CO" w:eastAsia="en-US"/>
        </w:rPr>
        <w:t>c</w:t>
      </w:r>
      <w:r w:rsidR="00904816">
        <w:rPr>
          <w:rFonts w:ascii="Bookman Old Style" w:hAnsi="Bookman Old Style" w:cs="Arial"/>
          <w:spacing w:val="-5"/>
          <w:lang w:val="es-CO" w:eastAsia="en-US"/>
        </w:rPr>
        <w:t>tubre de 2021</w:t>
      </w:r>
      <w:r w:rsidR="005F5AB5">
        <w:rPr>
          <w:rFonts w:ascii="Bookman Old Style" w:hAnsi="Bookman Old Style" w:cs="Arial"/>
          <w:spacing w:val="-5"/>
          <w:lang w:val="es-CO" w:eastAsia="en-US"/>
        </w:rPr>
        <w:t>,</w:t>
      </w:r>
      <w:r w:rsidR="00904816">
        <w:rPr>
          <w:rFonts w:ascii="Bookman Old Style" w:hAnsi="Bookman Old Style" w:cs="Arial"/>
          <w:spacing w:val="-5"/>
          <w:lang w:val="es-CO" w:eastAsia="en-US"/>
        </w:rPr>
        <w:t xml:space="preserve"> </w:t>
      </w:r>
      <w:bookmarkEnd w:id="3"/>
      <w:r w:rsidR="00904816">
        <w:rPr>
          <w:rFonts w:ascii="Bookman Old Style" w:hAnsi="Bookman Old Style" w:cs="Arial"/>
          <w:spacing w:val="-5"/>
          <w:lang w:val="es-CO" w:eastAsia="en-US"/>
        </w:rPr>
        <w:t>señaló:</w:t>
      </w:r>
    </w:p>
    <w:p w14:paraId="4F952561" w14:textId="27C7E34A" w:rsidR="0084131A" w:rsidRDefault="0084131A" w:rsidP="005E5EA9">
      <w:pPr>
        <w:widowControl w:val="0"/>
        <w:adjustRightInd w:val="0"/>
        <w:ind w:left="0"/>
        <w:jc w:val="both"/>
        <w:textAlignment w:val="baseline"/>
        <w:rPr>
          <w:rFonts w:ascii="Bookman Old Style" w:hAnsi="Bookman Old Style" w:cs="Arial"/>
          <w:spacing w:val="-5"/>
          <w:lang w:val="es-CO" w:eastAsia="en-US"/>
        </w:rPr>
      </w:pPr>
    </w:p>
    <w:p w14:paraId="378601D5" w14:textId="11F1F006" w:rsidR="0084131A" w:rsidRDefault="0084131A" w:rsidP="0084131A">
      <w:pPr>
        <w:widowControl w:val="0"/>
        <w:adjustRightInd w:val="0"/>
        <w:ind w:left="426"/>
        <w:jc w:val="both"/>
        <w:textAlignment w:val="baseline"/>
        <w:rPr>
          <w:rFonts w:ascii="Bookman Old Style" w:hAnsi="Bookman Old Style"/>
          <w:sz w:val="22"/>
          <w:szCs w:val="22"/>
        </w:rPr>
      </w:pPr>
      <w:r>
        <w:rPr>
          <w:rFonts w:ascii="Bookman Old Style" w:hAnsi="Bookman Old Style"/>
          <w:sz w:val="22"/>
          <w:szCs w:val="22"/>
        </w:rPr>
        <w:t>“(…)</w:t>
      </w:r>
    </w:p>
    <w:p w14:paraId="3A675AAF" w14:textId="047F26EF" w:rsidR="0084131A" w:rsidRDefault="0084131A" w:rsidP="0084131A">
      <w:pPr>
        <w:widowControl w:val="0"/>
        <w:adjustRightInd w:val="0"/>
        <w:ind w:left="426"/>
        <w:jc w:val="both"/>
        <w:textAlignment w:val="baseline"/>
        <w:rPr>
          <w:rFonts w:ascii="Bookman Old Style" w:hAnsi="Bookman Old Style"/>
          <w:sz w:val="22"/>
          <w:szCs w:val="22"/>
        </w:rPr>
      </w:pPr>
      <w:r w:rsidRPr="0084131A">
        <w:rPr>
          <w:rFonts w:ascii="Bookman Old Style" w:hAnsi="Bookman Old Style"/>
          <w:sz w:val="22"/>
          <w:szCs w:val="22"/>
        </w:rPr>
        <w:t xml:space="preserve">2. Para el cálculo de ENFICC para la planta </w:t>
      </w:r>
      <w:r w:rsidR="00FC6884">
        <w:rPr>
          <w:rFonts w:ascii="Bookman Old Style" w:hAnsi="Bookman Old Style"/>
          <w:sz w:val="22"/>
          <w:szCs w:val="22"/>
        </w:rPr>
        <w:t>Baj</w:t>
      </w:r>
      <w:r w:rsidRPr="0084131A">
        <w:rPr>
          <w:rFonts w:ascii="Bookman Old Style" w:hAnsi="Bookman Old Style"/>
          <w:sz w:val="22"/>
          <w:szCs w:val="22"/>
        </w:rPr>
        <w:t xml:space="preserve">o Anchicayá en el Parámetro Series SIN se consideró la información Serie </w:t>
      </w:r>
      <w:r w:rsidR="00FC6884">
        <w:rPr>
          <w:rFonts w:ascii="Bookman Old Style" w:hAnsi="Bookman Old Style"/>
          <w:sz w:val="22"/>
          <w:szCs w:val="22"/>
        </w:rPr>
        <w:t xml:space="preserve">Digua </w:t>
      </w:r>
      <w:r w:rsidRPr="0084131A">
        <w:rPr>
          <w:rFonts w:ascii="Bookman Old Style" w:hAnsi="Bookman Old Style"/>
          <w:sz w:val="22"/>
          <w:szCs w:val="22"/>
        </w:rPr>
        <w:t>(m3/s) calculada por la auditoría y presentada en la Tabla 1 del documento M2021 – 147</w:t>
      </w:r>
      <w:r w:rsidR="00FC6884">
        <w:rPr>
          <w:rFonts w:ascii="Bookman Old Style" w:hAnsi="Bookman Old Style"/>
          <w:sz w:val="22"/>
          <w:szCs w:val="22"/>
        </w:rPr>
        <w:t>7</w:t>
      </w:r>
      <w:r w:rsidRPr="0084131A">
        <w:rPr>
          <w:rFonts w:ascii="Bookman Old Style" w:hAnsi="Bookman Old Style"/>
          <w:sz w:val="22"/>
          <w:szCs w:val="22"/>
        </w:rPr>
        <w:t xml:space="preserve">, la cual fue remitida por la CREG en comunicación con radicado XM </w:t>
      </w:r>
      <w:r w:rsidR="00FC6884">
        <w:rPr>
          <w:rFonts w:ascii="Bookman Old Style" w:hAnsi="Bookman Old Style"/>
          <w:sz w:val="22"/>
          <w:szCs w:val="22"/>
        </w:rPr>
        <w:t>2021440</w:t>
      </w:r>
      <w:r w:rsidRPr="0084131A">
        <w:rPr>
          <w:rFonts w:ascii="Bookman Old Style" w:hAnsi="Bookman Old Style"/>
          <w:sz w:val="22"/>
          <w:szCs w:val="22"/>
        </w:rPr>
        <w:t>24</w:t>
      </w:r>
      <w:r w:rsidR="00FC6884">
        <w:rPr>
          <w:rFonts w:ascii="Bookman Old Style" w:hAnsi="Bookman Old Style"/>
          <w:sz w:val="22"/>
          <w:szCs w:val="22"/>
        </w:rPr>
        <w:t>346</w:t>
      </w:r>
      <w:r w:rsidRPr="0084131A">
        <w:rPr>
          <w:rFonts w:ascii="Bookman Old Style" w:hAnsi="Bookman Old Style"/>
          <w:sz w:val="22"/>
          <w:szCs w:val="22"/>
        </w:rPr>
        <w:t xml:space="preserve">-3, mientras que, para los meses de </w:t>
      </w:r>
      <w:r w:rsidR="00FC6884">
        <w:rPr>
          <w:rFonts w:ascii="Bookman Old Style" w:hAnsi="Bookman Old Style"/>
          <w:sz w:val="22"/>
          <w:szCs w:val="22"/>
        </w:rPr>
        <w:t xml:space="preserve">agosto </w:t>
      </w:r>
      <w:r w:rsidRPr="0084131A">
        <w:rPr>
          <w:rFonts w:ascii="Bookman Old Style" w:hAnsi="Bookman Old Style"/>
          <w:sz w:val="22"/>
          <w:szCs w:val="22"/>
        </w:rPr>
        <w:t>de 1975 a diciembre de 2000, se consideró la información publicada en la Circular CREG 031 de 2008.</w:t>
      </w:r>
    </w:p>
    <w:p w14:paraId="6354497E" w14:textId="33944662" w:rsidR="0084131A" w:rsidRDefault="0084131A" w:rsidP="0084131A">
      <w:pPr>
        <w:widowControl w:val="0"/>
        <w:adjustRightInd w:val="0"/>
        <w:ind w:left="426"/>
        <w:jc w:val="both"/>
        <w:textAlignment w:val="baseline"/>
        <w:rPr>
          <w:rFonts w:ascii="Bookman Old Style" w:hAnsi="Bookman Old Style"/>
          <w:sz w:val="22"/>
          <w:szCs w:val="22"/>
        </w:rPr>
      </w:pPr>
    </w:p>
    <w:p w14:paraId="5A5CEEBF" w14:textId="1A06A296" w:rsidR="0084131A" w:rsidRPr="0084131A" w:rsidRDefault="0084131A" w:rsidP="0084131A">
      <w:pPr>
        <w:widowControl w:val="0"/>
        <w:adjustRightInd w:val="0"/>
        <w:ind w:left="426"/>
        <w:jc w:val="both"/>
        <w:textAlignment w:val="baseline"/>
        <w:rPr>
          <w:rFonts w:ascii="Bookman Old Style" w:hAnsi="Bookman Old Style" w:cs="Arial"/>
          <w:spacing w:val="-5"/>
          <w:sz w:val="22"/>
          <w:szCs w:val="22"/>
          <w:lang w:val="es-CO" w:eastAsia="en-US"/>
        </w:rPr>
      </w:pPr>
      <w:r w:rsidRPr="0084131A">
        <w:rPr>
          <w:rFonts w:ascii="Bookman Old Style" w:hAnsi="Bookman Old Style" w:cs="Arial"/>
          <w:spacing w:val="-5"/>
          <w:sz w:val="22"/>
          <w:szCs w:val="22"/>
          <w:lang w:eastAsia="en-US"/>
        </w:rPr>
        <w:t>3. Para los parámetros para los cuales el Auditor indica que “NO” presentaron discrepancia, se utilizaron los valores publicados en la Circular 027 de 2019 para la planta Alto Anchicayá</w:t>
      </w:r>
      <w:r w:rsidR="00FC6884">
        <w:rPr>
          <w:rFonts w:ascii="Bookman Old Style" w:hAnsi="Bookman Old Style" w:cs="Arial"/>
          <w:spacing w:val="-5"/>
          <w:sz w:val="22"/>
          <w:szCs w:val="22"/>
          <w:lang w:eastAsia="en-US"/>
        </w:rPr>
        <w:t xml:space="preserve"> y Bajo Anchicayá, de acuerdo con la topología de la planta. </w:t>
      </w:r>
      <w:r w:rsidRPr="0084131A">
        <w:rPr>
          <w:rFonts w:ascii="Bookman Old Style" w:hAnsi="Bookman Old Style" w:cs="Arial"/>
          <w:spacing w:val="-5"/>
          <w:sz w:val="22"/>
          <w:szCs w:val="22"/>
          <w:lang w:eastAsia="en-US"/>
        </w:rPr>
        <w:t xml:space="preserve">De acuerdo con lo anterior, en la tabla 2 se presentan los valores de la ENFICC calculados en 2019 para la asignación de Obligaciones de Energía Firme -OEF- de la vigencia 2022-2023 y el valor obtenido mediante el modelo ENFICC del Anexo 3 para la planta </w:t>
      </w:r>
      <w:r w:rsidR="00FC6884">
        <w:rPr>
          <w:rFonts w:ascii="Bookman Old Style" w:hAnsi="Bookman Old Style" w:cs="Arial"/>
          <w:spacing w:val="-5"/>
          <w:sz w:val="22"/>
          <w:szCs w:val="22"/>
          <w:lang w:eastAsia="en-US"/>
        </w:rPr>
        <w:t>Baj</w:t>
      </w:r>
      <w:r w:rsidRPr="0084131A">
        <w:rPr>
          <w:rFonts w:ascii="Bookman Old Style" w:hAnsi="Bookman Old Style" w:cs="Arial"/>
          <w:spacing w:val="-5"/>
          <w:sz w:val="22"/>
          <w:szCs w:val="22"/>
          <w:lang w:eastAsia="en-US"/>
        </w:rPr>
        <w:t>o Anchicayá de acuerdo con lo ordenado por la CREG en la actuación administrativa 2021-004</w:t>
      </w:r>
      <w:r w:rsidR="00FC6884">
        <w:rPr>
          <w:rFonts w:ascii="Bookman Old Style" w:hAnsi="Bookman Old Style" w:cs="Arial"/>
          <w:spacing w:val="-5"/>
          <w:sz w:val="22"/>
          <w:szCs w:val="22"/>
          <w:lang w:eastAsia="en-US"/>
        </w:rPr>
        <w:t>4</w:t>
      </w:r>
      <w:r w:rsidRPr="0084131A">
        <w:rPr>
          <w:rFonts w:ascii="Bookman Old Style" w:hAnsi="Bookman Old Style" w:cs="Arial"/>
          <w:spacing w:val="-5"/>
          <w:sz w:val="22"/>
          <w:szCs w:val="22"/>
          <w:lang w:eastAsia="en-US"/>
        </w:rPr>
        <w:t xml:space="preserve"> y lo indicado en la comunicación S-2021-00417</w:t>
      </w:r>
      <w:r w:rsidR="00FC6884">
        <w:rPr>
          <w:rFonts w:ascii="Bookman Old Style" w:hAnsi="Bookman Old Style" w:cs="Arial"/>
          <w:spacing w:val="-5"/>
          <w:sz w:val="22"/>
          <w:szCs w:val="22"/>
          <w:lang w:eastAsia="en-US"/>
        </w:rPr>
        <w:t>9</w:t>
      </w:r>
      <w:r>
        <w:rPr>
          <w:rFonts w:ascii="Bookman Old Style" w:hAnsi="Bookman Old Style" w:cs="Arial"/>
          <w:spacing w:val="-5"/>
          <w:sz w:val="22"/>
          <w:szCs w:val="22"/>
          <w:lang w:eastAsia="en-US"/>
        </w:rPr>
        <w:t>.</w:t>
      </w:r>
    </w:p>
    <w:p w14:paraId="62ECD4DE" w14:textId="77777777" w:rsidR="00777010" w:rsidRDefault="00777010" w:rsidP="005E5EA9">
      <w:pPr>
        <w:widowControl w:val="0"/>
        <w:adjustRightInd w:val="0"/>
        <w:ind w:left="0"/>
        <w:jc w:val="both"/>
        <w:textAlignment w:val="baseline"/>
        <w:rPr>
          <w:rFonts w:ascii="Bookman Old Style" w:hAnsi="Bookman Old Style" w:cs="Arial"/>
          <w:spacing w:val="-5"/>
          <w:lang w:val="es-CO" w:eastAsia="en-US"/>
        </w:rPr>
      </w:pPr>
    </w:p>
    <w:p w14:paraId="7ABC147F" w14:textId="61A47AEC" w:rsidR="0084131A" w:rsidRPr="0084131A" w:rsidRDefault="0084131A" w:rsidP="0084131A">
      <w:pPr>
        <w:widowControl w:val="0"/>
        <w:adjustRightInd w:val="0"/>
        <w:ind w:left="426"/>
        <w:jc w:val="center"/>
        <w:textAlignment w:val="baseline"/>
        <w:rPr>
          <w:rFonts w:ascii="Calibri Light" w:hAnsi="Calibri Light" w:cs="Calibri Light"/>
          <w:spacing w:val="-5"/>
          <w:sz w:val="20"/>
          <w:szCs w:val="20"/>
          <w:lang w:eastAsia="en-US"/>
        </w:rPr>
      </w:pPr>
      <w:r w:rsidRPr="0084131A">
        <w:rPr>
          <w:rFonts w:ascii="Calibri Light" w:hAnsi="Calibri Light" w:cs="Calibri Light"/>
          <w:b/>
          <w:bCs/>
          <w:spacing w:val="-5"/>
          <w:sz w:val="20"/>
          <w:szCs w:val="20"/>
          <w:lang w:eastAsia="en-US"/>
        </w:rPr>
        <w:t>Tabla 2</w:t>
      </w:r>
      <w:r w:rsidRPr="0084131A">
        <w:rPr>
          <w:rFonts w:ascii="Calibri Light" w:hAnsi="Calibri Light" w:cs="Calibri Light"/>
          <w:spacing w:val="-5"/>
          <w:sz w:val="20"/>
          <w:szCs w:val="20"/>
          <w:lang w:eastAsia="en-US"/>
        </w:rPr>
        <w:t>. Resultados ENFICC</w:t>
      </w:r>
    </w:p>
    <w:tbl>
      <w:tblPr>
        <w:tblStyle w:val="Tablaconcuadrcula"/>
        <w:tblW w:w="0" w:type="auto"/>
        <w:tblInd w:w="426" w:type="dxa"/>
        <w:tblLook w:val="04A0" w:firstRow="1" w:lastRow="0" w:firstColumn="1" w:lastColumn="0" w:noHBand="0" w:noVBand="1"/>
      </w:tblPr>
      <w:tblGrid>
        <w:gridCol w:w="2179"/>
        <w:gridCol w:w="2177"/>
        <w:gridCol w:w="2177"/>
        <w:gridCol w:w="2245"/>
      </w:tblGrid>
      <w:tr w:rsidR="0084131A" w:rsidRPr="00F92A5A" w14:paraId="34FB1356" w14:textId="77777777" w:rsidTr="002159B3">
        <w:tc>
          <w:tcPr>
            <w:tcW w:w="2179" w:type="dxa"/>
          </w:tcPr>
          <w:p w14:paraId="1C6B4A65" w14:textId="77777777" w:rsidR="0084131A" w:rsidRPr="00F92A5A" w:rsidRDefault="0084131A" w:rsidP="002159B3">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Tipo de ENFICC</w:t>
            </w:r>
          </w:p>
        </w:tc>
        <w:tc>
          <w:tcPr>
            <w:tcW w:w="2177" w:type="dxa"/>
          </w:tcPr>
          <w:p w14:paraId="5B11BAB7" w14:textId="77777777" w:rsidR="0084131A" w:rsidRPr="00F92A5A" w:rsidRDefault="0084131A" w:rsidP="002159B3">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Valor Calculado en 2019</w:t>
            </w:r>
          </w:p>
        </w:tc>
        <w:tc>
          <w:tcPr>
            <w:tcW w:w="2177" w:type="dxa"/>
          </w:tcPr>
          <w:p w14:paraId="5234D6E5" w14:textId="77777777" w:rsidR="0084131A" w:rsidRPr="00F92A5A" w:rsidRDefault="0084131A" w:rsidP="002159B3">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 Verificada 2019</w:t>
            </w:r>
          </w:p>
        </w:tc>
        <w:tc>
          <w:tcPr>
            <w:tcW w:w="2245" w:type="dxa"/>
          </w:tcPr>
          <w:p w14:paraId="5024F5EB" w14:textId="77777777" w:rsidR="0084131A" w:rsidRPr="00F92A5A" w:rsidRDefault="0084131A" w:rsidP="002159B3">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Valor Calculado en atención al Acto Administrativo de la CREG</w:t>
            </w:r>
          </w:p>
        </w:tc>
      </w:tr>
      <w:tr w:rsidR="0084131A" w:rsidRPr="00F92A5A" w14:paraId="1FDD6499" w14:textId="77777777" w:rsidTr="002159B3">
        <w:tc>
          <w:tcPr>
            <w:tcW w:w="2179" w:type="dxa"/>
          </w:tcPr>
          <w:p w14:paraId="1F21915A" w14:textId="77777777" w:rsidR="0084131A" w:rsidRPr="00F92A5A" w:rsidRDefault="0084131A" w:rsidP="002159B3">
            <w:pPr>
              <w:widowControl w:val="0"/>
              <w:adjustRightInd w:val="0"/>
              <w:ind w:left="0"/>
              <w:jc w:val="both"/>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ENFICC-BASE (kWh/día)</w:t>
            </w:r>
          </w:p>
        </w:tc>
        <w:tc>
          <w:tcPr>
            <w:tcW w:w="2177" w:type="dxa"/>
          </w:tcPr>
          <w:p w14:paraId="65D1EBA1" w14:textId="6B111055" w:rsidR="0084131A" w:rsidRPr="00F92A5A" w:rsidRDefault="00F740BB" w:rsidP="002159B3">
            <w:pPr>
              <w:widowControl w:val="0"/>
              <w:adjustRightInd w:val="0"/>
              <w:ind w:left="0"/>
              <w:jc w:val="center"/>
              <w:textAlignment w:val="baseline"/>
              <w:rPr>
                <w:rFonts w:ascii="Calibri Light" w:hAnsi="Calibri Light" w:cs="Calibri Light"/>
                <w:spacing w:val="-5"/>
                <w:sz w:val="20"/>
                <w:szCs w:val="20"/>
                <w:lang w:eastAsia="en-US"/>
              </w:rPr>
            </w:pPr>
            <w:r>
              <w:rPr>
                <w:rFonts w:ascii="Calibri Light" w:hAnsi="Calibri Light" w:cs="Calibri Light"/>
                <w:spacing w:val="-5"/>
                <w:sz w:val="20"/>
                <w:szCs w:val="20"/>
                <w:lang w:eastAsia="en-US"/>
              </w:rPr>
              <w:t>313</w:t>
            </w:r>
            <w:r w:rsidR="00C64C55">
              <w:rPr>
                <w:rFonts w:ascii="Calibri Light" w:hAnsi="Calibri Light" w:cs="Calibri Light"/>
                <w:spacing w:val="-5"/>
                <w:sz w:val="20"/>
                <w:szCs w:val="20"/>
                <w:lang w:eastAsia="en-US"/>
              </w:rPr>
              <w:t>,</w:t>
            </w:r>
            <w:r>
              <w:rPr>
                <w:rFonts w:ascii="Calibri Light" w:hAnsi="Calibri Light" w:cs="Calibri Light"/>
                <w:spacing w:val="-5"/>
                <w:sz w:val="20"/>
                <w:szCs w:val="20"/>
                <w:lang w:eastAsia="en-US"/>
              </w:rPr>
              <w:t>036</w:t>
            </w:r>
          </w:p>
        </w:tc>
        <w:tc>
          <w:tcPr>
            <w:tcW w:w="2177" w:type="dxa"/>
            <w:vMerge w:val="restart"/>
          </w:tcPr>
          <w:p w14:paraId="414979B2" w14:textId="5DE8FC18" w:rsidR="0084131A" w:rsidRPr="00F92A5A" w:rsidRDefault="00F740BB" w:rsidP="002159B3">
            <w:pPr>
              <w:widowControl w:val="0"/>
              <w:adjustRightInd w:val="0"/>
              <w:ind w:left="0"/>
              <w:jc w:val="center"/>
              <w:textAlignment w:val="baseline"/>
              <w:rPr>
                <w:rFonts w:ascii="Calibri Light" w:hAnsi="Calibri Light" w:cs="Calibri Light"/>
                <w:spacing w:val="-5"/>
                <w:sz w:val="20"/>
                <w:szCs w:val="20"/>
                <w:lang w:eastAsia="en-US"/>
              </w:rPr>
            </w:pPr>
            <w:r>
              <w:rPr>
                <w:rFonts w:ascii="Calibri Light" w:hAnsi="Calibri Light" w:cs="Calibri Light"/>
                <w:spacing w:val="-5"/>
                <w:sz w:val="20"/>
                <w:szCs w:val="20"/>
                <w:lang w:eastAsia="en-US"/>
              </w:rPr>
              <w:t>322,275</w:t>
            </w:r>
            <w:r w:rsidR="0084131A" w:rsidRPr="00F92A5A">
              <w:rPr>
                <w:rFonts w:ascii="Calibri Light" w:hAnsi="Calibri Light" w:cs="Calibri Light"/>
                <w:spacing w:val="-5"/>
                <w:sz w:val="20"/>
                <w:szCs w:val="20"/>
                <w:lang w:eastAsia="en-US"/>
              </w:rPr>
              <w:t xml:space="preserve"> </w:t>
            </w:r>
          </w:p>
        </w:tc>
        <w:tc>
          <w:tcPr>
            <w:tcW w:w="2245" w:type="dxa"/>
          </w:tcPr>
          <w:p w14:paraId="3ACE8552" w14:textId="5D86E52C" w:rsidR="0084131A" w:rsidRPr="00F92A5A" w:rsidRDefault="00F740BB" w:rsidP="002159B3">
            <w:pPr>
              <w:widowControl w:val="0"/>
              <w:adjustRightInd w:val="0"/>
              <w:ind w:left="0"/>
              <w:jc w:val="center"/>
              <w:textAlignment w:val="baseline"/>
              <w:rPr>
                <w:rFonts w:ascii="Calibri Light" w:hAnsi="Calibri Light" w:cs="Calibri Light"/>
                <w:spacing w:val="-5"/>
                <w:sz w:val="20"/>
                <w:szCs w:val="20"/>
                <w:lang w:eastAsia="en-US"/>
              </w:rPr>
            </w:pPr>
            <w:r>
              <w:rPr>
                <w:rFonts w:ascii="Calibri Light" w:hAnsi="Calibri Light" w:cs="Calibri Light"/>
                <w:spacing w:val="-5"/>
                <w:sz w:val="20"/>
                <w:szCs w:val="20"/>
                <w:lang w:eastAsia="en-US"/>
              </w:rPr>
              <w:t>313,036</w:t>
            </w:r>
          </w:p>
        </w:tc>
      </w:tr>
      <w:tr w:rsidR="0084131A" w:rsidRPr="00F92A5A" w14:paraId="1FF93C14" w14:textId="77777777" w:rsidTr="002159B3">
        <w:tc>
          <w:tcPr>
            <w:tcW w:w="2179" w:type="dxa"/>
          </w:tcPr>
          <w:p w14:paraId="0B68F1D7" w14:textId="77777777" w:rsidR="0084131A" w:rsidRPr="00F92A5A" w:rsidRDefault="0084131A" w:rsidP="002159B3">
            <w:pPr>
              <w:widowControl w:val="0"/>
              <w:adjustRightInd w:val="0"/>
              <w:ind w:left="0"/>
              <w:jc w:val="both"/>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 98PSS (kWh/día)</w:t>
            </w:r>
          </w:p>
        </w:tc>
        <w:tc>
          <w:tcPr>
            <w:tcW w:w="2177" w:type="dxa"/>
          </w:tcPr>
          <w:p w14:paraId="541277AE" w14:textId="37156269" w:rsidR="0084131A" w:rsidRPr="00F92A5A" w:rsidRDefault="00F740BB" w:rsidP="002159B3">
            <w:pPr>
              <w:widowControl w:val="0"/>
              <w:adjustRightInd w:val="0"/>
              <w:ind w:left="0"/>
              <w:jc w:val="center"/>
              <w:textAlignment w:val="baseline"/>
              <w:rPr>
                <w:rFonts w:ascii="Calibri Light" w:hAnsi="Calibri Light" w:cs="Calibri Light"/>
                <w:spacing w:val="-5"/>
                <w:sz w:val="20"/>
                <w:szCs w:val="20"/>
                <w:lang w:eastAsia="en-US"/>
              </w:rPr>
            </w:pPr>
            <w:r>
              <w:rPr>
                <w:rFonts w:ascii="Calibri Light" w:hAnsi="Calibri Light" w:cs="Calibri Light"/>
                <w:spacing w:val="-5"/>
                <w:sz w:val="20"/>
                <w:szCs w:val="20"/>
                <w:lang w:eastAsia="en-US"/>
              </w:rPr>
              <w:t>322</w:t>
            </w:r>
            <w:r w:rsidR="00C64C55">
              <w:rPr>
                <w:rFonts w:ascii="Calibri Light" w:hAnsi="Calibri Light" w:cs="Calibri Light"/>
                <w:spacing w:val="-5"/>
                <w:sz w:val="20"/>
                <w:szCs w:val="20"/>
                <w:lang w:eastAsia="en-US"/>
              </w:rPr>
              <w:t>,</w:t>
            </w:r>
            <w:r>
              <w:rPr>
                <w:rFonts w:ascii="Calibri Light" w:hAnsi="Calibri Light" w:cs="Calibri Light"/>
                <w:spacing w:val="-5"/>
                <w:sz w:val="20"/>
                <w:szCs w:val="20"/>
                <w:lang w:eastAsia="en-US"/>
              </w:rPr>
              <w:t>275</w:t>
            </w:r>
          </w:p>
        </w:tc>
        <w:tc>
          <w:tcPr>
            <w:tcW w:w="2177" w:type="dxa"/>
            <w:vMerge/>
          </w:tcPr>
          <w:p w14:paraId="63863F5A" w14:textId="77777777" w:rsidR="0084131A" w:rsidRPr="00F92A5A" w:rsidRDefault="0084131A" w:rsidP="002159B3">
            <w:pPr>
              <w:widowControl w:val="0"/>
              <w:adjustRightInd w:val="0"/>
              <w:ind w:left="0"/>
              <w:jc w:val="both"/>
              <w:textAlignment w:val="baseline"/>
              <w:rPr>
                <w:rFonts w:ascii="Calibri Light" w:hAnsi="Calibri Light" w:cs="Calibri Light"/>
                <w:spacing w:val="-5"/>
                <w:sz w:val="20"/>
                <w:szCs w:val="20"/>
                <w:lang w:eastAsia="en-US"/>
              </w:rPr>
            </w:pPr>
          </w:p>
        </w:tc>
        <w:tc>
          <w:tcPr>
            <w:tcW w:w="2245" w:type="dxa"/>
          </w:tcPr>
          <w:p w14:paraId="3039442D" w14:textId="648C5514" w:rsidR="0084131A" w:rsidRPr="00F92A5A" w:rsidRDefault="00F740BB" w:rsidP="002159B3">
            <w:pPr>
              <w:widowControl w:val="0"/>
              <w:adjustRightInd w:val="0"/>
              <w:ind w:left="0"/>
              <w:jc w:val="center"/>
              <w:textAlignment w:val="baseline"/>
              <w:rPr>
                <w:rFonts w:ascii="Calibri Light" w:hAnsi="Calibri Light" w:cs="Calibri Light"/>
                <w:spacing w:val="-5"/>
                <w:sz w:val="20"/>
                <w:szCs w:val="20"/>
                <w:lang w:eastAsia="en-US"/>
              </w:rPr>
            </w:pPr>
            <w:r>
              <w:rPr>
                <w:rFonts w:ascii="Calibri Light" w:hAnsi="Calibri Light" w:cs="Calibri Light"/>
                <w:spacing w:val="-5"/>
                <w:sz w:val="20"/>
                <w:szCs w:val="20"/>
                <w:lang w:eastAsia="en-US"/>
              </w:rPr>
              <w:t>322,275</w:t>
            </w:r>
          </w:p>
        </w:tc>
      </w:tr>
    </w:tbl>
    <w:p w14:paraId="37829AEA" w14:textId="77777777" w:rsidR="0084131A" w:rsidRDefault="0084131A" w:rsidP="0084131A">
      <w:pPr>
        <w:widowControl w:val="0"/>
        <w:adjustRightInd w:val="0"/>
        <w:ind w:left="426"/>
        <w:jc w:val="both"/>
        <w:textAlignment w:val="baseline"/>
        <w:rPr>
          <w:rFonts w:ascii="Bookman Old Style" w:hAnsi="Bookman Old Style" w:cs="Arial"/>
          <w:spacing w:val="-5"/>
          <w:lang w:eastAsia="en-US"/>
        </w:rPr>
      </w:pPr>
    </w:p>
    <w:p w14:paraId="6BE459FF" w14:textId="734F0739" w:rsidR="00904816" w:rsidRPr="00C64C55" w:rsidRDefault="00C64C55" w:rsidP="00C64C55">
      <w:pPr>
        <w:widowControl w:val="0"/>
        <w:adjustRightInd w:val="0"/>
        <w:ind w:left="426"/>
        <w:jc w:val="both"/>
        <w:textAlignment w:val="baseline"/>
        <w:rPr>
          <w:rFonts w:ascii="Bookman Old Style" w:hAnsi="Bookman Old Style" w:cs="Arial"/>
          <w:spacing w:val="-5"/>
          <w:sz w:val="22"/>
          <w:szCs w:val="22"/>
          <w:lang w:val="es-CO" w:eastAsia="en-US"/>
        </w:rPr>
      </w:pPr>
      <w:r w:rsidRPr="00C64C55">
        <w:rPr>
          <w:rFonts w:ascii="Bookman Old Style" w:hAnsi="Bookman Old Style" w:cs="Arial"/>
          <w:spacing w:val="-5"/>
          <w:sz w:val="22"/>
          <w:szCs w:val="22"/>
          <w:lang w:eastAsia="en-US"/>
        </w:rPr>
        <w:t>(…)”</w:t>
      </w:r>
    </w:p>
    <w:p w14:paraId="04147D08" w14:textId="77777777" w:rsidR="00693F76" w:rsidRDefault="00693F76" w:rsidP="005E5EA9">
      <w:pPr>
        <w:widowControl w:val="0"/>
        <w:adjustRightInd w:val="0"/>
        <w:ind w:left="0"/>
        <w:jc w:val="both"/>
        <w:textAlignment w:val="baseline"/>
        <w:rPr>
          <w:rFonts w:ascii="Bookman Old Style" w:hAnsi="Bookman Old Style" w:cs="Arial"/>
          <w:spacing w:val="-5"/>
          <w:lang w:val="es-CO" w:eastAsia="en-US"/>
        </w:rPr>
      </w:pPr>
    </w:p>
    <w:p w14:paraId="4150DD7E" w14:textId="7C8CBDF8" w:rsidR="00636EE2" w:rsidRDefault="00A15928" w:rsidP="005E5EA9">
      <w:pPr>
        <w:widowControl w:val="0"/>
        <w:adjustRightInd w:val="0"/>
        <w:ind w:left="0"/>
        <w:jc w:val="both"/>
        <w:textAlignment w:val="baseline"/>
        <w:rPr>
          <w:rFonts w:ascii="Bookman Old Style" w:hAnsi="Bookman Old Style" w:cs="Arial"/>
          <w:spacing w:val="-5"/>
          <w:lang w:val="es-CO" w:eastAsia="en-US"/>
        </w:rPr>
      </w:pPr>
      <w:bookmarkStart w:id="4" w:name="_Hlk94538311"/>
      <w:r>
        <w:rPr>
          <w:rFonts w:ascii="Bookman Old Style" w:hAnsi="Bookman Old Style" w:cs="Arial"/>
          <w:spacing w:val="-5"/>
          <w:lang w:val="es-CO" w:eastAsia="en-US"/>
        </w:rPr>
        <w:t>Pos</w:t>
      </w:r>
      <w:r w:rsidR="000937D7">
        <w:rPr>
          <w:rFonts w:ascii="Bookman Old Style" w:hAnsi="Bookman Old Style" w:cs="Arial"/>
          <w:spacing w:val="-5"/>
          <w:lang w:val="es-CO" w:eastAsia="en-US"/>
        </w:rPr>
        <w:t xml:space="preserve">teriormente, </w:t>
      </w:r>
      <w:r w:rsidR="005E1111">
        <w:rPr>
          <w:rFonts w:ascii="Bookman Old Style" w:hAnsi="Bookman Old Style" w:cs="Arial"/>
          <w:spacing w:val="-5"/>
          <w:lang w:val="es-CO" w:eastAsia="en-US"/>
        </w:rPr>
        <w:t>a</w:t>
      </w:r>
      <w:r w:rsidR="00636EE2">
        <w:rPr>
          <w:rFonts w:ascii="Bookman Old Style" w:hAnsi="Bookman Old Style" w:cs="Arial"/>
          <w:spacing w:val="-5"/>
          <w:lang w:val="es-CO" w:eastAsia="en-US"/>
        </w:rPr>
        <w:t>nte lo expuesto por el representante de la empresa CELSIA COLOMBIA S.A. E.S.P y la respuesta obtenida por XM S.A. E.S.P</w:t>
      </w:r>
      <w:r w:rsidR="005F5AB5">
        <w:rPr>
          <w:rFonts w:ascii="Bookman Old Style" w:hAnsi="Bookman Old Style" w:cs="Arial"/>
          <w:spacing w:val="-5"/>
          <w:lang w:val="es-CO" w:eastAsia="en-US"/>
        </w:rPr>
        <w:t>.</w:t>
      </w:r>
      <w:r w:rsidR="00636EE2">
        <w:rPr>
          <w:rFonts w:ascii="Bookman Old Style" w:hAnsi="Bookman Old Style" w:cs="Arial"/>
          <w:spacing w:val="-5"/>
          <w:lang w:val="es-CO" w:eastAsia="en-US"/>
        </w:rPr>
        <w:t>, la Comisión</w:t>
      </w:r>
      <w:r w:rsidR="005F5AB5">
        <w:rPr>
          <w:rFonts w:ascii="Bookman Old Style" w:hAnsi="Bookman Old Style" w:cs="Arial"/>
          <w:spacing w:val="-5"/>
          <w:lang w:val="es-CO" w:eastAsia="en-US"/>
        </w:rPr>
        <w:t>,</w:t>
      </w:r>
      <w:r w:rsidR="00636EE2">
        <w:rPr>
          <w:rFonts w:ascii="Bookman Old Style" w:hAnsi="Bookman Old Style" w:cs="Arial"/>
          <w:spacing w:val="-5"/>
          <w:lang w:val="es-CO" w:eastAsia="en-US"/>
        </w:rPr>
        <w:t xml:space="preserve"> </w:t>
      </w:r>
      <w:r>
        <w:rPr>
          <w:rFonts w:ascii="Bookman Old Style" w:hAnsi="Bookman Old Style" w:cs="Arial"/>
          <w:spacing w:val="-5"/>
          <w:lang w:val="es-CO" w:eastAsia="en-US"/>
        </w:rPr>
        <w:t xml:space="preserve">mediante </w:t>
      </w:r>
      <w:r w:rsidR="00636EE2">
        <w:rPr>
          <w:rFonts w:ascii="Bookman Old Style" w:hAnsi="Bookman Old Style" w:cs="Arial"/>
          <w:spacing w:val="-5"/>
          <w:lang w:val="es-CO" w:eastAsia="en-US"/>
        </w:rPr>
        <w:t>el oficio S-2021-</w:t>
      </w:r>
      <w:r w:rsidR="007D338B">
        <w:rPr>
          <w:rFonts w:ascii="Bookman Old Style" w:hAnsi="Bookman Old Style" w:cs="Arial"/>
          <w:spacing w:val="-5"/>
          <w:lang w:val="es-CO" w:eastAsia="en-US"/>
        </w:rPr>
        <w:t>004805 del 9 de noviembre de 2021</w:t>
      </w:r>
      <w:r w:rsidR="005F5AB5">
        <w:rPr>
          <w:rFonts w:ascii="Bookman Old Style" w:hAnsi="Bookman Old Style" w:cs="Arial"/>
          <w:spacing w:val="-5"/>
          <w:lang w:val="es-CO" w:eastAsia="en-US"/>
        </w:rPr>
        <w:t>,</w:t>
      </w:r>
      <w:r w:rsidR="007D338B">
        <w:rPr>
          <w:rFonts w:ascii="Bookman Old Style" w:hAnsi="Bookman Old Style" w:cs="Arial"/>
          <w:spacing w:val="-5"/>
          <w:lang w:val="es-CO" w:eastAsia="en-US"/>
        </w:rPr>
        <w:t xml:space="preserve"> </w:t>
      </w:r>
      <w:r>
        <w:rPr>
          <w:rFonts w:ascii="Bookman Old Style" w:hAnsi="Bookman Old Style" w:cs="Arial"/>
          <w:spacing w:val="-5"/>
          <w:lang w:val="es-CO" w:eastAsia="en-US"/>
        </w:rPr>
        <w:t xml:space="preserve">puso </w:t>
      </w:r>
      <w:r w:rsidR="00636EE2">
        <w:rPr>
          <w:rFonts w:ascii="Bookman Old Style" w:hAnsi="Bookman Old Style" w:cs="Arial"/>
          <w:spacing w:val="-5"/>
          <w:lang w:val="es-CO" w:eastAsia="en-US"/>
        </w:rPr>
        <w:t>en conocimiento de la prestadora lo expuesto por la empresa requerida</w:t>
      </w:r>
      <w:r w:rsidR="005F5AB5">
        <w:rPr>
          <w:rFonts w:ascii="Bookman Old Style" w:hAnsi="Bookman Old Style" w:cs="Arial"/>
          <w:spacing w:val="-5"/>
          <w:lang w:val="es-CO" w:eastAsia="en-US"/>
        </w:rPr>
        <w:t>,</w:t>
      </w:r>
      <w:r w:rsidR="00B220BC">
        <w:rPr>
          <w:rFonts w:ascii="Bookman Old Style" w:hAnsi="Bookman Old Style" w:cs="Arial"/>
          <w:spacing w:val="-5"/>
          <w:lang w:val="es-CO" w:eastAsia="en-US"/>
        </w:rPr>
        <w:t xml:space="preserve"> a fin de que se pronunciara si lo consideraba pertinente. </w:t>
      </w:r>
      <w:r w:rsidR="009351F5" w:rsidRPr="002F03CE">
        <w:rPr>
          <w:rFonts w:ascii="Bookman Old Style" w:hAnsi="Bookman Old Style" w:cs="Arial"/>
          <w:spacing w:val="-5"/>
          <w:lang w:val="es-CO" w:eastAsia="en-US"/>
        </w:rPr>
        <w:t>Dentro del término otorgado no se realizó algún pronunciamiento.</w:t>
      </w:r>
    </w:p>
    <w:p w14:paraId="3E60D193" w14:textId="77777777" w:rsidR="005F440E" w:rsidRDefault="005F440E" w:rsidP="005E5EA9">
      <w:pPr>
        <w:widowControl w:val="0"/>
        <w:adjustRightInd w:val="0"/>
        <w:ind w:left="0"/>
        <w:jc w:val="both"/>
        <w:textAlignment w:val="baseline"/>
        <w:rPr>
          <w:rFonts w:ascii="Bookman Old Style" w:hAnsi="Bookman Old Style" w:cs="Arial"/>
          <w:spacing w:val="-5"/>
          <w:lang w:val="es-CO" w:eastAsia="en-US"/>
        </w:rPr>
      </w:pPr>
    </w:p>
    <w:bookmarkEnd w:id="4"/>
    <w:p w14:paraId="091A7E41" w14:textId="42C6542E" w:rsidR="00A15928" w:rsidRPr="00152705" w:rsidRDefault="00A15928" w:rsidP="00A15928">
      <w:pPr>
        <w:ind w:left="0"/>
        <w:rPr>
          <w:rFonts w:ascii="Bookman Old Style" w:hAnsi="Bookman Old Style"/>
          <w:b/>
        </w:rPr>
      </w:pPr>
      <w:r w:rsidRPr="00186308">
        <w:rPr>
          <w:rFonts w:ascii="Bookman Old Style" w:hAnsi="Bookman Old Style"/>
          <w:b/>
        </w:rPr>
        <w:t>V. ANÁLISIS PROBATORIO Y CONCLUSIONES</w:t>
      </w:r>
    </w:p>
    <w:p w14:paraId="0436D776" w14:textId="3BB359CD" w:rsidR="008A28AC" w:rsidRDefault="008A28AC" w:rsidP="008A28AC">
      <w:pPr>
        <w:ind w:left="0"/>
        <w:jc w:val="both"/>
        <w:rPr>
          <w:rFonts w:ascii="Bookman Old Style" w:hAnsi="Bookman Old Style" w:cs="Arial"/>
          <w:b/>
          <w:bCs/>
          <w:lang w:val="es-CO"/>
        </w:rPr>
      </w:pPr>
    </w:p>
    <w:p w14:paraId="1E24FC02" w14:textId="445028C1" w:rsidR="00B34ACB" w:rsidRDefault="00B34ACB" w:rsidP="00B34ACB">
      <w:pPr>
        <w:ind w:left="0"/>
        <w:jc w:val="both"/>
        <w:rPr>
          <w:rFonts w:ascii="Bookman Old Style" w:hAnsi="Bookman Old Style" w:cs="Arial"/>
          <w:lang w:val="es-CO"/>
        </w:rPr>
      </w:pPr>
      <w:r w:rsidRPr="0062183C">
        <w:rPr>
          <w:rFonts w:ascii="Bookman Old Style" w:hAnsi="Bookman Old Style" w:cs="Arial"/>
        </w:rPr>
        <w:t>Con fundamento en el informe de auditoría, los argumentos presentados por CELSIA COLOMBIA S.A. E.S.P. y las pruebas recaudadas</w:t>
      </w:r>
      <w:r>
        <w:rPr>
          <w:rFonts w:ascii="Bookman Old Style" w:hAnsi="Bookman Old Style" w:cs="Arial"/>
        </w:rPr>
        <w:t>,</w:t>
      </w:r>
      <w:r w:rsidRPr="0062183C">
        <w:rPr>
          <w:rFonts w:ascii="Bookman Old Style" w:hAnsi="Bookman Old Style" w:cs="Arial"/>
        </w:rPr>
        <w:t xml:space="preserve"> se analiza el alcance y efectos de las </w:t>
      </w:r>
      <w:r>
        <w:rPr>
          <w:rFonts w:ascii="Bookman Old Style" w:hAnsi="Bookman Old Style" w:cs="Arial"/>
        </w:rPr>
        <w:t xml:space="preserve">diferencias </w:t>
      </w:r>
      <w:r>
        <w:rPr>
          <w:rFonts w:ascii="Bookman Old Style" w:hAnsi="Bookman Old Style" w:cs="Arial"/>
          <w:lang w:val="es-CO"/>
        </w:rPr>
        <w:t xml:space="preserve">en </w:t>
      </w:r>
      <w:r w:rsidRPr="008A28AC">
        <w:rPr>
          <w:rFonts w:ascii="Bookman Old Style" w:hAnsi="Bookman Old Style" w:cs="Arial"/>
          <w:lang w:val="es-CO"/>
        </w:rPr>
        <w:t>los parámetros capacidad efectiva neta</w:t>
      </w:r>
      <w:r w:rsidR="005F5AB5">
        <w:rPr>
          <w:rFonts w:ascii="Bookman Old Style" w:hAnsi="Bookman Old Style" w:cs="Arial"/>
          <w:lang w:val="es-CO"/>
        </w:rPr>
        <w:t xml:space="preserve">, </w:t>
      </w:r>
      <w:r w:rsidRPr="008A28AC">
        <w:rPr>
          <w:rFonts w:ascii="Bookman Old Style" w:hAnsi="Bookman Old Style" w:cs="Arial"/>
          <w:lang w:val="es-CO"/>
        </w:rPr>
        <w:t>CEN</w:t>
      </w:r>
      <w:r w:rsidR="005F5AB5">
        <w:rPr>
          <w:rFonts w:ascii="Bookman Old Style" w:hAnsi="Bookman Old Style" w:cs="Arial"/>
          <w:lang w:val="es-CO"/>
        </w:rPr>
        <w:t>,</w:t>
      </w:r>
      <w:r w:rsidR="005F5AB5" w:rsidRPr="008A28AC">
        <w:rPr>
          <w:rFonts w:ascii="Bookman Old Style" w:hAnsi="Bookman Old Style" w:cs="Arial"/>
          <w:lang w:val="es-CO"/>
        </w:rPr>
        <w:t xml:space="preserve"> </w:t>
      </w:r>
      <w:r w:rsidRPr="008A28AC">
        <w:rPr>
          <w:rFonts w:ascii="Bookman Old Style" w:hAnsi="Bookman Old Style" w:cs="Arial"/>
          <w:lang w:val="es-CO"/>
        </w:rPr>
        <w:t xml:space="preserve">y </w:t>
      </w:r>
      <w:r w:rsidR="00BB41C5" w:rsidRPr="006F7A26">
        <w:rPr>
          <w:rFonts w:ascii="Bookman Old Style" w:hAnsi="Bookman Old Style" w:cs="Arial"/>
          <w:iCs/>
        </w:rPr>
        <w:t xml:space="preserve">Serie </w:t>
      </w:r>
      <w:r w:rsidRPr="006F7A26">
        <w:rPr>
          <w:rFonts w:ascii="Bookman Old Style" w:hAnsi="Bookman Old Style" w:cs="Arial"/>
          <w:iCs/>
        </w:rPr>
        <w:t>histórica de caudales medios mensuales de los ríos del SIN</w:t>
      </w:r>
      <w:r>
        <w:rPr>
          <w:rFonts w:ascii="Bookman Old Style" w:hAnsi="Bookman Old Style" w:cs="Arial"/>
          <w:lang w:val="es-CO"/>
        </w:rPr>
        <w:t xml:space="preserve"> reportados por la empresa CELSIA COLOMBIA S.A. E.S.P. para su planta Bajo Anchicayá, con el propósito de establecer si debe o no confirmarse la existencia de discrepancias. </w:t>
      </w:r>
    </w:p>
    <w:p w14:paraId="6A88D374" w14:textId="77777777" w:rsidR="00B34ACB" w:rsidRPr="008A28AC" w:rsidRDefault="00B34ACB" w:rsidP="007A4F3B">
      <w:pPr>
        <w:ind w:left="708" w:hanging="708"/>
        <w:jc w:val="both"/>
        <w:rPr>
          <w:rFonts w:ascii="Bookman Old Style" w:hAnsi="Bookman Old Style" w:cs="Arial"/>
          <w:b/>
          <w:bCs/>
          <w:lang w:val="es-CO"/>
        </w:rPr>
      </w:pPr>
    </w:p>
    <w:p w14:paraId="1F1D72C5" w14:textId="52385046" w:rsidR="00244FDA" w:rsidRPr="008A28AC" w:rsidRDefault="00A15928" w:rsidP="00780067">
      <w:pPr>
        <w:ind w:left="0"/>
        <w:jc w:val="both"/>
        <w:rPr>
          <w:rFonts w:ascii="Bookman Old Style" w:hAnsi="Bookman Old Style" w:cs="Arial"/>
        </w:rPr>
      </w:pPr>
      <w:r w:rsidRPr="008A28AC">
        <w:rPr>
          <w:rFonts w:ascii="Bookman Old Style" w:hAnsi="Bookman Old Style" w:cs="Arial"/>
        </w:rPr>
        <w:t xml:space="preserve">Se observa, en primer término que, en el informe </w:t>
      </w:r>
      <w:r w:rsidR="00601774" w:rsidRPr="008A28AC">
        <w:rPr>
          <w:rFonts w:ascii="Bookman Old Style" w:hAnsi="Bookman Old Style" w:cs="Arial"/>
        </w:rPr>
        <w:t>de auditoría 3281-15-QS-RP-0</w:t>
      </w:r>
      <w:r w:rsidR="00780067" w:rsidRPr="008A28AC">
        <w:rPr>
          <w:rFonts w:ascii="Bookman Old Style" w:hAnsi="Bookman Old Style" w:cs="Arial"/>
        </w:rPr>
        <w:t>07-0</w:t>
      </w:r>
      <w:r w:rsidR="00244FDA" w:rsidRPr="008A28AC">
        <w:rPr>
          <w:rFonts w:ascii="Bookman Old Style" w:hAnsi="Bookman Old Style" w:cs="Arial"/>
        </w:rPr>
        <w:t xml:space="preserve"> denominado -INFORME DE SERIE HISTÓRICA DE CAUDALES MEDIOS MENSUALES DE LOS RÍOS DEL SIN – DIGUA- </w:t>
      </w:r>
      <w:r w:rsidR="00601774" w:rsidRPr="008A28AC">
        <w:rPr>
          <w:rFonts w:ascii="Bookman Old Style" w:hAnsi="Bookman Old Style" w:cs="Arial"/>
        </w:rPr>
        <w:t xml:space="preserve">y su actualización, </w:t>
      </w:r>
      <w:r w:rsidR="00780067" w:rsidRPr="008A28AC">
        <w:rPr>
          <w:rFonts w:ascii="Bookman Old Style" w:hAnsi="Bookman Old Style" w:cs="Arial"/>
        </w:rPr>
        <w:t>se señala que la serie Digua no presenta discrepancias en el periodo que fue verificado (2001 – 2017)</w:t>
      </w:r>
      <w:r w:rsidR="005F5AB5">
        <w:rPr>
          <w:rFonts w:ascii="Bookman Old Style" w:hAnsi="Bookman Old Style" w:cs="Arial"/>
        </w:rPr>
        <w:t>,</w:t>
      </w:r>
      <w:r w:rsidR="00780067" w:rsidRPr="008A28AC">
        <w:rPr>
          <w:rFonts w:ascii="Bookman Old Style" w:hAnsi="Bookman Old Style" w:cs="Arial"/>
        </w:rPr>
        <w:t xml:space="preserve"> y </w:t>
      </w:r>
      <w:r w:rsidR="00244FDA" w:rsidRPr="008A28AC">
        <w:rPr>
          <w:rFonts w:ascii="Bookman Old Style" w:hAnsi="Bookman Old Style" w:cs="Arial"/>
        </w:rPr>
        <w:t xml:space="preserve">que el </w:t>
      </w:r>
      <w:r w:rsidR="00780067" w:rsidRPr="008A28AC">
        <w:rPr>
          <w:rFonts w:ascii="Bookman Old Style" w:hAnsi="Bookman Old Style" w:cs="Arial"/>
        </w:rPr>
        <w:t>periodo agosto 1975 – diciembre 2000</w:t>
      </w:r>
      <w:r w:rsidR="00244FDA" w:rsidRPr="008A28AC">
        <w:rPr>
          <w:rFonts w:ascii="Bookman Old Style" w:hAnsi="Bookman Old Style" w:cs="Arial"/>
        </w:rPr>
        <w:t xml:space="preserve"> no fue posible auditarlo</w:t>
      </w:r>
      <w:r w:rsidR="00780067" w:rsidRPr="008A28AC">
        <w:rPr>
          <w:rFonts w:ascii="Bookman Old Style" w:hAnsi="Bookman Old Style" w:cs="Arial"/>
        </w:rPr>
        <w:t xml:space="preserve">, </w:t>
      </w:r>
      <w:r w:rsidR="00244FDA" w:rsidRPr="008A28AC">
        <w:rPr>
          <w:rFonts w:ascii="Bookman Old Style" w:hAnsi="Bookman Old Style" w:cs="Arial"/>
        </w:rPr>
        <w:t xml:space="preserve">toda vez que </w:t>
      </w:r>
      <w:r w:rsidR="00780067" w:rsidRPr="008A28AC">
        <w:rPr>
          <w:rFonts w:ascii="Bookman Old Style" w:hAnsi="Bookman Old Style" w:cs="Arial"/>
        </w:rPr>
        <w:t xml:space="preserve">el agente no suministró la información requerida para verificar dicho periodo, </w:t>
      </w:r>
      <w:r w:rsidR="00244FDA" w:rsidRPr="008A28AC">
        <w:rPr>
          <w:rFonts w:ascii="Bookman Old Style" w:hAnsi="Bookman Old Style" w:cs="Arial"/>
        </w:rPr>
        <w:t xml:space="preserve">estableciendo que </w:t>
      </w:r>
      <w:r w:rsidR="00780067" w:rsidRPr="008A28AC">
        <w:rPr>
          <w:rFonts w:ascii="Bookman Old Style" w:hAnsi="Bookman Old Style" w:cs="Arial"/>
        </w:rPr>
        <w:t xml:space="preserve">la serie Digua </w:t>
      </w:r>
      <w:r w:rsidR="00244FDA" w:rsidRPr="008A28AC">
        <w:rPr>
          <w:rFonts w:ascii="Bookman Old Style" w:hAnsi="Bookman Old Style" w:cs="Arial"/>
        </w:rPr>
        <w:t>presenta discrepancia.</w:t>
      </w:r>
    </w:p>
    <w:p w14:paraId="1C83F221" w14:textId="71247806" w:rsidR="00780067" w:rsidRPr="008A28AC" w:rsidRDefault="00780067" w:rsidP="00780067">
      <w:pPr>
        <w:ind w:left="0"/>
        <w:jc w:val="both"/>
        <w:rPr>
          <w:rFonts w:ascii="Bookman Old Style" w:hAnsi="Bookman Old Style" w:cs="Arial"/>
          <w:b/>
          <w:bCs/>
        </w:rPr>
      </w:pPr>
      <w:r w:rsidRPr="008A28AC">
        <w:rPr>
          <w:rFonts w:ascii="Bookman Old Style" w:hAnsi="Bookman Old Style" w:cs="Arial"/>
          <w:b/>
          <w:bCs/>
        </w:rPr>
        <w:t xml:space="preserve"> </w:t>
      </w:r>
    </w:p>
    <w:p w14:paraId="55EB4B1D" w14:textId="0E2B0A3E" w:rsidR="00601774" w:rsidRPr="00FA0FD6" w:rsidRDefault="00244FDA" w:rsidP="00601774">
      <w:pPr>
        <w:ind w:left="0"/>
        <w:jc w:val="both"/>
        <w:rPr>
          <w:rFonts w:ascii="Bookman Old Style" w:hAnsi="Bookman Old Style" w:cs="Arial"/>
        </w:rPr>
      </w:pPr>
      <w:r w:rsidRPr="008A28AC">
        <w:rPr>
          <w:rFonts w:ascii="Bookman Old Style" w:hAnsi="Bookman Old Style" w:cs="Arial"/>
        </w:rPr>
        <w:t xml:space="preserve">Adicionalmente, en el informe de auditoría </w:t>
      </w:r>
      <w:r w:rsidR="00A350C4" w:rsidRPr="008A28AC">
        <w:rPr>
          <w:rFonts w:ascii="Bookman Old Style" w:hAnsi="Bookman Old Style" w:cs="Arial"/>
        </w:rPr>
        <w:t xml:space="preserve">3281-01-QS-RP-015-0 denominado -INFORME CAPACIDAD EFECTIVA NETA – BAJO ANCHICAYÁ- se señaló en su numeral “4. CONDICIÓN DE DISCREPANCIA” que “(…) </w:t>
      </w:r>
      <w:r w:rsidR="00A350C4" w:rsidRPr="008A28AC">
        <w:rPr>
          <w:rFonts w:ascii="Bookman Old Style" w:hAnsi="Bookman Old Style" w:cs="Arial"/>
          <w:sz w:val="22"/>
          <w:szCs w:val="22"/>
        </w:rPr>
        <w:t>se evidencia que el valor declarado NO excede lo consignado en el contrato o convenio de conexión que se encontraba vigente al momento de la declaración y NO ha sido superado al menos una vez durante los últimos 5 años en la frontera comercial</w:t>
      </w:r>
      <w:r w:rsidR="00A350C4" w:rsidRPr="008A28AC">
        <w:rPr>
          <w:rFonts w:ascii="Bookman Old Style" w:hAnsi="Bookman Old Style" w:cs="Arial"/>
        </w:rPr>
        <w:t>.”</w:t>
      </w:r>
      <w:r w:rsidR="005B5942" w:rsidRPr="008A28AC">
        <w:rPr>
          <w:rFonts w:ascii="Bookman Old Style" w:hAnsi="Bookman Old Style" w:cs="Arial"/>
        </w:rPr>
        <w:t>, para luego concluir en el numeral siguiente que el parámetro “Capacidad Efectiva Neta - Bajo Anchicayá” presenta discrepancia.</w:t>
      </w:r>
    </w:p>
    <w:p w14:paraId="3EAD80A9" w14:textId="6538115D" w:rsidR="00601774" w:rsidRDefault="00601774" w:rsidP="00601774">
      <w:pPr>
        <w:ind w:left="0"/>
        <w:jc w:val="both"/>
        <w:rPr>
          <w:rFonts w:ascii="Bookman Old Style" w:hAnsi="Bookman Old Style" w:cs="Arial"/>
        </w:rPr>
      </w:pPr>
    </w:p>
    <w:p w14:paraId="2595F766" w14:textId="2EFBA63F" w:rsidR="009F202E" w:rsidRDefault="00601774" w:rsidP="00601774">
      <w:pPr>
        <w:ind w:left="0"/>
        <w:jc w:val="both"/>
        <w:rPr>
          <w:rFonts w:ascii="Bookman Old Style" w:hAnsi="Bookman Old Style" w:cs="Arial"/>
        </w:rPr>
      </w:pPr>
      <w:r w:rsidRPr="008A28AC">
        <w:rPr>
          <w:rFonts w:ascii="Bookman Old Style" w:hAnsi="Bookman Old Style" w:cs="Arial"/>
        </w:rPr>
        <w:t xml:space="preserve">Al respecto, la empresa CELSIA COLOMBIA S.A. E.S. </w:t>
      </w:r>
      <w:r w:rsidR="008A28AC" w:rsidRPr="008A28AC">
        <w:rPr>
          <w:rFonts w:ascii="Bookman Old Style" w:hAnsi="Bookman Old Style" w:cs="Arial"/>
        </w:rPr>
        <w:t xml:space="preserve">manifiesta en las </w:t>
      </w:r>
      <w:r w:rsidRPr="008A28AC">
        <w:rPr>
          <w:rFonts w:ascii="Bookman Old Style" w:hAnsi="Bookman Old Style" w:cs="Arial"/>
        </w:rPr>
        <w:t xml:space="preserve">comunicaciones </w:t>
      </w:r>
      <w:r w:rsidRPr="008A28AC">
        <w:rPr>
          <w:rFonts w:ascii="Bookman Old Style" w:hAnsi="Bookman Old Style" w:cs="Arial"/>
          <w:lang w:val="es-CO"/>
        </w:rPr>
        <w:t>E-2021-0073</w:t>
      </w:r>
      <w:r w:rsidR="005B5942" w:rsidRPr="008A28AC">
        <w:rPr>
          <w:rFonts w:ascii="Bookman Old Style" w:hAnsi="Bookman Old Style" w:cs="Arial"/>
          <w:lang w:val="es-CO"/>
        </w:rPr>
        <w:t>88</w:t>
      </w:r>
      <w:r w:rsidRPr="008A28AC">
        <w:rPr>
          <w:rFonts w:ascii="Bookman Old Style" w:hAnsi="Bookman Old Style" w:cs="Arial"/>
          <w:lang w:val="es-CO"/>
        </w:rPr>
        <w:t xml:space="preserve"> </w:t>
      </w:r>
      <w:r w:rsidRPr="008A28AC">
        <w:rPr>
          <w:rFonts w:ascii="Bookman Old Style" w:hAnsi="Bookman Old Style" w:cs="Arial"/>
          <w:spacing w:val="-5"/>
          <w:lang w:val="es-CO" w:eastAsia="en-US"/>
        </w:rPr>
        <w:t>del 28 de junio de 2021 y E-2021-01023</w:t>
      </w:r>
      <w:r w:rsidR="005B5942" w:rsidRPr="008A28AC">
        <w:rPr>
          <w:rFonts w:ascii="Bookman Old Style" w:hAnsi="Bookman Old Style" w:cs="Arial"/>
          <w:spacing w:val="-5"/>
          <w:lang w:val="es-CO" w:eastAsia="en-US"/>
        </w:rPr>
        <w:t>2</w:t>
      </w:r>
      <w:r w:rsidRPr="008A28AC">
        <w:rPr>
          <w:rFonts w:ascii="Bookman Old Style" w:hAnsi="Bookman Old Style" w:cs="Arial"/>
          <w:spacing w:val="-5"/>
          <w:lang w:val="es-CO" w:eastAsia="en-US"/>
        </w:rPr>
        <w:t xml:space="preserve"> del 1 de septiembre</w:t>
      </w:r>
      <w:r>
        <w:rPr>
          <w:rFonts w:ascii="Bookman Old Style" w:hAnsi="Bookman Old Style" w:cs="Arial"/>
          <w:spacing w:val="-5"/>
          <w:lang w:val="es-CO" w:eastAsia="en-US"/>
        </w:rPr>
        <w:t xml:space="preserve"> de 2021</w:t>
      </w:r>
      <w:r w:rsidR="009F202E">
        <w:rPr>
          <w:rFonts w:ascii="Bookman Old Style" w:hAnsi="Bookman Old Style" w:cs="Arial"/>
          <w:spacing w:val="-5"/>
          <w:lang w:val="es-CO" w:eastAsia="en-US"/>
        </w:rPr>
        <w:t xml:space="preserve">, </w:t>
      </w:r>
      <w:r>
        <w:rPr>
          <w:rFonts w:ascii="Bookman Old Style" w:hAnsi="Bookman Old Style" w:cs="Arial"/>
        </w:rPr>
        <w:t xml:space="preserve">que </w:t>
      </w:r>
      <w:r w:rsidR="009F202E">
        <w:rPr>
          <w:rFonts w:ascii="Bookman Old Style" w:hAnsi="Bookman Old Style" w:cs="Arial"/>
        </w:rPr>
        <w:t>l</w:t>
      </w:r>
      <w:r w:rsidR="009F202E" w:rsidRPr="009F202E">
        <w:rPr>
          <w:rFonts w:ascii="Bookman Old Style" w:hAnsi="Bookman Old Style" w:cs="Arial"/>
        </w:rPr>
        <w:t>a consideración de existencia de discrepancia en la Capacidad Efectiva Neta (CEN) no es correcta, pues la declarada corresponde con los registros de la frontera comercial de cada unidad de generación</w:t>
      </w:r>
      <w:r w:rsidR="009F202E">
        <w:rPr>
          <w:rFonts w:ascii="Bookman Old Style" w:hAnsi="Bookman Old Style" w:cs="Arial"/>
        </w:rPr>
        <w:t xml:space="preserve"> y que</w:t>
      </w:r>
      <w:r w:rsidR="005F5AB5">
        <w:rPr>
          <w:rFonts w:ascii="Bookman Old Style" w:hAnsi="Bookman Old Style" w:cs="Arial"/>
        </w:rPr>
        <w:t>,</w:t>
      </w:r>
      <w:r w:rsidR="009F202E">
        <w:rPr>
          <w:rFonts w:ascii="Bookman Old Style" w:hAnsi="Bookman Old Style" w:cs="Arial"/>
        </w:rPr>
        <w:t xml:space="preserve"> </w:t>
      </w:r>
      <w:r w:rsidR="009F202E" w:rsidRPr="009F202E">
        <w:rPr>
          <w:rFonts w:ascii="Bookman Old Style" w:hAnsi="Bookman Old Style" w:cs="Arial"/>
        </w:rPr>
        <w:t xml:space="preserve"> </w:t>
      </w:r>
      <w:r w:rsidR="009F202E">
        <w:rPr>
          <w:rFonts w:ascii="Bookman Old Style" w:hAnsi="Bookman Old Style" w:cs="Arial"/>
        </w:rPr>
        <w:t>a</w:t>
      </w:r>
      <w:r w:rsidR="009F202E" w:rsidRPr="009F202E">
        <w:rPr>
          <w:rFonts w:ascii="Bookman Old Style" w:hAnsi="Bookman Old Style" w:cs="Arial"/>
        </w:rPr>
        <w:t>demás, la diferencia en Capacidad Efectiva Neta identificada por el Auditor no representa una mayor ENFICC respecto a la declarada por parte de Celsia para esta planta</w:t>
      </w:r>
      <w:r w:rsidR="00391541">
        <w:rPr>
          <w:rFonts w:ascii="Bookman Old Style" w:hAnsi="Bookman Old Style" w:cs="Arial"/>
        </w:rPr>
        <w:t>.</w:t>
      </w:r>
    </w:p>
    <w:p w14:paraId="52F00F7D" w14:textId="77777777" w:rsidR="00031077" w:rsidRDefault="00031077" w:rsidP="00601774">
      <w:pPr>
        <w:ind w:left="0"/>
        <w:jc w:val="both"/>
        <w:rPr>
          <w:rFonts w:ascii="Bookman Old Style" w:hAnsi="Bookman Old Style" w:cs="Arial"/>
        </w:rPr>
      </w:pPr>
    </w:p>
    <w:p w14:paraId="56EAB420" w14:textId="218F287B" w:rsidR="00EF6813" w:rsidRDefault="00EF6813" w:rsidP="00601774">
      <w:pPr>
        <w:ind w:left="0"/>
        <w:jc w:val="both"/>
        <w:rPr>
          <w:rFonts w:ascii="Bookman Old Style" w:hAnsi="Bookman Old Style" w:cs="Arial"/>
        </w:rPr>
      </w:pPr>
      <w:r>
        <w:rPr>
          <w:rFonts w:ascii="Bookman Old Style" w:hAnsi="Bookman Old Style" w:cs="Arial"/>
        </w:rPr>
        <w:t>E</w:t>
      </w:r>
      <w:r w:rsidR="00B76826">
        <w:rPr>
          <w:rFonts w:ascii="Bookman Old Style" w:hAnsi="Bookman Old Style" w:cs="Arial"/>
        </w:rPr>
        <w:t xml:space="preserve">n cuanto al parámetro </w:t>
      </w:r>
      <w:r w:rsidR="00FF7FE1" w:rsidRPr="00B76826">
        <w:rPr>
          <w:rFonts w:ascii="Bookman Old Style" w:hAnsi="Bookman Old Style" w:cs="Arial"/>
          <w:lang w:val="es-CO"/>
        </w:rPr>
        <w:t xml:space="preserve">Serie </w:t>
      </w:r>
      <w:r w:rsidR="00B76826" w:rsidRPr="00B76826">
        <w:rPr>
          <w:rFonts w:ascii="Bookman Old Style" w:hAnsi="Bookman Old Style" w:cs="Arial"/>
          <w:lang w:val="es-CO"/>
        </w:rPr>
        <w:t>histórica de caudales medios mensuales de los ríos del SIN</w:t>
      </w:r>
      <w:r w:rsidR="00B76826">
        <w:rPr>
          <w:rFonts w:ascii="Bookman Old Style" w:hAnsi="Bookman Old Style" w:cs="Arial"/>
          <w:lang w:val="es-CO"/>
        </w:rPr>
        <w:t xml:space="preserve">, precisa que </w:t>
      </w:r>
      <w:r w:rsidR="00601774">
        <w:rPr>
          <w:rFonts w:ascii="Bookman Old Style" w:hAnsi="Bookman Old Style" w:cs="Arial"/>
        </w:rPr>
        <w:t>la información correspondiente a los años 2000 y anteriores corresponde a la homologada y validada como información histórica del SIN a partir de la aplicación del Acuerdo CNO 159 de 2001</w:t>
      </w:r>
      <w:r w:rsidR="005F5AB5">
        <w:rPr>
          <w:rFonts w:ascii="Bookman Old Style" w:hAnsi="Bookman Old Style" w:cs="Arial"/>
        </w:rPr>
        <w:t>,</w:t>
      </w:r>
      <w:r w:rsidR="00601774">
        <w:rPr>
          <w:rFonts w:ascii="Bookman Old Style" w:hAnsi="Bookman Old Style" w:cs="Arial"/>
        </w:rPr>
        <w:t xml:space="preserve"> y en relación con el período 200</w:t>
      </w:r>
      <w:r w:rsidR="00B76826">
        <w:rPr>
          <w:rFonts w:ascii="Bookman Old Style" w:hAnsi="Bookman Old Style" w:cs="Arial"/>
        </w:rPr>
        <w:t>9</w:t>
      </w:r>
      <w:r w:rsidR="00601774">
        <w:rPr>
          <w:rFonts w:ascii="Bookman Old Style" w:hAnsi="Bookman Old Style" w:cs="Arial"/>
        </w:rPr>
        <w:t xml:space="preserve"> al 2017</w:t>
      </w:r>
      <w:r>
        <w:rPr>
          <w:rFonts w:ascii="Bookman Old Style" w:hAnsi="Bookman Old Style" w:cs="Arial"/>
        </w:rPr>
        <w:t>, afirma que presentó las aclaraciones correspondientes</w:t>
      </w:r>
      <w:r w:rsidR="005F5AB5">
        <w:rPr>
          <w:rFonts w:ascii="Bookman Old Style" w:hAnsi="Bookman Old Style" w:cs="Arial"/>
        </w:rPr>
        <w:t>,</w:t>
      </w:r>
      <w:r>
        <w:rPr>
          <w:rFonts w:ascii="Bookman Old Style" w:hAnsi="Bookman Old Style" w:cs="Arial"/>
        </w:rPr>
        <w:t xml:space="preserve"> pero que no fueron tenidas en cuenta en el informe final. </w:t>
      </w:r>
    </w:p>
    <w:p w14:paraId="23623517" w14:textId="099B6FE7" w:rsidR="00EF6813" w:rsidRDefault="00EF6813" w:rsidP="00601774">
      <w:pPr>
        <w:ind w:left="0"/>
        <w:jc w:val="both"/>
        <w:rPr>
          <w:rFonts w:ascii="Bookman Old Style" w:hAnsi="Bookman Old Style" w:cs="Arial"/>
        </w:rPr>
      </w:pPr>
    </w:p>
    <w:p w14:paraId="7580FBFD" w14:textId="42657163" w:rsidR="00EF6813" w:rsidRPr="00EF6813" w:rsidRDefault="00EF6813" w:rsidP="00EF6813">
      <w:pPr>
        <w:ind w:left="0"/>
        <w:jc w:val="both"/>
        <w:rPr>
          <w:rFonts w:ascii="Bookman Old Style" w:hAnsi="Bookman Old Style" w:cs="Arial"/>
        </w:rPr>
      </w:pPr>
      <w:r>
        <w:rPr>
          <w:rFonts w:ascii="Bookman Old Style" w:hAnsi="Bookman Old Style" w:cs="Arial"/>
        </w:rPr>
        <w:t xml:space="preserve">Concluye que </w:t>
      </w:r>
      <w:r w:rsidRPr="00EF6813">
        <w:rPr>
          <w:rFonts w:ascii="Bookman Old Style" w:hAnsi="Bookman Old Style" w:cs="Arial"/>
        </w:rPr>
        <w:t>las series hidrológicas para el periodo 1975-2008 cuentan con el soporte de su validez y verificación de auditorías previas bajo la regulación vigente en ese momento</w:t>
      </w:r>
      <w:r w:rsidR="001E6E2B">
        <w:rPr>
          <w:rFonts w:ascii="Bookman Old Style" w:hAnsi="Bookman Old Style" w:cs="Arial"/>
        </w:rPr>
        <w:t>,</w:t>
      </w:r>
      <w:r>
        <w:rPr>
          <w:rFonts w:ascii="Bookman Old Style" w:hAnsi="Bookman Old Style" w:cs="Arial"/>
        </w:rPr>
        <w:t xml:space="preserve"> y que </w:t>
      </w:r>
      <w:r w:rsidRPr="00EF6813">
        <w:rPr>
          <w:rFonts w:ascii="Bookman Old Style" w:hAnsi="Bookman Old Style" w:cs="Arial"/>
        </w:rPr>
        <w:t xml:space="preserve">las diferencias identificadas para el periodo 2009-2017 no constituyen una mayor ENFICC a la declarada. </w:t>
      </w:r>
    </w:p>
    <w:p w14:paraId="6F72D2F1" w14:textId="5E32D344" w:rsidR="00601774" w:rsidRDefault="00601774" w:rsidP="00601774">
      <w:pPr>
        <w:ind w:left="0"/>
        <w:jc w:val="both"/>
        <w:rPr>
          <w:rFonts w:ascii="Bookman Old Style" w:hAnsi="Bookman Old Style" w:cs="Arial"/>
        </w:rPr>
      </w:pPr>
    </w:p>
    <w:p w14:paraId="596A0E50" w14:textId="11D0CC93" w:rsidR="00391541" w:rsidRDefault="000E14BF" w:rsidP="000E14BF">
      <w:pPr>
        <w:ind w:left="0"/>
        <w:jc w:val="both"/>
        <w:rPr>
          <w:rFonts w:ascii="Bookman Old Style" w:hAnsi="Bookman Old Style" w:cs="Arial"/>
        </w:rPr>
      </w:pPr>
      <w:bookmarkStart w:id="5" w:name="_Hlk95400262"/>
      <w:r w:rsidRPr="00391541">
        <w:rPr>
          <w:rFonts w:ascii="Bookman Old Style" w:hAnsi="Bookman Old Style" w:cs="Arial"/>
        </w:rPr>
        <w:t>A</w:t>
      </w:r>
      <w:r w:rsidR="00391541" w:rsidRPr="00391541">
        <w:rPr>
          <w:rFonts w:ascii="Bookman Old Style" w:hAnsi="Bookman Old Style" w:cs="Arial"/>
        </w:rPr>
        <w:t xml:space="preserve"> partir de lo anterior, </w:t>
      </w:r>
      <w:r w:rsidRPr="00391541">
        <w:rPr>
          <w:rFonts w:ascii="Bookman Old Style" w:hAnsi="Bookman Old Style" w:cs="Arial"/>
        </w:rPr>
        <w:t xml:space="preserve">la CREG encontró conveniente utilizar para simulaciones de XM </w:t>
      </w:r>
      <w:r w:rsidR="001E6E2B">
        <w:rPr>
          <w:rFonts w:ascii="Bookman Old Style" w:hAnsi="Bookman Old Style" w:cs="Arial"/>
        </w:rPr>
        <w:t xml:space="preserve">S.A. E.S.P. </w:t>
      </w:r>
      <w:r w:rsidRPr="00391541">
        <w:rPr>
          <w:rFonts w:ascii="Bookman Old Style" w:hAnsi="Bookman Old Style" w:cs="Arial"/>
        </w:rPr>
        <w:t>las series años 2000 y anteriores de la información d</w:t>
      </w:r>
      <w:bookmarkEnd w:id="5"/>
      <w:r w:rsidRPr="00391541">
        <w:rPr>
          <w:rFonts w:ascii="Bookman Old Style" w:hAnsi="Bookman Old Style" w:cs="Arial"/>
        </w:rPr>
        <w:t>e la Circular CREG 031 de 2008</w:t>
      </w:r>
      <w:r w:rsidR="001E6E2B">
        <w:rPr>
          <w:rFonts w:ascii="Bookman Old Style" w:hAnsi="Bookman Old Style" w:cs="Arial"/>
        </w:rPr>
        <w:t>,</w:t>
      </w:r>
      <w:r w:rsidRPr="00391541">
        <w:rPr>
          <w:rFonts w:ascii="Bookman Old Style" w:hAnsi="Bookman Old Style" w:cs="Arial"/>
        </w:rPr>
        <w:t xml:space="preserve"> que contiene los parámetros reportado</w:t>
      </w:r>
      <w:r w:rsidR="00B129BB">
        <w:rPr>
          <w:rFonts w:ascii="Bookman Old Style" w:hAnsi="Bookman Old Style" w:cs="Arial"/>
        </w:rPr>
        <w:t>s</w:t>
      </w:r>
      <w:r w:rsidRPr="00391541">
        <w:rPr>
          <w:rFonts w:ascii="Bookman Old Style" w:hAnsi="Bookman Old Style" w:cs="Arial"/>
        </w:rPr>
        <w:t xml:space="preserve"> por los agentes a la CREG en cumplimiento de la Resolución CREG 031 de 2007 “</w:t>
      </w:r>
      <w:r w:rsidRPr="00391541">
        <w:rPr>
          <w:rFonts w:ascii="Bookman Old Style" w:hAnsi="Bookman Old Style" w:cs="Arial"/>
          <w:i/>
          <w:iCs/>
        </w:rPr>
        <w:t>Por la cual se adoptan las decisiones de que trata el Artículo 18 y demás disposiciones de la Resolución CREG-071 de 2006, para llevar a cabo la primera Subasta para la Asignación de Obligaciones de Energía Firme del Cargo por Confiabilidad en el Mercado Mayorista de Energía</w:t>
      </w:r>
      <w:r w:rsidRPr="00391541">
        <w:rPr>
          <w:rFonts w:ascii="Bookman Old Style" w:hAnsi="Bookman Old Style" w:cs="Arial"/>
        </w:rPr>
        <w:t xml:space="preserve">”. La auditoría de los parámetros declarados y publicados con la Circular 031 fue adelantada por la firma SEDIC. </w:t>
      </w:r>
    </w:p>
    <w:p w14:paraId="04CFDC41" w14:textId="77777777" w:rsidR="00B723A4" w:rsidRPr="00391541" w:rsidRDefault="00B723A4" w:rsidP="000E14BF">
      <w:pPr>
        <w:ind w:left="0"/>
        <w:jc w:val="both"/>
        <w:rPr>
          <w:rFonts w:ascii="Bookman Old Style" w:hAnsi="Bookman Old Style" w:cs="Arial"/>
        </w:rPr>
      </w:pPr>
    </w:p>
    <w:p w14:paraId="15D52F06" w14:textId="2BB589FD" w:rsidR="000E14BF" w:rsidRDefault="00B129BB" w:rsidP="000E14BF">
      <w:pPr>
        <w:ind w:left="0"/>
        <w:jc w:val="both"/>
        <w:rPr>
          <w:rFonts w:ascii="Bookman Old Style" w:hAnsi="Bookman Old Style" w:cs="Arial"/>
        </w:rPr>
      </w:pPr>
      <w:r>
        <w:rPr>
          <w:rFonts w:ascii="Bookman Old Style" w:hAnsi="Bookman Old Style" w:cs="Arial"/>
        </w:rPr>
        <w:t>E</w:t>
      </w:r>
      <w:r w:rsidR="008A28AC">
        <w:rPr>
          <w:rFonts w:ascii="Bookman Old Style" w:hAnsi="Bookman Old Style" w:cs="Arial"/>
        </w:rPr>
        <w:t>n</w:t>
      </w:r>
      <w:r w:rsidR="000E14BF" w:rsidRPr="00391541">
        <w:rPr>
          <w:rFonts w:ascii="Bookman Old Style" w:hAnsi="Bookman Old Style" w:cs="Arial"/>
        </w:rPr>
        <w:t xml:space="preserve"> lo que respecta al parámetro </w:t>
      </w:r>
      <w:r w:rsidR="00FF7FE1" w:rsidRPr="00391541">
        <w:rPr>
          <w:rFonts w:ascii="Bookman Old Style" w:hAnsi="Bookman Old Style" w:cs="Arial"/>
        </w:rPr>
        <w:t xml:space="preserve">Serie </w:t>
      </w:r>
      <w:r w:rsidR="000E14BF" w:rsidRPr="00391541">
        <w:rPr>
          <w:rFonts w:ascii="Bookman Old Style" w:hAnsi="Bookman Old Style" w:cs="Arial"/>
        </w:rPr>
        <w:t>histórica de caudales mensuales del SIN, el auditor en su informe entregado en la CREG con radicado E-2009-011813, manifiesta que se fundamentan en el Acuerdo CNO 172 de 2001</w:t>
      </w:r>
      <w:r w:rsidR="001E6E2B">
        <w:rPr>
          <w:rFonts w:ascii="Bookman Old Style" w:hAnsi="Bookman Old Style" w:cs="Arial"/>
        </w:rPr>
        <w:t>,</w:t>
      </w:r>
      <w:r w:rsidR="000E14BF" w:rsidRPr="00391541">
        <w:rPr>
          <w:rFonts w:ascii="Bookman Old Style" w:hAnsi="Bookman Old Style" w:cs="Arial"/>
        </w:rPr>
        <w:t xml:space="preserve"> mediante el cual se aprobaron las series de las plantas del SIN</w:t>
      </w:r>
      <w:r w:rsidR="001E6E2B">
        <w:rPr>
          <w:rFonts w:ascii="Bookman Old Style" w:hAnsi="Bookman Old Style" w:cs="Arial"/>
        </w:rPr>
        <w:t>,</w:t>
      </w:r>
      <w:r w:rsidR="000E14BF" w:rsidRPr="00391541">
        <w:rPr>
          <w:rFonts w:ascii="Bookman Old Style" w:hAnsi="Bookman Old Style" w:cs="Arial"/>
        </w:rPr>
        <w:t xml:space="preserve"> dado que se presentaron, revisaron y aprobaron por el Subcomité Hidrológico y de Plantas Hidráulicas. Sobre el parámetro serie hidrológica Digua, el auditor encontró que dicha serie no era discrepante.</w:t>
      </w:r>
    </w:p>
    <w:p w14:paraId="7F630C20" w14:textId="77777777" w:rsidR="000E14BF" w:rsidRDefault="000E14BF" w:rsidP="00601774">
      <w:pPr>
        <w:ind w:left="0"/>
        <w:jc w:val="both"/>
        <w:rPr>
          <w:rFonts w:ascii="Bookman Old Style" w:hAnsi="Bookman Old Style" w:cs="Arial"/>
        </w:rPr>
      </w:pPr>
    </w:p>
    <w:p w14:paraId="23135BD7" w14:textId="09347BA6" w:rsidR="00601774" w:rsidRPr="008A28AC" w:rsidRDefault="008A28AC" w:rsidP="00601774">
      <w:pPr>
        <w:widowControl w:val="0"/>
        <w:adjustRightInd w:val="0"/>
        <w:ind w:left="0"/>
        <w:jc w:val="both"/>
        <w:textAlignment w:val="baseline"/>
        <w:rPr>
          <w:rFonts w:ascii="Bookman Old Style" w:hAnsi="Bookman Old Style" w:cs="Arial"/>
          <w:spacing w:val="-5"/>
          <w:lang w:eastAsia="en-US"/>
        </w:rPr>
      </w:pPr>
      <w:r>
        <w:rPr>
          <w:rFonts w:ascii="Bookman Old Style" w:hAnsi="Bookman Old Style" w:cs="Arial"/>
        </w:rPr>
        <w:t xml:space="preserve">A su vez </w:t>
      </w:r>
      <w:r w:rsidR="00601774" w:rsidRPr="00117D88">
        <w:rPr>
          <w:rFonts w:ascii="Bookman Old Style" w:hAnsi="Bookman Old Style" w:cs="Arial"/>
        </w:rPr>
        <w:t>XM S.A. E.S.</w:t>
      </w:r>
      <w:r w:rsidR="00601774" w:rsidRPr="008A28AC">
        <w:rPr>
          <w:rFonts w:ascii="Bookman Old Style" w:hAnsi="Bookman Old Style" w:cs="Arial"/>
        </w:rPr>
        <w:t>P, como consecuencia del requerimiento efectuado por la Comisión en el auto de pruebas, en el sentido “</w:t>
      </w:r>
      <w:r w:rsidR="00601774" w:rsidRPr="008A28AC">
        <w:rPr>
          <w:rFonts w:ascii="Bookman Old Style" w:hAnsi="Bookman Old Style" w:cs="Arial"/>
          <w:spacing w:val="-5"/>
          <w:lang w:eastAsia="en-US"/>
        </w:rPr>
        <w:t>que adelant</w:t>
      </w:r>
      <w:r w:rsidR="00021016" w:rsidRPr="008A28AC">
        <w:rPr>
          <w:rFonts w:ascii="Bookman Old Style" w:hAnsi="Bookman Old Style" w:cs="Arial"/>
          <w:spacing w:val="-5"/>
          <w:lang w:eastAsia="en-US"/>
        </w:rPr>
        <w:t>e</w:t>
      </w:r>
      <w:r w:rsidR="00601774" w:rsidRPr="008A28AC">
        <w:rPr>
          <w:rFonts w:ascii="Bookman Old Style" w:hAnsi="Bookman Old Style" w:cs="Arial"/>
          <w:spacing w:val="-5"/>
          <w:lang w:eastAsia="en-US"/>
        </w:rPr>
        <w:t xml:space="preserve"> el cálculo de la ENFICC de la planta </w:t>
      </w:r>
      <w:r w:rsidR="00021016" w:rsidRPr="008A28AC">
        <w:rPr>
          <w:rFonts w:ascii="Bookman Old Style" w:hAnsi="Bookman Old Style" w:cs="Arial"/>
          <w:spacing w:val="-5"/>
          <w:lang w:eastAsia="en-US"/>
        </w:rPr>
        <w:t>Bajo</w:t>
      </w:r>
      <w:r w:rsidR="00601774" w:rsidRPr="008A28AC">
        <w:rPr>
          <w:rFonts w:ascii="Bookman Old Style" w:hAnsi="Bookman Old Style" w:cs="Arial"/>
          <w:spacing w:val="-5"/>
          <w:lang w:eastAsia="en-US"/>
        </w:rPr>
        <w:t xml:space="preserve"> Anchicayá utilizando el modelo HIDENFICC, teniendo en cuenta los resultados de la auditoría de parámetros adelantada por la firma HMV Ingenieros.”, y en donde se le precisó que utilizara para el cálculo la siguiente información:</w:t>
      </w:r>
    </w:p>
    <w:p w14:paraId="324A3A22" w14:textId="54B67C22" w:rsidR="00601774" w:rsidRPr="008A28AC" w:rsidRDefault="00601774" w:rsidP="00021016">
      <w:pPr>
        <w:widowControl w:val="0"/>
        <w:adjustRightInd w:val="0"/>
        <w:ind w:left="0"/>
        <w:jc w:val="both"/>
        <w:textAlignment w:val="baseline"/>
        <w:rPr>
          <w:rFonts w:ascii="Bookman Old Style" w:hAnsi="Bookman Old Style" w:cs="Arial"/>
          <w:spacing w:val="-5"/>
          <w:lang w:val="es-CO" w:eastAsia="en-US"/>
        </w:rPr>
      </w:pPr>
    </w:p>
    <w:p w14:paraId="5D71F74A" w14:textId="77777777" w:rsidR="00021016" w:rsidRPr="00693F76" w:rsidRDefault="00021016" w:rsidP="00021016">
      <w:pPr>
        <w:widowControl w:val="0"/>
        <w:adjustRightInd w:val="0"/>
        <w:ind w:left="284"/>
        <w:jc w:val="both"/>
        <w:textAlignment w:val="baseline"/>
        <w:rPr>
          <w:rFonts w:ascii="Bookman Old Style" w:hAnsi="Bookman Old Style" w:cs="Arial"/>
          <w:spacing w:val="-5"/>
          <w:sz w:val="22"/>
          <w:szCs w:val="22"/>
          <w:lang w:val="es-CO" w:eastAsia="en-US"/>
        </w:rPr>
      </w:pPr>
      <w:r w:rsidRPr="00693F76">
        <w:rPr>
          <w:rFonts w:ascii="Bookman Old Style" w:hAnsi="Bookman Old Style" w:cs="Arial"/>
          <w:spacing w:val="-5"/>
          <w:sz w:val="22"/>
          <w:szCs w:val="22"/>
          <w:lang w:val="es-CO" w:eastAsia="en-US"/>
        </w:rPr>
        <w:t>“(…)</w:t>
      </w:r>
    </w:p>
    <w:p w14:paraId="7828A7F9" w14:textId="77777777" w:rsidR="00021016" w:rsidRPr="00693F76" w:rsidRDefault="00021016" w:rsidP="00021016">
      <w:pPr>
        <w:pStyle w:val="Prrafodelista"/>
        <w:widowControl w:val="0"/>
        <w:numPr>
          <w:ilvl w:val="0"/>
          <w:numId w:val="41"/>
        </w:numPr>
        <w:adjustRightInd w:val="0"/>
        <w:jc w:val="both"/>
        <w:textAlignment w:val="baseline"/>
        <w:rPr>
          <w:rFonts w:ascii="Bookman Old Style" w:hAnsi="Bookman Old Style" w:cs="Arial"/>
          <w:spacing w:val="-5"/>
          <w:sz w:val="22"/>
          <w:szCs w:val="22"/>
          <w:lang w:eastAsia="en-US"/>
        </w:rPr>
      </w:pPr>
      <w:r w:rsidRPr="00693F76">
        <w:rPr>
          <w:rFonts w:ascii="Bookman Old Style" w:hAnsi="Bookman Old Style" w:cs="Arial"/>
          <w:spacing w:val="-5"/>
          <w:sz w:val="22"/>
          <w:szCs w:val="22"/>
          <w:lang w:eastAsia="en-US"/>
        </w:rPr>
        <w:t xml:space="preserve">Utilizar la información presentada en la Tabla 1: Serie </w:t>
      </w:r>
      <w:r>
        <w:rPr>
          <w:rFonts w:ascii="Bookman Old Style" w:hAnsi="Bookman Old Style" w:cs="Arial"/>
          <w:spacing w:val="-5"/>
          <w:sz w:val="22"/>
          <w:szCs w:val="22"/>
          <w:lang w:eastAsia="en-US"/>
        </w:rPr>
        <w:t xml:space="preserve">Digua </w:t>
      </w:r>
      <w:r w:rsidRPr="00693F76">
        <w:rPr>
          <w:rFonts w:ascii="Bookman Old Style" w:hAnsi="Bookman Old Style" w:cs="Arial"/>
          <w:spacing w:val="-5"/>
          <w:sz w:val="22"/>
          <w:szCs w:val="22"/>
          <w:lang w:eastAsia="en-US"/>
        </w:rPr>
        <w:t>(m3/s) calculada por la auditoría, la cual se tiene en la comunicación M2021 – 147</w:t>
      </w:r>
      <w:r>
        <w:rPr>
          <w:rFonts w:ascii="Bookman Old Style" w:hAnsi="Bookman Old Style" w:cs="Arial"/>
          <w:spacing w:val="-5"/>
          <w:sz w:val="22"/>
          <w:szCs w:val="22"/>
          <w:lang w:eastAsia="en-US"/>
        </w:rPr>
        <w:t>7</w:t>
      </w:r>
      <w:r w:rsidRPr="00693F76">
        <w:rPr>
          <w:rFonts w:ascii="Bookman Old Style" w:hAnsi="Bookman Old Style" w:cs="Arial"/>
          <w:spacing w:val="-5"/>
          <w:sz w:val="22"/>
          <w:szCs w:val="22"/>
          <w:lang w:eastAsia="en-US"/>
        </w:rPr>
        <w:t xml:space="preserve"> de HMV en respuesta de requerimiento de la CREG, la cual anexamos. </w:t>
      </w:r>
    </w:p>
    <w:p w14:paraId="4AC0F058" w14:textId="77777777" w:rsidR="00021016" w:rsidRDefault="00021016" w:rsidP="00021016">
      <w:pPr>
        <w:pStyle w:val="Prrafodelista"/>
        <w:widowControl w:val="0"/>
        <w:numPr>
          <w:ilvl w:val="0"/>
          <w:numId w:val="41"/>
        </w:numPr>
        <w:adjustRightInd w:val="0"/>
        <w:jc w:val="both"/>
        <w:textAlignment w:val="baseline"/>
        <w:rPr>
          <w:rFonts w:ascii="Bookman Old Style" w:hAnsi="Bookman Old Style" w:cs="Arial"/>
          <w:spacing w:val="-5"/>
          <w:sz w:val="22"/>
          <w:szCs w:val="22"/>
          <w:lang w:eastAsia="en-US"/>
        </w:rPr>
      </w:pPr>
      <w:r w:rsidRPr="00693F76">
        <w:rPr>
          <w:rFonts w:ascii="Bookman Old Style" w:hAnsi="Bookman Old Style" w:cs="Arial"/>
          <w:spacing w:val="-5"/>
          <w:sz w:val="22"/>
          <w:szCs w:val="22"/>
          <w:lang w:eastAsia="en-US"/>
        </w:rPr>
        <w:t>Para los meses sin información que corresponden los meses agosto de 1975 a diciembre de 2000, utilizar la información publicada en la Circular CREG 031 DE 2008</w:t>
      </w:r>
      <w:r>
        <w:rPr>
          <w:rFonts w:ascii="Bookman Old Style" w:hAnsi="Bookman Old Style" w:cs="Arial"/>
          <w:spacing w:val="-5"/>
          <w:sz w:val="22"/>
          <w:szCs w:val="22"/>
          <w:lang w:eastAsia="en-US"/>
        </w:rPr>
        <w:t>.</w:t>
      </w:r>
    </w:p>
    <w:p w14:paraId="66D14798" w14:textId="77777777" w:rsidR="00021016" w:rsidRPr="00693F76" w:rsidRDefault="00021016" w:rsidP="00021016">
      <w:pPr>
        <w:widowControl w:val="0"/>
        <w:adjustRightInd w:val="0"/>
        <w:ind w:left="360"/>
        <w:jc w:val="both"/>
        <w:textAlignment w:val="baseline"/>
        <w:rPr>
          <w:rFonts w:ascii="Bookman Old Style" w:hAnsi="Bookman Old Style" w:cs="Arial"/>
          <w:spacing w:val="-5"/>
          <w:sz w:val="22"/>
          <w:szCs w:val="22"/>
          <w:lang w:eastAsia="en-US"/>
        </w:rPr>
      </w:pPr>
      <w:r>
        <w:rPr>
          <w:rFonts w:ascii="Bookman Old Style" w:hAnsi="Bookman Old Style" w:cs="Arial"/>
          <w:spacing w:val="-5"/>
          <w:sz w:val="22"/>
          <w:szCs w:val="22"/>
          <w:lang w:eastAsia="en-US"/>
        </w:rPr>
        <w:t>(…)”</w:t>
      </w:r>
    </w:p>
    <w:p w14:paraId="2C3022F3" w14:textId="77777777" w:rsidR="00601774" w:rsidRDefault="00601774" w:rsidP="00601774">
      <w:pPr>
        <w:widowControl w:val="0"/>
        <w:adjustRightInd w:val="0"/>
        <w:ind w:left="0"/>
        <w:jc w:val="both"/>
        <w:textAlignment w:val="baseline"/>
        <w:rPr>
          <w:rFonts w:ascii="Bookman Old Style" w:hAnsi="Bookman Old Style" w:cs="Arial"/>
          <w:spacing w:val="-5"/>
          <w:lang w:eastAsia="en-US"/>
        </w:rPr>
      </w:pPr>
    </w:p>
    <w:p w14:paraId="4DB99653" w14:textId="76D5DF48" w:rsidR="00601774" w:rsidRDefault="00601774" w:rsidP="00601774">
      <w:pPr>
        <w:widowControl w:val="0"/>
        <w:adjustRightInd w:val="0"/>
        <w:ind w:left="0"/>
        <w:jc w:val="both"/>
        <w:textAlignment w:val="baseline"/>
        <w:rPr>
          <w:rFonts w:ascii="Bookman Old Style" w:hAnsi="Bookman Old Style" w:cs="Arial"/>
          <w:spacing w:val="-5"/>
          <w:lang w:val="es-CO" w:eastAsia="en-US"/>
        </w:rPr>
      </w:pPr>
      <w:r w:rsidRPr="002D24D1">
        <w:rPr>
          <w:rFonts w:ascii="Bookman Old Style" w:hAnsi="Bookman Old Style" w:cs="Arial"/>
          <w:spacing w:val="-5"/>
          <w:lang w:eastAsia="en-US"/>
        </w:rPr>
        <w:t xml:space="preserve">señaló a través de la comunicación </w:t>
      </w:r>
      <w:r w:rsidRPr="002D24D1">
        <w:rPr>
          <w:rFonts w:ascii="Bookman Old Style" w:hAnsi="Bookman Old Style" w:cs="Arial"/>
          <w:spacing w:val="-5"/>
          <w:lang w:val="es-CO" w:eastAsia="en-US"/>
        </w:rPr>
        <w:t>E-2021-01235</w:t>
      </w:r>
      <w:r w:rsidR="00021016" w:rsidRPr="002D24D1">
        <w:rPr>
          <w:rFonts w:ascii="Bookman Old Style" w:hAnsi="Bookman Old Style" w:cs="Arial"/>
          <w:spacing w:val="-5"/>
          <w:lang w:val="es-CO" w:eastAsia="en-US"/>
        </w:rPr>
        <w:t>9</w:t>
      </w:r>
      <w:r w:rsidRPr="002D24D1">
        <w:rPr>
          <w:rFonts w:ascii="Bookman Old Style" w:hAnsi="Bookman Old Style" w:cs="Arial"/>
          <w:spacing w:val="-5"/>
          <w:lang w:val="es-CO" w:eastAsia="en-US"/>
        </w:rPr>
        <w:t xml:space="preserve"> del 21 de octubre de 2021, en la “Tabla 2. Resultados ENFICC” lo siguiente:</w:t>
      </w:r>
    </w:p>
    <w:p w14:paraId="2814D3CD" w14:textId="77777777" w:rsidR="00601774" w:rsidRDefault="00601774" w:rsidP="00601774">
      <w:pPr>
        <w:widowControl w:val="0"/>
        <w:adjustRightInd w:val="0"/>
        <w:ind w:left="0"/>
        <w:jc w:val="both"/>
        <w:textAlignment w:val="baseline"/>
        <w:rPr>
          <w:rFonts w:ascii="Bookman Old Style" w:hAnsi="Bookman Old Style" w:cs="Arial"/>
          <w:spacing w:val="-5"/>
          <w:lang w:val="es-CO" w:eastAsia="en-US"/>
        </w:rPr>
      </w:pPr>
    </w:p>
    <w:p w14:paraId="5077BE63" w14:textId="130BB0CD" w:rsidR="00021016" w:rsidRPr="00021016" w:rsidRDefault="00601774" w:rsidP="00021016">
      <w:pPr>
        <w:widowControl w:val="0"/>
        <w:adjustRightInd w:val="0"/>
        <w:ind w:left="426"/>
        <w:jc w:val="both"/>
        <w:textAlignment w:val="baseline"/>
        <w:rPr>
          <w:rFonts w:ascii="Bookman Old Style" w:hAnsi="Bookman Old Style" w:cs="Arial"/>
          <w:spacing w:val="-5"/>
          <w:lang w:val="es-CO" w:eastAsia="en-US"/>
        </w:rPr>
      </w:pPr>
      <w:r>
        <w:rPr>
          <w:rFonts w:ascii="Bookman Old Style" w:hAnsi="Bookman Old Style" w:cs="Arial"/>
          <w:spacing w:val="-5"/>
          <w:lang w:val="es-CO" w:eastAsia="en-US"/>
        </w:rPr>
        <w:t>“(…)</w:t>
      </w:r>
    </w:p>
    <w:p w14:paraId="661A018B" w14:textId="77777777" w:rsidR="00021016" w:rsidRPr="0084131A" w:rsidRDefault="00021016" w:rsidP="00021016">
      <w:pPr>
        <w:widowControl w:val="0"/>
        <w:adjustRightInd w:val="0"/>
        <w:ind w:left="426"/>
        <w:jc w:val="center"/>
        <w:textAlignment w:val="baseline"/>
        <w:rPr>
          <w:rFonts w:ascii="Calibri Light" w:hAnsi="Calibri Light" w:cs="Calibri Light"/>
          <w:spacing w:val="-5"/>
          <w:sz w:val="20"/>
          <w:szCs w:val="20"/>
          <w:lang w:eastAsia="en-US"/>
        </w:rPr>
      </w:pPr>
      <w:r w:rsidRPr="0084131A">
        <w:rPr>
          <w:rFonts w:ascii="Calibri Light" w:hAnsi="Calibri Light" w:cs="Calibri Light"/>
          <w:b/>
          <w:bCs/>
          <w:spacing w:val="-5"/>
          <w:sz w:val="20"/>
          <w:szCs w:val="20"/>
          <w:lang w:eastAsia="en-US"/>
        </w:rPr>
        <w:t>Tabla 2</w:t>
      </w:r>
      <w:r w:rsidRPr="0084131A">
        <w:rPr>
          <w:rFonts w:ascii="Calibri Light" w:hAnsi="Calibri Light" w:cs="Calibri Light"/>
          <w:spacing w:val="-5"/>
          <w:sz w:val="20"/>
          <w:szCs w:val="20"/>
          <w:lang w:eastAsia="en-US"/>
        </w:rPr>
        <w:t>. Resultados ENFICC</w:t>
      </w:r>
    </w:p>
    <w:tbl>
      <w:tblPr>
        <w:tblStyle w:val="Tablaconcuadrcula"/>
        <w:tblW w:w="0" w:type="auto"/>
        <w:tblInd w:w="426" w:type="dxa"/>
        <w:tblLook w:val="04A0" w:firstRow="1" w:lastRow="0" w:firstColumn="1" w:lastColumn="0" w:noHBand="0" w:noVBand="1"/>
      </w:tblPr>
      <w:tblGrid>
        <w:gridCol w:w="2179"/>
        <w:gridCol w:w="2177"/>
        <w:gridCol w:w="2177"/>
        <w:gridCol w:w="2245"/>
      </w:tblGrid>
      <w:tr w:rsidR="00021016" w:rsidRPr="00F92A5A" w14:paraId="3DCC165C" w14:textId="77777777" w:rsidTr="002159B3">
        <w:tc>
          <w:tcPr>
            <w:tcW w:w="2179" w:type="dxa"/>
          </w:tcPr>
          <w:p w14:paraId="0EBA172D" w14:textId="77777777" w:rsidR="00021016" w:rsidRPr="00F92A5A" w:rsidRDefault="00021016" w:rsidP="002159B3">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Tipo de ENFICC</w:t>
            </w:r>
          </w:p>
        </w:tc>
        <w:tc>
          <w:tcPr>
            <w:tcW w:w="2177" w:type="dxa"/>
          </w:tcPr>
          <w:p w14:paraId="1417DF7C" w14:textId="77777777" w:rsidR="00021016" w:rsidRPr="00F92A5A" w:rsidRDefault="00021016" w:rsidP="002159B3">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Valor Calculado en 2019</w:t>
            </w:r>
          </w:p>
        </w:tc>
        <w:tc>
          <w:tcPr>
            <w:tcW w:w="2177" w:type="dxa"/>
          </w:tcPr>
          <w:p w14:paraId="72E54C1F" w14:textId="77777777" w:rsidR="00021016" w:rsidRPr="00F92A5A" w:rsidRDefault="00021016" w:rsidP="002159B3">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 Verificada 2019</w:t>
            </w:r>
          </w:p>
        </w:tc>
        <w:tc>
          <w:tcPr>
            <w:tcW w:w="2245" w:type="dxa"/>
          </w:tcPr>
          <w:p w14:paraId="61A62451" w14:textId="77777777" w:rsidR="00021016" w:rsidRPr="00F92A5A" w:rsidRDefault="00021016" w:rsidP="002159B3">
            <w:pPr>
              <w:widowControl w:val="0"/>
              <w:adjustRightInd w:val="0"/>
              <w:ind w:left="0"/>
              <w:jc w:val="center"/>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Valor Calculado en atención al Acto Administrativo de la CREG</w:t>
            </w:r>
          </w:p>
        </w:tc>
      </w:tr>
      <w:tr w:rsidR="00021016" w:rsidRPr="00F92A5A" w14:paraId="2B57A699" w14:textId="77777777" w:rsidTr="002159B3">
        <w:tc>
          <w:tcPr>
            <w:tcW w:w="2179" w:type="dxa"/>
          </w:tcPr>
          <w:p w14:paraId="5982A694" w14:textId="77777777" w:rsidR="00021016" w:rsidRPr="00F92A5A" w:rsidRDefault="00021016" w:rsidP="002159B3">
            <w:pPr>
              <w:widowControl w:val="0"/>
              <w:adjustRightInd w:val="0"/>
              <w:ind w:left="0"/>
              <w:jc w:val="both"/>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ENFICC-BASE (kWh/día)</w:t>
            </w:r>
          </w:p>
        </w:tc>
        <w:tc>
          <w:tcPr>
            <w:tcW w:w="2177" w:type="dxa"/>
          </w:tcPr>
          <w:p w14:paraId="043D6FD5" w14:textId="77777777" w:rsidR="00021016" w:rsidRPr="00F92A5A" w:rsidRDefault="00021016" w:rsidP="002159B3">
            <w:pPr>
              <w:widowControl w:val="0"/>
              <w:adjustRightInd w:val="0"/>
              <w:ind w:left="0"/>
              <w:jc w:val="center"/>
              <w:textAlignment w:val="baseline"/>
              <w:rPr>
                <w:rFonts w:ascii="Calibri Light" w:hAnsi="Calibri Light" w:cs="Calibri Light"/>
                <w:spacing w:val="-5"/>
                <w:sz w:val="20"/>
                <w:szCs w:val="20"/>
                <w:lang w:eastAsia="en-US"/>
              </w:rPr>
            </w:pPr>
            <w:r>
              <w:rPr>
                <w:rFonts w:ascii="Calibri Light" w:hAnsi="Calibri Light" w:cs="Calibri Light"/>
                <w:spacing w:val="-5"/>
                <w:sz w:val="20"/>
                <w:szCs w:val="20"/>
                <w:lang w:eastAsia="en-US"/>
              </w:rPr>
              <w:t>313,036</w:t>
            </w:r>
          </w:p>
        </w:tc>
        <w:tc>
          <w:tcPr>
            <w:tcW w:w="2177" w:type="dxa"/>
            <w:vMerge w:val="restart"/>
          </w:tcPr>
          <w:p w14:paraId="43F7FFB7" w14:textId="77777777" w:rsidR="00021016" w:rsidRPr="00F92A5A" w:rsidRDefault="00021016" w:rsidP="002159B3">
            <w:pPr>
              <w:widowControl w:val="0"/>
              <w:adjustRightInd w:val="0"/>
              <w:ind w:left="0"/>
              <w:jc w:val="center"/>
              <w:textAlignment w:val="baseline"/>
              <w:rPr>
                <w:rFonts w:ascii="Calibri Light" w:hAnsi="Calibri Light" w:cs="Calibri Light"/>
                <w:spacing w:val="-5"/>
                <w:sz w:val="20"/>
                <w:szCs w:val="20"/>
                <w:lang w:eastAsia="en-US"/>
              </w:rPr>
            </w:pPr>
            <w:r>
              <w:rPr>
                <w:rFonts w:ascii="Calibri Light" w:hAnsi="Calibri Light" w:cs="Calibri Light"/>
                <w:spacing w:val="-5"/>
                <w:sz w:val="20"/>
                <w:szCs w:val="20"/>
                <w:lang w:eastAsia="en-US"/>
              </w:rPr>
              <w:t>322,275</w:t>
            </w:r>
            <w:r w:rsidRPr="00F92A5A">
              <w:rPr>
                <w:rFonts w:ascii="Calibri Light" w:hAnsi="Calibri Light" w:cs="Calibri Light"/>
                <w:spacing w:val="-5"/>
                <w:sz w:val="20"/>
                <w:szCs w:val="20"/>
                <w:lang w:eastAsia="en-US"/>
              </w:rPr>
              <w:t xml:space="preserve"> </w:t>
            </w:r>
          </w:p>
        </w:tc>
        <w:tc>
          <w:tcPr>
            <w:tcW w:w="2245" w:type="dxa"/>
          </w:tcPr>
          <w:p w14:paraId="1C19F84F" w14:textId="77777777" w:rsidR="00021016" w:rsidRPr="00F92A5A" w:rsidRDefault="00021016" w:rsidP="002159B3">
            <w:pPr>
              <w:widowControl w:val="0"/>
              <w:adjustRightInd w:val="0"/>
              <w:ind w:left="0"/>
              <w:jc w:val="center"/>
              <w:textAlignment w:val="baseline"/>
              <w:rPr>
                <w:rFonts w:ascii="Calibri Light" w:hAnsi="Calibri Light" w:cs="Calibri Light"/>
                <w:spacing w:val="-5"/>
                <w:sz w:val="20"/>
                <w:szCs w:val="20"/>
                <w:lang w:eastAsia="en-US"/>
              </w:rPr>
            </w:pPr>
            <w:r>
              <w:rPr>
                <w:rFonts w:ascii="Calibri Light" w:hAnsi="Calibri Light" w:cs="Calibri Light"/>
                <w:spacing w:val="-5"/>
                <w:sz w:val="20"/>
                <w:szCs w:val="20"/>
                <w:lang w:eastAsia="en-US"/>
              </w:rPr>
              <w:t>313,036</w:t>
            </w:r>
          </w:p>
        </w:tc>
      </w:tr>
      <w:tr w:rsidR="00021016" w:rsidRPr="00F92A5A" w14:paraId="2FBD9025" w14:textId="77777777" w:rsidTr="002159B3">
        <w:tc>
          <w:tcPr>
            <w:tcW w:w="2179" w:type="dxa"/>
          </w:tcPr>
          <w:p w14:paraId="5C9F0263" w14:textId="77777777" w:rsidR="00021016" w:rsidRPr="00F92A5A" w:rsidRDefault="00021016" w:rsidP="002159B3">
            <w:pPr>
              <w:widowControl w:val="0"/>
              <w:adjustRightInd w:val="0"/>
              <w:ind w:left="0"/>
              <w:jc w:val="both"/>
              <w:textAlignment w:val="baseline"/>
              <w:rPr>
                <w:rFonts w:ascii="Calibri Light" w:hAnsi="Calibri Light" w:cs="Calibri Light"/>
                <w:b/>
                <w:bCs/>
                <w:spacing w:val="-5"/>
                <w:sz w:val="20"/>
                <w:szCs w:val="20"/>
                <w:lang w:eastAsia="en-US"/>
              </w:rPr>
            </w:pPr>
            <w:r w:rsidRPr="00F92A5A">
              <w:rPr>
                <w:rFonts w:ascii="Calibri Light" w:hAnsi="Calibri Light" w:cs="Calibri Light"/>
                <w:b/>
                <w:bCs/>
                <w:spacing w:val="-5"/>
                <w:sz w:val="20"/>
                <w:szCs w:val="20"/>
                <w:lang w:eastAsia="en-US"/>
              </w:rPr>
              <w:t>ENFICC 98PSS (kWh/día)</w:t>
            </w:r>
          </w:p>
        </w:tc>
        <w:tc>
          <w:tcPr>
            <w:tcW w:w="2177" w:type="dxa"/>
          </w:tcPr>
          <w:p w14:paraId="5B2B82C1" w14:textId="77777777" w:rsidR="00021016" w:rsidRPr="00F92A5A" w:rsidRDefault="00021016" w:rsidP="002159B3">
            <w:pPr>
              <w:widowControl w:val="0"/>
              <w:adjustRightInd w:val="0"/>
              <w:ind w:left="0"/>
              <w:jc w:val="center"/>
              <w:textAlignment w:val="baseline"/>
              <w:rPr>
                <w:rFonts w:ascii="Calibri Light" w:hAnsi="Calibri Light" w:cs="Calibri Light"/>
                <w:spacing w:val="-5"/>
                <w:sz w:val="20"/>
                <w:szCs w:val="20"/>
                <w:lang w:eastAsia="en-US"/>
              </w:rPr>
            </w:pPr>
            <w:r>
              <w:rPr>
                <w:rFonts w:ascii="Calibri Light" w:hAnsi="Calibri Light" w:cs="Calibri Light"/>
                <w:spacing w:val="-5"/>
                <w:sz w:val="20"/>
                <w:szCs w:val="20"/>
                <w:lang w:eastAsia="en-US"/>
              </w:rPr>
              <w:t>322,275</w:t>
            </w:r>
          </w:p>
        </w:tc>
        <w:tc>
          <w:tcPr>
            <w:tcW w:w="2177" w:type="dxa"/>
            <w:vMerge/>
          </w:tcPr>
          <w:p w14:paraId="2F440A72" w14:textId="77777777" w:rsidR="00021016" w:rsidRPr="00F92A5A" w:rsidRDefault="00021016" w:rsidP="002159B3">
            <w:pPr>
              <w:widowControl w:val="0"/>
              <w:adjustRightInd w:val="0"/>
              <w:ind w:left="0"/>
              <w:jc w:val="both"/>
              <w:textAlignment w:val="baseline"/>
              <w:rPr>
                <w:rFonts w:ascii="Calibri Light" w:hAnsi="Calibri Light" w:cs="Calibri Light"/>
                <w:spacing w:val="-5"/>
                <w:sz w:val="20"/>
                <w:szCs w:val="20"/>
                <w:lang w:eastAsia="en-US"/>
              </w:rPr>
            </w:pPr>
          </w:p>
        </w:tc>
        <w:tc>
          <w:tcPr>
            <w:tcW w:w="2245" w:type="dxa"/>
          </w:tcPr>
          <w:p w14:paraId="60517335" w14:textId="77777777" w:rsidR="00021016" w:rsidRPr="00F92A5A" w:rsidRDefault="00021016" w:rsidP="002159B3">
            <w:pPr>
              <w:widowControl w:val="0"/>
              <w:adjustRightInd w:val="0"/>
              <w:ind w:left="0"/>
              <w:jc w:val="center"/>
              <w:textAlignment w:val="baseline"/>
              <w:rPr>
                <w:rFonts w:ascii="Calibri Light" w:hAnsi="Calibri Light" w:cs="Calibri Light"/>
                <w:spacing w:val="-5"/>
                <w:sz w:val="20"/>
                <w:szCs w:val="20"/>
                <w:lang w:eastAsia="en-US"/>
              </w:rPr>
            </w:pPr>
            <w:r>
              <w:rPr>
                <w:rFonts w:ascii="Calibri Light" w:hAnsi="Calibri Light" w:cs="Calibri Light"/>
                <w:spacing w:val="-5"/>
                <w:sz w:val="20"/>
                <w:szCs w:val="20"/>
                <w:lang w:eastAsia="en-US"/>
              </w:rPr>
              <w:t>322,275</w:t>
            </w:r>
          </w:p>
        </w:tc>
      </w:tr>
    </w:tbl>
    <w:p w14:paraId="164FB7C2" w14:textId="77777777" w:rsidR="00021016" w:rsidRDefault="00021016" w:rsidP="00021016">
      <w:pPr>
        <w:widowControl w:val="0"/>
        <w:adjustRightInd w:val="0"/>
        <w:ind w:left="426"/>
        <w:jc w:val="both"/>
        <w:textAlignment w:val="baseline"/>
        <w:rPr>
          <w:rFonts w:ascii="Bookman Old Style" w:hAnsi="Bookman Old Style" w:cs="Arial"/>
          <w:spacing w:val="-5"/>
          <w:lang w:eastAsia="en-US"/>
        </w:rPr>
      </w:pPr>
    </w:p>
    <w:p w14:paraId="0B493890" w14:textId="77777777" w:rsidR="00021016" w:rsidRPr="00C64C55" w:rsidRDefault="00021016" w:rsidP="00021016">
      <w:pPr>
        <w:widowControl w:val="0"/>
        <w:adjustRightInd w:val="0"/>
        <w:ind w:left="426"/>
        <w:jc w:val="both"/>
        <w:textAlignment w:val="baseline"/>
        <w:rPr>
          <w:rFonts w:ascii="Bookman Old Style" w:hAnsi="Bookman Old Style" w:cs="Arial"/>
          <w:spacing w:val="-5"/>
          <w:sz w:val="22"/>
          <w:szCs w:val="22"/>
          <w:lang w:val="es-CO" w:eastAsia="en-US"/>
        </w:rPr>
      </w:pPr>
      <w:r w:rsidRPr="00C64C55">
        <w:rPr>
          <w:rFonts w:ascii="Bookman Old Style" w:hAnsi="Bookman Old Style" w:cs="Arial"/>
          <w:spacing w:val="-5"/>
          <w:sz w:val="22"/>
          <w:szCs w:val="22"/>
          <w:lang w:eastAsia="en-US"/>
        </w:rPr>
        <w:t>(…)”</w:t>
      </w:r>
    </w:p>
    <w:p w14:paraId="4B45992F" w14:textId="77777777" w:rsidR="00601774" w:rsidRDefault="00601774" w:rsidP="00601774">
      <w:pPr>
        <w:widowControl w:val="0"/>
        <w:adjustRightInd w:val="0"/>
        <w:ind w:left="0"/>
        <w:jc w:val="both"/>
        <w:textAlignment w:val="baseline"/>
        <w:rPr>
          <w:rFonts w:ascii="Bookman Old Style" w:hAnsi="Bookman Old Style" w:cs="Arial"/>
          <w:spacing w:val="-5"/>
          <w:lang w:eastAsia="en-US"/>
        </w:rPr>
      </w:pPr>
    </w:p>
    <w:p w14:paraId="27988D39" w14:textId="751ABA86" w:rsidR="006E015D" w:rsidRPr="00CD4F22" w:rsidRDefault="006E015D" w:rsidP="006E015D">
      <w:pPr>
        <w:shd w:val="clear" w:color="auto" w:fill="FFFFFF"/>
        <w:ind w:left="0"/>
        <w:jc w:val="both"/>
        <w:rPr>
          <w:rFonts w:ascii="Bookman Old Style" w:hAnsi="Bookman Old Style" w:cs="Calibri"/>
          <w:color w:val="222222"/>
          <w:lang w:val="es-CO" w:eastAsia="es-CO"/>
        </w:rPr>
      </w:pPr>
      <w:bookmarkStart w:id="6" w:name="_Hlk95400445"/>
      <w:r w:rsidRPr="00CD4F22">
        <w:rPr>
          <w:rFonts w:ascii="Bookman Old Style" w:hAnsi="Bookman Old Style" w:cs="Segoe UI"/>
          <w:color w:val="242424"/>
          <w:shd w:val="clear" w:color="auto" w:fill="FFFFFF"/>
          <w:lang w:val="es-CO" w:eastAsia="es-CO"/>
        </w:rPr>
        <w:t xml:space="preserve">En relación con </w:t>
      </w:r>
      <w:r>
        <w:rPr>
          <w:rFonts w:ascii="Bookman Old Style" w:hAnsi="Bookman Old Style" w:cs="Segoe UI"/>
          <w:color w:val="242424"/>
          <w:shd w:val="clear" w:color="auto" w:fill="FFFFFF"/>
          <w:lang w:val="es-CO" w:eastAsia="es-CO"/>
        </w:rPr>
        <w:t xml:space="preserve">esta </w:t>
      </w:r>
      <w:r w:rsidR="00FF7FE1">
        <w:rPr>
          <w:rFonts w:ascii="Bookman Old Style" w:hAnsi="Bookman Old Style" w:cs="Segoe UI"/>
          <w:color w:val="242424"/>
          <w:shd w:val="clear" w:color="auto" w:fill="FFFFFF"/>
          <w:lang w:val="es-CO" w:eastAsia="es-CO"/>
        </w:rPr>
        <w:t>Tabla</w:t>
      </w:r>
      <w:r w:rsidR="00FF7FE1" w:rsidRPr="00CD4F22">
        <w:rPr>
          <w:rFonts w:ascii="Bookman Old Style" w:hAnsi="Bookman Old Style" w:cs="Segoe UI"/>
          <w:color w:val="242424"/>
          <w:shd w:val="clear" w:color="auto" w:fill="FFFFFF"/>
          <w:lang w:val="es-CO" w:eastAsia="es-CO"/>
        </w:rPr>
        <w:t xml:space="preserve"> </w:t>
      </w:r>
      <w:r w:rsidRPr="00CD4F22">
        <w:rPr>
          <w:rFonts w:ascii="Bookman Old Style" w:hAnsi="Bookman Old Style" w:cs="Segoe UI"/>
          <w:color w:val="242424"/>
          <w:shd w:val="clear" w:color="auto" w:fill="FFFFFF"/>
          <w:lang w:val="es-CO" w:eastAsia="es-CO"/>
        </w:rPr>
        <w:t xml:space="preserve">2, </w:t>
      </w:r>
      <w:r>
        <w:rPr>
          <w:rFonts w:ascii="Bookman Old Style" w:hAnsi="Bookman Old Style" w:cs="Segoe UI"/>
          <w:color w:val="242424"/>
          <w:shd w:val="clear" w:color="auto" w:fill="FFFFFF"/>
          <w:lang w:val="es-CO" w:eastAsia="es-CO"/>
        </w:rPr>
        <w:t xml:space="preserve">se precisa que </w:t>
      </w:r>
      <w:r w:rsidRPr="00CD4F22">
        <w:rPr>
          <w:rFonts w:ascii="Bookman Old Style" w:hAnsi="Bookman Old Style" w:cs="Segoe UI"/>
          <w:color w:val="242424"/>
          <w:shd w:val="clear" w:color="auto" w:fill="FFFFFF"/>
          <w:lang w:val="es-CO" w:eastAsia="es-CO"/>
        </w:rPr>
        <w:t xml:space="preserve">el </w:t>
      </w:r>
      <w:r>
        <w:rPr>
          <w:rFonts w:ascii="Bookman Old Style" w:hAnsi="Bookman Old Style" w:cs="Segoe UI"/>
          <w:color w:val="242424"/>
          <w:shd w:val="clear" w:color="auto" w:fill="FFFFFF"/>
          <w:lang w:val="es-CO" w:eastAsia="es-CO"/>
        </w:rPr>
        <w:t>v</w:t>
      </w:r>
      <w:r w:rsidRPr="00CD4F22">
        <w:rPr>
          <w:rFonts w:ascii="Bookman Old Style" w:hAnsi="Bookman Old Style" w:cs="Segoe UI"/>
          <w:color w:val="242424"/>
          <w:shd w:val="clear" w:color="auto" w:fill="FFFFFF"/>
          <w:lang w:val="es-CO" w:eastAsia="es-CO"/>
        </w:rPr>
        <w:t xml:space="preserve">alor </w:t>
      </w:r>
      <w:r>
        <w:rPr>
          <w:rFonts w:ascii="Bookman Old Style" w:hAnsi="Bookman Old Style" w:cs="Segoe UI"/>
          <w:color w:val="242424"/>
          <w:shd w:val="clear" w:color="auto" w:fill="FFFFFF"/>
          <w:lang w:val="es-CO" w:eastAsia="es-CO"/>
        </w:rPr>
        <w:t>c</w:t>
      </w:r>
      <w:r w:rsidRPr="00CD4F22">
        <w:rPr>
          <w:rFonts w:ascii="Bookman Old Style" w:hAnsi="Bookman Old Style" w:cs="Segoe UI"/>
          <w:color w:val="242424"/>
          <w:shd w:val="clear" w:color="auto" w:fill="FFFFFF"/>
          <w:lang w:val="es-CO" w:eastAsia="es-CO"/>
        </w:rPr>
        <w:t>alculado en 2019 corresponde a los valores estimados teniendo en cuenta los parámetros declarados para la subasta de CxC adelanta</w:t>
      </w:r>
      <w:r>
        <w:rPr>
          <w:rFonts w:ascii="Bookman Old Style" w:hAnsi="Bookman Old Style" w:cs="Segoe UI"/>
          <w:color w:val="242424"/>
          <w:shd w:val="clear" w:color="auto" w:fill="FFFFFF"/>
          <w:lang w:val="es-CO" w:eastAsia="es-CO"/>
        </w:rPr>
        <w:t>da</w:t>
      </w:r>
      <w:r w:rsidRPr="00CD4F22">
        <w:rPr>
          <w:rFonts w:ascii="Bookman Old Style" w:hAnsi="Bookman Old Style" w:cs="Segoe UI"/>
          <w:color w:val="242424"/>
          <w:shd w:val="clear" w:color="auto" w:fill="FFFFFF"/>
          <w:lang w:val="es-CO" w:eastAsia="es-CO"/>
        </w:rPr>
        <w:t xml:space="preserve"> en 2019. La ENFICC </w:t>
      </w:r>
      <w:r>
        <w:rPr>
          <w:rFonts w:ascii="Bookman Old Style" w:hAnsi="Bookman Old Style" w:cs="Segoe UI"/>
          <w:color w:val="242424"/>
          <w:shd w:val="clear" w:color="auto" w:fill="FFFFFF"/>
          <w:lang w:val="es-CO" w:eastAsia="es-CO"/>
        </w:rPr>
        <w:t>v</w:t>
      </w:r>
      <w:r w:rsidRPr="00CD4F22">
        <w:rPr>
          <w:rFonts w:ascii="Bookman Old Style" w:hAnsi="Bookman Old Style" w:cs="Segoe UI"/>
          <w:color w:val="242424"/>
          <w:shd w:val="clear" w:color="auto" w:fill="FFFFFF"/>
          <w:lang w:val="es-CO" w:eastAsia="es-CO"/>
        </w:rPr>
        <w:t>erificada corresponde a la energía firme verificada por el CND de acuerdo con el procedimiento previsto en la Resolución CREG 071 de 2006</w:t>
      </w:r>
      <w:r>
        <w:rPr>
          <w:rFonts w:ascii="Bookman Old Style" w:hAnsi="Bookman Old Style" w:cs="Segoe UI"/>
          <w:color w:val="242424"/>
          <w:shd w:val="clear" w:color="auto" w:fill="FFFFFF"/>
          <w:lang w:val="es-CO" w:eastAsia="es-CO"/>
        </w:rPr>
        <w:t xml:space="preserve">, la </w:t>
      </w:r>
      <w:r w:rsidRPr="00CD4F22">
        <w:rPr>
          <w:rFonts w:ascii="Bookman Old Style" w:hAnsi="Bookman Old Style" w:cs="Segoe UI"/>
          <w:color w:val="242424"/>
          <w:shd w:val="clear" w:color="auto" w:fill="FFFFFF"/>
          <w:lang w:val="es-CO" w:eastAsia="es-CO"/>
        </w:rPr>
        <w:t>ENFICC Base</w:t>
      </w:r>
      <w:r w:rsidR="00FF7FE1">
        <w:rPr>
          <w:rFonts w:ascii="Bookman Old Style" w:hAnsi="Bookman Old Style" w:cs="Segoe UI"/>
          <w:color w:val="242424"/>
          <w:shd w:val="clear" w:color="auto" w:fill="FFFFFF"/>
          <w:lang w:val="es-CO" w:eastAsia="es-CO"/>
        </w:rPr>
        <w:t xml:space="preserve"> </w:t>
      </w:r>
      <w:r>
        <w:rPr>
          <w:rFonts w:ascii="Bookman Old Style" w:hAnsi="Bookman Old Style" w:cs="Segoe UI"/>
          <w:color w:val="242424"/>
          <w:shd w:val="clear" w:color="auto" w:fill="FFFFFF"/>
          <w:lang w:val="es-CO" w:eastAsia="es-CO"/>
        </w:rPr>
        <w:t>a</w:t>
      </w:r>
      <w:r w:rsidRPr="00CD4F22">
        <w:rPr>
          <w:rFonts w:ascii="Bookman Old Style" w:hAnsi="Bookman Old Style" w:cs="Segoe UI"/>
          <w:color w:val="242424"/>
          <w:shd w:val="clear" w:color="auto" w:fill="FFFFFF"/>
          <w:lang w:val="es-CO" w:eastAsia="es-CO"/>
        </w:rPr>
        <w:t>tañe a aquella generación que es capaz de entregar la planta en la condición del 100% PSS (Probabilidad de ser superada)</w:t>
      </w:r>
      <w:r w:rsidR="001E6E2B">
        <w:rPr>
          <w:rFonts w:ascii="Bookman Old Style" w:hAnsi="Bookman Old Style" w:cs="Segoe UI"/>
          <w:color w:val="242424"/>
          <w:shd w:val="clear" w:color="auto" w:fill="FFFFFF"/>
          <w:lang w:val="es-CO" w:eastAsia="es-CO"/>
        </w:rPr>
        <w:t>,</w:t>
      </w:r>
      <w:r>
        <w:rPr>
          <w:rFonts w:ascii="Bookman Old Style" w:hAnsi="Bookman Old Style" w:cs="Segoe UI"/>
          <w:color w:val="242424"/>
          <w:shd w:val="clear" w:color="auto" w:fill="FFFFFF"/>
          <w:lang w:val="es-CO" w:eastAsia="es-CO"/>
        </w:rPr>
        <w:t xml:space="preserve"> y la</w:t>
      </w:r>
      <w:r w:rsidRPr="00CD4F22">
        <w:rPr>
          <w:rFonts w:ascii="Bookman Old Style" w:hAnsi="Bookman Old Style" w:cs="Segoe UI"/>
          <w:color w:val="242424"/>
          <w:shd w:val="clear" w:color="auto" w:fill="FFFFFF"/>
          <w:lang w:val="es-CO" w:eastAsia="es-CO"/>
        </w:rPr>
        <w:t xml:space="preserve"> ENFICC 98% PSS concierne a aquella generación que es capaz de entregar la planta en la condición del 98% PSS de la curva de distribución de probabilidades.</w:t>
      </w:r>
    </w:p>
    <w:bookmarkEnd w:id="6"/>
    <w:p w14:paraId="226E9395" w14:textId="77777777" w:rsidR="006E015D" w:rsidRPr="00CD4F22" w:rsidRDefault="006E015D" w:rsidP="006E015D">
      <w:pPr>
        <w:shd w:val="clear" w:color="auto" w:fill="FFFFFF"/>
        <w:jc w:val="both"/>
        <w:rPr>
          <w:rFonts w:ascii="Bookman Old Style" w:hAnsi="Bookman Old Style" w:cs="Calibri"/>
          <w:color w:val="222222"/>
          <w:lang w:val="es-CO" w:eastAsia="es-CO"/>
        </w:rPr>
      </w:pPr>
    </w:p>
    <w:p w14:paraId="247F26CF" w14:textId="2A2DCA7C" w:rsidR="006E015D" w:rsidRDefault="006E015D" w:rsidP="006E015D">
      <w:pPr>
        <w:shd w:val="clear" w:color="auto" w:fill="FFFFFF"/>
        <w:ind w:left="0"/>
        <w:jc w:val="both"/>
        <w:rPr>
          <w:rFonts w:ascii="Bookman Old Style" w:hAnsi="Bookman Old Style" w:cs="Segoe UI"/>
          <w:color w:val="242424"/>
          <w:shd w:val="clear" w:color="auto" w:fill="FFFFFF"/>
          <w:lang w:val="es-CO" w:eastAsia="es-CO"/>
        </w:rPr>
      </w:pPr>
      <w:bookmarkStart w:id="7" w:name="_Hlk95400469"/>
      <w:r>
        <w:rPr>
          <w:rFonts w:ascii="Bookman Old Style" w:hAnsi="Bookman Old Style" w:cs="Segoe UI"/>
          <w:color w:val="242424"/>
          <w:shd w:val="clear" w:color="auto" w:fill="FFFFFF"/>
          <w:lang w:val="es-CO" w:eastAsia="es-CO"/>
        </w:rPr>
        <w:t>Así las cosas, s</w:t>
      </w:r>
      <w:r w:rsidRPr="00CD4F22">
        <w:rPr>
          <w:rFonts w:ascii="Bookman Old Style" w:hAnsi="Bookman Old Style" w:cs="Segoe UI"/>
          <w:color w:val="242424"/>
          <w:shd w:val="clear" w:color="auto" w:fill="FFFFFF"/>
          <w:lang w:val="es-CO" w:eastAsia="es-CO"/>
        </w:rPr>
        <w:t xml:space="preserve">e observa </w:t>
      </w:r>
      <w:r>
        <w:rPr>
          <w:rFonts w:ascii="Bookman Old Style" w:hAnsi="Bookman Old Style" w:cs="Segoe UI"/>
          <w:color w:val="242424"/>
          <w:shd w:val="clear" w:color="auto" w:fill="FFFFFF"/>
          <w:lang w:val="es-CO" w:eastAsia="es-CO"/>
        </w:rPr>
        <w:t xml:space="preserve">en el valor calculado en atención al acto administrativo de la CREG, que las diferencias identificadas por el auditor </w:t>
      </w:r>
      <w:r w:rsidRPr="00CD4F22">
        <w:rPr>
          <w:rFonts w:ascii="Bookman Old Style" w:hAnsi="Bookman Old Style" w:cs="Segoe UI"/>
          <w:color w:val="242424"/>
          <w:shd w:val="clear" w:color="auto" w:fill="FFFFFF"/>
          <w:lang w:val="es-CO" w:eastAsia="es-CO"/>
        </w:rPr>
        <w:t>no afecta</w:t>
      </w:r>
      <w:r>
        <w:rPr>
          <w:rFonts w:ascii="Bookman Old Style" w:hAnsi="Bookman Old Style" w:cs="Segoe UI"/>
          <w:color w:val="242424"/>
          <w:shd w:val="clear" w:color="auto" w:fill="FFFFFF"/>
          <w:lang w:val="es-CO" w:eastAsia="es-CO"/>
        </w:rPr>
        <w:t>n</w:t>
      </w:r>
      <w:r w:rsidRPr="00CD4F22">
        <w:rPr>
          <w:rFonts w:ascii="Bookman Old Style" w:hAnsi="Bookman Old Style" w:cs="Segoe UI"/>
          <w:color w:val="242424"/>
          <w:shd w:val="clear" w:color="auto" w:fill="FFFFFF"/>
          <w:lang w:val="es-CO" w:eastAsia="es-CO"/>
        </w:rPr>
        <w:t xml:space="preserve"> la ENFICC Base, ni </w:t>
      </w:r>
      <w:r w:rsidR="006F654C">
        <w:rPr>
          <w:rFonts w:ascii="Bookman Old Style" w:hAnsi="Bookman Old Style" w:cs="Segoe UI"/>
          <w:color w:val="242424"/>
          <w:shd w:val="clear" w:color="auto" w:fill="FFFFFF"/>
          <w:lang w:val="es-CO" w:eastAsia="es-CO"/>
        </w:rPr>
        <w:t xml:space="preserve">la </w:t>
      </w:r>
      <w:r w:rsidRPr="00CD4F22">
        <w:rPr>
          <w:rFonts w:ascii="Bookman Old Style" w:hAnsi="Bookman Old Style" w:cs="Segoe UI"/>
          <w:color w:val="242424"/>
          <w:shd w:val="clear" w:color="auto" w:fill="FFFFFF"/>
          <w:lang w:val="es-CO" w:eastAsia="es-CO"/>
        </w:rPr>
        <w:t>ENFICC</w:t>
      </w:r>
      <w:r>
        <w:rPr>
          <w:rFonts w:ascii="Bookman Old Style" w:hAnsi="Bookman Old Style" w:cs="Segoe UI"/>
          <w:color w:val="242424"/>
          <w:shd w:val="clear" w:color="auto" w:fill="FFFFFF"/>
          <w:lang w:val="es-CO" w:eastAsia="es-CO"/>
        </w:rPr>
        <w:t xml:space="preserve"> </w:t>
      </w:r>
      <w:r w:rsidRPr="00CD4F22">
        <w:rPr>
          <w:rFonts w:ascii="Bookman Old Style" w:hAnsi="Bookman Old Style" w:cs="Segoe UI"/>
          <w:color w:val="242424"/>
          <w:shd w:val="clear" w:color="auto" w:fill="FFFFFF"/>
          <w:lang w:val="es-CO" w:eastAsia="es-CO"/>
        </w:rPr>
        <w:t>98</w:t>
      </w:r>
      <w:r w:rsidR="006F654C">
        <w:rPr>
          <w:rFonts w:ascii="Bookman Old Style" w:hAnsi="Bookman Old Style" w:cs="Segoe UI"/>
          <w:color w:val="242424"/>
          <w:shd w:val="clear" w:color="auto" w:fill="FFFFFF"/>
          <w:lang w:val="es-CO" w:eastAsia="es-CO"/>
        </w:rPr>
        <w:t xml:space="preserve"> </w:t>
      </w:r>
      <w:r w:rsidRPr="00CD4F22">
        <w:rPr>
          <w:rFonts w:ascii="Bookman Old Style" w:hAnsi="Bookman Old Style" w:cs="Segoe UI"/>
          <w:color w:val="242424"/>
          <w:shd w:val="clear" w:color="auto" w:fill="FFFFFF"/>
          <w:lang w:val="es-CO" w:eastAsia="es-CO"/>
        </w:rPr>
        <w:t>PSS</w:t>
      </w:r>
      <w:r>
        <w:rPr>
          <w:rFonts w:ascii="Bookman Old Style" w:hAnsi="Bookman Old Style" w:cs="Segoe UI"/>
          <w:color w:val="242424"/>
          <w:shd w:val="clear" w:color="auto" w:fill="FFFFFF"/>
          <w:lang w:val="es-CO" w:eastAsia="es-CO"/>
        </w:rPr>
        <w:t xml:space="preserve"> y</w:t>
      </w:r>
      <w:r w:rsidR="001E6E2B">
        <w:rPr>
          <w:rFonts w:ascii="Bookman Old Style" w:hAnsi="Bookman Old Style" w:cs="Segoe UI"/>
          <w:color w:val="242424"/>
          <w:shd w:val="clear" w:color="auto" w:fill="FFFFFF"/>
          <w:lang w:val="es-CO" w:eastAsia="es-CO"/>
        </w:rPr>
        <w:t>,</w:t>
      </w:r>
      <w:r>
        <w:rPr>
          <w:rFonts w:ascii="Bookman Old Style" w:hAnsi="Bookman Old Style" w:cs="Segoe UI"/>
          <w:color w:val="242424"/>
          <w:shd w:val="clear" w:color="auto" w:fill="FFFFFF"/>
          <w:lang w:val="es-CO" w:eastAsia="es-CO"/>
        </w:rPr>
        <w:t xml:space="preserve"> por tanto</w:t>
      </w:r>
      <w:r w:rsidR="001E6E2B">
        <w:rPr>
          <w:rFonts w:ascii="Bookman Old Style" w:hAnsi="Bookman Old Style" w:cs="Segoe UI"/>
          <w:color w:val="242424"/>
          <w:shd w:val="clear" w:color="auto" w:fill="FFFFFF"/>
          <w:lang w:val="es-CO" w:eastAsia="es-CO"/>
        </w:rPr>
        <w:t>,</w:t>
      </w:r>
      <w:r>
        <w:rPr>
          <w:rFonts w:ascii="Bookman Old Style" w:hAnsi="Bookman Old Style" w:cs="Segoe UI"/>
          <w:color w:val="242424"/>
          <w:shd w:val="clear" w:color="auto" w:fill="FFFFFF"/>
          <w:lang w:val="es-CO" w:eastAsia="es-CO"/>
        </w:rPr>
        <w:t xml:space="preserve"> no constituyen una mayor </w:t>
      </w:r>
      <w:r w:rsidRPr="00CD4F22">
        <w:rPr>
          <w:rFonts w:ascii="Bookman Old Style" w:hAnsi="Bookman Old Style" w:cs="Segoe UI"/>
          <w:color w:val="242424"/>
          <w:shd w:val="clear" w:color="auto" w:fill="FFFFFF"/>
          <w:lang w:val="es-CO" w:eastAsia="es-CO"/>
        </w:rPr>
        <w:t>ENFICC Base o ENFICC 98</w:t>
      </w:r>
      <w:r w:rsidR="006F654C">
        <w:rPr>
          <w:rFonts w:ascii="Bookman Old Style" w:hAnsi="Bookman Old Style" w:cs="Segoe UI"/>
          <w:color w:val="242424"/>
          <w:shd w:val="clear" w:color="auto" w:fill="FFFFFF"/>
          <w:lang w:val="es-CO" w:eastAsia="es-CO"/>
        </w:rPr>
        <w:t xml:space="preserve"> </w:t>
      </w:r>
      <w:r w:rsidRPr="00CD4F22">
        <w:rPr>
          <w:rFonts w:ascii="Bookman Old Style" w:hAnsi="Bookman Old Style" w:cs="Segoe UI"/>
          <w:color w:val="242424"/>
          <w:shd w:val="clear" w:color="auto" w:fill="FFFFFF"/>
          <w:lang w:val="es-CO" w:eastAsia="es-CO"/>
        </w:rPr>
        <w:t>PSS</w:t>
      </w:r>
      <w:r>
        <w:rPr>
          <w:rFonts w:ascii="Bookman Old Style" w:hAnsi="Bookman Old Style" w:cs="Segoe UI"/>
          <w:color w:val="242424"/>
          <w:shd w:val="clear" w:color="auto" w:fill="FFFFFF"/>
          <w:lang w:val="es-CO" w:eastAsia="es-CO"/>
        </w:rPr>
        <w:t xml:space="preserve"> respecto de la declarada para la planta Bajo Anchicayá para el período 2022-2023</w:t>
      </w:r>
      <w:r w:rsidRPr="00CD4F22">
        <w:rPr>
          <w:rFonts w:ascii="Bookman Old Style" w:hAnsi="Bookman Old Style" w:cs="Segoe UI"/>
          <w:color w:val="242424"/>
          <w:shd w:val="clear" w:color="auto" w:fill="FFFFFF"/>
          <w:lang w:val="es-CO" w:eastAsia="es-CO"/>
        </w:rPr>
        <w:t xml:space="preserve">. </w:t>
      </w:r>
    </w:p>
    <w:bookmarkEnd w:id="7"/>
    <w:p w14:paraId="36532572" w14:textId="426A0952" w:rsidR="00503116" w:rsidRDefault="00503116" w:rsidP="006E015D">
      <w:pPr>
        <w:shd w:val="clear" w:color="auto" w:fill="FFFFFF"/>
        <w:ind w:left="0"/>
        <w:jc w:val="both"/>
        <w:rPr>
          <w:rFonts w:ascii="Bookman Old Style" w:hAnsi="Bookman Old Style" w:cs="Calibri"/>
          <w:color w:val="222222"/>
          <w:lang w:val="es-CO" w:eastAsia="es-CO"/>
        </w:rPr>
      </w:pPr>
    </w:p>
    <w:p w14:paraId="524DA672" w14:textId="7E995B60" w:rsidR="006E015D" w:rsidRPr="00406446" w:rsidRDefault="002E7AE8" w:rsidP="006E015D">
      <w:pPr>
        <w:shd w:val="clear" w:color="auto" w:fill="FFFFFF"/>
        <w:ind w:left="0"/>
        <w:jc w:val="both"/>
        <w:rPr>
          <w:rFonts w:ascii="Bookman Old Style" w:hAnsi="Bookman Old Style" w:cs="Segoe UI"/>
          <w:color w:val="242424"/>
          <w:shd w:val="clear" w:color="auto" w:fill="FFFFFF"/>
          <w:lang w:val="es-CO" w:eastAsia="es-CO"/>
        </w:rPr>
      </w:pPr>
      <w:bookmarkStart w:id="8" w:name="_Hlk95400563"/>
      <w:r w:rsidRPr="00406446">
        <w:rPr>
          <w:rFonts w:ascii="Bookman Old Style" w:hAnsi="Bookman Old Style" w:cs="Segoe UI"/>
          <w:color w:val="242424"/>
          <w:shd w:val="clear" w:color="auto" w:fill="FFFFFF"/>
          <w:lang w:eastAsia="es-CO"/>
        </w:rPr>
        <w:t>Además,</w:t>
      </w:r>
      <w:r w:rsidR="006E015D" w:rsidRPr="00406446">
        <w:rPr>
          <w:rFonts w:ascii="Bookman Old Style" w:hAnsi="Bookman Old Style" w:cs="Segoe UI"/>
          <w:color w:val="242424"/>
          <w:shd w:val="clear" w:color="auto" w:fill="FFFFFF"/>
          <w:lang w:eastAsia="es-CO"/>
        </w:rPr>
        <w:t xml:space="preserve"> debe tenerse en cuenta que el </w:t>
      </w:r>
      <w:r w:rsidR="006E015D" w:rsidRPr="00406446">
        <w:rPr>
          <w:rFonts w:ascii="Bookman Old Style" w:hAnsi="Bookman Old Style" w:cs="Segoe UI"/>
          <w:color w:val="242424"/>
          <w:shd w:val="clear" w:color="auto" w:fill="FFFFFF"/>
          <w:lang w:val="es-CO" w:eastAsia="es-CO"/>
        </w:rPr>
        <w:t>criterio normativo que se busca garantizar, conforme lo establecido por la CREG</w:t>
      </w:r>
      <w:r w:rsidR="001E6E2B">
        <w:rPr>
          <w:rFonts w:ascii="Bookman Old Style" w:hAnsi="Bookman Old Style" w:cs="Segoe UI"/>
          <w:color w:val="242424"/>
          <w:shd w:val="clear" w:color="auto" w:fill="FFFFFF"/>
          <w:lang w:val="es-CO" w:eastAsia="es-CO"/>
        </w:rPr>
        <w:t>,</w:t>
      </w:r>
      <w:r w:rsidR="006E015D" w:rsidRPr="00406446">
        <w:rPr>
          <w:rFonts w:ascii="Bookman Old Style" w:hAnsi="Bookman Old Style" w:cs="Segoe UI"/>
          <w:color w:val="242424"/>
          <w:shd w:val="clear" w:color="auto" w:fill="FFFFFF"/>
          <w:lang w:val="es-CO" w:eastAsia="es-CO"/>
        </w:rPr>
        <w:t xml:space="preserve"> es el de no considerar como discrepancias</w:t>
      </w:r>
      <w:r w:rsidR="006E015D">
        <w:rPr>
          <w:rFonts w:ascii="Bookman Old Style" w:hAnsi="Bookman Old Style" w:cs="Segoe UI"/>
          <w:color w:val="242424"/>
          <w:shd w:val="clear" w:color="auto" w:fill="FFFFFF"/>
          <w:lang w:val="es-CO" w:eastAsia="es-CO"/>
        </w:rPr>
        <w:t xml:space="preserve"> </w:t>
      </w:r>
      <w:r w:rsidR="006E015D" w:rsidRPr="00406446">
        <w:rPr>
          <w:rFonts w:ascii="Bookman Old Style" w:hAnsi="Bookman Old Style" w:cs="Segoe UI"/>
          <w:color w:val="242424"/>
          <w:shd w:val="clear" w:color="auto" w:fill="FFFFFF"/>
          <w:lang w:val="es-CO" w:eastAsia="es-CO"/>
        </w:rPr>
        <w:t>las diferencias en la información declarada si la ENFICC calculada con base en los resultados de la auditoría es igual o mayor a la</w:t>
      </w:r>
      <w:r w:rsidR="006F654C">
        <w:rPr>
          <w:rFonts w:ascii="Bookman Old Style" w:hAnsi="Bookman Old Style" w:cs="Segoe UI"/>
          <w:color w:val="242424"/>
          <w:shd w:val="clear" w:color="auto" w:fill="FFFFFF"/>
          <w:lang w:val="es-CO" w:eastAsia="es-CO"/>
        </w:rPr>
        <w:t xml:space="preserve"> </w:t>
      </w:r>
      <w:r w:rsidR="006E015D" w:rsidRPr="00406446">
        <w:rPr>
          <w:rFonts w:ascii="Bookman Old Style" w:hAnsi="Bookman Old Style" w:cs="Segoe UI"/>
          <w:color w:val="242424"/>
          <w:shd w:val="clear" w:color="auto" w:fill="FFFFFF"/>
          <w:lang w:val="es-CO" w:eastAsia="es-CO"/>
        </w:rPr>
        <w:t>ENFICC declarada por el agente en cumplimiento de lo señalado en la Resolución CREG 142 de 2018 para la asignación del período 2022-2023</w:t>
      </w:r>
      <w:r w:rsidR="006E015D">
        <w:rPr>
          <w:rFonts w:ascii="Bookman Old Style" w:hAnsi="Bookman Old Style" w:cs="Segoe UI"/>
          <w:color w:val="242424"/>
          <w:shd w:val="clear" w:color="auto" w:fill="FFFFFF"/>
          <w:lang w:val="es-CO" w:eastAsia="es-CO"/>
        </w:rPr>
        <w:t>.</w:t>
      </w:r>
    </w:p>
    <w:p w14:paraId="07F744C0" w14:textId="5C537B71" w:rsidR="006E015D" w:rsidRPr="00406446" w:rsidRDefault="006E015D" w:rsidP="006E015D">
      <w:pPr>
        <w:shd w:val="clear" w:color="auto" w:fill="FFFFFF"/>
        <w:ind w:left="0"/>
        <w:jc w:val="both"/>
        <w:rPr>
          <w:rFonts w:ascii="Bookman Old Style" w:hAnsi="Bookman Old Style" w:cs="Segoe UI"/>
          <w:color w:val="242424"/>
          <w:shd w:val="clear" w:color="auto" w:fill="FFFFFF"/>
          <w:lang w:val="es-CO" w:eastAsia="es-CO"/>
        </w:rPr>
      </w:pPr>
    </w:p>
    <w:p w14:paraId="34152B5B" w14:textId="09B38AC6" w:rsidR="006E015D" w:rsidRPr="00406446" w:rsidRDefault="006E015D" w:rsidP="006E015D">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Esta decisión no afecta la declaración de parámetros y cálculo de la ENFICC que se haya hecho con posterioridad a la asignación de OEF para el período 2022-2023.</w:t>
      </w:r>
    </w:p>
    <w:p w14:paraId="2B2CFEFA" w14:textId="47DF96E9" w:rsidR="006E015D" w:rsidRPr="00406446" w:rsidRDefault="006E015D" w:rsidP="006E015D">
      <w:pPr>
        <w:shd w:val="clear" w:color="auto" w:fill="FFFFFF"/>
        <w:ind w:left="0"/>
        <w:jc w:val="both"/>
        <w:rPr>
          <w:rFonts w:ascii="Bookman Old Style" w:hAnsi="Bookman Old Style" w:cs="Segoe UI"/>
          <w:color w:val="242424"/>
          <w:shd w:val="clear" w:color="auto" w:fill="FFFFFF"/>
          <w:lang w:val="es-CO" w:eastAsia="es-CO"/>
        </w:rPr>
      </w:pPr>
    </w:p>
    <w:p w14:paraId="783E8A25" w14:textId="15E9ECD4" w:rsidR="006E015D" w:rsidRPr="00406446" w:rsidRDefault="006E015D" w:rsidP="006E015D">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En consecuencia, como la CREG no confirma la existencia de la</w:t>
      </w:r>
      <w:r>
        <w:rPr>
          <w:rFonts w:ascii="Bookman Old Style" w:hAnsi="Bookman Old Style" w:cs="Segoe UI"/>
          <w:color w:val="242424"/>
          <w:shd w:val="clear" w:color="auto" w:fill="FFFFFF"/>
          <w:lang w:val="es-CO" w:eastAsia="es-CO"/>
        </w:rPr>
        <w:t>s</w:t>
      </w:r>
      <w:r w:rsidRPr="00406446">
        <w:rPr>
          <w:rFonts w:ascii="Bookman Old Style" w:hAnsi="Bookman Old Style" w:cs="Segoe UI"/>
          <w:color w:val="242424"/>
          <w:shd w:val="clear" w:color="auto" w:fill="FFFFFF"/>
          <w:lang w:val="es-CO" w:eastAsia="es-CO"/>
        </w:rPr>
        <w:t xml:space="preserve"> discrepancia</w:t>
      </w:r>
      <w:r>
        <w:rPr>
          <w:rFonts w:ascii="Bookman Old Style" w:hAnsi="Bookman Old Style" w:cs="Segoe UI"/>
          <w:color w:val="242424"/>
          <w:shd w:val="clear" w:color="auto" w:fill="FFFFFF"/>
          <w:lang w:val="es-CO" w:eastAsia="es-CO"/>
        </w:rPr>
        <w:t>s</w:t>
      </w:r>
      <w:r w:rsidRPr="00406446">
        <w:rPr>
          <w:rFonts w:ascii="Bookman Old Style" w:hAnsi="Bookman Old Style" w:cs="Segoe UI"/>
          <w:color w:val="242424"/>
          <w:shd w:val="clear" w:color="auto" w:fill="FFFFFF"/>
          <w:lang w:val="es-CO" w:eastAsia="es-CO"/>
        </w:rPr>
        <w:t xml:space="preserve"> advertida</w:t>
      </w:r>
      <w:r>
        <w:rPr>
          <w:rFonts w:ascii="Bookman Old Style" w:hAnsi="Bookman Old Style" w:cs="Segoe UI"/>
          <w:color w:val="242424"/>
          <w:shd w:val="clear" w:color="auto" w:fill="FFFFFF"/>
          <w:lang w:val="es-CO" w:eastAsia="es-CO"/>
        </w:rPr>
        <w:t>s</w:t>
      </w:r>
      <w:r w:rsidRPr="00406446">
        <w:rPr>
          <w:rFonts w:ascii="Bookman Old Style" w:hAnsi="Bookman Old Style" w:cs="Segoe UI"/>
          <w:color w:val="242424"/>
          <w:shd w:val="clear" w:color="auto" w:fill="FFFFFF"/>
          <w:lang w:val="es-CO" w:eastAsia="es-CO"/>
        </w:rPr>
        <w:t xml:space="preserve"> por el auditor porque los resultados encontrados por </w:t>
      </w:r>
      <w:r w:rsidRPr="00406446">
        <w:rPr>
          <w:rFonts w:ascii="Bookman Old Style" w:hAnsi="Bookman Old Style" w:cs="Segoe UI"/>
          <w:color w:val="242424"/>
          <w:shd w:val="clear" w:color="auto" w:fill="FFFFFF"/>
          <w:lang w:eastAsia="es-CO"/>
        </w:rPr>
        <w:t>XM S.A. E.S.P no evidencian que el agente haya declarado una mayor ENFICC base o 98%</w:t>
      </w:r>
      <w:r w:rsidR="0051336A">
        <w:rPr>
          <w:rFonts w:ascii="Bookman Old Style" w:hAnsi="Bookman Old Style" w:cs="Segoe UI"/>
          <w:color w:val="242424"/>
          <w:shd w:val="clear" w:color="auto" w:fill="FFFFFF"/>
          <w:lang w:eastAsia="es-CO"/>
        </w:rPr>
        <w:t xml:space="preserve"> </w:t>
      </w:r>
      <w:r w:rsidRPr="00406446">
        <w:rPr>
          <w:rFonts w:ascii="Bookman Old Style" w:hAnsi="Bookman Old Style" w:cs="Segoe UI"/>
          <w:color w:val="242424"/>
          <w:shd w:val="clear" w:color="auto" w:fill="FFFFFF"/>
          <w:lang w:eastAsia="es-CO"/>
        </w:rPr>
        <w:t>PSS</w:t>
      </w:r>
      <w:r w:rsidR="0051336A" w:rsidRPr="00581E02">
        <w:rPr>
          <w:rFonts w:ascii="Bookman Old Style" w:hAnsi="Bookman Old Style" w:cs="Segoe UI"/>
          <w:color w:val="242424"/>
          <w:shd w:val="clear" w:color="auto" w:fill="FFFFFF"/>
          <w:lang w:eastAsia="es-CO"/>
        </w:rPr>
        <w:t xml:space="preserve"> </w:t>
      </w:r>
      <w:r w:rsidRPr="00406446">
        <w:rPr>
          <w:rFonts w:ascii="Bookman Old Style" w:hAnsi="Bookman Old Style" w:cs="Segoe UI"/>
          <w:color w:val="242424"/>
          <w:shd w:val="clear" w:color="auto" w:fill="FFFFFF"/>
          <w:lang w:val="es-CO" w:eastAsia="es-CO"/>
        </w:rPr>
        <w:t xml:space="preserve">en cumplimiento de lo señalado en la Resolución CREG 142 de 2018 para la asignación del período 2022-2023, se ordenará el archivo de la actuación, no sin antes advertir que estas </w:t>
      </w:r>
      <w:r w:rsidRPr="00406446">
        <w:rPr>
          <w:rFonts w:ascii="Bookman Old Style" w:hAnsi="Bookman Old Style" w:cs="Segoe UI"/>
          <w:color w:val="242424"/>
          <w:shd w:val="clear" w:color="auto" w:fill="FFFFFF"/>
          <w:lang w:eastAsia="es-CO"/>
        </w:rPr>
        <w:t>valoraciones que se hacen no estaban comprendidas en el trabajo de la auditoría, razón por la cual no las podía tener en cuenta sin que pueda atribuírsele una conducta omisiva al Auditor en el cumplimiento de sus funciones.</w:t>
      </w:r>
    </w:p>
    <w:p w14:paraId="124698AB" w14:textId="77777777" w:rsidR="006E015D" w:rsidRPr="00406446" w:rsidRDefault="006E015D" w:rsidP="006E015D">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 </w:t>
      </w:r>
    </w:p>
    <w:p w14:paraId="395B88E6" w14:textId="4A2F3F95" w:rsidR="006E015D" w:rsidRPr="00406446" w:rsidRDefault="006E015D" w:rsidP="006E015D">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eastAsia="es-CO"/>
        </w:rPr>
        <w:t>Sin perjuicio de lo anterior, se advierte que en la declaración de parámetros que realice el agente siempre deberá reflejar la situación real de su planta o unidad</w:t>
      </w:r>
      <w:r w:rsidR="001E6E2B">
        <w:rPr>
          <w:rFonts w:ascii="Bookman Old Style" w:hAnsi="Bookman Old Style" w:cs="Segoe UI"/>
          <w:color w:val="242424"/>
          <w:shd w:val="clear" w:color="auto" w:fill="FFFFFF"/>
          <w:lang w:eastAsia="es-CO"/>
        </w:rPr>
        <w:t>,</w:t>
      </w:r>
      <w:r w:rsidRPr="00406446">
        <w:rPr>
          <w:rFonts w:ascii="Bookman Old Style" w:hAnsi="Bookman Old Style" w:cs="Segoe UI"/>
          <w:color w:val="242424"/>
          <w:shd w:val="clear" w:color="auto" w:fill="FFFFFF"/>
          <w:lang w:eastAsia="es-CO"/>
        </w:rPr>
        <w:t xml:space="preserve"> de tal forma que se pueda determinar </w:t>
      </w:r>
      <w:r w:rsidRPr="00406446">
        <w:rPr>
          <w:rFonts w:ascii="Bookman Old Style" w:hAnsi="Bookman Old Style" w:cs="Segoe UI"/>
          <w:color w:val="242424"/>
          <w:shd w:val="clear" w:color="auto" w:fill="FFFFFF"/>
          <w:lang w:val="es-CO" w:eastAsia="es-CO"/>
        </w:rPr>
        <w:t>correctamente la ENFICC al momento de la declaración. En consecuencia, teniendo en cuenta los resultados de la auditoría, el agente deberá hacer los ajustes a la información que considere necesarios.</w:t>
      </w:r>
    </w:p>
    <w:p w14:paraId="079FC2EA" w14:textId="77777777" w:rsidR="006E015D" w:rsidRPr="00406446" w:rsidRDefault="006E015D" w:rsidP="006E015D">
      <w:pPr>
        <w:shd w:val="clear" w:color="auto" w:fill="FFFFFF"/>
        <w:ind w:left="0"/>
        <w:jc w:val="both"/>
        <w:rPr>
          <w:rFonts w:ascii="Bookman Old Style" w:hAnsi="Bookman Old Style" w:cs="Segoe UI"/>
          <w:color w:val="242424"/>
          <w:shd w:val="clear" w:color="auto" w:fill="FFFFFF"/>
          <w:lang w:val="es-CO" w:eastAsia="es-CO"/>
        </w:rPr>
      </w:pPr>
      <w:r w:rsidRPr="00406446">
        <w:rPr>
          <w:rFonts w:ascii="Bookman Old Style" w:hAnsi="Bookman Old Style" w:cs="Segoe UI"/>
          <w:color w:val="242424"/>
          <w:shd w:val="clear" w:color="auto" w:fill="FFFFFF"/>
          <w:lang w:val="es-CO" w:eastAsia="es-CO"/>
        </w:rPr>
        <w:t> </w:t>
      </w:r>
    </w:p>
    <w:p w14:paraId="170538F1" w14:textId="11A7044F" w:rsidR="006E015D" w:rsidRDefault="006E015D" w:rsidP="006E015D">
      <w:pPr>
        <w:shd w:val="clear" w:color="auto" w:fill="FFFFFF"/>
        <w:ind w:left="0"/>
        <w:jc w:val="both"/>
        <w:rPr>
          <w:rFonts w:ascii="Bookman Old Style" w:hAnsi="Bookman Old Style" w:cs="Segoe UI"/>
          <w:color w:val="242424"/>
          <w:shd w:val="clear" w:color="auto" w:fill="FFFFFF"/>
          <w:lang w:val="es-CO" w:eastAsia="es-CO"/>
        </w:rPr>
      </w:pPr>
      <w:r>
        <w:rPr>
          <w:rFonts w:ascii="Bookman Old Style" w:hAnsi="Bookman Old Style" w:cs="Segoe UI"/>
          <w:color w:val="242424"/>
          <w:shd w:val="clear" w:color="auto" w:fill="FFFFFF"/>
          <w:lang w:val="es-CO" w:eastAsia="es-CO"/>
        </w:rPr>
        <w:t>Finalmente, e</w:t>
      </w:r>
      <w:r w:rsidRPr="00406446">
        <w:rPr>
          <w:rFonts w:ascii="Bookman Old Style" w:hAnsi="Bookman Old Style" w:cs="Segoe UI"/>
          <w:color w:val="242424"/>
          <w:shd w:val="clear" w:color="auto" w:fill="FFFFFF"/>
          <w:lang w:val="es-CO" w:eastAsia="es-CO"/>
        </w:rPr>
        <w:t xml:space="preserve">n relación con la vulneración de la confianza legítima alegada por </w:t>
      </w:r>
      <w:r>
        <w:rPr>
          <w:rFonts w:ascii="Bookman Old Style" w:hAnsi="Bookman Old Style" w:cs="Segoe UI"/>
          <w:color w:val="242424"/>
          <w:shd w:val="clear" w:color="auto" w:fill="FFFFFF"/>
          <w:lang w:val="es-CO" w:eastAsia="es-CO"/>
        </w:rPr>
        <w:t xml:space="preserve">CELSIA COLOMBIA S.A. E.S.P. </w:t>
      </w:r>
      <w:r w:rsidRPr="00406446">
        <w:rPr>
          <w:rFonts w:ascii="Bookman Old Style" w:hAnsi="Bookman Old Style" w:cs="Segoe UI"/>
          <w:color w:val="242424"/>
          <w:shd w:val="clear" w:color="auto" w:fill="FFFFFF"/>
          <w:lang w:val="es-CO" w:eastAsia="es-CO"/>
        </w:rPr>
        <w:t xml:space="preserve">derivada del desconocimiento por parte del auditor HMV </w:t>
      </w:r>
      <w:r w:rsidR="001E6E2B">
        <w:rPr>
          <w:rFonts w:ascii="Bookman Old Style" w:hAnsi="Bookman Old Style" w:cs="Segoe UI"/>
          <w:color w:val="242424"/>
          <w:shd w:val="clear" w:color="auto" w:fill="FFFFFF"/>
          <w:lang w:val="es-CO" w:eastAsia="es-CO"/>
        </w:rPr>
        <w:t xml:space="preserve">Ingenieros </w:t>
      </w:r>
      <w:r w:rsidRPr="00406446">
        <w:rPr>
          <w:rFonts w:ascii="Bookman Old Style" w:hAnsi="Bookman Old Style" w:cs="Segoe UI"/>
          <w:color w:val="242424"/>
          <w:shd w:val="clear" w:color="auto" w:fill="FFFFFF"/>
          <w:lang w:val="es-CO" w:eastAsia="es-CO"/>
        </w:rPr>
        <w:t>de los resultados de la auditoría realizada en el año 2009 por la firma Sedic, la Comisión considera que esta no se configura</w:t>
      </w:r>
      <w:r>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toda vez que</w:t>
      </w:r>
      <w:r>
        <w:rPr>
          <w:rFonts w:ascii="Bookman Old Style" w:hAnsi="Bookman Old Style" w:cs="Segoe UI"/>
          <w:color w:val="242424"/>
          <w:shd w:val="clear" w:color="auto" w:fill="FFFFFF"/>
          <w:lang w:val="es-CO" w:eastAsia="es-CO"/>
        </w:rPr>
        <w:t xml:space="preserve"> </w:t>
      </w:r>
      <w:r w:rsidRPr="00406446">
        <w:rPr>
          <w:rFonts w:ascii="Bookman Old Style" w:hAnsi="Bookman Old Style" w:cs="Segoe UI"/>
          <w:color w:val="242424"/>
          <w:shd w:val="clear" w:color="auto" w:fill="FFFFFF"/>
          <w:lang w:val="es-CO" w:eastAsia="es-CO"/>
        </w:rPr>
        <w:t xml:space="preserve">lo que </w:t>
      </w:r>
      <w:r>
        <w:rPr>
          <w:rFonts w:ascii="Bookman Old Style" w:hAnsi="Bookman Old Style" w:cs="Segoe UI"/>
          <w:color w:val="242424"/>
          <w:shd w:val="clear" w:color="auto" w:fill="FFFFFF"/>
          <w:lang w:val="es-CO" w:eastAsia="es-CO"/>
        </w:rPr>
        <w:t xml:space="preserve">busca </w:t>
      </w:r>
      <w:r w:rsidRPr="00406446">
        <w:rPr>
          <w:rFonts w:ascii="Bookman Old Style" w:hAnsi="Bookman Old Style" w:cs="Segoe UI"/>
          <w:color w:val="242424"/>
          <w:shd w:val="clear" w:color="auto" w:fill="FFFFFF"/>
          <w:lang w:val="es-CO" w:eastAsia="es-CO"/>
        </w:rPr>
        <w:t xml:space="preserve">garantizar </w:t>
      </w:r>
      <w:r>
        <w:rPr>
          <w:rFonts w:ascii="Bookman Old Style" w:hAnsi="Bookman Old Style" w:cs="Segoe UI"/>
          <w:color w:val="242424"/>
          <w:shd w:val="clear" w:color="auto" w:fill="FFFFFF"/>
          <w:lang w:val="es-CO" w:eastAsia="es-CO"/>
        </w:rPr>
        <w:t xml:space="preserve">la regulación </w:t>
      </w:r>
      <w:r w:rsidRPr="00406446">
        <w:rPr>
          <w:rFonts w:ascii="Bookman Old Style" w:hAnsi="Bookman Old Style" w:cs="Segoe UI"/>
          <w:color w:val="242424"/>
          <w:shd w:val="clear" w:color="auto" w:fill="FFFFFF"/>
          <w:lang w:val="es-CO" w:eastAsia="es-CO"/>
        </w:rPr>
        <w:t>al ordenar auditorías</w:t>
      </w:r>
      <w:r>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es que la información que se declare refleje la situación real de la planta o unidad</w:t>
      </w:r>
      <w:r w:rsidR="001E6E2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y de la ENFICC que esta aporta al sistema al momento de realizar la declaración. En este caso</w:t>
      </w:r>
      <w:r w:rsidR="001E6E2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el auditor realizó su tarea en cumplimiento de lo ordenado en la Resolución CREG 030 de 2019 y demás regulación vigente</w:t>
      </w:r>
      <w:r w:rsidR="001E6E2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respecto de la cual obra la presunción de legalidad. </w:t>
      </w:r>
    </w:p>
    <w:p w14:paraId="3E66364A" w14:textId="77777777" w:rsidR="006E015D" w:rsidRDefault="006E015D" w:rsidP="006E015D">
      <w:pPr>
        <w:shd w:val="clear" w:color="auto" w:fill="FFFFFF"/>
        <w:ind w:left="0"/>
        <w:jc w:val="both"/>
        <w:rPr>
          <w:rFonts w:ascii="Bookman Old Style" w:hAnsi="Bookman Old Style" w:cs="Segoe UI"/>
          <w:color w:val="242424"/>
          <w:shd w:val="clear" w:color="auto" w:fill="FFFFFF"/>
          <w:lang w:val="es-CO" w:eastAsia="es-CO"/>
        </w:rPr>
      </w:pPr>
    </w:p>
    <w:p w14:paraId="723D8C52" w14:textId="1A8A9F6A" w:rsidR="006E015D" w:rsidRPr="00406446" w:rsidRDefault="006E015D" w:rsidP="006E015D">
      <w:pPr>
        <w:shd w:val="clear" w:color="auto" w:fill="FFFFFF"/>
        <w:ind w:left="0"/>
        <w:jc w:val="both"/>
        <w:rPr>
          <w:rFonts w:ascii="Bookman Old Style" w:hAnsi="Bookman Old Style" w:cs="Segoe UI"/>
          <w:color w:val="242424"/>
          <w:shd w:val="clear" w:color="auto" w:fill="FFFFFF"/>
          <w:lang w:val="es-CO" w:eastAsia="es-CO"/>
        </w:rPr>
      </w:pPr>
      <w:r>
        <w:rPr>
          <w:rFonts w:ascii="Bookman Old Style" w:hAnsi="Bookman Old Style" w:cs="Segoe UI"/>
          <w:color w:val="242424"/>
          <w:shd w:val="clear" w:color="auto" w:fill="FFFFFF"/>
          <w:lang w:val="es-CO" w:eastAsia="es-CO"/>
        </w:rPr>
        <w:t xml:space="preserve">Así las cosas, </w:t>
      </w:r>
      <w:r w:rsidRPr="00406446">
        <w:rPr>
          <w:rFonts w:ascii="Bookman Old Style" w:hAnsi="Bookman Old Style" w:cs="Segoe UI"/>
          <w:color w:val="242424"/>
          <w:shd w:val="clear" w:color="auto" w:fill="FFFFFF"/>
          <w:lang w:val="es-CO" w:eastAsia="es-CO"/>
        </w:rPr>
        <w:t xml:space="preserve">la verificación </w:t>
      </w:r>
      <w:r>
        <w:rPr>
          <w:rFonts w:ascii="Bookman Old Style" w:hAnsi="Bookman Old Style" w:cs="Segoe UI"/>
          <w:color w:val="242424"/>
          <w:shd w:val="clear" w:color="auto" w:fill="FFFFFF"/>
          <w:lang w:val="es-CO" w:eastAsia="es-CO"/>
        </w:rPr>
        <w:t xml:space="preserve">de la </w:t>
      </w:r>
      <w:r w:rsidRPr="00406446">
        <w:rPr>
          <w:rFonts w:ascii="Bookman Old Style" w:hAnsi="Bookman Old Style" w:cs="Segoe UI"/>
          <w:color w:val="242424"/>
          <w:shd w:val="clear" w:color="auto" w:fill="FFFFFF"/>
          <w:lang w:val="es-CO" w:eastAsia="es-CO"/>
        </w:rPr>
        <w:t>información real y oportuna no afecta los principios de buena fe y confianza legítima</w:t>
      </w:r>
      <w:r w:rsidR="001E6E2B">
        <w:rPr>
          <w:rFonts w:ascii="Bookman Old Style" w:hAnsi="Bookman Old Style" w:cs="Segoe UI"/>
          <w:color w:val="242424"/>
          <w:shd w:val="clear" w:color="auto" w:fill="FFFFFF"/>
          <w:lang w:val="es-CO" w:eastAsia="es-CO"/>
        </w:rPr>
        <w:t>. A</w:t>
      </w:r>
      <w:r w:rsidRPr="00406446">
        <w:rPr>
          <w:rFonts w:ascii="Bookman Old Style" w:hAnsi="Bookman Old Style" w:cs="Segoe UI"/>
          <w:color w:val="242424"/>
          <w:shd w:val="clear" w:color="auto" w:fill="FFFFFF"/>
          <w:lang w:val="es-CO" w:eastAsia="es-CO"/>
        </w:rPr>
        <w:t>l contrario, robustece la confiablidad del SIN y previene el riesgo de que se adquieran y remuneren a cargo de los usuarios obligaciones de energía firme superior a la ENFICC de la respectiva planta y/o unidad. Así mismo, se entiende que mantener la disponibilidad e integridad de la información que soporta los parámetros declarados es una responsabilidad permanente de los agentes</w:t>
      </w:r>
      <w:r w:rsidR="001E6E2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de la cual no quedan relevados por la realización de una auditoría y</w:t>
      </w:r>
      <w:r w:rsidR="001E6E2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por tanto</w:t>
      </w:r>
      <w:r w:rsidR="001E6E2B">
        <w:rPr>
          <w:rFonts w:ascii="Bookman Old Style" w:hAnsi="Bookman Old Style" w:cs="Segoe UI"/>
          <w:color w:val="242424"/>
          <w:shd w:val="clear" w:color="auto" w:fill="FFFFFF"/>
          <w:lang w:val="es-CO" w:eastAsia="es-CO"/>
        </w:rPr>
        <w:t>,</w:t>
      </w:r>
      <w:r w:rsidRPr="00406446">
        <w:rPr>
          <w:rFonts w:ascii="Bookman Old Style" w:hAnsi="Bookman Old Style" w:cs="Segoe UI"/>
          <w:color w:val="242424"/>
          <w:shd w:val="clear" w:color="auto" w:fill="FFFFFF"/>
          <w:lang w:val="es-CO" w:eastAsia="es-CO"/>
        </w:rPr>
        <w:t xml:space="preserve"> su posterior verificación no constituye tampoco la vulneración de los </w:t>
      </w:r>
      <w:r>
        <w:rPr>
          <w:rFonts w:ascii="Bookman Old Style" w:hAnsi="Bookman Old Style" w:cs="Segoe UI"/>
          <w:color w:val="242424"/>
          <w:shd w:val="clear" w:color="auto" w:fill="FFFFFF"/>
          <w:lang w:val="es-CO" w:eastAsia="es-CO"/>
        </w:rPr>
        <w:t xml:space="preserve">mencionados </w:t>
      </w:r>
      <w:r w:rsidRPr="00406446">
        <w:rPr>
          <w:rFonts w:ascii="Bookman Old Style" w:hAnsi="Bookman Old Style" w:cs="Segoe UI"/>
          <w:color w:val="242424"/>
          <w:shd w:val="clear" w:color="auto" w:fill="FFFFFF"/>
          <w:lang w:val="es-CO" w:eastAsia="es-CO"/>
        </w:rPr>
        <w:t>principios.</w:t>
      </w:r>
    </w:p>
    <w:bookmarkEnd w:id="8"/>
    <w:p w14:paraId="78F46182" w14:textId="77777777" w:rsidR="006E015D" w:rsidRPr="00031077" w:rsidRDefault="006E015D" w:rsidP="006E015D">
      <w:pPr>
        <w:shd w:val="clear" w:color="auto" w:fill="FFFFFF"/>
        <w:ind w:left="0"/>
        <w:jc w:val="both"/>
        <w:rPr>
          <w:rFonts w:ascii="Bookman Old Style" w:hAnsi="Bookman Old Style" w:cs="Calibri"/>
          <w:color w:val="222222"/>
          <w:lang w:val="es-CO" w:eastAsia="es-CO"/>
        </w:rPr>
      </w:pPr>
    </w:p>
    <w:p w14:paraId="6B981AA7" w14:textId="19710A43" w:rsidR="0079088F" w:rsidRPr="000B33DF" w:rsidRDefault="0079088F" w:rsidP="009A3906">
      <w:pPr>
        <w:ind w:left="0"/>
        <w:jc w:val="both"/>
        <w:rPr>
          <w:rFonts w:ascii="Bookman Old Style" w:hAnsi="Bookman Old Style" w:cs="Arial"/>
          <w:lang w:val="es-CO"/>
        </w:rPr>
      </w:pPr>
      <w:r w:rsidRPr="000B33DF">
        <w:rPr>
          <w:rFonts w:ascii="Bookman Old Style" w:hAnsi="Bookman Old Style" w:cs="Arial"/>
        </w:rPr>
        <w:t>Que la Comisión de Regulación de Energía y Gas, en su sesión No</w:t>
      </w:r>
      <w:r w:rsidRPr="005F440E">
        <w:rPr>
          <w:rFonts w:ascii="Bookman Old Style" w:hAnsi="Bookman Old Style" w:cs="Arial"/>
        </w:rPr>
        <w:t>.</w:t>
      </w:r>
      <w:r w:rsidR="006E015D" w:rsidRPr="005F440E">
        <w:rPr>
          <w:rFonts w:ascii="Bookman Old Style" w:hAnsi="Bookman Old Style" w:cs="Arial"/>
        </w:rPr>
        <w:t xml:space="preserve">1149 </w:t>
      </w:r>
      <w:r w:rsidR="00045572" w:rsidRPr="005F440E">
        <w:rPr>
          <w:rFonts w:ascii="Bookman Old Style" w:hAnsi="Bookman Old Style" w:cs="Arial"/>
        </w:rPr>
        <w:t xml:space="preserve">del </w:t>
      </w:r>
      <w:r w:rsidR="006E015D" w:rsidRPr="005F440E">
        <w:rPr>
          <w:rFonts w:ascii="Bookman Old Style" w:hAnsi="Bookman Old Style" w:cs="Arial"/>
        </w:rPr>
        <w:t xml:space="preserve">08 </w:t>
      </w:r>
      <w:r w:rsidR="00045572" w:rsidRPr="005F440E">
        <w:rPr>
          <w:rFonts w:ascii="Bookman Old Style" w:hAnsi="Bookman Old Style" w:cs="Arial"/>
        </w:rPr>
        <w:t xml:space="preserve">de </w:t>
      </w:r>
      <w:r w:rsidR="007534F7" w:rsidRPr="005F440E">
        <w:rPr>
          <w:rFonts w:ascii="Bookman Old Style" w:hAnsi="Bookman Old Style" w:cs="Arial"/>
        </w:rPr>
        <w:t>febrero</w:t>
      </w:r>
      <w:r w:rsidR="00B220BC" w:rsidRPr="005F440E">
        <w:rPr>
          <w:rFonts w:ascii="Bookman Old Style" w:hAnsi="Bookman Old Style" w:cs="Arial"/>
        </w:rPr>
        <w:t xml:space="preserve"> </w:t>
      </w:r>
      <w:r w:rsidR="00045572" w:rsidRPr="005F440E">
        <w:rPr>
          <w:rFonts w:ascii="Bookman Old Style" w:hAnsi="Bookman Old Style" w:cs="Arial"/>
        </w:rPr>
        <w:t>de 202</w:t>
      </w:r>
      <w:r w:rsidR="007534F7" w:rsidRPr="005F440E">
        <w:rPr>
          <w:rFonts w:ascii="Bookman Old Style" w:hAnsi="Bookman Old Style" w:cs="Arial"/>
        </w:rPr>
        <w:t>2</w:t>
      </w:r>
      <w:r w:rsidRPr="005F440E">
        <w:rPr>
          <w:rFonts w:ascii="Bookman Old Style" w:hAnsi="Bookman Old Style" w:cs="Arial"/>
        </w:rPr>
        <w:t>, acordó expedir la presente Resolución;</w:t>
      </w:r>
    </w:p>
    <w:p w14:paraId="6D7189BD" w14:textId="77777777" w:rsidR="001E6E2B" w:rsidRPr="000B33DF" w:rsidRDefault="001E6E2B" w:rsidP="00775D19">
      <w:pPr>
        <w:ind w:left="0"/>
        <w:rPr>
          <w:rFonts w:ascii="Bookman Old Style" w:hAnsi="Bookman Old Style" w:cs="Arial"/>
          <w:lang w:val="es-CO"/>
        </w:rPr>
      </w:pPr>
    </w:p>
    <w:p w14:paraId="359321A3" w14:textId="60930DC5" w:rsidR="0079088F" w:rsidRDefault="0079088F" w:rsidP="00777010">
      <w:pPr>
        <w:jc w:val="center"/>
        <w:rPr>
          <w:rFonts w:ascii="Bookman Old Style" w:hAnsi="Bookman Old Style" w:cs="Arial"/>
          <w:b/>
          <w:bCs/>
          <w:lang w:val="es-CO"/>
        </w:rPr>
      </w:pPr>
      <w:r w:rsidRPr="000B33DF">
        <w:rPr>
          <w:rFonts w:ascii="Bookman Old Style" w:hAnsi="Bookman Old Style" w:cs="Arial"/>
          <w:b/>
          <w:bCs/>
          <w:lang w:val="es-CO"/>
        </w:rPr>
        <w:t>R E S U E L V E:</w:t>
      </w:r>
    </w:p>
    <w:p w14:paraId="687E3D29" w14:textId="77777777" w:rsidR="0079088F" w:rsidRPr="000B33DF" w:rsidRDefault="0079088F" w:rsidP="0079088F">
      <w:pPr>
        <w:rPr>
          <w:rFonts w:ascii="Bookman Old Style" w:hAnsi="Bookman Old Style" w:cs="Arial"/>
          <w:sz w:val="14"/>
          <w:lang w:val="es-CO"/>
        </w:rPr>
      </w:pPr>
    </w:p>
    <w:p w14:paraId="15ECAD39" w14:textId="797B0474" w:rsidR="0079088F" w:rsidRDefault="0079088F" w:rsidP="00C20967">
      <w:pPr>
        <w:ind w:left="0"/>
        <w:jc w:val="both"/>
        <w:rPr>
          <w:rFonts w:ascii="Bookman Old Style" w:hAnsi="Bookman Old Style" w:cs="Arial"/>
        </w:rPr>
      </w:pPr>
      <w:r w:rsidRPr="00FC3F5A">
        <w:rPr>
          <w:rFonts w:ascii="Bookman Old Style" w:hAnsi="Bookman Old Style" w:cs="Arial"/>
          <w:b/>
          <w:bCs/>
          <w:lang w:val="es-CO"/>
        </w:rPr>
        <w:t xml:space="preserve">ARTÍCULO 1.  </w:t>
      </w:r>
      <w:r w:rsidRPr="00FC3F5A">
        <w:rPr>
          <w:rFonts w:ascii="Bookman Old Style" w:hAnsi="Bookman Old Style" w:cs="Arial"/>
          <w:lang w:val="es-CO"/>
        </w:rPr>
        <w:t>Declarar que no se confirmó</w:t>
      </w:r>
      <w:r w:rsidRPr="00FC3F5A">
        <w:rPr>
          <w:rFonts w:ascii="Bookman Old Style" w:hAnsi="Bookman Old Style" w:cs="Arial"/>
          <w:b/>
          <w:bCs/>
          <w:lang w:val="es-CO"/>
        </w:rPr>
        <w:t xml:space="preserve"> </w:t>
      </w:r>
      <w:r w:rsidRPr="00FC3F5A">
        <w:rPr>
          <w:rFonts w:ascii="Bookman Old Style" w:hAnsi="Bookman Old Style" w:cs="Arial"/>
          <w:lang w:val="es-CO"/>
        </w:rPr>
        <w:t xml:space="preserve">la existencia de discrepancias en </w:t>
      </w:r>
      <w:r w:rsidR="009A3906">
        <w:rPr>
          <w:rFonts w:ascii="Bookman Old Style" w:hAnsi="Bookman Old Style" w:cs="Arial"/>
          <w:lang w:val="es-CO"/>
        </w:rPr>
        <w:t>los</w:t>
      </w:r>
      <w:r w:rsidRPr="00FC3F5A">
        <w:rPr>
          <w:rFonts w:ascii="Bookman Old Style" w:hAnsi="Bookman Old Style" w:cs="Arial"/>
          <w:lang w:val="es-CO"/>
        </w:rPr>
        <w:t xml:space="preserve"> valor</w:t>
      </w:r>
      <w:r w:rsidR="009A3906">
        <w:rPr>
          <w:rFonts w:ascii="Bookman Old Style" w:hAnsi="Bookman Old Style" w:cs="Arial"/>
          <w:lang w:val="es-CO"/>
        </w:rPr>
        <w:t>es</w:t>
      </w:r>
      <w:r w:rsidRPr="00FC3F5A">
        <w:rPr>
          <w:rFonts w:ascii="Bookman Old Style" w:hAnsi="Bookman Old Style" w:cs="Arial"/>
          <w:lang w:val="es-CO"/>
        </w:rPr>
        <w:t xml:space="preserve"> reportado</w:t>
      </w:r>
      <w:r w:rsidR="009A3906">
        <w:rPr>
          <w:rFonts w:ascii="Bookman Old Style" w:hAnsi="Bookman Old Style" w:cs="Arial"/>
          <w:lang w:val="es-CO"/>
        </w:rPr>
        <w:t>s</w:t>
      </w:r>
      <w:r w:rsidRPr="00FC3F5A">
        <w:rPr>
          <w:rFonts w:ascii="Bookman Old Style" w:hAnsi="Bookman Old Style" w:cs="Arial"/>
          <w:lang w:val="es-CO"/>
        </w:rPr>
        <w:t xml:space="preserve"> </w:t>
      </w:r>
      <w:bookmarkStart w:id="9" w:name="_Hlk95400717"/>
      <w:r w:rsidR="009A3906" w:rsidRPr="009A3906">
        <w:rPr>
          <w:rFonts w:ascii="Bookman Old Style" w:hAnsi="Bookman Old Style" w:cs="Arial"/>
        </w:rPr>
        <w:t>en cumplimiento de lo señalado en la Resolución CREG 142 de 2018</w:t>
      </w:r>
      <w:r w:rsidR="009A3906">
        <w:rPr>
          <w:rFonts w:ascii="Bookman Old Style" w:hAnsi="Bookman Old Style" w:cs="Arial"/>
        </w:rPr>
        <w:t xml:space="preserve"> </w:t>
      </w:r>
      <w:bookmarkEnd w:id="9"/>
      <w:r w:rsidRPr="00FC3F5A">
        <w:rPr>
          <w:rFonts w:ascii="Bookman Old Style" w:hAnsi="Bookman Old Style" w:cs="Arial"/>
          <w:lang w:val="es-CO"/>
        </w:rPr>
        <w:t xml:space="preserve">por la empresa </w:t>
      </w:r>
      <w:r w:rsidR="00B220BC" w:rsidRPr="00FC3F5A">
        <w:rPr>
          <w:rFonts w:ascii="Bookman Old Style" w:hAnsi="Bookman Old Style" w:cs="Arial"/>
          <w:lang w:val="es-CO"/>
        </w:rPr>
        <w:t xml:space="preserve">CELSIA COLOMBIA S.A. E.S.P. </w:t>
      </w:r>
      <w:r w:rsidRPr="00FC3F5A">
        <w:rPr>
          <w:rFonts w:ascii="Bookman Old Style" w:hAnsi="Bookman Old Style" w:cs="Arial"/>
          <w:lang w:val="es-CO"/>
        </w:rPr>
        <w:t xml:space="preserve">para </w:t>
      </w:r>
      <w:r w:rsidR="00FC3F5A" w:rsidRPr="00FC3F5A">
        <w:rPr>
          <w:rFonts w:ascii="Bookman Old Style" w:hAnsi="Bookman Old Style" w:cs="Arial"/>
          <w:lang w:val="es-CO"/>
        </w:rPr>
        <w:t>los</w:t>
      </w:r>
      <w:r w:rsidRPr="00FC3F5A">
        <w:rPr>
          <w:rFonts w:ascii="Bookman Old Style" w:hAnsi="Bookman Old Style" w:cs="Arial"/>
          <w:lang w:val="es-CO"/>
        </w:rPr>
        <w:t xml:space="preserve"> </w:t>
      </w:r>
      <w:r w:rsidR="00A61E59" w:rsidRPr="00FC3F5A">
        <w:rPr>
          <w:rFonts w:ascii="Bookman Old Style" w:hAnsi="Bookman Old Style" w:cs="Arial"/>
          <w:iCs/>
        </w:rPr>
        <w:t>parámetro</w:t>
      </w:r>
      <w:r w:rsidR="00FC3F5A" w:rsidRPr="00FC3F5A">
        <w:rPr>
          <w:rFonts w:ascii="Bookman Old Style" w:hAnsi="Bookman Old Style" w:cs="Arial"/>
          <w:iCs/>
        </w:rPr>
        <w:t>s</w:t>
      </w:r>
      <w:r w:rsidR="00A61E59" w:rsidRPr="00FC3F5A">
        <w:rPr>
          <w:rFonts w:ascii="Bookman Old Style" w:hAnsi="Bookman Old Style" w:cs="Arial"/>
          <w:iCs/>
        </w:rPr>
        <w:t xml:space="preserve"> </w:t>
      </w:r>
      <w:r w:rsidR="000D6170" w:rsidRPr="00FC3F5A">
        <w:rPr>
          <w:rFonts w:ascii="Bookman Old Style" w:hAnsi="Bookman Old Style" w:cs="Arial"/>
          <w:iCs/>
        </w:rPr>
        <w:t xml:space="preserve">Capacidad </w:t>
      </w:r>
      <w:r w:rsidR="001E6E2B">
        <w:rPr>
          <w:rFonts w:ascii="Bookman Old Style" w:hAnsi="Bookman Old Style" w:cs="Arial"/>
          <w:iCs/>
        </w:rPr>
        <w:t>E</w:t>
      </w:r>
      <w:r w:rsidR="001E6E2B" w:rsidRPr="00FC3F5A">
        <w:rPr>
          <w:rFonts w:ascii="Bookman Old Style" w:hAnsi="Bookman Old Style" w:cs="Arial"/>
          <w:iCs/>
        </w:rPr>
        <w:t xml:space="preserve">fectiva </w:t>
      </w:r>
      <w:r w:rsidR="001E6E2B">
        <w:rPr>
          <w:rFonts w:ascii="Bookman Old Style" w:hAnsi="Bookman Old Style" w:cs="Arial"/>
          <w:iCs/>
        </w:rPr>
        <w:t>N</w:t>
      </w:r>
      <w:r w:rsidR="001E6E2B" w:rsidRPr="00FC3F5A">
        <w:rPr>
          <w:rFonts w:ascii="Bookman Old Style" w:hAnsi="Bookman Old Style" w:cs="Arial"/>
          <w:iCs/>
        </w:rPr>
        <w:t>eta</w:t>
      </w:r>
      <w:r w:rsidR="001E6E2B">
        <w:rPr>
          <w:rFonts w:ascii="Bookman Old Style" w:hAnsi="Bookman Old Style" w:cs="Arial"/>
          <w:iCs/>
        </w:rPr>
        <w:t xml:space="preserve">, </w:t>
      </w:r>
      <w:r w:rsidR="00FC3F5A" w:rsidRPr="00FC3F5A">
        <w:rPr>
          <w:rFonts w:ascii="Bookman Old Style" w:hAnsi="Bookman Old Style" w:cs="Arial"/>
          <w:iCs/>
        </w:rPr>
        <w:t>CEN</w:t>
      </w:r>
      <w:r w:rsidR="001E6E2B">
        <w:rPr>
          <w:rFonts w:ascii="Bookman Old Style" w:hAnsi="Bookman Old Style" w:cs="Arial"/>
          <w:iCs/>
        </w:rPr>
        <w:t>,</w:t>
      </w:r>
      <w:r w:rsidR="001E6E2B" w:rsidRPr="00FC3F5A">
        <w:rPr>
          <w:rFonts w:ascii="Bookman Old Style" w:hAnsi="Bookman Old Style" w:cs="Arial"/>
          <w:iCs/>
        </w:rPr>
        <w:t xml:space="preserve"> </w:t>
      </w:r>
      <w:r w:rsidR="00FC3F5A" w:rsidRPr="00FC3F5A">
        <w:rPr>
          <w:rFonts w:ascii="Bookman Old Style" w:hAnsi="Bookman Old Style" w:cs="Arial"/>
          <w:iCs/>
        </w:rPr>
        <w:t xml:space="preserve">y </w:t>
      </w:r>
      <w:r w:rsidR="000D6170" w:rsidRPr="00FC3F5A">
        <w:rPr>
          <w:rFonts w:ascii="Bookman Old Style" w:hAnsi="Bookman Old Style" w:cs="Arial"/>
          <w:iCs/>
        </w:rPr>
        <w:t xml:space="preserve">Serie </w:t>
      </w:r>
      <w:r w:rsidR="00A61E59" w:rsidRPr="00FC3F5A">
        <w:rPr>
          <w:rFonts w:ascii="Bookman Old Style" w:hAnsi="Bookman Old Style" w:cs="Arial"/>
          <w:iCs/>
        </w:rPr>
        <w:t xml:space="preserve">histórica de caudales medios mensuales de los ríos del SIN </w:t>
      </w:r>
      <w:r w:rsidR="009B3804" w:rsidRPr="00FC3F5A">
        <w:rPr>
          <w:rFonts w:ascii="Bookman Old Style" w:hAnsi="Bookman Old Style" w:cs="Arial"/>
        </w:rPr>
        <w:t xml:space="preserve">que </w:t>
      </w:r>
      <w:r w:rsidR="00626B3F" w:rsidRPr="00FC3F5A">
        <w:rPr>
          <w:rFonts w:ascii="Bookman Old Style" w:hAnsi="Bookman Old Style" w:cs="Arial"/>
        </w:rPr>
        <w:t>comprometan</w:t>
      </w:r>
      <w:r w:rsidR="009B3804" w:rsidRPr="00FC3F5A">
        <w:rPr>
          <w:rFonts w:ascii="Bookman Old Style" w:hAnsi="Bookman Old Style" w:cs="Arial"/>
        </w:rPr>
        <w:t xml:space="preserve"> la ENFICC </w:t>
      </w:r>
      <w:r w:rsidR="00207DB8">
        <w:rPr>
          <w:rFonts w:ascii="Bookman Old Style" w:hAnsi="Bookman Old Style" w:cs="Arial"/>
        </w:rPr>
        <w:t xml:space="preserve">de la </w:t>
      </w:r>
      <w:r w:rsidR="00207DB8" w:rsidRPr="00D71140">
        <w:rPr>
          <w:rFonts w:ascii="Bookman Old Style" w:hAnsi="Bookman Old Style" w:cs="Arial"/>
        </w:rPr>
        <w:t>planta Bajo Anchicayá</w:t>
      </w:r>
      <w:r w:rsidR="00933794">
        <w:rPr>
          <w:rFonts w:ascii="Bookman Old Style" w:hAnsi="Bookman Old Style" w:cs="Arial"/>
        </w:rPr>
        <w:t>, l</w:t>
      </w:r>
      <w:r w:rsidR="0052302F">
        <w:rPr>
          <w:rFonts w:ascii="Bookman Old Style" w:hAnsi="Bookman Old Style" w:cs="Arial"/>
        </w:rPr>
        <w:t xml:space="preserve">a </w:t>
      </w:r>
      <w:r w:rsidR="00933794">
        <w:rPr>
          <w:rFonts w:ascii="Bookman Old Style" w:hAnsi="Bookman Old Style" w:cs="Arial"/>
        </w:rPr>
        <w:t>cual respalda</w:t>
      </w:r>
      <w:r w:rsidR="0052302F">
        <w:rPr>
          <w:rFonts w:ascii="Bookman Old Style" w:hAnsi="Bookman Old Style" w:cs="Arial"/>
        </w:rPr>
        <w:t xml:space="preserve"> parte</w:t>
      </w:r>
      <w:r w:rsidR="00933794">
        <w:rPr>
          <w:rFonts w:ascii="Bookman Old Style" w:hAnsi="Bookman Old Style" w:cs="Arial"/>
        </w:rPr>
        <w:t xml:space="preserve"> </w:t>
      </w:r>
      <w:r w:rsidR="0052302F">
        <w:rPr>
          <w:rFonts w:ascii="Bookman Old Style" w:hAnsi="Bookman Old Style" w:cs="Arial"/>
        </w:rPr>
        <w:t xml:space="preserve">de </w:t>
      </w:r>
      <w:r w:rsidR="00933794">
        <w:rPr>
          <w:rFonts w:ascii="Bookman Old Style" w:hAnsi="Bookman Old Style" w:cs="Arial"/>
        </w:rPr>
        <w:t xml:space="preserve">las OEF del </w:t>
      </w:r>
      <w:r w:rsidR="009B3804" w:rsidRPr="00FC3F5A">
        <w:rPr>
          <w:rFonts w:ascii="Bookman Old Style" w:hAnsi="Bookman Old Style" w:cs="Arial"/>
        </w:rPr>
        <w:t>p</w:t>
      </w:r>
      <w:r w:rsidR="008372A8" w:rsidRPr="00FC3F5A">
        <w:rPr>
          <w:rFonts w:ascii="Bookman Old Style" w:hAnsi="Bookman Old Style" w:cs="Arial"/>
        </w:rPr>
        <w:t>eríodo</w:t>
      </w:r>
      <w:r w:rsidR="009B3804" w:rsidRPr="00FC3F5A">
        <w:rPr>
          <w:rFonts w:ascii="Bookman Old Style" w:hAnsi="Bookman Old Style" w:cs="Arial"/>
        </w:rPr>
        <w:t xml:space="preserve"> </w:t>
      </w:r>
      <w:r w:rsidR="009B3804" w:rsidRPr="00D71140">
        <w:rPr>
          <w:rFonts w:ascii="Bookman Old Style" w:hAnsi="Bookman Old Style" w:cs="Arial"/>
        </w:rPr>
        <w:t>2022-2023</w:t>
      </w:r>
      <w:r w:rsidR="00782386" w:rsidRPr="00D71140">
        <w:rPr>
          <w:rFonts w:ascii="Bookman Old Style" w:hAnsi="Bookman Old Style" w:cs="Arial"/>
        </w:rPr>
        <w:t xml:space="preserve"> para la </w:t>
      </w:r>
      <w:r w:rsidR="004D5FFA">
        <w:rPr>
          <w:rFonts w:ascii="Bookman Old Style" w:hAnsi="Bookman Old Style" w:cs="Arial"/>
        </w:rPr>
        <w:t>Cadena ALBAN</w:t>
      </w:r>
      <w:r w:rsidRPr="00D71140">
        <w:rPr>
          <w:rFonts w:ascii="Bookman Old Style" w:hAnsi="Bookman Old Style" w:cs="Arial"/>
        </w:rPr>
        <w:t>.</w:t>
      </w:r>
      <w:r w:rsidRPr="00DC3460">
        <w:rPr>
          <w:rFonts w:ascii="Bookman Old Style" w:hAnsi="Bookman Old Style" w:cs="Arial"/>
        </w:rPr>
        <w:t xml:space="preserve"> </w:t>
      </w:r>
    </w:p>
    <w:p w14:paraId="6568D0FB" w14:textId="77777777" w:rsidR="002D5AB7" w:rsidRPr="000B33DF" w:rsidRDefault="002D5AB7" w:rsidP="00C20967">
      <w:pPr>
        <w:ind w:left="0"/>
        <w:jc w:val="both"/>
        <w:rPr>
          <w:rFonts w:ascii="Bookman Old Style" w:hAnsi="Bookman Old Style" w:cs="Arial"/>
        </w:rPr>
      </w:pPr>
    </w:p>
    <w:p w14:paraId="33BE1A2E" w14:textId="55C91AA4" w:rsidR="0079088F" w:rsidRPr="00F90F56" w:rsidRDefault="0079088F" w:rsidP="00C20967">
      <w:pPr>
        <w:ind w:left="0"/>
        <w:jc w:val="both"/>
        <w:rPr>
          <w:rFonts w:ascii="Bookman Old Style" w:hAnsi="Bookman Old Style" w:cs="Arial"/>
          <w:color w:val="000000"/>
          <w:lang w:val="es-CO"/>
        </w:rPr>
      </w:pPr>
      <w:r w:rsidRPr="008A28AC">
        <w:rPr>
          <w:rFonts w:ascii="Bookman Old Style" w:hAnsi="Bookman Old Style" w:cs="Arial"/>
          <w:b/>
          <w:bCs/>
          <w:color w:val="000000"/>
          <w:lang w:val="es-CO"/>
        </w:rPr>
        <w:t xml:space="preserve">ARTÍCULO 2.  </w:t>
      </w:r>
      <w:r w:rsidRPr="00D71140">
        <w:rPr>
          <w:rFonts w:ascii="Bookman Old Style" w:hAnsi="Bookman Old Style" w:cs="Arial"/>
          <w:color w:val="000000"/>
          <w:lang w:val="es-CO"/>
        </w:rPr>
        <w:t>Ordenar el archivo de la actuación administrativa de que da cuenta el expediente</w:t>
      </w:r>
      <w:r w:rsidR="00782386" w:rsidRPr="00D71140">
        <w:rPr>
          <w:rFonts w:ascii="Bookman Old Style" w:hAnsi="Bookman Old Style" w:cs="Arial"/>
          <w:color w:val="000000"/>
          <w:lang w:val="es-CO"/>
        </w:rPr>
        <w:t xml:space="preserve"> </w:t>
      </w:r>
      <w:r w:rsidRPr="00D71140">
        <w:rPr>
          <w:rFonts w:ascii="Bookman Old Style" w:hAnsi="Bookman Old Style" w:cs="Arial"/>
          <w:color w:val="000000"/>
          <w:lang w:val="es-CO"/>
        </w:rPr>
        <w:t>202</w:t>
      </w:r>
      <w:r w:rsidR="00B220BC" w:rsidRPr="00D71140">
        <w:rPr>
          <w:rFonts w:ascii="Bookman Old Style" w:hAnsi="Bookman Old Style" w:cs="Arial"/>
          <w:color w:val="000000"/>
          <w:lang w:val="es-CO"/>
        </w:rPr>
        <w:t>1</w:t>
      </w:r>
      <w:r w:rsidRPr="00D71140">
        <w:rPr>
          <w:rFonts w:ascii="Bookman Old Style" w:hAnsi="Bookman Old Style" w:cs="Arial"/>
          <w:color w:val="000000"/>
          <w:lang w:val="es-CO"/>
        </w:rPr>
        <w:t>-0</w:t>
      </w:r>
      <w:r w:rsidR="00B220BC" w:rsidRPr="00D71140">
        <w:rPr>
          <w:rFonts w:ascii="Bookman Old Style" w:hAnsi="Bookman Old Style" w:cs="Arial"/>
          <w:color w:val="000000"/>
          <w:lang w:val="es-CO"/>
        </w:rPr>
        <w:t>04</w:t>
      </w:r>
      <w:r w:rsidR="00FC3F5A" w:rsidRPr="00D71140">
        <w:rPr>
          <w:rFonts w:ascii="Bookman Old Style" w:hAnsi="Bookman Old Style" w:cs="Arial"/>
          <w:color w:val="000000"/>
          <w:lang w:val="es-CO"/>
        </w:rPr>
        <w:t>4</w:t>
      </w:r>
      <w:r w:rsidR="00177725" w:rsidRPr="00D71140">
        <w:rPr>
          <w:rFonts w:ascii="Bookman Old Style" w:hAnsi="Bookman Old Style" w:cs="Arial"/>
          <w:color w:val="000000"/>
          <w:lang w:val="es-CO"/>
        </w:rPr>
        <w:t>.</w:t>
      </w:r>
    </w:p>
    <w:p w14:paraId="1EFF3293" w14:textId="77777777" w:rsidR="0079088F" w:rsidRPr="000B33DF" w:rsidRDefault="0079088F" w:rsidP="00C20967">
      <w:pPr>
        <w:ind w:left="0"/>
        <w:jc w:val="both"/>
        <w:rPr>
          <w:rFonts w:ascii="Bookman Old Style" w:hAnsi="Bookman Old Style" w:cs="Arial"/>
          <w:lang w:val="es-CO"/>
        </w:rPr>
      </w:pPr>
    </w:p>
    <w:p w14:paraId="3F43FF67" w14:textId="6E17E88C" w:rsidR="0079088F" w:rsidRDefault="0079088F" w:rsidP="0079088F">
      <w:pPr>
        <w:ind w:left="0"/>
        <w:jc w:val="both"/>
        <w:rPr>
          <w:rFonts w:ascii="Bookman Old Style" w:hAnsi="Bookman Old Style" w:cs="Arial"/>
          <w:lang w:val="es-CO"/>
        </w:rPr>
      </w:pPr>
      <w:r w:rsidRPr="000B33DF">
        <w:rPr>
          <w:rFonts w:ascii="Bookman Old Style" w:hAnsi="Bookman Old Style" w:cs="Arial"/>
          <w:b/>
          <w:bCs/>
          <w:lang w:val="es-CO"/>
        </w:rPr>
        <w:t>ARTÍCULO</w:t>
      </w:r>
      <w:r>
        <w:rPr>
          <w:rFonts w:ascii="Bookman Old Style" w:hAnsi="Bookman Old Style" w:cs="Arial"/>
          <w:b/>
          <w:bCs/>
          <w:lang w:val="es-CO"/>
        </w:rPr>
        <w:t xml:space="preserve"> 3</w:t>
      </w:r>
      <w:r w:rsidRPr="000B33DF">
        <w:rPr>
          <w:rFonts w:ascii="Bookman Old Style" w:hAnsi="Bookman Old Style" w:cs="Arial"/>
          <w:b/>
          <w:bCs/>
          <w:lang w:val="es-CO"/>
        </w:rPr>
        <w:t xml:space="preserve">.  </w:t>
      </w:r>
      <w:r w:rsidRPr="00DC3460">
        <w:rPr>
          <w:rFonts w:ascii="Bookman Old Style" w:hAnsi="Bookman Old Style" w:cs="Arial"/>
          <w:lang w:val="es-CO"/>
        </w:rPr>
        <w:t>La presente Resolución deberá notificarse personalmente al</w:t>
      </w:r>
      <w:r w:rsidR="00B220BC">
        <w:rPr>
          <w:rFonts w:ascii="Bookman Old Style" w:hAnsi="Bookman Old Style" w:cs="Arial"/>
          <w:lang w:val="es-CO"/>
        </w:rPr>
        <w:t xml:space="preserve"> señor Marcelo Javier Álvarez Ríos en su calidad de representante legal de la </w:t>
      </w:r>
      <w:r w:rsidRPr="00DC3460">
        <w:rPr>
          <w:rFonts w:ascii="Bookman Old Style" w:hAnsi="Bookman Old Style" w:cs="Arial"/>
          <w:lang w:val="es-CO"/>
        </w:rPr>
        <w:t xml:space="preserve">empresa </w:t>
      </w:r>
      <w:r w:rsidR="00B220BC">
        <w:rPr>
          <w:rFonts w:ascii="Bookman Old Style" w:hAnsi="Bookman Old Style" w:cs="Arial"/>
          <w:lang w:val="es-CO"/>
        </w:rPr>
        <w:t>CELSIA COLOMBIA S.A. E.S.P. o quien haga sus veces, advirtiéndole que c</w:t>
      </w:r>
      <w:r w:rsidRPr="00DC3460">
        <w:rPr>
          <w:rFonts w:ascii="Bookman Old Style" w:hAnsi="Bookman Old Style" w:cs="Arial"/>
          <w:lang w:val="es-CO"/>
        </w:rPr>
        <w:t xml:space="preserve">ontra las disposiciones contenidas en esta </w:t>
      </w:r>
      <w:r w:rsidR="00B220BC">
        <w:rPr>
          <w:rFonts w:ascii="Bookman Old Style" w:hAnsi="Bookman Old Style" w:cs="Arial"/>
          <w:lang w:val="es-CO"/>
        </w:rPr>
        <w:t>r</w:t>
      </w:r>
      <w:r w:rsidRPr="00DC3460">
        <w:rPr>
          <w:rFonts w:ascii="Bookman Old Style" w:hAnsi="Bookman Old Style" w:cs="Arial"/>
          <w:lang w:val="es-CO"/>
        </w:rPr>
        <w:t>esolución procede el recurso de reposición, el cual podrá interponerse ante la Dirección Ejecutiva de la CREG dentro de los cinco (5) días hábiles siguientes a la fecha de su notificación.</w:t>
      </w:r>
    </w:p>
    <w:p w14:paraId="07826671" w14:textId="77777777" w:rsidR="000D6170" w:rsidRDefault="000D6170" w:rsidP="0079088F">
      <w:pPr>
        <w:ind w:left="0"/>
        <w:jc w:val="both"/>
        <w:rPr>
          <w:rFonts w:ascii="Bookman Old Style" w:hAnsi="Bookman Old Style" w:cs="Arial"/>
          <w:lang w:val="es-CO"/>
        </w:rPr>
      </w:pPr>
    </w:p>
    <w:p w14:paraId="28FABA6B" w14:textId="4DF9AA48" w:rsidR="00045572" w:rsidRPr="00BE5497" w:rsidRDefault="00F16357" w:rsidP="00BE5497">
      <w:pPr>
        <w:ind w:left="0"/>
        <w:jc w:val="center"/>
        <w:rPr>
          <w:rFonts w:ascii="Bookman Old Style" w:hAnsi="Bookman Old Style" w:cs="Arial"/>
          <w:b/>
          <w:bCs/>
          <w:lang w:val="es-CO"/>
        </w:rPr>
      </w:pPr>
      <w:r w:rsidRPr="00F16357">
        <w:rPr>
          <w:rFonts w:ascii="Bookman Old Style" w:hAnsi="Bookman Old Style" w:cs="Arial"/>
          <w:b/>
          <w:bCs/>
          <w:lang w:val="es-CO"/>
        </w:rPr>
        <w:t>NOTIFÍQUESE Y CÚMPLASE</w:t>
      </w:r>
    </w:p>
    <w:p w14:paraId="6EF18835" w14:textId="37AF3DD5" w:rsidR="0079088F" w:rsidRDefault="0079088F" w:rsidP="0079088F">
      <w:pPr>
        <w:ind w:left="0"/>
        <w:jc w:val="both"/>
        <w:rPr>
          <w:rFonts w:ascii="Bookman Old Style" w:hAnsi="Bookman Old Style" w:cs="Arial"/>
          <w:lang w:val="es-CO"/>
        </w:rPr>
      </w:pPr>
    </w:p>
    <w:p w14:paraId="61C493A1" w14:textId="00E8EAFB" w:rsidR="004B12F0" w:rsidRPr="00BE5497" w:rsidRDefault="0079088F" w:rsidP="004B12F0">
      <w:pPr>
        <w:ind w:left="0"/>
        <w:jc w:val="both"/>
        <w:rPr>
          <w:rFonts w:ascii="Bookman Old Style" w:hAnsi="Bookman Old Style" w:cs="Arial"/>
          <w:b/>
          <w:bCs/>
        </w:rPr>
      </w:pPr>
      <w:r w:rsidRPr="0079088F">
        <w:rPr>
          <w:rFonts w:ascii="Bookman Old Style" w:hAnsi="Bookman Old Style" w:cs="Arial"/>
        </w:rPr>
        <w:t xml:space="preserve">Dada en Bogotá, D.C. </w:t>
      </w:r>
      <w:r w:rsidRPr="005F440E">
        <w:rPr>
          <w:rFonts w:ascii="Bookman Old Style" w:hAnsi="Bookman Old Style" w:cs="Arial"/>
        </w:rPr>
        <w:t xml:space="preserve">a </w:t>
      </w:r>
      <w:r w:rsidR="009A3906" w:rsidRPr="005F440E">
        <w:rPr>
          <w:rFonts w:ascii="Bookman Old Style" w:hAnsi="Bookman Old Style" w:cs="Arial"/>
          <w:b/>
          <w:bCs/>
        </w:rPr>
        <w:t>08</w:t>
      </w:r>
      <w:r w:rsidR="00045572" w:rsidRPr="005F440E">
        <w:rPr>
          <w:rFonts w:ascii="Bookman Old Style" w:hAnsi="Bookman Old Style" w:cs="Arial"/>
          <w:b/>
          <w:bCs/>
        </w:rPr>
        <w:t xml:space="preserve"> </w:t>
      </w:r>
      <w:r w:rsidR="00EC1EB9" w:rsidRPr="005F440E">
        <w:rPr>
          <w:rFonts w:ascii="Bookman Old Style" w:hAnsi="Bookman Old Style" w:cs="Arial"/>
          <w:b/>
          <w:bCs/>
        </w:rPr>
        <w:t>FEB</w:t>
      </w:r>
      <w:r w:rsidR="00045572" w:rsidRPr="005F440E">
        <w:rPr>
          <w:rFonts w:ascii="Bookman Old Style" w:hAnsi="Bookman Old Style" w:cs="Arial"/>
          <w:b/>
          <w:bCs/>
        </w:rPr>
        <w:t>. 202</w:t>
      </w:r>
      <w:r w:rsidR="00EC1EB9" w:rsidRPr="005F440E">
        <w:rPr>
          <w:rFonts w:ascii="Bookman Old Style" w:hAnsi="Bookman Old Style" w:cs="Arial"/>
          <w:b/>
          <w:bCs/>
        </w:rPr>
        <w:t>2</w:t>
      </w:r>
    </w:p>
    <w:p w14:paraId="095C98D5" w14:textId="253EEC81" w:rsidR="004B12F0" w:rsidRDefault="004B12F0" w:rsidP="004B12F0">
      <w:pPr>
        <w:ind w:left="0"/>
        <w:jc w:val="both"/>
        <w:rPr>
          <w:rFonts w:ascii="Bookman Old Style" w:hAnsi="Bookman Old Style" w:cs="Arial"/>
          <w:lang w:val="es-CO"/>
        </w:rPr>
      </w:pPr>
    </w:p>
    <w:p w14:paraId="6EE8A11D" w14:textId="77777777" w:rsidR="000D6170" w:rsidRDefault="000D6170" w:rsidP="004B12F0">
      <w:pPr>
        <w:ind w:left="0"/>
        <w:jc w:val="both"/>
        <w:rPr>
          <w:rFonts w:ascii="Bookman Old Style" w:hAnsi="Bookman Old Style" w:cs="Arial"/>
          <w:lang w:val="es-CO"/>
        </w:rPr>
      </w:pPr>
    </w:p>
    <w:p w14:paraId="0DE757B4" w14:textId="5FD5F3D4" w:rsidR="00833315" w:rsidRDefault="00833315" w:rsidP="004B12F0">
      <w:pPr>
        <w:ind w:left="0"/>
        <w:jc w:val="both"/>
        <w:rPr>
          <w:rFonts w:ascii="Bookman Old Style" w:hAnsi="Bookman Old Style" w:cs="Arial"/>
          <w:lang w:val="es-CO"/>
        </w:rPr>
      </w:pPr>
    </w:p>
    <w:p w14:paraId="2DF7FE5C" w14:textId="77777777" w:rsidR="00B31437" w:rsidRDefault="00B31437" w:rsidP="004B12F0">
      <w:pPr>
        <w:ind w:left="0"/>
        <w:jc w:val="both"/>
        <w:rPr>
          <w:rFonts w:ascii="Bookman Old Style" w:hAnsi="Bookman Old Style" w:cs="Arial"/>
          <w:lang w:val="es-CO"/>
        </w:rPr>
      </w:pPr>
    </w:p>
    <w:p w14:paraId="7990E8BF" w14:textId="77777777" w:rsidR="00833315" w:rsidRDefault="00833315" w:rsidP="004B12F0">
      <w:pPr>
        <w:ind w:left="0"/>
        <w:jc w:val="both"/>
        <w:rPr>
          <w:rFonts w:ascii="Bookman Old Style" w:hAnsi="Bookman Old Style" w:cs="Arial"/>
          <w:lang w:val="es-CO"/>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903E1B" w:rsidRPr="00BF69C9" w14:paraId="672A4C3F" w14:textId="77777777" w:rsidTr="002159B3">
        <w:trPr>
          <w:tblCellSpacing w:w="0" w:type="dxa"/>
          <w:jc w:val="center"/>
        </w:trPr>
        <w:tc>
          <w:tcPr>
            <w:tcW w:w="4111" w:type="dxa"/>
          </w:tcPr>
          <w:p w14:paraId="4E88F9DE" w14:textId="733410C3" w:rsidR="00903E1B" w:rsidRPr="00903E1B" w:rsidRDefault="009A3906" w:rsidP="002159B3">
            <w:pPr>
              <w:ind w:left="66"/>
              <w:jc w:val="center"/>
              <w:rPr>
                <w:rFonts w:ascii="Bookman Old Style" w:hAnsi="Bookman Old Style" w:cs="Arial"/>
                <w:b/>
              </w:rPr>
            </w:pPr>
            <w:r w:rsidRPr="009A3906">
              <w:rPr>
                <w:rFonts w:ascii="Bookman Old Style" w:hAnsi="Bookman Old Style" w:cs="Arial"/>
                <w:b/>
              </w:rPr>
              <w:t xml:space="preserve">DIEGO MESA </w:t>
            </w:r>
            <w:r w:rsidR="000D6170" w:rsidRPr="009A3906">
              <w:rPr>
                <w:rFonts w:ascii="Bookman Old Style" w:hAnsi="Bookman Old Style" w:cs="Arial"/>
                <w:b/>
              </w:rPr>
              <w:t>PU</w:t>
            </w:r>
            <w:r w:rsidR="000D6170">
              <w:rPr>
                <w:rFonts w:ascii="Bookman Old Style" w:hAnsi="Bookman Old Style" w:cs="Arial"/>
                <w:b/>
              </w:rPr>
              <w:t>Y</w:t>
            </w:r>
            <w:r w:rsidR="000D6170" w:rsidRPr="009A3906">
              <w:rPr>
                <w:rFonts w:ascii="Bookman Old Style" w:hAnsi="Bookman Old Style" w:cs="Arial"/>
                <w:b/>
              </w:rPr>
              <w:t>O</w:t>
            </w:r>
          </w:p>
        </w:tc>
        <w:tc>
          <w:tcPr>
            <w:tcW w:w="4820" w:type="dxa"/>
          </w:tcPr>
          <w:p w14:paraId="77E6AA90" w14:textId="77777777" w:rsidR="00903E1B" w:rsidRPr="00903E1B" w:rsidRDefault="00903E1B" w:rsidP="002159B3">
            <w:pPr>
              <w:ind w:left="69"/>
              <w:jc w:val="center"/>
              <w:rPr>
                <w:rFonts w:ascii="Bookman Old Style" w:hAnsi="Bookman Old Style" w:cs="Arial"/>
                <w:b/>
              </w:rPr>
            </w:pPr>
            <w:r w:rsidRPr="00903E1B">
              <w:rPr>
                <w:rFonts w:ascii="Bookman Old Style" w:hAnsi="Bookman Old Style" w:cs="Arial"/>
                <w:b/>
              </w:rPr>
              <w:t xml:space="preserve">JORGE ALBERTO VALENCIA MARÍN </w:t>
            </w:r>
          </w:p>
        </w:tc>
      </w:tr>
      <w:tr w:rsidR="00903E1B" w:rsidRPr="00EC1EB9" w14:paraId="0519F42F" w14:textId="77777777" w:rsidTr="002159B3">
        <w:trPr>
          <w:tblCellSpacing w:w="0" w:type="dxa"/>
          <w:jc w:val="center"/>
        </w:trPr>
        <w:tc>
          <w:tcPr>
            <w:tcW w:w="4111" w:type="dxa"/>
            <w:hideMark/>
          </w:tcPr>
          <w:p w14:paraId="5CBC097E" w14:textId="59A5146C" w:rsidR="00903E1B" w:rsidRPr="00EC1EB9" w:rsidRDefault="00903E1B" w:rsidP="002159B3">
            <w:pPr>
              <w:ind w:left="66"/>
              <w:jc w:val="center"/>
              <w:rPr>
                <w:rFonts w:ascii="Bookman Old Style" w:eastAsia="Arial Unicode MS" w:hAnsi="Bookman Old Style" w:cs="Arial"/>
                <w:color w:val="000000"/>
              </w:rPr>
            </w:pPr>
            <w:r w:rsidRPr="00EC1EB9">
              <w:rPr>
                <w:rFonts w:ascii="Bookman Old Style" w:hAnsi="Bookman Old Style" w:cs="Arial"/>
              </w:rPr>
              <w:t>Ministro de Minas y Energía</w:t>
            </w:r>
          </w:p>
        </w:tc>
        <w:tc>
          <w:tcPr>
            <w:tcW w:w="4820" w:type="dxa"/>
            <w:hideMark/>
          </w:tcPr>
          <w:p w14:paraId="34C5033C" w14:textId="77777777" w:rsidR="00903E1B" w:rsidRPr="00EC1EB9" w:rsidRDefault="00903E1B" w:rsidP="002159B3">
            <w:pPr>
              <w:jc w:val="center"/>
              <w:rPr>
                <w:rFonts w:ascii="Bookman Old Style" w:eastAsia="Arial Unicode MS" w:hAnsi="Bookman Old Style" w:cs="Arial"/>
                <w:color w:val="000000"/>
              </w:rPr>
            </w:pPr>
            <w:r w:rsidRPr="00EC1EB9">
              <w:rPr>
                <w:rFonts w:ascii="Bookman Old Style" w:hAnsi="Bookman Old Style" w:cs="Arial"/>
              </w:rPr>
              <w:t xml:space="preserve">Director Ejecutivo </w:t>
            </w:r>
          </w:p>
        </w:tc>
      </w:tr>
      <w:tr w:rsidR="00903E1B" w:rsidRPr="00EC1EB9" w14:paraId="7A866BC9" w14:textId="77777777" w:rsidTr="002159B3">
        <w:trPr>
          <w:tblCellSpacing w:w="0" w:type="dxa"/>
          <w:jc w:val="center"/>
        </w:trPr>
        <w:tc>
          <w:tcPr>
            <w:tcW w:w="4111" w:type="dxa"/>
            <w:hideMark/>
          </w:tcPr>
          <w:p w14:paraId="4FB96B51" w14:textId="77777777" w:rsidR="00903E1B" w:rsidRPr="00EC1EB9" w:rsidRDefault="00903E1B" w:rsidP="002159B3">
            <w:pPr>
              <w:ind w:left="66"/>
              <w:jc w:val="center"/>
              <w:rPr>
                <w:rFonts w:ascii="Bookman Old Style" w:eastAsia="Arial Unicode MS" w:hAnsi="Bookman Old Style" w:cs="Arial"/>
                <w:color w:val="000000"/>
              </w:rPr>
            </w:pPr>
            <w:r w:rsidRPr="00EC1EB9">
              <w:rPr>
                <w:rFonts w:ascii="Bookman Old Style" w:hAnsi="Bookman Old Style" w:cs="Arial"/>
              </w:rPr>
              <w:t>Presidente</w:t>
            </w:r>
          </w:p>
        </w:tc>
        <w:tc>
          <w:tcPr>
            <w:tcW w:w="4820" w:type="dxa"/>
          </w:tcPr>
          <w:p w14:paraId="1756DDC4" w14:textId="77777777" w:rsidR="00903E1B" w:rsidRPr="00EC1EB9" w:rsidRDefault="00903E1B" w:rsidP="002159B3">
            <w:pPr>
              <w:jc w:val="center"/>
              <w:rPr>
                <w:rFonts w:ascii="Bookman Old Style" w:eastAsia="Arial Unicode MS" w:hAnsi="Bookman Old Style" w:cs="Arial"/>
                <w:color w:val="000000"/>
              </w:rPr>
            </w:pPr>
          </w:p>
        </w:tc>
      </w:tr>
    </w:tbl>
    <w:p w14:paraId="1D1591A1" w14:textId="61F8E2D4" w:rsidR="004B12F0" w:rsidRPr="00EC1EB9" w:rsidRDefault="004B12F0" w:rsidP="00B31437">
      <w:pPr>
        <w:ind w:left="0"/>
        <w:jc w:val="both"/>
        <w:rPr>
          <w:rFonts w:ascii="Bookman Old Style" w:hAnsi="Bookman Old Style" w:cs="Arial"/>
          <w:lang w:val="es-CO"/>
        </w:rPr>
      </w:pPr>
    </w:p>
    <w:sectPr w:rsidR="004B12F0" w:rsidRPr="00EC1EB9" w:rsidSect="002301BC">
      <w:headerReference w:type="default" r:id="rId13"/>
      <w:headerReference w:type="first" r:id="rId14"/>
      <w:type w:val="continuous"/>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41333" w14:textId="77777777" w:rsidR="005F3813" w:rsidRDefault="005F3813">
      <w:r>
        <w:separator/>
      </w:r>
    </w:p>
  </w:endnote>
  <w:endnote w:type="continuationSeparator" w:id="0">
    <w:p w14:paraId="59022ADE" w14:textId="77777777" w:rsidR="005F3813" w:rsidRDefault="005F3813">
      <w:r>
        <w:continuationSeparator/>
      </w:r>
    </w:p>
  </w:endnote>
  <w:endnote w:type="continuationNotice" w:id="1">
    <w:p w14:paraId="284547D7" w14:textId="77777777" w:rsidR="005F3813" w:rsidRDefault="005F3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w:altName w:val="Segoe UI Historic"/>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01B0" w14:textId="77777777" w:rsidR="005F3813" w:rsidRDefault="005F3813">
      <w:r>
        <w:separator/>
      </w:r>
    </w:p>
  </w:footnote>
  <w:footnote w:type="continuationSeparator" w:id="0">
    <w:p w14:paraId="7CA0DC88" w14:textId="77777777" w:rsidR="005F3813" w:rsidRDefault="005F3813">
      <w:r>
        <w:continuationSeparator/>
      </w:r>
    </w:p>
  </w:footnote>
  <w:footnote w:type="continuationNotice" w:id="1">
    <w:p w14:paraId="2860CE14" w14:textId="77777777" w:rsidR="005F3813" w:rsidRDefault="005F3813"/>
  </w:footnote>
  <w:footnote w:id="2">
    <w:p w14:paraId="31A66D2A" w14:textId="321DE9FB" w:rsidR="00237DB3" w:rsidRDefault="00237DB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D717" w14:textId="77777777" w:rsidR="0079088F" w:rsidRDefault="0079088F" w:rsidP="00951F79">
    <w:pPr>
      <w:pStyle w:val="Ttulo1"/>
      <w:ind w:right="6"/>
      <w:jc w:val="left"/>
      <w:rPr>
        <w:rFonts w:ascii="Bookman Old Style" w:hAnsi="Bookman Old Style" w:cs="Arial"/>
        <w:b w:val="0"/>
        <w:sz w:val="22"/>
        <w:szCs w:val="22"/>
      </w:rPr>
    </w:pPr>
  </w:p>
  <w:p w14:paraId="4C96798D" w14:textId="0448AD19" w:rsidR="0079088F" w:rsidRPr="00951F79" w:rsidRDefault="0079088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581E02" w:rsidRPr="00581E02">
      <w:rPr>
        <w:rFonts w:ascii="Bookman Old Style" w:hAnsi="Bookman Old Style" w:cs="Arial"/>
        <w:bCs/>
        <w:szCs w:val="24"/>
        <w:u w:val="single"/>
      </w:rPr>
      <w:t>501 011</w:t>
    </w:r>
    <w:r w:rsidR="00581E02" w:rsidRPr="00581E02">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581E02" w:rsidRPr="00581E02">
      <w:rPr>
        <w:rFonts w:ascii="Bookman Old Style" w:hAnsi="Bookman Old Style" w:cs="Arial"/>
        <w:bCs/>
        <w:szCs w:val="24"/>
        <w:u w:val="single"/>
      </w:rPr>
      <w:t>08 FEB. 2022</w:t>
    </w:r>
    <w:r w:rsidR="00581E02">
      <w:rPr>
        <w:rFonts w:ascii="Bookman Old Style" w:hAnsi="Bookman Old Style" w:cs="Arial"/>
        <w:b w:val="0"/>
        <w:sz w:val="22"/>
        <w:szCs w:val="22"/>
        <w:u w:val="single"/>
      </w:rPr>
      <w:t xml:space="preserve"> </w:t>
    </w:r>
    <w:r w:rsidR="00045572" w:rsidRPr="00581E02">
      <w:rPr>
        <w:rFonts w:ascii="Bookman Old Style" w:hAnsi="Bookman Old Style" w:cs="Arial"/>
        <w:b w:val="0"/>
        <w:sz w:val="22"/>
        <w:szCs w:val="22"/>
      </w:rPr>
      <w:t>H</w:t>
    </w:r>
    <w:r w:rsidRPr="00654384">
      <w:rPr>
        <w:rFonts w:ascii="Bookman Old Style" w:hAnsi="Bookman Old Style" w:cs="Arial"/>
        <w:b w:val="0"/>
        <w:sz w:val="22"/>
        <w:szCs w:val="22"/>
      </w:rPr>
      <w:t xml:space="preserve">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71140">
      <w:rPr>
        <w:rFonts w:ascii="Bookman Old Style" w:hAnsi="Bookman Old Style" w:cs="Arial"/>
        <w:b w:val="0"/>
        <w:noProof/>
        <w:sz w:val="22"/>
        <w:szCs w:val="22"/>
      </w:rPr>
      <w:t>16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963B6">
      <w:rPr>
        <w:rFonts w:ascii="Bookman Old Style" w:hAnsi="Bookman Old Style" w:cs="Arial"/>
        <w:b w:val="0"/>
        <w:noProof/>
        <w:sz w:val="22"/>
        <w:szCs w:val="22"/>
      </w:rPr>
      <w:fldChar w:fldCharType="begin"/>
    </w:r>
    <w:r w:rsidR="000963B6">
      <w:rPr>
        <w:rFonts w:ascii="Bookman Old Style" w:hAnsi="Bookman Old Style" w:cs="Arial"/>
        <w:b w:val="0"/>
        <w:noProof/>
        <w:sz w:val="22"/>
        <w:szCs w:val="22"/>
      </w:rPr>
      <w:instrText>NUMPAGES  \* MERGEFORMAT</w:instrText>
    </w:r>
    <w:r w:rsidR="000963B6">
      <w:rPr>
        <w:rFonts w:ascii="Bookman Old Style" w:hAnsi="Bookman Old Style" w:cs="Arial"/>
        <w:b w:val="0"/>
        <w:noProof/>
        <w:sz w:val="22"/>
        <w:szCs w:val="22"/>
      </w:rPr>
      <w:fldChar w:fldCharType="separate"/>
    </w:r>
    <w:r w:rsidR="00D71140">
      <w:rPr>
        <w:rFonts w:ascii="Bookman Old Style" w:hAnsi="Bookman Old Style" w:cs="Arial"/>
        <w:b w:val="0"/>
        <w:noProof/>
        <w:sz w:val="22"/>
        <w:szCs w:val="22"/>
      </w:rPr>
      <w:t>16</w:t>
    </w:r>
    <w:r w:rsidR="000963B6">
      <w:rPr>
        <w:rFonts w:ascii="Bookman Old Style" w:hAnsi="Bookman Old Style" w:cs="Arial"/>
        <w:b w:val="0"/>
        <w:noProof/>
        <w:sz w:val="22"/>
        <w:szCs w:val="22"/>
      </w:rPr>
      <w:fldChar w:fldCharType="end"/>
    </w:r>
  </w:p>
  <w:p w14:paraId="43C1FB27" w14:textId="67366A50" w:rsidR="0079088F" w:rsidRDefault="0079088F" w:rsidP="0079088F">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28D51891" wp14:editId="057818A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CF049F9">
            <v:rect id="Rectangle 1"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48E6E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w:pict>
        </mc:Fallback>
      </mc:AlternateContent>
    </w:r>
  </w:p>
  <w:p w14:paraId="33EAE8DD" w14:textId="4A5FC09A" w:rsidR="005B755A" w:rsidRPr="00BC133E" w:rsidRDefault="005B755A" w:rsidP="00581E02">
    <w:pPr>
      <w:spacing w:before="120"/>
      <w:ind w:left="0"/>
      <w:jc w:val="both"/>
      <w:rPr>
        <w:rFonts w:ascii="Bookman Old Style" w:hAnsi="Bookman Old Style" w:cs="Arial"/>
      </w:rPr>
    </w:pPr>
    <w:r>
      <w:rPr>
        <w:rFonts w:ascii="Bookman Old Style" w:hAnsi="Bookman Old Style" w:cs="Arial"/>
      </w:rPr>
      <w:t xml:space="preserve">Por la cual se decide </w:t>
    </w:r>
    <w:r w:rsidRPr="005B755A">
      <w:rPr>
        <w:rFonts w:ascii="Bookman Old Style" w:hAnsi="Bookman Old Style" w:cs="Arial"/>
        <w:lang w:val="es-CO"/>
      </w:rPr>
      <w:t xml:space="preserve">la actuación administrativa </w:t>
    </w:r>
    <w:r w:rsidR="001A7647">
      <w:rPr>
        <w:rFonts w:ascii="Bookman Old Style" w:hAnsi="Bookman Old Style" w:cs="Arial"/>
        <w:lang w:val="es-CO"/>
      </w:rPr>
      <w:t xml:space="preserve">iniciada </w:t>
    </w:r>
    <w:r w:rsidRPr="005B755A">
      <w:rPr>
        <w:rFonts w:ascii="Bookman Old Style" w:hAnsi="Bookman Old Style" w:cs="Arial"/>
        <w:lang w:val="es-CO"/>
      </w:rPr>
      <w:t>por la pres</w:t>
    </w:r>
    <w:r w:rsidR="001A4C3E">
      <w:rPr>
        <w:rFonts w:ascii="Bookman Old Style" w:hAnsi="Bookman Old Style" w:cs="Arial"/>
        <w:lang w:val="es-CO"/>
      </w:rPr>
      <w:t>u</w:t>
    </w:r>
    <w:r w:rsidRPr="005B755A">
      <w:rPr>
        <w:rFonts w:ascii="Bookman Old Style" w:hAnsi="Bookman Old Style" w:cs="Arial"/>
        <w:lang w:val="es-CO"/>
      </w:rPr>
      <w:t>nta existencia de discrepancias en valor</w:t>
    </w:r>
    <w:r w:rsidR="000752D3">
      <w:rPr>
        <w:rFonts w:ascii="Bookman Old Style" w:hAnsi="Bookman Old Style" w:cs="Arial"/>
        <w:lang w:val="es-CO"/>
      </w:rPr>
      <w:t>es</w:t>
    </w:r>
    <w:r w:rsidRPr="005B755A">
      <w:rPr>
        <w:rFonts w:ascii="Bookman Old Style" w:hAnsi="Bookman Old Style" w:cs="Arial"/>
        <w:lang w:val="es-CO"/>
      </w:rPr>
      <w:t xml:space="preserve"> reportado</w:t>
    </w:r>
    <w:r w:rsidR="000752D3">
      <w:rPr>
        <w:rFonts w:ascii="Bookman Old Style" w:hAnsi="Bookman Old Style" w:cs="Arial"/>
        <w:lang w:val="es-CO"/>
      </w:rPr>
      <w:t>s</w:t>
    </w:r>
    <w:r w:rsidRPr="005B755A">
      <w:rPr>
        <w:rFonts w:ascii="Bookman Old Style" w:hAnsi="Bookman Old Style" w:cs="Arial"/>
        <w:lang w:val="es-CO"/>
      </w:rPr>
      <w:t xml:space="preserve"> por</w:t>
    </w:r>
    <w:r w:rsidR="00BC133E">
      <w:rPr>
        <w:rFonts w:ascii="Bookman Old Style" w:hAnsi="Bookman Old Style" w:cs="Arial"/>
        <w:lang w:val="es-CO"/>
      </w:rPr>
      <w:t xml:space="preserve"> </w:t>
    </w:r>
    <w:r w:rsidR="002E0552" w:rsidRPr="00BC133E">
      <w:rPr>
        <w:rFonts w:ascii="Bookman Old Style" w:hAnsi="Bookman Old Style" w:cs="Arial"/>
        <w:lang w:val="es-CO"/>
      </w:rPr>
      <w:t xml:space="preserve">Celsia </w:t>
    </w:r>
    <w:r w:rsidR="002E0552" w:rsidRPr="00581E02">
      <w:rPr>
        <w:rFonts w:ascii="Bookman Old Style" w:hAnsi="Bookman Old Style" w:cs="Arial"/>
        <w:lang w:val="es-CO"/>
      </w:rPr>
      <w:t>Colombia</w:t>
    </w:r>
    <w:r w:rsidR="002E0552" w:rsidRPr="00BC133E">
      <w:rPr>
        <w:rFonts w:cs="Arial"/>
      </w:rPr>
      <w:t xml:space="preserve"> </w:t>
    </w:r>
    <w:r w:rsidR="00BC133E" w:rsidRPr="00BC133E">
      <w:rPr>
        <w:rFonts w:cs="Arial"/>
      </w:rPr>
      <w:t>S.A. E.S.P</w:t>
    </w:r>
    <w:r w:rsidR="00BC133E">
      <w:rPr>
        <w:rFonts w:cs="Arial"/>
      </w:rPr>
      <w:t xml:space="preserve">, </w:t>
    </w:r>
    <w:r w:rsidR="00BC133E" w:rsidRPr="00BC133E">
      <w:rPr>
        <w:rFonts w:ascii="Bookman Old Style" w:hAnsi="Bookman Old Style" w:cs="Arial"/>
      </w:rPr>
      <w:t xml:space="preserve">planta </w:t>
    </w:r>
    <w:r w:rsidR="002E0552">
      <w:rPr>
        <w:rFonts w:ascii="Bookman Old Style" w:hAnsi="Bookman Old Style" w:cs="Arial"/>
      </w:rPr>
      <w:t>Bajo Anchicayá</w:t>
    </w:r>
    <w:r w:rsidR="002E0552" w:rsidRPr="00BC133E">
      <w:rPr>
        <w:rFonts w:ascii="Bookman Old Style" w:hAnsi="Bookman Old Style" w:cs="Arial"/>
      </w:rPr>
      <w:t xml:space="preserve"> </w:t>
    </w:r>
  </w:p>
  <w:p w14:paraId="236CAB25" w14:textId="3CA3C824" w:rsidR="00045572" w:rsidRPr="005B755A" w:rsidRDefault="00045572" w:rsidP="00581E02">
    <w:pPr>
      <w:spacing w:after="120"/>
      <w:ind w:left="0"/>
      <w:rPr>
        <w:rFonts w:ascii="Bookman Old Style" w:hAnsi="Bookman Old Style" w:cs="Arial"/>
        <w:lang w:val="es-CO"/>
      </w:rPr>
    </w:pPr>
    <w:r>
      <w:rPr>
        <w:rFonts w:ascii="Bookman Old Style" w:hAnsi="Bookman Old Style" w:cs="Arial"/>
        <w:lang w:val="es-CO"/>
      </w:rPr>
      <w:t>_______________________________________________________________________</w:t>
    </w:r>
    <w:r w:rsidR="002E0552">
      <w:rPr>
        <w:rFonts w:ascii="Bookman Old Style" w:hAnsi="Bookman Old Style" w:cs="Arial"/>
        <w:lang w:val="es-CO"/>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C9EC" w14:textId="77777777" w:rsidR="0079088F" w:rsidRDefault="0079088F"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583C3E5F" w14:textId="77777777" w:rsidR="0079088F" w:rsidRDefault="0079088F">
    <w:pPr>
      <w:pStyle w:val="Encabezado"/>
      <w:jc w:val="center"/>
      <w:rPr>
        <w:rFonts w:ascii="Arial" w:hAnsi="Arial" w:cs="Arial"/>
        <w:spacing w:val="20"/>
        <w:sz w:val="20"/>
      </w:rPr>
    </w:pPr>
  </w:p>
  <w:p w14:paraId="1A31A1F9" w14:textId="77777777" w:rsidR="0079088F" w:rsidRDefault="0079088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3D664E" wp14:editId="0B8AB89F">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3904F0F">
            <v:rect id="Rectangle 2"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7939E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F"/>
    <w:multiLevelType w:val="hybridMultilevel"/>
    <w:tmpl w:val="0000000F"/>
    <w:name w:val="WW8Num21"/>
    <w:lvl w:ilvl="0" w:tplc="8CDC7E98">
      <w:numFmt w:val="bullet"/>
      <w:lvlText w:val="-"/>
      <w:lvlJc w:val="left"/>
      <w:pPr>
        <w:tabs>
          <w:tab w:val="num" w:pos="720"/>
        </w:tabs>
      </w:pPr>
      <w:rPr>
        <w:rFonts w:ascii="Times New Roman" w:hAnsi="Times New Roman" w:cs="Times New Roman"/>
      </w:rPr>
    </w:lvl>
    <w:lvl w:ilvl="1" w:tplc="35708094">
      <w:numFmt w:val="decimal"/>
      <w:lvlText w:val=""/>
      <w:lvlJc w:val="left"/>
    </w:lvl>
    <w:lvl w:ilvl="2" w:tplc="33CA167E">
      <w:numFmt w:val="decimal"/>
      <w:lvlText w:val=""/>
      <w:lvlJc w:val="left"/>
    </w:lvl>
    <w:lvl w:ilvl="3" w:tplc="3AC02B56">
      <w:numFmt w:val="decimal"/>
      <w:lvlText w:val=""/>
      <w:lvlJc w:val="left"/>
    </w:lvl>
    <w:lvl w:ilvl="4" w:tplc="CBA61A3C">
      <w:numFmt w:val="decimal"/>
      <w:lvlText w:val=""/>
      <w:lvlJc w:val="left"/>
    </w:lvl>
    <w:lvl w:ilvl="5" w:tplc="E968E026">
      <w:numFmt w:val="decimal"/>
      <w:lvlText w:val=""/>
      <w:lvlJc w:val="left"/>
    </w:lvl>
    <w:lvl w:ilvl="6" w:tplc="AA6EB8DA">
      <w:numFmt w:val="decimal"/>
      <w:lvlText w:val=""/>
      <w:lvlJc w:val="left"/>
    </w:lvl>
    <w:lvl w:ilvl="7" w:tplc="2F567E54">
      <w:numFmt w:val="decimal"/>
      <w:lvlText w:val=""/>
      <w:lvlJc w:val="left"/>
    </w:lvl>
    <w:lvl w:ilvl="8" w:tplc="D250BD3A">
      <w:numFmt w:val="decimal"/>
      <w:lvlText w:val=""/>
      <w:lvlJc w:val="left"/>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0032C35"/>
    <w:multiLevelType w:val="hybridMultilevel"/>
    <w:tmpl w:val="721AF38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CA2C28"/>
    <w:multiLevelType w:val="hybridMultilevel"/>
    <w:tmpl w:val="914801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794D7A"/>
    <w:multiLevelType w:val="multilevel"/>
    <w:tmpl w:val="001ED354"/>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8" w15:restartNumberingAfterBreak="0">
    <w:nsid w:val="0A7B54C6"/>
    <w:multiLevelType w:val="multilevel"/>
    <w:tmpl w:val="A64EADC2"/>
    <w:lvl w:ilvl="0">
      <w:start w:val="1"/>
      <w:numFmt w:val="decimal"/>
      <w:lvlText w:val="%1."/>
      <w:lvlJc w:val="left"/>
      <w:pPr>
        <w:ind w:left="786" w:hanging="360"/>
      </w:pPr>
      <w:rPr>
        <w:rFonts w:hint="default"/>
      </w:rPr>
    </w:lvl>
    <w:lvl w:ilvl="1">
      <w:start w:val="1"/>
      <w:numFmt w:val="lowerRoman"/>
      <w:lvlText w:val="%2."/>
      <w:lvlJc w:val="right"/>
      <w:pPr>
        <w:ind w:left="1146"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0DD8419B"/>
    <w:multiLevelType w:val="multilevel"/>
    <w:tmpl w:val="03E4A9A8"/>
    <w:lvl w:ilvl="0">
      <w:start w:val="1"/>
      <w:numFmt w:val="decimal"/>
      <w:lvlText w:val="Artículo %1."/>
      <w:lvlJc w:val="right"/>
      <w:pPr>
        <w:tabs>
          <w:tab w:val="num" w:pos="1524"/>
        </w:tabs>
        <w:ind w:left="-197" w:firstLine="1474"/>
      </w:pPr>
      <w:rPr>
        <w:rFonts w:ascii="Bookman Old Style" w:hAnsi="Bookman Old Style" w:hint="default"/>
        <w:b/>
        <w:i w:val="0"/>
        <w:color w:val="auto"/>
        <w:sz w:val="24"/>
      </w:rPr>
    </w:lvl>
    <w:lvl w:ilvl="1">
      <w:start w:val="1"/>
      <w:numFmt w:val="decimal"/>
      <w:lvlText w:val="%1.%2"/>
      <w:lvlJc w:val="left"/>
      <w:pPr>
        <w:tabs>
          <w:tab w:val="num" w:pos="437"/>
        </w:tabs>
        <w:ind w:left="-283" w:firstLine="0"/>
      </w:pPr>
      <w:rPr>
        <w:rFonts w:hint="default"/>
      </w:rPr>
    </w:lvl>
    <w:lvl w:ilvl="2">
      <w:start w:val="1"/>
      <w:numFmt w:val="decimal"/>
      <w:lvlText w:val="%3."/>
      <w:lvlJc w:val="left"/>
      <w:pPr>
        <w:tabs>
          <w:tab w:val="num" w:pos="437"/>
        </w:tabs>
        <w:ind w:left="-283" w:firstLine="0"/>
      </w:pPr>
      <w:rPr>
        <w:rFonts w:hint="default"/>
      </w:rPr>
    </w:lvl>
    <w:lvl w:ilvl="3">
      <w:start w:val="1"/>
      <w:numFmt w:val="decimal"/>
      <w:lvlText w:val="%1.%2.%3.%4"/>
      <w:lvlJc w:val="right"/>
      <w:pPr>
        <w:tabs>
          <w:tab w:val="num" w:pos="77"/>
        </w:tabs>
        <w:ind w:left="-283" w:firstLine="0"/>
      </w:pPr>
      <w:rPr>
        <w:rFonts w:hint="default"/>
      </w:rPr>
    </w:lvl>
    <w:lvl w:ilvl="4">
      <w:start w:val="1"/>
      <w:numFmt w:val="lowerLetter"/>
      <w:lvlText w:val="%5)"/>
      <w:lvlJc w:val="left"/>
      <w:pPr>
        <w:tabs>
          <w:tab w:val="num" w:pos="77"/>
        </w:tabs>
        <w:ind w:left="-283" w:firstLine="0"/>
      </w:pPr>
      <w:rPr>
        <w:rFonts w:hint="default"/>
        <w:b/>
      </w:rPr>
    </w:lvl>
    <w:lvl w:ilvl="5">
      <w:start w:val="1"/>
      <w:numFmt w:val="lowerRoman"/>
      <w:lvlText w:val="%6)"/>
      <w:lvlJc w:val="left"/>
      <w:pPr>
        <w:tabs>
          <w:tab w:val="num" w:pos="437"/>
        </w:tabs>
        <w:ind w:left="-283" w:firstLine="0"/>
      </w:pPr>
      <w:rPr>
        <w:rFonts w:hint="default"/>
      </w:rPr>
    </w:lvl>
    <w:lvl w:ilvl="6">
      <w:start w:val="1"/>
      <w:numFmt w:val="lowerRoman"/>
      <w:lvlText w:val="%7)"/>
      <w:lvlJc w:val="right"/>
      <w:pPr>
        <w:tabs>
          <w:tab w:val="num" w:pos="77"/>
        </w:tabs>
        <w:ind w:left="-283" w:firstLine="0"/>
      </w:pPr>
      <w:rPr>
        <w:rFonts w:hint="default"/>
      </w:rPr>
    </w:lvl>
    <w:lvl w:ilvl="7">
      <w:start w:val="1"/>
      <w:numFmt w:val="lowerLetter"/>
      <w:lvlText w:val="%7.%8."/>
      <w:lvlJc w:val="left"/>
      <w:pPr>
        <w:tabs>
          <w:tab w:val="num" w:pos="437"/>
        </w:tabs>
        <w:ind w:left="-283" w:firstLine="0"/>
      </w:pPr>
      <w:rPr>
        <w:rFonts w:hint="default"/>
      </w:rPr>
    </w:lvl>
    <w:lvl w:ilvl="8">
      <w:start w:val="1"/>
      <w:numFmt w:val="lowerRoman"/>
      <w:lvlText w:val="%9."/>
      <w:lvlJc w:val="right"/>
      <w:pPr>
        <w:tabs>
          <w:tab w:val="num" w:pos="77"/>
        </w:tabs>
        <w:ind w:left="-283" w:firstLine="0"/>
      </w:pPr>
      <w:rPr>
        <w:rFonts w:hint="default"/>
      </w:rPr>
    </w:lvl>
  </w:abstractNum>
  <w:abstractNum w:abstractNumId="10"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9E48DC"/>
    <w:multiLevelType w:val="multilevel"/>
    <w:tmpl w:val="9452BBFC"/>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2" w15:restartNumberingAfterBreak="0">
    <w:nsid w:val="11DA002F"/>
    <w:multiLevelType w:val="hybridMultilevel"/>
    <w:tmpl w:val="BA1E8352"/>
    <w:lvl w:ilvl="0" w:tplc="ADFE9A94">
      <w:start w:val="1"/>
      <w:numFmt w:val="lowerLetter"/>
      <w:lvlText w:val="%1)"/>
      <w:legacy w:legacy="1" w:legacySpace="0" w:legacyIndent="283"/>
      <w:lvlJc w:val="left"/>
      <w:pPr>
        <w:ind w:left="283" w:hanging="283"/>
      </w:pPr>
    </w:lvl>
    <w:lvl w:ilvl="1" w:tplc="A276F694">
      <w:numFmt w:val="decimal"/>
      <w:lvlText w:val=""/>
      <w:lvlJc w:val="left"/>
    </w:lvl>
    <w:lvl w:ilvl="2" w:tplc="4492FDFE">
      <w:numFmt w:val="decimal"/>
      <w:lvlText w:val=""/>
      <w:lvlJc w:val="left"/>
    </w:lvl>
    <w:lvl w:ilvl="3" w:tplc="947262CE">
      <w:numFmt w:val="decimal"/>
      <w:lvlText w:val=""/>
      <w:lvlJc w:val="left"/>
    </w:lvl>
    <w:lvl w:ilvl="4" w:tplc="CE9A71B4">
      <w:numFmt w:val="decimal"/>
      <w:lvlText w:val=""/>
      <w:lvlJc w:val="left"/>
    </w:lvl>
    <w:lvl w:ilvl="5" w:tplc="84C02084">
      <w:numFmt w:val="decimal"/>
      <w:lvlText w:val=""/>
      <w:lvlJc w:val="left"/>
    </w:lvl>
    <w:lvl w:ilvl="6" w:tplc="AA82EEAA">
      <w:numFmt w:val="decimal"/>
      <w:lvlText w:val=""/>
      <w:lvlJc w:val="left"/>
    </w:lvl>
    <w:lvl w:ilvl="7" w:tplc="AA52BC3E">
      <w:numFmt w:val="decimal"/>
      <w:lvlText w:val=""/>
      <w:lvlJc w:val="left"/>
    </w:lvl>
    <w:lvl w:ilvl="8" w:tplc="3E887C76">
      <w:numFmt w:val="decimal"/>
      <w:lvlText w:val=""/>
      <w:lvlJc w:val="left"/>
    </w:lvl>
  </w:abstractNum>
  <w:abstractNum w:abstractNumId="13" w15:restartNumberingAfterBreak="0">
    <w:nsid w:val="16E21298"/>
    <w:multiLevelType w:val="hybridMultilevel"/>
    <w:tmpl w:val="F2ECD638"/>
    <w:lvl w:ilvl="0" w:tplc="9BEE609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D296148"/>
    <w:multiLevelType w:val="multilevel"/>
    <w:tmpl w:val="EA22E0E6"/>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1EF72251"/>
    <w:multiLevelType w:val="hybridMultilevel"/>
    <w:tmpl w:val="9D8CB0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404A65"/>
    <w:multiLevelType w:val="hybridMultilevel"/>
    <w:tmpl w:val="8DDEF4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9" w15:restartNumberingAfterBreak="0">
    <w:nsid w:val="2A0B158F"/>
    <w:multiLevelType w:val="multilevel"/>
    <w:tmpl w:val="55FAF252"/>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0" w15:restartNumberingAfterBreak="0">
    <w:nsid w:val="2DE72191"/>
    <w:multiLevelType w:val="multilevel"/>
    <w:tmpl w:val="E204548C"/>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1" w15:restartNumberingAfterBreak="0">
    <w:nsid w:val="35217B01"/>
    <w:multiLevelType w:val="hybridMultilevel"/>
    <w:tmpl w:val="6A6AF7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C071598"/>
    <w:multiLevelType w:val="multilevel"/>
    <w:tmpl w:val="6708223E"/>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4" w15:restartNumberingAfterBreak="0">
    <w:nsid w:val="407A5C89"/>
    <w:multiLevelType w:val="multilevel"/>
    <w:tmpl w:val="F1C46D1C"/>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5" w15:restartNumberingAfterBreak="0">
    <w:nsid w:val="40D44A35"/>
    <w:multiLevelType w:val="multilevel"/>
    <w:tmpl w:val="D8D066B2"/>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22136D8"/>
    <w:multiLevelType w:val="hybridMultilevel"/>
    <w:tmpl w:val="3EE4427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45D53516"/>
    <w:multiLevelType w:val="multilevel"/>
    <w:tmpl w:val="5A06180A"/>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8" w15:restartNumberingAfterBreak="0">
    <w:nsid w:val="47BD57D9"/>
    <w:multiLevelType w:val="hybridMultilevel"/>
    <w:tmpl w:val="C3F62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B8A3246"/>
    <w:multiLevelType w:val="multilevel"/>
    <w:tmpl w:val="B288804A"/>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1" w15:restartNumberingAfterBreak="0">
    <w:nsid w:val="4D6B3A91"/>
    <w:multiLevelType w:val="hybridMultilevel"/>
    <w:tmpl w:val="D3C852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FC163B"/>
    <w:multiLevelType w:val="multilevel"/>
    <w:tmpl w:val="9752A57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34"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36"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80C82"/>
    <w:multiLevelType w:val="multilevel"/>
    <w:tmpl w:val="5832EB5C"/>
    <w:lvl w:ilvl="0">
      <w:start w:val="1"/>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8" w15:restartNumberingAfterBreak="0">
    <w:nsid w:val="652C2700"/>
    <w:multiLevelType w:val="multilevel"/>
    <w:tmpl w:val="2048B4A2"/>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39"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A076425"/>
    <w:multiLevelType w:val="hybridMultilevel"/>
    <w:tmpl w:val="8662EF72"/>
    <w:lvl w:ilvl="0" w:tplc="B5CCE674">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41" w15:restartNumberingAfterBreak="0">
    <w:nsid w:val="6C944330"/>
    <w:multiLevelType w:val="hybridMultilevel"/>
    <w:tmpl w:val="A3E0751C"/>
    <w:lvl w:ilvl="0" w:tplc="B04AB47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3B94EEF"/>
    <w:multiLevelType w:val="hybridMultilevel"/>
    <w:tmpl w:val="67280A2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43" w15:restartNumberingAfterBreak="0">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45" w15:restartNumberingAfterBreak="0">
    <w:nsid w:val="79E52A42"/>
    <w:multiLevelType w:val="hybridMultilevel"/>
    <w:tmpl w:val="C07E33B4"/>
    <w:lvl w:ilvl="0" w:tplc="9F34326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23"/>
  </w:num>
  <w:num w:numId="4">
    <w:abstractNumId w:val="25"/>
  </w:num>
  <w:num w:numId="5">
    <w:abstractNumId w:val="0"/>
  </w:num>
  <w:num w:numId="6">
    <w:abstractNumId w:val="9"/>
  </w:num>
  <w:num w:numId="7">
    <w:abstractNumId w:val="12"/>
    <w:lvlOverride w:ilvl="0">
      <w:startOverride w:val="1"/>
    </w:lvlOverride>
  </w:num>
  <w:num w:numId="8">
    <w:abstractNumId w:val="7"/>
  </w:num>
  <w:num w:numId="9">
    <w:abstractNumId w:val="22"/>
  </w:num>
  <w:num w:numId="10">
    <w:abstractNumId w:val="44"/>
  </w:num>
  <w:num w:numId="11">
    <w:abstractNumId w:val="11"/>
  </w:num>
  <w:num w:numId="12">
    <w:abstractNumId w:val="38"/>
  </w:num>
  <w:num w:numId="13">
    <w:abstractNumId w:val="24"/>
  </w:num>
  <w:num w:numId="14">
    <w:abstractNumId w:val="39"/>
  </w:num>
  <w:num w:numId="15">
    <w:abstractNumId w:val="18"/>
  </w:num>
  <w:num w:numId="16">
    <w:abstractNumId w:val="34"/>
  </w:num>
  <w:num w:numId="17">
    <w:abstractNumId w:val="19"/>
  </w:num>
  <w:num w:numId="18">
    <w:abstractNumId w:val="36"/>
  </w:num>
  <w:num w:numId="19">
    <w:abstractNumId w:val="29"/>
  </w:num>
  <w:num w:numId="20">
    <w:abstractNumId w:val="32"/>
  </w:num>
  <w:num w:numId="21">
    <w:abstractNumId w:val="17"/>
  </w:num>
  <w:num w:numId="22">
    <w:abstractNumId w:val="27"/>
  </w:num>
  <w:num w:numId="23">
    <w:abstractNumId w:val="14"/>
  </w:num>
  <w:num w:numId="24">
    <w:abstractNumId w:val="33"/>
  </w:num>
  <w:num w:numId="25">
    <w:abstractNumId w:val="20"/>
  </w:num>
  <w:num w:numId="26">
    <w:abstractNumId w:val="41"/>
  </w:num>
  <w:num w:numId="27">
    <w:abstractNumId w:val="4"/>
  </w:num>
  <w:num w:numId="28">
    <w:abstractNumId w:val="3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6"/>
  </w:num>
  <w:num w:numId="32">
    <w:abstractNumId w:val="15"/>
  </w:num>
  <w:num w:numId="33">
    <w:abstractNumId w:val="5"/>
  </w:num>
  <w:num w:numId="34">
    <w:abstractNumId w:val="45"/>
  </w:num>
  <w:num w:numId="35">
    <w:abstractNumId w:val="40"/>
  </w:num>
  <w:num w:numId="36">
    <w:abstractNumId w:val="8"/>
  </w:num>
  <w:num w:numId="37">
    <w:abstractNumId w:val="37"/>
  </w:num>
  <w:num w:numId="38">
    <w:abstractNumId w:val="13"/>
  </w:num>
  <w:num w:numId="39">
    <w:abstractNumId w:val="3"/>
  </w:num>
  <w:num w:numId="40">
    <w:abstractNumId w:val="42"/>
  </w:num>
  <w:num w:numId="41">
    <w:abstractNumId w:val="28"/>
  </w:num>
  <w:num w:numId="42">
    <w:abstractNumId w:val="16"/>
  </w:num>
  <w:num w:numId="4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2E"/>
    <w:rsid w:val="000011E3"/>
    <w:rsid w:val="000019FA"/>
    <w:rsid w:val="00002027"/>
    <w:rsid w:val="000035BA"/>
    <w:rsid w:val="0000378C"/>
    <w:rsid w:val="00003802"/>
    <w:rsid w:val="00003C0B"/>
    <w:rsid w:val="00004749"/>
    <w:rsid w:val="000053E3"/>
    <w:rsid w:val="000060D2"/>
    <w:rsid w:val="00006AE2"/>
    <w:rsid w:val="00006C1C"/>
    <w:rsid w:val="000076A1"/>
    <w:rsid w:val="00007951"/>
    <w:rsid w:val="000079F7"/>
    <w:rsid w:val="00010596"/>
    <w:rsid w:val="00010D1C"/>
    <w:rsid w:val="000114E8"/>
    <w:rsid w:val="00012259"/>
    <w:rsid w:val="00012E7B"/>
    <w:rsid w:val="000130AB"/>
    <w:rsid w:val="000131A1"/>
    <w:rsid w:val="000150A9"/>
    <w:rsid w:val="000151EE"/>
    <w:rsid w:val="00015C2B"/>
    <w:rsid w:val="00016471"/>
    <w:rsid w:val="000167F6"/>
    <w:rsid w:val="00016A51"/>
    <w:rsid w:val="00021016"/>
    <w:rsid w:val="0002310D"/>
    <w:rsid w:val="00023962"/>
    <w:rsid w:val="00023D67"/>
    <w:rsid w:val="00023F2C"/>
    <w:rsid w:val="00024542"/>
    <w:rsid w:val="000248FE"/>
    <w:rsid w:val="00024A0A"/>
    <w:rsid w:val="00025383"/>
    <w:rsid w:val="00026E30"/>
    <w:rsid w:val="00031077"/>
    <w:rsid w:val="000319FE"/>
    <w:rsid w:val="0003214B"/>
    <w:rsid w:val="00032861"/>
    <w:rsid w:val="00032A5E"/>
    <w:rsid w:val="00032AE0"/>
    <w:rsid w:val="00032C64"/>
    <w:rsid w:val="00033622"/>
    <w:rsid w:val="00033DED"/>
    <w:rsid w:val="00035BAC"/>
    <w:rsid w:val="00035DDD"/>
    <w:rsid w:val="00036B2A"/>
    <w:rsid w:val="00037353"/>
    <w:rsid w:val="00037BAC"/>
    <w:rsid w:val="00040093"/>
    <w:rsid w:val="0004101E"/>
    <w:rsid w:val="00042820"/>
    <w:rsid w:val="00042D31"/>
    <w:rsid w:val="00043803"/>
    <w:rsid w:val="00043B9D"/>
    <w:rsid w:val="00044816"/>
    <w:rsid w:val="00044A09"/>
    <w:rsid w:val="00044D74"/>
    <w:rsid w:val="000451DE"/>
    <w:rsid w:val="00045572"/>
    <w:rsid w:val="00045D3D"/>
    <w:rsid w:val="00045F9B"/>
    <w:rsid w:val="000461A4"/>
    <w:rsid w:val="00046205"/>
    <w:rsid w:val="000471C1"/>
    <w:rsid w:val="000471D3"/>
    <w:rsid w:val="0004770C"/>
    <w:rsid w:val="000532BF"/>
    <w:rsid w:val="000532EB"/>
    <w:rsid w:val="00053D1F"/>
    <w:rsid w:val="00053E7F"/>
    <w:rsid w:val="000546C6"/>
    <w:rsid w:val="00055A27"/>
    <w:rsid w:val="00057168"/>
    <w:rsid w:val="00057317"/>
    <w:rsid w:val="00057EB7"/>
    <w:rsid w:val="000612F5"/>
    <w:rsid w:val="00061E36"/>
    <w:rsid w:val="000622D7"/>
    <w:rsid w:val="00062A61"/>
    <w:rsid w:val="00063478"/>
    <w:rsid w:val="00063657"/>
    <w:rsid w:val="00063C4E"/>
    <w:rsid w:val="0006486B"/>
    <w:rsid w:val="000650B5"/>
    <w:rsid w:val="00065763"/>
    <w:rsid w:val="00065E1C"/>
    <w:rsid w:val="00066EE1"/>
    <w:rsid w:val="0006733E"/>
    <w:rsid w:val="000717F7"/>
    <w:rsid w:val="000738F2"/>
    <w:rsid w:val="000748E7"/>
    <w:rsid w:val="000749B5"/>
    <w:rsid w:val="00074B17"/>
    <w:rsid w:val="00074C13"/>
    <w:rsid w:val="000752D3"/>
    <w:rsid w:val="00075CD4"/>
    <w:rsid w:val="00076680"/>
    <w:rsid w:val="00076A1D"/>
    <w:rsid w:val="000776BE"/>
    <w:rsid w:val="00077A7C"/>
    <w:rsid w:val="0008073E"/>
    <w:rsid w:val="00081BFA"/>
    <w:rsid w:val="00081C12"/>
    <w:rsid w:val="00082023"/>
    <w:rsid w:val="000821CF"/>
    <w:rsid w:val="000840AB"/>
    <w:rsid w:val="00084546"/>
    <w:rsid w:val="0008464E"/>
    <w:rsid w:val="00084933"/>
    <w:rsid w:val="0008510B"/>
    <w:rsid w:val="0008524C"/>
    <w:rsid w:val="0008532D"/>
    <w:rsid w:val="0008579D"/>
    <w:rsid w:val="00086156"/>
    <w:rsid w:val="000861DF"/>
    <w:rsid w:val="0008671D"/>
    <w:rsid w:val="00090CCD"/>
    <w:rsid w:val="00091089"/>
    <w:rsid w:val="000910C8"/>
    <w:rsid w:val="00091CDB"/>
    <w:rsid w:val="00091ECF"/>
    <w:rsid w:val="00092B2B"/>
    <w:rsid w:val="000931A3"/>
    <w:rsid w:val="000937D7"/>
    <w:rsid w:val="000938B0"/>
    <w:rsid w:val="0009477F"/>
    <w:rsid w:val="00095053"/>
    <w:rsid w:val="00095070"/>
    <w:rsid w:val="000963B6"/>
    <w:rsid w:val="0009666B"/>
    <w:rsid w:val="00096E01"/>
    <w:rsid w:val="0009739D"/>
    <w:rsid w:val="000A0D83"/>
    <w:rsid w:val="000A106F"/>
    <w:rsid w:val="000A1377"/>
    <w:rsid w:val="000A1727"/>
    <w:rsid w:val="000A19AC"/>
    <w:rsid w:val="000A1DC5"/>
    <w:rsid w:val="000A2786"/>
    <w:rsid w:val="000A4082"/>
    <w:rsid w:val="000A4B28"/>
    <w:rsid w:val="000A5729"/>
    <w:rsid w:val="000A59FA"/>
    <w:rsid w:val="000A5DCA"/>
    <w:rsid w:val="000A67DB"/>
    <w:rsid w:val="000A6882"/>
    <w:rsid w:val="000A7289"/>
    <w:rsid w:val="000B16A2"/>
    <w:rsid w:val="000B1FBC"/>
    <w:rsid w:val="000B2646"/>
    <w:rsid w:val="000B2D6B"/>
    <w:rsid w:val="000B2EC9"/>
    <w:rsid w:val="000B3A44"/>
    <w:rsid w:val="000B7A3D"/>
    <w:rsid w:val="000C063D"/>
    <w:rsid w:val="000C1725"/>
    <w:rsid w:val="000C244D"/>
    <w:rsid w:val="000C2611"/>
    <w:rsid w:val="000C2A5E"/>
    <w:rsid w:val="000C2F14"/>
    <w:rsid w:val="000C3105"/>
    <w:rsid w:val="000C318A"/>
    <w:rsid w:val="000C31DE"/>
    <w:rsid w:val="000C3F2B"/>
    <w:rsid w:val="000C4641"/>
    <w:rsid w:val="000C4BEC"/>
    <w:rsid w:val="000C4C64"/>
    <w:rsid w:val="000C5381"/>
    <w:rsid w:val="000C57D7"/>
    <w:rsid w:val="000C5B4B"/>
    <w:rsid w:val="000C5F69"/>
    <w:rsid w:val="000C704C"/>
    <w:rsid w:val="000D0973"/>
    <w:rsid w:val="000D26F8"/>
    <w:rsid w:val="000D2741"/>
    <w:rsid w:val="000D3338"/>
    <w:rsid w:val="000D358B"/>
    <w:rsid w:val="000D3CF4"/>
    <w:rsid w:val="000D4382"/>
    <w:rsid w:val="000D4681"/>
    <w:rsid w:val="000D5AF8"/>
    <w:rsid w:val="000D6170"/>
    <w:rsid w:val="000D6688"/>
    <w:rsid w:val="000D6CC5"/>
    <w:rsid w:val="000D7E69"/>
    <w:rsid w:val="000E0508"/>
    <w:rsid w:val="000E0C39"/>
    <w:rsid w:val="000E0C8A"/>
    <w:rsid w:val="000E1183"/>
    <w:rsid w:val="000E14BF"/>
    <w:rsid w:val="000E40AD"/>
    <w:rsid w:val="000E4BE9"/>
    <w:rsid w:val="000E51AB"/>
    <w:rsid w:val="000E5BB6"/>
    <w:rsid w:val="000E722B"/>
    <w:rsid w:val="000E7538"/>
    <w:rsid w:val="000E7550"/>
    <w:rsid w:val="000E7742"/>
    <w:rsid w:val="000E792F"/>
    <w:rsid w:val="000E7EF1"/>
    <w:rsid w:val="000F02ED"/>
    <w:rsid w:val="000F0EDA"/>
    <w:rsid w:val="000F160C"/>
    <w:rsid w:val="000F265D"/>
    <w:rsid w:val="000F2787"/>
    <w:rsid w:val="000F28B4"/>
    <w:rsid w:val="000F30EC"/>
    <w:rsid w:val="000F3B75"/>
    <w:rsid w:val="000F43F0"/>
    <w:rsid w:val="000F66D5"/>
    <w:rsid w:val="000F7B62"/>
    <w:rsid w:val="00100B50"/>
    <w:rsid w:val="00101438"/>
    <w:rsid w:val="0010193A"/>
    <w:rsid w:val="0010227B"/>
    <w:rsid w:val="00102983"/>
    <w:rsid w:val="00102C9C"/>
    <w:rsid w:val="0010345B"/>
    <w:rsid w:val="001063B5"/>
    <w:rsid w:val="0010790F"/>
    <w:rsid w:val="00107AC7"/>
    <w:rsid w:val="00107C71"/>
    <w:rsid w:val="00107D51"/>
    <w:rsid w:val="00107E93"/>
    <w:rsid w:val="001103F5"/>
    <w:rsid w:val="00110904"/>
    <w:rsid w:val="00110FEC"/>
    <w:rsid w:val="00111DBE"/>
    <w:rsid w:val="00112024"/>
    <w:rsid w:val="00112DE5"/>
    <w:rsid w:val="00113846"/>
    <w:rsid w:val="00113B81"/>
    <w:rsid w:val="00113DCE"/>
    <w:rsid w:val="00115499"/>
    <w:rsid w:val="00116BE0"/>
    <w:rsid w:val="00117999"/>
    <w:rsid w:val="00117FFD"/>
    <w:rsid w:val="001210AB"/>
    <w:rsid w:val="00121C01"/>
    <w:rsid w:val="00122975"/>
    <w:rsid w:val="00123466"/>
    <w:rsid w:val="00123579"/>
    <w:rsid w:val="00124650"/>
    <w:rsid w:val="00124735"/>
    <w:rsid w:val="00124E88"/>
    <w:rsid w:val="0012515F"/>
    <w:rsid w:val="00125610"/>
    <w:rsid w:val="00126899"/>
    <w:rsid w:val="00126C63"/>
    <w:rsid w:val="0013070E"/>
    <w:rsid w:val="00131E79"/>
    <w:rsid w:val="00133575"/>
    <w:rsid w:val="00134389"/>
    <w:rsid w:val="00134F74"/>
    <w:rsid w:val="0013526C"/>
    <w:rsid w:val="00135432"/>
    <w:rsid w:val="00136692"/>
    <w:rsid w:val="001405C6"/>
    <w:rsid w:val="00141013"/>
    <w:rsid w:val="00142B3D"/>
    <w:rsid w:val="00142F2B"/>
    <w:rsid w:val="00143885"/>
    <w:rsid w:val="00145090"/>
    <w:rsid w:val="001457E5"/>
    <w:rsid w:val="00147066"/>
    <w:rsid w:val="00147526"/>
    <w:rsid w:val="001478DE"/>
    <w:rsid w:val="00147B21"/>
    <w:rsid w:val="0015022D"/>
    <w:rsid w:val="00150B1C"/>
    <w:rsid w:val="0015212A"/>
    <w:rsid w:val="00152157"/>
    <w:rsid w:val="001522C4"/>
    <w:rsid w:val="00152393"/>
    <w:rsid w:val="00152E91"/>
    <w:rsid w:val="00153E8D"/>
    <w:rsid w:val="001550F1"/>
    <w:rsid w:val="00155138"/>
    <w:rsid w:val="00155218"/>
    <w:rsid w:val="00155596"/>
    <w:rsid w:val="00155C03"/>
    <w:rsid w:val="00156878"/>
    <w:rsid w:val="0015769B"/>
    <w:rsid w:val="00157B35"/>
    <w:rsid w:val="0016007C"/>
    <w:rsid w:val="001605EA"/>
    <w:rsid w:val="0016290D"/>
    <w:rsid w:val="001632BB"/>
    <w:rsid w:val="00164779"/>
    <w:rsid w:val="00164A54"/>
    <w:rsid w:val="00164C71"/>
    <w:rsid w:val="00164FDA"/>
    <w:rsid w:val="001660DC"/>
    <w:rsid w:val="001667FA"/>
    <w:rsid w:val="00167807"/>
    <w:rsid w:val="00167AA6"/>
    <w:rsid w:val="00167D23"/>
    <w:rsid w:val="00167DDF"/>
    <w:rsid w:val="001708DD"/>
    <w:rsid w:val="00171691"/>
    <w:rsid w:val="0017287D"/>
    <w:rsid w:val="00172DFB"/>
    <w:rsid w:val="0017476B"/>
    <w:rsid w:val="00174BE6"/>
    <w:rsid w:val="0017533D"/>
    <w:rsid w:val="00176886"/>
    <w:rsid w:val="00176ED4"/>
    <w:rsid w:val="00177539"/>
    <w:rsid w:val="00177725"/>
    <w:rsid w:val="0018073E"/>
    <w:rsid w:val="00180ACD"/>
    <w:rsid w:val="00182888"/>
    <w:rsid w:val="00183625"/>
    <w:rsid w:val="001845A8"/>
    <w:rsid w:val="0018573D"/>
    <w:rsid w:val="00186407"/>
    <w:rsid w:val="00186449"/>
    <w:rsid w:val="001864E9"/>
    <w:rsid w:val="00186864"/>
    <w:rsid w:val="0018703E"/>
    <w:rsid w:val="001871CB"/>
    <w:rsid w:val="00187A40"/>
    <w:rsid w:val="00187B35"/>
    <w:rsid w:val="00191294"/>
    <w:rsid w:val="00191795"/>
    <w:rsid w:val="00192C6C"/>
    <w:rsid w:val="00192CBF"/>
    <w:rsid w:val="00192FF1"/>
    <w:rsid w:val="001935CB"/>
    <w:rsid w:val="00193793"/>
    <w:rsid w:val="00194824"/>
    <w:rsid w:val="00196912"/>
    <w:rsid w:val="00197478"/>
    <w:rsid w:val="001979F2"/>
    <w:rsid w:val="001A057F"/>
    <w:rsid w:val="001A0E69"/>
    <w:rsid w:val="001A2A9A"/>
    <w:rsid w:val="001A2CF8"/>
    <w:rsid w:val="001A35EB"/>
    <w:rsid w:val="001A4C3E"/>
    <w:rsid w:val="001A4CAA"/>
    <w:rsid w:val="001A500F"/>
    <w:rsid w:val="001A5417"/>
    <w:rsid w:val="001A5E56"/>
    <w:rsid w:val="001A5F1B"/>
    <w:rsid w:val="001A6287"/>
    <w:rsid w:val="001A73AB"/>
    <w:rsid w:val="001A7647"/>
    <w:rsid w:val="001B1756"/>
    <w:rsid w:val="001B1C22"/>
    <w:rsid w:val="001B3455"/>
    <w:rsid w:val="001B34C6"/>
    <w:rsid w:val="001B4D9D"/>
    <w:rsid w:val="001B5683"/>
    <w:rsid w:val="001B6221"/>
    <w:rsid w:val="001B62B4"/>
    <w:rsid w:val="001B63EC"/>
    <w:rsid w:val="001B689C"/>
    <w:rsid w:val="001B6B42"/>
    <w:rsid w:val="001C15D5"/>
    <w:rsid w:val="001C28A4"/>
    <w:rsid w:val="001C301C"/>
    <w:rsid w:val="001C37D4"/>
    <w:rsid w:val="001C3F62"/>
    <w:rsid w:val="001C4128"/>
    <w:rsid w:val="001C51ED"/>
    <w:rsid w:val="001C52D4"/>
    <w:rsid w:val="001C5B0A"/>
    <w:rsid w:val="001C7CA0"/>
    <w:rsid w:val="001D0971"/>
    <w:rsid w:val="001D0E43"/>
    <w:rsid w:val="001D1211"/>
    <w:rsid w:val="001D25D8"/>
    <w:rsid w:val="001D2C26"/>
    <w:rsid w:val="001D4287"/>
    <w:rsid w:val="001D51F0"/>
    <w:rsid w:val="001D5F3F"/>
    <w:rsid w:val="001D62D6"/>
    <w:rsid w:val="001D6352"/>
    <w:rsid w:val="001D72E8"/>
    <w:rsid w:val="001D7832"/>
    <w:rsid w:val="001D78CB"/>
    <w:rsid w:val="001D797E"/>
    <w:rsid w:val="001D7B47"/>
    <w:rsid w:val="001E0F40"/>
    <w:rsid w:val="001E1236"/>
    <w:rsid w:val="001E1870"/>
    <w:rsid w:val="001E1970"/>
    <w:rsid w:val="001E200A"/>
    <w:rsid w:val="001E3E4D"/>
    <w:rsid w:val="001E4AC4"/>
    <w:rsid w:val="001E4C32"/>
    <w:rsid w:val="001E4F36"/>
    <w:rsid w:val="001E54E0"/>
    <w:rsid w:val="001E5D27"/>
    <w:rsid w:val="001E694F"/>
    <w:rsid w:val="001E6A19"/>
    <w:rsid w:val="001E6E2B"/>
    <w:rsid w:val="001E7F82"/>
    <w:rsid w:val="001F04ED"/>
    <w:rsid w:val="001F07B0"/>
    <w:rsid w:val="001F11AB"/>
    <w:rsid w:val="001F1717"/>
    <w:rsid w:val="001F21C9"/>
    <w:rsid w:val="001F2A00"/>
    <w:rsid w:val="001F2B70"/>
    <w:rsid w:val="001F30D9"/>
    <w:rsid w:val="001F4188"/>
    <w:rsid w:val="001F4758"/>
    <w:rsid w:val="001F4992"/>
    <w:rsid w:val="001F4A23"/>
    <w:rsid w:val="001F55D1"/>
    <w:rsid w:val="001F5810"/>
    <w:rsid w:val="00200289"/>
    <w:rsid w:val="00200BC4"/>
    <w:rsid w:val="0020144A"/>
    <w:rsid w:val="00201B57"/>
    <w:rsid w:val="002027A1"/>
    <w:rsid w:val="00202960"/>
    <w:rsid w:val="00202CCF"/>
    <w:rsid w:val="00202DFE"/>
    <w:rsid w:val="0020412E"/>
    <w:rsid w:val="0020432A"/>
    <w:rsid w:val="002043A9"/>
    <w:rsid w:val="002046BF"/>
    <w:rsid w:val="00205B0D"/>
    <w:rsid w:val="00206BEA"/>
    <w:rsid w:val="00207844"/>
    <w:rsid w:val="00207DB8"/>
    <w:rsid w:val="00210DC1"/>
    <w:rsid w:val="00211139"/>
    <w:rsid w:val="0021136B"/>
    <w:rsid w:val="00211B94"/>
    <w:rsid w:val="00211C80"/>
    <w:rsid w:val="00211D34"/>
    <w:rsid w:val="0021287A"/>
    <w:rsid w:val="00212CA8"/>
    <w:rsid w:val="002132F8"/>
    <w:rsid w:val="002147D8"/>
    <w:rsid w:val="00214F04"/>
    <w:rsid w:val="002159B3"/>
    <w:rsid w:val="00215C1B"/>
    <w:rsid w:val="00216922"/>
    <w:rsid w:val="002171AE"/>
    <w:rsid w:val="0021723C"/>
    <w:rsid w:val="00217893"/>
    <w:rsid w:val="00220722"/>
    <w:rsid w:val="00220B81"/>
    <w:rsid w:val="00220F3F"/>
    <w:rsid w:val="00221D3F"/>
    <w:rsid w:val="00222DA3"/>
    <w:rsid w:val="00223282"/>
    <w:rsid w:val="00223C3A"/>
    <w:rsid w:val="00223E05"/>
    <w:rsid w:val="00224184"/>
    <w:rsid w:val="002247C8"/>
    <w:rsid w:val="00225A29"/>
    <w:rsid w:val="00226540"/>
    <w:rsid w:val="0022753E"/>
    <w:rsid w:val="002275C4"/>
    <w:rsid w:val="00227E8B"/>
    <w:rsid w:val="002301BC"/>
    <w:rsid w:val="00231CC5"/>
    <w:rsid w:val="00232BB9"/>
    <w:rsid w:val="0023378B"/>
    <w:rsid w:val="00233810"/>
    <w:rsid w:val="00233842"/>
    <w:rsid w:val="00233F0A"/>
    <w:rsid w:val="00235823"/>
    <w:rsid w:val="00235E58"/>
    <w:rsid w:val="00235FB7"/>
    <w:rsid w:val="00237A03"/>
    <w:rsid w:val="00237DB3"/>
    <w:rsid w:val="002405D9"/>
    <w:rsid w:val="0024086B"/>
    <w:rsid w:val="00240A96"/>
    <w:rsid w:val="00241677"/>
    <w:rsid w:val="00241D62"/>
    <w:rsid w:val="00243991"/>
    <w:rsid w:val="00243FE7"/>
    <w:rsid w:val="002446D1"/>
    <w:rsid w:val="00244FDA"/>
    <w:rsid w:val="00245130"/>
    <w:rsid w:val="00245AF1"/>
    <w:rsid w:val="00245EF3"/>
    <w:rsid w:val="0024665D"/>
    <w:rsid w:val="00246AA4"/>
    <w:rsid w:val="00247205"/>
    <w:rsid w:val="0024732F"/>
    <w:rsid w:val="00247A48"/>
    <w:rsid w:val="00250829"/>
    <w:rsid w:val="002516DF"/>
    <w:rsid w:val="00251D28"/>
    <w:rsid w:val="00251EE7"/>
    <w:rsid w:val="002520B5"/>
    <w:rsid w:val="00253361"/>
    <w:rsid w:val="0025369E"/>
    <w:rsid w:val="00253CE1"/>
    <w:rsid w:val="00253EC7"/>
    <w:rsid w:val="0025530B"/>
    <w:rsid w:val="00256666"/>
    <w:rsid w:val="00257893"/>
    <w:rsid w:val="00257A57"/>
    <w:rsid w:val="0026078A"/>
    <w:rsid w:val="00261490"/>
    <w:rsid w:val="002615C0"/>
    <w:rsid w:val="00261A8F"/>
    <w:rsid w:val="00262EDB"/>
    <w:rsid w:val="0026685F"/>
    <w:rsid w:val="0026699F"/>
    <w:rsid w:val="00266CD6"/>
    <w:rsid w:val="0026729A"/>
    <w:rsid w:val="00270880"/>
    <w:rsid w:val="002710D1"/>
    <w:rsid w:val="00273077"/>
    <w:rsid w:val="00274993"/>
    <w:rsid w:val="002750FB"/>
    <w:rsid w:val="00275215"/>
    <w:rsid w:val="00275DAB"/>
    <w:rsid w:val="00275E5C"/>
    <w:rsid w:val="00275F75"/>
    <w:rsid w:val="00275F96"/>
    <w:rsid w:val="002768F8"/>
    <w:rsid w:val="00276F91"/>
    <w:rsid w:val="00277813"/>
    <w:rsid w:val="002804E8"/>
    <w:rsid w:val="00280903"/>
    <w:rsid w:val="00282522"/>
    <w:rsid w:val="00282C5D"/>
    <w:rsid w:val="00283300"/>
    <w:rsid w:val="002837BC"/>
    <w:rsid w:val="00284CBA"/>
    <w:rsid w:val="00285702"/>
    <w:rsid w:val="00285C55"/>
    <w:rsid w:val="0029022D"/>
    <w:rsid w:val="002923B9"/>
    <w:rsid w:val="00292E60"/>
    <w:rsid w:val="0029609F"/>
    <w:rsid w:val="002961E9"/>
    <w:rsid w:val="00296B45"/>
    <w:rsid w:val="002976E2"/>
    <w:rsid w:val="00297829"/>
    <w:rsid w:val="00297BDE"/>
    <w:rsid w:val="002A0283"/>
    <w:rsid w:val="002A0BF6"/>
    <w:rsid w:val="002A28B9"/>
    <w:rsid w:val="002A2A03"/>
    <w:rsid w:val="002A377A"/>
    <w:rsid w:val="002A41EE"/>
    <w:rsid w:val="002A782A"/>
    <w:rsid w:val="002B00D5"/>
    <w:rsid w:val="002B0EA7"/>
    <w:rsid w:val="002B11E2"/>
    <w:rsid w:val="002B1588"/>
    <w:rsid w:val="002B1E70"/>
    <w:rsid w:val="002B24B8"/>
    <w:rsid w:val="002B24B9"/>
    <w:rsid w:val="002B3164"/>
    <w:rsid w:val="002B43D7"/>
    <w:rsid w:val="002B46ED"/>
    <w:rsid w:val="002B4A7B"/>
    <w:rsid w:val="002B57CC"/>
    <w:rsid w:val="002B5983"/>
    <w:rsid w:val="002C09FD"/>
    <w:rsid w:val="002C12E5"/>
    <w:rsid w:val="002C2124"/>
    <w:rsid w:val="002C22DA"/>
    <w:rsid w:val="002C306F"/>
    <w:rsid w:val="002C46E8"/>
    <w:rsid w:val="002C4B0B"/>
    <w:rsid w:val="002C4F1B"/>
    <w:rsid w:val="002C5890"/>
    <w:rsid w:val="002C59AF"/>
    <w:rsid w:val="002C710D"/>
    <w:rsid w:val="002C73CA"/>
    <w:rsid w:val="002D140B"/>
    <w:rsid w:val="002D14C2"/>
    <w:rsid w:val="002D24D1"/>
    <w:rsid w:val="002D3156"/>
    <w:rsid w:val="002D356F"/>
    <w:rsid w:val="002D3AE9"/>
    <w:rsid w:val="002D3DC4"/>
    <w:rsid w:val="002D4510"/>
    <w:rsid w:val="002D5AB7"/>
    <w:rsid w:val="002D5C44"/>
    <w:rsid w:val="002D6AD3"/>
    <w:rsid w:val="002D6CB3"/>
    <w:rsid w:val="002D6DE1"/>
    <w:rsid w:val="002D7CE0"/>
    <w:rsid w:val="002E0552"/>
    <w:rsid w:val="002E05A5"/>
    <w:rsid w:val="002E089B"/>
    <w:rsid w:val="002E14DC"/>
    <w:rsid w:val="002E1881"/>
    <w:rsid w:val="002E2101"/>
    <w:rsid w:val="002E2212"/>
    <w:rsid w:val="002E254C"/>
    <w:rsid w:val="002E2A06"/>
    <w:rsid w:val="002E2EA4"/>
    <w:rsid w:val="002E37CE"/>
    <w:rsid w:val="002E40B9"/>
    <w:rsid w:val="002E5087"/>
    <w:rsid w:val="002E6264"/>
    <w:rsid w:val="002E6526"/>
    <w:rsid w:val="002E6E35"/>
    <w:rsid w:val="002E74DC"/>
    <w:rsid w:val="002E7AE8"/>
    <w:rsid w:val="002F0734"/>
    <w:rsid w:val="002F0951"/>
    <w:rsid w:val="002F0B0A"/>
    <w:rsid w:val="002F11AF"/>
    <w:rsid w:val="002F139A"/>
    <w:rsid w:val="002F1F6D"/>
    <w:rsid w:val="002F3DA9"/>
    <w:rsid w:val="002F41D0"/>
    <w:rsid w:val="002F46E7"/>
    <w:rsid w:val="002F4789"/>
    <w:rsid w:val="002F4ACF"/>
    <w:rsid w:val="002F64A7"/>
    <w:rsid w:val="002F6E46"/>
    <w:rsid w:val="002F75A1"/>
    <w:rsid w:val="00300543"/>
    <w:rsid w:val="00300553"/>
    <w:rsid w:val="00302477"/>
    <w:rsid w:val="00303703"/>
    <w:rsid w:val="00303955"/>
    <w:rsid w:val="00303E83"/>
    <w:rsid w:val="0030426D"/>
    <w:rsid w:val="00305AB3"/>
    <w:rsid w:val="00305CA4"/>
    <w:rsid w:val="00306439"/>
    <w:rsid w:val="00306D08"/>
    <w:rsid w:val="00306FAE"/>
    <w:rsid w:val="003101DA"/>
    <w:rsid w:val="00310AFD"/>
    <w:rsid w:val="00311832"/>
    <w:rsid w:val="00312A45"/>
    <w:rsid w:val="00312BC9"/>
    <w:rsid w:val="003134ED"/>
    <w:rsid w:val="0031400F"/>
    <w:rsid w:val="00314757"/>
    <w:rsid w:val="00315048"/>
    <w:rsid w:val="003156BD"/>
    <w:rsid w:val="003163BC"/>
    <w:rsid w:val="00316BF6"/>
    <w:rsid w:val="00317FBA"/>
    <w:rsid w:val="0032044F"/>
    <w:rsid w:val="003211CE"/>
    <w:rsid w:val="003216DB"/>
    <w:rsid w:val="00321A1F"/>
    <w:rsid w:val="003229FF"/>
    <w:rsid w:val="00322F62"/>
    <w:rsid w:val="00323A63"/>
    <w:rsid w:val="0032434F"/>
    <w:rsid w:val="00324408"/>
    <w:rsid w:val="003248C5"/>
    <w:rsid w:val="00324B20"/>
    <w:rsid w:val="00324B47"/>
    <w:rsid w:val="0032679A"/>
    <w:rsid w:val="0032698B"/>
    <w:rsid w:val="003301B7"/>
    <w:rsid w:val="00330B9B"/>
    <w:rsid w:val="00331614"/>
    <w:rsid w:val="0033162C"/>
    <w:rsid w:val="00331E07"/>
    <w:rsid w:val="0033205B"/>
    <w:rsid w:val="0033223A"/>
    <w:rsid w:val="00332DF1"/>
    <w:rsid w:val="003347B1"/>
    <w:rsid w:val="00336DE6"/>
    <w:rsid w:val="003371DD"/>
    <w:rsid w:val="003372D2"/>
    <w:rsid w:val="00337ABE"/>
    <w:rsid w:val="00340A2B"/>
    <w:rsid w:val="00340C98"/>
    <w:rsid w:val="003426D3"/>
    <w:rsid w:val="00343124"/>
    <w:rsid w:val="0034322F"/>
    <w:rsid w:val="00343661"/>
    <w:rsid w:val="00347F39"/>
    <w:rsid w:val="00350550"/>
    <w:rsid w:val="00350ADE"/>
    <w:rsid w:val="0035109C"/>
    <w:rsid w:val="003515FA"/>
    <w:rsid w:val="00351639"/>
    <w:rsid w:val="0035403A"/>
    <w:rsid w:val="003541B6"/>
    <w:rsid w:val="00354E59"/>
    <w:rsid w:val="003550A9"/>
    <w:rsid w:val="0035527D"/>
    <w:rsid w:val="00355519"/>
    <w:rsid w:val="00355910"/>
    <w:rsid w:val="003572F7"/>
    <w:rsid w:val="00360370"/>
    <w:rsid w:val="00360BC3"/>
    <w:rsid w:val="00361A4D"/>
    <w:rsid w:val="00362331"/>
    <w:rsid w:val="00362A66"/>
    <w:rsid w:val="0036339E"/>
    <w:rsid w:val="0036394B"/>
    <w:rsid w:val="0036414D"/>
    <w:rsid w:val="00364375"/>
    <w:rsid w:val="003645D5"/>
    <w:rsid w:val="003647F4"/>
    <w:rsid w:val="00364A93"/>
    <w:rsid w:val="0036677A"/>
    <w:rsid w:val="00366DB6"/>
    <w:rsid w:val="003709B5"/>
    <w:rsid w:val="003723DA"/>
    <w:rsid w:val="00372F10"/>
    <w:rsid w:val="0037331A"/>
    <w:rsid w:val="00374957"/>
    <w:rsid w:val="00374F22"/>
    <w:rsid w:val="003759C2"/>
    <w:rsid w:val="00377DE6"/>
    <w:rsid w:val="00382730"/>
    <w:rsid w:val="0038443C"/>
    <w:rsid w:val="003848C6"/>
    <w:rsid w:val="00385A02"/>
    <w:rsid w:val="00385C1C"/>
    <w:rsid w:val="0038648C"/>
    <w:rsid w:val="00387095"/>
    <w:rsid w:val="00387231"/>
    <w:rsid w:val="00391051"/>
    <w:rsid w:val="00391541"/>
    <w:rsid w:val="00393197"/>
    <w:rsid w:val="003931E2"/>
    <w:rsid w:val="00393D7A"/>
    <w:rsid w:val="00394052"/>
    <w:rsid w:val="00395495"/>
    <w:rsid w:val="00395A61"/>
    <w:rsid w:val="00395D05"/>
    <w:rsid w:val="0039720E"/>
    <w:rsid w:val="00397365"/>
    <w:rsid w:val="003A0E77"/>
    <w:rsid w:val="003A217A"/>
    <w:rsid w:val="003A2D69"/>
    <w:rsid w:val="003A31F6"/>
    <w:rsid w:val="003A3772"/>
    <w:rsid w:val="003A3AD0"/>
    <w:rsid w:val="003A4743"/>
    <w:rsid w:val="003A4783"/>
    <w:rsid w:val="003A4B61"/>
    <w:rsid w:val="003A5B21"/>
    <w:rsid w:val="003A6AFC"/>
    <w:rsid w:val="003A6C52"/>
    <w:rsid w:val="003A6E46"/>
    <w:rsid w:val="003B01D4"/>
    <w:rsid w:val="003B09C7"/>
    <w:rsid w:val="003B0C2C"/>
    <w:rsid w:val="003B0CAA"/>
    <w:rsid w:val="003B2174"/>
    <w:rsid w:val="003B2469"/>
    <w:rsid w:val="003B24D5"/>
    <w:rsid w:val="003B25B3"/>
    <w:rsid w:val="003B5855"/>
    <w:rsid w:val="003B620D"/>
    <w:rsid w:val="003B701A"/>
    <w:rsid w:val="003B789E"/>
    <w:rsid w:val="003B7B04"/>
    <w:rsid w:val="003C0FA2"/>
    <w:rsid w:val="003C16E1"/>
    <w:rsid w:val="003C281D"/>
    <w:rsid w:val="003C3447"/>
    <w:rsid w:val="003C3981"/>
    <w:rsid w:val="003C3F31"/>
    <w:rsid w:val="003C52E7"/>
    <w:rsid w:val="003C5A8F"/>
    <w:rsid w:val="003C635E"/>
    <w:rsid w:val="003C63D7"/>
    <w:rsid w:val="003D076C"/>
    <w:rsid w:val="003D0CA7"/>
    <w:rsid w:val="003D0E62"/>
    <w:rsid w:val="003D16AC"/>
    <w:rsid w:val="003D2BC2"/>
    <w:rsid w:val="003D3ABB"/>
    <w:rsid w:val="003D4261"/>
    <w:rsid w:val="003D43FA"/>
    <w:rsid w:val="003D5B62"/>
    <w:rsid w:val="003D5E52"/>
    <w:rsid w:val="003D60DE"/>
    <w:rsid w:val="003D68D4"/>
    <w:rsid w:val="003D6AD5"/>
    <w:rsid w:val="003D724D"/>
    <w:rsid w:val="003D7DB9"/>
    <w:rsid w:val="003E113A"/>
    <w:rsid w:val="003E2341"/>
    <w:rsid w:val="003E25DD"/>
    <w:rsid w:val="003E3419"/>
    <w:rsid w:val="003E3CD6"/>
    <w:rsid w:val="003E409E"/>
    <w:rsid w:val="003E5B15"/>
    <w:rsid w:val="003E5E7F"/>
    <w:rsid w:val="003E6876"/>
    <w:rsid w:val="003E6924"/>
    <w:rsid w:val="003E6D5C"/>
    <w:rsid w:val="003E70D1"/>
    <w:rsid w:val="003E7401"/>
    <w:rsid w:val="003E74DD"/>
    <w:rsid w:val="003E7625"/>
    <w:rsid w:val="003E78B5"/>
    <w:rsid w:val="003F0530"/>
    <w:rsid w:val="003F09C3"/>
    <w:rsid w:val="003F0B04"/>
    <w:rsid w:val="003F17B4"/>
    <w:rsid w:val="003F1F3D"/>
    <w:rsid w:val="003F232A"/>
    <w:rsid w:val="003F3117"/>
    <w:rsid w:val="003F50D9"/>
    <w:rsid w:val="003F51A8"/>
    <w:rsid w:val="003F557E"/>
    <w:rsid w:val="003F55C7"/>
    <w:rsid w:val="003F58F4"/>
    <w:rsid w:val="003F5BC3"/>
    <w:rsid w:val="003F6899"/>
    <w:rsid w:val="004027AE"/>
    <w:rsid w:val="004034E8"/>
    <w:rsid w:val="00404FCC"/>
    <w:rsid w:val="00405C0D"/>
    <w:rsid w:val="00406C42"/>
    <w:rsid w:val="004102AE"/>
    <w:rsid w:val="004109E9"/>
    <w:rsid w:val="004151D1"/>
    <w:rsid w:val="0041533E"/>
    <w:rsid w:val="00415658"/>
    <w:rsid w:val="00415BAB"/>
    <w:rsid w:val="00415ED2"/>
    <w:rsid w:val="004161AE"/>
    <w:rsid w:val="00416BC7"/>
    <w:rsid w:val="00417550"/>
    <w:rsid w:val="00417E6B"/>
    <w:rsid w:val="0042068C"/>
    <w:rsid w:val="0042084E"/>
    <w:rsid w:val="00420DFE"/>
    <w:rsid w:val="004214F7"/>
    <w:rsid w:val="00421929"/>
    <w:rsid w:val="00422ADE"/>
    <w:rsid w:val="004233F7"/>
    <w:rsid w:val="00423A9D"/>
    <w:rsid w:val="00423EA4"/>
    <w:rsid w:val="00424942"/>
    <w:rsid w:val="00424A2A"/>
    <w:rsid w:val="0042558E"/>
    <w:rsid w:val="00426BDB"/>
    <w:rsid w:val="00426F86"/>
    <w:rsid w:val="00427A91"/>
    <w:rsid w:val="00427B66"/>
    <w:rsid w:val="004309BE"/>
    <w:rsid w:val="004315A6"/>
    <w:rsid w:val="0043280A"/>
    <w:rsid w:val="00432D99"/>
    <w:rsid w:val="004338CB"/>
    <w:rsid w:val="00434E1F"/>
    <w:rsid w:val="0043586D"/>
    <w:rsid w:val="004359B3"/>
    <w:rsid w:val="00437F71"/>
    <w:rsid w:val="0044000A"/>
    <w:rsid w:val="004407B4"/>
    <w:rsid w:val="00442203"/>
    <w:rsid w:val="00442475"/>
    <w:rsid w:val="004427BC"/>
    <w:rsid w:val="00442ED5"/>
    <w:rsid w:val="0044318E"/>
    <w:rsid w:val="00444034"/>
    <w:rsid w:val="00444E55"/>
    <w:rsid w:val="00444EA7"/>
    <w:rsid w:val="00445924"/>
    <w:rsid w:val="0044618E"/>
    <w:rsid w:val="00446EB8"/>
    <w:rsid w:val="004475F0"/>
    <w:rsid w:val="00450409"/>
    <w:rsid w:val="00450DAA"/>
    <w:rsid w:val="004514EA"/>
    <w:rsid w:val="00451E7C"/>
    <w:rsid w:val="00452003"/>
    <w:rsid w:val="004528BD"/>
    <w:rsid w:val="00456836"/>
    <w:rsid w:val="004601B9"/>
    <w:rsid w:val="00460CB8"/>
    <w:rsid w:val="0046114C"/>
    <w:rsid w:val="00461E8F"/>
    <w:rsid w:val="004632D2"/>
    <w:rsid w:val="00465019"/>
    <w:rsid w:val="00465BC9"/>
    <w:rsid w:val="00467840"/>
    <w:rsid w:val="004678B0"/>
    <w:rsid w:val="00467A37"/>
    <w:rsid w:val="0047122B"/>
    <w:rsid w:val="004717B3"/>
    <w:rsid w:val="0047352F"/>
    <w:rsid w:val="004736B7"/>
    <w:rsid w:val="00473B7A"/>
    <w:rsid w:val="00474230"/>
    <w:rsid w:val="00474F0B"/>
    <w:rsid w:val="00475432"/>
    <w:rsid w:val="004757EE"/>
    <w:rsid w:val="00476107"/>
    <w:rsid w:val="0048144E"/>
    <w:rsid w:val="00482741"/>
    <w:rsid w:val="00482B54"/>
    <w:rsid w:val="0048335B"/>
    <w:rsid w:val="00483773"/>
    <w:rsid w:val="00483996"/>
    <w:rsid w:val="00485027"/>
    <w:rsid w:val="00485647"/>
    <w:rsid w:val="00486E70"/>
    <w:rsid w:val="00486F75"/>
    <w:rsid w:val="0049086F"/>
    <w:rsid w:val="00490C17"/>
    <w:rsid w:val="0049127A"/>
    <w:rsid w:val="00491679"/>
    <w:rsid w:val="00492850"/>
    <w:rsid w:val="00493101"/>
    <w:rsid w:val="004939EE"/>
    <w:rsid w:val="00494A58"/>
    <w:rsid w:val="00495793"/>
    <w:rsid w:val="00495EE5"/>
    <w:rsid w:val="00496083"/>
    <w:rsid w:val="004960E9"/>
    <w:rsid w:val="00496AB2"/>
    <w:rsid w:val="0049718F"/>
    <w:rsid w:val="00497678"/>
    <w:rsid w:val="004978AC"/>
    <w:rsid w:val="004A030F"/>
    <w:rsid w:val="004A054C"/>
    <w:rsid w:val="004A0A36"/>
    <w:rsid w:val="004A0C0D"/>
    <w:rsid w:val="004A0E95"/>
    <w:rsid w:val="004A1C63"/>
    <w:rsid w:val="004A24EC"/>
    <w:rsid w:val="004A2E88"/>
    <w:rsid w:val="004A317A"/>
    <w:rsid w:val="004A35ED"/>
    <w:rsid w:val="004A36E2"/>
    <w:rsid w:val="004A3A0C"/>
    <w:rsid w:val="004A405C"/>
    <w:rsid w:val="004A429E"/>
    <w:rsid w:val="004A4BBC"/>
    <w:rsid w:val="004A515E"/>
    <w:rsid w:val="004A5305"/>
    <w:rsid w:val="004A667B"/>
    <w:rsid w:val="004A6A50"/>
    <w:rsid w:val="004B10F5"/>
    <w:rsid w:val="004B12F0"/>
    <w:rsid w:val="004B13AD"/>
    <w:rsid w:val="004B185F"/>
    <w:rsid w:val="004B1DC9"/>
    <w:rsid w:val="004B234D"/>
    <w:rsid w:val="004B25B5"/>
    <w:rsid w:val="004B33B4"/>
    <w:rsid w:val="004B3CD5"/>
    <w:rsid w:val="004B4069"/>
    <w:rsid w:val="004B41FB"/>
    <w:rsid w:val="004B44F3"/>
    <w:rsid w:val="004B4EF4"/>
    <w:rsid w:val="004B501B"/>
    <w:rsid w:val="004B6F1F"/>
    <w:rsid w:val="004B7B4C"/>
    <w:rsid w:val="004C003D"/>
    <w:rsid w:val="004C03B6"/>
    <w:rsid w:val="004C1AFA"/>
    <w:rsid w:val="004C25C9"/>
    <w:rsid w:val="004C4A4F"/>
    <w:rsid w:val="004C5D17"/>
    <w:rsid w:val="004C5DF0"/>
    <w:rsid w:val="004C645A"/>
    <w:rsid w:val="004C65A7"/>
    <w:rsid w:val="004D20DD"/>
    <w:rsid w:val="004D2855"/>
    <w:rsid w:val="004D2A8B"/>
    <w:rsid w:val="004D2BE8"/>
    <w:rsid w:val="004D420E"/>
    <w:rsid w:val="004D44FC"/>
    <w:rsid w:val="004D5FFA"/>
    <w:rsid w:val="004D62F8"/>
    <w:rsid w:val="004D6894"/>
    <w:rsid w:val="004D72FF"/>
    <w:rsid w:val="004D7634"/>
    <w:rsid w:val="004E0A32"/>
    <w:rsid w:val="004E1595"/>
    <w:rsid w:val="004E1F1E"/>
    <w:rsid w:val="004E2397"/>
    <w:rsid w:val="004E298F"/>
    <w:rsid w:val="004E2A17"/>
    <w:rsid w:val="004E5324"/>
    <w:rsid w:val="004E5523"/>
    <w:rsid w:val="004E611A"/>
    <w:rsid w:val="004E61EB"/>
    <w:rsid w:val="004E7925"/>
    <w:rsid w:val="004F045B"/>
    <w:rsid w:val="004F06D3"/>
    <w:rsid w:val="004F2A6B"/>
    <w:rsid w:val="004F2C7A"/>
    <w:rsid w:val="004F56FC"/>
    <w:rsid w:val="004F6EC9"/>
    <w:rsid w:val="004F75AB"/>
    <w:rsid w:val="00500F77"/>
    <w:rsid w:val="005010E3"/>
    <w:rsid w:val="00501550"/>
    <w:rsid w:val="00501887"/>
    <w:rsid w:val="00501AED"/>
    <w:rsid w:val="00501C65"/>
    <w:rsid w:val="0050237A"/>
    <w:rsid w:val="005024D8"/>
    <w:rsid w:val="00503116"/>
    <w:rsid w:val="005041C2"/>
    <w:rsid w:val="00504332"/>
    <w:rsid w:val="005046CB"/>
    <w:rsid w:val="00504D8E"/>
    <w:rsid w:val="005063FC"/>
    <w:rsid w:val="00506D8C"/>
    <w:rsid w:val="00506E23"/>
    <w:rsid w:val="0050764A"/>
    <w:rsid w:val="00507AFD"/>
    <w:rsid w:val="00507C90"/>
    <w:rsid w:val="00507CB7"/>
    <w:rsid w:val="00507E06"/>
    <w:rsid w:val="005104A4"/>
    <w:rsid w:val="00511919"/>
    <w:rsid w:val="00511A77"/>
    <w:rsid w:val="00511B08"/>
    <w:rsid w:val="005123EE"/>
    <w:rsid w:val="00512877"/>
    <w:rsid w:val="00512998"/>
    <w:rsid w:val="0051336A"/>
    <w:rsid w:val="0051651C"/>
    <w:rsid w:val="00516CE7"/>
    <w:rsid w:val="0051741E"/>
    <w:rsid w:val="00517843"/>
    <w:rsid w:val="0052174C"/>
    <w:rsid w:val="00521CFB"/>
    <w:rsid w:val="005221C4"/>
    <w:rsid w:val="00522517"/>
    <w:rsid w:val="0052302F"/>
    <w:rsid w:val="00523CA7"/>
    <w:rsid w:val="00524E81"/>
    <w:rsid w:val="00526404"/>
    <w:rsid w:val="00526B30"/>
    <w:rsid w:val="00527320"/>
    <w:rsid w:val="00527328"/>
    <w:rsid w:val="00527AB8"/>
    <w:rsid w:val="005300D3"/>
    <w:rsid w:val="00530EE9"/>
    <w:rsid w:val="00530F29"/>
    <w:rsid w:val="0053162B"/>
    <w:rsid w:val="00533887"/>
    <w:rsid w:val="00533E22"/>
    <w:rsid w:val="0053517E"/>
    <w:rsid w:val="005351AA"/>
    <w:rsid w:val="00535305"/>
    <w:rsid w:val="005358DC"/>
    <w:rsid w:val="00535C07"/>
    <w:rsid w:val="00536316"/>
    <w:rsid w:val="00537B0A"/>
    <w:rsid w:val="00541403"/>
    <w:rsid w:val="00541EAE"/>
    <w:rsid w:val="00544C47"/>
    <w:rsid w:val="00544F1F"/>
    <w:rsid w:val="00544F82"/>
    <w:rsid w:val="00545704"/>
    <w:rsid w:val="00546A56"/>
    <w:rsid w:val="0054740F"/>
    <w:rsid w:val="00550093"/>
    <w:rsid w:val="005500A5"/>
    <w:rsid w:val="0055018E"/>
    <w:rsid w:val="005509D2"/>
    <w:rsid w:val="00550CAF"/>
    <w:rsid w:val="005515FC"/>
    <w:rsid w:val="005516CD"/>
    <w:rsid w:val="005538E0"/>
    <w:rsid w:val="00554A6D"/>
    <w:rsid w:val="00554FC4"/>
    <w:rsid w:val="005563D3"/>
    <w:rsid w:val="00560A2A"/>
    <w:rsid w:val="00561929"/>
    <w:rsid w:val="00562472"/>
    <w:rsid w:val="0056257D"/>
    <w:rsid w:val="00563CB4"/>
    <w:rsid w:val="005647AF"/>
    <w:rsid w:val="00564D15"/>
    <w:rsid w:val="00566A26"/>
    <w:rsid w:val="00570784"/>
    <w:rsid w:val="00570794"/>
    <w:rsid w:val="00570DA8"/>
    <w:rsid w:val="005715A2"/>
    <w:rsid w:val="005721F1"/>
    <w:rsid w:val="005726B8"/>
    <w:rsid w:val="00573027"/>
    <w:rsid w:val="0057392D"/>
    <w:rsid w:val="00573B45"/>
    <w:rsid w:val="00573F5F"/>
    <w:rsid w:val="005744BB"/>
    <w:rsid w:val="00575E92"/>
    <w:rsid w:val="00576FFD"/>
    <w:rsid w:val="0057713D"/>
    <w:rsid w:val="00577E51"/>
    <w:rsid w:val="0058025C"/>
    <w:rsid w:val="00581E02"/>
    <w:rsid w:val="00584439"/>
    <w:rsid w:val="00584631"/>
    <w:rsid w:val="005858E8"/>
    <w:rsid w:val="00585C5D"/>
    <w:rsid w:val="0058683D"/>
    <w:rsid w:val="00586D62"/>
    <w:rsid w:val="00591370"/>
    <w:rsid w:val="00591D8A"/>
    <w:rsid w:val="00591E35"/>
    <w:rsid w:val="00593617"/>
    <w:rsid w:val="0059376D"/>
    <w:rsid w:val="00593C4F"/>
    <w:rsid w:val="00594202"/>
    <w:rsid w:val="00594223"/>
    <w:rsid w:val="005946A8"/>
    <w:rsid w:val="00595259"/>
    <w:rsid w:val="00595332"/>
    <w:rsid w:val="005961CC"/>
    <w:rsid w:val="0059636D"/>
    <w:rsid w:val="0059659F"/>
    <w:rsid w:val="00596632"/>
    <w:rsid w:val="00597A07"/>
    <w:rsid w:val="00597C25"/>
    <w:rsid w:val="005A054B"/>
    <w:rsid w:val="005A256A"/>
    <w:rsid w:val="005A25CF"/>
    <w:rsid w:val="005A3C86"/>
    <w:rsid w:val="005A4407"/>
    <w:rsid w:val="005A51B8"/>
    <w:rsid w:val="005A59EF"/>
    <w:rsid w:val="005A5E31"/>
    <w:rsid w:val="005A7179"/>
    <w:rsid w:val="005A721A"/>
    <w:rsid w:val="005A74EA"/>
    <w:rsid w:val="005B09ED"/>
    <w:rsid w:val="005B1B0D"/>
    <w:rsid w:val="005B1C7E"/>
    <w:rsid w:val="005B38F5"/>
    <w:rsid w:val="005B50FE"/>
    <w:rsid w:val="005B5942"/>
    <w:rsid w:val="005B5BE7"/>
    <w:rsid w:val="005B6203"/>
    <w:rsid w:val="005B755A"/>
    <w:rsid w:val="005B7B0F"/>
    <w:rsid w:val="005B7C37"/>
    <w:rsid w:val="005C07DD"/>
    <w:rsid w:val="005C1759"/>
    <w:rsid w:val="005C2CDE"/>
    <w:rsid w:val="005C4167"/>
    <w:rsid w:val="005C4C86"/>
    <w:rsid w:val="005C4EEC"/>
    <w:rsid w:val="005C50F3"/>
    <w:rsid w:val="005C5751"/>
    <w:rsid w:val="005C6976"/>
    <w:rsid w:val="005D11A4"/>
    <w:rsid w:val="005D19B7"/>
    <w:rsid w:val="005D286E"/>
    <w:rsid w:val="005D3415"/>
    <w:rsid w:val="005D37D8"/>
    <w:rsid w:val="005D3C5C"/>
    <w:rsid w:val="005D4E44"/>
    <w:rsid w:val="005D56D7"/>
    <w:rsid w:val="005D6284"/>
    <w:rsid w:val="005D71B6"/>
    <w:rsid w:val="005D75B3"/>
    <w:rsid w:val="005D7748"/>
    <w:rsid w:val="005D7A2C"/>
    <w:rsid w:val="005E08CD"/>
    <w:rsid w:val="005E0B7C"/>
    <w:rsid w:val="005E1111"/>
    <w:rsid w:val="005E11FA"/>
    <w:rsid w:val="005E1CDE"/>
    <w:rsid w:val="005E3BD9"/>
    <w:rsid w:val="005E44E2"/>
    <w:rsid w:val="005E52A0"/>
    <w:rsid w:val="005E5A33"/>
    <w:rsid w:val="005E5EA9"/>
    <w:rsid w:val="005E6323"/>
    <w:rsid w:val="005E63F2"/>
    <w:rsid w:val="005E6CE7"/>
    <w:rsid w:val="005E6F1A"/>
    <w:rsid w:val="005E7CAF"/>
    <w:rsid w:val="005F1176"/>
    <w:rsid w:val="005F157D"/>
    <w:rsid w:val="005F1620"/>
    <w:rsid w:val="005F29F1"/>
    <w:rsid w:val="005F3813"/>
    <w:rsid w:val="005F41AA"/>
    <w:rsid w:val="005F440E"/>
    <w:rsid w:val="005F4788"/>
    <w:rsid w:val="005F5232"/>
    <w:rsid w:val="005F5AB5"/>
    <w:rsid w:val="005F611D"/>
    <w:rsid w:val="005F6522"/>
    <w:rsid w:val="005F6B6B"/>
    <w:rsid w:val="005F6B88"/>
    <w:rsid w:val="005F6F41"/>
    <w:rsid w:val="005F773B"/>
    <w:rsid w:val="005F7C5C"/>
    <w:rsid w:val="005F7D46"/>
    <w:rsid w:val="00601774"/>
    <w:rsid w:val="006017D0"/>
    <w:rsid w:val="00601B06"/>
    <w:rsid w:val="00602DB9"/>
    <w:rsid w:val="00603107"/>
    <w:rsid w:val="00603CE3"/>
    <w:rsid w:val="00606DA8"/>
    <w:rsid w:val="00610746"/>
    <w:rsid w:val="00610A50"/>
    <w:rsid w:val="00610FD5"/>
    <w:rsid w:val="006117E8"/>
    <w:rsid w:val="006121B1"/>
    <w:rsid w:val="00612F3A"/>
    <w:rsid w:val="00613C5A"/>
    <w:rsid w:val="00613F03"/>
    <w:rsid w:val="00613F3E"/>
    <w:rsid w:val="006142AC"/>
    <w:rsid w:val="00615E9D"/>
    <w:rsid w:val="00617673"/>
    <w:rsid w:val="00620049"/>
    <w:rsid w:val="006200F2"/>
    <w:rsid w:val="00622928"/>
    <w:rsid w:val="0062292B"/>
    <w:rsid w:val="00622AC7"/>
    <w:rsid w:val="006237BB"/>
    <w:rsid w:val="00624F5A"/>
    <w:rsid w:val="006253A7"/>
    <w:rsid w:val="006259E4"/>
    <w:rsid w:val="00625DC6"/>
    <w:rsid w:val="00626B3F"/>
    <w:rsid w:val="00626DA0"/>
    <w:rsid w:val="00630A25"/>
    <w:rsid w:val="00630AEB"/>
    <w:rsid w:val="00630EB4"/>
    <w:rsid w:val="00631052"/>
    <w:rsid w:val="0063112A"/>
    <w:rsid w:val="0063182C"/>
    <w:rsid w:val="00631C12"/>
    <w:rsid w:val="00632B03"/>
    <w:rsid w:val="00632C72"/>
    <w:rsid w:val="00632F0A"/>
    <w:rsid w:val="00633CFA"/>
    <w:rsid w:val="00633D58"/>
    <w:rsid w:val="006346D5"/>
    <w:rsid w:val="00634722"/>
    <w:rsid w:val="006359ED"/>
    <w:rsid w:val="00636261"/>
    <w:rsid w:val="0063630C"/>
    <w:rsid w:val="00636C6D"/>
    <w:rsid w:val="00636EE2"/>
    <w:rsid w:val="00637E55"/>
    <w:rsid w:val="006406C8"/>
    <w:rsid w:val="006411C9"/>
    <w:rsid w:val="006413AB"/>
    <w:rsid w:val="00642984"/>
    <w:rsid w:val="00642ADE"/>
    <w:rsid w:val="006434CA"/>
    <w:rsid w:val="00643643"/>
    <w:rsid w:val="0064391D"/>
    <w:rsid w:val="00643C62"/>
    <w:rsid w:val="00645CB0"/>
    <w:rsid w:val="00646032"/>
    <w:rsid w:val="00647193"/>
    <w:rsid w:val="00650471"/>
    <w:rsid w:val="0065057D"/>
    <w:rsid w:val="00650A06"/>
    <w:rsid w:val="00651821"/>
    <w:rsid w:val="00651F2D"/>
    <w:rsid w:val="0065298A"/>
    <w:rsid w:val="00652BB7"/>
    <w:rsid w:val="00653253"/>
    <w:rsid w:val="00653A2A"/>
    <w:rsid w:val="00654384"/>
    <w:rsid w:val="006565D2"/>
    <w:rsid w:val="00656859"/>
    <w:rsid w:val="00656BAB"/>
    <w:rsid w:val="00656D51"/>
    <w:rsid w:val="00657398"/>
    <w:rsid w:val="006575D6"/>
    <w:rsid w:val="0066042A"/>
    <w:rsid w:val="00660485"/>
    <w:rsid w:val="006610C8"/>
    <w:rsid w:val="0066163F"/>
    <w:rsid w:val="00661A46"/>
    <w:rsid w:val="00662A2C"/>
    <w:rsid w:val="00662BF0"/>
    <w:rsid w:val="00662C1E"/>
    <w:rsid w:val="00662CC0"/>
    <w:rsid w:val="00662E41"/>
    <w:rsid w:val="00665428"/>
    <w:rsid w:val="006659BC"/>
    <w:rsid w:val="00665CDE"/>
    <w:rsid w:val="00666446"/>
    <w:rsid w:val="0066686B"/>
    <w:rsid w:val="006675CD"/>
    <w:rsid w:val="00667775"/>
    <w:rsid w:val="00667C8C"/>
    <w:rsid w:val="0067006C"/>
    <w:rsid w:val="00670AA8"/>
    <w:rsid w:val="00670F3C"/>
    <w:rsid w:val="00672EAF"/>
    <w:rsid w:val="0067368A"/>
    <w:rsid w:val="00674B15"/>
    <w:rsid w:val="006801D9"/>
    <w:rsid w:val="00680289"/>
    <w:rsid w:val="00681BFD"/>
    <w:rsid w:val="00682264"/>
    <w:rsid w:val="006837A5"/>
    <w:rsid w:val="00684A64"/>
    <w:rsid w:val="00684D9B"/>
    <w:rsid w:val="00685586"/>
    <w:rsid w:val="00685C01"/>
    <w:rsid w:val="006878D4"/>
    <w:rsid w:val="0068798E"/>
    <w:rsid w:val="006907EB"/>
    <w:rsid w:val="00691B6D"/>
    <w:rsid w:val="006930DC"/>
    <w:rsid w:val="00693432"/>
    <w:rsid w:val="006937C8"/>
    <w:rsid w:val="00693F76"/>
    <w:rsid w:val="00694090"/>
    <w:rsid w:val="00694CCB"/>
    <w:rsid w:val="00694D80"/>
    <w:rsid w:val="00696F88"/>
    <w:rsid w:val="00697556"/>
    <w:rsid w:val="006A01AB"/>
    <w:rsid w:val="006A1A58"/>
    <w:rsid w:val="006A1B8E"/>
    <w:rsid w:val="006A1C84"/>
    <w:rsid w:val="006A2358"/>
    <w:rsid w:val="006A2CC8"/>
    <w:rsid w:val="006A2F3F"/>
    <w:rsid w:val="006A348D"/>
    <w:rsid w:val="006A3A02"/>
    <w:rsid w:val="006A41DD"/>
    <w:rsid w:val="006A50CF"/>
    <w:rsid w:val="006A5348"/>
    <w:rsid w:val="006A5EA2"/>
    <w:rsid w:val="006A6DB0"/>
    <w:rsid w:val="006A7356"/>
    <w:rsid w:val="006A7F47"/>
    <w:rsid w:val="006B05D4"/>
    <w:rsid w:val="006B1195"/>
    <w:rsid w:val="006B11C2"/>
    <w:rsid w:val="006B395F"/>
    <w:rsid w:val="006B3DC8"/>
    <w:rsid w:val="006B44FC"/>
    <w:rsid w:val="006B4647"/>
    <w:rsid w:val="006B4C2B"/>
    <w:rsid w:val="006B5E53"/>
    <w:rsid w:val="006B6194"/>
    <w:rsid w:val="006B6D47"/>
    <w:rsid w:val="006B7430"/>
    <w:rsid w:val="006B745B"/>
    <w:rsid w:val="006C1885"/>
    <w:rsid w:val="006C2EA8"/>
    <w:rsid w:val="006C3C2B"/>
    <w:rsid w:val="006C4041"/>
    <w:rsid w:val="006C4A35"/>
    <w:rsid w:val="006C5AFE"/>
    <w:rsid w:val="006C61CF"/>
    <w:rsid w:val="006C69ED"/>
    <w:rsid w:val="006C7287"/>
    <w:rsid w:val="006C7C3E"/>
    <w:rsid w:val="006D1031"/>
    <w:rsid w:val="006D38A4"/>
    <w:rsid w:val="006D3BE1"/>
    <w:rsid w:val="006D3C1E"/>
    <w:rsid w:val="006D4430"/>
    <w:rsid w:val="006D478E"/>
    <w:rsid w:val="006D55BF"/>
    <w:rsid w:val="006D5C36"/>
    <w:rsid w:val="006D5CC2"/>
    <w:rsid w:val="006D7CC5"/>
    <w:rsid w:val="006E0048"/>
    <w:rsid w:val="006E015D"/>
    <w:rsid w:val="006E0441"/>
    <w:rsid w:val="006E0774"/>
    <w:rsid w:val="006E0797"/>
    <w:rsid w:val="006E085E"/>
    <w:rsid w:val="006E0D31"/>
    <w:rsid w:val="006E10A8"/>
    <w:rsid w:val="006E2894"/>
    <w:rsid w:val="006E41A0"/>
    <w:rsid w:val="006E5822"/>
    <w:rsid w:val="006E613F"/>
    <w:rsid w:val="006E61BD"/>
    <w:rsid w:val="006E634F"/>
    <w:rsid w:val="006E640A"/>
    <w:rsid w:val="006E6D98"/>
    <w:rsid w:val="006E6DE5"/>
    <w:rsid w:val="006E7732"/>
    <w:rsid w:val="006E7869"/>
    <w:rsid w:val="006E7A3D"/>
    <w:rsid w:val="006F100B"/>
    <w:rsid w:val="006F18D5"/>
    <w:rsid w:val="006F1A9A"/>
    <w:rsid w:val="006F35B4"/>
    <w:rsid w:val="006F385C"/>
    <w:rsid w:val="006F4880"/>
    <w:rsid w:val="006F5248"/>
    <w:rsid w:val="006F563B"/>
    <w:rsid w:val="006F5930"/>
    <w:rsid w:val="006F5CA4"/>
    <w:rsid w:val="006F6000"/>
    <w:rsid w:val="006F654C"/>
    <w:rsid w:val="006F667E"/>
    <w:rsid w:val="006F6D95"/>
    <w:rsid w:val="0070006F"/>
    <w:rsid w:val="00700660"/>
    <w:rsid w:val="00700CFA"/>
    <w:rsid w:val="007034B9"/>
    <w:rsid w:val="00704257"/>
    <w:rsid w:val="00704DCB"/>
    <w:rsid w:val="00704E52"/>
    <w:rsid w:val="007055CF"/>
    <w:rsid w:val="0070667C"/>
    <w:rsid w:val="00706F13"/>
    <w:rsid w:val="007072E8"/>
    <w:rsid w:val="0070759A"/>
    <w:rsid w:val="00711044"/>
    <w:rsid w:val="00711140"/>
    <w:rsid w:val="0071155A"/>
    <w:rsid w:val="00712D59"/>
    <w:rsid w:val="0071376B"/>
    <w:rsid w:val="00713D8A"/>
    <w:rsid w:val="0071618D"/>
    <w:rsid w:val="007168E7"/>
    <w:rsid w:val="00716D38"/>
    <w:rsid w:val="00717211"/>
    <w:rsid w:val="00722096"/>
    <w:rsid w:val="007233FA"/>
    <w:rsid w:val="007234E8"/>
    <w:rsid w:val="00723D0C"/>
    <w:rsid w:val="0072452B"/>
    <w:rsid w:val="00724DAE"/>
    <w:rsid w:val="007250AB"/>
    <w:rsid w:val="00725FA4"/>
    <w:rsid w:val="0072668F"/>
    <w:rsid w:val="00726CDB"/>
    <w:rsid w:val="00727F27"/>
    <w:rsid w:val="00731B56"/>
    <w:rsid w:val="00732D82"/>
    <w:rsid w:val="007339AE"/>
    <w:rsid w:val="007340B6"/>
    <w:rsid w:val="00734DD0"/>
    <w:rsid w:val="00734E7E"/>
    <w:rsid w:val="007350A7"/>
    <w:rsid w:val="00735B53"/>
    <w:rsid w:val="007362D2"/>
    <w:rsid w:val="0073671C"/>
    <w:rsid w:val="00740446"/>
    <w:rsid w:val="007438A9"/>
    <w:rsid w:val="0074407E"/>
    <w:rsid w:val="0074491E"/>
    <w:rsid w:val="00744C92"/>
    <w:rsid w:val="0074562B"/>
    <w:rsid w:val="0074567B"/>
    <w:rsid w:val="00746899"/>
    <w:rsid w:val="007514F6"/>
    <w:rsid w:val="00751556"/>
    <w:rsid w:val="00752DE3"/>
    <w:rsid w:val="007530CA"/>
    <w:rsid w:val="007534F7"/>
    <w:rsid w:val="00753C5C"/>
    <w:rsid w:val="00753D0D"/>
    <w:rsid w:val="00754DCE"/>
    <w:rsid w:val="007556BF"/>
    <w:rsid w:val="00755C52"/>
    <w:rsid w:val="00756902"/>
    <w:rsid w:val="00757307"/>
    <w:rsid w:val="007609DA"/>
    <w:rsid w:val="00760F2F"/>
    <w:rsid w:val="00761392"/>
    <w:rsid w:val="007613DD"/>
    <w:rsid w:val="0076247A"/>
    <w:rsid w:val="00762A4F"/>
    <w:rsid w:val="00763CBB"/>
    <w:rsid w:val="00764240"/>
    <w:rsid w:val="007645C9"/>
    <w:rsid w:val="00764E12"/>
    <w:rsid w:val="00765E48"/>
    <w:rsid w:val="00765F81"/>
    <w:rsid w:val="00766099"/>
    <w:rsid w:val="007661FD"/>
    <w:rsid w:val="007662A5"/>
    <w:rsid w:val="0076687A"/>
    <w:rsid w:val="00766F8B"/>
    <w:rsid w:val="00767539"/>
    <w:rsid w:val="00767C77"/>
    <w:rsid w:val="00770848"/>
    <w:rsid w:val="00771253"/>
    <w:rsid w:val="007717EF"/>
    <w:rsid w:val="00772023"/>
    <w:rsid w:val="00772C28"/>
    <w:rsid w:val="00774D6A"/>
    <w:rsid w:val="00775353"/>
    <w:rsid w:val="00775964"/>
    <w:rsid w:val="00775D19"/>
    <w:rsid w:val="007765FE"/>
    <w:rsid w:val="00776F37"/>
    <w:rsid w:val="00777010"/>
    <w:rsid w:val="007775D0"/>
    <w:rsid w:val="00777BAC"/>
    <w:rsid w:val="00780067"/>
    <w:rsid w:val="0078046A"/>
    <w:rsid w:val="007804BA"/>
    <w:rsid w:val="00780C18"/>
    <w:rsid w:val="00781503"/>
    <w:rsid w:val="00781A43"/>
    <w:rsid w:val="00782386"/>
    <w:rsid w:val="00782882"/>
    <w:rsid w:val="00783955"/>
    <w:rsid w:val="00783E14"/>
    <w:rsid w:val="00784113"/>
    <w:rsid w:val="0078418D"/>
    <w:rsid w:val="00784896"/>
    <w:rsid w:val="007849C7"/>
    <w:rsid w:val="007861B8"/>
    <w:rsid w:val="00786F06"/>
    <w:rsid w:val="0079088F"/>
    <w:rsid w:val="00790E1F"/>
    <w:rsid w:val="00791676"/>
    <w:rsid w:val="00791A5A"/>
    <w:rsid w:val="00792940"/>
    <w:rsid w:val="00792B0A"/>
    <w:rsid w:val="00794CA9"/>
    <w:rsid w:val="00794E2E"/>
    <w:rsid w:val="00795BFB"/>
    <w:rsid w:val="00796C22"/>
    <w:rsid w:val="00797134"/>
    <w:rsid w:val="00797574"/>
    <w:rsid w:val="00797F7E"/>
    <w:rsid w:val="007A02B4"/>
    <w:rsid w:val="007A065E"/>
    <w:rsid w:val="007A0792"/>
    <w:rsid w:val="007A0905"/>
    <w:rsid w:val="007A0FB1"/>
    <w:rsid w:val="007A2838"/>
    <w:rsid w:val="007A4D7B"/>
    <w:rsid w:val="007A4F3B"/>
    <w:rsid w:val="007A5C8E"/>
    <w:rsid w:val="007A61E3"/>
    <w:rsid w:val="007A64D1"/>
    <w:rsid w:val="007A6BDC"/>
    <w:rsid w:val="007B0FB8"/>
    <w:rsid w:val="007B1158"/>
    <w:rsid w:val="007B1E10"/>
    <w:rsid w:val="007B1F21"/>
    <w:rsid w:val="007B2055"/>
    <w:rsid w:val="007B2760"/>
    <w:rsid w:val="007B2EE0"/>
    <w:rsid w:val="007B30CA"/>
    <w:rsid w:val="007B351A"/>
    <w:rsid w:val="007B3D62"/>
    <w:rsid w:val="007B4F4C"/>
    <w:rsid w:val="007B5547"/>
    <w:rsid w:val="007B5DCC"/>
    <w:rsid w:val="007B5F0B"/>
    <w:rsid w:val="007C030B"/>
    <w:rsid w:val="007C06AB"/>
    <w:rsid w:val="007C0C41"/>
    <w:rsid w:val="007C0CC4"/>
    <w:rsid w:val="007C0CDC"/>
    <w:rsid w:val="007C29DF"/>
    <w:rsid w:val="007C371D"/>
    <w:rsid w:val="007C3C6F"/>
    <w:rsid w:val="007C40FC"/>
    <w:rsid w:val="007C4475"/>
    <w:rsid w:val="007C5DED"/>
    <w:rsid w:val="007C76B1"/>
    <w:rsid w:val="007C7BB3"/>
    <w:rsid w:val="007C7C2A"/>
    <w:rsid w:val="007D0649"/>
    <w:rsid w:val="007D0ED6"/>
    <w:rsid w:val="007D11CA"/>
    <w:rsid w:val="007D1B98"/>
    <w:rsid w:val="007D31BB"/>
    <w:rsid w:val="007D338B"/>
    <w:rsid w:val="007D35BF"/>
    <w:rsid w:val="007D38B8"/>
    <w:rsid w:val="007D3AD4"/>
    <w:rsid w:val="007D3B47"/>
    <w:rsid w:val="007D3CB1"/>
    <w:rsid w:val="007D4725"/>
    <w:rsid w:val="007D4E16"/>
    <w:rsid w:val="007D6B8C"/>
    <w:rsid w:val="007D7616"/>
    <w:rsid w:val="007D7EF4"/>
    <w:rsid w:val="007E0317"/>
    <w:rsid w:val="007E05B3"/>
    <w:rsid w:val="007E09B1"/>
    <w:rsid w:val="007E162B"/>
    <w:rsid w:val="007E4CCB"/>
    <w:rsid w:val="007E4DA8"/>
    <w:rsid w:val="007E6FBA"/>
    <w:rsid w:val="007F028C"/>
    <w:rsid w:val="007F0DA1"/>
    <w:rsid w:val="007F18AD"/>
    <w:rsid w:val="007F1C98"/>
    <w:rsid w:val="007F1FA3"/>
    <w:rsid w:val="007F29E8"/>
    <w:rsid w:val="007F2BF8"/>
    <w:rsid w:val="007F3000"/>
    <w:rsid w:val="007F3412"/>
    <w:rsid w:val="007F3832"/>
    <w:rsid w:val="007F3FAC"/>
    <w:rsid w:val="007F6594"/>
    <w:rsid w:val="007F79F6"/>
    <w:rsid w:val="007F7C90"/>
    <w:rsid w:val="00801561"/>
    <w:rsid w:val="00801D50"/>
    <w:rsid w:val="00802017"/>
    <w:rsid w:val="008020D8"/>
    <w:rsid w:val="00802FC5"/>
    <w:rsid w:val="00803ADC"/>
    <w:rsid w:val="00804228"/>
    <w:rsid w:val="00804717"/>
    <w:rsid w:val="00804CC2"/>
    <w:rsid w:val="00804F34"/>
    <w:rsid w:val="008060F0"/>
    <w:rsid w:val="008061C1"/>
    <w:rsid w:val="008063A6"/>
    <w:rsid w:val="00806C01"/>
    <w:rsid w:val="0081065E"/>
    <w:rsid w:val="00810EFE"/>
    <w:rsid w:val="00812285"/>
    <w:rsid w:val="00812292"/>
    <w:rsid w:val="008136FF"/>
    <w:rsid w:val="00813845"/>
    <w:rsid w:val="00813F74"/>
    <w:rsid w:val="00814139"/>
    <w:rsid w:val="00814599"/>
    <w:rsid w:val="008146B2"/>
    <w:rsid w:val="008148CC"/>
    <w:rsid w:val="008148DE"/>
    <w:rsid w:val="00814EC0"/>
    <w:rsid w:val="00814F4F"/>
    <w:rsid w:val="0081647B"/>
    <w:rsid w:val="00817261"/>
    <w:rsid w:val="008211A4"/>
    <w:rsid w:val="00822F54"/>
    <w:rsid w:val="008232A6"/>
    <w:rsid w:val="00824561"/>
    <w:rsid w:val="008249FD"/>
    <w:rsid w:val="00826484"/>
    <w:rsid w:val="00830243"/>
    <w:rsid w:val="00830AB1"/>
    <w:rsid w:val="00830CFE"/>
    <w:rsid w:val="00831963"/>
    <w:rsid w:val="00831EE7"/>
    <w:rsid w:val="00833315"/>
    <w:rsid w:val="008335AA"/>
    <w:rsid w:val="00833F41"/>
    <w:rsid w:val="008343B9"/>
    <w:rsid w:val="0083511D"/>
    <w:rsid w:val="00835A42"/>
    <w:rsid w:val="00836E6B"/>
    <w:rsid w:val="008372A8"/>
    <w:rsid w:val="008379FB"/>
    <w:rsid w:val="008405E9"/>
    <w:rsid w:val="00840A0D"/>
    <w:rsid w:val="0084131A"/>
    <w:rsid w:val="00841AAE"/>
    <w:rsid w:val="00843A07"/>
    <w:rsid w:val="008445AA"/>
    <w:rsid w:val="00844EF1"/>
    <w:rsid w:val="008451A8"/>
    <w:rsid w:val="00846B55"/>
    <w:rsid w:val="00846DC9"/>
    <w:rsid w:val="00847430"/>
    <w:rsid w:val="00847A2B"/>
    <w:rsid w:val="008500D3"/>
    <w:rsid w:val="008501B9"/>
    <w:rsid w:val="00850BB7"/>
    <w:rsid w:val="00850CEA"/>
    <w:rsid w:val="00851C61"/>
    <w:rsid w:val="00852B5F"/>
    <w:rsid w:val="008531B3"/>
    <w:rsid w:val="00855117"/>
    <w:rsid w:val="0085561F"/>
    <w:rsid w:val="00855C2F"/>
    <w:rsid w:val="00856F11"/>
    <w:rsid w:val="00857486"/>
    <w:rsid w:val="00857E6D"/>
    <w:rsid w:val="00860942"/>
    <w:rsid w:val="008613AB"/>
    <w:rsid w:val="0086197D"/>
    <w:rsid w:val="0086222D"/>
    <w:rsid w:val="00862399"/>
    <w:rsid w:val="00862A20"/>
    <w:rsid w:val="00863512"/>
    <w:rsid w:val="00863683"/>
    <w:rsid w:val="00864758"/>
    <w:rsid w:val="008649FE"/>
    <w:rsid w:val="00864B3F"/>
    <w:rsid w:val="00865F1C"/>
    <w:rsid w:val="008662F3"/>
    <w:rsid w:val="008667F5"/>
    <w:rsid w:val="00866A6F"/>
    <w:rsid w:val="00866FF7"/>
    <w:rsid w:val="00867639"/>
    <w:rsid w:val="0086770C"/>
    <w:rsid w:val="00867EF2"/>
    <w:rsid w:val="00870072"/>
    <w:rsid w:val="008726EB"/>
    <w:rsid w:val="00873150"/>
    <w:rsid w:val="0087355E"/>
    <w:rsid w:val="0087392B"/>
    <w:rsid w:val="00873B74"/>
    <w:rsid w:val="00874130"/>
    <w:rsid w:val="0087462B"/>
    <w:rsid w:val="00874E8F"/>
    <w:rsid w:val="00875FC1"/>
    <w:rsid w:val="0087657D"/>
    <w:rsid w:val="00877600"/>
    <w:rsid w:val="00877865"/>
    <w:rsid w:val="00877FF4"/>
    <w:rsid w:val="00880782"/>
    <w:rsid w:val="008807D5"/>
    <w:rsid w:val="00880832"/>
    <w:rsid w:val="00880D4A"/>
    <w:rsid w:val="00881048"/>
    <w:rsid w:val="00881E32"/>
    <w:rsid w:val="00883004"/>
    <w:rsid w:val="00883345"/>
    <w:rsid w:val="00884337"/>
    <w:rsid w:val="00885424"/>
    <w:rsid w:val="00885608"/>
    <w:rsid w:val="008857D8"/>
    <w:rsid w:val="008861B2"/>
    <w:rsid w:val="00886B63"/>
    <w:rsid w:val="00886EE1"/>
    <w:rsid w:val="0088727D"/>
    <w:rsid w:val="00887772"/>
    <w:rsid w:val="008877B4"/>
    <w:rsid w:val="00887807"/>
    <w:rsid w:val="0089033A"/>
    <w:rsid w:val="00890585"/>
    <w:rsid w:val="00890E75"/>
    <w:rsid w:val="00893459"/>
    <w:rsid w:val="00893BD0"/>
    <w:rsid w:val="008956FC"/>
    <w:rsid w:val="00895BA5"/>
    <w:rsid w:val="008963F9"/>
    <w:rsid w:val="00896422"/>
    <w:rsid w:val="00896474"/>
    <w:rsid w:val="00897060"/>
    <w:rsid w:val="008973B9"/>
    <w:rsid w:val="00897487"/>
    <w:rsid w:val="008976A4"/>
    <w:rsid w:val="00897954"/>
    <w:rsid w:val="00897BEB"/>
    <w:rsid w:val="00897C72"/>
    <w:rsid w:val="00897C75"/>
    <w:rsid w:val="008A0D29"/>
    <w:rsid w:val="008A1005"/>
    <w:rsid w:val="008A28AC"/>
    <w:rsid w:val="008A3132"/>
    <w:rsid w:val="008A3E72"/>
    <w:rsid w:val="008A3F7C"/>
    <w:rsid w:val="008A7BFF"/>
    <w:rsid w:val="008B02BD"/>
    <w:rsid w:val="008B1501"/>
    <w:rsid w:val="008B1585"/>
    <w:rsid w:val="008B2476"/>
    <w:rsid w:val="008B397A"/>
    <w:rsid w:val="008B3B11"/>
    <w:rsid w:val="008B3C5B"/>
    <w:rsid w:val="008B4932"/>
    <w:rsid w:val="008B4FC6"/>
    <w:rsid w:val="008B6720"/>
    <w:rsid w:val="008B7C64"/>
    <w:rsid w:val="008B7E03"/>
    <w:rsid w:val="008C05E3"/>
    <w:rsid w:val="008C0EA4"/>
    <w:rsid w:val="008C1130"/>
    <w:rsid w:val="008C1862"/>
    <w:rsid w:val="008C417A"/>
    <w:rsid w:val="008C5F73"/>
    <w:rsid w:val="008C6287"/>
    <w:rsid w:val="008C763E"/>
    <w:rsid w:val="008C7CB3"/>
    <w:rsid w:val="008D0DDB"/>
    <w:rsid w:val="008D18E6"/>
    <w:rsid w:val="008D1A98"/>
    <w:rsid w:val="008D1B8F"/>
    <w:rsid w:val="008D21F8"/>
    <w:rsid w:val="008D237F"/>
    <w:rsid w:val="008D2AEA"/>
    <w:rsid w:val="008D2DB1"/>
    <w:rsid w:val="008D4A8F"/>
    <w:rsid w:val="008D4E04"/>
    <w:rsid w:val="008D502F"/>
    <w:rsid w:val="008D5D90"/>
    <w:rsid w:val="008D6FAD"/>
    <w:rsid w:val="008D73BE"/>
    <w:rsid w:val="008D7A9B"/>
    <w:rsid w:val="008D7B84"/>
    <w:rsid w:val="008E0060"/>
    <w:rsid w:val="008E39AB"/>
    <w:rsid w:val="008E4C0B"/>
    <w:rsid w:val="008E51DE"/>
    <w:rsid w:val="008E552F"/>
    <w:rsid w:val="008E6128"/>
    <w:rsid w:val="008E6771"/>
    <w:rsid w:val="008E7048"/>
    <w:rsid w:val="008E7508"/>
    <w:rsid w:val="008E76AC"/>
    <w:rsid w:val="008F115A"/>
    <w:rsid w:val="008F21F6"/>
    <w:rsid w:val="008F451B"/>
    <w:rsid w:val="008F5460"/>
    <w:rsid w:val="008F5F10"/>
    <w:rsid w:val="008F63FA"/>
    <w:rsid w:val="008F6745"/>
    <w:rsid w:val="008F7737"/>
    <w:rsid w:val="008F78DA"/>
    <w:rsid w:val="009001E3"/>
    <w:rsid w:val="00900D5F"/>
    <w:rsid w:val="00900EAA"/>
    <w:rsid w:val="0090103A"/>
    <w:rsid w:val="0090109C"/>
    <w:rsid w:val="009014FC"/>
    <w:rsid w:val="00901D9F"/>
    <w:rsid w:val="00902049"/>
    <w:rsid w:val="00902207"/>
    <w:rsid w:val="00902D68"/>
    <w:rsid w:val="009037C8"/>
    <w:rsid w:val="00903E1B"/>
    <w:rsid w:val="00904816"/>
    <w:rsid w:val="00905B3D"/>
    <w:rsid w:val="00907609"/>
    <w:rsid w:val="0090799C"/>
    <w:rsid w:val="00910B87"/>
    <w:rsid w:val="00911ADC"/>
    <w:rsid w:val="0091215F"/>
    <w:rsid w:val="009121A8"/>
    <w:rsid w:val="00912322"/>
    <w:rsid w:val="00912B73"/>
    <w:rsid w:val="00913183"/>
    <w:rsid w:val="009138A6"/>
    <w:rsid w:val="009143EC"/>
    <w:rsid w:val="009144D6"/>
    <w:rsid w:val="00914DA4"/>
    <w:rsid w:val="009153AF"/>
    <w:rsid w:val="009156AD"/>
    <w:rsid w:val="0091686E"/>
    <w:rsid w:val="0091700C"/>
    <w:rsid w:val="00917A96"/>
    <w:rsid w:val="00917DE3"/>
    <w:rsid w:val="009203C2"/>
    <w:rsid w:val="00922191"/>
    <w:rsid w:val="009226CF"/>
    <w:rsid w:val="00922766"/>
    <w:rsid w:val="00925934"/>
    <w:rsid w:val="00926080"/>
    <w:rsid w:val="00926DF3"/>
    <w:rsid w:val="009307D1"/>
    <w:rsid w:val="00930EAF"/>
    <w:rsid w:val="009319DF"/>
    <w:rsid w:val="00931B63"/>
    <w:rsid w:val="00933794"/>
    <w:rsid w:val="00933A01"/>
    <w:rsid w:val="00934449"/>
    <w:rsid w:val="00934A2D"/>
    <w:rsid w:val="00934B45"/>
    <w:rsid w:val="00934DA5"/>
    <w:rsid w:val="009351F5"/>
    <w:rsid w:val="00935409"/>
    <w:rsid w:val="0093590C"/>
    <w:rsid w:val="009367C8"/>
    <w:rsid w:val="00937767"/>
    <w:rsid w:val="009377D3"/>
    <w:rsid w:val="009412DB"/>
    <w:rsid w:val="00941D72"/>
    <w:rsid w:val="009435E7"/>
    <w:rsid w:val="009436E0"/>
    <w:rsid w:val="00943B49"/>
    <w:rsid w:val="00944BA5"/>
    <w:rsid w:val="009457A0"/>
    <w:rsid w:val="009468AE"/>
    <w:rsid w:val="00950454"/>
    <w:rsid w:val="009505CD"/>
    <w:rsid w:val="009508E1"/>
    <w:rsid w:val="00951F79"/>
    <w:rsid w:val="00952E63"/>
    <w:rsid w:val="00955040"/>
    <w:rsid w:val="00955A03"/>
    <w:rsid w:val="009604DA"/>
    <w:rsid w:val="00960763"/>
    <w:rsid w:val="00960E74"/>
    <w:rsid w:val="00960E98"/>
    <w:rsid w:val="00960EE4"/>
    <w:rsid w:val="0096187E"/>
    <w:rsid w:val="00961980"/>
    <w:rsid w:val="0096223E"/>
    <w:rsid w:val="009623CE"/>
    <w:rsid w:val="009624DC"/>
    <w:rsid w:val="00962554"/>
    <w:rsid w:val="00962AB6"/>
    <w:rsid w:val="00962F72"/>
    <w:rsid w:val="009638D0"/>
    <w:rsid w:val="0096487A"/>
    <w:rsid w:val="0096490B"/>
    <w:rsid w:val="0096542D"/>
    <w:rsid w:val="009666A0"/>
    <w:rsid w:val="00966D58"/>
    <w:rsid w:val="009701B5"/>
    <w:rsid w:val="00971840"/>
    <w:rsid w:val="00971C5C"/>
    <w:rsid w:val="0097297E"/>
    <w:rsid w:val="00973413"/>
    <w:rsid w:val="00973865"/>
    <w:rsid w:val="00973F3D"/>
    <w:rsid w:val="00973FEF"/>
    <w:rsid w:val="00974259"/>
    <w:rsid w:val="009747A6"/>
    <w:rsid w:val="00974AB5"/>
    <w:rsid w:val="009755F5"/>
    <w:rsid w:val="00975AC2"/>
    <w:rsid w:val="009762C4"/>
    <w:rsid w:val="00977B6A"/>
    <w:rsid w:val="00977F7B"/>
    <w:rsid w:val="00981197"/>
    <w:rsid w:val="009821BF"/>
    <w:rsid w:val="00983BEB"/>
    <w:rsid w:val="0098450A"/>
    <w:rsid w:val="00984F02"/>
    <w:rsid w:val="00985360"/>
    <w:rsid w:val="00985D72"/>
    <w:rsid w:val="009866A9"/>
    <w:rsid w:val="00986957"/>
    <w:rsid w:val="00986CC5"/>
    <w:rsid w:val="0098706D"/>
    <w:rsid w:val="0098797F"/>
    <w:rsid w:val="00987D53"/>
    <w:rsid w:val="00987E57"/>
    <w:rsid w:val="009909DB"/>
    <w:rsid w:val="00991290"/>
    <w:rsid w:val="009919FD"/>
    <w:rsid w:val="00991A96"/>
    <w:rsid w:val="00991BB4"/>
    <w:rsid w:val="00991FE7"/>
    <w:rsid w:val="009922C1"/>
    <w:rsid w:val="00992DC8"/>
    <w:rsid w:val="009935FB"/>
    <w:rsid w:val="00993C0E"/>
    <w:rsid w:val="00996E2F"/>
    <w:rsid w:val="00996F79"/>
    <w:rsid w:val="00997023"/>
    <w:rsid w:val="009A0310"/>
    <w:rsid w:val="009A0957"/>
    <w:rsid w:val="009A2F2A"/>
    <w:rsid w:val="009A3906"/>
    <w:rsid w:val="009A454E"/>
    <w:rsid w:val="009A4647"/>
    <w:rsid w:val="009A5E17"/>
    <w:rsid w:val="009A6215"/>
    <w:rsid w:val="009A7AEC"/>
    <w:rsid w:val="009A7CF3"/>
    <w:rsid w:val="009B080F"/>
    <w:rsid w:val="009B0FE8"/>
    <w:rsid w:val="009B3804"/>
    <w:rsid w:val="009B4E9F"/>
    <w:rsid w:val="009B5058"/>
    <w:rsid w:val="009B51B5"/>
    <w:rsid w:val="009B5853"/>
    <w:rsid w:val="009B632D"/>
    <w:rsid w:val="009B6946"/>
    <w:rsid w:val="009B6AA7"/>
    <w:rsid w:val="009B7EDA"/>
    <w:rsid w:val="009C16B7"/>
    <w:rsid w:val="009C188E"/>
    <w:rsid w:val="009C1D95"/>
    <w:rsid w:val="009C1FA5"/>
    <w:rsid w:val="009C2651"/>
    <w:rsid w:val="009C56D4"/>
    <w:rsid w:val="009D2772"/>
    <w:rsid w:val="009D2860"/>
    <w:rsid w:val="009D34B3"/>
    <w:rsid w:val="009D3577"/>
    <w:rsid w:val="009D4422"/>
    <w:rsid w:val="009D5391"/>
    <w:rsid w:val="009D59DB"/>
    <w:rsid w:val="009D6227"/>
    <w:rsid w:val="009E015A"/>
    <w:rsid w:val="009E0223"/>
    <w:rsid w:val="009E0513"/>
    <w:rsid w:val="009E07DA"/>
    <w:rsid w:val="009E0824"/>
    <w:rsid w:val="009E0EB1"/>
    <w:rsid w:val="009E0F15"/>
    <w:rsid w:val="009E1962"/>
    <w:rsid w:val="009E1B02"/>
    <w:rsid w:val="009E1B58"/>
    <w:rsid w:val="009E28AE"/>
    <w:rsid w:val="009E3E0F"/>
    <w:rsid w:val="009E4A0D"/>
    <w:rsid w:val="009E5C86"/>
    <w:rsid w:val="009E5DEF"/>
    <w:rsid w:val="009E61EF"/>
    <w:rsid w:val="009E6369"/>
    <w:rsid w:val="009E6A49"/>
    <w:rsid w:val="009E7508"/>
    <w:rsid w:val="009E7626"/>
    <w:rsid w:val="009F0F6D"/>
    <w:rsid w:val="009F197E"/>
    <w:rsid w:val="009F1A5A"/>
    <w:rsid w:val="009F1AF5"/>
    <w:rsid w:val="009F202E"/>
    <w:rsid w:val="009F2A11"/>
    <w:rsid w:val="009F3471"/>
    <w:rsid w:val="009F38EA"/>
    <w:rsid w:val="009F3CE3"/>
    <w:rsid w:val="009F4473"/>
    <w:rsid w:val="009F49C1"/>
    <w:rsid w:val="009F4A54"/>
    <w:rsid w:val="009F4BEC"/>
    <w:rsid w:val="009F4CCA"/>
    <w:rsid w:val="009F5874"/>
    <w:rsid w:val="009F61BF"/>
    <w:rsid w:val="009F680E"/>
    <w:rsid w:val="009F6DE5"/>
    <w:rsid w:val="009F7D26"/>
    <w:rsid w:val="00A008F1"/>
    <w:rsid w:val="00A00E69"/>
    <w:rsid w:val="00A0168A"/>
    <w:rsid w:val="00A01B5E"/>
    <w:rsid w:val="00A026F1"/>
    <w:rsid w:val="00A03857"/>
    <w:rsid w:val="00A06085"/>
    <w:rsid w:val="00A062F3"/>
    <w:rsid w:val="00A07E25"/>
    <w:rsid w:val="00A116A8"/>
    <w:rsid w:val="00A11A1C"/>
    <w:rsid w:val="00A124FF"/>
    <w:rsid w:val="00A1252F"/>
    <w:rsid w:val="00A13921"/>
    <w:rsid w:val="00A1405F"/>
    <w:rsid w:val="00A14458"/>
    <w:rsid w:val="00A14E3D"/>
    <w:rsid w:val="00A157E7"/>
    <w:rsid w:val="00A15928"/>
    <w:rsid w:val="00A17096"/>
    <w:rsid w:val="00A204B4"/>
    <w:rsid w:val="00A22A5A"/>
    <w:rsid w:val="00A245F0"/>
    <w:rsid w:val="00A24B96"/>
    <w:rsid w:val="00A24CF7"/>
    <w:rsid w:val="00A25377"/>
    <w:rsid w:val="00A259EA"/>
    <w:rsid w:val="00A25FD7"/>
    <w:rsid w:val="00A264BD"/>
    <w:rsid w:val="00A269B4"/>
    <w:rsid w:val="00A27146"/>
    <w:rsid w:val="00A27237"/>
    <w:rsid w:val="00A304C5"/>
    <w:rsid w:val="00A3076C"/>
    <w:rsid w:val="00A317FF"/>
    <w:rsid w:val="00A31A6C"/>
    <w:rsid w:val="00A33915"/>
    <w:rsid w:val="00A350C4"/>
    <w:rsid w:val="00A353D9"/>
    <w:rsid w:val="00A35B40"/>
    <w:rsid w:val="00A35C9D"/>
    <w:rsid w:val="00A41C62"/>
    <w:rsid w:val="00A43AFF"/>
    <w:rsid w:val="00A43B2B"/>
    <w:rsid w:val="00A4422F"/>
    <w:rsid w:val="00A442D4"/>
    <w:rsid w:val="00A443D6"/>
    <w:rsid w:val="00A4493F"/>
    <w:rsid w:val="00A455CA"/>
    <w:rsid w:val="00A456E4"/>
    <w:rsid w:val="00A45826"/>
    <w:rsid w:val="00A46599"/>
    <w:rsid w:val="00A46DAA"/>
    <w:rsid w:val="00A474C7"/>
    <w:rsid w:val="00A478C1"/>
    <w:rsid w:val="00A50610"/>
    <w:rsid w:val="00A5086C"/>
    <w:rsid w:val="00A51256"/>
    <w:rsid w:val="00A51769"/>
    <w:rsid w:val="00A51F9D"/>
    <w:rsid w:val="00A524D7"/>
    <w:rsid w:val="00A53A32"/>
    <w:rsid w:val="00A53D1E"/>
    <w:rsid w:val="00A54153"/>
    <w:rsid w:val="00A54451"/>
    <w:rsid w:val="00A5478F"/>
    <w:rsid w:val="00A54D5B"/>
    <w:rsid w:val="00A5545E"/>
    <w:rsid w:val="00A55725"/>
    <w:rsid w:val="00A55A4A"/>
    <w:rsid w:val="00A5613A"/>
    <w:rsid w:val="00A57FB8"/>
    <w:rsid w:val="00A60666"/>
    <w:rsid w:val="00A61782"/>
    <w:rsid w:val="00A61E59"/>
    <w:rsid w:val="00A62427"/>
    <w:rsid w:val="00A62519"/>
    <w:rsid w:val="00A63208"/>
    <w:rsid w:val="00A6407B"/>
    <w:rsid w:val="00A65A41"/>
    <w:rsid w:val="00A666BE"/>
    <w:rsid w:val="00A670C9"/>
    <w:rsid w:val="00A67419"/>
    <w:rsid w:val="00A70FF9"/>
    <w:rsid w:val="00A72370"/>
    <w:rsid w:val="00A72705"/>
    <w:rsid w:val="00A73D00"/>
    <w:rsid w:val="00A75A61"/>
    <w:rsid w:val="00A7633D"/>
    <w:rsid w:val="00A76598"/>
    <w:rsid w:val="00A76E84"/>
    <w:rsid w:val="00A7793A"/>
    <w:rsid w:val="00A779CF"/>
    <w:rsid w:val="00A77C04"/>
    <w:rsid w:val="00A80408"/>
    <w:rsid w:val="00A812EF"/>
    <w:rsid w:val="00A8151D"/>
    <w:rsid w:val="00A81EA7"/>
    <w:rsid w:val="00A8453F"/>
    <w:rsid w:val="00A85605"/>
    <w:rsid w:val="00A866AE"/>
    <w:rsid w:val="00A8698A"/>
    <w:rsid w:val="00A87322"/>
    <w:rsid w:val="00A8753E"/>
    <w:rsid w:val="00A875E1"/>
    <w:rsid w:val="00A87D07"/>
    <w:rsid w:val="00A87E1C"/>
    <w:rsid w:val="00A90443"/>
    <w:rsid w:val="00A907EA"/>
    <w:rsid w:val="00A91C61"/>
    <w:rsid w:val="00A935D5"/>
    <w:rsid w:val="00A93873"/>
    <w:rsid w:val="00A93E93"/>
    <w:rsid w:val="00A94001"/>
    <w:rsid w:val="00A94013"/>
    <w:rsid w:val="00A94172"/>
    <w:rsid w:val="00A954D7"/>
    <w:rsid w:val="00A95D85"/>
    <w:rsid w:val="00AA0857"/>
    <w:rsid w:val="00AA1BA4"/>
    <w:rsid w:val="00AA26D9"/>
    <w:rsid w:val="00AA316D"/>
    <w:rsid w:val="00AA3388"/>
    <w:rsid w:val="00AA33CE"/>
    <w:rsid w:val="00AA3DD8"/>
    <w:rsid w:val="00AA40FC"/>
    <w:rsid w:val="00AA4388"/>
    <w:rsid w:val="00AA4B34"/>
    <w:rsid w:val="00AA4CC7"/>
    <w:rsid w:val="00AA5E8E"/>
    <w:rsid w:val="00AB0039"/>
    <w:rsid w:val="00AB0506"/>
    <w:rsid w:val="00AB0601"/>
    <w:rsid w:val="00AB189A"/>
    <w:rsid w:val="00AB2287"/>
    <w:rsid w:val="00AB23BA"/>
    <w:rsid w:val="00AB2F63"/>
    <w:rsid w:val="00AB3538"/>
    <w:rsid w:val="00AB3B2B"/>
    <w:rsid w:val="00AB3CF3"/>
    <w:rsid w:val="00AB4315"/>
    <w:rsid w:val="00AB4841"/>
    <w:rsid w:val="00AB5128"/>
    <w:rsid w:val="00AB5970"/>
    <w:rsid w:val="00AB6CA7"/>
    <w:rsid w:val="00AB7D86"/>
    <w:rsid w:val="00AC0469"/>
    <w:rsid w:val="00AC09D5"/>
    <w:rsid w:val="00AC13AE"/>
    <w:rsid w:val="00AC13CC"/>
    <w:rsid w:val="00AC2DEB"/>
    <w:rsid w:val="00AC3706"/>
    <w:rsid w:val="00AC50E7"/>
    <w:rsid w:val="00AC59B4"/>
    <w:rsid w:val="00AC71A7"/>
    <w:rsid w:val="00AD01E4"/>
    <w:rsid w:val="00AD0449"/>
    <w:rsid w:val="00AD0858"/>
    <w:rsid w:val="00AD0BAB"/>
    <w:rsid w:val="00AD1122"/>
    <w:rsid w:val="00AD1883"/>
    <w:rsid w:val="00AD2290"/>
    <w:rsid w:val="00AD2E14"/>
    <w:rsid w:val="00AD2FBD"/>
    <w:rsid w:val="00AD4236"/>
    <w:rsid w:val="00AD43BA"/>
    <w:rsid w:val="00AD4580"/>
    <w:rsid w:val="00AD4B0E"/>
    <w:rsid w:val="00AD4F8F"/>
    <w:rsid w:val="00AD5090"/>
    <w:rsid w:val="00AD5DD1"/>
    <w:rsid w:val="00AD669C"/>
    <w:rsid w:val="00AD7999"/>
    <w:rsid w:val="00AE01FF"/>
    <w:rsid w:val="00AE041A"/>
    <w:rsid w:val="00AE06D5"/>
    <w:rsid w:val="00AE0CC5"/>
    <w:rsid w:val="00AE0DF2"/>
    <w:rsid w:val="00AE179B"/>
    <w:rsid w:val="00AE1E16"/>
    <w:rsid w:val="00AE3E43"/>
    <w:rsid w:val="00AE3E5F"/>
    <w:rsid w:val="00AE4086"/>
    <w:rsid w:val="00AE443B"/>
    <w:rsid w:val="00AE523F"/>
    <w:rsid w:val="00AE52B2"/>
    <w:rsid w:val="00AE53F7"/>
    <w:rsid w:val="00AE7340"/>
    <w:rsid w:val="00AF0958"/>
    <w:rsid w:val="00AF0CF0"/>
    <w:rsid w:val="00AF1148"/>
    <w:rsid w:val="00AF1A13"/>
    <w:rsid w:val="00AF1BBD"/>
    <w:rsid w:val="00AF1CF4"/>
    <w:rsid w:val="00AF1E5E"/>
    <w:rsid w:val="00AF1E61"/>
    <w:rsid w:val="00AF230B"/>
    <w:rsid w:val="00AF23C5"/>
    <w:rsid w:val="00AF35EA"/>
    <w:rsid w:val="00AF6348"/>
    <w:rsid w:val="00AF70DB"/>
    <w:rsid w:val="00B00275"/>
    <w:rsid w:val="00B01231"/>
    <w:rsid w:val="00B01744"/>
    <w:rsid w:val="00B01E79"/>
    <w:rsid w:val="00B021D1"/>
    <w:rsid w:val="00B02FCE"/>
    <w:rsid w:val="00B037FD"/>
    <w:rsid w:val="00B05F3E"/>
    <w:rsid w:val="00B10207"/>
    <w:rsid w:val="00B103F1"/>
    <w:rsid w:val="00B10A2E"/>
    <w:rsid w:val="00B10BD1"/>
    <w:rsid w:val="00B11149"/>
    <w:rsid w:val="00B111D9"/>
    <w:rsid w:val="00B11E99"/>
    <w:rsid w:val="00B129BB"/>
    <w:rsid w:val="00B12F6B"/>
    <w:rsid w:val="00B141E7"/>
    <w:rsid w:val="00B14B85"/>
    <w:rsid w:val="00B15033"/>
    <w:rsid w:val="00B15D33"/>
    <w:rsid w:val="00B15DBE"/>
    <w:rsid w:val="00B1726F"/>
    <w:rsid w:val="00B17A85"/>
    <w:rsid w:val="00B200CA"/>
    <w:rsid w:val="00B21077"/>
    <w:rsid w:val="00B21804"/>
    <w:rsid w:val="00B220BC"/>
    <w:rsid w:val="00B2242D"/>
    <w:rsid w:val="00B22DFB"/>
    <w:rsid w:val="00B242CA"/>
    <w:rsid w:val="00B24738"/>
    <w:rsid w:val="00B26ABF"/>
    <w:rsid w:val="00B26D98"/>
    <w:rsid w:val="00B271AC"/>
    <w:rsid w:val="00B27A28"/>
    <w:rsid w:val="00B27DA4"/>
    <w:rsid w:val="00B30AFC"/>
    <w:rsid w:val="00B31437"/>
    <w:rsid w:val="00B31C15"/>
    <w:rsid w:val="00B31F3D"/>
    <w:rsid w:val="00B33BA8"/>
    <w:rsid w:val="00B34107"/>
    <w:rsid w:val="00B34ACB"/>
    <w:rsid w:val="00B350B3"/>
    <w:rsid w:val="00B351B4"/>
    <w:rsid w:val="00B359F8"/>
    <w:rsid w:val="00B35C7A"/>
    <w:rsid w:val="00B37BB6"/>
    <w:rsid w:val="00B409BB"/>
    <w:rsid w:val="00B42230"/>
    <w:rsid w:val="00B42CD6"/>
    <w:rsid w:val="00B42F44"/>
    <w:rsid w:val="00B43287"/>
    <w:rsid w:val="00B43A07"/>
    <w:rsid w:val="00B44200"/>
    <w:rsid w:val="00B44705"/>
    <w:rsid w:val="00B44BD1"/>
    <w:rsid w:val="00B4522E"/>
    <w:rsid w:val="00B4585A"/>
    <w:rsid w:val="00B45B5C"/>
    <w:rsid w:val="00B45F35"/>
    <w:rsid w:val="00B460C6"/>
    <w:rsid w:val="00B46BCA"/>
    <w:rsid w:val="00B472E9"/>
    <w:rsid w:val="00B476B7"/>
    <w:rsid w:val="00B478AA"/>
    <w:rsid w:val="00B500BF"/>
    <w:rsid w:val="00B5084C"/>
    <w:rsid w:val="00B50CA2"/>
    <w:rsid w:val="00B50D4C"/>
    <w:rsid w:val="00B51350"/>
    <w:rsid w:val="00B51BF4"/>
    <w:rsid w:val="00B5252B"/>
    <w:rsid w:val="00B53500"/>
    <w:rsid w:val="00B535E6"/>
    <w:rsid w:val="00B54232"/>
    <w:rsid w:val="00B5513F"/>
    <w:rsid w:val="00B56FD5"/>
    <w:rsid w:val="00B5766B"/>
    <w:rsid w:val="00B57894"/>
    <w:rsid w:val="00B57C5C"/>
    <w:rsid w:val="00B57D8C"/>
    <w:rsid w:val="00B601C5"/>
    <w:rsid w:val="00B604AE"/>
    <w:rsid w:val="00B6210B"/>
    <w:rsid w:val="00B62126"/>
    <w:rsid w:val="00B62EEA"/>
    <w:rsid w:val="00B637F4"/>
    <w:rsid w:val="00B64CB2"/>
    <w:rsid w:val="00B657AB"/>
    <w:rsid w:val="00B65EF9"/>
    <w:rsid w:val="00B6670F"/>
    <w:rsid w:val="00B66A2D"/>
    <w:rsid w:val="00B66C52"/>
    <w:rsid w:val="00B71349"/>
    <w:rsid w:val="00B71C0E"/>
    <w:rsid w:val="00B72198"/>
    <w:rsid w:val="00B723A4"/>
    <w:rsid w:val="00B7306B"/>
    <w:rsid w:val="00B736D5"/>
    <w:rsid w:val="00B73D39"/>
    <w:rsid w:val="00B7497E"/>
    <w:rsid w:val="00B75133"/>
    <w:rsid w:val="00B7537F"/>
    <w:rsid w:val="00B75F9F"/>
    <w:rsid w:val="00B76826"/>
    <w:rsid w:val="00B76E98"/>
    <w:rsid w:val="00B775CF"/>
    <w:rsid w:val="00B80217"/>
    <w:rsid w:val="00B81607"/>
    <w:rsid w:val="00B819CF"/>
    <w:rsid w:val="00B81C07"/>
    <w:rsid w:val="00B81F2C"/>
    <w:rsid w:val="00B8231E"/>
    <w:rsid w:val="00B82445"/>
    <w:rsid w:val="00B82AC3"/>
    <w:rsid w:val="00B83202"/>
    <w:rsid w:val="00B83912"/>
    <w:rsid w:val="00B83A54"/>
    <w:rsid w:val="00B84011"/>
    <w:rsid w:val="00B843B9"/>
    <w:rsid w:val="00B844E8"/>
    <w:rsid w:val="00B84C11"/>
    <w:rsid w:val="00B85C2B"/>
    <w:rsid w:val="00B867E8"/>
    <w:rsid w:val="00B87073"/>
    <w:rsid w:val="00B87806"/>
    <w:rsid w:val="00B87EC9"/>
    <w:rsid w:val="00B90FAB"/>
    <w:rsid w:val="00B91AD8"/>
    <w:rsid w:val="00B920E4"/>
    <w:rsid w:val="00B92286"/>
    <w:rsid w:val="00B94A2E"/>
    <w:rsid w:val="00B954EF"/>
    <w:rsid w:val="00B969E3"/>
    <w:rsid w:val="00B97FCE"/>
    <w:rsid w:val="00B97FD3"/>
    <w:rsid w:val="00BA073A"/>
    <w:rsid w:val="00BA1210"/>
    <w:rsid w:val="00BA26EB"/>
    <w:rsid w:val="00BA3FD9"/>
    <w:rsid w:val="00BA6B70"/>
    <w:rsid w:val="00BA6EE6"/>
    <w:rsid w:val="00BA7187"/>
    <w:rsid w:val="00BB10FD"/>
    <w:rsid w:val="00BB11BF"/>
    <w:rsid w:val="00BB1298"/>
    <w:rsid w:val="00BB1354"/>
    <w:rsid w:val="00BB289D"/>
    <w:rsid w:val="00BB41C5"/>
    <w:rsid w:val="00BB4A34"/>
    <w:rsid w:val="00BB599F"/>
    <w:rsid w:val="00BB6692"/>
    <w:rsid w:val="00BB713C"/>
    <w:rsid w:val="00BB78A8"/>
    <w:rsid w:val="00BB7D2A"/>
    <w:rsid w:val="00BC0A99"/>
    <w:rsid w:val="00BC133E"/>
    <w:rsid w:val="00BC2FBE"/>
    <w:rsid w:val="00BC38FD"/>
    <w:rsid w:val="00BC39E5"/>
    <w:rsid w:val="00BC46BF"/>
    <w:rsid w:val="00BC4BFB"/>
    <w:rsid w:val="00BC4C64"/>
    <w:rsid w:val="00BC4D77"/>
    <w:rsid w:val="00BC5B9B"/>
    <w:rsid w:val="00BC66C8"/>
    <w:rsid w:val="00BC688A"/>
    <w:rsid w:val="00BC70C4"/>
    <w:rsid w:val="00BC7AD8"/>
    <w:rsid w:val="00BD11C9"/>
    <w:rsid w:val="00BD1460"/>
    <w:rsid w:val="00BD18D9"/>
    <w:rsid w:val="00BD1A6D"/>
    <w:rsid w:val="00BD1D1B"/>
    <w:rsid w:val="00BD1EC6"/>
    <w:rsid w:val="00BD30B2"/>
    <w:rsid w:val="00BD45EC"/>
    <w:rsid w:val="00BD5AF9"/>
    <w:rsid w:val="00BD6AE6"/>
    <w:rsid w:val="00BE06C9"/>
    <w:rsid w:val="00BE23CB"/>
    <w:rsid w:val="00BE354B"/>
    <w:rsid w:val="00BE4B8B"/>
    <w:rsid w:val="00BE5497"/>
    <w:rsid w:val="00BE5B55"/>
    <w:rsid w:val="00BE5CD0"/>
    <w:rsid w:val="00BE602C"/>
    <w:rsid w:val="00BE61F6"/>
    <w:rsid w:val="00BE6EBF"/>
    <w:rsid w:val="00BE72E0"/>
    <w:rsid w:val="00BE7EF5"/>
    <w:rsid w:val="00BF0FDC"/>
    <w:rsid w:val="00BF1320"/>
    <w:rsid w:val="00BF347F"/>
    <w:rsid w:val="00BF3DAD"/>
    <w:rsid w:val="00BF5043"/>
    <w:rsid w:val="00BF5CAD"/>
    <w:rsid w:val="00BF6825"/>
    <w:rsid w:val="00C003E9"/>
    <w:rsid w:val="00C02EDE"/>
    <w:rsid w:val="00C034CB"/>
    <w:rsid w:val="00C038FB"/>
    <w:rsid w:val="00C04E1A"/>
    <w:rsid w:val="00C04F07"/>
    <w:rsid w:val="00C051A8"/>
    <w:rsid w:val="00C054BC"/>
    <w:rsid w:val="00C05D37"/>
    <w:rsid w:val="00C0647D"/>
    <w:rsid w:val="00C0660F"/>
    <w:rsid w:val="00C06751"/>
    <w:rsid w:val="00C0693D"/>
    <w:rsid w:val="00C06C97"/>
    <w:rsid w:val="00C07237"/>
    <w:rsid w:val="00C07D24"/>
    <w:rsid w:val="00C117D1"/>
    <w:rsid w:val="00C121E1"/>
    <w:rsid w:val="00C13DFD"/>
    <w:rsid w:val="00C141D4"/>
    <w:rsid w:val="00C1433A"/>
    <w:rsid w:val="00C14689"/>
    <w:rsid w:val="00C14777"/>
    <w:rsid w:val="00C14845"/>
    <w:rsid w:val="00C15B77"/>
    <w:rsid w:val="00C15CD6"/>
    <w:rsid w:val="00C17897"/>
    <w:rsid w:val="00C2056F"/>
    <w:rsid w:val="00C207F2"/>
    <w:rsid w:val="00C20967"/>
    <w:rsid w:val="00C21639"/>
    <w:rsid w:val="00C2457D"/>
    <w:rsid w:val="00C24B60"/>
    <w:rsid w:val="00C253B6"/>
    <w:rsid w:val="00C25420"/>
    <w:rsid w:val="00C25B9B"/>
    <w:rsid w:val="00C261B1"/>
    <w:rsid w:val="00C2691E"/>
    <w:rsid w:val="00C26E1E"/>
    <w:rsid w:val="00C27F26"/>
    <w:rsid w:val="00C3054D"/>
    <w:rsid w:val="00C307BC"/>
    <w:rsid w:val="00C30C05"/>
    <w:rsid w:val="00C30D70"/>
    <w:rsid w:val="00C30ECE"/>
    <w:rsid w:val="00C31050"/>
    <w:rsid w:val="00C31FFA"/>
    <w:rsid w:val="00C32833"/>
    <w:rsid w:val="00C32839"/>
    <w:rsid w:val="00C32C13"/>
    <w:rsid w:val="00C3310E"/>
    <w:rsid w:val="00C33251"/>
    <w:rsid w:val="00C33A87"/>
    <w:rsid w:val="00C33CD0"/>
    <w:rsid w:val="00C3488A"/>
    <w:rsid w:val="00C3587E"/>
    <w:rsid w:val="00C3649F"/>
    <w:rsid w:val="00C36AE6"/>
    <w:rsid w:val="00C36DC9"/>
    <w:rsid w:val="00C36FF9"/>
    <w:rsid w:val="00C409D5"/>
    <w:rsid w:val="00C41301"/>
    <w:rsid w:val="00C413BE"/>
    <w:rsid w:val="00C41BB7"/>
    <w:rsid w:val="00C42753"/>
    <w:rsid w:val="00C435C3"/>
    <w:rsid w:val="00C43620"/>
    <w:rsid w:val="00C447F8"/>
    <w:rsid w:val="00C45416"/>
    <w:rsid w:val="00C457AE"/>
    <w:rsid w:val="00C45B31"/>
    <w:rsid w:val="00C465AF"/>
    <w:rsid w:val="00C50319"/>
    <w:rsid w:val="00C51A9A"/>
    <w:rsid w:val="00C51BB4"/>
    <w:rsid w:val="00C51E97"/>
    <w:rsid w:val="00C520CE"/>
    <w:rsid w:val="00C5239D"/>
    <w:rsid w:val="00C526D8"/>
    <w:rsid w:val="00C53029"/>
    <w:rsid w:val="00C5371A"/>
    <w:rsid w:val="00C53772"/>
    <w:rsid w:val="00C54A43"/>
    <w:rsid w:val="00C57053"/>
    <w:rsid w:val="00C5737E"/>
    <w:rsid w:val="00C57FA4"/>
    <w:rsid w:val="00C61790"/>
    <w:rsid w:val="00C6234B"/>
    <w:rsid w:val="00C62424"/>
    <w:rsid w:val="00C63D49"/>
    <w:rsid w:val="00C63EAE"/>
    <w:rsid w:val="00C64C55"/>
    <w:rsid w:val="00C64DB7"/>
    <w:rsid w:val="00C660AB"/>
    <w:rsid w:val="00C671FD"/>
    <w:rsid w:val="00C67CA1"/>
    <w:rsid w:val="00C7081A"/>
    <w:rsid w:val="00C7087C"/>
    <w:rsid w:val="00C70E18"/>
    <w:rsid w:val="00C7126B"/>
    <w:rsid w:val="00C71A99"/>
    <w:rsid w:val="00C71FD6"/>
    <w:rsid w:val="00C721BE"/>
    <w:rsid w:val="00C735A1"/>
    <w:rsid w:val="00C736BA"/>
    <w:rsid w:val="00C737B4"/>
    <w:rsid w:val="00C73A34"/>
    <w:rsid w:val="00C74749"/>
    <w:rsid w:val="00C748A6"/>
    <w:rsid w:val="00C75388"/>
    <w:rsid w:val="00C7589E"/>
    <w:rsid w:val="00C75ADA"/>
    <w:rsid w:val="00C7629F"/>
    <w:rsid w:val="00C76609"/>
    <w:rsid w:val="00C76778"/>
    <w:rsid w:val="00C76B0E"/>
    <w:rsid w:val="00C77FFC"/>
    <w:rsid w:val="00C80518"/>
    <w:rsid w:val="00C80C99"/>
    <w:rsid w:val="00C81B59"/>
    <w:rsid w:val="00C82EE2"/>
    <w:rsid w:val="00C8331F"/>
    <w:rsid w:val="00C8350B"/>
    <w:rsid w:val="00C85095"/>
    <w:rsid w:val="00C8661B"/>
    <w:rsid w:val="00C873B5"/>
    <w:rsid w:val="00C9046A"/>
    <w:rsid w:val="00C90971"/>
    <w:rsid w:val="00C91D00"/>
    <w:rsid w:val="00C92283"/>
    <w:rsid w:val="00C92775"/>
    <w:rsid w:val="00C92824"/>
    <w:rsid w:val="00C9350E"/>
    <w:rsid w:val="00C946A2"/>
    <w:rsid w:val="00C94803"/>
    <w:rsid w:val="00C94EAC"/>
    <w:rsid w:val="00C96085"/>
    <w:rsid w:val="00C9681E"/>
    <w:rsid w:val="00C9701A"/>
    <w:rsid w:val="00C970F6"/>
    <w:rsid w:val="00C97167"/>
    <w:rsid w:val="00C972E8"/>
    <w:rsid w:val="00CA0148"/>
    <w:rsid w:val="00CA139A"/>
    <w:rsid w:val="00CA1D0F"/>
    <w:rsid w:val="00CA22EB"/>
    <w:rsid w:val="00CA2899"/>
    <w:rsid w:val="00CA29FD"/>
    <w:rsid w:val="00CA33FB"/>
    <w:rsid w:val="00CA3A3D"/>
    <w:rsid w:val="00CA437E"/>
    <w:rsid w:val="00CA4FCB"/>
    <w:rsid w:val="00CA6640"/>
    <w:rsid w:val="00CA6827"/>
    <w:rsid w:val="00CA75D9"/>
    <w:rsid w:val="00CA77FB"/>
    <w:rsid w:val="00CB00D1"/>
    <w:rsid w:val="00CB122E"/>
    <w:rsid w:val="00CB1DB6"/>
    <w:rsid w:val="00CB1F26"/>
    <w:rsid w:val="00CB2FF0"/>
    <w:rsid w:val="00CB368B"/>
    <w:rsid w:val="00CB379B"/>
    <w:rsid w:val="00CB3973"/>
    <w:rsid w:val="00CB3F4D"/>
    <w:rsid w:val="00CB4338"/>
    <w:rsid w:val="00CB4C82"/>
    <w:rsid w:val="00CB53E6"/>
    <w:rsid w:val="00CB5440"/>
    <w:rsid w:val="00CB5B40"/>
    <w:rsid w:val="00CB5DD0"/>
    <w:rsid w:val="00CB6364"/>
    <w:rsid w:val="00CB6742"/>
    <w:rsid w:val="00CB6B2B"/>
    <w:rsid w:val="00CC0F08"/>
    <w:rsid w:val="00CC1A16"/>
    <w:rsid w:val="00CC2588"/>
    <w:rsid w:val="00CC28D5"/>
    <w:rsid w:val="00CC35BA"/>
    <w:rsid w:val="00CC392C"/>
    <w:rsid w:val="00CC51D4"/>
    <w:rsid w:val="00CC65DA"/>
    <w:rsid w:val="00CC6C04"/>
    <w:rsid w:val="00CC6FA7"/>
    <w:rsid w:val="00CC782B"/>
    <w:rsid w:val="00CD0E00"/>
    <w:rsid w:val="00CD116A"/>
    <w:rsid w:val="00CD2C4B"/>
    <w:rsid w:val="00CD3568"/>
    <w:rsid w:val="00CD43F7"/>
    <w:rsid w:val="00CD49DA"/>
    <w:rsid w:val="00CD4C78"/>
    <w:rsid w:val="00CD5016"/>
    <w:rsid w:val="00CD63D6"/>
    <w:rsid w:val="00CD6780"/>
    <w:rsid w:val="00CD6CF1"/>
    <w:rsid w:val="00CD6F86"/>
    <w:rsid w:val="00CD74CE"/>
    <w:rsid w:val="00CD74E6"/>
    <w:rsid w:val="00CD7B28"/>
    <w:rsid w:val="00CE0799"/>
    <w:rsid w:val="00CE17C6"/>
    <w:rsid w:val="00CE3766"/>
    <w:rsid w:val="00CE3DF2"/>
    <w:rsid w:val="00CE5092"/>
    <w:rsid w:val="00CE53AA"/>
    <w:rsid w:val="00CE61F1"/>
    <w:rsid w:val="00CE6602"/>
    <w:rsid w:val="00CE6B2F"/>
    <w:rsid w:val="00CE6E4B"/>
    <w:rsid w:val="00CF073A"/>
    <w:rsid w:val="00CF21B9"/>
    <w:rsid w:val="00CF3130"/>
    <w:rsid w:val="00CF4048"/>
    <w:rsid w:val="00CF5751"/>
    <w:rsid w:val="00CF578F"/>
    <w:rsid w:val="00CF5D34"/>
    <w:rsid w:val="00CF5DF1"/>
    <w:rsid w:val="00CF5DFB"/>
    <w:rsid w:val="00CF6835"/>
    <w:rsid w:val="00CF6BF9"/>
    <w:rsid w:val="00CF7B08"/>
    <w:rsid w:val="00D00065"/>
    <w:rsid w:val="00D03800"/>
    <w:rsid w:val="00D03B07"/>
    <w:rsid w:val="00D04717"/>
    <w:rsid w:val="00D0501A"/>
    <w:rsid w:val="00D0603A"/>
    <w:rsid w:val="00D062C6"/>
    <w:rsid w:val="00D065D3"/>
    <w:rsid w:val="00D069F1"/>
    <w:rsid w:val="00D0702A"/>
    <w:rsid w:val="00D07083"/>
    <w:rsid w:val="00D073E1"/>
    <w:rsid w:val="00D07418"/>
    <w:rsid w:val="00D104FC"/>
    <w:rsid w:val="00D10701"/>
    <w:rsid w:val="00D10F9C"/>
    <w:rsid w:val="00D12CA9"/>
    <w:rsid w:val="00D12D1E"/>
    <w:rsid w:val="00D12E35"/>
    <w:rsid w:val="00D1452A"/>
    <w:rsid w:val="00D14C94"/>
    <w:rsid w:val="00D14EA6"/>
    <w:rsid w:val="00D14EB0"/>
    <w:rsid w:val="00D16B95"/>
    <w:rsid w:val="00D16FB6"/>
    <w:rsid w:val="00D17657"/>
    <w:rsid w:val="00D20885"/>
    <w:rsid w:val="00D20C4C"/>
    <w:rsid w:val="00D21074"/>
    <w:rsid w:val="00D214D4"/>
    <w:rsid w:val="00D2174E"/>
    <w:rsid w:val="00D22FD1"/>
    <w:rsid w:val="00D2399B"/>
    <w:rsid w:val="00D242F2"/>
    <w:rsid w:val="00D24994"/>
    <w:rsid w:val="00D258C4"/>
    <w:rsid w:val="00D25A1E"/>
    <w:rsid w:val="00D260F2"/>
    <w:rsid w:val="00D26799"/>
    <w:rsid w:val="00D268BC"/>
    <w:rsid w:val="00D277BF"/>
    <w:rsid w:val="00D27C98"/>
    <w:rsid w:val="00D27FAE"/>
    <w:rsid w:val="00D3157F"/>
    <w:rsid w:val="00D315E9"/>
    <w:rsid w:val="00D3199C"/>
    <w:rsid w:val="00D32881"/>
    <w:rsid w:val="00D32A0E"/>
    <w:rsid w:val="00D33085"/>
    <w:rsid w:val="00D342A6"/>
    <w:rsid w:val="00D3473F"/>
    <w:rsid w:val="00D35BB6"/>
    <w:rsid w:val="00D36264"/>
    <w:rsid w:val="00D369CD"/>
    <w:rsid w:val="00D36B99"/>
    <w:rsid w:val="00D409B3"/>
    <w:rsid w:val="00D42748"/>
    <w:rsid w:val="00D427CE"/>
    <w:rsid w:val="00D429C7"/>
    <w:rsid w:val="00D42E1B"/>
    <w:rsid w:val="00D430C7"/>
    <w:rsid w:val="00D431EE"/>
    <w:rsid w:val="00D438C1"/>
    <w:rsid w:val="00D43BE2"/>
    <w:rsid w:val="00D448A8"/>
    <w:rsid w:val="00D448C5"/>
    <w:rsid w:val="00D449A9"/>
    <w:rsid w:val="00D44A77"/>
    <w:rsid w:val="00D452E4"/>
    <w:rsid w:val="00D45C87"/>
    <w:rsid w:val="00D45CA6"/>
    <w:rsid w:val="00D45E51"/>
    <w:rsid w:val="00D46244"/>
    <w:rsid w:val="00D464BF"/>
    <w:rsid w:val="00D46D52"/>
    <w:rsid w:val="00D47440"/>
    <w:rsid w:val="00D47A78"/>
    <w:rsid w:val="00D50080"/>
    <w:rsid w:val="00D5103C"/>
    <w:rsid w:val="00D51494"/>
    <w:rsid w:val="00D52B87"/>
    <w:rsid w:val="00D53AD1"/>
    <w:rsid w:val="00D53E26"/>
    <w:rsid w:val="00D544B8"/>
    <w:rsid w:val="00D559D1"/>
    <w:rsid w:val="00D56092"/>
    <w:rsid w:val="00D565A5"/>
    <w:rsid w:val="00D56B13"/>
    <w:rsid w:val="00D56D7E"/>
    <w:rsid w:val="00D600DB"/>
    <w:rsid w:val="00D60773"/>
    <w:rsid w:val="00D612B4"/>
    <w:rsid w:val="00D6164E"/>
    <w:rsid w:val="00D617E0"/>
    <w:rsid w:val="00D61C8D"/>
    <w:rsid w:val="00D6216C"/>
    <w:rsid w:val="00D6242C"/>
    <w:rsid w:val="00D6269F"/>
    <w:rsid w:val="00D62BF7"/>
    <w:rsid w:val="00D63268"/>
    <w:rsid w:val="00D634B1"/>
    <w:rsid w:val="00D64595"/>
    <w:rsid w:val="00D64641"/>
    <w:rsid w:val="00D64F6E"/>
    <w:rsid w:val="00D652C9"/>
    <w:rsid w:val="00D65C80"/>
    <w:rsid w:val="00D65E39"/>
    <w:rsid w:val="00D66545"/>
    <w:rsid w:val="00D66A51"/>
    <w:rsid w:val="00D67669"/>
    <w:rsid w:val="00D70CA5"/>
    <w:rsid w:val="00D71140"/>
    <w:rsid w:val="00D71237"/>
    <w:rsid w:val="00D7219D"/>
    <w:rsid w:val="00D7276A"/>
    <w:rsid w:val="00D729E7"/>
    <w:rsid w:val="00D730E5"/>
    <w:rsid w:val="00D732DC"/>
    <w:rsid w:val="00D73EA9"/>
    <w:rsid w:val="00D7492C"/>
    <w:rsid w:val="00D761F1"/>
    <w:rsid w:val="00D76292"/>
    <w:rsid w:val="00D7664A"/>
    <w:rsid w:val="00D76D2C"/>
    <w:rsid w:val="00D80193"/>
    <w:rsid w:val="00D83292"/>
    <w:rsid w:val="00D83627"/>
    <w:rsid w:val="00D8367A"/>
    <w:rsid w:val="00D83B7A"/>
    <w:rsid w:val="00D854A9"/>
    <w:rsid w:val="00D86079"/>
    <w:rsid w:val="00D86882"/>
    <w:rsid w:val="00D8696C"/>
    <w:rsid w:val="00D8707B"/>
    <w:rsid w:val="00D875B0"/>
    <w:rsid w:val="00D87697"/>
    <w:rsid w:val="00D87F0B"/>
    <w:rsid w:val="00D9039F"/>
    <w:rsid w:val="00D91173"/>
    <w:rsid w:val="00D915F0"/>
    <w:rsid w:val="00D91624"/>
    <w:rsid w:val="00D92816"/>
    <w:rsid w:val="00D93180"/>
    <w:rsid w:val="00D931F0"/>
    <w:rsid w:val="00D93FCF"/>
    <w:rsid w:val="00D9423D"/>
    <w:rsid w:val="00D9459B"/>
    <w:rsid w:val="00D949ED"/>
    <w:rsid w:val="00D94C7A"/>
    <w:rsid w:val="00D9554E"/>
    <w:rsid w:val="00D957B5"/>
    <w:rsid w:val="00DA1B4B"/>
    <w:rsid w:val="00DA1F31"/>
    <w:rsid w:val="00DA31C2"/>
    <w:rsid w:val="00DA4094"/>
    <w:rsid w:val="00DA409E"/>
    <w:rsid w:val="00DA416F"/>
    <w:rsid w:val="00DA5306"/>
    <w:rsid w:val="00DA6E0C"/>
    <w:rsid w:val="00DA7D5A"/>
    <w:rsid w:val="00DB0A6B"/>
    <w:rsid w:val="00DB0DF4"/>
    <w:rsid w:val="00DB16A1"/>
    <w:rsid w:val="00DB18AF"/>
    <w:rsid w:val="00DB1970"/>
    <w:rsid w:val="00DB2542"/>
    <w:rsid w:val="00DB3DCF"/>
    <w:rsid w:val="00DB5570"/>
    <w:rsid w:val="00DB5D48"/>
    <w:rsid w:val="00DB6B2C"/>
    <w:rsid w:val="00DB72EE"/>
    <w:rsid w:val="00DB73B0"/>
    <w:rsid w:val="00DB799F"/>
    <w:rsid w:val="00DB7A23"/>
    <w:rsid w:val="00DC00A6"/>
    <w:rsid w:val="00DC0F9B"/>
    <w:rsid w:val="00DC1E86"/>
    <w:rsid w:val="00DC2ACF"/>
    <w:rsid w:val="00DC33C8"/>
    <w:rsid w:val="00DC3F2D"/>
    <w:rsid w:val="00DC4B74"/>
    <w:rsid w:val="00DC4F5B"/>
    <w:rsid w:val="00DC5609"/>
    <w:rsid w:val="00DC5658"/>
    <w:rsid w:val="00DC74CB"/>
    <w:rsid w:val="00DD00D7"/>
    <w:rsid w:val="00DD0107"/>
    <w:rsid w:val="00DD0533"/>
    <w:rsid w:val="00DD0DC2"/>
    <w:rsid w:val="00DD25E2"/>
    <w:rsid w:val="00DD3BF8"/>
    <w:rsid w:val="00DD4F0E"/>
    <w:rsid w:val="00DD5DCC"/>
    <w:rsid w:val="00DD7A93"/>
    <w:rsid w:val="00DE163E"/>
    <w:rsid w:val="00DE2686"/>
    <w:rsid w:val="00DE4A99"/>
    <w:rsid w:val="00DE51C9"/>
    <w:rsid w:val="00DE642E"/>
    <w:rsid w:val="00DE6F29"/>
    <w:rsid w:val="00DF00B0"/>
    <w:rsid w:val="00DF02D3"/>
    <w:rsid w:val="00DF0355"/>
    <w:rsid w:val="00DF0BF0"/>
    <w:rsid w:val="00DF1448"/>
    <w:rsid w:val="00DF1B8D"/>
    <w:rsid w:val="00DF1BDC"/>
    <w:rsid w:val="00DF2A63"/>
    <w:rsid w:val="00DF3CA2"/>
    <w:rsid w:val="00DF4FC4"/>
    <w:rsid w:val="00DF58C7"/>
    <w:rsid w:val="00DF5E52"/>
    <w:rsid w:val="00DF6BBB"/>
    <w:rsid w:val="00DF732C"/>
    <w:rsid w:val="00DF77A1"/>
    <w:rsid w:val="00DF7A8C"/>
    <w:rsid w:val="00E00347"/>
    <w:rsid w:val="00E0038E"/>
    <w:rsid w:val="00E01463"/>
    <w:rsid w:val="00E014EF"/>
    <w:rsid w:val="00E0151F"/>
    <w:rsid w:val="00E01A11"/>
    <w:rsid w:val="00E04B1B"/>
    <w:rsid w:val="00E05E0A"/>
    <w:rsid w:val="00E060BE"/>
    <w:rsid w:val="00E06B2B"/>
    <w:rsid w:val="00E11918"/>
    <w:rsid w:val="00E11DEA"/>
    <w:rsid w:val="00E11EF8"/>
    <w:rsid w:val="00E138E0"/>
    <w:rsid w:val="00E214E9"/>
    <w:rsid w:val="00E2165B"/>
    <w:rsid w:val="00E22208"/>
    <w:rsid w:val="00E22369"/>
    <w:rsid w:val="00E22A84"/>
    <w:rsid w:val="00E23AA3"/>
    <w:rsid w:val="00E23DF3"/>
    <w:rsid w:val="00E23F99"/>
    <w:rsid w:val="00E2438C"/>
    <w:rsid w:val="00E2463D"/>
    <w:rsid w:val="00E24AD5"/>
    <w:rsid w:val="00E25182"/>
    <w:rsid w:val="00E25700"/>
    <w:rsid w:val="00E25C5D"/>
    <w:rsid w:val="00E27B1D"/>
    <w:rsid w:val="00E3069D"/>
    <w:rsid w:val="00E30CAB"/>
    <w:rsid w:val="00E319B2"/>
    <w:rsid w:val="00E331D6"/>
    <w:rsid w:val="00E3389B"/>
    <w:rsid w:val="00E33954"/>
    <w:rsid w:val="00E34845"/>
    <w:rsid w:val="00E35446"/>
    <w:rsid w:val="00E360E4"/>
    <w:rsid w:val="00E36432"/>
    <w:rsid w:val="00E365E9"/>
    <w:rsid w:val="00E374DB"/>
    <w:rsid w:val="00E37F8B"/>
    <w:rsid w:val="00E401E6"/>
    <w:rsid w:val="00E4072F"/>
    <w:rsid w:val="00E415EE"/>
    <w:rsid w:val="00E417BB"/>
    <w:rsid w:val="00E41C3A"/>
    <w:rsid w:val="00E42043"/>
    <w:rsid w:val="00E42630"/>
    <w:rsid w:val="00E42B3E"/>
    <w:rsid w:val="00E4377E"/>
    <w:rsid w:val="00E43FA7"/>
    <w:rsid w:val="00E44129"/>
    <w:rsid w:val="00E44277"/>
    <w:rsid w:val="00E445CE"/>
    <w:rsid w:val="00E446B1"/>
    <w:rsid w:val="00E44FE8"/>
    <w:rsid w:val="00E4502B"/>
    <w:rsid w:val="00E45540"/>
    <w:rsid w:val="00E461C5"/>
    <w:rsid w:val="00E4644F"/>
    <w:rsid w:val="00E46CA8"/>
    <w:rsid w:val="00E4738B"/>
    <w:rsid w:val="00E474BC"/>
    <w:rsid w:val="00E47C6C"/>
    <w:rsid w:val="00E506C5"/>
    <w:rsid w:val="00E509B5"/>
    <w:rsid w:val="00E51129"/>
    <w:rsid w:val="00E51D3C"/>
    <w:rsid w:val="00E51FB3"/>
    <w:rsid w:val="00E52511"/>
    <w:rsid w:val="00E5267C"/>
    <w:rsid w:val="00E52CC6"/>
    <w:rsid w:val="00E532EE"/>
    <w:rsid w:val="00E534CF"/>
    <w:rsid w:val="00E53741"/>
    <w:rsid w:val="00E54CA2"/>
    <w:rsid w:val="00E56888"/>
    <w:rsid w:val="00E57830"/>
    <w:rsid w:val="00E57ACE"/>
    <w:rsid w:val="00E57BCC"/>
    <w:rsid w:val="00E57DC6"/>
    <w:rsid w:val="00E57F9F"/>
    <w:rsid w:val="00E6077B"/>
    <w:rsid w:val="00E6120D"/>
    <w:rsid w:val="00E617BC"/>
    <w:rsid w:val="00E62398"/>
    <w:rsid w:val="00E623B4"/>
    <w:rsid w:val="00E628FA"/>
    <w:rsid w:val="00E62DF3"/>
    <w:rsid w:val="00E64FD8"/>
    <w:rsid w:val="00E6649E"/>
    <w:rsid w:val="00E70321"/>
    <w:rsid w:val="00E70B97"/>
    <w:rsid w:val="00E71A17"/>
    <w:rsid w:val="00E72ADB"/>
    <w:rsid w:val="00E72C29"/>
    <w:rsid w:val="00E72FCD"/>
    <w:rsid w:val="00E737E2"/>
    <w:rsid w:val="00E73B10"/>
    <w:rsid w:val="00E744D6"/>
    <w:rsid w:val="00E7480B"/>
    <w:rsid w:val="00E74E76"/>
    <w:rsid w:val="00E75E3D"/>
    <w:rsid w:val="00E766A3"/>
    <w:rsid w:val="00E7685D"/>
    <w:rsid w:val="00E76C14"/>
    <w:rsid w:val="00E7713E"/>
    <w:rsid w:val="00E77C59"/>
    <w:rsid w:val="00E80F69"/>
    <w:rsid w:val="00E81CB4"/>
    <w:rsid w:val="00E82224"/>
    <w:rsid w:val="00E82D99"/>
    <w:rsid w:val="00E83EA8"/>
    <w:rsid w:val="00E8460C"/>
    <w:rsid w:val="00E84CE6"/>
    <w:rsid w:val="00E84D22"/>
    <w:rsid w:val="00E850C9"/>
    <w:rsid w:val="00E8585B"/>
    <w:rsid w:val="00E86B56"/>
    <w:rsid w:val="00E86C6D"/>
    <w:rsid w:val="00E876A7"/>
    <w:rsid w:val="00E87993"/>
    <w:rsid w:val="00E901F4"/>
    <w:rsid w:val="00E90410"/>
    <w:rsid w:val="00E91ADF"/>
    <w:rsid w:val="00E9309D"/>
    <w:rsid w:val="00E93A87"/>
    <w:rsid w:val="00E942CB"/>
    <w:rsid w:val="00E9538C"/>
    <w:rsid w:val="00E955FD"/>
    <w:rsid w:val="00EA0C2C"/>
    <w:rsid w:val="00EA0D88"/>
    <w:rsid w:val="00EA1E87"/>
    <w:rsid w:val="00EA335B"/>
    <w:rsid w:val="00EA3509"/>
    <w:rsid w:val="00EA3814"/>
    <w:rsid w:val="00EA3825"/>
    <w:rsid w:val="00EA3F15"/>
    <w:rsid w:val="00EA5341"/>
    <w:rsid w:val="00EA60AB"/>
    <w:rsid w:val="00EA6E9D"/>
    <w:rsid w:val="00EA6EAA"/>
    <w:rsid w:val="00EA723B"/>
    <w:rsid w:val="00EA7847"/>
    <w:rsid w:val="00EA7E36"/>
    <w:rsid w:val="00EB09A6"/>
    <w:rsid w:val="00EB1C37"/>
    <w:rsid w:val="00EB1CBB"/>
    <w:rsid w:val="00EB283F"/>
    <w:rsid w:val="00EB3858"/>
    <w:rsid w:val="00EB3BCF"/>
    <w:rsid w:val="00EB3DDE"/>
    <w:rsid w:val="00EB4C2F"/>
    <w:rsid w:val="00EB5E9F"/>
    <w:rsid w:val="00EB6FBB"/>
    <w:rsid w:val="00EB7257"/>
    <w:rsid w:val="00EB753E"/>
    <w:rsid w:val="00EB7A9D"/>
    <w:rsid w:val="00EC165F"/>
    <w:rsid w:val="00EC1D24"/>
    <w:rsid w:val="00EC1EB9"/>
    <w:rsid w:val="00EC20D9"/>
    <w:rsid w:val="00EC381E"/>
    <w:rsid w:val="00EC3BE8"/>
    <w:rsid w:val="00EC4128"/>
    <w:rsid w:val="00EC481F"/>
    <w:rsid w:val="00EC5A2C"/>
    <w:rsid w:val="00EC5D3C"/>
    <w:rsid w:val="00EC6986"/>
    <w:rsid w:val="00EC725C"/>
    <w:rsid w:val="00EC7EDC"/>
    <w:rsid w:val="00EC7EE0"/>
    <w:rsid w:val="00ED0673"/>
    <w:rsid w:val="00ED06D2"/>
    <w:rsid w:val="00ED0A90"/>
    <w:rsid w:val="00ED13CD"/>
    <w:rsid w:val="00ED1A04"/>
    <w:rsid w:val="00ED1C94"/>
    <w:rsid w:val="00ED247A"/>
    <w:rsid w:val="00ED4740"/>
    <w:rsid w:val="00ED58DE"/>
    <w:rsid w:val="00ED7A8E"/>
    <w:rsid w:val="00EE0CD0"/>
    <w:rsid w:val="00EE1885"/>
    <w:rsid w:val="00EE2A5E"/>
    <w:rsid w:val="00EE2E1C"/>
    <w:rsid w:val="00EE2E6E"/>
    <w:rsid w:val="00EE324C"/>
    <w:rsid w:val="00EE373F"/>
    <w:rsid w:val="00EE4697"/>
    <w:rsid w:val="00EE5534"/>
    <w:rsid w:val="00EE57D7"/>
    <w:rsid w:val="00EE6C0F"/>
    <w:rsid w:val="00EE6E1E"/>
    <w:rsid w:val="00EE7209"/>
    <w:rsid w:val="00EE7C46"/>
    <w:rsid w:val="00EF1E37"/>
    <w:rsid w:val="00EF2802"/>
    <w:rsid w:val="00EF3558"/>
    <w:rsid w:val="00EF40EF"/>
    <w:rsid w:val="00EF47B6"/>
    <w:rsid w:val="00EF49B7"/>
    <w:rsid w:val="00EF5899"/>
    <w:rsid w:val="00EF5ADC"/>
    <w:rsid w:val="00EF6250"/>
    <w:rsid w:val="00EF63A9"/>
    <w:rsid w:val="00EF6813"/>
    <w:rsid w:val="00EF69A5"/>
    <w:rsid w:val="00EF6AC7"/>
    <w:rsid w:val="00EF700D"/>
    <w:rsid w:val="00EF7236"/>
    <w:rsid w:val="00F00339"/>
    <w:rsid w:val="00F02FC9"/>
    <w:rsid w:val="00F03292"/>
    <w:rsid w:val="00F032E5"/>
    <w:rsid w:val="00F044C2"/>
    <w:rsid w:val="00F04EA6"/>
    <w:rsid w:val="00F0759E"/>
    <w:rsid w:val="00F10F3B"/>
    <w:rsid w:val="00F11219"/>
    <w:rsid w:val="00F11EFB"/>
    <w:rsid w:val="00F12593"/>
    <w:rsid w:val="00F125EF"/>
    <w:rsid w:val="00F129A6"/>
    <w:rsid w:val="00F13667"/>
    <w:rsid w:val="00F13CD6"/>
    <w:rsid w:val="00F14C46"/>
    <w:rsid w:val="00F15C41"/>
    <w:rsid w:val="00F16357"/>
    <w:rsid w:val="00F16A43"/>
    <w:rsid w:val="00F16BA9"/>
    <w:rsid w:val="00F1785B"/>
    <w:rsid w:val="00F17ECE"/>
    <w:rsid w:val="00F2003E"/>
    <w:rsid w:val="00F21D8F"/>
    <w:rsid w:val="00F22247"/>
    <w:rsid w:val="00F233A2"/>
    <w:rsid w:val="00F23A1F"/>
    <w:rsid w:val="00F25AE0"/>
    <w:rsid w:val="00F26BB3"/>
    <w:rsid w:val="00F274BE"/>
    <w:rsid w:val="00F2799E"/>
    <w:rsid w:val="00F27F10"/>
    <w:rsid w:val="00F309AB"/>
    <w:rsid w:val="00F340A2"/>
    <w:rsid w:val="00F344DD"/>
    <w:rsid w:val="00F3489E"/>
    <w:rsid w:val="00F350D0"/>
    <w:rsid w:val="00F3511A"/>
    <w:rsid w:val="00F35E4A"/>
    <w:rsid w:val="00F368AD"/>
    <w:rsid w:val="00F36985"/>
    <w:rsid w:val="00F37317"/>
    <w:rsid w:val="00F3793F"/>
    <w:rsid w:val="00F407A9"/>
    <w:rsid w:val="00F41791"/>
    <w:rsid w:val="00F41C65"/>
    <w:rsid w:val="00F424BF"/>
    <w:rsid w:val="00F4269D"/>
    <w:rsid w:val="00F42BC6"/>
    <w:rsid w:val="00F439EB"/>
    <w:rsid w:val="00F43A2E"/>
    <w:rsid w:val="00F44218"/>
    <w:rsid w:val="00F44798"/>
    <w:rsid w:val="00F45384"/>
    <w:rsid w:val="00F4576D"/>
    <w:rsid w:val="00F459B2"/>
    <w:rsid w:val="00F4668C"/>
    <w:rsid w:val="00F46780"/>
    <w:rsid w:val="00F47548"/>
    <w:rsid w:val="00F47706"/>
    <w:rsid w:val="00F47A79"/>
    <w:rsid w:val="00F47AB6"/>
    <w:rsid w:val="00F50488"/>
    <w:rsid w:val="00F512CB"/>
    <w:rsid w:val="00F514E2"/>
    <w:rsid w:val="00F5162D"/>
    <w:rsid w:val="00F525B9"/>
    <w:rsid w:val="00F5339D"/>
    <w:rsid w:val="00F53855"/>
    <w:rsid w:val="00F53D89"/>
    <w:rsid w:val="00F5456E"/>
    <w:rsid w:val="00F54622"/>
    <w:rsid w:val="00F54F74"/>
    <w:rsid w:val="00F5564F"/>
    <w:rsid w:val="00F57562"/>
    <w:rsid w:val="00F57983"/>
    <w:rsid w:val="00F57DDD"/>
    <w:rsid w:val="00F60422"/>
    <w:rsid w:val="00F610A8"/>
    <w:rsid w:val="00F6142D"/>
    <w:rsid w:val="00F614C2"/>
    <w:rsid w:val="00F61993"/>
    <w:rsid w:val="00F62F8F"/>
    <w:rsid w:val="00F63916"/>
    <w:rsid w:val="00F6480D"/>
    <w:rsid w:val="00F64E51"/>
    <w:rsid w:val="00F65119"/>
    <w:rsid w:val="00F65B00"/>
    <w:rsid w:val="00F66361"/>
    <w:rsid w:val="00F66C72"/>
    <w:rsid w:val="00F6766B"/>
    <w:rsid w:val="00F67EAC"/>
    <w:rsid w:val="00F706B5"/>
    <w:rsid w:val="00F720B2"/>
    <w:rsid w:val="00F740BB"/>
    <w:rsid w:val="00F74E0C"/>
    <w:rsid w:val="00F751BD"/>
    <w:rsid w:val="00F76EE0"/>
    <w:rsid w:val="00F76FDC"/>
    <w:rsid w:val="00F7722E"/>
    <w:rsid w:val="00F77F9A"/>
    <w:rsid w:val="00F821A3"/>
    <w:rsid w:val="00F85268"/>
    <w:rsid w:val="00F855F9"/>
    <w:rsid w:val="00F873D4"/>
    <w:rsid w:val="00F87878"/>
    <w:rsid w:val="00F87F82"/>
    <w:rsid w:val="00F90559"/>
    <w:rsid w:val="00F90D59"/>
    <w:rsid w:val="00F9105A"/>
    <w:rsid w:val="00F911E4"/>
    <w:rsid w:val="00F92A5A"/>
    <w:rsid w:val="00F92BD9"/>
    <w:rsid w:val="00F9314A"/>
    <w:rsid w:val="00F93BFB"/>
    <w:rsid w:val="00F940B2"/>
    <w:rsid w:val="00F94BB8"/>
    <w:rsid w:val="00F953E1"/>
    <w:rsid w:val="00F95475"/>
    <w:rsid w:val="00F9646F"/>
    <w:rsid w:val="00F96E55"/>
    <w:rsid w:val="00F9799D"/>
    <w:rsid w:val="00FA0172"/>
    <w:rsid w:val="00FA0D5E"/>
    <w:rsid w:val="00FA29BD"/>
    <w:rsid w:val="00FA2A25"/>
    <w:rsid w:val="00FA2C71"/>
    <w:rsid w:val="00FA3AD0"/>
    <w:rsid w:val="00FA4A89"/>
    <w:rsid w:val="00FA4BA6"/>
    <w:rsid w:val="00FA569A"/>
    <w:rsid w:val="00FA605C"/>
    <w:rsid w:val="00FA62A6"/>
    <w:rsid w:val="00FA6BBF"/>
    <w:rsid w:val="00FA6CC9"/>
    <w:rsid w:val="00FA774A"/>
    <w:rsid w:val="00FA776C"/>
    <w:rsid w:val="00FB00E6"/>
    <w:rsid w:val="00FB0298"/>
    <w:rsid w:val="00FB0B29"/>
    <w:rsid w:val="00FB0E50"/>
    <w:rsid w:val="00FB1585"/>
    <w:rsid w:val="00FB1800"/>
    <w:rsid w:val="00FB3209"/>
    <w:rsid w:val="00FB3A96"/>
    <w:rsid w:val="00FB3B9D"/>
    <w:rsid w:val="00FB435C"/>
    <w:rsid w:val="00FB4424"/>
    <w:rsid w:val="00FB5729"/>
    <w:rsid w:val="00FB609A"/>
    <w:rsid w:val="00FB631E"/>
    <w:rsid w:val="00FB65E7"/>
    <w:rsid w:val="00FB6CFF"/>
    <w:rsid w:val="00FB7C3B"/>
    <w:rsid w:val="00FC1120"/>
    <w:rsid w:val="00FC154D"/>
    <w:rsid w:val="00FC21D3"/>
    <w:rsid w:val="00FC2698"/>
    <w:rsid w:val="00FC2BC3"/>
    <w:rsid w:val="00FC3B35"/>
    <w:rsid w:val="00FC3BBB"/>
    <w:rsid w:val="00FC3F5A"/>
    <w:rsid w:val="00FC4577"/>
    <w:rsid w:val="00FC4A47"/>
    <w:rsid w:val="00FC531E"/>
    <w:rsid w:val="00FC58EF"/>
    <w:rsid w:val="00FC5BD8"/>
    <w:rsid w:val="00FC645C"/>
    <w:rsid w:val="00FC6884"/>
    <w:rsid w:val="00FC6DF2"/>
    <w:rsid w:val="00FC7E22"/>
    <w:rsid w:val="00FD0A4F"/>
    <w:rsid w:val="00FD2B70"/>
    <w:rsid w:val="00FD33DF"/>
    <w:rsid w:val="00FD3E02"/>
    <w:rsid w:val="00FD58B1"/>
    <w:rsid w:val="00FD6D83"/>
    <w:rsid w:val="00FE0142"/>
    <w:rsid w:val="00FE0495"/>
    <w:rsid w:val="00FE0861"/>
    <w:rsid w:val="00FE3689"/>
    <w:rsid w:val="00FE39D7"/>
    <w:rsid w:val="00FE3B37"/>
    <w:rsid w:val="00FE49D2"/>
    <w:rsid w:val="00FE4E8D"/>
    <w:rsid w:val="00FE53B8"/>
    <w:rsid w:val="00FE6F4D"/>
    <w:rsid w:val="00FE7026"/>
    <w:rsid w:val="00FF0587"/>
    <w:rsid w:val="00FF061E"/>
    <w:rsid w:val="00FF12A2"/>
    <w:rsid w:val="00FF19BF"/>
    <w:rsid w:val="00FF20CB"/>
    <w:rsid w:val="00FF37D3"/>
    <w:rsid w:val="00FF44C0"/>
    <w:rsid w:val="00FF4683"/>
    <w:rsid w:val="00FF4D1B"/>
    <w:rsid w:val="00FF4E70"/>
    <w:rsid w:val="00FF4F85"/>
    <w:rsid w:val="00FF5028"/>
    <w:rsid w:val="00FF72B2"/>
    <w:rsid w:val="00FF77B7"/>
    <w:rsid w:val="00FF792C"/>
    <w:rsid w:val="00FF7FE1"/>
    <w:rsid w:val="01AAE218"/>
    <w:rsid w:val="01DD8646"/>
    <w:rsid w:val="020A773E"/>
    <w:rsid w:val="02FBCA85"/>
    <w:rsid w:val="030DCEC9"/>
    <w:rsid w:val="04A99F2A"/>
    <w:rsid w:val="04ED6729"/>
    <w:rsid w:val="0616757F"/>
    <w:rsid w:val="06E66D5F"/>
    <w:rsid w:val="07F704A8"/>
    <w:rsid w:val="08202477"/>
    <w:rsid w:val="087454D6"/>
    <w:rsid w:val="092000C3"/>
    <w:rsid w:val="0A93618F"/>
    <w:rsid w:val="0B588CD1"/>
    <w:rsid w:val="0C60AA58"/>
    <w:rsid w:val="0CBED115"/>
    <w:rsid w:val="0FDB56EE"/>
    <w:rsid w:val="1090A192"/>
    <w:rsid w:val="10F3454E"/>
    <w:rsid w:val="1137439F"/>
    <w:rsid w:val="115DE82D"/>
    <w:rsid w:val="130FEC0E"/>
    <w:rsid w:val="13B515B7"/>
    <w:rsid w:val="13EEABC8"/>
    <w:rsid w:val="146DEA71"/>
    <w:rsid w:val="163A4B9C"/>
    <w:rsid w:val="166B4113"/>
    <w:rsid w:val="16C3780D"/>
    <w:rsid w:val="175A229A"/>
    <w:rsid w:val="18B6B3E5"/>
    <w:rsid w:val="195A3235"/>
    <w:rsid w:val="1A44D50A"/>
    <w:rsid w:val="1AD3F820"/>
    <w:rsid w:val="1B7611E0"/>
    <w:rsid w:val="1CA98D20"/>
    <w:rsid w:val="1CAAC357"/>
    <w:rsid w:val="1CF7EFF7"/>
    <w:rsid w:val="1E723003"/>
    <w:rsid w:val="1E7C4947"/>
    <w:rsid w:val="1EFE3FE9"/>
    <w:rsid w:val="212DD505"/>
    <w:rsid w:val="2177D6DE"/>
    <w:rsid w:val="241C6B78"/>
    <w:rsid w:val="24396C98"/>
    <w:rsid w:val="24A082D5"/>
    <w:rsid w:val="263B88ED"/>
    <w:rsid w:val="2680B251"/>
    <w:rsid w:val="2714C5DB"/>
    <w:rsid w:val="27CFD5A4"/>
    <w:rsid w:val="282F0BA7"/>
    <w:rsid w:val="29CADC08"/>
    <w:rsid w:val="2A16C363"/>
    <w:rsid w:val="2AF68D5B"/>
    <w:rsid w:val="2B1627E5"/>
    <w:rsid w:val="2BFCD34E"/>
    <w:rsid w:val="2D0C7592"/>
    <w:rsid w:val="2DFE5F19"/>
    <w:rsid w:val="2FE616D5"/>
    <w:rsid w:val="30E42B7A"/>
    <w:rsid w:val="30FB38A2"/>
    <w:rsid w:val="3181E736"/>
    <w:rsid w:val="324C0CF2"/>
    <w:rsid w:val="32532269"/>
    <w:rsid w:val="32D6AB93"/>
    <w:rsid w:val="3334D281"/>
    <w:rsid w:val="345097CE"/>
    <w:rsid w:val="356982EC"/>
    <w:rsid w:val="35ECE0C8"/>
    <w:rsid w:val="363582A9"/>
    <w:rsid w:val="36477D5E"/>
    <w:rsid w:val="366B2F23"/>
    <w:rsid w:val="366E3F56"/>
    <w:rsid w:val="381C9F2E"/>
    <w:rsid w:val="3885D8AE"/>
    <w:rsid w:val="38B23840"/>
    <w:rsid w:val="3A28A4B2"/>
    <w:rsid w:val="3A30E775"/>
    <w:rsid w:val="3A847AB4"/>
    <w:rsid w:val="3ABBEE87"/>
    <w:rsid w:val="3AD3BD04"/>
    <w:rsid w:val="3BCBBF8E"/>
    <w:rsid w:val="3C39AC8F"/>
    <w:rsid w:val="3C3B0EBA"/>
    <w:rsid w:val="3C6873CA"/>
    <w:rsid w:val="3C709326"/>
    <w:rsid w:val="3D0CA364"/>
    <w:rsid w:val="3D3E5EDF"/>
    <w:rsid w:val="3D3F3B80"/>
    <w:rsid w:val="3D593ACA"/>
    <w:rsid w:val="3DF1ED68"/>
    <w:rsid w:val="3E0C6387"/>
    <w:rsid w:val="3E6651E4"/>
    <w:rsid w:val="3ED4DA2B"/>
    <w:rsid w:val="3F099262"/>
    <w:rsid w:val="3F3B6B99"/>
    <w:rsid w:val="4049DEC0"/>
    <w:rsid w:val="411484E9"/>
    <w:rsid w:val="41440449"/>
    <w:rsid w:val="42C7DD9E"/>
    <w:rsid w:val="43B94241"/>
    <w:rsid w:val="43DBB6F9"/>
    <w:rsid w:val="444A0378"/>
    <w:rsid w:val="44BE02A2"/>
    <w:rsid w:val="4585265D"/>
    <w:rsid w:val="45F91119"/>
    <w:rsid w:val="462EF91A"/>
    <w:rsid w:val="4635892E"/>
    <w:rsid w:val="46635CC7"/>
    <w:rsid w:val="49694F6E"/>
    <w:rsid w:val="49AB11DC"/>
    <w:rsid w:val="4A18DC85"/>
    <w:rsid w:val="4B340B63"/>
    <w:rsid w:val="4BC5CDC4"/>
    <w:rsid w:val="4D9537CD"/>
    <w:rsid w:val="4E715E98"/>
    <w:rsid w:val="4EE9DA98"/>
    <w:rsid w:val="4F50CED5"/>
    <w:rsid w:val="4FD22B28"/>
    <w:rsid w:val="4FE8CDEA"/>
    <w:rsid w:val="521C4B69"/>
    <w:rsid w:val="526C1302"/>
    <w:rsid w:val="529F2F36"/>
    <w:rsid w:val="5316D0E9"/>
    <w:rsid w:val="56E40ABA"/>
    <w:rsid w:val="56F45A10"/>
    <w:rsid w:val="57232371"/>
    <w:rsid w:val="5730B1BA"/>
    <w:rsid w:val="58DF285C"/>
    <w:rsid w:val="5904C8F7"/>
    <w:rsid w:val="59A197AF"/>
    <w:rsid w:val="5B36330D"/>
    <w:rsid w:val="5B8CC2FE"/>
    <w:rsid w:val="5CEB65DE"/>
    <w:rsid w:val="5F0477B9"/>
    <w:rsid w:val="5F08077D"/>
    <w:rsid w:val="5F170CC3"/>
    <w:rsid w:val="5F35762C"/>
    <w:rsid w:val="605A31D6"/>
    <w:rsid w:val="60AB4FD5"/>
    <w:rsid w:val="612E67E2"/>
    <w:rsid w:val="619DE2C9"/>
    <w:rsid w:val="6455B2CE"/>
    <w:rsid w:val="645C0E70"/>
    <w:rsid w:val="64FA1CD1"/>
    <w:rsid w:val="66309966"/>
    <w:rsid w:val="66D79B3A"/>
    <w:rsid w:val="66E74EAA"/>
    <w:rsid w:val="67945250"/>
    <w:rsid w:val="6897233D"/>
    <w:rsid w:val="6903AF08"/>
    <w:rsid w:val="69F5C13A"/>
    <w:rsid w:val="6A415259"/>
    <w:rsid w:val="6AD4CE31"/>
    <w:rsid w:val="6AE52439"/>
    <w:rsid w:val="6B09971F"/>
    <w:rsid w:val="6B389CD1"/>
    <w:rsid w:val="6C2C4AD8"/>
    <w:rsid w:val="6C38E224"/>
    <w:rsid w:val="6C4CAA49"/>
    <w:rsid w:val="6D4C7F68"/>
    <w:rsid w:val="6D9586A0"/>
    <w:rsid w:val="6DE36CB7"/>
    <w:rsid w:val="6E4DB716"/>
    <w:rsid w:val="6E6C7538"/>
    <w:rsid w:val="6FC40744"/>
    <w:rsid w:val="70B711F9"/>
    <w:rsid w:val="711ADF64"/>
    <w:rsid w:val="71401185"/>
    <w:rsid w:val="7206E4D4"/>
    <w:rsid w:val="724FCF66"/>
    <w:rsid w:val="73183FFF"/>
    <w:rsid w:val="73223666"/>
    <w:rsid w:val="7377B318"/>
    <w:rsid w:val="749B9ABB"/>
    <w:rsid w:val="75C68159"/>
    <w:rsid w:val="76835277"/>
    <w:rsid w:val="77F84828"/>
    <w:rsid w:val="78CB0C99"/>
    <w:rsid w:val="7ABADD25"/>
    <w:rsid w:val="7B6B6B74"/>
    <w:rsid w:val="7D2A678D"/>
    <w:rsid w:val="7EE53928"/>
    <w:rsid w:val="7F15D9A5"/>
    <w:rsid w:val="7F2C8104"/>
    <w:rsid w:val="7F7BD9D3"/>
    <w:rsid w:val="7FC3F80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17A7786"/>
  <w15:docId w15:val="{598783C6-780F-4395-865D-96DF6D2A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semiHidden/>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semiHidden/>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semiHidden/>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0"/>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 w:type="paragraph" w:customStyle="1" w:styleId="Textoindependiente3100">
    <w:name w:val="Texto independiente 3100"/>
    <w:basedOn w:val="Normal"/>
    <w:rsid w:val="00C671FD"/>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table" w:styleId="Tablanormal1">
    <w:name w:val="Plain Table 1"/>
    <w:basedOn w:val="Tablanormal"/>
    <w:uiPriority w:val="41"/>
    <w:rsid w:val="009010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855">
      <w:bodyDiv w:val="1"/>
      <w:marLeft w:val="0"/>
      <w:marRight w:val="0"/>
      <w:marTop w:val="0"/>
      <w:marBottom w:val="0"/>
      <w:divBdr>
        <w:top w:val="none" w:sz="0" w:space="0" w:color="auto"/>
        <w:left w:val="none" w:sz="0" w:space="0" w:color="auto"/>
        <w:bottom w:val="none" w:sz="0" w:space="0" w:color="auto"/>
        <w:right w:val="none" w:sz="0" w:space="0" w:color="auto"/>
      </w:divBdr>
    </w:div>
    <w:div w:id="354231417">
      <w:bodyDiv w:val="1"/>
      <w:marLeft w:val="0"/>
      <w:marRight w:val="0"/>
      <w:marTop w:val="0"/>
      <w:marBottom w:val="0"/>
      <w:divBdr>
        <w:top w:val="none" w:sz="0" w:space="0" w:color="auto"/>
        <w:left w:val="none" w:sz="0" w:space="0" w:color="auto"/>
        <w:bottom w:val="none" w:sz="0" w:space="0" w:color="auto"/>
        <w:right w:val="none" w:sz="0" w:space="0" w:color="auto"/>
      </w:divBdr>
    </w:div>
    <w:div w:id="713698401">
      <w:bodyDiv w:val="1"/>
      <w:marLeft w:val="0"/>
      <w:marRight w:val="0"/>
      <w:marTop w:val="0"/>
      <w:marBottom w:val="0"/>
      <w:divBdr>
        <w:top w:val="none" w:sz="0" w:space="0" w:color="auto"/>
        <w:left w:val="none" w:sz="0" w:space="0" w:color="auto"/>
        <w:bottom w:val="none" w:sz="0" w:space="0" w:color="auto"/>
        <w:right w:val="none" w:sz="0" w:space="0" w:color="auto"/>
      </w:divBdr>
      <w:divsChild>
        <w:div w:id="352267732">
          <w:marLeft w:val="0"/>
          <w:marRight w:val="0"/>
          <w:marTop w:val="0"/>
          <w:marBottom w:val="0"/>
          <w:divBdr>
            <w:top w:val="none" w:sz="0" w:space="0" w:color="auto"/>
            <w:left w:val="none" w:sz="0" w:space="0" w:color="auto"/>
            <w:bottom w:val="none" w:sz="0" w:space="0" w:color="auto"/>
            <w:right w:val="none" w:sz="0" w:space="0" w:color="auto"/>
          </w:divBdr>
          <w:divsChild>
            <w:div w:id="441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7488">
      <w:bodyDiv w:val="1"/>
      <w:marLeft w:val="0"/>
      <w:marRight w:val="0"/>
      <w:marTop w:val="0"/>
      <w:marBottom w:val="0"/>
      <w:divBdr>
        <w:top w:val="none" w:sz="0" w:space="0" w:color="auto"/>
        <w:left w:val="none" w:sz="0" w:space="0" w:color="auto"/>
        <w:bottom w:val="none" w:sz="0" w:space="0" w:color="auto"/>
        <w:right w:val="none" w:sz="0" w:space="0" w:color="auto"/>
      </w:divBdr>
    </w:div>
    <w:div w:id="869296064">
      <w:bodyDiv w:val="1"/>
      <w:marLeft w:val="0"/>
      <w:marRight w:val="0"/>
      <w:marTop w:val="0"/>
      <w:marBottom w:val="0"/>
      <w:divBdr>
        <w:top w:val="none" w:sz="0" w:space="0" w:color="auto"/>
        <w:left w:val="none" w:sz="0" w:space="0" w:color="auto"/>
        <w:bottom w:val="none" w:sz="0" w:space="0" w:color="auto"/>
        <w:right w:val="none" w:sz="0" w:space="0" w:color="auto"/>
      </w:divBdr>
    </w:div>
    <w:div w:id="211786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0" ma:contentTypeDescription="Crear nuevo documento." ma:contentTypeScope="" ma:versionID="dbc7374129dc881e36ba232aafe7f1f5">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26bb1c223095765bc7a4c5651d64a74b"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60F8E-1F4F-4C72-9B30-F6D8EE6686D8}">
  <ds:schemaRefs>
    <ds:schemaRef ds:uri="http://schemas.openxmlformats.org/officeDocument/2006/bibliography"/>
  </ds:schemaRefs>
</ds:datastoreItem>
</file>

<file path=customXml/itemProps2.xml><?xml version="1.0" encoding="utf-8"?>
<ds:datastoreItem xmlns:ds="http://schemas.openxmlformats.org/officeDocument/2006/customXml" ds:itemID="{75C21035-8474-4E56-B425-4B84902ED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F4E630-312D-4570-855F-ADED849CC06C}">
  <ds:schemaRefs>
    <ds:schemaRef ds:uri="http://schemas.microsoft.com/sharepoint/v3/contenttype/forms"/>
  </ds:schemaRefs>
</ds:datastoreItem>
</file>

<file path=customXml/itemProps4.xml><?xml version="1.0" encoding="utf-8"?>
<ds:datastoreItem xmlns:ds="http://schemas.openxmlformats.org/officeDocument/2006/customXml" ds:itemID="{A4FB53E7-F1C3-423D-AB27-B840C979B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7342</Words>
  <Characters>40382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dc:creator>
  <cp:keywords/>
  <cp:lastModifiedBy>Luz Stella Rojas Macias</cp:lastModifiedBy>
  <cp:revision>2</cp:revision>
  <cp:lastPrinted>2022-03-23T20:42:00Z</cp:lastPrinted>
  <dcterms:created xsi:type="dcterms:W3CDTF">2022-04-01T16:38:00Z</dcterms:created>
  <dcterms:modified xsi:type="dcterms:W3CDTF">2022-04-01T16:38:00Z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