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B" w:rsidRPr="00D34DBB" w:rsidRDefault="00A37391" w:rsidP="00DF468B">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60.3pt;width:52.5pt;height:48.75pt;z-index:251659264" fillcolor="#0c9">
            <v:imagedata r:id="rId9" o:title=""/>
          </v:shape>
          <o:OLEObject Type="Embed" ProgID="PBrush" ShapeID="_x0000_s1027" DrawAspect="Content" ObjectID="_1413701275" r:id="rId10"/>
        </w:pict>
      </w:r>
    </w:p>
    <w:p w:rsidR="00DF468B" w:rsidRPr="00D34DBB" w:rsidRDefault="00DF468B" w:rsidP="00DF468B">
      <w:pPr>
        <w:pStyle w:val="Ttulo4"/>
        <w:tabs>
          <w:tab w:val="left" w:pos="0"/>
          <w:tab w:val="right" w:pos="9356"/>
        </w:tabs>
        <w:ind w:left="0"/>
        <w:rPr>
          <w:rFonts w:ascii="Bookman Old Style" w:hAnsi="Bookman Old Style"/>
          <w:b w:val="0"/>
          <w:bCs/>
          <w:noProof/>
          <w:sz w:val="24"/>
          <w:szCs w:val="24"/>
          <w:lang w:val="es-ES"/>
        </w:rPr>
      </w:pPr>
      <w:r w:rsidRPr="00D34DBB">
        <w:rPr>
          <w:rFonts w:ascii="Bookman Old Style" w:hAnsi="Bookman Old Style"/>
          <w:b w:val="0"/>
          <w:bCs/>
          <w:sz w:val="24"/>
          <w:szCs w:val="24"/>
        </w:rPr>
        <w:t>Ministerio de Minas y Energía</w:t>
      </w:r>
    </w:p>
    <w:p w:rsidR="00DF468B" w:rsidRPr="00E20436" w:rsidRDefault="00DF468B" w:rsidP="00DF468B">
      <w:pPr>
        <w:pStyle w:val="Ttulo4"/>
        <w:tabs>
          <w:tab w:val="left" w:pos="0"/>
          <w:tab w:val="right" w:pos="9356"/>
        </w:tabs>
        <w:ind w:left="0"/>
        <w:rPr>
          <w:rFonts w:ascii="Bookman Old Style" w:hAnsi="Bookman Old Style"/>
          <w:b w:val="0"/>
          <w:bCs/>
          <w:sz w:val="24"/>
          <w:szCs w:val="24"/>
          <w:lang w:val="es-ES"/>
        </w:rPr>
      </w:pPr>
    </w:p>
    <w:p w:rsidR="00DF468B" w:rsidRPr="00D34DBB" w:rsidRDefault="00DF468B" w:rsidP="00DF468B">
      <w:pPr>
        <w:pStyle w:val="Ttulo3"/>
        <w:tabs>
          <w:tab w:val="left" w:pos="0"/>
          <w:tab w:val="right" w:pos="9356"/>
        </w:tabs>
        <w:ind w:left="0"/>
        <w:rPr>
          <w:rFonts w:ascii="Bookman Old Style" w:hAnsi="Bookman Old Style" w:cs="Arial"/>
          <w:spacing w:val="20"/>
          <w:szCs w:val="24"/>
        </w:rPr>
      </w:pPr>
      <w:r w:rsidRPr="00D34DBB">
        <w:rPr>
          <w:rFonts w:ascii="Bookman Old Style" w:hAnsi="Bookman Old Style" w:cs="Arial"/>
          <w:spacing w:val="20"/>
          <w:szCs w:val="24"/>
        </w:rPr>
        <w:t>COMISIÓN DE REGULACIÓN DE ENERGÍA Y GAS</w:t>
      </w:r>
    </w:p>
    <w:p w:rsidR="00DF468B" w:rsidRPr="00D34DBB" w:rsidRDefault="00DF468B" w:rsidP="00DF468B">
      <w:pPr>
        <w:pStyle w:val="Ttulo5"/>
        <w:tabs>
          <w:tab w:val="left" w:pos="0"/>
          <w:tab w:val="right" w:pos="9356"/>
        </w:tabs>
        <w:ind w:left="0"/>
        <w:rPr>
          <w:rFonts w:ascii="Bookman Old Style" w:hAnsi="Bookman Old Style"/>
          <w:sz w:val="24"/>
          <w:szCs w:val="24"/>
        </w:rPr>
      </w:pPr>
    </w:p>
    <w:p w:rsidR="00DF468B" w:rsidRPr="00D34DBB" w:rsidRDefault="00DF468B" w:rsidP="00DF468B">
      <w:pPr>
        <w:pStyle w:val="Ttulo5"/>
        <w:tabs>
          <w:tab w:val="left" w:pos="0"/>
          <w:tab w:val="right" w:pos="9356"/>
        </w:tabs>
        <w:ind w:left="0"/>
        <w:rPr>
          <w:rFonts w:ascii="Bookman Old Style" w:hAnsi="Bookman Old Style"/>
          <w:sz w:val="24"/>
          <w:szCs w:val="24"/>
        </w:rPr>
      </w:pPr>
    </w:p>
    <w:p w:rsidR="00DF468B" w:rsidRPr="00D34DBB" w:rsidRDefault="00DF468B" w:rsidP="00DF468B">
      <w:pPr>
        <w:pStyle w:val="Ttulo5"/>
        <w:tabs>
          <w:tab w:val="left" w:pos="0"/>
          <w:tab w:val="right" w:pos="9356"/>
        </w:tabs>
        <w:ind w:left="0"/>
        <w:rPr>
          <w:rFonts w:ascii="Bookman Old Style" w:hAnsi="Bookman Old Style"/>
          <w:sz w:val="24"/>
          <w:szCs w:val="24"/>
        </w:rPr>
      </w:pPr>
      <w:r w:rsidRPr="00D34DBB">
        <w:rPr>
          <w:rFonts w:ascii="Bookman Old Style" w:hAnsi="Bookman Old Style"/>
          <w:sz w:val="24"/>
          <w:szCs w:val="24"/>
        </w:rPr>
        <w:t>RESOLUCIÓN No.                   DE 201</w:t>
      </w:r>
      <w:r>
        <w:rPr>
          <w:rFonts w:ascii="Bookman Old Style" w:hAnsi="Bookman Old Style"/>
          <w:sz w:val="24"/>
          <w:szCs w:val="24"/>
        </w:rPr>
        <w:t>2</w:t>
      </w:r>
    </w:p>
    <w:p w:rsidR="00DF468B" w:rsidRDefault="00DF468B" w:rsidP="00DF468B">
      <w:pPr>
        <w:tabs>
          <w:tab w:val="left" w:pos="0"/>
          <w:tab w:val="right" w:pos="9356"/>
        </w:tabs>
        <w:ind w:left="0"/>
        <w:jc w:val="center"/>
        <w:rPr>
          <w:rFonts w:ascii="Bookman Old Style" w:hAnsi="Bookman Old Style" w:cs="Arial"/>
          <w:b/>
          <w:snapToGrid w:val="0"/>
          <w:color w:val="000000"/>
          <w:lang w:val="es-ES_tradnl"/>
        </w:rPr>
      </w:pPr>
    </w:p>
    <w:p w:rsidR="000355A2" w:rsidRPr="00D34DBB" w:rsidRDefault="000355A2" w:rsidP="00DF468B">
      <w:pPr>
        <w:tabs>
          <w:tab w:val="left" w:pos="0"/>
          <w:tab w:val="right" w:pos="9356"/>
        </w:tabs>
        <w:ind w:left="0"/>
        <w:jc w:val="center"/>
        <w:rPr>
          <w:rFonts w:ascii="Bookman Old Style" w:hAnsi="Bookman Old Style" w:cs="Arial"/>
          <w:b/>
          <w:snapToGrid w:val="0"/>
          <w:color w:val="000000"/>
          <w:lang w:val="es-ES_tradnl"/>
        </w:rPr>
      </w:pPr>
    </w:p>
    <w:p w:rsidR="00DF468B" w:rsidRPr="00D34DBB" w:rsidRDefault="00DF468B" w:rsidP="00DF468B">
      <w:pPr>
        <w:pStyle w:val="Ttulo3"/>
        <w:tabs>
          <w:tab w:val="left" w:pos="0"/>
          <w:tab w:val="right" w:pos="9356"/>
        </w:tabs>
        <w:ind w:left="0"/>
        <w:rPr>
          <w:rFonts w:ascii="Bookman Old Style" w:hAnsi="Bookman Old Style"/>
          <w:b w:val="0"/>
          <w:szCs w:val="24"/>
        </w:rPr>
      </w:pPr>
      <w:r w:rsidRPr="00D34DBB">
        <w:rPr>
          <w:rFonts w:ascii="Bookman Old Style" w:hAnsi="Bookman Old Style"/>
          <w:b w:val="0"/>
          <w:szCs w:val="24"/>
        </w:rPr>
        <w:t>(                                  )</w:t>
      </w:r>
    </w:p>
    <w:p w:rsidR="00DF468B" w:rsidRPr="00D34DBB" w:rsidRDefault="00DF468B" w:rsidP="00DF468B">
      <w:pPr>
        <w:tabs>
          <w:tab w:val="left" w:pos="0"/>
          <w:tab w:val="right" w:pos="9356"/>
        </w:tabs>
        <w:ind w:left="0"/>
        <w:jc w:val="center"/>
        <w:rPr>
          <w:rFonts w:ascii="Bookman Old Style" w:hAnsi="Bookman Old Style"/>
          <w:lang w:val="es-ES_tradnl"/>
        </w:rPr>
      </w:pPr>
    </w:p>
    <w:p w:rsidR="00DF468B" w:rsidRDefault="00DF468B" w:rsidP="00DF468B">
      <w:pPr>
        <w:ind w:left="0"/>
        <w:jc w:val="both"/>
        <w:rPr>
          <w:rFonts w:ascii="Bookman Old Style" w:hAnsi="Bookman Old Style"/>
        </w:rPr>
      </w:pPr>
    </w:p>
    <w:p w:rsidR="00DF468B" w:rsidRPr="009B125B" w:rsidRDefault="00DF468B" w:rsidP="00DF468B">
      <w:pPr>
        <w:ind w:left="0"/>
        <w:jc w:val="center"/>
        <w:rPr>
          <w:rFonts w:ascii="Bookman Old Style" w:hAnsi="Bookman Old Style"/>
        </w:rPr>
      </w:pPr>
      <w:r w:rsidRPr="009B125B">
        <w:rPr>
          <w:rFonts w:ascii="Bookman Old Style" w:hAnsi="Bookman Old Style"/>
        </w:rPr>
        <w:t xml:space="preserve">Por la cual se resuelve el Recurso de Reposición interpuesto por </w:t>
      </w:r>
      <w:r>
        <w:rPr>
          <w:rFonts w:ascii="Bookman Old Style" w:hAnsi="Bookman Old Style"/>
        </w:rPr>
        <w:t>la Empresa de Energía de Boyacá S.A E.S.P.</w:t>
      </w:r>
      <w:r w:rsidRPr="009B125B">
        <w:rPr>
          <w:rFonts w:ascii="Bookman Old Style" w:hAnsi="Bookman Old Style"/>
        </w:rPr>
        <w:t xml:space="preserve">, contra la Resolución CREG </w:t>
      </w:r>
      <w:r>
        <w:rPr>
          <w:rFonts w:ascii="Bookman Old Style" w:hAnsi="Bookman Old Style"/>
        </w:rPr>
        <w:t>079</w:t>
      </w:r>
      <w:r w:rsidRPr="009B125B">
        <w:rPr>
          <w:rFonts w:ascii="Bookman Old Style" w:hAnsi="Bookman Old Style"/>
        </w:rPr>
        <w:t xml:space="preserve"> de 20</w:t>
      </w:r>
      <w:r>
        <w:rPr>
          <w:rFonts w:ascii="Bookman Old Style" w:hAnsi="Bookman Old Style"/>
        </w:rPr>
        <w:t>12</w:t>
      </w:r>
      <w:r w:rsidRPr="009B125B">
        <w:rPr>
          <w:rFonts w:ascii="Bookman Old Style" w:hAnsi="Bookman Old Style"/>
        </w:rPr>
        <w:t>.</w:t>
      </w:r>
    </w:p>
    <w:p w:rsidR="00DF468B" w:rsidRPr="00D2714F" w:rsidRDefault="00DF468B" w:rsidP="00DF468B">
      <w:pPr>
        <w:ind w:left="0"/>
        <w:rPr>
          <w:rFonts w:ascii="Bookman Old Style" w:hAnsi="Bookman Old Style"/>
        </w:rPr>
      </w:pPr>
    </w:p>
    <w:p w:rsidR="00DF468B" w:rsidRPr="00D2714F" w:rsidRDefault="00DF468B" w:rsidP="00DF468B">
      <w:pPr>
        <w:ind w:left="0"/>
        <w:rPr>
          <w:rFonts w:ascii="Bookman Old Style" w:hAnsi="Bookman Old Style"/>
        </w:rPr>
      </w:pPr>
    </w:p>
    <w:p w:rsidR="00DF468B" w:rsidRPr="00D2714F" w:rsidRDefault="00DF468B" w:rsidP="00DF468B">
      <w:pPr>
        <w:ind w:left="0"/>
        <w:jc w:val="center"/>
        <w:rPr>
          <w:rFonts w:ascii="Bookman Old Style" w:hAnsi="Bookman Old Style" w:cs="Arial"/>
          <w:b/>
        </w:rPr>
      </w:pPr>
      <w:smartTag w:uri="urn:schemas-microsoft-com:office:smarttags" w:element="PersonName">
        <w:smartTagPr>
          <w:attr w:name="ProductID" w:val="LA COMISIￓN DE"/>
        </w:smartTagPr>
        <w:r w:rsidRPr="00D2714F">
          <w:rPr>
            <w:rFonts w:ascii="Bookman Old Style" w:hAnsi="Bookman Old Style" w:cs="Arial"/>
            <w:b/>
          </w:rPr>
          <w:t>LA COMISIÓN DE</w:t>
        </w:r>
      </w:smartTag>
      <w:r w:rsidRPr="00D2714F">
        <w:rPr>
          <w:rFonts w:ascii="Bookman Old Style" w:hAnsi="Bookman Old Style" w:cs="Arial"/>
          <w:b/>
        </w:rPr>
        <w:t xml:space="preserve"> REGULACIÓN DE ENERGÍA Y GAS</w:t>
      </w:r>
    </w:p>
    <w:p w:rsidR="00DF468B" w:rsidRDefault="00DF468B" w:rsidP="00DF468B">
      <w:pPr>
        <w:ind w:left="0"/>
        <w:jc w:val="center"/>
        <w:rPr>
          <w:rFonts w:ascii="Bookman Old Style" w:hAnsi="Bookman Old Style" w:cs="Arial"/>
        </w:rPr>
      </w:pPr>
    </w:p>
    <w:p w:rsidR="00DF468B" w:rsidRPr="00D2714F" w:rsidRDefault="00DF468B" w:rsidP="00DF468B">
      <w:pPr>
        <w:ind w:left="0"/>
        <w:jc w:val="center"/>
        <w:rPr>
          <w:rFonts w:ascii="Bookman Old Style" w:hAnsi="Bookman Old Style" w:cs="Arial"/>
        </w:rPr>
      </w:pPr>
    </w:p>
    <w:p w:rsidR="00DF468B" w:rsidRPr="00D2714F" w:rsidRDefault="00DF468B" w:rsidP="00DF468B">
      <w:pPr>
        <w:ind w:left="0"/>
        <w:jc w:val="both"/>
        <w:rPr>
          <w:rFonts w:ascii="Bookman Old Style" w:hAnsi="Bookman Old Style"/>
        </w:rPr>
      </w:pPr>
      <w:r w:rsidRPr="009B125B">
        <w:rPr>
          <w:rFonts w:ascii="Bookman Old Style" w:hAnsi="Bookman Old Style"/>
        </w:rPr>
        <w:t>En ejercicio de sus atribuciones constitucionales y legales, en especial las conferidas por las Leyes 142 y 143 de 1994, y en desarrollo de los Decretos 1524 y 2253 de 1994.</w:t>
      </w:r>
    </w:p>
    <w:p w:rsidR="00DF468B" w:rsidRPr="00D2714F" w:rsidRDefault="00DF468B" w:rsidP="00DF468B">
      <w:pPr>
        <w:ind w:left="0"/>
        <w:jc w:val="center"/>
        <w:rPr>
          <w:rFonts w:ascii="Bookman Old Style" w:hAnsi="Bookman Old Style" w:cs="Arial"/>
        </w:rPr>
      </w:pPr>
    </w:p>
    <w:p w:rsidR="00DF468B" w:rsidRPr="00D2714F" w:rsidRDefault="00DF468B" w:rsidP="00DF468B">
      <w:pPr>
        <w:ind w:left="0"/>
        <w:jc w:val="center"/>
        <w:rPr>
          <w:rFonts w:ascii="Bookman Old Style" w:hAnsi="Bookman Old Style" w:cs="Arial"/>
          <w:b/>
        </w:rPr>
      </w:pPr>
      <w:r w:rsidRPr="00D2714F">
        <w:rPr>
          <w:rFonts w:ascii="Bookman Old Style" w:hAnsi="Bookman Old Style"/>
          <w:b/>
          <w:spacing w:val="100"/>
        </w:rPr>
        <w:t>CONSIDERANDO</w:t>
      </w:r>
      <w:r>
        <w:rPr>
          <w:rFonts w:ascii="Bookman Old Style" w:hAnsi="Bookman Old Style"/>
          <w:b/>
          <w:spacing w:val="100"/>
        </w:rPr>
        <w:t xml:space="preserve"> QUE</w:t>
      </w:r>
      <w:r w:rsidRPr="00D2714F">
        <w:rPr>
          <w:rFonts w:ascii="Bookman Old Style" w:hAnsi="Bookman Old Style" w:cs="Arial"/>
          <w:b/>
        </w:rPr>
        <w:t>:</w:t>
      </w:r>
    </w:p>
    <w:p w:rsidR="00DF468B" w:rsidRPr="00D2714F" w:rsidRDefault="00DF468B" w:rsidP="00DF468B">
      <w:pPr>
        <w:ind w:left="0"/>
        <w:rPr>
          <w:rFonts w:ascii="Bookman Old Style" w:hAnsi="Bookman Old Style"/>
        </w:rPr>
      </w:pPr>
    </w:p>
    <w:p w:rsidR="00DF468B" w:rsidRPr="00D2714F" w:rsidRDefault="00DF468B" w:rsidP="00DF468B">
      <w:pPr>
        <w:ind w:left="0"/>
        <w:rPr>
          <w:rFonts w:ascii="Bookman Old Style" w:hAnsi="Bookman Old Style" w:cs="Arial"/>
          <w:b/>
          <w:highlight w:val="yellow"/>
        </w:rPr>
      </w:pPr>
    </w:p>
    <w:p w:rsidR="00DF468B" w:rsidRPr="00190ADA" w:rsidRDefault="00DF468B" w:rsidP="00DF468B">
      <w:pPr>
        <w:numPr>
          <w:ilvl w:val="0"/>
          <w:numId w:val="18"/>
        </w:numPr>
        <w:overflowPunct w:val="0"/>
        <w:autoSpaceDE w:val="0"/>
        <w:autoSpaceDN w:val="0"/>
        <w:adjustRightInd w:val="0"/>
        <w:ind w:left="0" w:firstLine="0"/>
        <w:jc w:val="both"/>
        <w:textAlignment w:val="baseline"/>
        <w:rPr>
          <w:rFonts w:ascii="Bookman Old Style" w:hAnsi="Bookman Old Style"/>
          <w:b/>
        </w:rPr>
      </w:pPr>
      <w:r w:rsidRPr="00190ADA">
        <w:rPr>
          <w:rFonts w:ascii="Bookman Old Style" w:hAnsi="Bookman Old Style"/>
          <w:b/>
        </w:rPr>
        <w:t>ANTECEDENTES.</w:t>
      </w:r>
    </w:p>
    <w:p w:rsidR="00DF468B" w:rsidRPr="00190ADA" w:rsidRDefault="00DF468B" w:rsidP="00DF468B">
      <w:pPr>
        <w:ind w:left="0"/>
        <w:rPr>
          <w:rFonts w:ascii="Bookman Old Style" w:hAnsi="Bookman Old Style"/>
        </w:rPr>
      </w:pPr>
    </w:p>
    <w:p w:rsidR="00DF468B" w:rsidRPr="00595941" w:rsidRDefault="00DF468B" w:rsidP="00DF468B">
      <w:pPr>
        <w:ind w:left="0"/>
        <w:jc w:val="both"/>
        <w:rPr>
          <w:rFonts w:ascii="Bookman Old Style" w:hAnsi="Bookman Old Style"/>
        </w:rPr>
      </w:pPr>
      <w:r>
        <w:rPr>
          <w:rFonts w:ascii="Bookman Old Style" w:hAnsi="Bookman Old Style"/>
        </w:rPr>
        <w:t>D</w:t>
      </w:r>
      <w:r w:rsidRPr="00595941">
        <w:rPr>
          <w:rFonts w:ascii="Bookman Old Style" w:hAnsi="Bookman Old Style"/>
        </w:rPr>
        <w:t>e acuerdo con lo previsto en el Artículo 23, literal d), y 41 de la Ley 143 de 1994, es función de la Comisión de Regulación de Energía y Gas fijar las tarifas por el acces</w:t>
      </w:r>
      <w:r>
        <w:rPr>
          <w:rFonts w:ascii="Bookman Old Style" w:hAnsi="Bookman Old Style"/>
        </w:rPr>
        <w:t>o y uso de las redes eléctricas.</w:t>
      </w:r>
    </w:p>
    <w:p w:rsidR="00DF468B" w:rsidRPr="00595941" w:rsidRDefault="00DF468B" w:rsidP="00DF468B">
      <w:pPr>
        <w:ind w:left="0"/>
        <w:jc w:val="both"/>
        <w:rPr>
          <w:rFonts w:ascii="Bookman Old Style" w:hAnsi="Bookman Old Style"/>
        </w:rPr>
      </w:pPr>
    </w:p>
    <w:p w:rsidR="00DF468B" w:rsidRPr="00595941" w:rsidRDefault="00DF468B" w:rsidP="00DF468B">
      <w:pPr>
        <w:ind w:left="0"/>
        <w:jc w:val="both"/>
        <w:rPr>
          <w:rFonts w:ascii="Bookman Old Style" w:hAnsi="Bookman Old Style"/>
        </w:rPr>
      </w:pPr>
      <w:r>
        <w:rPr>
          <w:rFonts w:ascii="Bookman Old Style" w:hAnsi="Bookman Old Style"/>
        </w:rPr>
        <w:t>M</w:t>
      </w:r>
      <w:r w:rsidRPr="00595941">
        <w:rPr>
          <w:rFonts w:ascii="Bookman Old Style" w:hAnsi="Bookman Old Style"/>
        </w:rPr>
        <w:t>ediante la Resolución CREG 097 de 2008 modificada por las Resoluciones CREG 133, 135 y 166 de 2008, la Comisión aprobó los principios generales y la metodología para el establecimiento de los Cargos por Uso de los Sistemas de Transmisión Regional (STR</w:t>
      </w:r>
      <w:r>
        <w:rPr>
          <w:rFonts w:ascii="Bookman Old Style" w:hAnsi="Bookman Old Style"/>
        </w:rPr>
        <w:t>) y de Distribución Local (SDL).</w:t>
      </w:r>
    </w:p>
    <w:p w:rsidR="00DF468B" w:rsidRPr="00595941" w:rsidRDefault="00DF468B" w:rsidP="00DF468B">
      <w:pPr>
        <w:ind w:left="0"/>
        <w:jc w:val="both"/>
        <w:rPr>
          <w:rFonts w:ascii="Bookman Old Style" w:hAnsi="Bookman Old Style"/>
        </w:rPr>
      </w:pPr>
    </w:p>
    <w:p w:rsidR="00DF468B" w:rsidRPr="00595941" w:rsidRDefault="00DE73F0" w:rsidP="00DF468B">
      <w:pPr>
        <w:ind w:left="0"/>
        <w:jc w:val="both"/>
        <w:rPr>
          <w:rFonts w:ascii="Bookman Old Style" w:hAnsi="Bookman Old Style"/>
        </w:rPr>
      </w:pPr>
      <w:r>
        <w:rPr>
          <w:rFonts w:ascii="Bookman Old Style" w:hAnsi="Bookman Old Style"/>
        </w:rPr>
        <w:t>La</w:t>
      </w:r>
      <w:r w:rsidR="00DF468B" w:rsidRPr="00595941">
        <w:rPr>
          <w:rFonts w:ascii="Bookman Old Style" w:hAnsi="Bookman Old Style"/>
        </w:rPr>
        <w:t xml:space="preserve"> Resolución CREG 120 de 2009, la CREG aprobó el Costo Anual por el uso de los Activos del Nivel de Tensión 4 y los Cargos Máximos de los Niveles de Tensión 3, 2 y 1 de los activos operados por la Empresa de Energía de Boyacá S.A. E.S.P. en el Sistema de Transmisión Regional (STR) y en el Sist</w:t>
      </w:r>
      <w:r w:rsidR="00DF468B">
        <w:rPr>
          <w:rFonts w:ascii="Bookman Old Style" w:hAnsi="Bookman Old Style"/>
        </w:rPr>
        <w:t>ema de Distribución Local (SDL).</w:t>
      </w:r>
    </w:p>
    <w:p w:rsidR="00DF468B" w:rsidRPr="00595941" w:rsidRDefault="00DF468B" w:rsidP="00DF468B">
      <w:pPr>
        <w:ind w:left="0"/>
        <w:jc w:val="both"/>
        <w:rPr>
          <w:rFonts w:ascii="Bookman Old Style" w:hAnsi="Bookman Old Style"/>
        </w:rPr>
      </w:pPr>
    </w:p>
    <w:p w:rsidR="00DF468B" w:rsidRDefault="00DF468B" w:rsidP="00DF468B">
      <w:pPr>
        <w:ind w:left="0"/>
        <w:jc w:val="both"/>
        <w:rPr>
          <w:rFonts w:ascii="Bookman Old Style" w:hAnsi="Bookman Old Style"/>
        </w:rPr>
      </w:pPr>
      <w:r>
        <w:rPr>
          <w:rFonts w:ascii="Bookman Old Style" w:hAnsi="Bookman Old Style"/>
        </w:rPr>
        <w:t>En</w:t>
      </w:r>
      <w:r w:rsidRPr="00595941">
        <w:rPr>
          <w:rFonts w:ascii="Bookman Old Style" w:hAnsi="Bookman Old Style"/>
        </w:rPr>
        <w:t xml:space="preserve"> la Resolución CREG 084 de 2010, la CREG corrigió un error en los cálculos que sirvieron de base para la expedición de la Resolución CREG 12</w:t>
      </w:r>
      <w:r>
        <w:rPr>
          <w:rFonts w:ascii="Bookman Old Style" w:hAnsi="Bookman Old Style"/>
        </w:rPr>
        <w:t>0 de 2009 y modificó dicho acto.</w:t>
      </w:r>
    </w:p>
    <w:p w:rsidR="00DF468B" w:rsidRDefault="00DF468B" w:rsidP="00DF468B">
      <w:pPr>
        <w:ind w:left="0"/>
        <w:jc w:val="both"/>
        <w:rPr>
          <w:rFonts w:ascii="Bookman Old Style" w:hAnsi="Bookman Old Style"/>
        </w:rPr>
      </w:pPr>
    </w:p>
    <w:p w:rsidR="00DF468B" w:rsidRDefault="00DF468B" w:rsidP="00DF468B">
      <w:pPr>
        <w:ind w:left="0"/>
        <w:jc w:val="both"/>
        <w:rPr>
          <w:rFonts w:ascii="Bookman Old Style" w:hAnsi="Bookman Old Style"/>
        </w:rPr>
      </w:pPr>
      <w:r>
        <w:rPr>
          <w:rFonts w:ascii="Bookman Old Style" w:hAnsi="Bookman Old Style"/>
        </w:rPr>
        <w:t>M</w:t>
      </w:r>
      <w:r w:rsidRPr="009D676E">
        <w:rPr>
          <w:rFonts w:ascii="Bookman Old Style" w:hAnsi="Bookman Old Style"/>
        </w:rPr>
        <w:t>ediante la Resolución CREG 082 de 2011, se actualizó el Costo Anual por el Uso de los Activos de Nivel de Tensión 4 y los Costos de Reposición de la Inversión, de la Empresa de Energía de Boyacá S.A. E.S.P., por la entrada en operación comercial de nuevos activos</w:t>
      </w:r>
      <w:r>
        <w:rPr>
          <w:rFonts w:ascii="Bookman Old Style" w:hAnsi="Bookman Old Style"/>
        </w:rPr>
        <w:t>.</w:t>
      </w:r>
    </w:p>
    <w:p w:rsidR="00DF468B" w:rsidRPr="00595941" w:rsidRDefault="00DF468B" w:rsidP="00DF468B">
      <w:pPr>
        <w:ind w:left="0"/>
        <w:jc w:val="both"/>
        <w:rPr>
          <w:rFonts w:ascii="Bookman Old Style" w:hAnsi="Bookman Old Style"/>
        </w:rPr>
      </w:pPr>
      <w:r>
        <w:rPr>
          <w:rFonts w:ascii="Bookman Old Style" w:hAnsi="Bookman Old Style"/>
        </w:rPr>
        <w:lastRenderedPageBreak/>
        <w:t>D</w:t>
      </w:r>
      <w:r w:rsidRPr="00595941">
        <w:rPr>
          <w:rFonts w:ascii="Bookman Old Style" w:hAnsi="Bookman Old Style"/>
        </w:rPr>
        <w:t xml:space="preserve">e acuerdo con el Artículo 9 de la Resolución CREG 097 de 2008, cuando entren en operación nuevos activos  se actualizarán los cargos por uso de los OR, siempre que se cumplan las condiciones establecidas en el capítulo 4 del </w:t>
      </w:r>
      <w:r>
        <w:rPr>
          <w:rFonts w:ascii="Bookman Old Style" w:hAnsi="Bookman Old Style"/>
        </w:rPr>
        <w:t>anexo general de esa resolución.</w:t>
      </w:r>
    </w:p>
    <w:p w:rsidR="00DF468B" w:rsidRPr="00595941" w:rsidRDefault="00DF468B" w:rsidP="00DF468B">
      <w:pPr>
        <w:ind w:left="0"/>
        <w:jc w:val="both"/>
        <w:rPr>
          <w:rFonts w:ascii="Bookman Old Style" w:hAnsi="Bookman Old Style"/>
        </w:rPr>
      </w:pPr>
    </w:p>
    <w:p w:rsidR="00DF468B" w:rsidRDefault="00DF468B" w:rsidP="00DF468B">
      <w:pPr>
        <w:ind w:left="0"/>
        <w:jc w:val="both"/>
        <w:rPr>
          <w:rFonts w:ascii="Bookman Old Style" w:hAnsi="Bookman Old Style"/>
        </w:rPr>
      </w:pPr>
      <w:r>
        <w:rPr>
          <w:rFonts w:ascii="Bookman Old Style" w:hAnsi="Bookman Old Style"/>
        </w:rPr>
        <w:t>L</w:t>
      </w:r>
      <w:r w:rsidRPr="00595941">
        <w:rPr>
          <w:rFonts w:ascii="Bookman Old Style" w:hAnsi="Bookman Old Style"/>
        </w:rPr>
        <w:t>a Empresa Energía de Boyacá S.A. E.S.P., mediante comunica</w:t>
      </w:r>
      <w:r>
        <w:rPr>
          <w:rFonts w:ascii="Bookman Old Style" w:hAnsi="Bookman Old Style"/>
        </w:rPr>
        <w:t>ción con radicado CREG E-2012</w:t>
      </w:r>
      <w:r w:rsidRPr="00595941">
        <w:rPr>
          <w:rFonts w:ascii="Bookman Old Style" w:hAnsi="Bookman Old Style"/>
        </w:rPr>
        <w:t>-00</w:t>
      </w:r>
      <w:r>
        <w:rPr>
          <w:rFonts w:ascii="Bookman Old Style" w:hAnsi="Bookman Old Style"/>
        </w:rPr>
        <w:t>2110</w:t>
      </w:r>
      <w:r w:rsidRPr="00595941">
        <w:rPr>
          <w:rFonts w:ascii="Bookman Old Style" w:hAnsi="Bookman Old Style"/>
        </w:rPr>
        <w:t xml:space="preserve">, solicitó a la CREG la actualización del Costo Anual por el Uso de los Activos de Nivel de Tensión 4 por la entrada en operación </w:t>
      </w:r>
      <w:r w:rsidRPr="009D676E">
        <w:rPr>
          <w:rFonts w:ascii="Bookman Old Style" w:hAnsi="Bookman Old Style"/>
        </w:rPr>
        <w:t>comercial del tercer transformador en la Subestación Paipa 230/115 kV</w:t>
      </w:r>
      <w:r>
        <w:rPr>
          <w:rFonts w:ascii="Bookman Old Style" w:hAnsi="Bookman Old Style"/>
        </w:rPr>
        <w:t>.</w:t>
      </w:r>
    </w:p>
    <w:p w:rsidR="00DF468B" w:rsidRDefault="00DF468B" w:rsidP="00DF468B">
      <w:pPr>
        <w:ind w:left="0"/>
        <w:jc w:val="both"/>
        <w:rPr>
          <w:rFonts w:ascii="Bookman Old Style" w:hAnsi="Bookman Old Style"/>
        </w:rPr>
      </w:pPr>
    </w:p>
    <w:p w:rsidR="00DF468B" w:rsidRPr="00595941" w:rsidRDefault="00DF468B" w:rsidP="00DF468B">
      <w:pPr>
        <w:ind w:left="0"/>
        <w:jc w:val="both"/>
        <w:rPr>
          <w:rFonts w:ascii="Bookman Old Style" w:hAnsi="Bookman Old Style"/>
        </w:rPr>
      </w:pPr>
      <w:r>
        <w:rPr>
          <w:rFonts w:ascii="Bookman Old Style" w:hAnsi="Bookman Old Style"/>
        </w:rPr>
        <w:t>C</w:t>
      </w:r>
      <w:r w:rsidRPr="00595941">
        <w:rPr>
          <w:rFonts w:ascii="Bookman Old Style" w:hAnsi="Bookman Old Style"/>
        </w:rPr>
        <w:t>on la solicitud la Empresa Energía de Boyacá S.A. E.S.P. entregó la siguiente información:</w:t>
      </w:r>
    </w:p>
    <w:p w:rsidR="00DF468B" w:rsidRPr="00DF468B" w:rsidRDefault="00DF468B" w:rsidP="00DF468B">
      <w:pPr>
        <w:ind w:left="0"/>
        <w:jc w:val="both"/>
        <w:rPr>
          <w:rFonts w:ascii="Bookman Old Style" w:hAnsi="Bookman Old Style"/>
          <w:sz w:val="28"/>
        </w:rPr>
      </w:pPr>
    </w:p>
    <w:p w:rsidR="00DF468B" w:rsidRPr="00DF468B" w:rsidRDefault="00DF468B" w:rsidP="00DF468B">
      <w:pPr>
        <w:pStyle w:val="Prrafodelista"/>
        <w:numPr>
          <w:ilvl w:val="0"/>
          <w:numId w:val="38"/>
        </w:numPr>
        <w:jc w:val="both"/>
        <w:rPr>
          <w:rFonts w:ascii="Bookman Old Style" w:hAnsi="Bookman Old Style"/>
          <w:sz w:val="24"/>
        </w:rPr>
      </w:pPr>
      <w:r w:rsidRPr="00DF468B">
        <w:rPr>
          <w:rFonts w:ascii="Bookman Old Style" w:hAnsi="Bookman Old Style"/>
          <w:sz w:val="24"/>
        </w:rPr>
        <w:t>Listado de unidades constructivas que componen el proyecto, con base en las definidas en el capítulo 5 del anexo general de la Resolución CREG 097 de 2008.</w:t>
      </w:r>
    </w:p>
    <w:p w:rsidR="00DF468B" w:rsidRPr="00DF468B" w:rsidRDefault="00DF468B" w:rsidP="00DF468B">
      <w:pPr>
        <w:pStyle w:val="Prrafodelista"/>
        <w:numPr>
          <w:ilvl w:val="0"/>
          <w:numId w:val="38"/>
        </w:numPr>
        <w:jc w:val="both"/>
        <w:rPr>
          <w:rFonts w:ascii="Bookman Old Style" w:hAnsi="Bookman Old Style"/>
          <w:sz w:val="24"/>
        </w:rPr>
      </w:pPr>
      <w:r w:rsidRPr="00DF468B">
        <w:rPr>
          <w:rFonts w:ascii="Bookman Old Style" w:hAnsi="Bookman Old Style"/>
          <w:sz w:val="24"/>
        </w:rPr>
        <w:t>Copia del concepto que sobre el proyecto emitido por la Unidad de Planeación Minero Energética-UPME con radicado UPME 20121500000601 de enero 23 de 2012.</w:t>
      </w:r>
    </w:p>
    <w:p w:rsidR="00DF468B" w:rsidRPr="00DF468B" w:rsidRDefault="00DF468B" w:rsidP="00DF468B">
      <w:pPr>
        <w:pStyle w:val="Prrafodelista"/>
        <w:numPr>
          <w:ilvl w:val="0"/>
          <w:numId w:val="38"/>
        </w:numPr>
        <w:jc w:val="both"/>
        <w:rPr>
          <w:rFonts w:ascii="Bookman Old Style" w:hAnsi="Bookman Old Style"/>
          <w:sz w:val="24"/>
        </w:rPr>
      </w:pPr>
      <w:r w:rsidRPr="00DF468B">
        <w:rPr>
          <w:rFonts w:ascii="Bookman Old Style" w:hAnsi="Bookman Old Style"/>
          <w:sz w:val="24"/>
        </w:rPr>
        <w:t>Copia del certificado expedido por XM sobre la entrada en operación comercial del tercer transformador en la Subestación Paipa 115 kV y de las bahías que lo conectan.</w:t>
      </w:r>
    </w:p>
    <w:p w:rsidR="00DF468B" w:rsidRDefault="00DF468B" w:rsidP="00DF468B">
      <w:pPr>
        <w:ind w:left="0"/>
        <w:jc w:val="both"/>
        <w:rPr>
          <w:rFonts w:ascii="Bookman Old Style" w:hAnsi="Bookman Old Style"/>
        </w:rPr>
      </w:pPr>
    </w:p>
    <w:p w:rsidR="00DF468B" w:rsidRPr="009D676E" w:rsidRDefault="00DF468B" w:rsidP="00DF468B">
      <w:pPr>
        <w:ind w:left="0"/>
        <w:jc w:val="both"/>
        <w:rPr>
          <w:rFonts w:ascii="Bookman Old Style" w:hAnsi="Bookman Old Style"/>
        </w:rPr>
      </w:pPr>
      <w:r>
        <w:rPr>
          <w:rFonts w:ascii="Bookman Old Style" w:hAnsi="Bookman Old Style"/>
        </w:rPr>
        <w:t>Dentro del trámite de la actuación administrativa, e</w:t>
      </w:r>
      <w:r w:rsidRPr="009D676E">
        <w:rPr>
          <w:rFonts w:ascii="Bookman Old Style" w:hAnsi="Bookman Old Style"/>
        </w:rPr>
        <w:t>l día 20 de abril de 2012 funcionarios de la CREG llevaron a cabo una visita a la Subestación Paipa 230/115 kV, la cual fue acompañada por personal de la Empresa de Energía de Boyacá S.A. E.S.P.;</w:t>
      </w:r>
    </w:p>
    <w:p w:rsidR="00DF468B" w:rsidRPr="009D676E" w:rsidRDefault="00DF468B" w:rsidP="00DF468B">
      <w:pPr>
        <w:ind w:left="0"/>
        <w:jc w:val="both"/>
        <w:rPr>
          <w:rFonts w:ascii="Bookman Old Style" w:hAnsi="Bookman Old Style"/>
        </w:rPr>
      </w:pPr>
    </w:p>
    <w:p w:rsidR="00DF468B" w:rsidRDefault="00DF468B" w:rsidP="00DF468B">
      <w:pPr>
        <w:ind w:left="0"/>
        <w:jc w:val="both"/>
        <w:rPr>
          <w:rFonts w:ascii="Bookman Old Style" w:hAnsi="Bookman Old Style"/>
        </w:rPr>
      </w:pPr>
      <w:r>
        <w:rPr>
          <w:rFonts w:ascii="Bookman Old Style" w:hAnsi="Bookman Old Style"/>
        </w:rPr>
        <w:t>M</w:t>
      </w:r>
      <w:r w:rsidRPr="009D676E">
        <w:rPr>
          <w:rFonts w:ascii="Bookman Old Style" w:hAnsi="Bookman Old Style"/>
        </w:rPr>
        <w:t>ediante comunicación UPME 20121500013541, radicada en la CREG con el número E-2012-003948, la Unidad de Planeación Minero Energética dio alcance al concepto emitido</w:t>
      </w:r>
      <w:r>
        <w:rPr>
          <w:rFonts w:ascii="Bookman Old Style" w:hAnsi="Bookman Old Style"/>
        </w:rPr>
        <w:t xml:space="preserve"> retirando la aprobación de algunos de los activos aprobados inicialmente.</w:t>
      </w:r>
    </w:p>
    <w:p w:rsidR="00DF468B" w:rsidRDefault="00DF468B" w:rsidP="00DF468B">
      <w:pPr>
        <w:ind w:left="0"/>
        <w:jc w:val="both"/>
        <w:rPr>
          <w:rFonts w:ascii="Bookman Old Style" w:hAnsi="Bookman Old Style"/>
        </w:rPr>
      </w:pPr>
    </w:p>
    <w:p w:rsidR="00DF468B" w:rsidRDefault="00DF468B" w:rsidP="00DF468B">
      <w:pPr>
        <w:ind w:left="0"/>
        <w:jc w:val="both"/>
        <w:rPr>
          <w:rFonts w:ascii="Bookman Old Style" w:hAnsi="Bookman Old Style"/>
        </w:rPr>
      </w:pPr>
      <w:r>
        <w:rPr>
          <w:rFonts w:ascii="Bookman Old Style" w:hAnsi="Bookman Old Style"/>
        </w:rPr>
        <w:t>La información utilizada para la revisión de los costos y cargos de la Empresa de Energía de Boyacá S.A. E.S.P. corresponde a los activos solicitados por esta empresa, con las características descritas por la misma, pero contrastando lo solicitado con lo aprobado por la UPME y lo verificado en terreno por parte de la CREG.</w:t>
      </w:r>
      <w:r w:rsidRPr="00774857">
        <w:rPr>
          <w:rFonts w:ascii="Bookman Old Style" w:hAnsi="Bookman Old Style"/>
        </w:rPr>
        <w:t xml:space="preserve"> </w:t>
      </w:r>
      <w:r>
        <w:rPr>
          <w:rFonts w:ascii="Bookman Old Style" w:hAnsi="Bookman Old Style"/>
        </w:rPr>
        <w:t>C</w:t>
      </w:r>
      <w:r w:rsidRPr="00595941">
        <w:rPr>
          <w:rFonts w:ascii="Bookman Old Style" w:hAnsi="Bookman Old Style"/>
        </w:rPr>
        <w:t>omo resultado del</w:t>
      </w:r>
      <w:r>
        <w:rPr>
          <w:rFonts w:ascii="Bookman Old Style" w:hAnsi="Bookman Old Style"/>
        </w:rPr>
        <w:t xml:space="preserve"> análisis</w:t>
      </w:r>
      <w:r w:rsidRPr="00595941">
        <w:rPr>
          <w:rFonts w:ascii="Bookman Old Style" w:hAnsi="Bookman Old Style"/>
        </w:rPr>
        <w:t xml:space="preserve"> se ajustó el inve</w:t>
      </w:r>
      <w:r>
        <w:rPr>
          <w:rFonts w:ascii="Bookman Old Style" w:hAnsi="Bookman Old Style"/>
        </w:rPr>
        <w:t>ntario de activos de la empresa, a través de la Resolución CREG 079 de 2012.</w:t>
      </w:r>
    </w:p>
    <w:p w:rsidR="00DF468B" w:rsidRDefault="00DF468B" w:rsidP="00DF468B">
      <w:pPr>
        <w:ind w:left="0"/>
        <w:jc w:val="both"/>
        <w:rPr>
          <w:rFonts w:ascii="Bookman Old Style" w:hAnsi="Bookman Old Style"/>
        </w:rPr>
      </w:pPr>
    </w:p>
    <w:p w:rsidR="00DF468B" w:rsidRPr="00190ADA" w:rsidRDefault="00DF468B" w:rsidP="00DF468B">
      <w:pPr>
        <w:ind w:left="0"/>
        <w:jc w:val="both"/>
        <w:rPr>
          <w:rFonts w:ascii="Bookman Old Style" w:hAnsi="Bookman Old Style"/>
        </w:rPr>
      </w:pPr>
      <w:r>
        <w:rPr>
          <w:rFonts w:ascii="Bookman Old Style" w:hAnsi="Bookman Old Style"/>
        </w:rPr>
        <w:t>M</w:t>
      </w:r>
      <w:r w:rsidRPr="00190ADA">
        <w:rPr>
          <w:rFonts w:ascii="Bookman Old Style" w:hAnsi="Bookman Old Style"/>
        </w:rPr>
        <w:t xml:space="preserve">ediante radicado CREG </w:t>
      </w:r>
      <w:r>
        <w:rPr>
          <w:rFonts w:ascii="Bookman Old Style" w:hAnsi="Bookman Old Style"/>
          <w:lang w:val="es-CO"/>
        </w:rPr>
        <w:t>E-2012-008397</w:t>
      </w:r>
      <w:r w:rsidRPr="00190ADA">
        <w:rPr>
          <w:rFonts w:ascii="Bookman Old Style" w:hAnsi="Bookman Old Style"/>
        </w:rPr>
        <w:t xml:space="preserve"> de fecha </w:t>
      </w:r>
      <w:r>
        <w:rPr>
          <w:rFonts w:ascii="Bookman Old Style" w:hAnsi="Bookman Old Style"/>
        </w:rPr>
        <w:t>31</w:t>
      </w:r>
      <w:r w:rsidRPr="00190ADA">
        <w:rPr>
          <w:rFonts w:ascii="Bookman Old Style" w:hAnsi="Bookman Old Style"/>
        </w:rPr>
        <w:t xml:space="preserve"> de </w:t>
      </w:r>
      <w:r>
        <w:rPr>
          <w:rFonts w:ascii="Bookman Old Style" w:hAnsi="Bookman Old Style"/>
        </w:rPr>
        <w:t xml:space="preserve">agosto </w:t>
      </w:r>
      <w:r w:rsidRPr="00190ADA">
        <w:rPr>
          <w:rFonts w:ascii="Bookman Old Style" w:hAnsi="Bookman Old Style"/>
        </w:rPr>
        <w:t>de 20</w:t>
      </w:r>
      <w:r>
        <w:rPr>
          <w:rFonts w:ascii="Bookman Old Style" w:hAnsi="Bookman Old Style"/>
        </w:rPr>
        <w:t>12</w:t>
      </w:r>
      <w:r w:rsidRPr="00190ADA">
        <w:rPr>
          <w:rFonts w:ascii="Bookman Old Style" w:hAnsi="Bookman Old Style"/>
        </w:rPr>
        <w:t>,</w:t>
      </w:r>
      <w:r>
        <w:rPr>
          <w:rFonts w:ascii="Bookman Old Style" w:hAnsi="Bookman Old Style"/>
        </w:rPr>
        <w:t xml:space="preserve"> la Empresa de Energía de Boyacá</w:t>
      </w:r>
      <w:r w:rsidRPr="007776CD">
        <w:rPr>
          <w:rFonts w:ascii="Bookman Old Style" w:hAnsi="Bookman Old Style"/>
        </w:rPr>
        <w:t xml:space="preserve"> S.A. E.S.P.,</w:t>
      </w:r>
      <w:r w:rsidRPr="00190ADA">
        <w:rPr>
          <w:rFonts w:ascii="Bookman Old Style" w:hAnsi="Bookman Old Style"/>
        </w:rPr>
        <w:t xml:space="preserve"> interpuso un recurso de reposic</w:t>
      </w:r>
      <w:r>
        <w:rPr>
          <w:rFonts w:ascii="Bookman Old Style" w:hAnsi="Bookman Old Style"/>
        </w:rPr>
        <w:t>ión contra la Resolución CREG 079</w:t>
      </w:r>
      <w:r w:rsidRPr="00190ADA">
        <w:rPr>
          <w:rFonts w:ascii="Bookman Old Style" w:hAnsi="Bookman Old Style"/>
        </w:rPr>
        <w:t xml:space="preserve"> de 20</w:t>
      </w:r>
      <w:r>
        <w:rPr>
          <w:rFonts w:ascii="Bookman Old Style" w:hAnsi="Bookman Old Style"/>
        </w:rPr>
        <w:t>12</w:t>
      </w:r>
      <w:r w:rsidRPr="00190ADA">
        <w:rPr>
          <w:rFonts w:ascii="Bookman Old Style" w:hAnsi="Bookman Old Style"/>
        </w:rPr>
        <w:t xml:space="preserve">, con los siguientes argumentos: </w:t>
      </w:r>
    </w:p>
    <w:p w:rsidR="00DF468B" w:rsidRDefault="00DF468B" w:rsidP="00DF468B">
      <w:pPr>
        <w:pStyle w:val="Sangradetextonormal"/>
        <w:spacing w:after="0"/>
        <w:ind w:left="284" w:right="284"/>
        <w:rPr>
          <w:rFonts w:ascii="Bookman Old Style" w:hAnsi="Bookman Old Style"/>
          <w:i/>
        </w:rPr>
      </w:pPr>
    </w:p>
    <w:p w:rsidR="00DF468B" w:rsidRDefault="00DF468B" w:rsidP="00DF468B">
      <w:pPr>
        <w:pStyle w:val="Sangradetextonormal"/>
        <w:spacing w:after="0"/>
        <w:ind w:left="284" w:right="284"/>
        <w:jc w:val="both"/>
        <w:rPr>
          <w:rFonts w:ascii="Bookman Old Style" w:hAnsi="Bookman Old Style"/>
          <w:i/>
          <w:u w:val="single"/>
        </w:rPr>
      </w:pPr>
      <w:r w:rsidRPr="00403F64">
        <w:rPr>
          <w:rFonts w:ascii="Bookman Old Style" w:hAnsi="Bookman Old Style"/>
          <w:i/>
        </w:rPr>
        <w:t>“</w:t>
      </w:r>
      <w:r>
        <w:rPr>
          <w:rFonts w:ascii="Bookman Old Style" w:hAnsi="Bookman Old Style"/>
          <w:i/>
        </w:rPr>
        <w:t xml:space="preserve">1. </w:t>
      </w:r>
      <w:r w:rsidRPr="00C16E75">
        <w:rPr>
          <w:rFonts w:ascii="Bookman Old Style" w:hAnsi="Bookman Old Style"/>
          <w:i/>
          <w:u w:val="single"/>
        </w:rPr>
        <w:t xml:space="preserve">Mediante resolución CREG 120 de 2009, se dio aprobación al Costo Anual por el uso de los activos de nivel de tensión 4 de la Empresa de Energía de Boyacá S. A. En esta resolución la Comisión aprobó el costo considerando el contrato de conexión al STN entre EBSA y DIACO, suscrito </w:t>
      </w:r>
      <w:r w:rsidRPr="00C16E75">
        <w:rPr>
          <w:rFonts w:ascii="Bookman Old Style" w:hAnsi="Bookman Old Style"/>
          <w:i/>
          <w:u w:val="single"/>
        </w:rPr>
        <w:lastRenderedPageBreak/>
        <w:t>con anterioridad a la entrada en vigencia de la resolución CREG 097 de 2008, de conformidad con la participación en las demandas máximas: 75% por uso y 25% por conexión al STN de DIACO.</w:t>
      </w:r>
    </w:p>
    <w:p w:rsidR="00DF468B" w:rsidRPr="00C16E75" w:rsidRDefault="00DF468B" w:rsidP="00DF468B">
      <w:pPr>
        <w:pStyle w:val="Sangradetextonormal"/>
        <w:spacing w:after="0"/>
        <w:ind w:left="284" w:right="284"/>
        <w:jc w:val="both"/>
        <w:rPr>
          <w:rFonts w:ascii="Bookman Old Style" w:hAnsi="Bookman Old Style"/>
          <w:i/>
          <w:u w:val="single"/>
        </w:rPr>
      </w:pPr>
    </w:p>
    <w:p w:rsidR="00DF468B" w:rsidRDefault="00DF468B" w:rsidP="00DF468B">
      <w:pPr>
        <w:pStyle w:val="Sangradetextonormal"/>
        <w:spacing w:after="0"/>
        <w:ind w:left="284" w:right="284"/>
        <w:jc w:val="both"/>
        <w:rPr>
          <w:rFonts w:ascii="Bookman Old Style" w:hAnsi="Bookman Old Style"/>
          <w:i/>
        </w:rPr>
      </w:pPr>
      <w:r>
        <w:rPr>
          <w:rFonts w:ascii="Bookman Old Style" w:hAnsi="Bookman Old Style"/>
          <w:i/>
        </w:rPr>
        <w:t xml:space="preserve">2. </w:t>
      </w:r>
      <w:r w:rsidRPr="00710BE1">
        <w:rPr>
          <w:rFonts w:ascii="Bookman Old Style" w:hAnsi="Bookman Old Style"/>
          <w:i/>
        </w:rPr>
        <w:t>La resolución CREG 079 de 2012, actualizó el Costo Anual por el uso de los activos de nivel de tensión 4, conforme a la puesta en servicio del tercer transformador de 90 MVA en la subestación Paipa 230/115 kV y otros activos asociados, de acuerdo con la metodología de la resolución CREG 097 de 2008</w:t>
      </w:r>
      <w:r>
        <w:rPr>
          <w:rFonts w:ascii="Bookman Old Style" w:hAnsi="Bookman Old Style"/>
          <w:i/>
        </w:rPr>
        <w:t>.</w:t>
      </w:r>
    </w:p>
    <w:p w:rsidR="00DF468B" w:rsidRDefault="00DF468B" w:rsidP="00DF468B">
      <w:pPr>
        <w:pStyle w:val="Sangradetextonormal"/>
        <w:spacing w:after="0"/>
        <w:ind w:left="284" w:right="284"/>
        <w:jc w:val="both"/>
        <w:rPr>
          <w:rFonts w:ascii="Bookman Old Style" w:hAnsi="Bookman Old Style"/>
          <w:i/>
        </w:rPr>
      </w:pPr>
    </w:p>
    <w:p w:rsidR="00DF468B" w:rsidRPr="008504FD" w:rsidRDefault="00DF468B" w:rsidP="00DF468B">
      <w:pPr>
        <w:pStyle w:val="Sangradetextonormal"/>
        <w:spacing w:after="0"/>
        <w:ind w:left="284" w:right="284"/>
        <w:jc w:val="both"/>
        <w:rPr>
          <w:rFonts w:ascii="Bookman Old Style" w:hAnsi="Bookman Old Style"/>
          <w:i/>
          <w:u w:val="single"/>
        </w:rPr>
      </w:pPr>
      <w:r w:rsidRPr="00710BE1">
        <w:rPr>
          <w:rFonts w:ascii="Bookman Old Style" w:hAnsi="Bookman Old Style"/>
          <w:i/>
        </w:rPr>
        <w:t>3.</w:t>
      </w:r>
      <w:r>
        <w:rPr>
          <w:rFonts w:ascii="Bookman Old Style" w:hAnsi="Bookman Old Style"/>
          <w:i/>
        </w:rPr>
        <w:t xml:space="preserve"> </w:t>
      </w:r>
      <w:r w:rsidRPr="00710BE1">
        <w:rPr>
          <w:rFonts w:ascii="Bookman Old Style" w:hAnsi="Bookman Old Style"/>
          <w:i/>
        </w:rPr>
        <w:t>Sin embargo, la resolución CREG 079 de 2012 determinó la actualización del costo anual de las nuevas unidades constructivas, para ser remuneradas al</w:t>
      </w:r>
      <w:r>
        <w:rPr>
          <w:rFonts w:ascii="Bookman Old Style" w:hAnsi="Bookman Old Style"/>
          <w:i/>
        </w:rPr>
        <w:t xml:space="preserve"> </w:t>
      </w:r>
      <w:r w:rsidRPr="00710BE1">
        <w:rPr>
          <w:rFonts w:ascii="Bookman Old Style" w:hAnsi="Bookman Old Style"/>
          <w:i/>
        </w:rPr>
        <w:t xml:space="preserve">100% mediante cargos por uso, </w:t>
      </w:r>
      <w:r w:rsidRPr="008504FD">
        <w:rPr>
          <w:rFonts w:ascii="Bookman Old Style" w:hAnsi="Bookman Old Style"/>
          <w:i/>
          <w:u w:val="single"/>
        </w:rPr>
        <w:t>sin considerar la proporción de la demanda máxima de la conexión de DIACO en los nuevos activos de la subestación citada.</w:t>
      </w:r>
    </w:p>
    <w:p w:rsidR="00DF468B" w:rsidRDefault="00DF468B" w:rsidP="00DF468B">
      <w:pPr>
        <w:pStyle w:val="Sangradetextonormal"/>
        <w:spacing w:after="0"/>
        <w:ind w:left="284" w:right="284"/>
        <w:jc w:val="both"/>
        <w:rPr>
          <w:rFonts w:ascii="Bookman Old Style" w:hAnsi="Bookman Old Style"/>
          <w:i/>
        </w:rPr>
      </w:pPr>
    </w:p>
    <w:p w:rsidR="00DF468B" w:rsidRPr="00710BE1" w:rsidRDefault="00DF468B" w:rsidP="00DF468B">
      <w:pPr>
        <w:pStyle w:val="Sangradetextonormal"/>
        <w:spacing w:after="0"/>
        <w:ind w:left="284" w:right="284"/>
        <w:jc w:val="both"/>
        <w:rPr>
          <w:rFonts w:ascii="Bookman Old Style" w:hAnsi="Bookman Old Style"/>
          <w:i/>
        </w:rPr>
      </w:pPr>
      <w:r>
        <w:rPr>
          <w:rFonts w:ascii="Bookman Old Style" w:hAnsi="Bookman Old Style"/>
          <w:i/>
        </w:rPr>
        <w:t xml:space="preserve">4. </w:t>
      </w:r>
      <w:r w:rsidRPr="00710BE1">
        <w:rPr>
          <w:rFonts w:ascii="Bookman Old Style" w:hAnsi="Bookman Old Style"/>
          <w:i/>
        </w:rPr>
        <w:t>En la visita técnica realizada por la CREG el día 20 de abril de 2012, se verificó la consistencia de las unidades constructivas instaladas en la subes</w:t>
      </w:r>
      <w:r>
        <w:rPr>
          <w:rFonts w:ascii="Bookman Old Style" w:hAnsi="Bookman Old Style"/>
          <w:i/>
        </w:rPr>
        <w:t>tación Paipa con el diagrama uni</w:t>
      </w:r>
      <w:r w:rsidRPr="00710BE1">
        <w:rPr>
          <w:rFonts w:ascii="Bookman Old Style" w:hAnsi="Bookman Old Style"/>
          <w:i/>
        </w:rPr>
        <w:t>f</w:t>
      </w:r>
      <w:r>
        <w:rPr>
          <w:rFonts w:ascii="Bookman Old Style" w:hAnsi="Bookman Old Style"/>
          <w:i/>
        </w:rPr>
        <w:t>i</w:t>
      </w:r>
      <w:r w:rsidRPr="00710BE1">
        <w:rPr>
          <w:rFonts w:ascii="Bookman Old Style" w:hAnsi="Bookman Old Style"/>
          <w:i/>
        </w:rPr>
        <w:t>lar suministrado por EBSA a la CREG, donde se indica claramente la conexión al STN del cliente industrial DIACO.</w:t>
      </w:r>
    </w:p>
    <w:p w:rsidR="00DF468B" w:rsidRDefault="00DF468B" w:rsidP="00DF468B">
      <w:pPr>
        <w:pStyle w:val="Sangradetextonormal"/>
        <w:spacing w:after="0"/>
        <w:ind w:left="284" w:right="284"/>
        <w:jc w:val="both"/>
        <w:rPr>
          <w:rFonts w:ascii="Bookman Old Style" w:hAnsi="Bookman Old Style"/>
          <w:i/>
        </w:rPr>
      </w:pPr>
    </w:p>
    <w:p w:rsidR="00DF468B" w:rsidRPr="008504FD" w:rsidRDefault="00DF468B" w:rsidP="00DF468B">
      <w:pPr>
        <w:pStyle w:val="Sangradetextonormal"/>
        <w:spacing w:after="0"/>
        <w:ind w:left="284" w:right="284"/>
        <w:jc w:val="both"/>
        <w:rPr>
          <w:rFonts w:ascii="Bookman Old Style" w:hAnsi="Bookman Old Style"/>
          <w:i/>
          <w:u w:val="single"/>
        </w:rPr>
      </w:pPr>
      <w:r w:rsidRPr="00710BE1">
        <w:rPr>
          <w:rFonts w:ascii="Bookman Old Style" w:hAnsi="Bookman Old Style"/>
          <w:i/>
        </w:rPr>
        <w:t xml:space="preserve">Conforme a lo anterior, dentro de los términos establecidos interponemos recurso de reposición en contra de lo establecido en los artículos 1 y 2 de la resolución CREG 079 de 2012 </w:t>
      </w:r>
      <w:r w:rsidRPr="008504FD">
        <w:rPr>
          <w:rFonts w:ascii="Bookman Old Style" w:hAnsi="Bookman Old Style"/>
          <w:i/>
          <w:u w:val="single"/>
        </w:rPr>
        <w:t>para solicitar se remuneren las nuevas unidades constructivas objeto de dicha resolución, en proporción de los activos que son utilizados como uso y conexión”</w:t>
      </w:r>
    </w:p>
    <w:p w:rsidR="00DF468B" w:rsidRPr="00444EB6" w:rsidRDefault="00DF468B" w:rsidP="00DF468B">
      <w:pPr>
        <w:pStyle w:val="Sangradetextonormal"/>
        <w:spacing w:after="0"/>
        <w:ind w:left="284" w:right="284"/>
        <w:jc w:val="both"/>
        <w:rPr>
          <w:rFonts w:ascii="Bookman Old Style" w:hAnsi="Bookman Old Style"/>
          <w:i/>
        </w:rPr>
      </w:pPr>
    </w:p>
    <w:p w:rsidR="00DF468B" w:rsidRPr="00D341C1" w:rsidRDefault="00DF468B" w:rsidP="00DF468B">
      <w:pPr>
        <w:numPr>
          <w:ilvl w:val="0"/>
          <w:numId w:val="18"/>
        </w:numPr>
        <w:overflowPunct w:val="0"/>
        <w:autoSpaceDE w:val="0"/>
        <w:autoSpaceDN w:val="0"/>
        <w:adjustRightInd w:val="0"/>
        <w:ind w:left="0" w:firstLine="0"/>
        <w:jc w:val="both"/>
        <w:textAlignment w:val="baseline"/>
        <w:rPr>
          <w:rFonts w:ascii="Bookman Old Style" w:hAnsi="Bookman Old Style"/>
          <w:b/>
          <w:bCs/>
        </w:rPr>
      </w:pPr>
      <w:r w:rsidRPr="00D341C1">
        <w:rPr>
          <w:rFonts w:ascii="Bookman Old Style" w:hAnsi="Bookman Old Style"/>
          <w:b/>
          <w:bCs/>
        </w:rPr>
        <w:t>CONSIDERACIONES DE LA CREG.</w:t>
      </w:r>
    </w:p>
    <w:p w:rsidR="00DF468B" w:rsidRDefault="00DF468B" w:rsidP="00DF468B">
      <w:pPr>
        <w:pStyle w:val="Textoindependiente2"/>
        <w:spacing w:after="0" w:line="240" w:lineRule="auto"/>
        <w:ind w:left="0"/>
        <w:rPr>
          <w:rFonts w:ascii="Bookman Old Style" w:hAnsi="Bookman Old Style"/>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Mediante comunicación con radicado CREG E-2012-002110 la Empresa de Energía de Boyacá solicitó la actualización costo anual por el uso de los activos de nivel de tensión 4 por la entrada en operación comercial del tercer transformador en la subestación Paipa 230/115 kV de 90 MVA. </w:t>
      </w:r>
    </w:p>
    <w:p w:rsidR="00DF468B" w:rsidRDefault="00DF468B" w:rsidP="00DF468B">
      <w:pPr>
        <w:pStyle w:val="Textoindependiente2"/>
        <w:spacing w:after="0" w:line="240" w:lineRule="auto"/>
        <w:ind w:left="0"/>
        <w:jc w:val="both"/>
        <w:rPr>
          <w:rFonts w:ascii="Bookman Old Style" w:hAnsi="Bookman Old Style"/>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Adjunto a esta solicitud, la empresa presentó un cuadro con la valoración que hizo para cada uno de los activos solicitados, con base en la metodología y las unidades constructivas  establecidas en la Resolución CREG 097 de 2008.</w:t>
      </w:r>
      <w:r w:rsidRPr="004D71FB">
        <w:rPr>
          <w:rFonts w:ascii="Bookman Old Style" w:hAnsi="Bookman Old Style"/>
          <w:lang w:val="es-CO"/>
        </w:rPr>
        <w:t xml:space="preserve"> </w:t>
      </w:r>
      <w:r>
        <w:rPr>
          <w:rFonts w:ascii="Bookman Old Style" w:hAnsi="Bookman Old Style"/>
          <w:lang w:val="es-CO"/>
        </w:rPr>
        <w:t>Este cuadro se muestra a continuación:</w:t>
      </w:r>
    </w:p>
    <w:p w:rsidR="00DF468B" w:rsidRDefault="004F3C20" w:rsidP="00DF468B">
      <w:pPr>
        <w:pStyle w:val="Textoindependiente2"/>
        <w:spacing w:after="0" w:line="240" w:lineRule="auto"/>
        <w:ind w:left="0"/>
        <w:jc w:val="both"/>
        <w:rPr>
          <w:rFonts w:ascii="Bookman Old Style" w:hAnsi="Bookman Old Style"/>
          <w:lang w:val="es-CO"/>
        </w:rPr>
      </w:pPr>
      <w:r w:rsidRPr="004F3C20">
        <w:rPr>
          <w:noProof/>
          <w:lang w:val="es-CO" w:eastAsia="es-CO"/>
        </w:rPr>
        <w:drawing>
          <wp:inline distT="0" distB="0" distL="0" distR="0" wp14:anchorId="6F5CD722" wp14:editId="57B616C8">
            <wp:extent cx="5850890" cy="203107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890" cy="2031078"/>
                    </a:xfrm>
                    <a:prstGeom prst="rect">
                      <a:avLst/>
                    </a:prstGeom>
                    <a:noFill/>
                    <a:ln>
                      <a:noFill/>
                    </a:ln>
                  </pic:spPr>
                </pic:pic>
              </a:graphicData>
            </a:graphic>
          </wp:inline>
        </w:drawing>
      </w: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lastRenderedPageBreak/>
        <w:t xml:space="preserve">Al revisar los cálculos hechos por la empresa y compararlos con los cálculos hechos por la CREG se encuentra que tanto la empresa como la Comisión tomaron los mismos porcentajes de uso para los activos </w:t>
      </w:r>
      <w:r w:rsidR="009E4C2B">
        <w:rPr>
          <w:rFonts w:ascii="Bookman Old Style" w:hAnsi="Bookman Old Style"/>
          <w:lang w:val="es-CO"/>
        </w:rPr>
        <w:t>reconocidos a la empresa en la R</w:t>
      </w:r>
      <w:r>
        <w:rPr>
          <w:rFonts w:ascii="Bookman Old Style" w:hAnsi="Bookman Old Style"/>
          <w:lang w:val="es-CO"/>
        </w:rPr>
        <w:t>esolución CREG 079 de 2012, es decir un porcentaje de uso del 100%.</w:t>
      </w:r>
    </w:p>
    <w:p w:rsidR="00DF468B" w:rsidRDefault="00DF468B" w:rsidP="00DF468B">
      <w:pPr>
        <w:pStyle w:val="Textoindependiente2"/>
        <w:spacing w:after="0" w:line="240" w:lineRule="auto"/>
        <w:ind w:left="0"/>
        <w:jc w:val="both"/>
        <w:rPr>
          <w:rFonts w:ascii="Bookman Old Style" w:hAnsi="Bookman Old Style"/>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De lo anterior, se concluye que la CREG no tomó una información diferente a la suministrada por la Empresa de Energía de Boyacá S.A. E.S.P., y que esta empresa es la responsable de reportar los porcentajes de uso de los activos que opera, para que sean tenidos en cuenta en el cálculo de sus tarifas en virtud de lo dispuesto en la Resolución CREG 097 de 2008.</w:t>
      </w:r>
    </w:p>
    <w:p w:rsidR="00DF468B" w:rsidRDefault="00DF468B" w:rsidP="00DF468B">
      <w:pPr>
        <w:pStyle w:val="Textoindependiente2"/>
        <w:spacing w:after="0" w:line="240" w:lineRule="auto"/>
        <w:ind w:left="0"/>
        <w:jc w:val="both"/>
        <w:rPr>
          <w:rFonts w:ascii="Bookman Old Style" w:hAnsi="Bookman Old Style"/>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Adicionalmente, el artículo 7 de la Resolución CREG 097 de 2008 establece:</w:t>
      </w:r>
    </w:p>
    <w:p w:rsidR="00DF468B" w:rsidRDefault="00DF468B" w:rsidP="00DF468B">
      <w:pPr>
        <w:pStyle w:val="Textoindependiente2"/>
        <w:spacing w:after="0" w:line="240" w:lineRule="auto"/>
        <w:ind w:left="0"/>
        <w:jc w:val="both"/>
        <w:rPr>
          <w:rFonts w:ascii="Bookman Old Style" w:hAnsi="Bookman Old Style"/>
          <w:sz w:val="20"/>
          <w:lang w:val="es-CO"/>
        </w:rPr>
      </w:pPr>
    </w:p>
    <w:p w:rsidR="00DF468B" w:rsidRPr="00EA38B9" w:rsidRDefault="00DF468B" w:rsidP="00DF468B">
      <w:pPr>
        <w:pStyle w:val="Textoindependiente2"/>
        <w:spacing w:after="0" w:line="240" w:lineRule="auto"/>
        <w:ind w:left="284" w:right="284"/>
        <w:jc w:val="both"/>
        <w:rPr>
          <w:rFonts w:ascii="Bookman Old Style" w:hAnsi="Bookman Old Style"/>
          <w:sz w:val="20"/>
          <w:lang w:val="es-CO"/>
        </w:rPr>
      </w:pPr>
      <w:r w:rsidRPr="00EA38B9">
        <w:rPr>
          <w:rFonts w:ascii="Bookman Old Style" w:hAnsi="Bookman Old Style"/>
          <w:sz w:val="20"/>
          <w:lang w:val="es-CO"/>
        </w:rPr>
        <w:t>“</w:t>
      </w:r>
      <w:r w:rsidRPr="00EA38B9">
        <w:rPr>
          <w:rFonts w:ascii="Bookman Old Style" w:hAnsi="Bookman Old Style"/>
          <w:b/>
          <w:sz w:val="20"/>
          <w:lang w:val="es-CO"/>
        </w:rPr>
        <w:t>Artículo 7. Tratamiento de activos de conexión al STN.</w:t>
      </w:r>
      <w:r w:rsidRPr="00EA38B9">
        <w:rPr>
          <w:rFonts w:ascii="Bookman Old Style" w:hAnsi="Bookman Old Style"/>
          <w:sz w:val="20"/>
          <w:lang w:val="es-CO"/>
        </w:rPr>
        <w:t xml:space="preserve"> Los activos de Conexión del OR al STN que utilizan los OR serán considerados en el cálculo de los costos del STR y se remunerarán vía cargos por uso, sin perjuicio de los contratos de conexión que existan con el propietario de los activos.</w:t>
      </w:r>
    </w:p>
    <w:p w:rsidR="00DF468B" w:rsidRDefault="00DF468B" w:rsidP="00DF468B">
      <w:pPr>
        <w:pStyle w:val="Textoindependiente2"/>
        <w:spacing w:after="0" w:line="240" w:lineRule="auto"/>
        <w:ind w:left="284" w:right="284"/>
        <w:jc w:val="both"/>
        <w:rPr>
          <w:rFonts w:ascii="Bookman Old Style" w:hAnsi="Bookman Old Style"/>
          <w:sz w:val="20"/>
          <w:lang w:val="es-CO"/>
        </w:rPr>
      </w:pPr>
    </w:p>
    <w:p w:rsidR="00DF468B" w:rsidRPr="00EA38B9" w:rsidRDefault="00DF468B" w:rsidP="00DF468B">
      <w:pPr>
        <w:pStyle w:val="Textoindependiente2"/>
        <w:spacing w:after="0" w:line="240" w:lineRule="auto"/>
        <w:ind w:left="284" w:right="284"/>
        <w:jc w:val="both"/>
        <w:rPr>
          <w:rFonts w:ascii="Bookman Old Style" w:hAnsi="Bookman Old Style"/>
          <w:sz w:val="20"/>
          <w:lang w:val="es-CO"/>
        </w:rPr>
      </w:pPr>
      <w:r w:rsidRPr="00EA38B9">
        <w:rPr>
          <w:rFonts w:ascii="Bookman Old Style" w:hAnsi="Bookman Old Style"/>
          <w:sz w:val="20"/>
          <w:lang w:val="es-CO"/>
        </w:rPr>
        <w:t>A partir de la entrada en vigencia de la presente Resolución, los usuarios finales que se conecten a activos que están siendo remunerados a los OR mediante cargos por uso, se entenderán conectados a un STR o SDL y por lo tanto pagarán los cargos por uso respectivos.</w:t>
      </w:r>
    </w:p>
    <w:p w:rsidR="00DF468B" w:rsidRDefault="00DF468B" w:rsidP="00DF468B">
      <w:pPr>
        <w:pStyle w:val="Textoindependiente2"/>
        <w:spacing w:after="0" w:line="240" w:lineRule="auto"/>
        <w:ind w:left="284" w:right="284"/>
        <w:jc w:val="both"/>
        <w:rPr>
          <w:rFonts w:ascii="Bookman Old Style" w:hAnsi="Bookman Old Style"/>
          <w:b/>
          <w:sz w:val="20"/>
          <w:lang w:val="es-CO"/>
        </w:rPr>
      </w:pPr>
    </w:p>
    <w:p w:rsidR="00DF468B" w:rsidRPr="008504FD" w:rsidRDefault="00DF468B" w:rsidP="00DF468B">
      <w:pPr>
        <w:pStyle w:val="Textoindependiente2"/>
        <w:spacing w:after="0" w:line="240" w:lineRule="auto"/>
        <w:ind w:left="284" w:right="284"/>
        <w:jc w:val="both"/>
        <w:rPr>
          <w:rFonts w:ascii="Bookman Old Style" w:hAnsi="Bookman Old Style"/>
          <w:sz w:val="20"/>
          <w:u w:val="single"/>
          <w:lang w:val="es-CO"/>
        </w:rPr>
      </w:pPr>
      <w:r w:rsidRPr="00EA38B9">
        <w:rPr>
          <w:rFonts w:ascii="Bookman Old Style" w:hAnsi="Bookman Old Style"/>
          <w:b/>
          <w:sz w:val="20"/>
          <w:lang w:val="es-CO"/>
        </w:rPr>
        <w:t>Parágrafo.</w:t>
      </w:r>
      <w:r w:rsidRPr="00EA38B9">
        <w:rPr>
          <w:rFonts w:ascii="Bookman Old Style" w:hAnsi="Bookman Old Style"/>
          <w:sz w:val="20"/>
          <w:lang w:val="es-CO"/>
        </w:rPr>
        <w:t xml:space="preserve"> </w:t>
      </w:r>
      <w:r w:rsidRPr="009E4C2B">
        <w:rPr>
          <w:rFonts w:ascii="Bookman Old Style" w:hAnsi="Bookman Old Style"/>
          <w:sz w:val="20"/>
          <w:u w:val="single"/>
          <w:lang w:val="es-CO"/>
        </w:rPr>
        <w:t>Para las situaciones particulares y concretas consolidadas con anterioridad a la entrada en vigencia de la presente resolución, en las que se tengan usuarios finales considerados como conectados directamente al STN, no habrá lugar al cobro de cargos por uso del STR o SDL</w:t>
      </w:r>
      <w:r w:rsidRPr="00EA38B9">
        <w:rPr>
          <w:rFonts w:ascii="Bookman Old Style" w:hAnsi="Bookman Old Style"/>
          <w:sz w:val="20"/>
          <w:lang w:val="es-CO"/>
        </w:rPr>
        <w:t xml:space="preserve">. Para este efecto, se entiende que un usuario final está conectado directamente al STN cuando el equipo que esta instalado entre su punto de conexión y el STN corresponde a activos de transformación con tensión primaria del STN y sus módulos asociados incluyendo, solo para estos casos, el barraje del lado de baja tensión. </w:t>
      </w:r>
      <w:r w:rsidRPr="008504FD">
        <w:rPr>
          <w:rFonts w:ascii="Bookman Old Style" w:hAnsi="Bookman Old Style"/>
          <w:sz w:val="20"/>
          <w:u w:val="single"/>
          <w:lang w:val="es-CO"/>
        </w:rPr>
        <w:t>En estas condiciones sólo se remunerará vía cargos por uso la proporción de los activos que utiliza el (los) OR. Los porcentajes de participación en el uso para remunerar el activo entre quienes lo utilizan, se determinan en proporción a las demandas máximas de cada una de las partes.”</w:t>
      </w:r>
      <w:r>
        <w:rPr>
          <w:rFonts w:ascii="Bookman Old Style" w:hAnsi="Bookman Old Style"/>
          <w:sz w:val="20"/>
          <w:u w:val="single"/>
          <w:lang w:val="es-CO"/>
        </w:rPr>
        <w:t xml:space="preserve"> (Resaltado fuera de texto)</w:t>
      </w:r>
    </w:p>
    <w:p w:rsidR="00DF468B" w:rsidRDefault="00DF468B" w:rsidP="00DF468B">
      <w:pPr>
        <w:pStyle w:val="Textoindependiente2"/>
        <w:spacing w:after="0" w:line="240" w:lineRule="auto"/>
        <w:ind w:left="0"/>
        <w:jc w:val="both"/>
        <w:rPr>
          <w:rFonts w:ascii="Bookman Old Style" w:hAnsi="Bookman Old Style"/>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Del anterior parágrafo se entiende que los usuarios cuya frontera estuviese</w:t>
      </w:r>
      <w:r w:rsidR="009E4C2B">
        <w:rPr>
          <w:rFonts w:ascii="Bookman Old Style" w:hAnsi="Bookman Old Style"/>
          <w:lang w:val="es-CO"/>
        </w:rPr>
        <w:t xml:space="preserve"> registrada</w:t>
      </w:r>
      <w:r>
        <w:rPr>
          <w:rFonts w:ascii="Bookman Old Style" w:hAnsi="Bookman Old Style"/>
          <w:lang w:val="es-CO"/>
        </w:rPr>
        <w:t xml:space="preserve"> en el STN antes de la entrada en vigencia de la Resolución CREG 097 de 2008, conservarían la condición de usuarios conectados al STN, toda vez que se entendían como “situaciones jurídicas consolidadas”, la cuales habrán de respetarse en virtud de lo establecido en el artículo 58 constitucional.</w:t>
      </w:r>
      <w:r>
        <w:rPr>
          <w:rStyle w:val="Refdenotaalpie"/>
          <w:rFonts w:ascii="Bookman Old Style" w:hAnsi="Bookman Old Style"/>
          <w:lang w:val="es-CO"/>
        </w:rPr>
        <w:footnoteReference w:id="1"/>
      </w: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lastRenderedPageBreak/>
        <w:t>No obstante</w:t>
      </w:r>
      <w:r w:rsidR="009E4C2B">
        <w:rPr>
          <w:rFonts w:ascii="Bookman Old Style" w:hAnsi="Bookman Old Style"/>
          <w:lang w:val="es-CO"/>
        </w:rPr>
        <w:t>,</w:t>
      </w:r>
      <w:r>
        <w:rPr>
          <w:rFonts w:ascii="Bookman Old Style" w:hAnsi="Bookman Old Style"/>
          <w:lang w:val="es-CO"/>
        </w:rPr>
        <w:t xml:space="preserve"> la CREG establece que el caso del usuario </w:t>
      </w:r>
      <w:proofErr w:type="spellStart"/>
      <w:r>
        <w:rPr>
          <w:rFonts w:ascii="Bookman Old Style" w:hAnsi="Bookman Old Style"/>
          <w:lang w:val="es-CO"/>
        </w:rPr>
        <w:t>Diaco</w:t>
      </w:r>
      <w:proofErr w:type="spellEnd"/>
      <w:r>
        <w:rPr>
          <w:rFonts w:ascii="Bookman Old Style" w:hAnsi="Bookman Old Style"/>
          <w:lang w:val="es-CO"/>
        </w:rPr>
        <w:t xml:space="preserve"> no se ajusta a la situación descrita en el parágrafo del artículo 7 de la Resolución CREG 097 de 2008, debido a que este usuario tenía registrada su frontera en el nivel de tensión 4 y no en el STN. El registro de la frontera de este usuario en el STN se dio a partir del día 1 de noviembre del año 2009, de acuerdo con la información suministrada al CREG por XM mediante comunicación</w:t>
      </w:r>
      <w:r w:rsidR="009E4C2B">
        <w:rPr>
          <w:rFonts w:ascii="Bookman Old Style" w:hAnsi="Bookman Old Style"/>
          <w:lang w:val="es-CO"/>
        </w:rPr>
        <w:t xml:space="preserve"> radicada en la </w:t>
      </w:r>
      <w:r>
        <w:rPr>
          <w:rFonts w:ascii="Bookman Old Style" w:hAnsi="Bookman Old Style"/>
          <w:lang w:val="es-CO"/>
        </w:rPr>
        <w:t xml:space="preserve">CREG </w:t>
      </w:r>
      <w:r w:rsidR="009E4C2B">
        <w:rPr>
          <w:rFonts w:ascii="Bookman Old Style" w:hAnsi="Bookman Old Style"/>
          <w:lang w:val="es-CO"/>
        </w:rPr>
        <w:t xml:space="preserve">con el número </w:t>
      </w:r>
      <w:r>
        <w:rPr>
          <w:rFonts w:ascii="Bookman Old Style" w:hAnsi="Bookman Old Style"/>
          <w:lang w:val="es-CO"/>
        </w:rPr>
        <w:t>E-2010-002534.</w:t>
      </w:r>
    </w:p>
    <w:p w:rsidR="00DF468B" w:rsidRPr="007362DF" w:rsidRDefault="00DF468B" w:rsidP="00DF468B">
      <w:pPr>
        <w:pStyle w:val="Textoindependiente2"/>
        <w:spacing w:after="0" w:line="240" w:lineRule="auto"/>
        <w:ind w:left="0"/>
        <w:jc w:val="both"/>
        <w:rPr>
          <w:rFonts w:ascii="Bookman Old Style" w:hAnsi="Bookman Old Style"/>
          <w:sz w:val="20"/>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Lo anterior muestra que no existe una razón justificada para que la CREG hubiese tomado </w:t>
      </w:r>
      <w:r w:rsidRPr="00A31BA6">
        <w:rPr>
          <w:rFonts w:ascii="Bookman Old Style" w:hAnsi="Bookman Old Style"/>
          <w:lang w:val="es-CO"/>
        </w:rPr>
        <w:t xml:space="preserve">la proporción de la demanda máxima de la conexión de DIACO en los nuevos activos de la subestación </w:t>
      </w:r>
      <w:r>
        <w:rPr>
          <w:rFonts w:ascii="Bookman Old Style" w:hAnsi="Bookman Old Style"/>
          <w:lang w:val="es-CO"/>
        </w:rPr>
        <w:t>Paipa, tal como lo solicita en su recurso de reposición la Empresa de Energía de Boyacá S.A. E.S.P., en virtud de lo dispuesto en la Resolución CREG 097 de 2008.</w:t>
      </w:r>
    </w:p>
    <w:p w:rsidR="00DF468B" w:rsidRPr="007362DF" w:rsidRDefault="00DF468B" w:rsidP="00DF468B">
      <w:pPr>
        <w:pStyle w:val="Textoindependiente2"/>
        <w:spacing w:after="0" w:line="240" w:lineRule="auto"/>
        <w:ind w:left="0"/>
        <w:jc w:val="both"/>
        <w:rPr>
          <w:rFonts w:ascii="Bookman Old Style" w:hAnsi="Bookman Old Style"/>
          <w:sz w:val="20"/>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Ahora bien, es importante anotar que la afirmación hecha en el recurso de reposición respecto a que en la R</w:t>
      </w:r>
      <w:r w:rsidRPr="006B5D28">
        <w:rPr>
          <w:rFonts w:ascii="Bookman Old Style" w:hAnsi="Bookman Old Style"/>
          <w:lang w:val="es-CO"/>
        </w:rPr>
        <w:t>esolución</w:t>
      </w:r>
      <w:r>
        <w:rPr>
          <w:rFonts w:ascii="Bookman Old Style" w:hAnsi="Bookman Old Style"/>
          <w:lang w:val="es-CO"/>
        </w:rPr>
        <w:t xml:space="preserve"> CREG 120 de 2009</w:t>
      </w:r>
      <w:r w:rsidRPr="006B5D28">
        <w:rPr>
          <w:rFonts w:ascii="Bookman Old Style" w:hAnsi="Bookman Old Style"/>
          <w:lang w:val="es-CO"/>
        </w:rPr>
        <w:t xml:space="preserve"> </w:t>
      </w:r>
      <w:r w:rsidRPr="006B5D28">
        <w:rPr>
          <w:rFonts w:ascii="Bookman Old Style" w:hAnsi="Bookman Old Style"/>
          <w:i/>
          <w:lang w:val="es-CO"/>
        </w:rPr>
        <w:t>“la Comisión aprobó el costo considerando el contrato de conexión al STN entre EBSA y DIACO, suscrito con anterioridad a la entrada en vigencia de la resolución CREG 097 de 2008, de conformidad con la participación en las demandas máximas: 75% por uso y 25% por conexión al STN de DIACO”</w:t>
      </w:r>
      <w:r>
        <w:rPr>
          <w:rFonts w:ascii="Bookman Old Style" w:hAnsi="Bookman Old Style"/>
          <w:i/>
          <w:lang w:val="es-CO"/>
        </w:rPr>
        <w:t xml:space="preserve">, </w:t>
      </w:r>
      <w:r>
        <w:rPr>
          <w:rFonts w:ascii="Bookman Old Style" w:hAnsi="Bookman Old Style"/>
          <w:lang w:val="es-CO"/>
        </w:rPr>
        <w:t xml:space="preserve">no es procedente en el presente caso, bajo el entendido que la Comisión esta haciendo un tratamiento diferenciado a dos situaciones similares. </w:t>
      </w:r>
    </w:p>
    <w:p w:rsidR="00DF468B" w:rsidRPr="007362DF" w:rsidRDefault="00DF468B" w:rsidP="00DF468B">
      <w:pPr>
        <w:pStyle w:val="Textoindependiente2"/>
        <w:spacing w:after="0" w:line="240" w:lineRule="auto"/>
        <w:ind w:left="0"/>
        <w:jc w:val="both"/>
        <w:rPr>
          <w:rFonts w:ascii="Bookman Old Style" w:hAnsi="Bookman Old Style"/>
          <w:sz w:val="18"/>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 xml:space="preserve">En este punto se debe precisar que se está ante dos situaciones diferentes, que deben tener en cuenta la misma obligación, relativa a la  responsabilidad que tienen las empresas </w:t>
      </w:r>
      <w:r w:rsidR="009E4C2B">
        <w:rPr>
          <w:rFonts w:ascii="Bookman Old Style" w:hAnsi="Bookman Old Style"/>
          <w:lang w:val="es-CO"/>
        </w:rPr>
        <w:t>respecto de</w:t>
      </w:r>
      <w:r>
        <w:rPr>
          <w:rFonts w:ascii="Bookman Old Style" w:hAnsi="Bookman Old Style"/>
          <w:lang w:val="es-CO"/>
        </w:rPr>
        <w:t xml:space="preserve"> la información reportada para la aprobación de los cargos, así como para la actualización</w:t>
      </w:r>
      <w:r w:rsidRPr="009D5A42">
        <w:t xml:space="preserve"> </w:t>
      </w:r>
      <w:r w:rsidRPr="009D5A42">
        <w:rPr>
          <w:rFonts w:ascii="Bookman Old Style" w:hAnsi="Bookman Old Style"/>
          <w:lang w:val="es-CO"/>
        </w:rPr>
        <w:t xml:space="preserve">de los cargos </w:t>
      </w:r>
      <w:r>
        <w:rPr>
          <w:rFonts w:ascii="Bookman Old Style" w:hAnsi="Bookman Old Style"/>
          <w:lang w:val="es-CO"/>
        </w:rPr>
        <w:t xml:space="preserve">en el Nivel de Tensión 4 </w:t>
      </w:r>
      <w:r w:rsidRPr="009D5A42">
        <w:rPr>
          <w:rFonts w:ascii="Bookman Old Style" w:hAnsi="Bookman Old Style"/>
          <w:lang w:val="es-CO"/>
        </w:rPr>
        <w:t>por la puest</w:t>
      </w:r>
      <w:r>
        <w:rPr>
          <w:rFonts w:ascii="Bookman Old Style" w:hAnsi="Bookman Old Style"/>
          <w:lang w:val="es-CO"/>
        </w:rPr>
        <w:t>a en servicio de nuevos activos, de acuerdo con las obligaciones previstas en la Resolución CREG 097 de</w:t>
      </w:r>
      <w:r w:rsidR="009E4C2B">
        <w:rPr>
          <w:rFonts w:ascii="Bookman Old Style" w:hAnsi="Bookman Old Style"/>
          <w:lang w:val="es-CO"/>
        </w:rPr>
        <w:t xml:space="preserve"> 2008, la cual en su artículo 3</w:t>
      </w:r>
      <w:r>
        <w:rPr>
          <w:rFonts w:ascii="Bookman Old Style" w:hAnsi="Bookman Old Style"/>
          <w:lang w:val="es-CO"/>
        </w:rPr>
        <w:t xml:space="preserve"> dispone:</w:t>
      </w:r>
    </w:p>
    <w:p w:rsidR="00DF468B" w:rsidRPr="007362DF" w:rsidRDefault="00DF468B" w:rsidP="00DF468B">
      <w:pPr>
        <w:pStyle w:val="Textoindependiente2"/>
        <w:spacing w:after="0" w:line="240" w:lineRule="auto"/>
        <w:ind w:left="0"/>
        <w:jc w:val="both"/>
        <w:rPr>
          <w:rFonts w:ascii="Bookman Old Style" w:hAnsi="Bookman Old Style"/>
          <w:sz w:val="20"/>
          <w:lang w:val="es-CO"/>
        </w:rPr>
      </w:pPr>
    </w:p>
    <w:p w:rsidR="00DF468B" w:rsidRPr="00DF468B" w:rsidRDefault="00DF468B" w:rsidP="00DF468B">
      <w:pPr>
        <w:pStyle w:val="Textoindependiente2"/>
        <w:spacing w:after="0" w:line="240" w:lineRule="auto"/>
        <w:ind w:left="284" w:right="284"/>
        <w:jc w:val="both"/>
        <w:rPr>
          <w:rFonts w:ascii="Bookman Old Style" w:hAnsi="Bookman Old Style"/>
          <w:lang w:val="es-CO"/>
        </w:rPr>
      </w:pPr>
      <w:r w:rsidRPr="00DF468B">
        <w:rPr>
          <w:rFonts w:ascii="Bookman Old Style" w:hAnsi="Bookman Old Style" w:cs="Arial"/>
          <w:b/>
          <w:bCs/>
          <w:i/>
          <w:sz w:val="20"/>
          <w:szCs w:val="20"/>
        </w:rPr>
        <w:t>“Artículo 3.</w:t>
      </w:r>
      <w:r w:rsidRPr="00DF468B">
        <w:rPr>
          <w:rFonts w:ascii="Bookman Old Style" w:hAnsi="Bookman Old Style" w:cs="Arial"/>
          <w:i/>
          <w:sz w:val="20"/>
          <w:szCs w:val="20"/>
        </w:rPr>
        <w:t xml:space="preserve"> </w:t>
      </w:r>
      <w:r w:rsidRPr="00DF468B">
        <w:rPr>
          <w:rFonts w:ascii="Bookman Old Style" w:hAnsi="Bookman Old Style" w:cs="Arial"/>
          <w:b/>
          <w:bCs/>
          <w:i/>
          <w:sz w:val="20"/>
          <w:szCs w:val="20"/>
        </w:rPr>
        <w:t>Información base para el cálculo de los costos y los cargos.</w:t>
      </w:r>
      <w:r w:rsidRPr="00DF468B">
        <w:rPr>
          <w:rFonts w:ascii="Bookman Old Style" w:hAnsi="Bookman Old Style" w:cs="Arial"/>
          <w:i/>
          <w:sz w:val="20"/>
          <w:szCs w:val="20"/>
        </w:rPr>
        <w:t xml:space="preserve"> Para la aprobación de los costos y los cargos de un OR se tendrá en cuenta, principalmente, la siguiente información:</w:t>
      </w:r>
      <w:r w:rsidRPr="00DF468B">
        <w:rPr>
          <w:rFonts w:ascii="Arial" w:hAnsi="Arial" w:cs="Arial"/>
          <w:i/>
          <w:sz w:val="20"/>
          <w:szCs w:val="20"/>
        </w:rPr>
        <w:t xml:space="preserve"> </w:t>
      </w:r>
    </w:p>
    <w:p w:rsidR="00DF468B" w:rsidRPr="00DF468B" w:rsidRDefault="00DF468B" w:rsidP="00DF468B">
      <w:pPr>
        <w:pStyle w:val="NormalWeb"/>
        <w:spacing w:before="0" w:beforeAutospacing="0" w:after="0" w:afterAutospacing="0"/>
        <w:ind w:left="284" w:right="284"/>
        <w:jc w:val="both"/>
        <w:rPr>
          <w:rFonts w:ascii="Bookman Old Style" w:hAnsi="Bookman Old Style" w:cs="Arial"/>
          <w:i/>
          <w:color w:val="auto"/>
          <w:sz w:val="20"/>
          <w:szCs w:val="20"/>
        </w:rPr>
      </w:pPr>
    </w:p>
    <w:p w:rsidR="00DF468B" w:rsidRPr="00DF468B" w:rsidRDefault="00DF468B" w:rsidP="00DF468B">
      <w:pPr>
        <w:pStyle w:val="NormalWeb"/>
        <w:spacing w:before="0" w:beforeAutospacing="0" w:after="0" w:afterAutospacing="0"/>
        <w:ind w:left="284" w:right="284"/>
        <w:jc w:val="both"/>
        <w:rPr>
          <w:rFonts w:ascii="Arial" w:hAnsi="Arial" w:cs="Arial"/>
          <w:i/>
          <w:color w:val="auto"/>
          <w:sz w:val="20"/>
          <w:szCs w:val="20"/>
        </w:rPr>
      </w:pPr>
      <w:r w:rsidRPr="00DF468B">
        <w:rPr>
          <w:rFonts w:ascii="Bookman Old Style" w:hAnsi="Bookman Old Style" w:cs="Arial"/>
          <w:i/>
          <w:color w:val="auto"/>
          <w:sz w:val="20"/>
          <w:szCs w:val="20"/>
        </w:rPr>
        <w:t>1. Inventarios de activos de uso del Nivel de Tensión 4 y Activos de Conexión del OR al STN, remunerados mediante cargos por uso, operados por el OR.</w:t>
      </w:r>
      <w:r w:rsidRPr="00DF468B">
        <w:rPr>
          <w:rFonts w:ascii="Arial" w:hAnsi="Arial" w:cs="Arial"/>
          <w:i/>
          <w:color w:val="auto"/>
          <w:sz w:val="20"/>
          <w:szCs w:val="20"/>
        </w:rPr>
        <w:t xml:space="preserve"> </w:t>
      </w:r>
    </w:p>
    <w:p w:rsidR="00DF468B" w:rsidRPr="00DF468B" w:rsidRDefault="00DF468B" w:rsidP="00DF468B">
      <w:pPr>
        <w:pStyle w:val="NormalWeb"/>
        <w:spacing w:before="0" w:beforeAutospacing="0" w:after="0" w:afterAutospacing="0"/>
        <w:ind w:left="284" w:right="284"/>
        <w:jc w:val="both"/>
        <w:rPr>
          <w:rFonts w:ascii="Bookman Old Style" w:hAnsi="Bookman Old Style" w:cs="Arial"/>
          <w:i/>
          <w:color w:val="auto"/>
          <w:sz w:val="20"/>
          <w:szCs w:val="20"/>
        </w:rPr>
      </w:pPr>
    </w:p>
    <w:p w:rsidR="00DF468B" w:rsidRPr="00DF468B" w:rsidRDefault="00DF468B" w:rsidP="00DF468B">
      <w:pPr>
        <w:pStyle w:val="NormalWeb"/>
        <w:spacing w:before="0" w:beforeAutospacing="0" w:after="0" w:afterAutospacing="0"/>
        <w:ind w:left="284" w:right="284"/>
        <w:jc w:val="both"/>
        <w:rPr>
          <w:rFonts w:ascii="Arial" w:hAnsi="Arial" w:cs="Arial"/>
          <w:i/>
          <w:color w:val="auto"/>
          <w:sz w:val="20"/>
          <w:szCs w:val="20"/>
        </w:rPr>
      </w:pPr>
      <w:r w:rsidRPr="00DF468B">
        <w:rPr>
          <w:rFonts w:ascii="Bookman Old Style" w:hAnsi="Bookman Old Style" w:cs="Arial"/>
          <w:i/>
          <w:color w:val="auto"/>
          <w:sz w:val="20"/>
          <w:szCs w:val="20"/>
        </w:rPr>
        <w:t>2. Inventarios de activos de uso y activos de conexión al STR o SDL, remunerados mediante cargos por uso, operados por el OR en los Niveles de Tensión 3 y 2 y reportados a la CREG, y que hayan entrado en operación a la Fecha de Corte.</w:t>
      </w:r>
      <w:r w:rsidRPr="00DF468B">
        <w:rPr>
          <w:rFonts w:ascii="Arial" w:hAnsi="Arial" w:cs="Arial"/>
          <w:i/>
          <w:color w:val="auto"/>
          <w:sz w:val="20"/>
          <w:szCs w:val="20"/>
        </w:rPr>
        <w:t xml:space="preserve"> </w:t>
      </w:r>
    </w:p>
    <w:p w:rsidR="00DF468B" w:rsidRPr="00DF468B" w:rsidRDefault="00DF468B" w:rsidP="00DF468B">
      <w:pPr>
        <w:pStyle w:val="NormalWeb"/>
        <w:spacing w:before="0" w:beforeAutospacing="0" w:after="0" w:afterAutospacing="0"/>
        <w:ind w:left="284" w:right="284"/>
        <w:jc w:val="both"/>
        <w:rPr>
          <w:rFonts w:ascii="Bookman Old Style" w:hAnsi="Bookman Old Style" w:cs="Arial"/>
          <w:i/>
          <w:color w:val="auto"/>
          <w:sz w:val="20"/>
          <w:szCs w:val="20"/>
        </w:rPr>
      </w:pPr>
    </w:p>
    <w:p w:rsidR="00DF468B" w:rsidRPr="00DF468B" w:rsidRDefault="00DF468B" w:rsidP="00DF468B">
      <w:pPr>
        <w:pStyle w:val="NormalWeb"/>
        <w:spacing w:before="0" w:beforeAutospacing="0" w:after="0" w:afterAutospacing="0"/>
        <w:ind w:left="284" w:right="284"/>
        <w:jc w:val="both"/>
        <w:rPr>
          <w:rFonts w:ascii="Arial" w:hAnsi="Arial" w:cs="Arial"/>
          <w:i/>
          <w:color w:val="auto"/>
          <w:sz w:val="20"/>
          <w:szCs w:val="20"/>
        </w:rPr>
      </w:pPr>
      <w:r w:rsidRPr="00DF468B">
        <w:rPr>
          <w:rFonts w:ascii="Bookman Old Style" w:hAnsi="Bookman Old Style" w:cs="Arial"/>
          <w:i/>
          <w:color w:val="auto"/>
          <w:sz w:val="20"/>
          <w:szCs w:val="20"/>
        </w:rPr>
        <w:t>3. Identificación de las UC operadas por el OR cuyo valor no debe incluirse en el cálculo de los cargos en los términos del artículo 87 numeral 87.9 de la Ley 142 de 1994 en la forma en que quedó modificado por el artículo 143 de la Ley 1151 de 2007.</w:t>
      </w:r>
      <w:r w:rsidRPr="00DF468B">
        <w:rPr>
          <w:rFonts w:ascii="Arial" w:hAnsi="Arial" w:cs="Arial"/>
          <w:i/>
          <w:color w:val="auto"/>
          <w:sz w:val="20"/>
          <w:szCs w:val="20"/>
        </w:rPr>
        <w:t xml:space="preserve"> </w:t>
      </w:r>
    </w:p>
    <w:p w:rsidR="00DF468B" w:rsidRPr="00DF468B" w:rsidRDefault="00DF468B" w:rsidP="00DF468B">
      <w:pPr>
        <w:pStyle w:val="NormalWeb"/>
        <w:spacing w:before="0" w:beforeAutospacing="0" w:after="0" w:afterAutospacing="0"/>
        <w:ind w:left="284" w:right="284"/>
        <w:jc w:val="both"/>
        <w:rPr>
          <w:rFonts w:ascii="Bookman Old Style" w:hAnsi="Bookman Old Style" w:cs="Arial"/>
          <w:i/>
          <w:color w:val="auto"/>
          <w:sz w:val="20"/>
          <w:szCs w:val="20"/>
        </w:rPr>
      </w:pPr>
    </w:p>
    <w:p w:rsidR="00DF468B" w:rsidRPr="00DF468B" w:rsidRDefault="00DF468B" w:rsidP="00DF468B">
      <w:pPr>
        <w:pStyle w:val="NormalWeb"/>
        <w:spacing w:before="0" w:beforeAutospacing="0" w:after="0" w:afterAutospacing="0"/>
        <w:ind w:left="284" w:right="284"/>
        <w:jc w:val="both"/>
        <w:rPr>
          <w:rFonts w:ascii="Arial" w:hAnsi="Arial" w:cs="Arial"/>
          <w:i/>
          <w:color w:val="auto"/>
          <w:sz w:val="20"/>
          <w:szCs w:val="20"/>
        </w:rPr>
      </w:pPr>
      <w:r w:rsidRPr="00DF468B">
        <w:rPr>
          <w:rFonts w:ascii="Bookman Old Style" w:hAnsi="Bookman Old Style" w:cs="Arial"/>
          <w:i/>
          <w:color w:val="auto"/>
          <w:sz w:val="20"/>
          <w:szCs w:val="20"/>
        </w:rPr>
        <w:t>4. Áreas de los terrenos donde están ubicadas las subestaciones junto con su valor catastral.</w:t>
      </w:r>
      <w:r w:rsidRPr="00DF468B">
        <w:rPr>
          <w:rFonts w:ascii="Arial" w:hAnsi="Arial" w:cs="Arial"/>
          <w:i/>
          <w:color w:val="auto"/>
          <w:sz w:val="20"/>
          <w:szCs w:val="20"/>
        </w:rPr>
        <w:t xml:space="preserve"> </w:t>
      </w:r>
    </w:p>
    <w:p w:rsidR="00DF468B" w:rsidRPr="00DF468B" w:rsidRDefault="00DF468B" w:rsidP="00DF468B">
      <w:pPr>
        <w:pStyle w:val="NormalWeb"/>
        <w:spacing w:before="0" w:beforeAutospacing="0" w:after="0" w:afterAutospacing="0"/>
        <w:ind w:left="284" w:right="284"/>
        <w:jc w:val="both"/>
        <w:rPr>
          <w:rFonts w:ascii="Arial" w:hAnsi="Arial" w:cs="Arial"/>
          <w:i/>
          <w:color w:val="auto"/>
          <w:sz w:val="20"/>
          <w:szCs w:val="20"/>
        </w:rPr>
      </w:pPr>
    </w:p>
    <w:p w:rsidR="00DF468B" w:rsidRPr="00DF468B" w:rsidRDefault="00DF468B" w:rsidP="00DF468B">
      <w:pPr>
        <w:pStyle w:val="NormalWeb"/>
        <w:spacing w:before="0" w:beforeAutospacing="0" w:after="0" w:afterAutospacing="0"/>
        <w:ind w:left="284" w:right="284"/>
        <w:jc w:val="both"/>
        <w:rPr>
          <w:rFonts w:ascii="Arial" w:hAnsi="Arial" w:cs="Arial"/>
          <w:i/>
          <w:color w:val="auto"/>
          <w:sz w:val="20"/>
          <w:szCs w:val="20"/>
        </w:rPr>
      </w:pPr>
      <w:r w:rsidRPr="00DF468B">
        <w:rPr>
          <w:rFonts w:ascii="Arial" w:hAnsi="Arial" w:cs="Arial"/>
          <w:i/>
          <w:color w:val="auto"/>
          <w:sz w:val="20"/>
          <w:szCs w:val="20"/>
        </w:rPr>
        <w:t>(…)”</w:t>
      </w:r>
    </w:p>
    <w:p w:rsidR="00DF468B" w:rsidRPr="007362DF" w:rsidRDefault="00DF468B" w:rsidP="00DF468B">
      <w:pPr>
        <w:pStyle w:val="Textoindependiente2"/>
        <w:spacing w:after="0" w:line="240" w:lineRule="auto"/>
        <w:ind w:left="0" w:firstLine="75"/>
        <w:jc w:val="both"/>
        <w:rPr>
          <w:rFonts w:ascii="Bookman Old Style" w:hAnsi="Bookman Old Style"/>
          <w:sz w:val="18"/>
          <w:lang w:val="es-CO"/>
        </w:rPr>
      </w:pPr>
    </w:p>
    <w:p w:rsidR="00DF468B" w:rsidRPr="006B5D28" w:rsidRDefault="00DF468B" w:rsidP="00DF468B">
      <w:pPr>
        <w:pStyle w:val="Textoindependiente2"/>
        <w:spacing w:after="0" w:line="240" w:lineRule="auto"/>
        <w:ind w:left="0" w:firstLine="75"/>
        <w:jc w:val="both"/>
        <w:rPr>
          <w:rFonts w:ascii="Bookman Old Style" w:hAnsi="Bookman Old Style"/>
          <w:lang w:val="es-CO"/>
        </w:rPr>
      </w:pPr>
      <w:r>
        <w:rPr>
          <w:rFonts w:ascii="Bookman Old Style" w:hAnsi="Bookman Old Style"/>
          <w:lang w:val="es-CO"/>
        </w:rPr>
        <w:t>De acuerdo con lo anterior, para el presente caso  los porcentajes de uso diferentes al 100% reconocidos a algunos de los activos de la subestación Paipa se debieron a que la Comisión utilizó la información re</w:t>
      </w:r>
      <w:r w:rsidR="009E4C2B">
        <w:rPr>
          <w:rFonts w:ascii="Bookman Old Style" w:hAnsi="Bookman Old Style"/>
          <w:lang w:val="es-CO"/>
        </w:rPr>
        <w:t xml:space="preserve">portada por la </w:t>
      </w:r>
      <w:r w:rsidR="009E4C2B">
        <w:rPr>
          <w:rFonts w:ascii="Bookman Old Style" w:hAnsi="Bookman Old Style"/>
          <w:lang w:val="es-CO"/>
        </w:rPr>
        <w:lastRenderedPageBreak/>
        <w:t>empresa, la cual</w:t>
      </w:r>
      <w:r>
        <w:rPr>
          <w:rFonts w:ascii="Bookman Old Style" w:hAnsi="Bookman Old Style"/>
          <w:lang w:val="es-CO"/>
        </w:rPr>
        <w:t xml:space="preserve"> es de su responsabilidad cuando solicita la aprobación de sus cargos por uso y debe ser fiel a la realidad contable, financiera, operativa y comercial de sus activos.</w:t>
      </w:r>
    </w:p>
    <w:p w:rsidR="00DF468B" w:rsidRPr="00851B92" w:rsidRDefault="00DF468B" w:rsidP="00DF468B">
      <w:pPr>
        <w:pStyle w:val="Textoindependiente2"/>
        <w:spacing w:after="0" w:line="240" w:lineRule="auto"/>
        <w:ind w:left="0"/>
        <w:jc w:val="both"/>
        <w:rPr>
          <w:rFonts w:ascii="Bookman Old Style" w:hAnsi="Bookman Old Style"/>
          <w:lang w:val="es-CO"/>
        </w:rPr>
      </w:pPr>
    </w:p>
    <w:p w:rsidR="00DF468B" w:rsidRPr="00190ADA" w:rsidRDefault="00DF468B" w:rsidP="00DF468B">
      <w:pPr>
        <w:pStyle w:val="Textoindependiente2"/>
        <w:overflowPunct w:val="0"/>
        <w:autoSpaceDE w:val="0"/>
        <w:autoSpaceDN w:val="0"/>
        <w:adjustRightInd w:val="0"/>
        <w:spacing w:after="0" w:line="240" w:lineRule="auto"/>
        <w:ind w:left="0"/>
        <w:jc w:val="both"/>
        <w:textAlignment w:val="baseline"/>
        <w:rPr>
          <w:rFonts w:ascii="Bookman Old Style" w:hAnsi="Bookman Old Style"/>
          <w:b/>
          <w:lang w:val="es-CO"/>
        </w:rPr>
      </w:pPr>
      <w:r w:rsidRPr="00190ADA">
        <w:rPr>
          <w:rFonts w:ascii="Bookman Old Style" w:hAnsi="Bookman Old Style"/>
          <w:b/>
          <w:lang w:val="es-CO"/>
        </w:rPr>
        <w:t xml:space="preserve">Conclusión </w:t>
      </w:r>
    </w:p>
    <w:p w:rsidR="00DF468B" w:rsidRPr="008A0C8F" w:rsidRDefault="00DF468B" w:rsidP="00DF468B">
      <w:pPr>
        <w:pStyle w:val="Textoindependiente2"/>
        <w:spacing w:after="0" w:line="240" w:lineRule="auto"/>
        <w:ind w:left="0"/>
        <w:rPr>
          <w:rFonts w:ascii="Bookman Old Style" w:hAnsi="Bookman Old Style"/>
          <w:b/>
          <w:sz w:val="16"/>
          <w:lang w:val="es-CO"/>
        </w:rPr>
      </w:pPr>
    </w:p>
    <w:p w:rsidR="00DF468B" w:rsidRDefault="00DF468B" w:rsidP="00DF468B">
      <w:pPr>
        <w:pStyle w:val="Textoindependiente2"/>
        <w:spacing w:after="0" w:line="240" w:lineRule="auto"/>
        <w:ind w:left="0"/>
        <w:jc w:val="both"/>
        <w:rPr>
          <w:rFonts w:ascii="Bookman Old Style" w:hAnsi="Bookman Old Style"/>
          <w:lang w:val="es-CO"/>
        </w:rPr>
      </w:pPr>
      <w:r>
        <w:rPr>
          <w:rFonts w:ascii="Bookman Old Style" w:hAnsi="Bookman Old Style"/>
          <w:lang w:val="es-CO"/>
        </w:rPr>
        <w:t>Las observaciones y justificaciones, presentadas por el OR en el recurso de reposición, no demuestran que se haya cometido error en la actualización del Costo Anual por el uso de los activos de nivel de tensión 4 de la Empresa de Energía de Boyacá S.A. E.S.P., y por tanto no se considera procedente revisar, revocar y proferir una nueva resolución respecto lo aprobado en la Resolución CREG 079 de 2012.</w:t>
      </w:r>
    </w:p>
    <w:p w:rsidR="00DF468B" w:rsidRDefault="00DF468B" w:rsidP="00DF468B">
      <w:pPr>
        <w:ind w:left="0"/>
        <w:jc w:val="both"/>
        <w:rPr>
          <w:rFonts w:ascii="Bookman Old Style" w:hAnsi="Bookman Old Style"/>
        </w:rPr>
      </w:pPr>
    </w:p>
    <w:p w:rsidR="00DF468B" w:rsidRDefault="00DF468B" w:rsidP="00DF468B">
      <w:pPr>
        <w:ind w:left="0"/>
        <w:jc w:val="both"/>
        <w:rPr>
          <w:rFonts w:ascii="Bookman Old Style" w:hAnsi="Bookman Old Style"/>
        </w:rPr>
      </w:pPr>
      <w:r>
        <w:rPr>
          <w:rFonts w:ascii="Bookman Old Style" w:hAnsi="Bookman Old Style"/>
        </w:rPr>
        <w:t>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DF468B" w:rsidRPr="00D34DBB" w:rsidRDefault="00DF468B" w:rsidP="00DF468B">
      <w:pPr>
        <w:ind w:left="0"/>
        <w:jc w:val="both"/>
        <w:rPr>
          <w:rFonts w:ascii="Bookman Old Style" w:hAnsi="Bookman Old Style"/>
        </w:rPr>
      </w:pPr>
    </w:p>
    <w:p w:rsidR="00DF468B" w:rsidRPr="00190ADA" w:rsidRDefault="00DF468B" w:rsidP="00DF468B">
      <w:pPr>
        <w:ind w:left="0"/>
        <w:jc w:val="both"/>
        <w:rPr>
          <w:rFonts w:ascii="Bookman Old Style" w:hAnsi="Bookman Old Style"/>
        </w:rPr>
      </w:pPr>
      <w:r w:rsidRPr="00190ADA">
        <w:rPr>
          <w:rFonts w:ascii="Bookman Old Style" w:hAnsi="Bookman Old Style"/>
        </w:rPr>
        <w:t xml:space="preserve">La Comisión de Regulación de Energía y Gas, en su sesión No. </w:t>
      </w:r>
      <w:r>
        <w:rPr>
          <w:rFonts w:ascii="Bookman Old Style" w:hAnsi="Bookman Old Style"/>
        </w:rPr>
        <w:t>536</w:t>
      </w:r>
      <w:r w:rsidRPr="00190ADA">
        <w:rPr>
          <w:rFonts w:ascii="Bookman Old Style" w:hAnsi="Bookman Old Style"/>
        </w:rPr>
        <w:t xml:space="preserve"> del </w:t>
      </w:r>
      <w:r>
        <w:rPr>
          <w:rFonts w:ascii="Bookman Old Style" w:hAnsi="Bookman Old Style"/>
        </w:rPr>
        <w:t>25</w:t>
      </w:r>
      <w:r w:rsidRPr="00190ADA">
        <w:rPr>
          <w:rFonts w:ascii="Bookman Old Style" w:hAnsi="Bookman Old Style"/>
        </w:rPr>
        <w:t xml:space="preserve"> de </w:t>
      </w:r>
      <w:r>
        <w:rPr>
          <w:rFonts w:ascii="Bookman Old Style" w:hAnsi="Bookman Old Style"/>
        </w:rPr>
        <w:t>Septiembre</w:t>
      </w:r>
      <w:r w:rsidRPr="00190ADA">
        <w:rPr>
          <w:rFonts w:ascii="Bookman Old Style" w:hAnsi="Bookman Old Style"/>
        </w:rPr>
        <w:t xml:space="preserve"> de </w:t>
      </w:r>
      <w:r>
        <w:rPr>
          <w:rFonts w:ascii="Bookman Old Style" w:hAnsi="Bookman Old Style"/>
        </w:rPr>
        <w:t>2012</w:t>
      </w:r>
      <w:r w:rsidRPr="00190ADA">
        <w:rPr>
          <w:rFonts w:ascii="Bookman Old Style" w:hAnsi="Bookman Old Style"/>
        </w:rPr>
        <w:t>, acordó expedir la presente Resolución;</w:t>
      </w:r>
    </w:p>
    <w:p w:rsidR="00DF468B" w:rsidRDefault="00DF468B" w:rsidP="00DF468B">
      <w:pPr>
        <w:ind w:left="0"/>
        <w:jc w:val="center"/>
        <w:rPr>
          <w:rFonts w:ascii="Bookman Old Style" w:hAnsi="Bookman Old Style"/>
          <w:b/>
        </w:rPr>
      </w:pPr>
    </w:p>
    <w:p w:rsidR="00DF468B" w:rsidRPr="00190ADA" w:rsidRDefault="00DF468B" w:rsidP="00DF468B">
      <w:pPr>
        <w:ind w:left="0"/>
        <w:jc w:val="center"/>
        <w:rPr>
          <w:rFonts w:ascii="Bookman Old Style" w:hAnsi="Bookman Old Style"/>
          <w:b/>
        </w:rPr>
      </w:pPr>
    </w:p>
    <w:p w:rsidR="00DF468B" w:rsidRDefault="00DF468B" w:rsidP="00DF468B">
      <w:pPr>
        <w:ind w:left="0"/>
        <w:jc w:val="center"/>
        <w:rPr>
          <w:rFonts w:ascii="Bookman Old Style" w:hAnsi="Bookman Old Style"/>
          <w:b/>
        </w:rPr>
      </w:pPr>
      <w:r w:rsidRPr="00190ADA">
        <w:rPr>
          <w:rFonts w:ascii="Bookman Old Style" w:hAnsi="Bookman Old Style"/>
          <w:b/>
        </w:rPr>
        <w:t>R E</w:t>
      </w:r>
      <w:r w:rsidRPr="00190ADA">
        <w:rPr>
          <w:rFonts w:ascii="Bookman Old Style" w:hAnsi="Bookman Old Style"/>
        </w:rPr>
        <w:t xml:space="preserve"> </w:t>
      </w:r>
      <w:r w:rsidRPr="00190ADA">
        <w:rPr>
          <w:rFonts w:ascii="Bookman Old Style" w:hAnsi="Bookman Old Style"/>
          <w:b/>
        </w:rPr>
        <w:t>S U E L V E:</w:t>
      </w:r>
    </w:p>
    <w:p w:rsidR="00DF468B" w:rsidRPr="00BC58F7" w:rsidRDefault="00DF468B" w:rsidP="00DF468B">
      <w:pPr>
        <w:ind w:left="0"/>
        <w:jc w:val="center"/>
        <w:rPr>
          <w:rFonts w:ascii="Bookman Old Style" w:hAnsi="Bookman Old Style"/>
          <w:b/>
        </w:rPr>
      </w:pPr>
    </w:p>
    <w:p w:rsidR="00DF468B" w:rsidRDefault="00DF468B" w:rsidP="00DF468B">
      <w:pPr>
        <w:ind w:left="0"/>
        <w:jc w:val="both"/>
        <w:rPr>
          <w:rFonts w:ascii="Bookman Old Style" w:hAnsi="Bookman Old Style"/>
        </w:rPr>
      </w:pPr>
      <w:r w:rsidRPr="00BC58F7">
        <w:rPr>
          <w:rFonts w:ascii="Bookman Old Style" w:hAnsi="Bookman Old Style"/>
          <w:b/>
        </w:rPr>
        <w:t>Artículo 1.</w:t>
      </w:r>
      <w:r w:rsidRPr="00BC58F7">
        <w:rPr>
          <w:rFonts w:ascii="Bookman Old Style" w:hAnsi="Bookman Old Style"/>
          <w:b/>
        </w:rPr>
        <w:tab/>
      </w:r>
      <w:r w:rsidRPr="00BC58F7">
        <w:rPr>
          <w:rFonts w:ascii="Bookman Old Style" w:hAnsi="Bookman Old Style"/>
        </w:rPr>
        <w:t xml:space="preserve">No reponer la Resolución CREG </w:t>
      </w:r>
      <w:r>
        <w:rPr>
          <w:rFonts w:ascii="Bookman Old Style" w:hAnsi="Bookman Old Style"/>
        </w:rPr>
        <w:t>079</w:t>
      </w:r>
      <w:r w:rsidRPr="00BC58F7">
        <w:rPr>
          <w:rFonts w:ascii="Bookman Old Style" w:hAnsi="Bookman Old Style"/>
        </w:rPr>
        <w:t xml:space="preserve"> de 20</w:t>
      </w:r>
      <w:r>
        <w:rPr>
          <w:rFonts w:ascii="Bookman Old Style" w:hAnsi="Bookman Old Style"/>
        </w:rPr>
        <w:t>12</w:t>
      </w:r>
      <w:r w:rsidRPr="00BC58F7">
        <w:rPr>
          <w:rFonts w:ascii="Bookman Old Style" w:hAnsi="Bookman Old Style"/>
        </w:rPr>
        <w:t xml:space="preserve">, </w:t>
      </w:r>
      <w:r>
        <w:rPr>
          <w:rFonts w:ascii="Bookman Old Style" w:hAnsi="Bookman Old Style"/>
        </w:rPr>
        <w:t>p</w:t>
      </w:r>
      <w:r w:rsidRPr="00BC58F7">
        <w:rPr>
          <w:rFonts w:ascii="Bookman Old Style" w:hAnsi="Bookman Old Style"/>
        </w:rPr>
        <w:t xml:space="preserve">or la cual </w:t>
      </w:r>
      <w:r w:rsidRPr="00303888">
        <w:rPr>
          <w:rFonts w:ascii="Bookman Old Style" w:hAnsi="Bookman Old Style"/>
        </w:rPr>
        <w:t>se actualiza el Costo Anual por el uso de los activos de nivel de tensión 4 de la Empresa de Energía de Boyacá S.A. E.S.P.</w:t>
      </w:r>
      <w:r w:rsidRPr="00BC58F7">
        <w:rPr>
          <w:rFonts w:ascii="Bookman Old Style" w:hAnsi="Bookman Old Style"/>
        </w:rPr>
        <w:t>, por lo expuesto en la parte motiva de esta resolución.</w:t>
      </w:r>
    </w:p>
    <w:p w:rsidR="00DF468B" w:rsidRDefault="00DF468B" w:rsidP="00DF468B">
      <w:pPr>
        <w:ind w:left="0"/>
        <w:jc w:val="both"/>
        <w:rPr>
          <w:rFonts w:ascii="Bookman Old Style" w:hAnsi="Bookman Old Style"/>
        </w:rPr>
      </w:pPr>
    </w:p>
    <w:p w:rsidR="00DF468B" w:rsidRPr="00623441" w:rsidRDefault="00DF468B" w:rsidP="00DF468B">
      <w:pPr>
        <w:ind w:left="0"/>
        <w:jc w:val="both"/>
        <w:rPr>
          <w:rFonts w:ascii="Bookman Old Style" w:hAnsi="Bookman Old Style"/>
        </w:rPr>
      </w:pPr>
      <w:r w:rsidRPr="00BC58F7">
        <w:rPr>
          <w:rFonts w:ascii="Bookman Old Style" w:hAnsi="Bookman Old Style"/>
          <w:b/>
        </w:rPr>
        <w:t>Artículo 2.</w:t>
      </w:r>
      <w:r w:rsidRPr="00BC58F7">
        <w:rPr>
          <w:rFonts w:ascii="Bookman Old Style" w:hAnsi="Bookman Old Style"/>
        </w:rPr>
        <w:tab/>
        <w:t xml:space="preserve"> Notificar personal</w:t>
      </w:r>
      <w:r>
        <w:rPr>
          <w:rFonts w:ascii="Bookman Old Style" w:hAnsi="Bookman Old Style"/>
        </w:rPr>
        <w:t>mente al representante legal de la Empresa de Energía de Boyacá</w:t>
      </w:r>
      <w:r w:rsidRPr="005525A1">
        <w:rPr>
          <w:rFonts w:ascii="Bookman Old Style" w:hAnsi="Bookman Old Style"/>
        </w:rPr>
        <w:t xml:space="preserve"> S.A. E.S.P.</w:t>
      </w:r>
      <w:r>
        <w:rPr>
          <w:rFonts w:ascii="Bookman Old Style" w:hAnsi="Bookman Old Style"/>
        </w:rPr>
        <w:t xml:space="preserve"> </w:t>
      </w:r>
      <w:r w:rsidRPr="00BC58F7">
        <w:rPr>
          <w:rFonts w:ascii="Bookman Old Style" w:hAnsi="Bookman Old Style"/>
        </w:rPr>
        <w:t xml:space="preserve">el contenido de esta resolución, y hacerle saber que contra lo dispuesto en este acto no procede recurso alguno. </w:t>
      </w:r>
      <w:r>
        <w:rPr>
          <w:rFonts w:ascii="Bookman Old Style" w:hAnsi="Bookman Old Style"/>
        </w:rPr>
        <w:t xml:space="preserve">Publíquese en el </w:t>
      </w:r>
      <w:r w:rsidRPr="00923A76">
        <w:rPr>
          <w:rFonts w:ascii="Bookman Old Style" w:hAnsi="Bookman Old Style"/>
          <w:i/>
        </w:rPr>
        <w:t>Diario Oficial</w:t>
      </w:r>
      <w:r>
        <w:rPr>
          <w:rFonts w:ascii="Bookman Old Style" w:hAnsi="Bookman Old Style"/>
        </w:rPr>
        <w:t>.</w:t>
      </w:r>
    </w:p>
    <w:p w:rsidR="00DF468B" w:rsidRPr="00190ADA" w:rsidRDefault="00DF468B" w:rsidP="00DF468B">
      <w:pPr>
        <w:ind w:left="0"/>
        <w:rPr>
          <w:rFonts w:ascii="Bookman Old Style" w:hAnsi="Bookman Old Style"/>
        </w:rPr>
      </w:pPr>
    </w:p>
    <w:p w:rsidR="00DF468B" w:rsidRPr="00190ADA" w:rsidRDefault="00DF468B" w:rsidP="00DF468B">
      <w:pPr>
        <w:ind w:left="0"/>
        <w:rPr>
          <w:rFonts w:ascii="Bookman Old Style" w:hAnsi="Bookman Old Style"/>
          <w:b/>
          <w:bCs/>
        </w:rPr>
      </w:pPr>
    </w:p>
    <w:p w:rsidR="00DF468B" w:rsidRPr="00190ADA" w:rsidRDefault="00DF468B" w:rsidP="00DF468B">
      <w:pPr>
        <w:ind w:left="0"/>
        <w:jc w:val="center"/>
        <w:rPr>
          <w:rFonts w:ascii="Bookman Old Style" w:hAnsi="Bookman Old Style" w:cs="Courier New"/>
          <w:b/>
          <w:bCs/>
          <w:spacing w:val="-3"/>
        </w:rPr>
      </w:pPr>
      <w:r>
        <w:rPr>
          <w:rFonts w:ascii="Bookman Old Style" w:hAnsi="Bookman Old Style"/>
          <w:b/>
          <w:bCs/>
        </w:rPr>
        <w:t xml:space="preserve">NOTIFÍQUESE PUBLÍQUESE </w:t>
      </w:r>
      <w:r w:rsidRPr="00190ADA">
        <w:rPr>
          <w:rFonts w:ascii="Bookman Old Style" w:hAnsi="Bookman Old Style"/>
          <w:b/>
          <w:bCs/>
        </w:rPr>
        <w:t>Y CÚMPLASE</w:t>
      </w:r>
    </w:p>
    <w:p w:rsidR="009F1029" w:rsidRPr="00190ADA" w:rsidRDefault="009F1029" w:rsidP="00DF468B">
      <w:pPr>
        <w:ind w:left="0"/>
        <w:rPr>
          <w:rFonts w:ascii="Bookman Old Style" w:hAnsi="Bookman Old Style" w:cs="Arial"/>
          <w:spacing w:val="-3"/>
        </w:rPr>
      </w:pPr>
    </w:p>
    <w:p w:rsidR="00DF468B" w:rsidRPr="00190ADA" w:rsidRDefault="00DF468B" w:rsidP="00DF468B">
      <w:pPr>
        <w:ind w:left="0"/>
        <w:jc w:val="both"/>
        <w:rPr>
          <w:rFonts w:ascii="Bookman Old Style" w:hAnsi="Bookman Old Style" w:cs="Arial"/>
          <w:spacing w:val="-3"/>
        </w:rPr>
      </w:pPr>
      <w:r w:rsidRPr="00190ADA">
        <w:rPr>
          <w:rFonts w:ascii="Bookman Old Style" w:hAnsi="Bookman Old Style" w:cs="Arial"/>
          <w:spacing w:val="-3"/>
        </w:rPr>
        <w:t xml:space="preserve">Dada en </w:t>
      </w:r>
      <w:r w:rsidRPr="00BC58F7">
        <w:rPr>
          <w:rFonts w:ascii="Bookman Old Style" w:hAnsi="Bookman Old Style"/>
        </w:rPr>
        <w:t>Bogotá</w:t>
      </w:r>
      <w:r w:rsidRPr="00190ADA">
        <w:rPr>
          <w:rFonts w:ascii="Bookman Old Style" w:hAnsi="Bookman Old Style" w:cs="Arial"/>
          <w:spacing w:val="-3"/>
        </w:rPr>
        <w:t>, D.C. a los</w:t>
      </w:r>
    </w:p>
    <w:p w:rsidR="00DF468B" w:rsidRPr="00190ADA" w:rsidRDefault="00DF468B" w:rsidP="00DF468B">
      <w:pPr>
        <w:ind w:left="0"/>
        <w:rPr>
          <w:rFonts w:ascii="Bookman Old Style" w:hAnsi="Bookman Old Style" w:cs="Arial"/>
        </w:rPr>
      </w:pPr>
    </w:p>
    <w:p w:rsidR="00DF468B" w:rsidRPr="00D34DBB" w:rsidRDefault="00DF468B" w:rsidP="00DF468B">
      <w:pPr>
        <w:ind w:left="0"/>
        <w:rPr>
          <w:rFonts w:ascii="Bookman Old Style" w:hAnsi="Bookman Old Style"/>
        </w:rPr>
      </w:pPr>
    </w:p>
    <w:p w:rsidR="00DF468B" w:rsidRDefault="00DF468B" w:rsidP="00DF468B">
      <w:pPr>
        <w:ind w:left="0"/>
        <w:rPr>
          <w:rFonts w:ascii="Bookman Old Style" w:hAnsi="Bookman Old Style"/>
        </w:rPr>
      </w:pPr>
    </w:p>
    <w:p w:rsidR="000355A2" w:rsidRPr="00D34DBB" w:rsidRDefault="000355A2" w:rsidP="00DF468B">
      <w:pPr>
        <w:ind w:left="0"/>
        <w:rPr>
          <w:rFonts w:ascii="Bookman Old Style" w:hAnsi="Bookman Old Style"/>
        </w:rPr>
      </w:pPr>
    </w:p>
    <w:tbl>
      <w:tblPr>
        <w:tblW w:w="0" w:type="auto"/>
        <w:jc w:val="center"/>
        <w:tblInd w:w="-508" w:type="dxa"/>
        <w:tblLayout w:type="fixed"/>
        <w:tblCellMar>
          <w:left w:w="70" w:type="dxa"/>
          <w:right w:w="70" w:type="dxa"/>
        </w:tblCellMar>
        <w:tblLook w:val="0000" w:firstRow="0" w:lastRow="0" w:firstColumn="0" w:lastColumn="0" w:noHBand="0" w:noVBand="0"/>
      </w:tblPr>
      <w:tblGrid>
        <w:gridCol w:w="4372"/>
        <w:gridCol w:w="4659"/>
      </w:tblGrid>
      <w:tr w:rsidR="00DF468B" w:rsidRPr="00D34DBB" w:rsidTr="005173E2">
        <w:trPr>
          <w:trHeight w:val="329"/>
          <w:jc w:val="center"/>
        </w:trPr>
        <w:tc>
          <w:tcPr>
            <w:tcW w:w="4372" w:type="dxa"/>
          </w:tcPr>
          <w:p w:rsidR="00DF468B" w:rsidRDefault="00DF468B" w:rsidP="005173E2">
            <w:pPr>
              <w:keepNext/>
              <w:tabs>
                <w:tab w:val="left" w:pos="-720"/>
              </w:tabs>
              <w:suppressAutoHyphens/>
              <w:ind w:left="0"/>
              <w:jc w:val="center"/>
              <w:rPr>
                <w:rFonts w:ascii="Bookman Old Style" w:hAnsi="Bookman Old Style"/>
                <w:b/>
                <w:bCs/>
              </w:rPr>
            </w:pPr>
          </w:p>
          <w:p w:rsidR="00DF468B" w:rsidRPr="00D34DBB" w:rsidRDefault="009F1029" w:rsidP="005173E2">
            <w:pPr>
              <w:keepNext/>
              <w:tabs>
                <w:tab w:val="left" w:pos="-720"/>
              </w:tabs>
              <w:suppressAutoHyphens/>
              <w:ind w:left="0"/>
              <w:jc w:val="center"/>
              <w:rPr>
                <w:rFonts w:ascii="Bookman Old Style" w:hAnsi="Bookman Old Style"/>
                <w:b/>
              </w:rPr>
            </w:pPr>
            <w:r>
              <w:rPr>
                <w:rFonts w:ascii="Bookman Old Style" w:hAnsi="Bookman Old Style"/>
                <w:b/>
                <w:bCs/>
              </w:rPr>
              <w:t>FEDERICO RENJIFO VELEZ</w:t>
            </w:r>
          </w:p>
        </w:tc>
        <w:tc>
          <w:tcPr>
            <w:tcW w:w="4659" w:type="dxa"/>
            <w:vAlign w:val="center"/>
          </w:tcPr>
          <w:p w:rsidR="00DF468B" w:rsidRPr="00D34DBB" w:rsidRDefault="00DF468B" w:rsidP="005173E2">
            <w:pPr>
              <w:keepNext/>
              <w:tabs>
                <w:tab w:val="left" w:pos="-720"/>
              </w:tabs>
              <w:suppressAutoHyphens/>
              <w:ind w:left="0"/>
              <w:jc w:val="center"/>
              <w:rPr>
                <w:rFonts w:ascii="Bookman Old Style" w:hAnsi="Bookman Old Style"/>
                <w:b/>
              </w:rPr>
            </w:pPr>
          </w:p>
          <w:p w:rsidR="00DF468B" w:rsidRPr="00D34DBB" w:rsidRDefault="00DF468B" w:rsidP="005173E2">
            <w:pPr>
              <w:keepNext/>
              <w:suppressAutoHyphens/>
              <w:ind w:left="0"/>
              <w:jc w:val="center"/>
              <w:rPr>
                <w:rFonts w:ascii="Bookman Old Style" w:hAnsi="Bookman Old Style"/>
                <w:b/>
              </w:rPr>
            </w:pPr>
            <w:r>
              <w:rPr>
                <w:rFonts w:ascii="Bookman Old Style" w:hAnsi="Bookman Old Style"/>
                <w:b/>
              </w:rPr>
              <w:t>GERMÁN CASTRO FERREIRA</w:t>
            </w:r>
          </w:p>
        </w:tc>
      </w:tr>
      <w:tr w:rsidR="00DF468B" w:rsidRPr="00D34DBB" w:rsidTr="005173E2">
        <w:trPr>
          <w:trHeight w:val="254"/>
          <w:jc w:val="center"/>
        </w:trPr>
        <w:tc>
          <w:tcPr>
            <w:tcW w:w="4372" w:type="dxa"/>
          </w:tcPr>
          <w:p w:rsidR="00DF468B" w:rsidRPr="00EE28F1" w:rsidRDefault="009F1029" w:rsidP="005173E2">
            <w:pPr>
              <w:ind w:left="0"/>
              <w:jc w:val="center"/>
              <w:rPr>
                <w:rFonts w:ascii="Bookman Old Style" w:hAnsi="Bookman Old Style" w:cs="Arial"/>
                <w:spacing w:val="-3"/>
              </w:rPr>
            </w:pPr>
            <w:r>
              <w:rPr>
                <w:rFonts w:ascii="Bookman Old Style" w:hAnsi="Bookman Old Style" w:cs="Arial"/>
                <w:spacing w:val="-3"/>
              </w:rPr>
              <w:t>M</w:t>
            </w:r>
            <w:r w:rsidR="00DF468B">
              <w:rPr>
                <w:rFonts w:ascii="Bookman Old Style" w:hAnsi="Bookman Old Style" w:cs="Arial"/>
                <w:spacing w:val="-3"/>
              </w:rPr>
              <w:t>inistro</w:t>
            </w:r>
            <w:r w:rsidR="00DF468B" w:rsidRPr="00EE28F1">
              <w:rPr>
                <w:rFonts w:ascii="Bookman Old Style" w:hAnsi="Bookman Old Style" w:cs="Arial"/>
                <w:spacing w:val="-3"/>
              </w:rPr>
              <w:t xml:space="preserve"> de Minas y Energía</w:t>
            </w:r>
          </w:p>
          <w:p w:rsidR="00DF468B" w:rsidRPr="00D34DBB" w:rsidRDefault="009F1029" w:rsidP="005173E2">
            <w:pPr>
              <w:keepNext/>
              <w:suppressAutoHyphens/>
              <w:ind w:left="0"/>
              <w:jc w:val="center"/>
              <w:rPr>
                <w:rFonts w:ascii="Bookman Old Style" w:hAnsi="Bookman Old Style"/>
              </w:rPr>
            </w:pPr>
            <w:r>
              <w:rPr>
                <w:rFonts w:ascii="Bookman Old Style" w:hAnsi="Bookman Old Style"/>
              </w:rPr>
              <w:t>Presidente</w:t>
            </w:r>
          </w:p>
        </w:tc>
        <w:tc>
          <w:tcPr>
            <w:tcW w:w="4659" w:type="dxa"/>
          </w:tcPr>
          <w:p w:rsidR="00DF468B" w:rsidRPr="00D34DBB" w:rsidRDefault="00DF468B" w:rsidP="005173E2">
            <w:pPr>
              <w:keepNext/>
              <w:tabs>
                <w:tab w:val="left" w:pos="-720"/>
              </w:tabs>
              <w:suppressAutoHyphens/>
              <w:ind w:left="0"/>
              <w:jc w:val="center"/>
              <w:rPr>
                <w:rFonts w:ascii="Bookman Old Style" w:hAnsi="Bookman Old Style"/>
              </w:rPr>
            </w:pPr>
            <w:r w:rsidRPr="00D34DBB">
              <w:rPr>
                <w:rFonts w:ascii="Bookman Old Style" w:hAnsi="Bookman Old Style"/>
              </w:rPr>
              <w:t>Director Ejecutivo</w:t>
            </w:r>
          </w:p>
        </w:tc>
      </w:tr>
    </w:tbl>
    <w:p w:rsidR="00C04F7A" w:rsidRPr="00DF468B" w:rsidRDefault="00C04F7A" w:rsidP="009E4C2B">
      <w:pPr>
        <w:ind w:left="0"/>
      </w:pPr>
    </w:p>
    <w:sectPr w:rsidR="00C04F7A" w:rsidRPr="00DF468B" w:rsidSect="00327874">
      <w:headerReference w:type="default" r:id="rId12"/>
      <w:headerReference w:type="first" r:id="rId13"/>
      <w:type w:val="continuous"/>
      <w:pgSz w:w="12242" w:h="18722" w:code="123"/>
      <w:pgMar w:top="2421" w:right="1327"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99" w:rsidRDefault="008F7999">
      <w:r>
        <w:separator/>
      </w:r>
    </w:p>
  </w:endnote>
  <w:endnote w:type="continuationSeparator" w:id="0">
    <w:p w:rsidR="008F7999" w:rsidRDefault="008F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99" w:rsidRDefault="008F7999">
      <w:r>
        <w:separator/>
      </w:r>
    </w:p>
  </w:footnote>
  <w:footnote w:type="continuationSeparator" w:id="0">
    <w:p w:rsidR="008F7999" w:rsidRDefault="008F7999">
      <w:r>
        <w:continuationSeparator/>
      </w:r>
    </w:p>
  </w:footnote>
  <w:footnote w:id="1">
    <w:p w:rsidR="00DF468B" w:rsidRPr="00C006AC" w:rsidRDefault="00DF468B" w:rsidP="00DF468B">
      <w:pPr>
        <w:spacing w:before="100" w:beforeAutospacing="1" w:after="100" w:afterAutospacing="1"/>
        <w:ind w:right="-1"/>
        <w:jc w:val="both"/>
        <w:rPr>
          <w:sz w:val="18"/>
          <w:szCs w:val="18"/>
        </w:rPr>
      </w:pPr>
      <w:r w:rsidRPr="00C006AC">
        <w:rPr>
          <w:rStyle w:val="Refdenotaalpie"/>
          <w:sz w:val="18"/>
          <w:szCs w:val="18"/>
        </w:rPr>
        <w:footnoteRef/>
      </w:r>
      <w:r w:rsidRPr="00C006AC">
        <w:rPr>
          <w:sz w:val="18"/>
          <w:szCs w:val="18"/>
        </w:rPr>
        <w:t xml:space="preserve"> Sobre el tema de las situaciones jurídicas consolidadas y su paralelo con la institución de los derechos adquiridos ha precisado la Honorable Corte Constitucional, en Sentencia C-604 de 2000:</w:t>
      </w:r>
    </w:p>
    <w:p w:rsidR="00DF468B" w:rsidRPr="00C006AC" w:rsidRDefault="00DF468B" w:rsidP="00DF468B">
      <w:pPr>
        <w:spacing w:before="100" w:beforeAutospacing="1" w:after="100" w:afterAutospacing="1"/>
        <w:ind w:left="708" w:right="-1"/>
        <w:jc w:val="both"/>
        <w:rPr>
          <w:i/>
          <w:sz w:val="18"/>
          <w:szCs w:val="18"/>
          <w:lang w:val="es-CO" w:eastAsia="es-CO"/>
        </w:rPr>
      </w:pPr>
      <w:r w:rsidRPr="00C006AC">
        <w:rPr>
          <w:i/>
          <w:sz w:val="18"/>
          <w:szCs w:val="18"/>
        </w:rPr>
        <w:t xml:space="preserve">“..la </w:t>
      </w:r>
      <w:r w:rsidRPr="00C006AC">
        <w:rPr>
          <w:i/>
          <w:sz w:val="18"/>
          <w:szCs w:val="18"/>
          <w:lang w:val="es-CO" w:eastAsia="es-CO"/>
        </w:rPr>
        <w:t>institución de los derechos adquiridos propiamente tales, solamente se aplica en el derecho privado pues en el derecho público la doctrina y la jurisprudencia consideran que es más apropiado hablar de sit</w:t>
      </w:r>
      <w:bookmarkStart w:id="1" w:name="_ftnref3"/>
      <w:r w:rsidRPr="00C006AC">
        <w:rPr>
          <w:i/>
          <w:sz w:val="18"/>
          <w:szCs w:val="18"/>
          <w:lang w:val="es-CO" w:eastAsia="es-CO"/>
        </w:rPr>
        <w:t>uaciones jurídicas consolidadas.</w:t>
      </w:r>
      <w:bookmarkEnd w:id="1"/>
      <w:r w:rsidRPr="00C006AC">
        <w:rPr>
          <w:i/>
          <w:sz w:val="18"/>
          <w:szCs w:val="18"/>
          <w:lang w:val="es-CO" w:eastAsia="es-CO"/>
        </w:rPr>
        <w:t xml:space="preserve"> Esta diferencia adquiere mayor relevancia cuanto se trata de disposiciones de carácter tributario. Por ello señaló la Corte en sentencia anterior,</w:t>
      </w:r>
      <w:r w:rsidRPr="00C006AC">
        <w:rPr>
          <w:i/>
          <w:color w:val="0000FF"/>
          <w:sz w:val="18"/>
          <w:szCs w:val="18"/>
          <w:u w:val="single"/>
          <w:lang w:val="es-CO" w:eastAsia="es-CO"/>
        </w:rPr>
        <w:t xml:space="preserve"> </w:t>
      </w:r>
      <w:r w:rsidRPr="00C006AC">
        <w:rPr>
          <w:i/>
          <w:sz w:val="18"/>
          <w:szCs w:val="18"/>
          <w:lang w:val="es-CO" w:eastAsia="es-CO"/>
        </w:rPr>
        <w:t xml:space="preserve">que </w:t>
      </w:r>
      <w:r>
        <w:rPr>
          <w:i/>
          <w:sz w:val="18"/>
          <w:szCs w:val="18"/>
          <w:lang w:val="es-CO" w:eastAsia="es-CO"/>
        </w:rPr>
        <w:t>‘</w:t>
      </w:r>
      <w:r w:rsidRPr="00C006AC">
        <w:rPr>
          <w:i/>
          <w:iCs/>
          <w:sz w:val="18"/>
          <w:szCs w:val="18"/>
          <w:lang w:val="es-CO" w:eastAsia="es-CO"/>
        </w:rPr>
        <w:t>en este campo no existe el amparo de derechos adquiridos pues la dinámica propia del Estado obliga al legislador a modificar la normatividad en aras de lograr el bienestar de la colectividad en general; en consecuencia, nadie puede pretender que un determinado régimen tributario lo rija por siempre y para siempre, esto</w:t>
      </w:r>
      <w:r w:rsidRPr="00C006AC">
        <w:rPr>
          <w:i/>
          <w:sz w:val="18"/>
          <w:szCs w:val="18"/>
          <w:lang w:val="es-CO" w:eastAsia="es-CO"/>
        </w:rPr>
        <w:t xml:space="preserve"> </w:t>
      </w:r>
      <w:r w:rsidRPr="00C006AC">
        <w:rPr>
          <w:i/>
          <w:iCs/>
          <w:sz w:val="18"/>
          <w:szCs w:val="18"/>
          <w:lang w:val="es-CO" w:eastAsia="es-CO"/>
        </w:rPr>
        <w:t>es</w:t>
      </w:r>
      <w:r w:rsidRPr="00C006AC">
        <w:rPr>
          <w:i/>
          <w:sz w:val="18"/>
          <w:szCs w:val="18"/>
          <w:lang w:val="es-CO" w:eastAsia="es-CO"/>
        </w:rPr>
        <w:t xml:space="preserve">, </w:t>
      </w:r>
      <w:r w:rsidRPr="00C006AC">
        <w:rPr>
          <w:i/>
          <w:iCs/>
          <w:sz w:val="18"/>
          <w:szCs w:val="18"/>
          <w:lang w:val="es-CO" w:eastAsia="es-CO"/>
        </w:rPr>
        <w:t>que se convierta en inmodificable.</w:t>
      </w:r>
      <w:r>
        <w:rPr>
          <w:i/>
          <w:iCs/>
          <w:sz w:val="18"/>
          <w:szCs w:val="18"/>
          <w:lang w:val="es-CO" w:eastAsia="es-CO"/>
        </w:rPr>
        <w:t>’</w:t>
      </w:r>
      <w:r w:rsidRPr="00C006AC">
        <w:rPr>
          <w:i/>
          <w:iCs/>
          <w:sz w:val="18"/>
          <w:szCs w:val="18"/>
          <w:lang w:val="es-CO" w:eastAsia="es-CO"/>
        </w:rPr>
        <w:t xml:space="preserve"> </w:t>
      </w:r>
      <w:r w:rsidRPr="00C006AC">
        <w:rPr>
          <w:i/>
          <w:sz w:val="18"/>
          <w:szCs w:val="18"/>
          <w:lang w:val="es-CO" w:eastAsia="es-CO"/>
        </w:rPr>
        <w:t>Pero también dejó claramente establecido que "</w:t>
      </w:r>
      <w:r w:rsidRPr="00C006AC">
        <w:rPr>
          <w:i/>
          <w:iCs/>
          <w:sz w:val="18"/>
          <w:szCs w:val="18"/>
          <w:lang w:val="es-CO" w:eastAsia="es-CO"/>
        </w:rPr>
        <w:t>las leyes tributarias no son retroactivas, de manera que los efectos producidos por la ley tributaria en el pasado debe respetarlos la ley nueva, es decir, que las situaciones jurídicas consolidadas no pueden ser desconocidas por la ley derogatoria, porque la conducta del contribuyente se adecuó a lo previsto en la norma vigente para</w:t>
      </w:r>
      <w:r w:rsidRPr="00C006AC">
        <w:rPr>
          <w:i/>
          <w:sz w:val="18"/>
          <w:szCs w:val="18"/>
          <w:lang w:val="es-CO" w:eastAsia="es-CO"/>
        </w:rPr>
        <w:t xml:space="preserve"> </w:t>
      </w:r>
      <w:r w:rsidRPr="00C006AC">
        <w:rPr>
          <w:i/>
          <w:iCs/>
          <w:sz w:val="18"/>
          <w:szCs w:val="18"/>
          <w:lang w:val="es-CO" w:eastAsia="es-CO"/>
        </w:rPr>
        <w:t xml:space="preserve">el periodo fiscal respectivo y de acuerdo con las exigencias allí impuestas." </w:t>
      </w:r>
    </w:p>
    <w:p w:rsidR="00DF468B" w:rsidRPr="00C006AC" w:rsidRDefault="00DF468B" w:rsidP="00DF468B">
      <w:pPr>
        <w:pStyle w:val="Textonotapie"/>
        <w:tabs>
          <w:tab w:val="left" w:pos="7350"/>
        </w:tabs>
        <w:rPr>
          <w:lang w:val="es-CO"/>
        </w:rPr>
      </w:pPr>
      <w:r>
        <w:rPr>
          <w:lang w:val="es-CO"/>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5A" w:rsidRDefault="00E16A5A" w:rsidP="00951F79">
    <w:pPr>
      <w:pStyle w:val="Ttulo1"/>
      <w:ind w:right="6"/>
      <w:jc w:val="left"/>
      <w:rPr>
        <w:rFonts w:ascii="Bookman Old Style" w:hAnsi="Bookman Old Style" w:cs="Arial"/>
        <w:b w:val="0"/>
        <w:sz w:val="22"/>
        <w:szCs w:val="22"/>
      </w:rPr>
    </w:pPr>
  </w:p>
  <w:p w:rsidR="00E16A5A" w:rsidRPr="00951F79" w:rsidRDefault="00E16A5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E379C1"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E379C1" w:rsidRPr="00654384">
      <w:rPr>
        <w:rFonts w:ascii="Bookman Old Style" w:hAnsi="Bookman Old Style" w:cs="Arial"/>
        <w:b w:val="0"/>
        <w:sz w:val="22"/>
        <w:szCs w:val="22"/>
      </w:rPr>
      <w:fldChar w:fldCharType="separate"/>
    </w:r>
    <w:r w:rsidR="00A37391">
      <w:rPr>
        <w:rFonts w:ascii="Bookman Old Style" w:hAnsi="Bookman Old Style" w:cs="Arial"/>
        <w:b w:val="0"/>
        <w:noProof/>
        <w:sz w:val="22"/>
        <w:szCs w:val="22"/>
      </w:rPr>
      <w:t>6</w:t>
    </w:r>
    <w:r w:rsidR="00E379C1"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37391">
      <w:fldChar w:fldCharType="begin"/>
    </w:r>
    <w:r w:rsidR="00A37391">
      <w:instrText xml:space="preserve"> NUMPAGES  \* MERGEFORMAT </w:instrText>
    </w:r>
    <w:r w:rsidR="00A37391">
      <w:fldChar w:fldCharType="separate"/>
    </w:r>
    <w:r w:rsidR="00A37391" w:rsidRPr="00A37391">
      <w:rPr>
        <w:rFonts w:ascii="Bookman Old Style" w:hAnsi="Bookman Old Style" w:cs="Arial"/>
        <w:b w:val="0"/>
        <w:noProof/>
        <w:sz w:val="22"/>
        <w:szCs w:val="22"/>
      </w:rPr>
      <w:t>6</w:t>
    </w:r>
    <w:r w:rsidR="00A37391">
      <w:rPr>
        <w:rFonts w:ascii="Bookman Old Style" w:hAnsi="Bookman Old Style" w:cs="Arial"/>
        <w:b w:val="0"/>
        <w:noProof/>
        <w:sz w:val="22"/>
        <w:szCs w:val="22"/>
      </w:rPr>
      <w:fldChar w:fldCharType="end"/>
    </w:r>
  </w:p>
  <w:p w:rsidR="00E16A5A" w:rsidRDefault="00E11AE6"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ED44054" wp14:editId="3FB4AAF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16A5A" w:rsidRPr="00CB5DD0" w:rsidRDefault="002D2264" w:rsidP="002D2264">
    <w:pPr>
      <w:pBdr>
        <w:bottom w:val="single" w:sz="4" w:space="1" w:color="auto"/>
      </w:pBdr>
      <w:ind w:left="142" w:right="148"/>
      <w:jc w:val="both"/>
      <w:rPr>
        <w:b/>
      </w:rPr>
    </w:pPr>
    <w:r w:rsidRPr="002D2264">
      <w:rPr>
        <w:rFonts w:ascii="Bookman Old Style" w:hAnsi="Bookman Old Style"/>
        <w:sz w:val="22"/>
        <w:szCs w:val="22"/>
      </w:rPr>
      <w:t>Por la cual se resuelve el Recurso de Reposición interpuesto por la Empresa de Energía de Boyacá S.A E.S.P., contra la Resolución CREG 0</w:t>
    </w:r>
    <w:r w:rsidR="000A7F71">
      <w:rPr>
        <w:rFonts w:ascii="Bookman Old Style" w:hAnsi="Bookman Old Style"/>
        <w:sz w:val="22"/>
        <w:szCs w:val="22"/>
      </w:rPr>
      <w:t>79 de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5A" w:rsidRDefault="00E16A5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16A5A" w:rsidRDefault="00E16A5A">
    <w:pPr>
      <w:pStyle w:val="Encabezado"/>
      <w:jc w:val="center"/>
      <w:rPr>
        <w:rFonts w:ascii="Arial" w:hAnsi="Arial" w:cs="Arial"/>
        <w:spacing w:val="20"/>
        <w:sz w:val="20"/>
      </w:rPr>
    </w:pPr>
  </w:p>
  <w:p w:rsidR="00E16A5A" w:rsidRDefault="00E11AE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0A0674E" wp14:editId="14A7EEE2">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9AB0E73"/>
    <w:multiLevelType w:val="hybridMultilevel"/>
    <w:tmpl w:val="FAD0A876"/>
    <w:lvl w:ilvl="0" w:tplc="3B36187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36651A"/>
    <w:multiLevelType w:val="hybridMultilevel"/>
    <w:tmpl w:val="B58E77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1983361"/>
    <w:multiLevelType w:val="hybridMultilevel"/>
    <w:tmpl w:val="735ACF9E"/>
    <w:lvl w:ilvl="0" w:tplc="ABAA242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nsid w:val="12591B89"/>
    <w:multiLevelType w:val="hybridMultilevel"/>
    <w:tmpl w:val="30BAA2EE"/>
    <w:lvl w:ilvl="0" w:tplc="FFA4ED56">
      <w:start w:val="1"/>
      <w:numFmt w:val="decimal"/>
      <w:pStyle w:val="articulo"/>
      <w:lvlText w:val="Artículo %1."/>
      <w:lvlJc w:val="left"/>
      <w:pPr>
        <w:tabs>
          <w:tab w:val="num" w:pos="1440"/>
        </w:tabs>
        <w:ind w:left="0" w:firstLine="0"/>
      </w:pPr>
      <w:rPr>
        <w:rFonts w:hint="default"/>
        <w:b/>
        <w:i w:val="0"/>
        <w:sz w:val="24"/>
      </w:rPr>
    </w:lvl>
    <w:lvl w:ilvl="1" w:tplc="82AC8D2C">
      <w:numFmt w:val="bullet"/>
      <w:lvlText w:val="-"/>
      <w:lvlJc w:val="left"/>
      <w:pPr>
        <w:tabs>
          <w:tab w:val="num" w:pos="1440"/>
        </w:tabs>
        <w:ind w:left="1440" w:hanging="360"/>
      </w:pPr>
      <w:rPr>
        <w:rFonts w:ascii="Times New Roman" w:eastAsia="Times New Roman" w:hAnsi="Times New Roman"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7E314E6"/>
    <w:multiLevelType w:val="hybridMultilevel"/>
    <w:tmpl w:val="EEEEC0F8"/>
    <w:lvl w:ilvl="0" w:tplc="2F52B9AA">
      <w:start w:val="10"/>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8DB1878"/>
    <w:multiLevelType w:val="hybridMultilevel"/>
    <w:tmpl w:val="43F46766"/>
    <w:lvl w:ilvl="0" w:tplc="192E586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A3DE5"/>
    <w:multiLevelType w:val="hybridMultilevel"/>
    <w:tmpl w:val="70BC73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4">
    <w:nsid w:val="3EFB76E6"/>
    <w:multiLevelType w:val="hybridMultilevel"/>
    <w:tmpl w:val="E3667250"/>
    <w:lvl w:ilvl="0" w:tplc="2C02CACE">
      <w:start w:val="3"/>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nsid w:val="4CFA5DE0"/>
    <w:multiLevelType w:val="hybridMultilevel"/>
    <w:tmpl w:val="C330A7E2"/>
    <w:lvl w:ilvl="0" w:tplc="3922506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nsid w:val="50157AB0"/>
    <w:multiLevelType w:val="hybridMultilevel"/>
    <w:tmpl w:val="4FB676E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nsid w:val="53471E70"/>
    <w:multiLevelType w:val="hybridMultilevel"/>
    <w:tmpl w:val="1B944768"/>
    <w:lvl w:ilvl="0" w:tplc="18FCC45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567F0E84"/>
    <w:multiLevelType w:val="hybridMultilevel"/>
    <w:tmpl w:val="00A8A7B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D341AC"/>
    <w:multiLevelType w:val="hybridMultilevel"/>
    <w:tmpl w:val="5240E934"/>
    <w:lvl w:ilvl="0" w:tplc="0C0A000F">
      <w:start w:val="1"/>
      <w:numFmt w:val="decimal"/>
      <w:lvlText w:val="%1."/>
      <w:lvlJc w:val="left"/>
      <w:pPr>
        <w:ind w:left="6948" w:hanging="360"/>
      </w:pPr>
      <w:rPr>
        <w:rFonts w:hint="default"/>
      </w:rPr>
    </w:lvl>
    <w:lvl w:ilvl="1" w:tplc="0C0A0019">
      <w:start w:val="1"/>
      <w:numFmt w:val="lowerLetter"/>
      <w:lvlText w:val="%2."/>
      <w:lvlJc w:val="left"/>
      <w:pPr>
        <w:ind w:left="7668" w:hanging="360"/>
      </w:pPr>
    </w:lvl>
    <w:lvl w:ilvl="2" w:tplc="0C0A001B" w:tentative="1">
      <w:start w:val="1"/>
      <w:numFmt w:val="lowerRoman"/>
      <w:lvlText w:val="%3."/>
      <w:lvlJc w:val="right"/>
      <w:pPr>
        <w:ind w:left="8388" w:hanging="180"/>
      </w:pPr>
    </w:lvl>
    <w:lvl w:ilvl="3" w:tplc="0C0A000F" w:tentative="1">
      <w:start w:val="1"/>
      <w:numFmt w:val="decimal"/>
      <w:lvlText w:val="%4."/>
      <w:lvlJc w:val="left"/>
      <w:pPr>
        <w:ind w:left="9108" w:hanging="360"/>
      </w:pPr>
    </w:lvl>
    <w:lvl w:ilvl="4" w:tplc="0C0A0019" w:tentative="1">
      <w:start w:val="1"/>
      <w:numFmt w:val="lowerLetter"/>
      <w:lvlText w:val="%5."/>
      <w:lvlJc w:val="left"/>
      <w:pPr>
        <w:ind w:left="9828" w:hanging="360"/>
      </w:pPr>
    </w:lvl>
    <w:lvl w:ilvl="5" w:tplc="0C0A001B" w:tentative="1">
      <w:start w:val="1"/>
      <w:numFmt w:val="lowerRoman"/>
      <w:lvlText w:val="%6."/>
      <w:lvlJc w:val="right"/>
      <w:pPr>
        <w:ind w:left="10548" w:hanging="180"/>
      </w:pPr>
    </w:lvl>
    <w:lvl w:ilvl="6" w:tplc="0C0A000F" w:tentative="1">
      <w:start w:val="1"/>
      <w:numFmt w:val="decimal"/>
      <w:lvlText w:val="%7."/>
      <w:lvlJc w:val="left"/>
      <w:pPr>
        <w:ind w:left="11268" w:hanging="360"/>
      </w:pPr>
    </w:lvl>
    <w:lvl w:ilvl="7" w:tplc="0C0A0019" w:tentative="1">
      <w:start w:val="1"/>
      <w:numFmt w:val="lowerLetter"/>
      <w:lvlText w:val="%8."/>
      <w:lvlJc w:val="left"/>
      <w:pPr>
        <w:ind w:left="11988" w:hanging="360"/>
      </w:pPr>
    </w:lvl>
    <w:lvl w:ilvl="8" w:tplc="0C0A001B" w:tentative="1">
      <w:start w:val="1"/>
      <w:numFmt w:val="lowerRoman"/>
      <w:lvlText w:val="%9."/>
      <w:lvlJc w:val="right"/>
      <w:pPr>
        <w:ind w:left="12708" w:hanging="180"/>
      </w:pPr>
    </w:lvl>
  </w:abstractNum>
  <w:abstractNum w:abstractNumId="2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61666260"/>
    <w:multiLevelType w:val="hybridMultilevel"/>
    <w:tmpl w:val="6506F43C"/>
    <w:lvl w:ilvl="0" w:tplc="2CD43046">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6B75226"/>
    <w:multiLevelType w:val="hybridMultilevel"/>
    <w:tmpl w:val="9070806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8">
    <w:nsid w:val="694E1C6E"/>
    <w:multiLevelType w:val="hybridMultilevel"/>
    <w:tmpl w:val="DE82D5EA"/>
    <w:lvl w:ilvl="0" w:tplc="EE3C1AF6">
      <w:start w:val="13"/>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E6A2EBE"/>
    <w:multiLevelType w:val="hybridMultilevel"/>
    <w:tmpl w:val="FC0AC5C2"/>
    <w:lvl w:ilvl="0" w:tplc="4828B2A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21843B0"/>
    <w:multiLevelType w:val="hybridMultilevel"/>
    <w:tmpl w:val="436CD5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2DA5AEB"/>
    <w:multiLevelType w:val="hybridMultilevel"/>
    <w:tmpl w:val="71A415B2"/>
    <w:lvl w:ilvl="0" w:tplc="1208248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nsid w:val="743D0631"/>
    <w:multiLevelType w:val="hybridMultilevel"/>
    <w:tmpl w:val="21D69876"/>
    <w:lvl w:ilvl="0" w:tplc="0D502D32">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BD62479"/>
    <w:multiLevelType w:val="hybridMultilevel"/>
    <w:tmpl w:val="58787B14"/>
    <w:lvl w:ilvl="0" w:tplc="DC567C4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C730D6B"/>
    <w:multiLevelType w:val="hybridMultilevel"/>
    <w:tmpl w:val="E70E8894"/>
    <w:lvl w:ilvl="0" w:tplc="2D625B1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15"/>
  </w:num>
  <w:num w:numId="2">
    <w:abstractNumId w:val="4"/>
  </w:num>
  <w:num w:numId="3">
    <w:abstractNumId w:val="34"/>
  </w:num>
  <w:num w:numId="4">
    <w:abstractNumId w:val="9"/>
  </w:num>
  <w:num w:numId="5">
    <w:abstractNumId w:val="22"/>
  </w:num>
  <w:num w:numId="6">
    <w:abstractNumId w:val="2"/>
  </w:num>
  <w:num w:numId="7">
    <w:abstractNumId w:val="1"/>
  </w:num>
  <w:num w:numId="8">
    <w:abstractNumId w:val="26"/>
  </w:num>
  <w:num w:numId="9">
    <w:abstractNumId w:val="24"/>
  </w:num>
  <w:num w:numId="10">
    <w:abstractNumId w:val="16"/>
  </w:num>
  <w:num w:numId="11">
    <w:abstractNumId w:val="35"/>
  </w:num>
  <w:num w:numId="12">
    <w:abstractNumId w:val="30"/>
  </w:num>
  <w:num w:numId="13">
    <w:abstractNumId w:val="11"/>
  </w:num>
  <w:num w:numId="14">
    <w:abstractNumId w:val="0"/>
  </w:num>
  <w:num w:numId="15">
    <w:abstractNumId w:val="13"/>
  </w:num>
  <w:num w:numId="16">
    <w:abstractNumId w:val="17"/>
  </w:num>
  <w:num w:numId="17">
    <w:abstractNumId w:val="7"/>
  </w:num>
  <w:num w:numId="18">
    <w:abstractNumId w:val="29"/>
  </w:num>
  <w:num w:numId="19">
    <w:abstractNumId w:val="31"/>
  </w:num>
  <w:num w:numId="20">
    <w:abstractNumId w:val="8"/>
  </w:num>
  <w:num w:numId="21">
    <w:abstractNumId w:val="28"/>
  </w:num>
  <w:num w:numId="22">
    <w:abstractNumId w:val="23"/>
  </w:num>
  <w:num w:numId="23">
    <w:abstractNumId w:val="36"/>
  </w:num>
  <w:num w:numId="24">
    <w:abstractNumId w:val="10"/>
  </w:num>
  <w:num w:numId="25">
    <w:abstractNumId w:val="32"/>
  </w:num>
  <w:num w:numId="26">
    <w:abstractNumId w:val="3"/>
  </w:num>
  <w:num w:numId="27">
    <w:abstractNumId w:val="12"/>
  </w:num>
  <w:num w:numId="28">
    <w:abstractNumId w:val="19"/>
  </w:num>
  <w:num w:numId="29">
    <w:abstractNumId w:val="21"/>
  </w:num>
  <w:num w:numId="30">
    <w:abstractNumId w:val="14"/>
  </w:num>
  <w:num w:numId="31">
    <w:abstractNumId w:val="18"/>
  </w:num>
  <w:num w:numId="32">
    <w:abstractNumId w:val="6"/>
  </w:num>
  <w:num w:numId="33">
    <w:abstractNumId w:val="37"/>
  </w:num>
  <w:num w:numId="34">
    <w:abstractNumId w:val="20"/>
  </w:num>
  <w:num w:numId="35">
    <w:abstractNumId w:val="27"/>
  </w:num>
  <w:num w:numId="36">
    <w:abstractNumId w:val="33"/>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07F91"/>
    <w:rsid w:val="00012259"/>
    <w:rsid w:val="00014EBB"/>
    <w:rsid w:val="00022BA2"/>
    <w:rsid w:val="00025383"/>
    <w:rsid w:val="000260C8"/>
    <w:rsid w:val="000275A8"/>
    <w:rsid w:val="000339B5"/>
    <w:rsid w:val="00034E89"/>
    <w:rsid w:val="000355A2"/>
    <w:rsid w:val="00040C91"/>
    <w:rsid w:val="00061C2D"/>
    <w:rsid w:val="00063657"/>
    <w:rsid w:val="00076680"/>
    <w:rsid w:val="0008073E"/>
    <w:rsid w:val="00080DCE"/>
    <w:rsid w:val="00091994"/>
    <w:rsid w:val="00091CDB"/>
    <w:rsid w:val="000A19AC"/>
    <w:rsid w:val="000A24BE"/>
    <w:rsid w:val="000A3C9A"/>
    <w:rsid w:val="000A7F71"/>
    <w:rsid w:val="000C2E7E"/>
    <w:rsid w:val="000D26F8"/>
    <w:rsid w:val="000D3B0C"/>
    <w:rsid w:val="000D7E36"/>
    <w:rsid w:val="000E346A"/>
    <w:rsid w:val="000E6937"/>
    <w:rsid w:val="000E7B52"/>
    <w:rsid w:val="000E7EFC"/>
    <w:rsid w:val="000F0218"/>
    <w:rsid w:val="000F1457"/>
    <w:rsid w:val="000F1EE3"/>
    <w:rsid w:val="000F5D2B"/>
    <w:rsid w:val="0010128A"/>
    <w:rsid w:val="00102BA4"/>
    <w:rsid w:val="00107352"/>
    <w:rsid w:val="00130893"/>
    <w:rsid w:val="00131AFF"/>
    <w:rsid w:val="001349A9"/>
    <w:rsid w:val="00136D7B"/>
    <w:rsid w:val="00140112"/>
    <w:rsid w:val="001405C6"/>
    <w:rsid w:val="00141013"/>
    <w:rsid w:val="001469A8"/>
    <w:rsid w:val="00153137"/>
    <w:rsid w:val="001710FF"/>
    <w:rsid w:val="001715E0"/>
    <w:rsid w:val="0018589A"/>
    <w:rsid w:val="00192CBF"/>
    <w:rsid w:val="00192FF1"/>
    <w:rsid w:val="001A5F1B"/>
    <w:rsid w:val="001B1C22"/>
    <w:rsid w:val="001B28F9"/>
    <w:rsid w:val="001B34C6"/>
    <w:rsid w:val="001D07EF"/>
    <w:rsid w:val="001D5F50"/>
    <w:rsid w:val="001D714A"/>
    <w:rsid w:val="001D7832"/>
    <w:rsid w:val="001E406C"/>
    <w:rsid w:val="001E7FF2"/>
    <w:rsid w:val="00211D34"/>
    <w:rsid w:val="00214F04"/>
    <w:rsid w:val="00215B9E"/>
    <w:rsid w:val="00220E5E"/>
    <w:rsid w:val="0022522C"/>
    <w:rsid w:val="0023347E"/>
    <w:rsid w:val="00237EA6"/>
    <w:rsid w:val="00241C61"/>
    <w:rsid w:val="002520A5"/>
    <w:rsid w:val="00262490"/>
    <w:rsid w:val="00266CD6"/>
    <w:rsid w:val="00266DD0"/>
    <w:rsid w:val="00270DFB"/>
    <w:rsid w:val="0027728F"/>
    <w:rsid w:val="002815F9"/>
    <w:rsid w:val="00283270"/>
    <w:rsid w:val="00284CEC"/>
    <w:rsid w:val="002A6A2F"/>
    <w:rsid w:val="002B11E2"/>
    <w:rsid w:val="002B24B8"/>
    <w:rsid w:val="002B3702"/>
    <w:rsid w:val="002B6E6F"/>
    <w:rsid w:val="002C16AD"/>
    <w:rsid w:val="002C78A3"/>
    <w:rsid w:val="002D2264"/>
    <w:rsid w:val="002D3AE9"/>
    <w:rsid w:val="002F0734"/>
    <w:rsid w:val="002F38FF"/>
    <w:rsid w:val="002F46E7"/>
    <w:rsid w:val="002F7AFD"/>
    <w:rsid w:val="00303888"/>
    <w:rsid w:val="003043AA"/>
    <w:rsid w:val="00304B6E"/>
    <w:rsid w:val="003101DA"/>
    <w:rsid w:val="003132AA"/>
    <w:rsid w:val="00314757"/>
    <w:rsid w:val="003207F8"/>
    <w:rsid w:val="003211CE"/>
    <w:rsid w:val="00326007"/>
    <w:rsid w:val="00327874"/>
    <w:rsid w:val="00331D2B"/>
    <w:rsid w:val="003400CD"/>
    <w:rsid w:val="003424CC"/>
    <w:rsid w:val="003428D1"/>
    <w:rsid w:val="00344375"/>
    <w:rsid w:val="0035403A"/>
    <w:rsid w:val="0035515B"/>
    <w:rsid w:val="0035549C"/>
    <w:rsid w:val="0036394B"/>
    <w:rsid w:val="003709B5"/>
    <w:rsid w:val="00370BD1"/>
    <w:rsid w:val="003732AD"/>
    <w:rsid w:val="0037465B"/>
    <w:rsid w:val="003759C2"/>
    <w:rsid w:val="0038090A"/>
    <w:rsid w:val="00383480"/>
    <w:rsid w:val="003951EE"/>
    <w:rsid w:val="00397365"/>
    <w:rsid w:val="003A31F6"/>
    <w:rsid w:val="003A7E47"/>
    <w:rsid w:val="003B11C0"/>
    <w:rsid w:val="003B1201"/>
    <w:rsid w:val="003B6B6E"/>
    <w:rsid w:val="003B79BF"/>
    <w:rsid w:val="003C14BF"/>
    <w:rsid w:val="003C3447"/>
    <w:rsid w:val="003C3538"/>
    <w:rsid w:val="003D076C"/>
    <w:rsid w:val="003D3B6B"/>
    <w:rsid w:val="003D4786"/>
    <w:rsid w:val="003E0A6E"/>
    <w:rsid w:val="003E3030"/>
    <w:rsid w:val="003E5019"/>
    <w:rsid w:val="003E63C6"/>
    <w:rsid w:val="003E6FCC"/>
    <w:rsid w:val="003F79BC"/>
    <w:rsid w:val="00403F64"/>
    <w:rsid w:val="00415BAB"/>
    <w:rsid w:val="00415ED2"/>
    <w:rsid w:val="0042068C"/>
    <w:rsid w:val="00426276"/>
    <w:rsid w:val="004311FB"/>
    <w:rsid w:val="0043189C"/>
    <w:rsid w:val="0043196D"/>
    <w:rsid w:val="00431DA3"/>
    <w:rsid w:val="004408E5"/>
    <w:rsid w:val="00444EB6"/>
    <w:rsid w:val="00445206"/>
    <w:rsid w:val="00445B18"/>
    <w:rsid w:val="0045506B"/>
    <w:rsid w:val="00455BEE"/>
    <w:rsid w:val="00464E88"/>
    <w:rsid w:val="0047122B"/>
    <w:rsid w:val="00471B55"/>
    <w:rsid w:val="00473B7A"/>
    <w:rsid w:val="00480DC2"/>
    <w:rsid w:val="0048139F"/>
    <w:rsid w:val="00483942"/>
    <w:rsid w:val="00485A63"/>
    <w:rsid w:val="00485F87"/>
    <w:rsid w:val="00492E34"/>
    <w:rsid w:val="004960E9"/>
    <w:rsid w:val="004A2E88"/>
    <w:rsid w:val="004A5305"/>
    <w:rsid w:val="004B0BFC"/>
    <w:rsid w:val="004C4437"/>
    <w:rsid w:val="004C474E"/>
    <w:rsid w:val="004D71FB"/>
    <w:rsid w:val="004D7634"/>
    <w:rsid w:val="004E2565"/>
    <w:rsid w:val="004E7881"/>
    <w:rsid w:val="004F2F99"/>
    <w:rsid w:val="004F3C20"/>
    <w:rsid w:val="004F7F87"/>
    <w:rsid w:val="00501DD2"/>
    <w:rsid w:val="00510A20"/>
    <w:rsid w:val="00513FA2"/>
    <w:rsid w:val="005142B8"/>
    <w:rsid w:val="005300D3"/>
    <w:rsid w:val="005363F2"/>
    <w:rsid w:val="005426F1"/>
    <w:rsid w:val="0054288D"/>
    <w:rsid w:val="00544F82"/>
    <w:rsid w:val="005525A1"/>
    <w:rsid w:val="0055301C"/>
    <w:rsid w:val="005547DE"/>
    <w:rsid w:val="00554AC3"/>
    <w:rsid w:val="00554CCB"/>
    <w:rsid w:val="00571605"/>
    <w:rsid w:val="00574558"/>
    <w:rsid w:val="005830B5"/>
    <w:rsid w:val="00585D3A"/>
    <w:rsid w:val="00586187"/>
    <w:rsid w:val="00587B93"/>
    <w:rsid w:val="00593C4F"/>
    <w:rsid w:val="005946A8"/>
    <w:rsid w:val="00595941"/>
    <w:rsid w:val="005970EC"/>
    <w:rsid w:val="005A0C67"/>
    <w:rsid w:val="005A4407"/>
    <w:rsid w:val="005A59EF"/>
    <w:rsid w:val="005B1C8B"/>
    <w:rsid w:val="005C10AC"/>
    <w:rsid w:val="005C34DB"/>
    <w:rsid w:val="005D0640"/>
    <w:rsid w:val="005D0ABA"/>
    <w:rsid w:val="005D19C2"/>
    <w:rsid w:val="005D262B"/>
    <w:rsid w:val="005D5727"/>
    <w:rsid w:val="005D5ED6"/>
    <w:rsid w:val="005D7EAB"/>
    <w:rsid w:val="005E04BC"/>
    <w:rsid w:val="005E2289"/>
    <w:rsid w:val="005E4343"/>
    <w:rsid w:val="005F1859"/>
    <w:rsid w:val="005F2A82"/>
    <w:rsid w:val="005F65F0"/>
    <w:rsid w:val="006018D8"/>
    <w:rsid w:val="00601E4A"/>
    <w:rsid w:val="0061647C"/>
    <w:rsid w:val="0062050A"/>
    <w:rsid w:val="006257E8"/>
    <w:rsid w:val="00625DC6"/>
    <w:rsid w:val="006261ED"/>
    <w:rsid w:val="00632810"/>
    <w:rsid w:val="00634693"/>
    <w:rsid w:val="0064398F"/>
    <w:rsid w:val="00643EF5"/>
    <w:rsid w:val="00646F87"/>
    <w:rsid w:val="00651821"/>
    <w:rsid w:val="00652550"/>
    <w:rsid w:val="006540AF"/>
    <w:rsid w:val="00654384"/>
    <w:rsid w:val="00654DC2"/>
    <w:rsid w:val="00666CE7"/>
    <w:rsid w:val="00667527"/>
    <w:rsid w:val="006675CD"/>
    <w:rsid w:val="00670BC4"/>
    <w:rsid w:val="0067218E"/>
    <w:rsid w:val="0068028C"/>
    <w:rsid w:val="006831DD"/>
    <w:rsid w:val="00684D9B"/>
    <w:rsid w:val="00690182"/>
    <w:rsid w:val="0069382C"/>
    <w:rsid w:val="00697556"/>
    <w:rsid w:val="006A3D41"/>
    <w:rsid w:val="006A540F"/>
    <w:rsid w:val="006A7269"/>
    <w:rsid w:val="006B4C2B"/>
    <w:rsid w:val="006B5D28"/>
    <w:rsid w:val="006B610C"/>
    <w:rsid w:val="006B6D47"/>
    <w:rsid w:val="006C098F"/>
    <w:rsid w:val="006D0146"/>
    <w:rsid w:val="006F551A"/>
    <w:rsid w:val="006F5C1E"/>
    <w:rsid w:val="006F6D95"/>
    <w:rsid w:val="00703880"/>
    <w:rsid w:val="00706F13"/>
    <w:rsid w:val="007072E8"/>
    <w:rsid w:val="00707557"/>
    <w:rsid w:val="007104E9"/>
    <w:rsid w:val="00710BE1"/>
    <w:rsid w:val="00712592"/>
    <w:rsid w:val="007135A2"/>
    <w:rsid w:val="00713E83"/>
    <w:rsid w:val="0071618D"/>
    <w:rsid w:val="00725FA4"/>
    <w:rsid w:val="00726D7A"/>
    <w:rsid w:val="00731480"/>
    <w:rsid w:val="007327D9"/>
    <w:rsid w:val="007362DF"/>
    <w:rsid w:val="00740446"/>
    <w:rsid w:val="007438A9"/>
    <w:rsid w:val="0074491E"/>
    <w:rsid w:val="00755584"/>
    <w:rsid w:val="007559B1"/>
    <w:rsid w:val="00760693"/>
    <w:rsid w:val="00772C3F"/>
    <w:rsid w:val="00774857"/>
    <w:rsid w:val="00775964"/>
    <w:rsid w:val="007776CD"/>
    <w:rsid w:val="00782D1A"/>
    <w:rsid w:val="00784D83"/>
    <w:rsid w:val="00785A33"/>
    <w:rsid w:val="00792301"/>
    <w:rsid w:val="00795BFB"/>
    <w:rsid w:val="0079645D"/>
    <w:rsid w:val="00797BE0"/>
    <w:rsid w:val="00797DA9"/>
    <w:rsid w:val="007B2760"/>
    <w:rsid w:val="007C4108"/>
    <w:rsid w:val="007C5B9C"/>
    <w:rsid w:val="007D2121"/>
    <w:rsid w:val="007D2240"/>
    <w:rsid w:val="007D6F8D"/>
    <w:rsid w:val="007E1F82"/>
    <w:rsid w:val="007E65B5"/>
    <w:rsid w:val="007F3036"/>
    <w:rsid w:val="008012A9"/>
    <w:rsid w:val="00806599"/>
    <w:rsid w:val="00806C01"/>
    <w:rsid w:val="008115CC"/>
    <w:rsid w:val="00811BEF"/>
    <w:rsid w:val="008148CC"/>
    <w:rsid w:val="00815E78"/>
    <w:rsid w:val="008211A4"/>
    <w:rsid w:val="00821375"/>
    <w:rsid w:val="00822826"/>
    <w:rsid w:val="00830543"/>
    <w:rsid w:val="00830794"/>
    <w:rsid w:val="00845514"/>
    <w:rsid w:val="00851B92"/>
    <w:rsid w:val="00855E18"/>
    <w:rsid w:val="0085733C"/>
    <w:rsid w:val="00867F72"/>
    <w:rsid w:val="00872EA7"/>
    <w:rsid w:val="00873150"/>
    <w:rsid w:val="0087657D"/>
    <w:rsid w:val="008775D5"/>
    <w:rsid w:val="008807D5"/>
    <w:rsid w:val="00880832"/>
    <w:rsid w:val="00883C08"/>
    <w:rsid w:val="00886EE1"/>
    <w:rsid w:val="0088727D"/>
    <w:rsid w:val="00893C08"/>
    <w:rsid w:val="0089419C"/>
    <w:rsid w:val="00894DDF"/>
    <w:rsid w:val="00894FBC"/>
    <w:rsid w:val="00897C75"/>
    <w:rsid w:val="008A0C8F"/>
    <w:rsid w:val="008A15A0"/>
    <w:rsid w:val="008C1130"/>
    <w:rsid w:val="008C4993"/>
    <w:rsid w:val="008D18E6"/>
    <w:rsid w:val="008D2DEA"/>
    <w:rsid w:val="008D7A9B"/>
    <w:rsid w:val="008E32EA"/>
    <w:rsid w:val="008E76AC"/>
    <w:rsid w:val="008F11A3"/>
    <w:rsid w:val="008F206B"/>
    <w:rsid w:val="008F21F6"/>
    <w:rsid w:val="008F2CEE"/>
    <w:rsid w:val="008F7999"/>
    <w:rsid w:val="00912F58"/>
    <w:rsid w:val="00921D88"/>
    <w:rsid w:val="00923A76"/>
    <w:rsid w:val="009240AC"/>
    <w:rsid w:val="00924EFC"/>
    <w:rsid w:val="00925030"/>
    <w:rsid w:val="009511D7"/>
    <w:rsid w:val="00951F79"/>
    <w:rsid w:val="009623A1"/>
    <w:rsid w:val="00966E79"/>
    <w:rsid w:val="0097096B"/>
    <w:rsid w:val="00973CBA"/>
    <w:rsid w:val="00974AB5"/>
    <w:rsid w:val="00980302"/>
    <w:rsid w:val="009856F3"/>
    <w:rsid w:val="0098706D"/>
    <w:rsid w:val="009935FB"/>
    <w:rsid w:val="009B125B"/>
    <w:rsid w:val="009C14F9"/>
    <w:rsid w:val="009C4EFE"/>
    <w:rsid w:val="009D676E"/>
    <w:rsid w:val="009E3754"/>
    <w:rsid w:val="009E4924"/>
    <w:rsid w:val="009E4C2B"/>
    <w:rsid w:val="009E6220"/>
    <w:rsid w:val="009F1029"/>
    <w:rsid w:val="009F3399"/>
    <w:rsid w:val="009F43AB"/>
    <w:rsid w:val="009F4A54"/>
    <w:rsid w:val="009F4BEC"/>
    <w:rsid w:val="009F5F5A"/>
    <w:rsid w:val="009F71E4"/>
    <w:rsid w:val="00A10359"/>
    <w:rsid w:val="00A106FD"/>
    <w:rsid w:val="00A11928"/>
    <w:rsid w:val="00A17C23"/>
    <w:rsid w:val="00A17E0C"/>
    <w:rsid w:val="00A23FA4"/>
    <w:rsid w:val="00A25FD7"/>
    <w:rsid w:val="00A2790C"/>
    <w:rsid w:val="00A31BA6"/>
    <w:rsid w:val="00A33BFB"/>
    <w:rsid w:val="00A33C22"/>
    <w:rsid w:val="00A35E86"/>
    <w:rsid w:val="00A37391"/>
    <w:rsid w:val="00A43066"/>
    <w:rsid w:val="00A43AFF"/>
    <w:rsid w:val="00A5020B"/>
    <w:rsid w:val="00A5169B"/>
    <w:rsid w:val="00A605A8"/>
    <w:rsid w:val="00A61870"/>
    <w:rsid w:val="00A64866"/>
    <w:rsid w:val="00A70001"/>
    <w:rsid w:val="00A703A8"/>
    <w:rsid w:val="00A7793A"/>
    <w:rsid w:val="00A77D85"/>
    <w:rsid w:val="00A94B02"/>
    <w:rsid w:val="00A95565"/>
    <w:rsid w:val="00AA0080"/>
    <w:rsid w:val="00AA0962"/>
    <w:rsid w:val="00AA1163"/>
    <w:rsid w:val="00AA2C51"/>
    <w:rsid w:val="00AA5577"/>
    <w:rsid w:val="00AA566A"/>
    <w:rsid w:val="00AA74E9"/>
    <w:rsid w:val="00AB666A"/>
    <w:rsid w:val="00AB6CA7"/>
    <w:rsid w:val="00AD01E4"/>
    <w:rsid w:val="00AD0858"/>
    <w:rsid w:val="00AD1FA6"/>
    <w:rsid w:val="00AD2A29"/>
    <w:rsid w:val="00AD3E8D"/>
    <w:rsid w:val="00AD7D42"/>
    <w:rsid w:val="00AE0B57"/>
    <w:rsid w:val="00AE1363"/>
    <w:rsid w:val="00AE7340"/>
    <w:rsid w:val="00AF1BBD"/>
    <w:rsid w:val="00AF24B1"/>
    <w:rsid w:val="00AF35C7"/>
    <w:rsid w:val="00AF55A6"/>
    <w:rsid w:val="00B10207"/>
    <w:rsid w:val="00B11959"/>
    <w:rsid w:val="00B141E7"/>
    <w:rsid w:val="00B223FA"/>
    <w:rsid w:val="00B23CFB"/>
    <w:rsid w:val="00B260FD"/>
    <w:rsid w:val="00B351B4"/>
    <w:rsid w:val="00B355BF"/>
    <w:rsid w:val="00B35835"/>
    <w:rsid w:val="00B40B8F"/>
    <w:rsid w:val="00B43EBF"/>
    <w:rsid w:val="00B46BCA"/>
    <w:rsid w:val="00B510C7"/>
    <w:rsid w:val="00B536F6"/>
    <w:rsid w:val="00B612B3"/>
    <w:rsid w:val="00B66DCE"/>
    <w:rsid w:val="00B675D6"/>
    <w:rsid w:val="00B72766"/>
    <w:rsid w:val="00B874BF"/>
    <w:rsid w:val="00B87806"/>
    <w:rsid w:val="00B87EC9"/>
    <w:rsid w:val="00B87FE6"/>
    <w:rsid w:val="00B94019"/>
    <w:rsid w:val="00B969D5"/>
    <w:rsid w:val="00BB4089"/>
    <w:rsid w:val="00BB6409"/>
    <w:rsid w:val="00BC2F99"/>
    <w:rsid w:val="00BC38FD"/>
    <w:rsid w:val="00BC58F7"/>
    <w:rsid w:val="00BD560E"/>
    <w:rsid w:val="00BD7B34"/>
    <w:rsid w:val="00BE374C"/>
    <w:rsid w:val="00C034CB"/>
    <w:rsid w:val="00C04F7A"/>
    <w:rsid w:val="00C051A8"/>
    <w:rsid w:val="00C054BC"/>
    <w:rsid w:val="00C1014F"/>
    <w:rsid w:val="00C12D4E"/>
    <w:rsid w:val="00C1417B"/>
    <w:rsid w:val="00C1686E"/>
    <w:rsid w:val="00C17897"/>
    <w:rsid w:val="00C21A5C"/>
    <w:rsid w:val="00C32521"/>
    <w:rsid w:val="00C328DB"/>
    <w:rsid w:val="00C34EAF"/>
    <w:rsid w:val="00C409D5"/>
    <w:rsid w:val="00C44264"/>
    <w:rsid w:val="00C466B5"/>
    <w:rsid w:val="00C5333A"/>
    <w:rsid w:val="00C6234B"/>
    <w:rsid w:val="00C63EAE"/>
    <w:rsid w:val="00C70260"/>
    <w:rsid w:val="00C70E71"/>
    <w:rsid w:val="00C746E7"/>
    <w:rsid w:val="00C7629F"/>
    <w:rsid w:val="00C8661B"/>
    <w:rsid w:val="00C92465"/>
    <w:rsid w:val="00C9322C"/>
    <w:rsid w:val="00C978C2"/>
    <w:rsid w:val="00CA139A"/>
    <w:rsid w:val="00CA2899"/>
    <w:rsid w:val="00CA74F7"/>
    <w:rsid w:val="00CA77FB"/>
    <w:rsid w:val="00CB1A93"/>
    <w:rsid w:val="00CB281C"/>
    <w:rsid w:val="00CB379B"/>
    <w:rsid w:val="00CB5786"/>
    <w:rsid w:val="00CB5DD0"/>
    <w:rsid w:val="00CC51D4"/>
    <w:rsid w:val="00CC64CD"/>
    <w:rsid w:val="00CC65DA"/>
    <w:rsid w:val="00CD157B"/>
    <w:rsid w:val="00CD1D78"/>
    <w:rsid w:val="00CD6553"/>
    <w:rsid w:val="00CF039A"/>
    <w:rsid w:val="00CF21B9"/>
    <w:rsid w:val="00CF6BF9"/>
    <w:rsid w:val="00D01C37"/>
    <w:rsid w:val="00D03800"/>
    <w:rsid w:val="00D065D3"/>
    <w:rsid w:val="00D07078"/>
    <w:rsid w:val="00D07737"/>
    <w:rsid w:val="00D14418"/>
    <w:rsid w:val="00D14C94"/>
    <w:rsid w:val="00D16349"/>
    <w:rsid w:val="00D254E6"/>
    <w:rsid w:val="00D341C1"/>
    <w:rsid w:val="00D342A6"/>
    <w:rsid w:val="00D34DBB"/>
    <w:rsid w:val="00D42622"/>
    <w:rsid w:val="00D42FEA"/>
    <w:rsid w:val="00D464BF"/>
    <w:rsid w:val="00D53E26"/>
    <w:rsid w:val="00D552E6"/>
    <w:rsid w:val="00D5698E"/>
    <w:rsid w:val="00D65A27"/>
    <w:rsid w:val="00D65BF3"/>
    <w:rsid w:val="00D670AA"/>
    <w:rsid w:val="00D7616D"/>
    <w:rsid w:val="00D84CF7"/>
    <w:rsid w:val="00D84DFF"/>
    <w:rsid w:val="00D87B20"/>
    <w:rsid w:val="00D9167C"/>
    <w:rsid w:val="00D922E9"/>
    <w:rsid w:val="00DB0F97"/>
    <w:rsid w:val="00DB51C7"/>
    <w:rsid w:val="00DB69FA"/>
    <w:rsid w:val="00DB7612"/>
    <w:rsid w:val="00DB7A6A"/>
    <w:rsid w:val="00DD1BF4"/>
    <w:rsid w:val="00DD3C00"/>
    <w:rsid w:val="00DD4A92"/>
    <w:rsid w:val="00DD4F0E"/>
    <w:rsid w:val="00DD5F03"/>
    <w:rsid w:val="00DD6D35"/>
    <w:rsid w:val="00DE73F0"/>
    <w:rsid w:val="00DF0ACF"/>
    <w:rsid w:val="00DF375A"/>
    <w:rsid w:val="00DF468B"/>
    <w:rsid w:val="00DF52BD"/>
    <w:rsid w:val="00DF5593"/>
    <w:rsid w:val="00E0054B"/>
    <w:rsid w:val="00E00AAF"/>
    <w:rsid w:val="00E05E0A"/>
    <w:rsid w:val="00E0764F"/>
    <w:rsid w:val="00E10E03"/>
    <w:rsid w:val="00E11AE6"/>
    <w:rsid w:val="00E16122"/>
    <w:rsid w:val="00E16A5A"/>
    <w:rsid w:val="00E20436"/>
    <w:rsid w:val="00E23375"/>
    <w:rsid w:val="00E27B4D"/>
    <w:rsid w:val="00E36F86"/>
    <w:rsid w:val="00E379C1"/>
    <w:rsid w:val="00E433F6"/>
    <w:rsid w:val="00E43CBE"/>
    <w:rsid w:val="00E534CF"/>
    <w:rsid w:val="00E819A4"/>
    <w:rsid w:val="00E81CB4"/>
    <w:rsid w:val="00E8585B"/>
    <w:rsid w:val="00E8645D"/>
    <w:rsid w:val="00E923EC"/>
    <w:rsid w:val="00E93051"/>
    <w:rsid w:val="00E9449B"/>
    <w:rsid w:val="00E94997"/>
    <w:rsid w:val="00EA38B9"/>
    <w:rsid w:val="00EA3F15"/>
    <w:rsid w:val="00EA40C9"/>
    <w:rsid w:val="00EA7847"/>
    <w:rsid w:val="00EB20C2"/>
    <w:rsid w:val="00EB5E86"/>
    <w:rsid w:val="00EC02BF"/>
    <w:rsid w:val="00EC1C8E"/>
    <w:rsid w:val="00ED0343"/>
    <w:rsid w:val="00EE0100"/>
    <w:rsid w:val="00EE2E6E"/>
    <w:rsid w:val="00EE3C86"/>
    <w:rsid w:val="00EF0538"/>
    <w:rsid w:val="00EF5C39"/>
    <w:rsid w:val="00F02F98"/>
    <w:rsid w:val="00F03D2D"/>
    <w:rsid w:val="00F05C63"/>
    <w:rsid w:val="00F0759E"/>
    <w:rsid w:val="00F115FA"/>
    <w:rsid w:val="00F12BA5"/>
    <w:rsid w:val="00F134DF"/>
    <w:rsid w:val="00F20171"/>
    <w:rsid w:val="00F26879"/>
    <w:rsid w:val="00F419C9"/>
    <w:rsid w:val="00F43023"/>
    <w:rsid w:val="00F74C6A"/>
    <w:rsid w:val="00F821A3"/>
    <w:rsid w:val="00F86C67"/>
    <w:rsid w:val="00F87EEB"/>
    <w:rsid w:val="00F9093F"/>
    <w:rsid w:val="00F9314A"/>
    <w:rsid w:val="00F970A3"/>
    <w:rsid w:val="00FA0872"/>
    <w:rsid w:val="00FB0D10"/>
    <w:rsid w:val="00FB29AB"/>
    <w:rsid w:val="00FC58EF"/>
    <w:rsid w:val="00FC7951"/>
    <w:rsid w:val="00FD33DF"/>
    <w:rsid w:val="00FD573A"/>
    <w:rsid w:val="00FD711C"/>
    <w:rsid w:val="00FE39D7"/>
    <w:rsid w:val="00FE466F"/>
    <w:rsid w:val="00FF2592"/>
    <w:rsid w:val="00FF280D"/>
    <w:rsid w:val="00FF6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36F6"/>
    <w:rPr>
      <w:sz w:val="24"/>
      <w:szCs w:val="24"/>
    </w:rPr>
  </w:style>
  <w:style w:type="paragraph" w:styleId="Sangradetextonormal">
    <w:name w:val="Body Text Indent"/>
    <w:basedOn w:val="Normal"/>
    <w:link w:val="SangradetextonormalCar"/>
    <w:uiPriority w:val="99"/>
    <w:unhideWhenUsed/>
    <w:rsid w:val="00B536F6"/>
    <w:pPr>
      <w:spacing w:after="120"/>
      <w:ind w:left="283"/>
    </w:pPr>
  </w:style>
  <w:style w:type="character" w:customStyle="1" w:styleId="SangradetextonormalCar">
    <w:name w:val="Sangría de texto normal Car"/>
    <w:basedOn w:val="Fuentedeprrafopredeter"/>
    <w:link w:val="Sangradetextonormal"/>
    <w:uiPriority w:val="99"/>
    <w:rsid w:val="00B536F6"/>
    <w:rPr>
      <w:sz w:val="24"/>
      <w:szCs w:val="24"/>
    </w:rPr>
  </w:style>
  <w:style w:type="paragraph" w:styleId="Textonotapie">
    <w:name w:val="footnote text"/>
    <w:basedOn w:val="Normal"/>
    <w:link w:val="TextonotapieCar"/>
    <w:uiPriority w:val="99"/>
    <w:semiHidden/>
    <w:unhideWhenUsed/>
    <w:rsid w:val="00DF468B"/>
    <w:rPr>
      <w:sz w:val="20"/>
      <w:szCs w:val="20"/>
    </w:rPr>
  </w:style>
  <w:style w:type="character" w:customStyle="1" w:styleId="TextonotapieCar">
    <w:name w:val="Texto nota pie Car"/>
    <w:basedOn w:val="Fuentedeprrafopredeter"/>
    <w:link w:val="Textonotapie"/>
    <w:uiPriority w:val="99"/>
    <w:semiHidden/>
    <w:rsid w:val="00DF468B"/>
  </w:style>
  <w:style w:type="character" w:styleId="Refdenotaalpie">
    <w:name w:val="footnote reference"/>
    <w:basedOn w:val="Fuentedeprrafopredeter"/>
    <w:uiPriority w:val="99"/>
    <w:semiHidden/>
    <w:unhideWhenUsed/>
    <w:rsid w:val="00DF468B"/>
    <w:rPr>
      <w:vertAlign w:val="superscript"/>
    </w:rPr>
  </w:style>
  <w:style w:type="paragraph" w:styleId="NormalWeb">
    <w:name w:val="Normal (Web)"/>
    <w:basedOn w:val="Normal"/>
    <w:uiPriority w:val="99"/>
    <w:semiHidden/>
    <w:unhideWhenUsed/>
    <w:rsid w:val="00DF468B"/>
    <w:pPr>
      <w:spacing w:before="100" w:beforeAutospacing="1" w:after="100" w:afterAutospacing="1"/>
      <w:ind w:left="0"/>
    </w:pPr>
    <w:rPr>
      <w:color w:val="000000"/>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36F6"/>
    <w:rPr>
      <w:sz w:val="24"/>
      <w:szCs w:val="24"/>
    </w:rPr>
  </w:style>
  <w:style w:type="paragraph" w:styleId="Sangradetextonormal">
    <w:name w:val="Body Text Indent"/>
    <w:basedOn w:val="Normal"/>
    <w:link w:val="SangradetextonormalCar"/>
    <w:uiPriority w:val="99"/>
    <w:unhideWhenUsed/>
    <w:rsid w:val="00B536F6"/>
    <w:pPr>
      <w:spacing w:after="120"/>
      <w:ind w:left="283"/>
    </w:pPr>
  </w:style>
  <w:style w:type="character" w:customStyle="1" w:styleId="SangradetextonormalCar">
    <w:name w:val="Sangría de texto normal Car"/>
    <w:basedOn w:val="Fuentedeprrafopredeter"/>
    <w:link w:val="Sangradetextonormal"/>
    <w:uiPriority w:val="99"/>
    <w:rsid w:val="00B536F6"/>
    <w:rPr>
      <w:sz w:val="24"/>
      <w:szCs w:val="24"/>
    </w:rPr>
  </w:style>
  <w:style w:type="paragraph" w:styleId="Textonotapie">
    <w:name w:val="footnote text"/>
    <w:basedOn w:val="Normal"/>
    <w:link w:val="TextonotapieCar"/>
    <w:uiPriority w:val="99"/>
    <w:semiHidden/>
    <w:unhideWhenUsed/>
    <w:rsid w:val="00DF468B"/>
    <w:rPr>
      <w:sz w:val="20"/>
      <w:szCs w:val="20"/>
    </w:rPr>
  </w:style>
  <w:style w:type="character" w:customStyle="1" w:styleId="TextonotapieCar">
    <w:name w:val="Texto nota pie Car"/>
    <w:basedOn w:val="Fuentedeprrafopredeter"/>
    <w:link w:val="Textonotapie"/>
    <w:uiPriority w:val="99"/>
    <w:semiHidden/>
    <w:rsid w:val="00DF468B"/>
  </w:style>
  <w:style w:type="character" w:styleId="Refdenotaalpie">
    <w:name w:val="footnote reference"/>
    <w:basedOn w:val="Fuentedeprrafopredeter"/>
    <w:uiPriority w:val="99"/>
    <w:semiHidden/>
    <w:unhideWhenUsed/>
    <w:rsid w:val="00DF468B"/>
    <w:rPr>
      <w:vertAlign w:val="superscript"/>
    </w:rPr>
  </w:style>
  <w:style w:type="paragraph" w:styleId="NormalWeb">
    <w:name w:val="Normal (Web)"/>
    <w:basedOn w:val="Normal"/>
    <w:uiPriority w:val="99"/>
    <w:semiHidden/>
    <w:unhideWhenUsed/>
    <w:rsid w:val="00DF468B"/>
    <w:pPr>
      <w:spacing w:before="100" w:beforeAutospacing="1" w:after="100" w:afterAutospacing="1"/>
      <w:ind w:left="0"/>
    </w:pPr>
    <w:rPr>
      <w:color w:val="00000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742A-DCDB-437B-A6DB-9ADDA9DC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2409</Words>
  <Characters>11571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Maria Eugenia Murillo Ramirez</cp:lastModifiedBy>
  <cp:revision>2</cp:revision>
  <cp:lastPrinted>2012-10-23T15:45:00Z</cp:lastPrinted>
  <dcterms:created xsi:type="dcterms:W3CDTF">2012-11-06T15:02:00Z</dcterms:created>
  <dcterms:modified xsi:type="dcterms:W3CDTF">2012-11-06T15:02:00Z</dcterms:modified>
</cp:coreProperties>
</file>