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36CE0" w14:textId="77777777" w:rsidR="005C1BCA" w:rsidRPr="005C1BCA" w:rsidRDefault="00625C69" w:rsidP="007F2AFE">
      <w:pPr>
        <w:keepNext/>
        <w:tabs>
          <w:tab w:val="left" w:pos="0"/>
          <w:tab w:val="right" w:pos="9356"/>
        </w:tabs>
        <w:spacing w:after="0" w:line="240" w:lineRule="auto"/>
        <w:ind w:left="9356" w:hanging="9356"/>
        <w:contextualSpacing/>
        <w:jc w:val="center"/>
        <w:outlineLvl w:val="3"/>
        <w:rPr>
          <w:rFonts w:ascii="Bookman Old Style" w:eastAsia="Times New Roman" w:hAnsi="Bookman Old Style" w:cs="Arial"/>
          <w:bCs/>
          <w:noProof/>
          <w:snapToGrid w:val="0"/>
          <w:color w:val="000000"/>
          <w:spacing w:val="20"/>
          <w:sz w:val="24"/>
          <w:szCs w:val="24"/>
          <w:lang w:val="es-ES" w:eastAsia="es-ES"/>
        </w:rPr>
      </w:pPr>
      <w:r>
        <w:rPr>
          <w:rFonts w:ascii="Bookman Old Style" w:eastAsia="Times New Roman" w:hAnsi="Bookman Old Style" w:cs="Arial"/>
          <w:bCs/>
          <w:noProof/>
          <w:color w:val="000000"/>
          <w:spacing w:val="20"/>
          <w:sz w:val="24"/>
          <w:szCs w:val="24"/>
          <w:lang w:eastAsia="es-CO"/>
        </w:rPr>
        <w:object w:dxaOrig="1440" w:dyaOrig="1440" w14:anchorId="75826A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2.4pt;margin-top:-53.35pt;width:52.5pt;height:48.75pt;z-index:251658240" fillcolor="#0c9">
            <v:imagedata r:id="rId11" o:title=""/>
          </v:shape>
          <o:OLEObject Type="Embed" ProgID="PBrush" ShapeID="_x0000_s1026" DrawAspect="Content" ObjectID="_1666094910" r:id="rId12"/>
        </w:object>
      </w:r>
      <w:r w:rsidR="005C1BCA" w:rsidRPr="005C1BCA">
        <w:rPr>
          <w:rFonts w:ascii="Bookman Old Style" w:eastAsia="Times New Roman" w:hAnsi="Bookman Old Style" w:cs="Arial"/>
          <w:bCs/>
          <w:snapToGrid w:val="0"/>
          <w:color w:val="000000"/>
          <w:spacing w:val="20"/>
          <w:sz w:val="24"/>
          <w:szCs w:val="24"/>
          <w:lang w:val="es-ES_tradnl" w:eastAsia="es-ES"/>
        </w:rPr>
        <w:t>Ministerio de Minas y Energía</w:t>
      </w:r>
    </w:p>
    <w:p w14:paraId="2E34AD5C" w14:textId="77777777" w:rsidR="005C1BCA" w:rsidRPr="006B7EE3" w:rsidRDefault="005C1BCA" w:rsidP="00A03842">
      <w:pPr>
        <w:rPr>
          <w:rFonts w:ascii="Bookman Old Style" w:eastAsia="Times New Roman" w:hAnsi="Bookman Old Style" w:cs="Arial"/>
          <w:b/>
          <w:snapToGrid w:val="0"/>
          <w:color w:val="000000"/>
          <w:spacing w:val="20"/>
          <w:sz w:val="24"/>
          <w:szCs w:val="24"/>
          <w:lang w:val="es-ES_tradnl" w:eastAsia="es-ES"/>
        </w:rPr>
      </w:pPr>
    </w:p>
    <w:p w14:paraId="24365D18" w14:textId="70DA14E4" w:rsidR="005C1BCA" w:rsidRDefault="005C1BCA" w:rsidP="00306C83">
      <w:pPr>
        <w:spacing w:after="0"/>
        <w:jc w:val="center"/>
        <w:rPr>
          <w:rFonts w:ascii="Bookman Old Style" w:eastAsia="Times New Roman" w:hAnsi="Bookman Old Style" w:cs="Arial"/>
          <w:b/>
          <w:snapToGrid w:val="0"/>
          <w:color w:val="000000"/>
          <w:spacing w:val="20"/>
          <w:sz w:val="24"/>
          <w:szCs w:val="24"/>
          <w:lang w:val="es-ES_tradnl" w:eastAsia="es-ES"/>
        </w:rPr>
      </w:pPr>
      <w:r w:rsidRPr="005C1BCA">
        <w:rPr>
          <w:rFonts w:ascii="Bookman Old Style" w:eastAsia="Times New Roman" w:hAnsi="Bookman Old Style" w:cs="Arial"/>
          <w:b/>
          <w:snapToGrid w:val="0"/>
          <w:color w:val="000000"/>
          <w:spacing w:val="20"/>
          <w:sz w:val="24"/>
          <w:szCs w:val="24"/>
          <w:lang w:val="es-ES_tradnl" w:eastAsia="es-ES"/>
        </w:rPr>
        <w:t>COMISIÓN DE REGULACIÓN DE ENERGÍA Y GAS</w:t>
      </w:r>
    </w:p>
    <w:p w14:paraId="79605C72" w14:textId="77777777" w:rsidR="008D55B8" w:rsidRPr="005C1BCA" w:rsidRDefault="008D55B8" w:rsidP="00306C83">
      <w:pPr>
        <w:spacing w:after="0"/>
        <w:jc w:val="center"/>
        <w:rPr>
          <w:rFonts w:ascii="Bookman Old Style" w:eastAsia="Times New Roman" w:hAnsi="Bookman Old Style" w:cs="Arial"/>
          <w:b/>
          <w:snapToGrid w:val="0"/>
          <w:color w:val="000000"/>
          <w:spacing w:val="20"/>
          <w:sz w:val="24"/>
          <w:szCs w:val="24"/>
          <w:lang w:val="es-ES_tradnl" w:eastAsia="es-ES"/>
        </w:rPr>
      </w:pPr>
    </w:p>
    <w:p w14:paraId="1E0A9541" w14:textId="7FC3E5CD" w:rsidR="005C1BCA" w:rsidRPr="00D26FF8" w:rsidRDefault="005C1BCA" w:rsidP="00306C83">
      <w:pPr>
        <w:spacing w:after="0"/>
        <w:jc w:val="center"/>
        <w:rPr>
          <w:rFonts w:ascii="Bookman Old Style" w:hAnsi="Bookman Old Style"/>
          <w:b/>
          <w:snapToGrid w:val="0"/>
          <w:sz w:val="24"/>
          <w:szCs w:val="24"/>
          <w:lang w:val="es-ES_tradnl" w:eastAsia="es-ES"/>
        </w:rPr>
      </w:pPr>
      <w:r w:rsidRPr="005C1BCA">
        <w:rPr>
          <w:rFonts w:ascii="Bookman Old Style" w:eastAsia="Times New Roman" w:hAnsi="Bookman Old Style" w:cs="Arial"/>
          <w:b/>
          <w:snapToGrid w:val="0"/>
          <w:color w:val="000000"/>
          <w:spacing w:val="20"/>
          <w:sz w:val="24"/>
          <w:szCs w:val="24"/>
          <w:lang w:val="es-ES_tradnl" w:eastAsia="es-ES"/>
        </w:rPr>
        <w:t>RESOLUCIÓN No.</w:t>
      </w:r>
      <w:r w:rsidRPr="00D26FF8">
        <w:rPr>
          <w:rFonts w:ascii="Bookman Old Style" w:hAnsi="Bookman Old Style"/>
          <w:b/>
          <w:snapToGrid w:val="0"/>
          <w:sz w:val="24"/>
          <w:szCs w:val="24"/>
          <w:lang w:val="es-ES_tradnl" w:eastAsia="es-ES"/>
        </w:rPr>
        <w:t xml:space="preserve">   </w:t>
      </w:r>
      <w:r w:rsidR="00306C83" w:rsidRPr="00306C83">
        <w:rPr>
          <w:rFonts w:ascii="Bookman Old Style" w:hAnsi="Bookman Old Style"/>
          <w:b/>
          <w:snapToGrid w:val="0"/>
          <w:sz w:val="32"/>
          <w:szCs w:val="32"/>
          <w:lang w:val="es-ES_tradnl" w:eastAsia="es-ES"/>
        </w:rPr>
        <w:t>196</w:t>
      </w:r>
      <w:r w:rsidRPr="00306C83">
        <w:rPr>
          <w:rFonts w:ascii="Bookman Old Style" w:hAnsi="Bookman Old Style"/>
          <w:b/>
          <w:snapToGrid w:val="0"/>
          <w:sz w:val="32"/>
          <w:szCs w:val="32"/>
          <w:lang w:val="es-ES_tradnl" w:eastAsia="es-ES"/>
        </w:rPr>
        <w:t xml:space="preserve"> </w:t>
      </w:r>
      <w:r w:rsidRPr="00D26FF8">
        <w:rPr>
          <w:rFonts w:ascii="Bookman Old Style" w:hAnsi="Bookman Old Style"/>
          <w:b/>
          <w:snapToGrid w:val="0"/>
          <w:sz w:val="24"/>
          <w:szCs w:val="24"/>
          <w:lang w:val="es-ES_tradnl" w:eastAsia="es-ES"/>
        </w:rPr>
        <w:t xml:space="preserve">         </w:t>
      </w:r>
      <w:r w:rsidRPr="005C1BCA">
        <w:rPr>
          <w:rFonts w:ascii="Bookman Old Style" w:eastAsia="Times New Roman" w:hAnsi="Bookman Old Style" w:cs="Arial"/>
          <w:b/>
          <w:snapToGrid w:val="0"/>
          <w:color w:val="000000"/>
          <w:spacing w:val="20"/>
          <w:sz w:val="24"/>
          <w:szCs w:val="24"/>
          <w:lang w:val="es-ES_tradnl" w:eastAsia="es-ES"/>
        </w:rPr>
        <w:t>DE 20</w:t>
      </w:r>
      <w:r w:rsidR="009F6B95">
        <w:rPr>
          <w:rFonts w:ascii="Bookman Old Style" w:eastAsia="Times New Roman" w:hAnsi="Bookman Old Style" w:cs="Arial"/>
          <w:b/>
          <w:snapToGrid w:val="0"/>
          <w:color w:val="000000"/>
          <w:spacing w:val="20"/>
          <w:sz w:val="24"/>
          <w:szCs w:val="24"/>
          <w:lang w:val="es-ES_tradnl" w:eastAsia="es-ES"/>
        </w:rPr>
        <w:t>20</w:t>
      </w:r>
    </w:p>
    <w:p w14:paraId="170C9949" w14:textId="77777777" w:rsidR="005C1BCA" w:rsidRPr="005C1BCA" w:rsidRDefault="005C1BCA" w:rsidP="007F2AFE">
      <w:pPr>
        <w:tabs>
          <w:tab w:val="left" w:pos="0"/>
          <w:tab w:val="right" w:pos="9356"/>
        </w:tabs>
        <w:spacing w:after="0" w:line="240" w:lineRule="auto"/>
        <w:contextualSpacing/>
        <w:jc w:val="center"/>
        <w:rPr>
          <w:rFonts w:ascii="Bookman Old Style" w:eastAsia="Times New Roman" w:hAnsi="Bookman Old Style" w:cs="Arial"/>
          <w:b/>
          <w:snapToGrid w:val="0"/>
          <w:color w:val="000000"/>
          <w:sz w:val="24"/>
          <w:szCs w:val="24"/>
          <w:lang w:val="es-ES_tradnl" w:eastAsia="es-ES"/>
        </w:rPr>
      </w:pPr>
    </w:p>
    <w:p w14:paraId="5961419C" w14:textId="22ECC8A5" w:rsidR="005C1BCA" w:rsidRPr="004B5282" w:rsidRDefault="005C1BCA" w:rsidP="004B5282">
      <w:pPr>
        <w:jc w:val="center"/>
        <w:rPr>
          <w:rFonts w:ascii="Bookman Old Style" w:hAnsi="Bookman Old Style"/>
          <w:snapToGrid w:val="0"/>
          <w:sz w:val="24"/>
          <w:szCs w:val="24"/>
          <w:lang w:val="es-ES_tradnl" w:eastAsia="es-ES"/>
        </w:rPr>
      </w:pPr>
      <w:proofErr w:type="gramStart"/>
      <w:r w:rsidRPr="004B5282">
        <w:rPr>
          <w:rFonts w:ascii="Bookman Old Style" w:hAnsi="Bookman Old Style"/>
          <w:snapToGrid w:val="0"/>
          <w:sz w:val="24"/>
          <w:szCs w:val="24"/>
          <w:lang w:val="es-ES_tradnl" w:eastAsia="es-ES"/>
        </w:rPr>
        <w:t>(</w:t>
      </w:r>
      <w:r w:rsidRPr="00FF3C43">
        <w:rPr>
          <w:rFonts w:ascii="Bookman Old Style" w:hAnsi="Bookman Old Style"/>
          <w:snapToGrid w:val="0"/>
          <w:sz w:val="32"/>
          <w:szCs w:val="32"/>
          <w:lang w:val="es-ES_tradnl" w:eastAsia="es-ES"/>
        </w:rPr>
        <w:t xml:space="preserve">  </w:t>
      </w:r>
      <w:r w:rsidR="008D55B8" w:rsidRPr="008D55B8">
        <w:rPr>
          <w:rFonts w:ascii="Bookman Old Style" w:hAnsi="Bookman Old Style"/>
          <w:b/>
          <w:bCs/>
          <w:snapToGrid w:val="0"/>
          <w:sz w:val="32"/>
          <w:szCs w:val="32"/>
          <w:lang w:val="es-ES_tradnl" w:eastAsia="es-ES"/>
        </w:rPr>
        <w:t>19</w:t>
      </w:r>
      <w:proofErr w:type="gramEnd"/>
      <w:r w:rsidR="008D55B8" w:rsidRPr="008D55B8">
        <w:rPr>
          <w:rFonts w:ascii="Bookman Old Style" w:hAnsi="Bookman Old Style"/>
          <w:b/>
          <w:bCs/>
          <w:snapToGrid w:val="0"/>
          <w:sz w:val="32"/>
          <w:szCs w:val="32"/>
          <w:lang w:val="es-ES_tradnl" w:eastAsia="es-ES"/>
        </w:rPr>
        <w:t xml:space="preserve"> OCT. 2020</w:t>
      </w:r>
      <w:r w:rsidRPr="00FF3C43">
        <w:rPr>
          <w:rFonts w:ascii="Bookman Old Style" w:hAnsi="Bookman Old Style"/>
          <w:snapToGrid w:val="0"/>
          <w:sz w:val="32"/>
          <w:szCs w:val="32"/>
          <w:lang w:val="es-ES_tradnl" w:eastAsia="es-ES"/>
        </w:rPr>
        <w:t xml:space="preserve">     </w:t>
      </w:r>
      <w:r w:rsidRPr="004B5282">
        <w:rPr>
          <w:rFonts w:ascii="Bookman Old Style" w:hAnsi="Bookman Old Style"/>
          <w:snapToGrid w:val="0"/>
          <w:sz w:val="24"/>
          <w:szCs w:val="24"/>
          <w:lang w:val="es-ES_tradnl" w:eastAsia="es-ES"/>
        </w:rPr>
        <w:t>)</w:t>
      </w:r>
    </w:p>
    <w:p w14:paraId="55212184" w14:textId="77777777" w:rsidR="007F66B9" w:rsidRDefault="007F66B9" w:rsidP="007F2AFE">
      <w:pPr>
        <w:spacing w:after="0" w:line="240" w:lineRule="auto"/>
        <w:contextualSpacing/>
        <w:jc w:val="center"/>
        <w:rPr>
          <w:rFonts w:ascii="Bookman Old Style" w:eastAsia="Times New Roman" w:hAnsi="Bookman Old Style" w:cs="Times New Roman"/>
          <w:sz w:val="24"/>
          <w:szCs w:val="24"/>
          <w:lang w:val="es-ES" w:eastAsia="es-ES"/>
        </w:rPr>
      </w:pPr>
    </w:p>
    <w:p w14:paraId="38434652" w14:textId="040FB346" w:rsidR="00CD74B5" w:rsidRDefault="00A33677" w:rsidP="007F2AFE">
      <w:pPr>
        <w:spacing w:after="0" w:line="240" w:lineRule="auto"/>
        <w:contextualSpacing/>
        <w:jc w:val="center"/>
        <w:rPr>
          <w:rFonts w:ascii="Bookman Old Style" w:eastAsia="Times New Roman" w:hAnsi="Bookman Old Style" w:cs="Times New Roman"/>
          <w:sz w:val="24"/>
          <w:szCs w:val="24"/>
          <w:lang w:val="es-ES" w:eastAsia="es-ES"/>
        </w:rPr>
      </w:pPr>
      <w:bookmarkStart w:id="0" w:name="_Hlk51160986"/>
      <w:r w:rsidRPr="00A33677">
        <w:rPr>
          <w:rFonts w:ascii="Bookman Old Style" w:eastAsia="Times New Roman" w:hAnsi="Bookman Old Style" w:cs="Times New Roman"/>
          <w:sz w:val="24"/>
          <w:szCs w:val="24"/>
          <w:lang w:val="es-ES" w:eastAsia="es-ES"/>
        </w:rPr>
        <w:t>Por la cual se resuelve el recurso d</w:t>
      </w:r>
      <w:r>
        <w:rPr>
          <w:rFonts w:ascii="Bookman Old Style" w:eastAsia="Times New Roman" w:hAnsi="Bookman Old Style" w:cs="Times New Roman"/>
          <w:sz w:val="24"/>
          <w:szCs w:val="24"/>
          <w:lang w:val="es-ES" w:eastAsia="es-ES"/>
        </w:rPr>
        <w:t xml:space="preserve">e reposición interpuesto por </w:t>
      </w:r>
      <w:proofErr w:type="spellStart"/>
      <w:r w:rsidR="009F6B95">
        <w:rPr>
          <w:rFonts w:ascii="Bookman Old Style" w:eastAsia="Times New Roman" w:hAnsi="Bookman Old Style" w:cs="Times New Roman"/>
          <w:sz w:val="24"/>
          <w:szCs w:val="24"/>
          <w:lang w:val="es-ES" w:eastAsia="es-ES"/>
        </w:rPr>
        <w:t>Due</w:t>
      </w:r>
      <w:proofErr w:type="spellEnd"/>
      <w:r w:rsidR="009F6B95">
        <w:rPr>
          <w:rFonts w:ascii="Bookman Old Style" w:eastAsia="Times New Roman" w:hAnsi="Bookman Old Style" w:cs="Times New Roman"/>
          <w:sz w:val="24"/>
          <w:szCs w:val="24"/>
          <w:lang w:val="es-ES" w:eastAsia="es-ES"/>
        </w:rPr>
        <w:t xml:space="preserve"> Capital &amp; </w:t>
      </w:r>
      <w:proofErr w:type="spellStart"/>
      <w:r w:rsidR="009F6B95">
        <w:rPr>
          <w:rFonts w:ascii="Bookman Old Style" w:eastAsia="Times New Roman" w:hAnsi="Bookman Old Style" w:cs="Times New Roman"/>
          <w:sz w:val="24"/>
          <w:szCs w:val="24"/>
          <w:lang w:val="es-ES" w:eastAsia="es-ES"/>
        </w:rPr>
        <w:t>Services</w:t>
      </w:r>
      <w:proofErr w:type="spellEnd"/>
      <w:r w:rsidR="009F6B95">
        <w:rPr>
          <w:rFonts w:ascii="Bookman Old Style" w:eastAsia="Times New Roman" w:hAnsi="Bookman Old Style" w:cs="Times New Roman"/>
          <w:sz w:val="24"/>
          <w:szCs w:val="24"/>
          <w:lang w:val="es-ES" w:eastAsia="es-ES"/>
        </w:rPr>
        <w:t xml:space="preserve"> S.A.S</w:t>
      </w:r>
      <w:r w:rsidRPr="00A33677">
        <w:rPr>
          <w:rFonts w:ascii="Bookman Old Style" w:eastAsia="Times New Roman" w:hAnsi="Bookman Old Style" w:cs="Times New Roman"/>
          <w:sz w:val="24"/>
          <w:szCs w:val="24"/>
          <w:lang w:val="es-ES" w:eastAsia="es-ES"/>
        </w:rPr>
        <w:t xml:space="preserve"> contra la Resolución C</w:t>
      </w:r>
      <w:r>
        <w:rPr>
          <w:rFonts w:ascii="Bookman Old Style" w:eastAsia="Times New Roman" w:hAnsi="Bookman Old Style" w:cs="Times New Roman"/>
          <w:sz w:val="24"/>
          <w:szCs w:val="24"/>
          <w:lang w:val="es-ES" w:eastAsia="es-ES"/>
        </w:rPr>
        <w:t xml:space="preserve">REG </w:t>
      </w:r>
      <w:r w:rsidR="009F6B95">
        <w:rPr>
          <w:rFonts w:ascii="Bookman Old Style" w:eastAsia="Times New Roman" w:hAnsi="Bookman Old Style" w:cs="Times New Roman"/>
          <w:sz w:val="24"/>
          <w:szCs w:val="24"/>
          <w:lang w:val="es-ES" w:eastAsia="es-ES"/>
        </w:rPr>
        <w:t xml:space="preserve">124 </w:t>
      </w:r>
      <w:bookmarkEnd w:id="0"/>
      <w:r w:rsidR="00FE26C8">
        <w:rPr>
          <w:rFonts w:ascii="Bookman Old Style" w:eastAsia="Times New Roman" w:hAnsi="Bookman Old Style" w:cs="Times New Roman"/>
          <w:sz w:val="24"/>
          <w:szCs w:val="24"/>
          <w:lang w:val="es-ES" w:eastAsia="es-ES"/>
        </w:rPr>
        <w:t>de 2020</w:t>
      </w:r>
    </w:p>
    <w:p w14:paraId="07ED83B2" w14:textId="77777777" w:rsidR="00CD74B5" w:rsidRPr="005C1BCA" w:rsidRDefault="00CD74B5" w:rsidP="007F2AFE">
      <w:pPr>
        <w:spacing w:after="0" w:line="240" w:lineRule="auto"/>
        <w:contextualSpacing/>
        <w:jc w:val="center"/>
        <w:rPr>
          <w:rFonts w:ascii="Bookman Old Style" w:eastAsia="Times New Roman" w:hAnsi="Bookman Old Style" w:cs="Times New Roman"/>
          <w:sz w:val="24"/>
          <w:szCs w:val="24"/>
          <w:lang w:val="es-ES" w:eastAsia="es-ES"/>
        </w:rPr>
      </w:pPr>
    </w:p>
    <w:p w14:paraId="3DE1F737" w14:textId="77777777" w:rsidR="005C1BCA" w:rsidRPr="00A24776" w:rsidRDefault="005C1BCA" w:rsidP="007F2AFE">
      <w:pPr>
        <w:spacing w:after="0" w:line="240" w:lineRule="auto"/>
        <w:ind w:right="51"/>
        <w:contextualSpacing/>
        <w:jc w:val="center"/>
        <w:rPr>
          <w:rFonts w:ascii="Bookman Old Style" w:eastAsia="Times New Roman" w:hAnsi="Bookman Old Style" w:cs="Times New Roman"/>
          <w:b/>
          <w:color w:val="000000"/>
          <w:sz w:val="24"/>
          <w:szCs w:val="24"/>
          <w:lang w:val="es-ES" w:eastAsia="es-ES"/>
        </w:rPr>
      </w:pPr>
      <w:r w:rsidRPr="00A24776">
        <w:rPr>
          <w:rFonts w:ascii="Bookman Old Style" w:eastAsia="Times New Roman" w:hAnsi="Bookman Old Style" w:cs="Times New Roman"/>
          <w:b/>
          <w:color w:val="000000"/>
          <w:sz w:val="24"/>
          <w:szCs w:val="24"/>
          <w:lang w:val="es-ES" w:eastAsia="es-ES"/>
        </w:rPr>
        <w:t>LA COMISIÓN DE REGULACIÓN DE ENERGÍA Y GAS</w:t>
      </w:r>
    </w:p>
    <w:p w14:paraId="20D5D19F" w14:textId="77777777" w:rsidR="005C1BCA" w:rsidRPr="005C1BCA" w:rsidRDefault="005C1BCA" w:rsidP="007F2AFE">
      <w:pPr>
        <w:spacing w:after="0" w:line="240" w:lineRule="auto"/>
        <w:ind w:right="51"/>
        <w:contextualSpacing/>
        <w:rPr>
          <w:rFonts w:ascii="Bookman Old Style" w:eastAsia="Times New Roman" w:hAnsi="Bookman Old Style" w:cs="Times New Roman"/>
          <w:sz w:val="24"/>
          <w:szCs w:val="24"/>
          <w:lang w:val="es-ES" w:eastAsia="es-ES"/>
        </w:rPr>
      </w:pPr>
    </w:p>
    <w:p w14:paraId="45D79608" w14:textId="77777777" w:rsidR="005C1BCA" w:rsidRPr="005C1BCA" w:rsidRDefault="005C1BCA" w:rsidP="007F2AFE">
      <w:pPr>
        <w:spacing w:after="0" w:line="240" w:lineRule="auto"/>
        <w:ind w:right="51"/>
        <w:contextualSpacing/>
        <w:rPr>
          <w:rFonts w:ascii="Bookman Old Style" w:eastAsia="Times New Roman" w:hAnsi="Bookman Old Style" w:cs="Times New Roman"/>
          <w:sz w:val="24"/>
          <w:szCs w:val="24"/>
          <w:lang w:val="es-ES" w:eastAsia="es-ES"/>
        </w:rPr>
      </w:pPr>
    </w:p>
    <w:p w14:paraId="7AA37F81" w14:textId="77777777" w:rsidR="005C1BCA" w:rsidRPr="005C1BCA" w:rsidRDefault="005C1BCA" w:rsidP="007F2AFE">
      <w:pPr>
        <w:spacing w:after="0" w:line="240" w:lineRule="auto"/>
        <w:contextualSpacing/>
        <w:jc w:val="center"/>
        <w:rPr>
          <w:rFonts w:ascii="Bookman Old Style" w:eastAsia="Times New Roman" w:hAnsi="Bookman Old Style" w:cs="Arial"/>
          <w:color w:val="000000"/>
          <w:sz w:val="24"/>
          <w:szCs w:val="24"/>
          <w:lang w:val="es-ES" w:eastAsia="es-ES"/>
        </w:rPr>
      </w:pPr>
      <w:r w:rsidRPr="005C1BCA">
        <w:rPr>
          <w:rFonts w:ascii="Bookman Old Style" w:eastAsia="Times New Roman" w:hAnsi="Bookman Old Style" w:cs="Arial"/>
          <w:color w:val="000000"/>
          <w:sz w:val="24"/>
          <w:szCs w:val="24"/>
          <w:lang w:val="es-ES" w:eastAsia="es-ES"/>
        </w:rPr>
        <w:t>En ejercicio de las atribuciones constitucionales y legales, en especial las confer</w:t>
      </w:r>
      <w:r w:rsidR="00DE5054">
        <w:rPr>
          <w:rFonts w:ascii="Bookman Old Style" w:eastAsia="Times New Roman" w:hAnsi="Bookman Old Style" w:cs="Arial"/>
          <w:color w:val="000000"/>
          <w:sz w:val="24"/>
          <w:szCs w:val="24"/>
          <w:lang w:val="es-ES" w:eastAsia="es-ES"/>
        </w:rPr>
        <w:t>idas por las leyes 142 de 1994,</w:t>
      </w:r>
      <w:r w:rsidRPr="005C1BCA">
        <w:rPr>
          <w:rFonts w:ascii="Bookman Old Style" w:eastAsia="Times New Roman" w:hAnsi="Bookman Old Style" w:cs="Arial"/>
          <w:color w:val="000000"/>
          <w:sz w:val="24"/>
          <w:szCs w:val="24"/>
          <w:lang w:val="es-ES" w:eastAsia="es-ES"/>
        </w:rPr>
        <w:t xml:space="preserve"> 1151 de 2007,</w:t>
      </w:r>
      <w:r w:rsidR="00DE5054">
        <w:rPr>
          <w:rFonts w:ascii="Bookman Old Style" w:eastAsia="Times New Roman" w:hAnsi="Bookman Old Style" w:cs="Arial"/>
          <w:color w:val="000000"/>
          <w:sz w:val="24"/>
          <w:szCs w:val="24"/>
          <w:lang w:val="es-ES" w:eastAsia="es-ES"/>
        </w:rPr>
        <w:t xml:space="preserve"> 1437 de 2011</w:t>
      </w:r>
      <w:r w:rsidRPr="005C1BCA">
        <w:rPr>
          <w:rFonts w:ascii="Bookman Old Style" w:eastAsia="Times New Roman" w:hAnsi="Bookman Old Style" w:cs="Arial"/>
          <w:color w:val="000000"/>
          <w:sz w:val="24"/>
          <w:szCs w:val="24"/>
          <w:lang w:val="es-ES" w:eastAsia="es-ES"/>
        </w:rPr>
        <w:t xml:space="preserve"> y en desarrollo de los Decretos </w:t>
      </w:r>
      <w:r w:rsidR="0055674D">
        <w:rPr>
          <w:rFonts w:ascii="Bookman Old Style" w:eastAsia="Times New Roman" w:hAnsi="Bookman Old Style" w:cs="Arial"/>
          <w:color w:val="000000"/>
          <w:sz w:val="24"/>
          <w:szCs w:val="24"/>
          <w:lang w:val="es-ES" w:eastAsia="es-ES"/>
        </w:rPr>
        <w:t>1524</w:t>
      </w:r>
      <w:r w:rsidRPr="005C1BCA">
        <w:rPr>
          <w:rFonts w:ascii="Bookman Old Style" w:eastAsia="Times New Roman" w:hAnsi="Bookman Old Style" w:cs="Arial"/>
          <w:color w:val="000000"/>
          <w:sz w:val="24"/>
          <w:szCs w:val="24"/>
          <w:lang w:val="es-ES" w:eastAsia="es-ES"/>
        </w:rPr>
        <w:t xml:space="preserve"> y 2253 de 1994 y 1260 de 2013 y,</w:t>
      </w:r>
    </w:p>
    <w:p w14:paraId="6D5F6674" w14:textId="77777777" w:rsidR="005C1BCA" w:rsidRPr="005C1BCA" w:rsidRDefault="005C1BCA" w:rsidP="007F2AFE">
      <w:pPr>
        <w:spacing w:after="0" w:line="240" w:lineRule="auto"/>
        <w:ind w:right="51"/>
        <w:contextualSpacing/>
        <w:jc w:val="center"/>
        <w:rPr>
          <w:rFonts w:ascii="Bookman Old Style" w:eastAsia="Times New Roman" w:hAnsi="Bookman Old Style" w:cs="Arial"/>
          <w:bCs/>
          <w:spacing w:val="-3"/>
          <w:sz w:val="24"/>
          <w:szCs w:val="24"/>
          <w:lang w:val="es-ES" w:eastAsia="es-ES"/>
        </w:rPr>
      </w:pPr>
    </w:p>
    <w:p w14:paraId="7FEA743C" w14:textId="77777777" w:rsidR="005C1BCA" w:rsidRPr="00EB6E02" w:rsidRDefault="005C1BCA" w:rsidP="007F2AFE">
      <w:pPr>
        <w:spacing w:after="0" w:line="240" w:lineRule="auto"/>
        <w:contextualSpacing/>
        <w:rPr>
          <w:rFonts w:ascii="Bookman Old Style" w:eastAsia="Times New Roman" w:hAnsi="Bookman Old Style" w:cs="Arial"/>
          <w:sz w:val="24"/>
          <w:szCs w:val="24"/>
          <w:lang w:val="es-ES" w:eastAsia="es-ES"/>
        </w:rPr>
      </w:pPr>
    </w:p>
    <w:p w14:paraId="607A2AFD" w14:textId="77777777" w:rsidR="005C1BCA" w:rsidRPr="00EB6E02" w:rsidRDefault="005C1BCA" w:rsidP="007F2AFE">
      <w:pPr>
        <w:spacing w:after="0" w:line="240" w:lineRule="auto"/>
        <w:contextualSpacing/>
        <w:jc w:val="center"/>
        <w:rPr>
          <w:rFonts w:ascii="Bookman Old Style" w:eastAsia="Times New Roman" w:hAnsi="Bookman Old Style" w:cs="Arial"/>
          <w:b/>
          <w:sz w:val="24"/>
          <w:szCs w:val="24"/>
          <w:lang w:val="es-ES" w:eastAsia="es-ES"/>
        </w:rPr>
      </w:pPr>
      <w:r w:rsidRPr="00EB6E02">
        <w:rPr>
          <w:rFonts w:ascii="Bookman Old Style" w:eastAsia="Times New Roman" w:hAnsi="Bookman Old Style" w:cs="Arial"/>
          <w:b/>
          <w:sz w:val="24"/>
          <w:szCs w:val="24"/>
          <w:lang w:val="es-ES" w:eastAsia="es-ES"/>
        </w:rPr>
        <w:t xml:space="preserve">C O N S I D E R A N D </w:t>
      </w:r>
      <w:proofErr w:type="gramStart"/>
      <w:r w:rsidRPr="00EB6E02">
        <w:rPr>
          <w:rFonts w:ascii="Bookman Old Style" w:eastAsia="Times New Roman" w:hAnsi="Bookman Old Style" w:cs="Arial"/>
          <w:b/>
          <w:sz w:val="24"/>
          <w:szCs w:val="24"/>
          <w:lang w:val="es-ES" w:eastAsia="es-ES"/>
        </w:rPr>
        <w:t>O  Q</w:t>
      </w:r>
      <w:proofErr w:type="gramEnd"/>
      <w:r w:rsidRPr="00EB6E02">
        <w:rPr>
          <w:rFonts w:ascii="Bookman Old Style" w:eastAsia="Times New Roman" w:hAnsi="Bookman Old Style" w:cs="Arial"/>
          <w:b/>
          <w:sz w:val="24"/>
          <w:szCs w:val="24"/>
          <w:lang w:val="es-ES" w:eastAsia="es-ES"/>
        </w:rPr>
        <w:t xml:space="preserve"> U E:</w:t>
      </w:r>
    </w:p>
    <w:p w14:paraId="4FD7C1A0" w14:textId="13D2EA59" w:rsidR="00A33677" w:rsidRDefault="00A33677" w:rsidP="007F2AFE">
      <w:pPr>
        <w:pStyle w:val="Textoindependiente2"/>
        <w:spacing w:after="0" w:line="240" w:lineRule="auto"/>
        <w:ind w:left="0" w:right="-142"/>
        <w:contextualSpacing/>
        <w:jc w:val="both"/>
        <w:rPr>
          <w:rFonts w:ascii="Bookman Old Style" w:hAnsi="Bookman Old Style"/>
          <w:b/>
        </w:rPr>
      </w:pPr>
    </w:p>
    <w:p w14:paraId="232BE7D3" w14:textId="384CF9E2" w:rsidR="00A33677" w:rsidRPr="00FF2720" w:rsidRDefault="00A33677" w:rsidP="00FF2720">
      <w:pPr>
        <w:pStyle w:val="Ttulo2"/>
        <w:numPr>
          <w:ilvl w:val="0"/>
          <w:numId w:val="31"/>
        </w:numPr>
        <w:rPr>
          <w:rFonts w:ascii="Bookman Old Style" w:hAnsi="Bookman Old Style"/>
          <w:b w:val="0"/>
          <w:color w:val="auto"/>
        </w:rPr>
      </w:pPr>
      <w:r w:rsidRPr="00FF2720">
        <w:rPr>
          <w:rFonts w:ascii="Bookman Old Style" w:hAnsi="Bookman Old Style"/>
          <w:color w:val="auto"/>
        </w:rPr>
        <w:t>ANTECEDENTES</w:t>
      </w:r>
    </w:p>
    <w:p w14:paraId="7FADA36A" w14:textId="77777777" w:rsidR="009F6B95" w:rsidRPr="0012236E" w:rsidRDefault="009F6B95" w:rsidP="007F2AFE">
      <w:pPr>
        <w:pStyle w:val="Textoindependiente2"/>
        <w:spacing w:after="0" w:line="240" w:lineRule="auto"/>
        <w:ind w:left="0" w:right="-142"/>
        <w:contextualSpacing/>
        <w:jc w:val="both"/>
        <w:rPr>
          <w:rFonts w:ascii="Bookman Old Style" w:hAnsi="Bookman Old Style"/>
          <w:b/>
        </w:rPr>
      </w:pPr>
    </w:p>
    <w:p w14:paraId="2C4B2566" w14:textId="77777777" w:rsidR="009F6B95" w:rsidRPr="009F6B95" w:rsidRDefault="009F6B95" w:rsidP="007F2AFE">
      <w:pPr>
        <w:spacing w:after="0" w:line="240" w:lineRule="auto"/>
        <w:contextualSpacing/>
        <w:jc w:val="both"/>
        <w:rPr>
          <w:rFonts w:ascii="Bookman Old Style" w:eastAsia="Times New Roman" w:hAnsi="Bookman Old Style" w:cs="Arial"/>
          <w:spacing w:val="-5"/>
          <w:sz w:val="24"/>
          <w:szCs w:val="24"/>
        </w:rPr>
      </w:pPr>
      <w:r w:rsidRPr="009F6B95">
        <w:rPr>
          <w:rFonts w:ascii="Bookman Old Style" w:eastAsia="Times New Roman" w:hAnsi="Bookman Old Style" w:cs="Arial"/>
          <w:spacing w:val="-5"/>
          <w:sz w:val="24"/>
          <w:szCs w:val="24"/>
        </w:rPr>
        <w:t>El artículo 87 de la Ley 142 de 1994 estableció que el régimen tarifario estará orientado por los criterios de eficiencia económica, neutralidad, solidaridad, redistribución, suficiencia financiera, simplicidad y transparencia.</w:t>
      </w:r>
    </w:p>
    <w:p w14:paraId="59E69338" w14:textId="77777777" w:rsidR="009F6B95" w:rsidRPr="009F6B95" w:rsidRDefault="009F6B95" w:rsidP="007F2AFE">
      <w:pPr>
        <w:spacing w:after="0" w:line="240" w:lineRule="auto"/>
        <w:contextualSpacing/>
        <w:jc w:val="both"/>
        <w:rPr>
          <w:rFonts w:ascii="Bookman Old Style" w:eastAsia="Times New Roman" w:hAnsi="Bookman Old Style" w:cs="Arial"/>
          <w:spacing w:val="-5"/>
          <w:sz w:val="24"/>
          <w:szCs w:val="24"/>
        </w:rPr>
      </w:pPr>
    </w:p>
    <w:p w14:paraId="7DAAAB06" w14:textId="77777777" w:rsidR="009F6B95" w:rsidRPr="009F6B95" w:rsidRDefault="009F6B95" w:rsidP="007F2AFE">
      <w:pPr>
        <w:spacing w:after="0" w:line="240" w:lineRule="auto"/>
        <w:contextualSpacing/>
        <w:jc w:val="both"/>
        <w:rPr>
          <w:rFonts w:ascii="Bookman Old Style" w:eastAsia="Times New Roman" w:hAnsi="Bookman Old Style" w:cs="Arial"/>
          <w:spacing w:val="-5"/>
          <w:sz w:val="24"/>
          <w:szCs w:val="24"/>
        </w:rPr>
      </w:pPr>
      <w:r w:rsidRPr="009F6B95">
        <w:rPr>
          <w:rFonts w:ascii="Bookman Old Style" w:eastAsia="Times New Roman" w:hAnsi="Bookman Old Style" w:cs="Arial"/>
          <w:spacing w:val="-5"/>
          <w:sz w:val="24"/>
          <w:szCs w:val="24"/>
        </w:rPr>
        <w:t>De acuerdo con lo previsto en el literal e) del artículo 23 de la Ley 143 de 1994, es función de la Comisión de Regulación de Energía y Gas aprobar las fórmulas tarifarias y las metodologías para el cálculo de las tarifas para usuarios regulados.</w:t>
      </w:r>
    </w:p>
    <w:p w14:paraId="177003A9" w14:textId="77777777" w:rsidR="009F6B95" w:rsidRPr="009F6B95" w:rsidRDefault="009F6B95" w:rsidP="007F2AFE">
      <w:pPr>
        <w:spacing w:after="0" w:line="240" w:lineRule="auto"/>
        <w:contextualSpacing/>
        <w:jc w:val="both"/>
        <w:rPr>
          <w:rFonts w:ascii="Bookman Old Style" w:eastAsia="Times New Roman" w:hAnsi="Bookman Old Style" w:cs="Arial"/>
          <w:spacing w:val="-5"/>
          <w:sz w:val="24"/>
          <w:szCs w:val="24"/>
        </w:rPr>
      </w:pPr>
    </w:p>
    <w:p w14:paraId="3F493540" w14:textId="77777777" w:rsidR="009F6B95" w:rsidRPr="009F6B95" w:rsidRDefault="009F6B95" w:rsidP="007F2AFE">
      <w:pPr>
        <w:spacing w:after="0" w:line="240" w:lineRule="auto"/>
        <w:contextualSpacing/>
        <w:jc w:val="both"/>
        <w:rPr>
          <w:rFonts w:ascii="Bookman Old Style" w:eastAsia="Times New Roman" w:hAnsi="Bookman Old Style" w:cs="Arial"/>
          <w:spacing w:val="-5"/>
          <w:sz w:val="24"/>
          <w:szCs w:val="24"/>
        </w:rPr>
      </w:pPr>
      <w:r w:rsidRPr="009F6B95">
        <w:rPr>
          <w:rFonts w:ascii="Bookman Old Style" w:eastAsia="Times New Roman" w:hAnsi="Bookman Old Style" w:cs="Arial"/>
          <w:spacing w:val="-5"/>
          <w:sz w:val="24"/>
          <w:szCs w:val="24"/>
        </w:rPr>
        <w:t>El artículo 6 de la Ley 143 de 1994, entre otros aspectos, establece que las actividades relacionadas con el servicio de electricidad se regirán por el principio de adaptabilidad, que conduce a la incorporación de los avances de la ciencia y la tecnología que aporten mayor calidad y eficiencia en la prestación del servicio, al menor costo económico;</w:t>
      </w:r>
    </w:p>
    <w:p w14:paraId="768C9D55" w14:textId="77777777" w:rsidR="009F6B95" w:rsidRPr="009F6B95" w:rsidRDefault="009F6B95" w:rsidP="007F2AFE">
      <w:pPr>
        <w:spacing w:after="0" w:line="240" w:lineRule="auto"/>
        <w:contextualSpacing/>
        <w:jc w:val="both"/>
        <w:rPr>
          <w:rFonts w:ascii="Bookman Old Style" w:eastAsia="Times New Roman" w:hAnsi="Bookman Old Style" w:cs="Arial"/>
          <w:spacing w:val="-5"/>
          <w:sz w:val="24"/>
          <w:szCs w:val="24"/>
        </w:rPr>
      </w:pPr>
    </w:p>
    <w:p w14:paraId="0B7CB1DB" w14:textId="78BFC0CA" w:rsidR="009F6B95" w:rsidRPr="009F6B95" w:rsidRDefault="009F6B95" w:rsidP="007F2AFE">
      <w:pPr>
        <w:spacing w:after="0" w:line="240" w:lineRule="auto"/>
        <w:contextualSpacing/>
        <w:jc w:val="both"/>
        <w:rPr>
          <w:rFonts w:ascii="Bookman Old Style" w:eastAsia="Times New Roman" w:hAnsi="Bookman Old Style" w:cs="Arial"/>
          <w:spacing w:val="-5"/>
          <w:sz w:val="24"/>
          <w:szCs w:val="24"/>
        </w:rPr>
      </w:pPr>
      <w:r w:rsidRPr="009F6B95">
        <w:rPr>
          <w:rFonts w:ascii="Bookman Old Style" w:eastAsia="Times New Roman" w:hAnsi="Bookman Old Style" w:cs="Arial"/>
          <w:spacing w:val="-5"/>
          <w:sz w:val="24"/>
          <w:szCs w:val="24"/>
        </w:rPr>
        <w:t>La Comisión de Regulación de Energía y Gas, CREG, mediante la Resolución CREG 091 de 2007, estableció las metodologías generales para remunerar las actividades de generación, distribución y comercialización de energía eléctrica, y las fórmulas tarifarias generales para determinar el costo unitario de prestación del servicio público de energía eléctrica en Zonas No Interconectadas. La precitada resolución fue publicada en el Diario Oficial el 24 de enero de 2008, y quedó en firme el 31 de enero de 2008.</w:t>
      </w:r>
    </w:p>
    <w:p w14:paraId="407B680E" w14:textId="77777777" w:rsidR="009F6B95" w:rsidRPr="009F6B95" w:rsidRDefault="009F6B95" w:rsidP="007F2AFE">
      <w:pPr>
        <w:spacing w:after="0" w:line="240" w:lineRule="auto"/>
        <w:contextualSpacing/>
        <w:jc w:val="both"/>
        <w:rPr>
          <w:rFonts w:ascii="Bookman Old Style" w:eastAsia="Times New Roman" w:hAnsi="Bookman Old Style" w:cs="Arial"/>
          <w:spacing w:val="-5"/>
          <w:sz w:val="24"/>
          <w:szCs w:val="24"/>
        </w:rPr>
      </w:pPr>
    </w:p>
    <w:p w14:paraId="6669552E" w14:textId="792A6FFD" w:rsidR="00A33677" w:rsidRDefault="009F6B95" w:rsidP="007F2AFE">
      <w:pPr>
        <w:spacing w:after="0" w:line="240" w:lineRule="auto"/>
        <w:contextualSpacing/>
        <w:jc w:val="both"/>
        <w:rPr>
          <w:rFonts w:ascii="Bookman Old Style" w:eastAsia="Times New Roman" w:hAnsi="Bookman Old Style" w:cs="Arial"/>
          <w:spacing w:val="-5"/>
          <w:sz w:val="24"/>
          <w:szCs w:val="24"/>
        </w:rPr>
      </w:pPr>
      <w:r w:rsidRPr="009F6B95">
        <w:rPr>
          <w:rFonts w:ascii="Bookman Old Style" w:eastAsia="Times New Roman" w:hAnsi="Bookman Old Style" w:cs="Arial"/>
          <w:spacing w:val="-5"/>
          <w:sz w:val="24"/>
          <w:szCs w:val="24"/>
        </w:rPr>
        <w:t xml:space="preserve">Mediante comunicación con número de radicado CREG E-2019-002423 del 22 de febrero de 2019, complementada con las comunicaciones con número de radicado CREG E-2019-004020 del 04 de abril de 2019 y E-2019-005284 del 09 de mayo de </w:t>
      </w:r>
      <w:r w:rsidRPr="009F6B95">
        <w:rPr>
          <w:rFonts w:ascii="Bookman Old Style" w:eastAsia="Times New Roman" w:hAnsi="Bookman Old Style" w:cs="Arial"/>
          <w:spacing w:val="-5"/>
          <w:sz w:val="24"/>
          <w:szCs w:val="24"/>
        </w:rPr>
        <w:lastRenderedPageBreak/>
        <w:t xml:space="preserve">2019, la empresa </w:t>
      </w:r>
      <w:proofErr w:type="spellStart"/>
      <w:r w:rsidRPr="009F6B95">
        <w:rPr>
          <w:rFonts w:ascii="Bookman Old Style" w:eastAsia="Times New Roman" w:hAnsi="Bookman Old Style" w:cs="Arial"/>
          <w:spacing w:val="-5"/>
          <w:sz w:val="24"/>
          <w:szCs w:val="24"/>
        </w:rPr>
        <w:t>Due</w:t>
      </w:r>
      <w:proofErr w:type="spellEnd"/>
      <w:r w:rsidRPr="009F6B95">
        <w:rPr>
          <w:rFonts w:ascii="Bookman Old Style" w:eastAsia="Times New Roman" w:hAnsi="Bookman Old Style" w:cs="Arial"/>
          <w:spacing w:val="-5"/>
          <w:sz w:val="24"/>
          <w:szCs w:val="24"/>
        </w:rPr>
        <w:t xml:space="preserve"> Capital and </w:t>
      </w:r>
      <w:proofErr w:type="spellStart"/>
      <w:r w:rsidRPr="009F6B95">
        <w:rPr>
          <w:rFonts w:ascii="Bookman Old Style" w:eastAsia="Times New Roman" w:hAnsi="Bookman Old Style" w:cs="Arial"/>
          <w:spacing w:val="-5"/>
          <w:sz w:val="24"/>
          <w:szCs w:val="24"/>
        </w:rPr>
        <w:t>Services</w:t>
      </w:r>
      <w:proofErr w:type="spellEnd"/>
      <w:r w:rsidRPr="009F6B95">
        <w:rPr>
          <w:rFonts w:ascii="Bookman Old Style" w:eastAsia="Times New Roman" w:hAnsi="Bookman Old Style" w:cs="Arial"/>
          <w:spacing w:val="-5"/>
          <w:sz w:val="24"/>
          <w:szCs w:val="24"/>
        </w:rPr>
        <w:t xml:space="preserve"> S.A.S.</w:t>
      </w:r>
      <w:r w:rsidR="00FF2BF3">
        <w:rPr>
          <w:rFonts w:ascii="Bookman Old Style" w:eastAsia="Times New Roman" w:hAnsi="Bookman Old Style" w:cs="Arial"/>
          <w:spacing w:val="-5"/>
          <w:sz w:val="24"/>
          <w:szCs w:val="24"/>
        </w:rPr>
        <w:t>, en adelante DUE,</w:t>
      </w:r>
      <w:r w:rsidRPr="009F6B95">
        <w:rPr>
          <w:rFonts w:ascii="Bookman Old Style" w:eastAsia="Times New Roman" w:hAnsi="Bookman Old Style" w:cs="Arial"/>
          <w:spacing w:val="-5"/>
          <w:sz w:val="24"/>
          <w:szCs w:val="24"/>
        </w:rPr>
        <w:t xml:space="preserve"> solicitó aprobación de cargos de remuneración para un proyecto fotovoltaico, planta </w:t>
      </w:r>
      <w:proofErr w:type="spellStart"/>
      <w:r w:rsidRPr="009F6B95">
        <w:rPr>
          <w:rFonts w:ascii="Bookman Old Style" w:eastAsia="Times New Roman" w:hAnsi="Bookman Old Style" w:cs="Arial"/>
          <w:spacing w:val="-5"/>
          <w:sz w:val="24"/>
          <w:szCs w:val="24"/>
        </w:rPr>
        <w:t>Matakavi</w:t>
      </w:r>
      <w:proofErr w:type="spellEnd"/>
      <w:r w:rsidRPr="009F6B95">
        <w:rPr>
          <w:rFonts w:ascii="Bookman Old Style" w:eastAsia="Times New Roman" w:hAnsi="Bookman Old Style" w:cs="Arial"/>
          <w:spacing w:val="-5"/>
          <w:sz w:val="24"/>
          <w:szCs w:val="24"/>
        </w:rPr>
        <w:t>, interconectado a la red de distribución del municipio de Mitú en el departamento del Vaupés.</w:t>
      </w:r>
    </w:p>
    <w:p w14:paraId="1FFBBAE1" w14:textId="77777777" w:rsidR="00A33C66" w:rsidRPr="00A33C66" w:rsidRDefault="00A33C66" w:rsidP="00A33C66">
      <w:pPr>
        <w:spacing w:after="0" w:line="240" w:lineRule="auto"/>
        <w:contextualSpacing/>
        <w:jc w:val="both"/>
        <w:rPr>
          <w:rFonts w:ascii="Bookman Old Style" w:eastAsia="Times New Roman" w:hAnsi="Bookman Old Style" w:cs="Arial"/>
          <w:spacing w:val="-5"/>
          <w:sz w:val="24"/>
          <w:szCs w:val="24"/>
        </w:rPr>
      </w:pPr>
    </w:p>
    <w:p w14:paraId="1BA930AD" w14:textId="1885B0FE" w:rsidR="0056381D" w:rsidRDefault="00517D3F" w:rsidP="007F2AFE">
      <w:pPr>
        <w:spacing w:after="0" w:line="240" w:lineRule="auto"/>
        <w:contextualSpacing/>
        <w:jc w:val="both"/>
        <w:rPr>
          <w:rFonts w:ascii="Bookman Old Style" w:eastAsia="Times New Roman" w:hAnsi="Bookman Old Style" w:cs="Arial"/>
          <w:spacing w:val="-5"/>
          <w:sz w:val="24"/>
          <w:szCs w:val="24"/>
          <w:lang w:val="es-MX"/>
        </w:rPr>
      </w:pPr>
      <w:r>
        <w:rPr>
          <w:rFonts w:ascii="Bookman Old Style" w:eastAsia="Times New Roman" w:hAnsi="Bookman Old Style" w:cs="Arial"/>
          <w:spacing w:val="-5"/>
          <w:sz w:val="24"/>
          <w:szCs w:val="24"/>
          <w:lang w:val="es-MX"/>
        </w:rPr>
        <w:t xml:space="preserve">Con </w:t>
      </w:r>
      <w:r w:rsidR="0056381D" w:rsidRPr="0056381D">
        <w:rPr>
          <w:rFonts w:ascii="Bookman Old Style" w:eastAsia="Times New Roman" w:hAnsi="Bookman Old Style" w:cs="Arial"/>
          <w:spacing w:val="-5"/>
          <w:sz w:val="24"/>
          <w:szCs w:val="24"/>
          <w:lang w:val="es-MX"/>
        </w:rPr>
        <w:t xml:space="preserve">Auto </w:t>
      </w:r>
      <w:r>
        <w:rPr>
          <w:rFonts w:ascii="Bookman Old Style" w:eastAsia="Times New Roman" w:hAnsi="Bookman Old Style" w:cs="Arial"/>
          <w:spacing w:val="-5"/>
          <w:sz w:val="24"/>
          <w:szCs w:val="24"/>
          <w:lang w:val="es-MX"/>
        </w:rPr>
        <w:t>de</w:t>
      </w:r>
      <w:r w:rsidR="0056381D" w:rsidRPr="0056381D">
        <w:rPr>
          <w:rFonts w:ascii="Bookman Old Style" w:eastAsia="Times New Roman" w:hAnsi="Bookman Old Style" w:cs="Arial"/>
          <w:spacing w:val="-5"/>
          <w:sz w:val="24"/>
          <w:szCs w:val="24"/>
          <w:lang w:val="es-MX"/>
        </w:rPr>
        <w:t xml:space="preserve"> radicado CREG I-2019-003013, proferido el 13 de mayo de 2019, la Dirección Ejecutiva de la Comisión ordenó la conformación del expediente administrativo 2019-0031, con el objeto de decidir sobre la solicitud de aprobación de cargos de remuneración para un proyecto fotovoltaico, planta </w:t>
      </w:r>
      <w:proofErr w:type="spellStart"/>
      <w:r w:rsidR="0056381D" w:rsidRPr="0056381D">
        <w:rPr>
          <w:rFonts w:ascii="Bookman Old Style" w:eastAsia="Times New Roman" w:hAnsi="Bookman Old Style" w:cs="Arial"/>
          <w:spacing w:val="-5"/>
          <w:sz w:val="24"/>
          <w:szCs w:val="24"/>
          <w:lang w:val="es-MX"/>
        </w:rPr>
        <w:t>Matakavi</w:t>
      </w:r>
      <w:proofErr w:type="spellEnd"/>
      <w:r w:rsidR="0056381D" w:rsidRPr="0056381D">
        <w:rPr>
          <w:rFonts w:ascii="Bookman Old Style" w:eastAsia="Times New Roman" w:hAnsi="Bookman Old Style" w:cs="Arial"/>
          <w:spacing w:val="-5"/>
          <w:sz w:val="24"/>
          <w:szCs w:val="24"/>
          <w:lang w:val="es-MX"/>
        </w:rPr>
        <w:t>, interconectado a la red de distribución del municipio de Mitú en el departamento del Vaupés.</w:t>
      </w:r>
    </w:p>
    <w:p w14:paraId="08BBD952" w14:textId="77777777" w:rsidR="0056381D" w:rsidRPr="0056381D" w:rsidRDefault="0056381D" w:rsidP="007F2AFE">
      <w:pPr>
        <w:spacing w:after="0" w:line="240" w:lineRule="auto"/>
        <w:contextualSpacing/>
        <w:jc w:val="both"/>
        <w:rPr>
          <w:rFonts w:ascii="Bookman Old Style" w:eastAsia="Times New Roman" w:hAnsi="Bookman Old Style" w:cs="Arial"/>
          <w:spacing w:val="-5"/>
          <w:sz w:val="24"/>
          <w:szCs w:val="24"/>
          <w:lang w:val="es-MX"/>
        </w:rPr>
      </w:pPr>
    </w:p>
    <w:p w14:paraId="02F64CEE" w14:textId="3CE277F8" w:rsidR="009B74E5" w:rsidRDefault="009B74E5" w:rsidP="009B74E5">
      <w:pPr>
        <w:spacing w:after="0" w:line="240" w:lineRule="auto"/>
        <w:contextualSpacing/>
        <w:jc w:val="both"/>
        <w:rPr>
          <w:rFonts w:ascii="Bookman Old Style" w:eastAsia="Times New Roman" w:hAnsi="Bookman Old Style" w:cs="Arial"/>
          <w:spacing w:val="-5"/>
          <w:sz w:val="24"/>
          <w:szCs w:val="24"/>
        </w:rPr>
      </w:pPr>
      <w:r w:rsidRPr="009B74E5">
        <w:rPr>
          <w:rFonts w:ascii="Bookman Old Style" w:eastAsia="Times New Roman" w:hAnsi="Bookman Old Style" w:cs="Arial"/>
          <w:spacing w:val="-5"/>
          <w:sz w:val="24"/>
          <w:szCs w:val="24"/>
        </w:rPr>
        <w:t xml:space="preserve">Mediante la Resolución CREG </w:t>
      </w:r>
      <w:r>
        <w:rPr>
          <w:rFonts w:ascii="Bookman Old Style" w:eastAsia="Times New Roman" w:hAnsi="Bookman Old Style" w:cs="Arial"/>
          <w:spacing w:val="-5"/>
          <w:sz w:val="24"/>
          <w:szCs w:val="24"/>
        </w:rPr>
        <w:t>124</w:t>
      </w:r>
      <w:r w:rsidRPr="009B74E5">
        <w:rPr>
          <w:rFonts w:ascii="Bookman Old Style" w:eastAsia="Times New Roman" w:hAnsi="Bookman Old Style" w:cs="Arial"/>
          <w:spacing w:val="-5"/>
          <w:sz w:val="24"/>
          <w:szCs w:val="24"/>
        </w:rPr>
        <w:t xml:space="preserve"> de 2020 se </w:t>
      </w:r>
      <w:r w:rsidR="00DA76F3">
        <w:rPr>
          <w:rFonts w:ascii="Bookman Old Style" w:eastAsia="Times New Roman" w:hAnsi="Bookman Old Style" w:cs="Arial"/>
          <w:spacing w:val="-5"/>
          <w:sz w:val="24"/>
          <w:szCs w:val="24"/>
        </w:rPr>
        <w:t xml:space="preserve">resolvió la actuación administrativa </w:t>
      </w:r>
      <w:r w:rsidR="003A6BAD">
        <w:rPr>
          <w:rFonts w:ascii="Bookman Old Style" w:eastAsia="Times New Roman" w:hAnsi="Bookman Old Style" w:cs="Arial"/>
          <w:spacing w:val="-5"/>
          <w:sz w:val="24"/>
          <w:szCs w:val="24"/>
        </w:rPr>
        <w:t xml:space="preserve">y </w:t>
      </w:r>
      <w:r w:rsidRPr="009B74E5">
        <w:rPr>
          <w:rFonts w:ascii="Bookman Old Style" w:eastAsia="Times New Roman" w:hAnsi="Bookman Old Style" w:cs="Arial"/>
          <w:spacing w:val="-5"/>
          <w:sz w:val="24"/>
          <w:szCs w:val="24"/>
        </w:rPr>
        <w:t xml:space="preserve">se </w:t>
      </w:r>
      <w:r w:rsidR="009622F9" w:rsidRPr="009622F9">
        <w:rPr>
          <w:rFonts w:ascii="Bookman Old Style" w:eastAsia="Times New Roman" w:hAnsi="Bookman Old Style" w:cs="Arial"/>
          <w:spacing w:val="-5"/>
          <w:sz w:val="24"/>
          <w:szCs w:val="24"/>
          <w:lang w:val="es-ES"/>
        </w:rPr>
        <w:t>determin</w:t>
      </w:r>
      <w:r w:rsidR="003A6BAD">
        <w:rPr>
          <w:rFonts w:ascii="Bookman Old Style" w:eastAsia="Times New Roman" w:hAnsi="Bookman Old Style" w:cs="Arial"/>
          <w:spacing w:val="-5"/>
          <w:sz w:val="24"/>
          <w:szCs w:val="24"/>
          <w:lang w:val="es-ES"/>
        </w:rPr>
        <w:t>ó</w:t>
      </w:r>
      <w:r w:rsidR="009622F9" w:rsidRPr="009622F9">
        <w:rPr>
          <w:rFonts w:ascii="Bookman Old Style" w:eastAsia="Times New Roman" w:hAnsi="Bookman Old Style" w:cs="Arial"/>
          <w:spacing w:val="-5"/>
          <w:sz w:val="24"/>
          <w:szCs w:val="24"/>
          <w:lang w:val="es-ES"/>
        </w:rPr>
        <w:t xml:space="preserve"> el cargo máximo de generación para el mercado relevante de comercialización de la cabecera municipal de Mitú en el departamento del Vaupés</w:t>
      </w:r>
      <w:r w:rsidR="00BE1950">
        <w:rPr>
          <w:rFonts w:ascii="Bookman Old Style" w:eastAsia="Times New Roman" w:hAnsi="Bookman Old Style" w:cs="Arial"/>
          <w:spacing w:val="-5"/>
          <w:sz w:val="24"/>
          <w:szCs w:val="24"/>
          <w:lang w:val="es-ES"/>
        </w:rPr>
        <w:t>.</w:t>
      </w:r>
    </w:p>
    <w:p w14:paraId="58560898" w14:textId="77777777" w:rsidR="009B74E5" w:rsidRPr="009B74E5" w:rsidRDefault="009B74E5" w:rsidP="009B74E5">
      <w:pPr>
        <w:spacing w:after="0" w:line="240" w:lineRule="auto"/>
        <w:contextualSpacing/>
        <w:jc w:val="both"/>
        <w:rPr>
          <w:rFonts w:ascii="Bookman Old Style" w:eastAsia="Times New Roman" w:hAnsi="Bookman Old Style" w:cs="Arial"/>
          <w:spacing w:val="-5"/>
          <w:sz w:val="24"/>
          <w:szCs w:val="24"/>
        </w:rPr>
      </w:pPr>
    </w:p>
    <w:p w14:paraId="3DF1EBB3" w14:textId="181F71C8" w:rsidR="009B74E5" w:rsidRDefault="009B74E5" w:rsidP="009B74E5">
      <w:pPr>
        <w:spacing w:after="0" w:line="240" w:lineRule="auto"/>
        <w:contextualSpacing/>
        <w:jc w:val="both"/>
        <w:rPr>
          <w:rFonts w:ascii="Bookman Old Style" w:eastAsia="Times New Roman" w:hAnsi="Bookman Old Style" w:cs="Arial"/>
          <w:spacing w:val="-5"/>
          <w:sz w:val="24"/>
          <w:szCs w:val="24"/>
        </w:rPr>
      </w:pPr>
      <w:r w:rsidRPr="009B74E5">
        <w:rPr>
          <w:rFonts w:ascii="Bookman Old Style" w:eastAsia="Times New Roman" w:hAnsi="Bookman Old Style" w:cs="Arial"/>
          <w:spacing w:val="-5"/>
          <w:sz w:val="24"/>
          <w:szCs w:val="24"/>
        </w:rPr>
        <w:t xml:space="preserve">En el documento </w:t>
      </w:r>
      <w:r w:rsidR="00174B17">
        <w:rPr>
          <w:rFonts w:ascii="Bookman Old Style" w:eastAsia="Times New Roman" w:hAnsi="Bookman Old Style" w:cs="Arial"/>
          <w:spacing w:val="-5"/>
          <w:sz w:val="24"/>
          <w:szCs w:val="24"/>
        </w:rPr>
        <w:t>097</w:t>
      </w:r>
      <w:r w:rsidRPr="009B74E5">
        <w:rPr>
          <w:rFonts w:ascii="Bookman Old Style" w:eastAsia="Times New Roman" w:hAnsi="Bookman Old Style" w:cs="Arial"/>
          <w:spacing w:val="-5"/>
          <w:sz w:val="24"/>
          <w:szCs w:val="24"/>
        </w:rPr>
        <w:t xml:space="preserve"> de 2020 se encuentra el soporte de dicha resolución, donde se incluyen los criterios de revisión de la información, </w:t>
      </w:r>
      <w:r w:rsidR="007C6622">
        <w:rPr>
          <w:rFonts w:ascii="Bookman Old Style" w:eastAsia="Times New Roman" w:hAnsi="Bookman Old Style" w:cs="Arial"/>
          <w:spacing w:val="-5"/>
          <w:sz w:val="24"/>
          <w:szCs w:val="24"/>
        </w:rPr>
        <w:t xml:space="preserve">el análisis técnico </w:t>
      </w:r>
      <w:r w:rsidRPr="009B74E5">
        <w:rPr>
          <w:rFonts w:ascii="Bookman Old Style" w:eastAsia="Times New Roman" w:hAnsi="Bookman Old Style" w:cs="Arial"/>
          <w:spacing w:val="-5"/>
          <w:sz w:val="24"/>
          <w:szCs w:val="24"/>
        </w:rPr>
        <w:t xml:space="preserve">y los cálculos empleados por la Comisión para definir </w:t>
      </w:r>
      <w:r w:rsidR="000D61B5">
        <w:rPr>
          <w:rFonts w:ascii="Bookman Old Style" w:eastAsia="Times New Roman" w:hAnsi="Bookman Old Style" w:cs="Arial"/>
          <w:spacing w:val="-5"/>
          <w:sz w:val="24"/>
          <w:szCs w:val="24"/>
        </w:rPr>
        <w:t xml:space="preserve">el cargo </w:t>
      </w:r>
      <w:r w:rsidR="00671C39">
        <w:rPr>
          <w:rFonts w:ascii="Bookman Old Style" w:eastAsia="Times New Roman" w:hAnsi="Bookman Old Style" w:cs="Arial"/>
          <w:spacing w:val="-5"/>
          <w:sz w:val="24"/>
          <w:szCs w:val="24"/>
        </w:rPr>
        <w:t>máximo de generación</w:t>
      </w:r>
      <w:r w:rsidRPr="009B74E5">
        <w:rPr>
          <w:rFonts w:ascii="Bookman Old Style" w:eastAsia="Times New Roman" w:hAnsi="Bookman Old Style" w:cs="Arial"/>
          <w:spacing w:val="-5"/>
          <w:sz w:val="24"/>
          <w:szCs w:val="24"/>
        </w:rPr>
        <w:t xml:space="preserve"> aprobad</w:t>
      </w:r>
      <w:r w:rsidR="00671C39">
        <w:rPr>
          <w:rFonts w:ascii="Bookman Old Style" w:eastAsia="Times New Roman" w:hAnsi="Bookman Old Style" w:cs="Arial"/>
          <w:spacing w:val="-5"/>
          <w:sz w:val="24"/>
          <w:szCs w:val="24"/>
        </w:rPr>
        <w:t>o</w:t>
      </w:r>
      <w:r w:rsidRPr="009B74E5">
        <w:rPr>
          <w:rFonts w:ascii="Bookman Old Style" w:eastAsia="Times New Roman" w:hAnsi="Bookman Old Style" w:cs="Arial"/>
          <w:spacing w:val="-5"/>
          <w:sz w:val="24"/>
          <w:szCs w:val="24"/>
        </w:rPr>
        <w:t xml:space="preserve"> en la Resolución CREG </w:t>
      </w:r>
      <w:r w:rsidR="00191CC0">
        <w:rPr>
          <w:rFonts w:ascii="Bookman Old Style" w:eastAsia="Times New Roman" w:hAnsi="Bookman Old Style" w:cs="Arial"/>
          <w:spacing w:val="-5"/>
          <w:sz w:val="24"/>
          <w:szCs w:val="24"/>
        </w:rPr>
        <w:t>124</w:t>
      </w:r>
      <w:r w:rsidRPr="009B74E5">
        <w:rPr>
          <w:rFonts w:ascii="Bookman Old Style" w:eastAsia="Times New Roman" w:hAnsi="Bookman Old Style" w:cs="Arial"/>
          <w:spacing w:val="-5"/>
          <w:sz w:val="24"/>
          <w:szCs w:val="24"/>
        </w:rPr>
        <w:t xml:space="preserve"> de 2020.</w:t>
      </w:r>
    </w:p>
    <w:p w14:paraId="1B62F335" w14:textId="77777777" w:rsidR="009B74E5" w:rsidRPr="009B74E5" w:rsidRDefault="009B74E5" w:rsidP="009B74E5">
      <w:pPr>
        <w:spacing w:after="0" w:line="240" w:lineRule="auto"/>
        <w:contextualSpacing/>
        <w:jc w:val="both"/>
        <w:rPr>
          <w:rFonts w:ascii="Bookman Old Style" w:eastAsia="Times New Roman" w:hAnsi="Bookman Old Style" w:cs="Arial"/>
          <w:spacing w:val="-5"/>
          <w:sz w:val="24"/>
          <w:szCs w:val="24"/>
        </w:rPr>
      </w:pPr>
    </w:p>
    <w:p w14:paraId="177ED951" w14:textId="6288F5D0" w:rsidR="00A33677" w:rsidRPr="00A33677" w:rsidRDefault="00A33677" w:rsidP="00A24776">
      <w:pPr>
        <w:pStyle w:val="Ttulo2"/>
        <w:numPr>
          <w:ilvl w:val="0"/>
          <w:numId w:val="31"/>
        </w:numPr>
        <w:rPr>
          <w:rFonts w:ascii="Bookman Old Style" w:hAnsi="Bookman Old Style" w:cs="Arial"/>
          <w:b w:val="0"/>
          <w:spacing w:val="-5"/>
        </w:rPr>
      </w:pPr>
      <w:r w:rsidRPr="00A24776">
        <w:rPr>
          <w:rFonts w:ascii="Bookman Old Style" w:hAnsi="Bookman Old Style"/>
          <w:color w:val="auto"/>
        </w:rPr>
        <w:t>RECURSO DE REPOSICIÓN</w:t>
      </w:r>
    </w:p>
    <w:p w14:paraId="7863C90C" w14:textId="77777777" w:rsidR="00A33677" w:rsidRPr="00A33677" w:rsidRDefault="00A33677" w:rsidP="007F2AFE">
      <w:pPr>
        <w:spacing w:after="0" w:line="240" w:lineRule="auto"/>
        <w:ind w:right="-142"/>
        <w:contextualSpacing/>
        <w:jc w:val="both"/>
        <w:rPr>
          <w:rFonts w:ascii="Bookman Old Style" w:eastAsia="Times New Roman" w:hAnsi="Bookman Old Style" w:cs="Arial"/>
          <w:b/>
          <w:spacing w:val="-5"/>
          <w:sz w:val="24"/>
          <w:szCs w:val="24"/>
        </w:rPr>
      </w:pPr>
    </w:p>
    <w:p w14:paraId="2724BC49" w14:textId="77777777" w:rsidR="00A33677" w:rsidRDefault="00A33677" w:rsidP="007F2AFE">
      <w:pPr>
        <w:spacing w:after="0" w:line="240" w:lineRule="auto"/>
        <w:ind w:right="-142"/>
        <w:contextualSpacing/>
        <w:jc w:val="both"/>
        <w:rPr>
          <w:rFonts w:ascii="Bookman Old Style" w:eastAsia="Times New Roman" w:hAnsi="Bookman Old Style" w:cs="Arial"/>
          <w:b/>
          <w:spacing w:val="-5"/>
          <w:sz w:val="24"/>
          <w:szCs w:val="24"/>
        </w:rPr>
      </w:pPr>
      <w:r w:rsidRPr="00A33677">
        <w:rPr>
          <w:rFonts w:ascii="Bookman Old Style" w:eastAsia="Times New Roman" w:hAnsi="Bookman Old Style" w:cs="Arial"/>
          <w:b/>
          <w:spacing w:val="-5"/>
          <w:sz w:val="24"/>
          <w:szCs w:val="24"/>
        </w:rPr>
        <w:t xml:space="preserve">1. La admisibilidad del recurso </w:t>
      </w:r>
    </w:p>
    <w:p w14:paraId="4757F7CA" w14:textId="77777777" w:rsidR="00A33677" w:rsidRPr="00A33677" w:rsidRDefault="00A33677" w:rsidP="007F2AFE">
      <w:pPr>
        <w:spacing w:after="0" w:line="240" w:lineRule="auto"/>
        <w:ind w:right="-142"/>
        <w:contextualSpacing/>
        <w:jc w:val="both"/>
        <w:rPr>
          <w:rFonts w:ascii="Bookman Old Style" w:eastAsia="Times New Roman" w:hAnsi="Bookman Old Style" w:cs="Arial"/>
          <w:b/>
          <w:spacing w:val="-5"/>
          <w:sz w:val="24"/>
          <w:szCs w:val="24"/>
        </w:rPr>
      </w:pPr>
    </w:p>
    <w:p w14:paraId="14C9CDDD" w14:textId="40A9E62D" w:rsidR="00A33677" w:rsidRDefault="00A33677" w:rsidP="007F2AFE">
      <w:pPr>
        <w:spacing w:after="0" w:line="240" w:lineRule="auto"/>
        <w:contextualSpacing/>
        <w:jc w:val="both"/>
        <w:rPr>
          <w:rFonts w:ascii="Bookman Old Style" w:eastAsia="Times New Roman" w:hAnsi="Bookman Old Style" w:cs="Arial"/>
          <w:spacing w:val="-5"/>
          <w:sz w:val="24"/>
          <w:szCs w:val="24"/>
        </w:rPr>
      </w:pPr>
      <w:r w:rsidRPr="00A33677">
        <w:rPr>
          <w:rFonts w:ascii="Bookman Old Style" w:eastAsia="Times New Roman" w:hAnsi="Bookman Old Style" w:cs="Arial"/>
          <w:spacing w:val="-5"/>
          <w:sz w:val="24"/>
          <w:szCs w:val="24"/>
        </w:rPr>
        <w:t>Mediante escrito radicado en esta C</w:t>
      </w:r>
      <w:r w:rsidR="00EB3EAB">
        <w:rPr>
          <w:rFonts w:ascii="Bookman Old Style" w:eastAsia="Times New Roman" w:hAnsi="Bookman Old Style" w:cs="Arial"/>
          <w:spacing w:val="-5"/>
          <w:sz w:val="24"/>
          <w:szCs w:val="24"/>
        </w:rPr>
        <w:t xml:space="preserve">omisión a través de </w:t>
      </w:r>
      <w:r w:rsidR="00F5339F">
        <w:rPr>
          <w:rFonts w:ascii="Bookman Old Style" w:eastAsia="Times New Roman" w:hAnsi="Bookman Old Style" w:cs="Arial"/>
          <w:spacing w:val="-5"/>
          <w:sz w:val="24"/>
          <w:szCs w:val="24"/>
        </w:rPr>
        <w:t xml:space="preserve">comunicación </w:t>
      </w:r>
      <w:r w:rsidRPr="00A33677">
        <w:rPr>
          <w:rFonts w:ascii="Bookman Old Style" w:eastAsia="Times New Roman" w:hAnsi="Bookman Old Style" w:cs="Arial"/>
          <w:spacing w:val="-5"/>
          <w:sz w:val="24"/>
          <w:szCs w:val="24"/>
        </w:rPr>
        <w:t xml:space="preserve">con radicado </w:t>
      </w:r>
      <w:r w:rsidRPr="00AF4C82">
        <w:rPr>
          <w:rFonts w:ascii="Bookman Old Style" w:eastAsia="Times New Roman" w:hAnsi="Bookman Old Style" w:cs="Arial"/>
          <w:spacing w:val="-5"/>
          <w:sz w:val="24"/>
          <w:szCs w:val="24"/>
        </w:rPr>
        <w:t xml:space="preserve">número </w:t>
      </w:r>
      <w:r w:rsidR="005021EF" w:rsidRPr="00CE3D8E">
        <w:rPr>
          <w:rFonts w:ascii="Bookman Old Style" w:eastAsia="Times New Roman" w:hAnsi="Bookman Old Style" w:cs="Arial"/>
          <w:spacing w:val="-5"/>
          <w:sz w:val="24"/>
          <w:szCs w:val="24"/>
        </w:rPr>
        <w:t>E-2020</w:t>
      </w:r>
      <w:r w:rsidRPr="00CE3D8E">
        <w:rPr>
          <w:rFonts w:ascii="Bookman Old Style" w:eastAsia="Times New Roman" w:hAnsi="Bookman Old Style" w:cs="Arial"/>
          <w:spacing w:val="-5"/>
          <w:sz w:val="24"/>
          <w:szCs w:val="24"/>
        </w:rPr>
        <w:t>-</w:t>
      </w:r>
      <w:r w:rsidR="00F5339F" w:rsidRPr="00CE3D8E">
        <w:rPr>
          <w:rFonts w:ascii="Bookman Old Style" w:eastAsia="Times New Roman" w:hAnsi="Bookman Old Style" w:cs="Arial"/>
          <w:spacing w:val="-5"/>
          <w:sz w:val="24"/>
          <w:szCs w:val="24"/>
        </w:rPr>
        <w:t>00</w:t>
      </w:r>
      <w:r w:rsidR="00AA61C9" w:rsidRPr="00CE3D8E">
        <w:rPr>
          <w:rFonts w:ascii="Bookman Old Style" w:eastAsia="Times New Roman" w:hAnsi="Bookman Old Style" w:cs="Arial"/>
          <w:spacing w:val="-5"/>
          <w:sz w:val="24"/>
          <w:szCs w:val="24"/>
        </w:rPr>
        <w:t>8724</w:t>
      </w:r>
      <w:r w:rsidR="00E01073" w:rsidRPr="00CE3D8E">
        <w:rPr>
          <w:rFonts w:ascii="Bookman Old Style" w:eastAsia="Times New Roman" w:hAnsi="Bookman Old Style" w:cs="Arial"/>
          <w:spacing w:val="-5"/>
          <w:sz w:val="24"/>
          <w:szCs w:val="24"/>
        </w:rPr>
        <w:t xml:space="preserve"> </w:t>
      </w:r>
      <w:r w:rsidRPr="00CE3D8E">
        <w:rPr>
          <w:rFonts w:ascii="Bookman Old Style" w:eastAsia="Times New Roman" w:hAnsi="Bookman Old Style" w:cs="Arial"/>
          <w:spacing w:val="-5"/>
          <w:sz w:val="24"/>
          <w:szCs w:val="24"/>
        </w:rPr>
        <w:t xml:space="preserve">de </w:t>
      </w:r>
      <w:r w:rsidR="00AA61C9" w:rsidRPr="00CE3D8E">
        <w:rPr>
          <w:rFonts w:ascii="Bookman Old Style" w:eastAsia="Times New Roman" w:hAnsi="Bookman Old Style" w:cs="Arial"/>
          <w:spacing w:val="-5"/>
          <w:sz w:val="24"/>
          <w:szCs w:val="24"/>
        </w:rPr>
        <w:t>27</w:t>
      </w:r>
      <w:r w:rsidRPr="00CE3D8E">
        <w:rPr>
          <w:rFonts w:ascii="Bookman Old Style" w:eastAsia="Times New Roman" w:hAnsi="Bookman Old Style" w:cs="Arial"/>
          <w:spacing w:val="-5"/>
          <w:sz w:val="24"/>
          <w:szCs w:val="24"/>
        </w:rPr>
        <w:t xml:space="preserve"> de </w:t>
      </w:r>
      <w:r w:rsidR="00AA61C9" w:rsidRPr="00CE3D8E">
        <w:rPr>
          <w:rFonts w:ascii="Bookman Old Style" w:eastAsia="Times New Roman" w:hAnsi="Bookman Old Style" w:cs="Arial"/>
          <w:spacing w:val="-5"/>
          <w:sz w:val="24"/>
          <w:szCs w:val="24"/>
        </w:rPr>
        <w:t>julio</w:t>
      </w:r>
      <w:r w:rsidR="005021EF" w:rsidRPr="00CE3D8E">
        <w:rPr>
          <w:rFonts w:ascii="Bookman Old Style" w:eastAsia="Times New Roman" w:hAnsi="Bookman Old Style" w:cs="Arial"/>
          <w:spacing w:val="-5"/>
          <w:sz w:val="24"/>
          <w:szCs w:val="24"/>
        </w:rPr>
        <w:t xml:space="preserve"> de 2020</w:t>
      </w:r>
      <w:r w:rsidRPr="00CE3D8E">
        <w:rPr>
          <w:rFonts w:ascii="Bookman Old Style" w:eastAsia="Times New Roman" w:hAnsi="Bookman Old Style" w:cs="Arial"/>
          <w:spacing w:val="-5"/>
          <w:sz w:val="24"/>
          <w:szCs w:val="24"/>
        </w:rPr>
        <w:t>,</w:t>
      </w:r>
      <w:r w:rsidRPr="00AF4C82">
        <w:rPr>
          <w:rFonts w:ascii="Bookman Old Style" w:eastAsia="Times New Roman" w:hAnsi="Bookman Old Style" w:cs="Arial"/>
          <w:spacing w:val="-5"/>
          <w:sz w:val="24"/>
          <w:szCs w:val="24"/>
        </w:rPr>
        <w:t xml:space="preserve"> el representante</w:t>
      </w:r>
      <w:r w:rsidRPr="00A33677">
        <w:rPr>
          <w:rFonts w:ascii="Bookman Old Style" w:eastAsia="Times New Roman" w:hAnsi="Bookman Old Style" w:cs="Arial"/>
          <w:spacing w:val="-5"/>
          <w:sz w:val="24"/>
          <w:szCs w:val="24"/>
        </w:rPr>
        <w:t xml:space="preserve"> legal de la empresa </w:t>
      </w:r>
      <w:proofErr w:type="spellStart"/>
      <w:r w:rsidR="00E01073">
        <w:rPr>
          <w:rFonts w:ascii="Bookman Old Style" w:eastAsia="Times New Roman" w:hAnsi="Bookman Old Style" w:cs="Arial"/>
          <w:spacing w:val="-5"/>
          <w:sz w:val="24"/>
          <w:szCs w:val="24"/>
        </w:rPr>
        <w:t>Due</w:t>
      </w:r>
      <w:proofErr w:type="spellEnd"/>
      <w:r w:rsidR="00E01073">
        <w:rPr>
          <w:rFonts w:ascii="Bookman Old Style" w:eastAsia="Times New Roman" w:hAnsi="Bookman Old Style" w:cs="Arial"/>
          <w:spacing w:val="-5"/>
          <w:sz w:val="24"/>
          <w:szCs w:val="24"/>
        </w:rPr>
        <w:t xml:space="preserve"> Capital and </w:t>
      </w:r>
      <w:proofErr w:type="spellStart"/>
      <w:r w:rsidR="00E01073">
        <w:rPr>
          <w:rFonts w:ascii="Bookman Old Style" w:eastAsia="Times New Roman" w:hAnsi="Bookman Old Style" w:cs="Arial"/>
          <w:spacing w:val="-5"/>
          <w:sz w:val="24"/>
          <w:szCs w:val="24"/>
        </w:rPr>
        <w:t>Services</w:t>
      </w:r>
      <w:proofErr w:type="spellEnd"/>
      <w:r w:rsidR="005021EF">
        <w:rPr>
          <w:rFonts w:ascii="Bookman Old Style" w:eastAsia="Times New Roman" w:hAnsi="Bookman Old Style" w:cs="Arial"/>
          <w:spacing w:val="-5"/>
          <w:sz w:val="24"/>
          <w:szCs w:val="24"/>
        </w:rPr>
        <w:t xml:space="preserve"> S.A.</w:t>
      </w:r>
      <w:r w:rsidR="00E01073">
        <w:rPr>
          <w:rFonts w:ascii="Bookman Old Style" w:eastAsia="Times New Roman" w:hAnsi="Bookman Old Style" w:cs="Arial"/>
          <w:spacing w:val="-5"/>
          <w:sz w:val="24"/>
          <w:szCs w:val="24"/>
        </w:rPr>
        <w:t>S</w:t>
      </w:r>
      <w:r w:rsidR="008D3777">
        <w:rPr>
          <w:rFonts w:ascii="Bookman Old Style" w:eastAsia="Times New Roman" w:hAnsi="Bookman Old Style" w:cs="Arial"/>
          <w:spacing w:val="-5"/>
          <w:sz w:val="24"/>
          <w:szCs w:val="24"/>
        </w:rPr>
        <w:t>.</w:t>
      </w:r>
      <w:r w:rsidRPr="00A33677">
        <w:rPr>
          <w:rFonts w:ascii="Bookman Old Style" w:eastAsia="Times New Roman" w:hAnsi="Bookman Old Style" w:cs="Arial"/>
          <w:spacing w:val="-5"/>
          <w:sz w:val="24"/>
          <w:szCs w:val="24"/>
        </w:rPr>
        <w:t xml:space="preserve"> interpuso recurso de reposición contra la Resolución CREG </w:t>
      </w:r>
      <w:r w:rsidR="00E01073">
        <w:rPr>
          <w:rFonts w:ascii="Bookman Old Style" w:eastAsia="Times New Roman" w:hAnsi="Bookman Old Style" w:cs="Arial"/>
          <w:spacing w:val="-5"/>
          <w:sz w:val="24"/>
          <w:szCs w:val="24"/>
        </w:rPr>
        <w:t>124</w:t>
      </w:r>
      <w:r w:rsidR="005021EF">
        <w:rPr>
          <w:rFonts w:ascii="Bookman Old Style" w:eastAsia="Times New Roman" w:hAnsi="Bookman Old Style" w:cs="Arial"/>
          <w:spacing w:val="-5"/>
          <w:sz w:val="24"/>
          <w:szCs w:val="24"/>
        </w:rPr>
        <w:t xml:space="preserve"> de 2020</w:t>
      </w:r>
      <w:r w:rsidRPr="00A33677">
        <w:rPr>
          <w:rFonts w:ascii="Bookman Old Style" w:eastAsia="Times New Roman" w:hAnsi="Bookman Old Style" w:cs="Arial"/>
          <w:spacing w:val="-5"/>
          <w:sz w:val="24"/>
          <w:szCs w:val="24"/>
        </w:rPr>
        <w:t>, para lo cual realiza las siguientes solicitudes:</w:t>
      </w:r>
    </w:p>
    <w:p w14:paraId="7A728554" w14:textId="77777777" w:rsidR="00DA739E" w:rsidRPr="00DA739E" w:rsidRDefault="00DA739E" w:rsidP="00DA739E">
      <w:pPr>
        <w:spacing w:after="0" w:line="240" w:lineRule="auto"/>
        <w:contextualSpacing/>
        <w:jc w:val="both"/>
        <w:rPr>
          <w:rFonts w:ascii="Bookman Old Style" w:eastAsia="MS Mincho" w:hAnsi="Bookman Old Style" w:cs="Arial"/>
          <w:i/>
          <w:lang w:val="es-ES"/>
        </w:rPr>
      </w:pPr>
    </w:p>
    <w:p w14:paraId="238D0D83" w14:textId="4F4D654E" w:rsidR="00685C88" w:rsidRPr="008D3777" w:rsidRDefault="00196B07" w:rsidP="00EB5610">
      <w:pPr>
        <w:spacing w:after="0" w:line="240" w:lineRule="auto"/>
        <w:ind w:left="360"/>
        <w:contextualSpacing/>
        <w:jc w:val="both"/>
        <w:rPr>
          <w:rFonts w:ascii="Bookman Old Style" w:eastAsia="MS Mincho" w:hAnsi="Bookman Old Style" w:cs="Arial"/>
          <w:i/>
          <w:iCs/>
          <w:sz w:val="20"/>
          <w:szCs w:val="20"/>
        </w:rPr>
      </w:pPr>
      <w:r w:rsidRPr="008D3777">
        <w:rPr>
          <w:rFonts w:ascii="Bookman Old Style" w:eastAsia="MS Mincho" w:hAnsi="Bookman Old Style" w:cs="Arial"/>
          <w:i/>
          <w:iCs/>
          <w:sz w:val="20"/>
          <w:szCs w:val="20"/>
        </w:rPr>
        <w:t>“</w:t>
      </w:r>
      <w:r w:rsidR="00EB5610" w:rsidRPr="008D3777">
        <w:rPr>
          <w:rFonts w:ascii="Bookman Old Style" w:eastAsia="MS Mincho" w:hAnsi="Bookman Old Style" w:cs="Arial"/>
          <w:i/>
          <w:iCs/>
          <w:sz w:val="20"/>
          <w:szCs w:val="20"/>
        </w:rPr>
        <w:t xml:space="preserve">(…) </w:t>
      </w:r>
      <w:r w:rsidR="00685C88" w:rsidRPr="008D3777">
        <w:rPr>
          <w:rFonts w:ascii="Bookman Old Style" w:eastAsia="MS Mincho" w:hAnsi="Bookman Old Style" w:cs="Arial"/>
          <w:i/>
          <w:iCs/>
          <w:sz w:val="20"/>
          <w:szCs w:val="20"/>
        </w:rPr>
        <w:t xml:space="preserve">de manera respetuosa solicito se reponga la Resolución CREG 124 del 18 de junio de 2020 “Por la cual se determina el cargo máximo de generación para el mercado relevante de comercialización de la cabecera municipal de Mitú en el departamento del Vaupés” </w:t>
      </w:r>
      <w:proofErr w:type="gramStart"/>
      <w:r w:rsidR="00685C88" w:rsidRPr="008D3777">
        <w:rPr>
          <w:rFonts w:ascii="Bookman Old Style" w:eastAsia="MS Mincho" w:hAnsi="Bookman Old Style" w:cs="Arial"/>
          <w:i/>
          <w:iCs/>
          <w:sz w:val="20"/>
          <w:szCs w:val="20"/>
        </w:rPr>
        <w:t>y</w:t>
      </w:r>
      <w:proofErr w:type="gramEnd"/>
      <w:r w:rsidR="00685C88" w:rsidRPr="008D3777">
        <w:rPr>
          <w:rFonts w:ascii="Bookman Old Style" w:eastAsia="MS Mincho" w:hAnsi="Bookman Old Style" w:cs="Arial"/>
          <w:i/>
          <w:iCs/>
          <w:sz w:val="20"/>
          <w:szCs w:val="20"/>
        </w:rPr>
        <w:t xml:space="preserve"> en consecuencia:</w:t>
      </w:r>
    </w:p>
    <w:p w14:paraId="754C27B0" w14:textId="77777777" w:rsidR="00685C88" w:rsidRPr="008D3777" w:rsidRDefault="00685C88" w:rsidP="00EB5610">
      <w:pPr>
        <w:spacing w:after="0" w:line="240" w:lineRule="auto"/>
        <w:contextualSpacing/>
        <w:jc w:val="both"/>
        <w:rPr>
          <w:rFonts w:ascii="Bookman Old Style" w:eastAsia="MS Mincho" w:hAnsi="Bookman Old Style" w:cs="Arial"/>
          <w:i/>
          <w:iCs/>
          <w:sz w:val="20"/>
          <w:szCs w:val="20"/>
        </w:rPr>
      </w:pPr>
    </w:p>
    <w:p w14:paraId="059B879F" w14:textId="4D72D0B6" w:rsidR="00685C88" w:rsidRPr="008D3777" w:rsidRDefault="00685C88" w:rsidP="00EB5610">
      <w:pPr>
        <w:numPr>
          <w:ilvl w:val="0"/>
          <w:numId w:val="26"/>
        </w:numPr>
        <w:spacing w:after="0" w:line="240" w:lineRule="auto"/>
        <w:contextualSpacing/>
        <w:jc w:val="both"/>
        <w:rPr>
          <w:rFonts w:ascii="Bookman Old Style" w:eastAsia="MS Mincho" w:hAnsi="Bookman Old Style" w:cs="Arial"/>
          <w:i/>
          <w:iCs/>
          <w:sz w:val="20"/>
          <w:szCs w:val="20"/>
        </w:rPr>
      </w:pPr>
      <w:bookmarkStart w:id="1" w:name="_Hlk52893096"/>
      <w:r w:rsidRPr="008D3777">
        <w:rPr>
          <w:rFonts w:ascii="Bookman Old Style" w:eastAsia="MS Mincho" w:hAnsi="Bookman Old Style" w:cs="Arial"/>
          <w:i/>
          <w:iCs/>
          <w:sz w:val="20"/>
          <w:szCs w:val="20"/>
        </w:rPr>
        <w:t xml:space="preserve">Determinar el Cargo Máximo de Generación para el parque solar fotovoltaico </w:t>
      </w:r>
      <w:proofErr w:type="spellStart"/>
      <w:r w:rsidRPr="008D3777">
        <w:rPr>
          <w:rFonts w:ascii="Bookman Old Style" w:eastAsia="MS Mincho" w:hAnsi="Bookman Old Style" w:cs="Arial"/>
          <w:i/>
          <w:iCs/>
          <w:sz w:val="20"/>
          <w:szCs w:val="20"/>
        </w:rPr>
        <w:t>Matakavi</w:t>
      </w:r>
      <w:proofErr w:type="spellEnd"/>
      <w:r w:rsidRPr="008D3777">
        <w:rPr>
          <w:rFonts w:ascii="Bookman Old Style" w:eastAsia="MS Mincho" w:hAnsi="Bookman Old Style" w:cs="Arial"/>
          <w:i/>
          <w:iCs/>
          <w:sz w:val="20"/>
          <w:szCs w:val="20"/>
        </w:rPr>
        <w:t xml:space="preserve"> de 7.6MWp con acumulación de 8.8 </w:t>
      </w:r>
      <w:proofErr w:type="spellStart"/>
      <w:r w:rsidRPr="008D3777">
        <w:rPr>
          <w:rFonts w:ascii="Bookman Old Style" w:eastAsia="MS Mincho" w:hAnsi="Bookman Old Style" w:cs="Arial"/>
          <w:i/>
          <w:iCs/>
          <w:sz w:val="20"/>
          <w:szCs w:val="20"/>
        </w:rPr>
        <w:t>MWh</w:t>
      </w:r>
      <w:proofErr w:type="spellEnd"/>
      <w:r w:rsidRPr="008D3777">
        <w:rPr>
          <w:rFonts w:ascii="Bookman Old Style" w:eastAsia="MS Mincho" w:hAnsi="Bookman Old Style" w:cs="Arial"/>
          <w:i/>
          <w:iCs/>
          <w:sz w:val="20"/>
          <w:szCs w:val="20"/>
        </w:rPr>
        <w:t xml:space="preserve"> desarrollado por DUE Capital and </w:t>
      </w:r>
      <w:proofErr w:type="spellStart"/>
      <w:r w:rsidRPr="008D3777">
        <w:rPr>
          <w:rFonts w:ascii="Bookman Old Style" w:eastAsia="MS Mincho" w:hAnsi="Bookman Old Style" w:cs="Arial"/>
          <w:i/>
          <w:iCs/>
          <w:sz w:val="20"/>
          <w:szCs w:val="20"/>
        </w:rPr>
        <w:t>Services</w:t>
      </w:r>
      <w:proofErr w:type="spellEnd"/>
      <w:r w:rsidRPr="008D3777">
        <w:rPr>
          <w:rFonts w:ascii="Bookman Old Style" w:eastAsia="MS Mincho" w:hAnsi="Bookman Old Style" w:cs="Arial"/>
          <w:i/>
          <w:iCs/>
          <w:sz w:val="20"/>
          <w:szCs w:val="20"/>
        </w:rPr>
        <w:t xml:space="preserve"> S.A</w:t>
      </w:r>
      <w:bookmarkEnd w:id="1"/>
      <w:r w:rsidRPr="008D3777">
        <w:rPr>
          <w:rFonts w:ascii="Bookman Old Style" w:eastAsia="MS Mincho" w:hAnsi="Bookman Old Style" w:cs="Arial"/>
          <w:i/>
          <w:iCs/>
          <w:sz w:val="20"/>
          <w:szCs w:val="20"/>
        </w:rPr>
        <w:t>.S.</w:t>
      </w:r>
    </w:p>
    <w:p w14:paraId="3AAE9BD4" w14:textId="77777777" w:rsidR="00685C88" w:rsidRPr="008D3777" w:rsidRDefault="00685C88" w:rsidP="00EB5610">
      <w:pPr>
        <w:spacing w:after="0" w:line="240" w:lineRule="auto"/>
        <w:contextualSpacing/>
        <w:jc w:val="both"/>
        <w:rPr>
          <w:rFonts w:ascii="Bookman Old Style" w:eastAsia="MS Mincho" w:hAnsi="Bookman Old Style" w:cs="Arial"/>
          <w:i/>
          <w:iCs/>
          <w:sz w:val="20"/>
          <w:szCs w:val="20"/>
        </w:rPr>
      </w:pPr>
    </w:p>
    <w:p w14:paraId="579CEF47" w14:textId="28B4DC73" w:rsidR="00685C88" w:rsidRPr="008D3777" w:rsidRDefault="00685C88" w:rsidP="00EB5610">
      <w:pPr>
        <w:numPr>
          <w:ilvl w:val="0"/>
          <w:numId w:val="26"/>
        </w:numPr>
        <w:spacing w:after="0" w:line="240" w:lineRule="auto"/>
        <w:contextualSpacing/>
        <w:jc w:val="both"/>
        <w:rPr>
          <w:rFonts w:ascii="Bookman Old Style" w:eastAsia="MS Mincho" w:hAnsi="Bookman Old Style" w:cs="Arial"/>
          <w:i/>
          <w:iCs/>
          <w:sz w:val="20"/>
          <w:szCs w:val="20"/>
        </w:rPr>
      </w:pPr>
      <w:r w:rsidRPr="008D3777">
        <w:rPr>
          <w:rFonts w:ascii="Bookman Old Style" w:eastAsia="MS Mincho" w:hAnsi="Bookman Old Style" w:cs="Arial"/>
          <w:i/>
          <w:iCs/>
          <w:sz w:val="20"/>
          <w:szCs w:val="20"/>
        </w:rPr>
        <w:t xml:space="preserve">Modificar </w:t>
      </w:r>
      <w:proofErr w:type="gramStart"/>
      <w:r w:rsidRPr="008D3777">
        <w:rPr>
          <w:rFonts w:ascii="Bookman Old Style" w:eastAsia="MS Mincho" w:hAnsi="Bookman Old Style" w:cs="Arial"/>
          <w:i/>
          <w:iCs/>
          <w:sz w:val="20"/>
          <w:szCs w:val="20"/>
        </w:rPr>
        <w:t>los</w:t>
      </w:r>
      <w:r w:rsidR="00196B07" w:rsidRPr="008D3777">
        <w:rPr>
          <w:rFonts w:ascii="Bookman Old Style" w:eastAsia="MS Mincho" w:hAnsi="Bookman Old Style" w:cs="Arial"/>
          <w:i/>
          <w:iCs/>
          <w:sz w:val="20"/>
          <w:szCs w:val="20"/>
        </w:rPr>
        <w:t xml:space="preserve"> </w:t>
      </w:r>
      <w:r w:rsidRPr="008D3777">
        <w:rPr>
          <w:rFonts w:ascii="Bookman Old Style" w:eastAsia="MS Mincho" w:hAnsi="Bookman Old Style" w:cs="Arial"/>
          <w:i/>
          <w:iCs/>
          <w:sz w:val="20"/>
          <w:szCs w:val="20"/>
        </w:rPr>
        <w:t>valor</w:t>
      </w:r>
      <w:proofErr w:type="gramEnd"/>
      <w:r w:rsidRPr="008D3777">
        <w:rPr>
          <w:rFonts w:ascii="Bookman Old Style" w:eastAsia="MS Mincho" w:hAnsi="Bookman Old Style" w:cs="Arial"/>
          <w:i/>
          <w:iCs/>
          <w:sz w:val="20"/>
          <w:szCs w:val="20"/>
        </w:rPr>
        <w:t xml:space="preserve"> indicados en el artículo 1 de conformidad con las consideraciones indicadas en los numerales 4.1 a 4.7 de este documento.</w:t>
      </w:r>
    </w:p>
    <w:p w14:paraId="3A9459C6" w14:textId="77777777" w:rsidR="00685C88" w:rsidRPr="008D3777" w:rsidRDefault="00685C88" w:rsidP="00EB5610">
      <w:pPr>
        <w:spacing w:after="0" w:line="240" w:lineRule="auto"/>
        <w:contextualSpacing/>
        <w:jc w:val="both"/>
        <w:rPr>
          <w:rFonts w:ascii="Bookman Old Style" w:eastAsia="MS Mincho" w:hAnsi="Bookman Old Style" w:cs="Arial"/>
          <w:i/>
          <w:iCs/>
          <w:sz w:val="20"/>
          <w:szCs w:val="20"/>
        </w:rPr>
      </w:pPr>
    </w:p>
    <w:p w14:paraId="6844D8BE" w14:textId="6179C208" w:rsidR="00685C88" w:rsidRPr="008D3777" w:rsidRDefault="00685C88" w:rsidP="00EB5610">
      <w:pPr>
        <w:numPr>
          <w:ilvl w:val="0"/>
          <w:numId w:val="26"/>
        </w:numPr>
        <w:spacing w:after="0" w:line="240" w:lineRule="auto"/>
        <w:contextualSpacing/>
        <w:jc w:val="both"/>
        <w:rPr>
          <w:rFonts w:ascii="Bookman Old Style" w:eastAsia="MS Mincho" w:hAnsi="Bookman Old Style" w:cs="Arial"/>
          <w:i/>
          <w:iCs/>
          <w:sz w:val="20"/>
          <w:szCs w:val="20"/>
        </w:rPr>
      </w:pPr>
      <w:bookmarkStart w:id="2" w:name="_Hlk52893296"/>
      <w:r w:rsidRPr="008D3777">
        <w:rPr>
          <w:rFonts w:ascii="Bookman Old Style" w:eastAsia="MS Mincho" w:hAnsi="Bookman Old Style" w:cs="Arial"/>
          <w:i/>
          <w:iCs/>
          <w:sz w:val="20"/>
          <w:szCs w:val="20"/>
        </w:rPr>
        <w:t>Eliminar de la Fórmula de Actualización de Cargos Máximos de Generación la limitación impuesta a la proporción de la energía entregada al sistema de distribución por la planta de generación y por el sistema de almacenamiento.</w:t>
      </w:r>
      <w:r w:rsidR="00196B07" w:rsidRPr="008D3777">
        <w:rPr>
          <w:rFonts w:ascii="Bookman Old Style" w:eastAsia="MS Mincho" w:hAnsi="Bookman Old Style" w:cs="Arial"/>
          <w:i/>
          <w:iCs/>
          <w:sz w:val="20"/>
          <w:szCs w:val="20"/>
        </w:rPr>
        <w:t>”</w:t>
      </w:r>
      <w:r w:rsidR="003B2031" w:rsidRPr="008D3777">
        <w:rPr>
          <w:rFonts w:ascii="Bookman Old Style" w:eastAsia="MS Mincho" w:hAnsi="Bookman Old Style" w:cs="Arial"/>
          <w:i/>
          <w:iCs/>
          <w:sz w:val="20"/>
          <w:szCs w:val="20"/>
        </w:rPr>
        <w:t xml:space="preserve"> (sic)</w:t>
      </w:r>
    </w:p>
    <w:bookmarkEnd w:id="2"/>
    <w:p w14:paraId="01205328" w14:textId="77777777" w:rsidR="00685C88" w:rsidRPr="00685C88" w:rsidRDefault="00685C88" w:rsidP="007F2AFE">
      <w:pPr>
        <w:spacing w:after="0" w:line="240" w:lineRule="auto"/>
        <w:contextualSpacing/>
        <w:jc w:val="both"/>
        <w:rPr>
          <w:rFonts w:ascii="Bookman Old Style" w:eastAsia="MS Mincho" w:hAnsi="Bookman Old Style" w:cs="Arial"/>
          <w:i/>
        </w:rPr>
      </w:pPr>
    </w:p>
    <w:p w14:paraId="75095F3D" w14:textId="33F5E662" w:rsidR="00F5339F" w:rsidRPr="00F5339F" w:rsidRDefault="002E37BA" w:rsidP="007F2AFE">
      <w:pPr>
        <w:spacing w:after="0" w:line="240" w:lineRule="auto"/>
        <w:contextualSpacing/>
        <w:jc w:val="both"/>
        <w:rPr>
          <w:rFonts w:ascii="Bookman Old Style" w:eastAsia="Times New Roman" w:hAnsi="Bookman Old Style" w:cs="Arial"/>
          <w:spacing w:val="-5"/>
          <w:sz w:val="24"/>
          <w:szCs w:val="24"/>
        </w:rPr>
      </w:pPr>
      <w:r>
        <w:rPr>
          <w:rFonts w:ascii="Bookman Old Style" w:eastAsia="Times New Roman" w:hAnsi="Bookman Old Style" w:cs="Arial"/>
          <w:spacing w:val="-5"/>
          <w:sz w:val="24"/>
          <w:szCs w:val="24"/>
        </w:rPr>
        <w:t xml:space="preserve">La Resolución </w:t>
      </w:r>
      <w:r w:rsidRPr="00AF4C82">
        <w:rPr>
          <w:rFonts w:ascii="Bookman Old Style" w:eastAsia="Times New Roman" w:hAnsi="Bookman Old Style" w:cs="Arial"/>
          <w:spacing w:val="-5"/>
          <w:sz w:val="24"/>
          <w:szCs w:val="24"/>
        </w:rPr>
        <w:t xml:space="preserve">CREG </w:t>
      </w:r>
      <w:r w:rsidR="00E01073">
        <w:rPr>
          <w:rFonts w:ascii="Bookman Old Style" w:eastAsia="Times New Roman" w:hAnsi="Bookman Old Style" w:cs="Arial"/>
          <w:spacing w:val="-5"/>
          <w:sz w:val="24"/>
          <w:szCs w:val="24"/>
        </w:rPr>
        <w:t>124</w:t>
      </w:r>
      <w:r w:rsidR="00F5339F" w:rsidRPr="00AF4C82">
        <w:rPr>
          <w:rFonts w:ascii="Bookman Old Style" w:eastAsia="Times New Roman" w:hAnsi="Bookman Old Style" w:cs="Arial"/>
          <w:spacing w:val="-5"/>
          <w:sz w:val="24"/>
          <w:szCs w:val="24"/>
        </w:rPr>
        <w:t xml:space="preserve"> </w:t>
      </w:r>
      <w:r w:rsidRPr="00AF4C82">
        <w:rPr>
          <w:rFonts w:ascii="Bookman Old Style" w:eastAsia="Times New Roman" w:hAnsi="Bookman Old Style" w:cs="Arial"/>
          <w:spacing w:val="-5"/>
          <w:sz w:val="24"/>
          <w:szCs w:val="24"/>
        </w:rPr>
        <w:t>de 2020</w:t>
      </w:r>
      <w:r w:rsidR="00F5339F" w:rsidRPr="00AF4C82">
        <w:rPr>
          <w:rFonts w:ascii="Bookman Old Style" w:eastAsia="Times New Roman" w:hAnsi="Bookman Old Style" w:cs="Arial"/>
          <w:spacing w:val="-5"/>
          <w:sz w:val="24"/>
          <w:szCs w:val="24"/>
        </w:rPr>
        <w:t xml:space="preserve"> fue</w:t>
      </w:r>
      <w:r w:rsidR="00F5339F" w:rsidRPr="00F5339F">
        <w:rPr>
          <w:rFonts w:ascii="Bookman Old Style" w:eastAsia="Times New Roman" w:hAnsi="Bookman Old Style" w:cs="Arial"/>
          <w:spacing w:val="-5"/>
          <w:sz w:val="24"/>
          <w:szCs w:val="24"/>
        </w:rPr>
        <w:t xml:space="preserve"> notificada</w:t>
      </w:r>
      <w:r w:rsidR="00892382">
        <w:rPr>
          <w:rFonts w:ascii="Bookman Old Style" w:eastAsia="Times New Roman" w:hAnsi="Bookman Old Style" w:cs="Arial"/>
          <w:spacing w:val="-5"/>
          <w:sz w:val="24"/>
          <w:szCs w:val="24"/>
        </w:rPr>
        <w:t xml:space="preserve"> electrónicamente</w:t>
      </w:r>
      <w:r w:rsidR="00F5339F" w:rsidRPr="00F5339F">
        <w:rPr>
          <w:rFonts w:ascii="Bookman Old Style" w:eastAsia="Times New Roman" w:hAnsi="Bookman Old Style" w:cs="Arial"/>
          <w:spacing w:val="-5"/>
          <w:sz w:val="24"/>
          <w:szCs w:val="24"/>
        </w:rPr>
        <w:t xml:space="preserve"> a </w:t>
      </w:r>
      <w:r w:rsidR="00892382">
        <w:rPr>
          <w:rFonts w:ascii="Bookman Old Style" w:eastAsia="Times New Roman" w:hAnsi="Bookman Old Style" w:cs="Arial"/>
          <w:spacing w:val="-5"/>
          <w:sz w:val="24"/>
          <w:szCs w:val="24"/>
        </w:rPr>
        <w:t xml:space="preserve">la </w:t>
      </w:r>
      <w:r w:rsidR="00F5339F" w:rsidRPr="00F5339F">
        <w:rPr>
          <w:rFonts w:ascii="Bookman Old Style" w:eastAsia="Times New Roman" w:hAnsi="Bookman Old Style" w:cs="Arial"/>
          <w:spacing w:val="-5"/>
          <w:sz w:val="24"/>
          <w:szCs w:val="24"/>
        </w:rPr>
        <w:t xml:space="preserve">empresa </w:t>
      </w:r>
      <w:proofErr w:type="spellStart"/>
      <w:r w:rsidR="00E01073">
        <w:rPr>
          <w:rFonts w:ascii="Bookman Old Style" w:eastAsia="Times New Roman" w:hAnsi="Bookman Old Style" w:cs="Arial"/>
          <w:spacing w:val="-5"/>
          <w:sz w:val="24"/>
          <w:szCs w:val="24"/>
        </w:rPr>
        <w:t>Due</w:t>
      </w:r>
      <w:proofErr w:type="spellEnd"/>
      <w:r w:rsidR="00E01073">
        <w:rPr>
          <w:rFonts w:ascii="Bookman Old Style" w:eastAsia="Times New Roman" w:hAnsi="Bookman Old Style" w:cs="Arial"/>
          <w:spacing w:val="-5"/>
          <w:sz w:val="24"/>
          <w:szCs w:val="24"/>
        </w:rPr>
        <w:t xml:space="preserve"> Capital and </w:t>
      </w:r>
      <w:proofErr w:type="spellStart"/>
      <w:r w:rsidR="00E01073">
        <w:rPr>
          <w:rFonts w:ascii="Bookman Old Style" w:eastAsia="Times New Roman" w:hAnsi="Bookman Old Style" w:cs="Arial"/>
          <w:spacing w:val="-5"/>
          <w:sz w:val="24"/>
          <w:szCs w:val="24"/>
        </w:rPr>
        <w:t>Services</w:t>
      </w:r>
      <w:proofErr w:type="spellEnd"/>
      <w:r w:rsidR="00EC1D37" w:rsidRPr="005961AB">
        <w:rPr>
          <w:rFonts w:ascii="Bookman Old Style" w:eastAsia="Times New Roman" w:hAnsi="Bookman Old Style" w:cs="Arial"/>
          <w:spacing w:val="-5"/>
          <w:sz w:val="24"/>
          <w:szCs w:val="24"/>
        </w:rPr>
        <w:t xml:space="preserve"> S.A.</w:t>
      </w:r>
      <w:r w:rsidR="00E01073">
        <w:rPr>
          <w:rFonts w:ascii="Bookman Old Style" w:eastAsia="Times New Roman" w:hAnsi="Bookman Old Style" w:cs="Arial"/>
          <w:spacing w:val="-5"/>
          <w:sz w:val="24"/>
          <w:szCs w:val="24"/>
        </w:rPr>
        <w:t>S</w:t>
      </w:r>
      <w:r w:rsidR="008D3777">
        <w:rPr>
          <w:rFonts w:ascii="Bookman Old Style" w:eastAsia="Times New Roman" w:hAnsi="Bookman Old Style" w:cs="Arial"/>
          <w:spacing w:val="-5"/>
          <w:sz w:val="24"/>
          <w:szCs w:val="24"/>
        </w:rPr>
        <w:t>.</w:t>
      </w:r>
      <w:r w:rsidR="00EC1D37" w:rsidRPr="005961AB">
        <w:rPr>
          <w:rFonts w:ascii="Bookman Old Style" w:eastAsia="Times New Roman" w:hAnsi="Bookman Old Style" w:cs="Arial"/>
          <w:spacing w:val="-5"/>
          <w:sz w:val="24"/>
          <w:szCs w:val="24"/>
        </w:rPr>
        <w:t xml:space="preserve"> </w:t>
      </w:r>
      <w:r w:rsidR="00F5339F" w:rsidRPr="00F5339F">
        <w:rPr>
          <w:rFonts w:ascii="Bookman Old Style" w:eastAsia="Times New Roman" w:hAnsi="Bookman Old Style" w:cs="Arial"/>
          <w:spacing w:val="-5"/>
          <w:sz w:val="24"/>
          <w:szCs w:val="24"/>
        </w:rPr>
        <w:t>media</w:t>
      </w:r>
      <w:r>
        <w:rPr>
          <w:rFonts w:ascii="Bookman Old Style" w:eastAsia="Times New Roman" w:hAnsi="Bookman Old Style" w:cs="Arial"/>
          <w:spacing w:val="-5"/>
          <w:sz w:val="24"/>
          <w:szCs w:val="24"/>
        </w:rPr>
        <w:t xml:space="preserve">nte </w:t>
      </w:r>
      <w:r w:rsidR="00892382">
        <w:rPr>
          <w:rFonts w:ascii="Bookman Old Style" w:eastAsia="Times New Roman" w:hAnsi="Bookman Old Style" w:cs="Arial"/>
          <w:spacing w:val="-5"/>
          <w:sz w:val="24"/>
          <w:szCs w:val="24"/>
        </w:rPr>
        <w:t>el</w:t>
      </w:r>
      <w:r w:rsidR="00187D75">
        <w:rPr>
          <w:rFonts w:ascii="Bookman Old Style" w:eastAsia="Times New Roman" w:hAnsi="Bookman Old Style" w:cs="Arial"/>
          <w:spacing w:val="-5"/>
          <w:sz w:val="24"/>
          <w:szCs w:val="24"/>
        </w:rPr>
        <w:t xml:space="preserve"> radicado CREG</w:t>
      </w:r>
      <w:r>
        <w:rPr>
          <w:rFonts w:ascii="Bookman Old Style" w:eastAsia="Times New Roman" w:hAnsi="Bookman Old Style" w:cs="Arial"/>
          <w:spacing w:val="-5"/>
          <w:sz w:val="24"/>
          <w:szCs w:val="24"/>
        </w:rPr>
        <w:t xml:space="preserve"> </w:t>
      </w:r>
      <w:r w:rsidRPr="00AF4C82">
        <w:rPr>
          <w:rFonts w:ascii="Bookman Old Style" w:eastAsia="Times New Roman" w:hAnsi="Bookman Old Style" w:cs="Arial"/>
          <w:spacing w:val="-5"/>
          <w:sz w:val="24"/>
          <w:szCs w:val="24"/>
        </w:rPr>
        <w:t>I-2020</w:t>
      </w:r>
      <w:r w:rsidR="00F5339F" w:rsidRPr="00AF4C82">
        <w:rPr>
          <w:rFonts w:ascii="Bookman Old Style" w:eastAsia="Times New Roman" w:hAnsi="Bookman Old Style" w:cs="Arial"/>
          <w:spacing w:val="-5"/>
          <w:sz w:val="24"/>
          <w:szCs w:val="24"/>
        </w:rPr>
        <w:t>-</w:t>
      </w:r>
      <w:r w:rsidR="00B80630" w:rsidRPr="00AF4C82">
        <w:rPr>
          <w:rFonts w:ascii="Bookman Old Style" w:eastAsia="Times New Roman" w:hAnsi="Bookman Old Style" w:cs="Arial"/>
          <w:spacing w:val="-5"/>
          <w:sz w:val="24"/>
          <w:szCs w:val="24"/>
        </w:rPr>
        <w:t>00</w:t>
      </w:r>
      <w:r w:rsidR="00723565">
        <w:rPr>
          <w:rFonts w:ascii="Bookman Old Style" w:eastAsia="Times New Roman" w:hAnsi="Bookman Old Style" w:cs="Arial"/>
          <w:spacing w:val="-5"/>
          <w:sz w:val="24"/>
          <w:szCs w:val="24"/>
        </w:rPr>
        <w:t>2945</w:t>
      </w:r>
      <w:r w:rsidRPr="00AF4C82">
        <w:rPr>
          <w:rFonts w:ascii="Bookman Old Style" w:eastAsia="Times New Roman" w:hAnsi="Bookman Old Style" w:cs="Arial"/>
          <w:spacing w:val="-5"/>
          <w:sz w:val="24"/>
          <w:szCs w:val="24"/>
        </w:rPr>
        <w:t xml:space="preserve"> de</w:t>
      </w:r>
      <w:r w:rsidR="008D3777">
        <w:rPr>
          <w:rFonts w:ascii="Bookman Old Style" w:eastAsia="Times New Roman" w:hAnsi="Bookman Old Style" w:cs="Arial"/>
          <w:spacing w:val="-5"/>
          <w:sz w:val="24"/>
          <w:szCs w:val="24"/>
        </w:rPr>
        <w:t>l</w:t>
      </w:r>
      <w:r w:rsidRPr="00AF4C82">
        <w:rPr>
          <w:rFonts w:ascii="Bookman Old Style" w:eastAsia="Times New Roman" w:hAnsi="Bookman Old Style" w:cs="Arial"/>
          <w:spacing w:val="-5"/>
          <w:sz w:val="24"/>
          <w:szCs w:val="24"/>
        </w:rPr>
        <w:t xml:space="preserve"> </w:t>
      </w:r>
      <w:r w:rsidR="004C48DC">
        <w:rPr>
          <w:rFonts w:ascii="Bookman Old Style" w:eastAsia="Times New Roman" w:hAnsi="Bookman Old Style" w:cs="Arial"/>
          <w:spacing w:val="-5"/>
          <w:sz w:val="24"/>
          <w:szCs w:val="24"/>
        </w:rPr>
        <w:t>17</w:t>
      </w:r>
      <w:r w:rsidRPr="00AF4C82">
        <w:rPr>
          <w:rFonts w:ascii="Bookman Old Style" w:eastAsia="Times New Roman" w:hAnsi="Bookman Old Style" w:cs="Arial"/>
          <w:spacing w:val="-5"/>
          <w:sz w:val="24"/>
          <w:szCs w:val="24"/>
        </w:rPr>
        <w:t xml:space="preserve"> de </w:t>
      </w:r>
      <w:r w:rsidR="005A6F39">
        <w:rPr>
          <w:rFonts w:ascii="Bookman Old Style" w:eastAsia="Times New Roman" w:hAnsi="Bookman Old Style" w:cs="Arial"/>
          <w:spacing w:val="-5"/>
          <w:sz w:val="24"/>
          <w:szCs w:val="24"/>
        </w:rPr>
        <w:t>julio</w:t>
      </w:r>
      <w:r w:rsidRPr="00AF4C82">
        <w:rPr>
          <w:rFonts w:ascii="Bookman Old Style" w:eastAsia="Times New Roman" w:hAnsi="Bookman Old Style" w:cs="Arial"/>
          <w:spacing w:val="-5"/>
          <w:sz w:val="24"/>
          <w:szCs w:val="24"/>
        </w:rPr>
        <w:t xml:space="preserve"> de 2020</w:t>
      </w:r>
      <w:r w:rsidR="008D3777">
        <w:rPr>
          <w:rFonts w:ascii="Bookman Old Style" w:eastAsia="Times New Roman" w:hAnsi="Bookman Old Style" w:cs="Arial"/>
          <w:spacing w:val="-5"/>
          <w:sz w:val="24"/>
          <w:szCs w:val="24"/>
        </w:rPr>
        <w:t>,</w:t>
      </w:r>
      <w:r w:rsidR="00F5339F" w:rsidRPr="00F5339F">
        <w:rPr>
          <w:rFonts w:ascii="Bookman Old Style" w:eastAsia="Times New Roman" w:hAnsi="Bookman Old Style" w:cs="Arial"/>
          <w:spacing w:val="-5"/>
          <w:sz w:val="24"/>
          <w:szCs w:val="24"/>
        </w:rPr>
        <w:t xml:space="preserve"> atendiendo lo dispuesto en el </w:t>
      </w:r>
      <w:r w:rsidR="00F5339F" w:rsidRPr="008144BA">
        <w:rPr>
          <w:rFonts w:ascii="Bookman Old Style" w:eastAsia="Times New Roman" w:hAnsi="Bookman Old Style" w:cs="Arial"/>
          <w:spacing w:val="-5"/>
          <w:sz w:val="24"/>
          <w:szCs w:val="24"/>
        </w:rPr>
        <w:t xml:space="preserve">artículo </w:t>
      </w:r>
      <w:r w:rsidR="00892382" w:rsidRPr="008144BA">
        <w:rPr>
          <w:rFonts w:ascii="Bookman Old Style" w:eastAsia="Times New Roman" w:hAnsi="Bookman Old Style" w:cs="Arial"/>
          <w:spacing w:val="-5"/>
          <w:sz w:val="24"/>
          <w:szCs w:val="24"/>
        </w:rPr>
        <w:t xml:space="preserve">4 del Decreto </w:t>
      </w:r>
      <w:r w:rsidR="00DF4A65" w:rsidRPr="008144BA">
        <w:rPr>
          <w:rFonts w:ascii="Bookman Old Style" w:eastAsia="Times New Roman" w:hAnsi="Bookman Old Style" w:cs="Arial"/>
          <w:spacing w:val="-5"/>
          <w:sz w:val="24"/>
          <w:szCs w:val="24"/>
        </w:rPr>
        <w:t>491</w:t>
      </w:r>
      <w:r w:rsidR="00892382" w:rsidRPr="008144BA">
        <w:rPr>
          <w:rFonts w:ascii="Bookman Old Style" w:eastAsia="Times New Roman" w:hAnsi="Bookman Old Style" w:cs="Arial"/>
          <w:spacing w:val="-5"/>
          <w:sz w:val="24"/>
          <w:szCs w:val="24"/>
        </w:rPr>
        <w:t xml:space="preserve"> de 2020</w:t>
      </w:r>
      <w:r w:rsidR="00892382">
        <w:rPr>
          <w:rFonts w:ascii="Bookman Old Style" w:eastAsia="Times New Roman" w:hAnsi="Bookman Old Style" w:cs="Arial"/>
          <w:spacing w:val="-5"/>
          <w:sz w:val="24"/>
          <w:szCs w:val="24"/>
        </w:rPr>
        <w:t xml:space="preserve"> y el artículo 56</w:t>
      </w:r>
      <w:r w:rsidR="00F5339F" w:rsidRPr="00F5339F">
        <w:rPr>
          <w:rFonts w:ascii="Bookman Old Style" w:eastAsia="Times New Roman" w:hAnsi="Bookman Old Style" w:cs="Arial"/>
          <w:spacing w:val="-5"/>
          <w:sz w:val="24"/>
          <w:szCs w:val="24"/>
        </w:rPr>
        <w:t xml:space="preserve"> de la Ley 1437 de 2011. </w:t>
      </w:r>
    </w:p>
    <w:p w14:paraId="36D02354" w14:textId="77777777" w:rsidR="00646AD5" w:rsidRDefault="00646AD5" w:rsidP="007F2AFE">
      <w:pPr>
        <w:spacing w:after="0" w:line="240" w:lineRule="auto"/>
        <w:contextualSpacing/>
        <w:jc w:val="both"/>
        <w:rPr>
          <w:rFonts w:ascii="Bookman Old Style" w:eastAsia="Times New Roman" w:hAnsi="Bookman Old Style" w:cs="Arial"/>
          <w:spacing w:val="-5"/>
          <w:sz w:val="24"/>
          <w:szCs w:val="24"/>
        </w:rPr>
      </w:pPr>
    </w:p>
    <w:p w14:paraId="684AB727" w14:textId="54425764" w:rsidR="00F5339F" w:rsidRDefault="00F5339F" w:rsidP="007F2AFE">
      <w:pPr>
        <w:spacing w:after="0" w:line="240" w:lineRule="auto"/>
        <w:contextualSpacing/>
        <w:jc w:val="both"/>
        <w:rPr>
          <w:rFonts w:ascii="Bookman Old Style" w:eastAsia="Times New Roman" w:hAnsi="Bookman Old Style" w:cs="Arial"/>
          <w:spacing w:val="-5"/>
          <w:sz w:val="24"/>
          <w:szCs w:val="24"/>
        </w:rPr>
      </w:pPr>
      <w:r w:rsidRPr="00F5339F">
        <w:rPr>
          <w:rFonts w:ascii="Bookman Old Style" w:eastAsia="Times New Roman" w:hAnsi="Bookman Old Style" w:cs="Arial"/>
          <w:spacing w:val="-5"/>
          <w:sz w:val="24"/>
          <w:szCs w:val="24"/>
        </w:rPr>
        <w:t xml:space="preserve">Una vez establecida la fecha de notificación y verificada la fecha de interposición del recurso, se establece que el recurso de reposición fue interpuesto en tiempo, toda vez que el plazo máximo vencía el </w:t>
      </w:r>
      <w:r w:rsidRPr="00AF4C82">
        <w:rPr>
          <w:rFonts w:ascii="Bookman Old Style" w:eastAsia="Times New Roman" w:hAnsi="Bookman Old Style" w:cs="Arial"/>
          <w:spacing w:val="-5"/>
          <w:sz w:val="24"/>
          <w:szCs w:val="24"/>
        </w:rPr>
        <w:t xml:space="preserve">día </w:t>
      </w:r>
      <w:r w:rsidR="0077262F" w:rsidRPr="007715E6">
        <w:rPr>
          <w:rFonts w:ascii="Bookman Old Style" w:eastAsia="Times New Roman" w:hAnsi="Bookman Old Style" w:cs="Arial"/>
          <w:spacing w:val="-5"/>
          <w:sz w:val="24"/>
          <w:szCs w:val="24"/>
        </w:rPr>
        <w:t>27</w:t>
      </w:r>
      <w:r w:rsidR="00DC20A3" w:rsidRPr="007715E6">
        <w:rPr>
          <w:rFonts w:ascii="Bookman Old Style" w:eastAsia="Times New Roman" w:hAnsi="Bookman Old Style" w:cs="Arial"/>
          <w:spacing w:val="-5"/>
          <w:sz w:val="24"/>
          <w:szCs w:val="24"/>
        </w:rPr>
        <w:t xml:space="preserve"> de </w:t>
      </w:r>
      <w:r w:rsidR="0077262F" w:rsidRPr="007715E6">
        <w:rPr>
          <w:rFonts w:ascii="Bookman Old Style" w:eastAsia="Times New Roman" w:hAnsi="Bookman Old Style" w:cs="Arial"/>
          <w:spacing w:val="-5"/>
          <w:sz w:val="24"/>
          <w:szCs w:val="24"/>
        </w:rPr>
        <w:t>julio</w:t>
      </w:r>
      <w:r w:rsidR="00DC20A3" w:rsidRPr="00AF4C82">
        <w:rPr>
          <w:rFonts w:ascii="Bookman Old Style" w:eastAsia="Times New Roman" w:hAnsi="Bookman Old Style" w:cs="Arial"/>
          <w:spacing w:val="-5"/>
          <w:sz w:val="24"/>
          <w:szCs w:val="24"/>
        </w:rPr>
        <w:t xml:space="preserve"> del 2020</w:t>
      </w:r>
      <w:r w:rsidRPr="00AF4C82">
        <w:rPr>
          <w:rFonts w:ascii="Bookman Old Style" w:eastAsia="Times New Roman" w:hAnsi="Bookman Old Style" w:cs="Arial"/>
          <w:spacing w:val="-5"/>
          <w:sz w:val="24"/>
          <w:szCs w:val="24"/>
        </w:rPr>
        <w:t>.</w:t>
      </w:r>
    </w:p>
    <w:p w14:paraId="30DD46F4" w14:textId="77777777" w:rsidR="00394E3C" w:rsidRDefault="00394E3C" w:rsidP="007F2AFE">
      <w:pPr>
        <w:spacing w:after="0" w:line="240" w:lineRule="auto"/>
        <w:contextualSpacing/>
        <w:jc w:val="both"/>
        <w:rPr>
          <w:rFonts w:ascii="Bookman Old Style" w:eastAsia="Times New Roman" w:hAnsi="Bookman Old Style" w:cs="Arial"/>
          <w:spacing w:val="-5"/>
          <w:sz w:val="24"/>
          <w:szCs w:val="24"/>
        </w:rPr>
      </w:pPr>
    </w:p>
    <w:p w14:paraId="5004E97D" w14:textId="7B9419C3" w:rsidR="00A33677" w:rsidRPr="00A33677" w:rsidRDefault="00A33677" w:rsidP="007F2AFE">
      <w:pPr>
        <w:spacing w:after="0" w:line="240" w:lineRule="auto"/>
        <w:contextualSpacing/>
        <w:jc w:val="both"/>
        <w:rPr>
          <w:rFonts w:ascii="Bookman Old Style" w:eastAsia="Times New Roman" w:hAnsi="Bookman Old Style" w:cs="Times New Roman"/>
          <w:sz w:val="24"/>
          <w:szCs w:val="24"/>
          <w:lang w:val="es-ES" w:eastAsia="es-ES"/>
        </w:rPr>
      </w:pPr>
      <w:r w:rsidRPr="00A33677">
        <w:rPr>
          <w:rFonts w:ascii="Bookman Old Style" w:eastAsia="Times New Roman" w:hAnsi="Bookman Old Style" w:cs="Times New Roman"/>
          <w:sz w:val="24"/>
          <w:szCs w:val="24"/>
          <w:lang w:val="es-ES" w:eastAsia="es-ES"/>
        </w:rPr>
        <w:t>En virtud de lo anterior</w:t>
      </w:r>
      <w:r w:rsidR="008D3777">
        <w:rPr>
          <w:rFonts w:ascii="Bookman Old Style" w:eastAsia="Times New Roman" w:hAnsi="Bookman Old Style" w:cs="Times New Roman"/>
          <w:sz w:val="24"/>
          <w:szCs w:val="24"/>
          <w:lang w:val="es-ES" w:eastAsia="es-ES"/>
        </w:rPr>
        <w:t>,</w:t>
      </w:r>
      <w:r w:rsidRPr="00A33677">
        <w:rPr>
          <w:rFonts w:ascii="Bookman Old Style" w:eastAsia="Times New Roman" w:hAnsi="Bookman Old Style" w:cs="Times New Roman"/>
          <w:sz w:val="24"/>
          <w:szCs w:val="24"/>
          <w:lang w:val="es-ES" w:eastAsia="es-ES"/>
        </w:rPr>
        <w:t xml:space="preserve"> y una vez verificado el cumplimiento de los requisitos a los que hace referencia el artículo 77</w:t>
      </w:r>
      <w:r w:rsidRPr="00A33677">
        <w:rPr>
          <w:rFonts w:ascii="Bookman Old Style" w:eastAsia="Times New Roman" w:hAnsi="Bookman Old Style" w:cs="Times New Roman"/>
          <w:sz w:val="24"/>
          <w:szCs w:val="24"/>
          <w:vertAlign w:val="superscript"/>
          <w:lang w:val="es-ES" w:eastAsia="es-ES"/>
        </w:rPr>
        <w:footnoteReference w:id="2"/>
      </w:r>
      <w:r w:rsidRPr="00A33677">
        <w:rPr>
          <w:rFonts w:ascii="Bookman Old Style" w:eastAsia="Times New Roman" w:hAnsi="Bookman Old Style" w:cs="Times New Roman"/>
          <w:sz w:val="24"/>
          <w:szCs w:val="24"/>
          <w:lang w:val="es-ES" w:eastAsia="es-ES"/>
        </w:rPr>
        <w:t xml:space="preserve"> del Código de Procedimiento Administrativo y de lo Contencioso Administrativo, procede la CREG a realizar un análisis y pronunciarse en relación con los argumentos en que se sustenta la impugnación. </w:t>
      </w:r>
    </w:p>
    <w:p w14:paraId="677E34A1" w14:textId="77777777" w:rsidR="00A33677" w:rsidRPr="00A33677" w:rsidRDefault="00A33677" w:rsidP="007F2AFE">
      <w:pPr>
        <w:spacing w:after="0" w:line="240" w:lineRule="auto"/>
        <w:ind w:right="-142"/>
        <w:contextualSpacing/>
        <w:jc w:val="both"/>
        <w:rPr>
          <w:rFonts w:ascii="Bookman Old Style" w:eastAsia="Times New Roman" w:hAnsi="Bookman Old Style" w:cs="Times New Roman"/>
          <w:sz w:val="24"/>
          <w:szCs w:val="24"/>
          <w:lang w:val="es-ES" w:eastAsia="es-ES"/>
        </w:rPr>
      </w:pPr>
    </w:p>
    <w:p w14:paraId="6FB5E49E" w14:textId="7B9360D4" w:rsidR="00A33677" w:rsidRPr="00A33677" w:rsidRDefault="007F3FC2" w:rsidP="007F2AFE">
      <w:pPr>
        <w:spacing w:after="0" w:line="240" w:lineRule="auto"/>
        <w:ind w:right="-142"/>
        <w:contextualSpacing/>
        <w:jc w:val="both"/>
        <w:rPr>
          <w:rFonts w:ascii="Bookman Old Style" w:eastAsia="Times New Roman" w:hAnsi="Bookman Old Style" w:cs="Times New Roman"/>
          <w:b/>
          <w:sz w:val="24"/>
          <w:szCs w:val="24"/>
          <w:lang w:val="es-ES" w:eastAsia="es-ES"/>
        </w:rPr>
      </w:pPr>
      <w:r>
        <w:rPr>
          <w:rFonts w:ascii="Bookman Old Style" w:eastAsia="Times New Roman" w:hAnsi="Bookman Old Style" w:cs="Times New Roman"/>
          <w:b/>
          <w:sz w:val="24"/>
          <w:szCs w:val="24"/>
          <w:lang w:val="es-ES" w:eastAsia="es-ES"/>
        </w:rPr>
        <w:t>2</w:t>
      </w:r>
      <w:r w:rsidR="00A33677" w:rsidRPr="00A33677">
        <w:rPr>
          <w:rFonts w:ascii="Bookman Old Style" w:eastAsia="Times New Roman" w:hAnsi="Bookman Old Style" w:cs="Times New Roman"/>
          <w:b/>
          <w:sz w:val="24"/>
          <w:szCs w:val="24"/>
          <w:lang w:val="es-ES" w:eastAsia="es-ES"/>
        </w:rPr>
        <w:t>. Fundamentos del recurso</w:t>
      </w:r>
    </w:p>
    <w:p w14:paraId="30108353" w14:textId="77777777" w:rsidR="00A33677" w:rsidRPr="00DF4A9A" w:rsidRDefault="00A33677" w:rsidP="007F2AFE">
      <w:pPr>
        <w:spacing w:after="0" w:line="240" w:lineRule="auto"/>
        <w:ind w:right="-142"/>
        <w:contextualSpacing/>
        <w:jc w:val="both"/>
        <w:rPr>
          <w:rFonts w:ascii="Bookman Old Style" w:eastAsia="Times New Roman" w:hAnsi="Bookman Old Style" w:cs="Times New Roman"/>
          <w:bCs/>
          <w:sz w:val="24"/>
          <w:szCs w:val="24"/>
          <w:lang w:val="es-ES" w:eastAsia="es-ES"/>
        </w:rPr>
      </w:pPr>
    </w:p>
    <w:p w14:paraId="048ADFCC" w14:textId="3F3F3448" w:rsidR="00A33677" w:rsidRDefault="00C67C0C" w:rsidP="007F2AFE">
      <w:pPr>
        <w:spacing w:after="0" w:line="240" w:lineRule="auto"/>
        <w:contextualSpacing/>
        <w:jc w:val="both"/>
        <w:rPr>
          <w:rFonts w:ascii="Bookman Old Style" w:eastAsia="Times New Roman" w:hAnsi="Bookman Old Style" w:cs="Times New Roman"/>
          <w:sz w:val="24"/>
          <w:szCs w:val="24"/>
          <w:lang w:val="es-ES" w:eastAsia="es-ES"/>
        </w:rPr>
      </w:pPr>
      <w:r>
        <w:rPr>
          <w:rFonts w:ascii="Bookman Old Style" w:eastAsia="Times New Roman" w:hAnsi="Bookman Old Style" w:cs="Times New Roman"/>
          <w:sz w:val="24"/>
          <w:szCs w:val="24"/>
          <w:lang w:val="es-ES" w:eastAsia="es-ES"/>
        </w:rPr>
        <w:t xml:space="preserve">A </w:t>
      </w:r>
      <w:proofErr w:type="gramStart"/>
      <w:r>
        <w:rPr>
          <w:rFonts w:ascii="Bookman Old Style" w:eastAsia="Times New Roman" w:hAnsi="Bookman Old Style" w:cs="Times New Roman"/>
          <w:sz w:val="24"/>
          <w:szCs w:val="24"/>
          <w:lang w:val="es-ES" w:eastAsia="es-ES"/>
        </w:rPr>
        <w:t>continuación</w:t>
      </w:r>
      <w:proofErr w:type="gramEnd"/>
      <w:r>
        <w:rPr>
          <w:rFonts w:ascii="Bookman Old Style" w:eastAsia="Times New Roman" w:hAnsi="Bookman Old Style" w:cs="Times New Roman"/>
          <w:sz w:val="24"/>
          <w:szCs w:val="24"/>
          <w:lang w:val="es-ES" w:eastAsia="es-ES"/>
        </w:rPr>
        <w:t xml:space="preserve"> se transcriben l</w:t>
      </w:r>
      <w:r w:rsidR="00A33677" w:rsidRPr="00A33677">
        <w:rPr>
          <w:rFonts w:ascii="Bookman Old Style" w:eastAsia="Times New Roman" w:hAnsi="Bookman Old Style" w:cs="Times New Roman"/>
          <w:sz w:val="24"/>
          <w:szCs w:val="24"/>
          <w:lang w:val="es-ES" w:eastAsia="es-ES"/>
        </w:rPr>
        <w:t xml:space="preserve">os argumentos </w:t>
      </w:r>
      <w:r w:rsidR="008F7C5B">
        <w:rPr>
          <w:rFonts w:ascii="Bookman Old Style" w:eastAsia="Times New Roman" w:hAnsi="Bookman Old Style" w:cs="Times New Roman"/>
          <w:sz w:val="24"/>
          <w:szCs w:val="24"/>
          <w:lang w:val="es-ES" w:eastAsia="es-ES"/>
        </w:rPr>
        <w:t xml:space="preserve">expuestos en </w:t>
      </w:r>
      <w:r w:rsidR="00A33677" w:rsidRPr="00A33677">
        <w:rPr>
          <w:rFonts w:ascii="Bookman Old Style" w:eastAsia="Times New Roman" w:hAnsi="Bookman Old Style" w:cs="Times New Roman"/>
          <w:sz w:val="24"/>
          <w:szCs w:val="24"/>
          <w:lang w:val="es-ES" w:eastAsia="es-ES"/>
        </w:rPr>
        <w:t xml:space="preserve">el recurso de reposición interpuesto por la empresa </w:t>
      </w:r>
      <w:proofErr w:type="spellStart"/>
      <w:r w:rsidR="00E01073">
        <w:rPr>
          <w:rFonts w:ascii="Bookman Old Style" w:eastAsia="Times New Roman" w:hAnsi="Bookman Old Style" w:cs="Times New Roman"/>
          <w:sz w:val="24"/>
          <w:szCs w:val="24"/>
          <w:lang w:val="es-ES" w:eastAsia="es-ES"/>
        </w:rPr>
        <w:t>Due</w:t>
      </w:r>
      <w:proofErr w:type="spellEnd"/>
      <w:r w:rsidR="00E01073">
        <w:rPr>
          <w:rFonts w:ascii="Bookman Old Style" w:eastAsia="Times New Roman" w:hAnsi="Bookman Old Style" w:cs="Times New Roman"/>
          <w:sz w:val="24"/>
          <w:szCs w:val="24"/>
          <w:lang w:val="es-ES" w:eastAsia="es-ES"/>
        </w:rPr>
        <w:t xml:space="preserve"> Capital and </w:t>
      </w:r>
      <w:proofErr w:type="spellStart"/>
      <w:r w:rsidR="00E01073">
        <w:rPr>
          <w:rFonts w:ascii="Bookman Old Style" w:eastAsia="Times New Roman" w:hAnsi="Bookman Old Style" w:cs="Times New Roman"/>
          <w:sz w:val="24"/>
          <w:szCs w:val="24"/>
          <w:lang w:val="es-ES" w:eastAsia="es-ES"/>
        </w:rPr>
        <w:t>Services</w:t>
      </w:r>
      <w:proofErr w:type="spellEnd"/>
      <w:r w:rsidR="00E01073">
        <w:rPr>
          <w:rFonts w:ascii="Bookman Old Style" w:eastAsia="Times New Roman" w:hAnsi="Bookman Old Style" w:cs="Times New Roman"/>
          <w:sz w:val="24"/>
          <w:szCs w:val="24"/>
          <w:lang w:val="es-ES" w:eastAsia="es-ES"/>
        </w:rPr>
        <w:t xml:space="preserve"> </w:t>
      </w:r>
      <w:r w:rsidR="00874A55">
        <w:rPr>
          <w:rFonts w:ascii="Bookman Old Style" w:eastAsia="Times New Roman" w:hAnsi="Bookman Old Style" w:cs="Times New Roman"/>
          <w:sz w:val="24"/>
          <w:szCs w:val="24"/>
          <w:lang w:val="es-ES" w:eastAsia="es-ES"/>
        </w:rPr>
        <w:t>S.A.</w:t>
      </w:r>
      <w:r w:rsidR="00E01073">
        <w:rPr>
          <w:rFonts w:ascii="Bookman Old Style" w:eastAsia="Times New Roman" w:hAnsi="Bookman Old Style" w:cs="Times New Roman"/>
          <w:sz w:val="24"/>
          <w:szCs w:val="24"/>
          <w:lang w:val="es-ES" w:eastAsia="es-ES"/>
        </w:rPr>
        <w:t>S</w:t>
      </w:r>
      <w:r w:rsidR="008D3777">
        <w:rPr>
          <w:rFonts w:ascii="Bookman Old Style" w:eastAsia="Times New Roman" w:hAnsi="Bookman Old Style" w:cs="Times New Roman"/>
          <w:sz w:val="24"/>
          <w:szCs w:val="24"/>
          <w:lang w:val="es-ES" w:eastAsia="es-ES"/>
        </w:rPr>
        <w:t>.</w:t>
      </w:r>
      <w:r w:rsidR="00A33677" w:rsidRPr="00A33677">
        <w:rPr>
          <w:rFonts w:ascii="Bookman Old Style" w:eastAsia="Times New Roman" w:hAnsi="Bookman Old Style" w:cs="Times New Roman"/>
          <w:sz w:val="24"/>
          <w:szCs w:val="24"/>
          <w:lang w:val="es-ES" w:eastAsia="es-ES"/>
        </w:rPr>
        <w:t>:</w:t>
      </w:r>
    </w:p>
    <w:p w14:paraId="45FA7D9F" w14:textId="77777777" w:rsidR="006071D3" w:rsidRDefault="006071D3" w:rsidP="007F2AFE">
      <w:pPr>
        <w:spacing w:after="0" w:line="240" w:lineRule="auto"/>
        <w:contextualSpacing/>
        <w:jc w:val="both"/>
        <w:rPr>
          <w:rFonts w:ascii="Bookman Old Style" w:eastAsia="Times New Roman" w:hAnsi="Bookman Old Style" w:cs="Times New Roman"/>
          <w:sz w:val="24"/>
          <w:szCs w:val="24"/>
          <w:lang w:val="es-ES" w:eastAsia="es-ES"/>
        </w:rPr>
      </w:pPr>
    </w:p>
    <w:p w14:paraId="04EFEF8D" w14:textId="65999BEE" w:rsidR="007F2AFE" w:rsidRPr="008D3777" w:rsidRDefault="00E303A8" w:rsidP="009B17EF">
      <w:pPr>
        <w:tabs>
          <w:tab w:val="left" w:pos="-720"/>
          <w:tab w:val="left" w:pos="1276"/>
        </w:tabs>
        <w:suppressAutoHyphens/>
        <w:overflowPunct w:val="0"/>
        <w:autoSpaceDE w:val="0"/>
        <w:spacing w:after="0" w:line="240" w:lineRule="auto"/>
        <w:ind w:left="426" w:right="284"/>
        <w:contextualSpacing/>
        <w:jc w:val="both"/>
        <w:textAlignment w:val="baseline"/>
        <w:rPr>
          <w:rFonts w:ascii="Bookman Old Style" w:hAnsi="Bookman Old Style" w:cs="Arial"/>
          <w:b/>
          <w:bCs/>
          <w:i/>
          <w:iCs/>
          <w:sz w:val="20"/>
          <w:szCs w:val="20"/>
        </w:rPr>
      </w:pPr>
      <w:r w:rsidRPr="008D3777">
        <w:rPr>
          <w:rFonts w:ascii="Bookman Old Style" w:eastAsia="Times New Roman" w:hAnsi="Bookman Old Style" w:cs="Times New Roman"/>
          <w:i/>
          <w:iCs/>
          <w:sz w:val="20"/>
          <w:szCs w:val="20"/>
          <w:lang w:val="es-ES" w:eastAsia="es-ES"/>
        </w:rPr>
        <w:t>“</w:t>
      </w:r>
      <w:r w:rsidR="00D44600" w:rsidRPr="008D3777">
        <w:rPr>
          <w:rFonts w:ascii="Bookman Old Style" w:eastAsia="Times New Roman" w:hAnsi="Bookman Old Style" w:cs="Times New Roman"/>
          <w:i/>
          <w:iCs/>
          <w:sz w:val="20"/>
          <w:szCs w:val="20"/>
          <w:lang w:val="es-ES" w:eastAsia="es-ES"/>
        </w:rPr>
        <w:t>(…)</w:t>
      </w:r>
      <w:r w:rsidR="009B17EF" w:rsidRPr="008D3777">
        <w:rPr>
          <w:rFonts w:ascii="Bookman Old Style" w:eastAsia="Times New Roman" w:hAnsi="Bookman Old Style" w:cs="Times New Roman"/>
          <w:i/>
          <w:iCs/>
          <w:sz w:val="20"/>
          <w:szCs w:val="20"/>
          <w:lang w:val="es-ES" w:eastAsia="es-ES"/>
        </w:rPr>
        <w:t xml:space="preserve"> </w:t>
      </w:r>
      <w:r w:rsidR="007F2AFE" w:rsidRPr="008D3777">
        <w:rPr>
          <w:rFonts w:ascii="Bookman Old Style" w:hAnsi="Bookman Old Style" w:cs="Arial"/>
          <w:b/>
          <w:bCs/>
          <w:i/>
          <w:iCs/>
          <w:sz w:val="20"/>
          <w:szCs w:val="20"/>
        </w:rPr>
        <w:t>2. Fecha de Solicitud de Aprobación de Cargos</w:t>
      </w:r>
    </w:p>
    <w:p w14:paraId="03C5A6BA" w14:textId="77777777" w:rsidR="007F2AFE" w:rsidRPr="008D3777" w:rsidRDefault="007F2AFE" w:rsidP="009F2F28">
      <w:pPr>
        <w:spacing w:after="0" w:line="240" w:lineRule="auto"/>
        <w:ind w:left="426"/>
        <w:contextualSpacing/>
        <w:jc w:val="both"/>
        <w:rPr>
          <w:rFonts w:ascii="Bookman Old Style" w:hAnsi="Bookman Old Style" w:cs="Arial"/>
          <w:i/>
          <w:iCs/>
          <w:sz w:val="20"/>
          <w:szCs w:val="20"/>
        </w:rPr>
      </w:pPr>
    </w:p>
    <w:p w14:paraId="5099F161" w14:textId="77777777" w:rsidR="007F2AFE" w:rsidRPr="008D3777" w:rsidRDefault="007F2AFE" w:rsidP="009F2F28">
      <w:pPr>
        <w:spacing w:after="0" w:line="240" w:lineRule="auto"/>
        <w:ind w:left="426"/>
        <w:contextualSpacing/>
        <w:jc w:val="both"/>
        <w:rPr>
          <w:rFonts w:ascii="Bookman Old Style" w:hAnsi="Bookman Old Style" w:cs="Arial"/>
          <w:i/>
          <w:iCs/>
          <w:sz w:val="20"/>
          <w:szCs w:val="20"/>
        </w:rPr>
      </w:pPr>
      <w:bookmarkStart w:id="3" w:name="_Hlk52353503"/>
      <w:r w:rsidRPr="008D3777">
        <w:rPr>
          <w:rFonts w:ascii="Bookman Old Style" w:hAnsi="Bookman Old Style" w:cs="Arial"/>
          <w:i/>
          <w:iCs/>
          <w:sz w:val="20"/>
          <w:szCs w:val="20"/>
        </w:rPr>
        <w:t xml:space="preserve">La presente actuación se inició el 22 de febrero de 2019 bajo el radicado CREG E-2010-002423, teniendo en cuenta la curva de demanda del municipio de Mitú. Vaupés suministrada por GENSA S.A. E.S.P. y el IPSE a través del CNM para el año 2018. Es importante aclarar que dicha demanda se debe llevar a los valores reales presentados en el año 2019 esto con el fin de comprobar que el valor de la “generación excedentaria del 10%” que se manifiesta en el la página 43 del documento CREG D-097-20 DETERMINACIÓN DE LOS CARGOS MÁXIMOS DE GENERACIÓN DE ENERGÍA ELÉCTRICA PARA EL MERCADO RELEVANTE DE MITÚ (el “Documento Soporte”) no es real y que en cambio para el año 2022 la capacidad de la planta </w:t>
      </w:r>
      <w:proofErr w:type="spellStart"/>
      <w:r w:rsidRPr="008D3777">
        <w:rPr>
          <w:rFonts w:ascii="Bookman Old Style" w:hAnsi="Bookman Old Style" w:cs="Arial"/>
          <w:i/>
          <w:iCs/>
          <w:sz w:val="20"/>
          <w:szCs w:val="20"/>
        </w:rPr>
        <w:t>Matakabi</w:t>
      </w:r>
      <w:proofErr w:type="spellEnd"/>
      <w:r w:rsidRPr="008D3777">
        <w:rPr>
          <w:rFonts w:ascii="Bookman Old Style" w:hAnsi="Bookman Old Style" w:cs="Arial"/>
          <w:i/>
          <w:iCs/>
          <w:sz w:val="20"/>
          <w:szCs w:val="20"/>
        </w:rPr>
        <w:t xml:space="preserve"> no será suficiente para poder reemplazar el diésel, objetivo primario de la política de sustitución de combustibles fósiles del </w:t>
      </w:r>
      <w:proofErr w:type="spellStart"/>
      <w:r w:rsidRPr="008D3777">
        <w:rPr>
          <w:rFonts w:ascii="Bookman Old Style" w:hAnsi="Bookman Old Style" w:cs="Arial"/>
          <w:i/>
          <w:iCs/>
          <w:sz w:val="20"/>
          <w:szCs w:val="20"/>
        </w:rPr>
        <w:t>Minenergía</w:t>
      </w:r>
      <w:proofErr w:type="spellEnd"/>
      <w:r w:rsidRPr="008D3777">
        <w:rPr>
          <w:rFonts w:ascii="Bookman Old Style" w:hAnsi="Bookman Old Style" w:cs="Arial"/>
          <w:i/>
          <w:iCs/>
          <w:sz w:val="20"/>
          <w:szCs w:val="20"/>
        </w:rPr>
        <w:t>.</w:t>
      </w:r>
    </w:p>
    <w:bookmarkEnd w:id="3"/>
    <w:p w14:paraId="3CCDFED7" w14:textId="384515B8" w:rsidR="007F2AFE" w:rsidRPr="008D3777" w:rsidRDefault="00686B39" w:rsidP="009F2F28">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w:t>
      </w:r>
    </w:p>
    <w:p w14:paraId="45B64776" w14:textId="77777777" w:rsidR="007F2AFE" w:rsidRPr="008D3777" w:rsidRDefault="007F2AFE" w:rsidP="00FA1EA0">
      <w:pPr>
        <w:spacing w:after="0" w:line="240" w:lineRule="auto"/>
        <w:ind w:left="426"/>
        <w:contextualSpacing/>
        <w:jc w:val="center"/>
        <w:rPr>
          <w:rFonts w:ascii="Bookman Old Style" w:hAnsi="Bookman Old Style" w:cs="Arial"/>
          <w:i/>
          <w:iCs/>
          <w:sz w:val="20"/>
          <w:szCs w:val="20"/>
        </w:rPr>
      </w:pPr>
      <w:r w:rsidRPr="008D3777">
        <w:rPr>
          <w:rFonts w:ascii="Bookman Old Style" w:hAnsi="Bookman Old Style" w:cs="Arial"/>
          <w:i/>
          <w:iCs/>
          <w:noProof/>
          <w:sz w:val="20"/>
          <w:szCs w:val="20"/>
        </w:rPr>
        <w:drawing>
          <wp:inline distT="0" distB="0" distL="0" distR="0" wp14:anchorId="141AA8CB" wp14:editId="3C1CA8C5">
            <wp:extent cx="2681944" cy="2160000"/>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81944" cy="2160000"/>
                    </a:xfrm>
                    <a:prstGeom prst="rect">
                      <a:avLst/>
                    </a:prstGeom>
                  </pic:spPr>
                </pic:pic>
              </a:graphicData>
            </a:graphic>
          </wp:inline>
        </w:drawing>
      </w:r>
    </w:p>
    <w:p w14:paraId="7CE04D09" w14:textId="77777777" w:rsidR="007F2AFE" w:rsidRPr="008D3777" w:rsidRDefault="007F2AFE" w:rsidP="009F2F28">
      <w:pPr>
        <w:spacing w:after="0" w:line="240" w:lineRule="auto"/>
        <w:ind w:left="426"/>
        <w:contextualSpacing/>
        <w:jc w:val="both"/>
        <w:rPr>
          <w:rFonts w:ascii="Bookman Old Style" w:hAnsi="Bookman Old Style" w:cs="Arial"/>
          <w:i/>
          <w:iCs/>
          <w:sz w:val="20"/>
          <w:szCs w:val="20"/>
        </w:rPr>
      </w:pPr>
    </w:p>
    <w:p w14:paraId="43F843F0" w14:textId="77777777" w:rsidR="007F2AFE" w:rsidRPr="008D3777" w:rsidRDefault="007F2AFE" w:rsidP="00FA1EA0">
      <w:pPr>
        <w:spacing w:after="0" w:line="240" w:lineRule="auto"/>
        <w:ind w:left="426"/>
        <w:contextualSpacing/>
        <w:jc w:val="center"/>
        <w:rPr>
          <w:rFonts w:ascii="Bookman Old Style" w:hAnsi="Bookman Old Style" w:cs="Arial"/>
          <w:i/>
          <w:iCs/>
          <w:sz w:val="20"/>
          <w:szCs w:val="20"/>
        </w:rPr>
      </w:pPr>
      <w:r w:rsidRPr="008D3777">
        <w:rPr>
          <w:rFonts w:ascii="Bookman Old Style" w:hAnsi="Bookman Old Style" w:cs="Arial"/>
          <w:i/>
          <w:iCs/>
          <w:noProof/>
          <w:sz w:val="20"/>
          <w:szCs w:val="20"/>
        </w:rPr>
        <w:drawing>
          <wp:inline distT="0" distB="0" distL="0" distR="0" wp14:anchorId="31CACACD" wp14:editId="5D821EA9">
            <wp:extent cx="2670690" cy="216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70690" cy="2160000"/>
                    </a:xfrm>
                    <a:prstGeom prst="rect">
                      <a:avLst/>
                    </a:prstGeom>
                  </pic:spPr>
                </pic:pic>
              </a:graphicData>
            </a:graphic>
          </wp:inline>
        </w:drawing>
      </w:r>
    </w:p>
    <w:p w14:paraId="265316CB" w14:textId="77777777" w:rsidR="007F2AFE" w:rsidRPr="008D3777" w:rsidRDefault="007F2AFE" w:rsidP="009F2F28">
      <w:pPr>
        <w:spacing w:after="0" w:line="240" w:lineRule="auto"/>
        <w:ind w:left="426"/>
        <w:contextualSpacing/>
        <w:jc w:val="both"/>
        <w:rPr>
          <w:rFonts w:ascii="Bookman Old Style" w:hAnsi="Bookman Old Style" w:cs="Arial"/>
          <w:i/>
          <w:iCs/>
          <w:sz w:val="20"/>
          <w:szCs w:val="20"/>
        </w:rPr>
      </w:pPr>
    </w:p>
    <w:p w14:paraId="5C9E43F5" w14:textId="77777777" w:rsidR="007F2AFE" w:rsidRPr="008D3777" w:rsidRDefault="007F2AFE" w:rsidP="009F2F28">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La disponibilidad de </w:t>
      </w:r>
      <w:proofErr w:type="spellStart"/>
      <w:r w:rsidRPr="008D3777">
        <w:rPr>
          <w:rFonts w:ascii="Bookman Old Style" w:hAnsi="Bookman Old Style" w:cs="Arial"/>
          <w:i/>
          <w:iCs/>
          <w:sz w:val="20"/>
          <w:szCs w:val="20"/>
        </w:rPr>
        <w:t>hidraulicidad</w:t>
      </w:r>
      <w:proofErr w:type="spellEnd"/>
      <w:r w:rsidRPr="008D3777">
        <w:rPr>
          <w:rFonts w:ascii="Bookman Old Style" w:hAnsi="Bookman Old Style" w:cs="Arial"/>
          <w:i/>
          <w:iCs/>
          <w:sz w:val="20"/>
          <w:szCs w:val="20"/>
        </w:rPr>
        <w:t xml:space="preserve"> del río aunado a la historia de disponibilidad de las PCH nos indican que se tengan dos o máximo tres turbinas como el escenario más probable.</w:t>
      </w:r>
    </w:p>
    <w:p w14:paraId="3EA20285" w14:textId="77777777" w:rsidR="007F2AFE" w:rsidRPr="008D3777" w:rsidRDefault="007F2AFE" w:rsidP="009F2F28">
      <w:pPr>
        <w:spacing w:after="0" w:line="240" w:lineRule="auto"/>
        <w:ind w:left="426"/>
        <w:contextualSpacing/>
        <w:jc w:val="both"/>
        <w:rPr>
          <w:rFonts w:ascii="Bookman Old Style" w:hAnsi="Bookman Old Style" w:cs="Arial"/>
          <w:i/>
          <w:iCs/>
          <w:sz w:val="20"/>
          <w:szCs w:val="20"/>
        </w:rPr>
      </w:pPr>
    </w:p>
    <w:p w14:paraId="68476D19" w14:textId="77777777" w:rsidR="007F2AFE" w:rsidRPr="008D3777" w:rsidRDefault="007F2AFE" w:rsidP="00FA1EA0">
      <w:pPr>
        <w:spacing w:after="0" w:line="240" w:lineRule="auto"/>
        <w:ind w:left="426"/>
        <w:contextualSpacing/>
        <w:jc w:val="center"/>
        <w:rPr>
          <w:rFonts w:ascii="Bookman Old Style" w:hAnsi="Bookman Old Style" w:cs="Arial"/>
          <w:i/>
          <w:iCs/>
          <w:sz w:val="20"/>
          <w:szCs w:val="20"/>
        </w:rPr>
      </w:pPr>
      <w:r w:rsidRPr="008D3777">
        <w:rPr>
          <w:rFonts w:ascii="Bookman Old Style" w:hAnsi="Bookman Old Style"/>
          <w:i/>
          <w:iCs/>
          <w:noProof/>
          <w:sz w:val="20"/>
          <w:szCs w:val="20"/>
        </w:rPr>
        <w:drawing>
          <wp:inline distT="0" distB="0" distL="0" distR="0" wp14:anchorId="72A0C486" wp14:editId="306B93E1">
            <wp:extent cx="2647350" cy="216000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47350" cy="2160000"/>
                    </a:xfrm>
                    <a:prstGeom prst="rect">
                      <a:avLst/>
                    </a:prstGeom>
                  </pic:spPr>
                </pic:pic>
              </a:graphicData>
            </a:graphic>
          </wp:inline>
        </w:drawing>
      </w:r>
    </w:p>
    <w:p w14:paraId="17314E8C" w14:textId="77777777" w:rsidR="007F2AFE" w:rsidRPr="008D3777" w:rsidRDefault="007F2AFE" w:rsidP="009F2F28">
      <w:pPr>
        <w:spacing w:after="0" w:line="240" w:lineRule="auto"/>
        <w:ind w:left="426"/>
        <w:contextualSpacing/>
        <w:jc w:val="both"/>
        <w:rPr>
          <w:rFonts w:ascii="Bookman Old Style" w:hAnsi="Bookman Old Style" w:cs="Arial"/>
          <w:i/>
          <w:iCs/>
          <w:sz w:val="20"/>
          <w:szCs w:val="20"/>
        </w:rPr>
      </w:pPr>
    </w:p>
    <w:p w14:paraId="599F0B01" w14:textId="77777777" w:rsidR="007F2AFE" w:rsidRPr="008D3777" w:rsidRDefault="007F2AFE" w:rsidP="009F2F28">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Es por esto que el tamaño de la planta prevé el desarrollo del Municipio.</w:t>
      </w:r>
    </w:p>
    <w:p w14:paraId="4575FD67" w14:textId="77777777" w:rsidR="007F2AFE" w:rsidRPr="008D3777" w:rsidRDefault="007F2AFE" w:rsidP="009F2F28">
      <w:pPr>
        <w:spacing w:after="0" w:line="240" w:lineRule="auto"/>
        <w:ind w:left="426"/>
        <w:contextualSpacing/>
        <w:jc w:val="both"/>
        <w:rPr>
          <w:rFonts w:ascii="Bookman Old Style" w:hAnsi="Bookman Old Style" w:cs="Arial"/>
          <w:i/>
          <w:iCs/>
          <w:sz w:val="20"/>
          <w:szCs w:val="20"/>
        </w:rPr>
      </w:pPr>
    </w:p>
    <w:p w14:paraId="5A8742AA" w14:textId="77777777" w:rsidR="007F2AFE" w:rsidRPr="008D3777" w:rsidRDefault="007F2AFE" w:rsidP="009F2F28">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Esto con el fin de cuando la Comisión este analizando lo referente a las reglas de despacho, Artículo 3 lo tenga en cuenta.</w:t>
      </w:r>
    </w:p>
    <w:p w14:paraId="12156354" w14:textId="77777777" w:rsidR="007F2AFE" w:rsidRPr="008D3777" w:rsidRDefault="007F2AFE" w:rsidP="009F2F28">
      <w:pPr>
        <w:spacing w:after="0" w:line="240" w:lineRule="auto"/>
        <w:ind w:left="426"/>
        <w:contextualSpacing/>
        <w:jc w:val="both"/>
        <w:rPr>
          <w:rFonts w:ascii="Bookman Old Style" w:hAnsi="Bookman Old Style" w:cs="Arial"/>
          <w:i/>
          <w:iCs/>
          <w:sz w:val="20"/>
          <w:szCs w:val="20"/>
        </w:rPr>
      </w:pPr>
    </w:p>
    <w:p w14:paraId="599052C0" w14:textId="77777777" w:rsidR="007F2AFE" w:rsidRPr="008D3777" w:rsidRDefault="007F2AFE" w:rsidP="009F2F28">
      <w:pPr>
        <w:spacing w:after="0" w:line="240" w:lineRule="auto"/>
        <w:ind w:left="426"/>
        <w:contextualSpacing/>
        <w:jc w:val="both"/>
        <w:rPr>
          <w:rFonts w:ascii="Bookman Old Style" w:hAnsi="Bookman Old Style" w:cs="Arial"/>
          <w:b/>
          <w:bCs/>
          <w:i/>
          <w:iCs/>
          <w:sz w:val="20"/>
          <w:szCs w:val="20"/>
        </w:rPr>
      </w:pPr>
      <w:bookmarkStart w:id="4" w:name="_Hlk52200382"/>
      <w:r w:rsidRPr="008D3777">
        <w:rPr>
          <w:rFonts w:ascii="Bookman Old Style" w:hAnsi="Bookman Old Style" w:cs="Arial"/>
          <w:b/>
          <w:bCs/>
          <w:i/>
          <w:iCs/>
          <w:sz w:val="20"/>
          <w:szCs w:val="20"/>
        </w:rPr>
        <w:t xml:space="preserve">3. Aprobación de los cargos exclusivamente para el proyecto </w:t>
      </w:r>
      <w:proofErr w:type="spellStart"/>
      <w:r w:rsidRPr="008D3777">
        <w:rPr>
          <w:rFonts w:ascii="Bookman Old Style" w:hAnsi="Bookman Old Style" w:cs="Arial"/>
          <w:b/>
          <w:bCs/>
          <w:i/>
          <w:iCs/>
          <w:sz w:val="20"/>
          <w:szCs w:val="20"/>
        </w:rPr>
        <w:t>Matakabi</w:t>
      </w:r>
      <w:proofErr w:type="spellEnd"/>
      <w:r w:rsidRPr="008D3777">
        <w:rPr>
          <w:rFonts w:ascii="Bookman Old Style" w:hAnsi="Bookman Old Style" w:cs="Arial"/>
          <w:b/>
          <w:bCs/>
          <w:i/>
          <w:iCs/>
          <w:sz w:val="20"/>
          <w:szCs w:val="20"/>
        </w:rPr>
        <w:t xml:space="preserve"> y no para la generalidad del mercado de comercialización.</w:t>
      </w:r>
    </w:p>
    <w:bookmarkEnd w:id="4"/>
    <w:p w14:paraId="10C3634C" w14:textId="77777777" w:rsidR="007F2AFE" w:rsidRPr="008D3777" w:rsidRDefault="007F2AFE" w:rsidP="009F2F28">
      <w:pPr>
        <w:spacing w:after="0" w:line="240" w:lineRule="auto"/>
        <w:ind w:left="426"/>
        <w:contextualSpacing/>
        <w:jc w:val="both"/>
        <w:rPr>
          <w:rFonts w:ascii="Bookman Old Style" w:hAnsi="Bookman Old Style" w:cs="Arial"/>
          <w:i/>
          <w:iCs/>
          <w:sz w:val="20"/>
          <w:szCs w:val="20"/>
        </w:rPr>
      </w:pPr>
    </w:p>
    <w:p w14:paraId="32C52264" w14:textId="77777777" w:rsidR="007F2AFE" w:rsidRPr="008D3777" w:rsidRDefault="007F2AFE" w:rsidP="009F2F28">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Respetuosamente solicito que se modifique la Resolución 124 de 2020 para en lugar de fijar la remuneración de los componentes de inversión y de administración, operación y mantenimiento para “sistemas híbridos diésel, pequeña central hidroeléctrica, solar fotovoltaicos con acumulación para el mercado relevante de Mitú en el departamento del </w:t>
      </w:r>
      <w:proofErr w:type="spellStart"/>
      <w:r w:rsidRPr="008D3777">
        <w:rPr>
          <w:rFonts w:ascii="Bookman Old Style" w:hAnsi="Bookman Old Style" w:cs="Arial"/>
          <w:i/>
          <w:iCs/>
          <w:sz w:val="20"/>
          <w:szCs w:val="20"/>
        </w:rPr>
        <w:t>Vapués</w:t>
      </w:r>
      <w:proofErr w:type="spellEnd"/>
      <w:r w:rsidRPr="008D3777">
        <w:rPr>
          <w:rFonts w:ascii="Bookman Old Style" w:hAnsi="Bookman Old Style" w:cs="Arial"/>
          <w:i/>
          <w:iCs/>
          <w:sz w:val="20"/>
          <w:szCs w:val="20"/>
        </w:rPr>
        <w:t xml:space="preserve">”, se fije dicha remuneración para “las componentes de inversión y de administración, operación y mantenimiento incluyen tanto los costos de adquisición de equipos, obras eléctricas, obras civiles, costos indirectos e interventoría, así como los gastos de mantenimiento preventivo, costos ambientales, seguros, personal operativo y todos aquellos necesarios para la puesta en marcha y posterior operación y mantenimiento de la Planta Solar </w:t>
      </w:r>
      <w:proofErr w:type="spellStart"/>
      <w:r w:rsidRPr="008D3777">
        <w:rPr>
          <w:rFonts w:ascii="Bookman Old Style" w:hAnsi="Bookman Old Style" w:cs="Arial"/>
          <w:i/>
          <w:iCs/>
          <w:sz w:val="20"/>
          <w:szCs w:val="20"/>
        </w:rPr>
        <w:t>Matakabi</w:t>
      </w:r>
      <w:proofErr w:type="spellEnd"/>
      <w:r w:rsidRPr="008D3777">
        <w:rPr>
          <w:rFonts w:ascii="Bookman Old Style" w:hAnsi="Bookman Old Style" w:cs="Arial"/>
          <w:i/>
          <w:iCs/>
          <w:sz w:val="20"/>
          <w:szCs w:val="20"/>
        </w:rPr>
        <w:t xml:space="preserve"> consistente en un sistema solar fotovoltaico centralizado con acumulación interconectado al sistema de distribución del municipio de Mitú, con una capacidad de generación superior a 7.6MWp con acumulación de 8.8 </w:t>
      </w:r>
      <w:proofErr w:type="spellStart"/>
      <w:r w:rsidRPr="008D3777">
        <w:rPr>
          <w:rFonts w:ascii="Bookman Old Style" w:hAnsi="Bookman Old Style" w:cs="Arial"/>
          <w:i/>
          <w:iCs/>
          <w:sz w:val="20"/>
          <w:szCs w:val="20"/>
        </w:rPr>
        <w:t>MWh</w:t>
      </w:r>
      <w:proofErr w:type="spellEnd"/>
      <w:r w:rsidRPr="008D3777">
        <w:rPr>
          <w:rFonts w:ascii="Bookman Old Style" w:hAnsi="Bookman Old Style" w:cs="Arial"/>
          <w:i/>
          <w:iCs/>
          <w:sz w:val="20"/>
          <w:szCs w:val="20"/>
        </w:rPr>
        <w:t>”.</w:t>
      </w:r>
    </w:p>
    <w:p w14:paraId="4FC5309E" w14:textId="77777777" w:rsidR="007F2AFE" w:rsidRPr="008D3777" w:rsidRDefault="007F2AFE" w:rsidP="009F2F28">
      <w:pPr>
        <w:spacing w:after="0" w:line="240" w:lineRule="auto"/>
        <w:ind w:left="426"/>
        <w:contextualSpacing/>
        <w:jc w:val="both"/>
        <w:rPr>
          <w:rFonts w:ascii="Bookman Old Style" w:hAnsi="Bookman Old Style" w:cs="Arial"/>
          <w:i/>
          <w:iCs/>
          <w:sz w:val="20"/>
          <w:szCs w:val="20"/>
        </w:rPr>
      </w:pPr>
    </w:p>
    <w:p w14:paraId="5AE6F284" w14:textId="74B7C46C" w:rsidR="007F2AFE" w:rsidRPr="008D3777" w:rsidRDefault="007F2AFE" w:rsidP="009F2F28">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Las razones en que se fundamente esta solicitud son las siguientes: en primer lugar, porque lo que solicitó fue la aprobación de cargos para un proyecto específico y al decidir sobre asuntos adicionales se configura una decisión extra </w:t>
      </w:r>
      <w:proofErr w:type="spellStart"/>
      <w:r w:rsidRPr="008D3777">
        <w:rPr>
          <w:rFonts w:ascii="Bookman Old Style" w:hAnsi="Bookman Old Style" w:cs="Arial"/>
          <w:i/>
          <w:iCs/>
          <w:sz w:val="20"/>
          <w:szCs w:val="20"/>
        </w:rPr>
        <w:t>petita</w:t>
      </w:r>
      <w:proofErr w:type="spellEnd"/>
      <w:r w:rsidRPr="008D3777">
        <w:rPr>
          <w:rFonts w:ascii="Bookman Old Style" w:hAnsi="Bookman Old Style" w:cs="Arial"/>
          <w:i/>
          <w:iCs/>
          <w:sz w:val="20"/>
          <w:szCs w:val="20"/>
        </w:rPr>
        <w:t xml:space="preserve"> y, en segundo l</w:t>
      </w:r>
      <w:r w:rsidR="00203C46" w:rsidRPr="008D3777">
        <w:rPr>
          <w:rFonts w:ascii="Bookman Old Style" w:hAnsi="Bookman Old Style" w:cs="Arial"/>
          <w:i/>
          <w:iCs/>
          <w:sz w:val="20"/>
          <w:szCs w:val="20"/>
        </w:rPr>
        <w:t>u</w:t>
      </w:r>
      <w:r w:rsidRPr="008D3777">
        <w:rPr>
          <w:rFonts w:ascii="Bookman Old Style" w:hAnsi="Bookman Old Style" w:cs="Arial"/>
          <w:i/>
          <w:iCs/>
          <w:sz w:val="20"/>
          <w:szCs w:val="20"/>
        </w:rPr>
        <w:t xml:space="preserve">gar, porque de mantenerse se violaría el principio de igualdad al no darse a DUE el mismo tratamiento que a </w:t>
      </w:r>
      <w:proofErr w:type="spellStart"/>
      <w:r w:rsidRPr="008D3777">
        <w:rPr>
          <w:rFonts w:ascii="Bookman Old Style" w:hAnsi="Bookman Old Style" w:cs="Arial"/>
          <w:i/>
          <w:iCs/>
          <w:sz w:val="20"/>
          <w:szCs w:val="20"/>
        </w:rPr>
        <w:t>Gensa</w:t>
      </w:r>
      <w:proofErr w:type="spellEnd"/>
      <w:r w:rsidRPr="008D3777">
        <w:rPr>
          <w:rFonts w:ascii="Bookman Old Style" w:hAnsi="Bookman Old Style" w:cs="Arial"/>
          <w:i/>
          <w:iCs/>
          <w:sz w:val="20"/>
          <w:szCs w:val="20"/>
        </w:rPr>
        <w:t xml:space="preserve"> en un caso similar. A continuación, se explican estas dos razones de la solicitud de modificación.</w:t>
      </w:r>
    </w:p>
    <w:p w14:paraId="68F298FA" w14:textId="77777777" w:rsidR="007F2AFE" w:rsidRPr="008D3777" w:rsidRDefault="007F2AFE" w:rsidP="009F2F28">
      <w:pPr>
        <w:spacing w:after="0" w:line="240" w:lineRule="auto"/>
        <w:ind w:left="426"/>
        <w:contextualSpacing/>
        <w:jc w:val="both"/>
        <w:rPr>
          <w:rFonts w:ascii="Bookman Old Style" w:hAnsi="Bookman Old Style" w:cs="Arial"/>
          <w:i/>
          <w:iCs/>
          <w:sz w:val="20"/>
          <w:szCs w:val="20"/>
        </w:rPr>
      </w:pPr>
      <w:bookmarkStart w:id="5" w:name="_Hlk52200429"/>
    </w:p>
    <w:p w14:paraId="3DE3A5A8" w14:textId="77777777" w:rsidR="007F2AFE" w:rsidRPr="008D3777" w:rsidRDefault="007F2AFE" w:rsidP="009F2F28">
      <w:pPr>
        <w:spacing w:after="0" w:line="240" w:lineRule="auto"/>
        <w:ind w:left="426"/>
        <w:contextualSpacing/>
        <w:jc w:val="both"/>
        <w:rPr>
          <w:rFonts w:ascii="Bookman Old Style" w:hAnsi="Bookman Old Style" w:cs="Arial"/>
          <w:b/>
          <w:bCs/>
          <w:i/>
          <w:iCs/>
          <w:sz w:val="20"/>
          <w:szCs w:val="20"/>
        </w:rPr>
      </w:pPr>
      <w:r w:rsidRPr="008D3777">
        <w:rPr>
          <w:rFonts w:ascii="Bookman Old Style" w:hAnsi="Bookman Old Style" w:cs="Arial"/>
          <w:b/>
          <w:bCs/>
          <w:i/>
          <w:iCs/>
          <w:sz w:val="20"/>
          <w:szCs w:val="20"/>
        </w:rPr>
        <w:t xml:space="preserve">3.1. Decisión extra </w:t>
      </w:r>
      <w:proofErr w:type="spellStart"/>
      <w:r w:rsidRPr="008D3777">
        <w:rPr>
          <w:rFonts w:ascii="Bookman Old Style" w:hAnsi="Bookman Old Style" w:cs="Arial"/>
          <w:b/>
          <w:bCs/>
          <w:i/>
          <w:iCs/>
          <w:sz w:val="20"/>
          <w:szCs w:val="20"/>
        </w:rPr>
        <w:t>petita</w:t>
      </w:r>
      <w:proofErr w:type="spellEnd"/>
    </w:p>
    <w:bookmarkEnd w:id="5"/>
    <w:p w14:paraId="6156FB04" w14:textId="77777777" w:rsidR="007F2AFE" w:rsidRPr="008D3777" w:rsidRDefault="007F2AFE" w:rsidP="009F2F28">
      <w:pPr>
        <w:spacing w:after="0" w:line="240" w:lineRule="auto"/>
        <w:ind w:left="426"/>
        <w:contextualSpacing/>
        <w:jc w:val="both"/>
        <w:rPr>
          <w:rFonts w:ascii="Bookman Old Style" w:hAnsi="Bookman Old Style" w:cs="Arial"/>
          <w:i/>
          <w:iCs/>
          <w:sz w:val="20"/>
          <w:szCs w:val="20"/>
        </w:rPr>
      </w:pPr>
    </w:p>
    <w:p w14:paraId="60E8B240" w14:textId="77777777" w:rsidR="007F2AFE" w:rsidRPr="008D3777" w:rsidRDefault="007F2AFE" w:rsidP="009F2F28">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En primer lugar, la resolución es el resultado de una petición particular y concreta realizada por DUE en la cual se solicitaba la aprobación de la remuneración para el proyecto </w:t>
      </w:r>
      <w:proofErr w:type="spellStart"/>
      <w:r w:rsidRPr="008D3777">
        <w:rPr>
          <w:rFonts w:ascii="Bookman Old Style" w:hAnsi="Bookman Old Style" w:cs="Arial"/>
          <w:i/>
          <w:iCs/>
          <w:sz w:val="20"/>
          <w:szCs w:val="20"/>
        </w:rPr>
        <w:t>Matakabi</w:t>
      </w:r>
      <w:proofErr w:type="spellEnd"/>
      <w:r w:rsidRPr="008D3777">
        <w:rPr>
          <w:rFonts w:ascii="Bookman Old Style" w:hAnsi="Bookman Old Style" w:cs="Arial"/>
          <w:i/>
          <w:iCs/>
          <w:sz w:val="20"/>
          <w:szCs w:val="20"/>
        </w:rPr>
        <w:t xml:space="preserve"> y se presentaron las particularidades del mismo, así como sus proyecciones de operación. En la solicitud DUE no pidió la aprobación de la remuneración para las plantas diésel ni para la micro central hidroeléctrica, sino solamente para el proyecto solar fotovoltaico con acumulación y con unas características específicas. En la medida en que la resolución resuelve sobre asuntos que no se le solicitaron, contiene decisiones extra </w:t>
      </w:r>
      <w:proofErr w:type="spellStart"/>
      <w:r w:rsidRPr="008D3777">
        <w:rPr>
          <w:rFonts w:ascii="Bookman Old Style" w:hAnsi="Bookman Old Style" w:cs="Arial"/>
          <w:i/>
          <w:iCs/>
          <w:sz w:val="20"/>
          <w:szCs w:val="20"/>
        </w:rPr>
        <w:t>petita</w:t>
      </w:r>
      <w:proofErr w:type="spellEnd"/>
      <w:r w:rsidRPr="008D3777">
        <w:rPr>
          <w:rFonts w:ascii="Bookman Old Style" w:hAnsi="Bookman Old Style" w:cs="Arial"/>
          <w:i/>
          <w:iCs/>
          <w:sz w:val="20"/>
          <w:szCs w:val="20"/>
        </w:rPr>
        <w:t xml:space="preserve"> que deben revocarse, por lo tanto, la Resolución no debe pronunciarse sobre la remuneración de plantas distintas al proyecto </w:t>
      </w:r>
      <w:proofErr w:type="spellStart"/>
      <w:r w:rsidRPr="008D3777">
        <w:rPr>
          <w:rFonts w:ascii="Bookman Old Style" w:hAnsi="Bookman Old Style" w:cs="Arial"/>
          <w:i/>
          <w:iCs/>
          <w:sz w:val="20"/>
          <w:szCs w:val="20"/>
        </w:rPr>
        <w:t>Matakabi</w:t>
      </w:r>
      <w:proofErr w:type="spellEnd"/>
      <w:r w:rsidRPr="008D3777">
        <w:rPr>
          <w:rFonts w:ascii="Bookman Old Style" w:hAnsi="Bookman Old Style" w:cs="Arial"/>
          <w:i/>
          <w:iCs/>
          <w:sz w:val="20"/>
          <w:szCs w:val="20"/>
        </w:rPr>
        <w:t>.</w:t>
      </w:r>
    </w:p>
    <w:p w14:paraId="5A0B2D5F" w14:textId="77777777" w:rsidR="007F2AFE" w:rsidRPr="008D3777" w:rsidRDefault="007F2AFE" w:rsidP="00FA1EA0">
      <w:pPr>
        <w:spacing w:after="0" w:line="240" w:lineRule="auto"/>
        <w:ind w:left="426"/>
        <w:contextualSpacing/>
        <w:jc w:val="both"/>
        <w:rPr>
          <w:rFonts w:ascii="Bookman Old Style" w:hAnsi="Bookman Old Style" w:cs="Arial"/>
          <w:i/>
          <w:iCs/>
          <w:sz w:val="20"/>
          <w:szCs w:val="20"/>
        </w:rPr>
      </w:pPr>
    </w:p>
    <w:p w14:paraId="79D87378" w14:textId="77777777" w:rsidR="007F2AFE" w:rsidRPr="008D3777" w:rsidRDefault="007F2AFE" w:rsidP="00FA1EA0">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DUE se fundamentó en el literal d) del artículo 22 de la Resolución CREG 091 de 2007, el cual establece:</w:t>
      </w:r>
    </w:p>
    <w:p w14:paraId="7FD2BA40" w14:textId="77777777" w:rsidR="007F2AFE" w:rsidRPr="008D3777" w:rsidRDefault="007F2AFE" w:rsidP="00FA1EA0">
      <w:pPr>
        <w:spacing w:after="0" w:line="240" w:lineRule="auto"/>
        <w:ind w:left="426"/>
        <w:contextualSpacing/>
        <w:jc w:val="both"/>
        <w:rPr>
          <w:rFonts w:ascii="Bookman Old Style" w:hAnsi="Bookman Old Style" w:cs="Arial"/>
          <w:i/>
          <w:iCs/>
          <w:sz w:val="20"/>
          <w:szCs w:val="20"/>
        </w:rPr>
      </w:pPr>
    </w:p>
    <w:p w14:paraId="52402C99" w14:textId="77777777" w:rsidR="007F2AFE" w:rsidRPr="008D3777" w:rsidRDefault="007F2AFE" w:rsidP="00FA1EA0">
      <w:pPr>
        <w:spacing w:after="0" w:line="240" w:lineRule="auto"/>
        <w:ind w:left="851"/>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“Los costos unitarios de inversión para sistemas híbridos y </w:t>
      </w:r>
      <w:r w:rsidRPr="008D3777">
        <w:rPr>
          <w:rFonts w:ascii="Bookman Old Style" w:hAnsi="Bookman Old Style" w:cs="Arial"/>
          <w:b/>
          <w:bCs/>
          <w:i/>
          <w:iCs/>
          <w:sz w:val="20"/>
          <w:szCs w:val="20"/>
        </w:rPr>
        <w:t>otras tecnologías de generación no definidos en la presente resolución, podrán proponerse a la Comisión quién definirá en Resolución particular los costos correspondientes</w:t>
      </w:r>
      <w:r w:rsidRPr="008D3777">
        <w:rPr>
          <w:rFonts w:ascii="Bookman Old Style" w:hAnsi="Bookman Old Style" w:cs="Arial"/>
          <w:i/>
          <w:iCs/>
          <w:sz w:val="20"/>
          <w:szCs w:val="20"/>
        </w:rPr>
        <w:t>” Negrillas fuera de texto</w:t>
      </w:r>
    </w:p>
    <w:p w14:paraId="02FBD376" w14:textId="77777777" w:rsidR="007F2AFE" w:rsidRPr="008D3777" w:rsidRDefault="007F2AFE" w:rsidP="00FA1EA0">
      <w:pPr>
        <w:spacing w:after="0" w:line="240" w:lineRule="auto"/>
        <w:ind w:left="426"/>
        <w:contextualSpacing/>
        <w:jc w:val="both"/>
        <w:rPr>
          <w:rFonts w:ascii="Bookman Old Style" w:hAnsi="Bookman Old Style" w:cs="Arial"/>
          <w:i/>
          <w:iCs/>
          <w:sz w:val="20"/>
          <w:szCs w:val="20"/>
        </w:rPr>
      </w:pPr>
    </w:p>
    <w:p w14:paraId="11EBFC3C" w14:textId="77777777" w:rsidR="007F2AFE" w:rsidRPr="008D3777" w:rsidRDefault="007F2AFE" w:rsidP="00FA1EA0">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Esto fue solicitado de esta manera teniendo en cuenta que el proyecto </w:t>
      </w:r>
      <w:proofErr w:type="spellStart"/>
      <w:r w:rsidRPr="008D3777">
        <w:rPr>
          <w:rFonts w:ascii="Bookman Old Style" w:hAnsi="Bookman Old Style" w:cs="Arial"/>
          <w:i/>
          <w:iCs/>
          <w:sz w:val="20"/>
          <w:szCs w:val="20"/>
        </w:rPr>
        <w:t>Matakavi</w:t>
      </w:r>
      <w:proofErr w:type="spellEnd"/>
      <w:r w:rsidRPr="008D3777">
        <w:rPr>
          <w:rFonts w:ascii="Bookman Old Style" w:hAnsi="Bookman Old Style" w:cs="Arial"/>
          <w:i/>
          <w:iCs/>
          <w:sz w:val="20"/>
          <w:szCs w:val="20"/>
        </w:rPr>
        <w:t xml:space="preserve">, un proyecto de generación solar fotovoltaica centralizado con acumulación de más de 1000kW, tecnología de generación que no está contemplada en la Resolución 091. Es decir, DUE solicitó a la CREG determinar el Cargo Máximo de Generación para el proyecto </w:t>
      </w:r>
      <w:proofErr w:type="spellStart"/>
      <w:r w:rsidRPr="008D3777">
        <w:rPr>
          <w:rFonts w:ascii="Bookman Old Style" w:hAnsi="Bookman Old Style" w:cs="Arial"/>
          <w:i/>
          <w:iCs/>
          <w:sz w:val="20"/>
          <w:szCs w:val="20"/>
        </w:rPr>
        <w:t>Matakavi</w:t>
      </w:r>
      <w:proofErr w:type="spellEnd"/>
      <w:r w:rsidRPr="008D3777">
        <w:rPr>
          <w:rFonts w:ascii="Bookman Old Style" w:hAnsi="Bookman Old Style" w:cs="Arial"/>
          <w:i/>
          <w:iCs/>
          <w:sz w:val="20"/>
          <w:szCs w:val="20"/>
        </w:rPr>
        <w:t xml:space="preserve"> específicamente; de ninguna manera DUE solicitó que se expidiera una resolución de carácter general en la cual se definiera el Cargo Máximo de Generación para el mercado relevante de Mitú.</w:t>
      </w:r>
    </w:p>
    <w:p w14:paraId="25383D47" w14:textId="77777777" w:rsidR="007F2AFE" w:rsidRPr="008D3777" w:rsidRDefault="007F2AFE" w:rsidP="00FA1EA0">
      <w:pPr>
        <w:spacing w:after="0" w:line="240" w:lineRule="auto"/>
        <w:ind w:left="426"/>
        <w:contextualSpacing/>
        <w:jc w:val="both"/>
        <w:rPr>
          <w:rFonts w:ascii="Bookman Old Style" w:hAnsi="Bookman Old Style" w:cs="Arial"/>
          <w:i/>
          <w:iCs/>
          <w:sz w:val="20"/>
          <w:szCs w:val="20"/>
        </w:rPr>
      </w:pPr>
    </w:p>
    <w:p w14:paraId="79938F1A" w14:textId="77777777" w:rsidR="007F2AFE" w:rsidRPr="008D3777" w:rsidRDefault="007F2AFE" w:rsidP="00FA1EA0">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De la misma manera, DUE no realizó la solicitud de Cargo Máximo de Generación para un sistema híbrido diésel, PCH y solar fotovoltaico, como erróneamente lo consideró la CREG. Tal y como consta en la solicitud de Cargo para </w:t>
      </w:r>
      <w:proofErr w:type="spellStart"/>
      <w:r w:rsidRPr="008D3777">
        <w:rPr>
          <w:rFonts w:ascii="Bookman Old Style" w:hAnsi="Bookman Old Style" w:cs="Arial"/>
          <w:i/>
          <w:iCs/>
          <w:sz w:val="20"/>
          <w:szCs w:val="20"/>
        </w:rPr>
        <w:t>Matakavi</w:t>
      </w:r>
      <w:proofErr w:type="spellEnd"/>
      <w:r w:rsidRPr="008D3777">
        <w:rPr>
          <w:rFonts w:ascii="Bookman Old Style" w:hAnsi="Bookman Old Style" w:cs="Arial"/>
          <w:i/>
          <w:iCs/>
          <w:sz w:val="20"/>
          <w:szCs w:val="20"/>
        </w:rPr>
        <w:t xml:space="preserve"> radicada ante la CREG el 22 de febrero de 2019, DUE presentó la solicitud para un para “un proyecto solar centralizado con acumulación interconectado al sistema de distribución del municipio de Mitú, con una capacidad de generación superior a 7.6 </w:t>
      </w:r>
      <w:proofErr w:type="spellStart"/>
      <w:r w:rsidRPr="008D3777">
        <w:rPr>
          <w:rFonts w:ascii="Bookman Old Style" w:hAnsi="Bookman Old Style" w:cs="Arial"/>
          <w:i/>
          <w:iCs/>
          <w:sz w:val="20"/>
          <w:szCs w:val="20"/>
        </w:rPr>
        <w:t>MWp</w:t>
      </w:r>
      <w:proofErr w:type="spellEnd"/>
      <w:r w:rsidRPr="008D3777">
        <w:rPr>
          <w:rFonts w:ascii="Bookman Old Style" w:hAnsi="Bookman Old Style" w:cs="Arial"/>
          <w:i/>
          <w:iCs/>
          <w:sz w:val="20"/>
          <w:szCs w:val="20"/>
        </w:rPr>
        <w:t xml:space="preserve"> con una acumulación de 8.8 </w:t>
      </w:r>
      <w:proofErr w:type="spellStart"/>
      <w:r w:rsidRPr="008D3777">
        <w:rPr>
          <w:rFonts w:ascii="Bookman Old Style" w:hAnsi="Bookman Old Style" w:cs="Arial"/>
          <w:i/>
          <w:iCs/>
          <w:sz w:val="20"/>
          <w:szCs w:val="20"/>
        </w:rPr>
        <w:t>MWh</w:t>
      </w:r>
      <w:proofErr w:type="spellEnd"/>
      <w:r w:rsidRPr="008D3777">
        <w:rPr>
          <w:rFonts w:ascii="Bookman Old Style" w:hAnsi="Bookman Old Style" w:cs="Arial"/>
          <w:i/>
          <w:iCs/>
          <w:sz w:val="20"/>
          <w:szCs w:val="20"/>
        </w:rPr>
        <w:t>”, de ninguna manera la solicitud se realizó para un sistema de generación híbrido diésel, PCH y solar fotovoltaico. Una vez más, la CREG resuelve sobre algo que no fue solicitado.</w:t>
      </w:r>
    </w:p>
    <w:p w14:paraId="2CE5CF22" w14:textId="77777777" w:rsidR="007F2AFE" w:rsidRPr="008D3777" w:rsidRDefault="007F2AFE" w:rsidP="00FA1EA0">
      <w:pPr>
        <w:spacing w:after="0" w:line="240" w:lineRule="auto"/>
        <w:ind w:left="426"/>
        <w:contextualSpacing/>
        <w:jc w:val="both"/>
        <w:rPr>
          <w:rFonts w:ascii="Bookman Old Style" w:hAnsi="Bookman Old Style" w:cs="Arial"/>
          <w:i/>
          <w:iCs/>
          <w:sz w:val="20"/>
          <w:szCs w:val="20"/>
        </w:rPr>
      </w:pPr>
    </w:p>
    <w:p w14:paraId="07481A68" w14:textId="77777777" w:rsidR="007F2AFE" w:rsidRPr="008D3777" w:rsidRDefault="007F2AFE" w:rsidP="00FA1EA0">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Adicionalmente, y tal como es reconocido por la CREG en el artículo 1 del resuelve de la Resolución 124, los Cargos Máximos de Generación, tanto del sistema de generación diésel como de la PCH son calculados según lo previsto en los literales a) y b) de la Resolución 091, pues son sistemas de generación previstos en esta resolución.</w:t>
      </w:r>
    </w:p>
    <w:p w14:paraId="7429AD18" w14:textId="77777777" w:rsidR="007F2AFE" w:rsidRPr="008D3777" w:rsidRDefault="007F2AFE" w:rsidP="00FA1EA0">
      <w:pPr>
        <w:spacing w:after="0" w:line="240" w:lineRule="auto"/>
        <w:ind w:left="426"/>
        <w:contextualSpacing/>
        <w:jc w:val="both"/>
        <w:rPr>
          <w:rFonts w:ascii="Bookman Old Style" w:hAnsi="Bookman Old Style" w:cs="Arial"/>
          <w:i/>
          <w:iCs/>
          <w:sz w:val="20"/>
          <w:szCs w:val="20"/>
        </w:rPr>
      </w:pPr>
    </w:p>
    <w:p w14:paraId="7DE25D16" w14:textId="77777777" w:rsidR="007F2AFE" w:rsidRPr="008D3777" w:rsidRDefault="007F2AFE" w:rsidP="00FA1EA0">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Finalmente, la CREG, en virtud de los artículos 39 y ss. de la Ley 143 de 1994, está facultada para expedir los cargos asociados con el acceso y uso de las redes del Sistema Interconectado Nacional – SIN, los cuales se refieren a activos o proyectos concretos, siempre relacionados con unidad constructiva que integran o integrarán un proyecto concreto, representado en el mercado por un agente específico. Si bien el caso concreto no es para el acceso y uso de redes del SIN, también corresponde a un cargo que debe expedirse de manera particular para el proyecto solicitado, y no para el mercado relevante.</w:t>
      </w:r>
    </w:p>
    <w:p w14:paraId="701A206E" w14:textId="77777777" w:rsidR="007F2AFE" w:rsidRPr="008D3777" w:rsidRDefault="007F2AFE" w:rsidP="00FA1EA0">
      <w:pPr>
        <w:spacing w:after="0" w:line="240" w:lineRule="auto"/>
        <w:ind w:left="426"/>
        <w:contextualSpacing/>
        <w:jc w:val="both"/>
        <w:rPr>
          <w:rFonts w:ascii="Bookman Old Style" w:hAnsi="Bookman Old Style" w:cs="Arial"/>
          <w:i/>
          <w:iCs/>
          <w:sz w:val="20"/>
          <w:szCs w:val="20"/>
        </w:rPr>
      </w:pPr>
    </w:p>
    <w:p w14:paraId="355B1D83" w14:textId="77777777" w:rsidR="007F2AFE" w:rsidRPr="008D3777" w:rsidRDefault="007F2AFE" w:rsidP="00FA1EA0">
      <w:pPr>
        <w:spacing w:after="0" w:line="240" w:lineRule="auto"/>
        <w:ind w:left="426"/>
        <w:contextualSpacing/>
        <w:jc w:val="both"/>
        <w:rPr>
          <w:rFonts w:ascii="Bookman Old Style" w:hAnsi="Bookman Old Style" w:cs="Arial"/>
          <w:b/>
          <w:bCs/>
          <w:i/>
          <w:iCs/>
          <w:sz w:val="20"/>
          <w:szCs w:val="20"/>
        </w:rPr>
      </w:pPr>
      <w:r w:rsidRPr="008D3777">
        <w:rPr>
          <w:rFonts w:ascii="Bookman Old Style" w:hAnsi="Bookman Old Style" w:cs="Arial"/>
          <w:b/>
          <w:bCs/>
          <w:i/>
          <w:iCs/>
          <w:sz w:val="20"/>
          <w:szCs w:val="20"/>
        </w:rPr>
        <w:t>3.2. El principio de igualdad</w:t>
      </w:r>
    </w:p>
    <w:p w14:paraId="038806AE" w14:textId="77777777" w:rsidR="007F2AFE" w:rsidRPr="008D3777" w:rsidRDefault="007F2AFE" w:rsidP="00FA1EA0">
      <w:pPr>
        <w:spacing w:after="0" w:line="240" w:lineRule="auto"/>
        <w:ind w:left="426"/>
        <w:contextualSpacing/>
        <w:jc w:val="both"/>
        <w:rPr>
          <w:rFonts w:ascii="Bookman Old Style" w:hAnsi="Bookman Old Style" w:cs="Arial"/>
          <w:i/>
          <w:iCs/>
          <w:sz w:val="20"/>
          <w:szCs w:val="20"/>
        </w:rPr>
      </w:pPr>
    </w:p>
    <w:p w14:paraId="1474FDC2" w14:textId="77777777" w:rsidR="007F2AFE" w:rsidRPr="008D3777" w:rsidRDefault="007F2AFE" w:rsidP="00FA1EA0">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En segundo lugar, de mantenerse la resolución para todo el mercado de comercialización del mercado relevante de Mitú, departamento del </w:t>
      </w:r>
      <w:proofErr w:type="spellStart"/>
      <w:r w:rsidRPr="008D3777">
        <w:rPr>
          <w:rFonts w:ascii="Bookman Old Style" w:hAnsi="Bookman Old Style" w:cs="Arial"/>
          <w:i/>
          <w:iCs/>
          <w:sz w:val="20"/>
          <w:szCs w:val="20"/>
        </w:rPr>
        <w:t>Vapués</w:t>
      </w:r>
      <w:proofErr w:type="spellEnd"/>
      <w:r w:rsidRPr="008D3777">
        <w:rPr>
          <w:rFonts w:ascii="Bookman Old Style" w:hAnsi="Bookman Old Style" w:cs="Arial"/>
          <w:i/>
          <w:iCs/>
          <w:sz w:val="20"/>
          <w:szCs w:val="20"/>
        </w:rPr>
        <w:t xml:space="preserve">, sería violatoria del principio de igualdad en la función administrativa, teniendo en cuenta que en esta no se le da el mismo trato a DUE que se </w:t>
      </w:r>
      <w:proofErr w:type="gramStart"/>
      <w:r w:rsidRPr="008D3777">
        <w:rPr>
          <w:rFonts w:ascii="Bookman Old Style" w:hAnsi="Bookman Old Style" w:cs="Arial"/>
          <w:i/>
          <w:iCs/>
          <w:sz w:val="20"/>
          <w:szCs w:val="20"/>
        </w:rPr>
        <w:t>le</w:t>
      </w:r>
      <w:proofErr w:type="gramEnd"/>
      <w:r w:rsidRPr="008D3777">
        <w:rPr>
          <w:rFonts w:ascii="Bookman Old Style" w:hAnsi="Bookman Old Style" w:cs="Arial"/>
          <w:i/>
          <w:iCs/>
          <w:sz w:val="20"/>
          <w:szCs w:val="20"/>
        </w:rPr>
        <w:t xml:space="preserve"> da a otras empresas con solicitudes similares de Cargo Máximo de Generación en Zonas no Interconectadas – ZNI.</w:t>
      </w:r>
    </w:p>
    <w:p w14:paraId="6737A5F5" w14:textId="77777777" w:rsidR="007F2AFE" w:rsidRPr="008D3777" w:rsidRDefault="007F2AFE" w:rsidP="00FA1EA0">
      <w:pPr>
        <w:spacing w:after="0" w:line="240" w:lineRule="auto"/>
        <w:ind w:left="426"/>
        <w:contextualSpacing/>
        <w:jc w:val="both"/>
        <w:rPr>
          <w:rFonts w:ascii="Bookman Old Style" w:hAnsi="Bookman Old Style" w:cs="Arial"/>
          <w:i/>
          <w:iCs/>
          <w:sz w:val="20"/>
          <w:szCs w:val="20"/>
        </w:rPr>
      </w:pPr>
    </w:p>
    <w:p w14:paraId="5CE6A7D5" w14:textId="77777777" w:rsidR="007F2AFE" w:rsidRPr="008D3777" w:rsidRDefault="007F2AFE" w:rsidP="00FA1EA0">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En la Resolución 013 de 2018, mediante la CREG resolvió la solicitud de remuneración para un proyecto solar fotovoltaico interconectado a la red de distribución del municipio de Inírida con una capacidad de generación de 2.47 </w:t>
      </w:r>
      <w:proofErr w:type="spellStart"/>
      <w:r w:rsidRPr="008D3777">
        <w:rPr>
          <w:rFonts w:ascii="Bookman Old Style" w:hAnsi="Bookman Old Style" w:cs="Arial"/>
          <w:i/>
          <w:iCs/>
          <w:sz w:val="20"/>
          <w:szCs w:val="20"/>
        </w:rPr>
        <w:t>MWp</w:t>
      </w:r>
      <w:proofErr w:type="spellEnd"/>
      <w:r w:rsidRPr="008D3777">
        <w:rPr>
          <w:rFonts w:ascii="Bookman Old Style" w:hAnsi="Bookman Old Style" w:cs="Arial"/>
          <w:i/>
          <w:iCs/>
          <w:sz w:val="20"/>
          <w:szCs w:val="20"/>
        </w:rPr>
        <w:t xml:space="preserve"> de la empresa Gestión Energética S.A. E.S.P. – </w:t>
      </w:r>
      <w:proofErr w:type="spellStart"/>
      <w:r w:rsidRPr="008D3777">
        <w:rPr>
          <w:rFonts w:ascii="Bookman Old Style" w:hAnsi="Bookman Old Style" w:cs="Arial"/>
          <w:i/>
          <w:iCs/>
          <w:sz w:val="20"/>
          <w:szCs w:val="20"/>
        </w:rPr>
        <w:t>Gensa</w:t>
      </w:r>
      <w:proofErr w:type="spellEnd"/>
      <w:r w:rsidRPr="008D3777">
        <w:rPr>
          <w:rFonts w:ascii="Bookman Old Style" w:hAnsi="Bookman Old Style" w:cs="Arial"/>
          <w:i/>
          <w:iCs/>
          <w:sz w:val="20"/>
          <w:szCs w:val="20"/>
        </w:rPr>
        <w:t xml:space="preserve">. En esta resolución, la CREG, de manera expresa y concreta, otorga el Cargo Máximo de Generación a </w:t>
      </w:r>
      <w:proofErr w:type="spellStart"/>
      <w:r w:rsidRPr="008D3777">
        <w:rPr>
          <w:rFonts w:ascii="Bookman Old Style" w:hAnsi="Bookman Old Style" w:cs="Arial"/>
          <w:i/>
          <w:iCs/>
          <w:sz w:val="20"/>
          <w:szCs w:val="20"/>
        </w:rPr>
        <w:t>Gensa</w:t>
      </w:r>
      <w:proofErr w:type="spellEnd"/>
      <w:r w:rsidRPr="008D3777">
        <w:rPr>
          <w:rFonts w:ascii="Bookman Old Style" w:hAnsi="Bookman Old Style" w:cs="Arial"/>
          <w:i/>
          <w:iCs/>
          <w:sz w:val="20"/>
          <w:szCs w:val="20"/>
        </w:rPr>
        <w:t xml:space="preserve"> para el parque solar fotovoltaico de 2,47 MW solicitado por GENSA para el municipio de Inírida, Guainía, tal y como se evidencia en el resuelve de la misma:</w:t>
      </w:r>
    </w:p>
    <w:p w14:paraId="17C16B93" w14:textId="77777777" w:rsidR="007F2AFE" w:rsidRPr="008D3777" w:rsidRDefault="007F2AFE" w:rsidP="00FA1EA0">
      <w:pPr>
        <w:spacing w:after="0" w:line="240" w:lineRule="auto"/>
        <w:ind w:left="426"/>
        <w:contextualSpacing/>
        <w:jc w:val="both"/>
        <w:rPr>
          <w:rFonts w:ascii="Bookman Old Style" w:hAnsi="Bookman Old Style" w:cs="Arial"/>
          <w:i/>
          <w:iCs/>
          <w:sz w:val="20"/>
          <w:szCs w:val="20"/>
        </w:rPr>
      </w:pPr>
    </w:p>
    <w:p w14:paraId="7248AE08" w14:textId="77777777" w:rsidR="007F2AFE" w:rsidRPr="008D3777" w:rsidRDefault="007F2AFE" w:rsidP="00FA1EA0">
      <w:pPr>
        <w:spacing w:after="0" w:line="240" w:lineRule="auto"/>
        <w:ind w:left="851"/>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“ARTÍCULO 1. Remuneración de las componentes de inversión y de administración, operación y mantenimiento para </w:t>
      </w:r>
      <w:r w:rsidRPr="008D3777">
        <w:rPr>
          <w:rFonts w:ascii="Bookman Old Style" w:hAnsi="Bookman Old Style" w:cs="Arial"/>
          <w:i/>
          <w:iCs/>
          <w:sz w:val="20"/>
          <w:szCs w:val="20"/>
          <w:u w:val="single"/>
        </w:rPr>
        <w:t xml:space="preserve">el sistema solar fotovoltaico de 2.47 </w:t>
      </w:r>
      <w:proofErr w:type="spellStart"/>
      <w:r w:rsidRPr="008D3777">
        <w:rPr>
          <w:rFonts w:ascii="Bookman Old Style" w:hAnsi="Bookman Old Style" w:cs="Arial"/>
          <w:i/>
          <w:iCs/>
          <w:sz w:val="20"/>
          <w:szCs w:val="20"/>
          <w:u w:val="single"/>
        </w:rPr>
        <w:t>MWp</w:t>
      </w:r>
      <w:proofErr w:type="spellEnd"/>
      <w:r w:rsidRPr="008D3777">
        <w:rPr>
          <w:rFonts w:ascii="Bookman Old Style" w:hAnsi="Bookman Old Style" w:cs="Arial"/>
          <w:i/>
          <w:iCs/>
          <w:sz w:val="20"/>
          <w:szCs w:val="20"/>
        </w:rPr>
        <w:t xml:space="preserve">. Las componentes de inversión y de administración, operación y mantenimiento incluyen tanto los costos de adquisición de equipos, obras eléctricas, obras civiles, costos indirectos e interventoría, así como los gastos de mantenimiento preventivo, costos ambientales, seguros, personal operativo y todos aquellos necesarios para la puesta en marcha y posterior operación y mantenimiento </w:t>
      </w:r>
      <w:r w:rsidRPr="008D3777">
        <w:rPr>
          <w:rFonts w:ascii="Bookman Old Style" w:hAnsi="Bookman Old Style" w:cs="Arial"/>
          <w:i/>
          <w:iCs/>
          <w:sz w:val="20"/>
          <w:szCs w:val="20"/>
          <w:u w:val="single"/>
        </w:rPr>
        <w:t xml:space="preserve">del sistema solar fotovoltaico de 2.47 </w:t>
      </w:r>
      <w:proofErr w:type="spellStart"/>
      <w:r w:rsidRPr="008D3777">
        <w:rPr>
          <w:rFonts w:ascii="Bookman Old Style" w:hAnsi="Bookman Old Style" w:cs="Arial"/>
          <w:i/>
          <w:iCs/>
          <w:sz w:val="20"/>
          <w:szCs w:val="20"/>
          <w:u w:val="single"/>
        </w:rPr>
        <w:t>MWp</w:t>
      </w:r>
      <w:proofErr w:type="spellEnd"/>
      <w:r w:rsidRPr="008D3777">
        <w:rPr>
          <w:rFonts w:ascii="Bookman Old Style" w:hAnsi="Bookman Old Style" w:cs="Arial"/>
          <w:i/>
          <w:iCs/>
          <w:sz w:val="20"/>
          <w:szCs w:val="20"/>
          <w:u w:val="single"/>
        </w:rPr>
        <w:t>.</w:t>
      </w:r>
      <w:r w:rsidRPr="008D3777">
        <w:rPr>
          <w:rFonts w:ascii="Bookman Old Style" w:hAnsi="Bookman Old Style" w:cs="Arial"/>
          <w:i/>
          <w:iCs/>
          <w:sz w:val="20"/>
          <w:szCs w:val="20"/>
        </w:rPr>
        <w:t xml:space="preserve"> (…)</w:t>
      </w:r>
    </w:p>
    <w:p w14:paraId="69495B9F" w14:textId="77777777" w:rsidR="007F2AFE" w:rsidRPr="008D3777" w:rsidRDefault="007F2AFE" w:rsidP="00FA1EA0">
      <w:pPr>
        <w:spacing w:after="0" w:line="240" w:lineRule="auto"/>
        <w:ind w:left="851"/>
        <w:contextualSpacing/>
        <w:jc w:val="both"/>
        <w:rPr>
          <w:rFonts w:ascii="Bookman Old Style" w:hAnsi="Bookman Old Style" w:cs="Arial"/>
          <w:i/>
          <w:iCs/>
          <w:sz w:val="20"/>
          <w:szCs w:val="20"/>
        </w:rPr>
      </w:pPr>
    </w:p>
    <w:p w14:paraId="3E4CC033" w14:textId="77777777" w:rsidR="007F2AFE" w:rsidRPr="008D3777" w:rsidRDefault="007F2AFE" w:rsidP="00FA1EA0">
      <w:pPr>
        <w:spacing w:after="0" w:line="240" w:lineRule="auto"/>
        <w:ind w:left="851"/>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ARTÍCULO 2. Aplicación del artículo 25 de la Resolución CREG 091 de 2007 para el parque de generación conectado al sistema de distribución del municipio de Inírida. Para efectos de la aplicación de lo previsto en el artículo de la Resolución CREG 091 de 2007, </w:t>
      </w:r>
      <w:r w:rsidRPr="008D3777">
        <w:rPr>
          <w:rFonts w:ascii="Bookman Old Style" w:hAnsi="Bookman Old Style" w:cs="Arial"/>
          <w:i/>
          <w:iCs/>
          <w:sz w:val="20"/>
          <w:szCs w:val="20"/>
          <w:u w:val="single"/>
        </w:rPr>
        <w:t>el sistema solar fotovoltaico de 2.47MWp</w:t>
      </w:r>
      <w:r w:rsidRPr="008D3777">
        <w:rPr>
          <w:rFonts w:ascii="Bookman Old Style" w:hAnsi="Bookman Old Style" w:cs="Arial"/>
          <w:i/>
          <w:iCs/>
          <w:sz w:val="20"/>
          <w:szCs w:val="20"/>
        </w:rPr>
        <w:t xml:space="preserve"> del que trata la presente resolución, deberá considerarse como una unidad diésel adicional. (…)</w:t>
      </w:r>
    </w:p>
    <w:p w14:paraId="21762B69" w14:textId="77777777" w:rsidR="007F2AFE" w:rsidRPr="008D3777" w:rsidRDefault="007F2AFE" w:rsidP="00FA1EA0">
      <w:pPr>
        <w:spacing w:after="0" w:line="240" w:lineRule="auto"/>
        <w:ind w:left="851"/>
        <w:contextualSpacing/>
        <w:jc w:val="both"/>
        <w:rPr>
          <w:rFonts w:ascii="Bookman Old Style" w:hAnsi="Bookman Old Style" w:cs="Arial"/>
          <w:i/>
          <w:iCs/>
          <w:sz w:val="20"/>
          <w:szCs w:val="20"/>
        </w:rPr>
      </w:pPr>
    </w:p>
    <w:p w14:paraId="4D6C2E8A" w14:textId="77777777" w:rsidR="007F2AFE" w:rsidRPr="008D3777" w:rsidRDefault="007F2AFE" w:rsidP="00FA1EA0">
      <w:pPr>
        <w:spacing w:after="0" w:line="240" w:lineRule="auto"/>
        <w:ind w:left="851"/>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ARTÍCULO 3. Vigencia. Las componentes de inversión y de administración, operación y mantenimiento para </w:t>
      </w:r>
      <w:r w:rsidRPr="008D3777">
        <w:rPr>
          <w:rFonts w:ascii="Bookman Old Style" w:hAnsi="Bookman Old Style" w:cs="Arial"/>
          <w:i/>
          <w:iCs/>
          <w:sz w:val="20"/>
          <w:szCs w:val="20"/>
          <w:u w:val="single"/>
        </w:rPr>
        <w:t xml:space="preserve">el sistema solar fotovoltaico de 2,47 </w:t>
      </w:r>
      <w:proofErr w:type="spellStart"/>
      <w:r w:rsidRPr="008D3777">
        <w:rPr>
          <w:rFonts w:ascii="Bookman Old Style" w:hAnsi="Bookman Old Style" w:cs="Arial"/>
          <w:i/>
          <w:iCs/>
          <w:sz w:val="20"/>
          <w:szCs w:val="20"/>
          <w:u w:val="single"/>
        </w:rPr>
        <w:t>MWp</w:t>
      </w:r>
      <w:proofErr w:type="spellEnd"/>
      <w:r w:rsidRPr="008D3777">
        <w:rPr>
          <w:rFonts w:ascii="Bookman Old Style" w:hAnsi="Bookman Old Style" w:cs="Arial"/>
          <w:i/>
          <w:iCs/>
          <w:sz w:val="20"/>
          <w:szCs w:val="20"/>
        </w:rPr>
        <w:t>, definidas en el artículo 1 de la presenta resolución serán aplicables hasta la entrada en vigencia de la resolución que modifique o sustituya a la Resolución CREG 0691 de 2007, por la cual se establecen las metodologías generales para remunerar las actividades de generación, distribución y comercialización de energía eléctrica, y las fórmulas tarifarias generales para establecer el costo unitario de prestación del servicio público de energía eléctrica en Zonas No Interconectadas.” (el subrayado no es del texto original).</w:t>
      </w:r>
    </w:p>
    <w:p w14:paraId="4A424457" w14:textId="77777777" w:rsidR="007F2AFE" w:rsidRPr="008D3777" w:rsidRDefault="007F2AFE" w:rsidP="00FA1EA0">
      <w:pPr>
        <w:spacing w:after="0" w:line="240" w:lineRule="auto"/>
        <w:ind w:left="426"/>
        <w:contextualSpacing/>
        <w:jc w:val="both"/>
        <w:rPr>
          <w:rFonts w:ascii="Bookman Old Style" w:hAnsi="Bookman Old Style" w:cs="Arial"/>
          <w:i/>
          <w:iCs/>
          <w:sz w:val="20"/>
          <w:szCs w:val="20"/>
        </w:rPr>
      </w:pPr>
    </w:p>
    <w:p w14:paraId="6B44A022" w14:textId="77777777" w:rsidR="007F2AFE" w:rsidRPr="008D3777" w:rsidRDefault="007F2AFE" w:rsidP="00FA1EA0">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Contrario a esto, en la Resolución 124 la CREG resolvió que los Cargo de esta resolución serán aplicables para el mercado relevante de comercialización de Mitú y no solamente para el parque solar fotovoltaico </w:t>
      </w:r>
      <w:proofErr w:type="spellStart"/>
      <w:r w:rsidRPr="008D3777">
        <w:rPr>
          <w:rFonts w:ascii="Bookman Old Style" w:hAnsi="Bookman Old Style" w:cs="Arial"/>
          <w:i/>
          <w:iCs/>
          <w:sz w:val="20"/>
          <w:szCs w:val="20"/>
        </w:rPr>
        <w:t>Matakabi</w:t>
      </w:r>
      <w:proofErr w:type="spellEnd"/>
      <w:r w:rsidRPr="008D3777">
        <w:rPr>
          <w:rFonts w:ascii="Bookman Old Style" w:hAnsi="Bookman Old Style" w:cs="Arial"/>
          <w:i/>
          <w:iCs/>
          <w:sz w:val="20"/>
          <w:szCs w:val="20"/>
        </w:rPr>
        <w:t xml:space="preserve">, aun cuando la solicitud la realizó DUE para dicho parque y los cálculos de la CREG se basan única y exclusivamente en la información del parque solar </w:t>
      </w:r>
      <w:proofErr w:type="spellStart"/>
      <w:r w:rsidRPr="008D3777">
        <w:rPr>
          <w:rFonts w:ascii="Bookman Old Style" w:hAnsi="Bookman Old Style" w:cs="Arial"/>
          <w:i/>
          <w:iCs/>
          <w:sz w:val="20"/>
          <w:szCs w:val="20"/>
        </w:rPr>
        <w:t>Matakabi</w:t>
      </w:r>
      <w:proofErr w:type="spellEnd"/>
      <w:r w:rsidRPr="008D3777">
        <w:rPr>
          <w:rFonts w:ascii="Bookman Old Style" w:hAnsi="Bookman Old Style" w:cs="Arial"/>
          <w:i/>
          <w:iCs/>
          <w:sz w:val="20"/>
          <w:szCs w:val="20"/>
        </w:rPr>
        <w:t>.</w:t>
      </w:r>
    </w:p>
    <w:p w14:paraId="42C03316" w14:textId="77777777" w:rsidR="007F2AFE" w:rsidRPr="008D3777" w:rsidRDefault="007F2AFE" w:rsidP="00FA1EA0">
      <w:pPr>
        <w:spacing w:after="0" w:line="240" w:lineRule="auto"/>
        <w:ind w:left="426"/>
        <w:contextualSpacing/>
        <w:jc w:val="both"/>
        <w:rPr>
          <w:rFonts w:ascii="Bookman Old Style" w:hAnsi="Bookman Old Style" w:cs="Arial"/>
          <w:i/>
          <w:iCs/>
          <w:sz w:val="20"/>
          <w:szCs w:val="20"/>
        </w:rPr>
      </w:pPr>
    </w:p>
    <w:p w14:paraId="62749AD9" w14:textId="77777777" w:rsidR="007F2AFE" w:rsidRPr="008D3777" w:rsidRDefault="007F2AFE" w:rsidP="00FA1EA0">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No se encuentra razón alguna para que en el caso de </w:t>
      </w:r>
      <w:proofErr w:type="spellStart"/>
      <w:r w:rsidRPr="008D3777">
        <w:rPr>
          <w:rFonts w:ascii="Bookman Old Style" w:hAnsi="Bookman Old Style" w:cs="Arial"/>
          <w:i/>
          <w:iCs/>
          <w:sz w:val="20"/>
          <w:szCs w:val="20"/>
        </w:rPr>
        <w:t>Gensa</w:t>
      </w:r>
      <w:proofErr w:type="spellEnd"/>
      <w:r w:rsidRPr="008D3777">
        <w:rPr>
          <w:rFonts w:ascii="Bookman Old Style" w:hAnsi="Bookman Old Style" w:cs="Arial"/>
          <w:i/>
          <w:iCs/>
          <w:sz w:val="20"/>
          <w:szCs w:val="20"/>
        </w:rPr>
        <w:t xml:space="preserve"> los Cargos hayan sido aprobados para el parque solar de 2.47 </w:t>
      </w:r>
      <w:proofErr w:type="spellStart"/>
      <w:r w:rsidRPr="008D3777">
        <w:rPr>
          <w:rFonts w:ascii="Bookman Old Style" w:hAnsi="Bookman Old Style" w:cs="Arial"/>
          <w:i/>
          <w:iCs/>
          <w:sz w:val="20"/>
          <w:szCs w:val="20"/>
        </w:rPr>
        <w:t>MWp</w:t>
      </w:r>
      <w:proofErr w:type="spellEnd"/>
      <w:r w:rsidRPr="008D3777">
        <w:rPr>
          <w:rFonts w:ascii="Bookman Old Style" w:hAnsi="Bookman Old Style" w:cs="Arial"/>
          <w:i/>
          <w:iCs/>
          <w:sz w:val="20"/>
          <w:szCs w:val="20"/>
        </w:rPr>
        <w:t xml:space="preserve"> solicitado, mientras que para el caso de DUE no se aprueben específicamente para el parque </w:t>
      </w:r>
      <w:proofErr w:type="spellStart"/>
      <w:r w:rsidRPr="008D3777">
        <w:rPr>
          <w:rFonts w:ascii="Bookman Old Style" w:hAnsi="Bookman Old Style" w:cs="Arial"/>
          <w:i/>
          <w:iCs/>
          <w:sz w:val="20"/>
          <w:szCs w:val="20"/>
        </w:rPr>
        <w:t>Matakabi</w:t>
      </w:r>
      <w:proofErr w:type="spellEnd"/>
      <w:r w:rsidRPr="008D3777">
        <w:rPr>
          <w:rFonts w:ascii="Bookman Old Style" w:hAnsi="Bookman Old Style" w:cs="Arial"/>
          <w:i/>
          <w:iCs/>
          <w:sz w:val="20"/>
          <w:szCs w:val="20"/>
        </w:rPr>
        <w:t xml:space="preserve">, sino en general para cualquier proyecto que cualquier agente adelante para atender el mercado de comercialización, como parece desprenderse de la Resolución CREG 124 de 2020. Se debe tener en cuenta que en ambos casos se solicitó a la CREG determinar el Cargo Máximo de Generación para parques solares fotovoltaicos centralizados de más de 1000 </w:t>
      </w:r>
      <w:proofErr w:type="spellStart"/>
      <w:r w:rsidRPr="008D3777">
        <w:rPr>
          <w:rFonts w:ascii="Bookman Old Style" w:hAnsi="Bookman Old Style" w:cs="Arial"/>
          <w:i/>
          <w:iCs/>
          <w:sz w:val="20"/>
          <w:szCs w:val="20"/>
        </w:rPr>
        <w:t>kw</w:t>
      </w:r>
      <w:proofErr w:type="spellEnd"/>
      <w:r w:rsidRPr="008D3777">
        <w:rPr>
          <w:rFonts w:ascii="Bookman Old Style" w:hAnsi="Bookman Old Style" w:cs="Arial"/>
          <w:i/>
          <w:iCs/>
          <w:sz w:val="20"/>
          <w:szCs w:val="20"/>
        </w:rPr>
        <w:t xml:space="preserve"> en una zona no interconectada que no forma parte de un área de servicio exclusivo. Siendo este el caso, la CREG, en virtud del literal d) del artículo 22 de la Resolución 091 de 2007, debió expedir una Resolución particular para determinar los costos correspondientes al proyecto particular para el que fueron solicitados.</w:t>
      </w:r>
    </w:p>
    <w:p w14:paraId="2E655817" w14:textId="77777777" w:rsidR="007F2AFE" w:rsidRPr="008D3777" w:rsidRDefault="007F2AFE" w:rsidP="00FA1EA0">
      <w:pPr>
        <w:spacing w:after="0" w:line="240" w:lineRule="auto"/>
        <w:ind w:left="426"/>
        <w:contextualSpacing/>
        <w:jc w:val="both"/>
        <w:rPr>
          <w:rFonts w:ascii="Bookman Old Style" w:hAnsi="Bookman Old Style" w:cs="Arial"/>
          <w:i/>
          <w:iCs/>
          <w:sz w:val="20"/>
          <w:szCs w:val="20"/>
        </w:rPr>
      </w:pPr>
    </w:p>
    <w:p w14:paraId="00F13B5B" w14:textId="77777777" w:rsidR="007F2AFE" w:rsidRPr="008D3777" w:rsidRDefault="007F2AFE" w:rsidP="00FA1EA0">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Por lo anterior, la CREG violó el principio de igualdad al reconocer derechos diferentes a quienes se encontraban en situaciones de hecho similares, pues DUE se encuentra en la misma situación de hecho prevista en la ley que </w:t>
      </w:r>
      <w:proofErr w:type="spellStart"/>
      <w:r w:rsidRPr="008D3777">
        <w:rPr>
          <w:rFonts w:ascii="Bookman Old Style" w:hAnsi="Bookman Old Style" w:cs="Arial"/>
          <w:i/>
          <w:iCs/>
          <w:sz w:val="20"/>
          <w:szCs w:val="20"/>
        </w:rPr>
        <w:t>Gensa</w:t>
      </w:r>
      <w:proofErr w:type="spellEnd"/>
      <w:r w:rsidRPr="008D3777">
        <w:rPr>
          <w:rFonts w:ascii="Bookman Old Style" w:hAnsi="Bookman Old Style" w:cs="Arial"/>
          <w:i/>
          <w:iCs/>
          <w:sz w:val="20"/>
          <w:szCs w:val="20"/>
        </w:rPr>
        <w:t xml:space="preserve">, por lo que la Resolución 124 debe ser de carácter particular y determinar al Cargo Máximo de Generación para el parque solar de fotovoltaico </w:t>
      </w:r>
      <w:proofErr w:type="spellStart"/>
      <w:r w:rsidRPr="008D3777">
        <w:rPr>
          <w:rFonts w:ascii="Bookman Old Style" w:hAnsi="Bookman Old Style" w:cs="Arial"/>
          <w:i/>
          <w:iCs/>
          <w:sz w:val="20"/>
          <w:szCs w:val="20"/>
        </w:rPr>
        <w:t>Matakabi</w:t>
      </w:r>
      <w:proofErr w:type="spellEnd"/>
      <w:r w:rsidRPr="008D3777">
        <w:rPr>
          <w:rFonts w:ascii="Bookman Old Style" w:hAnsi="Bookman Old Style" w:cs="Arial"/>
          <w:i/>
          <w:iCs/>
          <w:sz w:val="20"/>
          <w:szCs w:val="20"/>
        </w:rPr>
        <w:t xml:space="preserve"> y no para el mercado relevante de comercialización de Mitú.</w:t>
      </w:r>
    </w:p>
    <w:p w14:paraId="417ED319" w14:textId="77777777" w:rsidR="007F2AFE" w:rsidRPr="008D3777" w:rsidRDefault="007F2AFE" w:rsidP="00FA1EA0">
      <w:pPr>
        <w:spacing w:after="0" w:line="240" w:lineRule="auto"/>
        <w:ind w:left="426"/>
        <w:contextualSpacing/>
        <w:jc w:val="both"/>
        <w:rPr>
          <w:rFonts w:ascii="Bookman Old Style" w:hAnsi="Bookman Old Style" w:cs="Arial"/>
          <w:i/>
          <w:iCs/>
          <w:sz w:val="20"/>
          <w:szCs w:val="20"/>
        </w:rPr>
      </w:pPr>
    </w:p>
    <w:p w14:paraId="39753309" w14:textId="77777777" w:rsidR="007F2AFE" w:rsidRPr="008D3777" w:rsidRDefault="007F2AFE" w:rsidP="00FA1EA0">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Los principios de la Función Administrativa fueron establecidos por el artículo 209 de la Constitución Política, dentro del cual se encuentra el principio de igualdad:</w:t>
      </w:r>
    </w:p>
    <w:p w14:paraId="6033B41D" w14:textId="77777777" w:rsidR="007F2AFE" w:rsidRPr="008D3777" w:rsidRDefault="007F2AFE" w:rsidP="00FA1EA0">
      <w:pPr>
        <w:spacing w:after="0" w:line="240" w:lineRule="auto"/>
        <w:ind w:left="426"/>
        <w:contextualSpacing/>
        <w:jc w:val="both"/>
        <w:rPr>
          <w:rFonts w:ascii="Bookman Old Style" w:hAnsi="Bookman Old Style" w:cs="Arial"/>
          <w:i/>
          <w:iCs/>
          <w:sz w:val="20"/>
          <w:szCs w:val="20"/>
        </w:rPr>
      </w:pPr>
    </w:p>
    <w:p w14:paraId="3A91A031" w14:textId="77777777" w:rsidR="007F2AFE" w:rsidRPr="008D3777" w:rsidRDefault="007F2AFE" w:rsidP="00FA1EA0">
      <w:pPr>
        <w:spacing w:after="0" w:line="240" w:lineRule="auto"/>
        <w:ind w:left="851"/>
        <w:contextualSpacing/>
        <w:jc w:val="both"/>
        <w:rPr>
          <w:rFonts w:ascii="Bookman Old Style" w:hAnsi="Bookman Old Style" w:cs="Arial"/>
          <w:i/>
          <w:iCs/>
          <w:sz w:val="20"/>
          <w:szCs w:val="20"/>
        </w:rPr>
      </w:pPr>
      <w:r w:rsidRPr="008D3777">
        <w:rPr>
          <w:rFonts w:ascii="Bookman Old Style" w:hAnsi="Bookman Old Style" w:cs="Arial"/>
          <w:i/>
          <w:iCs/>
          <w:sz w:val="20"/>
          <w:szCs w:val="20"/>
        </w:rPr>
        <w:t>“La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w:t>
      </w:r>
    </w:p>
    <w:p w14:paraId="7FBB419A" w14:textId="77777777" w:rsidR="007F2AFE" w:rsidRPr="008D3777" w:rsidRDefault="007F2AFE" w:rsidP="00FA1EA0">
      <w:pPr>
        <w:spacing w:after="0" w:line="240" w:lineRule="auto"/>
        <w:ind w:left="426"/>
        <w:contextualSpacing/>
        <w:jc w:val="both"/>
        <w:rPr>
          <w:rFonts w:ascii="Bookman Old Style" w:hAnsi="Bookman Old Style" w:cs="Arial"/>
          <w:i/>
          <w:iCs/>
          <w:sz w:val="20"/>
          <w:szCs w:val="20"/>
        </w:rPr>
      </w:pPr>
    </w:p>
    <w:p w14:paraId="4DD0ADED" w14:textId="77777777" w:rsidR="007F2AFE" w:rsidRPr="008D3777" w:rsidRDefault="007F2AFE" w:rsidP="00FA1EA0">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Asimismo, estos fueron incluidos en el CPACA en el artículo 3:</w:t>
      </w:r>
    </w:p>
    <w:p w14:paraId="59AD3609" w14:textId="77777777" w:rsidR="007F2AFE" w:rsidRPr="008D3777" w:rsidRDefault="007F2AFE" w:rsidP="00FA1EA0">
      <w:pPr>
        <w:spacing w:after="0" w:line="240" w:lineRule="auto"/>
        <w:ind w:left="426"/>
        <w:contextualSpacing/>
        <w:jc w:val="both"/>
        <w:rPr>
          <w:rFonts w:ascii="Bookman Old Style" w:hAnsi="Bookman Old Style" w:cs="Arial"/>
          <w:i/>
          <w:iCs/>
          <w:sz w:val="20"/>
          <w:szCs w:val="20"/>
        </w:rPr>
      </w:pPr>
    </w:p>
    <w:p w14:paraId="64FEE869" w14:textId="77777777" w:rsidR="007F2AFE" w:rsidRPr="008D3777" w:rsidRDefault="007F2AFE" w:rsidP="00FA1EA0">
      <w:pPr>
        <w:spacing w:after="0" w:line="240" w:lineRule="auto"/>
        <w:ind w:left="851"/>
        <w:contextualSpacing/>
        <w:jc w:val="both"/>
        <w:rPr>
          <w:rFonts w:ascii="Bookman Old Style" w:hAnsi="Bookman Old Style" w:cs="Arial"/>
          <w:i/>
          <w:iCs/>
          <w:sz w:val="20"/>
          <w:szCs w:val="20"/>
        </w:rPr>
      </w:pPr>
      <w:r w:rsidRPr="008D3777">
        <w:rPr>
          <w:rFonts w:ascii="Bookman Old Style" w:hAnsi="Bookman Old Style" w:cs="Arial"/>
          <w:i/>
          <w:iCs/>
          <w:sz w:val="20"/>
          <w:szCs w:val="20"/>
        </w:rPr>
        <w:t>“Todas las actuaciones deberán interpretar y aplicar las disposiciones que regulan las actuaciones y procedimientos administrativos a la luz de los principios consagrados en la Constitución Política, en la Parte Primera de este Código y en las leyes especiales.</w:t>
      </w:r>
    </w:p>
    <w:p w14:paraId="2226E8A0" w14:textId="77777777" w:rsidR="007F2AFE" w:rsidRPr="008D3777" w:rsidRDefault="007F2AFE" w:rsidP="00FA1EA0">
      <w:pPr>
        <w:spacing w:after="0" w:line="240" w:lineRule="auto"/>
        <w:ind w:left="851"/>
        <w:contextualSpacing/>
        <w:jc w:val="both"/>
        <w:rPr>
          <w:rFonts w:ascii="Bookman Old Style" w:hAnsi="Bookman Old Style" w:cs="Arial"/>
          <w:i/>
          <w:iCs/>
          <w:sz w:val="20"/>
          <w:szCs w:val="20"/>
        </w:rPr>
      </w:pPr>
    </w:p>
    <w:p w14:paraId="49B70BDB" w14:textId="77777777" w:rsidR="007F2AFE" w:rsidRPr="008D3777" w:rsidRDefault="007F2AFE" w:rsidP="00FA1EA0">
      <w:pPr>
        <w:spacing w:after="0" w:line="240" w:lineRule="auto"/>
        <w:ind w:left="851"/>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Las actuaciones administrativas se desarrollarán, especialmente, con arreglo a los principios del debido proceso, </w:t>
      </w:r>
      <w:r w:rsidRPr="008D3777">
        <w:rPr>
          <w:rFonts w:ascii="Bookman Old Style" w:hAnsi="Bookman Old Style" w:cs="Arial"/>
          <w:b/>
          <w:bCs/>
          <w:i/>
          <w:iCs/>
          <w:sz w:val="20"/>
          <w:szCs w:val="20"/>
        </w:rPr>
        <w:t>igualdad</w:t>
      </w:r>
      <w:r w:rsidRPr="008D3777">
        <w:rPr>
          <w:rFonts w:ascii="Bookman Old Style" w:hAnsi="Bookman Old Style" w:cs="Arial"/>
          <w:i/>
          <w:iCs/>
          <w:sz w:val="20"/>
          <w:szCs w:val="20"/>
        </w:rPr>
        <w:t>, imparcialidad, buena fe, moralidad, participación, responsabilidad, transparencia, publicidad, coordinación, eficacia, economía y celeridad.” (negrilla no es del texto original)”</w:t>
      </w:r>
    </w:p>
    <w:p w14:paraId="0E4EA036" w14:textId="77777777" w:rsidR="007F2AFE" w:rsidRPr="008D3777" w:rsidRDefault="007F2AFE" w:rsidP="00FA1EA0">
      <w:pPr>
        <w:spacing w:after="0" w:line="240" w:lineRule="auto"/>
        <w:ind w:left="426"/>
        <w:contextualSpacing/>
        <w:jc w:val="both"/>
        <w:rPr>
          <w:rFonts w:ascii="Bookman Old Style" w:hAnsi="Bookman Old Style" w:cs="Arial"/>
          <w:i/>
          <w:iCs/>
          <w:sz w:val="20"/>
          <w:szCs w:val="20"/>
        </w:rPr>
      </w:pPr>
    </w:p>
    <w:p w14:paraId="7964EE50" w14:textId="77777777" w:rsidR="007F2AFE" w:rsidRPr="008D3777" w:rsidRDefault="007F2AFE" w:rsidP="00FA1EA0">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Cabe resaltar que estos principios son transversales a la función administrativa y deben ser aplicados por todas las entidades que hacer parte de la Rama Ejecutiva del poder público en todos los procedimientos administrativos. De la misma manera, el numeral 2 del artículo 3 del CPACA realiza un corto desarrollo del principio de igualdad en la función administrativa:</w:t>
      </w:r>
    </w:p>
    <w:p w14:paraId="301763D5" w14:textId="77777777" w:rsidR="007F2AFE" w:rsidRPr="008D3777" w:rsidRDefault="007F2AFE" w:rsidP="00FA1EA0">
      <w:pPr>
        <w:spacing w:after="0" w:line="240" w:lineRule="auto"/>
        <w:ind w:left="426"/>
        <w:contextualSpacing/>
        <w:jc w:val="both"/>
        <w:rPr>
          <w:rFonts w:ascii="Bookman Old Style" w:hAnsi="Bookman Old Style" w:cs="Arial"/>
          <w:i/>
          <w:iCs/>
          <w:sz w:val="20"/>
          <w:szCs w:val="20"/>
        </w:rPr>
      </w:pPr>
    </w:p>
    <w:p w14:paraId="0C5DA418" w14:textId="77777777" w:rsidR="007F2AFE" w:rsidRPr="008D3777" w:rsidRDefault="007F2AFE" w:rsidP="00FA1EA0">
      <w:pPr>
        <w:spacing w:after="0" w:line="240" w:lineRule="auto"/>
        <w:ind w:left="851"/>
        <w:contextualSpacing/>
        <w:jc w:val="both"/>
        <w:rPr>
          <w:rFonts w:ascii="Bookman Old Style" w:hAnsi="Bookman Old Style" w:cs="Arial"/>
          <w:i/>
          <w:iCs/>
          <w:sz w:val="20"/>
          <w:szCs w:val="20"/>
        </w:rPr>
      </w:pPr>
      <w:r w:rsidRPr="008D3777">
        <w:rPr>
          <w:rFonts w:ascii="Bookman Old Style" w:hAnsi="Bookman Old Style" w:cs="Arial"/>
          <w:i/>
          <w:iCs/>
          <w:sz w:val="20"/>
          <w:szCs w:val="20"/>
        </w:rPr>
        <w:t>“2. En virtud del principio de igualdad, las autoridades darán el mismo trato y protección a las personas e instituciones que intervengan en las actuaciones bajo su conocimiento. No obstante, serán objeto de trato y protección especial las personas que por su condición económica, física o mental se encuentran en circunstancias de debilidad manifiesta.”</w:t>
      </w:r>
    </w:p>
    <w:p w14:paraId="7F6CEBA8" w14:textId="77777777" w:rsidR="007F2AFE" w:rsidRPr="008D3777" w:rsidRDefault="007F2AFE" w:rsidP="00FA1EA0">
      <w:pPr>
        <w:spacing w:after="0" w:line="240" w:lineRule="auto"/>
        <w:ind w:left="426"/>
        <w:contextualSpacing/>
        <w:jc w:val="both"/>
        <w:rPr>
          <w:rFonts w:ascii="Bookman Old Style" w:hAnsi="Bookman Old Style" w:cs="Arial"/>
          <w:i/>
          <w:iCs/>
          <w:sz w:val="20"/>
          <w:szCs w:val="20"/>
        </w:rPr>
      </w:pPr>
    </w:p>
    <w:p w14:paraId="10997C0D" w14:textId="77777777" w:rsidR="007F2AFE" w:rsidRPr="008D3777" w:rsidRDefault="007F2AFE" w:rsidP="00FA1EA0">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Igualmente, la Corte Constitucional, mediante la Sentencia C-816 de 2011, se pronunció sobre este principio presente en la función pública, realizando la siguiente consideración:</w:t>
      </w:r>
    </w:p>
    <w:p w14:paraId="6B38C77A" w14:textId="77777777" w:rsidR="007F2AFE" w:rsidRPr="008D3777" w:rsidRDefault="007F2AFE" w:rsidP="00FA1EA0">
      <w:pPr>
        <w:spacing w:after="0" w:line="240" w:lineRule="auto"/>
        <w:ind w:left="426"/>
        <w:contextualSpacing/>
        <w:jc w:val="both"/>
        <w:rPr>
          <w:rFonts w:ascii="Bookman Old Style" w:hAnsi="Bookman Old Style" w:cs="Arial"/>
          <w:i/>
          <w:iCs/>
          <w:sz w:val="20"/>
          <w:szCs w:val="20"/>
        </w:rPr>
      </w:pPr>
    </w:p>
    <w:p w14:paraId="7C497B78" w14:textId="77777777" w:rsidR="007F2AFE" w:rsidRPr="008D3777" w:rsidRDefault="007F2AFE" w:rsidP="00FA1EA0">
      <w:pPr>
        <w:spacing w:after="0" w:line="240" w:lineRule="auto"/>
        <w:ind w:left="851"/>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“Si las autoridades deben sometimiento a la Constitución y la ley en el ejercicio de sus funciones, deben también sujeción al principio de igualdad que la propia Ley Superior prescribe: </w:t>
      </w:r>
      <w:r w:rsidRPr="008D3777">
        <w:rPr>
          <w:rFonts w:ascii="Bookman Old Style" w:hAnsi="Bookman Old Style" w:cs="Arial"/>
          <w:b/>
          <w:bCs/>
          <w:i/>
          <w:iCs/>
          <w:sz w:val="20"/>
          <w:szCs w:val="20"/>
        </w:rPr>
        <w:t>implícito en la obligación para las autoridades de sometimiento a la Constitución y la Ley, se encuentra el deber de igualdad en el ejercicio de la función pública como mandato fundamental.</w:t>
      </w:r>
      <w:r w:rsidRPr="008D3777">
        <w:rPr>
          <w:rFonts w:ascii="Bookman Old Style" w:hAnsi="Bookman Old Style" w:cs="Arial"/>
          <w:i/>
          <w:iCs/>
          <w:sz w:val="20"/>
          <w:szCs w:val="20"/>
        </w:rPr>
        <w:t xml:space="preserve"> En otras palabras, el deber de las autoridades de trato igualitario a las personas emana de la obligación general de acatamiento de la Constitución y la ley, inscrito en la noción de Estado de Derecho. De este modo, desde el momento en que las autoridades administrativas juran el cumplimiento de la Constitución y de la ley -actos de legislación-, se encuentran obligados a la garantía de la igualdad legal de todos los ciudadanos, tanto en el ámbito de la administración pública como en la esfera de los procesos judiciales. Del principio de igualdad de todos ante la ley, se deriva el derecho ciudadano de recibir «la misma protección y trato de las autoridades» (CP, art 13). Su garantía y realización efectiva obliga a todos los servidores públicos en el ejercicio de sus funciones, lo mismo autoridades administrativas que jueces, también como expresión del sometimiento del poder al derecho y la proscripción de la discriminación, la arbitrariedad y la inseguridad. </w:t>
      </w:r>
      <w:r w:rsidRPr="008D3777">
        <w:rPr>
          <w:rFonts w:ascii="Bookman Old Style" w:hAnsi="Bookman Old Style" w:cs="Arial"/>
          <w:b/>
          <w:bCs/>
          <w:i/>
          <w:iCs/>
          <w:sz w:val="20"/>
          <w:szCs w:val="20"/>
        </w:rPr>
        <w:t>Así mismo, de esta obligación constitucional de igualdad de «protección y trato» de las personas, se desprende: (i) el deber a cargo de la administración y la judicatura de adjudicación igualitaria del derecho; (</w:t>
      </w:r>
      <w:proofErr w:type="spellStart"/>
      <w:r w:rsidRPr="008D3777">
        <w:rPr>
          <w:rFonts w:ascii="Bookman Old Style" w:hAnsi="Bookman Old Style" w:cs="Arial"/>
          <w:b/>
          <w:bCs/>
          <w:i/>
          <w:iCs/>
          <w:sz w:val="20"/>
          <w:szCs w:val="20"/>
        </w:rPr>
        <w:t>ii</w:t>
      </w:r>
      <w:proofErr w:type="spellEnd"/>
      <w:r w:rsidRPr="008D3777">
        <w:rPr>
          <w:rFonts w:ascii="Bookman Old Style" w:hAnsi="Bookman Old Style" w:cs="Arial"/>
          <w:b/>
          <w:bCs/>
          <w:i/>
          <w:iCs/>
          <w:sz w:val="20"/>
          <w:szCs w:val="20"/>
        </w:rPr>
        <w:t>) y el derecho de las personas a exigir de sus servidores que, en el ejercicio de sus funciones administrativas o judiciales, reconozcan los mismos derechos a quienes se hallen en una misma situación de hecho prevista en la ley.</w:t>
      </w:r>
      <w:r w:rsidRPr="008D3777">
        <w:rPr>
          <w:rFonts w:ascii="Bookman Old Style" w:hAnsi="Bookman Old Style" w:cs="Arial"/>
          <w:i/>
          <w:iCs/>
          <w:sz w:val="20"/>
          <w:szCs w:val="20"/>
        </w:rPr>
        <w:t xml:space="preserve"> En suma, el deber de igualdad en la aplicación de las normas jurídica, al ser un principio constitucional, es a su vez expresión del otro principio constitucional mencionado, el de legalidad. El ejercicio de las funciones administrativa y judicial transcurre en el marco del estado constitucional de derecho y entraña la concreción del principio de igualdad de trato y protección debidos a los ciudadanos, en cumplimiento del fin estatal esencial de garantizar la efectividad de los derechos, y en consideración a la seguridad jurídica de los asociados, la buena fe y la coherencia del orden jurídico. Lo que conduce al deber de reconocimiento y adjudicación igualitaria de los derechos, a sujetos iguales, como regla general de las actuaciones judiciales y administrativas.” (negrilla no es del texto original)</w:t>
      </w:r>
    </w:p>
    <w:p w14:paraId="2A129704" w14:textId="77777777" w:rsidR="007F2AFE" w:rsidRPr="008D3777" w:rsidRDefault="007F2AFE" w:rsidP="00FA1EA0">
      <w:pPr>
        <w:spacing w:after="0" w:line="240" w:lineRule="auto"/>
        <w:ind w:left="426"/>
        <w:contextualSpacing/>
        <w:jc w:val="both"/>
        <w:rPr>
          <w:rFonts w:ascii="Bookman Old Style" w:hAnsi="Bookman Old Style" w:cs="Arial"/>
          <w:i/>
          <w:iCs/>
          <w:sz w:val="20"/>
          <w:szCs w:val="20"/>
        </w:rPr>
      </w:pPr>
    </w:p>
    <w:p w14:paraId="26384800" w14:textId="77777777" w:rsidR="007F2AFE" w:rsidRPr="008D3777" w:rsidRDefault="007F2AFE" w:rsidP="00FA1EA0">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Es decir, en virtud de la obligación de los funcionarios públicos de someterse al imperio de la Constitución y de la Ley, se desprende la obligación de estos de respetar el principio de igualdad en el ejercicio de la función pública. Además, el principio de igualdad contempla el deber a cargo de la administración de adjudicar igualitariamente los derechos a las personas que se hallen en una misma situación de hecho prevista en la Ley, con el derecho de las personas de exigirlo.</w:t>
      </w:r>
    </w:p>
    <w:p w14:paraId="582EEFC8" w14:textId="77777777" w:rsidR="007F2AFE" w:rsidRPr="008D3777" w:rsidRDefault="007F2AFE" w:rsidP="00FA1EA0">
      <w:pPr>
        <w:spacing w:after="0" w:line="240" w:lineRule="auto"/>
        <w:ind w:left="426"/>
        <w:contextualSpacing/>
        <w:jc w:val="both"/>
        <w:rPr>
          <w:rFonts w:ascii="Bookman Old Style" w:hAnsi="Bookman Old Style" w:cs="Arial"/>
          <w:i/>
          <w:iCs/>
          <w:sz w:val="20"/>
          <w:szCs w:val="20"/>
        </w:rPr>
      </w:pPr>
    </w:p>
    <w:p w14:paraId="1BB1A5F3" w14:textId="77777777" w:rsidR="007F2AFE" w:rsidRPr="008D3777" w:rsidRDefault="007F2AFE" w:rsidP="00FA1EA0">
      <w:pPr>
        <w:spacing w:after="0" w:line="240" w:lineRule="auto"/>
        <w:ind w:left="426"/>
        <w:contextualSpacing/>
        <w:jc w:val="both"/>
        <w:rPr>
          <w:rFonts w:ascii="Bookman Old Style" w:hAnsi="Bookman Old Style" w:cs="Arial"/>
          <w:b/>
          <w:bCs/>
          <w:i/>
          <w:iCs/>
          <w:sz w:val="20"/>
          <w:szCs w:val="20"/>
        </w:rPr>
      </w:pPr>
      <w:r w:rsidRPr="008D3777">
        <w:rPr>
          <w:rFonts w:ascii="Bookman Old Style" w:hAnsi="Bookman Old Style" w:cs="Arial"/>
          <w:b/>
          <w:bCs/>
          <w:i/>
          <w:iCs/>
          <w:sz w:val="20"/>
          <w:szCs w:val="20"/>
        </w:rPr>
        <w:t>4. Modificación del Cargo Máximo de los Componentes de Inversión y Administración Operación y Mantenimiento para Sistemas Híbridos Diésel – Solar Fotovoltaico con Acumulación</w:t>
      </w:r>
    </w:p>
    <w:p w14:paraId="09380A09"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45E5BBEF"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El artículo 22 de la Resolución CREG 091 de 2007 establece que:</w:t>
      </w:r>
    </w:p>
    <w:p w14:paraId="1967904D"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35179099" w14:textId="77777777" w:rsidR="007F2AFE" w:rsidRPr="008D3777" w:rsidRDefault="007F2AFE" w:rsidP="0033266C">
      <w:pPr>
        <w:spacing w:after="0" w:line="240" w:lineRule="auto"/>
        <w:ind w:left="851"/>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“Remuneración de la componente de inversión y mantenimiento de tecnologías de Generación. La componente de inversión de los Cargos Regulados de Generación, expresada en ($/kWh), incluye los costos de adquisición, transporte, instalación, diseños, permisos ambientales, almacenamiento de combustible, transformadores elevadores, equipos de telemedida </w:t>
      </w:r>
      <w:r w:rsidRPr="008D3777">
        <w:rPr>
          <w:rFonts w:ascii="Bookman Old Style" w:hAnsi="Bookman Old Style" w:cs="Arial"/>
          <w:b/>
          <w:bCs/>
          <w:i/>
          <w:iCs/>
          <w:sz w:val="20"/>
          <w:szCs w:val="20"/>
        </w:rPr>
        <w:t>y los necesarios para la puesta en operación de una central de generación,</w:t>
      </w:r>
      <w:r w:rsidRPr="008D3777">
        <w:rPr>
          <w:rFonts w:ascii="Bookman Old Style" w:hAnsi="Bookman Old Style" w:cs="Arial"/>
          <w:i/>
          <w:iCs/>
          <w:sz w:val="20"/>
          <w:szCs w:val="20"/>
        </w:rPr>
        <w:t xml:space="preserve"> y dependerá del tamaño, tecnología, horas de prestación del servicio y el tipo de combustible de cada unidad de generación, como se muestra a continuación (…)” (Negrillas fuera de texto).</w:t>
      </w:r>
    </w:p>
    <w:p w14:paraId="64130104"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481AE293"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Este artículo establece que para determinar la componente de inversión y mantenimiento de las tecnologías de generación se debe tener en cuenta los costos enlistados en este capítulo, así como todos los necesarios para la puesta en operación de la central de generación., por lo cual respetuosamente solicitamos tener en cuenta las siguientes observaciones al cálculo de los cargos aprobados, para lo cual seguiremos el orden propuesto en el Documento de Soporte para analizar cada uno de los ajustes realizados en el cálculo del cargo máximo para el proyecto </w:t>
      </w:r>
      <w:proofErr w:type="spellStart"/>
      <w:r w:rsidRPr="008D3777">
        <w:rPr>
          <w:rFonts w:ascii="Bookman Old Style" w:hAnsi="Bookman Old Style" w:cs="Arial"/>
          <w:i/>
          <w:iCs/>
          <w:sz w:val="20"/>
          <w:szCs w:val="20"/>
        </w:rPr>
        <w:t>Matakabi</w:t>
      </w:r>
      <w:proofErr w:type="spellEnd"/>
      <w:r w:rsidRPr="008D3777">
        <w:rPr>
          <w:rFonts w:ascii="Bookman Old Style" w:hAnsi="Bookman Old Style" w:cs="Arial"/>
          <w:i/>
          <w:iCs/>
          <w:sz w:val="20"/>
          <w:szCs w:val="20"/>
        </w:rPr>
        <w:t>.</w:t>
      </w:r>
    </w:p>
    <w:p w14:paraId="4A72FF5D"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38BB6415" w14:textId="0DB9B147" w:rsidR="007F2AFE" w:rsidRPr="008D3777" w:rsidRDefault="007F2AFE" w:rsidP="0033266C">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El proyecto de Ungía</w:t>
      </w:r>
      <w:r w:rsidRPr="008D3777">
        <w:rPr>
          <w:rStyle w:val="Refdenotaalpie"/>
          <w:rFonts w:ascii="Bookman Old Style" w:hAnsi="Bookman Old Style" w:cs="Arial"/>
          <w:i/>
          <w:iCs/>
          <w:sz w:val="20"/>
          <w:szCs w:val="20"/>
        </w:rPr>
        <w:footnoteReference w:id="3"/>
      </w:r>
      <w:r w:rsidRPr="008D3777">
        <w:rPr>
          <w:rFonts w:ascii="Bookman Old Style" w:hAnsi="Bookman Old Style" w:cs="Arial"/>
          <w:i/>
          <w:iCs/>
          <w:sz w:val="20"/>
          <w:szCs w:val="20"/>
        </w:rPr>
        <w:t xml:space="preserve"> </w:t>
      </w:r>
      <w:r w:rsidRPr="008D3777">
        <w:rPr>
          <w:rFonts w:ascii="Bookman Old Style" w:hAnsi="Bookman Old Style" w:cs="Arial"/>
          <w:b/>
          <w:bCs/>
          <w:i/>
          <w:iCs/>
          <w:sz w:val="20"/>
          <w:szCs w:val="20"/>
        </w:rPr>
        <w:t>para reemplazar un 35% del consumo de combustible</w:t>
      </w:r>
      <w:r w:rsidRPr="008D3777">
        <w:rPr>
          <w:rFonts w:ascii="Bookman Old Style" w:hAnsi="Bookman Old Style" w:cs="Arial"/>
          <w:i/>
          <w:iCs/>
          <w:sz w:val="20"/>
          <w:szCs w:val="20"/>
        </w:rPr>
        <w:t xml:space="preserve"> consta de </w:t>
      </w:r>
      <w:r w:rsidRPr="008D3777">
        <w:rPr>
          <w:rFonts w:ascii="Bookman Old Style" w:hAnsi="Bookman Old Style" w:cs="Arial"/>
          <w:b/>
          <w:bCs/>
          <w:i/>
          <w:iCs/>
          <w:sz w:val="20"/>
          <w:szCs w:val="20"/>
        </w:rPr>
        <w:t>778,32</w:t>
      </w:r>
      <w:r w:rsidRPr="008D3777">
        <w:rPr>
          <w:rFonts w:ascii="Bookman Old Style" w:hAnsi="Bookman Old Style" w:cs="Arial"/>
          <w:i/>
          <w:iCs/>
          <w:sz w:val="20"/>
          <w:szCs w:val="20"/>
        </w:rPr>
        <w:t xml:space="preserve"> </w:t>
      </w:r>
      <w:proofErr w:type="spellStart"/>
      <w:r w:rsidRPr="008D3777">
        <w:rPr>
          <w:rFonts w:ascii="Bookman Old Style" w:hAnsi="Bookman Old Style" w:cs="Arial"/>
          <w:b/>
          <w:bCs/>
          <w:i/>
          <w:iCs/>
          <w:sz w:val="20"/>
          <w:szCs w:val="20"/>
        </w:rPr>
        <w:t>kWp</w:t>
      </w:r>
      <w:proofErr w:type="spellEnd"/>
      <w:r w:rsidRPr="008D3777">
        <w:rPr>
          <w:rFonts w:ascii="Bookman Old Style" w:hAnsi="Bookman Old Style" w:cs="Arial"/>
          <w:b/>
          <w:bCs/>
          <w:i/>
          <w:iCs/>
          <w:sz w:val="20"/>
          <w:szCs w:val="20"/>
        </w:rPr>
        <w:t xml:space="preserve"> de SFV y 115,9 </w:t>
      </w:r>
      <w:proofErr w:type="spellStart"/>
      <w:r w:rsidRPr="008D3777">
        <w:rPr>
          <w:rFonts w:ascii="Bookman Old Style" w:hAnsi="Bookman Old Style" w:cs="Arial"/>
          <w:b/>
          <w:bCs/>
          <w:i/>
          <w:iCs/>
          <w:sz w:val="20"/>
          <w:szCs w:val="20"/>
        </w:rPr>
        <w:t>kWp</w:t>
      </w:r>
      <w:proofErr w:type="spellEnd"/>
      <w:r w:rsidRPr="008D3777">
        <w:rPr>
          <w:rFonts w:ascii="Bookman Old Style" w:hAnsi="Bookman Old Style" w:cs="Arial"/>
          <w:b/>
          <w:bCs/>
          <w:i/>
          <w:iCs/>
          <w:sz w:val="20"/>
          <w:szCs w:val="20"/>
        </w:rPr>
        <w:t xml:space="preserve"> de Almacenamiento</w:t>
      </w:r>
      <w:r w:rsidRPr="008D3777">
        <w:rPr>
          <w:rFonts w:ascii="Bookman Old Style" w:hAnsi="Bookman Old Style" w:cs="Arial"/>
          <w:i/>
          <w:iCs/>
          <w:sz w:val="20"/>
          <w:szCs w:val="20"/>
        </w:rPr>
        <w:t xml:space="preserve"> y tiene como cargos de remuneración para inversión y AOM de $319,18 y $38,05 para SFV; y $1.889,13 y 208,96 para Almacenamiento. La planta </w:t>
      </w:r>
      <w:proofErr w:type="spellStart"/>
      <w:r w:rsidRPr="008D3777">
        <w:rPr>
          <w:rFonts w:ascii="Bookman Old Style" w:hAnsi="Bookman Old Style" w:cs="Arial"/>
          <w:i/>
          <w:iCs/>
          <w:sz w:val="20"/>
          <w:szCs w:val="20"/>
        </w:rPr>
        <w:t>Matakabi</w:t>
      </w:r>
      <w:proofErr w:type="spellEnd"/>
      <w:r w:rsidRPr="008D3777">
        <w:rPr>
          <w:rFonts w:ascii="Bookman Old Style" w:hAnsi="Bookman Old Style" w:cs="Arial"/>
          <w:i/>
          <w:iCs/>
          <w:sz w:val="20"/>
          <w:szCs w:val="20"/>
        </w:rPr>
        <w:t xml:space="preserve"> </w:t>
      </w:r>
      <w:r w:rsidRPr="008D3777">
        <w:rPr>
          <w:rFonts w:ascii="Bookman Old Style" w:hAnsi="Bookman Old Style" w:cs="Arial"/>
          <w:b/>
          <w:bCs/>
          <w:i/>
          <w:iCs/>
          <w:sz w:val="20"/>
          <w:szCs w:val="20"/>
        </w:rPr>
        <w:t>reemplazará el 97,08% del diésel,</w:t>
      </w:r>
      <w:r w:rsidRPr="008D3777">
        <w:rPr>
          <w:rFonts w:ascii="Bookman Old Style" w:hAnsi="Bookman Old Style" w:cs="Arial"/>
          <w:i/>
          <w:iCs/>
          <w:sz w:val="20"/>
          <w:szCs w:val="20"/>
        </w:rPr>
        <w:t xml:space="preserve"> y para ello se requiere una planta SFV de 7,6 </w:t>
      </w:r>
      <w:proofErr w:type="spellStart"/>
      <w:r w:rsidRPr="008D3777">
        <w:rPr>
          <w:rFonts w:ascii="Bookman Old Style" w:hAnsi="Bookman Old Style" w:cs="Arial"/>
          <w:i/>
          <w:iCs/>
          <w:sz w:val="20"/>
          <w:szCs w:val="20"/>
        </w:rPr>
        <w:t>MWp</w:t>
      </w:r>
      <w:proofErr w:type="spellEnd"/>
      <w:r w:rsidRPr="008D3777">
        <w:rPr>
          <w:rFonts w:ascii="Bookman Old Style" w:hAnsi="Bookman Old Style" w:cs="Arial"/>
          <w:i/>
          <w:iCs/>
          <w:sz w:val="20"/>
          <w:szCs w:val="20"/>
        </w:rPr>
        <w:t xml:space="preserve"> y 8,8 </w:t>
      </w:r>
      <w:proofErr w:type="spellStart"/>
      <w:r w:rsidRPr="008D3777">
        <w:rPr>
          <w:rFonts w:ascii="Bookman Old Style" w:hAnsi="Bookman Old Style" w:cs="Arial"/>
          <w:i/>
          <w:iCs/>
          <w:sz w:val="20"/>
          <w:szCs w:val="20"/>
        </w:rPr>
        <w:t>MWh</w:t>
      </w:r>
      <w:proofErr w:type="spellEnd"/>
      <w:r w:rsidRPr="008D3777">
        <w:rPr>
          <w:rFonts w:ascii="Bookman Old Style" w:hAnsi="Bookman Old Style" w:cs="Arial"/>
          <w:i/>
          <w:iCs/>
          <w:sz w:val="20"/>
          <w:szCs w:val="20"/>
        </w:rPr>
        <w:t xml:space="preserve"> de Almacenamiento, es decir </w:t>
      </w:r>
      <w:r w:rsidRPr="008D3777">
        <w:rPr>
          <w:rFonts w:ascii="Bookman Old Style" w:hAnsi="Bookman Old Style" w:cs="Arial"/>
          <w:b/>
          <w:bCs/>
          <w:i/>
          <w:iCs/>
          <w:sz w:val="20"/>
          <w:szCs w:val="20"/>
        </w:rPr>
        <w:t>9,76 veces más grande en SFV y 44,87 veces en Almacenamiento</w:t>
      </w:r>
      <w:r w:rsidRPr="008D3777">
        <w:rPr>
          <w:rFonts w:ascii="Bookman Old Style" w:hAnsi="Bookman Old Style" w:cs="Arial"/>
          <w:i/>
          <w:iCs/>
          <w:sz w:val="20"/>
          <w:szCs w:val="20"/>
        </w:rPr>
        <w:t xml:space="preserve"> lo que las hace extremadamente distintas tanto en inversión como en AOM. La complejidad técnica y operativa de ambos proyectos no los hace comparables a nivel de </w:t>
      </w:r>
      <w:r w:rsidR="005522D3" w:rsidRPr="008D3777">
        <w:rPr>
          <w:rFonts w:ascii="Bookman Old Style" w:hAnsi="Bookman Old Style" w:cs="Arial"/>
          <w:i/>
          <w:iCs/>
          <w:sz w:val="20"/>
          <w:szCs w:val="20"/>
        </w:rPr>
        <w:t>k</w:t>
      </w:r>
      <w:r w:rsidRPr="008D3777">
        <w:rPr>
          <w:rFonts w:ascii="Bookman Old Style" w:hAnsi="Bookman Old Style" w:cs="Arial"/>
          <w:i/>
          <w:iCs/>
          <w:sz w:val="20"/>
          <w:szCs w:val="20"/>
        </w:rPr>
        <w:t xml:space="preserve">Wh. No obstante, lo anterior, el cargo por kWh de inversión en Almacenamiento en </w:t>
      </w:r>
      <w:proofErr w:type="spellStart"/>
      <w:r w:rsidRPr="008D3777">
        <w:rPr>
          <w:rFonts w:ascii="Bookman Old Style" w:hAnsi="Bookman Old Style" w:cs="Arial"/>
          <w:i/>
          <w:iCs/>
          <w:sz w:val="20"/>
          <w:szCs w:val="20"/>
        </w:rPr>
        <w:t>Unguía</w:t>
      </w:r>
      <w:proofErr w:type="spellEnd"/>
      <w:r w:rsidRPr="008D3777">
        <w:rPr>
          <w:rFonts w:ascii="Bookman Old Style" w:hAnsi="Bookman Old Style" w:cs="Arial"/>
          <w:i/>
          <w:iCs/>
          <w:sz w:val="20"/>
          <w:szCs w:val="20"/>
        </w:rPr>
        <w:t xml:space="preserve"> es 15,58% mayor que el propuesto por la Comisión en el caso de </w:t>
      </w:r>
      <w:proofErr w:type="spellStart"/>
      <w:r w:rsidRPr="008D3777">
        <w:rPr>
          <w:rFonts w:ascii="Bookman Old Style" w:hAnsi="Bookman Old Style" w:cs="Arial"/>
          <w:i/>
          <w:iCs/>
          <w:sz w:val="20"/>
          <w:szCs w:val="20"/>
        </w:rPr>
        <w:t>Matakabi</w:t>
      </w:r>
      <w:proofErr w:type="spellEnd"/>
      <w:r w:rsidRPr="008D3777">
        <w:rPr>
          <w:rFonts w:ascii="Bookman Old Style" w:hAnsi="Bookman Old Style" w:cs="Arial"/>
          <w:i/>
          <w:iCs/>
          <w:sz w:val="20"/>
          <w:szCs w:val="20"/>
        </w:rPr>
        <w:t>.</w:t>
      </w:r>
    </w:p>
    <w:p w14:paraId="07FB568B"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5033CEF6" w14:textId="77777777" w:rsidR="007F2AFE" w:rsidRPr="008D3777" w:rsidRDefault="007F2AFE" w:rsidP="0033266C">
      <w:pPr>
        <w:spacing w:after="0" w:line="240" w:lineRule="auto"/>
        <w:ind w:left="426"/>
        <w:contextualSpacing/>
        <w:jc w:val="both"/>
        <w:rPr>
          <w:rFonts w:ascii="Bookman Old Style" w:hAnsi="Bookman Old Style" w:cs="Arial"/>
          <w:b/>
          <w:bCs/>
          <w:i/>
          <w:iCs/>
          <w:sz w:val="20"/>
          <w:szCs w:val="20"/>
        </w:rPr>
      </w:pPr>
      <w:bookmarkStart w:id="6" w:name="_Hlk52200499"/>
      <w:r w:rsidRPr="008D3777">
        <w:rPr>
          <w:rFonts w:ascii="Bookman Old Style" w:hAnsi="Bookman Old Style" w:cs="Arial"/>
          <w:b/>
          <w:bCs/>
          <w:i/>
          <w:iCs/>
          <w:sz w:val="20"/>
          <w:szCs w:val="20"/>
        </w:rPr>
        <w:t>4.1. Costos indirectos</w:t>
      </w:r>
    </w:p>
    <w:bookmarkEnd w:id="6"/>
    <w:p w14:paraId="6E97A39B"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4A6C7542" w14:textId="77620B99" w:rsidR="007F2AFE" w:rsidRPr="008D3777" w:rsidRDefault="007F2AFE" w:rsidP="0033266C">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Se presenta como costos indirecto eficiente equivalente al 10,5% de los costos de CAPEX del proyecto. Con esta simplificación se está haciendo caso omiso de las complicaciones y especificaciones de cada proyecto. En el caso de </w:t>
      </w:r>
      <w:proofErr w:type="spellStart"/>
      <w:r w:rsidRPr="008D3777">
        <w:rPr>
          <w:rFonts w:ascii="Bookman Old Style" w:hAnsi="Bookman Old Style" w:cs="Arial"/>
          <w:i/>
          <w:iCs/>
          <w:sz w:val="20"/>
          <w:szCs w:val="20"/>
        </w:rPr>
        <w:t>Matakabi</w:t>
      </w:r>
      <w:proofErr w:type="spellEnd"/>
      <w:r w:rsidRPr="008D3777">
        <w:rPr>
          <w:rFonts w:ascii="Bookman Old Style" w:hAnsi="Bookman Old Style" w:cs="Arial"/>
          <w:i/>
          <w:iCs/>
          <w:sz w:val="20"/>
          <w:szCs w:val="20"/>
        </w:rPr>
        <w:t xml:space="preserve"> es de anotar temas como el tiempo que ha llevado a cabo todos los procesos del mismo tales como determinación de los cargos máximos, que se demoró muy en exceso del planeado en la Ley 142, el proceso de contrato de conexión, que en este caso ha implicado el inicio de un proceso de imposición de servidumbre eléctrica, la estructuración financiera que sin un marco claro de cargo máximo de generación no ha podido ser cerrado, la complejidad logística del emplazamiento lo que hace que temas como seguros se vean encarecidos. Lo anterior ha tenido un alto impacto en los costos de acompañamiento técnico, financiero, legal y administrativo (Facilidades/Oficina/Servicios Varios) los cuales reflejamos en la solicitud.</w:t>
      </w:r>
    </w:p>
    <w:p w14:paraId="3DDB39DF"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1E47F223"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Por otro lado, no estamos de acuerdo con que se determinen costos indirectos y no reconocidos los relacionados con actividades que son propias, no solo de este sino de cualquier proyecto, como son: Topografía y Licenciamiento/Permiso Ambientas y de Construcción. Estos son costos directos del proyecto </w:t>
      </w:r>
      <w:proofErr w:type="spellStart"/>
      <w:r w:rsidRPr="008D3777">
        <w:rPr>
          <w:rFonts w:ascii="Bookman Old Style" w:hAnsi="Bookman Old Style" w:cs="Arial"/>
          <w:i/>
          <w:iCs/>
          <w:sz w:val="20"/>
          <w:szCs w:val="20"/>
        </w:rPr>
        <w:t>por que</w:t>
      </w:r>
      <w:proofErr w:type="spellEnd"/>
      <w:r w:rsidRPr="008D3777">
        <w:rPr>
          <w:rFonts w:ascii="Bookman Old Style" w:hAnsi="Bookman Old Style" w:cs="Arial"/>
          <w:i/>
          <w:iCs/>
          <w:sz w:val="20"/>
          <w:szCs w:val="20"/>
        </w:rPr>
        <w:t xml:space="preserve"> sin estos no se puede desarrollar el mismo.</w:t>
      </w:r>
    </w:p>
    <w:p w14:paraId="4920DF30"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0D1F104E"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Adicionalmente en este acápite, los costos del EPC Ingeniería y Gerenciamiento de la Construcción no pueden ser desagregados y desconocidos o determinados como costos indirectos por que hacen parte integral del contrato llave-en-mano que se firma con la empresa de EPC para que construya el parque, aunado al hecho que dichas actividades son realizadas por el mismo personal.</w:t>
      </w:r>
    </w:p>
    <w:p w14:paraId="7BC127F8"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3C2758AB"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Al revisar tanto la Resolución CREG 091 de 2007 como la Resolución CREG 057 de 2009 no se observa que el valor antemencionado de10,5% como eficiente equivalente sea regulatorio por tanto no puede de forma alguna ser parámetro y debe tomarse en cuanta lo referente a cada proyecto en específico.</w:t>
      </w:r>
    </w:p>
    <w:p w14:paraId="4C817076"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1CC43EA1" w14:textId="18937BAC" w:rsidR="007F2AFE" w:rsidRPr="008D3777" w:rsidRDefault="007F2AFE" w:rsidP="0033266C">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Es por esto que solicitamos sean tenidos en cu</w:t>
      </w:r>
      <w:r w:rsidR="004645AC" w:rsidRPr="008D3777">
        <w:rPr>
          <w:rFonts w:ascii="Bookman Old Style" w:hAnsi="Bookman Old Style" w:cs="Arial"/>
          <w:i/>
          <w:iCs/>
          <w:sz w:val="20"/>
          <w:szCs w:val="20"/>
        </w:rPr>
        <w:t>e</w:t>
      </w:r>
      <w:r w:rsidRPr="008D3777">
        <w:rPr>
          <w:rFonts w:ascii="Bookman Old Style" w:hAnsi="Bookman Old Style" w:cs="Arial"/>
          <w:i/>
          <w:iCs/>
          <w:sz w:val="20"/>
          <w:szCs w:val="20"/>
        </w:rPr>
        <w:t>nta los valores debidamente soportados por cotizaciones que se allegaron en su momento al expediente por un valor total de $10.118.373.053</w:t>
      </w:r>
      <w:r w:rsidR="003736AE" w:rsidRPr="008D3777">
        <w:rPr>
          <w:rFonts w:ascii="Bookman Old Style" w:hAnsi="Bookman Old Style" w:cs="Arial"/>
          <w:i/>
          <w:iCs/>
          <w:sz w:val="20"/>
          <w:szCs w:val="20"/>
        </w:rPr>
        <w:t xml:space="preserve">. </w:t>
      </w:r>
    </w:p>
    <w:p w14:paraId="2FA35F36"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0419E39F" w14:textId="77777777" w:rsidR="007F2AFE" w:rsidRPr="008D3777" w:rsidRDefault="007F2AFE" w:rsidP="0033266C">
      <w:pPr>
        <w:spacing w:after="0" w:line="240" w:lineRule="auto"/>
        <w:ind w:left="426"/>
        <w:contextualSpacing/>
        <w:jc w:val="both"/>
        <w:rPr>
          <w:rFonts w:ascii="Bookman Old Style" w:hAnsi="Bookman Old Style" w:cs="Arial"/>
          <w:b/>
          <w:bCs/>
          <w:i/>
          <w:iCs/>
          <w:sz w:val="20"/>
          <w:szCs w:val="20"/>
        </w:rPr>
      </w:pPr>
      <w:r w:rsidRPr="008D3777">
        <w:rPr>
          <w:rFonts w:ascii="Bookman Old Style" w:hAnsi="Bookman Old Style" w:cs="Arial"/>
          <w:b/>
          <w:bCs/>
          <w:i/>
          <w:iCs/>
          <w:sz w:val="20"/>
          <w:szCs w:val="20"/>
        </w:rPr>
        <w:t>4.2. Se descuenta el valor de las inversiones los componentes que son requeridos para la coordinación de la operación de los distintos recursos de generación.</w:t>
      </w:r>
    </w:p>
    <w:p w14:paraId="703E0654"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1685ADDE"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Se relacionan una serie de equipos a ser instalados y se le adiciona la partida total de “Transporte. Varios” $137.377 sin tener en cuenta que el Radicado CREG E-2019-008549 folio 26 (Figura 1) se consiga que la misma se compone de SCADA, Herrajes subestación, </w:t>
      </w:r>
      <w:proofErr w:type="spellStart"/>
      <w:r w:rsidRPr="008D3777">
        <w:rPr>
          <w:rFonts w:ascii="Bookman Old Style" w:hAnsi="Bookman Old Style" w:cs="Arial"/>
          <w:i/>
          <w:iCs/>
          <w:sz w:val="20"/>
          <w:szCs w:val="20"/>
        </w:rPr>
        <w:t>Equipamento</w:t>
      </w:r>
      <w:proofErr w:type="spellEnd"/>
      <w:r w:rsidRPr="008D3777">
        <w:rPr>
          <w:rFonts w:ascii="Bookman Old Style" w:hAnsi="Bookman Old Style" w:cs="Arial"/>
          <w:i/>
          <w:iCs/>
          <w:sz w:val="20"/>
          <w:szCs w:val="20"/>
        </w:rPr>
        <w:t xml:space="preserve"> Subestación, Transformadores Subestación, </w:t>
      </w:r>
      <w:r w:rsidRPr="008D3777">
        <w:rPr>
          <w:rFonts w:ascii="Bookman Old Style" w:hAnsi="Bookman Old Style" w:cs="Arial"/>
          <w:b/>
          <w:bCs/>
          <w:i/>
          <w:iCs/>
          <w:sz w:val="20"/>
          <w:szCs w:val="20"/>
        </w:rPr>
        <w:t xml:space="preserve">Grúas, Máquinas </w:t>
      </w:r>
      <w:proofErr w:type="spellStart"/>
      <w:r w:rsidRPr="008D3777">
        <w:rPr>
          <w:rFonts w:ascii="Bookman Old Style" w:hAnsi="Bookman Old Style" w:cs="Arial"/>
          <w:b/>
          <w:bCs/>
          <w:i/>
          <w:iCs/>
          <w:sz w:val="20"/>
          <w:szCs w:val="20"/>
        </w:rPr>
        <w:t>Hincadoras</w:t>
      </w:r>
      <w:proofErr w:type="spellEnd"/>
      <w:r w:rsidRPr="008D3777">
        <w:rPr>
          <w:rFonts w:ascii="Bookman Old Style" w:hAnsi="Bookman Old Style" w:cs="Arial"/>
          <w:b/>
          <w:bCs/>
          <w:i/>
          <w:iCs/>
          <w:sz w:val="20"/>
          <w:szCs w:val="20"/>
        </w:rPr>
        <w:t xml:space="preserve">, </w:t>
      </w:r>
      <w:proofErr w:type="spellStart"/>
      <w:r w:rsidRPr="008D3777">
        <w:rPr>
          <w:rFonts w:ascii="Bookman Old Style" w:hAnsi="Bookman Old Style" w:cs="Arial"/>
          <w:b/>
          <w:bCs/>
          <w:i/>
          <w:iCs/>
          <w:sz w:val="20"/>
          <w:szCs w:val="20"/>
        </w:rPr>
        <w:t>Manitus</w:t>
      </w:r>
      <w:proofErr w:type="spellEnd"/>
      <w:r w:rsidRPr="008D3777">
        <w:rPr>
          <w:rFonts w:ascii="Bookman Old Style" w:hAnsi="Bookman Old Style" w:cs="Arial"/>
          <w:b/>
          <w:bCs/>
          <w:i/>
          <w:iCs/>
          <w:sz w:val="20"/>
          <w:szCs w:val="20"/>
        </w:rPr>
        <w:t>, Herrajes Varios, Equipo estación meteorológica.</w:t>
      </w:r>
      <w:r w:rsidRPr="008D3777">
        <w:rPr>
          <w:rFonts w:ascii="Bookman Old Style" w:hAnsi="Bookman Old Style" w:cs="Arial"/>
          <w:i/>
          <w:iCs/>
          <w:sz w:val="20"/>
          <w:szCs w:val="20"/>
        </w:rPr>
        <w:t xml:space="preserve"> De la cotización se desglosa que lo referente a Subestación es uno d ellos seis contenedores por lo que en el mejor de casos el valor a descontar sería de USD $22.896,17.</w:t>
      </w:r>
    </w:p>
    <w:p w14:paraId="216BE01D"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4281706F" w14:textId="5184AC3E" w:rsidR="007F2AFE" w:rsidRPr="008D3777" w:rsidRDefault="007F2AFE" w:rsidP="0033266C">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Haciendo esto el valor a descontar sería de USD$480.661,17 en </w:t>
      </w:r>
      <w:proofErr w:type="spellStart"/>
      <w:r w:rsidRPr="008D3777">
        <w:rPr>
          <w:rFonts w:ascii="Bookman Old Style" w:hAnsi="Bookman Old Style" w:cs="Arial"/>
          <w:i/>
          <w:iCs/>
          <w:sz w:val="20"/>
          <w:szCs w:val="20"/>
        </w:rPr>
        <w:t>ves</w:t>
      </w:r>
      <w:proofErr w:type="spellEnd"/>
      <w:r w:rsidRPr="008D3777">
        <w:rPr>
          <w:rFonts w:ascii="Bookman Old Style" w:hAnsi="Bookman Old Style" w:cs="Arial"/>
          <w:i/>
          <w:iCs/>
          <w:sz w:val="20"/>
          <w:szCs w:val="20"/>
        </w:rPr>
        <w:t xml:space="preserve"> de USD$523.142,00</w:t>
      </w:r>
      <w:r w:rsidR="00C950E5" w:rsidRPr="008D3777">
        <w:rPr>
          <w:rFonts w:ascii="Bookman Old Style" w:hAnsi="Bookman Old Style" w:cs="Arial"/>
          <w:i/>
          <w:iCs/>
          <w:sz w:val="20"/>
          <w:szCs w:val="20"/>
        </w:rPr>
        <w:t xml:space="preserve"> (sic)</w:t>
      </w:r>
    </w:p>
    <w:p w14:paraId="7AC31921"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29A7F9C8" w14:textId="77777777" w:rsidR="007F2AFE" w:rsidRPr="008D3777" w:rsidRDefault="007F2AFE" w:rsidP="0033266C">
      <w:pPr>
        <w:spacing w:after="0" w:line="240" w:lineRule="auto"/>
        <w:ind w:left="426"/>
        <w:contextualSpacing/>
        <w:jc w:val="both"/>
        <w:rPr>
          <w:rFonts w:ascii="Bookman Old Style" w:hAnsi="Bookman Old Style" w:cs="Arial"/>
          <w:b/>
          <w:bCs/>
          <w:i/>
          <w:iCs/>
          <w:sz w:val="20"/>
          <w:szCs w:val="20"/>
        </w:rPr>
      </w:pPr>
      <w:r w:rsidRPr="008D3777">
        <w:rPr>
          <w:rFonts w:ascii="Bookman Old Style" w:hAnsi="Bookman Old Style" w:cs="Arial"/>
          <w:b/>
          <w:bCs/>
          <w:i/>
          <w:iCs/>
          <w:sz w:val="20"/>
          <w:szCs w:val="20"/>
        </w:rPr>
        <w:t>4.3 Se ajusta el centro de transformación de acuerdo con las unidades constructivas equivalentes de la Resolución CREG 015 – 2018.</w:t>
      </w:r>
    </w:p>
    <w:p w14:paraId="2C262BA0"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4F6454EB"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Tal como se mencionó a través del radicado CREG E-2019-004020 se </w:t>
      </w:r>
      <w:proofErr w:type="spellStart"/>
      <w:r w:rsidRPr="008D3777">
        <w:rPr>
          <w:rFonts w:ascii="Bookman Old Style" w:hAnsi="Bookman Old Style" w:cs="Arial"/>
          <w:i/>
          <w:iCs/>
          <w:sz w:val="20"/>
          <w:szCs w:val="20"/>
        </w:rPr>
        <w:t>informo</w:t>
      </w:r>
      <w:proofErr w:type="spellEnd"/>
      <w:r w:rsidRPr="008D3777">
        <w:rPr>
          <w:rFonts w:ascii="Bookman Old Style" w:hAnsi="Bookman Old Style" w:cs="Arial"/>
          <w:i/>
          <w:iCs/>
          <w:sz w:val="20"/>
          <w:szCs w:val="20"/>
        </w:rPr>
        <w:t xml:space="preserve"> que se utilizarían inversores de </w:t>
      </w:r>
      <w:proofErr w:type="spellStart"/>
      <w:r w:rsidRPr="008D3777">
        <w:rPr>
          <w:rFonts w:ascii="Bookman Old Style" w:hAnsi="Bookman Old Style" w:cs="Arial"/>
          <w:i/>
          <w:iCs/>
          <w:sz w:val="20"/>
          <w:szCs w:val="20"/>
        </w:rPr>
        <w:t>string</w:t>
      </w:r>
      <w:proofErr w:type="spellEnd"/>
      <w:r w:rsidRPr="008D3777">
        <w:rPr>
          <w:rFonts w:ascii="Bookman Old Style" w:hAnsi="Bookman Old Style" w:cs="Arial"/>
          <w:i/>
          <w:iCs/>
          <w:sz w:val="20"/>
          <w:szCs w:val="20"/>
        </w:rPr>
        <w:t xml:space="preserve"> y que los centros de transformación sería el Medium </w:t>
      </w:r>
      <w:proofErr w:type="spellStart"/>
      <w:r w:rsidRPr="008D3777">
        <w:rPr>
          <w:rFonts w:ascii="Bookman Old Style" w:hAnsi="Bookman Old Style" w:cs="Arial"/>
          <w:i/>
          <w:iCs/>
          <w:sz w:val="20"/>
          <w:szCs w:val="20"/>
        </w:rPr>
        <w:t>Voltage</w:t>
      </w:r>
      <w:proofErr w:type="spellEnd"/>
      <w:r w:rsidRPr="008D3777">
        <w:rPr>
          <w:rFonts w:ascii="Bookman Old Style" w:hAnsi="Bookman Old Style" w:cs="Arial"/>
          <w:i/>
          <w:iCs/>
          <w:sz w:val="20"/>
          <w:szCs w:val="20"/>
        </w:rPr>
        <w:t xml:space="preserve"> Compact </w:t>
      </w:r>
      <w:proofErr w:type="spellStart"/>
      <w:r w:rsidRPr="008D3777">
        <w:rPr>
          <w:rFonts w:ascii="Bookman Old Style" w:hAnsi="Bookman Old Style" w:cs="Arial"/>
          <w:i/>
          <w:iCs/>
          <w:sz w:val="20"/>
          <w:szCs w:val="20"/>
        </w:rPr>
        <w:t>Skid</w:t>
      </w:r>
      <w:proofErr w:type="spellEnd"/>
      <w:r w:rsidRPr="008D3777">
        <w:rPr>
          <w:rFonts w:ascii="Bookman Old Style" w:hAnsi="Bookman Old Style" w:cs="Arial"/>
          <w:i/>
          <w:iCs/>
          <w:sz w:val="20"/>
          <w:szCs w:val="20"/>
        </w:rPr>
        <w:t xml:space="preserve"> modelo PVS175 – MVCS – Plug &amp; Play – 5180KVA el cual incluye lo siguiente:</w:t>
      </w:r>
    </w:p>
    <w:p w14:paraId="571A9343"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31904DA7"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i/>
          <w:iCs/>
          <w:noProof/>
          <w:sz w:val="20"/>
          <w:szCs w:val="20"/>
        </w:rPr>
        <w:drawing>
          <wp:inline distT="0" distB="0" distL="0" distR="0" wp14:anchorId="77A84416" wp14:editId="0D48E898">
            <wp:extent cx="3960000" cy="3745758"/>
            <wp:effectExtent l="0" t="0" r="254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60000" cy="3745758"/>
                    </a:xfrm>
                    <a:prstGeom prst="rect">
                      <a:avLst/>
                    </a:prstGeom>
                  </pic:spPr>
                </pic:pic>
              </a:graphicData>
            </a:graphic>
          </wp:inline>
        </w:drawing>
      </w:r>
    </w:p>
    <w:p w14:paraId="07FFD11E"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7C063061"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Como se puede observar el </w:t>
      </w:r>
      <w:proofErr w:type="spellStart"/>
      <w:r w:rsidRPr="008D3777">
        <w:rPr>
          <w:rFonts w:ascii="Bookman Old Style" w:hAnsi="Bookman Old Style" w:cs="Arial"/>
          <w:i/>
          <w:iCs/>
          <w:sz w:val="20"/>
          <w:szCs w:val="20"/>
        </w:rPr>
        <w:t>skid</w:t>
      </w:r>
      <w:proofErr w:type="spellEnd"/>
      <w:r w:rsidRPr="008D3777">
        <w:rPr>
          <w:rFonts w:ascii="Bookman Old Style" w:hAnsi="Bookman Old Style" w:cs="Arial"/>
          <w:i/>
          <w:iCs/>
          <w:sz w:val="20"/>
          <w:szCs w:val="20"/>
        </w:rPr>
        <w:t xml:space="preserve"> trae protecciones, seccionadores, panel de combinación, entre otros por lo cual no se puede hacer un cambio simple por la UC N3T1, sino que tiene que incluir N3P6, N3P4, N0P13 y N3S7 ya que es encapsulado por tanto el valor actualizado por TRM sería de USD$312.801 (Figura 2) por cada una de los centros de transformación para un total de USD$1.251.204. No obstante, es </w:t>
      </w:r>
      <w:proofErr w:type="spellStart"/>
      <w:r w:rsidRPr="008D3777">
        <w:rPr>
          <w:rFonts w:ascii="Bookman Old Style" w:hAnsi="Bookman Old Style" w:cs="Arial"/>
          <w:i/>
          <w:iCs/>
          <w:sz w:val="20"/>
          <w:szCs w:val="20"/>
        </w:rPr>
        <w:t>skid</w:t>
      </w:r>
      <w:proofErr w:type="spellEnd"/>
      <w:r w:rsidRPr="008D3777">
        <w:rPr>
          <w:rFonts w:ascii="Bookman Old Style" w:hAnsi="Bookman Old Style" w:cs="Arial"/>
          <w:i/>
          <w:iCs/>
          <w:sz w:val="20"/>
          <w:szCs w:val="20"/>
        </w:rPr>
        <w:t xml:space="preserve"> es encapsulado, en caso de reemplazarse por uno no encapsulado N3S5 el total de los centros de transformación sería USD$856.626,45.</w:t>
      </w:r>
    </w:p>
    <w:p w14:paraId="147AFA31"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4CDCF481" w14:textId="77777777" w:rsidR="007F2AFE" w:rsidRPr="008D3777" w:rsidRDefault="007F2AFE" w:rsidP="0033266C">
      <w:pPr>
        <w:spacing w:after="0" w:line="240" w:lineRule="auto"/>
        <w:ind w:left="426"/>
        <w:contextualSpacing/>
        <w:jc w:val="both"/>
        <w:rPr>
          <w:rFonts w:ascii="Bookman Old Style" w:hAnsi="Bookman Old Style" w:cs="Arial"/>
          <w:b/>
          <w:bCs/>
          <w:i/>
          <w:iCs/>
          <w:sz w:val="20"/>
          <w:szCs w:val="20"/>
        </w:rPr>
      </w:pPr>
      <w:r w:rsidRPr="008D3777">
        <w:rPr>
          <w:rFonts w:ascii="Bookman Old Style" w:hAnsi="Bookman Old Style" w:cs="Arial"/>
          <w:b/>
          <w:bCs/>
          <w:i/>
          <w:iCs/>
          <w:sz w:val="20"/>
          <w:szCs w:val="20"/>
        </w:rPr>
        <w:t>4.4. Se ajusta el AOM a los niveles de costo eficiente aprobados mediante Resolución CREG 136 de 2019.</w:t>
      </w:r>
    </w:p>
    <w:p w14:paraId="539CD65F"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42D8EEBA"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Respetuosamente solicitamos a la Comisión reconocer las diferencias evidentes entre el proyecto de Ungía, Chocó, en cuanto a tamaño, tanto del parque como del almacenamiento, la periodicidad de la limpieza de los módulos, el componente de suciedad por hojas y polvo, la disponibilidad de agua licenciada para la limpieza, el costo de la mano de obra por la imposibilidad logística, a Ungía se puede llegar por vía terrestre a Mitú no, el costo de llevar un repuesto, entre muchos otros. Por tanto, no es dado que se utilice un parámetro totalmente diferente, aun se intente manejar como valor por kWh, de un proyecto a otro.</w:t>
      </w:r>
    </w:p>
    <w:p w14:paraId="174B24D9"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38D1530D"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La complejidad de manejar 8,8 </w:t>
      </w:r>
      <w:proofErr w:type="spellStart"/>
      <w:r w:rsidRPr="008D3777">
        <w:rPr>
          <w:rFonts w:ascii="Bookman Old Style" w:hAnsi="Bookman Old Style" w:cs="Arial"/>
          <w:i/>
          <w:iCs/>
          <w:sz w:val="20"/>
          <w:szCs w:val="20"/>
        </w:rPr>
        <w:t>MWh</w:t>
      </w:r>
      <w:proofErr w:type="spellEnd"/>
      <w:r w:rsidRPr="008D3777">
        <w:rPr>
          <w:rFonts w:ascii="Bookman Old Style" w:hAnsi="Bookman Old Style" w:cs="Arial"/>
          <w:i/>
          <w:iCs/>
          <w:sz w:val="20"/>
          <w:szCs w:val="20"/>
        </w:rPr>
        <w:t xml:space="preserve"> (6,800 kWh/día) de almacenamiento comparado con uno de 439 kWh/día, solamente en lo que tiene que ver con el costo de reemplazo de las baterías es determinante para que no sean comparables los dos sistemas.</w:t>
      </w:r>
    </w:p>
    <w:p w14:paraId="516BF8BB"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36320410"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Pero en caso que la Comisión persista en dicho error los valores reflejados en el Documento de Soporte está, errados:</w:t>
      </w:r>
    </w:p>
    <w:p w14:paraId="37D2A365"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26D31B68" w14:textId="77777777" w:rsidR="007F2AFE" w:rsidRPr="008D3777" w:rsidRDefault="007F2AFE" w:rsidP="007050C2">
      <w:pPr>
        <w:spacing w:after="0" w:line="240" w:lineRule="auto"/>
        <w:ind w:left="426"/>
        <w:contextualSpacing/>
        <w:jc w:val="center"/>
        <w:rPr>
          <w:rFonts w:ascii="Bookman Old Style" w:hAnsi="Bookman Old Style" w:cs="Arial"/>
          <w:i/>
          <w:iCs/>
          <w:sz w:val="20"/>
          <w:szCs w:val="20"/>
        </w:rPr>
      </w:pPr>
      <w:r w:rsidRPr="008D3777">
        <w:rPr>
          <w:rFonts w:ascii="Bookman Old Style" w:hAnsi="Bookman Old Style"/>
          <w:i/>
          <w:iCs/>
          <w:noProof/>
          <w:sz w:val="20"/>
          <w:szCs w:val="20"/>
        </w:rPr>
        <w:drawing>
          <wp:inline distT="0" distB="0" distL="0" distR="0" wp14:anchorId="410FD893" wp14:editId="17F45293">
            <wp:extent cx="4881798" cy="604839"/>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32733" cy="611150"/>
                    </a:xfrm>
                    <a:prstGeom prst="rect">
                      <a:avLst/>
                    </a:prstGeom>
                  </pic:spPr>
                </pic:pic>
              </a:graphicData>
            </a:graphic>
          </wp:inline>
        </w:drawing>
      </w:r>
    </w:p>
    <w:p w14:paraId="0BCF23B9"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249A39DD"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Sí este fuese el caso </w:t>
      </w:r>
      <w:proofErr w:type="spellStart"/>
      <w:r w:rsidRPr="008D3777">
        <w:rPr>
          <w:rFonts w:ascii="Bookman Old Style" w:hAnsi="Bookman Old Style" w:cs="Arial"/>
          <w:i/>
          <w:iCs/>
          <w:sz w:val="20"/>
          <w:szCs w:val="20"/>
        </w:rPr>
        <w:t>por que</w:t>
      </w:r>
      <w:proofErr w:type="spellEnd"/>
      <w:r w:rsidRPr="008D3777">
        <w:rPr>
          <w:rFonts w:ascii="Bookman Old Style" w:hAnsi="Bookman Old Style" w:cs="Arial"/>
          <w:i/>
          <w:iCs/>
          <w:sz w:val="20"/>
          <w:szCs w:val="20"/>
        </w:rPr>
        <w:t xml:space="preserve"> no utilizar el parámetro de la resolución CREG 012-2018, modificada por la resolución CREG 135-2019 para costo de operación y mantenimiento del componente SFV, ya que por su tamaño, ubicación y mercado referente podrían considerarse más comparables a la planta </w:t>
      </w:r>
      <w:proofErr w:type="spellStart"/>
      <w:r w:rsidRPr="008D3777">
        <w:rPr>
          <w:rFonts w:ascii="Bookman Old Style" w:hAnsi="Bookman Old Style" w:cs="Arial"/>
          <w:i/>
          <w:iCs/>
          <w:sz w:val="20"/>
          <w:szCs w:val="20"/>
        </w:rPr>
        <w:t>Matakabi</w:t>
      </w:r>
      <w:proofErr w:type="spellEnd"/>
      <w:r w:rsidRPr="008D3777">
        <w:rPr>
          <w:rFonts w:ascii="Bookman Old Style" w:hAnsi="Bookman Old Style" w:cs="Arial"/>
          <w:i/>
          <w:iCs/>
          <w:sz w:val="20"/>
          <w:szCs w:val="20"/>
        </w:rPr>
        <w:t xml:space="preserve"> que el proyecto de Ungía. ¿Tiene que ver con que al solicitante se le reconocen costos reales?</w:t>
      </w:r>
    </w:p>
    <w:p w14:paraId="4BAA9BF7"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6B2E33E9" w14:textId="77777777" w:rsidR="007F2AFE" w:rsidRPr="008D3777" w:rsidRDefault="007F2AFE" w:rsidP="00331806">
      <w:pPr>
        <w:spacing w:after="0" w:line="240" w:lineRule="auto"/>
        <w:ind w:left="426"/>
        <w:contextualSpacing/>
        <w:jc w:val="center"/>
        <w:rPr>
          <w:rFonts w:ascii="Bookman Old Style" w:hAnsi="Bookman Old Style" w:cs="Arial"/>
          <w:i/>
          <w:iCs/>
          <w:sz w:val="20"/>
          <w:szCs w:val="20"/>
        </w:rPr>
      </w:pPr>
      <w:r w:rsidRPr="008D3777">
        <w:rPr>
          <w:rFonts w:ascii="Bookman Old Style" w:hAnsi="Bookman Old Style"/>
          <w:i/>
          <w:iCs/>
          <w:noProof/>
          <w:sz w:val="20"/>
          <w:szCs w:val="20"/>
        </w:rPr>
        <w:drawing>
          <wp:inline distT="0" distB="0" distL="0" distR="0" wp14:anchorId="13109CB5" wp14:editId="7F589448">
            <wp:extent cx="4103964" cy="1993009"/>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12905" cy="1997351"/>
                    </a:xfrm>
                    <a:prstGeom prst="rect">
                      <a:avLst/>
                    </a:prstGeom>
                  </pic:spPr>
                </pic:pic>
              </a:graphicData>
            </a:graphic>
          </wp:inline>
        </w:drawing>
      </w:r>
    </w:p>
    <w:p w14:paraId="668A6209"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65DFDECA"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Tampoco hay un referente regulatorio en el cual se determine que los costos determinados para un proyecto específico se convierten en costos eficientes, por lo cual no se entiende la utilización de este término y su consecuente aplicación en este procedimiento administrativo.</w:t>
      </w:r>
    </w:p>
    <w:p w14:paraId="5872DE52"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bookmarkStart w:id="7" w:name="_Hlk52200555"/>
    </w:p>
    <w:p w14:paraId="49C7E20E" w14:textId="77777777" w:rsidR="007F2AFE" w:rsidRPr="008D3777" w:rsidRDefault="007F2AFE" w:rsidP="0033266C">
      <w:pPr>
        <w:spacing w:after="0" w:line="240" w:lineRule="auto"/>
        <w:ind w:left="426"/>
        <w:contextualSpacing/>
        <w:jc w:val="both"/>
        <w:rPr>
          <w:rFonts w:ascii="Bookman Old Style" w:hAnsi="Bookman Old Style" w:cs="Arial"/>
          <w:b/>
          <w:bCs/>
          <w:i/>
          <w:iCs/>
          <w:sz w:val="20"/>
          <w:szCs w:val="20"/>
        </w:rPr>
      </w:pPr>
      <w:r w:rsidRPr="008D3777">
        <w:rPr>
          <w:rFonts w:ascii="Bookman Old Style" w:hAnsi="Bookman Old Style" w:cs="Arial"/>
          <w:b/>
          <w:bCs/>
          <w:i/>
          <w:iCs/>
          <w:sz w:val="20"/>
          <w:szCs w:val="20"/>
        </w:rPr>
        <w:t xml:space="preserve">4.5. Se ajusta el valor de la TRM para </w:t>
      </w:r>
      <w:proofErr w:type="spellStart"/>
      <w:r w:rsidRPr="008D3777">
        <w:rPr>
          <w:rFonts w:ascii="Bookman Old Style" w:hAnsi="Bookman Old Style" w:cs="Arial"/>
          <w:b/>
          <w:bCs/>
          <w:i/>
          <w:iCs/>
          <w:sz w:val="20"/>
          <w:szCs w:val="20"/>
        </w:rPr>
        <w:t>reexpresar</w:t>
      </w:r>
      <w:proofErr w:type="spellEnd"/>
      <w:r w:rsidRPr="008D3777">
        <w:rPr>
          <w:rFonts w:ascii="Bookman Old Style" w:hAnsi="Bookman Old Style" w:cs="Arial"/>
          <w:b/>
          <w:bCs/>
          <w:i/>
          <w:iCs/>
          <w:sz w:val="20"/>
          <w:szCs w:val="20"/>
        </w:rPr>
        <w:t xml:space="preserve"> en pesos el valor de la inversión.</w:t>
      </w:r>
    </w:p>
    <w:bookmarkEnd w:id="7"/>
    <w:p w14:paraId="14380D01"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455791A4"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Hace bien la Comisión en reconocer el impacto que ha tenido la devaluación en la inversión de la planta </w:t>
      </w:r>
      <w:proofErr w:type="spellStart"/>
      <w:r w:rsidRPr="008D3777">
        <w:rPr>
          <w:rFonts w:ascii="Bookman Old Style" w:hAnsi="Bookman Old Style" w:cs="Arial"/>
          <w:i/>
          <w:iCs/>
          <w:sz w:val="20"/>
          <w:szCs w:val="20"/>
        </w:rPr>
        <w:t>Matakabi</w:t>
      </w:r>
      <w:proofErr w:type="spellEnd"/>
      <w:r w:rsidRPr="008D3777">
        <w:rPr>
          <w:rFonts w:ascii="Bookman Old Style" w:hAnsi="Bookman Old Style" w:cs="Arial"/>
          <w:i/>
          <w:iCs/>
          <w:sz w:val="20"/>
          <w:szCs w:val="20"/>
        </w:rPr>
        <w:t>, sin embargo, comete varios errores al considerar que unas partidas no deben ser indexadas:</w:t>
      </w:r>
    </w:p>
    <w:p w14:paraId="4B7B15D9"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4C01F46E" w14:textId="77777777" w:rsidR="007F2AFE" w:rsidRPr="008D3777" w:rsidRDefault="007F2AFE" w:rsidP="0033266C">
      <w:pPr>
        <w:spacing w:after="0" w:line="240" w:lineRule="auto"/>
        <w:ind w:left="426"/>
        <w:contextualSpacing/>
        <w:jc w:val="both"/>
        <w:rPr>
          <w:rFonts w:ascii="Bookman Old Style" w:hAnsi="Bookman Old Style" w:cs="Arial"/>
          <w:b/>
          <w:bCs/>
          <w:i/>
          <w:iCs/>
          <w:sz w:val="20"/>
          <w:szCs w:val="20"/>
        </w:rPr>
      </w:pPr>
      <w:r w:rsidRPr="008D3777">
        <w:rPr>
          <w:rFonts w:ascii="Bookman Old Style" w:hAnsi="Bookman Old Style" w:cs="Arial"/>
          <w:b/>
          <w:bCs/>
          <w:i/>
          <w:iCs/>
          <w:sz w:val="20"/>
          <w:szCs w:val="20"/>
        </w:rPr>
        <w:t>4.5.1. Comercio Exterior</w:t>
      </w:r>
    </w:p>
    <w:p w14:paraId="020B0E8F"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7D3A3B51"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Para hacer claridad al comentario hacemos evidente algunos conceptos que se dan en el comercio internacional:</w:t>
      </w:r>
    </w:p>
    <w:p w14:paraId="3E029B8C"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051623DA"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EXW: EXWORKS, Con el uso </w:t>
      </w:r>
      <w:proofErr w:type="spellStart"/>
      <w:r w:rsidRPr="008D3777">
        <w:rPr>
          <w:rFonts w:ascii="Bookman Old Style" w:hAnsi="Bookman Old Style" w:cs="Arial"/>
          <w:i/>
          <w:iCs/>
          <w:sz w:val="20"/>
          <w:szCs w:val="20"/>
        </w:rPr>
        <w:t>de el</w:t>
      </w:r>
      <w:proofErr w:type="spellEnd"/>
      <w:r w:rsidRPr="008D3777">
        <w:rPr>
          <w:rFonts w:ascii="Bookman Old Style" w:hAnsi="Bookman Old Style" w:cs="Arial"/>
          <w:i/>
          <w:iCs/>
          <w:sz w:val="20"/>
          <w:szCs w:val="20"/>
        </w:rPr>
        <w:t xml:space="preserve"> Incoterm Ex Works, el vendedor hará entrega de la mercancía al comprador en sus propias instalaciones. El comprador deberá desplazarse hasta la fábrica o almacén del vendedor para recogerla, y la entrega se considerará hecha cuando se ponga la mercancía a disposición del comprador en tiempo y forma convenidos, sin necesidad de cargarla en el transporte salvo que exista pacto en contrario. La mercancía deberá estar correctamente embalada, identificada y separada del resto que pudiera haber en el lugar.</w:t>
      </w:r>
    </w:p>
    <w:p w14:paraId="3D6A1B71"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2AAB8F33"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DDP: </w:t>
      </w:r>
      <w:proofErr w:type="spellStart"/>
      <w:r w:rsidRPr="008D3777">
        <w:rPr>
          <w:rFonts w:ascii="Bookman Old Style" w:hAnsi="Bookman Old Style" w:cs="Arial"/>
          <w:i/>
          <w:iCs/>
          <w:sz w:val="20"/>
          <w:szCs w:val="20"/>
        </w:rPr>
        <w:t>Delivered</w:t>
      </w:r>
      <w:proofErr w:type="spellEnd"/>
      <w:r w:rsidRPr="008D3777">
        <w:rPr>
          <w:rFonts w:ascii="Bookman Old Style" w:hAnsi="Bookman Old Style" w:cs="Arial"/>
          <w:i/>
          <w:iCs/>
          <w:sz w:val="20"/>
          <w:szCs w:val="20"/>
        </w:rPr>
        <w:t xml:space="preserve"> </w:t>
      </w:r>
      <w:proofErr w:type="spellStart"/>
      <w:r w:rsidRPr="008D3777">
        <w:rPr>
          <w:rFonts w:ascii="Bookman Old Style" w:hAnsi="Bookman Old Style" w:cs="Arial"/>
          <w:i/>
          <w:iCs/>
          <w:sz w:val="20"/>
          <w:szCs w:val="20"/>
        </w:rPr>
        <w:t>Duty</w:t>
      </w:r>
      <w:proofErr w:type="spellEnd"/>
      <w:r w:rsidRPr="008D3777">
        <w:rPr>
          <w:rFonts w:ascii="Bookman Old Style" w:hAnsi="Bookman Old Style" w:cs="Arial"/>
          <w:i/>
          <w:iCs/>
          <w:sz w:val="20"/>
          <w:szCs w:val="20"/>
        </w:rPr>
        <w:t xml:space="preserve"> </w:t>
      </w:r>
      <w:proofErr w:type="spellStart"/>
      <w:r w:rsidRPr="008D3777">
        <w:rPr>
          <w:rFonts w:ascii="Bookman Old Style" w:hAnsi="Bookman Old Style" w:cs="Arial"/>
          <w:i/>
          <w:iCs/>
          <w:sz w:val="20"/>
          <w:szCs w:val="20"/>
        </w:rPr>
        <w:t>Paid</w:t>
      </w:r>
      <w:proofErr w:type="spellEnd"/>
      <w:r w:rsidRPr="008D3777">
        <w:rPr>
          <w:rFonts w:ascii="Bookman Old Style" w:hAnsi="Bookman Old Style" w:cs="Arial"/>
          <w:i/>
          <w:iCs/>
          <w:sz w:val="20"/>
          <w:szCs w:val="20"/>
        </w:rPr>
        <w:t xml:space="preserve">, Las </w:t>
      </w:r>
      <w:proofErr w:type="spellStart"/>
      <w:r w:rsidRPr="008D3777">
        <w:rPr>
          <w:rFonts w:ascii="Bookman Old Style" w:hAnsi="Bookman Old Style" w:cs="Arial"/>
          <w:i/>
          <w:iCs/>
          <w:sz w:val="20"/>
          <w:szCs w:val="20"/>
        </w:rPr>
        <w:t>sigals</w:t>
      </w:r>
      <w:proofErr w:type="spellEnd"/>
      <w:r w:rsidRPr="008D3777">
        <w:rPr>
          <w:rFonts w:ascii="Bookman Old Style" w:hAnsi="Bookman Old Style" w:cs="Arial"/>
          <w:i/>
          <w:iCs/>
          <w:sz w:val="20"/>
          <w:szCs w:val="20"/>
        </w:rPr>
        <w:t xml:space="preserve"> Incoterm DDP son el acrónimo de </w:t>
      </w:r>
      <w:proofErr w:type="spellStart"/>
      <w:r w:rsidRPr="008D3777">
        <w:rPr>
          <w:rFonts w:ascii="Bookman Old Style" w:hAnsi="Bookman Old Style" w:cs="Arial"/>
          <w:i/>
          <w:iCs/>
          <w:sz w:val="20"/>
          <w:szCs w:val="20"/>
        </w:rPr>
        <w:t>Delivered</w:t>
      </w:r>
      <w:proofErr w:type="spellEnd"/>
      <w:r w:rsidRPr="008D3777">
        <w:rPr>
          <w:rFonts w:ascii="Bookman Old Style" w:hAnsi="Bookman Old Style" w:cs="Arial"/>
          <w:i/>
          <w:iCs/>
          <w:sz w:val="20"/>
          <w:szCs w:val="20"/>
        </w:rPr>
        <w:t xml:space="preserve"> </w:t>
      </w:r>
      <w:proofErr w:type="spellStart"/>
      <w:r w:rsidRPr="008D3777">
        <w:rPr>
          <w:rFonts w:ascii="Bookman Old Style" w:hAnsi="Bookman Old Style" w:cs="Arial"/>
          <w:i/>
          <w:iCs/>
          <w:sz w:val="20"/>
          <w:szCs w:val="20"/>
        </w:rPr>
        <w:t>Duty</w:t>
      </w:r>
      <w:proofErr w:type="spellEnd"/>
      <w:r w:rsidRPr="008D3777">
        <w:rPr>
          <w:rFonts w:ascii="Bookman Old Style" w:hAnsi="Bookman Old Style" w:cs="Arial"/>
          <w:i/>
          <w:iCs/>
          <w:sz w:val="20"/>
          <w:szCs w:val="20"/>
        </w:rPr>
        <w:t xml:space="preserve"> </w:t>
      </w:r>
      <w:proofErr w:type="spellStart"/>
      <w:r w:rsidRPr="008D3777">
        <w:rPr>
          <w:rFonts w:ascii="Bookman Old Style" w:hAnsi="Bookman Old Style" w:cs="Arial"/>
          <w:i/>
          <w:iCs/>
          <w:sz w:val="20"/>
          <w:szCs w:val="20"/>
        </w:rPr>
        <w:t>Paid</w:t>
      </w:r>
      <w:proofErr w:type="spellEnd"/>
      <w:r w:rsidRPr="008D3777">
        <w:rPr>
          <w:rFonts w:ascii="Bookman Old Style" w:hAnsi="Bookman Old Style" w:cs="Arial"/>
          <w:i/>
          <w:iCs/>
          <w:sz w:val="20"/>
          <w:szCs w:val="20"/>
        </w:rPr>
        <w:t>, este término significa que el vendedor tiene el máximo de obligaciones en la importación. Es por ello que el vendedor para todos los costos y realiza todos los trámites hasta que la mercancía llegue a su destino, siendo el comprador quien no realiza ningún trámite. Es importante concretar que los gastos de aduana de importación los asume el vendedor en el caso del uso del incoterm DDP.</w:t>
      </w:r>
    </w:p>
    <w:p w14:paraId="12A16681"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54E62792"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CIF: </w:t>
      </w:r>
      <w:proofErr w:type="spellStart"/>
      <w:r w:rsidRPr="008D3777">
        <w:rPr>
          <w:rFonts w:ascii="Bookman Old Style" w:hAnsi="Bookman Old Style" w:cs="Arial"/>
          <w:i/>
          <w:iCs/>
          <w:sz w:val="20"/>
          <w:szCs w:val="20"/>
        </w:rPr>
        <w:t>Cost</w:t>
      </w:r>
      <w:proofErr w:type="spellEnd"/>
      <w:r w:rsidRPr="008D3777">
        <w:rPr>
          <w:rFonts w:ascii="Bookman Old Style" w:hAnsi="Bookman Old Style" w:cs="Arial"/>
          <w:i/>
          <w:iCs/>
          <w:sz w:val="20"/>
          <w:szCs w:val="20"/>
        </w:rPr>
        <w:t xml:space="preserve"> </w:t>
      </w:r>
      <w:proofErr w:type="spellStart"/>
      <w:r w:rsidRPr="008D3777">
        <w:rPr>
          <w:rFonts w:ascii="Bookman Old Style" w:hAnsi="Bookman Old Style" w:cs="Arial"/>
          <w:i/>
          <w:iCs/>
          <w:sz w:val="20"/>
          <w:szCs w:val="20"/>
        </w:rPr>
        <w:t>Insurance</w:t>
      </w:r>
      <w:proofErr w:type="spellEnd"/>
      <w:r w:rsidRPr="008D3777">
        <w:rPr>
          <w:rFonts w:ascii="Bookman Old Style" w:hAnsi="Bookman Old Style" w:cs="Arial"/>
          <w:i/>
          <w:iCs/>
          <w:sz w:val="20"/>
          <w:szCs w:val="20"/>
        </w:rPr>
        <w:t xml:space="preserve"> </w:t>
      </w:r>
      <w:proofErr w:type="spellStart"/>
      <w:r w:rsidRPr="008D3777">
        <w:rPr>
          <w:rFonts w:ascii="Bookman Old Style" w:hAnsi="Bookman Old Style" w:cs="Arial"/>
          <w:i/>
          <w:iCs/>
          <w:sz w:val="20"/>
          <w:szCs w:val="20"/>
        </w:rPr>
        <w:t>an</w:t>
      </w:r>
      <w:proofErr w:type="spellEnd"/>
      <w:r w:rsidRPr="008D3777">
        <w:rPr>
          <w:rFonts w:ascii="Bookman Old Style" w:hAnsi="Bookman Old Style" w:cs="Arial"/>
          <w:i/>
          <w:iCs/>
          <w:sz w:val="20"/>
          <w:szCs w:val="20"/>
        </w:rPr>
        <w:t xml:space="preserve"> </w:t>
      </w:r>
      <w:proofErr w:type="spellStart"/>
      <w:r w:rsidRPr="008D3777">
        <w:rPr>
          <w:rFonts w:ascii="Bookman Old Style" w:hAnsi="Bookman Old Style" w:cs="Arial"/>
          <w:i/>
          <w:iCs/>
          <w:sz w:val="20"/>
          <w:szCs w:val="20"/>
        </w:rPr>
        <w:t>Freigh</w:t>
      </w:r>
      <w:proofErr w:type="spellEnd"/>
      <w:r w:rsidRPr="008D3777">
        <w:rPr>
          <w:rFonts w:ascii="Bookman Old Style" w:hAnsi="Bookman Old Style" w:cs="Arial"/>
          <w:i/>
          <w:iCs/>
          <w:sz w:val="20"/>
          <w:szCs w:val="20"/>
        </w:rPr>
        <w:t xml:space="preserve">, Las siglas del Incoterm CIF son el acrónimo de </w:t>
      </w:r>
      <w:proofErr w:type="spellStart"/>
      <w:r w:rsidRPr="008D3777">
        <w:rPr>
          <w:rFonts w:ascii="Bookman Old Style" w:hAnsi="Bookman Old Style" w:cs="Arial"/>
          <w:i/>
          <w:iCs/>
          <w:sz w:val="20"/>
          <w:szCs w:val="20"/>
        </w:rPr>
        <w:t>Cost</w:t>
      </w:r>
      <w:proofErr w:type="spellEnd"/>
      <w:r w:rsidRPr="008D3777">
        <w:rPr>
          <w:rFonts w:ascii="Bookman Old Style" w:hAnsi="Bookman Old Style" w:cs="Arial"/>
          <w:i/>
          <w:iCs/>
          <w:sz w:val="20"/>
          <w:szCs w:val="20"/>
        </w:rPr>
        <w:t xml:space="preserve"> </w:t>
      </w:r>
      <w:proofErr w:type="spellStart"/>
      <w:r w:rsidRPr="008D3777">
        <w:rPr>
          <w:rFonts w:ascii="Bookman Old Style" w:hAnsi="Bookman Old Style" w:cs="Arial"/>
          <w:i/>
          <w:iCs/>
          <w:sz w:val="20"/>
          <w:szCs w:val="20"/>
        </w:rPr>
        <w:t>Insurance</w:t>
      </w:r>
      <w:proofErr w:type="spellEnd"/>
      <w:r w:rsidRPr="008D3777">
        <w:rPr>
          <w:rFonts w:ascii="Bookman Old Style" w:hAnsi="Bookman Old Style" w:cs="Arial"/>
          <w:i/>
          <w:iCs/>
          <w:sz w:val="20"/>
          <w:szCs w:val="20"/>
        </w:rPr>
        <w:t xml:space="preserve"> and </w:t>
      </w:r>
      <w:proofErr w:type="spellStart"/>
      <w:r w:rsidRPr="008D3777">
        <w:rPr>
          <w:rFonts w:ascii="Bookman Old Style" w:hAnsi="Bookman Old Style" w:cs="Arial"/>
          <w:i/>
          <w:iCs/>
          <w:sz w:val="20"/>
          <w:szCs w:val="20"/>
        </w:rPr>
        <w:t>Freight</w:t>
      </w:r>
      <w:proofErr w:type="spellEnd"/>
      <w:r w:rsidRPr="008D3777">
        <w:rPr>
          <w:rFonts w:ascii="Bookman Old Style" w:hAnsi="Bookman Old Style" w:cs="Arial"/>
          <w:i/>
          <w:iCs/>
          <w:sz w:val="20"/>
          <w:szCs w:val="20"/>
        </w:rPr>
        <w:t>, lo que quiere decir en español Coste, seguro y flete. Este término solamente se utiliza cuando el transporte de la mercancía es por barco, es decir por vías fluviales de navegación interior. En este caso el vendedor será quien pague todos los gastos y el flete que sea necesario para hacer llegar toda la mercancía al puerto de destino, será entonces que el riesgo de daños o pérdidas se transferirá al vendedor cuando la mercancía traspase el puerto de embarque. Asimismo, el Incoterm CIF, obliga a que el vendedor despache la mercancía de explotación.</w:t>
      </w:r>
    </w:p>
    <w:p w14:paraId="1C88FB89"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4E267509"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Como se puede anotar todos estos transportes, CIF – DDP, EXW – DDP, se realizan antes de llegar a puerto colombiano y por tanto están denominados en dólares americanos.</w:t>
      </w:r>
    </w:p>
    <w:p w14:paraId="3464B1F0"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160B0B99"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Teniendo en cuenta lo anterior las siguientes partidas deben ser indexadas:</w:t>
      </w:r>
    </w:p>
    <w:p w14:paraId="3DD8D231" w14:textId="77777777" w:rsidR="00C064EE" w:rsidRPr="008D3777" w:rsidRDefault="00C064EE" w:rsidP="00C064EE">
      <w:pPr>
        <w:spacing w:after="0" w:line="240" w:lineRule="auto"/>
        <w:ind w:left="426"/>
        <w:contextualSpacing/>
        <w:jc w:val="center"/>
        <w:rPr>
          <w:rFonts w:ascii="Bookman Old Style" w:hAnsi="Bookman Old Style"/>
          <w:i/>
          <w:iCs/>
          <w:noProof/>
          <w:sz w:val="20"/>
          <w:szCs w:val="20"/>
        </w:rPr>
      </w:pPr>
    </w:p>
    <w:p w14:paraId="40C8A407" w14:textId="2DAC161B" w:rsidR="007F2AFE" w:rsidRPr="008D3777" w:rsidRDefault="007F2AFE" w:rsidP="00C064EE">
      <w:pPr>
        <w:spacing w:after="0" w:line="240" w:lineRule="auto"/>
        <w:ind w:left="426"/>
        <w:contextualSpacing/>
        <w:jc w:val="center"/>
        <w:rPr>
          <w:rFonts w:ascii="Bookman Old Style" w:hAnsi="Bookman Old Style" w:cs="Arial"/>
          <w:i/>
          <w:iCs/>
          <w:sz w:val="20"/>
          <w:szCs w:val="20"/>
        </w:rPr>
      </w:pPr>
      <w:r w:rsidRPr="008D3777">
        <w:rPr>
          <w:rFonts w:ascii="Bookman Old Style" w:hAnsi="Bookman Old Style"/>
          <w:i/>
          <w:iCs/>
          <w:noProof/>
          <w:sz w:val="20"/>
          <w:szCs w:val="20"/>
        </w:rPr>
        <w:drawing>
          <wp:inline distT="0" distB="0" distL="0" distR="0" wp14:anchorId="043D87C5" wp14:editId="1609AE46">
            <wp:extent cx="5267325" cy="77001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73784" cy="785577"/>
                    </a:xfrm>
                    <a:prstGeom prst="rect">
                      <a:avLst/>
                    </a:prstGeom>
                  </pic:spPr>
                </pic:pic>
              </a:graphicData>
            </a:graphic>
          </wp:inline>
        </w:drawing>
      </w:r>
    </w:p>
    <w:p w14:paraId="6C498A44"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5C4A37DB" w14:textId="77777777" w:rsidR="007F2AFE" w:rsidRPr="008D3777" w:rsidRDefault="007F2AFE" w:rsidP="0033266C">
      <w:pPr>
        <w:spacing w:after="0" w:line="240" w:lineRule="auto"/>
        <w:ind w:left="426"/>
        <w:contextualSpacing/>
        <w:jc w:val="both"/>
        <w:rPr>
          <w:rFonts w:ascii="Bookman Old Style" w:hAnsi="Bookman Old Style" w:cs="Arial"/>
          <w:b/>
          <w:bCs/>
          <w:i/>
          <w:iCs/>
          <w:sz w:val="20"/>
          <w:szCs w:val="20"/>
        </w:rPr>
      </w:pPr>
      <w:r w:rsidRPr="008D3777">
        <w:rPr>
          <w:rFonts w:ascii="Bookman Old Style" w:hAnsi="Bookman Old Style" w:cs="Arial"/>
          <w:b/>
          <w:bCs/>
          <w:i/>
          <w:iCs/>
          <w:sz w:val="20"/>
          <w:szCs w:val="20"/>
        </w:rPr>
        <w:t>4.5.2. Equipos importados</w:t>
      </w:r>
    </w:p>
    <w:p w14:paraId="264DAECB"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0D375A3F"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Todos los equipos serán adquiridos a través de un contrato EPC llave-en-mano, más </w:t>
      </w:r>
      <w:proofErr w:type="spellStart"/>
      <w:r w:rsidRPr="008D3777">
        <w:rPr>
          <w:rFonts w:ascii="Bookman Old Style" w:hAnsi="Bookman Old Style" w:cs="Arial"/>
          <w:i/>
          <w:iCs/>
          <w:sz w:val="20"/>
          <w:szCs w:val="20"/>
        </w:rPr>
        <w:t>aún</w:t>
      </w:r>
      <w:proofErr w:type="spellEnd"/>
      <w:r w:rsidRPr="008D3777">
        <w:rPr>
          <w:rFonts w:ascii="Bookman Old Style" w:hAnsi="Bookman Old Style" w:cs="Arial"/>
          <w:i/>
          <w:iCs/>
          <w:sz w:val="20"/>
          <w:szCs w:val="20"/>
        </w:rPr>
        <w:t xml:space="preserve"> teniendo en cuenta la exención de arancel e IVA, los equipos están denominados en dólares americanos.</w:t>
      </w:r>
    </w:p>
    <w:p w14:paraId="1F8DD4B7"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1F26424E"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Teniendo en cuenta lo anterior las siguientes partidas deben ser indexadas:</w:t>
      </w:r>
    </w:p>
    <w:p w14:paraId="19CA6B4D"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05832EF6" w14:textId="77777777" w:rsidR="007F2AFE" w:rsidRPr="008D3777" w:rsidRDefault="007F2AFE" w:rsidP="00C064EE">
      <w:pPr>
        <w:spacing w:after="0" w:line="240" w:lineRule="auto"/>
        <w:ind w:left="426"/>
        <w:contextualSpacing/>
        <w:jc w:val="center"/>
        <w:rPr>
          <w:rFonts w:ascii="Bookman Old Style" w:hAnsi="Bookman Old Style" w:cs="Arial"/>
          <w:i/>
          <w:iCs/>
          <w:sz w:val="20"/>
          <w:szCs w:val="20"/>
        </w:rPr>
      </w:pPr>
      <w:r w:rsidRPr="008D3777">
        <w:rPr>
          <w:rFonts w:ascii="Bookman Old Style" w:hAnsi="Bookman Old Style"/>
          <w:i/>
          <w:iCs/>
          <w:noProof/>
          <w:sz w:val="20"/>
          <w:szCs w:val="20"/>
        </w:rPr>
        <w:drawing>
          <wp:inline distT="0" distB="0" distL="0" distR="0" wp14:anchorId="36B5B89A" wp14:editId="3396E922">
            <wp:extent cx="5164900" cy="24860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76797" cy="2491751"/>
                    </a:xfrm>
                    <a:prstGeom prst="rect">
                      <a:avLst/>
                    </a:prstGeom>
                  </pic:spPr>
                </pic:pic>
              </a:graphicData>
            </a:graphic>
          </wp:inline>
        </w:drawing>
      </w:r>
    </w:p>
    <w:p w14:paraId="14AD3982"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5483F529" w14:textId="77777777" w:rsidR="007F2AFE" w:rsidRPr="008D3777" w:rsidRDefault="007F2AFE" w:rsidP="0033266C">
      <w:pPr>
        <w:spacing w:after="0" w:line="240" w:lineRule="auto"/>
        <w:ind w:left="426"/>
        <w:contextualSpacing/>
        <w:jc w:val="both"/>
        <w:rPr>
          <w:rFonts w:ascii="Bookman Old Style" w:hAnsi="Bookman Old Style" w:cs="Arial"/>
          <w:b/>
          <w:bCs/>
          <w:i/>
          <w:iCs/>
          <w:sz w:val="20"/>
          <w:szCs w:val="20"/>
        </w:rPr>
      </w:pPr>
      <w:r w:rsidRPr="008D3777">
        <w:rPr>
          <w:rFonts w:ascii="Bookman Old Style" w:hAnsi="Bookman Old Style" w:cs="Arial"/>
          <w:b/>
          <w:bCs/>
          <w:i/>
          <w:iCs/>
          <w:sz w:val="20"/>
          <w:szCs w:val="20"/>
        </w:rPr>
        <w:t>4.5.3. Obras Civiles</w:t>
      </w:r>
    </w:p>
    <w:p w14:paraId="656103ED"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55E099BA"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Tal y como se ha comentado el contrato de EPC se realiza con una entidad de reconocida experiencia y trayectoria internacional, más aun, que tenga experiencia en almacenamiento del tamaño del requerido en </w:t>
      </w:r>
      <w:proofErr w:type="spellStart"/>
      <w:r w:rsidRPr="008D3777">
        <w:rPr>
          <w:rFonts w:ascii="Bookman Old Style" w:hAnsi="Bookman Old Style" w:cs="Arial"/>
          <w:i/>
          <w:iCs/>
          <w:sz w:val="20"/>
          <w:szCs w:val="20"/>
        </w:rPr>
        <w:t>Matakabi</w:t>
      </w:r>
      <w:proofErr w:type="spellEnd"/>
      <w:r w:rsidRPr="008D3777">
        <w:rPr>
          <w:rFonts w:ascii="Bookman Old Style" w:hAnsi="Bookman Old Style" w:cs="Arial"/>
          <w:i/>
          <w:iCs/>
          <w:sz w:val="20"/>
          <w:szCs w:val="20"/>
        </w:rPr>
        <w:t>. Es por esto que la obra civil es parte integral del contrato. No se realizan contratos separados por la responsabilidad integral de un solo contratista en cuanto al desempeño de la planta, costo de la misma, fecha de puesta en operación, garantía de los componentes, etc.</w:t>
      </w:r>
    </w:p>
    <w:p w14:paraId="24764D5D"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6982A5A0"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Es por esto que los siguientes ítems deben ser indexados:</w:t>
      </w:r>
    </w:p>
    <w:p w14:paraId="5418D7D8"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581D68D0"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i/>
          <w:iCs/>
          <w:noProof/>
          <w:sz w:val="20"/>
          <w:szCs w:val="20"/>
        </w:rPr>
        <w:drawing>
          <wp:inline distT="0" distB="0" distL="0" distR="0" wp14:anchorId="305ED38A" wp14:editId="40E627C7">
            <wp:extent cx="5612130" cy="1232535"/>
            <wp:effectExtent l="0" t="0" r="762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1232535"/>
                    </a:xfrm>
                    <a:prstGeom prst="rect">
                      <a:avLst/>
                    </a:prstGeom>
                  </pic:spPr>
                </pic:pic>
              </a:graphicData>
            </a:graphic>
          </wp:inline>
        </w:drawing>
      </w:r>
    </w:p>
    <w:p w14:paraId="7B4ACA40"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7F3DFF85" w14:textId="77777777" w:rsidR="007F2AFE" w:rsidRPr="008D3777" w:rsidRDefault="007F2AFE" w:rsidP="0033266C">
      <w:pPr>
        <w:spacing w:after="0" w:line="240" w:lineRule="auto"/>
        <w:ind w:left="426"/>
        <w:contextualSpacing/>
        <w:jc w:val="both"/>
        <w:rPr>
          <w:rFonts w:ascii="Bookman Old Style" w:hAnsi="Bookman Old Style" w:cs="Arial"/>
          <w:b/>
          <w:bCs/>
          <w:i/>
          <w:iCs/>
          <w:sz w:val="20"/>
          <w:szCs w:val="20"/>
        </w:rPr>
      </w:pPr>
      <w:r w:rsidRPr="008D3777">
        <w:rPr>
          <w:rFonts w:ascii="Bookman Old Style" w:hAnsi="Bookman Old Style" w:cs="Arial"/>
          <w:b/>
          <w:bCs/>
          <w:i/>
          <w:iCs/>
          <w:sz w:val="20"/>
          <w:szCs w:val="20"/>
        </w:rPr>
        <w:t xml:space="preserve">4.5.4. Transporte </w:t>
      </w:r>
      <w:proofErr w:type="spellStart"/>
      <w:r w:rsidRPr="008D3777">
        <w:rPr>
          <w:rFonts w:ascii="Bookman Old Style" w:hAnsi="Bookman Old Style" w:cs="Arial"/>
          <w:b/>
          <w:bCs/>
          <w:i/>
          <w:iCs/>
          <w:sz w:val="20"/>
          <w:szCs w:val="20"/>
        </w:rPr>
        <w:t>Aviomar</w:t>
      </w:r>
      <w:proofErr w:type="spellEnd"/>
    </w:p>
    <w:p w14:paraId="08807E57"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447B8E2C"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Es bien conocido por la Comisión que a Mitú no se puede llegar sino vía aérea, es por esta razón que la Comisión le reconoce un valor de transporte al combustible como costo eficiente de $9.214/</w:t>
      </w:r>
      <w:proofErr w:type="spellStart"/>
      <w:r w:rsidRPr="008D3777">
        <w:rPr>
          <w:rFonts w:ascii="Bookman Old Style" w:hAnsi="Bookman Old Style" w:cs="Arial"/>
          <w:i/>
          <w:iCs/>
          <w:sz w:val="20"/>
          <w:szCs w:val="20"/>
        </w:rPr>
        <w:t>gl</w:t>
      </w:r>
      <w:proofErr w:type="spellEnd"/>
      <w:r w:rsidRPr="008D3777">
        <w:rPr>
          <w:rFonts w:ascii="Bookman Old Style" w:hAnsi="Bookman Old Style" w:cs="Arial"/>
          <w:i/>
          <w:iCs/>
          <w:sz w:val="20"/>
          <w:szCs w:val="20"/>
        </w:rPr>
        <w:t xml:space="preserve">. El componente de transporte </w:t>
      </w:r>
      <w:proofErr w:type="spellStart"/>
      <w:r w:rsidRPr="008D3777">
        <w:rPr>
          <w:rFonts w:ascii="Bookman Old Style" w:hAnsi="Bookman Old Style" w:cs="Arial"/>
          <w:i/>
          <w:iCs/>
          <w:sz w:val="20"/>
          <w:szCs w:val="20"/>
        </w:rPr>
        <w:t>Aviomar</w:t>
      </w:r>
      <w:proofErr w:type="spellEnd"/>
      <w:r w:rsidRPr="008D3777">
        <w:rPr>
          <w:rFonts w:ascii="Bookman Old Style" w:hAnsi="Bookman Old Style" w:cs="Arial"/>
          <w:i/>
          <w:iCs/>
          <w:sz w:val="20"/>
          <w:szCs w:val="20"/>
        </w:rPr>
        <w:t xml:space="preserve"> son los más de 50 viajes del Hércules para transportar las 1,527 toneladas de equipo. Dicho transporte siempre es denominado en dólares y por lo tanto se requiere ser indexado al valor actual o de lo contrario es inviable el proyecto.</w:t>
      </w:r>
    </w:p>
    <w:p w14:paraId="5309FB29"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40F5312E" w14:textId="77777777" w:rsidR="007F2AFE" w:rsidRPr="008D3777" w:rsidRDefault="007F2AFE" w:rsidP="00C064EE">
      <w:pPr>
        <w:spacing w:after="0" w:line="240" w:lineRule="auto"/>
        <w:ind w:left="426"/>
        <w:contextualSpacing/>
        <w:jc w:val="center"/>
        <w:rPr>
          <w:rFonts w:ascii="Bookman Old Style" w:hAnsi="Bookman Old Style" w:cs="Arial"/>
          <w:i/>
          <w:iCs/>
          <w:sz w:val="20"/>
          <w:szCs w:val="20"/>
        </w:rPr>
      </w:pPr>
      <w:r w:rsidRPr="008D3777">
        <w:rPr>
          <w:rFonts w:ascii="Bookman Old Style" w:hAnsi="Bookman Old Style"/>
          <w:i/>
          <w:iCs/>
          <w:noProof/>
          <w:sz w:val="20"/>
          <w:szCs w:val="20"/>
        </w:rPr>
        <w:drawing>
          <wp:inline distT="0" distB="0" distL="0" distR="0" wp14:anchorId="5890E48B" wp14:editId="3FE282CF">
            <wp:extent cx="5275985" cy="1326459"/>
            <wp:effectExtent l="0" t="0" r="127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98615" cy="1332148"/>
                    </a:xfrm>
                    <a:prstGeom prst="rect">
                      <a:avLst/>
                    </a:prstGeom>
                  </pic:spPr>
                </pic:pic>
              </a:graphicData>
            </a:graphic>
          </wp:inline>
        </w:drawing>
      </w:r>
    </w:p>
    <w:p w14:paraId="196C9106"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75044873" w14:textId="77777777" w:rsidR="007F2AFE" w:rsidRPr="008D3777" w:rsidRDefault="007F2AFE" w:rsidP="0033266C">
      <w:pPr>
        <w:spacing w:after="0" w:line="240" w:lineRule="auto"/>
        <w:ind w:left="426"/>
        <w:contextualSpacing/>
        <w:jc w:val="both"/>
        <w:rPr>
          <w:rFonts w:ascii="Bookman Old Style" w:hAnsi="Bookman Old Style" w:cs="Arial"/>
          <w:b/>
          <w:bCs/>
          <w:i/>
          <w:iCs/>
          <w:sz w:val="20"/>
          <w:szCs w:val="20"/>
        </w:rPr>
      </w:pPr>
      <w:bookmarkStart w:id="8" w:name="_Hlk52200618"/>
      <w:r w:rsidRPr="008D3777">
        <w:rPr>
          <w:rFonts w:ascii="Bookman Old Style" w:hAnsi="Bookman Old Style" w:cs="Arial"/>
          <w:b/>
          <w:bCs/>
          <w:i/>
          <w:iCs/>
          <w:sz w:val="20"/>
          <w:szCs w:val="20"/>
        </w:rPr>
        <w:t>4.5.5. Eficiencia de del sistema.</w:t>
      </w:r>
      <w:bookmarkEnd w:id="8"/>
    </w:p>
    <w:p w14:paraId="405C6999"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344BFC4F"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En su análisis la Comisión omite uno de los elementos de básicos en el diseño eléctrico de cualquier sistema: la </w:t>
      </w:r>
      <w:r w:rsidRPr="008D3777">
        <w:rPr>
          <w:rFonts w:ascii="Bookman Old Style" w:hAnsi="Bookman Old Style" w:cs="Arial"/>
          <w:b/>
          <w:bCs/>
          <w:i/>
          <w:iCs/>
          <w:sz w:val="20"/>
          <w:szCs w:val="20"/>
        </w:rPr>
        <w:t>Perdida por Temperatura</w:t>
      </w:r>
      <w:r w:rsidRPr="008D3777">
        <w:rPr>
          <w:rFonts w:ascii="Bookman Old Style" w:hAnsi="Bookman Old Style" w:cs="Arial"/>
          <w:i/>
          <w:iCs/>
          <w:sz w:val="20"/>
          <w:szCs w:val="20"/>
        </w:rPr>
        <w:t xml:space="preserve">, es reconocido a nivel global que los módulos fotovoltaicos tienen una pérdida de potencia por temperatura, hay basta literatura académica en la cual se detalla el análisis y cálculo de dicha perdida, la cual depende del material del </w:t>
      </w:r>
      <w:proofErr w:type="spellStart"/>
      <w:r w:rsidRPr="008D3777">
        <w:rPr>
          <w:rFonts w:ascii="Bookman Old Style" w:hAnsi="Bookman Old Style" w:cs="Arial"/>
          <w:i/>
          <w:iCs/>
          <w:sz w:val="20"/>
          <w:szCs w:val="20"/>
        </w:rPr>
        <w:t>waffle</w:t>
      </w:r>
      <w:proofErr w:type="spellEnd"/>
      <w:r w:rsidRPr="008D3777">
        <w:rPr>
          <w:rFonts w:ascii="Bookman Old Style" w:hAnsi="Bookman Old Style" w:cs="Arial"/>
          <w:i/>
          <w:iCs/>
          <w:sz w:val="20"/>
          <w:szCs w:val="20"/>
        </w:rPr>
        <w:t xml:space="preserve"> del panel pero que en ningún caso es cero (0) como erróneamente lo supone el cálculo presentado.</w:t>
      </w:r>
    </w:p>
    <w:p w14:paraId="621B217D"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45E09A7E" w14:textId="77777777" w:rsidR="007F2AFE" w:rsidRPr="008D3777" w:rsidRDefault="007F2AFE" w:rsidP="00F07CD4">
      <w:pPr>
        <w:spacing w:after="0" w:line="240" w:lineRule="auto"/>
        <w:ind w:left="426"/>
        <w:contextualSpacing/>
        <w:jc w:val="center"/>
        <w:rPr>
          <w:rFonts w:ascii="Bookman Old Style" w:hAnsi="Bookman Old Style" w:cs="Arial"/>
          <w:i/>
          <w:iCs/>
          <w:sz w:val="20"/>
          <w:szCs w:val="20"/>
        </w:rPr>
      </w:pPr>
      <w:r w:rsidRPr="008D3777">
        <w:rPr>
          <w:rFonts w:ascii="Bookman Old Style" w:hAnsi="Bookman Old Style"/>
          <w:i/>
          <w:iCs/>
          <w:noProof/>
          <w:sz w:val="20"/>
          <w:szCs w:val="20"/>
        </w:rPr>
        <w:drawing>
          <wp:inline distT="0" distB="0" distL="0" distR="0" wp14:anchorId="15FB9B00" wp14:editId="03E3FEC2">
            <wp:extent cx="4398010" cy="2549831"/>
            <wp:effectExtent l="0" t="0" r="254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08372" cy="2555839"/>
                    </a:xfrm>
                    <a:prstGeom prst="rect">
                      <a:avLst/>
                    </a:prstGeom>
                  </pic:spPr>
                </pic:pic>
              </a:graphicData>
            </a:graphic>
          </wp:inline>
        </w:drawing>
      </w:r>
    </w:p>
    <w:p w14:paraId="5493A4B2"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3F222119"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De nuevo haciendo una simplificación sin base técnica se utiliza un valor obtenido bajo otras condiciones atmosféricas (temperatura, radiación, reflejo), geomorfológicas (sombras, viento/suciedad, desalineación de los módulos), diseño y equipamiento (tipo de módulos, tipo de inversores), etc., como parámetro eficiente. Esto dista del racional técnico para el cálculo de disponibilidad de las plantas.</w:t>
      </w:r>
    </w:p>
    <w:p w14:paraId="1B5C8D28"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489FFF8A"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No es aceptable eliminar las pérdidas por temperatura y baja radiación las cuales dependen directamente de la localización geográfica de Mitú.</w:t>
      </w:r>
    </w:p>
    <w:p w14:paraId="3D1B19F7"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53BFE17C" w14:textId="77777777" w:rsidR="007F2AFE" w:rsidRPr="008D3777" w:rsidRDefault="007F2AFE" w:rsidP="0033266C">
      <w:pPr>
        <w:spacing w:after="0" w:line="240" w:lineRule="auto"/>
        <w:ind w:left="426"/>
        <w:contextualSpacing/>
        <w:jc w:val="both"/>
        <w:rPr>
          <w:rFonts w:ascii="Bookman Old Style" w:hAnsi="Bookman Old Style" w:cs="Arial"/>
          <w:b/>
          <w:bCs/>
          <w:i/>
          <w:iCs/>
          <w:sz w:val="20"/>
          <w:szCs w:val="20"/>
        </w:rPr>
      </w:pPr>
      <w:r w:rsidRPr="008D3777">
        <w:rPr>
          <w:rFonts w:ascii="Bookman Old Style" w:hAnsi="Bookman Old Style" w:cs="Arial"/>
          <w:b/>
          <w:bCs/>
          <w:i/>
          <w:iCs/>
          <w:sz w:val="20"/>
          <w:szCs w:val="20"/>
        </w:rPr>
        <w:t>4.6. Tasa de descuento</w:t>
      </w:r>
    </w:p>
    <w:p w14:paraId="033A3A34"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6BD77C6F"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De acuerdo con el Documento CREG-022 MARZO 20 DE 2002 COSTO PROMEDIO DE CAPITAL: METODOLOGÍA DE CÁLCULO PARA LA DISTRIBUCIÓN DE ENERGÍA ELÉCTRICA Y GAS COMBUSTIBLE POR REDES el valor de:</w:t>
      </w:r>
    </w:p>
    <w:p w14:paraId="44CD9A39"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1EA25CD8" w14:textId="77777777" w:rsidR="007F2AFE" w:rsidRPr="008D3777" w:rsidRDefault="007F2AFE" w:rsidP="0033266C">
      <w:pPr>
        <w:spacing w:after="0" w:line="240" w:lineRule="auto"/>
        <w:ind w:left="426"/>
        <w:contextualSpacing/>
        <w:jc w:val="both"/>
        <w:rPr>
          <w:rFonts w:ascii="Bookman Old Style" w:hAnsi="Bookman Old Style" w:cs="Arial"/>
          <w:b/>
          <w:bCs/>
          <w:i/>
          <w:iCs/>
          <w:sz w:val="20"/>
          <w:szCs w:val="20"/>
        </w:rPr>
      </w:pPr>
      <w:bookmarkStart w:id="9" w:name="_Hlk52200645"/>
      <w:r w:rsidRPr="008D3777">
        <w:rPr>
          <w:rFonts w:ascii="Bookman Old Style" w:hAnsi="Bookman Old Style" w:cs="Arial"/>
          <w:b/>
          <w:bCs/>
          <w:i/>
          <w:iCs/>
          <w:sz w:val="20"/>
          <w:szCs w:val="20"/>
        </w:rPr>
        <w:t>4.6.1. Riego de Mercado (</w:t>
      </w:r>
      <w:proofErr w:type="spellStart"/>
      <w:r w:rsidRPr="008D3777">
        <w:rPr>
          <w:rFonts w:ascii="Bookman Old Style" w:hAnsi="Bookman Old Style" w:cs="Arial"/>
          <w:b/>
          <w:bCs/>
          <w:i/>
          <w:iCs/>
          <w:sz w:val="20"/>
          <w:szCs w:val="20"/>
        </w:rPr>
        <w:t>R</w:t>
      </w:r>
      <w:r w:rsidRPr="008D3777">
        <w:rPr>
          <w:rFonts w:ascii="Bookman Old Style" w:hAnsi="Bookman Old Style" w:cs="Arial"/>
          <w:b/>
          <w:bCs/>
          <w:i/>
          <w:iCs/>
          <w:sz w:val="20"/>
          <w:szCs w:val="20"/>
          <w:vertAlign w:val="subscript"/>
        </w:rPr>
        <w:t>Mkdo</w:t>
      </w:r>
      <w:proofErr w:type="spellEnd"/>
      <w:r w:rsidRPr="008D3777">
        <w:rPr>
          <w:rFonts w:ascii="Bookman Old Style" w:hAnsi="Bookman Old Style" w:cs="Arial"/>
          <w:b/>
          <w:bCs/>
          <w:i/>
          <w:iCs/>
          <w:sz w:val="20"/>
          <w:szCs w:val="20"/>
        </w:rPr>
        <w:t>) es:</w:t>
      </w:r>
    </w:p>
    <w:bookmarkEnd w:id="9"/>
    <w:p w14:paraId="55D07FAB"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3ABE9B9D"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"Como indicador o proxy para estimar la tasa media de retorno del mercado se toman normalmente índices accionarios amplios, compuestos por varias industrias de manera que reflejen el comportamiento del mercado en su conjunto. Los índices generalmente usados son el Standard &amp; </w:t>
      </w:r>
      <w:proofErr w:type="spellStart"/>
      <w:r w:rsidRPr="008D3777">
        <w:rPr>
          <w:rFonts w:ascii="Bookman Old Style" w:hAnsi="Bookman Old Style" w:cs="Arial"/>
          <w:i/>
          <w:iCs/>
          <w:sz w:val="20"/>
          <w:szCs w:val="20"/>
        </w:rPr>
        <w:t>Poor's</w:t>
      </w:r>
      <w:proofErr w:type="spellEnd"/>
      <w:r w:rsidRPr="008D3777">
        <w:rPr>
          <w:rFonts w:ascii="Bookman Old Style" w:hAnsi="Bookman Old Style" w:cs="Arial"/>
          <w:i/>
          <w:iCs/>
          <w:sz w:val="20"/>
          <w:szCs w:val="20"/>
        </w:rPr>
        <w:t xml:space="preserve"> S&amp;P500 y el New York Stock Exchange NYSE Composite </w:t>
      </w:r>
      <w:proofErr w:type="spellStart"/>
      <w:r w:rsidRPr="008D3777">
        <w:rPr>
          <w:rFonts w:ascii="Bookman Old Style" w:hAnsi="Bookman Old Style" w:cs="Arial"/>
          <w:i/>
          <w:iCs/>
          <w:sz w:val="20"/>
          <w:szCs w:val="20"/>
        </w:rPr>
        <w:t>Index</w:t>
      </w:r>
      <w:proofErr w:type="spellEnd"/>
      <w:r w:rsidRPr="008D3777">
        <w:rPr>
          <w:rFonts w:ascii="Bookman Old Style" w:hAnsi="Bookman Old Style" w:cs="Arial"/>
          <w:i/>
          <w:iCs/>
          <w:sz w:val="20"/>
          <w:szCs w:val="20"/>
        </w:rPr>
        <w:t>"</w:t>
      </w:r>
    </w:p>
    <w:p w14:paraId="3D649D5E"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p>
    <w:p w14:paraId="57F5F5FD" w14:textId="77777777" w:rsidR="007F2AFE" w:rsidRPr="008D3777" w:rsidRDefault="007F2AFE" w:rsidP="0033266C">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Teniendo en cuenta lo anterior y visitando la fuente denominada en el predicho documento se obtiene la siguiente tabla:</w:t>
      </w:r>
    </w:p>
    <w:p w14:paraId="2FDD10F2" w14:textId="4EDFE00A" w:rsidR="0033266C" w:rsidRPr="008D3777" w:rsidRDefault="0033266C" w:rsidP="0033266C">
      <w:pPr>
        <w:spacing w:after="0" w:line="240" w:lineRule="auto"/>
        <w:ind w:left="426"/>
        <w:contextualSpacing/>
        <w:jc w:val="both"/>
        <w:rPr>
          <w:rFonts w:ascii="Bookman Old Style" w:hAnsi="Bookman Old Style" w:cs="Arial"/>
          <w:i/>
          <w:iCs/>
          <w:sz w:val="20"/>
          <w:szCs w:val="20"/>
        </w:rPr>
      </w:pPr>
    </w:p>
    <w:tbl>
      <w:tblPr>
        <w:tblStyle w:val="Tablaconcuadrcula"/>
        <w:tblW w:w="0" w:type="auto"/>
        <w:tblInd w:w="421" w:type="dxa"/>
        <w:tblLook w:val="04A0" w:firstRow="1" w:lastRow="0" w:firstColumn="1" w:lastColumn="0" w:noHBand="0" w:noVBand="1"/>
      </w:tblPr>
      <w:tblGrid>
        <w:gridCol w:w="1555"/>
        <w:gridCol w:w="1417"/>
        <w:gridCol w:w="1862"/>
      </w:tblGrid>
      <w:tr w:rsidR="0033266C" w:rsidRPr="004A77B4" w14:paraId="09A652F9" w14:textId="77777777" w:rsidTr="0033266C">
        <w:tc>
          <w:tcPr>
            <w:tcW w:w="1555" w:type="dxa"/>
            <w:vAlign w:val="center"/>
          </w:tcPr>
          <w:p w14:paraId="54B3B2E4" w14:textId="77777777" w:rsidR="0033266C" w:rsidRPr="008D3777" w:rsidRDefault="0033266C" w:rsidP="0033266C">
            <w:pPr>
              <w:contextualSpacing/>
              <w:jc w:val="both"/>
              <w:rPr>
                <w:rFonts w:ascii="Bookman Old Style" w:hAnsi="Bookman Old Style" w:cs="Arial"/>
                <w:i/>
                <w:iCs/>
                <w:lang w:val="en-US"/>
              </w:rPr>
            </w:pPr>
            <w:r w:rsidRPr="008D3777">
              <w:rPr>
                <w:rFonts w:ascii="Bookman Old Style" w:hAnsi="Bookman Old Style" w:cs="Arial"/>
                <w:i/>
                <w:iCs/>
                <w:lang w:val="en-US"/>
              </w:rPr>
              <w:t>Calculation date</w:t>
            </w:r>
          </w:p>
        </w:tc>
        <w:tc>
          <w:tcPr>
            <w:tcW w:w="1417" w:type="dxa"/>
            <w:vAlign w:val="center"/>
          </w:tcPr>
          <w:p w14:paraId="0CE2B0D8" w14:textId="77777777" w:rsidR="0033266C" w:rsidRPr="008D3777" w:rsidRDefault="0033266C" w:rsidP="006578EF">
            <w:pPr>
              <w:contextualSpacing/>
              <w:jc w:val="both"/>
              <w:rPr>
                <w:rFonts w:ascii="Bookman Old Style" w:hAnsi="Bookman Old Style" w:cs="Arial"/>
                <w:i/>
                <w:iCs/>
                <w:lang w:val="en-US"/>
              </w:rPr>
            </w:pPr>
            <w:proofErr w:type="spellStart"/>
            <w:r w:rsidRPr="008D3777">
              <w:rPr>
                <w:rFonts w:ascii="Bookman Old Style" w:hAnsi="Bookman Old Style" w:cs="Arial"/>
                <w:i/>
                <w:iCs/>
                <w:lang w:val="en-US"/>
              </w:rPr>
              <w:t>kL</w:t>
            </w:r>
            <w:proofErr w:type="spellEnd"/>
          </w:p>
          <w:p w14:paraId="6FA7040A" w14:textId="77777777" w:rsidR="0033266C" w:rsidRPr="008D3777" w:rsidRDefault="0033266C" w:rsidP="006578EF">
            <w:pPr>
              <w:contextualSpacing/>
              <w:jc w:val="both"/>
              <w:rPr>
                <w:rFonts w:ascii="Bookman Old Style" w:hAnsi="Bookman Old Style" w:cs="Arial"/>
                <w:i/>
                <w:iCs/>
                <w:lang w:val="en-US"/>
              </w:rPr>
            </w:pPr>
            <w:r w:rsidRPr="008D3777">
              <w:rPr>
                <w:rFonts w:ascii="Bookman Old Style" w:hAnsi="Bookman Old Style" w:cs="Arial"/>
                <w:i/>
                <w:iCs/>
                <w:lang w:val="en-US"/>
              </w:rPr>
              <w:t>Market IRR</w:t>
            </w:r>
          </w:p>
        </w:tc>
        <w:tc>
          <w:tcPr>
            <w:tcW w:w="1862" w:type="dxa"/>
            <w:vAlign w:val="center"/>
          </w:tcPr>
          <w:p w14:paraId="7552EEF6" w14:textId="77777777" w:rsidR="0033266C" w:rsidRPr="008D3777" w:rsidRDefault="0033266C" w:rsidP="006578EF">
            <w:pPr>
              <w:contextualSpacing/>
              <w:jc w:val="both"/>
              <w:rPr>
                <w:rFonts w:ascii="Bookman Old Style" w:hAnsi="Bookman Old Style" w:cs="Arial"/>
                <w:i/>
                <w:iCs/>
                <w:lang w:val="en-US"/>
              </w:rPr>
            </w:pPr>
            <m:oMath>
              <m:r>
                <w:rPr>
                  <w:rFonts w:ascii="Cambria Math" w:hAnsi="Cambria Math" w:cs="Arial"/>
                  <w:lang w:val="en-US"/>
                </w:rPr>
                <m:t>π</m:t>
              </m:r>
            </m:oMath>
            <w:r w:rsidRPr="008D3777">
              <w:rPr>
                <w:rFonts w:ascii="Bookman Old Style" w:hAnsi="Bookman Old Style" w:cs="Arial"/>
                <w:i/>
                <w:iCs/>
                <w:lang w:val="en-US"/>
              </w:rPr>
              <w:t>E Marker equity risk premium</w:t>
            </w:r>
          </w:p>
        </w:tc>
      </w:tr>
      <w:tr w:rsidR="0033266C" w:rsidRPr="008D3777" w14:paraId="2643DC39" w14:textId="77777777" w:rsidTr="0033266C">
        <w:tc>
          <w:tcPr>
            <w:tcW w:w="1555" w:type="dxa"/>
            <w:vAlign w:val="center"/>
          </w:tcPr>
          <w:p w14:paraId="4CC9DAD2" w14:textId="77777777" w:rsidR="0033266C" w:rsidRPr="008D3777" w:rsidRDefault="0033266C" w:rsidP="006578EF">
            <w:pPr>
              <w:ind w:left="314" w:hanging="314"/>
              <w:contextualSpacing/>
              <w:jc w:val="both"/>
              <w:rPr>
                <w:rFonts w:ascii="Bookman Old Style" w:hAnsi="Bookman Old Style" w:cs="Arial"/>
                <w:i/>
                <w:iCs/>
                <w:lang w:val="en-US"/>
              </w:rPr>
            </w:pPr>
            <w:r w:rsidRPr="008D3777">
              <w:rPr>
                <w:rFonts w:ascii="Bookman Old Style" w:hAnsi="Bookman Old Style" w:cs="Arial"/>
                <w:i/>
                <w:iCs/>
                <w:lang w:val="en-US"/>
              </w:rPr>
              <w:t>29/06/2020</w:t>
            </w:r>
          </w:p>
        </w:tc>
        <w:tc>
          <w:tcPr>
            <w:tcW w:w="1417" w:type="dxa"/>
            <w:vAlign w:val="center"/>
          </w:tcPr>
          <w:p w14:paraId="76DC8540" w14:textId="77777777" w:rsidR="0033266C" w:rsidRPr="008D3777" w:rsidRDefault="0033266C" w:rsidP="006578EF">
            <w:pPr>
              <w:contextualSpacing/>
              <w:jc w:val="both"/>
              <w:rPr>
                <w:rFonts w:ascii="Bookman Old Style" w:hAnsi="Bookman Old Style" w:cs="Arial"/>
                <w:i/>
                <w:iCs/>
                <w:lang w:val="en-US"/>
              </w:rPr>
            </w:pPr>
            <w:r w:rsidRPr="008D3777">
              <w:rPr>
                <w:rFonts w:ascii="Bookman Old Style" w:hAnsi="Bookman Old Style" w:cs="Arial"/>
                <w:i/>
                <w:iCs/>
                <w:lang w:val="en-US"/>
              </w:rPr>
              <w:t>7.99%</w:t>
            </w:r>
          </w:p>
        </w:tc>
        <w:tc>
          <w:tcPr>
            <w:tcW w:w="1862" w:type="dxa"/>
            <w:vAlign w:val="center"/>
          </w:tcPr>
          <w:p w14:paraId="04F0D5B9" w14:textId="77777777" w:rsidR="0033266C" w:rsidRPr="008D3777" w:rsidRDefault="0033266C" w:rsidP="006578EF">
            <w:pPr>
              <w:contextualSpacing/>
              <w:jc w:val="both"/>
              <w:rPr>
                <w:rFonts w:ascii="Bookman Old Style" w:hAnsi="Bookman Old Style" w:cs="Arial"/>
                <w:i/>
                <w:iCs/>
                <w:lang w:val="en-US"/>
              </w:rPr>
            </w:pPr>
            <w:r w:rsidRPr="008D3777">
              <w:rPr>
                <w:rFonts w:ascii="Bookman Old Style" w:hAnsi="Bookman Old Style" w:cs="Arial"/>
                <w:i/>
                <w:iCs/>
                <w:lang w:val="en-US"/>
              </w:rPr>
              <w:t>7.33%</w:t>
            </w:r>
          </w:p>
        </w:tc>
      </w:tr>
      <w:tr w:rsidR="0033266C" w:rsidRPr="008D3777" w14:paraId="20B3D928" w14:textId="77777777" w:rsidTr="0033266C">
        <w:tc>
          <w:tcPr>
            <w:tcW w:w="1555" w:type="dxa"/>
            <w:vAlign w:val="center"/>
          </w:tcPr>
          <w:p w14:paraId="14642B29" w14:textId="77777777" w:rsidR="0033266C" w:rsidRPr="008D3777" w:rsidRDefault="0033266C" w:rsidP="006578EF">
            <w:pPr>
              <w:contextualSpacing/>
              <w:jc w:val="both"/>
              <w:rPr>
                <w:rFonts w:ascii="Bookman Old Style" w:hAnsi="Bookman Old Style" w:cs="Arial"/>
                <w:i/>
                <w:iCs/>
                <w:lang w:val="en-US"/>
              </w:rPr>
            </w:pPr>
            <w:r w:rsidRPr="008D3777">
              <w:rPr>
                <w:rFonts w:ascii="Bookman Old Style" w:hAnsi="Bookman Old Style" w:cs="Arial"/>
                <w:i/>
                <w:iCs/>
                <w:lang w:val="en-US"/>
              </w:rPr>
              <w:t>28/05/2020</w:t>
            </w:r>
          </w:p>
        </w:tc>
        <w:tc>
          <w:tcPr>
            <w:tcW w:w="1417" w:type="dxa"/>
            <w:vAlign w:val="center"/>
          </w:tcPr>
          <w:p w14:paraId="61D87D10" w14:textId="77777777" w:rsidR="0033266C" w:rsidRPr="008D3777" w:rsidRDefault="0033266C" w:rsidP="006578EF">
            <w:pPr>
              <w:contextualSpacing/>
              <w:jc w:val="both"/>
              <w:rPr>
                <w:rFonts w:ascii="Bookman Old Style" w:hAnsi="Bookman Old Style" w:cs="Arial"/>
                <w:i/>
                <w:iCs/>
                <w:lang w:val="en-US"/>
              </w:rPr>
            </w:pPr>
            <w:r w:rsidRPr="008D3777">
              <w:rPr>
                <w:rFonts w:ascii="Bookman Old Style" w:hAnsi="Bookman Old Style" w:cs="Arial"/>
                <w:i/>
                <w:iCs/>
                <w:lang w:val="en-US"/>
              </w:rPr>
              <w:t>8.07%</w:t>
            </w:r>
          </w:p>
        </w:tc>
        <w:tc>
          <w:tcPr>
            <w:tcW w:w="1862" w:type="dxa"/>
            <w:vAlign w:val="center"/>
          </w:tcPr>
          <w:p w14:paraId="4942BF5B" w14:textId="77777777" w:rsidR="0033266C" w:rsidRPr="008D3777" w:rsidRDefault="0033266C" w:rsidP="006578EF">
            <w:pPr>
              <w:contextualSpacing/>
              <w:jc w:val="both"/>
              <w:rPr>
                <w:rFonts w:ascii="Bookman Old Style" w:hAnsi="Bookman Old Style" w:cs="Arial"/>
                <w:i/>
                <w:iCs/>
                <w:lang w:val="en-US"/>
              </w:rPr>
            </w:pPr>
            <w:r w:rsidRPr="008D3777">
              <w:rPr>
                <w:rFonts w:ascii="Bookman Old Style" w:hAnsi="Bookman Old Style" w:cs="Arial"/>
                <w:i/>
                <w:iCs/>
                <w:lang w:val="en-US"/>
              </w:rPr>
              <w:t>7.42%</w:t>
            </w:r>
          </w:p>
        </w:tc>
      </w:tr>
      <w:tr w:rsidR="0033266C" w:rsidRPr="008D3777" w14:paraId="5D77EC43" w14:textId="77777777" w:rsidTr="0033266C">
        <w:tc>
          <w:tcPr>
            <w:tcW w:w="1555" w:type="dxa"/>
            <w:vAlign w:val="center"/>
          </w:tcPr>
          <w:p w14:paraId="2E9E97DE" w14:textId="77777777" w:rsidR="0033266C" w:rsidRPr="008D3777" w:rsidRDefault="0033266C" w:rsidP="006578EF">
            <w:pPr>
              <w:contextualSpacing/>
              <w:jc w:val="both"/>
              <w:rPr>
                <w:rFonts w:ascii="Bookman Old Style" w:hAnsi="Bookman Old Style" w:cs="Arial"/>
                <w:i/>
                <w:iCs/>
                <w:lang w:val="en-US"/>
              </w:rPr>
            </w:pPr>
            <w:r w:rsidRPr="008D3777">
              <w:rPr>
                <w:rFonts w:ascii="Bookman Old Style" w:hAnsi="Bookman Old Style" w:cs="Arial"/>
                <w:i/>
                <w:iCs/>
                <w:lang w:val="en-US"/>
              </w:rPr>
              <w:t>29/04/2020</w:t>
            </w:r>
          </w:p>
        </w:tc>
        <w:tc>
          <w:tcPr>
            <w:tcW w:w="1417" w:type="dxa"/>
            <w:vAlign w:val="center"/>
          </w:tcPr>
          <w:p w14:paraId="1534EC4E" w14:textId="77777777" w:rsidR="0033266C" w:rsidRPr="008D3777" w:rsidRDefault="0033266C" w:rsidP="006578EF">
            <w:pPr>
              <w:contextualSpacing/>
              <w:jc w:val="both"/>
              <w:rPr>
                <w:rFonts w:ascii="Bookman Old Style" w:hAnsi="Bookman Old Style" w:cs="Arial"/>
                <w:i/>
                <w:iCs/>
                <w:lang w:val="en-US"/>
              </w:rPr>
            </w:pPr>
            <w:r w:rsidRPr="008D3777">
              <w:rPr>
                <w:rFonts w:ascii="Bookman Old Style" w:hAnsi="Bookman Old Style" w:cs="Arial"/>
                <w:i/>
                <w:iCs/>
                <w:lang w:val="en-US"/>
              </w:rPr>
              <w:t>8.36%</w:t>
            </w:r>
          </w:p>
        </w:tc>
        <w:tc>
          <w:tcPr>
            <w:tcW w:w="1862" w:type="dxa"/>
            <w:vAlign w:val="center"/>
          </w:tcPr>
          <w:p w14:paraId="2A5A18D8" w14:textId="77777777" w:rsidR="0033266C" w:rsidRPr="008D3777" w:rsidRDefault="0033266C" w:rsidP="006578EF">
            <w:pPr>
              <w:contextualSpacing/>
              <w:jc w:val="both"/>
              <w:rPr>
                <w:rFonts w:ascii="Bookman Old Style" w:hAnsi="Bookman Old Style" w:cs="Arial"/>
                <w:i/>
                <w:iCs/>
                <w:lang w:val="en-US"/>
              </w:rPr>
            </w:pPr>
            <w:r w:rsidRPr="008D3777">
              <w:rPr>
                <w:rFonts w:ascii="Bookman Old Style" w:hAnsi="Bookman Old Style" w:cs="Arial"/>
                <w:i/>
                <w:iCs/>
                <w:lang w:val="en-US"/>
              </w:rPr>
              <w:t>7.71%</w:t>
            </w:r>
          </w:p>
        </w:tc>
      </w:tr>
      <w:tr w:rsidR="0033266C" w:rsidRPr="008D3777" w14:paraId="6461DA44" w14:textId="77777777" w:rsidTr="0033266C">
        <w:tc>
          <w:tcPr>
            <w:tcW w:w="1555" w:type="dxa"/>
            <w:vAlign w:val="center"/>
          </w:tcPr>
          <w:p w14:paraId="5CAF9F5A" w14:textId="77777777" w:rsidR="0033266C" w:rsidRPr="008D3777" w:rsidRDefault="0033266C" w:rsidP="006578EF">
            <w:pPr>
              <w:contextualSpacing/>
              <w:jc w:val="both"/>
              <w:rPr>
                <w:rFonts w:ascii="Bookman Old Style" w:hAnsi="Bookman Old Style" w:cs="Arial"/>
                <w:i/>
                <w:iCs/>
                <w:lang w:val="en-US"/>
              </w:rPr>
            </w:pPr>
            <w:r w:rsidRPr="008D3777">
              <w:rPr>
                <w:rFonts w:ascii="Bookman Old Style" w:hAnsi="Bookman Old Style" w:cs="Arial"/>
                <w:i/>
                <w:iCs/>
                <w:lang w:val="en-US"/>
              </w:rPr>
              <w:t>30/03/2020</w:t>
            </w:r>
          </w:p>
        </w:tc>
        <w:tc>
          <w:tcPr>
            <w:tcW w:w="1417" w:type="dxa"/>
            <w:vAlign w:val="center"/>
          </w:tcPr>
          <w:p w14:paraId="588137CE" w14:textId="77777777" w:rsidR="0033266C" w:rsidRPr="008D3777" w:rsidRDefault="0033266C" w:rsidP="006578EF">
            <w:pPr>
              <w:contextualSpacing/>
              <w:jc w:val="both"/>
              <w:rPr>
                <w:rFonts w:ascii="Bookman Old Style" w:hAnsi="Bookman Old Style" w:cs="Arial"/>
                <w:i/>
                <w:iCs/>
                <w:lang w:val="en-US"/>
              </w:rPr>
            </w:pPr>
            <w:r w:rsidRPr="008D3777">
              <w:rPr>
                <w:rFonts w:ascii="Bookman Old Style" w:hAnsi="Bookman Old Style" w:cs="Arial"/>
                <w:i/>
                <w:iCs/>
                <w:lang w:val="en-US"/>
              </w:rPr>
              <w:t>8.94%</w:t>
            </w:r>
          </w:p>
        </w:tc>
        <w:tc>
          <w:tcPr>
            <w:tcW w:w="1862" w:type="dxa"/>
            <w:vAlign w:val="center"/>
          </w:tcPr>
          <w:p w14:paraId="7046BA31" w14:textId="77777777" w:rsidR="0033266C" w:rsidRPr="008D3777" w:rsidRDefault="0033266C" w:rsidP="006578EF">
            <w:pPr>
              <w:contextualSpacing/>
              <w:jc w:val="both"/>
              <w:rPr>
                <w:rFonts w:ascii="Bookman Old Style" w:hAnsi="Bookman Old Style" w:cs="Arial"/>
                <w:i/>
                <w:iCs/>
                <w:lang w:val="en-US"/>
              </w:rPr>
            </w:pPr>
            <w:r w:rsidRPr="008D3777">
              <w:rPr>
                <w:rFonts w:ascii="Bookman Old Style" w:hAnsi="Bookman Old Style" w:cs="Arial"/>
                <w:i/>
                <w:iCs/>
                <w:lang w:val="en-US"/>
              </w:rPr>
              <w:t>8.27%</w:t>
            </w:r>
          </w:p>
        </w:tc>
      </w:tr>
      <w:tr w:rsidR="0033266C" w:rsidRPr="008D3777" w14:paraId="6566653A" w14:textId="77777777" w:rsidTr="0033266C">
        <w:tc>
          <w:tcPr>
            <w:tcW w:w="1555" w:type="dxa"/>
            <w:vAlign w:val="center"/>
          </w:tcPr>
          <w:p w14:paraId="18FF5545" w14:textId="77777777" w:rsidR="0033266C" w:rsidRPr="008D3777" w:rsidRDefault="0033266C" w:rsidP="006578EF">
            <w:pPr>
              <w:contextualSpacing/>
              <w:jc w:val="both"/>
              <w:rPr>
                <w:rFonts w:ascii="Bookman Old Style" w:hAnsi="Bookman Old Style" w:cs="Arial"/>
                <w:i/>
                <w:iCs/>
                <w:lang w:val="en-US"/>
              </w:rPr>
            </w:pPr>
            <w:r w:rsidRPr="008D3777">
              <w:rPr>
                <w:rFonts w:ascii="Bookman Old Style" w:hAnsi="Bookman Old Style" w:cs="Arial"/>
                <w:i/>
                <w:iCs/>
                <w:lang w:val="en-US"/>
              </w:rPr>
              <w:t>27/02/2020</w:t>
            </w:r>
          </w:p>
        </w:tc>
        <w:tc>
          <w:tcPr>
            <w:tcW w:w="1417" w:type="dxa"/>
            <w:vAlign w:val="center"/>
          </w:tcPr>
          <w:p w14:paraId="1677077E" w14:textId="77777777" w:rsidR="0033266C" w:rsidRPr="008D3777" w:rsidRDefault="0033266C" w:rsidP="006578EF">
            <w:pPr>
              <w:contextualSpacing/>
              <w:jc w:val="both"/>
              <w:rPr>
                <w:rFonts w:ascii="Bookman Old Style" w:hAnsi="Bookman Old Style" w:cs="Arial"/>
                <w:i/>
                <w:iCs/>
                <w:lang w:val="en-US"/>
              </w:rPr>
            </w:pPr>
            <w:r w:rsidRPr="008D3777">
              <w:rPr>
                <w:rFonts w:ascii="Bookman Old Style" w:hAnsi="Bookman Old Style" w:cs="Arial"/>
                <w:i/>
                <w:iCs/>
                <w:lang w:val="en-US"/>
              </w:rPr>
              <w:t>8.66%</w:t>
            </w:r>
          </w:p>
        </w:tc>
        <w:tc>
          <w:tcPr>
            <w:tcW w:w="1862" w:type="dxa"/>
            <w:vAlign w:val="center"/>
          </w:tcPr>
          <w:p w14:paraId="6F6734ED" w14:textId="77777777" w:rsidR="0033266C" w:rsidRPr="008D3777" w:rsidRDefault="0033266C" w:rsidP="006578EF">
            <w:pPr>
              <w:contextualSpacing/>
              <w:jc w:val="both"/>
              <w:rPr>
                <w:rFonts w:ascii="Bookman Old Style" w:hAnsi="Bookman Old Style" w:cs="Arial"/>
                <w:i/>
                <w:iCs/>
                <w:lang w:val="en-US"/>
              </w:rPr>
            </w:pPr>
            <w:r w:rsidRPr="008D3777">
              <w:rPr>
                <w:rFonts w:ascii="Bookman Old Style" w:hAnsi="Bookman Old Style" w:cs="Arial"/>
                <w:i/>
                <w:iCs/>
                <w:lang w:val="en-US"/>
              </w:rPr>
              <w:t>7.50%</w:t>
            </w:r>
          </w:p>
        </w:tc>
      </w:tr>
      <w:tr w:rsidR="0033266C" w:rsidRPr="008D3777" w14:paraId="7BDC92D6" w14:textId="77777777" w:rsidTr="0033266C">
        <w:tc>
          <w:tcPr>
            <w:tcW w:w="1555" w:type="dxa"/>
            <w:vAlign w:val="center"/>
          </w:tcPr>
          <w:p w14:paraId="24464919" w14:textId="77777777" w:rsidR="0033266C" w:rsidRPr="008D3777" w:rsidRDefault="0033266C" w:rsidP="006578EF">
            <w:pPr>
              <w:contextualSpacing/>
              <w:jc w:val="both"/>
              <w:rPr>
                <w:rFonts w:ascii="Bookman Old Style" w:hAnsi="Bookman Old Style" w:cs="Arial"/>
                <w:i/>
                <w:iCs/>
                <w:lang w:val="en-US"/>
              </w:rPr>
            </w:pPr>
            <w:r w:rsidRPr="008D3777">
              <w:rPr>
                <w:rFonts w:ascii="Bookman Old Style" w:hAnsi="Bookman Old Style" w:cs="Arial"/>
                <w:i/>
                <w:iCs/>
                <w:lang w:val="en-US"/>
              </w:rPr>
              <w:t>30/01/2020</w:t>
            </w:r>
          </w:p>
        </w:tc>
        <w:tc>
          <w:tcPr>
            <w:tcW w:w="1417" w:type="dxa"/>
            <w:vAlign w:val="center"/>
          </w:tcPr>
          <w:p w14:paraId="376F148E" w14:textId="77777777" w:rsidR="0033266C" w:rsidRPr="008D3777" w:rsidRDefault="0033266C" w:rsidP="006578EF">
            <w:pPr>
              <w:contextualSpacing/>
              <w:jc w:val="both"/>
              <w:rPr>
                <w:rFonts w:ascii="Bookman Old Style" w:hAnsi="Bookman Old Style" w:cs="Arial"/>
                <w:i/>
                <w:iCs/>
                <w:lang w:val="en-US"/>
              </w:rPr>
            </w:pPr>
            <w:r w:rsidRPr="008D3777">
              <w:rPr>
                <w:rFonts w:ascii="Bookman Old Style" w:hAnsi="Bookman Old Style" w:cs="Arial"/>
                <w:i/>
                <w:iCs/>
                <w:lang w:val="en-US"/>
              </w:rPr>
              <w:t>8.07%</w:t>
            </w:r>
          </w:p>
        </w:tc>
        <w:tc>
          <w:tcPr>
            <w:tcW w:w="1862" w:type="dxa"/>
            <w:vAlign w:val="center"/>
          </w:tcPr>
          <w:p w14:paraId="3B746893" w14:textId="77777777" w:rsidR="0033266C" w:rsidRPr="008D3777" w:rsidRDefault="0033266C" w:rsidP="006578EF">
            <w:pPr>
              <w:contextualSpacing/>
              <w:jc w:val="both"/>
              <w:rPr>
                <w:rFonts w:ascii="Bookman Old Style" w:hAnsi="Bookman Old Style" w:cs="Arial"/>
                <w:i/>
                <w:iCs/>
                <w:lang w:val="en-US"/>
              </w:rPr>
            </w:pPr>
            <w:r w:rsidRPr="008D3777">
              <w:rPr>
                <w:rFonts w:ascii="Bookman Old Style" w:hAnsi="Bookman Old Style" w:cs="Arial"/>
                <w:i/>
                <w:iCs/>
                <w:lang w:val="en-US"/>
              </w:rPr>
              <w:t>6.57%</w:t>
            </w:r>
          </w:p>
        </w:tc>
      </w:tr>
      <w:tr w:rsidR="0033266C" w:rsidRPr="008D3777" w14:paraId="4EBD4AE0" w14:textId="77777777" w:rsidTr="0033266C">
        <w:tc>
          <w:tcPr>
            <w:tcW w:w="1555" w:type="dxa"/>
            <w:vAlign w:val="center"/>
          </w:tcPr>
          <w:p w14:paraId="57FA07DD" w14:textId="77777777" w:rsidR="0033266C" w:rsidRPr="008D3777" w:rsidRDefault="0033266C" w:rsidP="006578EF">
            <w:pPr>
              <w:contextualSpacing/>
              <w:jc w:val="both"/>
              <w:rPr>
                <w:rFonts w:ascii="Bookman Old Style" w:hAnsi="Bookman Old Style" w:cs="Arial"/>
                <w:i/>
                <w:iCs/>
                <w:lang w:val="en-US"/>
              </w:rPr>
            </w:pPr>
            <w:proofErr w:type="spellStart"/>
            <w:r w:rsidRPr="008D3777">
              <w:rPr>
                <w:rFonts w:ascii="Bookman Old Style" w:hAnsi="Bookman Old Style" w:cs="Arial"/>
                <w:i/>
                <w:iCs/>
                <w:lang w:val="en-US"/>
              </w:rPr>
              <w:t>Promedio</w:t>
            </w:r>
            <w:proofErr w:type="spellEnd"/>
          </w:p>
        </w:tc>
        <w:tc>
          <w:tcPr>
            <w:tcW w:w="1417" w:type="dxa"/>
            <w:vAlign w:val="center"/>
          </w:tcPr>
          <w:p w14:paraId="2E0C8752" w14:textId="77777777" w:rsidR="0033266C" w:rsidRPr="008D3777" w:rsidRDefault="0033266C" w:rsidP="006578EF">
            <w:pPr>
              <w:contextualSpacing/>
              <w:jc w:val="both"/>
              <w:rPr>
                <w:rFonts w:ascii="Bookman Old Style" w:hAnsi="Bookman Old Style" w:cs="Arial"/>
                <w:i/>
                <w:iCs/>
                <w:lang w:val="en-US"/>
              </w:rPr>
            </w:pPr>
            <w:r w:rsidRPr="008D3777">
              <w:rPr>
                <w:rFonts w:ascii="Bookman Old Style" w:hAnsi="Bookman Old Style" w:cs="Arial"/>
                <w:i/>
                <w:iCs/>
                <w:lang w:val="en-US"/>
              </w:rPr>
              <w:t>8.35%</w:t>
            </w:r>
          </w:p>
        </w:tc>
        <w:tc>
          <w:tcPr>
            <w:tcW w:w="1862" w:type="dxa"/>
            <w:vAlign w:val="center"/>
          </w:tcPr>
          <w:p w14:paraId="31B02D0E" w14:textId="77777777" w:rsidR="0033266C" w:rsidRPr="008D3777" w:rsidRDefault="0033266C" w:rsidP="006578EF">
            <w:pPr>
              <w:contextualSpacing/>
              <w:jc w:val="both"/>
              <w:rPr>
                <w:rFonts w:ascii="Bookman Old Style" w:hAnsi="Bookman Old Style" w:cs="Arial"/>
                <w:i/>
                <w:iCs/>
                <w:lang w:val="en-US"/>
              </w:rPr>
            </w:pPr>
            <w:r w:rsidRPr="008D3777">
              <w:rPr>
                <w:rFonts w:ascii="Bookman Old Style" w:hAnsi="Bookman Old Style" w:cs="Arial"/>
                <w:i/>
                <w:iCs/>
                <w:lang w:val="en-US"/>
              </w:rPr>
              <w:t>7.47%</w:t>
            </w:r>
          </w:p>
        </w:tc>
      </w:tr>
    </w:tbl>
    <w:p w14:paraId="3AEDD77D" w14:textId="77777777" w:rsidR="007F2AFE" w:rsidRPr="008D3777" w:rsidRDefault="007F2AFE" w:rsidP="00285974">
      <w:pPr>
        <w:spacing w:after="0" w:line="240" w:lineRule="auto"/>
        <w:ind w:left="426"/>
        <w:contextualSpacing/>
        <w:jc w:val="both"/>
        <w:rPr>
          <w:rFonts w:ascii="Bookman Old Style" w:hAnsi="Bookman Old Style" w:cs="Arial"/>
          <w:i/>
          <w:iCs/>
          <w:sz w:val="20"/>
          <w:szCs w:val="20"/>
          <w:lang w:val="en-US"/>
        </w:rPr>
      </w:pPr>
    </w:p>
    <w:p w14:paraId="5170A7A2" w14:textId="77777777" w:rsidR="007F2AFE" w:rsidRPr="008D3777" w:rsidRDefault="007F2AFE" w:rsidP="00285974">
      <w:pPr>
        <w:spacing w:after="0" w:line="240" w:lineRule="auto"/>
        <w:ind w:left="426"/>
        <w:contextualSpacing/>
        <w:jc w:val="both"/>
        <w:rPr>
          <w:rFonts w:ascii="Bookman Old Style" w:hAnsi="Bookman Old Style" w:cs="Arial"/>
          <w:b/>
          <w:bCs/>
          <w:i/>
          <w:iCs/>
          <w:sz w:val="20"/>
          <w:szCs w:val="20"/>
        </w:rPr>
      </w:pPr>
      <w:r w:rsidRPr="008D3777">
        <w:rPr>
          <w:rFonts w:ascii="Bookman Old Style" w:hAnsi="Bookman Old Style" w:cs="Arial"/>
          <w:b/>
          <w:bCs/>
          <w:i/>
          <w:iCs/>
          <w:sz w:val="20"/>
          <w:szCs w:val="20"/>
        </w:rPr>
        <w:t xml:space="preserve">4.6.2. Country </w:t>
      </w:r>
      <w:proofErr w:type="spellStart"/>
      <w:r w:rsidRPr="008D3777">
        <w:rPr>
          <w:rFonts w:ascii="Bookman Old Style" w:hAnsi="Bookman Old Style" w:cs="Arial"/>
          <w:b/>
          <w:bCs/>
          <w:i/>
          <w:iCs/>
          <w:sz w:val="20"/>
          <w:szCs w:val="20"/>
        </w:rPr>
        <w:t>Risk</w:t>
      </w:r>
      <w:proofErr w:type="spellEnd"/>
      <w:r w:rsidRPr="008D3777">
        <w:rPr>
          <w:rFonts w:ascii="Bookman Old Style" w:hAnsi="Bookman Old Style" w:cs="Arial"/>
          <w:b/>
          <w:bCs/>
          <w:i/>
          <w:iCs/>
          <w:sz w:val="20"/>
          <w:szCs w:val="20"/>
        </w:rPr>
        <w:t xml:space="preserve"> </w:t>
      </w:r>
    </w:p>
    <w:p w14:paraId="69DBC7CB" w14:textId="77777777" w:rsidR="007F2AFE" w:rsidRPr="008D3777" w:rsidRDefault="007F2AFE" w:rsidP="00285974">
      <w:pPr>
        <w:spacing w:after="0" w:line="240" w:lineRule="auto"/>
        <w:ind w:left="426"/>
        <w:contextualSpacing/>
        <w:jc w:val="both"/>
        <w:rPr>
          <w:rFonts w:ascii="Bookman Old Style" w:hAnsi="Bookman Old Style" w:cs="Arial"/>
          <w:i/>
          <w:iCs/>
          <w:sz w:val="20"/>
          <w:szCs w:val="20"/>
        </w:rPr>
      </w:pPr>
    </w:p>
    <w:p w14:paraId="2F8C9DB3" w14:textId="77777777" w:rsidR="007F2AFE" w:rsidRPr="008D3777" w:rsidRDefault="007F2AFE" w:rsidP="00285974">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El Country </w:t>
      </w:r>
      <w:proofErr w:type="spellStart"/>
      <w:r w:rsidRPr="008D3777">
        <w:rPr>
          <w:rFonts w:ascii="Bookman Old Style" w:hAnsi="Bookman Old Style" w:cs="Arial"/>
          <w:i/>
          <w:iCs/>
          <w:sz w:val="20"/>
          <w:szCs w:val="20"/>
        </w:rPr>
        <w:t>Risk</w:t>
      </w:r>
      <w:proofErr w:type="spellEnd"/>
      <w:r w:rsidRPr="008D3777">
        <w:rPr>
          <w:rFonts w:ascii="Bookman Old Style" w:hAnsi="Bookman Old Style" w:cs="Arial"/>
          <w:i/>
          <w:iCs/>
          <w:sz w:val="20"/>
          <w:szCs w:val="20"/>
        </w:rPr>
        <w:t xml:space="preserve"> de Colombia a Julio 2020 es de 280 puntos básicos.</w:t>
      </w:r>
    </w:p>
    <w:p w14:paraId="408AA588" w14:textId="77777777" w:rsidR="007F2AFE" w:rsidRPr="008D3777" w:rsidRDefault="007F2AFE" w:rsidP="00285974">
      <w:pPr>
        <w:spacing w:after="0" w:line="240" w:lineRule="auto"/>
        <w:ind w:left="426"/>
        <w:contextualSpacing/>
        <w:jc w:val="both"/>
        <w:rPr>
          <w:rFonts w:ascii="Bookman Old Style" w:hAnsi="Bookman Old Style" w:cs="Arial"/>
          <w:i/>
          <w:iCs/>
          <w:sz w:val="20"/>
          <w:szCs w:val="20"/>
        </w:rPr>
      </w:pPr>
    </w:p>
    <w:p w14:paraId="21FD3384" w14:textId="77777777" w:rsidR="007F2AFE" w:rsidRPr="008D3777" w:rsidRDefault="007F2AFE" w:rsidP="00285974">
      <w:pPr>
        <w:spacing w:after="0" w:line="240" w:lineRule="auto"/>
        <w:ind w:left="426"/>
        <w:contextualSpacing/>
        <w:jc w:val="both"/>
        <w:rPr>
          <w:rFonts w:ascii="Bookman Old Style" w:hAnsi="Bookman Old Style" w:cs="Arial"/>
          <w:b/>
          <w:bCs/>
          <w:i/>
          <w:iCs/>
          <w:sz w:val="20"/>
          <w:szCs w:val="20"/>
        </w:rPr>
      </w:pPr>
      <w:r w:rsidRPr="008D3777">
        <w:rPr>
          <w:rFonts w:ascii="Bookman Old Style" w:hAnsi="Bookman Old Style" w:cs="Arial"/>
          <w:b/>
          <w:bCs/>
          <w:i/>
          <w:iCs/>
          <w:sz w:val="20"/>
          <w:szCs w:val="20"/>
        </w:rPr>
        <w:t xml:space="preserve">4.6.3. Beta </w:t>
      </w:r>
      <w:proofErr w:type="spellStart"/>
      <w:r w:rsidRPr="008D3777">
        <w:rPr>
          <w:rFonts w:ascii="Bookman Old Style" w:hAnsi="Bookman Old Style" w:cs="Arial"/>
          <w:b/>
          <w:bCs/>
          <w:i/>
          <w:iCs/>
          <w:sz w:val="20"/>
          <w:szCs w:val="20"/>
        </w:rPr>
        <w:t>levered</w:t>
      </w:r>
      <w:proofErr w:type="spellEnd"/>
    </w:p>
    <w:p w14:paraId="09AE1205" w14:textId="77777777" w:rsidR="007F2AFE" w:rsidRPr="008D3777" w:rsidRDefault="007F2AFE" w:rsidP="00285974">
      <w:pPr>
        <w:spacing w:after="0" w:line="240" w:lineRule="auto"/>
        <w:ind w:left="426"/>
        <w:contextualSpacing/>
        <w:jc w:val="both"/>
        <w:rPr>
          <w:rFonts w:ascii="Bookman Old Style" w:hAnsi="Bookman Old Style" w:cs="Arial"/>
          <w:i/>
          <w:iCs/>
          <w:sz w:val="20"/>
          <w:szCs w:val="20"/>
        </w:rPr>
      </w:pPr>
    </w:p>
    <w:p w14:paraId="75F5ECBB" w14:textId="77777777" w:rsidR="007F2AFE" w:rsidRPr="008D3777" w:rsidRDefault="007F2AFE" w:rsidP="00285974">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El valor </w:t>
      </w:r>
      <w:proofErr w:type="spellStart"/>
      <w:r w:rsidRPr="008D3777">
        <w:rPr>
          <w:rFonts w:ascii="Bookman Old Style" w:hAnsi="Bookman Old Style" w:cs="Arial"/>
          <w:i/>
          <w:iCs/>
          <w:sz w:val="20"/>
          <w:szCs w:val="20"/>
        </w:rPr>
        <w:t>de el</w:t>
      </w:r>
      <w:proofErr w:type="spellEnd"/>
      <w:r w:rsidRPr="008D3777">
        <w:rPr>
          <w:rFonts w:ascii="Bookman Old Style" w:hAnsi="Bookman Old Style" w:cs="Arial"/>
          <w:i/>
          <w:iCs/>
          <w:sz w:val="20"/>
          <w:szCs w:val="20"/>
        </w:rPr>
        <w:t xml:space="preserve"> Beta (</w:t>
      </w:r>
      <m:oMath>
        <m:sSub>
          <m:sSubPr>
            <m:ctrlPr>
              <w:rPr>
                <w:rFonts w:ascii="Cambria Math" w:hAnsi="Cambria Math" w:cs="Arial"/>
                <w:i/>
                <w:iCs/>
                <w:sz w:val="20"/>
                <w:szCs w:val="20"/>
              </w:rPr>
            </m:ctrlPr>
          </m:sSubPr>
          <m:e>
            <m:r>
              <w:rPr>
                <w:rFonts w:ascii="Cambria Math" w:hAnsi="Cambria Math" w:cs="Arial"/>
                <w:sz w:val="20"/>
                <w:szCs w:val="20"/>
              </w:rPr>
              <m:t>β</m:t>
            </m:r>
          </m:e>
          <m:sub>
            <m:r>
              <w:rPr>
                <w:rFonts w:ascii="Cambria Math" w:hAnsi="Cambria Math" w:cs="Arial"/>
                <w:sz w:val="20"/>
                <w:szCs w:val="20"/>
              </w:rPr>
              <m:t>L</m:t>
            </m:r>
          </m:sub>
        </m:sSub>
      </m:oMath>
      <w:r w:rsidRPr="008D3777">
        <w:rPr>
          <w:rFonts w:ascii="Bookman Old Style" w:hAnsi="Bookman Old Style" w:cs="Arial"/>
          <w:i/>
          <w:iCs/>
          <w:sz w:val="20"/>
          <w:szCs w:val="20"/>
        </w:rPr>
        <w:t>) apalancado de acuerdo con el promedio del mercado es del 1.07</w:t>
      </w:r>
    </w:p>
    <w:p w14:paraId="7687B47F" w14:textId="77777777" w:rsidR="007F2AFE" w:rsidRPr="008D3777" w:rsidRDefault="007F2AFE" w:rsidP="00285974">
      <w:pPr>
        <w:spacing w:after="0" w:line="240" w:lineRule="auto"/>
        <w:ind w:left="426"/>
        <w:contextualSpacing/>
        <w:jc w:val="both"/>
        <w:rPr>
          <w:rFonts w:ascii="Bookman Old Style" w:hAnsi="Bookman Old Style" w:cs="Arial"/>
          <w:i/>
          <w:iCs/>
          <w:sz w:val="20"/>
          <w:szCs w:val="20"/>
        </w:rPr>
      </w:pPr>
    </w:p>
    <w:p w14:paraId="4F246200" w14:textId="77777777" w:rsidR="007F2AFE" w:rsidRPr="008D3777" w:rsidRDefault="007F2AFE" w:rsidP="00285974">
      <w:pPr>
        <w:spacing w:after="0" w:line="240" w:lineRule="auto"/>
        <w:ind w:left="426"/>
        <w:contextualSpacing/>
        <w:jc w:val="both"/>
        <w:rPr>
          <w:rFonts w:ascii="Bookman Old Style" w:hAnsi="Bookman Old Style" w:cs="Arial"/>
          <w:b/>
          <w:bCs/>
          <w:i/>
          <w:iCs/>
          <w:sz w:val="20"/>
          <w:szCs w:val="20"/>
        </w:rPr>
      </w:pPr>
      <w:r w:rsidRPr="008D3777">
        <w:rPr>
          <w:rFonts w:ascii="Bookman Old Style" w:hAnsi="Bookman Old Style" w:cs="Arial"/>
          <w:b/>
          <w:bCs/>
          <w:i/>
          <w:iCs/>
          <w:sz w:val="20"/>
          <w:szCs w:val="20"/>
        </w:rPr>
        <w:t xml:space="preserve">4.6.4. Beta </w:t>
      </w:r>
      <w:proofErr w:type="spellStart"/>
      <w:r w:rsidRPr="008D3777">
        <w:rPr>
          <w:rFonts w:ascii="Bookman Old Style" w:hAnsi="Bookman Old Style" w:cs="Arial"/>
          <w:b/>
          <w:bCs/>
          <w:i/>
          <w:iCs/>
          <w:sz w:val="20"/>
          <w:szCs w:val="20"/>
        </w:rPr>
        <w:t>unlevered</w:t>
      </w:r>
      <w:proofErr w:type="spellEnd"/>
    </w:p>
    <w:p w14:paraId="41D06933" w14:textId="77777777" w:rsidR="007F2AFE" w:rsidRPr="008D3777" w:rsidRDefault="007F2AFE" w:rsidP="00285974">
      <w:pPr>
        <w:spacing w:after="0" w:line="240" w:lineRule="auto"/>
        <w:ind w:left="426"/>
        <w:contextualSpacing/>
        <w:jc w:val="both"/>
        <w:rPr>
          <w:rFonts w:ascii="Bookman Old Style" w:hAnsi="Bookman Old Style" w:cs="Arial"/>
          <w:i/>
          <w:iCs/>
          <w:sz w:val="20"/>
          <w:szCs w:val="20"/>
        </w:rPr>
      </w:pPr>
    </w:p>
    <w:p w14:paraId="7360A324" w14:textId="77777777" w:rsidR="007F2AFE" w:rsidRPr="008D3777" w:rsidRDefault="007F2AFE" w:rsidP="00285974">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Teniendo en cuenta el valor de </w:t>
      </w:r>
      <m:oMath>
        <m:sSub>
          <m:sSubPr>
            <m:ctrlPr>
              <w:rPr>
                <w:rFonts w:ascii="Cambria Math" w:hAnsi="Cambria Math" w:cs="Arial"/>
                <w:i/>
                <w:iCs/>
                <w:sz w:val="20"/>
                <w:szCs w:val="20"/>
              </w:rPr>
            </m:ctrlPr>
          </m:sSubPr>
          <m:e>
            <m:r>
              <w:rPr>
                <w:rFonts w:ascii="Cambria Math" w:hAnsi="Cambria Math" w:cs="Arial"/>
                <w:sz w:val="20"/>
                <w:szCs w:val="20"/>
              </w:rPr>
              <m:t>β</m:t>
            </m:r>
          </m:e>
          <m:sub>
            <m:r>
              <w:rPr>
                <w:rFonts w:ascii="Cambria Math" w:hAnsi="Cambria Math" w:cs="Arial"/>
                <w:sz w:val="20"/>
                <w:szCs w:val="20"/>
              </w:rPr>
              <m:t>L</m:t>
            </m:r>
          </m:sub>
        </m:sSub>
      </m:oMath>
      <w:r w:rsidRPr="008D3777">
        <w:rPr>
          <w:rFonts w:ascii="Bookman Old Style" w:hAnsi="Bookman Old Style" w:cs="Arial"/>
          <w:i/>
          <w:iCs/>
          <w:sz w:val="20"/>
          <w:szCs w:val="20"/>
        </w:rPr>
        <w:t xml:space="preserve"> el valor de el Beta (</w:t>
      </w:r>
      <m:oMath>
        <m:sSub>
          <m:sSubPr>
            <m:ctrlPr>
              <w:rPr>
                <w:rFonts w:ascii="Cambria Math" w:hAnsi="Cambria Math" w:cs="Arial"/>
                <w:i/>
                <w:iCs/>
                <w:sz w:val="20"/>
                <w:szCs w:val="20"/>
              </w:rPr>
            </m:ctrlPr>
          </m:sSubPr>
          <m:e>
            <m:r>
              <w:rPr>
                <w:rFonts w:ascii="Cambria Math" w:hAnsi="Cambria Math" w:cs="Arial"/>
                <w:sz w:val="20"/>
                <w:szCs w:val="20"/>
              </w:rPr>
              <m:t>β</m:t>
            </m:r>
          </m:e>
          <m:sub>
            <m:r>
              <w:rPr>
                <w:rFonts w:ascii="Cambria Math" w:hAnsi="Cambria Math" w:cs="Arial"/>
                <w:sz w:val="20"/>
                <w:szCs w:val="20"/>
              </w:rPr>
              <m:t>U</m:t>
            </m:r>
          </m:sub>
        </m:sSub>
      </m:oMath>
      <w:r w:rsidRPr="008D3777">
        <w:rPr>
          <w:rFonts w:ascii="Bookman Old Style" w:hAnsi="Bookman Old Style" w:cs="Arial"/>
          <w:i/>
          <w:iCs/>
          <w:sz w:val="20"/>
          <w:szCs w:val="20"/>
        </w:rPr>
        <w:t xml:space="preserve">) </w:t>
      </w:r>
      <w:proofErr w:type="spellStart"/>
      <w:r w:rsidRPr="008D3777">
        <w:rPr>
          <w:rFonts w:ascii="Bookman Old Style" w:hAnsi="Bookman Old Style" w:cs="Arial"/>
          <w:i/>
          <w:iCs/>
          <w:sz w:val="20"/>
          <w:szCs w:val="20"/>
        </w:rPr>
        <w:t>desapalancado</w:t>
      </w:r>
      <w:proofErr w:type="spellEnd"/>
      <w:r w:rsidRPr="008D3777">
        <w:rPr>
          <w:rFonts w:ascii="Bookman Old Style" w:hAnsi="Bookman Old Style" w:cs="Arial"/>
          <w:i/>
          <w:iCs/>
          <w:sz w:val="20"/>
          <w:szCs w:val="20"/>
        </w:rPr>
        <w:t xml:space="preserve"> de acuerdo con el mercado es del 0.74</w:t>
      </w:r>
    </w:p>
    <w:p w14:paraId="5D5F7F35" w14:textId="77777777" w:rsidR="007F2AFE" w:rsidRPr="008D3777" w:rsidRDefault="007F2AFE" w:rsidP="00285974">
      <w:pPr>
        <w:spacing w:after="0" w:line="240" w:lineRule="auto"/>
        <w:ind w:left="426"/>
        <w:contextualSpacing/>
        <w:jc w:val="both"/>
        <w:rPr>
          <w:rFonts w:ascii="Bookman Old Style" w:hAnsi="Bookman Old Style" w:cs="Arial"/>
          <w:i/>
          <w:iCs/>
          <w:sz w:val="20"/>
          <w:szCs w:val="20"/>
        </w:rPr>
      </w:pPr>
    </w:p>
    <w:p w14:paraId="339FFA15" w14:textId="77777777" w:rsidR="007F2AFE" w:rsidRPr="008D3777" w:rsidRDefault="007F2AFE" w:rsidP="00285974">
      <w:pPr>
        <w:spacing w:after="0" w:line="240" w:lineRule="auto"/>
        <w:ind w:left="426"/>
        <w:contextualSpacing/>
        <w:jc w:val="both"/>
        <w:rPr>
          <w:rFonts w:ascii="Bookman Old Style" w:hAnsi="Bookman Old Style" w:cs="Arial"/>
          <w:b/>
          <w:bCs/>
          <w:i/>
          <w:iCs/>
          <w:sz w:val="20"/>
          <w:szCs w:val="20"/>
        </w:rPr>
      </w:pPr>
      <w:r w:rsidRPr="008D3777">
        <w:rPr>
          <w:rFonts w:ascii="Bookman Old Style" w:hAnsi="Bookman Old Style" w:cs="Arial"/>
          <w:b/>
          <w:bCs/>
          <w:i/>
          <w:iCs/>
          <w:sz w:val="20"/>
          <w:szCs w:val="20"/>
        </w:rPr>
        <w:t>4.6.5. Inflación</w:t>
      </w:r>
    </w:p>
    <w:p w14:paraId="1B49CBB3" w14:textId="77777777" w:rsidR="007F2AFE" w:rsidRPr="008D3777" w:rsidRDefault="007F2AFE" w:rsidP="00285974">
      <w:pPr>
        <w:spacing w:after="0" w:line="240" w:lineRule="auto"/>
        <w:ind w:left="426"/>
        <w:contextualSpacing/>
        <w:jc w:val="both"/>
        <w:rPr>
          <w:rFonts w:ascii="Bookman Old Style" w:hAnsi="Bookman Old Style" w:cs="Arial"/>
          <w:i/>
          <w:iCs/>
          <w:sz w:val="20"/>
          <w:szCs w:val="20"/>
        </w:rPr>
      </w:pPr>
    </w:p>
    <w:p w14:paraId="79186438" w14:textId="77777777" w:rsidR="007F2AFE" w:rsidRPr="008D3777" w:rsidRDefault="007F2AFE" w:rsidP="00285974">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El valor de la inflación promedio para el año 2020 según el Banco de la República es de 3.29%. Sí tomamos el promedio del año corrido 201906 a 202006 es de 3.54%. La de cierre de 2019 fue de 3.80% y la promedio del año2019 es de 3.52%</w:t>
      </w:r>
    </w:p>
    <w:p w14:paraId="37C9C283" w14:textId="77777777" w:rsidR="007F2AFE" w:rsidRPr="008D3777" w:rsidRDefault="007F2AFE" w:rsidP="00285974">
      <w:pPr>
        <w:spacing w:after="0" w:line="240" w:lineRule="auto"/>
        <w:ind w:left="426"/>
        <w:contextualSpacing/>
        <w:jc w:val="both"/>
        <w:rPr>
          <w:rFonts w:ascii="Bookman Old Style" w:hAnsi="Bookman Old Style" w:cs="Arial"/>
          <w:i/>
          <w:iCs/>
          <w:sz w:val="20"/>
          <w:szCs w:val="20"/>
        </w:rPr>
      </w:pPr>
    </w:p>
    <w:p w14:paraId="5237F355" w14:textId="77777777" w:rsidR="007F2AFE" w:rsidRPr="008D3777" w:rsidRDefault="007F2AFE" w:rsidP="00285974">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Por </w:t>
      </w:r>
      <w:proofErr w:type="gramStart"/>
      <w:r w:rsidRPr="008D3777">
        <w:rPr>
          <w:rFonts w:ascii="Bookman Old Style" w:hAnsi="Bookman Old Style" w:cs="Arial"/>
          <w:i/>
          <w:iCs/>
          <w:sz w:val="20"/>
          <w:szCs w:val="20"/>
        </w:rPr>
        <w:t>tanto</w:t>
      </w:r>
      <w:proofErr w:type="gramEnd"/>
      <w:r w:rsidRPr="008D3777">
        <w:rPr>
          <w:rFonts w:ascii="Bookman Old Style" w:hAnsi="Bookman Old Style" w:cs="Arial"/>
          <w:i/>
          <w:iCs/>
          <w:sz w:val="20"/>
          <w:szCs w:val="20"/>
        </w:rPr>
        <w:t xml:space="preserve"> si reemplazamos con los valores de referencia arriba detallados el cálculo de la tasa de descuento sería:</w:t>
      </w:r>
    </w:p>
    <w:p w14:paraId="477ED241" w14:textId="77777777" w:rsidR="007F2AFE" w:rsidRPr="008D3777" w:rsidRDefault="007F2AFE" w:rsidP="00285974">
      <w:pPr>
        <w:spacing w:after="0" w:line="240" w:lineRule="auto"/>
        <w:ind w:left="426"/>
        <w:contextualSpacing/>
        <w:jc w:val="both"/>
        <w:rPr>
          <w:rFonts w:ascii="Bookman Old Style" w:hAnsi="Bookman Old Style" w:cs="Arial"/>
          <w:i/>
          <w:iCs/>
          <w:sz w:val="20"/>
          <w:szCs w:val="20"/>
        </w:rPr>
      </w:pPr>
    </w:p>
    <w:p w14:paraId="6754E14D" w14:textId="77777777" w:rsidR="007F2AFE" w:rsidRPr="008D3777" w:rsidRDefault="007F2AFE" w:rsidP="00285974">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i/>
          <w:iCs/>
          <w:noProof/>
          <w:sz w:val="20"/>
          <w:szCs w:val="20"/>
        </w:rPr>
        <w:drawing>
          <wp:inline distT="0" distB="0" distL="0" distR="0" wp14:anchorId="7CD93681" wp14:editId="340CDFE3">
            <wp:extent cx="1910783" cy="264819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17913" cy="2658079"/>
                    </a:xfrm>
                    <a:prstGeom prst="rect">
                      <a:avLst/>
                    </a:prstGeom>
                  </pic:spPr>
                </pic:pic>
              </a:graphicData>
            </a:graphic>
          </wp:inline>
        </w:drawing>
      </w:r>
    </w:p>
    <w:p w14:paraId="3E543112" w14:textId="77777777" w:rsidR="007F2AFE" w:rsidRPr="008D3777" w:rsidRDefault="007F2AFE" w:rsidP="00285974">
      <w:pPr>
        <w:spacing w:after="0" w:line="240" w:lineRule="auto"/>
        <w:ind w:left="426"/>
        <w:contextualSpacing/>
        <w:jc w:val="both"/>
        <w:rPr>
          <w:rFonts w:ascii="Bookman Old Style" w:hAnsi="Bookman Old Style" w:cs="Arial"/>
          <w:i/>
          <w:iCs/>
          <w:sz w:val="20"/>
          <w:szCs w:val="20"/>
        </w:rPr>
      </w:pPr>
    </w:p>
    <w:p w14:paraId="3EEB612C" w14:textId="77777777" w:rsidR="007F2AFE" w:rsidRPr="008D3777" w:rsidRDefault="007F2AFE" w:rsidP="00285974">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Y consecuentemente los flujos de remuneración deben ser ajustados.</w:t>
      </w:r>
    </w:p>
    <w:p w14:paraId="66FBA275" w14:textId="77777777" w:rsidR="007F2AFE" w:rsidRPr="008D3777" w:rsidRDefault="007F2AFE" w:rsidP="00285974">
      <w:pPr>
        <w:spacing w:after="0" w:line="240" w:lineRule="auto"/>
        <w:ind w:left="426"/>
        <w:contextualSpacing/>
        <w:jc w:val="both"/>
        <w:rPr>
          <w:rFonts w:ascii="Bookman Old Style" w:hAnsi="Bookman Old Style" w:cs="Arial"/>
          <w:i/>
          <w:iCs/>
          <w:sz w:val="20"/>
          <w:szCs w:val="20"/>
        </w:rPr>
      </w:pPr>
    </w:p>
    <w:p w14:paraId="5E945BA9" w14:textId="77777777" w:rsidR="007F2AFE" w:rsidRPr="008D3777" w:rsidRDefault="007F2AFE" w:rsidP="00285974">
      <w:pPr>
        <w:spacing w:after="0" w:line="240" w:lineRule="auto"/>
        <w:ind w:left="426"/>
        <w:contextualSpacing/>
        <w:jc w:val="both"/>
        <w:rPr>
          <w:rFonts w:ascii="Bookman Old Style" w:hAnsi="Bookman Old Style" w:cs="Arial"/>
          <w:b/>
          <w:bCs/>
          <w:i/>
          <w:iCs/>
          <w:sz w:val="20"/>
          <w:szCs w:val="20"/>
        </w:rPr>
      </w:pPr>
      <w:r w:rsidRPr="008D3777">
        <w:rPr>
          <w:rFonts w:ascii="Bookman Old Style" w:hAnsi="Bookman Old Style" w:cs="Arial"/>
          <w:b/>
          <w:bCs/>
          <w:i/>
          <w:iCs/>
          <w:sz w:val="20"/>
          <w:szCs w:val="20"/>
        </w:rPr>
        <w:t>4.7. Costos de conexión</w:t>
      </w:r>
    </w:p>
    <w:p w14:paraId="7C8D5794" w14:textId="77777777" w:rsidR="007F2AFE" w:rsidRPr="008D3777" w:rsidRDefault="007F2AFE" w:rsidP="00285974">
      <w:pPr>
        <w:spacing w:after="0" w:line="240" w:lineRule="auto"/>
        <w:ind w:left="426"/>
        <w:contextualSpacing/>
        <w:jc w:val="both"/>
        <w:rPr>
          <w:rFonts w:ascii="Bookman Old Style" w:hAnsi="Bookman Old Style" w:cs="Arial"/>
          <w:i/>
          <w:iCs/>
          <w:sz w:val="20"/>
          <w:szCs w:val="20"/>
        </w:rPr>
      </w:pPr>
    </w:p>
    <w:p w14:paraId="5565CC44" w14:textId="77777777" w:rsidR="007F2AFE" w:rsidRPr="008D3777" w:rsidRDefault="007F2AFE" w:rsidP="00285974">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De acuerdo con lo que se indica en el documento CREG 097 de 2020, para determinar el valor máximo de los componentes de inversión y administración operación y mantenimiento para los Cargos Máximos de Generación para el proyecto </w:t>
      </w:r>
      <w:proofErr w:type="spellStart"/>
      <w:r w:rsidRPr="008D3777">
        <w:rPr>
          <w:rFonts w:ascii="Bookman Old Style" w:hAnsi="Bookman Old Style" w:cs="Arial"/>
          <w:i/>
          <w:iCs/>
          <w:sz w:val="20"/>
          <w:szCs w:val="20"/>
        </w:rPr>
        <w:t>Matakavi</w:t>
      </w:r>
      <w:proofErr w:type="spellEnd"/>
      <w:r w:rsidRPr="008D3777">
        <w:rPr>
          <w:rFonts w:ascii="Bookman Old Style" w:hAnsi="Bookman Old Style" w:cs="Arial"/>
          <w:i/>
          <w:iCs/>
          <w:sz w:val="20"/>
          <w:szCs w:val="20"/>
        </w:rPr>
        <w:t xml:space="preserve"> no se tuvieron en cuenta las inversiones los componentes que son requeridos para la coordinación de la operación del parque solar </w:t>
      </w:r>
      <w:proofErr w:type="spellStart"/>
      <w:r w:rsidRPr="008D3777">
        <w:rPr>
          <w:rFonts w:ascii="Bookman Old Style" w:hAnsi="Bookman Old Style" w:cs="Arial"/>
          <w:i/>
          <w:iCs/>
          <w:sz w:val="20"/>
          <w:szCs w:val="20"/>
        </w:rPr>
        <w:t>Matakavi</w:t>
      </w:r>
      <w:proofErr w:type="spellEnd"/>
      <w:r w:rsidRPr="008D3777">
        <w:rPr>
          <w:rFonts w:ascii="Bookman Old Style" w:hAnsi="Bookman Old Style" w:cs="Arial"/>
          <w:i/>
          <w:iCs/>
          <w:sz w:val="20"/>
          <w:szCs w:val="20"/>
        </w:rPr>
        <w:t>, la PCH y los generadores diésel, según se lee en la página 25 (enumerada como 48) de dicho documento, así:</w:t>
      </w:r>
    </w:p>
    <w:p w14:paraId="3D5A1E27" w14:textId="77777777" w:rsidR="007F2AFE" w:rsidRPr="008D3777" w:rsidRDefault="007F2AFE" w:rsidP="00285974">
      <w:pPr>
        <w:spacing w:after="0" w:line="240" w:lineRule="auto"/>
        <w:ind w:left="426"/>
        <w:contextualSpacing/>
        <w:jc w:val="both"/>
        <w:rPr>
          <w:rFonts w:ascii="Bookman Old Style" w:hAnsi="Bookman Old Style" w:cs="Arial"/>
          <w:i/>
          <w:iCs/>
          <w:sz w:val="20"/>
          <w:szCs w:val="20"/>
        </w:rPr>
      </w:pPr>
    </w:p>
    <w:p w14:paraId="454382A7" w14:textId="77777777" w:rsidR="007F2AFE" w:rsidRPr="008D3777" w:rsidRDefault="007F2AFE" w:rsidP="00285974">
      <w:pPr>
        <w:spacing w:after="0" w:line="240" w:lineRule="auto"/>
        <w:ind w:left="851"/>
        <w:contextualSpacing/>
        <w:jc w:val="both"/>
        <w:rPr>
          <w:rFonts w:ascii="Bookman Old Style" w:hAnsi="Bookman Old Style" w:cs="Arial"/>
          <w:i/>
          <w:iCs/>
          <w:sz w:val="20"/>
          <w:szCs w:val="20"/>
        </w:rPr>
      </w:pPr>
      <w:r w:rsidRPr="008D3777">
        <w:rPr>
          <w:rFonts w:ascii="Bookman Old Style" w:hAnsi="Bookman Old Style" w:cs="Arial"/>
          <w:i/>
          <w:iCs/>
          <w:sz w:val="20"/>
          <w:szCs w:val="20"/>
        </w:rPr>
        <w:t>“Se descuentan del valor de las inversiones los componentes que son requeridos para la coordinación de la operación de los distintos recursos de generación (PCH, Diésel) y que serían instalados en los activos operados por GENSA, en la medida en que dichos componentes no son necesarios para la operación de propia tecnología de la sobre la que se solicita la definición del cargo de generación y los mismos deberían ser considerados como costo de conexión, dentro del respectivo proceso de conexión al sistema de Mitú, en la eventualidad en que dicha situación se presente.”</w:t>
      </w:r>
    </w:p>
    <w:p w14:paraId="49F81B42" w14:textId="77777777" w:rsidR="007F2AFE" w:rsidRPr="008D3777" w:rsidRDefault="007F2AFE" w:rsidP="00285974">
      <w:pPr>
        <w:spacing w:after="0" w:line="240" w:lineRule="auto"/>
        <w:ind w:left="426"/>
        <w:contextualSpacing/>
        <w:jc w:val="both"/>
        <w:rPr>
          <w:rFonts w:ascii="Bookman Old Style" w:hAnsi="Bookman Old Style" w:cs="Arial"/>
          <w:i/>
          <w:iCs/>
          <w:sz w:val="20"/>
          <w:szCs w:val="20"/>
        </w:rPr>
      </w:pPr>
    </w:p>
    <w:p w14:paraId="4E3A7D9B" w14:textId="77777777" w:rsidR="007F2AFE" w:rsidRPr="008D3777" w:rsidRDefault="007F2AFE" w:rsidP="00285974">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Es necesario aclarar que para que el parque solar fotovoltaico </w:t>
      </w:r>
      <w:proofErr w:type="spellStart"/>
      <w:r w:rsidRPr="008D3777">
        <w:rPr>
          <w:rFonts w:ascii="Bookman Old Style" w:hAnsi="Bookman Old Style" w:cs="Arial"/>
          <w:i/>
          <w:iCs/>
          <w:sz w:val="20"/>
          <w:szCs w:val="20"/>
        </w:rPr>
        <w:t>Matakavi</w:t>
      </w:r>
      <w:proofErr w:type="spellEnd"/>
      <w:r w:rsidRPr="008D3777">
        <w:rPr>
          <w:rFonts w:ascii="Bookman Old Style" w:hAnsi="Bookman Old Style" w:cs="Arial"/>
          <w:i/>
          <w:iCs/>
          <w:sz w:val="20"/>
          <w:szCs w:val="20"/>
        </w:rPr>
        <w:t xml:space="preserve"> pueda generar y entregar su generación a la demanda de la ZNI de Mitú es indispensable que el parque solar esté conectado a la red, pues claramente no se trata de soluciones individuales, como lo reconoce el estudio que hizo la CREG y se reconoce expresamente en el artículo 3 de la Resolución.</w:t>
      </w:r>
    </w:p>
    <w:p w14:paraId="34F179DA" w14:textId="77777777" w:rsidR="007F2AFE" w:rsidRPr="008D3777" w:rsidRDefault="007F2AFE" w:rsidP="00285974">
      <w:pPr>
        <w:spacing w:after="0" w:line="240" w:lineRule="auto"/>
        <w:ind w:left="426"/>
        <w:contextualSpacing/>
        <w:jc w:val="both"/>
        <w:rPr>
          <w:rFonts w:ascii="Bookman Old Style" w:hAnsi="Bookman Old Style" w:cs="Arial"/>
          <w:i/>
          <w:iCs/>
          <w:sz w:val="20"/>
          <w:szCs w:val="20"/>
        </w:rPr>
      </w:pPr>
    </w:p>
    <w:p w14:paraId="2EDC722B" w14:textId="77777777" w:rsidR="007F2AFE" w:rsidRPr="008D3777" w:rsidRDefault="007F2AFE" w:rsidP="00285974">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En esa medida, se trata de costos que son necesarios para la puesta en operación del parque solar </w:t>
      </w:r>
      <w:proofErr w:type="spellStart"/>
      <w:r w:rsidRPr="008D3777">
        <w:rPr>
          <w:rFonts w:ascii="Bookman Old Style" w:hAnsi="Bookman Old Style" w:cs="Arial"/>
          <w:i/>
          <w:iCs/>
          <w:sz w:val="20"/>
          <w:szCs w:val="20"/>
        </w:rPr>
        <w:t>fotovoltáico</w:t>
      </w:r>
      <w:proofErr w:type="spellEnd"/>
      <w:r w:rsidRPr="008D3777">
        <w:rPr>
          <w:rFonts w:ascii="Bookman Old Style" w:hAnsi="Bookman Old Style" w:cs="Arial"/>
          <w:i/>
          <w:iCs/>
          <w:sz w:val="20"/>
          <w:szCs w:val="20"/>
        </w:rPr>
        <w:t xml:space="preserve"> con acumulación, pues se trata de los equipos de coordinación de </w:t>
      </w:r>
      <w:proofErr w:type="spellStart"/>
      <w:r w:rsidRPr="008D3777">
        <w:rPr>
          <w:rFonts w:ascii="Bookman Old Style" w:hAnsi="Bookman Old Style" w:cs="Arial"/>
          <w:i/>
          <w:iCs/>
          <w:sz w:val="20"/>
          <w:szCs w:val="20"/>
        </w:rPr>
        <w:t>Matakavi</w:t>
      </w:r>
      <w:proofErr w:type="spellEnd"/>
      <w:r w:rsidRPr="008D3777">
        <w:rPr>
          <w:rFonts w:ascii="Bookman Old Style" w:hAnsi="Bookman Old Style" w:cs="Arial"/>
          <w:i/>
          <w:iCs/>
          <w:sz w:val="20"/>
          <w:szCs w:val="20"/>
        </w:rPr>
        <w:t xml:space="preserve"> con la PCH y los generadores diésel y que hacen parte de la inversión independientemente de que la inversión la realice DUE o un tercero e independientemente de que su costo se refleje eventualmente en el contrato de conexión del parque solar.</w:t>
      </w:r>
    </w:p>
    <w:p w14:paraId="5A14AA85" w14:textId="77777777" w:rsidR="007F2AFE" w:rsidRPr="008D3777" w:rsidRDefault="007F2AFE" w:rsidP="00285974">
      <w:pPr>
        <w:spacing w:after="0" w:line="240" w:lineRule="auto"/>
        <w:ind w:left="426"/>
        <w:contextualSpacing/>
        <w:jc w:val="both"/>
        <w:rPr>
          <w:rFonts w:ascii="Bookman Old Style" w:hAnsi="Bookman Old Style" w:cs="Arial"/>
          <w:i/>
          <w:iCs/>
          <w:sz w:val="20"/>
          <w:szCs w:val="20"/>
        </w:rPr>
      </w:pPr>
    </w:p>
    <w:p w14:paraId="65DE946B" w14:textId="77777777" w:rsidR="007F2AFE" w:rsidRPr="008D3777" w:rsidRDefault="007F2AFE" w:rsidP="00285974">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Por lo anterior, respetuosamente solicito se incluya la inversión en dichos equipos y se recalculen los valores del artículo 1 de la Resolución CREG 124 de 2020.</w:t>
      </w:r>
    </w:p>
    <w:p w14:paraId="7D15394C" w14:textId="77777777" w:rsidR="007F2AFE" w:rsidRPr="008D3777" w:rsidRDefault="007F2AFE" w:rsidP="00285974">
      <w:pPr>
        <w:spacing w:after="0" w:line="240" w:lineRule="auto"/>
        <w:ind w:left="426"/>
        <w:contextualSpacing/>
        <w:jc w:val="both"/>
        <w:rPr>
          <w:rFonts w:ascii="Bookman Old Style" w:hAnsi="Bookman Old Style" w:cs="Arial"/>
          <w:i/>
          <w:iCs/>
          <w:sz w:val="20"/>
          <w:szCs w:val="20"/>
        </w:rPr>
      </w:pPr>
    </w:p>
    <w:p w14:paraId="32441A29" w14:textId="77777777" w:rsidR="007F2AFE" w:rsidRPr="008D3777" w:rsidRDefault="007F2AFE" w:rsidP="00285974">
      <w:pPr>
        <w:spacing w:after="0" w:line="240" w:lineRule="auto"/>
        <w:ind w:left="426"/>
        <w:contextualSpacing/>
        <w:jc w:val="both"/>
        <w:rPr>
          <w:rFonts w:ascii="Bookman Old Style" w:hAnsi="Bookman Old Style" w:cs="Arial"/>
          <w:b/>
          <w:bCs/>
          <w:i/>
          <w:iCs/>
          <w:sz w:val="20"/>
          <w:szCs w:val="20"/>
        </w:rPr>
      </w:pPr>
      <w:r w:rsidRPr="008D3777">
        <w:rPr>
          <w:rFonts w:ascii="Bookman Old Style" w:hAnsi="Bookman Old Style" w:cs="Arial"/>
          <w:b/>
          <w:bCs/>
          <w:i/>
          <w:iCs/>
          <w:sz w:val="20"/>
          <w:szCs w:val="20"/>
        </w:rPr>
        <w:t xml:space="preserve">5. Eliminación del valor mínimo del factor </w:t>
      </w:r>
      <m:oMath>
        <m:sSub>
          <m:sSubPr>
            <m:ctrlPr>
              <w:rPr>
                <w:rFonts w:ascii="Cambria Math" w:hAnsi="Cambria Math" w:cs="Arial"/>
                <w:b/>
                <w:bCs/>
                <w:i/>
                <w:iCs/>
                <w:sz w:val="20"/>
                <w:szCs w:val="20"/>
              </w:rPr>
            </m:ctrlPr>
          </m:sSubPr>
          <m:e>
            <m:r>
              <m:rPr>
                <m:sty m:val="bi"/>
              </m:rPr>
              <w:rPr>
                <w:rFonts w:ascii="Cambria Math" w:hAnsi="Cambria Math" w:cs="Arial"/>
                <w:sz w:val="20"/>
                <w:szCs w:val="20"/>
              </w:rPr>
              <m:t>α</m:t>
            </m:r>
          </m:e>
          <m:sub>
            <m:r>
              <m:rPr>
                <m:sty m:val="bi"/>
              </m:rPr>
              <w:rPr>
                <w:rFonts w:ascii="Cambria Math" w:hAnsi="Cambria Math" w:cs="Arial"/>
                <w:sz w:val="20"/>
                <w:szCs w:val="20"/>
              </w:rPr>
              <m:t>m</m:t>
            </m:r>
          </m:sub>
        </m:sSub>
      </m:oMath>
      <w:r w:rsidRPr="008D3777">
        <w:rPr>
          <w:rFonts w:ascii="Bookman Old Style" w:hAnsi="Bookman Old Style" w:cs="Arial"/>
          <w:b/>
          <w:bCs/>
          <w:i/>
          <w:iCs/>
          <w:sz w:val="20"/>
          <w:szCs w:val="20"/>
        </w:rPr>
        <w:t xml:space="preserve"> de la fórmula de actualización de Cargos Máximos de Generación.</w:t>
      </w:r>
    </w:p>
    <w:p w14:paraId="79AC72FA" w14:textId="77777777" w:rsidR="007F2AFE" w:rsidRPr="008D3777" w:rsidRDefault="007F2AFE" w:rsidP="00285974">
      <w:pPr>
        <w:spacing w:after="0" w:line="240" w:lineRule="auto"/>
        <w:ind w:left="426"/>
        <w:contextualSpacing/>
        <w:jc w:val="both"/>
        <w:rPr>
          <w:rFonts w:ascii="Bookman Old Style" w:hAnsi="Bookman Old Style" w:cs="Arial"/>
          <w:i/>
          <w:iCs/>
          <w:sz w:val="20"/>
          <w:szCs w:val="20"/>
        </w:rPr>
      </w:pPr>
    </w:p>
    <w:p w14:paraId="67C3EA16" w14:textId="77777777" w:rsidR="007F2AFE" w:rsidRPr="008D3777" w:rsidRDefault="007F2AFE" w:rsidP="00285974">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En el artículo 2 de la Resolución CREG 124 de 2020, al momento de determinar la fórmula de actualización de los Cargos Máximos de Generación se estableció que, para calcular el Cargo Máximo para Generación con recursos solares fotovoltaicos con acumulación, se utilice la variable</w:t>
      </w:r>
      <w:r w:rsidRPr="008D3777">
        <w:rPr>
          <w:rFonts w:ascii="Bookman Old Style" w:eastAsiaTheme="minorEastAsia" w:hAnsi="Bookman Old Style" w:cs="Arial"/>
          <w:i/>
          <w:iCs/>
          <w:sz w:val="20"/>
          <w:szCs w:val="20"/>
        </w:rPr>
        <w:t xml:space="preserve"> </w:t>
      </w:r>
      <m:oMath>
        <m:sSub>
          <m:sSubPr>
            <m:ctrlPr>
              <w:rPr>
                <w:rFonts w:ascii="Cambria Math" w:hAnsi="Cambria Math" w:cs="Arial"/>
                <w:i/>
                <w:iCs/>
                <w:sz w:val="20"/>
                <w:szCs w:val="20"/>
              </w:rPr>
            </m:ctrlPr>
          </m:sSubPr>
          <m:e>
            <m:r>
              <w:rPr>
                <w:rFonts w:ascii="Cambria Math" w:hAnsi="Cambria Math" w:cs="Arial"/>
                <w:sz w:val="20"/>
                <w:szCs w:val="20"/>
              </w:rPr>
              <m:t>α</m:t>
            </m:r>
          </m:e>
          <m:sub>
            <m:r>
              <w:rPr>
                <w:rFonts w:ascii="Cambria Math" w:hAnsi="Cambria Math" w:cs="Arial"/>
                <w:sz w:val="20"/>
                <w:szCs w:val="20"/>
              </w:rPr>
              <m:t>m</m:t>
            </m:r>
          </m:sub>
        </m:sSub>
      </m:oMath>
      <w:r w:rsidRPr="008D3777">
        <w:rPr>
          <w:rFonts w:ascii="Bookman Old Style" w:hAnsi="Bookman Old Style" w:cs="Arial"/>
          <w:i/>
          <w:iCs/>
          <w:sz w:val="20"/>
          <w:szCs w:val="20"/>
        </w:rPr>
        <w:t xml:space="preserve">, el cual es la proporción de la generación de recursos solares fotovoltaicos con alimentación directa a red, como parte de la generación de sistemas solares fotovoltaicos con acumulación. En dicho articulo se estableció que la variable </w:t>
      </w:r>
      <m:oMath>
        <m:sSub>
          <m:sSubPr>
            <m:ctrlPr>
              <w:rPr>
                <w:rFonts w:ascii="Cambria Math" w:hAnsi="Cambria Math" w:cs="Arial"/>
                <w:i/>
                <w:iCs/>
                <w:sz w:val="20"/>
                <w:szCs w:val="20"/>
              </w:rPr>
            </m:ctrlPr>
          </m:sSubPr>
          <m:e>
            <m:r>
              <w:rPr>
                <w:rFonts w:ascii="Cambria Math" w:hAnsi="Cambria Math" w:cs="Arial"/>
                <w:sz w:val="20"/>
                <w:szCs w:val="20"/>
              </w:rPr>
              <m:t>α</m:t>
            </m:r>
          </m:e>
          <m:sub>
            <m:r>
              <w:rPr>
                <w:rFonts w:ascii="Cambria Math" w:hAnsi="Cambria Math" w:cs="Arial"/>
                <w:sz w:val="20"/>
                <w:szCs w:val="20"/>
              </w:rPr>
              <m:t>m</m:t>
            </m:r>
          </m:sub>
        </m:sSub>
      </m:oMath>
      <w:r w:rsidRPr="008D3777">
        <w:rPr>
          <w:rFonts w:ascii="Bookman Old Style" w:hAnsi="Bookman Old Style" w:cs="Arial"/>
          <w:i/>
          <w:iCs/>
          <w:sz w:val="20"/>
          <w:szCs w:val="20"/>
        </w:rPr>
        <w:t xml:space="preserve"> tendría un val</w:t>
      </w:r>
      <w:proofErr w:type="spellStart"/>
      <w:r w:rsidRPr="008D3777">
        <w:rPr>
          <w:rFonts w:ascii="Bookman Old Style" w:hAnsi="Bookman Old Style" w:cs="Arial"/>
          <w:i/>
          <w:iCs/>
          <w:sz w:val="20"/>
          <w:szCs w:val="20"/>
        </w:rPr>
        <w:t>or</w:t>
      </w:r>
      <w:proofErr w:type="spellEnd"/>
      <w:r w:rsidRPr="008D3777">
        <w:rPr>
          <w:rFonts w:ascii="Bookman Old Style" w:hAnsi="Bookman Old Style" w:cs="Arial"/>
          <w:i/>
          <w:iCs/>
          <w:sz w:val="20"/>
          <w:szCs w:val="20"/>
        </w:rPr>
        <w:t xml:space="preserve"> mínimo de 0,758.</w:t>
      </w:r>
    </w:p>
    <w:p w14:paraId="61F84534" w14:textId="77777777" w:rsidR="007F2AFE" w:rsidRPr="008D3777" w:rsidRDefault="007F2AFE" w:rsidP="00285974">
      <w:pPr>
        <w:spacing w:after="0" w:line="240" w:lineRule="auto"/>
        <w:ind w:left="426"/>
        <w:contextualSpacing/>
        <w:jc w:val="both"/>
        <w:rPr>
          <w:rFonts w:ascii="Bookman Old Style" w:hAnsi="Bookman Old Style" w:cs="Arial"/>
          <w:i/>
          <w:iCs/>
          <w:sz w:val="20"/>
          <w:szCs w:val="20"/>
        </w:rPr>
      </w:pPr>
    </w:p>
    <w:p w14:paraId="0C83B55C" w14:textId="77777777" w:rsidR="007F2AFE" w:rsidRPr="008D3777" w:rsidRDefault="007F2AFE" w:rsidP="00285974">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Revisado el documento soporte CREG 097 de 2020 no encontramos ningún análisis de la proporción de la generación entre los recursos solares </w:t>
      </w:r>
      <w:proofErr w:type="spellStart"/>
      <w:r w:rsidRPr="008D3777">
        <w:rPr>
          <w:rFonts w:ascii="Bookman Old Style" w:hAnsi="Bookman Old Style" w:cs="Arial"/>
          <w:i/>
          <w:iCs/>
          <w:sz w:val="20"/>
          <w:szCs w:val="20"/>
        </w:rPr>
        <w:t>fotovoltáicos</w:t>
      </w:r>
      <w:proofErr w:type="spellEnd"/>
      <w:r w:rsidRPr="008D3777">
        <w:rPr>
          <w:rFonts w:ascii="Bookman Old Style" w:hAnsi="Bookman Old Style" w:cs="Arial"/>
          <w:i/>
          <w:iCs/>
          <w:sz w:val="20"/>
          <w:szCs w:val="20"/>
        </w:rPr>
        <w:t xml:space="preserve"> y la energía que provendría del sistema de acumulación con baterías. Por el contrario, lo previsible es que la energía suministrada por el sistema de acumulación con baterías sea muy superior al 24,8% que es el tope impuesto por la formular contenida en el artículo 2.</w:t>
      </w:r>
    </w:p>
    <w:p w14:paraId="33D13941" w14:textId="77777777" w:rsidR="007F2AFE" w:rsidRPr="008D3777" w:rsidRDefault="007F2AFE" w:rsidP="00285974">
      <w:pPr>
        <w:spacing w:after="0" w:line="240" w:lineRule="auto"/>
        <w:ind w:left="426"/>
        <w:contextualSpacing/>
        <w:jc w:val="both"/>
        <w:rPr>
          <w:rFonts w:ascii="Bookman Old Style" w:hAnsi="Bookman Old Style" w:cs="Arial"/>
          <w:i/>
          <w:iCs/>
          <w:sz w:val="20"/>
          <w:szCs w:val="20"/>
        </w:rPr>
      </w:pPr>
    </w:p>
    <w:p w14:paraId="7C8E3A3E" w14:textId="77777777" w:rsidR="007F2AFE" w:rsidRPr="008D3777" w:rsidRDefault="007F2AFE" w:rsidP="00285974">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A parte de la Política de Energía del País, basada en el Plan Nacional de Desarrollo y el Plan de Desarrollo de la UPME en los cuales como parte neural es propender por el reemplazo de combustibles fósiles para la generación de energía. Esto sumado a que el brillo solar depende de la ubicación del proyecto, resultando en horas solar pico (HSP)</w:t>
      </w:r>
      <w:r w:rsidRPr="008D3777">
        <w:rPr>
          <w:rStyle w:val="Refdenotaalpie"/>
          <w:rFonts w:ascii="Bookman Old Style" w:hAnsi="Bookman Old Style" w:cs="Arial"/>
          <w:i/>
          <w:iCs/>
          <w:sz w:val="20"/>
          <w:szCs w:val="20"/>
        </w:rPr>
        <w:footnoteReference w:id="4"/>
      </w:r>
      <w:r w:rsidRPr="008D3777">
        <w:rPr>
          <w:rFonts w:ascii="Bookman Old Style" w:hAnsi="Bookman Old Style" w:cs="Arial"/>
          <w:i/>
          <w:iCs/>
          <w:sz w:val="20"/>
          <w:szCs w:val="20"/>
        </w:rPr>
        <w:t>.</w:t>
      </w:r>
    </w:p>
    <w:p w14:paraId="775D4F3C" w14:textId="77777777" w:rsidR="007F2AFE" w:rsidRPr="008D3777" w:rsidRDefault="007F2AFE" w:rsidP="00285974">
      <w:pPr>
        <w:spacing w:after="0" w:line="240" w:lineRule="auto"/>
        <w:ind w:left="426"/>
        <w:contextualSpacing/>
        <w:jc w:val="both"/>
        <w:rPr>
          <w:rFonts w:ascii="Bookman Old Style" w:hAnsi="Bookman Old Style" w:cs="Arial"/>
          <w:i/>
          <w:iCs/>
          <w:sz w:val="20"/>
          <w:szCs w:val="20"/>
        </w:rPr>
      </w:pPr>
    </w:p>
    <w:p w14:paraId="51B5B498" w14:textId="77777777" w:rsidR="007F2AFE" w:rsidRPr="008D3777" w:rsidRDefault="007F2AFE" w:rsidP="009E68DC">
      <w:pPr>
        <w:spacing w:after="0" w:line="240" w:lineRule="auto"/>
        <w:ind w:left="426"/>
        <w:contextualSpacing/>
        <w:jc w:val="center"/>
        <w:rPr>
          <w:rFonts w:ascii="Bookman Old Style" w:hAnsi="Bookman Old Style" w:cs="Arial"/>
          <w:i/>
          <w:iCs/>
          <w:sz w:val="20"/>
          <w:szCs w:val="20"/>
        </w:rPr>
      </w:pPr>
      <w:r w:rsidRPr="008D3777">
        <w:rPr>
          <w:rFonts w:ascii="Bookman Old Style" w:hAnsi="Bookman Old Style"/>
          <w:i/>
          <w:iCs/>
          <w:noProof/>
          <w:sz w:val="20"/>
          <w:szCs w:val="20"/>
        </w:rPr>
        <w:drawing>
          <wp:inline distT="0" distB="0" distL="0" distR="0" wp14:anchorId="6CF5C607" wp14:editId="2BBAEE15">
            <wp:extent cx="2280062" cy="1831594"/>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82966" cy="1833926"/>
                    </a:xfrm>
                    <a:prstGeom prst="rect">
                      <a:avLst/>
                    </a:prstGeom>
                  </pic:spPr>
                </pic:pic>
              </a:graphicData>
            </a:graphic>
          </wp:inline>
        </w:drawing>
      </w:r>
    </w:p>
    <w:p w14:paraId="42DE188A" w14:textId="77777777" w:rsidR="007F2AFE" w:rsidRPr="008D3777" w:rsidRDefault="007F2AFE" w:rsidP="00285974">
      <w:pPr>
        <w:spacing w:after="0" w:line="240" w:lineRule="auto"/>
        <w:ind w:left="426"/>
        <w:contextualSpacing/>
        <w:jc w:val="both"/>
        <w:rPr>
          <w:rFonts w:ascii="Bookman Old Style" w:hAnsi="Bookman Old Style" w:cs="Arial"/>
          <w:i/>
          <w:iCs/>
          <w:sz w:val="20"/>
          <w:szCs w:val="20"/>
        </w:rPr>
      </w:pPr>
    </w:p>
    <w:p w14:paraId="5D60407F" w14:textId="77777777" w:rsidR="007F2AFE" w:rsidRPr="008D3777" w:rsidRDefault="007F2AFE" w:rsidP="00285974">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En Colombia, de acuerdo con el Atlas de Radiación Solar en Colombia el promedio de HSP es de 5,3 horas.</w:t>
      </w:r>
    </w:p>
    <w:p w14:paraId="50972439" w14:textId="77777777" w:rsidR="007F2AFE" w:rsidRPr="008D3777" w:rsidRDefault="007F2AFE" w:rsidP="00285974">
      <w:pPr>
        <w:spacing w:after="0" w:line="240" w:lineRule="auto"/>
        <w:ind w:left="426"/>
        <w:contextualSpacing/>
        <w:jc w:val="both"/>
        <w:rPr>
          <w:rFonts w:ascii="Bookman Old Style" w:hAnsi="Bookman Old Style" w:cs="Arial"/>
          <w:i/>
          <w:iCs/>
          <w:sz w:val="20"/>
          <w:szCs w:val="20"/>
        </w:rPr>
      </w:pPr>
    </w:p>
    <w:p w14:paraId="5155819D" w14:textId="77777777" w:rsidR="007F2AFE" w:rsidRPr="008D3777" w:rsidRDefault="007F2AFE" w:rsidP="00285974">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Parte del esquema general en el sector es el desarrollo del concepto “Energy </w:t>
      </w:r>
      <w:proofErr w:type="spellStart"/>
      <w:r w:rsidRPr="008D3777">
        <w:rPr>
          <w:rFonts w:ascii="Bookman Old Style" w:hAnsi="Bookman Old Style" w:cs="Arial"/>
          <w:i/>
          <w:iCs/>
          <w:sz w:val="20"/>
          <w:szCs w:val="20"/>
        </w:rPr>
        <w:t>Shifting</w:t>
      </w:r>
      <w:proofErr w:type="spellEnd"/>
      <w:r w:rsidRPr="008D3777">
        <w:rPr>
          <w:rFonts w:ascii="Bookman Old Style" w:hAnsi="Bookman Old Style" w:cs="Arial"/>
          <w:i/>
          <w:iCs/>
          <w:sz w:val="20"/>
          <w:szCs w:val="20"/>
        </w:rPr>
        <w:t>”.</w:t>
      </w:r>
    </w:p>
    <w:p w14:paraId="585A34E2" w14:textId="77777777" w:rsidR="007F2AFE" w:rsidRPr="008D3777" w:rsidRDefault="007F2AFE" w:rsidP="00285974">
      <w:pPr>
        <w:spacing w:after="0" w:line="240" w:lineRule="auto"/>
        <w:ind w:left="426"/>
        <w:contextualSpacing/>
        <w:jc w:val="both"/>
        <w:rPr>
          <w:rFonts w:ascii="Bookman Old Style" w:hAnsi="Bookman Old Style" w:cs="Arial"/>
          <w:i/>
          <w:iCs/>
          <w:sz w:val="20"/>
          <w:szCs w:val="20"/>
        </w:rPr>
      </w:pPr>
    </w:p>
    <w:p w14:paraId="17AB9B92" w14:textId="77777777" w:rsidR="007F2AFE" w:rsidRPr="008D3777" w:rsidRDefault="007F2AFE" w:rsidP="00285974">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El cambio de carga máxima es el proceso de mitigar los efectos de grandes bloques de carga de energía durante un período de tiempo avanzando o retrasando sus efectos hasta que el sistema de suministro de energía pueda aceptar fácilmente una carga adicional. La intención tradicional detrás de este proceso es minimizar los requisitos de capacidad de generación mediante la regulación del flujo de carga. Si las cargas en sí no pueden ser reguladas, esto debe lograrse mediante la implementación de sistemas de almacenamiento de energía (ESS) para cambiar el perfil de carga como lo ven los generadores.</w:t>
      </w:r>
    </w:p>
    <w:p w14:paraId="2D7BDEDF" w14:textId="77777777" w:rsidR="007F2AFE" w:rsidRPr="008D3777" w:rsidRDefault="007F2AFE" w:rsidP="00A45AAE">
      <w:pPr>
        <w:spacing w:after="0" w:line="240" w:lineRule="auto"/>
        <w:ind w:left="426"/>
        <w:contextualSpacing/>
        <w:jc w:val="both"/>
        <w:rPr>
          <w:rFonts w:ascii="Bookman Old Style" w:hAnsi="Bookman Old Style" w:cs="Arial"/>
          <w:i/>
          <w:iCs/>
          <w:sz w:val="20"/>
          <w:szCs w:val="20"/>
        </w:rPr>
      </w:pPr>
    </w:p>
    <w:p w14:paraId="0421D8A6" w14:textId="77777777" w:rsidR="007F2AFE" w:rsidRPr="008D3777" w:rsidRDefault="007F2AFE" w:rsidP="009E68DC">
      <w:pPr>
        <w:spacing w:after="0" w:line="240" w:lineRule="auto"/>
        <w:ind w:left="426"/>
        <w:contextualSpacing/>
        <w:jc w:val="center"/>
        <w:rPr>
          <w:rFonts w:ascii="Bookman Old Style" w:hAnsi="Bookman Old Style" w:cs="Arial"/>
          <w:i/>
          <w:iCs/>
          <w:sz w:val="20"/>
          <w:szCs w:val="20"/>
        </w:rPr>
      </w:pPr>
      <w:r w:rsidRPr="008D3777">
        <w:rPr>
          <w:rFonts w:ascii="Bookman Old Style" w:hAnsi="Bookman Old Style"/>
          <w:i/>
          <w:iCs/>
          <w:noProof/>
          <w:sz w:val="20"/>
          <w:szCs w:val="20"/>
        </w:rPr>
        <w:drawing>
          <wp:inline distT="0" distB="0" distL="0" distR="0" wp14:anchorId="3D4C7911" wp14:editId="39CD480F">
            <wp:extent cx="2943490" cy="1727860"/>
            <wp:effectExtent l="0" t="0" r="9525"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76106" cy="1747006"/>
                    </a:xfrm>
                    <a:prstGeom prst="rect">
                      <a:avLst/>
                    </a:prstGeom>
                  </pic:spPr>
                </pic:pic>
              </a:graphicData>
            </a:graphic>
          </wp:inline>
        </w:drawing>
      </w:r>
    </w:p>
    <w:p w14:paraId="2180FE4C" w14:textId="77777777" w:rsidR="007F2AFE" w:rsidRPr="008D3777" w:rsidRDefault="007F2AFE" w:rsidP="00A45AAE">
      <w:pPr>
        <w:spacing w:after="0" w:line="240" w:lineRule="auto"/>
        <w:ind w:left="426"/>
        <w:contextualSpacing/>
        <w:jc w:val="both"/>
        <w:rPr>
          <w:rFonts w:ascii="Bookman Old Style" w:hAnsi="Bookman Old Style" w:cs="Arial"/>
          <w:i/>
          <w:iCs/>
          <w:sz w:val="20"/>
          <w:szCs w:val="20"/>
        </w:rPr>
      </w:pPr>
    </w:p>
    <w:p w14:paraId="6CA8609B" w14:textId="77777777" w:rsidR="007F2AFE" w:rsidRPr="008D3777" w:rsidRDefault="007F2AFE" w:rsidP="009E68DC">
      <w:pPr>
        <w:spacing w:after="0" w:line="240" w:lineRule="auto"/>
        <w:ind w:left="426"/>
        <w:contextualSpacing/>
        <w:jc w:val="center"/>
        <w:rPr>
          <w:rFonts w:ascii="Bookman Old Style" w:hAnsi="Bookman Old Style" w:cs="Arial"/>
          <w:i/>
          <w:iCs/>
          <w:sz w:val="20"/>
          <w:szCs w:val="20"/>
        </w:rPr>
      </w:pPr>
      <w:r w:rsidRPr="008D3777">
        <w:rPr>
          <w:rFonts w:ascii="Bookman Old Style" w:hAnsi="Bookman Old Style"/>
          <w:i/>
          <w:iCs/>
          <w:noProof/>
          <w:sz w:val="20"/>
          <w:szCs w:val="20"/>
        </w:rPr>
        <w:drawing>
          <wp:inline distT="0" distB="0" distL="0" distR="0" wp14:anchorId="13523AD9" wp14:editId="54A850AD">
            <wp:extent cx="4329595" cy="227453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34233" cy="2276969"/>
                    </a:xfrm>
                    <a:prstGeom prst="rect">
                      <a:avLst/>
                    </a:prstGeom>
                  </pic:spPr>
                </pic:pic>
              </a:graphicData>
            </a:graphic>
          </wp:inline>
        </w:drawing>
      </w:r>
    </w:p>
    <w:p w14:paraId="128F0097" w14:textId="77777777" w:rsidR="007F2AFE" w:rsidRPr="008D3777" w:rsidRDefault="007F2AFE" w:rsidP="00A45AAE">
      <w:pPr>
        <w:spacing w:after="0" w:line="240" w:lineRule="auto"/>
        <w:ind w:left="426"/>
        <w:contextualSpacing/>
        <w:jc w:val="both"/>
        <w:rPr>
          <w:rFonts w:ascii="Bookman Old Style" w:hAnsi="Bookman Old Style" w:cs="Arial"/>
          <w:i/>
          <w:iCs/>
          <w:sz w:val="20"/>
          <w:szCs w:val="20"/>
        </w:rPr>
      </w:pPr>
    </w:p>
    <w:p w14:paraId="13165216" w14:textId="77777777" w:rsidR="007F2AFE" w:rsidRPr="008D3777" w:rsidRDefault="007F2AFE" w:rsidP="00A45AAE">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Entendemos que la fórmula se basa en la generación real con cada uno de los recursos, pero no vemos ninguna razón para limitar la remuneración de las baterías a un tope. Por el contrario, si se eliminar la frase “[e]l valor mínimo de este parámetro será de 0,758” de la definición de la variable </w:t>
      </w:r>
      <m:oMath>
        <m:sSub>
          <m:sSubPr>
            <m:ctrlPr>
              <w:rPr>
                <w:rFonts w:ascii="Cambria Math" w:hAnsi="Cambria Math" w:cs="Arial"/>
                <w:i/>
                <w:iCs/>
                <w:sz w:val="20"/>
                <w:szCs w:val="20"/>
              </w:rPr>
            </m:ctrlPr>
          </m:sSubPr>
          <m:e>
            <m:r>
              <w:rPr>
                <w:rFonts w:ascii="Cambria Math" w:hAnsi="Cambria Math" w:cs="Arial"/>
                <w:sz w:val="20"/>
                <w:szCs w:val="20"/>
              </w:rPr>
              <m:t>α</m:t>
            </m:r>
          </m:e>
          <m:sub>
            <m:r>
              <w:rPr>
                <w:rFonts w:ascii="Cambria Math" w:hAnsi="Cambria Math" w:cs="Arial"/>
                <w:sz w:val="20"/>
                <w:szCs w:val="20"/>
              </w:rPr>
              <m:t>m</m:t>
            </m:r>
          </m:sub>
        </m:sSub>
      </m:oMath>
      <w:r w:rsidRPr="008D3777">
        <w:rPr>
          <w:rFonts w:ascii="Bookman Old Style" w:hAnsi="Bookman Old Style" w:cs="Arial"/>
          <w:i/>
          <w:iCs/>
          <w:sz w:val="20"/>
          <w:szCs w:val="20"/>
        </w:rPr>
        <w:t>, la fórmula tomará la energía que realmente se haya entregado en el mes m tanto de los recursos solares fotovoltáicos, como de los sistemas de ba</w:t>
      </w:r>
      <w:proofErr w:type="spellStart"/>
      <w:r w:rsidRPr="008D3777">
        <w:rPr>
          <w:rFonts w:ascii="Bookman Old Style" w:hAnsi="Bookman Old Style" w:cs="Arial"/>
          <w:i/>
          <w:iCs/>
          <w:sz w:val="20"/>
          <w:szCs w:val="20"/>
        </w:rPr>
        <w:t>terías</w:t>
      </w:r>
      <w:proofErr w:type="spellEnd"/>
      <w:r w:rsidRPr="008D3777">
        <w:rPr>
          <w:rFonts w:ascii="Bookman Old Style" w:hAnsi="Bookman Old Style" w:cs="Arial"/>
          <w:i/>
          <w:iCs/>
          <w:sz w:val="20"/>
          <w:szCs w:val="20"/>
        </w:rPr>
        <w:t>, que probablemente será distinta de la proporción máxima de 75,8% y 24,2%.</w:t>
      </w:r>
    </w:p>
    <w:p w14:paraId="5A57D66E" w14:textId="77777777" w:rsidR="007F2AFE" w:rsidRPr="008D3777" w:rsidRDefault="007F2AFE" w:rsidP="00A45AAE">
      <w:pPr>
        <w:spacing w:after="0" w:line="240" w:lineRule="auto"/>
        <w:ind w:left="426"/>
        <w:contextualSpacing/>
        <w:jc w:val="both"/>
        <w:rPr>
          <w:rFonts w:ascii="Bookman Old Style" w:hAnsi="Bookman Old Style" w:cs="Arial"/>
          <w:i/>
          <w:iCs/>
          <w:sz w:val="20"/>
          <w:szCs w:val="20"/>
        </w:rPr>
      </w:pPr>
    </w:p>
    <w:p w14:paraId="76CA1BE4" w14:textId="77777777" w:rsidR="007F2AFE" w:rsidRPr="008D3777" w:rsidRDefault="007F2AFE" w:rsidP="00A45AAE">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La fijación del tope hace que, sí las baterías llegasen a entregar más del 24,2% de la generación del proyecto </w:t>
      </w:r>
      <w:proofErr w:type="spellStart"/>
      <w:r w:rsidRPr="008D3777">
        <w:rPr>
          <w:rFonts w:ascii="Bookman Old Style" w:hAnsi="Bookman Old Style" w:cs="Arial"/>
          <w:i/>
          <w:iCs/>
          <w:sz w:val="20"/>
          <w:szCs w:val="20"/>
        </w:rPr>
        <w:t>Matakavi</w:t>
      </w:r>
      <w:proofErr w:type="spellEnd"/>
      <w:r w:rsidRPr="008D3777">
        <w:rPr>
          <w:rFonts w:ascii="Bookman Old Style" w:hAnsi="Bookman Old Style" w:cs="Arial"/>
          <w:i/>
          <w:iCs/>
          <w:sz w:val="20"/>
          <w:szCs w:val="20"/>
        </w:rPr>
        <w:t xml:space="preserve">, se estaría remunerando la inversión, administración, operación y mantenimiento del sistema de acumulación con los cargos del sistema solar </w:t>
      </w:r>
      <w:proofErr w:type="spellStart"/>
      <w:r w:rsidRPr="008D3777">
        <w:rPr>
          <w:rFonts w:ascii="Bookman Old Style" w:hAnsi="Bookman Old Style" w:cs="Arial"/>
          <w:i/>
          <w:iCs/>
          <w:sz w:val="20"/>
          <w:szCs w:val="20"/>
        </w:rPr>
        <w:t>fotovoltáico</w:t>
      </w:r>
      <w:proofErr w:type="spellEnd"/>
      <w:r w:rsidRPr="008D3777">
        <w:rPr>
          <w:rFonts w:ascii="Bookman Old Style" w:hAnsi="Bookman Old Style" w:cs="Arial"/>
          <w:i/>
          <w:iCs/>
          <w:sz w:val="20"/>
          <w:szCs w:val="20"/>
        </w:rPr>
        <w:t>, que es menos de la cuarta parte. En otras palabras, toda la energía suministrada por las baterías por encima del 24,2% el proyecto si tendría los costos asociados al sistema de acumulación, pero esa energía se remuneraría a un valor significativamente inferior al reconocido en la regulación, con lo cual los cargos aprobados no cumplirían con el principio de suficiencia financiera previsto en las Leyes 142 y 143 de 1994 según las cuales “las fórmulas de tarifas garantizarán la recuperación de los costos y gastos propios de operación” y “las empresas eficientes tendrán garantizada la recuperación de sus costos de inversión y sus gastos de administración, operación y mantenimiento, con el valor de las ventas de electricidad”.</w:t>
      </w:r>
    </w:p>
    <w:p w14:paraId="429CE32D" w14:textId="77777777" w:rsidR="007F2AFE" w:rsidRPr="008D3777" w:rsidRDefault="007F2AFE" w:rsidP="00A45AAE">
      <w:pPr>
        <w:spacing w:after="0" w:line="240" w:lineRule="auto"/>
        <w:ind w:left="426"/>
        <w:contextualSpacing/>
        <w:jc w:val="both"/>
        <w:rPr>
          <w:rFonts w:ascii="Bookman Old Style" w:hAnsi="Bookman Old Style" w:cs="Arial"/>
          <w:i/>
          <w:iCs/>
          <w:sz w:val="20"/>
          <w:szCs w:val="20"/>
        </w:rPr>
      </w:pPr>
    </w:p>
    <w:p w14:paraId="17C41E2D" w14:textId="77777777" w:rsidR="007F2AFE" w:rsidRPr="008D3777" w:rsidRDefault="007F2AFE" w:rsidP="00A45AAE">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De esta manera, esta proporción debe ser calculada con la energía entregada al sistema de distribución por la planta de generación y por el sistema de almacenamiento sin imponer un mínimo, para no disminuir injustificadamente el Cargo Máximo para Generación.</w:t>
      </w:r>
    </w:p>
    <w:p w14:paraId="59C65C3E" w14:textId="77777777" w:rsidR="007F2AFE" w:rsidRPr="008D3777" w:rsidRDefault="007F2AFE" w:rsidP="00A45AAE">
      <w:pPr>
        <w:spacing w:after="0" w:line="240" w:lineRule="auto"/>
        <w:ind w:left="426"/>
        <w:contextualSpacing/>
        <w:jc w:val="both"/>
        <w:rPr>
          <w:rFonts w:ascii="Bookman Old Style" w:hAnsi="Bookman Old Style" w:cs="Arial"/>
          <w:i/>
          <w:iCs/>
          <w:sz w:val="20"/>
          <w:szCs w:val="20"/>
        </w:rPr>
      </w:pPr>
    </w:p>
    <w:p w14:paraId="29CDA3B2" w14:textId="77777777" w:rsidR="007F2AFE" w:rsidRPr="008D3777" w:rsidRDefault="007F2AFE" w:rsidP="00A45AAE">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En el caso específico de </w:t>
      </w:r>
      <w:proofErr w:type="spellStart"/>
      <w:r w:rsidRPr="008D3777">
        <w:rPr>
          <w:rFonts w:ascii="Bookman Old Style" w:hAnsi="Bookman Old Style" w:cs="Arial"/>
          <w:i/>
          <w:iCs/>
          <w:sz w:val="20"/>
          <w:szCs w:val="20"/>
        </w:rPr>
        <w:t>Matakabi</w:t>
      </w:r>
      <w:proofErr w:type="spellEnd"/>
      <w:r w:rsidRPr="008D3777">
        <w:rPr>
          <w:rFonts w:ascii="Bookman Old Style" w:hAnsi="Bookman Old Style" w:cs="Arial"/>
          <w:i/>
          <w:iCs/>
          <w:sz w:val="20"/>
          <w:szCs w:val="20"/>
        </w:rPr>
        <w:t>, el banco de Almacenamiento entregará inicialmente en promedio el 35% de la energía.</w:t>
      </w:r>
    </w:p>
    <w:p w14:paraId="510DB017" w14:textId="77777777" w:rsidR="007F2AFE" w:rsidRPr="008D3777" w:rsidRDefault="007F2AFE" w:rsidP="00A45AAE">
      <w:pPr>
        <w:spacing w:after="0" w:line="240" w:lineRule="auto"/>
        <w:ind w:left="426"/>
        <w:contextualSpacing/>
        <w:jc w:val="both"/>
        <w:rPr>
          <w:rFonts w:ascii="Bookman Old Style" w:hAnsi="Bookman Old Style" w:cs="Arial"/>
          <w:i/>
          <w:iCs/>
          <w:sz w:val="20"/>
          <w:szCs w:val="20"/>
        </w:rPr>
      </w:pPr>
    </w:p>
    <w:p w14:paraId="152946B0" w14:textId="77777777" w:rsidR="007F2AFE" w:rsidRPr="008D3777" w:rsidRDefault="007F2AFE" w:rsidP="00A45AAE">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Por supuesto es claro que el Almacenamiento le daría la señal de potencia para TODO el sistema de generación, ya que la PCH no puede funcionar en modo ISLA.</w:t>
      </w:r>
    </w:p>
    <w:p w14:paraId="6B8989BA" w14:textId="77777777" w:rsidR="007F2AFE" w:rsidRPr="008D3777" w:rsidRDefault="007F2AFE" w:rsidP="00A45AAE">
      <w:pPr>
        <w:spacing w:after="0" w:line="240" w:lineRule="auto"/>
        <w:ind w:left="426"/>
        <w:contextualSpacing/>
        <w:jc w:val="both"/>
        <w:rPr>
          <w:rFonts w:ascii="Bookman Old Style" w:hAnsi="Bookman Old Style" w:cs="Arial"/>
          <w:i/>
          <w:iCs/>
          <w:sz w:val="20"/>
          <w:szCs w:val="20"/>
        </w:rPr>
      </w:pPr>
    </w:p>
    <w:p w14:paraId="1675A2D4" w14:textId="77777777" w:rsidR="007F2AFE" w:rsidRPr="008D3777" w:rsidRDefault="007F2AFE" w:rsidP="00A45AAE">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Consideramos que dicha restricción debe ser eliminada, ya que no hay antecedente ni obligatoriedad regulatoria en restringir cada recurso energético. Esto se ve amplificado por el hecho que el proveedor de la generación tanto Diésel como Hidráulico no funciona a costos eficientes sino a costos reales, lo que claramente invalida la previsión de eficiencia en el costo que puede ser el subyacente en la definición de la proporción.</w:t>
      </w:r>
    </w:p>
    <w:p w14:paraId="6DAB0FE8" w14:textId="77777777" w:rsidR="0029654C" w:rsidRPr="008D3777" w:rsidRDefault="0029654C" w:rsidP="00A45AAE">
      <w:pPr>
        <w:spacing w:after="0" w:line="240" w:lineRule="auto"/>
        <w:ind w:left="426"/>
        <w:contextualSpacing/>
        <w:jc w:val="both"/>
        <w:rPr>
          <w:rFonts w:ascii="Bookman Old Style" w:hAnsi="Bookman Old Style" w:cs="Arial"/>
          <w:i/>
          <w:iCs/>
          <w:sz w:val="20"/>
          <w:szCs w:val="20"/>
        </w:rPr>
      </w:pPr>
    </w:p>
    <w:p w14:paraId="39F4550A" w14:textId="77777777" w:rsidR="007F2AFE" w:rsidRPr="008D3777" w:rsidRDefault="007F2AFE" w:rsidP="00A45AAE">
      <w:pPr>
        <w:spacing w:after="0" w:line="240" w:lineRule="auto"/>
        <w:ind w:left="426"/>
        <w:contextualSpacing/>
        <w:jc w:val="both"/>
        <w:rPr>
          <w:rFonts w:ascii="Bookman Old Style" w:hAnsi="Bookman Old Style" w:cs="Arial"/>
          <w:b/>
          <w:bCs/>
          <w:i/>
          <w:iCs/>
          <w:sz w:val="20"/>
          <w:szCs w:val="20"/>
        </w:rPr>
      </w:pPr>
      <w:bookmarkStart w:id="10" w:name="_Hlk52200714"/>
      <w:r w:rsidRPr="008D3777">
        <w:rPr>
          <w:rFonts w:ascii="Bookman Old Style" w:hAnsi="Bookman Old Style" w:cs="Arial"/>
          <w:b/>
          <w:bCs/>
          <w:i/>
          <w:iCs/>
          <w:sz w:val="20"/>
          <w:szCs w:val="20"/>
        </w:rPr>
        <w:t>6. Principios y Reglas de despacho de recursos energéticos y mecanismos de comercialización de energía</w:t>
      </w:r>
    </w:p>
    <w:bookmarkEnd w:id="10"/>
    <w:p w14:paraId="6D6F390C" w14:textId="77777777" w:rsidR="007F2AFE" w:rsidRPr="008D3777" w:rsidRDefault="007F2AFE" w:rsidP="00A45AAE">
      <w:pPr>
        <w:spacing w:after="0" w:line="240" w:lineRule="auto"/>
        <w:ind w:left="426"/>
        <w:contextualSpacing/>
        <w:jc w:val="both"/>
        <w:rPr>
          <w:rFonts w:ascii="Bookman Old Style" w:hAnsi="Bookman Old Style" w:cs="Arial"/>
          <w:i/>
          <w:iCs/>
          <w:sz w:val="20"/>
          <w:szCs w:val="20"/>
        </w:rPr>
      </w:pPr>
    </w:p>
    <w:p w14:paraId="5EEC6816" w14:textId="77777777" w:rsidR="007F2AFE" w:rsidRPr="008D3777" w:rsidRDefault="007F2AFE" w:rsidP="00A45AAE">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Aunque la Comisión difiere a resolución posterior el tema se ponen los </w:t>
      </w:r>
      <w:proofErr w:type="spellStart"/>
      <w:r w:rsidRPr="008D3777">
        <w:rPr>
          <w:rFonts w:ascii="Bookman Old Style" w:hAnsi="Bookman Old Style" w:cs="Arial"/>
          <w:i/>
          <w:iCs/>
          <w:sz w:val="20"/>
          <w:szCs w:val="20"/>
        </w:rPr>
        <w:t>siguinetes</w:t>
      </w:r>
      <w:proofErr w:type="spellEnd"/>
      <w:r w:rsidRPr="008D3777">
        <w:rPr>
          <w:rFonts w:ascii="Bookman Old Style" w:hAnsi="Bookman Old Style" w:cs="Arial"/>
          <w:i/>
          <w:iCs/>
          <w:sz w:val="20"/>
          <w:szCs w:val="20"/>
        </w:rPr>
        <w:t xml:space="preserve"> puntos a consideración.</w:t>
      </w:r>
    </w:p>
    <w:p w14:paraId="2E61EF08" w14:textId="77777777" w:rsidR="007F2AFE" w:rsidRPr="008D3777" w:rsidRDefault="007F2AFE" w:rsidP="00A45AAE">
      <w:pPr>
        <w:spacing w:after="0" w:line="240" w:lineRule="auto"/>
        <w:ind w:left="426"/>
        <w:contextualSpacing/>
        <w:jc w:val="both"/>
        <w:rPr>
          <w:rFonts w:ascii="Bookman Old Style" w:hAnsi="Bookman Old Style" w:cs="Arial"/>
          <w:i/>
          <w:iCs/>
          <w:sz w:val="20"/>
          <w:szCs w:val="20"/>
        </w:rPr>
      </w:pPr>
    </w:p>
    <w:p w14:paraId="7E1BD3FA" w14:textId="77777777" w:rsidR="007F2AFE" w:rsidRPr="008D3777" w:rsidRDefault="007F2AFE" w:rsidP="00A45AAE">
      <w:pPr>
        <w:pStyle w:val="Prrafodelista"/>
        <w:numPr>
          <w:ilvl w:val="0"/>
          <w:numId w:val="25"/>
        </w:numPr>
        <w:spacing w:after="0" w:line="240" w:lineRule="auto"/>
        <w:ind w:left="851" w:hanging="426"/>
        <w:jc w:val="both"/>
        <w:rPr>
          <w:rFonts w:ascii="Bookman Old Style" w:hAnsi="Bookman Old Style" w:cs="Arial"/>
          <w:i/>
          <w:iCs/>
          <w:sz w:val="20"/>
          <w:szCs w:val="20"/>
        </w:rPr>
      </w:pPr>
      <w:r w:rsidRPr="008D3777">
        <w:rPr>
          <w:rFonts w:ascii="Bookman Old Style" w:hAnsi="Bookman Old Style" w:cs="Arial"/>
          <w:i/>
          <w:iCs/>
          <w:sz w:val="20"/>
          <w:szCs w:val="20"/>
        </w:rPr>
        <w:t>Como se consigna en el Documento de Soporte en la página 32 el valor de Cu reportados al SUI para los años 2018 y 2019 fueron $7,626 y $2,621 respectivamente, de la misma forma de acuerdo con el cálculo de la Comisión el valor eficiente debería ser de $1,450.89.</w:t>
      </w:r>
    </w:p>
    <w:p w14:paraId="0CA0285E" w14:textId="77777777" w:rsidR="007F2AFE" w:rsidRPr="008D3777" w:rsidRDefault="007F2AFE" w:rsidP="00A45AAE">
      <w:pPr>
        <w:spacing w:after="0" w:line="240" w:lineRule="auto"/>
        <w:ind w:left="851" w:hanging="426"/>
        <w:contextualSpacing/>
        <w:jc w:val="both"/>
        <w:rPr>
          <w:rFonts w:ascii="Bookman Old Style" w:hAnsi="Bookman Old Style" w:cs="Arial"/>
          <w:i/>
          <w:iCs/>
          <w:sz w:val="20"/>
          <w:szCs w:val="20"/>
        </w:rPr>
      </w:pPr>
    </w:p>
    <w:p w14:paraId="77394C14" w14:textId="77777777" w:rsidR="007F2AFE" w:rsidRPr="008D3777" w:rsidRDefault="007F2AFE" w:rsidP="00A45AAE">
      <w:pPr>
        <w:pStyle w:val="Prrafodelista"/>
        <w:numPr>
          <w:ilvl w:val="0"/>
          <w:numId w:val="25"/>
        </w:numPr>
        <w:spacing w:after="0" w:line="240" w:lineRule="auto"/>
        <w:ind w:left="851" w:hanging="426"/>
        <w:jc w:val="both"/>
        <w:rPr>
          <w:rFonts w:ascii="Bookman Old Style" w:hAnsi="Bookman Old Style" w:cs="Arial"/>
          <w:i/>
          <w:iCs/>
          <w:sz w:val="20"/>
          <w:szCs w:val="20"/>
        </w:rPr>
      </w:pPr>
      <w:r w:rsidRPr="008D3777">
        <w:rPr>
          <w:rFonts w:ascii="Bookman Old Style" w:hAnsi="Bookman Old Style" w:cs="Arial"/>
          <w:i/>
          <w:iCs/>
          <w:sz w:val="20"/>
          <w:szCs w:val="20"/>
        </w:rPr>
        <w:t>Teniendo en cuenta dichos valores para que el Cu fuera $ 2,621.43 el Cu de la PCH debería haber sido de $5,194.31 manteniendo los porcentajes de participación entre PCH y Diésel.</w:t>
      </w:r>
    </w:p>
    <w:p w14:paraId="6C28825D" w14:textId="77777777" w:rsidR="007F2AFE" w:rsidRPr="008D3777" w:rsidRDefault="007F2AFE" w:rsidP="00A45AAE">
      <w:pPr>
        <w:spacing w:after="0" w:line="240" w:lineRule="auto"/>
        <w:ind w:left="851" w:hanging="426"/>
        <w:contextualSpacing/>
        <w:jc w:val="both"/>
        <w:rPr>
          <w:rFonts w:ascii="Bookman Old Style" w:hAnsi="Bookman Old Style" w:cs="Arial"/>
          <w:i/>
          <w:iCs/>
          <w:sz w:val="20"/>
          <w:szCs w:val="20"/>
        </w:rPr>
      </w:pPr>
    </w:p>
    <w:p w14:paraId="691E2796" w14:textId="77777777" w:rsidR="007F2AFE" w:rsidRPr="008D3777" w:rsidRDefault="007F2AFE" w:rsidP="00A45AAE">
      <w:pPr>
        <w:pStyle w:val="Prrafodelista"/>
        <w:numPr>
          <w:ilvl w:val="0"/>
          <w:numId w:val="25"/>
        </w:numPr>
        <w:spacing w:after="0" w:line="240" w:lineRule="auto"/>
        <w:ind w:left="851" w:hanging="426"/>
        <w:jc w:val="both"/>
        <w:rPr>
          <w:rFonts w:ascii="Bookman Old Style" w:hAnsi="Bookman Old Style" w:cs="Arial"/>
          <w:i/>
          <w:iCs/>
          <w:sz w:val="20"/>
          <w:szCs w:val="20"/>
        </w:rPr>
      </w:pPr>
      <w:r w:rsidRPr="008D3777">
        <w:rPr>
          <w:rFonts w:ascii="Bookman Old Style" w:hAnsi="Bookman Old Style" w:cs="Arial"/>
          <w:i/>
          <w:iCs/>
          <w:sz w:val="20"/>
          <w:szCs w:val="20"/>
        </w:rPr>
        <w:t xml:space="preserve">Es claro que el costo de </w:t>
      </w:r>
      <w:proofErr w:type="spellStart"/>
      <w:r w:rsidRPr="008D3777">
        <w:rPr>
          <w:rFonts w:ascii="Bookman Old Style" w:hAnsi="Bookman Old Style" w:cs="Arial"/>
          <w:i/>
          <w:iCs/>
          <w:sz w:val="20"/>
          <w:szCs w:val="20"/>
        </w:rPr>
        <w:t>Gm</w:t>
      </w:r>
      <w:proofErr w:type="spellEnd"/>
      <w:r w:rsidRPr="008D3777">
        <w:rPr>
          <w:rFonts w:ascii="Bookman Old Style" w:hAnsi="Bookman Old Style" w:cs="Arial"/>
          <w:i/>
          <w:iCs/>
          <w:sz w:val="20"/>
          <w:szCs w:val="20"/>
        </w:rPr>
        <w:t xml:space="preserve"> en el municipio no es el eficiente </w:t>
      </w:r>
      <w:proofErr w:type="spellStart"/>
      <w:r w:rsidRPr="008D3777">
        <w:rPr>
          <w:rFonts w:ascii="Bookman Old Style" w:hAnsi="Bookman Old Style" w:cs="Arial"/>
          <w:i/>
          <w:iCs/>
          <w:sz w:val="20"/>
          <w:szCs w:val="20"/>
        </w:rPr>
        <w:t>por que</w:t>
      </w:r>
      <w:proofErr w:type="spellEnd"/>
      <w:r w:rsidRPr="008D3777">
        <w:rPr>
          <w:rFonts w:ascii="Bookman Old Style" w:hAnsi="Bookman Old Style" w:cs="Arial"/>
          <w:i/>
          <w:iCs/>
          <w:sz w:val="20"/>
          <w:szCs w:val="20"/>
        </w:rPr>
        <w:t xml:space="preserve"> de otra forma no se entendería que a GENSA S.A. E.S.P. se le paguen costos reales de acuerdo con la resolución MME 181891 de 2008 y 091873 de 2012, ya que solo se cancelan los costos reales si el valor es superior al eficiente.</w:t>
      </w:r>
    </w:p>
    <w:p w14:paraId="44E1A4CC" w14:textId="77777777" w:rsidR="007F2AFE" w:rsidRPr="008D3777" w:rsidRDefault="007F2AFE" w:rsidP="00A45AAE">
      <w:pPr>
        <w:spacing w:after="0" w:line="240" w:lineRule="auto"/>
        <w:ind w:left="851" w:hanging="426"/>
        <w:contextualSpacing/>
        <w:jc w:val="both"/>
        <w:rPr>
          <w:rFonts w:ascii="Bookman Old Style" w:hAnsi="Bookman Old Style" w:cs="Arial"/>
          <w:i/>
          <w:iCs/>
          <w:sz w:val="20"/>
          <w:szCs w:val="20"/>
        </w:rPr>
      </w:pPr>
    </w:p>
    <w:p w14:paraId="1F7BF0E4" w14:textId="77777777" w:rsidR="007F2AFE" w:rsidRPr="008D3777" w:rsidRDefault="007F2AFE" w:rsidP="00A45AAE">
      <w:pPr>
        <w:pStyle w:val="Prrafodelista"/>
        <w:numPr>
          <w:ilvl w:val="0"/>
          <w:numId w:val="25"/>
        </w:numPr>
        <w:spacing w:after="0" w:line="240" w:lineRule="auto"/>
        <w:ind w:left="851" w:hanging="426"/>
        <w:jc w:val="both"/>
        <w:rPr>
          <w:rFonts w:ascii="Bookman Old Style" w:hAnsi="Bookman Old Style" w:cs="Arial"/>
          <w:i/>
          <w:iCs/>
          <w:sz w:val="20"/>
          <w:szCs w:val="20"/>
        </w:rPr>
      </w:pPr>
      <w:r w:rsidRPr="008D3777">
        <w:rPr>
          <w:rFonts w:ascii="Bookman Old Style" w:hAnsi="Bookman Old Style" w:cs="Arial"/>
          <w:i/>
          <w:iCs/>
          <w:sz w:val="20"/>
          <w:szCs w:val="20"/>
        </w:rPr>
        <w:t xml:space="preserve">La política nacional es la de reemplazar generación eléctrica con combustibles fósiles primando la incorporación de Fuentes de Energía Renovable No </w:t>
      </w:r>
      <w:proofErr w:type="spellStart"/>
      <w:r w:rsidRPr="008D3777">
        <w:rPr>
          <w:rFonts w:ascii="Bookman Old Style" w:hAnsi="Bookman Old Style" w:cs="Arial"/>
          <w:i/>
          <w:iCs/>
          <w:sz w:val="20"/>
          <w:szCs w:val="20"/>
        </w:rPr>
        <w:t>Contaminates</w:t>
      </w:r>
      <w:proofErr w:type="spellEnd"/>
      <w:r w:rsidRPr="008D3777">
        <w:rPr>
          <w:rFonts w:ascii="Bookman Old Style" w:hAnsi="Bookman Old Style" w:cs="Arial"/>
          <w:i/>
          <w:iCs/>
          <w:sz w:val="20"/>
          <w:szCs w:val="20"/>
        </w:rPr>
        <w:t>.</w:t>
      </w:r>
    </w:p>
    <w:p w14:paraId="70D518F1" w14:textId="77777777" w:rsidR="007F2AFE" w:rsidRPr="008D3777" w:rsidRDefault="007F2AFE" w:rsidP="00A45AAE">
      <w:pPr>
        <w:spacing w:after="0" w:line="240" w:lineRule="auto"/>
        <w:ind w:left="851" w:hanging="426"/>
        <w:contextualSpacing/>
        <w:jc w:val="both"/>
        <w:rPr>
          <w:rFonts w:ascii="Bookman Old Style" w:hAnsi="Bookman Old Style" w:cs="Arial"/>
          <w:i/>
          <w:iCs/>
          <w:sz w:val="20"/>
          <w:szCs w:val="20"/>
        </w:rPr>
      </w:pPr>
    </w:p>
    <w:p w14:paraId="3A2AC5A5" w14:textId="77777777" w:rsidR="007F2AFE" w:rsidRPr="008D3777" w:rsidRDefault="007F2AFE" w:rsidP="00A45AAE">
      <w:pPr>
        <w:pStyle w:val="Prrafodelista"/>
        <w:numPr>
          <w:ilvl w:val="0"/>
          <w:numId w:val="25"/>
        </w:numPr>
        <w:spacing w:after="0" w:line="240" w:lineRule="auto"/>
        <w:ind w:left="851" w:hanging="426"/>
        <w:jc w:val="both"/>
        <w:rPr>
          <w:rFonts w:ascii="Bookman Old Style" w:hAnsi="Bookman Old Style" w:cs="Arial"/>
          <w:i/>
          <w:iCs/>
          <w:sz w:val="20"/>
          <w:szCs w:val="20"/>
        </w:rPr>
      </w:pPr>
      <w:r w:rsidRPr="008D3777">
        <w:rPr>
          <w:rFonts w:ascii="Bookman Old Style" w:hAnsi="Bookman Old Style" w:cs="Arial"/>
          <w:i/>
          <w:iCs/>
          <w:sz w:val="20"/>
          <w:szCs w:val="20"/>
        </w:rPr>
        <w:t xml:space="preserve">Según informado por GENSA S.A. E.S.P, la PCH no puede funcionar en modo isla, por </w:t>
      </w:r>
      <w:proofErr w:type="gramStart"/>
      <w:r w:rsidRPr="008D3777">
        <w:rPr>
          <w:rFonts w:ascii="Bookman Old Style" w:hAnsi="Bookman Old Style" w:cs="Arial"/>
          <w:i/>
          <w:iCs/>
          <w:sz w:val="20"/>
          <w:szCs w:val="20"/>
        </w:rPr>
        <w:t>tanto</w:t>
      </w:r>
      <w:proofErr w:type="gramEnd"/>
      <w:r w:rsidRPr="008D3777">
        <w:rPr>
          <w:rFonts w:ascii="Bookman Old Style" w:hAnsi="Bookman Old Style" w:cs="Arial"/>
          <w:i/>
          <w:iCs/>
          <w:sz w:val="20"/>
          <w:szCs w:val="20"/>
        </w:rPr>
        <w:t xml:space="preserve"> requiere que algún elemento le </w:t>
      </w:r>
      <w:proofErr w:type="spellStart"/>
      <w:r w:rsidRPr="008D3777">
        <w:rPr>
          <w:rFonts w:ascii="Bookman Old Style" w:hAnsi="Bookman Old Style" w:cs="Arial"/>
          <w:i/>
          <w:iCs/>
          <w:sz w:val="20"/>
          <w:szCs w:val="20"/>
        </w:rPr>
        <w:t>de</w:t>
      </w:r>
      <w:proofErr w:type="spellEnd"/>
      <w:r w:rsidRPr="008D3777">
        <w:rPr>
          <w:rFonts w:ascii="Bookman Old Style" w:hAnsi="Bookman Old Style" w:cs="Arial"/>
          <w:i/>
          <w:iCs/>
          <w:sz w:val="20"/>
          <w:szCs w:val="20"/>
        </w:rPr>
        <w:t xml:space="preserve"> señal. Esta función la está realizando la generación diésel en este momento.</w:t>
      </w:r>
    </w:p>
    <w:p w14:paraId="15ED1A98" w14:textId="77777777" w:rsidR="007F2AFE" w:rsidRPr="008D3777" w:rsidRDefault="007F2AFE" w:rsidP="00A45AAE">
      <w:pPr>
        <w:spacing w:after="0" w:line="240" w:lineRule="auto"/>
        <w:ind w:left="851" w:hanging="426"/>
        <w:contextualSpacing/>
        <w:jc w:val="both"/>
        <w:rPr>
          <w:rFonts w:ascii="Bookman Old Style" w:hAnsi="Bookman Old Style" w:cs="Arial"/>
          <w:i/>
          <w:iCs/>
          <w:sz w:val="20"/>
          <w:szCs w:val="20"/>
        </w:rPr>
      </w:pPr>
    </w:p>
    <w:p w14:paraId="4421EFEB" w14:textId="77777777" w:rsidR="007F2AFE" w:rsidRPr="008D3777" w:rsidRDefault="007F2AFE" w:rsidP="00A45AAE">
      <w:pPr>
        <w:pStyle w:val="Prrafodelista"/>
        <w:numPr>
          <w:ilvl w:val="0"/>
          <w:numId w:val="25"/>
        </w:numPr>
        <w:spacing w:after="0" w:line="240" w:lineRule="auto"/>
        <w:ind w:left="851" w:hanging="426"/>
        <w:jc w:val="both"/>
        <w:rPr>
          <w:rFonts w:ascii="Bookman Old Style" w:hAnsi="Bookman Old Style" w:cs="Arial"/>
          <w:i/>
          <w:iCs/>
          <w:sz w:val="20"/>
          <w:szCs w:val="20"/>
        </w:rPr>
      </w:pPr>
      <w:r w:rsidRPr="008D3777">
        <w:rPr>
          <w:rFonts w:ascii="Bookman Old Style" w:hAnsi="Bookman Old Style" w:cs="Arial"/>
          <w:i/>
          <w:iCs/>
          <w:sz w:val="20"/>
          <w:szCs w:val="20"/>
        </w:rPr>
        <w:t xml:space="preserve">Las </w:t>
      </w:r>
      <w:proofErr w:type="spellStart"/>
      <w:r w:rsidRPr="008D3777">
        <w:rPr>
          <w:rFonts w:ascii="Bookman Old Style" w:hAnsi="Bookman Old Style" w:cs="Arial"/>
          <w:i/>
          <w:iCs/>
          <w:sz w:val="20"/>
          <w:szCs w:val="20"/>
        </w:rPr>
        <w:t>baterias</w:t>
      </w:r>
      <w:proofErr w:type="spellEnd"/>
      <w:r w:rsidRPr="008D3777">
        <w:rPr>
          <w:rFonts w:ascii="Bookman Old Style" w:hAnsi="Bookman Old Style" w:cs="Arial"/>
          <w:i/>
          <w:iCs/>
          <w:sz w:val="20"/>
          <w:szCs w:val="20"/>
        </w:rPr>
        <w:t xml:space="preserve">, Almacenamiento, </w:t>
      </w:r>
      <w:proofErr w:type="spellStart"/>
      <w:r w:rsidRPr="008D3777">
        <w:rPr>
          <w:rFonts w:ascii="Bookman Old Style" w:hAnsi="Bookman Old Style" w:cs="Arial"/>
          <w:i/>
          <w:iCs/>
          <w:sz w:val="20"/>
          <w:szCs w:val="20"/>
        </w:rPr>
        <w:t>dán</w:t>
      </w:r>
      <w:proofErr w:type="spellEnd"/>
      <w:r w:rsidRPr="008D3777">
        <w:rPr>
          <w:rFonts w:ascii="Bookman Old Style" w:hAnsi="Bookman Old Style" w:cs="Arial"/>
          <w:i/>
          <w:iCs/>
          <w:sz w:val="20"/>
          <w:szCs w:val="20"/>
        </w:rPr>
        <w:t xml:space="preserve"> señan para que los demás componentes del sistema funciones de una manera adecuada. Adicionalmente controlan potencia, frecuencia y amperaje.</w:t>
      </w:r>
    </w:p>
    <w:p w14:paraId="64FDD4C6" w14:textId="77777777" w:rsidR="007F2AFE" w:rsidRPr="008D3777" w:rsidRDefault="007F2AFE" w:rsidP="00A45AAE">
      <w:pPr>
        <w:spacing w:after="0" w:line="240" w:lineRule="auto"/>
        <w:ind w:left="851" w:hanging="426"/>
        <w:contextualSpacing/>
        <w:jc w:val="both"/>
        <w:rPr>
          <w:rFonts w:ascii="Bookman Old Style" w:hAnsi="Bookman Old Style" w:cs="Arial"/>
          <w:i/>
          <w:iCs/>
          <w:sz w:val="20"/>
          <w:szCs w:val="20"/>
        </w:rPr>
      </w:pPr>
    </w:p>
    <w:p w14:paraId="78D897ED" w14:textId="77777777" w:rsidR="007F2AFE" w:rsidRPr="008D3777" w:rsidRDefault="007F2AFE" w:rsidP="00A45AAE">
      <w:pPr>
        <w:pStyle w:val="Prrafodelista"/>
        <w:numPr>
          <w:ilvl w:val="0"/>
          <w:numId w:val="25"/>
        </w:numPr>
        <w:spacing w:after="0" w:line="240" w:lineRule="auto"/>
        <w:ind w:left="851" w:hanging="426"/>
        <w:jc w:val="both"/>
        <w:rPr>
          <w:rFonts w:ascii="Bookman Old Style" w:hAnsi="Bookman Old Style" w:cs="Arial"/>
          <w:i/>
          <w:iCs/>
          <w:sz w:val="20"/>
          <w:szCs w:val="20"/>
        </w:rPr>
      </w:pPr>
      <w:r w:rsidRPr="008D3777">
        <w:rPr>
          <w:rFonts w:ascii="Bookman Old Style" w:hAnsi="Bookman Old Style" w:cs="Arial"/>
          <w:i/>
          <w:iCs/>
          <w:sz w:val="20"/>
          <w:szCs w:val="20"/>
        </w:rPr>
        <w:t xml:space="preserve">Aunque nominalmente la PCH tiene una capacidad de 2 MW en realidad nunca </w:t>
      </w:r>
      <w:proofErr w:type="spellStart"/>
      <w:r w:rsidRPr="008D3777">
        <w:rPr>
          <w:rFonts w:ascii="Bookman Old Style" w:hAnsi="Bookman Old Style" w:cs="Arial"/>
          <w:i/>
          <w:iCs/>
          <w:sz w:val="20"/>
          <w:szCs w:val="20"/>
        </w:rPr>
        <w:t>a</w:t>
      </w:r>
      <w:proofErr w:type="spellEnd"/>
      <w:r w:rsidRPr="008D3777">
        <w:rPr>
          <w:rFonts w:ascii="Bookman Old Style" w:hAnsi="Bookman Old Style" w:cs="Arial"/>
          <w:i/>
          <w:iCs/>
          <w:sz w:val="20"/>
          <w:szCs w:val="20"/>
        </w:rPr>
        <w:t xml:space="preserve"> superado los 621 kWh de entrega, bien sea por los problemas de disponibilidad o por la </w:t>
      </w:r>
      <w:proofErr w:type="spellStart"/>
      <w:r w:rsidRPr="008D3777">
        <w:rPr>
          <w:rFonts w:ascii="Bookman Old Style" w:hAnsi="Bookman Old Style" w:cs="Arial"/>
          <w:i/>
          <w:iCs/>
          <w:sz w:val="20"/>
          <w:szCs w:val="20"/>
        </w:rPr>
        <w:t>hidraulicidad</w:t>
      </w:r>
      <w:proofErr w:type="spellEnd"/>
      <w:r w:rsidRPr="008D3777">
        <w:rPr>
          <w:rFonts w:ascii="Bookman Old Style" w:hAnsi="Bookman Old Style" w:cs="Arial"/>
          <w:i/>
          <w:iCs/>
          <w:sz w:val="20"/>
          <w:szCs w:val="20"/>
        </w:rPr>
        <w:t xml:space="preserve"> del rio.</w:t>
      </w:r>
    </w:p>
    <w:p w14:paraId="284963CC" w14:textId="77777777" w:rsidR="007F2AFE" w:rsidRPr="008D3777" w:rsidRDefault="007F2AFE" w:rsidP="00A45AAE">
      <w:pPr>
        <w:spacing w:after="0" w:line="240" w:lineRule="auto"/>
        <w:ind w:left="851" w:hanging="426"/>
        <w:contextualSpacing/>
        <w:jc w:val="both"/>
        <w:rPr>
          <w:rFonts w:ascii="Bookman Old Style" w:hAnsi="Bookman Old Style" w:cs="Arial"/>
          <w:i/>
          <w:iCs/>
          <w:sz w:val="20"/>
          <w:szCs w:val="20"/>
        </w:rPr>
      </w:pPr>
    </w:p>
    <w:p w14:paraId="228656F6" w14:textId="29B6C9DE" w:rsidR="007F2AFE" w:rsidRPr="008D3777" w:rsidRDefault="007F2AFE" w:rsidP="00A45AAE">
      <w:pPr>
        <w:pStyle w:val="Prrafodelista"/>
        <w:numPr>
          <w:ilvl w:val="0"/>
          <w:numId w:val="25"/>
        </w:numPr>
        <w:spacing w:after="0" w:line="240" w:lineRule="auto"/>
        <w:ind w:left="851" w:hanging="426"/>
        <w:jc w:val="both"/>
        <w:rPr>
          <w:rFonts w:ascii="Bookman Old Style" w:hAnsi="Bookman Old Style" w:cs="Arial"/>
          <w:i/>
          <w:iCs/>
          <w:sz w:val="20"/>
          <w:szCs w:val="20"/>
        </w:rPr>
      </w:pPr>
      <w:r w:rsidRPr="008D3777">
        <w:rPr>
          <w:rFonts w:ascii="Bookman Old Style" w:hAnsi="Bookman Old Style" w:cs="Arial"/>
          <w:i/>
          <w:iCs/>
          <w:sz w:val="20"/>
          <w:szCs w:val="20"/>
        </w:rPr>
        <w:t xml:space="preserve">En la Ley 1955 de 2019 Artículo 290 Nuevos Agentes se le recuerda a la Comisión su función de promover la competencia y evitar los abusos de posición dominante y garantizar los derechos de los usuarios, a la </w:t>
      </w:r>
      <w:proofErr w:type="spellStart"/>
      <w:r w:rsidRPr="008D3777">
        <w:rPr>
          <w:rFonts w:ascii="Bookman Old Style" w:hAnsi="Bookman Old Style" w:cs="Arial"/>
          <w:i/>
          <w:iCs/>
          <w:sz w:val="20"/>
          <w:szCs w:val="20"/>
        </w:rPr>
        <w:t>ves</w:t>
      </w:r>
      <w:proofErr w:type="spellEnd"/>
      <w:r w:rsidRPr="008D3777">
        <w:rPr>
          <w:rFonts w:ascii="Bookman Old Style" w:hAnsi="Bookman Old Style" w:cs="Arial"/>
          <w:i/>
          <w:iCs/>
          <w:sz w:val="20"/>
          <w:szCs w:val="20"/>
        </w:rPr>
        <w:t xml:space="preserve"> </w:t>
      </w:r>
      <w:r w:rsidR="00CE2B3D" w:rsidRPr="008D3777">
        <w:rPr>
          <w:rFonts w:ascii="Bookman Old Style" w:hAnsi="Bookman Old Style" w:cs="Arial"/>
          <w:i/>
          <w:iCs/>
          <w:sz w:val="20"/>
          <w:szCs w:val="20"/>
        </w:rPr>
        <w:t>(sic)</w:t>
      </w:r>
      <w:r w:rsidRPr="008D3777">
        <w:rPr>
          <w:rFonts w:ascii="Bookman Old Style" w:hAnsi="Bookman Old Style" w:cs="Arial"/>
          <w:i/>
          <w:iCs/>
          <w:sz w:val="20"/>
          <w:szCs w:val="20"/>
        </w:rPr>
        <w:t xml:space="preserve"> que garantizar la prestación eficiente del servicio público.</w:t>
      </w:r>
    </w:p>
    <w:p w14:paraId="16C2EAA5" w14:textId="77777777" w:rsidR="007F2AFE" w:rsidRPr="008D3777" w:rsidRDefault="007F2AFE" w:rsidP="00A45AAE">
      <w:pPr>
        <w:spacing w:after="0" w:line="240" w:lineRule="auto"/>
        <w:ind w:left="851" w:hanging="426"/>
        <w:contextualSpacing/>
        <w:jc w:val="both"/>
        <w:rPr>
          <w:rFonts w:ascii="Bookman Old Style" w:hAnsi="Bookman Old Style" w:cs="Arial"/>
          <w:i/>
          <w:iCs/>
          <w:sz w:val="20"/>
          <w:szCs w:val="20"/>
        </w:rPr>
      </w:pPr>
    </w:p>
    <w:p w14:paraId="4EB07629" w14:textId="77777777" w:rsidR="007F2AFE" w:rsidRPr="008D3777" w:rsidRDefault="007F2AFE" w:rsidP="00A45AAE">
      <w:pPr>
        <w:pStyle w:val="Prrafodelista"/>
        <w:numPr>
          <w:ilvl w:val="0"/>
          <w:numId w:val="25"/>
        </w:numPr>
        <w:spacing w:after="0" w:line="240" w:lineRule="auto"/>
        <w:ind w:left="851" w:hanging="426"/>
        <w:jc w:val="both"/>
        <w:rPr>
          <w:rFonts w:ascii="Bookman Old Style" w:hAnsi="Bookman Old Style" w:cs="Arial"/>
          <w:i/>
          <w:iCs/>
          <w:sz w:val="20"/>
          <w:szCs w:val="20"/>
        </w:rPr>
      </w:pPr>
      <w:r w:rsidRPr="008D3777">
        <w:rPr>
          <w:rFonts w:ascii="Bookman Old Style" w:hAnsi="Bookman Old Style" w:cs="Arial"/>
          <w:i/>
          <w:iCs/>
          <w:sz w:val="20"/>
          <w:szCs w:val="20"/>
        </w:rPr>
        <w:t>El municipio de Mitú no pertenece a una zona de uso exclusivo.</w:t>
      </w:r>
    </w:p>
    <w:p w14:paraId="62B1E1E7" w14:textId="77777777" w:rsidR="007F2AFE" w:rsidRPr="008D3777" w:rsidRDefault="007F2AFE" w:rsidP="00A45AAE">
      <w:pPr>
        <w:spacing w:after="0" w:line="240" w:lineRule="auto"/>
        <w:ind w:left="426"/>
        <w:contextualSpacing/>
        <w:jc w:val="both"/>
        <w:rPr>
          <w:rFonts w:ascii="Bookman Old Style" w:hAnsi="Bookman Old Style" w:cs="Arial"/>
          <w:i/>
          <w:iCs/>
          <w:sz w:val="20"/>
          <w:szCs w:val="20"/>
        </w:rPr>
      </w:pPr>
    </w:p>
    <w:p w14:paraId="5D34410B" w14:textId="2709914A" w:rsidR="007F2AFE" w:rsidRPr="008D3777" w:rsidRDefault="007F2AFE" w:rsidP="00A45AAE">
      <w:pPr>
        <w:spacing w:after="0" w:line="240" w:lineRule="auto"/>
        <w:ind w:left="426"/>
        <w:contextualSpacing/>
        <w:jc w:val="both"/>
        <w:rPr>
          <w:rFonts w:ascii="Bookman Old Style" w:hAnsi="Bookman Old Style" w:cs="Arial"/>
          <w:i/>
          <w:iCs/>
          <w:sz w:val="20"/>
          <w:szCs w:val="20"/>
        </w:rPr>
      </w:pPr>
      <w:r w:rsidRPr="008D3777">
        <w:rPr>
          <w:rFonts w:ascii="Bookman Old Style" w:hAnsi="Bookman Old Style" w:cs="Arial"/>
          <w:i/>
          <w:iCs/>
          <w:sz w:val="20"/>
          <w:szCs w:val="20"/>
        </w:rPr>
        <w:t xml:space="preserve">Por estas razones aunadas a la eficiencia del sistema fotovoltaico recomendamos poner a </w:t>
      </w:r>
      <w:proofErr w:type="spellStart"/>
      <w:r w:rsidRPr="008D3777">
        <w:rPr>
          <w:rFonts w:ascii="Bookman Old Style" w:hAnsi="Bookman Old Style" w:cs="Arial"/>
          <w:i/>
          <w:iCs/>
          <w:sz w:val="20"/>
          <w:szCs w:val="20"/>
        </w:rPr>
        <w:t>Matakabi</w:t>
      </w:r>
      <w:proofErr w:type="spellEnd"/>
      <w:r w:rsidRPr="008D3777">
        <w:rPr>
          <w:rFonts w:ascii="Bookman Old Style" w:hAnsi="Bookman Old Style" w:cs="Arial"/>
          <w:i/>
          <w:iCs/>
          <w:sz w:val="20"/>
          <w:szCs w:val="20"/>
        </w:rPr>
        <w:t xml:space="preserve"> en la base de generación</w:t>
      </w:r>
      <w:r w:rsidR="00D0479B" w:rsidRPr="008D3777">
        <w:rPr>
          <w:rFonts w:ascii="Bookman Old Style" w:hAnsi="Bookman Old Style" w:cs="Arial"/>
          <w:i/>
          <w:iCs/>
          <w:sz w:val="20"/>
          <w:szCs w:val="20"/>
        </w:rPr>
        <w:t>”</w:t>
      </w:r>
      <w:r w:rsidRPr="008D3777">
        <w:rPr>
          <w:rFonts w:ascii="Bookman Old Style" w:hAnsi="Bookman Old Style" w:cs="Arial"/>
          <w:i/>
          <w:iCs/>
          <w:sz w:val="20"/>
          <w:szCs w:val="20"/>
        </w:rPr>
        <w:t>.</w:t>
      </w:r>
      <w:r w:rsidR="00B91345" w:rsidRPr="008D3777">
        <w:rPr>
          <w:rFonts w:ascii="Bookman Old Style" w:hAnsi="Bookman Old Style" w:cs="Arial"/>
          <w:i/>
          <w:iCs/>
          <w:sz w:val="20"/>
          <w:szCs w:val="20"/>
        </w:rPr>
        <w:t xml:space="preserve"> </w:t>
      </w:r>
    </w:p>
    <w:p w14:paraId="38B032F1" w14:textId="77777777" w:rsidR="007F2AFE" w:rsidRPr="008466E7" w:rsidRDefault="007F2AFE" w:rsidP="00A45AAE">
      <w:pPr>
        <w:spacing w:after="0" w:line="240" w:lineRule="auto"/>
        <w:ind w:left="426"/>
        <w:contextualSpacing/>
        <w:jc w:val="both"/>
        <w:rPr>
          <w:rFonts w:ascii="Bookman Old Style" w:hAnsi="Bookman Old Style" w:cs="Arial"/>
          <w:i/>
          <w:iCs/>
          <w:sz w:val="20"/>
          <w:szCs w:val="20"/>
        </w:rPr>
      </w:pPr>
    </w:p>
    <w:p w14:paraId="61BDE348" w14:textId="1FE1A17E" w:rsidR="007F3FC2" w:rsidRPr="0007606C" w:rsidRDefault="00252FBF" w:rsidP="00A24776">
      <w:pPr>
        <w:pStyle w:val="Ttulo2"/>
        <w:numPr>
          <w:ilvl w:val="0"/>
          <w:numId w:val="31"/>
        </w:numPr>
        <w:rPr>
          <w:rFonts w:ascii="Bookman Old Style" w:eastAsia="Times New Roman" w:hAnsi="Bookman Old Style" w:cs="Times New Roman"/>
          <w:color w:val="auto"/>
          <w:sz w:val="24"/>
          <w:szCs w:val="24"/>
          <w:lang w:val="es-ES" w:eastAsia="es-ES"/>
        </w:rPr>
      </w:pPr>
      <w:r w:rsidRPr="0007606C">
        <w:rPr>
          <w:rFonts w:ascii="Bookman Old Style" w:hAnsi="Bookman Old Style"/>
          <w:color w:val="auto"/>
          <w:sz w:val="24"/>
          <w:szCs w:val="24"/>
        </w:rPr>
        <w:t>CONSIDERACIONE</w:t>
      </w:r>
      <w:r w:rsidRPr="0007606C">
        <w:rPr>
          <w:rFonts w:ascii="Bookman Old Style" w:eastAsia="Times New Roman" w:hAnsi="Bookman Old Style" w:cs="Times New Roman"/>
          <w:color w:val="auto"/>
          <w:sz w:val="24"/>
          <w:szCs w:val="24"/>
          <w:lang w:val="es-ES" w:eastAsia="es-ES"/>
        </w:rPr>
        <w:t>S DE LA CREG</w:t>
      </w:r>
    </w:p>
    <w:p w14:paraId="4CC5336C" w14:textId="77777777" w:rsidR="00DA739E" w:rsidRPr="00DA739E" w:rsidRDefault="00DA739E" w:rsidP="002A13DB">
      <w:pPr>
        <w:spacing w:after="0" w:line="240" w:lineRule="auto"/>
        <w:contextualSpacing/>
        <w:jc w:val="both"/>
        <w:rPr>
          <w:rFonts w:ascii="Bookman Old Style" w:eastAsia="Times New Roman" w:hAnsi="Bookman Old Style" w:cs="Times New Roman"/>
          <w:sz w:val="24"/>
          <w:szCs w:val="24"/>
          <w:lang w:val="es-ES" w:eastAsia="es-ES"/>
        </w:rPr>
      </w:pPr>
    </w:p>
    <w:p w14:paraId="450A1DF2" w14:textId="340BB4AF" w:rsidR="00B503A8" w:rsidRDefault="006D662F" w:rsidP="002A13DB">
      <w:pPr>
        <w:spacing w:after="0" w:line="240" w:lineRule="auto"/>
        <w:contextualSpacing/>
        <w:jc w:val="both"/>
        <w:rPr>
          <w:rFonts w:ascii="Bookman Old Style" w:eastAsia="Times New Roman" w:hAnsi="Bookman Old Style" w:cs="Arial"/>
          <w:spacing w:val="-5"/>
          <w:sz w:val="24"/>
          <w:szCs w:val="24"/>
          <w:lang w:val="es-ES"/>
        </w:rPr>
      </w:pPr>
      <w:r>
        <w:rPr>
          <w:rFonts w:ascii="Bookman Old Style" w:eastAsia="Times New Roman" w:hAnsi="Bookman Old Style" w:cs="Times New Roman"/>
          <w:sz w:val="24"/>
          <w:szCs w:val="24"/>
          <w:lang w:val="es-ES" w:eastAsia="es-ES"/>
        </w:rPr>
        <w:t>A</w:t>
      </w:r>
      <w:r w:rsidR="00E73E2E">
        <w:rPr>
          <w:rFonts w:ascii="Bookman Old Style" w:eastAsia="Times New Roman" w:hAnsi="Bookman Old Style" w:cs="Times New Roman"/>
          <w:sz w:val="24"/>
          <w:szCs w:val="24"/>
          <w:lang w:val="es-ES" w:eastAsia="es-ES"/>
        </w:rPr>
        <w:t>mparad</w:t>
      </w:r>
      <w:r>
        <w:rPr>
          <w:rFonts w:ascii="Bookman Old Style" w:eastAsia="Times New Roman" w:hAnsi="Bookman Old Style" w:cs="Times New Roman"/>
          <w:sz w:val="24"/>
          <w:szCs w:val="24"/>
          <w:lang w:val="es-ES" w:eastAsia="es-ES"/>
        </w:rPr>
        <w:t>a en lo previsto en</w:t>
      </w:r>
      <w:r w:rsidR="00614DE5" w:rsidRPr="00614DE5">
        <w:rPr>
          <w:rFonts w:ascii="Bookman Old Style" w:eastAsia="Times New Roman" w:hAnsi="Bookman Old Style" w:cs="Times New Roman"/>
          <w:sz w:val="24"/>
          <w:szCs w:val="24"/>
          <w:lang w:val="es-ES" w:eastAsia="es-ES"/>
        </w:rPr>
        <w:t xml:space="preserve"> las leyes 142 y 143 de 1994, los decretos 1524 y 2253 de 1994, 1260 de 2013, y en especial lo dispuesto en el literal d del artículo 22</w:t>
      </w:r>
      <w:r w:rsidR="008D3777">
        <w:rPr>
          <w:rFonts w:ascii="Bookman Old Style" w:eastAsia="Times New Roman" w:hAnsi="Bookman Old Style" w:cs="Times New Roman"/>
          <w:sz w:val="24"/>
          <w:szCs w:val="24"/>
          <w:lang w:val="es-ES" w:eastAsia="es-ES"/>
        </w:rPr>
        <w:t>,</w:t>
      </w:r>
      <w:r w:rsidR="00614DE5" w:rsidRPr="00614DE5">
        <w:rPr>
          <w:rFonts w:ascii="Bookman Old Style" w:eastAsia="Times New Roman" w:hAnsi="Bookman Old Style" w:cs="Times New Roman"/>
          <w:sz w:val="24"/>
          <w:szCs w:val="24"/>
          <w:lang w:val="es-ES" w:eastAsia="es-ES"/>
        </w:rPr>
        <w:t xml:space="preserve"> y el numeral 24.5 del artículo 24 de la Resolución CREG 091 de 2007</w:t>
      </w:r>
      <w:r w:rsidR="008D3777">
        <w:rPr>
          <w:rFonts w:ascii="Bookman Old Style" w:eastAsia="Times New Roman" w:hAnsi="Bookman Old Style" w:cs="Times New Roman"/>
          <w:sz w:val="24"/>
          <w:szCs w:val="24"/>
          <w:lang w:val="es-ES" w:eastAsia="es-ES"/>
        </w:rPr>
        <w:t>,</w:t>
      </w:r>
      <w:r w:rsidR="00AE2C18">
        <w:rPr>
          <w:rFonts w:ascii="Bookman Old Style" w:eastAsia="Times New Roman" w:hAnsi="Bookman Old Style" w:cs="Times New Roman"/>
          <w:sz w:val="24"/>
          <w:szCs w:val="24"/>
          <w:lang w:val="es-ES" w:eastAsia="es-ES"/>
        </w:rPr>
        <w:t xml:space="preserve"> y lo dispuesto en el Código de Procedimiento Administrativo y </w:t>
      </w:r>
      <w:r w:rsidR="00EF207F">
        <w:rPr>
          <w:rFonts w:ascii="Bookman Old Style" w:eastAsia="Times New Roman" w:hAnsi="Bookman Old Style" w:cs="Times New Roman"/>
          <w:sz w:val="24"/>
          <w:szCs w:val="24"/>
          <w:lang w:val="es-ES" w:eastAsia="es-ES"/>
        </w:rPr>
        <w:t>de lo Contencioso Administrativo</w:t>
      </w:r>
      <w:r w:rsidR="00614DE5" w:rsidRPr="00614DE5">
        <w:rPr>
          <w:rFonts w:ascii="Bookman Old Style" w:eastAsia="Times New Roman" w:hAnsi="Bookman Old Style" w:cs="Times New Roman"/>
          <w:sz w:val="24"/>
          <w:szCs w:val="24"/>
          <w:lang w:val="es-ES" w:eastAsia="es-ES"/>
        </w:rPr>
        <w:t>, la Comisión de Regulación de Energía y Gas</w:t>
      </w:r>
      <w:r w:rsidR="008D3777">
        <w:rPr>
          <w:rFonts w:ascii="Bookman Old Style" w:eastAsia="Times New Roman" w:hAnsi="Bookman Old Style" w:cs="Times New Roman"/>
          <w:sz w:val="24"/>
          <w:szCs w:val="24"/>
          <w:lang w:val="es-ES" w:eastAsia="es-ES"/>
        </w:rPr>
        <w:t>,</w:t>
      </w:r>
      <w:r w:rsidR="00070A60">
        <w:rPr>
          <w:rFonts w:ascii="Bookman Old Style" w:eastAsia="Times New Roman" w:hAnsi="Bookman Old Style" w:cs="Times New Roman"/>
          <w:sz w:val="24"/>
          <w:szCs w:val="24"/>
          <w:lang w:val="es-ES" w:eastAsia="es-ES"/>
        </w:rPr>
        <w:t xml:space="preserve"> </w:t>
      </w:r>
      <w:r w:rsidR="00F6076E">
        <w:rPr>
          <w:rFonts w:ascii="Bookman Old Style" w:eastAsia="Times New Roman" w:hAnsi="Bookman Old Style" w:cs="Arial"/>
          <w:spacing w:val="-5"/>
          <w:sz w:val="24"/>
          <w:szCs w:val="24"/>
        </w:rPr>
        <w:t>m</w:t>
      </w:r>
      <w:r w:rsidR="003E1AFD" w:rsidRPr="009B74E5">
        <w:rPr>
          <w:rFonts w:ascii="Bookman Old Style" w:eastAsia="Times New Roman" w:hAnsi="Bookman Old Style" w:cs="Arial"/>
          <w:spacing w:val="-5"/>
          <w:sz w:val="24"/>
          <w:szCs w:val="24"/>
        </w:rPr>
        <w:t xml:space="preserve">ediante la Resolución CREG </w:t>
      </w:r>
      <w:r w:rsidR="003E1AFD">
        <w:rPr>
          <w:rFonts w:ascii="Bookman Old Style" w:eastAsia="Times New Roman" w:hAnsi="Bookman Old Style" w:cs="Arial"/>
          <w:spacing w:val="-5"/>
          <w:sz w:val="24"/>
          <w:szCs w:val="24"/>
        </w:rPr>
        <w:t>124</w:t>
      </w:r>
      <w:r w:rsidR="003E1AFD" w:rsidRPr="009B74E5">
        <w:rPr>
          <w:rFonts w:ascii="Bookman Old Style" w:eastAsia="Times New Roman" w:hAnsi="Bookman Old Style" w:cs="Arial"/>
          <w:spacing w:val="-5"/>
          <w:sz w:val="24"/>
          <w:szCs w:val="24"/>
        </w:rPr>
        <w:t xml:space="preserve"> de 2020</w:t>
      </w:r>
      <w:r w:rsidR="008D3777">
        <w:rPr>
          <w:rFonts w:ascii="Bookman Old Style" w:eastAsia="Times New Roman" w:hAnsi="Bookman Old Style" w:cs="Arial"/>
          <w:spacing w:val="-5"/>
          <w:sz w:val="24"/>
          <w:szCs w:val="24"/>
        </w:rPr>
        <w:t>,</w:t>
      </w:r>
      <w:r w:rsidR="003E1AFD" w:rsidRPr="009B74E5">
        <w:rPr>
          <w:rFonts w:ascii="Bookman Old Style" w:eastAsia="Times New Roman" w:hAnsi="Bookman Old Style" w:cs="Arial"/>
          <w:spacing w:val="-5"/>
          <w:sz w:val="24"/>
          <w:szCs w:val="24"/>
        </w:rPr>
        <w:t xml:space="preserve"> </w:t>
      </w:r>
      <w:r w:rsidR="003E1AFD">
        <w:rPr>
          <w:rFonts w:ascii="Bookman Old Style" w:eastAsia="Times New Roman" w:hAnsi="Bookman Old Style" w:cs="Arial"/>
          <w:spacing w:val="-5"/>
          <w:sz w:val="24"/>
          <w:szCs w:val="24"/>
        </w:rPr>
        <w:t xml:space="preserve">resolvió la actuación administrativa y </w:t>
      </w:r>
      <w:r w:rsidR="003E1AFD" w:rsidRPr="009622F9">
        <w:rPr>
          <w:rFonts w:ascii="Bookman Old Style" w:eastAsia="Times New Roman" w:hAnsi="Bookman Old Style" w:cs="Arial"/>
          <w:spacing w:val="-5"/>
          <w:sz w:val="24"/>
          <w:szCs w:val="24"/>
          <w:lang w:val="es-ES"/>
        </w:rPr>
        <w:t>determin</w:t>
      </w:r>
      <w:r w:rsidR="003E1AFD">
        <w:rPr>
          <w:rFonts w:ascii="Bookman Old Style" w:eastAsia="Times New Roman" w:hAnsi="Bookman Old Style" w:cs="Arial"/>
          <w:spacing w:val="-5"/>
          <w:sz w:val="24"/>
          <w:szCs w:val="24"/>
          <w:lang w:val="es-ES"/>
        </w:rPr>
        <w:t>ó</w:t>
      </w:r>
      <w:r w:rsidR="003E1AFD" w:rsidRPr="009622F9">
        <w:rPr>
          <w:rFonts w:ascii="Bookman Old Style" w:eastAsia="Times New Roman" w:hAnsi="Bookman Old Style" w:cs="Arial"/>
          <w:spacing w:val="-5"/>
          <w:sz w:val="24"/>
          <w:szCs w:val="24"/>
          <w:lang w:val="es-ES"/>
        </w:rPr>
        <w:t xml:space="preserve"> el cargo máximo de generación para el mercado relevante de comercialización de la cabecera municipal de Mitú en el departamento del Vaupés</w:t>
      </w:r>
      <w:r w:rsidR="008D6BD1">
        <w:rPr>
          <w:rFonts w:ascii="Bookman Old Style" w:eastAsia="Times New Roman" w:hAnsi="Bookman Old Style" w:cs="Arial"/>
          <w:spacing w:val="-5"/>
          <w:sz w:val="24"/>
          <w:szCs w:val="24"/>
          <w:lang w:val="es-ES"/>
        </w:rPr>
        <w:t xml:space="preserve">. </w:t>
      </w:r>
    </w:p>
    <w:p w14:paraId="184277A1" w14:textId="77777777" w:rsidR="00A430B2" w:rsidRDefault="00A430B2" w:rsidP="002A13DB">
      <w:pPr>
        <w:spacing w:after="0" w:line="240" w:lineRule="auto"/>
        <w:contextualSpacing/>
        <w:jc w:val="both"/>
        <w:rPr>
          <w:rFonts w:ascii="Bookman Old Style" w:eastAsia="Times New Roman" w:hAnsi="Bookman Old Style" w:cs="Times New Roman"/>
          <w:sz w:val="24"/>
          <w:szCs w:val="24"/>
          <w:lang w:val="es-ES" w:eastAsia="es-ES"/>
        </w:rPr>
      </w:pPr>
    </w:p>
    <w:p w14:paraId="4028BC4F" w14:textId="31D5AB6A" w:rsidR="00D12518" w:rsidRPr="00D12518" w:rsidRDefault="002055B2" w:rsidP="00D12518">
      <w:pPr>
        <w:spacing w:after="0" w:line="240" w:lineRule="auto"/>
        <w:contextualSpacing/>
        <w:jc w:val="both"/>
        <w:rPr>
          <w:rFonts w:ascii="Bookman Old Style" w:eastAsia="Times New Roman" w:hAnsi="Bookman Old Style" w:cs="Arial"/>
          <w:sz w:val="24"/>
          <w:szCs w:val="24"/>
          <w:lang w:val="es-ES" w:eastAsia="es-ES"/>
        </w:rPr>
      </w:pPr>
      <w:r>
        <w:rPr>
          <w:rFonts w:ascii="Bookman Old Style" w:eastAsia="Times New Roman" w:hAnsi="Bookman Old Style" w:cs="Arial"/>
          <w:sz w:val="24"/>
          <w:szCs w:val="24"/>
          <w:lang w:val="es-ES" w:eastAsia="es-ES"/>
        </w:rPr>
        <w:t xml:space="preserve">Lo anterior atendiendo las funciones asignadas a </w:t>
      </w:r>
      <w:r w:rsidR="00D12518" w:rsidRPr="00D12518">
        <w:rPr>
          <w:rFonts w:ascii="Bookman Old Style" w:eastAsia="Times New Roman" w:hAnsi="Bookman Old Style" w:cs="Arial"/>
          <w:sz w:val="24"/>
          <w:szCs w:val="24"/>
          <w:lang w:val="es-ES" w:eastAsia="es-ES"/>
        </w:rPr>
        <w:t>esta Comisión</w:t>
      </w:r>
      <w:r>
        <w:rPr>
          <w:rFonts w:ascii="Bookman Old Style" w:eastAsia="Times New Roman" w:hAnsi="Bookman Old Style" w:cs="Arial"/>
          <w:sz w:val="24"/>
          <w:szCs w:val="24"/>
          <w:lang w:val="es-ES" w:eastAsia="es-ES"/>
        </w:rPr>
        <w:t xml:space="preserve">, en especial aquellas relacionadas con la definición del </w:t>
      </w:r>
      <w:r w:rsidR="00D12518" w:rsidRPr="00D12518">
        <w:rPr>
          <w:rFonts w:ascii="Bookman Old Style" w:eastAsia="Times New Roman" w:hAnsi="Bookman Old Style" w:cs="Arial"/>
          <w:sz w:val="24"/>
          <w:szCs w:val="24"/>
          <w:lang w:val="es-ES" w:eastAsia="es-ES"/>
        </w:rPr>
        <w:t xml:space="preserve">costo de prestación del servicio de energía eléctrica, </w:t>
      </w:r>
      <w:r>
        <w:rPr>
          <w:rFonts w:ascii="Bookman Old Style" w:eastAsia="Times New Roman" w:hAnsi="Bookman Old Style" w:cs="Arial"/>
          <w:sz w:val="24"/>
          <w:szCs w:val="24"/>
          <w:lang w:val="es-ES" w:eastAsia="es-ES"/>
        </w:rPr>
        <w:t xml:space="preserve">según lo previsto en la </w:t>
      </w:r>
      <w:r w:rsidR="00D12518" w:rsidRPr="00D12518">
        <w:rPr>
          <w:rFonts w:ascii="Bookman Old Style" w:eastAsia="Times New Roman" w:hAnsi="Bookman Old Style" w:cs="Arial"/>
          <w:sz w:val="24"/>
          <w:szCs w:val="24"/>
          <w:lang w:val="es-ES" w:eastAsia="es-ES"/>
        </w:rPr>
        <w:t>Ley 142 de 1994:</w:t>
      </w:r>
    </w:p>
    <w:p w14:paraId="75CCE7A1" w14:textId="77777777" w:rsidR="00D12518" w:rsidRPr="00D12518" w:rsidRDefault="00D12518" w:rsidP="00D12518">
      <w:pPr>
        <w:spacing w:after="0" w:line="240" w:lineRule="auto"/>
        <w:contextualSpacing/>
        <w:jc w:val="both"/>
        <w:rPr>
          <w:rFonts w:ascii="Bookman Old Style" w:eastAsia="Times New Roman" w:hAnsi="Bookman Old Style" w:cs="Arial"/>
          <w:sz w:val="24"/>
          <w:szCs w:val="24"/>
          <w:lang w:val="es-ES" w:eastAsia="es-ES"/>
        </w:rPr>
      </w:pPr>
    </w:p>
    <w:p w14:paraId="50DF0FE3" w14:textId="77777777" w:rsidR="00D12518" w:rsidRPr="008D3777" w:rsidRDefault="00D12518" w:rsidP="008D3777">
      <w:pPr>
        <w:spacing w:after="0" w:line="240" w:lineRule="auto"/>
        <w:ind w:left="284"/>
        <w:contextualSpacing/>
        <w:jc w:val="both"/>
        <w:rPr>
          <w:rFonts w:ascii="Bookman Old Style" w:eastAsia="Times New Roman" w:hAnsi="Bookman Old Style" w:cs="Arial"/>
          <w:i/>
          <w:sz w:val="20"/>
          <w:szCs w:val="20"/>
          <w:lang w:val="es-ES" w:eastAsia="es-ES"/>
        </w:rPr>
      </w:pPr>
      <w:r w:rsidRPr="008D3777">
        <w:rPr>
          <w:rFonts w:ascii="Bookman Old Style" w:eastAsia="Times New Roman" w:hAnsi="Bookman Old Style" w:cs="Arial"/>
          <w:i/>
          <w:sz w:val="20"/>
          <w:szCs w:val="20"/>
          <w:lang w:val="es-ES" w:eastAsia="es-ES"/>
        </w:rPr>
        <w:t xml:space="preserve">“(…) Artículo 73. </w:t>
      </w:r>
      <w:r w:rsidRPr="008D3777">
        <w:rPr>
          <w:rFonts w:ascii="Bookman Old Style" w:eastAsia="Times New Roman" w:hAnsi="Bookman Old Style" w:cs="Arial"/>
          <w:b/>
          <w:i/>
          <w:sz w:val="20"/>
          <w:szCs w:val="20"/>
          <w:u w:val="single"/>
          <w:lang w:val="es-ES" w:eastAsia="es-ES"/>
        </w:rPr>
        <w:t>Funciones y facultades generales</w:t>
      </w:r>
      <w:r w:rsidRPr="008D3777">
        <w:rPr>
          <w:rFonts w:ascii="Bookman Old Style" w:eastAsia="Times New Roman" w:hAnsi="Bookman Old Style" w:cs="Arial"/>
          <w:i/>
          <w:sz w:val="20"/>
          <w:szCs w:val="20"/>
          <w:lang w:val="es-ES" w:eastAsia="es-ES"/>
        </w:rPr>
        <w:t>. Las comisiones de regulación tienen la función de regular los monopolios en la prestación de los servicios públicos, cuando la competencia no sea, de hecho, posible; y, en los demás casos, la de promover la competencia entre quienes presten servicios públicos, para que las operaciones de los monopolistas o de los competidores sean económicamente eficientes, no impliquen abusos de la posición dominante, y produzcan servicios de calidad. Para ello tendrá las siguientes funciones y facultades especiales: (…)</w:t>
      </w:r>
    </w:p>
    <w:p w14:paraId="18714FCF" w14:textId="77777777" w:rsidR="00D12518" w:rsidRPr="008D3777" w:rsidRDefault="00D12518" w:rsidP="008D3777">
      <w:pPr>
        <w:spacing w:after="0" w:line="240" w:lineRule="auto"/>
        <w:ind w:left="284"/>
        <w:contextualSpacing/>
        <w:jc w:val="both"/>
        <w:rPr>
          <w:rFonts w:ascii="Bookman Old Style" w:eastAsia="Times New Roman" w:hAnsi="Bookman Old Style" w:cs="Arial"/>
          <w:i/>
          <w:sz w:val="20"/>
          <w:szCs w:val="20"/>
          <w:lang w:val="es-ES" w:eastAsia="es-ES"/>
        </w:rPr>
      </w:pPr>
    </w:p>
    <w:p w14:paraId="4E0F7198" w14:textId="77777777" w:rsidR="00D12518" w:rsidRPr="008D3777" w:rsidRDefault="00D12518" w:rsidP="008D3777">
      <w:pPr>
        <w:spacing w:after="0" w:line="240" w:lineRule="auto"/>
        <w:ind w:left="284"/>
        <w:contextualSpacing/>
        <w:jc w:val="both"/>
        <w:rPr>
          <w:rFonts w:ascii="Bookman Old Style" w:eastAsia="Times New Roman" w:hAnsi="Bookman Old Style" w:cs="Arial"/>
          <w:i/>
          <w:sz w:val="20"/>
          <w:szCs w:val="20"/>
          <w:lang w:val="es-ES" w:eastAsia="es-ES"/>
        </w:rPr>
      </w:pPr>
      <w:r w:rsidRPr="008D3777">
        <w:rPr>
          <w:rFonts w:ascii="Bookman Old Style" w:eastAsia="Times New Roman" w:hAnsi="Bookman Old Style" w:cs="Arial"/>
          <w:i/>
          <w:sz w:val="20"/>
          <w:szCs w:val="20"/>
          <w:lang w:val="es-ES" w:eastAsia="es-ES"/>
        </w:rPr>
        <w:t xml:space="preserve">73.11. </w:t>
      </w:r>
      <w:r w:rsidRPr="008D3777">
        <w:rPr>
          <w:rFonts w:ascii="Bookman Old Style" w:eastAsia="Times New Roman" w:hAnsi="Bookman Old Style" w:cs="Arial"/>
          <w:b/>
          <w:i/>
          <w:sz w:val="20"/>
          <w:szCs w:val="20"/>
          <w:u w:val="single"/>
          <w:lang w:val="es-ES" w:eastAsia="es-ES"/>
        </w:rPr>
        <w:t>Establecer fórmulas para la fijación de las tarifas de los servicios públicos</w:t>
      </w:r>
      <w:r w:rsidRPr="008D3777">
        <w:rPr>
          <w:rFonts w:ascii="Bookman Old Style" w:eastAsia="Times New Roman" w:hAnsi="Bookman Old Style" w:cs="Arial"/>
          <w:i/>
          <w:sz w:val="20"/>
          <w:szCs w:val="20"/>
          <w:lang w:val="es-ES" w:eastAsia="es-ES"/>
        </w:rPr>
        <w:t>, cuando ello corresponda según lo previsto en el artículo 88; y señalar cuándo hay suficiente competencia como para que la fijación de las tarifas sea libre. (…)</w:t>
      </w:r>
    </w:p>
    <w:p w14:paraId="4185B34E" w14:textId="77777777" w:rsidR="00D12518" w:rsidRPr="008D3777" w:rsidRDefault="00D12518" w:rsidP="008D3777">
      <w:pPr>
        <w:spacing w:after="0" w:line="240" w:lineRule="auto"/>
        <w:ind w:left="284"/>
        <w:contextualSpacing/>
        <w:jc w:val="both"/>
        <w:rPr>
          <w:rFonts w:ascii="Bookman Old Style" w:eastAsia="Times New Roman" w:hAnsi="Bookman Old Style" w:cs="Arial"/>
          <w:i/>
          <w:sz w:val="20"/>
          <w:szCs w:val="20"/>
          <w:lang w:val="es-ES" w:eastAsia="es-ES"/>
        </w:rPr>
      </w:pPr>
    </w:p>
    <w:p w14:paraId="413C7E12" w14:textId="77777777" w:rsidR="00D12518" w:rsidRPr="008D3777" w:rsidRDefault="00D12518" w:rsidP="008D3777">
      <w:pPr>
        <w:spacing w:after="0" w:line="240" w:lineRule="auto"/>
        <w:ind w:left="284"/>
        <w:contextualSpacing/>
        <w:jc w:val="both"/>
        <w:rPr>
          <w:rFonts w:ascii="Bookman Old Style" w:eastAsia="Times New Roman" w:hAnsi="Bookman Old Style" w:cs="Arial"/>
          <w:i/>
          <w:sz w:val="20"/>
          <w:szCs w:val="20"/>
          <w:lang w:val="es-ES" w:eastAsia="es-ES"/>
        </w:rPr>
      </w:pPr>
      <w:r w:rsidRPr="008D3777">
        <w:rPr>
          <w:rFonts w:ascii="Bookman Old Style" w:eastAsia="Times New Roman" w:hAnsi="Bookman Old Style" w:cs="Arial"/>
          <w:i/>
          <w:sz w:val="20"/>
          <w:szCs w:val="20"/>
          <w:lang w:val="es-ES" w:eastAsia="es-ES"/>
        </w:rPr>
        <w:t xml:space="preserve">Artículo 74. Funciones especiales de las comisiones de regulación. Con sujeción a lo dispuesto en esta Ley y las demás disposiciones que la complementen, </w:t>
      </w:r>
      <w:proofErr w:type="gramStart"/>
      <w:r w:rsidRPr="008D3777">
        <w:rPr>
          <w:rFonts w:ascii="Bookman Old Style" w:eastAsia="Times New Roman" w:hAnsi="Bookman Old Style" w:cs="Arial"/>
          <w:i/>
          <w:sz w:val="20"/>
          <w:szCs w:val="20"/>
          <w:lang w:val="es-ES" w:eastAsia="es-ES"/>
        </w:rPr>
        <w:t>serán</w:t>
      </w:r>
      <w:proofErr w:type="gramEnd"/>
      <w:r w:rsidRPr="008D3777">
        <w:rPr>
          <w:rFonts w:ascii="Bookman Old Style" w:eastAsia="Times New Roman" w:hAnsi="Bookman Old Style" w:cs="Arial"/>
          <w:i/>
          <w:sz w:val="20"/>
          <w:szCs w:val="20"/>
          <w:lang w:val="es-ES" w:eastAsia="es-ES"/>
        </w:rPr>
        <w:t xml:space="preserve"> además, funciones y facultades especiales de cada una de las comisiones de regulación las siguientes:</w:t>
      </w:r>
    </w:p>
    <w:p w14:paraId="48BD3DFF" w14:textId="77777777" w:rsidR="00D12518" w:rsidRPr="008D3777" w:rsidRDefault="00D12518" w:rsidP="008D3777">
      <w:pPr>
        <w:spacing w:after="0" w:line="240" w:lineRule="auto"/>
        <w:ind w:left="284"/>
        <w:contextualSpacing/>
        <w:jc w:val="both"/>
        <w:rPr>
          <w:rFonts w:ascii="Bookman Old Style" w:eastAsia="Times New Roman" w:hAnsi="Bookman Old Style" w:cs="Arial"/>
          <w:i/>
          <w:sz w:val="20"/>
          <w:szCs w:val="20"/>
          <w:lang w:val="es-ES" w:eastAsia="es-ES"/>
        </w:rPr>
      </w:pPr>
    </w:p>
    <w:p w14:paraId="1F004817" w14:textId="77777777" w:rsidR="00D12518" w:rsidRPr="008D3777" w:rsidRDefault="00D12518" w:rsidP="008D3777">
      <w:pPr>
        <w:spacing w:after="0" w:line="240" w:lineRule="auto"/>
        <w:ind w:left="284"/>
        <w:contextualSpacing/>
        <w:jc w:val="both"/>
        <w:rPr>
          <w:rFonts w:ascii="Bookman Old Style" w:eastAsia="Times New Roman" w:hAnsi="Bookman Old Style" w:cs="Arial"/>
          <w:i/>
          <w:sz w:val="20"/>
          <w:szCs w:val="20"/>
          <w:lang w:val="es-ES" w:eastAsia="es-ES"/>
        </w:rPr>
      </w:pPr>
      <w:r w:rsidRPr="008D3777">
        <w:rPr>
          <w:rFonts w:ascii="Bookman Old Style" w:eastAsia="Times New Roman" w:hAnsi="Bookman Old Style" w:cs="Arial"/>
          <w:i/>
          <w:sz w:val="20"/>
          <w:szCs w:val="20"/>
          <w:lang w:val="es-ES" w:eastAsia="es-ES"/>
        </w:rPr>
        <w:t>74.1. De la Comisión de Regulación de Energía y Gas Combustible. (…)</w:t>
      </w:r>
    </w:p>
    <w:p w14:paraId="68DA55C5" w14:textId="77777777" w:rsidR="00D12518" w:rsidRPr="008D3777" w:rsidRDefault="00D12518" w:rsidP="008D3777">
      <w:pPr>
        <w:spacing w:after="0" w:line="240" w:lineRule="auto"/>
        <w:ind w:left="284"/>
        <w:contextualSpacing/>
        <w:jc w:val="both"/>
        <w:rPr>
          <w:rFonts w:ascii="Bookman Old Style" w:eastAsia="Times New Roman" w:hAnsi="Bookman Old Style" w:cs="Arial"/>
          <w:i/>
          <w:sz w:val="20"/>
          <w:szCs w:val="20"/>
          <w:lang w:val="es-ES" w:eastAsia="es-ES"/>
        </w:rPr>
      </w:pPr>
    </w:p>
    <w:p w14:paraId="1B196858" w14:textId="77777777" w:rsidR="00D12518" w:rsidRPr="008D3777" w:rsidRDefault="00D12518" w:rsidP="008D3777">
      <w:pPr>
        <w:spacing w:after="0" w:line="240" w:lineRule="auto"/>
        <w:ind w:left="284"/>
        <w:contextualSpacing/>
        <w:jc w:val="both"/>
        <w:rPr>
          <w:rFonts w:ascii="Bookman Old Style" w:eastAsia="Times New Roman" w:hAnsi="Bookman Old Style" w:cs="Arial"/>
          <w:i/>
          <w:sz w:val="20"/>
          <w:szCs w:val="20"/>
          <w:lang w:val="es-ES" w:eastAsia="es-ES"/>
        </w:rPr>
      </w:pPr>
      <w:r w:rsidRPr="008D3777">
        <w:rPr>
          <w:rFonts w:ascii="Bookman Old Style" w:eastAsia="Times New Roman" w:hAnsi="Bookman Old Style" w:cs="Arial"/>
          <w:i/>
          <w:sz w:val="20"/>
          <w:szCs w:val="20"/>
          <w:lang w:val="es-ES" w:eastAsia="es-ES"/>
        </w:rPr>
        <w:t xml:space="preserve">d) </w:t>
      </w:r>
      <w:r w:rsidRPr="008D3777">
        <w:rPr>
          <w:rFonts w:ascii="Bookman Old Style" w:eastAsia="Times New Roman" w:hAnsi="Bookman Old Style" w:cs="Arial"/>
          <w:b/>
          <w:i/>
          <w:sz w:val="20"/>
          <w:szCs w:val="20"/>
          <w:u w:val="single"/>
          <w:lang w:val="es-ES" w:eastAsia="es-ES"/>
        </w:rPr>
        <w:t>Fijar las tarifas de venta de electricidad</w:t>
      </w:r>
      <w:r w:rsidRPr="008D3777">
        <w:rPr>
          <w:rFonts w:ascii="Bookman Old Style" w:eastAsia="Times New Roman" w:hAnsi="Bookman Old Style" w:cs="Arial"/>
          <w:i/>
          <w:sz w:val="20"/>
          <w:szCs w:val="20"/>
          <w:lang w:val="es-ES" w:eastAsia="es-ES"/>
        </w:rPr>
        <w:t xml:space="preserve"> y gas combustible; o delegar en las empresas distribuidoras, cuando sea conveniente dentro de los propósitos de esta Ley, bajo el régimen que ella disponga, la facultad de fijar estas tarifas.</w:t>
      </w:r>
    </w:p>
    <w:p w14:paraId="38C4C286" w14:textId="77777777" w:rsidR="00D12518" w:rsidRPr="00D12518" w:rsidRDefault="00D12518" w:rsidP="00D12518">
      <w:pPr>
        <w:spacing w:after="0" w:line="240" w:lineRule="auto"/>
        <w:contextualSpacing/>
        <w:jc w:val="both"/>
        <w:rPr>
          <w:rFonts w:ascii="Bookman Old Style" w:eastAsia="Times New Roman" w:hAnsi="Bookman Old Style" w:cs="Arial"/>
          <w:sz w:val="24"/>
          <w:szCs w:val="24"/>
          <w:lang w:val="es-ES" w:eastAsia="es-ES"/>
        </w:rPr>
      </w:pPr>
    </w:p>
    <w:p w14:paraId="6F675E40" w14:textId="57988128" w:rsidR="00D12518" w:rsidRPr="00D12518" w:rsidRDefault="00D12518" w:rsidP="00D12518">
      <w:pPr>
        <w:spacing w:after="0" w:line="240" w:lineRule="auto"/>
        <w:contextualSpacing/>
        <w:jc w:val="both"/>
        <w:rPr>
          <w:rFonts w:ascii="Bookman Old Style" w:eastAsia="Times New Roman" w:hAnsi="Bookman Old Style" w:cs="Arial"/>
          <w:sz w:val="24"/>
          <w:szCs w:val="24"/>
          <w:lang w:val="es-ES" w:eastAsia="es-ES"/>
        </w:rPr>
      </w:pPr>
      <w:r w:rsidRPr="00D12518">
        <w:rPr>
          <w:rFonts w:ascii="Bookman Old Style" w:eastAsia="Times New Roman" w:hAnsi="Bookman Old Style" w:cs="Arial"/>
          <w:sz w:val="24"/>
          <w:szCs w:val="24"/>
          <w:lang w:val="es-ES" w:eastAsia="es-ES"/>
        </w:rPr>
        <w:t xml:space="preserve">En desarrollo de sus funciones, esta Comisión debe observar lo definido en esa misma Ley, en cuanto a los criterios </w:t>
      </w:r>
      <w:r w:rsidR="00360CBB">
        <w:rPr>
          <w:rFonts w:ascii="Bookman Old Style" w:eastAsia="Times New Roman" w:hAnsi="Bookman Old Style" w:cs="Arial"/>
          <w:sz w:val="24"/>
          <w:szCs w:val="24"/>
          <w:lang w:val="es-ES" w:eastAsia="es-ES"/>
        </w:rPr>
        <w:t xml:space="preserve">que orientan </w:t>
      </w:r>
      <w:r w:rsidRPr="00D12518">
        <w:rPr>
          <w:rFonts w:ascii="Bookman Old Style" w:eastAsia="Times New Roman" w:hAnsi="Bookman Old Style" w:cs="Arial"/>
          <w:sz w:val="24"/>
          <w:szCs w:val="24"/>
          <w:lang w:val="es-ES" w:eastAsia="es-ES"/>
        </w:rPr>
        <w:t>el régimen tarifario:</w:t>
      </w:r>
    </w:p>
    <w:p w14:paraId="6B97B9B4" w14:textId="77777777" w:rsidR="00D12518" w:rsidRPr="00D12518" w:rsidRDefault="00D12518" w:rsidP="00D12518">
      <w:pPr>
        <w:spacing w:after="0" w:line="240" w:lineRule="auto"/>
        <w:contextualSpacing/>
        <w:jc w:val="both"/>
        <w:rPr>
          <w:rFonts w:ascii="Bookman Old Style" w:eastAsia="Times New Roman" w:hAnsi="Bookman Old Style" w:cs="Arial"/>
          <w:sz w:val="24"/>
          <w:szCs w:val="24"/>
          <w:lang w:val="es-ES" w:eastAsia="es-ES"/>
        </w:rPr>
      </w:pPr>
    </w:p>
    <w:p w14:paraId="36BC235B" w14:textId="77777777" w:rsidR="00D6386A" w:rsidRPr="008D3777" w:rsidRDefault="00D12518" w:rsidP="008D3777">
      <w:pPr>
        <w:spacing w:after="0" w:line="240" w:lineRule="auto"/>
        <w:ind w:left="284"/>
        <w:contextualSpacing/>
        <w:jc w:val="both"/>
        <w:rPr>
          <w:rFonts w:ascii="Bookman Old Style" w:eastAsia="Times New Roman" w:hAnsi="Bookman Old Style" w:cs="Arial"/>
          <w:i/>
          <w:sz w:val="20"/>
          <w:szCs w:val="20"/>
          <w:lang w:val="es-ES" w:eastAsia="es-ES"/>
        </w:rPr>
      </w:pPr>
      <w:r w:rsidRPr="008D3777">
        <w:rPr>
          <w:rFonts w:ascii="Bookman Old Style" w:eastAsia="Times New Roman" w:hAnsi="Bookman Old Style" w:cs="Arial"/>
          <w:i/>
          <w:sz w:val="20"/>
          <w:szCs w:val="20"/>
          <w:lang w:val="es-ES" w:eastAsia="es-ES"/>
        </w:rPr>
        <w:t xml:space="preserve">“(…) </w:t>
      </w:r>
      <w:r w:rsidR="00D6386A" w:rsidRPr="008D3777">
        <w:rPr>
          <w:rFonts w:ascii="Bookman Old Style" w:eastAsia="Times New Roman" w:hAnsi="Bookman Old Style" w:cs="Arial"/>
          <w:i/>
          <w:sz w:val="20"/>
          <w:szCs w:val="20"/>
          <w:lang w:val="es-ES" w:eastAsia="es-ES"/>
        </w:rPr>
        <w:t>Artículo 87. Criterios para definir el régimen tarifario. El régimen tarifario estará orientado por los criterios de eficiencia económica, neutralidad, solidaridad, redistribución, suficiencia financiera, simplicidad y transparencia.</w:t>
      </w:r>
    </w:p>
    <w:p w14:paraId="6AA5225D" w14:textId="77777777" w:rsidR="00D6386A" w:rsidRPr="008D3777" w:rsidRDefault="00D6386A" w:rsidP="008D3777">
      <w:pPr>
        <w:spacing w:after="0" w:line="240" w:lineRule="auto"/>
        <w:ind w:left="284"/>
        <w:contextualSpacing/>
        <w:jc w:val="both"/>
        <w:rPr>
          <w:rFonts w:ascii="Bookman Old Style" w:eastAsia="Times New Roman" w:hAnsi="Bookman Old Style" w:cs="Arial"/>
          <w:i/>
          <w:sz w:val="20"/>
          <w:szCs w:val="20"/>
          <w:lang w:val="es-ES" w:eastAsia="es-ES"/>
        </w:rPr>
      </w:pPr>
    </w:p>
    <w:p w14:paraId="5C242E7D" w14:textId="77777777" w:rsidR="00D6386A" w:rsidRPr="008D3777" w:rsidRDefault="00D6386A" w:rsidP="008D3777">
      <w:pPr>
        <w:spacing w:after="0" w:line="240" w:lineRule="auto"/>
        <w:ind w:left="284"/>
        <w:contextualSpacing/>
        <w:jc w:val="both"/>
        <w:rPr>
          <w:rFonts w:ascii="Bookman Old Style" w:eastAsia="Times New Roman" w:hAnsi="Bookman Old Style" w:cs="Arial"/>
          <w:i/>
          <w:sz w:val="20"/>
          <w:szCs w:val="20"/>
          <w:lang w:val="es-ES" w:eastAsia="es-ES"/>
        </w:rPr>
      </w:pPr>
      <w:r w:rsidRPr="008D3777">
        <w:rPr>
          <w:rFonts w:ascii="Bookman Old Style" w:eastAsia="Times New Roman" w:hAnsi="Bookman Old Style" w:cs="Arial"/>
          <w:i/>
          <w:sz w:val="20"/>
          <w:szCs w:val="20"/>
          <w:lang w:val="es-ES" w:eastAsia="es-ES"/>
        </w:rPr>
        <w:t xml:space="preserve">87.1. Por eficiencia económica se entiende que </w:t>
      </w:r>
      <w:r w:rsidRPr="008D3777">
        <w:rPr>
          <w:rFonts w:ascii="Bookman Old Style" w:eastAsia="Times New Roman" w:hAnsi="Bookman Old Style" w:cs="Arial"/>
          <w:b/>
          <w:i/>
          <w:sz w:val="20"/>
          <w:szCs w:val="20"/>
          <w:u w:val="single"/>
          <w:lang w:val="es-ES" w:eastAsia="es-ES"/>
        </w:rPr>
        <w:t>el régimen de tarifas procurará que éstas se aproximen a lo que serían los precios de un mercado competitivo</w:t>
      </w:r>
      <w:r w:rsidRPr="008D3777">
        <w:rPr>
          <w:rFonts w:ascii="Bookman Old Style" w:eastAsia="Times New Roman" w:hAnsi="Bookman Old Style" w:cs="Arial"/>
          <w:i/>
          <w:sz w:val="20"/>
          <w:szCs w:val="20"/>
          <w:lang w:val="es-ES" w:eastAsia="es-ES"/>
        </w:rPr>
        <w:t xml:space="preserve">; que las fórmulas tarifarias deben tener en cuenta no solo los costos sino los aumentos de productividad esperados, y que éstos deben distribuirse entre la empresa y los usuarios, tal como ocurriría en un mercado competitivo; y que </w:t>
      </w:r>
      <w:r w:rsidRPr="008D3777">
        <w:rPr>
          <w:rFonts w:ascii="Bookman Old Style" w:eastAsia="Times New Roman" w:hAnsi="Bookman Old Style" w:cs="Arial"/>
          <w:b/>
          <w:i/>
          <w:sz w:val="20"/>
          <w:szCs w:val="20"/>
          <w:u w:val="single"/>
          <w:lang w:val="es-ES" w:eastAsia="es-ES"/>
        </w:rPr>
        <w:t>las fórmulas tarifarias no pueden trasladar a los usuarios los costos de una gestión ineficiente</w:t>
      </w:r>
      <w:r w:rsidRPr="008D3777">
        <w:rPr>
          <w:rFonts w:ascii="Bookman Old Style" w:eastAsia="Times New Roman" w:hAnsi="Bookman Old Style" w:cs="Arial"/>
          <w:i/>
          <w:sz w:val="20"/>
          <w:szCs w:val="20"/>
          <w:lang w:val="es-ES" w:eastAsia="es-ES"/>
        </w:rPr>
        <w:t>, ni permitir que las empresas se apropien de las utilidades provenientes de prácticas restrictivas de la competencia. En el caso de servicios públicos sujetos a fórmulas tarifarias, las tarifas deben reflejar siempre tanto el nivel y la estructura de los costos económicos de prestar el servicio, como la demanda por éste.</w:t>
      </w:r>
      <w:r w:rsidR="00D12518" w:rsidRPr="008D3777">
        <w:rPr>
          <w:rFonts w:ascii="Bookman Old Style" w:eastAsia="Times New Roman" w:hAnsi="Bookman Old Style" w:cs="Arial"/>
          <w:i/>
          <w:sz w:val="20"/>
          <w:szCs w:val="20"/>
          <w:lang w:val="es-ES" w:eastAsia="es-ES"/>
        </w:rPr>
        <w:t xml:space="preserve"> (…)</w:t>
      </w:r>
    </w:p>
    <w:p w14:paraId="7318500B" w14:textId="77777777" w:rsidR="00D6386A" w:rsidRPr="008D3777" w:rsidRDefault="00D6386A" w:rsidP="008D3777">
      <w:pPr>
        <w:spacing w:after="0" w:line="240" w:lineRule="auto"/>
        <w:ind w:left="284"/>
        <w:contextualSpacing/>
        <w:jc w:val="both"/>
        <w:rPr>
          <w:rFonts w:ascii="Bookman Old Style" w:eastAsia="Times New Roman" w:hAnsi="Bookman Old Style" w:cs="Arial"/>
          <w:i/>
          <w:sz w:val="20"/>
          <w:szCs w:val="20"/>
          <w:lang w:val="es-ES" w:eastAsia="es-ES"/>
        </w:rPr>
      </w:pPr>
    </w:p>
    <w:p w14:paraId="06C39FA6" w14:textId="77777777" w:rsidR="00D12518" w:rsidRPr="008D3777" w:rsidRDefault="00D12518" w:rsidP="008D3777">
      <w:pPr>
        <w:spacing w:after="0" w:line="240" w:lineRule="auto"/>
        <w:ind w:left="284"/>
        <w:contextualSpacing/>
        <w:jc w:val="both"/>
        <w:rPr>
          <w:rFonts w:ascii="Bookman Old Style" w:eastAsia="Times New Roman" w:hAnsi="Bookman Old Style" w:cs="Arial"/>
          <w:sz w:val="20"/>
          <w:szCs w:val="20"/>
          <w:lang w:val="es-ES" w:eastAsia="es-ES"/>
        </w:rPr>
      </w:pPr>
      <w:r w:rsidRPr="008D3777">
        <w:rPr>
          <w:rFonts w:ascii="Bookman Old Style" w:eastAsia="Times New Roman" w:hAnsi="Bookman Old Style" w:cs="Arial"/>
          <w:i/>
          <w:sz w:val="20"/>
          <w:szCs w:val="20"/>
          <w:lang w:val="es-ES" w:eastAsia="es-ES"/>
        </w:rPr>
        <w:t xml:space="preserve">87.4. Por suficiencia financiera se entiende que </w:t>
      </w:r>
      <w:r w:rsidRPr="008D3777">
        <w:rPr>
          <w:rFonts w:ascii="Bookman Old Style" w:eastAsia="Times New Roman" w:hAnsi="Bookman Old Style" w:cs="Arial"/>
          <w:b/>
          <w:i/>
          <w:sz w:val="20"/>
          <w:szCs w:val="20"/>
          <w:u w:val="single"/>
          <w:lang w:val="es-ES" w:eastAsia="es-ES"/>
        </w:rPr>
        <w:t>las fórmulas de tarifas garantizarán la recuperación de los costos y gastos propios de operación, incluyendo la expansión, la reposición y el mantenimiento; permitirán remunerar el patrimonio de los accionistas en la misma forma en la que lo habría remunerado una empresa eficiente en un sector de riesgo comparable</w:t>
      </w:r>
      <w:r w:rsidRPr="008D3777">
        <w:rPr>
          <w:rFonts w:ascii="Bookman Old Style" w:eastAsia="Times New Roman" w:hAnsi="Bookman Old Style" w:cs="Arial"/>
          <w:i/>
          <w:sz w:val="20"/>
          <w:szCs w:val="20"/>
          <w:lang w:val="es-ES" w:eastAsia="es-ES"/>
        </w:rPr>
        <w:t>; y permitirán utilizar las tecnologías y sistemas administrativos que garanticen la mejor calidad, continuidad y seguridad a sus usuarios. (…)”</w:t>
      </w:r>
      <w:r w:rsidRPr="008D3777">
        <w:rPr>
          <w:rFonts w:ascii="Bookman Old Style" w:eastAsia="Times New Roman" w:hAnsi="Bookman Old Style" w:cs="Arial"/>
          <w:sz w:val="20"/>
          <w:szCs w:val="20"/>
          <w:lang w:val="es-ES" w:eastAsia="es-ES"/>
        </w:rPr>
        <w:t xml:space="preserve"> Resaltado y subrayado fuera de texto</w:t>
      </w:r>
    </w:p>
    <w:p w14:paraId="19D05B47" w14:textId="77777777" w:rsidR="00D12518" w:rsidRPr="00D12518" w:rsidRDefault="00D12518" w:rsidP="00D12518">
      <w:pPr>
        <w:spacing w:after="0" w:line="240" w:lineRule="auto"/>
        <w:contextualSpacing/>
        <w:jc w:val="both"/>
        <w:rPr>
          <w:rFonts w:ascii="Bookman Old Style" w:eastAsia="Times New Roman" w:hAnsi="Bookman Old Style" w:cs="Arial"/>
          <w:sz w:val="24"/>
          <w:szCs w:val="24"/>
          <w:lang w:val="es-ES" w:eastAsia="es-ES"/>
        </w:rPr>
      </w:pPr>
    </w:p>
    <w:p w14:paraId="694A8091" w14:textId="523F8AC1" w:rsidR="00D12518" w:rsidRPr="00D12518" w:rsidRDefault="00D12518" w:rsidP="00D12518">
      <w:pPr>
        <w:spacing w:after="0" w:line="240" w:lineRule="auto"/>
        <w:contextualSpacing/>
        <w:jc w:val="both"/>
        <w:rPr>
          <w:rFonts w:ascii="Bookman Old Style" w:eastAsia="Times New Roman" w:hAnsi="Bookman Old Style" w:cs="Arial"/>
          <w:sz w:val="24"/>
          <w:szCs w:val="24"/>
          <w:lang w:val="es-ES" w:eastAsia="es-ES"/>
        </w:rPr>
      </w:pPr>
      <w:r w:rsidRPr="00D12518">
        <w:rPr>
          <w:rFonts w:ascii="Bookman Old Style" w:eastAsia="Times New Roman" w:hAnsi="Bookman Old Style" w:cs="Arial"/>
          <w:sz w:val="24"/>
          <w:szCs w:val="24"/>
          <w:lang w:val="es-ES" w:eastAsia="es-ES"/>
        </w:rPr>
        <w:t xml:space="preserve">Se define también en esa Ley que las comisiones de regulación, en la determinación de los costos de prestación del servicio que deben remunerarse, deben utilizar información de múltiples empresas, con el objetivo de que </w:t>
      </w:r>
      <w:r w:rsidR="00360CBB">
        <w:rPr>
          <w:rFonts w:ascii="Bookman Old Style" w:eastAsia="Times New Roman" w:hAnsi="Bookman Old Style" w:cs="Arial"/>
          <w:sz w:val="24"/>
          <w:szCs w:val="24"/>
          <w:lang w:val="es-ES" w:eastAsia="es-ES"/>
        </w:rPr>
        <w:t xml:space="preserve">estas </w:t>
      </w:r>
      <w:r w:rsidRPr="00D12518">
        <w:rPr>
          <w:rFonts w:ascii="Bookman Old Style" w:eastAsia="Times New Roman" w:hAnsi="Bookman Old Style" w:cs="Arial"/>
          <w:sz w:val="24"/>
          <w:szCs w:val="24"/>
          <w:lang w:val="es-ES" w:eastAsia="es-ES"/>
        </w:rPr>
        <w:t>tengan el incentivo de ser más eficientes que el promedio y apropiarse de los beneficios de esa mayor eficiencia:</w:t>
      </w:r>
    </w:p>
    <w:p w14:paraId="6A332958" w14:textId="77777777" w:rsidR="00D12518" w:rsidRPr="00EA5EF9" w:rsidRDefault="00D12518" w:rsidP="00D12518">
      <w:pPr>
        <w:spacing w:after="0" w:line="240" w:lineRule="auto"/>
        <w:contextualSpacing/>
        <w:jc w:val="both"/>
        <w:rPr>
          <w:rFonts w:ascii="Bookman Old Style" w:eastAsia="Times New Roman" w:hAnsi="Bookman Old Style" w:cs="Arial"/>
          <w:lang w:val="es-ES" w:eastAsia="es-ES"/>
        </w:rPr>
      </w:pPr>
    </w:p>
    <w:p w14:paraId="47C5F9AC" w14:textId="77777777" w:rsidR="00DD00CE" w:rsidRPr="008D3777" w:rsidRDefault="00D12518" w:rsidP="008D3777">
      <w:pPr>
        <w:spacing w:after="0" w:line="240" w:lineRule="auto"/>
        <w:ind w:left="284"/>
        <w:contextualSpacing/>
        <w:jc w:val="both"/>
        <w:rPr>
          <w:rFonts w:ascii="Bookman Old Style" w:eastAsia="Times New Roman" w:hAnsi="Bookman Old Style" w:cs="Arial"/>
          <w:b/>
          <w:i/>
          <w:sz w:val="20"/>
          <w:szCs w:val="20"/>
          <w:u w:val="single"/>
          <w:lang w:val="es-ES" w:eastAsia="es-ES"/>
        </w:rPr>
      </w:pPr>
      <w:r w:rsidRPr="008D3777">
        <w:rPr>
          <w:rFonts w:ascii="Bookman Old Style" w:eastAsia="Times New Roman" w:hAnsi="Bookman Old Style" w:cs="Arial"/>
          <w:i/>
          <w:sz w:val="20"/>
          <w:szCs w:val="20"/>
          <w:lang w:val="es-ES" w:eastAsia="es-ES"/>
        </w:rPr>
        <w:t xml:space="preserve">“(…) </w:t>
      </w:r>
      <w:r w:rsidR="00DD00CE" w:rsidRPr="008D3777">
        <w:rPr>
          <w:rFonts w:ascii="Bookman Old Style" w:eastAsia="Times New Roman" w:hAnsi="Bookman Old Style" w:cs="Arial"/>
          <w:i/>
          <w:sz w:val="20"/>
          <w:szCs w:val="20"/>
          <w:lang w:val="es-ES" w:eastAsia="es-ES"/>
        </w:rPr>
        <w:t xml:space="preserve">Artículo 92. Restricciones al criterio de recuperación de costos y gastos de operación. </w:t>
      </w:r>
      <w:r w:rsidR="00DD00CE" w:rsidRPr="008D3777">
        <w:rPr>
          <w:rFonts w:ascii="Bookman Old Style" w:eastAsia="Times New Roman" w:hAnsi="Bookman Old Style" w:cs="Arial"/>
          <w:b/>
          <w:i/>
          <w:sz w:val="20"/>
          <w:szCs w:val="20"/>
          <w:u w:val="single"/>
          <w:lang w:val="es-ES" w:eastAsia="es-ES"/>
        </w:rPr>
        <w:t>En las fórmulas de tarifas las comisiones de regulación</w:t>
      </w:r>
      <w:r w:rsidR="00DD00CE" w:rsidRPr="008D3777">
        <w:rPr>
          <w:rFonts w:ascii="Bookman Old Style" w:eastAsia="Times New Roman" w:hAnsi="Bookman Old Style" w:cs="Arial"/>
          <w:i/>
          <w:sz w:val="20"/>
          <w:szCs w:val="20"/>
          <w:lang w:val="es-ES" w:eastAsia="es-ES"/>
        </w:rPr>
        <w:t xml:space="preserve"> garantizarán a los usuarios a lo largo del tiempo los beneficios de la reducción promedia de costos en las empresas que prestan el servicio; y, al mismo tiempo, </w:t>
      </w:r>
      <w:r w:rsidR="00DD00CE" w:rsidRPr="008D3777">
        <w:rPr>
          <w:rFonts w:ascii="Bookman Old Style" w:eastAsia="Times New Roman" w:hAnsi="Bookman Old Style" w:cs="Arial"/>
          <w:b/>
          <w:i/>
          <w:sz w:val="20"/>
          <w:szCs w:val="20"/>
          <w:u w:val="single"/>
          <w:lang w:val="es-ES" w:eastAsia="es-ES"/>
        </w:rPr>
        <w:t xml:space="preserve">darán incentivos a las empresas para ser </w:t>
      </w:r>
      <w:proofErr w:type="spellStart"/>
      <w:r w:rsidR="00DD00CE" w:rsidRPr="008D3777">
        <w:rPr>
          <w:rFonts w:ascii="Bookman Old Style" w:eastAsia="Times New Roman" w:hAnsi="Bookman Old Style" w:cs="Arial"/>
          <w:b/>
          <w:i/>
          <w:sz w:val="20"/>
          <w:szCs w:val="20"/>
          <w:u w:val="single"/>
          <w:lang w:val="es-ES" w:eastAsia="es-ES"/>
        </w:rPr>
        <w:t>mas</w:t>
      </w:r>
      <w:proofErr w:type="spellEnd"/>
      <w:r w:rsidR="00DD00CE" w:rsidRPr="008D3777">
        <w:rPr>
          <w:rFonts w:ascii="Bookman Old Style" w:eastAsia="Times New Roman" w:hAnsi="Bookman Old Style" w:cs="Arial"/>
          <w:b/>
          <w:i/>
          <w:sz w:val="20"/>
          <w:szCs w:val="20"/>
          <w:u w:val="single"/>
          <w:lang w:val="es-ES" w:eastAsia="es-ES"/>
        </w:rPr>
        <w:t xml:space="preserve"> eficientes que el promedio, y para apropiarse los beneficios de la mayor eficiencia.</w:t>
      </w:r>
    </w:p>
    <w:p w14:paraId="11081A1F" w14:textId="77777777" w:rsidR="00DD00CE" w:rsidRPr="008D3777" w:rsidRDefault="00DD00CE" w:rsidP="008D3777">
      <w:pPr>
        <w:spacing w:after="0" w:line="240" w:lineRule="auto"/>
        <w:ind w:left="284"/>
        <w:contextualSpacing/>
        <w:jc w:val="both"/>
        <w:rPr>
          <w:rFonts w:ascii="Bookman Old Style" w:eastAsia="Times New Roman" w:hAnsi="Bookman Old Style" w:cs="Arial"/>
          <w:b/>
          <w:i/>
          <w:sz w:val="20"/>
          <w:szCs w:val="20"/>
          <w:u w:val="single"/>
          <w:lang w:val="es-ES" w:eastAsia="es-ES"/>
        </w:rPr>
      </w:pPr>
    </w:p>
    <w:p w14:paraId="7EDEDA8B" w14:textId="77777777" w:rsidR="00DD00CE" w:rsidRPr="008D3777" w:rsidRDefault="00DD00CE" w:rsidP="008D3777">
      <w:pPr>
        <w:spacing w:after="0" w:line="240" w:lineRule="auto"/>
        <w:ind w:left="284"/>
        <w:contextualSpacing/>
        <w:jc w:val="both"/>
        <w:rPr>
          <w:rFonts w:ascii="Bookman Old Style" w:eastAsia="Times New Roman" w:hAnsi="Bookman Old Style" w:cs="Arial"/>
          <w:b/>
          <w:i/>
          <w:sz w:val="20"/>
          <w:szCs w:val="20"/>
          <w:u w:val="single"/>
          <w:lang w:val="es-ES" w:eastAsia="es-ES"/>
        </w:rPr>
      </w:pPr>
      <w:r w:rsidRPr="008D3777">
        <w:rPr>
          <w:rFonts w:ascii="Bookman Old Style" w:eastAsia="Times New Roman" w:hAnsi="Bookman Old Style" w:cs="Arial"/>
          <w:b/>
          <w:i/>
          <w:sz w:val="20"/>
          <w:szCs w:val="20"/>
          <w:u w:val="single"/>
          <w:lang w:val="es-ES" w:eastAsia="es-ES"/>
        </w:rPr>
        <w:t>Con ese propósito, al definir en las fórmulas los costos y gastos típicos de operación de las empresas de servicios públicos, las comisiones utilizarán no solo la información propia de la empresa, sino la de otras empresas que operen en condiciones similares, pero que sean más eficientes.</w:t>
      </w:r>
    </w:p>
    <w:p w14:paraId="46730B0B" w14:textId="77777777" w:rsidR="00DD00CE" w:rsidRPr="008D3777" w:rsidRDefault="00DD00CE" w:rsidP="008D3777">
      <w:pPr>
        <w:spacing w:after="0" w:line="240" w:lineRule="auto"/>
        <w:ind w:left="284"/>
        <w:contextualSpacing/>
        <w:jc w:val="both"/>
        <w:rPr>
          <w:rFonts w:ascii="Bookman Old Style" w:eastAsia="Times New Roman" w:hAnsi="Bookman Old Style" w:cs="Arial"/>
          <w:i/>
          <w:sz w:val="20"/>
          <w:szCs w:val="20"/>
          <w:lang w:val="es-ES" w:eastAsia="es-ES"/>
        </w:rPr>
      </w:pPr>
    </w:p>
    <w:p w14:paraId="467B8B46" w14:textId="7A74A3FC" w:rsidR="00DD00CE" w:rsidRPr="008D3777" w:rsidRDefault="00DD00CE" w:rsidP="008D3777">
      <w:pPr>
        <w:spacing w:after="0" w:line="240" w:lineRule="auto"/>
        <w:ind w:left="284"/>
        <w:contextualSpacing/>
        <w:jc w:val="both"/>
        <w:rPr>
          <w:rFonts w:ascii="Bookman Old Style" w:eastAsia="Times New Roman" w:hAnsi="Bookman Old Style" w:cs="Arial"/>
          <w:i/>
          <w:sz w:val="20"/>
          <w:szCs w:val="20"/>
          <w:lang w:val="es-ES" w:eastAsia="es-ES"/>
        </w:rPr>
      </w:pPr>
      <w:r w:rsidRPr="008D3777">
        <w:rPr>
          <w:rFonts w:ascii="Bookman Old Style" w:eastAsia="Times New Roman" w:hAnsi="Bookman Old Style" w:cs="Arial"/>
          <w:i/>
          <w:sz w:val="20"/>
          <w:szCs w:val="20"/>
          <w:lang w:val="es-ES" w:eastAsia="es-ES"/>
        </w:rPr>
        <w:t>También podrán las comisiones, con el mismo propósito, corregir en las fórmulas los índices de precios aplicables a los costos y gastos de la empresa con un factor que mida los aumentos de productividad que se esperan en ella, y permitir que la fórmula distribuya entre la empresa y el usuario los beneficios de tales aumentos.</w:t>
      </w:r>
      <w:r w:rsidR="00D12518" w:rsidRPr="008D3777">
        <w:rPr>
          <w:rFonts w:ascii="Bookman Old Style" w:eastAsia="Times New Roman" w:hAnsi="Bookman Old Style" w:cs="Arial"/>
          <w:i/>
          <w:sz w:val="20"/>
          <w:szCs w:val="20"/>
          <w:lang w:val="es-ES" w:eastAsia="es-ES"/>
        </w:rPr>
        <w:t xml:space="preserve"> (…)”</w:t>
      </w:r>
      <w:r w:rsidR="00D0479B" w:rsidRPr="008D3777">
        <w:rPr>
          <w:rFonts w:ascii="Bookman Old Style" w:eastAsia="Times New Roman" w:hAnsi="Bookman Old Style" w:cs="Arial"/>
          <w:i/>
          <w:sz w:val="20"/>
          <w:szCs w:val="20"/>
          <w:lang w:val="es-ES" w:eastAsia="es-ES"/>
        </w:rPr>
        <w:t xml:space="preserve"> </w:t>
      </w:r>
      <w:r w:rsidR="00D0479B" w:rsidRPr="008D3777">
        <w:rPr>
          <w:rFonts w:ascii="Bookman Old Style" w:eastAsia="Times New Roman" w:hAnsi="Bookman Old Style" w:cs="Arial"/>
          <w:iCs/>
          <w:sz w:val="20"/>
          <w:szCs w:val="20"/>
          <w:lang w:val="es-ES" w:eastAsia="es-ES"/>
        </w:rPr>
        <w:t>(Subrayado y resaltado fuera de texto)</w:t>
      </w:r>
    </w:p>
    <w:p w14:paraId="0C9AD3F3" w14:textId="77777777" w:rsidR="00DD00CE" w:rsidRPr="00D12518" w:rsidRDefault="00DD00CE" w:rsidP="002A13DB">
      <w:pPr>
        <w:spacing w:after="0" w:line="240" w:lineRule="auto"/>
        <w:contextualSpacing/>
        <w:jc w:val="both"/>
        <w:rPr>
          <w:rFonts w:ascii="Bookman Old Style" w:eastAsia="Times New Roman" w:hAnsi="Bookman Old Style" w:cs="Arial"/>
          <w:sz w:val="24"/>
          <w:szCs w:val="24"/>
          <w:lang w:val="es-ES" w:eastAsia="es-ES"/>
        </w:rPr>
      </w:pPr>
    </w:p>
    <w:p w14:paraId="4D05EBB8" w14:textId="6736C70F" w:rsidR="00360CBB" w:rsidRPr="00360CBB" w:rsidRDefault="00360CBB" w:rsidP="00360CBB">
      <w:pPr>
        <w:spacing w:after="0" w:line="240" w:lineRule="auto"/>
        <w:contextualSpacing/>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De lo anterior, d</w:t>
      </w:r>
      <w:r w:rsidRPr="00360CBB">
        <w:rPr>
          <w:rFonts w:ascii="Bookman Old Style" w:eastAsia="Times New Roman" w:hAnsi="Bookman Old Style" w:cs="Arial"/>
          <w:sz w:val="24"/>
          <w:szCs w:val="24"/>
          <w:lang w:eastAsia="es-ES"/>
        </w:rPr>
        <w:t>ebe señalarse que el objeto de esta Comisión al resolver la solicitud presentada por DUE</w:t>
      </w:r>
      <w:r>
        <w:rPr>
          <w:rFonts w:ascii="Bookman Old Style" w:eastAsia="Times New Roman" w:hAnsi="Bookman Old Style" w:cs="Arial"/>
          <w:sz w:val="24"/>
          <w:szCs w:val="24"/>
          <w:lang w:eastAsia="es-ES"/>
        </w:rPr>
        <w:t>,</w:t>
      </w:r>
      <w:r w:rsidRPr="00360CBB">
        <w:rPr>
          <w:rFonts w:ascii="Bookman Old Style" w:eastAsia="Times New Roman" w:hAnsi="Bookman Old Style" w:cs="Arial"/>
          <w:sz w:val="24"/>
          <w:szCs w:val="24"/>
          <w:lang w:eastAsia="es-ES"/>
        </w:rPr>
        <w:t xml:space="preserve"> no es la de establecer o validar </w:t>
      </w:r>
      <w:r w:rsidR="008D3777">
        <w:rPr>
          <w:rFonts w:ascii="Bookman Old Style" w:eastAsia="Times New Roman" w:hAnsi="Bookman Old Style" w:cs="Arial"/>
          <w:sz w:val="24"/>
          <w:szCs w:val="24"/>
          <w:lang w:eastAsia="es-ES"/>
        </w:rPr>
        <w:t xml:space="preserve">que </w:t>
      </w:r>
      <w:r w:rsidRPr="00360CBB">
        <w:rPr>
          <w:rFonts w:ascii="Bookman Old Style" w:eastAsia="Times New Roman" w:hAnsi="Bookman Old Style" w:cs="Arial"/>
          <w:sz w:val="24"/>
          <w:szCs w:val="24"/>
          <w:lang w:eastAsia="es-ES"/>
        </w:rPr>
        <w:t>los costos y la estructuración de</w:t>
      </w:r>
      <w:r>
        <w:rPr>
          <w:rFonts w:ascii="Bookman Old Style" w:eastAsia="Times New Roman" w:hAnsi="Bookman Old Style" w:cs="Arial"/>
          <w:sz w:val="24"/>
          <w:szCs w:val="24"/>
          <w:lang w:eastAsia="es-ES"/>
        </w:rPr>
        <w:t xml:space="preserve"> un</w:t>
      </w:r>
      <w:r w:rsidRPr="00360CBB">
        <w:rPr>
          <w:rFonts w:ascii="Bookman Old Style" w:eastAsia="Times New Roman" w:hAnsi="Bookman Old Style" w:cs="Arial"/>
          <w:sz w:val="24"/>
          <w:szCs w:val="24"/>
          <w:lang w:eastAsia="es-ES"/>
        </w:rPr>
        <w:t xml:space="preserve"> proyecto, </w:t>
      </w:r>
      <w:r>
        <w:rPr>
          <w:rFonts w:ascii="Bookman Old Style" w:eastAsia="Times New Roman" w:hAnsi="Bookman Old Style" w:cs="Arial"/>
          <w:sz w:val="24"/>
          <w:szCs w:val="24"/>
          <w:lang w:eastAsia="es-ES"/>
        </w:rPr>
        <w:t xml:space="preserve">en este caso el de </w:t>
      </w:r>
      <w:proofErr w:type="spellStart"/>
      <w:r>
        <w:rPr>
          <w:rFonts w:ascii="Bookman Old Style" w:eastAsia="Times New Roman" w:hAnsi="Bookman Old Style" w:cs="Arial"/>
          <w:sz w:val="24"/>
          <w:szCs w:val="24"/>
          <w:lang w:eastAsia="es-ES"/>
        </w:rPr>
        <w:t>Matakavi</w:t>
      </w:r>
      <w:proofErr w:type="spellEnd"/>
      <w:r w:rsidRPr="00360CBB">
        <w:rPr>
          <w:rFonts w:ascii="Bookman Old Style" w:eastAsia="Times New Roman" w:hAnsi="Bookman Old Style" w:cs="Arial"/>
          <w:sz w:val="24"/>
          <w:szCs w:val="24"/>
          <w:lang w:eastAsia="es-ES"/>
        </w:rPr>
        <w:t>, son los correctos, sino definir los costos eficientes de prestación del servicio que pueden ser trasladados a</w:t>
      </w:r>
      <w:r>
        <w:rPr>
          <w:rFonts w:ascii="Bookman Old Style" w:eastAsia="Times New Roman" w:hAnsi="Bookman Old Style" w:cs="Arial"/>
          <w:sz w:val="24"/>
          <w:szCs w:val="24"/>
          <w:lang w:eastAsia="es-ES"/>
        </w:rPr>
        <w:t xml:space="preserve"> </w:t>
      </w:r>
      <w:r w:rsidRPr="00360CBB">
        <w:rPr>
          <w:rFonts w:ascii="Bookman Old Style" w:eastAsia="Times New Roman" w:hAnsi="Bookman Old Style" w:cs="Arial"/>
          <w:sz w:val="24"/>
          <w:szCs w:val="24"/>
          <w:lang w:eastAsia="es-ES"/>
        </w:rPr>
        <w:t>l</w:t>
      </w:r>
      <w:r>
        <w:rPr>
          <w:rFonts w:ascii="Bookman Old Style" w:eastAsia="Times New Roman" w:hAnsi="Bookman Old Style" w:cs="Arial"/>
          <w:sz w:val="24"/>
          <w:szCs w:val="24"/>
          <w:lang w:eastAsia="es-ES"/>
        </w:rPr>
        <w:t>os</w:t>
      </w:r>
      <w:r w:rsidRPr="00360CBB">
        <w:rPr>
          <w:rFonts w:ascii="Bookman Old Style" w:eastAsia="Times New Roman" w:hAnsi="Bookman Old Style" w:cs="Arial"/>
          <w:sz w:val="24"/>
          <w:szCs w:val="24"/>
          <w:lang w:eastAsia="es-ES"/>
        </w:rPr>
        <w:t xml:space="preserve"> usuario</w:t>
      </w:r>
      <w:r>
        <w:rPr>
          <w:rFonts w:ascii="Bookman Old Style" w:eastAsia="Times New Roman" w:hAnsi="Bookman Old Style" w:cs="Arial"/>
          <w:sz w:val="24"/>
          <w:szCs w:val="24"/>
          <w:lang w:eastAsia="es-ES"/>
        </w:rPr>
        <w:t>s</w:t>
      </w:r>
      <w:r w:rsidRPr="00360CBB">
        <w:rPr>
          <w:rFonts w:ascii="Bookman Old Style" w:eastAsia="Times New Roman" w:hAnsi="Bookman Old Style" w:cs="Arial"/>
          <w:sz w:val="24"/>
          <w:szCs w:val="24"/>
          <w:lang w:eastAsia="es-ES"/>
        </w:rPr>
        <w:t>.</w:t>
      </w:r>
    </w:p>
    <w:p w14:paraId="760AF599" w14:textId="77777777" w:rsidR="00360CBB" w:rsidRDefault="00360CBB" w:rsidP="00D12518">
      <w:pPr>
        <w:spacing w:after="0" w:line="240" w:lineRule="auto"/>
        <w:contextualSpacing/>
        <w:jc w:val="both"/>
        <w:rPr>
          <w:rFonts w:ascii="Bookman Old Style" w:eastAsia="Times New Roman" w:hAnsi="Bookman Old Style" w:cs="Arial"/>
          <w:sz w:val="24"/>
          <w:szCs w:val="24"/>
          <w:lang w:val="es-ES" w:eastAsia="es-ES"/>
        </w:rPr>
      </w:pPr>
    </w:p>
    <w:p w14:paraId="2AC1CAC0" w14:textId="2713B90C" w:rsidR="00D12518" w:rsidRPr="00D12518" w:rsidRDefault="00360CBB" w:rsidP="00D12518">
      <w:pPr>
        <w:spacing w:after="0" w:line="240" w:lineRule="auto"/>
        <w:contextualSpacing/>
        <w:jc w:val="both"/>
        <w:rPr>
          <w:rFonts w:ascii="Bookman Old Style" w:eastAsia="Times New Roman" w:hAnsi="Bookman Old Style" w:cs="Arial"/>
          <w:sz w:val="24"/>
          <w:szCs w:val="24"/>
          <w:lang w:val="es-ES" w:eastAsia="es-ES"/>
        </w:rPr>
      </w:pPr>
      <w:r>
        <w:rPr>
          <w:rFonts w:ascii="Bookman Old Style" w:eastAsia="Times New Roman" w:hAnsi="Bookman Old Style" w:cs="Arial"/>
          <w:sz w:val="24"/>
          <w:szCs w:val="24"/>
          <w:lang w:val="es-ES" w:eastAsia="es-ES"/>
        </w:rPr>
        <w:t>De conformidad</w:t>
      </w:r>
      <w:r w:rsidR="0069512D">
        <w:rPr>
          <w:rFonts w:ascii="Bookman Old Style" w:eastAsia="Times New Roman" w:hAnsi="Bookman Old Style" w:cs="Arial"/>
          <w:sz w:val="24"/>
          <w:szCs w:val="24"/>
          <w:lang w:val="es-ES" w:eastAsia="es-ES"/>
        </w:rPr>
        <w:t xml:space="preserve"> con</w:t>
      </w:r>
      <w:r w:rsidR="00D12518" w:rsidRPr="00D12518">
        <w:rPr>
          <w:rFonts w:ascii="Bookman Old Style" w:eastAsia="Times New Roman" w:hAnsi="Bookman Old Style" w:cs="Arial"/>
          <w:sz w:val="24"/>
          <w:szCs w:val="24"/>
          <w:lang w:val="es-ES" w:eastAsia="es-ES"/>
        </w:rPr>
        <w:t xml:space="preserve"> lo anterior</w:t>
      </w:r>
      <w:r w:rsidR="008D3777">
        <w:rPr>
          <w:rFonts w:ascii="Bookman Old Style" w:eastAsia="Times New Roman" w:hAnsi="Bookman Old Style" w:cs="Arial"/>
          <w:sz w:val="24"/>
          <w:szCs w:val="24"/>
          <w:lang w:val="es-ES" w:eastAsia="es-ES"/>
        </w:rPr>
        <w:t>,</w:t>
      </w:r>
      <w:r w:rsidR="00D12518" w:rsidRPr="00D12518">
        <w:rPr>
          <w:rFonts w:ascii="Bookman Old Style" w:eastAsia="Times New Roman" w:hAnsi="Bookman Old Style" w:cs="Arial"/>
          <w:sz w:val="24"/>
          <w:szCs w:val="24"/>
          <w:lang w:val="es-ES" w:eastAsia="es-ES"/>
        </w:rPr>
        <w:t xml:space="preserve"> y con el objeto de establecer el cargo máximo de generación para las tecnologías no previstas en el marco tarifario para el servicio de energía eléctrica en las ZNI, Resolución CREG 091 de 2007, según se encuentra previsto allí mismo, esta Comisión hace una revisión de los costos presentados por DUE a fin de establecer cuáles son susceptibles de ser utilizados como referente de costos típicos</w:t>
      </w:r>
      <w:r w:rsidR="008D3777">
        <w:rPr>
          <w:rFonts w:ascii="Bookman Old Style" w:eastAsia="Times New Roman" w:hAnsi="Bookman Old Style" w:cs="Arial"/>
          <w:sz w:val="24"/>
          <w:szCs w:val="24"/>
          <w:lang w:val="es-ES" w:eastAsia="es-ES"/>
        </w:rPr>
        <w:t>,</w:t>
      </w:r>
      <w:r w:rsidR="00D12518" w:rsidRPr="00D12518">
        <w:rPr>
          <w:rFonts w:ascii="Bookman Old Style" w:eastAsia="Times New Roman" w:hAnsi="Bookman Old Style" w:cs="Arial"/>
          <w:sz w:val="24"/>
          <w:szCs w:val="24"/>
          <w:lang w:val="es-ES" w:eastAsia="es-ES"/>
        </w:rPr>
        <w:t xml:space="preserve"> y qué información debe complementarse de otras fuentes.</w:t>
      </w:r>
    </w:p>
    <w:p w14:paraId="678BE770" w14:textId="77777777" w:rsidR="00D12518" w:rsidRPr="00D12518" w:rsidRDefault="00D12518" w:rsidP="00D12518">
      <w:pPr>
        <w:spacing w:after="0" w:line="240" w:lineRule="auto"/>
        <w:contextualSpacing/>
        <w:jc w:val="both"/>
        <w:rPr>
          <w:rFonts w:ascii="Bookman Old Style" w:eastAsia="Times New Roman" w:hAnsi="Bookman Old Style" w:cs="Arial"/>
          <w:sz w:val="24"/>
          <w:szCs w:val="24"/>
          <w:lang w:val="es-ES" w:eastAsia="es-ES"/>
        </w:rPr>
      </w:pPr>
    </w:p>
    <w:p w14:paraId="0D954BB2" w14:textId="14C292AD" w:rsidR="00D121F4" w:rsidRDefault="00D12518" w:rsidP="00D12518">
      <w:pPr>
        <w:spacing w:after="0" w:line="240" w:lineRule="auto"/>
        <w:contextualSpacing/>
        <w:jc w:val="both"/>
        <w:rPr>
          <w:rFonts w:ascii="Bookman Old Style" w:eastAsia="Times New Roman" w:hAnsi="Bookman Old Style" w:cs="Arial"/>
          <w:sz w:val="24"/>
          <w:szCs w:val="24"/>
          <w:lang w:val="es-ES" w:eastAsia="es-ES"/>
        </w:rPr>
      </w:pPr>
      <w:r w:rsidRPr="00D12518">
        <w:rPr>
          <w:rFonts w:ascii="Bookman Old Style" w:eastAsia="Times New Roman" w:hAnsi="Bookman Old Style" w:cs="Arial"/>
          <w:sz w:val="24"/>
          <w:szCs w:val="24"/>
          <w:lang w:val="es-ES" w:eastAsia="es-ES"/>
        </w:rPr>
        <w:t>En ese orden de ideas, se estudia la documentación allegada por DUE en su solicitud de aprobación del cargo de generación</w:t>
      </w:r>
      <w:r w:rsidR="008D3777">
        <w:rPr>
          <w:rFonts w:ascii="Bookman Old Style" w:eastAsia="Times New Roman" w:hAnsi="Bookman Old Style" w:cs="Arial"/>
          <w:sz w:val="24"/>
          <w:szCs w:val="24"/>
          <w:lang w:val="es-ES" w:eastAsia="es-ES"/>
        </w:rPr>
        <w:t>,</w:t>
      </w:r>
      <w:r w:rsidRPr="00D12518">
        <w:rPr>
          <w:rFonts w:ascii="Bookman Old Style" w:eastAsia="Times New Roman" w:hAnsi="Bookman Old Style" w:cs="Arial"/>
          <w:sz w:val="24"/>
          <w:szCs w:val="24"/>
          <w:lang w:val="es-ES" w:eastAsia="es-ES"/>
        </w:rPr>
        <w:t xml:space="preserve"> y se declara la práctica de pruebas en diversas ocasiones, con el fin </w:t>
      </w:r>
      <w:r w:rsidR="008D3777">
        <w:rPr>
          <w:rFonts w:ascii="Bookman Old Style" w:eastAsia="Times New Roman" w:hAnsi="Bookman Old Style" w:cs="Arial"/>
          <w:sz w:val="24"/>
          <w:szCs w:val="24"/>
          <w:lang w:val="es-ES" w:eastAsia="es-ES"/>
        </w:rPr>
        <w:t xml:space="preserve">de </w:t>
      </w:r>
      <w:r w:rsidRPr="00D12518">
        <w:rPr>
          <w:rFonts w:ascii="Bookman Old Style" w:eastAsia="Times New Roman" w:hAnsi="Bookman Old Style" w:cs="Arial"/>
          <w:sz w:val="24"/>
          <w:szCs w:val="24"/>
          <w:lang w:val="es-ES" w:eastAsia="es-ES"/>
        </w:rPr>
        <w:t xml:space="preserve">resolver inquietudes que surgen de dicha revisión. </w:t>
      </w:r>
    </w:p>
    <w:p w14:paraId="2A64A0AA" w14:textId="77777777" w:rsidR="00D121F4" w:rsidRDefault="00D121F4" w:rsidP="00D12518">
      <w:pPr>
        <w:spacing w:after="0" w:line="240" w:lineRule="auto"/>
        <w:contextualSpacing/>
        <w:jc w:val="both"/>
        <w:rPr>
          <w:rFonts w:ascii="Bookman Old Style" w:eastAsia="Times New Roman" w:hAnsi="Bookman Old Style" w:cs="Arial"/>
          <w:sz w:val="24"/>
          <w:szCs w:val="24"/>
          <w:lang w:val="es-ES" w:eastAsia="es-ES"/>
        </w:rPr>
      </w:pPr>
    </w:p>
    <w:p w14:paraId="7D3A9CA9" w14:textId="3385ADAD" w:rsidR="00D12518" w:rsidRPr="00D12518" w:rsidRDefault="00D12518" w:rsidP="00D12518">
      <w:pPr>
        <w:spacing w:after="0" w:line="240" w:lineRule="auto"/>
        <w:contextualSpacing/>
        <w:jc w:val="both"/>
        <w:rPr>
          <w:rFonts w:ascii="Bookman Old Style" w:eastAsia="Times New Roman" w:hAnsi="Bookman Old Style" w:cs="Arial"/>
          <w:sz w:val="24"/>
          <w:szCs w:val="24"/>
          <w:lang w:val="es-ES" w:eastAsia="es-ES"/>
        </w:rPr>
      </w:pPr>
      <w:r w:rsidRPr="00D12518">
        <w:rPr>
          <w:rFonts w:ascii="Bookman Old Style" w:eastAsia="Times New Roman" w:hAnsi="Bookman Old Style" w:cs="Arial"/>
          <w:sz w:val="24"/>
          <w:szCs w:val="24"/>
          <w:lang w:val="es-ES" w:eastAsia="es-ES"/>
        </w:rPr>
        <w:t>Finalmente, se consolida la información que se encuentra procedente utilizar en la definición del cargo de generación solicitado, tanto de lo aportado por DUE, como de la mejor información con la que cuenta esta Comisión, proveniente de estudios adelantados en actuaciones de similar naturaleza, ajustando esa otra información a las particularidades de la prestación del servicio de energía en Mitú, como por ejemplo, la disponibilidad del recurso solar en la zona y el costo de transporte que debe asumirse, al tener solamente la posibilidad de que el mismo se haga vía aérea. Todo lo anterior fue documentado en el Documento CREG 097 de 2020.</w:t>
      </w:r>
    </w:p>
    <w:p w14:paraId="4C98EB97" w14:textId="77777777" w:rsidR="00D12518" w:rsidRPr="00D12518" w:rsidRDefault="00D12518" w:rsidP="00D12518">
      <w:pPr>
        <w:spacing w:after="0" w:line="240" w:lineRule="auto"/>
        <w:contextualSpacing/>
        <w:jc w:val="both"/>
        <w:rPr>
          <w:rFonts w:ascii="Bookman Old Style" w:eastAsia="Times New Roman" w:hAnsi="Bookman Old Style" w:cs="Arial"/>
          <w:sz w:val="24"/>
          <w:szCs w:val="24"/>
          <w:lang w:val="es-ES" w:eastAsia="es-ES"/>
        </w:rPr>
      </w:pPr>
    </w:p>
    <w:p w14:paraId="2192E4C9" w14:textId="2A4F7FBD" w:rsidR="00D12518" w:rsidRPr="00D12518" w:rsidRDefault="00D12518" w:rsidP="00D12518">
      <w:pPr>
        <w:spacing w:after="0" w:line="240" w:lineRule="auto"/>
        <w:contextualSpacing/>
        <w:jc w:val="both"/>
        <w:rPr>
          <w:rFonts w:ascii="Bookman Old Style" w:eastAsia="Times New Roman" w:hAnsi="Bookman Old Style" w:cs="Arial"/>
          <w:sz w:val="24"/>
          <w:szCs w:val="24"/>
          <w:lang w:val="es-ES" w:eastAsia="es-ES"/>
        </w:rPr>
      </w:pPr>
      <w:r w:rsidRPr="00D12518">
        <w:rPr>
          <w:rFonts w:ascii="Bookman Old Style" w:eastAsia="Times New Roman" w:hAnsi="Bookman Old Style" w:cs="Arial"/>
          <w:sz w:val="24"/>
          <w:szCs w:val="24"/>
          <w:lang w:val="es-ES" w:eastAsia="es-ES"/>
        </w:rPr>
        <w:t>De otro lado, con respecto a la metodología tarifaria para el servicio de energía eléctrica en ZNI, adoptada mediante Resolución CREG 091 de 2007, debe mencionarse que</w:t>
      </w:r>
      <w:r w:rsidR="008D3777">
        <w:rPr>
          <w:rFonts w:ascii="Bookman Old Style" w:eastAsia="Times New Roman" w:hAnsi="Bookman Old Style" w:cs="Arial"/>
          <w:sz w:val="24"/>
          <w:szCs w:val="24"/>
          <w:lang w:val="es-ES" w:eastAsia="es-ES"/>
        </w:rPr>
        <w:t>,</w:t>
      </w:r>
      <w:r w:rsidRPr="00D12518">
        <w:rPr>
          <w:rFonts w:ascii="Bookman Old Style" w:eastAsia="Times New Roman" w:hAnsi="Bookman Old Style" w:cs="Arial"/>
          <w:sz w:val="24"/>
          <w:szCs w:val="24"/>
          <w:lang w:val="es-ES" w:eastAsia="es-ES"/>
        </w:rPr>
        <w:t xml:space="preserve"> para el caso de atención a usuarios mediante red de distribución, se adoptó una metodología de precio máximo</w:t>
      </w:r>
      <w:r w:rsidR="008D3777">
        <w:rPr>
          <w:rFonts w:ascii="Bookman Old Style" w:eastAsia="Times New Roman" w:hAnsi="Bookman Old Style" w:cs="Arial"/>
          <w:sz w:val="24"/>
          <w:szCs w:val="24"/>
          <w:lang w:val="es-ES" w:eastAsia="es-ES"/>
        </w:rPr>
        <w:t>. E</w:t>
      </w:r>
      <w:r w:rsidRPr="00D12518">
        <w:rPr>
          <w:rFonts w:ascii="Bookman Old Style" w:eastAsia="Times New Roman" w:hAnsi="Bookman Old Style" w:cs="Arial"/>
          <w:sz w:val="24"/>
          <w:szCs w:val="24"/>
          <w:lang w:val="es-ES" w:eastAsia="es-ES"/>
        </w:rPr>
        <w:t>sto significa que el costo de prestación del servicio se expresa por unidad de energía, en este caso pesos por kilovatio hora ($ / kWh)</w:t>
      </w:r>
      <w:r w:rsidR="008D3777">
        <w:rPr>
          <w:rFonts w:ascii="Bookman Old Style" w:eastAsia="Times New Roman" w:hAnsi="Bookman Old Style" w:cs="Arial"/>
          <w:sz w:val="24"/>
          <w:szCs w:val="24"/>
          <w:lang w:val="es-ES" w:eastAsia="es-ES"/>
        </w:rPr>
        <w:t>,</w:t>
      </w:r>
      <w:r w:rsidRPr="00D12518">
        <w:rPr>
          <w:rFonts w:ascii="Bookman Old Style" w:eastAsia="Times New Roman" w:hAnsi="Bookman Old Style" w:cs="Arial"/>
          <w:sz w:val="24"/>
          <w:szCs w:val="24"/>
          <w:lang w:val="es-ES" w:eastAsia="es-ES"/>
        </w:rPr>
        <w:t xml:space="preserve"> y solo será trasladable al usuario lo equivalente al cargo máximo de las unidades de energía que consuma, independientemente de la capacidad de generación que haya decidido instalar quien funja como generador.</w:t>
      </w:r>
    </w:p>
    <w:p w14:paraId="1B5FC033" w14:textId="77777777" w:rsidR="00D12518" w:rsidRPr="00D12518" w:rsidRDefault="00D12518" w:rsidP="00D12518">
      <w:pPr>
        <w:spacing w:after="0" w:line="240" w:lineRule="auto"/>
        <w:contextualSpacing/>
        <w:jc w:val="both"/>
        <w:rPr>
          <w:rFonts w:ascii="Bookman Old Style" w:eastAsia="Times New Roman" w:hAnsi="Bookman Old Style" w:cs="Arial"/>
          <w:sz w:val="24"/>
          <w:szCs w:val="24"/>
          <w:lang w:val="es-ES" w:eastAsia="es-ES"/>
        </w:rPr>
      </w:pPr>
    </w:p>
    <w:p w14:paraId="435D1B73" w14:textId="64CE168B" w:rsidR="00D12518" w:rsidRPr="00D12518" w:rsidRDefault="00D12518" w:rsidP="00D12518">
      <w:pPr>
        <w:spacing w:after="0" w:line="240" w:lineRule="auto"/>
        <w:contextualSpacing/>
        <w:jc w:val="both"/>
        <w:rPr>
          <w:rFonts w:ascii="Bookman Old Style" w:eastAsia="Times New Roman" w:hAnsi="Bookman Old Style" w:cs="Arial"/>
          <w:sz w:val="24"/>
          <w:szCs w:val="24"/>
          <w:lang w:eastAsia="es-ES"/>
        </w:rPr>
      </w:pPr>
      <w:r w:rsidRPr="00D12518">
        <w:rPr>
          <w:rFonts w:ascii="Bookman Old Style" w:eastAsia="Times New Roman" w:hAnsi="Bookman Old Style" w:cs="Arial"/>
          <w:sz w:val="24"/>
          <w:szCs w:val="24"/>
          <w:lang w:eastAsia="es-ES"/>
        </w:rPr>
        <w:t xml:space="preserve">Lo anterior implica que el riesgo de demanda fue asignado al prestador del servicio, en este caso en particular al generador de energía eléctrica, y, en ese orden de ideas, las inversiones y capacidad del sistema con el que pretenda prestar el servicio son a cuenta y riesgo de </w:t>
      </w:r>
      <w:r w:rsidR="008D3777">
        <w:rPr>
          <w:rFonts w:ascii="Bookman Old Style" w:eastAsia="Times New Roman" w:hAnsi="Bookman Old Style" w:cs="Arial"/>
          <w:sz w:val="24"/>
          <w:szCs w:val="24"/>
          <w:lang w:eastAsia="es-ES"/>
        </w:rPr>
        <w:t>dicho</w:t>
      </w:r>
      <w:r w:rsidRPr="00D12518">
        <w:rPr>
          <w:rFonts w:ascii="Bookman Old Style" w:eastAsia="Times New Roman" w:hAnsi="Bookman Old Style" w:cs="Arial"/>
          <w:sz w:val="24"/>
          <w:szCs w:val="24"/>
          <w:lang w:eastAsia="es-ES"/>
        </w:rPr>
        <w:t xml:space="preserve"> agente.</w:t>
      </w:r>
    </w:p>
    <w:p w14:paraId="2923C166" w14:textId="5BBF2298" w:rsidR="009F19DD" w:rsidRDefault="009F19DD" w:rsidP="002A13DB">
      <w:pPr>
        <w:spacing w:after="0" w:line="240" w:lineRule="auto"/>
        <w:contextualSpacing/>
        <w:jc w:val="both"/>
        <w:rPr>
          <w:rFonts w:ascii="Bookman Old Style" w:eastAsia="Times New Roman" w:hAnsi="Bookman Old Style" w:cs="Times New Roman"/>
          <w:sz w:val="24"/>
          <w:szCs w:val="24"/>
          <w:lang w:val="es-ES" w:eastAsia="es-ES"/>
        </w:rPr>
      </w:pPr>
    </w:p>
    <w:p w14:paraId="1AF6742E" w14:textId="13FE6842" w:rsidR="00DA739E" w:rsidRDefault="002E6EBC" w:rsidP="002A13DB">
      <w:pPr>
        <w:spacing w:after="0" w:line="240" w:lineRule="auto"/>
        <w:contextualSpacing/>
        <w:jc w:val="both"/>
        <w:rPr>
          <w:rFonts w:ascii="Bookman Old Style" w:eastAsia="Times New Roman" w:hAnsi="Bookman Old Style" w:cs="Times New Roman"/>
          <w:b/>
          <w:i/>
          <w:sz w:val="24"/>
          <w:szCs w:val="24"/>
          <w:lang w:eastAsia="es-ES"/>
        </w:rPr>
      </w:pPr>
      <w:bookmarkStart w:id="11" w:name="_Hlk52353423"/>
      <w:r w:rsidRPr="002E6EBC">
        <w:rPr>
          <w:rFonts w:ascii="Bookman Old Style" w:eastAsia="Times New Roman" w:hAnsi="Bookman Old Style" w:cs="Times New Roman"/>
          <w:b/>
          <w:bCs/>
          <w:i/>
          <w:iCs/>
          <w:sz w:val="24"/>
          <w:szCs w:val="24"/>
          <w:lang w:eastAsia="es-ES"/>
        </w:rPr>
        <w:t xml:space="preserve">2. </w:t>
      </w:r>
      <w:r w:rsidR="00CE1653">
        <w:rPr>
          <w:rFonts w:ascii="Bookman Old Style" w:eastAsia="Times New Roman" w:hAnsi="Bookman Old Style" w:cs="Times New Roman"/>
          <w:b/>
          <w:bCs/>
          <w:i/>
          <w:iCs/>
          <w:sz w:val="24"/>
          <w:szCs w:val="24"/>
          <w:lang w:eastAsia="es-ES"/>
        </w:rPr>
        <w:t xml:space="preserve">Curva de demanda </w:t>
      </w:r>
      <w:r w:rsidR="00297D70">
        <w:rPr>
          <w:rFonts w:ascii="Bookman Old Style" w:eastAsia="Times New Roman" w:hAnsi="Bookman Old Style" w:cs="Times New Roman"/>
          <w:b/>
          <w:bCs/>
          <w:i/>
          <w:iCs/>
          <w:sz w:val="24"/>
          <w:szCs w:val="24"/>
          <w:lang w:eastAsia="es-ES"/>
        </w:rPr>
        <w:t xml:space="preserve">real </w:t>
      </w:r>
      <w:r w:rsidR="00CE1653">
        <w:rPr>
          <w:rFonts w:ascii="Bookman Old Style" w:eastAsia="Times New Roman" w:hAnsi="Bookman Old Style" w:cs="Times New Roman"/>
          <w:b/>
          <w:bCs/>
          <w:i/>
          <w:iCs/>
          <w:sz w:val="24"/>
          <w:szCs w:val="24"/>
          <w:lang w:eastAsia="es-ES"/>
        </w:rPr>
        <w:t>del municipio</w:t>
      </w:r>
      <w:r w:rsidR="00297D70">
        <w:rPr>
          <w:rFonts w:ascii="Bookman Old Style" w:eastAsia="Times New Roman" w:hAnsi="Bookman Old Style" w:cs="Times New Roman"/>
          <w:b/>
          <w:bCs/>
          <w:i/>
          <w:iCs/>
          <w:sz w:val="24"/>
          <w:szCs w:val="24"/>
          <w:lang w:eastAsia="es-ES"/>
        </w:rPr>
        <w:t xml:space="preserve"> de Mitú</w:t>
      </w:r>
    </w:p>
    <w:p w14:paraId="2A7982E8" w14:textId="77777777" w:rsidR="00F96F17" w:rsidRDefault="00F96F17" w:rsidP="002A13DB">
      <w:pPr>
        <w:spacing w:after="0" w:line="240" w:lineRule="auto"/>
        <w:contextualSpacing/>
        <w:jc w:val="both"/>
        <w:rPr>
          <w:rFonts w:ascii="Bookman Old Style" w:eastAsia="Times New Roman" w:hAnsi="Bookman Old Style" w:cs="Times New Roman"/>
          <w:b/>
          <w:bCs/>
          <w:i/>
          <w:iCs/>
          <w:sz w:val="24"/>
          <w:szCs w:val="24"/>
          <w:lang w:eastAsia="es-ES"/>
        </w:rPr>
      </w:pPr>
    </w:p>
    <w:p w14:paraId="2521FD4F" w14:textId="77777777" w:rsidR="00D734B2" w:rsidRPr="00D734B2" w:rsidRDefault="00D734B2" w:rsidP="00D734B2">
      <w:pPr>
        <w:spacing w:after="0" w:line="240" w:lineRule="auto"/>
        <w:contextualSpacing/>
        <w:jc w:val="both"/>
        <w:rPr>
          <w:rFonts w:ascii="Bookman Old Style" w:eastAsia="Times New Roman" w:hAnsi="Bookman Old Style" w:cs="Arial"/>
          <w:sz w:val="24"/>
          <w:szCs w:val="24"/>
          <w:lang w:eastAsia="es-ES"/>
        </w:rPr>
      </w:pPr>
      <w:r w:rsidRPr="00D734B2">
        <w:rPr>
          <w:rFonts w:ascii="Bookman Old Style" w:eastAsia="Times New Roman" w:hAnsi="Bookman Old Style" w:cs="Arial"/>
          <w:sz w:val="24"/>
          <w:szCs w:val="24"/>
          <w:lang w:eastAsia="es-ES"/>
        </w:rPr>
        <w:t xml:space="preserve">En el numeral 2 del recurso, DUE indica que la curva de demanda del municipio de Mitú debe revisarse con </w:t>
      </w:r>
      <w:r w:rsidRPr="00EA5EF9">
        <w:rPr>
          <w:rFonts w:ascii="Bookman Old Style" w:eastAsia="Times New Roman" w:hAnsi="Bookman Old Style" w:cs="Arial"/>
          <w:i/>
          <w:lang w:eastAsia="es-ES"/>
        </w:rPr>
        <w:t xml:space="preserve">“los valores reales presentados en el año 2019 (…) dicha demanda se debe llevar a los valores reales presentados en el año 2019 esto con el fin de comprobar que el valor de la ‘generación excedentaria del 10%’ que se manifiesta en el la página 43 del documento CREG D-097-20 DETERMINACIÓN DE LOS CARGOS MÁXIMOS DE GENERACIÓN DE ENERGÍA ELÉCTRICA PARA EL MERCADO RELEVANTE DE MITÚ (el ‘Documento Soporte’) no es real y que en cambio para el año 2022 la capacidad de la planta </w:t>
      </w:r>
      <w:proofErr w:type="spellStart"/>
      <w:r w:rsidRPr="00EA5EF9">
        <w:rPr>
          <w:rFonts w:ascii="Bookman Old Style" w:eastAsia="Times New Roman" w:hAnsi="Bookman Old Style" w:cs="Arial"/>
          <w:i/>
          <w:lang w:eastAsia="es-ES"/>
        </w:rPr>
        <w:t>Matakabi</w:t>
      </w:r>
      <w:proofErr w:type="spellEnd"/>
      <w:r w:rsidRPr="00EA5EF9">
        <w:rPr>
          <w:rFonts w:ascii="Bookman Old Style" w:eastAsia="Times New Roman" w:hAnsi="Bookman Old Style" w:cs="Arial"/>
          <w:i/>
          <w:lang w:eastAsia="es-ES"/>
        </w:rPr>
        <w:t xml:space="preserve"> no será suficiente para poder reemplazar el diésel”</w:t>
      </w:r>
      <w:r w:rsidRPr="00EA5EF9">
        <w:rPr>
          <w:rFonts w:ascii="Bookman Old Style" w:eastAsia="Times New Roman" w:hAnsi="Bookman Old Style" w:cs="Arial"/>
          <w:lang w:eastAsia="es-ES"/>
        </w:rPr>
        <w:t>.</w:t>
      </w:r>
    </w:p>
    <w:p w14:paraId="23FF8DA0" w14:textId="77777777" w:rsidR="00D734B2" w:rsidRPr="00D734B2" w:rsidRDefault="00D734B2" w:rsidP="00D734B2">
      <w:pPr>
        <w:spacing w:after="0" w:line="240" w:lineRule="auto"/>
        <w:contextualSpacing/>
        <w:jc w:val="both"/>
        <w:rPr>
          <w:rFonts w:ascii="Bookman Old Style" w:eastAsia="Times New Roman" w:hAnsi="Bookman Old Style" w:cs="Arial"/>
          <w:sz w:val="24"/>
          <w:szCs w:val="24"/>
          <w:lang w:eastAsia="es-ES"/>
        </w:rPr>
      </w:pPr>
    </w:p>
    <w:p w14:paraId="1DE9095F" w14:textId="77777777" w:rsidR="00D734B2" w:rsidRPr="00D734B2" w:rsidRDefault="00D734B2" w:rsidP="00977687">
      <w:pPr>
        <w:spacing w:after="0" w:line="240" w:lineRule="auto"/>
        <w:contextualSpacing/>
        <w:jc w:val="both"/>
        <w:rPr>
          <w:rFonts w:ascii="Bookman Old Style" w:eastAsia="Times New Roman" w:hAnsi="Bookman Old Style" w:cs="Arial"/>
          <w:sz w:val="24"/>
          <w:szCs w:val="24"/>
          <w:lang w:eastAsia="es-ES"/>
        </w:rPr>
      </w:pPr>
      <w:r w:rsidRPr="00D734B2">
        <w:rPr>
          <w:rFonts w:ascii="Bookman Old Style" w:eastAsia="Times New Roman" w:hAnsi="Bookman Old Style" w:cs="Arial"/>
          <w:sz w:val="24"/>
          <w:szCs w:val="24"/>
          <w:lang w:eastAsia="es-ES"/>
        </w:rPr>
        <w:t>Al respecto, como se indicó en el inicio de este análisis, esta Comisión decide sobre los cargos máximos que pueden trasladarse al usuario cuando el comercializador compra energía generada con sistemas híbridos y otras tecnologías de generación no definidos en la Resolución CREG 091 de 2007, en particular, en este caso, sobre tecnologías solares fotovoltaicas con acumulación. En ese sentido, en la definición de los cargos máximos no se toma en cuenta la demanda de energía del mercado relevante de Mitú, sino que, con el fin de establecer el costo eficiente de la generación con la tecnología en mención, se utiliza el potencial de generación de un sistema consistente con el dimensionamiento y el nivel de costos utilizado como referente por esta Comisión para desarrollar los cálculos. En ese orden de ideas, no es procedente la solicitud presentada por DUE en este punto.</w:t>
      </w:r>
    </w:p>
    <w:p w14:paraId="51ED9AEE" w14:textId="5947B29F" w:rsidR="002E6EBC" w:rsidRDefault="002E6EBC" w:rsidP="002A13DB">
      <w:pPr>
        <w:spacing w:after="0" w:line="240" w:lineRule="auto"/>
        <w:contextualSpacing/>
        <w:jc w:val="both"/>
        <w:rPr>
          <w:rFonts w:ascii="Bookman Old Style" w:eastAsia="Times New Roman" w:hAnsi="Bookman Old Style" w:cs="Times New Roman"/>
          <w:sz w:val="24"/>
          <w:szCs w:val="24"/>
          <w:lang w:eastAsia="es-ES"/>
        </w:rPr>
      </w:pPr>
    </w:p>
    <w:p w14:paraId="5848532A" w14:textId="77777777" w:rsidR="002E6EBC" w:rsidRPr="002E6EBC" w:rsidRDefault="002E6EBC" w:rsidP="002A13DB">
      <w:pPr>
        <w:spacing w:after="0" w:line="240" w:lineRule="auto"/>
        <w:contextualSpacing/>
        <w:jc w:val="both"/>
        <w:rPr>
          <w:rFonts w:ascii="Bookman Old Style" w:eastAsia="Times New Roman" w:hAnsi="Bookman Old Style" w:cs="Times New Roman"/>
          <w:b/>
          <w:bCs/>
          <w:i/>
          <w:iCs/>
          <w:sz w:val="24"/>
          <w:szCs w:val="24"/>
          <w:lang w:eastAsia="es-ES"/>
        </w:rPr>
      </w:pPr>
      <w:r w:rsidRPr="002E6EBC">
        <w:rPr>
          <w:rFonts w:ascii="Bookman Old Style" w:eastAsia="Times New Roman" w:hAnsi="Bookman Old Style" w:cs="Times New Roman"/>
          <w:b/>
          <w:bCs/>
          <w:i/>
          <w:iCs/>
          <w:sz w:val="24"/>
          <w:szCs w:val="24"/>
          <w:lang w:eastAsia="es-ES"/>
        </w:rPr>
        <w:t xml:space="preserve">3. Aprobación de los cargos exclusivamente para el proyecto </w:t>
      </w:r>
      <w:proofErr w:type="spellStart"/>
      <w:r w:rsidRPr="002E6EBC">
        <w:rPr>
          <w:rFonts w:ascii="Bookman Old Style" w:eastAsia="Times New Roman" w:hAnsi="Bookman Old Style" w:cs="Times New Roman"/>
          <w:b/>
          <w:bCs/>
          <w:i/>
          <w:iCs/>
          <w:sz w:val="24"/>
          <w:szCs w:val="24"/>
          <w:lang w:eastAsia="es-ES"/>
        </w:rPr>
        <w:t>Matakabi</w:t>
      </w:r>
      <w:proofErr w:type="spellEnd"/>
      <w:r w:rsidRPr="002E6EBC">
        <w:rPr>
          <w:rFonts w:ascii="Bookman Old Style" w:eastAsia="Times New Roman" w:hAnsi="Bookman Old Style" w:cs="Times New Roman"/>
          <w:b/>
          <w:bCs/>
          <w:i/>
          <w:iCs/>
          <w:sz w:val="24"/>
          <w:szCs w:val="24"/>
          <w:lang w:eastAsia="es-ES"/>
        </w:rPr>
        <w:t xml:space="preserve"> y no para la generalidad del mercado de comercialización.</w:t>
      </w:r>
    </w:p>
    <w:p w14:paraId="6FBB14C4" w14:textId="77189684" w:rsidR="00DA739E" w:rsidRPr="00DA739E" w:rsidRDefault="00DA739E" w:rsidP="002A13DB">
      <w:pPr>
        <w:spacing w:after="0" w:line="240" w:lineRule="auto"/>
        <w:contextualSpacing/>
        <w:jc w:val="both"/>
        <w:rPr>
          <w:rFonts w:ascii="Bookman Old Style" w:eastAsia="Times New Roman" w:hAnsi="Bookman Old Style" w:cs="Times New Roman"/>
          <w:sz w:val="24"/>
          <w:szCs w:val="24"/>
          <w:lang w:eastAsia="es-ES"/>
        </w:rPr>
      </w:pPr>
    </w:p>
    <w:p w14:paraId="3F6615FE" w14:textId="77777777" w:rsidR="00A71B6B" w:rsidRPr="00A71B6B" w:rsidRDefault="00A71B6B" w:rsidP="002A13DB">
      <w:pPr>
        <w:spacing w:after="0" w:line="240" w:lineRule="auto"/>
        <w:contextualSpacing/>
        <w:jc w:val="both"/>
        <w:rPr>
          <w:rFonts w:ascii="Bookman Old Style" w:eastAsia="Times New Roman" w:hAnsi="Bookman Old Style" w:cs="Times New Roman"/>
          <w:b/>
          <w:bCs/>
          <w:i/>
          <w:iCs/>
          <w:sz w:val="24"/>
          <w:szCs w:val="24"/>
          <w:lang w:eastAsia="es-ES"/>
        </w:rPr>
      </w:pPr>
      <w:r w:rsidRPr="00A71B6B">
        <w:rPr>
          <w:rFonts w:ascii="Bookman Old Style" w:eastAsia="Times New Roman" w:hAnsi="Bookman Old Style" w:cs="Times New Roman"/>
          <w:b/>
          <w:bCs/>
          <w:i/>
          <w:iCs/>
          <w:sz w:val="24"/>
          <w:szCs w:val="24"/>
          <w:lang w:eastAsia="es-ES"/>
        </w:rPr>
        <w:t xml:space="preserve">3.1. Decisión extra </w:t>
      </w:r>
      <w:proofErr w:type="spellStart"/>
      <w:r w:rsidRPr="00A71B6B">
        <w:rPr>
          <w:rFonts w:ascii="Bookman Old Style" w:eastAsia="Times New Roman" w:hAnsi="Bookman Old Style" w:cs="Times New Roman"/>
          <w:b/>
          <w:bCs/>
          <w:i/>
          <w:iCs/>
          <w:sz w:val="24"/>
          <w:szCs w:val="24"/>
          <w:lang w:eastAsia="es-ES"/>
        </w:rPr>
        <w:t>petita</w:t>
      </w:r>
      <w:proofErr w:type="spellEnd"/>
    </w:p>
    <w:p w14:paraId="12AC6CF8" w14:textId="576A1135" w:rsidR="00A71B6B" w:rsidRDefault="00A71B6B" w:rsidP="002A13DB">
      <w:pPr>
        <w:spacing w:after="0" w:line="240" w:lineRule="auto"/>
        <w:contextualSpacing/>
        <w:jc w:val="both"/>
        <w:rPr>
          <w:rFonts w:ascii="Bookman Old Style" w:eastAsia="Times New Roman" w:hAnsi="Bookman Old Style" w:cs="Times New Roman"/>
          <w:sz w:val="24"/>
          <w:szCs w:val="24"/>
          <w:lang w:eastAsia="es-ES"/>
        </w:rPr>
      </w:pPr>
    </w:p>
    <w:p w14:paraId="25327801" w14:textId="5143CE6D" w:rsidR="00D1226F" w:rsidRPr="00D1226F" w:rsidRDefault="00D1226F" w:rsidP="00D1226F">
      <w:pPr>
        <w:spacing w:after="0" w:line="240" w:lineRule="auto"/>
        <w:contextualSpacing/>
        <w:jc w:val="both"/>
        <w:rPr>
          <w:rFonts w:ascii="Bookman Old Style" w:eastAsia="Times New Roman" w:hAnsi="Bookman Old Style" w:cs="Arial"/>
          <w:sz w:val="24"/>
          <w:szCs w:val="24"/>
          <w:lang w:eastAsia="es-ES"/>
        </w:rPr>
      </w:pPr>
      <w:r w:rsidRPr="00D1226F">
        <w:rPr>
          <w:rFonts w:ascii="Bookman Old Style" w:eastAsia="Times New Roman" w:hAnsi="Bookman Old Style" w:cs="Arial"/>
          <w:sz w:val="24"/>
          <w:szCs w:val="24"/>
          <w:lang w:eastAsia="es-ES"/>
        </w:rPr>
        <w:t xml:space="preserve">En relación con el cargo presentado por el recurrente de que la decisión adoptada por la Comisión sea </w:t>
      </w:r>
      <w:r w:rsidRPr="008D3777">
        <w:rPr>
          <w:rFonts w:ascii="Bookman Old Style" w:eastAsia="Times New Roman" w:hAnsi="Bookman Old Style" w:cs="Arial"/>
          <w:i/>
          <w:iCs/>
          <w:sz w:val="24"/>
          <w:szCs w:val="24"/>
          <w:lang w:eastAsia="es-ES"/>
        </w:rPr>
        <w:t xml:space="preserve">extra </w:t>
      </w:r>
      <w:proofErr w:type="spellStart"/>
      <w:r w:rsidRPr="008D3777">
        <w:rPr>
          <w:rFonts w:ascii="Bookman Old Style" w:eastAsia="Times New Roman" w:hAnsi="Bookman Old Style" w:cs="Arial"/>
          <w:i/>
          <w:iCs/>
          <w:sz w:val="24"/>
          <w:szCs w:val="24"/>
          <w:lang w:eastAsia="es-ES"/>
        </w:rPr>
        <w:t>petita</w:t>
      </w:r>
      <w:proofErr w:type="spellEnd"/>
      <w:r w:rsidR="008D3777">
        <w:rPr>
          <w:rFonts w:ascii="Bookman Old Style" w:eastAsia="Times New Roman" w:hAnsi="Bookman Old Style" w:cs="Arial"/>
          <w:sz w:val="24"/>
          <w:szCs w:val="24"/>
          <w:lang w:eastAsia="es-ES"/>
        </w:rPr>
        <w:t>,</w:t>
      </w:r>
      <w:r w:rsidRPr="00D1226F">
        <w:rPr>
          <w:rFonts w:ascii="Bookman Old Style" w:eastAsia="Times New Roman" w:hAnsi="Bookman Old Style" w:cs="Arial"/>
          <w:sz w:val="24"/>
          <w:szCs w:val="24"/>
          <w:lang w:eastAsia="es-ES"/>
        </w:rPr>
        <w:t xml:space="preserve"> porque lo que se solicitó fue la aprobación de cargos para un proyecto específico y se decidió sobre asuntos adicionales, deben tenerse en cuenta las siguientes consideraciones:  </w:t>
      </w:r>
    </w:p>
    <w:p w14:paraId="1C3272BE" w14:textId="77777777" w:rsidR="00D1226F" w:rsidRPr="00D1226F" w:rsidRDefault="00D1226F" w:rsidP="00D1226F">
      <w:pPr>
        <w:spacing w:after="0" w:line="240" w:lineRule="auto"/>
        <w:contextualSpacing/>
        <w:jc w:val="both"/>
        <w:rPr>
          <w:rFonts w:ascii="Bookman Old Style" w:eastAsia="Times New Roman" w:hAnsi="Bookman Old Style" w:cs="Arial"/>
          <w:sz w:val="24"/>
          <w:szCs w:val="24"/>
          <w:lang w:eastAsia="es-ES"/>
        </w:rPr>
      </w:pPr>
    </w:p>
    <w:p w14:paraId="56689539" w14:textId="4C387B07" w:rsidR="00D1226F" w:rsidRPr="00D1226F" w:rsidRDefault="00D1226F" w:rsidP="00D1226F">
      <w:pPr>
        <w:spacing w:after="0" w:line="240" w:lineRule="auto"/>
        <w:contextualSpacing/>
        <w:jc w:val="both"/>
        <w:rPr>
          <w:rFonts w:ascii="Bookman Old Style" w:eastAsia="Times New Roman" w:hAnsi="Bookman Old Style" w:cs="Arial"/>
          <w:sz w:val="24"/>
          <w:szCs w:val="24"/>
          <w:lang w:eastAsia="es-ES"/>
        </w:rPr>
      </w:pPr>
      <w:r w:rsidRPr="00D1226F">
        <w:rPr>
          <w:rFonts w:ascii="Bookman Old Style" w:eastAsia="Times New Roman" w:hAnsi="Bookman Old Style" w:cs="Arial"/>
          <w:sz w:val="24"/>
          <w:szCs w:val="24"/>
          <w:lang w:eastAsia="es-ES"/>
        </w:rPr>
        <w:t xml:space="preserve">En primer lugar, la solicitud realizada por el representante legal de la empresa </w:t>
      </w:r>
      <w:proofErr w:type="spellStart"/>
      <w:r w:rsidRPr="00D1226F">
        <w:rPr>
          <w:rFonts w:ascii="Bookman Old Style" w:eastAsia="Times New Roman" w:hAnsi="Bookman Old Style" w:cs="Arial"/>
          <w:sz w:val="24"/>
          <w:szCs w:val="24"/>
          <w:lang w:eastAsia="es-ES"/>
        </w:rPr>
        <w:t>Due</w:t>
      </w:r>
      <w:proofErr w:type="spellEnd"/>
      <w:r w:rsidRPr="00D1226F">
        <w:rPr>
          <w:rFonts w:ascii="Bookman Old Style" w:eastAsia="Times New Roman" w:hAnsi="Bookman Old Style" w:cs="Arial"/>
          <w:sz w:val="24"/>
          <w:szCs w:val="24"/>
          <w:lang w:eastAsia="es-ES"/>
        </w:rPr>
        <w:t xml:space="preserve"> Capital </w:t>
      </w:r>
      <w:r w:rsidR="008D3777">
        <w:rPr>
          <w:rFonts w:ascii="Bookman Old Style" w:eastAsia="Times New Roman" w:hAnsi="Bookman Old Style" w:cs="Arial"/>
          <w:sz w:val="24"/>
          <w:szCs w:val="24"/>
          <w:lang w:eastAsia="es-ES"/>
        </w:rPr>
        <w:t xml:space="preserve">and </w:t>
      </w:r>
      <w:proofErr w:type="spellStart"/>
      <w:r w:rsidR="008D3777">
        <w:rPr>
          <w:rFonts w:ascii="Bookman Old Style" w:eastAsia="Times New Roman" w:hAnsi="Bookman Old Style" w:cs="Arial"/>
          <w:sz w:val="24"/>
          <w:szCs w:val="24"/>
          <w:lang w:eastAsia="es-ES"/>
        </w:rPr>
        <w:t>Services</w:t>
      </w:r>
      <w:proofErr w:type="spellEnd"/>
      <w:r w:rsidR="008D3777">
        <w:rPr>
          <w:rFonts w:ascii="Bookman Old Style" w:eastAsia="Times New Roman" w:hAnsi="Bookman Old Style" w:cs="Arial"/>
          <w:sz w:val="24"/>
          <w:szCs w:val="24"/>
          <w:lang w:eastAsia="es-ES"/>
        </w:rPr>
        <w:t xml:space="preserve"> S.A.S. </w:t>
      </w:r>
      <w:r w:rsidRPr="00D1226F">
        <w:rPr>
          <w:rFonts w:ascii="Bookman Old Style" w:eastAsia="Times New Roman" w:hAnsi="Bookman Old Style" w:cs="Arial"/>
          <w:sz w:val="24"/>
          <w:szCs w:val="24"/>
          <w:lang w:eastAsia="es-ES"/>
        </w:rPr>
        <w:t xml:space="preserve">fue la siguiente: </w:t>
      </w:r>
    </w:p>
    <w:p w14:paraId="0531A060" w14:textId="77777777" w:rsidR="00D1226F" w:rsidRPr="00C04C59" w:rsidRDefault="00D1226F" w:rsidP="00D1226F">
      <w:pPr>
        <w:spacing w:after="0" w:line="240" w:lineRule="auto"/>
        <w:contextualSpacing/>
        <w:jc w:val="both"/>
        <w:rPr>
          <w:rFonts w:ascii="Bookman Old Style" w:eastAsia="Times New Roman" w:hAnsi="Bookman Old Style" w:cs="Arial"/>
          <w:lang w:eastAsia="es-ES"/>
        </w:rPr>
      </w:pPr>
    </w:p>
    <w:p w14:paraId="5BE22F3B" w14:textId="77777777" w:rsidR="00D1226F" w:rsidRPr="008D3777" w:rsidRDefault="00D1226F" w:rsidP="008D3777">
      <w:pPr>
        <w:spacing w:after="0" w:line="240" w:lineRule="auto"/>
        <w:ind w:left="284"/>
        <w:contextualSpacing/>
        <w:jc w:val="both"/>
        <w:rPr>
          <w:rFonts w:ascii="Bookman Old Style" w:eastAsia="Times New Roman" w:hAnsi="Bookman Old Style" w:cs="Arial"/>
          <w:i/>
          <w:sz w:val="20"/>
          <w:szCs w:val="20"/>
          <w:lang w:eastAsia="es-ES"/>
        </w:rPr>
      </w:pPr>
      <w:r w:rsidRPr="008D3777">
        <w:rPr>
          <w:rFonts w:ascii="Bookman Old Style" w:eastAsia="Times New Roman" w:hAnsi="Bookman Old Style" w:cs="Arial"/>
          <w:sz w:val="20"/>
          <w:szCs w:val="20"/>
          <w:lang w:eastAsia="es-ES"/>
        </w:rPr>
        <w:t>“</w:t>
      </w:r>
      <w:r w:rsidRPr="008D3777">
        <w:rPr>
          <w:rFonts w:ascii="Bookman Old Style" w:eastAsia="Times New Roman" w:hAnsi="Bookman Old Style" w:cs="Arial"/>
          <w:i/>
          <w:sz w:val="20"/>
          <w:szCs w:val="20"/>
          <w:u w:val="single"/>
          <w:lang w:eastAsia="es-ES"/>
        </w:rPr>
        <w:t xml:space="preserve">Por medio de la presentamos la solicitud de remuneración para un proyecto solar centralizado con acumulación interconectado al sistema de distribución del municipio de Mitú, con una capacidad de generación superior a 7.6MWp con acumulación de 8.8 </w:t>
      </w:r>
      <w:proofErr w:type="spellStart"/>
      <w:r w:rsidRPr="008D3777">
        <w:rPr>
          <w:rFonts w:ascii="Bookman Old Style" w:eastAsia="Times New Roman" w:hAnsi="Bookman Old Style" w:cs="Arial"/>
          <w:i/>
          <w:sz w:val="20"/>
          <w:szCs w:val="20"/>
          <w:u w:val="single"/>
          <w:lang w:eastAsia="es-ES"/>
        </w:rPr>
        <w:t>MWh</w:t>
      </w:r>
      <w:proofErr w:type="spellEnd"/>
      <w:r w:rsidRPr="008D3777">
        <w:rPr>
          <w:rFonts w:ascii="Bookman Old Style" w:eastAsia="Times New Roman" w:hAnsi="Bookman Old Style" w:cs="Arial"/>
          <w:i/>
          <w:sz w:val="20"/>
          <w:szCs w:val="20"/>
          <w:u w:val="single"/>
          <w:lang w:eastAsia="es-ES"/>
        </w:rPr>
        <w:t>, con fundamento en el literal d del artículo 22 de la resolución CREG 091 de 2007</w:t>
      </w:r>
      <w:r w:rsidRPr="008D3777">
        <w:rPr>
          <w:rFonts w:ascii="Bookman Old Style" w:eastAsia="Times New Roman" w:hAnsi="Bookman Old Style" w:cs="Arial"/>
          <w:i/>
          <w:sz w:val="20"/>
          <w:szCs w:val="20"/>
          <w:lang w:eastAsia="es-ES"/>
        </w:rPr>
        <w:t xml:space="preserve">. Esto en consideración a que tal resolución considera proyectos de hasta </w:t>
      </w:r>
      <w:proofErr w:type="spellStart"/>
      <w:r w:rsidRPr="008D3777">
        <w:rPr>
          <w:rFonts w:ascii="Bookman Old Style" w:eastAsia="Times New Roman" w:hAnsi="Bookman Old Style" w:cs="Arial"/>
          <w:i/>
          <w:sz w:val="20"/>
          <w:szCs w:val="20"/>
          <w:lang w:eastAsia="es-ES"/>
        </w:rPr>
        <w:t>kWp</w:t>
      </w:r>
      <w:proofErr w:type="spellEnd"/>
      <w:r w:rsidRPr="008D3777">
        <w:rPr>
          <w:rFonts w:ascii="Bookman Old Style" w:eastAsia="Times New Roman" w:hAnsi="Bookman Old Style" w:cs="Arial"/>
          <w:i/>
          <w:sz w:val="20"/>
          <w:szCs w:val="20"/>
          <w:lang w:eastAsia="es-ES"/>
        </w:rPr>
        <w:t xml:space="preserve"> y por consiguiente se hace preciso revisar un esquema de remuneración para un proyecto de mayor envergadura. </w:t>
      </w:r>
    </w:p>
    <w:p w14:paraId="0F3AD8A8" w14:textId="77777777" w:rsidR="00D1226F" w:rsidRPr="008D3777" w:rsidRDefault="00D1226F" w:rsidP="008D3777">
      <w:pPr>
        <w:spacing w:after="0" w:line="240" w:lineRule="auto"/>
        <w:ind w:left="284"/>
        <w:contextualSpacing/>
        <w:jc w:val="both"/>
        <w:rPr>
          <w:rFonts w:ascii="Bookman Old Style" w:eastAsia="Times New Roman" w:hAnsi="Bookman Old Style" w:cs="Arial"/>
          <w:i/>
          <w:sz w:val="20"/>
          <w:szCs w:val="20"/>
          <w:lang w:eastAsia="es-ES"/>
        </w:rPr>
      </w:pPr>
    </w:p>
    <w:p w14:paraId="5F965FEC" w14:textId="77777777" w:rsidR="00D1226F" w:rsidRPr="008D3777" w:rsidRDefault="00D1226F" w:rsidP="008D3777">
      <w:pPr>
        <w:spacing w:after="0" w:line="240" w:lineRule="auto"/>
        <w:ind w:left="284"/>
        <w:contextualSpacing/>
        <w:jc w:val="both"/>
        <w:rPr>
          <w:rFonts w:ascii="Bookman Old Style" w:eastAsia="Times New Roman" w:hAnsi="Bookman Old Style" w:cs="Arial"/>
          <w:i/>
          <w:sz w:val="20"/>
          <w:szCs w:val="20"/>
          <w:lang w:eastAsia="es-ES"/>
        </w:rPr>
      </w:pPr>
      <w:r w:rsidRPr="008D3777">
        <w:rPr>
          <w:rFonts w:ascii="Bookman Old Style" w:eastAsia="Times New Roman" w:hAnsi="Bookman Old Style" w:cs="Arial"/>
          <w:i/>
          <w:sz w:val="20"/>
          <w:szCs w:val="20"/>
          <w:u w:val="single"/>
          <w:lang w:eastAsia="es-ES"/>
        </w:rPr>
        <w:t xml:space="preserve">DUE Capital and </w:t>
      </w:r>
      <w:proofErr w:type="spellStart"/>
      <w:r w:rsidRPr="008D3777">
        <w:rPr>
          <w:rFonts w:ascii="Bookman Old Style" w:eastAsia="Times New Roman" w:hAnsi="Bookman Old Style" w:cs="Arial"/>
          <w:i/>
          <w:sz w:val="20"/>
          <w:szCs w:val="20"/>
          <w:u w:val="single"/>
          <w:lang w:eastAsia="es-ES"/>
        </w:rPr>
        <w:t>Services</w:t>
      </w:r>
      <w:proofErr w:type="spellEnd"/>
      <w:r w:rsidRPr="008D3777">
        <w:rPr>
          <w:rFonts w:ascii="Bookman Old Style" w:eastAsia="Times New Roman" w:hAnsi="Bookman Old Style" w:cs="Arial"/>
          <w:i/>
          <w:sz w:val="20"/>
          <w:szCs w:val="20"/>
          <w:u w:val="single"/>
          <w:lang w:eastAsia="es-ES"/>
        </w:rPr>
        <w:t xml:space="preserve"> S.A.S es un desarrollador de proyectos FERNC en Colombia</w:t>
      </w:r>
      <w:r w:rsidRPr="008D3777">
        <w:rPr>
          <w:rFonts w:ascii="Bookman Old Style" w:eastAsia="Times New Roman" w:hAnsi="Bookman Old Style" w:cs="Arial"/>
          <w:i/>
          <w:sz w:val="20"/>
          <w:szCs w:val="20"/>
          <w:lang w:eastAsia="es-ES"/>
        </w:rPr>
        <w:t xml:space="preserve"> con amplia experiencia y capacidad financiera. En la actualidad está desarrollando un portafolio de proyectos en zonas no interconectadas, siendo el primero de ellos la Planta Solar </w:t>
      </w:r>
      <w:proofErr w:type="spellStart"/>
      <w:r w:rsidRPr="008D3777">
        <w:rPr>
          <w:rFonts w:ascii="Bookman Old Style" w:eastAsia="Times New Roman" w:hAnsi="Bookman Old Style" w:cs="Arial"/>
          <w:i/>
          <w:sz w:val="20"/>
          <w:szCs w:val="20"/>
          <w:lang w:eastAsia="es-ES"/>
        </w:rPr>
        <w:t>Matakavi</w:t>
      </w:r>
      <w:proofErr w:type="spellEnd"/>
      <w:r w:rsidRPr="008D3777">
        <w:rPr>
          <w:rFonts w:ascii="Bookman Old Style" w:eastAsia="Times New Roman" w:hAnsi="Bookman Old Style" w:cs="Arial"/>
          <w:i/>
          <w:sz w:val="20"/>
          <w:szCs w:val="20"/>
          <w:lang w:eastAsia="es-ES"/>
        </w:rPr>
        <w:t xml:space="preserve"> localizada a 3.5 </w:t>
      </w:r>
      <w:proofErr w:type="spellStart"/>
      <w:r w:rsidRPr="008D3777">
        <w:rPr>
          <w:rFonts w:ascii="Bookman Old Style" w:eastAsia="Times New Roman" w:hAnsi="Bookman Old Style" w:cs="Arial"/>
          <w:i/>
          <w:sz w:val="20"/>
          <w:szCs w:val="20"/>
          <w:lang w:eastAsia="es-ES"/>
        </w:rPr>
        <w:t>kms</w:t>
      </w:r>
      <w:proofErr w:type="spellEnd"/>
      <w:r w:rsidRPr="008D3777">
        <w:rPr>
          <w:rFonts w:ascii="Bookman Old Style" w:eastAsia="Times New Roman" w:hAnsi="Bookman Old Style" w:cs="Arial"/>
          <w:i/>
          <w:sz w:val="20"/>
          <w:szCs w:val="20"/>
          <w:lang w:eastAsia="es-ES"/>
        </w:rPr>
        <w:t xml:space="preserve"> del casco urbano de Mitú. </w:t>
      </w:r>
      <w:r w:rsidRPr="008D3777">
        <w:rPr>
          <w:rFonts w:ascii="Bookman Old Style" w:eastAsia="Times New Roman" w:hAnsi="Bookman Old Style" w:cs="Arial"/>
          <w:i/>
          <w:sz w:val="20"/>
          <w:szCs w:val="20"/>
          <w:u w:val="single"/>
          <w:lang w:eastAsia="es-ES"/>
        </w:rPr>
        <w:t xml:space="preserve">El prestador del servicio será </w:t>
      </w:r>
      <w:proofErr w:type="spellStart"/>
      <w:r w:rsidRPr="008D3777">
        <w:rPr>
          <w:rFonts w:ascii="Bookman Old Style" w:eastAsia="Times New Roman" w:hAnsi="Bookman Old Style" w:cs="Arial"/>
          <w:i/>
          <w:sz w:val="20"/>
          <w:szCs w:val="20"/>
          <w:u w:val="single"/>
          <w:lang w:eastAsia="es-ES"/>
        </w:rPr>
        <w:t>Matakavi</w:t>
      </w:r>
      <w:proofErr w:type="spellEnd"/>
      <w:r w:rsidRPr="008D3777">
        <w:rPr>
          <w:rFonts w:ascii="Bookman Old Style" w:eastAsia="Times New Roman" w:hAnsi="Bookman Old Style" w:cs="Arial"/>
          <w:i/>
          <w:sz w:val="20"/>
          <w:szCs w:val="20"/>
          <w:u w:val="single"/>
          <w:lang w:eastAsia="es-ES"/>
        </w:rPr>
        <w:t xml:space="preserve"> S.A, empresa que </w:t>
      </w:r>
      <w:proofErr w:type="spellStart"/>
      <w:r w:rsidRPr="008D3777">
        <w:rPr>
          <w:rFonts w:ascii="Bookman Old Style" w:eastAsia="Times New Roman" w:hAnsi="Bookman Old Style" w:cs="Arial"/>
          <w:i/>
          <w:sz w:val="20"/>
          <w:szCs w:val="20"/>
          <w:u w:val="single"/>
          <w:lang w:eastAsia="es-ES"/>
        </w:rPr>
        <w:t>esta</w:t>
      </w:r>
      <w:proofErr w:type="spellEnd"/>
      <w:r w:rsidRPr="008D3777">
        <w:rPr>
          <w:rFonts w:ascii="Bookman Old Style" w:eastAsia="Times New Roman" w:hAnsi="Bookman Old Style" w:cs="Arial"/>
          <w:i/>
          <w:sz w:val="20"/>
          <w:szCs w:val="20"/>
          <w:u w:val="single"/>
          <w:lang w:eastAsia="es-ES"/>
        </w:rPr>
        <w:t xml:space="preserve"> en proceso de constitución</w:t>
      </w:r>
      <w:r w:rsidRPr="008D3777">
        <w:rPr>
          <w:rFonts w:ascii="Bookman Old Style" w:eastAsia="Times New Roman" w:hAnsi="Bookman Old Style" w:cs="Arial"/>
          <w:i/>
          <w:sz w:val="20"/>
          <w:szCs w:val="20"/>
          <w:lang w:eastAsia="es-ES"/>
        </w:rPr>
        <w:t>”</w:t>
      </w:r>
      <w:r w:rsidRPr="008D3777">
        <w:rPr>
          <w:rFonts w:ascii="Bookman Old Style" w:eastAsia="Times New Roman" w:hAnsi="Bookman Old Style" w:cs="Arial"/>
          <w:i/>
          <w:sz w:val="20"/>
          <w:szCs w:val="20"/>
          <w:vertAlign w:val="superscript"/>
          <w:lang w:eastAsia="es-ES"/>
        </w:rPr>
        <w:footnoteReference w:id="5"/>
      </w:r>
      <w:r w:rsidRPr="008D3777">
        <w:rPr>
          <w:rFonts w:ascii="Bookman Old Style" w:eastAsia="Times New Roman" w:hAnsi="Bookman Old Style" w:cs="Arial"/>
          <w:i/>
          <w:sz w:val="20"/>
          <w:szCs w:val="20"/>
          <w:lang w:eastAsia="es-ES"/>
        </w:rPr>
        <w:t xml:space="preserve">.  </w:t>
      </w:r>
      <w:r w:rsidRPr="008D3777">
        <w:rPr>
          <w:rFonts w:ascii="Bookman Old Style" w:eastAsia="Times New Roman" w:hAnsi="Bookman Old Style" w:cs="Arial"/>
          <w:sz w:val="20"/>
          <w:szCs w:val="20"/>
          <w:lang w:eastAsia="es-ES"/>
        </w:rPr>
        <w:t>(subrayado fuera de texto)</w:t>
      </w:r>
    </w:p>
    <w:p w14:paraId="26EAD819" w14:textId="77777777" w:rsidR="00D1226F" w:rsidRPr="00D1226F" w:rsidRDefault="00D1226F" w:rsidP="00D1226F">
      <w:pPr>
        <w:spacing w:after="0" w:line="240" w:lineRule="auto"/>
        <w:contextualSpacing/>
        <w:jc w:val="both"/>
        <w:rPr>
          <w:rFonts w:ascii="Bookman Old Style" w:eastAsia="Times New Roman" w:hAnsi="Bookman Old Style" w:cs="Arial"/>
          <w:sz w:val="24"/>
          <w:szCs w:val="24"/>
          <w:lang w:eastAsia="es-ES"/>
        </w:rPr>
      </w:pPr>
    </w:p>
    <w:p w14:paraId="1A70F81F" w14:textId="2DD48CEB" w:rsidR="00D1226F" w:rsidRPr="00D1226F" w:rsidRDefault="00D1226F" w:rsidP="00D1226F">
      <w:pPr>
        <w:spacing w:after="0" w:line="240" w:lineRule="auto"/>
        <w:contextualSpacing/>
        <w:jc w:val="both"/>
        <w:rPr>
          <w:rFonts w:ascii="Bookman Old Style" w:eastAsia="Times New Roman" w:hAnsi="Bookman Old Style" w:cs="Arial"/>
          <w:sz w:val="24"/>
          <w:szCs w:val="24"/>
          <w:lang w:eastAsia="es-ES"/>
        </w:rPr>
      </w:pPr>
      <w:r w:rsidRPr="00D1226F">
        <w:rPr>
          <w:rFonts w:ascii="Bookman Old Style" w:eastAsia="Times New Roman" w:hAnsi="Bookman Old Style" w:cs="Arial"/>
          <w:sz w:val="24"/>
          <w:szCs w:val="24"/>
          <w:lang w:eastAsia="es-ES"/>
        </w:rPr>
        <w:t>De los apartes subrayados se extrae que la empresa presentó la solicitud con fundamento en el literal d del artículo 22 de la Resolución CREG 091 de 2007</w:t>
      </w:r>
      <w:r w:rsidR="008D3777">
        <w:rPr>
          <w:rFonts w:ascii="Bookman Old Style" w:eastAsia="Times New Roman" w:hAnsi="Bookman Old Style" w:cs="Arial"/>
          <w:sz w:val="24"/>
          <w:szCs w:val="24"/>
          <w:lang w:eastAsia="es-ES"/>
        </w:rPr>
        <w:t>,</w:t>
      </w:r>
      <w:r w:rsidRPr="00D1226F">
        <w:rPr>
          <w:rFonts w:ascii="Bookman Old Style" w:eastAsia="Times New Roman" w:hAnsi="Bookman Old Style" w:cs="Arial"/>
          <w:sz w:val="24"/>
          <w:szCs w:val="24"/>
          <w:lang w:eastAsia="es-ES"/>
        </w:rPr>
        <w:t xml:space="preserve"> y que no es prestador del servicio sino un desarrollador de proyectos FERNC.</w:t>
      </w:r>
    </w:p>
    <w:p w14:paraId="7AEB8A36" w14:textId="77777777" w:rsidR="00D1226F" w:rsidRPr="00D1226F" w:rsidRDefault="00D1226F" w:rsidP="00D1226F">
      <w:pPr>
        <w:spacing w:after="0" w:line="240" w:lineRule="auto"/>
        <w:contextualSpacing/>
        <w:jc w:val="both"/>
        <w:rPr>
          <w:rFonts w:ascii="Bookman Old Style" w:eastAsia="Times New Roman" w:hAnsi="Bookman Old Style" w:cs="Arial"/>
          <w:sz w:val="24"/>
          <w:szCs w:val="24"/>
          <w:lang w:eastAsia="es-ES"/>
        </w:rPr>
      </w:pPr>
    </w:p>
    <w:p w14:paraId="3BB0DDA0" w14:textId="4E2ED0E3" w:rsidR="00360CBB" w:rsidRDefault="00D1226F" w:rsidP="00D1226F">
      <w:pPr>
        <w:spacing w:after="0" w:line="240" w:lineRule="auto"/>
        <w:contextualSpacing/>
        <w:jc w:val="both"/>
        <w:rPr>
          <w:rFonts w:ascii="Bookman Old Style" w:eastAsia="Times New Roman" w:hAnsi="Bookman Old Style" w:cs="Arial"/>
          <w:sz w:val="24"/>
          <w:szCs w:val="24"/>
          <w:lang w:eastAsia="es-ES"/>
        </w:rPr>
      </w:pPr>
      <w:r w:rsidRPr="00D1226F">
        <w:rPr>
          <w:rFonts w:ascii="Bookman Old Style" w:eastAsia="Times New Roman" w:hAnsi="Bookman Old Style" w:cs="Arial"/>
          <w:sz w:val="24"/>
          <w:szCs w:val="24"/>
          <w:lang w:eastAsia="es-ES"/>
        </w:rPr>
        <w:t>Adicionalmente, para justificar su solicitud</w:t>
      </w:r>
      <w:r w:rsidR="008D3777">
        <w:rPr>
          <w:rFonts w:ascii="Bookman Old Style" w:eastAsia="Times New Roman" w:hAnsi="Bookman Old Style" w:cs="Arial"/>
          <w:sz w:val="24"/>
          <w:szCs w:val="24"/>
          <w:lang w:eastAsia="es-ES"/>
        </w:rPr>
        <w:t>,</w:t>
      </w:r>
      <w:r w:rsidRPr="00D1226F">
        <w:rPr>
          <w:rFonts w:ascii="Bookman Old Style" w:eastAsia="Times New Roman" w:hAnsi="Bookman Old Style" w:cs="Arial"/>
          <w:sz w:val="24"/>
          <w:szCs w:val="24"/>
          <w:lang w:eastAsia="es-ES"/>
        </w:rPr>
        <w:t xml:space="preserve"> la empresa indicó lo siguiente:</w:t>
      </w:r>
    </w:p>
    <w:p w14:paraId="43E7F606" w14:textId="77777777" w:rsidR="00360CBB" w:rsidRDefault="00360CBB" w:rsidP="00D1226F">
      <w:pPr>
        <w:spacing w:after="0" w:line="240" w:lineRule="auto"/>
        <w:contextualSpacing/>
        <w:jc w:val="both"/>
        <w:rPr>
          <w:rFonts w:ascii="Bookman Old Style" w:eastAsia="Times New Roman" w:hAnsi="Bookman Old Style" w:cs="Arial"/>
          <w:sz w:val="24"/>
          <w:szCs w:val="24"/>
          <w:lang w:eastAsia="es-ES"/>
        </w:rPr>
      </w:pPr>
    </w:p>
    <w:p w14:paraId="3922285D" w14:textId="34D60C30" w:rsidR="00D1226F" w:rsidRPr="008D3777" w:rsidRDefault="00D1226F" w:rsidP="008D3777">
      <w:pPr>
        <w:spacing w:after="0" w:line="240" w:lineRule="auto"/>
        <w:ind w:left="284"/>
        <w:contextualSpacing/>
        <w:jc w:val="both"/>
        <w:rPr>
          <w:rFonts w:ascii="Bookman Old Style" w:eastAsia="Times New Roman" w:hAnsi="Bookman Old Style" w:cs="Arial"/>
          <w:sz w:val="20"/>
          <w:szCs w:val="20"/>
          <w:lang w:eastAsia="es-ES"/>
        </w:rPr>
      </w:pPr>
      <w:r w:rsidRPr="008D3777">
        <w:rPr>
          <w:rFonts w:ascii="Bookman Old Style" w:eastAsia="Times New Roman" w:hAnsi="Bookman Old Style" w:cs="Arial"/>
          <w:i/>
          <w:sz w:val="20"/>
          <w:szCs w:val="20"/>
          <w:lang w:eastAsia="es-ES"/>
        </w:rPr>
        <w:t xml:space="preserve">“En virtud de lo determinado por </w:t>
      </w:r>
      <w:r w:rsidRPr="008D3777">
        <w:rPr>
          <w:rFonts w:ascii="Bookman Old Style" w:eastAsia="Times New Roman" w:hAnsi="Bookman Old Style" w:cs="Arial"/>
          <w:i/>
          <w:sz w:val="20"/>
          <w:szCs w:val="20"/>
          <w:u w:val="single"/>
          <w:lang w:eastAsia="es-ES"/>
        </w:rPr>
        <w:t>las leyes 142 y 143 de 1994, los decretos 1524 y 2253 de 1994, 1260 de 2013 y en especial lo dispuesto en el literal d del artículo 22 y el numeral 24.5 del artículo 24 de la Resolución CREG 091 de 2007</w:t>
      </w:r>
      <w:r w:rsidRPr="008D3777">
        <w:rPr>
          <w:rFonts w:ascii="Bookman Old Style" w:eastAsia="Times New Roman" w:hAnsi="Bookman Old Style" w:cs="Arial"/>
          <w:i/>
          <w:sz w:val="20"/>
          <w:szCs w:val="20"/>
          <w:lang w:eastAsia="es-ES"/>
        </w:rPr>
        <w:t xml:space="preserve">, la Comisión de Regulación de Energía y Gas cuenta con la competencia para resolver la solicitud presentada por la empresa </w:t>
      </w:r>
      <w:proofErr w:type="spellStart"/>
      <w:r w:rsidRPr="008D3777">
        <w:rPr>
          <w:rFonts w:ascii="Bookman Old Style" w:eastAsia="Times New Roman" w:hAnsi="Bookman Old Style" w:cs="Arial"/>
          <w:i/>
          <w:sz w:val="20"/>
          <w:szCs w:val="20"/>
          <w:lang w:eastAsia="es-ES"/>
        </w:rPr>
        <w:t>Due</w:t>
      </w:r>
      <w:proofErr w:type="spellEnd"/>
      <w:r w:rsidRPr="008D3777">
        <w:rPr>
          <w:rFonts w:ascii="Bookman Old Style" w:eastAsia="Times New Roman" w:hAnsi="Bookman Old Style" w:cs="Arial"/>
          <w:i/>
          <w:sz w:val="20"/>
          <w:szCs w:val="20"/>
          <w:lang w:eastAsia="es-ES"/>
        </w:rPr>
        <w:t xml:space="preserve"> Capital and </w:t>
      </w:r>
      <w:proofErr w:type="spellStart"/>
      <w:r w:rsidRPr="008D3777">
        <w:rPr>
          <w:rFonts w:ascii="Bookman Old Style" w:eastAsia="Times New Roman" w:hAnsi="Bookman Old Style" w:cs="Arial"/>
          <w:i/>
          <w:sz w:val="20"/>
          <w:szCs w:val="20"/>
          <w:lang w:eastAsia="es-ES"/>
        </w:rPr>
        <w:t>Services</w:t>
      </w:r>
      <w:proofErr w:type="spellEnd"/>
      <w:r w:rsidRPr="008D3777">
        <w:rPr>
          <w:rFonts w:ascii="Bookman Old Style" w:eastAsia="Times New Roman" w:hAnsi="Bookman Old Style" w:cs="Arial"/>
          <w:i/>
          <w:sz w:val="20"/>
          <w:szCs w:val="20"/>
          <w:lang w:eastAsia="es-ES"/>
        </w:rPr>
        <w:t xml:space="preserve"> S.A.S</w:t>
      </w:r>
      <w:r w:rsidRPr="008D3777">
        <w:rPr>
          <w:rFonts w:ascii="Bookman Old Style" w:eastAsia="Times New Roman" w:hAnsi="Bookman Old Style" w:cs="Arial"/>
          <w:sz w:val="20"/>
          <w:szCs w:val="20"/>
          <w:lang w:eastAsia="es-ES"/>
        </w:rPr>
        <w:t>.”  (</w:t>
      </w:r>
      <w:r w:rsidR="00012E4D" w:rsidRPr="008D3777">
        <w:rPr>
          <w:rFonts w:ascii="Bookman Old Style" w:eastAsia="Times New Roman" w:hAnsi="Bookman Old Style" w:cs="Arial"/>
          <w:sz w:val="20"/>
          <w:szCs w:val="20"/>
          <w:lang w:eastAsia="es-ES"/>
        </w:rPr>
        <w:t>S</w:t>
      </w:r>
      <w:r w:rsidRPr="008D3777">
        <w:rPr>
          <w:rFonts w:ascii="Bookman Old Style" w:eastAsia="Times New Roman" w:hAnsi="Bookman Old Style" w:cs="Arial"/>
          <w:sz w:val="20"/>
          <w:szCs w:val="20"/>
          <w:lang w:eastAsia="es-ES"/>
        </w:rPr>
        <w:t>ubrayado fuera de texto)</w:t>
      </w:r>
    </w:p>
    <w:p w14:paraId="6E733D3E" w14:textId="77777777" w:rsidR="00D1226F" w:rsidRPr="00D1226F" w:rsidRDefault="00D1226F" w:rsidP="00D1226F">
      <w:pPr>
        <w:spacing w:after="0" w:line="240" w:lineRule="auto"/>
        <w:contextualSpacing/>
        <w:jc w:val="both"/>
        <w:rPr>
          <w:rFonts w:ascii="Bookman Old Style" w:eastAsia="Times New Roman" w:hAnsi="Bookman Old Style" w:cs="Arial"/>
          <w:sz w:val="24"/>
          <w:szCs w:val="24"/>
          <w:lang w:eastAsia="es-ES"/>
        </w:rPr>
      </w:pPr>
    </w:p>
    <w:p w14:paraId="56015BF9" w14:textId="3323C965" w:rsidR="00D1226F" w:rsidRPr="00D1226F" w:rsidRDefault="00D1226F" w:rsidP="00D1226F">
      <w:pPr>
        <w:spacing w:after="0" w:line="240" w:lineRule="auto"/>
        <w:contextualSpacing/>
        <w:jc w:val="both"/>
        <w:rPr>
          <w:rFonts w:ascii="Bookman Old Style" w:eastAsia="Times New Roman" w:hAnsi="Bookman Old Style" w:cs="Arial"/>
          <w:sz w:val="24"/>
          <w:szCs w:val="24"/>
          <w:lang w:eastAsia="es-ES"/>
        </w:rPr>
      </w:pPr>
      <w:r w:rsidRPr="00D1226F">
        <w:rPr>
          <w:rFonts w:ascii="Bookman Old Style" w:eastAsia="Times New Roman" w:hAnsi="Bookman Old Style" w:cs="Arial"/>
          <w:sz w:val="24"/>
          <w:szCs w:val="24"/>
          <w:lang w:eastAsia="es-ES"/>
        </w:rPr>
        <w:t>Así las cosas, el fundamento de la solicitud presentada incluye</w:t>
      </w:r>
      <w:r w:rsidR="008D3777">
        <w:rPr>
          <w:rFonts w:ascii="Bookman Old Style" w:eastAsia="Times New Roman" w:hAnsi="Bookman Old Style" w:cs="Arial"/>
          <w:sz w:val="24"/>
          <w:szCs w:val="24"/>
          <w:lang w:eastAsia="es-ES"/>
        </w:rPr>
        <w:t>,</w:t>
      </w:r>
      <w:r w:rsidRPr="00D1226F">
        <w:rPr>
          <w:rFonts w:ascii="Bookman Old Style" w:eastAsia="Times New Roman" w:hAnsi="Bookman Old Style" w:cs="Arial"/>
          <w:sz w:val="24"/>
          <w:szCs w:val="24"/>
          <w:lang w:eastAsia="es-ES"/>
        </w:rPr>
        <w:t xml:space="preserve"> no solo las disposiciones previstas en la Resolución CREG 091 de 2007</w:t>
      </w:r>
      <w:r w:rsidR="008D3777">
        <w:rPr>
          <w:rFonts w:ascii="Bookman Old Style" w:eastAsia="Times New Roman" w:hAnsi="Bookman Old Style" w:cs="Arial"/>
          <w:sz w:val="24"/>
          <w:szCs w:val="24"/>
          <w:lang w:eastAsia="es-ES"/>
        </w:rPr>
        <w:t>,</w:t>
      </w:r>
      <w:r w:rsidRPr="00D1226F">
        <w:rPr>
          <w:rFonts w:ascii="Bookman Old Style" w:eastAsia="Times New Roman" w:hAnsi="Bookman Old Style" w:cs="Arial"/>
          <w:sz w:val="24"/>
          <w:szCs w:val="24"/>
          <w:lang w:eastAsia="es-ES"/>
        </w:rPr>
        <w:t xml:space="preserve"> sino también el marco normativo aplicable al servicio público domiciliario de energía eléctrica. </w:t>
      </w:r>
    </w:p>
    <w:p w14:paraId="0D324164" w14:textId="77777777" w:rsidR="00D1226F" w:rsidRPr="00D1226F" w:rsidRDefault="00D1226F" w:rsidP="00D1226F">
      <w:pPr>
        <w:spacing w:after="0" w:line="240" w:lineRule="auto"/>
        <w:contextualSpacing/>
        <w:jc w:val="both"/>
        <w:rPr>
          <w:rFonts w:ascii="Bookman Old Style" w:eastAsia="Times New Roman" w:hAnsi="Bookman Old Style" w:cs="Arial"/>
          <w:sz w:val="24"/>
          <w:szCs w:val="24"/>
          <w:lang w:eastAsia="es-ES"/>
        </w:rPr>
      </w:pPr>
    </w:p>
    <w:p w14:paraId="5C035C50" w14:textId="77777777" w:rsidR="00D1226F" w:rsidRPr="00D1226F" w:rsidRDefault="00D1226F" w:rsidP="00D1226F">
      <w:pPr>
        <w:suppressAutoHyphens/>
        <w:spacing w:after="0" w:line="240" w:lineRule="auto"/>
        <w:ind w:right="142"/>
        <w:jc w:val="both"/>
        <w:rPr>
          <w:rFonts w:ascii="Bookman Old Style" w:eastAsia="Times New Roman" w:hAnsi="Bookman Old Style" w:cs="Times New Roman"/>
          <w:spacing w:val="-3"/>
          <w:sz w:val="24"/>
          <w:szCs w:val="20"/>
          <w:lang w:val="es-ES_tradnl" w:eastAsia="es-ES"/>
        </w:rPr>
      </w:pPr>
      <w:r w:rsidRPr="00D1226F">
        <w:rPr>
          <w:rFonts w:ascii="Bookman Old Style" w:eastAsia="Times New Roman" w:hAnsi="Bookman Old Style" w:cs="Arial"/>
          <w:spacing w:val="-3"/>
          <w:sz w:val="24"/>
          <w:szCs w:val="24"/>
          <w:lang w:val="es-ES_tradnl" w:eastAsia="es-ES"/>
        </w:rPr>
        <w:t xml:space="preserve">En segundo lugar, en la Resolución CREG 124 de 2020 se </w:t>
      </w:r>
      <w:r w:rsidRPr="00D1226F">
        <w:rPr>
          <w:rFonts w:ascii="Bookman Old Style" w:eastAsia="Times New Roman" w:hAnsi="Bookman Old Style" w:cs="Times New Roman"/>
          <w:spacing w:val="-3"/>
          <w:sz w:val="24"/>
          <w:szCs w:val="20"/>
          <w:lang w:val="es-ES_tradnl" w:eastAsia="es-ES"/>
        </w:rPr>
        <w:t>determinó el cargo máximo de generación para el mercado relevante de comercialización de la cabecera municipal de Mitú en el departamento del Vaupés.</w:t>
      </w:r>
    </w:p>
    <w:p w14:paraId="07F951BE" w14:textId="77777777" w:rsidR="00D1226F" w:rsidRPr="00D1226F" w:rsidRDefault="00D1226F" w:rsidP="00D1226F">
      <w:pPr>
        <w:spacing w:after="0" w:line="240" w:lineRule="auto"/>
        <w:contextualSpacing/>
        <w:jc w:val="both"/>
        <w:rPr>
          <w:rFonts w:ascii="Bookman Old Style" w:eastAsia="Times New Roman" w:hAnsi="Bookman Old Style" w:cs="Arial"/>
          <w:sz w:val="24"/>
          <w:szCs w:val="24"/>
          <w:lang w:val="es-ES_tradnl" w:eastAsia="es-ES"/>
        </w:rPr>
      </w:pPr>
    </w:p>
    <w:p w14:paraId="02C18FFD" w14:textId="23A493B3" w:rsidR="00D1226F" w:rsidRPr="00D1226F" w:rsidRDefault="00D1226F" w:rsidP="00D1226F">
      <w:pPr>
        <w:spacing w:after="0" w:line="240" w:lineRule="auto"/>
        <w:jc w:val="both"/>
        <w:rPr>
          <w:rFonts w:ascii="Bookman Old Style" w:eastAsia="Times New Roman" w:hAnsi="Bookman Old Style" w:cs="Arial"/>
          <w:sz w:val="24"/>
          <w:szCs w:val="24"/>
          <w:lang w:eastAsia="es-ES"/>
        </w:rPr>
      </w:pPr>
      <w:r w:rsidRPr="00D1226F">
        <w:rPr>
          <w:rFonts w:ascii="Bookman Old Style" w:eastAsia="Times New Roman" w:hAnsi="Bookman Old Style" w:cs="Arial"/>
          <w:sz w:val="24"/>
          <w:szCs w:val="24"/>
          <w:lang w:eastAsia="es-ES"/>
        </w:rPr>
        <w:t>El contenido material de la decisión contiene la determinación de los componentes de remuneración de costos de inversión, administración, operación y mantenimiento para sistemas híbridos diésel, pequeña central hidroeléctrica, solar fotovoltaicos con acumulación</w:t>
      </w:r>
      <w:r w:rsidR="008D3777">
        <w:rPr>
          <w:rFonts w:ascii="Bookman Old Style" w:eastAsia="Times New Roman" w:hAnsi="Bookman Old Style" w:cs="Arial"/>
          <w:sz w:val="24"/>
          <w:szCs w:val="24"/>
          <w:lang w:eastAsia="es-ES"/>
        </w:rPr>
        <w:t>,</w:t>
      </w:r>
      <w:r w:rsidR="001E1AAA">
        <w:rPr>
          <w:rFonts w:ascii="Bookman Old Style" w:eastAsia="Times New Roman" w:hAnsi="Bookman Old Style" w:cs="Arial"/>
          <w:sz w:val="24"/>
          <w:szCs w:val="24"/>
          <w:lang w:eastAsia="es-ES"/>
        </w:rPr>
        <w:t xml:space="preserve"> y</w:t>
      </w:r>
      <w:r w:rsidRPr="00D1226F">
        <w:rPr>
          <w:rFonts w:ascii="Bookman Old Style" w:eastAsia="Times New Roman" w:hAnsi="Bookman Old Style" w:cs="Arial"/>
          <w:sz w:val="24"/>
          <w:szCs w:val="24"/>
          <w:lang w:eastAsia="es-ES"/>
        </w:rPr>
        <w:t xml:space="preserve"> la fórmula de actualización de los cargos máximo</w:t>
      </w:r>
      <w:r w:rsidR="008D3777">
        <w:rPr>
          <w:rFonts w:ascii="Bookman Old Style" w:eastAsia="Times New Roman" w:hAnsi="Bookman Old Style" w:cs="Arial"/>
          <w:sz w:val="24"/>
          <w:szCs w:val="24"/>
          <w:lang w:eastAsia="es-ES"/>
        </w:rPr>
        <w:t>s</w:t>
      </w:r>
      <w:r w:rsidR="001E1AAA">
        <w:rPr>
          <w:rFonts w:ascii="Bookman Old Style" w:eastAsia="Times New Roman" w:hAnsi="Bookman Old Style" w:cs="Arial"/>
          <w:sz w:val="24"/>
          <w:szCs w:val="24"/>
          <w:lang w:eastAsia="es-ES"/>
        </w:rPr>
        <w:t>. Así mismo, incluye</w:t>
      </w:r>
      <w:r w:rsidR="00787076">
        <w:rPr>
          <w:rFonts w:ascii="Bookman Old Style" w:eastAsia="Times New Roman" w:hAnsi="Bookman Old Style" w:cs="Arial"/>
          <w:sz w:val="24"/>
          <w:szCs w:val="24"/>
          <w:lang w:eastAsia="es-ES"/>
        </w:rPr>
        <w:t>n</w:t>
      </w:r>
      <w:r w:rsidR="001E1AAA">
        <w:rPr>
          <w:rFonts w:ascii="Bookman Old Style" w:eastAsia="Times New Roman" w:hAnsi="Bookman Old Style" w:cs="Arial"/>
          <w:sz w:val="24"/>
          <w:szCs w:val="24"/>
          <w:lang w:eastAsia="es-ES"/>
        </w:rPr>
        <w:t xml:space="preserve"> en el resuelve </w:t>
      </w:r>
      <w:r w:rsidRPr="00787076">
        <w:rPr>
          <w:rFonts w:ascii="Bookman Old Style" w:eastAsia="Times New Roman" w:hAnsi="Bookman Old Style" w:cs="Arial"/>
          <w:sz w:val="24"/>
          <w:szCs w:val="24"/>
          <w:lang w:eastAsia="es-ES"/>
        </w:rPr>
        <w:t xml:space="preserve">la inhibición de pronunciarse sobre la solicitud de conexión presentada por la empresa </w:t>
      </w:r>
      <w:proofErr w:type="spellStart"/>
      <w:r w:rsidRPr="00787076">
        <w:rPr>
          <w:rFonts w:ascii="Bookman Old Style" w:eastAsia="Times New Roman" w:hAnsi="Bookman Old Style" w:cs="Arial"/>
          <w:sz w:val="24"/>
          <w:szCs w:val="24"/>
          <w:lang w:eastAsia="es-ES"/>
        </w:rPr>
        <w:t>Due</w:t>
      </w:r>
      <w:proofErr w:type="spellEnd"/>
      <w:r w:rsidRPr="00787076">
        <w:rPr>
          <w:rFonts w:ascii="Bookman Old Style" w:eastAsia="Times New Roman" w:hAnsi="Bookman Old Style" w:cs="Arial"/>
          <w:sz w:val="24"/>
          <w:szCs w:val="24"/>
          <w:lang w:eastAsia="es-ES"/>
        </w:rPr>
        <w:t xml:space="preserve"> Capital and </w:t>
      </w:r>
      <w:proofErr w:type="spellStart"/>
      <w:r w:rsidRPr="00787076">
        <w:rPr>
          <w:rFonts w:ascii="Bookman Old Style" w:eastAsia="Times New Roman" w:hAnsi="Bookman Old Style" w:cs="Arial"/>
          <w:sz w:val="24"/>
          <w:szCs w:val="24"/>
          <w:lang w:eastAsia="es-ES"/>
        </w:rPr>
        <w:t>Services</w:t>
      </w:r>
      <w:proofErr w:type="spellEnd"/>
      <w:r w:rsidRPr="00787076">
        <w:rPr>
          <w:rFonts w:ascii="Bookman Old Style" w:eastAsia="Times New Roman" w:hAnsi="Bookman Old Style" w:cs="Arial"/>
          <w:sz w:val="24"/>
          <w:szCs w:val="24"/>
          <w:lang w:eastAsia="es-ES"/>
        </w:rPr>
        <w:t xml:space="preserve"> S.A.S. a GENSA S.A E.S.P</w:t>
      </w:r>
      <w:r w:rsidR="000B5551">
        <w:rPr>
          <w:rFonts w:ascii="Bookman Old Style" w:eastAsia="Times New Roman" w:hAnsi="Bookman Old Style" w:cs="Arial"/>
          <w:sz w:val="24"/>
          <w:szCs w:val="24"/>
          <w:lang w:eastAsia="es-ES"/>
        </w:rPr>
        <w:t>.,</w:t>
      </w:r>
      <w:r w:rsidRPr="00787076">
        <w:rPr>
          <w:rFonts w:ascii="Bookman Old Style" w:eastAsia="Times New Roman" w:hAnsi="Bookman Old Style" w:cs="Arial"/>
          <w:sz w:val="24"/>
          <w:szCs w:val="24"/>
          <w:lang w:eastAsia="es-ES"/>
        </w:rPr>
        <w:t xml:space="preserve"> y la enunciación de que</w:t>
      </w:r>
      <w:r w:rsidR="000B5551">
        <w:rPr>
          <w:rFonts w:ascii="Bookman Old Style" w:eastAsia="Times New Roman" w:hAnsi="Bookman Old Style" w:cs="Arial"/>
          <w:sz w:val="24"/>
          <w:szCs w:val="24"/>
          <w:lang w:eastAsia="es-ES"/>
        </w:rPr>
        <w:t>,</w:t>
      </w:r>
      <w:r w:rsidRPr="00787076">
        <w:rPr>
          <w:rFonts w:ascii="Bookman Old Style" w:eastAsia="Times New Roman" w:hAnsi="Bookman Old Style" w:cs="Arial"/>
          <w:sz w:val="24"/>
          <w:szCs w:val="24"/>
          <w:lang w:eastAsia="es-ES"/>
        </w:rPr>
        <w:t xml:space="preserve"> en resolución posterior de carácter general, esta Comisión definirá los principios y reglas aplicables para la coordinación del despacho y operación de recursos energéticos, así como los mecanismos de comercialización de energía eléctrica en las Zonas No Interconectadas.</w:t>
      </w:r>
    </w:p>
    <w:p w14:paraId="56BD8598" w14:textId="77777777" w:rsidR="00D1226F" w:rsidRPr="00D1226F" w:rsidRDefault="00D1226F" w:rsidP="00D1226F">
      <w:pPr>
        <w:spacing w:after="0" w:line="240" w:lineRule="auto"/>
        <w:contextualSpacing/>
        <w:jc w:val="both"/>
        <w:rPr>
          <w:rFonts w:ascii="Bookman Old Style" w:eastAsia="Times New Roman" w:hAnsi="Bookman Old Style" w:cs="Arial"/>
          <w:sz w:val="24"/>
          <w:szCs w:val="24"/>
          <w:lang w:eastAsia="es-ES"/>
        </w:rPr>
      </w:pPr>
    </w:p>
    <w:p w14:paraId="3FBB0A43" w14:textId="77777777" w:rsidR="00D1226F" w:rsidRPr="00D1226F" w:rsidRDefault="00D1226F" w:rsidP="00D1226F">
      <w:pPr>
        <w:spacing w:after="0" w:line="240" w:lineRule="auto"/>
        <w:contextualSpacing/>
        <w:jc w:val="both"/>
        <w:rPr>
          <w:rFonts w:ascii="Bookman Old Style" w:eastAsia="Times New Roman" w:hAnsi="Bookman Old Style" w:cs="Arial"/>
          <w:sz w:val="24"/>
          <w:szCs w:val="24"/>
          <w:lang w:eastAsia="es-ES"/>
        </w:rPr>
      </w:pPr>
      <w:r w:rsidRPr="00D1226F">
        <w:rPr>
          <w:rFonts w:ascii="Bookman Old Style" w:eastAsia="Times New Roman" w:hAnsi="Bookman Old Style" w:cs="Arial"/>
          <w:sz w:val="24"/>
          <w:szCs w:val="24"/>
          <w:lang w:eastAsia="es-ES"/>
        </w:rPr>
        <w:t xml:space="preserve">Debe resaltarse que la decisión adoptada se encuentra conforme con el alcance del literal d del artículo 22 y el numeral 5 del artículo 24 de la Resolución CREG 091 de 2007. </w:t>
      </w:r>
    </w:p>
    <w:p w14:paraId="0585885B" w14:textId="77777777" w:rsidR="00D1226F" w:rsidRPr="00D1226F" w:rsidRDefault="00D1226F" w:rsidP="00D1226F">
      <w:pPr>
        <w:spacing w:after="0" w:line="240" w:lineRule="auto"/>
        <w:contextualSpacing/>
        <w:jc w:val="both"/>
        <w:rPr>
          <w:rFonts w:ascii="Bookman Old Style" w:eastAsia="Times New Roman" w:hAnsi="Bookman Old Style" w:cs="Arial"/>
          <w:sz w:val="24"/>
          <w:szCs w:val="24"/>
          <w:lang w:eastAsia="es-ES"/>
        </w:rPr>
      </w:pPr>
    </w:p>
    <w:p w14:paraId="6ECCC0A1" w14:textId="7BC30075" w:rsidR="00D1226F" w:rsidRPr="00D1226F" w:rsidRDefault="00D1226F" w:rsidP="00D1226F">
      <w:pPr>
        <w:spacing w:after="0" w:line="240" w:lineRule="auto"/>
        <w:contextualSpacing/>
        <w:jc w:val="both"/>
        <w:rPr>
          <w:rFonts w:ascii="Bookman Old Style" w:eastAsia="Times New Roman" w:hAnsi="Bookman Old Style" w:cs="Arial"/>
          <w:sz w:val="24"/>
          <w:szCs w:val="24"/>
          <w:lang w:eastAsia="es-ES"/>
        </w:rPr>
      </w:pPr>
      <w:r w:rsidRPr="00D1226F">
        <w:rPr>
          <w:rFonts w:ascii="Bookman Old Style" w:eastAsia="Times New Roman" w:hAnsi="Bookman Old Style" w:cs="Arial"/>
          <w:sz w:val="24"/>
          <w:szCs w:val="24"/>
          <w:lang w:eastAsia="es-ES"/>
        </w:rPr>
        <w:t xml:space="preserve">El literal d) del artículo 22 de la Resolución CREG 091 de 2007 señala lo siguiente: </w:t>
      </w:r>
    </w:p>
    <w:p w14:paraId="4006DBD2" w14:textId="77777777" w:rsidR="00D1226F" w:rsidRPr="00D1226F" w:rsidRDefault="00D1226F" w:rsidP="00D1226F">
      <w:pPr>
        <w:spacing w:after="0" w:line="240" w:lineRule="auto"/>
        <w:contextualSpacing/>
        <w:jc w:val="both"/>
        <w:rPr>
          <w:rFonts w:ascii="Bookman Old Style" w:eastAsia="Times New Roman" w:hAnsi="Bookman Old Style" w:cs="Arial"/>
          <w:sz w:val="24"/>
          <w:szCs w:val="24"/>
          <w:lang w:eastAsia="es-ES"/>
        </w:rPr>
      </w:pPr>
    </w:p>
    <w:p w14:paraId="622BE087" w14:textId="77777777" w:rsidR="00D1226F" w:rsidRPr="000B5551" w:rsidRDefault="00D1226F" w:rsidP="000B5551">
      <w:pPr>
        <w:spacing w:after="0" w:line="240" w:lineRule="auto"/>
        <w:ind w:left="284"/>
        <w:contextualSpacing/>
        <w:jc w:val="both"/>
        <w:rPr>
          <w:rFonts w:ascii="Bookman Old Style" w:eastAsia="Times New Roman" w:hAnsi="Bookman Old Style" w:cs="Arial"/>
          <w:sz w:val="20"/>
          <w:szCs w:val="20"/>
          <w:lang w:eastAsia="es-ES"/>
        </w:rPr>
      </w:pPr>
      <w:r w:rsidRPr="000B5551">
        <w:rPr>
          <w:rFonts w:ascii="Bookman Old Style" w:eastAsia="Times New Roman" w:hAnsi="Bookman Old Style" w:cs="Arial"/>
          <w:sz w:val="20"/>
          <w:szCs w:val="20"/>
          <w:lang w:eastAsia="es-ES"/>
        </w:rPr>
        <w:t>“</w:t>
      </w:r>
      <w:r w:rsidRPr="000B5551">
        <w:rPr>
          <w:rFonts w:ascii="Bookman Old Style" w:eastAsia="Times New Roman" w:hAnsi="Bookman Old Style" w:cs="Arial"/>
          <w:i/>
          <w:sz w:val="20"/>
          <w:szCs w:val="20"/>
          <w:lang w:eastAsia="es-ES"/>
        </w:rPr>
        <w:t xml:space="preserve">Los costos unitarios de inversión para </w:t>
      </w:r>
      <w:r w:rsidRPr="000B5551">
        <w:rPr>
          <w:rFonts w:ascii="Bookman Old Style" w:eastAsia="Times New Roman" w:hAnsi="Bookman Old Style" w:cs="Arial"/>
          <w:i/>
          <w:sz w:val="20"/>
          <w:szCs w:val="20"/>
          <w:u w:val="single"/>
          <w:lang w:eastAsia="es-ES"/>
        </w:rPr>
        <w:t>sistemas híbridos y otras</w:t>
      </w:r>
      <w:r w:rsidRPr="000B5551">
        <w:rPr>
          <w:rFonts w:ascii="Bookman Old Style" w:eastAsia="Times New Roman" w:hAnsi="Bookman Old Style" w:cs="Arial"/>
          <w:i/>
          <w:sz w:val="20"/>
          <w:szCs w:val="20"/>
          <w:lang w:eastAsia="es-ES"/>
        </w:rPr>
        <w:t xml:space="preserve"> </w:t>
      </w:r>
      <w:r w:rsidRPr="000B5551">
        <w:rPr>
          <w:rFonts w:ascii="Bookman Old Style" w:eastAsia="Times New Roman" w:hAnsi="Bookman Old Style" w:cs="Arial"/>
          <w:i/>
          <w:sz w:val="20"/>
          <w:szCs w:val="20"/>
          <w:u w:val="single"/>
          <w:lang w:eastAsia="es-ES"/>
        </w:rPr>
        <w:t>tecnologías de generación no definidos</w:t>
      </w:r>
      <w:r w:rsidRPr="000B5551">
        <w:rPr>
          <w:rFonts w:ascii="Bookman Old Style" w:eastAsia="Times New Roman" w:hAnsi="Bookman Old Style" w:cs="Arial"/>
          <w:i/>
          <w:sz w:val="20"/>
          <w:szCs w:val="20"/>
          <w:lang w:eastAsia="es-ES"/>
        </w:rPr>
        <w:t xml:space="preserve"> en la presente resolución, podrán proponerse a la Comisión quién definirá en Resolución particular los costos correspondientes.</w:t>
      </w:r>
      <w:r w:rsidRPr="000B5551">
        <w:rPr>
          <w:rFonts w:ascii="Bookman Old Style" w:eastAsia="Times New Roman" w:hAnsi="Bookman Old Style" w:cs="Arial"/>
          <w:sz w:val="20"/>
          <w:szCs w:val="20"/>
          <w:lang w:eastAsia="es-ES"/>
        </w:rPr>
        <w:t>” (subrayado fuera de texto)</w:t>
      </w:r>
    </w:p>
    <w:p w14:paraId="485181B2" w14:textId="5AF2F5C8" w:rsidR="00D1226F" w:rsidRPr="00D1226F" w:rsidRDefault="00D1226F" w:rsidP="00D1226F">
      <w:pPr>
        <w:spacing w:after="0" w:line="240" w:lineRule="auto"/>
        <w:ind w:left="426"/>
        <w:contextualSpacing/>
        <w:jc w:val="both"/>
        <w:rPr>
          <w:rFonts w:ascii="Bookman Old Style" w:eastAsia="Times New Roman" w:hAnsi="Bookman Old Style" w:cs="Arial"/>
          <w:sz w:val="24"/>
          <w:szCs w:val="24"/>
          <w:lang w:eastAsia="es-ES"/>
        </w:rPr>
      </w:pPr>
    </w:p>
    <w:p w14:paraId="79E95DA8" w14:textId="77777777" w:rsidR="00D1226F" w:rsidRPr="00D1226F" w:rsidRDefault="00D1226F" w:rsidP="00D1226F">
      <w:pPr>
        <w:spacing w:after="0" w:line="240" w:lineRule="auto"/>
        <w:contextualSpacing/>
        <w:jc w:val="both"/>
        <w:rPr>
          <w:rFonts w:ascii="Bookman Old Style" w:eastAsia="Times New Roman" w:hAnsi="Bookman Old Style" w:cs="Arial"/>
          <w:sz w:val="24"/>
          <w:szCs w:val="24"/>
          <w:lang w:eastAsia="es-ES"/>
        </w:rPr>
      </w:pPr>
      <w:r w:rsidRPr="00D1226F">
        <w:rPr>
          <w:rFonts w:ascii="Bookman Old Style" w:eastAsia="Times New Roman" w:hAnsi="Bookman Old Style" w:cs="Arial"/>
          <w:sz w:val="24"/>
          <w:szCs w:val="24"/>
          <w:lang w:eastAsia="es-ES"/>
        </w:rPr>
        <w:t xml:space="preserve">Por su parte el numeral 5 del artículo 24 de la Resolución CREG 091 de 2007 establece: </w:t>
      </w:r>
    </w:p>
    <w:p w14:paraId="423E6814" w14:textId="77777777" w:rsidR="00012E4D" w:rsidRDefault="00012E4D" w:rsidP="00D1226F">
      <w:pPr>
        <w:spacing w:after="0" w:line="240" w:lineRule="auto"/>
        <w:ind w:left="426"/>
        <w:contextualSpacing/>
        <w:jc w:val="both"/>
        <w:rPr>
          <w:rFonts w:ascii="Bookman Old Style" w:eastAsia="Times New Roman" w:hAnsi="Bookman Old Style" w:cs="Arial"/>
          <w:sz w:val="20"/>
          <w:szCs w:val="20"/>
          <w:lang w:val="es-ES" w:eastAsia="es-ES"/>
        </w:rPr>
      </w:pPr>
    </w:p>
    <w:p w14:paraId="0554A6B1" w14:textId="41D923C7" w:rsidR="00D1226F" w:rsidRPr="000B5551" w:rsidRDefault="00D1226F" w:rsidP="000B5551">
      <w:pPr>
        <w:spacing w:after="0" w:line="240" w:lineRule="auto"/>
        <w:ind w:left="284"/>
        <w:contextualSpacing/>
        <w:jc w:val="both"/>
        <w:rPr>
          <w:rFonts w:ascii="Bookman Old Style" w:eastAsia="Times New Roman" w:hAnsi="Bookman Old Style" w:cs="Arial"/>
          <w:sz w:val="20"/>
          <w:szCs w:val="20"/>
          <w:lang w:val="es-ES" w:eastAsia="es-ES"/>
        </w:rPr>
      </w:pPr>
      <w:r w:rsidRPr="000B5551">
        <w:rPr>
          <w:rFonts w:ascii="Bookman Old Style" w:eastAsia="Times New Roman" w:hAnsi="Bookman Old Style" w:cs="Arial"/>
          <w:sz w:val="20"/>
          <w:szCs w:val="20"/>
          <w:lang w:val="es-ES" w:eastAsia="es-ES"/>
        </w:rPr>
        <w:t xml:space="preserve"> “</w:t>
      </w:r>
      <w:r w:rsidRPr="000B5551">
        <w:rPr>
          <w:rFonts w:ascii="Bookman Old Style" w:eastAsia="Times New Roman" w:hAnsi="Bookman Old Style" w:cs="Arial"/>
          <w:i/>
          <w:sz w:val="20"/>
          <w:szCs w:val="20"/>
          <w:lang w:val="es-ES" w:eastAsia="es-ES"/>
        </w:rPr>
        <w:t xml:space="preserve">Los costos unitarios de administración, operación y mantenimiento para </w:t>
      </w:r>
      <w:r w:rsidRPr="000B5551">
        <w:rPr>
          <w:rFonts w:ascii="Bookman Old Style" w:eastAsia="Times New Roman" w:hAnsi="Bookman Old Style" w:cs="Arial"/>
          <w:i/>
          <w:sz w:val="20"/>
          <w:szCs w:val="20"/>
          <w:u w:val="single"/>
          <w:lang w:val="es-ES" w:eastAsia="es-ES"/>
        </w:rPr>
        <w:t>tecnologías de generación no definidos</w:t>
      </w:r>
      <w:r w:rsidRPr="000B5551">
        <w:rPr>
          <w:rFonts w:ascii="Bookman Old Style" w:eastAsia="Times New Roman" w:hAnsi="Bookman Old Style" w:cs="Arial"/>
          <w:i/>
          <w:sz w:val="20"/>
          <w:szCs w:val="20"/>
          <w:lang w:val="es-ES" w:eastAsia="es-ES"/>
        </w:rPr>
        <w:t xml:space="preserve"> en la presente resolución podrán solicitarse a la Comisión, quien los definirá en Resolución particular</w:t>
      </w:r>
      <w:r w:rsidRPr="000B5551">
        <w:rPr>
          <w:rFonts w:ascii="Bookman Old Style" w:eastAsia="Times New Roman" w:hAnsi="Bookman Old Style" w:cs="Arial"/>
          <w:sz w:val="20"/>
          <w:szCs w:val="20"/>
          <w:lang w:val="es-ES" w:eastAsia="es-ES"/>
        </w:rPr>
        <w:t>”.</w:t>
      </w:r>
      <w:r w:rsidRPr="000B5551">
        <w:rPr>
          <w:rFonts w:ascii="Bookman Old Style" w:eastAsia="Times New Roman" w:hAnsi="Bookman Old Style" w:cs="Arial"/>
          <w:sz w:val="20"/>
          <w:szCs w:val="20"/>
          <w:lang w:eastAsia="es-ES"/>
        </w:rPr>
        <w:t xml:space="preserve"> (subrayado fuera de texto)</w:t>
      </w:r>
    </w:p>
    <w:p w14:paraId="1B8B854E" w14:textId="77777777" w:rsidR="00D1226F" w:rsidRPr="00D1226F" w:rsidRDefault="00D1226F" w:rsidP="00D1226F">
      <w:pPr>
        <w:spacing w:after="0" w:line="240" w:lineRule="auto"/>
        <w:contextualSpacing/>
        <w:jc w:val="both"/>
        <w:rPr>
          <w:rFonts w:ascii="Bookman Old Style" w:eastAsia="Times New Roman" w:hAnsi="Bookman Old Style" w:cs="Arial"/>
          <w:sz w:val="24"/>
          <w:szCs w:val="24"/>
          <w:lang w:eastAsia="es-ES"/>
        </w:rPr>
      </w:pPr>
    </w:p>
    <w:p w14:paraId="5285D33B" w14:textId="151B5690" w:rsidR="00D1226F" w:rsidRPr="00D1226F" w:rsidRDefault="00D1226F" w:rsidP="00D1226F">
      <w:pPr>
        <w:spacing w:after="0" w:line="240" w:lineRule="auto"/>
        <w:contextualSpacing/>
        <w:jc w:val="both"/>
        <w:rPr>
          <w:rFonts w:ascii="Bookman Old Style" w:eastAsia="Times New Roman" w:hAnsi="Bookman Old Style" w:cs="Arial"/>
          <w:sz w:val="24"/>
          <w:szCs w:val="24"/>
          <w:lang w:eastAsia="es-ES"/>
        </w:rPr>
      </w:pPr>
      <w:r w:rsidRPr="00D1226F">
        <w:rPr>
          <w:rFonts w:ascii="Bookman Old Style" w:eastAsia="Times New Roman" w:hAnsi="Bookman Old Style" w:cs="Arial"/>
          <w:sz w:val="24"/>
          <w:szCs w:val="24"/>
          <w:lang w:eastAsia="es-ES"/>
        </w:rPr>
        <w:t>Respecto de las disposiciones citadas</w:t>
      </w:r>
      <w:r w:rsidR="000B5551">
        <w:rPr>
          <w:rFonts w:ascii="Bookman Old Style" w:eastAsia="Times New Roman" w:hAnsi="Bookman Old Style" w:cs="Arial"/>
          <w:sz w:val="24"/>
          <w:szCs w:val="24"/>
          <w:lang w:eastAsia="es-ES"/>
        </w:rPr>
        <w:t>,</w:t>
      </w:r>
      <w:r w:rsidRPr="00D1226F">
        <w:rPr>
          <w:rFonts w:ascii="Bookman Old Style" w:eastAsia="Times New Roman" w:hAnsi="Bookman Old Style" w:cs="Arial"/>
          <w:sz w:val="24"/>
          <w:szCs w:val="24"/>
          <w:lang w:eastAsia="es-ES"/>
        </w:rPr>
        <w:t xml:space="preserve"> es importante tener en cuenta su alcance, ya que el mismo se refiere a la definición de costos unitarios de inversión, administración, operación y mantenimiento de sistemas híbridos y tecnologías de generación no definidas</w:t>
      </w:r>
      <w:r w:rsidR="0021328B">
        <w:rPr>
          <w:rFonts w:ascii="Bookman Old Style" w:eastAsia="Times New Roman" w:hAnsi="Bookman Old Style" w:cs="Arial"/>
          <w:sz w:val="24"/>
          <w:szCs w:val="24"/>
          <w:lang w:eastAsia="es-ES"/>
        </w:rPr>
        <w:t xml:space="preserve"> en la metodología tarifaria</w:t>
      </w:r>
      <w:r w:rsidRPr="00D1226F">
        <w:rPr>
          <w:rFonts w:ascii="Bookman Old Style" w:eastAsia="Times New Roman" w:hAnsi="Bookman Old Style" w:cs="Arial"/>
          <w:sz w:val="24"/>
          <w:szCs w:val="24"/>
          <w:lang w:eastAsia="es-ES"/>
        </w:rPr>
        <w:t>. En ningún aparte de los precitados artículos se establece que la definición de costos sea para un proyecto</w:t>
      </w:r>
      <w:r w:rsidR="000B5551">
        <w:rPr>
          <w:rFonts w:ascii="Bookman Old Style" w:eastAsia="Times New Roman" w:hAnsi="Bookman Old Style" w:cs="Arial"/>
          <w:sz w:val="24"/>
          <w:szCs w:val="24"/>
          <w:lang w:eastAsia="es-ES"/>
        </w:rPr>
        <w:t>. P</w:t>
      </w:r>
      <w:r w:rsidRPr="00D1226F">
        <w:rPr>
          <w:rFonts w:ascii="Bookman Old Style" w:eastAsia="Times New Roman" w:hAnsi="Bookman Old Style" w:cs="Arial"/>
          <w:sz w:val="24"/>
          <w:szCs w:val="24"/>
          <w:lang w:eastAsia="es-ES"/>
        </w:rPr>
        <w:t xml:space="preserve">or el contrario, está expresamente indicado que la Comisión define los costos unitarios para las tecnologías de generación que no se encuentren previstas en la Resolución CREG 091 de 2007.   </w:t>
      </w:r>
    </w:p>
    <w:p w14:paraId="73056CBA" w14:textId="77777777" w:rsidR="00D1226F" w:rsidRPr="00D1226F" w:rsidRDefault="00D1226F" w:rsidP="00D1226F">
      <w:pPr>
        <w:spacing w:after="0" w:line="240" w:lineRule="auto"/>
        <w:contextualSpacing/>
        <w:jc w:val="both"/>
        <w:rPr>
          <w:rFonts w:ascii="Bookman Old Style" w:eastAsia="Times New Roman" w:hAnsi="Bookman Old Style" w:cs="Arial"/>
          <w:sz w:val="24"/>
          <w:szCs w:val="24"/>
          <w:lang w:eastAsia="es-ES"/>
        </w:rPr>
      </w:pPr>
    </w:p>
    <w:p w14:paraId="322903CC" w14:textId="4BD20609" w:rsidR="00D1226F" w:rsidRPr="00D1226F" w:rsidRDefault="00D1226F" w:rsidP="00D1226F">
      <w:pPr>
        <w:spacing w:after="0" w:line="240" w:lineRule="auto"/>
        <w:contextualSpacing/>
        <w:jc w:val="both"/>
        <w:rPr>
          <w:rFonts w:ascii="Bookman Old Style" w:eastAsia="Times New Roman" w:hAnsi="Bookman Old Style" w:cs="Arial"/>
          <w:sz w:val="24"/>
          <w:szCs w:val="24"/>
          <w:lang w:eastAsia="es-ES"/>
        </w:rPr>
      </w:pPr>
      <w:r w:rsidRPr="00D1226F">
        <w:rPr>
          <w:rFonts w:ascii="Bookman Old Style" w:eastAsia="Times New Roman" w:hAnsi="Bookman Old Style" w:cs="Arial"/>
          <w:sz w:val="24"/>
          <w:szCs w:val="24"/>
          <w:lang w:eastAsia="es-ES"/>
        </w:rPr>
        <w:t>En ese sentido, si bien la actuación administrativa fue iniciada a solicitud de parte</w:t>
      </w:r>
      <w:r w:rsidR="000B5551">
        <w:rPr>
          <w:rFonts w:ascii="Bookman Old Style" w:eastAsia="Times New Roman" w:hAnsi="Bookman Old Style" w:cs="Arial"/>
          <w:sz w:val="24"/>
          <w:szCs w:val="24"/>
          <w:lang w:eastAsia="es-ES"/>
        </w:rPr>
        <w:t>,</w:t>
      </w:r>
      <w:r w:rsidRPr="00D1226F">
        <w:rPr>
          <w:rFonts w:ascii="Bookman Old Style" w:eastAsia="Times New Roman" w:hAnsi="Bookman Old Style" w:cs="Arial"/>
          <w:sz w:val="24"/>
          <w:szCs w:val="24"/>
          <w:lang w:eastAsia="es-ES"/>
        </w:rPr>
        <w:t xml:space="preserve"> y para su decisión se consideró información presentada por la empresa, los efectos y la decisión adoptada están dirigidas</w:t>
      </w:r>
      <w:r w:rsidR="000B5551">
        <w:rPr>
          <w:rFonts w:ascii="Bookman Old Style" w:eastAsia="Times New Roman" w:hAnsi="Bookman Old Style" w:cs="Arial"/>
          <w:sz w:val="24"/>
          <w:szCs w:val="24"/>
          <w:lang w:eastAsia="es-ES"/>
        </w:rPr>
        <w:t>,</w:t>
      </w:r>
      <w:r w:rsidRPr="00D1226F">
        <w:rPr>
          <w:rFonts w:ascii="Bookman Old Style" w:eastAsia="Times New Roman" w:hAnsi="Bookman Old Style" w:cs="Arial"/>
          <w:sz w:val="24"/>
          <w:szCs w:val="24"/>
          <w:lang w:eastAsia="es-ES"/>
        </w:rPr>
        <w:t xml:space="preserve"> de una parte a los usuarios</w:t>
      </w:r>
      <w:r w:rsidR="000B5551">
        <w:rPr>
          <w:rFonts w:ascii="Bookman Old Style" w:eastAsia="Times New Roman" w:hAnsi="Bookman Old Style" w:cs="Arial"/>
          <w:sz w:val="24"/>
          <w:szCs w:val="24"/>
          <w:lang w:eastAsia="es-ES"/>
        </w:rPr>
        <w:t>,</w:t>
      </w:r>
      <w:r w:rsidRPr="00D1226F">
        <w:rPr>
          <w:rFonts w:ascii="Bookman Old Style" w:eastAsia="Times New Roman" w:hAnsi="Bookman Old Style" w:cs="Arial"/>
          <w:sz w:val="24"/>
          <w:szCs w:val="24"/>
          <w:lang w:eastAsia="es-ES"/>
        </w:rPr>
        <w:t xml:space="preserve"> y de otra parte a los prestadores del servicio en el mercado o zona específica donde se tenga previsto la utilización de una tecnología de generación diferente a las previstas en la Resolución CREG 091 de 2007, en la medida en que el alcance definido para el desarrollo de la actuación administrativa se circunscribe a la determinación de costos unitarios. </w:t>
      </w:r>
    </w:p>
    <w:p w14:paraId="6A83760F" w14:textId="77777777" w:rsidR="00D1226F" w:rsidRPr="00D1226F" w:rsidRDefault="00D1226F" w:rsidP="00D1226F">
      <w:pPr>
        <w:spacing w:after="0" w:line="240" w:lineRule="auto"/>
        <w:contextualSpacing/>
        <w:jc w:val="both"/>
        <w:rPr>
          <w:rFonts w:ascii="Bookman Old Style" w:eastAsia="Times New Roman" w:hAnsi="Bookman Old Style" w:cs="Arial"/>
          <w:sz w:val="24"/>
          <w:szCs w:val="24"/>
          <w:lang w:eastAsia="es-ES"/>
        </w:rPr>
      </w:pPr>
    </w:p>
    <w:p w14:paraId="50550C31" w14:textId="477C7C8B" w:rsidR="00D1226F" w:rsidRPr="00D1226F" w:rsidRDefault="00D1226F" w:rsidP="00D1226F">
      <w:pPr>
        <w:spacing w:after="0" w:line="240" w:lineRule="auto"/>
        <w:contextualSpacing/>
        <w:jc w:val="both"/>
        <w:rPr>
          <w:rFonts w:ascii="Bookman Old Style" w:eastAsia="Times New Roman" w:hAnsi="Bookman Old Style" w:cs="Arial"/>
          <w:sz w:val="24"/>
          <w:szCs w:val="24"/>
          <w:lang w:eastAsia="es-ES"/>
        </w:rPr>
      </w:pPr>
      <w:r w:rsidRPr="00D1226F">
        <w:rPr>
          <w:rFonts w:ascii="Bookman Old Style" w:eastAsia="Times New Roman" w:hAnsi="Bookman Old Style" w:cs="Arial"/>
          <w:sz w:val="24"/>
          <w:szCs w:val="24"/>
          <w:lang w:eastAsia="es-ES"/>
        </w:rPr>
        <w:t>En el desarrollo de la actuación administrativa se realizaron las respectivas publicaciones del aviso con el extracto resumen de la actuación, para que los usuarios y cualquier interesado pudieran hacerse parte</w:t>
      </w:r>
      <w:r w:rsidR="000B5551">
        <w:rPr>
          <w:rFonts w:ascii="Bookman Old Style" w:eastAsia="Times New Roman" w:hAnsi="Bookman Old Style" w:cs="Arial"/>
          <w:sz w:val="24"/>
          <w:szCs w:val="24"/>
          <w:lang w:eastAsia="es-ES"/>
        </w:rPr>
        <w:t>,</w:t>
      </w:r>
      <w:r w:rsidRPr="00D1226F">
        <w:rPr>
          <w:rFonts w:ascii="Bookman Old Style" w:eastAsia="Times New Roman" w:hAnsi="Bookman Old Style" w:cs="Arial"/>
          <w:sz w:val="24"/>
          <w:szCs w:val="24"/>
          <w:lang w:eastAsia="es-ES"/>
        </w:rPr>
        <w:t xml:space="preserve"> y se le comunicó del inicio de la actuación a la Alcaldía Municipal y a la Gobernación del Vaupés. Siendo reconocido </w:t>
      </w:r>
      <w:r w:rsidRPr="004339EA">
        <w:rPr>
          <w:rFonts w:ascii="Bookman Old Style" w:eastAsia="Times New Roman" w:hAnsi="Bookman Old Style" w:cs="Arial"/>
          <w:sz w:val="24"/>
          <w:szCs w:val="24"/>
          <w:lang w:eastAsia="es-ES"/>
        </w:rPr>
        <w:t>como tercero interesado</w:t>
      </w:r>
      <w:r w:rsidRPr="00D1226F">
        <w:rPr>
          <w:rFonts w:ascii="Bookman Old Style" w:eastAsia="Times New Roman" w:hAnsi="Bookman Old Style" w:cs="Arial"/>
          <w:sz w:val="24"/>
          <w:szCs w:val="24"/>
          <w:lang w:eastAsia="es-ES"/>
        </w:rPr>
        <w:t xml:space="preserve"> dentro de la actuación administrativa la empresa GENSA S.A</w:t>
      </w:r>
      <w:r w:rsidR="000B5551">
        <w:rPr>
          <w:rFonts w:ascii="Bookman Old Style" w:eastAsia="Times New Roman" w:hAnsi="Bookman Old Style" w:cs="Arial"/>
          <w:sz w:val="24"/>
          <w:szCs w:val="24"/>
          <w:lang w:eastAsia="es-ES"/>
        </w:rPr>
        <w:t>.</w:t>
      </w:r>
      <w:r w:rsidRPr="00D1226F">
        <w:rPr>
          <w:rFonts w:ascii="Bookman Old Style" w:eastAsia="Times New Roman" w:hAnsi="Bookman Old Style" w:cs="Arial"/>
          <w:sz w:val="24"/>
          <w:szCs w:val="24"/>
          <w:lang w:eastAsia="es-ES"/>
        </w:rPr>
        <w:t xml:space="preserve"> E.S.P.  </w:t>
      </w:r>
    </w:p>
    <w:p w14:paraId="69C19F78" w14:textId="77777777" w:rsidR="00D1226F" w:rsidRPr="00D1226F" w:rsidRDefault="00D1226F" w:rsidP="00D1226F">
      <w:pPr>
        <w:spacing w:after="0" w:line="240" w:lineRule="auto"/>
        <w:contextualSpacing/>
        <w:jc w:val="both"/>
        <w:rPr>
          <w:rFonts w:ascii="Bookman Old Style" w:eastAsia="Times New Roman" w:hAnsi="Bookman Old Style" w:cs="Arial"/>
          <w:sz w:val="24"/>
          <w:szCs w:val="24"/>
          <w:lang w:eastAsia="es-ES"/>
        </w:rPr>
      </w:pPr>
    </w:p>
    <w:p w14:paraId="440FBF78" w14:textId="79F63236" w:rsidR="00D1226F" w:rsidRPr="00D1226F" w:rsidRDefault="00D1226F" w:rsidP="00D1226F">
      <w:pPr>
        <w:spacing w:after="0" w:line="240" w:lineRule="auto"/>
        <w:contextualSpacing/>
        <w:jc w:val="both"/>
        <w:rPr>
          <w:rFonts w:ascii="Bookman Old Style" w:eastAsia="Times New Roman" w:hAnsi="Bookman Old Style" w:cs="Arial"/>
          <w:sz w:val="24"/>
          <w:szCs w:val="24"/>
          <w:lang w:eastAsia="es-ES"/>
        </w:rPr>
      </w:pPr>
      <w:r w:rsidRPr="00D1226F">
        <w:rPr>
          <w:rFonts w:ascii="Bookman Old Style" w:eastAsia="Times New Roman" w:hAnsi="Bookman Old Style" w:cs="Arial"/>
          <w:sz w:val="24"/>
          <w:szCs w:val="24"/>
          <w:lang w:eastAsia="es-ES"/>
        </w:rPr>
        <w:t>Adicionalmente, no pueden perderse de vista los sujetos objeto de regulación. La CREG regula la prestación del servicio de energía eléctrica y, en consecuencia, a quienes prestan el servicio. El promotor de un proyecto no es un sujeto regulado por parte de la CREG y</w:t>
      </w:r>
      <w:r w:rsidR="000B5551">
        <w:rPr>
          <w:rFonts w:ascii="Bookman Old Style" w:eastAsia="Times New Roman" w:hAnsi="Bookman Old Style" w:cs="Arial"/>
          <w:sz w:val="24"/>
          <w:szCs w:val="24"/>
          <w:lang w:eastAsia="es-ES"/>
        </w:rPr>
        <w:t>,</w:t>
      </w:r>
      <w:r w:rsidRPr="00D1226F">
        <w:rPr>
          <w:rFonts w:ascii="Bookman Old Style" w:eastAsia="Times New Roman" w:hAnsi="Bookman Old Style" w:cs="Arial"/>
          <w:sz w:val="24"/>
          <w:szCs w:val="24"/>
          <w:lang w:eastAsia="es-ES"/>
        </w:rPr>
        <w:t xml:space="preserve"> por tal motivo</w:t>
      </w:r>
      <w:r w:rsidR="000B5551">
        <w:rPr>
          <w:rFonts w:ascii="Bookman Old Style" w:eastAsia="Times New Roman" w:hAnsi="Bookman Old Style" w:cs="Arial"/>
          <w:sz w:val="24"/>
          <w:szCs w:val="24"/>
          <w:lang w:eastAsia="es-ES"/>
        </w:rPr>
        <w:t>,</w:t>
      </w:r>
      <w:r w:rsidRPr="00D1226F">
        <w:rPr>
          <w:rFonts w:ascii="Bookman Old Style" w:eastAsia="Times New Roman" w:hAnsi="Bookman Old Style" w:cs="Arial"/>
          <w:sz w:val="24"/>
          <w:szCs w:val="24"/>
          <w:lang w:eastAsia="es-ES"/>
        </w:rPr>
        <w:t xml:space="preserve"> no le es posible a esta Comisión definirle una remuneración en particular.</w:t>
      </w:r>
    </w:p>
    <w:p w14:paraId="2B31489E" w14:textId="77777777" w:rsidR="00D1226F" w:rsidRPr="00D1226F" w:rsidRDefault="00D1226F" w:rsidP="00D1226F">
      <w:pPr>
        <w:spacing w:after="0" w:line="240" w:lineRule="auto"/>
        <w:contextualSpacing/>
        <w:jc w:val="both"/>
        <w:rPr>
          <w:rFonts w:ascii="Bookman Old Style" w:eastAsia="Times New Roman" w:hAnsi="Bookman Old Style" w:cs="Arial"/>
          <w:sz w:val="24"/>
          <w:szCs w:val="24"/>
          <w:lang w:eastAsia="es-ES"/>
        </w:rPr>
      </w:pPr>
    </w:p>
    <w:p w14:paraId="1CBBB010" w14:textId="77777777" w:rsidR="00D1226F" w:rsidRPr="00D1226F" w:rsidRDefault="00D1226F" w:rsidP="00D1226F">
      <w:pPr>
        <w:spacing w:after="0" w:line="240" w:lineRule="auto"/>
        <w:contextualSpacing/>
        <w:jc w:val="both"/>
        <w:rPr>
          <w:rFonts w:ascii="Bookman Old Style" w:eastAsia="Times New Roman" w:hAnsi="Bookman Old Style" w:cs="Arial"/>
          <w:sz w:val="24"/>
          <w:szCs w:val="24"/>
          <w:lang w:eastAsia="es-ES"/>
        </w:rPr>
      </w:pPr>
      <w:r w:rsidRPr="00D1226F">
        <w:rPr>
          <w:rFonts w:ascii="Bookman Old Style" w:eastAsia="Times New Roman" w:hAnsi="Bookman Old Style" w:cs="Arial"/>
          <w:sz w:val="24"/>
          <w:szCs w:val="24"/>
          <w:lang w:eastAsia="es-ES"/>
        </w:rPr>
        <w:t xml:space="preserve">De acuerdo con información que reposa en el SUI, para la prestación del servicio en la cabecera municipal de Mitú </w:t>
      </w:r>
      <w:r w:rsidRPr="00D1226F">
        <w:rPr>
          <w:rFonts w:ascii="Bookman Old Style" w:eastAsia="Times New Roman" w:hAnsi="Bookman Old Style" w:cs="Arial"/>
          <w:sz w:val="24"/>
          <w:szCs w:val="24"/>
          <w:lang w:val="es-ES" w:eastAsia="es-ES"/>
        </w:rPr>
        <w:t>se encuentra registrada la empresa Gestión Energética S.A. E.S.P., GENSA, en la actividad de generación de energía eléctrica, y el Departamento del Vaupés en las actividades de distribución y comercialización de energía eléctrica. Para las demás poblaciones que hacen parte del municipio de Mitú, el Departamento del Vaupés se encuentra registrado como generador, distribuidor y comercializador.</w:t>
      </w:r>
    </w:p>
    <w:p w14:paraId="675E2768" w14:textId="77777777" w:rsidR="00D1226F" w:rsidRPr="00D1226F" w:rsidRDefault="00D1226F" w:rsidP="00D1226F">
      <w:pPr>
        <w:spacing w:after="0" w:line="240" w:lineRule="auto"/>
        <w:contextualSpacing/>
        <w:jc w:val="both"/>
        <w:rPr>
          <w:rFonts w:ascii="Bookman Old Style" w:eastAsia="Times New Roman" w:hAnsi="Bookman Old Style" w:cs="Arial"/>
          <w:sz w:val="24"/>
          <w:szCs w:val="24"/>
          <w:lang w:val="es-ES" w:eastAsia="es-ES"/>
        </w:rPr>
      </w:pPr>
    </w:p>
    <w:p w14:paraId="221AB991" w14:textId="63662A6A" w:rsidR="00D1226F" w:rsidRPr="00D1226F" w:rsidRDefault="00D1226F" w:rsidP="00D1226F">
      <w:pPr>
        <w:spacing w:after="0" w:line="240" w:lineRule="auto"/>
        <w:contextualSpacing/>
        <w:jc w:val="both"/>
        <w:rPr>
          <w:rFonts w:ascii="Bookman Old Style" w:eastAsia="Times New Roman" w:hAnsi="Bookman Old Style" w:cs="Arial"/>
          <w:sz w:val="24"/>
          <w:szCs w:val="24"/>
          <w:lang w:eastAsia="es-ES"/>
        </w:rPr>
      </w:pPr>
      <w:r w:rsidRPr="00D1226F">
        <w:rPr>
          <w:rFonts w:ascii="Bookman Old Style" w:eastAsia="Times New Roman" w:hAnsi="Bookman Old Style" w:cs="Arial"/>
          <w:sz w:val="24"/>
          <w:szCs w:val="24"/>
          <w:lang w:eastAsia="es-ES"/>
        </w:rPr>
        <w:t>Teniendo en cuenta estas consideraciones</w:t>
      </w:r>
      <w:r w:rsidR="000B5551">
        <w:rPr>
          <w:rFonts w:ascii="Bookman Old Style" w:eastAsia="Times New Roman" w:hAnsi="Bookman Old Style" w:cs="Arial"/>
          <w:sz w:val="24"/>
          <w:szCs w:val="24"/>
          <w:lang w:eastAsia="es-ES"/>
        </w:rPr>
        <w:t>,</w:t>
      </w:r>
      <w:r w:rsidRPr="00D1226F">
        <w:rPr>
          <w:rFonts w:ascii="Bookman Old Style" w:eastAsia="Times New Roman" w:hAnsi="Bookman Old Style" w:cs="Arial"/>
          <w:sz w:val="24"/>
          <w:szCs w:val="24"/>
          <w:lang w:eastAsia="es-ES"/>
        </w:rPr>
        <w:t xml:space="preserve"> y que las competencias de la Comisión se ciñen a la definición de fórmulas tarifarias y tarifas para la prestación del servicio público domiciliario de energía eléctrica</w:t>
      </w:r>
      <w:r w:rsidR="000B5551">
        <w:rPr>
          <w:rFonts w:ascii="Bookman Old Style" w:eastAsia="Times New Roman" w:hAnsi="Bookman Old Style" w:cs="Arial"/>
          <w:sz w:val="24"/>
          <w:szCs w:val="24"/>
          <w:lang w:eastAsia="es-ES"/>
        </w:rPr>
        <w:t>,</w:t>
      </w:r>
      <w:r w:rsidRPr="00D1226F">
        <w:rPr>
          <w:rFonts w:ascii="Bookman Old Style" w:eastAsia="Times New Roman" w:hAnsi="Bookman Old Style" w:cs="Arial"/>
          <w:sz w:val="24"/>
          <w:szCs w:val="24"/>
          <w:lang w:eastAsia="es-ES"/>
        </w:rPr>
        <w:t xml:space="preserve"> y no a la remuneración de proyectos, en la Resolución CREG 124 de 2020 se establece el costo eficiente que puede trasladarse a un usuario que sea atendido con un sistema solar fotovoltaico con acumulación, sin restringirse su aplicación a un comercializador en particular. </w:t>
      </w:r>
    </w:p>
    <w:p w14:paraId="764DC205" w14:textId="77777777" w:rsidR="00D1226F" w:rsidRPr="00D1226F" w:rsidRDefault="00D1226F" w:rsidP="00D1226F">
      <w:pPr>
        <w:spacing w:after="0" w:line="240" w:lineRule="auto"/>
        <w:contextualSpacing/>
        <w:jc w:val="both"/>
        <w:rPr>
          <w:rFonts w:ascii="Bookman Old Style" w:eastAsia="Times New Roman" w:hAnsi="Bookman Old Style" w:cs="Arial"/>
          <w:sz w:val="24"/>
          <w:szCs w:val="24"/>
          <w:lang w:eastAsia="es-ES"/>
        </w:rPr>
      </w:pPr>
    </w:p>
    <w:p w14:paraId="20192B8F" w14:textId="615FE7B4" w:rsidR="00D1226F" w:rsidRPr="00D1226F" w:rsidRDefault="00D1226F" w:rsidP="00D1226F">
      <w:pPr>
        <w:spacing w:after="0" w:line="240" w:lineRule="auto"/>
        <w:contextualSpacing/>
        <w:jc w:val="both"/>
        <w:rPr>
          <w:rFonts w:ascii="Bookman Old Style" w:eastAsia="Times New Roman" w:hAnsi="Bookman Old Style" w:cs="Arial"/>
          <w:sz w:val="24"/>
          <w:szCs w:val="24"/>
          <w:lang w:eastAsia="es-ES"/>
        </w:rPr>
      </w:pPr>
      <w:r w:rsidRPr="00D1226F">
        <w:rPr>
          <w:rFonts w:ascii="Bookman Old Style" w:eastAsia="Times New Roman" w:hAnsi="Bookman Old Style" w:cs="Arial"/>
          <w:sz w:val="24"/>
          <w:szCs w:val="24"/>
          <w:lang w:eastAsia="es-ES"/>
        </w:rPr>
        <w:t>Debe resaltarse que</w:t>
      </w:r>
      <w:r w:rsidR="000B5551">
        <w:rPr>
          <w:rFonts w:ascii="Bookman Old Style" w:eastAsia="Times New Roman" w:hAnsi="Bookman Old Style" w:cs="Arial"/>
          <w:sz w:val="24"/>
          <w:szCs w:val="24"/>
          <w:lang w:eastAsia="es-ES"/>
        </w:rPr>
        <w:t>,</w:t>
      </w:r>
      <w:r w:rsidRPr="00D1226F">
        <w:rPr>
          <w:rFonts w:ascii="Bookman Old Style" w:eastAsia="Times New Roman" w:hAnsi="Bookman Old Style" w:cs="Arial"/>
          <w:sz w:val="24"/>
          <w:szCs w:val="24"/>
          <w:lang w:eastAsia="es-ES"/>
        </w:rPr>
        <w:t xml:space="preserve"> a partir de la solicitud presentada, el asunto a resolver en la actuación administrativa por parte de esta Comisión consistió en determinar el costo de prestación del servicio, de generación en este caso, cuando se utiliza el tipo de tecnologías como el de la solicitud, no previsto en el marco tarifario vigente y, en desarrollo de este asunto</w:t>
      </w:r>
      <w:r w:rsidR="000B5551">
        <w:rPr>
          <w:rFonts w:ascii="Bookman Old Style" w:eastAsia="Times New Roman" w:hAnsi="Bookman Old Style" w:cs="Arial"/>
          <w:sz w:val="24"/>
          <w:szCs w:val="24"/>
          <w:lang w:eastAsia="es-ES"/>
        </w:rPr>
        <w:t>,</w:t>
      </w:r>
      <w:r w:rsidRPr="00D1226F">
        <w:rPr>
          <w:rFonts w:ascii="Bookman Old Style" w:eastAsia="Times New Roman" w:hAnsi="Bookman Old Style" w:cs="Arial"/>
          <w:sz w:val="24"/>
          <w:szCs w:val="24"/>
          <w:lang w:eastAsia="es-ES"/>
        </w:rPr>
        <w:t xml:space="preserve"> y atendiendo a la aplicación de una metodología de precio máximo para remunerar costos eficientes, la Comisión adelantó los análisis de los costos propuestos por la empresa y determinó los criterios para considerar si los mismos eran o no los eficientes. Quedando siempre a discrecionalidad y análisis por parte de los prestadores del servicio o del generador la decisión sobre el tipo de planta que instala. </w:t>
      </w:r>
    </w:p>
    <w:p w14:paraId="00A8DC9A" w14:textId="77777777" w:rsidR="00D1226F" w:rsidRPr="00D1226F" w:rsidRDefault="00D1226F" w:rsidP="00D1226F">
      <w:pPr>
        <w:spacing w:after="0" w:line="240" w:lineRule="auto"/>
        <w:contextualSpacing/>
        <w:jc w:val="both"/>
        <w:rPr>
          <w:rFonts w:ascii="Bookman Old Style" w:eastAsia="Times New Roman" w:hAnsi="Bookman Old Style" w:cs="Arial"/>
          <w:sz w:val="24"/>
          <w:szCs w:val="24"/>
          <w:lang w:eastAsia="es-ES"/>
        </w:rPr>
      </w:pPr>
    </w:p>
    <w:p w14:paraId="6923B6A4" w14:textId="3748C1E7" w:rsidR="00D1226F" w:rsidRPr="00D1226F" w:rsidRDefault="00D1226F" w:rsidP="00D1226F">
      <w:pPr>
        <w:spacing w:after="0" w:line="240" w:lineRule="auto"/>
        <w:contextualSpacing/>
        <w:jc w:val="both"/>
        <w:rPr>
          <w:rFonts w:ascii="Bookman Old Style" w:eastAsia="Times New Roman" w:hAnsi="Bookman Old Style" w:cs="Arial"/>
          <w:sz w:val="24"/>
          <w:szCs w:val="24"/>
          <w:lang w:eastAsia="es-ES"/>
        </w:rPr>
      </w:pPr>
      <w:r w:rsidRPr="00D1226F">
        <w:rPr>
          <w:rFonts w:ascii="Bookman Old Style" w:eastAsia="Times New Roman" w:hAnsi="Bookman Old Style" w:cs="Arial"/>
          <w:sz w:val="24"/>
          <w:szCs w:val="24"/>
          <w:lang w:eastAsia="es-ES"/>
        </w:rPr>
        <w:t>Dentro de la actuación administrativa</w:t>
      </w:r>
      <w:r w:rsidR="000B5551">
        <w:rPr>
          <w:rFonts w:ascii="Bookman Old Style" w:eastAsia="Times New Roman" w:hAnsi="Bookman Old Style" w:cs="Arial"/>
          <w:sz w:val="24"/>
          <w:szCs w:val="24"/>
          <w:lang w:eastAsia="es-ES"/>
        </w:rPr>
        <w:t>,</w:t>
      </w:r>
      <w:r w:rsidRPr="00D1226F">
        <w:rPr>
          <w:rFonts w:ascii="Bookman Old Style" w:eastAsia="Times New Roman" w:hAnsi="Bookman Old Style" w:cs="Arial"/>
          <w:sz w:val="24"/>
          <w:szCs w:val="24"/>
          <w:lang w:eastAsia="es-ES"/>
        </w:rPr>
        <w:t xml:space="preserve"> DUE presentó a consideración de la Comisión los siguientes elementos e información</w:t>
      </w:r>
      <w:r w:rsidRPr="00D1226F">
        <w:rPr>
          <w:rFonts w:ascii="Bookman Old Style" w:eastAsia="Times New Roman" w:hAnsi="Bookman Old Style" w:cs="Arial"/>
          <w:sz w:val="24"/>
          <w:szCs w:val="24"/>
          <w:vertAlign w:val="superscript"/>
          <w:lang w:eastAsia="es-ES"/>
        </w:rPr>
        <w:footnoteReference w:id="6"/>
      </w:r>
      <w:r w:rsidRPr="00D1226F">
        <w:rPr>
          <w:rFonts w:ascii="Bookman Old Style" w:eastAsia="Times New Roman" w:hAnsi="Bookman Old Style" w:cs="Arial"/>
          <w:sz w:val="24"/>
          <w:szCs w:val="24"/>
          <w:lang w:eastAsia="es-ES"/>
        </w:rPr>
        <w:t xml:space="preserve">: </w:t>
      </w:r>
    </w:p>
    <w:p w14:paraId="1A22A259" w14:textId="77777777" w:rsidR="00D1226F" w:rsidRPr="00D1226F" w:rsidRDefault="00D1226F" w:rsidP="00D1226F">
      <w:pPr>
        <w:spacing w:after="0" w:line="240" w:lineRule="auto"/>
        <w:contextualSpacing/>
        <w:jc w:val="both"/>
        <w:rPr>
          <w:rFonts w:ascii="Bookman Old Style" w:eastAsia="Times New Roman" w:hAnsi="Bookman Old Style" w:cs="Arial"/>
          <w:sz w:val="20"/>
          <w:szCs w:val="20"/>
          <w:lang w:eastAsia="es-ES"/>
        </w:rPr>
      </w:pPr>
    </w:p>
    <w:p w14:paraId="3DBAFD6F" w14:textId="1F1943D7" w:rsidR="00D1226F" w:rsidRPr="000B5551" w:rsidRDefault="009A770C" w:rsidP="000B5551">
      <w:pPr>
        <w:spacing w:after="0" w:line="240" w:lineRule="auto"/>
        <w:ind w:left="284"/>
        <w:contextualSpacing/>
        <w:jc w:val="both"/>
        <w:rPr>
          <w:rFonts w:ascii="Bookman Old Style" w:eastAsia="Times New Roman" w:hAnsi="Bookman Old Style" w:cs="Arial"/>
          <w:i/>
          <w:sz w:val="20"/>
          <w:szCs w:val="20"/>
          <w:lang w:val="es-MX" w:eastAsia="es-ES"/>
        </w:rPr>
      </w:pPr>
      <w:r w:rsidRPr="000B5551">
        <w:rPr>
          <w:rFonts w:ascii="Bookman Old Style" w:eastAsia="Times New Roman" w:hAnsi="Bookman Old Style" w:cs="Arial"/>
          <w:i/>
          <w:sz w:val="20"/>
          <w:szCs w:val="20"/>
          <w:lang w:val="es-MX" w:eastAsia="es-ES"/>
        </w:rPr>
        <w:t>“</w:t>
      </w:r>
      <w:r w:rsidR="00D1226F" w:rsidRPr="000B5551">
        <w:rPr>
          <w:rFonts w:ascii="Bookman Old Style" w:eastAsia="Times New Roman" w:hAnsi="Bookman Old Style" w:cs="Arial"/>
          <w:i/>
          <w:sz w:val="20"/>
          <w:szCs w:val="20"/>
          <w:lang w:val="es-MX" w:eastAsia="es-ES"/>
        </w:rPr>
        <w:t>1. Información del Proyecto: ubicación, topografía, usuarios, análisis y selección de la solución eficiente, estructura dimensionamiento de la planta.</w:t>
      </w:r>
    </w:p>
    <w:p w14:paraId="499961A4" w14:textId="77777777" w:rsidR="00D1226F" w:rsidRPr="000B5551" w:rsidRDefault="00D1226F" w:rsidP="000B5551">
      <w:pPr>
        <w:spacing w:after="0" w:line="240" w:lineRule="auto"/>
        <w:ind w:left="284"/>
        <w:contextualSpacing/>
        <w:jc w:val="both"/>
        <w:rPr>
          <w:rFonts w:ascii="Bookman Old Style" w:eastAsia="Times New Roman" w:hAnsi="Bookman Old Style" w:cs="Arial"/>
          <w:i/>
          <w:sz w:val="20"/>
          <w:szCs w:val="20"/>
          <w:lang w:val="es-MX" w:eastAsia="es-ES"/>
        </w:rPr>
      </w:pPr>
      <w:r w:rsidRPr="000B5551">
        <w:rPr>
          <w:rFonts w:ascii="Bookman Old Style" w:eastAsia="Times New Roman" w:hAnsi="Bookman Old Style" w:cs="Arial"/>
          <w:i/>
          <w:sz w:val="20"/>
          <w:szCs w:val="20"/>
          <w:lang w:val="es-MX" w:eastAsia="es-ES"/>
        </w:rPr>
        <w:t>2. Parque de Generación Actual (Diésel): prestador actual, cobertura, usuarios, dimensionamiento, criterios de diseño y resultados de instalación hibrida, análisis AOM y parque actual.</w:t>
      </w:r>
    </w:p>
    <w:p w14:paraId="1C43B403" w14:textId="77777777" w:rsidR="00D1226F" w:rsidRPr="000B5551" w:rsidRDefault="00D1226F" w:rsidP="000B5551">
      <w:pPr>
        <w:spacing w:after="0" w:line="240" w:lineRule="auto"/>
        <w:ind w:left="284"/>
        <w:contextualSpacing/>
        <w:jc w:val="both"/>
        <w:rPr>
          <w:rFonts w:ascii="Bookman Old Style" w:eastAsia="Times New Roman" w:hAnsi="Bookman Old Style" w:cs="Arial"/>
          <w:i/>
          <w:sz w:val="20"/>
          <w:szCs w:val="20"/>
          <w:lang w:val="es-MX" w:eastAsia="es-ES"/>
        </w:rPr>
      </w:pPr>
      <w:r w:rsidRPr="000B5551">
        <w:rPr>
          <w:rFonts w:ascii="Bookman Old Style" w:eastAsia="Times New Roman" w:hAnsi="Bookman Old Style" w:cs="Arial"/>
          <w:i/>
          <w:sz w:val="20"/>
          <w:szCs w:val="20"/>
          <w:lang w:val="es-MX" w:eastAsia="es-ES"/>
        </w:rPr>
        <w:t>3. Inversión proyectada para el parque</w:t>
      </w:r>
    </w:p>
    <w:p w14:paraId="6C5D8BFD" w14:textId="77777777" w:rsidR="00D1226F" w:rsidRPr="000B5551" w:rsidRDefault="00D1226F" w:rsidP="000B5551">
      <w:pPr>
        <w:spacing w:after="0" w:line="240" w:lineRule="auto"/>
        <w:ind w:left="284"/>
        <w:contextualSpacing/>
        <w:jc w:val="both"/>
        <w:rPr>
          <w:rFonts w:ascii="Bookman Old Style" w:eastAsia="Times New Roman" w:hAnsi="Bookman Old Style" w:cs="Arial"/>
          <w:i/>
          <w:sz w:val="20"/>
          <w:szCs w:val="20"/>
          <w:lang w:val="es-MX" w:eastAsia="es-ES"/>
        </w:rPr>
      </w:pPr>
      <w:r w:rsidRPr="000B5551">
        <w:rPr>
          <w:rFonts w:ascii="Bookman Old Style" w:eastAsia="Times New Roman" w:hAnsi="Bookman Old Style" w:cs="Arial"/>
          <w:i/>
          <w:sz w:val="20"/>
          <w:szCs w:val="20"/>
          <w:lang w:val="es-MX" w:eastAsia="es-ES"/>
        </w:rPr>
        <w:t>4. AOM parque proyectado</w:t>
      </w:r>
    </w:p>
    <w:p w14:paraId="5BD04BE4" w14:textId="77777777" w:rsidR="00D1226F" w:rsidRPr="000B5551" w:rsidRDefault="00D1226F" w:rsidP="000B5551">
      <w:pPr>
        <w:spacing w:after="0" w:line="240" w:lineRule="auto"/>
        <w:ind w:left="284"/>
        <w:contextualSpacing/>
        <w:jc w:val="both"/>
        <w:rPr>
          <w:rFonts w:ascii="Bookman Old Style" w:eastAsia="Times New Roman" w:hAnsi="Bookman Old Style" w:cs="Arial"/>
          <w:i/>
          <w:sz w:val="20"/>
          <w:szCs w:val="20"/>
          <w:lang w:val="es-MX" w:eastAsia="es-ES"/>
        </w:rPr>
      </w:pPr>
      <w:r w:rsidRPr="000B5551">
        <w:rPr>
          <w:rFonts w:ascii="Bookman Old Style" w:eastAsia="Times New Roman" w:hAnsi="Bookman Old Style" w:cs="Arial"/>
          <w:i/>
          <w:sz w:val="20"/>
          <w:szCs w:val="20"/>
          <w:lang w:val="es-MX" w:eastAsia="es-ES"/>
        </w:rPr>
        <w:t>5. Análisis de remuneración</w:t>
      </w:r>
    </w:p>
    <w:p w14:paraId="60FC41B8" w14:textId="77777777" w:rsidR="00D1226F" w:rsidRPr="000B5551" w:rsidRDefault="00D1226F" w:rsidP="000B5551">
      <w:pPr>
        <w:spacing w:after="0" w:line="240" w:lineRule="auto"/>
        <w:ind w:left="284"/>
        <w:contextualSpacing/>
        <w:jc w:val="both"/>
        <w:rPr>
          <w:rFonts w:ascii="Bookman Old Style" w:eastAsia="Times New Roman" w:hAnsi="Bookman Old Style" w:cs="Arial"/>
          <w:i/>
          <w:sz w:val="20"/>
          <w:szCs w:val="20"/>
          <w:lang w:val="es-MX" w:eastAsia="es-ES"/>
        </w:rPr>
      </w:pPr>
      <w:r w:rsidRPr="000B5551">
        <w:rPr>
          <w:rFonts w:ascii="Bookman Old Style" w:eastAsia="Times New Roman" w:hAnsi="Bookman Old Style" w:cs="Arial"/>
          <w:i/>
          <w:sz w:val="20"/>
          <w:szCs w:val="20"/>
          <w:lang w:val="es-MX" w:eastAsia="es-ES"/>
        </w:rPr>
        <w:t>6. Flujo de caja proyectado</w:t>
      </w:r>
    </w:p>
    <w:p w14:paraId="48720C28" w14:textId="77777777" w:rsidR="00D1226F" w:rsidRPr="000B5551" w:rsidRDefault="00D1226F" w:rsidP="000B5551">
      <w:pPr>
        <w:spacing w:after="0" w:line="240" w:lineRule="auto"/>
        <w:ind w:left="284"/>
        <w:contextualSpacing/>
        <w:jc w:val="both"/>
        <w:rPr>
          <w:rFonts w:ascii="Bookman Old Style" w:eastAsia="Times New Roman" w:hAnsi="Bookman Old Style" w:cs="Arial"/>
          <w:i/>
          <w:sz w:val="20"/>
          <w:szCs w:val="20"/>
          <w:lang w:val="es-MX" w:eastAsia="es-ES"/>
        </w:rPr>
      </w:pPr>
      <w:r w:rsidRPr="000B5551">
        <w:rPr>
          <w:rFonts w:ascii="Bookman Old Style" w:eastAsia="Times New Roman" w:hAnsi="Bookman Old Style" w:cs="Arial"/>
          <w:i/>
          <w:sz w:val="20"/>
          <w:szCs w:val="20"/>
          <w:lang w:val="es-MX" w:eastAsia="es-ES"/>
        </w:rPr>
        <w:t>7. Modelo financiero proyectado (Excel)</w:t>
      </w:r>
    </w:p>
    <w:p w14:paraId="5A492BFA" w14:textId="3961E525" w:rsidR="00D1226F" w:rsidRPr="000B5551" w:rsidRDefault="00D1226F" w:rsidP="000B5551">
      <w:pPr>
        <w:spacing w:after="0" w:line="240" w:lineRule="auto"/>
        <w:ind w:left="284"/>
        <w:contextualSpacing/>
        <w:jc w:val="both"/>
        <w:rPr>
          <w:rFonts w:ascii="Bookman Old Style" w:eastAsia="Times New Roman" w:hAnsi="Bookman Old Style" w:cs="Arial"/>
          <w:i/>
          <w:sz w:val="20"/>
          <w:szCs w:val="20"/>
          <w:lang w:val="es-MX" w:eastAsia="es-ES"/>
        </w:rPr>
      </w:pPr>
      <w:r w:rsidRPr="000B5551">
        <w:rPr>
          <w:rFonts w:ascii="Bookman Old Style" w:eastAsia="Times New Roman" w:hAnsi="Bookman Old Style" w:cs="Arial"/>
          <w:i/>
          <w:sz w:val="20"/>
          <w:szCs w:val="20"/>
          <w:lang w:val="es-MX" w:eastAsia="es-ES"/>
        </w:rPr>
        <w:t>8. Estudio de conexión.</w:t>
      </w:r>
      <w:r w:rsidR="009A770C" w:rsidRPr="000B5551">
        <w:rPr>
          <w:rFonts w:ascii="Bookman Old Style" w:eastAsia="Times New Roman" w:hAnsi="Bookman Old Style" w:cs="Arial"/>
          <w:i/>
          <w:sz w:val="20"/>
          <w:szCs w:val="20"/>
          <w:lang w:val="es-MX" w:eastAsia="es-ES"/>
        </w:rPr>
        <w:t>”</w:t>
      </w:r>
    </w:p>
    <w:p w14:paraId="442900AB" w14:textId="77777777" w:rsidR="00D1226F" w:rsidRPr="00D1226F" w:rsidRDefault="00D1226F" w:rsidP="00D1226F">
      <w:pPr>
        <w:spacing w:after="0" w:line="240" w:lineRule="auto"/>
        <w:ind w:left="708"/>
        <w:contextualSpacing/>
        <w:jc w:val="both"/>
        <w:rPr>
          <w:rFonts w:ascii="Bookman Old Style" w:eastAsia="Times New Roman" w:hAnsi="Bookman Old Style" w:cs="Arial"/>
          <w:i/>
          <w:iCs/>
          <w:lang w:eastAsia="es-ES"/>
        </w:rPr>
      </w:pPr>
      <w:r w:rsidRPr="00D1226F">
        <w:rPr>
          <w:rFonts w:ascii="Bookman Old Style" w:eastAsia="Times New Roman" w:hAnsi="Bookman Old Style" w:cs="Arial"/>
          <w:i/>
          <w:iCs/>
          <w:lang w:val="es-MX" w:eastAsia="es-ES"/>
        </w:rPr>
        <w:t xml:space="preserve"> </w:t>
      </w:r>
    </w:p>
    <w:p w14:paraId="740B7AB5" w14:textId="4AE267E5" w:rsidR="00D1226F" w:rsidRPr="00D1226F" w:rsidRDefault="00D1226F" w:rsidP="00D1226F">
      <w:pPr>
        <w:spacing w:after="0" w:line="240" w:lineRule="auto"/>
        <w:contextualSpacing/>
        <w:jc w:val="both"/>
        <w:rPr>
          <w:rFonts w:ascii="Bookman Old Style" w:eastAsia="Times New Roman" w:hAnsi="Bookman Old Style" w:cs="Arial"/>
          <w:sz w:val="24"/>
          <w:szCs w:val="24"/>
          <w:highlight w:val="yellow"/>
          <w:lang w:eastAsia="es-ES"/>
        </w:rPr>
      </w:pPr>
      <w:r w:rsidRPr="00D1226F">
        <w:rPr>
          <w:rFonts w:ascii="Bookman Old Style" w:eastAsia="Times New Roman" w:hAnsi="Bookman Old Style" w:cs="Arial"/>
          <w:sz w:val="24"/>
          <w:szCs w:val="24"/>
          <w:lang w:eastAsia="es-ES"/>
        </w:rPr>
        <w:t>Adicionalmente, presentó ejercicios sobre escenarios de capacidad de generación eficiente</w:t>
      </w:r>
      <w:r w:rsidR="000B5551">
        <w:rPr>
          <w:rFonts w:ascii="Bookman Old Style" w:eastAsia="Times New Roman" w:hAnsi="Bookman Old Style" w:cs="Arial"/>
          <w:sz w:val="24"/>
          <w:szCs w:val="24"/>
          <w:lang w:eastAsia="es-ES"/>
        </w:rPr>
        <w:t>,</w:t>
      </w:r>
      <w:r w:rsidRPr="00D1226F">
        <w:rPr>
          <w:rFonts w:ascii="Bookman Old Style" w:eastAsia="Times New Roman" w:hAnsi="Bookman Old Style" w:cs="Arial"/>
          <w:sz w:val="24"/>
          <w:szCs w:val="24"/>
          <w:lang w:eastAsia="es-ES"/>
        </w:rPr>
        <w:t xml:space="preserve"> indicando lo siguiente:</w:t>
      </w:r>
    </w:p>
    <w:p w14:paraId="776F62BE" w14:textId="77777777" w:rsidR="00D1226F" w:rsidRPr="00D1226F" w:rsidRDefault="00D1226F" w:rsidP="00D1226F">
      <w:pPr>
        <w:spacing w:after="0" w:line="240" w:lineRule="auto"/>
        <w:contextualSpacing/>
        <w:jc w:val="both"/>
        <w:rPr>
          <w:rFonts w:ascii="Bookman Old Style" w:eastAsia="Times New Roman" w:hAnsi="Bookman Old Style" w:cs="Arial"/>
          <w:highlight w:val="yellow"/>
          <w:lang w:eastAsia="es-ES"/>
        </w:rPr>
      </w:pPr>
    </w:p>
    <w:p w14:paraId="072C0FEF" w14:textId="77777777" w:rsidR="00D1226F" w:rsidRPr="000B5551" w:rsidRDefault="00D1226F" w:rsidP="000B5551">
      <w:pPr>
        <w:spacing w:after="0" w:line="240" w:lineRule="auto"/>
        <w:ind w:left="284"/>
        <w:contextualSpacing/>
        <w:jc w:val="both"/>
        <w:rPr>
          <w:rFonts w:ascii="Bookman Old Style" w:eastAsia="Times New Roman" w:hAnsi="Bookman Old Style" w:cs="Arial"/>
          <w:i/>
          <w:sz w:val="20"/>
          <w:szCs w:val="20"/>
          <w:lang w:eastAsia="es-ES"/>
        </w:rPr>
      </w:pPr>
      <w:r w:rsidRPr="000B5551">
        <w:rPr>
          <w:rFonts w:ascii="Bookman Old Style" w:eastAsia="Times New Roman" w:hAnsi="Bookman Old Style" w:cs="Arial"/>
          <w:i/>
          <w:sz w:val="20"/>
          <w:szCs w:val="20"/>
          <w:lang w:eastAsia="es-ES"/>
        </w:rPr>
        <w:t xml:space="preserve">“Así bien, el Sistema Solar (7.6Mwp) y las Baterías (8.8 </w:t>
      </w:r>
      <w:proofErr w:type="spellStart"/>
      <w:r w:rsidRPr="000B5551">
        <w:rPr>
          <w:rFonts w:ascii="Bookman Old Style" w:eastAsia="Times New Roman" w:hAnsi="Bookman Old Style" w:cs="Arial"/>
          <w:i/>
          <w:sz w:val="20"/>
          <w:szCs w:val="20"/>
          <w:lang w:eastAsia="es-ES"/>
        </w:rPr>
        <w:t>Mwh</w:t>
      </w:r>
      <w:proofErr w:type="spellEnd"/>
      <w:r w:rsidRPr="000B5551">
        <w:rPr>
          <w:rFonts w:ascii="Bookman Old Style" w:eastAsia="Times New Roman" w:hAnsi="Bookman Old Style" w:cs="Arial"/>
          <w:i/>
          <w:sz w:val="20"/>
          <w:szCs w:val="20"/>
          <w:lang w:eastAsia="es-ES"/>
        </w:rPr>
        <w:t>) propuesta, persiguen una combinación adecuado de energía basada en el uso de los recursos naturales existentes, una penetración máxima de renovables y un costo de generación eficiente mediante la minimización de la generación diésel.</w:t>
      </w:r>
    </w:p>
    <w:p w14:paraId="406BEF82" w14:textId="77777777" w:rsidR="00D1226F" w:rsidRPr="000B5551" w:rsidRDefault="00D1226F" w:rsidP="000B5551">
      <w:pPr>
        <w:spacing w:after="0" w:line="240" w:lineRule="auto"/>
        <w:ind w:left="284"/>
        <w:contextualSpacing/>
        <w:jc w:val="both"/>
        <w:rPr>
          <w:rFonts w:ascii="Bookman Old Style" w:eastAsia="Times New Roman" w:hAnsi="Bookman Old Style" w:cs="Arial"/>
          <w:i/>
          <w:sz w:val="20"/>
          <w:szCs w:val="20"/>
          <w:lang w:eastAsia="es-ES"/>
        </w:rPr>
      </w:pPr>
    </w:p>
    <w:p w14:paraId="07D02419" w14:textId="77777777" w:rsidR="00D1226F" w:rsidRPr="000B5551" w:rsidRDefault="00D1226F" w:rsidP="000B5551">
      <w:pPr>
        <w:spacing w:after="0" w:line="240" w:lineRule="auto"/>
        <w:ind w:left="284"/>
        <w:contextualSpacing/>
        <w:jc w:val="both"/>
        <w:rPr>
          <w:rFonts w:ascii="Bookman Old Style" w:eastAsia="Times New Roman" w:hAnsi="Bookman Old Style" w:cs="Arial"/>
          <w:i/>
          <w:sz w:val="20"/>
          <w:szCs w:val="20"/>
          <w:lang w:eastAsia="es-ES"/>
        </w:rPr>
      </w:pPr>
      <w:r w:rsidRPr="000B5551">
        <w:rPr>
          <w:rFonts w:ascii="Bookman Old Style" w:eastAsia="Times New Roman" w:hAnsi="Bookman Old Style" w:cs="Arial"/>
          <w:i/>
          <w:sz w:val="20"/>
          <w:szCs w:val="20"/>
          <w:lang w:eastAsia="es-ES"/>
        </w:rPr>
        <w:t>Propendiendo por los costos eficientes, la solución propuesta tiene una disminución en el costo de generación en Mitú teórica del 12.6% (teniendo el 51 % de generación con la MCH) y una probable del 18.4% con el histórico de operación de la MCH del 24.4%”</w:t>
      </w:r>
      <w:r w:rsidRPr="000B5551">
        <w:rPr>
          <w:rFonts w:ascii="Bookman Old Style" w:eastAsia="Times New Roman" w:hAnsi="Bookman Old Style" w:cs="Arial"/>
          <w:i/>
          <w:sz w:val="20"/>
          <w:szCs w:val="20"/>
          <w:vertAlign w:val="superscript"/>
          <w:lang w:eastAsia="es-ES"/>
        </w:rPr>
        <w:footnoteReference w:id="7"/>
      </w:r>
      <w:r w:rsidRPr="000B5551">
        <w:rPr>
          <w:rFonts w:ascii="Bookman Old Style" w:eastAsia="Times New Roman" w:hAnsi="Bookman Old Style" w:cs="Arial"/>
          <w:i/>
          <w:sz w:val="20"/>
          <w:szCs w:val="20"/>
          <w:lang w:eastAsia="es-ES"/>
        </w:rPr>
        <w:t xml:space="preserve">.  </w:t>
      </w:r>
    </w:p>
    <w:p w14:paraId="57058CB3" w14:textId="77777777" w:rsidR="00D1226F" w:rsidRPr="00D1226F" w:rsidRDefault="00D1226F" w:rsidP="00D1226F">
      <w:pPr>
        <w:spacing w:after="0" w:line="240" w:lineRule="auto"/>
        <w:contextualSpacing/>
        <w:jc w:val="both"/>
        <w:rPr>
          <w:rFonts w:ascii="Bookman Old Style" w:eastAsia="Times New Roman" w:hAnsi="Bookman Old Style" w:cs="Arial"/>
          <w:sz w:val="24"/>
          <w:szCs w:val="24"/>
          <w:highlight w:val="yellow"/>
          <w:lang w:eastAsia="es-ES"/>
        </w:rPr>
      </w:pPr>
    </w:p>
    <w:p w14:paraId="0AF3A305" w14:textId="3488079A" w:rsidR="00D1226F" w:rsidRPr="00D1226F" w:rsidRDefault="00D1226F" w:rsidP="00D1226F">
      <w:pPr>
        <w:spacing w:after="0" w:line="240" w:lineRule="auto"/>
        <w:contextualSpacing/>
        <w:jc w:val="both"/>
        <w:rPr>
          <w:rFonts w:ascii="Bookman Old Style" w:eastAsia="Times New Roman" w:hAnsi="Bookman Old Style" w:cs="Arial"/>
          <w:sz w:val="24"/>
          <w:szCs w:val="24"/>
          <w:lang w:eastAsia="es-ES"/>
        </w:rPr>
      </w:pPr>
      <w:r w:rsidRPr="00D1226F">
        <w:rPr>
          <w:rFonts w:ascii="Bookman Old Style" w:eastAsia="Times New Roman" w:hAnsi="Bookman Old Style" w:cs="Arial"/>
          <w:sz w:val="24"/>
          <w:szCs w:val="24"/>
          <w:lang w:eastAsia="es-ES"/>
        </w:rPr>
        <w:t>Del aparte transcrito se observa que la definición de costos debe considerar lo correspondiente a sistemas híbridos</w:t>
      </w:r>
      <w:r w:rsidR="000B5551">
        <w:rPr>
          <w:rFonts w:ascii="Bookman Old Style" w:eastAsia="Times New Roman" w:hAnsi="Bookman Old Style" w:cs="Arial"/>
          <w:sz w:val="24"/>
          <w:szCs w:val="24"/>
          <w:lang w:eastAsia="es-ES"/>
        </w:rPr>
        <w:t>,</w:t>
      </w:r>
      <w:r w:rsidRPr="00D1226F">
        <w:rPr>
          <w:rFonts w:ascii="Bookman Old Style" w:eastAsia="Times New Roman" w:hAnsi="Bookman Old Style" w:cs="Arial"/>
          <w:sz w:val="24"/>
          <w:szCs w:val="24"/>
          <w:lang w:eastAsia="es-ES"/>
        </w:rPr>
        <w:t xml:space="preserve"> y no solo a la parte solar con acumulación pues</w:t>
      </w:r>
      <w:r w:rsidR="000B5551">
        <w:rPr>
          <w:rFonts w:ascii="Bookman Old Style" w:eastAsia="Times New Roman" w:hAnsi="Bookman Old Style" w:cs="Arial"/>
          <w:sz w:val="24"/>
          <w:szCs w:val="24"/>
          <w:lang w:eastAsia="es-ES"/>
        </w:rPr>
        <w:t>,</w:t>
      </w:r>
      <w:r w:rsidRPr="00D1226F">
        <w:rPr>
          <w:rFonts w:ascii="Bookman Old Style" w:eastAsia="Times New Roman" w:hAnsi="Bookman Old Style" w:cs="Arial"/>
          <w:sz w:val="24"/>
          <w:szCs w:val="24"/>
          <w:lang w:eastAsia="es-ES"/>
        </w:rPr>
        <w:t xml:space="preserve"> en </w:t>
      </w:r>
      <w:r w:rsidR="000B5551">
        <w:rPr>
          <w:rFonts w:ascii="Bookman Old Style" w:eastAsia="Times New Roman" w:hAnsi="Bookman Old Style" w:cs="Arial"/>
          <w:sz w:val="24"/>
          <w:szCs w:val="24"/>
          <w:lang w:eastAsia="es-ES"/>
        </w:rPr>
        <w:t>sitio,</w:t>
      </w:r>
      <w:r w:rsidRPr="00D1226F">
        <w:rPr>
          <w:rFonts w:ascii="Bookman Old Style" w:eastAsia="Times New Roman" w:hAnsi="Bookman Old Style" w:cs="Arial"/>
          <w:sz w:val="24"/>
          <w:szCs w:val="24"/>
          <w:lang w:eastAsia="es-ES"/>
        </w:rPr>
        <w:t xml:space="preserve"> la generación se da a través de recursos energéticos distribuidos y se busca la complementariedad de las tecnologías de generación para la atención de la demanda del mercado de Mitú.  </w:t>
      </w:r>
    </w:p>
    <w:p w14:paraId="3FC1B130" w14:textId="77777777" w:rsidR="00D1226F" w:rsidRPr="00D1226F" w:rsidRDefault="00D1226F" w:rsidP="00D1226F">
      <w:pPr>
        <w:spacing w:after="0" w:line="240" w:lineRule="auto"/>
        <w:contextualSpacing/>
        <w:jc w:val="both"/>
        <w:rPr>
          <w:rFonts w:ascii="Bookman Old Style" w:eastAsia="Times New Roman" w:hAnsi="Bookman Old Style" w:cs="Arial"/>
          <w:sz w:val="24"/>
          <w:szCs w:val="24"/>
          <w:lang w:eastAsia="es-ES"/>
        </w:rPr>
      </w:pPr>
    </w:p>
    <w:p w14:paraId="04B74506" w14:textId="61EB5F06" w:rsidR="00D1226F" w:rsidRPr="00D1226F" w:rsidRDefault="00D1226F" w:rsidP="00D1226F">
      <w:pPr>
        <w:spacing w:after="0" w:line="240" w:lineRule="auto"/>
        <w:contextualSpacing/>
        <w:jc w:val="both"/>
        <w:rPr>
          <w:rFonts w:ascii="Bookman Old Style" w:eastAsia="Times New Roman" w:hAnsi="Bookman Old Style" w:cs="Arial"/>
          <w:sz w:val="24"/>
          <w:szCs w:val="24"/>
          <w:lang w:eastAsia="es-ES"/>
        </w:rPr>
      </w:pPr>
      <w:r w:rsidRPr="00D1226F">
        <w:rPr>
          <w:rFonts w:ascii="Bookman Old Style" w:eastAsia="Times New Roman" w:hAnsi="Bookman Old Style" w:cs="Arial"/>
          <w:sz w:val="24"/>
          <w:szCs w:val="24"/>
          <w:lang w:eastAsia="es-ES"/>
        </w:rPr>
        <w:t>Adicionalmente, con la información allegada en el desarrollo de la actuación administrativa</w:t>
      </w:r>
      <w:r w:rsidR="000B5551">
        <w:rPr>
          <w:rFonts w:ascii="Bookman Old Style" w:eastAsia="Times New Roman" w:hAnsi="Bookman Old Style" w:cs="Arial"/>
          <w:sz w:val="24"/>
          <w:szCs w:val="24"/>
          <w:lang w:eastAsia="es-ES"/>
        </w:rPr>
        <w:t>,</w:t>
      </w:r>
      <w:r w:rsidRPr="00D1226F">
        <w:rPr>
          <w:rFonts w:ascii="Bookman Old Style" w:eastAsia="Times New Roman" w:hAnsi="Bookman Old Style" w:cs="Arial"/>
          <w:sz w:val="24"/>
          <w:szCs w:val="24"/>
          <w:lang w:eastAsia="es-ES"/>
        </w:rPr>
        <w:t xml:space="preserve"> esta Comisión identificó la necesidad de pronunciarse en otros aspectos para que las decisiones adoptadas puedan aplicarse</w:t>
      </w:r>
      <w:r w:rsidR="000B5551">
        <w:rPr>
          <w:rFonts w:ascii="Bookman Old Style" w:eastAsia="Times New Roman" w:hAnsi="Bookman Old Style" w:cs="Arial"/>
          <w:sz w:val="24"/>
          <w:szCs w:val="24"/>
          <w:lang w:eastAsia="es-ES"/>
        </w:rPr>
        <w:t>,</w:t>
      </w:r>
      <w:r w:rsidRPr="00D1226F">
        <w:rPr>
          <w:rFonts w:ascii="Bookman Old Style" w:eastAsia="Times New Roman" w:hAnsi="Bookman Old Style" w:cs="Arial"/>
          <w:sz w:val="24"/>
          <w:szCs w:val="24"/>
          <w:lang w:eastAsia="es-ES"/>
        </w:rPr>
        <w:t xml:space="preserve"> ya que la definición de un cargo de generación solar fotovoltaico con acumulación no es suficiente para que el comercializador pueda determinar el costo que puede trasladársele al usuario y, en ese sentido, se </w:t>
      </w:r>
      <w:r w:rsidR="002C047A">
        <w:rPr>
          <w:rFonts w:ascii="Bookman Old Style" w:eastAsia="Times New Roman" w:hAnsi="Bookman Old Style" w:cs="Arial"/>
          <w:sz w:val="24"/>
          <w:szCs w:val="24"/>
          <w:lang w:eastAsia="es-ES"/>
        </w:rPr>
        <w:t>tiene</w:t>
      </w:r>
      <w:r w:rsidRPr="00D1226F">
        <w:rPr>
          <w:rFonts w:ascii="Bookman Old Style" w:eastAsia="Times New Roman" w:hAnsi="Bookman Old Style" w:cs="Arial"/>
          <w:sz w:val="24"/>
          <w:szCs w:val="24"/>
          <w:lang w:eastAsia="es-ES"/>
        </w:rPr>
        <w:t xml:space="preserve"> en cuenta lo ya previsto en la Resolución CREG 091 de 2007 para las tecnologías de generación diésel y PCH. </w:t>
      </w:r>
    </w:p>
    <w:p w14:paraId="05DFAEB5" w14:textId="77777777" w:rsidR="00D1226F" w:rsidRPr="00D1226F" w:rsidRDefault="00D1226F" w:rsidP="00D1226F">
      <w:pPr>
        <w:spacing w:after="0" w:line="240" w:lineRule="auto"/>
        <w:contextualSpacing/>
        <w:jc w:val="both"/>
        <w:rPr>
          <w:rFonts w:ascii="Bookman Old Style" w:eastAsia="Times New Roman" w:hAnsi="Bookman Old Style" w:cs="Arial"/>
          <w:sz w:val="24"/>
          <w:szCs w:val="24"/>
          <w:lang w:eastAsia="es-ES"/>
        </w:rPr>
      </w:pPr>
    </w:p>
    <w:p w14:paraId="713DF9B8" w14:textId="77777777" w:rsidR="00D1226F" w:rsidRPr="00D1226F" w:rsidRDefault="00D1226F" w:rsidP="00D1226F">
      <w:pPr>
        <w:spacing w:after="0" w:line="240" w:lineRule="auto"/>
        <w:contextualSpacing/>
        <w:jc w:val="both"/>
        <w:rPr>
          <w:rFonts w:ascii="Bookman Old Style" w:eastAsia="Times New Roman" w:hAnsi="Bookman Old Style" w:cs="Arial"/>
          <w:sz w:val="24"/>
          <w:szCs w:val="24"/>
          <w:lang w:eastAsia="es-ES"/>
        </w:rPr>
      </w:pPr>
      <w:r w:rsidRPr="00D1226F">
        <w:rPr>
          <w:rFonts w:ascii="Bookman Old Style" w:eastAsia="Times New Roman" w:hAnsi="Bookman Old Style" w:cs="Arial"/>
          <w:sz w:val="24"/>
          <w:szCs w:val="24"/>
          <w:lang w:eastAsia="es-ES"/>
        </w:rPr>
        <w:t>Ahora bien, en relación con que la definición del cargo máximo de generación se haya realizado para el mercado relevante de comercialización de la cabecera municipal de Mitú en el departamento del Vaupés, debe tenerse en cuenta que el costo unitario de prestación del servicio se determina considerando el mercado relevante de comercialización. Lo anterior puede evidenciarse en la Resolución CREG 091 de 2007, en donde se define:</w:t>
      </w:r>
    </w:p>
    <w:p w14:paraId="71A1E8E0" w14:textId="77777777" w:rsidR="00D1226F" w:rsidRPr="00D1226F" w:rsidRDefault="00D1226F" w:rsidP="00D1226F">
      <w:pPr>
        <w:spacing w:after="0" w:line="240" w:lineRule="auto"/>
        <w:contextualSpacing/>
        <w:jc w:val="both"/>
        <w:rPr>
          <w:rFonts w:ascii="Bookman Old Style" w:eastAsia="Times New Roman" w:hAnsi="Bookman Old Style" w:cs="Arial"/>
          <w:sz w:val="24"/>
          <w:szCs w:val="24"/>
          <w:lang w:eastAsia="es-ES"/>
        </w:rPr>
      </w:pPr>
    </w:p>
    <w:p w14:paraId="6B6FBBE7" w14:textId="77777777" w:rsidR="00D1226F" w:rsidRPr="000B5551" w:rsidRDefault="00D1226F" w:rsidP="000B5551">
      <w:pPr>
        <w:spacing w:after="0" w:line="240" w:lineRule="auto"/>
        <w:ind w:left="426"/>
        <w:contextualSpacing/>
        <w:jc w:val="both"/>
        <w:rPr>
          <w:rFonts w:ascii="Bookman Old Style" w:eastAsia="Calibri" w:hAnsi="Bookman Old Style" w:cs="Arial"/>
          <w:i/>
          <w:sz w:val="20"/>
          <w:szCs w:val="20"/>
        </w:rPr>
      </w:pPr>
      <w:r w:rsidRPr="000B5551">
        <w:rPr>
          <w:rFonts w:ascii="Bookman Old Style" w:eastAsia="Calibri" w:hAnsi="Bookman Old Style" w:cs="Arial"/>
          <w:i/>
          <w:sz w:val="20"/>
          <w:szCs w:val="20"/>
        </w:rPr>
        <w:t xml:space="preserve">“(…) Artículo 40. </w:t>
      </w:r>
      <w:r w:rsidRPr="000B5551">
        <w:rPr>
          <w:rFonts w:ascii="Bookman Old Style" w:eastAsia="Calibri" w:hAnsi="Bookman Old Style" w:cs="Arial"/>
          <w:b/>
          <w:i/>
          <w:sz w:val="20"/>
          <w:szCs w:val="20"/>
          <w:u w:val="single"/>
        </w:rPr>
        <w:t>Fórmulas Tarifarias Generales para Usuarios Regulados del Servicio Público de Energía Eléctrica con Red</w:t>
      </w:r>
      <w:r w:rsidRPr="000B5551">
        <w:rPr>
          <w:rFonts w:ascii="Bookman Old Style" w:eastAsia="Calibri" w:hAnsi="Bookman Old Style" w:cs="Arial"/>
          <w:i/>
          <w:sz w:val="20"/>
          <w:szCs w:val="20"/>
        </w:rPr>
        <w:t>. La Fórmula Tarifaria General aplicable a los Usuarios Regulados del servicio público domiciliario de energía eléctrica, tendrá los siguientes componentes de cargos:</w:t>
      </w:r>
    </w:p>
    <w:p w14:paraId="388887BA" w14:textId="77777777" w:rsidR="00D1226F" w:rsidRPr="000B5551" w:rsidRDefault="00D1226F" w:rsidP="000B5551">
      <w:pPr>
        <w:spacing w:after="0" w:line="240" w:lineRule="auto"/>
        <w:ind w:left="426"/>
        <w:contextualSpacing/>
        <w:jc w:val="both"/>
        <w:rPr>
          <w:rFonts w:ascii="Bookman Old Style" w:eastAsia="Calibri" w:hAnsi="Bookman Old Style" w:cs="Arial"/>
          <w:i/>
          <w:sz w:val="20"/>
          <w:szCs w:val="20"/>
        </w:rPr>
      </w:pPr>
    </w:p>
    <w:p w14:paraId="68CBB951" w14:textId="77777777" w:rsidR="00D1226F" w:rsidRPr="000B5551" w:rsidRDefault="00D1226F" w:rsidP="000B5551">
      <w:pPr>
        <w:spacing w:after="0" w:line="240" w:lineRule="auto"/>
        <w:ind w:left="426"/>
        <w:contextualSpacing/>
        <w:jc w:val="both"/>
        <w:rPr>
          <w:rFonts w:ascii="Bookman Old Style" w:eastAsia="Calibri" w:hAnsi="Bookman Old Style" w:cs="Arial"/>
          <w:i/>
          <w:sz w:val="20"/>
          <w:szCs w:val="20"/>
        </w:rPr>
      </w:pPr>
      <w:r w:rsidRPr="000B5551">
        <w:rPr>
          <w:rFonts w:ascii="Bookman Old Style" w:eastAsia="Calibri" w:hAnsi="Bookman Old Style" w:cs="Arial"/>
          <w:i/>
          <w:sz w:val="20"/>
          <w:szCs w:val="20"/>
        </w:rPr>
        <w:t xml:space="preserve">Costo Unitario: </w:t>
      </w:r>
      <w:r w:rsidRPr="000B5551">
        <w:rPr>
          <w:rFonts w:ascii="Bookman Old Style" w:eastAsia="Calibri" w:hAnsi="Bookman Old Style" w:cs="Arial"/>
          <w:i/>
          <w:sz w:val="20"/>
          <w:szCs w:val="20"/>
        </w:rPr>
        <w:tab/>
      </w:r>
      <w:r w:rsidR="00625C69">
        <w:rPr>
          <w:rFonts w:ascii="Bookman Old Style" w:eastAsia="Calibri" w:hAnsi="Bookman Old Style" w:cs="Arial"/>
          <w:i/>
          <w:position w:val="-30"/>
          <w:sz w:val="20"/>
          <w:szCs w:val="20"/>
        </w:rPr>
        <w:pict w14:anchorId="02F44578">
          <v:shape id="_x0000_i1026" type="#_x0000_t75" style="width:145.5pt;height:36pt" fillcolor="window">
            <v:imagedata r:id="rId28" o:title=""/>
          </v:shape>
        </w:pict>
      </w:r>
      <w:r w:rsidRPr="000B5551">
        <w:rPr>
          <w:rFonts w:ascii="Bookman Old Style" w:eastAsia="Calibri" w:hAnsi="Bookman Old Style" w:cs="Arial"/>
          <w:i/>
          <w:sz w:val="20"/>
          <w:szCs w:val="20"/>
        </w:rPr>
        <w:t xml:space="preserve"> ($/kWh)</w:t>
      </w:r>
    </w:p>
    <w:p w14:paraId="6A9154F4" w14:textId="77777777" w:rsidR="00D1226F" w:rsidRPr="000B5551" w:rsidRDefault="00D1226F" w:rsidP="000B5551">
      <w:pPr>
        <w:spacing w:after="0" w:line="240" w:lineRule="auto"/>
        <w:ind w:left="426"/>
        <w:contextualSpacing/>
        <w:jc w:val="both"/>
        <w:rPr>
          <w:rFonts w:ascii="Bookman Old Style" w:eastAsia="Calibri" w:hAnsi="Bookman Old Style" w:cs="Arial"/>
          <w:i/>
          <w:sz w:val="20"/>
          <w:szCs w:val="20"/>
        </w:rPr>
      </w:pPr>
    </w:p>
    <w:p w14:paraId="6475107F" w14:textId="77777777" w:rsidR="00D1226F" w:rsidRPr="000B5551" w:rsidRDefault="00D1226F" w:rsidP="000B5551">
      <w:pPr>
        <w:spacing w:after="0" w:line="240" w:lineRule="auto"/>
        <w:ind w:left="426"/>
        <w:contextualSpacing/>
        <w:jc w:val="both"/>
        <w:rPr>
          <w:rFonts w:ascii="Bookman Old Style" w:eastAsia="Calibri" w:hAnsi="Bookman Old Style" w:cs="Arial"/>
          <w:i/>
          <w:sz w:val="20"/>
          <w:szCs w:val="20"/>
        </w:rPr>
      </w:pPr>
      <w:r w:rsidRPr="000B5551">
        <w:rPr>
          <w:rFonts w:ascii="Bookman Old Style" w:eastAsia="Calibri" w:hAnsi="Bookman Old Style" w:cs="Arial"/>
          <w:i/>
          <w:sz w:val="20"/>
          <w:szCs w:val="20"/>
        </w:rPr>
        <w:t>Donde:</w:t>
      </w:r>
    </w:p>
    <w:p w14:paraId="7A06BBA3" w14:textId="77777777" w:rsidR="00D1226F" w:rsidRPr="000B5551" w:rsidRDefault="00D1226F" w:rsidP="000B5551">
      <w:pPr>
        <w:spacing w:after="0" w:line="240" w:lineRule="auto"/>
        <w:ind w:left="426"/>
        <w:contextualSpacing/>
        <w:jc w:val="both"/>
        <w:rPr>
          <w:rFonts w:ascii="Bookman Old Style" w:eastAsia="Calibri" w:hAnsi="Bookman Old Style" w:cs="Arial"/>
          <w:i/>
          <w:sz w:val="20"/>
          <w:szCs w:val="20"/>
        </w:rPr>
      </w:pPr>
    </w:p>
    <w:p w14:paraId="6F5964CE" w14:textId="77777777" w:rsidR="00D1226F" w:rsidRPr="000B5551" w:rsidRDefault="00D1226F" w:rsidP="000B5551">
      <w:pPr>
        <w:spacing w:after="0" w:line="240" w:lineRule="auto"/>
        <w:ind w:left="1276" w:hanging="850"/>
        <w:contextualSpacing/>
        <w:jc w:val="both"/>
        <w:rPr>
          <w:rFonts w:ascii="Bookman Old Style" w:eastAsia="Calibri" w:hAnsi="Bookman Old Style" w:cs="Arial"/>
          <w:i/>
          <w:sz w:val="20"/>
          <w:szCs w:val="20"/>
        </w:rPr>
      </w:pPr>
      <w:proofErr w:type="spellStart"/>
      <w:proofErr w:type="gramStart"/>
      <w:r w:rsidRPr="000B5551">
        <w:rPr>
          <w:rFonts w:ascii="Bookman Old Style" w:eastAsia="Calibri" w:hAnsi="Bookman Old Style" w:cs="Arial"/>
          <w:i/>
          <w:sz w:val="20"/>
          <w:szCs w:val="20"/>
        </w:rPr>
        <w:t>CU</w:t>
      </w:r>
      <w:r w:rsidRPr="000B5551">
        <w:rPr>
          <w:rFonts w:ascii="Bookman Old Style" w:eastAsia="Calibri" w:hAnsi="Bookman Old Style" w:cs="Arial"/>
          <w:i/>
          <w:sz w:val="20"/>
          <w:szCs w:val="20"/>
          <w:vertAlign w:val="subscript"/>
        </w:rPr>
        <w:t>n,m</w:t>
      </w:r>
      <w:proofErr w:type="spellEnd"/>
      <w:proofErr w:type="gramEnd"/>
      <w:r w:rsidRPr="000B5551">
        <w:rPr>
          <w:rFonts w:ascii="Bookman Old Style" w:eastAsia="Calibri" w:hAnsi="Bookman Old Style" w:cs="Arial"/>
          <w:i/>
          <w:sz w:val="20"/>
          <w:szCs w:val="20"/>
        </w:rPr>
        <w:t xml:space="preserve"> =</w:t>
      </w:r>
      <w:r w:rsidRPr="000B5551">
        <w:rPr>
          <w:rFonts w:ascii="Bookman Old Style" w:eastAsia="Calibri" w:hAnsi="Bookman Old Style" w:cs="Arial"/>
          <w:i/>
          <w:sz w:val="20"/>
          <w:szCs w:val="20"/>
        </w:rPr>
        <w:tab/>
        <w:t>Costo unitario de prestación del servicio para los usuarios conectados al nivel de tensión n, correspondiente al mes m.</w:t>
      </w:r>
    </w:p>
    <w:p w14:paraId="537D3822" w14:textId="77777777" w:rsidR="00D1226F" w:rsidRPr="000B5551" w:rsidRDefault="00D1226F" w:rsidP="000B5551">
      <w:pPr>
        <w:spacing w:after="0" w:line="240" w:lineRule="auto"/>
        <w:ind w:left="426"/>
        <w:contextualSpacing/>
        <w:jc w:val="both"/>
        <w:rPr>
          <w:rFonts w:ascii="Bookman Old Style" w:eastAsia="Calibri" w:hAnsi="Bookman Old Style" w:cs="Arial"/>
          <w:i/>
          <w:sz w:val="20"/>
          <w:szCs w:val="20"/>
        </w:rPr>
      </w:pPr>
    </w:p>
    <w:p w14:paraId="05DF4F97" w14:textId="77777777" w:rsidR="00D1226F" w:rsidRPr="000B5551" w:rsidRDefault="00D1226F" w:rsidP="000B5551">
      <w:pPr>
        <w:spacing w:after="0" w:line="240" w:lineRule="auto"/>
        <w:ind w:left="1276" w:hanging="850"/>
        <w:contextualSpacing/>
        <w:jc w:val="both"/>
        <w:rPr>
          <w:rFonts w:ascii="Bookman Old Style" w:eastAsia="Calibri" w:hAnsi="Bookman Old Style" w:cs="Arial"/>
          <w:i/>
          <w:sz w:val="20"/>
          <w:szCs w:val="20"/>
        </w:rPr>
      </w:pPr>
      <w:r w:rsidRPr="000B5551">
        <w:rPr>
          <w:rFonts w:ascii="Bookman Old Style" w:eastAsia="Calibri" w:hAnsi="Bookman Old Style" w:cs="Arial"/>
          <w:i/>
          <w:sz w:val="20"/>
          <w:szCs w:val="20"/>
        </w:rPr>
        <w:t xml:space="preserve">m = </w:t>
      </w:r>
      <w:r w:rsidRPr="000B5551">
        <w:rPr>
          <w:rFonts w:ascii="Bookman Old Style" w:eastAsia="Calibri" w:hAnsi="Bookman Old Style" w:cs="Arial"/>
          <w:i/>
          <w:sz w:val="20"/>
          <w:szCs w:val="20"/>
        </w:rPr>
        <w:tab/>
        <w:t>Mes de prestación del servicio</w:t>
      </w:r>
    </w:p>
    <w:p w14:paraId="62FD0229" w14:textId="77777777" w:rsidR="00D1226F" w:rsidRPr="000B5551" w:rsidRDefault="00D1226F" w:rsidP="000B5551">
      <w:pPr>
        <w:spacing w:after="0" w:line="240" w:lineRule="auto"/>
        <w:ind w:left="426"/>
        <w:contextualSpacing/>
        <w:jc w:val="both"/>
        <w:rPr>
          <w:rFonts w:ascii="Bookman Old Style" w:eastAsia="Calibri" w:hAnsi="Bookman Old Style" w:cs="Arial"/>
          <w:i/>
          <w:sz w:val="20"/>
          <w:szCs w:val="20"/>
        </w:rPr>
      </w:pPr>
    </w:p>
    <w:p w14:paraId="1F48C27A" w14:textId="77777777" w:rsidR="00D1226F" w:rsidRPr="000B5551" w:rsidRDefault="00D1226F" w:rsidP="000B5551">
      <w:pPr>
        <w:spacing w:after="0" w:line="240" w:lineRule="auto"/>
        <w:ind w:left="1276" w:hanging="850"/>
        <w:contextualSpacing/>
        <w:jc w:val="both"/>
        <w:rPr>
          <w:rFonts w:ascii="Bookman Old Style" w:eastAsia="Calibri" w:hAnsi="Bookman Old Style" w:cs="Arial"/>
          <w:i/>
          <w:sz w:val="20"/>
          <w:szCs w:val="20"/>
        </w:rPr>
      </w:pPr>
      <w:r w:rsidRPr="000B5551">
        <w:rPr>
          <w:rFonts w:ascii="Bookman Old Style" w:eastAsia="Calibri" w:hAnsi="Bookman Old Style" w:cs="Arial"/>
          <w:i/>
          <w:sz w:val="20"/>
          <w:szCs w:val="20"/>
        </w:rPr>
        <w:t>n =</w:t>
      </w:r>
      <w:r w:rsidRPr="000B5551">
        <w:rPr>
          <w:rFonts w:ascii="Bookman Old Style" w:eastAsia="Calibri" w:hAnsi="Bookman Old Style" w:cs="Arial"/>
          <w:i/>
          <w:sz w:val="20"/>
          <w:szCs w:val="20"/>
        </w:rPr>
        <w:tab/>
        <w:t>Nivel de tensión</w:t>
      </w:r>
    </w:p>
    <w:p w14:paraId="45598528" w14:textId="77777777" w:rsidR="00D1226F" w:rsidRPr="000B5551" w:rsidRDefault="00D1226F" w:rsidP="000B5551">
      <w:pPr>
        <w:widowControl w:val="0"/>
        <w:tabs>
          <w:tab w:val="left" w:pos="858"/>
        </w:tabs>
        <w:adjustRightInd w:val="0"/>
        <w:spacing w:after="0" w:line="240" w:lineRule="auto"/>
        <w:ind w:left="426"/>
        <w:contextualSpacing/>
        <w:jc w:val="both"/>
        <w:textAlignment w:val="baseline"/>
        <w:rPr>
          <w:rFonts w:ascii="Bookman Old Style" w:eastAsia="Times New Roman" w:hAnsi="Bookman Old Style" w:cs="Arial"/>
          <w:i/>
          <w:sz w:val="20"/>
          <w:szCs w:val="20"/>
          <w:lang w:val="es-ES" w:eastAsia="es-ES"/>
        </w:rPr>
      </w:pPr>
    </w:p>
    <w:p w14:paraId="16562A46" w14:textId="77777777" w:rsidR="00D1226F" w:rsidRPr="000B5551" w:rsidRDefault="00D1226F" w:rsidP="000B5551">
      <w:pPr>
        <w:widowControl w:val="0"/>
        <w:tabs>
          <w:tab w:val="left" w:pos="858"/>
        </w:tabs>
        <w:adjustRightInd w:val="0"/>
        <w:spacing w:after="0" w:line="240" w:lineRule="auto"/>
        <w:ind w:left="1276" w:hanging="850"/>
        <w:contextualSpacing/>
        <w:jc w:val="both"/>
        <w:textAlignment w:val="baseline"/>
        <w:rPr>
          <w:rFonts w:ascii="Bookman Old Style" w:eastAsia="Times New Roman" w:hAnsi="Bookman Old Style" w:cs="Arial"/>
          <w:i/>
          <w:sz w:val="20"/>
          <w:szCs w:val="20"/>
          <w:lang w:val="es-ES" w:eastAsia="es-ES"/>
        </w:rPr>
      </w:pPr>
      <w:r w:rsidRPr="000B5551">
        <w:rPr>
          <w:rFonts w:ascii="Bookman Old Style" w:eastAsia="Times New Roman" w:hAnsi="Bookman Old Style" w:cs="Arial"/>
          <w:i/>
          <w:sz w:val="20"/>
          <w:szCs w:val="20"/>
          <w:lang w:val="es-ES" w:eastAsia="es-ES"/>
        </w:rPr>
        <w:t>p =</w:t>
      </w:r>
      <w:r w:rsidRPr="000B5551">
        <w:rPr>
          <w:rFonts w:ascii="Bookman Old Style" w:eastAsia="Times New Roman" w:hAnsi="Bookman Old Style" w:cs="Arial"/>
          <w:i/>
          <w:sz w:val="20"/>
          <w:szCs w:val="20"/>
          <w:lang w:val="es-ES" w:eastAsia="es-ES"/>
        </w:rPr>
        <w:tab/>
      </w:r>
      <w:r w:rsidRPr="000B5551">
        <w:rPr>
          <w:rFonts w:ascii="Bookman Old Style" w:eastAsia="Times New Roman" w:hAnsi="Bookman Old Style" w:cs="Arial"/>
          <w:i/>
          <w:sz w:val="20"/>
          <w:szCs w:val="20"/>
          <w:lang w:val="es-ES" w:eastAsia="es-ES"/>
        </w:rPr>
        <w:tab/>
        <w:t>Fracción (o Porcentaje expresado como fracción) de pérdidas de energía acumuladas hasta el nivel de tensión n. Hasta tanto la Comisión no determine lo contrario, las pérdidas eficientes reconocidas serán del 10%.</w:t>
      </w:r>
    </w:p>
    <w:p w14:paraId="02A071A3" w14:textId="77777777" w:rsidR="00D1226F" w:rsidRPr="000B5551" w:rsidRDefault="00D1226F" w:rsidP="000B5551">
      <w:pPr>
        <w:widowControl w:val="0"/>
        <w:tabs>
          <w:tab w:val="left" w:pos="858"/>
        </w:tabs>
        <w:adjustRightInd w:val="0"/>
        <w:spacing w:after="0" w:line="240" w:lineRule="auto"/>
        <w:ind w:left="426"/>
        <w:contextualSpacing/>
        <w:jc w:val="both"/>
        <w:textAlignment w:val="baseline"/>
        <w:rPr>
          <w:rFonts w:ascii="Bookman Old Style" w:eastAsia="Times New Roman" w:hAnsi="Bookman Old Style" w:cs="Arial"/>
          <w:i/>
          <w:sz w:val="20"/>
          <w:szCs w:val="20"/>
          <w:lang w:val="es-ES" w:eastAsia="es-ES"/>
        </w:rPr>
      </w:pPr>
    </w:p>
    <w:p w14:paraId="60342226" w14:textId="77777777" w:rsidR="00D1226F" w:rsidRPr="000B5551" w:rsidRDefault="00D1226F" w:rsidP="000B5551">
      <w:pPr>
        <w:tabs>
          <w:tab w:val="left" w:pos="709"/>
        </w:tabs>
        <w:spacing w:after="0" w:line="240" w:lineRule="auto"/>
        <w:ind w:left="1276" w:hanging="850"/>
        <w:contextualSpacing/>
        <w:jc w:val="both"/>
        <w:rPr>
          <w:rFonts w:ascii="Bookman Old Style" w:eastAsia="Calibri" w:hAnsi="Bookman Old Style" w:cs="Arial"/>
          <w:i/>
          <w:sz w:val="20"/>
          <w:szCs w:val="20"/>
        </w:rPr>
      </w:pPr>
      <w:r w:rsidRPr="000B5551">
        <w:rPr>
          <w:rFonts w:ascii="Bookman Old Style" w:eastAsia="Calibri" w:hAnsi="Bookman Old Style" w:cs="Arial"/>
          <w:i/>
          <w:sz w:val="20"/>
          <w:szCs w:val="20"/>
        </w:rPr>
        <w:t>C</w:t>
      </w:r>
      <w:r w:rsidRPr="000B5551">
        <w:rPr>
          <w:rFonts w:ascii="Bookman Old Style" w:eastAsia="Calibri" w:hAnsi="Bookman Old Style" w:cs="Arial"/>
          <w:i/>
          <w:sz w:val="20"/>
          <w:szCs w:val="20"/>
          <w:vertAlign w:val="subscript"/>
        </w:rPr>
        <w:t>m</w:t>
      </w:r>
      <w:r w:rsidRPr="000B5551">
        <w:rPr>
          <w:rFonts w:ascii="Bookman Old Style" w:eastAsia="Calibri" w:hAnsi="Bookman Old Style" w:cs="Arial"/>
          <w:i/>
          <w:sz w:val="20"/>
          <w:szCs w:val="20"/>
        </w:rPr>
        <w:t xml:space="preserve"> =</w:t>
      </w:r>
      <w:r w:rsidRPr="000B5551">
        <w:rPr>
          <w:rFonts w:ascii="Bookman Old Style" w:eastAsia="Calibri" w:hAnsi="Bookman Old Style" w:cs="Arial"/>
          <w:i/>
          <w:sz w:val="20"/>
          <w:szCs w:val="20"/>
          <w:vertAlign w:val="subscript"/>
        </w:rPr>
        <w:tab/>
      </w:r>
      <w:r w:rsidRPr="000B5551">
        <w:rPr>
          <w:rFonts w:ascii="Bookman Old Style" w:eastAsia="Calibri" w:hAnsi="Bookman Old Style" w:cs="Arial"/>
          <w:i/>
          <w:sz w:val="20"/>
          <w:szCs w:val="20"/>
        </w:rPr>
        <w:t>Costo de Comercialización del mes m, expresado en $/kWh, que se calculará de la siguiente forma:</w:t>
      </w:r>
    </w:p>
    <w:p w14:paraId="4B0F04E4" w14:textId="77777777" w:rsidR="00D1226F" w:rsidRPr="000B5551" w:rsidRDefault="00D1226F" w:rsidP="000B5551">
      <w:pPr>
        <w:spacing w:after="0" w:line="240" w:lineRule="auto"/>
        <w:ind w:left="426"/>
        <w:contextualSpacing/>
        <w:jc w:val="both"/>
        <w:rPr>
          <w:rFonts w:ascii="Bookman Old Style" w:eastAsia="Calibri" w:hAnsi="Bookman Old Style" w:cs="Arial"/>
          <w:b/>
          <w:i/>
          <w:sz w:val="20"/>
          <w:szCs w:val="20"/>
        </w:rPr>
      </w:pPr>
    </w:p>
    <w:p w14:paraId="1A3B7DB1" w14:textId="77777777" w:rsidR="00D1226F" w:rsidRPr="000B5551" w:rsidRDefault="00625C69" w:rsidP="000B5551">
      <w:pPr>
        <w:spacing w:after="0" w:line="240" w:lineRule="auto"/>
        <w:ind w:left="426"/>
        <w:contextualSpacing/>
        <w:jc w:val="center"/>
        <w:rPr>
          <w:rFonts w:ascii="Bookman Old Style" w:eastAsia="Calibri" w:hAnsi="Bookman Old Style" w:cs="Arial"/>
          <w:i/>
          <w:sz w:val="20"/>
          <w:szCs w:val="20"/>
        </w:rPr>
      </w:pPr>
      <w:r>
        <w:rPr>
          <w:rFonts w:ascii="Bookman Old Style" w:eastAsia="Calibri" w:hAnsi="Bookman Old Style" w:cs="Arial"/>
          <w:i/>
          <w:iCs/>
          <w:position w:val="-36"/>
          <w:sz w:val="20"/>
          <w:szCs w:val="20"/>
        </w:rPr>
        <w:pict w14:anchorId="7019B49A">
          <v:shape id="_x0000_i1027" type="#_x0000_t75" style="width:62.25pt;height:31.5pt">
            <v:imagedata r:id="rId29" o:title=""/>
          </v:shape>
        </w:pict>
      </w:r>
    </w:p>
    <w:p w14:paraId="7751A120" w14:textId="77777777" w:rsidR="00D1226F" w:rsidRPr="000B5551" w:rsidRDefault="00D1226F" w:rsidP="000B5551">
      <w:pPr>
        <w:spacing w:after="0" w:line="240" w:lineRule="auto"/>
        <w:ind w:left="426"/>
        <w:contextualSpacing/>
        <w:jc w:val="both"/>
        <w:rPr>
          <w:rFonts w:ascii="Bookman Old Style" w:eastAsia="Calibri" w:hAnsi="Bookman Old Style" w:cs="Arial"/>
          <w:i/>
          <w:sz w:val="20"/>
          <w:szCs w:val="20"/>
        </w:rPr>
      </w:pPr>
      <w:r w:rsidRPr="000B5551">
        <w:rPr>
          <w:rFonts w:ascii="Bookman Old Style" w:eastAsia="Calibri" w:hAnsi="Bookman Old Style" w:cs="Arial"/>
          <w:i/>
          <w:sz w:val="20"/>
          <w:szCs w:val="20"/>
        </w:rPr>
        <w:t>Donde:</w:t>
      </w:r>
    </w:p>
    <w:p w14:paraId="119F40D0" w14:textId="77777777" w:rsidR="00D1226F" w:rsidRPr="000B5551" w:rsidRDefault="00D1226F" w:rsidP="000B5551">
      <w:pPr>
        <w:spacing w:after="0" w:line="240" w:lineRule="auto"/>
        <w:ind w:left="426"/>
        <w:contextualSpacing/>
        <w:jc w:val="both"/>
        <w:rPr>
          <w:rFonts w:ascii="Bookman Old Style" w:eastAsia="Calibri" w:hAnsi="Bookman Old Style" w:cs="Arial"/>
          <w:i/>
          <w:sz w:val="20"/>
          <w:szCs w:val="20"/>
        </w:rPr>
      </w:pPr>
    </w:p>
    <w:p w14:paraId="25862C87" w14:textId="77777777" w:rsidR="00D1226F" w:rsidRPr="000B5551" w:rsidRDefault="00D1226F" w:rsidP="000B5551">
      <w:pPr>
        <w:tabs>
          <w:tab w:val="left" w:pos="1134"/>
        </w:tabs>
        <w:spacing w:after="0" w:line="240" w:lineRule="auto"/>
        <w:ind w:left="1134" w:hanging="708"/>
        <w:contextualSpacing/>
        <w:jc w:val="both"/>
        <w:rPr>
          <w:rFonts w:ascii="Bookman Old Style" w:eastAsia="Calibri" w:hAnsi="Bookman Old Style" w:cs="Arial"/>
          <w:i/>
          <w:sz w:val="20"/>
          <w:szCs w:val="20"/>
        </w:rPr>
      </w:pPr>
      <w:r w:rsidRPr="000B5551">
        <w:rPr>
          <w:rFonts w:ascii="Bookman Old Style" w:eastAsia="Calibri" w:hAnsi="Bookman Old Style" w:cs="Arial"/>
          <w:i/>
          <w:sz w:val="20"/>
          <w:szCs w:val="20"/>
        </w:rPr>
        <w:t>C*</w:t>
      </w:r>
      <w:proofErr w:type="spellStart"/>
      <w:r w:rsidRPr="000B5551">
        <w:rPr>
          <w:rFonts w:ascii="Bookman Old Style" w:eastAsia="Calibri" w:hAnsi="Bookman Old Style" w:cs="Arial"/>
          <w:i/>
          <w:sz w:val="20"/>
          <w:szCs w:val="20"/>
          <w:vertAlign w:val="subscript"/>
        </w:rPr>
        <w:t>mt</w:t>
      </w:r>
      <w:proofErr w:type="spellEnd"/>
      <w:r w:rsidRPr="000B5551">
        <w:rPr>
          <w:rFonts w:ascii="Bookman Old Style" w:eastAsia="Calibri" w:hAnsi="Bookman Old Style" w:cs="Arial"/>
          <w:i/>
          <w:sz w:val="20"/>
          <w:szCs w:val="20"/>
          <w:vertAlign w:val="subscript"/>
        </w:rPr>
        <w:t xml:space="preserve"> </w:t>
      </w:r>
      <w:r w:rsidRPr="000B5551">
        <w:rPr>
          <w:rFonts w:ascii="Bookman Old Style" w:eastAsia="Calibri" w:hAnsi="Bookman Old Style" w:cs="Arial"/>
          <w:i/>
          <w:sz w:val="20"/>
          <w:szCs w:val="20"/>
        </w:rPr>
        <w:t>=</w:t>
      </w:r>
      <w:r w:rsidRPr="000B5551">
        <w:rPr>
          <w:rFonts w:ascii="Bookman Old Style" w:eastAsia="Calibri" w:hAnsi="Bookman Old Style" w:cs="Arial"/>
          <w:i/>
          <w:sz w:val="20"/>
          <w:szCs w:val="20"/>
          <w:vertAlign w:val="subscript"/>
        </w:rPr>
        <w:tab/>
      </w:r>
      <w:r w:rsidRPr="000B5551">
        <w:rPr>
          <w:rFonts w:ascii="Bookman Old Style" w:eastAsia="Calibri" w:hAnsi="Bookman Old Style" w:cs="Arial"/>
          <w:i/>
          <w:sz w:val="20"/>
          <w:szCs w:val="20"/>
        </w:rPr>
        <w:t>Cargo Máximo Base de Comercialización para el mes m del año t, expresado en $/Factura.</w:t>
      </w:r>
    </w:p>
    <w:p w14:paraId="2766FD07" w14:textId="77777777" w:rsidR="00D1226F" w:rsidRPr="000B5551" w:rsidRDefault="00D1226F" w:rsidP="000B5551">
      <w:pPr>
        <w:tabs>
          <w:tab w:val="left" w:pos="1134"/>
        </w:tabs>
        <w:spacing w:after="0" w:line="240" w:lineRule="auto"/>
        <w:ind w:left="426"/>
        <w:contextualSpacing/>
        <w:jc w:val="both"/>
        <w:rPr>
          <w:rFonts w:ascii="Bookman Old Style" w:eastAsia="Calibri" w:hAnsi="Bookman Old Style" w:cs="Arial"/>
          <w:i/>
          <w:sz w:val="20"/>
          <w:szCs w:val="20"/>
        </w:rPr>
      </w:pPr>
    </w:p>
    <w:p w14:paraId="3505C20C" w14:textId="2609F056" w:rsidR="00D1226F" w:rsidRPr="000B5551" w:rsidRDefault="00D1226F" w:rsidP="000B5551">
      <w:pPr>
        <w:tabs>
          <w:tab w:val="left" w:pos="1134"/>
        </w:tabs>
        <w:spacing w:after="0" w:line="240" w:lineRule="auto"/>
        <w:ind w:left="1134" w:hanging="708"/>
        <w:contextualSpacing/>
        <w:jc w:val="both"/>
        <w:rPr>
          <w:rFonts w:ascii="Bookman Old Style" w:eastAsia="Calibri" w:hAnsi="Bookman Old Style" w:cs="Arial"/>
          <w:sz w:val="20"/>
          <w:szCs w:val="20"/>
        </w:rPr>
      </w:pPr>
      <w:r w:rsidRPr="000B5551">
        <w:rPr>
          <w:rFonts w:ascii="Bookman Old Style" w:eastAsia="Calibri" w:hAnsi="Bookman Old Style" w:cs="Arial"/>
          <w:i/>
          <w:sz w:val="20"/>
          <w:szCs w:val="20"/>
        </w:rPr>
        <w:t>CFM</w:t>
      </w:r>
      <w:r w:rsidRPr="000B5551">
        <w:rPr>
          <w:rFonts w:ascii="Bookman Old Style" w:eastAsia="Calibri" w:hAnsi="Bookman Old Style" w:cs="Arial"/>
          <w:i/>
          <w:sz w:val="20"/>
          <w:szCs w:val="20"/>
          <w:vertAlign w:val="subscript"/>
        </w:rPr>
        <w:t xml:space="preserve"> t-1</w:t>
      </w:r>
      <w:r w:rsidRPr="000B5551">
        <w:rPr>
          <w:rFonts w:ascii="Bookman Old Style" w:eastAsia="Calibri" w:hAnsi="Bookman Old Style" w:cs="Arial"/>
          <w:i/>
          <w:sz w:val="20"/>
          <w:szCs w:val="20"/>
          <w:vertAlign w:val="subscript"/>
        </w:rPr>
        <w:tab/>
      </w:r>
      <w:r w:rsidRPr="000B5551">
        <w:rPr>
          <w:rFonts w:ascii="Bookman Old Style" w:eastAsia="Calibri" w:hAnsi="Bookman Old Style" w:cs="Arial"/>
          <w:i/>
          <w:sz w:val="20"/>
          <w:szCs w:val="20"/>
        </w:rPr>
        <w:t>=</w:t>
      </w:r>
      <w:r w:rsidRPr="000B5551">
        <w:rPr>
          <w:rFonts w:ascii="Bookman Old Style" w:eastAsia="Calibri" w:hAnsi="Bookman Old Style" w:cs="Arial"/>
          <w:i/>
          <w:sz w:val="20"/>
          <w:szCs w:val="20"/>
        </w:rPr>
        <w:tab/>
      </w:r>
      <w:r w:rsidRPr="000B5551">
        <w:rPr>
          <w:rFonts w:ascii="Bookman Old Style" w:eastAsia="Calibri" w:hAnsi="Bookman Old Style" w:cs="Arial"/>
          <w:b/>
          <w:i/>
          <w:sz w:val="20"/>
          <w:szCs w:val="20"/>
          <w:u w:val="single"/>
        </w:rPr>
        <w:t xml:space="preserve">Consumo Facturado Medio en cada mercado </w:t>
      </w:r>
      <w:r w:rsidRPr="000B5551">
        <w:rPr>
          <w:rFonts w:ascii="Bookman Old Style" w:eastAsia="Calibri" w:hAnsi="Bookman Old Style" w:cs="Arial"/>
          <w:i/>
          <w:sz w:val="20"/>
          <w:szCs w:val="20"/>
        </w:rPr>
        <w:t xml:space="preserve">en el año t-1. (Total kWh vendidos a los usuarios dividido por el total de facturas expedidas, sin considerar las debidas a errores de facturación). (…)” </w:t>
      </w:r>
      <w:r w:rsidR="00C04C59" w:rsidRPr="000B5551">
        <w:rPr>
          <w:rFonts w:ascii="Bookman Old Style" w:eastAsia="Calibri" w:hAnsi="Bookman Old Style" w:cs="Arial"/>
          <w:i/>
          <w:iCs/>
          <w:sz w:val="20"/>
          <w:szCs w:val="20"/>
        </w:rPr>
        <w:t>(</w:t>
      </w:r>
      <w:r w:rsidRPr="000B5551">
        <w:rPr>
          <w:rFonts w:ascii="Bookman Old Style" w:eastAsia="Calibri" w:hAnsi="Bookman Old Style" w:cs="Arial"/>
          <w:sz w:val="20"/>
          <w:szCs w:val="20"/>
        </w:rPr>
        <w:t>Resaltado y subrayado fuera de texto</w:t>
      </w:r>
      <w:r w:rsidR="00C04C59" w:rsidRPr="000B5551">
        <w:rPr>
          <w:rFonts w:ascii="Bookman Old Style" w:eastAsia="Calibri" w:hAnsi="Bookman Old Style" w:cs="Arial"/>
          <w:sz w:val="20"/>
          <w:szCs w:val="20"/>
        </w:rPr>
        <w:t>)</w:t>
      </w:r>
    </w:p>
    <w:p w14:paraId="38F20B4B" w14:textId="77777777" w:rsidR="00D1226F" w:rsidRPr="00D1226F" w:rsidRDefault="00D1226F" w:rsidP="002A6CF9">
      <w:pPr>
        <w:spacing w:after="0" w:line="240" w:lineRule="auto"/>
        <w:ind w:right="425"/>
        <w:contextualSpacing/>
        <w:jc w:val="both"/>
        <w:rPr>
          <w:rFonts w:ascii="Bookman Old Style" w:eastAsia="Times New Roman" w:hAnsi="Bookman Old Style" w:cs="Arial"/>
          <w:sz w:val="24"/>
          <w:szCs w:val="24"/>
          <w:lang w:eastAsia="es-ES"/>
        </w:rPr>
      </w:pPr>
    </w:p>
    <w:p w14:paraId="38A81A48" w14:textId="278F5201" w:rsidR="00D1226F" w:rsidRPr="00D1226F" w:rsidRDefault="00D1226F" w:rsidP="00D1226F">
      <w:pPr>
        <w:spacing w:after="0" w:line="240" w:lineRule="auto"/>
        <w:contextualSpacing/>
        <w:jc w:val="both"/>
        <w:rPr>
          <w:rFonts w:ascii="Bookman Old Style" w:eastAsia="Times New Roman" w:hAnsi="Bookman Old Style" w:cs="Arial"/>
          <w:sz w:val="24"/>
          <w:szCs w:val="24"/>
          <w:lang w:eastAsia="es-ES"/>
        </w:rPr>
      </w:pPr>
      <w:r w:rsidRPr="00D1226F">
        <w:rPr>
          <w:rFonts w:ascii="Bookman Old Style" w:eastAsia="Times New Roman" w:hAnsi="Bookman Old Style" w:cs="Arial"/>
          <w:sz w:val="24"/>
          <w:szCs w:val="24"/>
          <w:lang w:eastAsia="es-ES"/>
        </w:rPr>
        <w:t>En esa medida, con la decisión adoptada no se está modificando la remuneración ya prevista para generación con tecnologías diésel o PCH, sino que se incorpora en el cálculo del costo de generación para el mercado relevante de Mitú el costo de la tecnología solar con acumulación</w:t>
      </w:r>
      <w:r w:rsidR="000B5551">
        <w:rPr>
          <w:rFonts w:ascii="Bookman Old Style" w:eastAsia="Times New Roman" w:hAnsi="Bookman Old Style" w:cs="Arial"/>
          <w:sz w:val="24"/>
          <w:szCs w:val="24"/>
          <w:lang w:eastAsia="es-ES"/>
        </w:rPr>
        <w:t>,</w:t>
      </w:r>
      <w:r w:rsidRPr="00D1226F">
        <w:rPr>
          <w:rFonts w:ascii="Bookman Old Style" w:eastAsia="Times New Roman" w:hAnsi="Bookman Old Style" w:cs="Arial"/>
          <w:sz w:val="24"/>
          <w:szCs w:val="24"/>
          <w:lang w:eastAsia="es-ES"/>
        </w:rPr>
        <w:t xml:space="preserve"> y cómo determinar el costo de generación con los tres recursos. Todo lo cual se encuentra en consonancia con el principio de eficacia consagrado en el numeral 11 del artículo 3 del Código de Procedimiento Administrativo y de lo Contencioso Administrativo que señala: </w:t>
      </w:r>
    </w:p>
    <w:p w14:paraId="2405146C" w14:textId="77777777" w:rsidR="00D1226F" w:rsidRPr="00D1226F" w:rsidRDefault="00D1226F" w:rsidP="0050175F">
      <w:pPr>
        <w:spacing w:after="0" w:line="240" w:lineRule="auto"/>
        <w:ind w:right="284"/>
        <w:contextualSpacing/>
        <w:jc w:val="both"/>
        <w:rPr>
          <w:rFonts w:ascii="Bookman Old Style" w:eastAsia="Times New Roman" w:hAnsi="Bookman Old Style" w:cs="Arial"/>
          <w:sz w:val="24"/>
          <w:szCs w:val="24"/>
          <w:lang w:eastAsia="es-ES"/>
        </w:rPr>
      </w:pPr>
    </w:p>
    <w:p w14:paraId="71ED4C06" w14:textId="77777777" w:rsidR="00D1226F" w:rsidRPr="000B5551" w:rsidRDefault="00D1226F" w:rsidP="000B5551">
      <w:pPr>
        <w:spacing w:after="0" w:line="240" w:lineRule="auto"/>
        <w:ind w:left="284"/>
        <w:contextualSpacing/>
        <w:jc w:val="both"/>
        <w:rPr>
          <w:rFonts w:ascii="Bookman Old Style" w:eastAsia="Times New Roman" w:hAnsi="Bookman Old Style" w:cs="Arial"/>
          <w:i/>
          <w:sz w:val="20"/>
          <w:szCs w:val="20"/>
          <w:lang w:eastAsia="es-ES"/>
        </w:rPr>
      </w:pPr>
      <w:r w:rsidRPr="000B5551">
        <w:rPr>
          <w:rFonts w:ascii="Bookman Old Style" w:eastAsia="Calibri" w:hAnsi="Bookman Old Style" w:cs="Arial"/>
          <w:i/>
          <w:sz w:val="20"/>
          <w:szCs w:val="20"/>
        </w:rPr>
        <w:t>“En virtud del principio de eficacia, las autoridades buscarán que los procedimientos logren su finalidad y, para el efecto, removerán de oficio los obstáculos puramente formales, evitarán decisiones inhibitorias, dilaciones o retardos y sanearán, de acuerdo con este Código las irregularidades procedimentales que se presenten, en procura de la efectividad del derecho material objeto de la actuación administrativa”.</w:t>
      </w:r>
    </w:p>
    <w:p w14:paraId="378A6563" w14:textId="77777777" w:rsidR="00D1226F" w:rsidRPr="00D1226F" w:rsidRDefault="00D1226F" w:rsidP="00D1226F">
      <w:pPr>
        <w:spacing w:after="0" w:line="240" w:lineRule="auto"/>
        <w:contextualSpacing/>
        <w:jc w:val="both"/>
        <w:rPr>
          <w:rFonts w:ascii="Bookman Old Style" w:eastAsia="Times New Roman" w:hAnsi="Bookman Old Style" w:cs="Arial"/>
          <w:sz w:val="24"/>
          <w:szCs w:val="24"/>
          <w:lang w:eastAsia="es-ES"/>
        </w:rPr>
      </w:pPr>
    </w:p>
    <w:p w14:paraId="53604D52" w14:textId="77777777" w:rsidR="00D1226F" w:rsidRDefault="00D1226F" w:rsidP="00D1226F">
      <w:pPr>
        <w:spacing w:after="0" w:line="240" w:lineRule="auto"/>
        <w:contextualSpacing/>
        <w:jc w:val="both"/>
        <w:rPr>
          <w:rFonts w:ascii="Bookman Old Style" w:eastAsia="Times New Roman" w:hAnsi="Bookman Old Style" w:cs="Arial"/>
          <w:sz w:val="24"/>
          <w:szCs w:val="24"/>
          <w:lang w:eastAsia="es-ES"/>
        </w:rPr>
      </w:pPr>
      <w:r w:rsidRPr="00D1226F">
        <w:rPr>
          <w:rFonts w:ascii="Bookman Old Style" w:eastAsia="Times New Roman" w:hAnsi="Bookman Old Style" w:cs="Arial"/>
          <w:sz w:val="24"/>
          <w:szCs w:val="24"/>
          <w:lang w:eastAsia="es-ES"/>
        </w:rPr>
        <w:t>Así las cosas, se deben establecer todos los componentes tarifarios para que el prestador del servicio, en este caso el comercializador, cuente con todos los elementos necesarios para determinar el costo que puede ser trasladado al usuario.</w:t>
      </w:r>
    </w:p>
    <w:p w14:paraId="69EB635C" w14:textId="77777777" w:rsidR="0032501B" w:rsidRPr="00D1226F" w:rsidRDefault="0032501B" w:rsidP="00D1226F">
      <w:pPr>
        <w:spacing w:after="0" w:line="240" w:lineRule="auto"/>
        <w:contextualSpacing/>
        <w:jc w:val="both"/>
        <w:rPr>
          <w:rFonts w:ascii="Bookman Old Style" w:eastAsia="Times New Roman" w:hAnsi="Bookman Old Style" w:cs="Arial"/>
          <w:sz w:val="24"/>
          <w:szCs w:val="24"/>
          <w:lang w:eastAsia="es-ES"/>
        </w:rPr>
      </w:pPr>
    </w:p>
    <w:p w14:paraId="30833222" w14:textId="77777777" w:rsidR="00D1226F" w:rsidRPr="00D1226F" w:rsidRDefault="00D1226F" w:rsidP="00D1226F">
      <w:pPr>
        <w:spacing w:after="0" w:line="240" w:lineRule="auto"/>
        <w:contextualSpacing/>
        <w:jc w:val="both"/>
        <w:rPr>
          <w:rFonts w:ascii="Bookman Old Style" w:eastAsia="Times New Roman" w:hAnsi="Bookman Old Style" w:cs="Arial"/>
          <w:sz w:val="24"/>
          <w:szCs w:val="24"/>
          <w:lang w:eastAsia="es-ES"/>
        </w:rPr>
      </w:pPr>
      <w:r w:rsidRPr="00D1226F">
        <w:rPr>
          <w:rFonts w:ascii="Bookman Old Style" w:eastAsia="Times New Roman" w:hAnsi="Bookman Old Style" w:cs="Arial"/>
          <w:sz w:val="24"/>
          <w:szCs w:val="24"/>
          <w:lang w:eastAsia="es-ES"/>
        </w:rPr>
        <w:t xml:space="preserve">De otra parte, en relación con el principio de congruencia, el Consejo de Estado ha indicado lo siguiente: </w:t>
      </w:r>
    </w:p>
    <w:p w14:paraId="3427190B" w14:textId="77777777" w:rsidR="00D1226F" w:rsidRPr="00D1226F" w:rsidRDefault="00D1226F" w:rsidP="00D1226F">
      <w:pPr>
        <w:spacing w:after="0" w:line="240" w:lineRule="auto"/>
        <w:contextualSpacing/>
        <w:jc w:val="both"/>
        <w:rPr>
          <w:rFonts w:ascii="Bookman Old Style" w:eastAsia="Times New Roman" w:hAnsi="Bookman Old Style" w:cs="Arial"/>
          <w:lang w:eastAsia="es-ES"/>
        </w:rPr>
      </w:pPr>
    </w:p>
    <w:p w14:paraId="5AF89AE7" w14:textId="77777777" w:rsidR="00D1226F" w:rsidRPr="000B5551" w:rsidRDefault="00D1226F" w:rsidP="000B5551">
      <w:pPr>
        <w:spacing w:after="0" w:line="240" w:lineRule="auto"/>
        <w:ind w:left="284"/>
        <w:contextualSpacing/>
        <w:jc w:val="both"/>
        <w:rPr>
          <w:rFonts w:ascii="Bookman Old Style" w:eastAsia="Times New Roman" w:hAnsi="Bookman Old Style" w:cs="Arial"/>
          <w:i/>
          <w:color w:val="000000"/>
          <w:sz w:val="20"/>
          <w:szCs w:val="20"/>
          <w:lang w:val="es-MX" w:eastAsia="es-MX"/>
        </w:rPr>
      </w:pPr>
      <w:r w:rsidRPr="000B5551">
        <w:rPr>
          <w:rFonts w:ascii="Bookman Old Style" w:eastAsia="Times New Roman" w:hAnsi="Bookman Old Style" w:cs="Arial"/>
          <w:i/>
          <w:color w:val="000000"/>
          <w:sz w:val="20"/>
          <w:szCs w:val="20"/>
          <w:lang w:val="es-MX" w:eastAsia="es-MX"/>
        </w:rPr>
        <w:t>“(…) el principio de congruencia exige consonancia entre lo pedido por las partes (petitum) y lo resuelto por el tribunal (</w:t>
      </w:r>
      <w:proofErr w:type="spellStart"/>
      <w:r w:rsidRPr="000B5551">
        <w:rPr>
          <w:rFonts w:ascii="Bookman Old Style" w:eastAsia="Times New Roman" w:hAnsi="Bookman Old Style" w:cs="Arial"/>
          <w:i/>
          <w:color w:val="000000"/>
          <w:sz w:val="20"/>
          <w:szCs w:val="20"/>
          <w:lang w:val="es-MX" w:eastAsia="es-MX"/>
        </w:rPr>
        <w:t>decisum</w:t>
      </w:r>
      <w:proofErr w:type="spellEnd"/>
      <w:r w:rsidRPr="000B5551">
        <w:rPr>
          <w:rFonts w:ascii="Bookman Old Style" w:eastAsia="Times New Roman" w:hAnsi="Bookman Old Style" w:cs="Arial"/>
          <w:i/>
          <w:color w:val="000000"/>
          <w:sz w:val="20"/>
          <w:szCs w:val="20"/>
          <w:lang w:val="es-MX" w:eastAsia="es-MX"/>
        </w:rPr>
        <w:t>), entendiéndose que se atentará contra él allí donde el juez concede más o algo distinto de lo que le fue demandado por la parte actora (ultra o extra </w:t>
      </w:r>
      <w:proofErr w:type="spellStart"/>
      <w:r w:rsidRPr="000B5551">
        <w:rPr>
          <w:rFonts w:ascii="Bookman Old Style" w:eastAsia="Times New Roman" w:hAnsi="Bookman Old Style" w:cs="Arial"/>
          <w:i/>
          <w:color w:val="000000"/>
          <w:sz w:val="20"/>
          <w:szCs w:val="20"/>
          <w:lang w:val="es-MX" w:eastAsia="es-MX"/>
        </w:rPr>
        <w:t>petita</w:t>
      </w:r>
      <w:proofErr w:type="spellEnd"/>
      <w:r w:rsidRPr="000B5551">
        <w:rPr>
          <w:rFonts w:ascii="Bookman Old Style" w:eastAsia="Times New Roman" w:hAnsi="Bookman Old Style" w:cs="Arial"/>
          <w:i/>
          <w:color w:val="000000"/>
          <w:sz w:val="20"/>
          <w:szCs w:val="20"/>
          <w:lang w:val="es-MX" w:eastAsia="es-MX"/>
        </w:rPr>
        <w:t>). En consecuencia, la verificación de la congruencia de un fallo exige hacer una comparación entre lo decidido con lo reclamado por las partes”</w:t>
      </w:r>
      <w:r w:rsidRPr="000B5551">
        <w:rPr>
          <w:rFonts w:ascii="Bookman Old Style" w:eastAsia="Times New Roman" w:hAnsi="Bookman Old Style" w:cs="Arial"/>
          <w:i/>
          <w:color w:val="000000"/>
          <w:sz w:val="20"/>
          <w:szCs w:val="20"/>
          <w:vertAlign w:val="superscript"/>
          <w:lang w:val="es-MX" w:eastAsia="es-MX"/>
        </w:rPr>
        <w:footnoteReference w:id="8"/>
      </w:r>
      <w:r w:rsidRPr="000B5551">
        <w:rPr>
          <w:rFonts w:ascii="Bookman Old Style" w:eastAsia="Times New Roman" w:hAnsi="Bookman Old Style" w:cs="Arial"/>
          <w:i/>
          <w:color w:val="000000"/>
          <w:sz w:val="20"/>
          <w:szCs w:val="20"/>
          <w:lang w:val="es-MX" w:eastAsia="es-MX"/>
        </w:rPr>
        <w:t>.</w:t>
      </w:r>
    </w:p>
    <w:p w14:paraId="0E5B7CF1" w14:textId="77777777" w:rsidR="00D1226F" w:rsidRPr="00D1226F" w:rsidRDefault="00D1226F" w:rsidP="00D1226F">
      <w:pPr>
        <w:spacing w:after="0" w:line="240" w:lineRule="auto"/>
        <w:contextualSpacing/>
        <w:jc w:val="both"/>
        <w:rPr>
          <w:rFonts w:ascii="Bookman Old Style" w:eastAsia="Times New Roman" w:hAnsi="Bookman Old Style" w:cs="Arial"/>
          <w:color w:val="000000"/>
          <w:sz w:val="24"/>
          <w:szCs w:val="24"/>
          <w:lang w:val="es-MX" w:eastAsia="es-MX"/>
        </w:rPr>
      </w:pPr>
    </w:p>
    <w:p w14:paraId="66D4E80A" w14:textId="7A7A0C82" w:rsidR="00D1226F" w:rsidRPr="00D1226F" w:rsidRDefault="00D1226F" w:rsidP="00D1226F">
      <w:pPr>
        <w:spacing w:after="0" w:line="240" w:lineRule="auto"/>
        <w:contextualSpacing/>
        <w:jc w:val="both"/>
        <w:rPr>
          <w:rFonts w:ascii="Bookman Old Style" w:eastAsia="Times New Roman" w:hAnsi="Bookman Old Style" w:cs="Arial"/>
          <w:color w:val="000000"/>
          <w:sz w:val="24"/>
          <w:szCs w:val="24"/>
          <w:lang w:val="es-MX" w:eastAsia="es-MX"/>
        </w:rPr>
      </w:pPr>
      <w:r w:rsidRPr="00D1226F">
        <w:rPr>
          <w:rFonts w:ascii="Bookman Old Style" w:eastAsia="Times New Roman" w:hAnsi="Bookman Old Style" w:cs="Arial"/>
          <w:color w:val="000000"/>
          <w:sz w:val="24"/>
          <w:szCs w:val="24"/>
          <w:lang w:val="es-MX" w:eastAsia="es-MX"/>
        </w:rPr>
        <w:t>De manera concreta</w:t>
      </w:r>
      <w:r w:rsidR="000B5551">
        <w:rPr>
          <w:rFonts w:ascii="Bookman Old Style" w:eastAsia="Times New Roman" w:hAnsi="Bookman Old Style" w:cs="Arial"/>
          <w:color w:val="000000"/>
          <w:sz w:val="24"/>
          <w:szCs w:val="24"/>
          <w:lang w:val="es-MX" w:eastAsia="es-MX"/>
        </w:rPr>
        <w:t>,</w:t>
      </w:r>
      <w:r w:rsidRPr="00D1226F">
        <w:rPr>
          <w:rFonts w:ascii="Bookman Old Style" w:eastAsia="Times New Roman" w:hAnsi="Bookman Old Style" w:cs="Arial"/>
          <w:color w:val="000000"/>
          <w:sz w:val="24"/>
          <w:szCs w:val="24"/>
          <w:lang w:val="es-MX" w:eastAsia="es-MX"/>
        </w:rPr>
        <w:t xml:space="preserve"> en la Resolución CREG 124 de 2020 se señala</w:t>
      </w:r>
      <w:r w:rsidR="000B5551">
        <w:rPr>
          <w:rFonts w:ascii="Bookman Old Style" w:eastAsia="Times New Roman" w:hAnsi="Bookman Old Style" w:cs="Arial"/>
          <w:color w:val="000000"/>
          <w:sz w:val="24"/>
          <w:szCs w:val="24"/>
          <w:lang w:val="es-MX" w:eastAsia="es-MX"/>
        </w:rPr>
        <w:t>,</w:t>
      </w:r>
      <w:r w:rsidRPr="00D1226F">
        <w:rPr>
          <w:rFonts w:ascii="Bookman Old Style" w:eastAsia="Times New Roman" w:hAnsi="Bookman Old Style" w:cs="Arial"/>
          <w:color w:val="000000"/>
          <w:sz w:val="24"/>
          <w:szCs w:val="24"/>
          <w:lang w:val="es-MX" w:eastAsia="es-MX"/>
        </w:rPr>
        <w:t xml:space="preserve"> como parte de la motivación de la decisión</w:t>
      </w:r>
      <w:r w:rsidR="000B5551">
        <w:rPr>
          <w:rFonts w:ascii="Bookman Old Style" w:eastAsia="Times New Roman" w:hAnsi="Bookman Old Style" w:cs="Arial"/>
          <w:color w:val="000000"/>
          <w:sz w:val="24"/>
          <w:szCs w:val="24"/>
          <w:lang w:val="es-MX" w:eastAsia="es-MX"/>
        </w:rPr>
        <w:t>,</w:t>
      </w:r>
      <w:r w:rsidRPr="00D1226F">
        <w:rPr>
          <w:rFonts w:ascii="Bookman Old Style" w:eastAsia="Times New Roman" w:hAnsi="Bookman Old Style" w:cs="Arial"/>
          <w:color w:val="000000"/>
          <w:sz w:val="24"/>
          <w:szCs w:val="24"/>
          <w:lang w:val="es-MX" w:eastAsia="es-MX"/>
        </w:rPr>
        <w:t xml:space="preserve"> lo siguiente:  </w:t>
      </w:r>
    </w:p>
    <w:p w14:paraId="10D6B435" w14:textId="77777777" w:rsidR="00D1226F" w:rsidRPr="00D1226F" w:rsidRDefault="00D1226F" w:rsidP="0032501B">
      <w:pPr>
        <w:spacing w:after="0" w:line="240" w:lineRule="auto"/>
        <w:ind w:right="284"/>
        <w:contextualSpacing/>
        <w:jc w:val="both"/>
        <w:rPr>
          <w:rFonts w:ascii="Bookman Old Style" w:eastAsia="Times New Roman" w:hAnsi="Bookman Old Style" w:cs="Arial"/>
          <w:color w:val="000000"/>
          <w:sz w:val="24"/>
          <w:szCs w:val="24"/>
          <w:lang w:val="es-MX" w:eastAsia="es-MX"/>
        </w:rPr>
      </w:pPr>
    </w:p>
    <w:p w14:paraId="17CC104D" w14:textId="10F4B87C" w:rsidR="00D1226F" w:rsidRPr="000B5551" w:rsidRDefault="0032501B" w:rsidP="000B5551">
      <w:pPr>
        <w:spacing w:after="0" w:line="240" w:lineRule="auto"/>
        <w:ind w:left="284"/>
        <w:contextualSpacing/>
        <w:jc w:val="both"/>
        <w:rPr>
          <w:rFonts w:ascii="Bookman Old Style" w:eastAsia="Times New Roman" w:hAnsi="Bookman Old Style" w:cs="Times New Roman"/>
          <w:i/>
          <w:sz w:val="20"/>
          <w:szCs w:val="20"/>
          <w:lang w:val="es-ES" w:eastAsia="es-ES"/>
        </w:rPr>
      </w:pPr>
      <w:r w:rsidRPr="000B5551">
        <w:rPr>
          <w:rFonts w:ascii="Bookman Old Style" w:eastAsia="Times New Roman" w:hAnsi="Bookman Old Style" w:cs="Times New Roman"/>
          <w:i/>
          <w:sz w:val="20"/>
          <w:szCs w:val="20"/>
          <w:lang w:val="es-ES" w:eastAsia="es-ES"/>
        </w:rPr>
        <w:t>“</w:t>
      </w:r>
      <w:r w:rsidR="00D1226F" w:rsidRPr="000B5551">
        <w:rPr>
          <w:rFonts w:ascii="Bookman Old Style" w:eastAsia="Times New Roman" w:hAnsi="Bookman Old Style" w:cs="Times New Roman"/>
          <w:i/>
          <w:sz w:val="20"/>
          <w:szCs w:val="20"/>
          <w:lang w:val="es-ES" w:eastAsia="es-ES"/>
        </w:rPr>
        <w:t>De acuerdo con las competencias de esta Comisión, y teniendo en cuenta los criterios tarifarios definidos en el artículo 87 de la Ley 142 de 1994, en particular los de eficiencia económica y suficiencia financiera, en esta actuación administrativa se definirá el cargo de generación en su totalidad, incluyendo el costo de inversión y los gastos de administración, operación y mantenimiento, aplicable para el cálculo de costo unitario de prestación del servicio de los usuarios ubicados en el mercado de comercialización relevante de la cabecera municipal de Mitú, a partir de la mejor información disponible, con el fin de dar señales adecuadas que reflejen la estructura de costos económicos que acarrea la prestación del servicio, junto con que se permita utilizar las tecnologías y sistemas administrativos que garanticen la mejor calidad, continuidad y seguridad a los usuarios.</w:t>
      </w:r>
    </w:p>
    <w:p w14:paraId="0A9A128C" w14:textId="77777777" w:rsidR="00D1226F" w:rsidRPr="000B5551" w:rsidRDefault="00D1226F" w:rsidP="000B5551">
      <w:pPr>
        <w:spacing w:after="0" w:line="240" w:lineRule="auto"/>
        <w:ind w:left="284"/>
        <w:contextualSpacing/>
        <w:jc w:val="both"/>
        <w:rPr>
          <w:rFonts w:ascii="Bookman Old Style" w:eastAsia="Times New Roman" w:hAnsi="Bookman Old Style" w:cs="Times New Roman"/>
          <w:i/>
          <w:sz w:val="20"/>
          <w:szCs w:val="20"/>
          <w:lang w:val="es-ES" w:eastAsia="es-ES"/>
        </w:rPr>
      </w:pPr>
    </w:p>
    <w:p w14:paraId="53C63DA7" w14:textId="77777777" w:rsidR="00D1226F" w:rsidRPr="000B5551" w:rsidRDefault="00D1226F" w:rsidP="000B5551">
      <w:pPr>
        <w:spacing w:after="0" w:line="240" w:lineRule="auto"/>
        <w:ind w:left="284"/>
        <w:contextualSpacing/>
        <w:jc w:val="both"/>
        <w:rPr>
          <w:rFonts w:ascii="Bookman Old Style" w:eastAsia="Times New Roman" w:hAnsi="Bookman Old Style" w:cs="Times New Roman"/>
          <w:i/>
          <w:sz w:val="20"/>
          <w:szCs w:val="20"/>
          <w:lang w:val="es-ES" w:eastAsia="es-ES"/>
        </w:rPr>
      </w:pPr>
      <w:r w:rsidRPr="000B5551">
        <w:rPr>
          <w:rFonts w:ascii="Bookman Old Style" w:eastAsia="Times New Roman" w:hAnsi="Bookman Old Style" w:cs="Times New Roman"/>
          <w:i/>
          <w:sz w:val="20"/>
          <w:szCs w:val="20"/>
          <w:lang w:val="es-ES" w:eastAsia="es-ES"/>
        </w:rPr>
        <w:t xml:space="preserve">En ese sentido, debe resaltarse que la definición de un cargo de generación no implica la consolidación de una situación jurídica para ningún agente o el reconocimiento de derechos adquiridos, por tratarse de la aplicación de una metodología tarifaria general que define un techo o precio máximo a trasladar a los usuarios, existiendo libre competencia de entrada y de elección del prestador del servicio en el mercado, al no tratarse de un área de servicio exclusivo. </w:t>
      </w:r>
    </w:p>
    <w:p w14:paraId="773823BB" w14:textId="77777777" w:rsidR="00D1226F" w:rsidRPr="000B5551" w:rsidRDefault="00D1226F" w:rsidP="000B5551">
      <w:pPr>
        <w:spacing w:after="0" w:line="240" w:lineRule="auto"/>
        <w:ind w:left="284"/>
        <w:contextualSpacing/>
        <w:jc w:val="both"/>
        <w:rPr>
          <w:rFonts w:ascii="Bookman Old Style" w:eastAsia="Times New Roman" w:hAnsi="Bookman Old Style" w:cs="Times New Roman"/>
          <w:i/>
          <w:sz w:val="20"/>
          <w:szCs w:val="20"/>
          <w:lang w:val="es-ES" w:eastAsia="es-ES"/>
        </w:rPr>
      </w:pPr>
    </w:p>
    <w:p w14:paraId="3FBFA4A2" w14:textId="460E5FEE" w:rsidR="00D1226F" w:rsidRPr="000B5551" w:rsidRDefault="00D1226F" w:rsidP="000B5551">
      <w:pPr>
        <w:spacing w:after="0" w:line="240" w:lineRule="auto"/>
        <w:ind w:left="284"/>
        <w:contextualSpacing/>
        <w:jc w:val="both"/>
        <w:rPr>
          <w:rFonts w:ascii="Bookman Old Style" w:eastAsia="Times New Roman" w:hAnsi="Bookman Old Style" w:cs="Times New Roman"/>
          <w:i/>
          <w:sz w:val="20"/>
          <w:szCs w:val="20"/>
          <w:lang w:val="es-MX" w:eastAsia="es-ES"/>
        </w:rPr>
      </w:pPr>
      <w:r w:rsidRPr="000B5551">
        <w:rPr>
          <w:rFonts w:ascii="Bookman Old Style" w:eastAsia="Times New Roman" w:hAnsi="Bookman Old Style" w:cs="Times New Roman"/>
          <w:i/>
          <w:sz w:val="20"/>
          <w:szCs w:val="20"/>
          <w:lang w:val="es-MX" w:eastAsia="es-ES"/>
        </w:rPr>
        <w:t>Así las cosas, el cargo de generación aprobado en el presente acto administrativo corresponde al precio máximo que puede trasladar un prestador del servicio a los usuarios finales, sin importar a cuál generador le compra la energía para prestar el servicio en el mercado de Mitú. Tanto el prestador del servicio, como los generadores a los que compre la energía, deben estar debidamente registrados como prestadores del servicio en el Registro Único de Prestadores, RUPS, a cargo de la Superintendencia de Servicios Públicos Domiciliarios, cumpliendo con lo previsto en los artículos 15, 17, 18 y 26 de la Ley 142 de 1994.</w:t>
      </w:r>
      <w:r w:rsidR="0032501B" w:rsidRPr="000B5551">
        <w:rPr>
          <w:rFonts w:ascii="Bookman Old Style" w:eastAsia="Times New Roman" w:hAnsi="Bookman Old Style" w:cs="Times New Roman"/>
          <w:i/>
          <w:sz w:val="20"/>
          <w:szCs w:val="20"/>
          <w:lang w:val="es-MX" w:eastAsia="es-ES"/>
        </w:rPr>
        <w:t>”</w:t>
      </w:r>
    </w:p>
    <w:p w14:paraId="4E49692A" w14:textId="77777777" w:rsidR="005C71FD" w:rsidRDefault="005C71FD" w:rsidP="00D1226F">
      <w:pPr>
        <w:spacing w:after="0" w:line="240" w:lineRule="auto"/>
        <w:contextualSpacing/>
        <w:jc w:val="both"/>
        <w:rPr>
          <w:rFonts w:ascii="Bookman Old Style" w:eastAsia="Times New Roman" w:hAnsi="Bookman Old Style" w:cs="Arial"/>
          <w:color w:val="000000"/>
          <w:sz w:val="24"/>
          <w:szCs w:val="24"/>
          <w:lang w:val="es-MX" w:eastAsia="es-MX"/>
        </w:rPr>
      </w:pPr>
    </w:p>
    <w:p w14:paraId="320DD2FB" w14:textId="0FC14935" w:rsidR="00D1226F" w:rsidRPr="00D1226F" w:rsidRDefault="00D1226F" w:rsidP="00D1226F">
      <w:pPr>
        <w:spacing w:after="0" w:line="240" w:lineRule="auto"/>
        <w:contextualSpacing/>
        <w:jc w:val="both"/>
        <w:rPr>
          <w:rFonts w:ascii="Bookman Old Style" w:eastAsia="Times New Roman" w:hAnsi="Bookman Old Style" w:cs="Arial"/>
          <w:sz w:val="24"/>
          <w:szCs w:val="24"/>
          <w:lang w:eastAsia="es-ES"/>
        </w:rPr>
      </w:pPr>
      <w:r w:rsidRPr="00D1226F">
        <w:rPr>
          <w:rFonts w:ascii="Bookman Old Style" w:eastAsia="Times New Roman" w:hAnsi="Bookman Old Style" w:cs="Arial"/>
          <w:color w:val="000000"/>
          <w:sz w:val="24"/>
          <w:szCs w:val="24"/>
          <w:lang w:val="es-MX" w:eastAsia="es-MX"/>
        </w:rPr>
        <w:t>Al hacerse una comparación entre lo decidido y lo reclamado por las partes, en el caso en concreto se evidencia que</w:t>
      </w:r>
      <w:r w:rsidR="000B5551">
        <w:rPr>
          <w:rFonts w:ascii="Bookman Old Style" w:eastAsia="Times New Roman" w:hAnsi="Bookman Old Style" w:cs="Arial"/>
          <w:color w:val="000000"/>
          <w:sz w:val="24"/>
          <w:szCs w:val="24"/>
          <w:lang w:val="es-MX" w:eastAsia="es-MX"/>
        </w:rPr>
        <w:t>,</w:t>
      </w:r>
      <w:r w:rsidRPr="00D1226F">
        <w:rPr>
          <w:rFonts w:ascii="Bookman Old Style" w:eastAsia="Times New Roman" w:hAnsi="Bookman Old Style" w:cs="Arial"/>
          <w:color w:val="000000"/>
          <w:sz w:val="24"/>
          <w:szCs w:val="24"/>
          <w:lang w:val="es-MX" w:eastAsia="es-MX"/>
        </w:rPr>
        <w:t xml:space="preserve"> al </w:t>
      </w:r>
      <w:r w:rsidRPr="00D1226F">
        <w:rPr>
          <w:rFonts w:ascii="Bookman Old Style" w:eastAsia="Times New Roman" w:hAnsi="Bookman Old Style" w:cs="Arial"/>
          <w:sz w:val="24"/>
          <w:szCs w:val="24"/>
          <w:lang w:eastAsia="es-ES"/>
        </w:rPr>
        <w:t>definirse el cargo de generación aplicable a un sistema fotovoltaico con acumulación</w:t>
      </w:r>
      <w:r w:rsidR="000B5551">
        <w:rPr>
          <w:rFonts w:ascii="Bookman Old Style" w:eastAsia="Times New Roman" w:hAnsi="Bookman Old Style" w:cs="Arial"/>
          <w:sz w:val="24"/>
          <w:szCs w:val="24"/>
          <w:lang w:eastAsia="es-ES"/>
        </w:rPr>
        <w:t>,</w:t>
      </w:r>
      <w:r w:rsidRPr="00D1226F">
        <w:rPr>
          <w:rFonts w:ascii="Bookman Old Style" w:eastAsia="Times New Roman" w:hAnsi="Bookman Old Style" w:cs="Arial"/>
          <w:sz w:val="24"/>
          <w:szCs w:val="24"/>
          <w:lang w:eastAsia="es-ES"/>
        </w:rPr>
        <w:t xml:space="preserve"> se atiende materialmente la solicitud presentada por DUE. Que</w:t>
      </w:r>
      <w:r w:rsidR="000B5551">
        <w:rPr>
          <w:rFonts w:ascii="Bookman Old Style" w:eastAsia="Times New Roman" w:hAnsi="Bookman Old Style" w:cs="Arial"/>
          <w:sz w:val="24"/>
          <w:szCs w:val="24"/>
          <w:lang w:eastAsia="es-ES"/>
        </w:rPr>
        <w:t>,</w:t>
      </w:r>
      <w:r w:rsidRPr="00D1226F">
        <w:rPr>
          <w:rFonts w:ascii="Bookman Old Style" w:eastAsia="Times New Roman" w:hAnsi="Bookman Old Style" w:cs="Arial"/>
          <w:sz w:val="24"/>
          <w:szCs w:val="24"/>
          <w:lang w:eastAsia="es-ES"/>
        </w:rPr>
        <w:t xml:space="preserve"> adicionalmente</w:t>
      </w:r>
      <w:r w:rsidR="000B5551">
        <w:rPr>
          <w:rFonts w:ascii="Bookman Old Style" w:eastAsia="Times New Roman" w:hAnsi="Bookman Old Style" w:cs="Arial"/>
          <w:sz w:val="24"/>
          <w:szCs w:val="24"/>
          <w:lang w:eastAsia="es-ES"/>
        </w:rPr>
        <w:t>,</w:t>
      </w:r>
      <w:r w:rsidRPr="00D1226F">
        <w:rPr>
          <w:rFonts w:ascii="Bookman Old Style" w:eastAsia="Times New Roman" w:hAnsi="Bookman Old Style" w:cs="Arial"/>
          <w:sz w:val="24"/>
          <w:szCs w:val="24"/>
          <w:lang w:eastAsia="es-ES"/>
        </w:rPr>
        <w:t xml:space="preserve"> se resuelve en línea con lo establecido en la metodología tarifaria vigente, en donde se define el costo máximo de prestación del servicio por mercado relevante de comercialización. Por lo cual hay congruencia entre lo que se solicita, los fundamentos de hecho y de derecho</w:t>
      </w:r>
      <w:r w:rsidR="000B5551">
        <w:rPr>
          <w:rFonts w:ascii="Bookman Old Style" w:eastAsia="Times New Roman" w:hAnsi="Bookman Old Style" w:cs="Arial"/>
          <w:sz w:val="24"/>
          <w:szCs w:val="24"/>
          <w:lang w:eastAsia="es-ES"/>
        </w:rPr>
        <w:t>,</w:t>
      </w:r>
      <w:r w:rsidRPr="00D1226F">
        <w:rPr>
          <w:rFonts w:ascii="Bookman Old Style" w:eastAsia="Times New Roman" w:hAnsi="Bookman Old Style" w:cs="Arial"/>
          <w:sz w:val="24"/>
          <w:szCs w:val="24"/>
          <w:lang w:eastAsia="es-ES"/>
        </w:rPr>
        <w:t xml:space="preserve"> y lo que se resuelve</w:t>
      </w:r>
      <w:r w:rsidR="00F935FE">
        <w:rPr>
          <w:rFonts w:ascii="Bookman Old Style" w:eastAsia="Times New Roman" w:hAnsi="Bookman Old Style" w:cs="Arial"/>
          <w:sz w:val="24"/>
          <w:szCs w:val="24"/>
          <w:lang w:eastAsia="es-ES"/>
        </w:rPr>
        <w:t xml:space="preserve"> y</w:t>
      </w:r>
      <w:r w:rsidR="000B5551">
        <w:rPr>
          <w:rFonts w:ascii="Bookman Old Style" w:eastAsia="Times New Roman" w:hAnsi="Bookman Old Style" w:cs="Arial"/>
          <w:sz w:val="24"/>
          <w:szCs w:val="24"/>
          <w:lang w:eastAsia="es-ES"/>
        </w:rPr>
        <w:t>,</w:t>
      </w:r>
      <w:r w:rsidR="00F935FE">
        <w:rPr>
          <w:rFonts w:ascii="Bookman Old Style" w:eastAsia="Times New Roman" w:hAnsi="Bookman Old Style" w:cs="Arial"/>
          <w:sz w:val="24"/>
          <w:szCs w:val="24"/>
          <w:lang w:eastAsia="es-ES"/>
        </w:rPr>
        <w:t xml:space="preserve"> por ende</w:t>
      </w:r>
      <w:r w:rsidR="000B5551">
        <w:rPr>
          <w:rFonts w:ascii="Bookman Old Style" w:eastAsia="Times New Roman" w:hAnsi="Bookman Old Style" w:cs="Arial"/>
          <w:sz w:val="24"/>
          <w:szCs w:val="24"/>
          <w:lang w:eastAsia="es-ES"/>
        </w:rPr>
        <w:t>,</w:t>
      </w:r>
      <w:r w:rsidR="00F935FE">
        <w:rPr>
          <w:rFonts w:ascii="Bookman Old Style" w:eastAsia="Times New Roman" w:hAnsi="Bookman Old Style" w:cs="Arial"/>
          <w:sz w:val="24"/>
          <w:szCs w:val="24"/>
          <w:lang w:eastAsia="es-ES"/>
        </w:rPr>
        <w:t xml:space="preserve"> no es procedente lo </w:t>
      </w:r>
      <w:r w:rsidR="007D33F6">
        <w:rPr>
          <w:rFonts w:ascii="Bookman Old Style" w:eastAsia="Times New Roman" w:hAnsi="Bookman Old Style" w:cs="Arial"/>
          <w:sz w:val="24"/>
          <w:szCs w:val="24"/>
          <w:lang w:eastAsia="es-ES"/>
        </w:rPr>
        <w:t>alegado por la recurrente</w:t>
      </w:r>
      <w:r w:rsidRPr="00D1226F">
        <w:rPr>
          <w:rFonts w:ascii="Bookman Old Style" w:eastAsia="Times New Roman" w:hAnsi="Bookman Old Style" w:cs="Arial"/>
          <w:sz w:val="24"/>
          <w:szCs w:val="24"/>
          <w:lang w:eastAsia="es-ES"/>
        </w:rPr>
        <w:t>.</w:t>
      </w:r>
    </w:p>
    <w:p w14:paraId="044FDC47" w14:textId="06C23449" w:rsidR="0007741E" w:rsidRDefault="0007741E" w:rsidP="002A13DB">
      <w:pPr>
        <w:spacing w:after="0" w:line="240" w:lineRule="auto"/>
        <w:contextualSpacing/>
        <w:jc w:val="both"/>
        <w:rPr>
          <w:rFonts w:ascii="Bookman Old Style" w:eastAsia="Times New Roman" w:hAnsi="Bookman Old Style" w:cs="Times New Roman"/>
          <w:sz w:val="24"/>
          <w:szCs w:val="24"/>
          <w:lang w:eastAsia="es-ES"/>
        </w:rPr>
      </w:pPr>
    </w:p>
    <w:p w14:paraId="4D798E19" w14:textId="75438F54" w:rsidR="00A71B6B" w:rsidRPr="00A71B6B" w:rsidRDefault="00A71B6B" w:rsidP="002A13DB">
      <w:pPr>
        <w:spacing w:after="0" w:line="240" w:lineRule="auto"/>
        <w:contextualSpacing/>
        <w:jc w:val="both"/>
        <w:rPr>
          <w:rFonts w:ascii="Bookman Old Style" w:eastAsia="Times New Roman" w:hAnsi="Bookman Old Style" w:cs="Times New Roman"/>
          <w:b/>
          <w:bCs/>
          <w:i/>
          <w:iCs/>
          <w:sz w:val="24"/>
          <w:szCs w:val="24"/>
          <w:lang w:eastAsia="es-ES"/>
        </w:rPr>
      </w:pPr>
      <w:r w:rsidRPr="00A71B6B">
        <w:rPr>
          <w:rFonts w:ascii="Bookman Old Style" w:eastAsia="Times New Roman" w:hAnsi="Bookman Old Style" w:cs="Times New Roman"/>
          <w:b/>
          <w:bCs/>
          <w:i/>
          <w:iCs/>
          <w:sz w:val="24"/>
          <w:szCs w:val="24"/>
          <w:lang w:eastAsia="es-ES"/>
        </w:rPr>
        <w:t xml:space="preserve">3.2. </w:t>
      </w:r>
      <w:r w:rsidRPr="00AF049B">
        <w:rPr>
          <w:rFonts w:ascii="Bookman Old Style" w:eastAsia="Times New Roman" w:hAnsi="Bookman Old Style" w:cs="Times New Roman"/>
          <w:b/>
          <w:i/>
          <w:sz w:val="24"/>
          <w:szCs w:val="24"/>
          <w:lang w:eastAsia="es-ES"/>
        </w:rPr>
        <w:t>El principio de igualdad</w:t>
      </w:r>
      <w:r w:rsidR="00AF049B">
        <w:rPr>
          <w:rFonts w:ascii="Bookman Old Style" w:eastAsia="Times New Roman" w:hAnsi="Bookman Old Style" w:cs="Times New Roman"/>
          <w:b/>
          <w:bCs/>
          <w:i/>
          <w:iCs/>
          <w:sz w:val="24"/>
          <w:szCs w:val="24"/>
          <w:lang w:eastAsia="es-ES"/>
        </w:rPr>
        <w:t xml:space="preserve"> </w:t>
      </w:r>
    </w:p>
    <w:p w14:paraId="2FED0FDF" w14:textId="77777777" w:rsidR="006D1DE5" w:rsidRDefault="006D1DE5" w:rsidP="00C74826">
      <w:pPr>
        <w:spacing w:after="0" w:line="240" w:lineRule="auto"/>
        <w:contextualSpacing/>
        <w:jc w:val="both"/>
        <w:rPr>
          <w:rFonts w:ascii="Bookman Old Style" w:eastAsia="Calibri" w:hAnsi="Bookman Old Style" w:cs="Arial"/>
          <w:sz w:val="24"/>
          <w:szCs w:val="24"/>
        </w:rPr>
      </w:pPr>
    </w:p>
    <w:p w14:paraId="594046AB" w14:textId="0C96265D" w:rsidR="00C74826" w:rsidRPr="00C74826" w:rsidRDefault="00C74826" w:rsidP="00C74826">
      <w:pPr>
        <w:spacing w:after="0" w:line="240" w:lineRule="auto"/>
        <w:contextualSpacing/>
        <w:jc w:val="both"/>
        <w:rPr>
          <w:rFonts w:ascii="Bookman Old Style" w:eastAsia="Calibri" w:hAnsi="Bookman Old Style" w:cs="Arial"/>
          <w:sz w:val="24"/>
          <w:szCs w:val="24"/>
        </w:rPr>
      </w:pPr>
      <w:r w:rsidRPr="00C74826">
        <w:rPr>
          <w:rFonts w:ascii="Bookman Old Style" w:eastAsia="Calibri" w:hAnsi="Bookman Old Style" w:cs="Arial"/>
          <w:sz w:val="24"/>
          <w:szCs w:val="24"/>
        </w:rPr>
        <w:t>De acuerdo con el recurrente</w:t>
      </w:r>
      <w:r w:rsidR="000B5551">
        <w:rPr>
          <w:rFonts w:ascii="Bookman Old Style" w:eastAsia="Calibri" w:hAnsi="Bookman Old Style" w:cs="Arial"/>
          <w:sz w:val="24"/>
          <w:szCs w:val="24"/>
        </w:rPr>
        <w:t>,</w:t>
      </w:r>
      <w:r w:rsidRPr="00C74826">
        <w:rPr>
          <w:rFonts w:ascii="Bookman Old Style" w:eastAsia="Calibri" w:hAnsi="Bookman Old Style" w:cs="Arial"/>
          <w:sz w:val="24"/>
          <w:szCs w:val="24"/>
        </w:rPr>
        <w:t xml:space="preserve"> de mantenerse lo previsto en la Resolución CREG 124 de 2020 se violaría el principio de igualdad en la función administrativa</w:t>
      </w:r>
      <w:r w:rsidR="000B5551">
        <w:rPr>
          <w:rFonts w:ascii="Bookman Old Style" w:eastAsia="Calibri" w:hAnsi="Bookman Old Style" w:cs="Arial"/>
          <w:sz w:val="24"/>
          <w:szCs w:val="24"/>
        </w:rPr>
        <w:t>,</w:t>
      </w:r>
      <w:r w:rsidRPr="00C74826">
        <w:rPr>
          <w:rFonts w:ascii="Bookman Old Style" w:eastAsia="Calibri" w:hAnsi="Bookman Old Style" w:cs="Arial"/>
          <w:sz w:val="24"/>
          <w:szCs w:val="24"/>
        </w:rPr>
        <w:t xml:space="preserve"> al no dársele el mismo trato a DUE que a otras empresas con solicitudes similares de Cargo Máximo de Generación en Zonas no Interconectadas, citándose como referencia de ello la “</w:t>
      </w:r>
      <w:r w:rsidRPr="00C74826">
        <w:rPr>
          <w:rFonts w:ascii="Bookman Old Style" w:eastAsia="Calibri" w:hAnsi="Bookman Old Style" w:cs="Arial"/>
          <w:i/>
          <w:iCs/>
          <w:sz w:val="24"/>
          <w:szCs w:val="24"/>
        </w:rPr>
        <w:t>Resolución CREG 013 de 2018”</w:t>
      </w:r>
      <w:r w:rsidRPr="00C74826">
        <w:rPr>
          <w:rFonts w:ascii="Bookman Old Style" w:eastAsia="Calibri" w:hAnsi="Bookman Old Style" w:cs="Arial"/>
          <w:sz w:val="24"/>
          <w:szCs w:val="24"/>
        </w:rPr>
        <w:t xml:space="preserve">. Al respecto nos permitimos indicar lo siguiente: </w:t>
      </w:r>
    </w:p>
    <w:p w14:paraId="11E406FC" w14:textId="77777777" w:rsidR="00C74826" w:rsidRPr="00C74826" w:rsidRDefault="00C74826" w:rsidP="00C74826">
      <w:pPr>
        <w:spacing w:after="0" w:line="240" w:lineRule="auto"/>
        <w:ind w:left="426"/>
        <w:contextualSpacing/>
        <w:jc w:val="both"/>
        <w:rPr>
          <w:rFonts w:ascii="Bookman Old Style" w:eastAsia="Calibri" w:hAnsi="Bookman Old Style" w:cs="Arial"/>
          <w:i/>
          <w:iCs/>
          <w:sz w:val="20"/>
          <w:szCs w:val="20"/>
        </w:rPr>
      </w:pPr>
    </w:p>
    <w:p w14:paraId="73ECA47F" w14:textId="00D90722" w:rsidR="00C74826" w:rsidRPr="00C74826" w:rsidRDefault="00C74826" w:rsidP="00C74826">
      <w:pPr>
        <w:spacing w:after="0" w:line="240" w:lineRule="auto"/>
        <w:contextualSpacing/>
        <w:jc w:val="both"/>
        <w:rPr>
          <w:rFonts w:ascii="Bookman Old Style" w:eastAsia="Times New Roman" w:hAnsi="Bookman Old Style" w:cs="Arial"/>
          <w:sz w:val="24"/>
          <w:szCs w:val="24"/>
          <w:lang w:eastAsia="es-ES"/>
        </w:rPr>
      </w:pPr>
      <w:r w:rsidRPr="00C74826">
        <w:rPr>
          <w:rFonts w:ascii="Bookman Old Style" w:eastAsia="Times New Roman" w:hAnsi="Bookman Old Style" w:cs="Arial"/>
          <w:sz w:val="24"/>
          <w:szCs w:val="24"/>
          <w:lang w:eastAsia="es-ES"/>
        </w:rPr>
        <w:t>De manera general</w:t>
      </w:r>
      <w:r w:rsidR="00347C5D">
        <w:rPr>
          <w:rFonts w:ascii="Bookman Old Style" w:eastAsia="Times New Roman" w:hAnsi="Bookman Old Style" w:cs="Arial"/>
          <w:sz w:val="24"/>
          <w:szCs w:val="24"/>
          <w:lang w:eastAsia="es-ES"/>
        </w:rPr>
        <w:t>,</w:t>
      </w:r>
      <w:r w:rsidR="008E5853">
        <w:rPr>
          <w:rFonts w:ascii="Bookman Old Style" w:eastAsia="Times New Roman" w:hAnsi="Bookman Old Style" w:cs="Arial"/>
          <w:sz w:val="24"/>
          <w:szCs w:val="24"/>
          <w:lang w:eastAsia="es-ES"/>
        </w:rPr>
        <w:t xml:space="preserve"> </w:t>
      </w:r>
      <w:r w:rsidRPr="00C74826">
        <w:rPr>
          <w:rFonts w:ascii="Bookman Old Style" w:eastAsia="Times New Roman" w:hAnsi="Bookman Old Style" w:cs="Arial"/>
          <w:sz w:val="24"/>
          <w:szCs w:val="24"/>
          <w:lang w:eastAsia="es-ES"/>
        </w:rPr>
        <w:t>el numeral 2 del artículo 3 del C</w:t>
      </w:r>
      <w:r w:rsidR="009F7D5C">
        <w:rPr>
          <w:rFonts w:ascii="Bookman Old Style" w:eastAsia="Times New Roman" w:hAnsi="Bookman Old Style" w:cs="Arial"/>
          <w:sz w:val="24"/>
          <w:szCs w:val="24"/>
          <w:lang w:eastAsia="es-ES"/>
        </w:rPr>
        <w:t xml:space="preserve">ódigo de </w:t>
      </w:r>
      <w:r w:rsidRPr="00C74826">
        <w:rPr>
          <w:rFonts w:ascii="Bookman Old Style" w:eastAsia="Times New Roman" w:hAnsi="Bookman Old Style" w:cs="Arial"/>
          <w:sz w:val="24"/>
          <w:szCs w:val="24"/>
          <w:lang w:eastAsia="es-ES"/>
        </w:rPr>
        <w:t>P</w:t>
      </w:r>
      <w:r w:rsidR="009F7D5C">
        <w:rPr>
          <w:rFonts w:ascii="Bookman Old Style" w:eastAsia="Times New Roman" w:hAnsi="Bookman Old Style" w:cs="Arial"/>
          <w:sz w:val="24"/>
          <w:szCs w:val="24"/>
          <w:lang w:eastAsia="es-ES"/>
        </w:rPr>
        <w:t xml:space="preserve">rocedimiento </w:t>
      </w:r>
      <w:r w:rsidRPr="00C74826">
        <w:rPr>
          <w:rFonts w:ascii="Bookman Old Style" w:eastAsia="Times New Roman" w:hAnsi="Bookman Old Style" w:cs="Arial"/>
          <w:sz w:val="24"/>
          <w:szCs w:val="24"/>
          <w:lang w:eastAsia="es-ES"/>
        </w:rPr>
        <w:t>A</w:t>
      </w:r>
      <w:r w:rsidR="009F7D5C">
        <w:rPr>
          <w:rFonts w:ascii="Bookman Old Style" w:eastAsia="Times New Roman" w:hAnsi="Bookman Old Style" w:cs="Arial"/>
          <w:sz w:val="24"/>
          <w:szCs w:val="24"/>
          <w:lang w:eastAsia="es-ES"/>
        </w:rPr>
        <w:t xml:space="preserve">dministrativo y de lo </w:t>
      </w:r>
      <w:r w:rsidRPr="00C74826">
        <w:rPr>
          <w:rFonts w:ascii="Bookman Old Style" w:eastAsia="Times New Roman" w:hAnsi="Bookman Old Style" w:cs="Arial"/>
          <w:sz w:val="24"/>
          <w:szCs w:val="24"/>
          <w:lang w:eastAsia="es-ES"/>
        </w:rPr>
        <w:t>C</w:t>
      </w:r>
      <w:r w:rsidR="009F7D5C">
        <w:rPr>
          <w:rFonts w:ascii="Bookman Old Style" w:eastAsia="Times New Roman" w:hAnsi="Bookman Old Style" w:cs="Arial"/>
          <w:sz w:val="24"/>
          <w:szCs w:val="24"/>
          <w:lang w:eastAsia="es-ES"/>
        </w:rPr>
        <w:t xml:space="preserve">ontencioso </w:t>
      </w:r>
      <w:r w:rsidRPr="00C74826">
        <w:rPr>
          <w:rFonts w:ascii="Bookman Old Style" w:eastAsia="Times New Roman" w:hAnsi="Bookman Old Style" w:cs="Arial"/>
          <w:sz w:val="24"/>
          <w:szCs w:val="24"/>
          <w:lang w:eastAsia="es-ES"/>
        </w:rPr>
        <w:t>A</w:t>
      </w:r>
      <w:r w:rsidR="009F7D5C">
        <w:rPr>
          <w:rFonts w:ascii="Bookman Old Style" w:eastAsia="Times New Roman" w:hAnsi="Bookman Old Style" w:cs="Arial"/>
          <w:sz w:val="24"/>
          <w:szCs w:val="24"/>
          <w:lang w:eastAsia="es-ES"/>
        </w:rPr>
        <w:t>dministrativo</w:t>
      </w:r>
      <w:r w:rsidR="000B5551">
        <w:rPr>
          <w:rFonts w:ascii="Bookman Old Style" w:eastAsia="Times New Roman" w:hAnsi="Bookman Old Style" w:cs="Arial"/>
          <w:sz w:val="24"/>
          <w:szCs w:val="24"/>
          <w:lang w:eastAsia="es-ES"/>
        </w:rPr>
        <w:t>,</w:t>
      </w:r>
      <w:r w:rsidRPr="00C74826">
        <w:rPr>
          <w:rFonts w:ascii="Bookman Old Style" w:eastAsia="Times New Roman" w:hAnsi="Bookman Old Style" w:cs="Arial"/>
          <w:sz w:val="24"/>
          <w:szCs w:val="24"/>
          <w:lang w:eastAsia="es-ES"/>
        </w:rPr>
        <w:t xml:space="preserve"> en relación con el principio de igualdad</w:t>
      </w:r>
      <w:r w:rsidR="000B5551">
        <w:rPr>
          <w:rFonts w:ascii="Bookman Old Style" w:eastAsia="Times New Roman" w:hAnsi="Bookman Old Style" w:cs="Arial"/>
          <w:sz w:val="24"/>
          <w:szCs w:val="24"/>
          <w:lang w:eastAsia="es-ES"/>
        </w:rPr>
        <w:t>,</w:t>
      </w:r>
      <w:r w:rsidRPr="00C74826">
        <w:rPr>
          <w:rFonts w:ascii="Bookman Old Style" w:eastAsia="Times New Roman" w:hAnsi="Bookman Old Style" w:cs="Arial"/>
          <w:sz w:val="24"/>
          <w:szCs w:val="24"/>
          <w:lang w:eastAsia="es-ES"/>
        </w:rPr>
        <w:t xml:space="preserve"> señala:</w:t>
      </w:r>
    </w:p>
    <w:p w14:paraId="586F89C1" w14:textId="77777777" w:rsidR="00C74826" w:rsidRPr="00C74826" w:rsidRDefault="00C74826" w:rsidP="00C74826">
      <w:pPr>
        <w:spacing w:after="0" w:line="240" w:lineRule="auto"/>
        <w:contextualSpacing/>
        <w:jc w:val="both"/>
        <w:rPr>
          <w:rFonts w:ascii="Bookman Old Style" w:eastAsia="Times New Roman" w:hAnsi="Bookman Old Style" w:cs="Arial"/>
          <w:sz w:val="20"/>
          <w:szCs w:val="20"/>
          <w:lang w:eastAsia="es-ES"/>
        </w:rPr>
      </w:pPr>
      <w:r w:rsidRPr="00C74826">
        <w:rPr>
          <w:rFonts w:ascii="Bookman Old Style" w:eastAsia="Times New Roman" w:hAnsi="Bookman Old Style" w:cs="Arial"/>
          <w:sz w:val="24"/>
          <w:szCs w:val="24"/>
          <w:lang w:eastAsia="es-ES"/>
        </w:rPr>
        <w:t xml:space="preserve"> </w:t>
      </w:r>
    </w:p>
    <w:p w14:paraId="4A04A76D" w14:textId="77777777" w:rsidR="00C74826" w:rsidRPr="000B5551" w:rsidRDefault="00C74826" w:rsidP="000B5551">
      <w:pPr>
        <w:spacing w:after="0" w:line="240" w:lineRule="auto"/>
        <w:ind w:left="284"/>
        <w:contextualSpacing/>
        <w:jc w:val="both"/>
        <w:rPr>
          <w:rFonts w:ascii="Bookman Old Style" w:eastAsia="Times New Roman" w:hAnsi="Bookman Old Style" w:cs="Arial"/>
          <w:i/>
          <w:iCs/>
          <w:sz w:val="20"/>
          <w:szCs w:val="20"/>
          <w:lang w:eastAsia="es-ES"/>
        </w:rPr>
      </w:pPr>
      <w:r w:rsidRPr="000B5551">
        <w:rPr>
          <w:rFonts w:ascii="Bookman Old Style" w:eastAsia="Times New Roman" w:hAnsi="Bookman Old Style" w:cs="Arial"/>
          <w:i/>
          <w:iCs/>
          <w:sz w:val="20"/>
          <w:szCs w:val="20"/>
          <w:lang w:eastAsia="es-ES"/>
        </w:rPr>
        <w:t xml:space="preserve">“2. En virtud del principio de igualdad, </w:t>
      </w:r>
      <w:r w:rsidRPr="000B5551">
        <w:rPr>
          <w:rFonts w:ascii="Bookman Old Style" w:eastAsia="Times New Roman" w:hAnsi="Bookman Old Style" w:cs="Arial"/>
          <w:i/>
          <w:iCs/>
          <w:sz w:val="20"/>
          <w:szCs w:val="20"/>
          <w:u w:val="single"/>
          <w:lang w:eastAsia="es-ES"/>
        </w:rPr>
        <w:t>las autoridades darán el mismo trato y protección a las personas e instituciones que intervengan en las actuaciones bajo su conocimiento</w:t>
      </w:r>
      <w:r w:rsidRPr="000B5551">
        <w:rPr>
          <w:rFonts w:ascii="Bookman Old Style" w:eastAsia="Times New Roman" w:hAnsi="Bookman Old Style" w:cs="Arial"/>
          <w:i/>
          <w:iCs/>
          <w:sz w:val="20"/>
          <w:szCs w:val="20"/>
          <w:lang w:eastAsia="es-ES"/>
        </w:rPr>
        <w:t xml:space="preserve">. No obstante, serán objeto de trato y protección especial las personas que por su condición económica, física o mental se encuentran en circunstancias de debilidad manifiesta”. </w:t>
      </w:r>
      <w:r w:rsidRPr="000B5551">
        <w:rPr>
          <w:rFonts w:ascii="Bookman Old Style" w:eastAsia="Times New Roman" w:hAnsi="Bookman Old Style" w:cs="Arial"/>
          <w:sz w:val="20"/>
          <w:szCs w:val="20"/>
          <w:lang w:eastAsia="es-ES"/>
        </w:rPr>
        <w:t>(Subrayado fuera de texto)</w:t>
      </w:r>
    </w:p>
    <w:p w14:paraId="2F97D32C" w14:textId="77777777" w:rsidR="00C74826" w:rsidRPr="00C74826" w:rsidRDefault="00C74826" w:rsidP="00C74826">
      <w:pPr>
        <w:spacing w:after="0" w:line="240" w:lineRule="auto"/>
        <w:contextualSpacing/>
        <w:jc w:val="both"/>
        <w:rPr>
          <w:rFonts w:ascii="Bookman Old Style" w:eastAsia="Times New Roman" w:hAnsi="Bookman Old Style" w:cs="Arial"/>
          <w:sz w:val="20"/>
          <w:szCs w:val="20"/>
          <w:highlight w:val="yellow"/>
          <w:lang w:eastAsia="es-ES"/>
        </w:rPr>
      </w:pPr>
    </w:p>
    <w:p w14:paraId="6E8CF8E7" w14:textId="126D86D5" w:rsidR="00C74826" w:rsidRPr="00C74826" w:rsidRDefault="00C74826" w:rsidP="00C74826">
      <w:pPr>
        <w:spacing w:after="0" w:line="240" w:lineRule="auto"/>
        <w:contextualSpacing/>
        <w:jc w:val="both"/>
        <w:rPr>
          <w:rFonts w:ascii="Bookman Old Style" w:eastAsia="Times New Roman" w:hAnsi="Bookman Old Style" w:cs="Times New Roman"/>
          <w:color w:val="2D2D2D"/>
          <w:lang w:val="es-MX" w:eastAsia="es-MX"/>
        </w:rPr>
      </w:pPr>
      <w:r w:rsidRPr="00C74826">
        <w:rPr>
          <w:rFonts w:ascii="Bookman Old Style" w:eastAsia="Times New Roman" w:hAnsi="Bookman Old Style" w:cs="Arial"/>
          <w:sz w:val="24"/>
          <w:szCs w:val="24"/>
          <w:lang w:eastAsia="es-ES"/>
        </w:rPr>
        <w:t xml:space="preserve">De acuerdo con la Corte Constitucional, el principio de igualdad posee un carácter relacional que significa </w:t>
      </w:r>
      <w:r w:rsidRPr="00C74826">
        <w:rPr>
          <w:rFonts w:ascii="Bookman Old Style" w:eastAsia="Times New Roman" w:hAnsi="Bookman Old Style" w:cs="Arial"/>
          <w:lang w:eastAsia="es-ES"/>
        </w:rPr>
        <w:t>“</w:t>
      </w:r>
      <w:r w:rsidRPr="00C74826">
        <w:rPr>
          <w:rFonts w:ascii="Bookman Old Style" w:eastAsia="Times New Roman" w:hAnsi="Bookman Old Style" w:cs="Times New Roman"/>
          <w:i/>
          <w:iCs/>
          <w:color w:val="2D2D2D"/>
          <w:lang w:val="es-MX" w:eastAsia="es-MX"/>
        </w:rPr>
        <w:t xml:space="preserve">que deben establecerse dos grupos o situaciones de hecho susceptibles de ser contrastadas, antes de iniciar un examen de adecuación entre las normas legales y ese principio. </w:t>
      </w:r>
      <w:r w:rsidRPr="00C74826">
        <w:rPr>
          <w:rFonts w:ascii="Bookman Old Style" w:eastAsia="Times New Roman" w:hAnsi="Bookman Old Style" w:cs="Times New Roman"/>
          <w:i/>
          <w:iCs/>
          <w:color w:val="2D2D2D"/>
          <w:u w:val="single"/>
          <w:lang w:val="es-MX" w:eastAsia="es-MX"/>
        </w:rPr>
        <w:t>Además, debe determinarse si esos grupos o situaciones se encuentran en situación de igualdad o desigualdad desde un punto de vista fáctico</w:t>
      </w:r>
      <w:r w:rsidRPr="00C74826">
        <w:rPr>
          <w:rFonts w:ascii="Bookman Old Style" w:eastAsia="Times New Roman" w:hAnsi="Bookman Old Style" w:cs="Times New Roman"/>
          <w:i/>
          <w:iCs/>
          <w:color w:val="2D2D2D"/>
          <w:lang w:val="es-MX" w:eastAsia="es-MX"/>
        </w:rPr>
        <w:t>, para esclarecer si el Legislador debía aplicar idénticas consecuencias normativas, o si se hallaba facultado para dar un trato distinto a ambos grupos; en tercer término, debe definirse un criterio de comparación que permita analizar esas diferencias o similitudes fácticas a la luz del sistema normativo vigente; y, finalmente, debe constatarse si (i) un tratamiento distinto entre iguales o (</w:t>
      </w:r>
      <w:proofErr w:type="spellStart"/>
      <w:r w:rsidRPr="00C74826">
        <w:rPr>
          <w:rFonts w:ascii="Bookman Old Style" w:eastAsia="Times New Roman" w:hAnsi="Bookman Old Style" w:cs="Times New Roman"/>
          <w:i/>
          <w:iCs/>
          <w:color w:val="2D2D2D"/>
          <w:lang w:val="es-MX" w:eastAsia="es-MX"/>
        </w:rPr>
        <w:t>ii</w:t>
      </w:r>
      <w:proofErr w:type="spellEnd"/>
      <w:r w:rsidRPr="00C74826">
        <w:rPr>
          <w:rFonts w:ascii="Bookman Old Style" w:eastAsia="Times New Roman" w:hAnsi="Bookman Old Style" w:cs="Times New Roman"/>
          <w:i/>
          <w:iCs/>
          <w:color w:val="2D2D2D"/>
          <w:lang w:val="es-MX" w:eastAsia="es-MX"/>
        </w:rPr>
        <w:t>) un tratamiento igual entre desiguales es razonable. Es decir, si persigue un fin constitucionalmente legítimo y no restringe en exceso los derechos de uno de los grupos en comparación”</w:t>
      </w:r>
      <w:r w:rsidRPr="00C74826">
        <w:rPr>
          <w:rFonts w:ascii="Bookman Old Style" w:eastAsia="Times New Roman" w:hAnsi="Bookman Old Style" w:cs="Times New Roman"/>
          <w:i/>
          <w:iCs/>
          <w:color w:val="2D2D2D"/>
          <w:vertAlign w:val="superscript"/>
          <w:lang w:val="es-MX" w:eastAsia="es-MX"/>
        </w:rPr>
        <w:footnoteReference w:id="9"/>
      </w:r>
      <w:r w:rsidRPr="00C74826">
        <w:rPr>
          <w:rFonts w:ascii="Bookman Old Style" w:eastAsia="Times New Roman" w:hAnsi="Bookman Old Style" w:cs="Times New Roman"/>
          <w:i/>
          <w:iCs/>
          <w:color w:val="2D2D2D"/>
          <w:lang w:val="es-MX" w:eastAsia="es-MX"/>
        </w:rPr>
        <w:t>.</w:t>
      </w:r>
      <w:r w:rsidR="0088456B" w:rsidRPr="00C04C59">
        <w:rPr>
          <w:rFonts w:ascii="Bookman Old Style" w:eastAsia="Times New Roman" w:hAnsi="Bookman Old Style" w:cs="Times New Roman"/>
          <w:i/>
          <w:iCs/>
          <w:color w:val="2D2D2D"/>
          <w:lang w:val="es-MX" w:eastAsia="es-MX"/>
        </w:rPr>
        <w:t xml:space="preserve"> </w:t>
      </w:r>
      <w:r w:rsidR="0088456B" w:rsidRPr="00C04C59">
        <w:rPr>
          <w:rFonts w:ascii="Bookman Old Style" w:eastAsia="Times New Roman" w:hAnsi="Bookman Old Style" w:cs="Times New Roman"/>
          <w:color w:val="2D2D2D"/>
          <w:lang w:val="es-MX" w:eastAsia="es-MX"/>
        </w:rPr>
        <w:t>(Subrayado fuera de texto)</w:t>
      </w:r>
    </w:p>
    <w:p w14:paraId="31359F6B" w14:textId="77777777" w:rsidR="00C74826" w:rsidRPr="00C74826" w:rsidRDefault="00C74826" w:rsidP="00C74826">
      <w:pPr>
        <w:spacing w:after="0" w:line="240" w:lineRule="auto"/>
        <w:contextualSpacing/>
        <w:jc w:val="both"/>
        <w:rPr>
          <w:rFonts w:ascii="Bookman Old Style" w:eastAsia="Times New Roman" w:hAnsi="Bookman Old Style" w:cs="Times New Roman"/>
          <w:i/>
          <w:iCs/>
          <w:color w:val="2D2D2D"/>
          <w:sz w:val="20"/>
          <w:szCs w:val="20"/>
          <w:lang w:val="es-MX" w:eastAsia="es-MX"/>
        </w:rPr>
      </w:pPr>
    </w:p>
    <w:p w14:paraId="71319C1E" w14:textId="77777777" w:rsidR="00C74826" w:rsidRPr="00C74826" w:rsidRDefault="00C74826" w:rsidP="00C74826">
      <w:pPr>
        <w:spacing w:after="0" w:line="240" w:lineRule="auto"/>
        <w:contextualSpacing/>
        <w:jc w:val="both"/>
        <w:rPr>
          <w:rFonts w:ascii="Bookman Old Style" w:eastAsia="Times New Roman" w:hAnsi="Bookman Old Style" w:cs="Times New Roman"/>
          <w:color w:val="2D2D2D"/>
          <w:sz w:val="24"/>
          <w:szCs w:val="24"/>
          <w:lang w:val="es-MX" w:eastAsia="es-MX"/>
        </w:rPr>
      </w:pPr>
      <w:r w:rsidRPr="00C74826">
        <w:rPr>
          <w:rFonts w:ascii="Bookman Old Style" w:eastAsia="Times New Roman" w:hAnsi="Bookman Old Style" w:cs="Times New Roman"/>
          <w:color w:val="2D2D2D"/>
          <w:sz w:val="24"/>
          <w:szCs w:val="24"/>
          <w:lang w:val="es-MX" w:eastAsia="es-MX"/>
        </w:rPr>
        <w:t>En la Sentencia C-104 de 2016, la Corte Constitucional precisó el procedimiento para realizar el juicio integrado de igualdad en los siguientes términos:</w:t>
      </w:r>
    </w:p>
    <w:p w14:paraId="173F1958" w14:textId="77777777" w:rsidR="00C74826" w:rsidRPr="00C74826" w:rsidRDefault="00C74826" w:rsidP="00C74826">
      <w:pPr>
        <w:spacing w:after="0" w:line="240" w:lineRule="auto"/>
        <w:contextualSpacing/>
        <w:jc w:val="both"/>
        <w:rPr>
          <w:rFonts w:ascii="Bookman Old Style" w:eastAsia="Times New Roman" w:hAnsi="Bookman Old Style" w:cs="Times New Roman"/>
          <w:i/>
          <w:iCs/>
          <w:color w:val="2D2D2D"/>
          <w:lang w:val="es-MX" w:eastAsia="es-MX"/>
        </w:rPr>
      </w:pPr>
    </w:p>
    <w:p w14:paraId="6ABC14EA" w14:textId="77777777" w:rsidR="00C74826" w:rsidRPr="000B5551" w:rsidRDefault="00C74826" w:rsidP="000B5551">
      <w:pPr>
        <w:spacing w:after="0" w:line="240" w:lineRule="auto"/>
        <w:ind w:left="284"/>
        <w:contextualSpacing/>
        <w:jc w:val="both"/>
        <w:rPr>
          <w:rFonts w:ascii="Bookman Old Style" w:eastAsia="Times New Roman" w:hAnsi="Bookman Old Style" w:cs="Times New Roman"/>
          <w:i/>
          <w:iCs/>
          <w:color w:val="2D2D2D"/>
          <w:sz w:val="20"/>
          <w:szCs w:val="20"/>
          <w:u w:val="single"/>
          <w:lang w:val="es-MX" w:eastAsia="es-MX"/>
        </w:rPr>
      </w:pPr>
      <w:r w:rsidRPr="000B5551">
        <w:rPr>
          <w:rFonts w:ascii="Bookman Old Style" w:eastAsia="Times New Roman" w:hAnsi="Bookman Old Style" w:cs="Times New Roman"/>
          <w:i/>
          <w:iCs/>
          <w:color w:val="2D2D2D"/>
          <w:sz w:val="20"/>
          <w:szCs w:val="20"/>
          <w:lang w:val="es-MX" w:eastAsia="es-MX"/>
        </w:rPr>
        <w:t xml:space="preserve">“6.5.2. El juicio integrado de igualdad se compone entonces de dos etapas de análisis. En la primera, (i) se establece el criterio de comparación, patrón de igualdad o </w:t>
      </w:r>
      <w:proofErr w:type="spellStart"/>
      <w:r w:rsidRPr="000B5551">
        <w:rPr>
          <w:rFonts w:ascii="Bookman Old Style" w:eastAsia="Times New Roman" w:hAnsi="Bookman Old Style" w:cs="Times New Roman"/>
          <w:i/>
          <w:iCs/>
          <w:color w:val="2D2D2D"/>
          <w:sz w:val="20"/>
          <w:szCs w:val="20"/>
          <w:lang w:val="es-MX" w:eastAsia="es-MX"/>
        </w:rPr>
        <w:t>tertium</w:t>
      </w:r>
      <w:proofErr w:type="spellEnd"/>
      <w:r w:rsidRPr="000B5551">
        <w:rPr>
          <w:rFonts w:ascii="Bookman Old Style" w:eastAsia="Times New Roman" w:hAnsi="Bookman Old Style" w:cs="Times New Roman"/>
          <w:i/>
          <w:iCs/>
          <w:color w:val="2D2D2D"/>
          <w:sz w:val="20"/>
          <w:szCs w:val="20"/>
          <w:lang w:val="es-MX" w:eastAsia="es-MX"/>
        </w:rPr>
        <w:t xml:space="preserve"> </w:t>
      </w:r>
      <w:proofErr w:type="spellStart"/>
      <w:r w:rsidRPr="000B5551">
        <w:rPr>
          <w:rFonts w:ascii="Bookman Old Style" w:eastAsia="Times New Roman" w:hAnsi="Bookman Old Style" w:cs="Times New Roman"/>
          <w:i/>
          <w:iCs/>
          <w:color w:val="2D2D2D"/>
          <w:sz w:val="20"/>
          <w:szCs w:val="20"/>
          <w:lang w:val="es-MX" w:eastAsia="es-MX"/>
        </w:rPr>
        <w:t>comparationis</w:t>
      </w:r>
      <w:proofErr w:type="spellEnd"/>
      <w:r w:rsidRPr="000B5551">
        <w:rPr>
          <w:rFonts w:ascii="Bookman Old Style" w:eastAsia="Times New Roman" w:hAnsi="Bookman Old Style" w:cs="Times New Roman"/>
          <w:i/>
          <w:iCs/>
          <w:color w:val="2D2D2D"/>
          <w:sz w:val="20"/>
          <w:szCs w:val="20"/>
          <w:lang w:val="es-MX" w:eastAsia="es-MX"/>
        </w:rPr>
        <w:t xml:space="preserve">, es decir, </w:t>
      </w:r>
      <w:r w:rsidRPr="000B5551">
        <w:rPr>
          <w:rFonts w:ascii="Bookman Old Style" w:eastAsia="Times New Roman" w:hAnsi="Bookman Old Style" w:cs="Times New Roman"/>
          <w:i/>
          <w:iCs/>
          <w:color w:val="2D2D2D"/>
          <w:sz w:val="20"/>
          <w:szCs w:val="20"/>
          <w:u w:val="single"/>
          <w:lang w:val="es-MX" w:eastAsia="es-MX"/>
        </w:rPr>
        <w:t>se precisa si los supuestos de hecho son susceptibles de compararse y si se confrontan sujetos o situaciones de la misma naturaleza.</w:t>
      </w:r>
      <w:r w:rsidRPr="000B5551">
        <w:rPr>
          <w:rFonts w:ascii="Bookman Old Style" w:eastAsia="Times New Roman" w:hAnsi="Bookman Old Style" w:cs="Times New Roman"/>
          <w:i/>
          <w:iCs/>
          <w:color w:val="2D2D2D"/>
          <w:sz w:val="20"/>
          <w:szCs w:val="20"/>
          <w:lang w:val="es-MX" w:eastAsia="es-MX"/>
        </w:rPr>
        <w:t xml:space="preserve"> En esta parte, asimismo, (</w:t>
      </w:r>
      <w:proofErr w:type="spellStart"/>
      <w:r w:rsidRPr="000B5551">
        <w:rPr>
          <w:rFonts w:ascii="Bookman Old Style" w:eastAsia="Times New Roman" w:hAnsi="Bookman Old Style" w:cs="Times New Roman"/>
          <w:i/>
          <w:iCs/>
          <w:color w:val="2D2D2D"/>
          <w:sz w:val="20"/>
          <w:szCs w:val="20"/>
          <w:u w:val="single"/>
          <w:lang w:val="es-MX" w:eastAsia="es-MX"/>
        </w:rPr>
        <w:t>ii</w:t>
      </w:r>
      <w:proofErr w:type="spellEnd"/>
      <w:r w:rsidRPr="000B5551">
        <w:rPr>
          <w:rFonts w:ascii="Bookman Old Style" w:eastAsia="Times New Roman" w:hAnsi="Bookman Old Style" w:cs="Times New Roman"/>
          <w:i/>
          <w:iCs/>
          <w:color w:val="2D2D2D"/>
          <w:sz w:val="20"/>
          <w:szCs w:val="20"/>
          <w:u w:val="single"/>
          <w:lang w:val="es-MX" w:eastAsia="es-MX"/>
        </w:rPr>
        <w:t>) se define si en el plano fáctico y en el plano jurídico existe un trato desigual entre iguales o igual entre desiguales.</w:t>
      </w:r>
    </w:p>
    <w:p w14:paraId="4C7B4DF1" w14:textId="77777777" w:rsidR="00C74826" w:rsidRPr="000B5551" w:rsidRDefault="00C74826" w:rsidP="000B5551">
      <w:pPr>
        <w:spacing w:after="0" w:line="240" w:lineRule="auto"/>
        <w:ind w:left="284"/>
        <w:contextualSpacing/>
        <w:jc w:val="both"/>
        <w:rPr>
          <w:rFonts w:ascii="Bookman Old Style" w:eastAsia="Times New Roman" w:hAnsi="Bookman Old Style" w:cs="Times New Roman"/>
          <w:i/>
          <w:iCs/>
          <w:color w:val="2D2D2D"/>
          <w:sz w:val="20"/>
          <w:szCs w:val="20"/>
          <w:lang w:val="es-MX" w:eastAsia="es-MX"/>
        </w:rPr>
      </w:pPr>
    </w:p>
    <w:p w14:paraId="3169F6D6" w14:textId="77777777" w:rsidR="00C74826" w:rsidRPr="000B5551" w:rsidRDefault="00C74826" w:rsidP="000B5551">
      <w:pPr>
        <w:spacing w:after="0" w:line="240" w:lineRule="auto"/>
        <w:ind w:left="284"/>
        <w:contextualSpacing/>
        <w:jc w:val="both"/>
        <w:rPr>
          <w:rFonts w:ascii="Bookman Old Style" w:eastAsia="Times New Roman" w:hAnsi="Bookman Old Style" w:cs="Times New Roman"/>
          <w:i/>
          <w:iCs/>
          <w:color w:val="2D2D2D"/>
          <w:sz w:val="20"/>
          <w:szCs w:val="20"/>
          <w:lang w:val="es-MX" w:eastAsia="es-MX"/>
        </w:rPr>
      </w:pPr>
      <w:r w:rsidRPr="000B5551">
        <w:rPr>
          <w:rFonts w:ascii="Bookman Old Style" w:eastAsia="Times New Roman" w:hAnsi="Bookman Old Style" w:cs="Times New Roman"/>
          <w:i/>
          <w:iCs/>
          <w:color w:val="2D2D2D"/>
          <w:sz w:val="20"/>
          <w:szCs w:val="20"/>
          <w:lang w:val="es-MX" w:eastAsia="es-MX"/>
        </w:rPr>
        <w:t xml:space="preserve"> Una vez establecida (</w:t>
      </w:r>
      <w:proofErr w:type="spellStart"/>
      <w:r w:rsidRPr="000B5551">
        <w:rPr>
          <w:rFonts w:ascii="Bookman Old Style" w:eastAsia="Times New Roman" w:hAnsi="Bookman Old Style" w:cs="Times New Roman"/>
          <w:i/>
          <w:iCs/>
          <w:color w:val="2D2D2D"/>
          <w:sz w:val="20"/>
          <w:szCs w:val="20"/>
          <w:lang w:val="es-MX" w:eastAsia="es-MX"/>
        </w:rPr>
        <w:t>iii</w:t>
      </w:r>
      <w:proofErr w:type="spellEnd"/>
      <w:r w:rsidRPr="000B5551">
        <w:rPr>
          <w:rFonts w:ascii="Bookman Old Style" w:eastAsia="Times New Roman" w:hAnsi="Bookman Old Style" w:cs="Times New Roman"/>
          <w:i/>
          <w:iCs/>
          <w:color w:val="2D2D2D"/>
          <w:sz w:val="20"/>
          <w:szCs w:val="20"/>
          <w:lang w:val="es-MX" w:eastAsia="es-MX"/>
        </w:rPr>
        <w:t xml:space="preserve">) la diferencia de trato entre situaciones o personas que resulten comparables, se procede, como segunda parte de este juicio, a determinar si dicha diferencia está constitucionalmente justificada, esto es, si los supuestos objeto de análisis ameritan un trato diferente a partir de los mandatos consagrados en la Constitución Política. Este examen consiste en </w:t>
      </w:r>
      <w:r w:rsidRPr="000B5551">
        <w:rPr>
          <w:rFonts w:ascii="Bookman Old Style" w:eastAsia="Times New Roman" w:hAnsi="Bookman Old Style" w:cs="Times New Roman"/>
          <w:i/>
          <w:iCs/>
          <w:color w:val="2D2D2D"/>
          <w:sz w:val="20"/>
          <w:szCs w:val="20"/>
          <w:u w:val="single"/>
          <w:lang w:val="es-MX" w:eastAsia="es-MX"/>
        </w:rPr>
        <w:t>valorar los motivos y razones que fueron expresados para sustentar la medida estudiada y para obtener la finalidad pretendida. Para tal efecto y como metodología se analizan tres aspectos: (a) el fin buscado por la medida, (b) el medio empleado y (c) la relación entre el medio y el fin.</w:t>
      </w:r>
      <w:r w:rsidRPr="000B5551">
        <w:rPr>
          <w:rFonts w:ascii="Bookman Old Style" w:eastAsia="Times New Roman" w:hAnsi="Bookman Old Style" w:cs="Times New Roman"/>
          <w:i/>
          <w:iCs/>
          <w:color w:val="2D2D2D"/>
          <w:sz w:val="20"/>
          <w:szCs w:val="20"/>
          <w:lang w:val="es-MX" w:eastAsia="es-MX"/>
        </w:rPr>
        <w:t xml:space="preserve"> Según su nivel de intensidad, este juicio puede tener tres grados: estricto, intermedio y leve. Para determinar cuál es el grado de intensidad adecuado en el examen de un asunto sometido a revisión, este Tribunal ha fijado una regla y varios criterios.”</w:t>
      </w:r>
      <w:r w:rsidRPr="000B5551">
        <w:rPr>
          <w:rFonts w:ascii="Bookman Old Style" w:eastAsia="Times New Roman" w:hAnsi="Bookman Old Style" w:cs="Times New Roman"/>
          <w:i/>
          <w:iCs/>
          <w:color w:val="2D2D2D"/>
          <w:sz w:val="20"/>
          <w:szCs w:val="20"/>
          <w:vertAlign w:val="superscript"/>
          <w:lang w:val="es-MX" w:eastAsia="es-MX"/>
        </w:rPr>
        <w:footnoteReference w:id="10"/>
      </w:r>
      <w:r w:rsidRPr="000B5551">
        <w:rPr>
          <w:rFonts w:ascii="Bookman Old Style" w:eastAsia="Times New Roman" w:hAnsi="Bookman Old Style" w:cs="Times New Roman"/>
          <w:i/>
          <w:iCs/>
          <w:color w:val="2D2D2D"/>
          <w:sz w:val="20"/>
          <w:szCs w:val="20"/>
          <w:lang w:val="es-MX" w:eastAsia="es-MX"/>
        </w:rPr>
        <w:t xml:space="preserve"> (Subrayado fuera de texto)</w:t>
      </w:r>
    </w:p>
    <w:p w14:paraId="492F32E1" w14:textId="77777777" w:rsidR="00C74826" w:rsidRPr="00C74826" w:rsidRDefault="00C74826" w:rsidP="00C74826">
      <w:pPr>
        <w:spacing w:after="0" w:line="240" w:lineRule="auto"/>
        <w:contextualSpacing/>
        <w:jc w:val="both"/>
        <w:rPr>
          <w:rFonts w:ascii="Bookman Old Style" w:eastAsia="Times New Roman" w:hAnsi="Bookman Old Style" w:cs="Times New Roman"/>
          <w:i/>
          <w:iCs/>
          <w:color w:val="2D2D2D"/>
          <w:lang w:val="es-MX" w:eastAsia="es-MX"/>
        </w:rPr>
      </w:pPr>
    </w:p>
    <w:p w14:paraId="32BFB1FD" w14:textId="77777777" w:rsidR="00C74826" w:rsidRPr="00C74826" w:rsidRDefault="00C74826" w:rsidP="00C74826">
      <w:pPr>
        <w:spacing w:after="0" w:line="240" w:lineRule="auto"/>
        <w:contextualSpacing/>
        <w:jc w:val="both"/>
        <w:rPr>
          <w:rFonts w:ascii="Bookman Old Style" w:eastAsia="Times New Roman" w:hAnsi="Bookman Old Style" w:cs="Arial"/>
          <w:sz w:val="24"/>
          <w:szCs w:val="24"/>
          <w:lang w:eastAsia="es-ES"/>
        </w:rPr>
      </w:pPr>
      <w:r w:rsidRPr="00C74826">
        <w:rPr>
          <w:rFonts w:ascii="Bookman Old Style" w:eastAsia="Times New Roman" w:hAnsi="Bookman Old Style" w:cs="Arial"/>
          <w:sz w:val="24"/>
          <w:szCs w:val="24"/>
          <w:lang w:eastAsia="es-ES"/>
        </w:rPr>
        <w:t xml:space="preserve">Teniendo en cuenta el alcance de este principio, se procede a realizar un análisis de su aplicación al caso en concreto. </w:t>
      </w:r>
    </w:p>
    <w:p w14:paraId="7F1BFEFD" w14:textId="77777777" w:rsidR="00C74826" w:rsidRPr="00C74826" w:rsidRDefault="00C74826" w:rsidP="00C74826">
      <w:pPr>
        <w:spacing w:after="0" w:line="240" w:lineRule="auto"/>
        <w:contextualSpacing/>
        <w:jc w:val="both"/>
        <w:rPr>
          <w:rFonts w:ascii="Bookman Old Style" w:eastAsia="Times New Roman" w:hAnsi="Bookman Old Style" w:cs="Arial"/>
          <w:sz w:val="24"/>
          <w:szCs w:val="24"/>
          <w:lang w:eastAsia="es-ES"/>
        </w:rPr>
      </w:pPr>
    </w:p>
    <w:p w14:paraId="70122612" w14:textId="08135B8E" w:rsidR="00C74826" w:rsidRPr="00C74826" w:rsidRDefault="00C74826" w:rsidP="00C74826">
      <w:pPr>
        <w:spacing w:after="0" w:line="240" w:lineRule="auto"/>
        <w:contextualSpacing/>
        <w:jc w:val="both"/>
        <w:rPr>
          <w:rFonts w:ascii="Bookman Old Style" w:eastAsia="Times New Roman" w:hAnsi="Bookman Old Style" w:cs="Arial"/>
          <w:sz w:val="24"/>
          <w:szCs w:val="24"/>
          <w:lang w:eastAsia="es-ES"/>
        </w:rPr>
      </w:pPr>
      <w:r w:rsidRPr="00C74826">
        <w:rPr>
          <w:rFonts w:ascii="Bookman Old Style" w:eastAsia="Times New Roman" w:hAnsi="Bookman Old Style" w:cs="Arial"/>
          <w:sz w:val="24"/>
          <w:szCs w:val="24"/>
          <w:lang w:eastAsia="es-ES"/>
        </w:rPr>
        <w:t>En relación con los sujetos respecto de los cuales aplican las medidas contenidas en la Resolución CREG 012 de 2018 y la Resolución CREG 124 de 2020, debe resaltarse que</w:t>
      </w:r>
      <w:r w:rsidR="000B5551">
        <w:rPr>
          <w:rFonts w:ascii="Bookman Old Style" w:eastAsia="Times New Roman" w:hAnsi="Bookman Old Style" w:cs="Arial"/>
          <w:sz w:val="24"/>
          <w:szCs w:val="24"/>
          <w:lang w:eastAsia="es-ES"/>
        </w:rPr>
        <w:t>,</w:t>
      </w:r>
      <w:r w:rsidRPr="00C74826">
        <w:rPr>
          <w:rFonts w:ascii="Bookman Old Style" w:eastAsia="Times New Roman" w:hAnsi="Bookman Old Style" w:cs="Arial"/>
          <w:sz w:val="24"/>
          <w:szCs w:val="24"/>
          <w:lang w:eastAsia="es-ES"/>
        </w:rPr>
        <w:t xml:space="preserve"> si bien en ambos casos la actuación administrativa fue iniciada a solicitud de parte</w:t>
      </w:r>
      <w:r w:rsidR="004A0F7B">
        <w:rPr>
          <w:rFonts w:ascii="Bookman Old Style" w:eastAsia="Times New Roman" w:hAnsi="Bookman Old Style" w:cs="Arial"/>
          <w:sz w:val="24"/>
          <w:szCs w:val="24"/>
          <w:lang w:eastAsia="es-ES"/>
        </w:rPr>
        <w:t>,</w:t>
      </w:r>
      <w:r w:rsidRPr="00C74826">
        <w:rPr>
          <w:rFonts w:ascii="Bookman Old Style" w:eastAsia="Times New Roman" w:hAnsi="Bookman Old Style" w:cs="Arial"/>
          <w:sz w:val="24"/>
          <w:szCs w:val="24"/>
          <w:lang w:eastAsia="es-ES"/>
        </w:rPr>
        <w:t xml:space="preserve"> la decisión no se dirige a ningún </w:t>
      </w:r>
      <w:r w:rsidR="00EF04CF">
        <w:rPr>
          <w:rFonts w:ascii="Bookman Old Style" w:eastAsia="Times New Roman" w:hAnsi="Bookman Old Style" w:cs="Arial"/>
          <w:sz w:val="24"/>
          <w:szCs w:val="24"/>
          <w:lang w:eastAsia="es-ES"/>
        </w:rPr>
        <w:t xml:space="preserve">prestador del servicio </w:t>
      </w:r>
      <w:r w:rsidRPr="00C74826">
        <w:rPr>
          <w:rFonts w:ascii="Bookman Old Style" w:eastAsia="Times New Roman" w:hAnsi="Bookman Old Style" w:cs="Arial"/>
          <w:sz w:val="24"/>
          <w:szCs w:val="24"/>
          <w:lang w:eastAsia="es-ES"/>
        </w:rPr>
        <w:t>en particular</w:t>
      </w:r>
      <w:r w:rsidR="000B5551">
        <w:rPr>
          <w:rFonts w:ascii="Bookman Old Style" w:eastAsia="Times New Roman" w:hAnsi="Bookman Old Style" w:cs="Arial"/>
          <w:sz w:val="24"/>
          <w:szCs w:val="24"/>
          <w:lang w:eastAsia="es-ES"/>
        </w:rPr>
        <w:t>,</w:t>
      </w:r>
      <w:r w:rsidRPr="00C74826">
        <w:rPr>
          <w:rFonts w:ascii="Bookman Old Style" w:eastAsia="Times New Roman" w:hAnsi="Bookman Old Style" w:cs="Arial"/>
          <w:sz w:val="24"/>
          <w:szCs w:val="24"/>
          <w:lang w:eastAsia="es-ES"/>
        </w:rPr>
        <w:t xml:space="preserve"> sino que se hace referencia al tipo de tecnología. </w:t>
      </w:r>
    </w:p>
    <w:p w14:paraId="034B6B9E" w14:textId="77777777" w:rsidR="00C74826" w:rsidRPr="00C74826" w:rsidRDefault="00C74826" w:rsidP="00C74826">
      <w:pPr>
        <w:spacing w:after="0" w:line="240" w:lineRule="auto"/>
        <w:contextualSpacing/>
        <w:jc w:val="both"/>
        <w:rPr>
          <w:rFonts w:ascii="Bookman Old Style" w:eastAsia="Times New Roman" w:hAnsi="Bookman Old Style" w:cs="Arial"/>
          <w:sz w:val="24"/>
          <w:szCs w:val="24"/>
          <w:lang w:eastAsia="es-ES"/>
        </w:rPr>
      </w:pPr>
    </w:p>
    <w:p w14:paraId="7F6C2F3D" w14:textId="77777777" w:rsidR="00C74826" w:rsidRPr="00C74826" w:rsidRDefault="00C74826" w:rsidP="00C74826">
      <w:pPr>
        <w:spacing w:after="0" w:line="240" w:lineRule="auto"/>
        <w:contextualSpacing/>
        <w:jc w:val="both"/>
        <w:rPr>
          <w:rFonts w:ascii="Bookman Old Style" w:eastAsia="Times New Roman" w:hAnsi="Bookman Old Style" w:cs="Arial"/>
          <w:sz w:val="24"/>
          <w:szCs w:val="24"/>
          <w:lang w:eastAsia="es-ES"/>
        </w:rPr>
      </w:pPr>
      <w:r w:rsidRPr="00C74826">
        <w:rPr>
          <w:rFonts w:ascii="Bookman Old Style" w:eastAsia="Times New Roman" w:hAnsi="Bookman Old Style" w:cs="Arial"/>
          <w:sz w:val="24"/>
          <w:szCs w:val="24"/>
          <w:lang w:eastAsia="es-ES"/>
        </w:rPr>
        <w:t>Tratándose de lo resuelto en la Resolución CREG 012 de 2018, se hace referencia específica al tipo de tecnología, solar fotovoltaica centralizada sin acumulación, y aunque en el caso particular de la resolución se incluye una referencia a una potencia específica, dicho cargo es aplicable para que el comercializador determine el costo que puede trasladar a los usuarios cuando compre, en representación de estos, energía a un generador que utilice este tipo de tecnología.</w:t>
      </w:r>
    </w:p>
    <w:p w14:paraId="745D22C2" w14:textId="77777777" w:rsidR="00C74826" w:rsidRPr="00C74826" w:rsidRDefault="00C74826" w:rsidP="00C74826">
      <w:pPr>
        <w:spacing w:after="0" w:line="240" w:lineRule="auto"/>
        <w:contextualSpacing/>
        <w:jc w:val="both"/>
        <w:rPr>
          <w:rFonts w:ascii="Bookman Old Style" w:eastAsia="Times New Roman" w:hAnsi="Bookman Old Style" w:cs="Arial"/>
          <w:sz w:val="24"/>
          <w:szCs w:val="24"/>
          <w:lang w:eastAsia="es-ES"/>
        </w:rPr>
      </w:pPr>
    </w:p>
    <w:p w14:paraId="340B571A" w14:textId="1DAD0E09" w:rsidR="00C74826" w:rsidRPr="00C74826" w:rsidRDefault="00C74826" w:rsidP="00C74826">
      <w:pPr>
        <w:spacing w:after="0" w:line="240" w:lineRule="auto"/>
        <w:contextualSpacing/>
        <w:jc w:val="both"/>
        <w:rPr>
          <w:rFonts w:ascii="Bookman Old Style" w:eastAsia="Times New Roman" w:hAnsi="Bookman Old Style" w:cs="Arial"/>
          <w:sz w:val="24"/>
          <w:szCs w:val="24"/>
          <w:lang w:eastAsia="es-ES"/>
        </w:rPr>
      </w:pPr>
      <w:r w:rsidRPr="00C74826">
        <w:rPr>
          <w:rFonts w:ascii="Bookman Old Style" w:eastAsia="Times New Roman" w:hAnsi="Bookman Old Style" w:cs="Arial"/>
          <w:sz w:val="24"/>
          <w:szCs w:val="24"/>
          <w:lang w:eastAsia="es-ES"/>
        </w:rPr>
        <w:t xml:space="preserve">En ese sentido, si bien el epígrafe </w:t>
      </w:r>
      <w:r w:rsidR="001455BE">
        <w:rPr>
          <w:rFonts w:ascii="Bookman Old Style" w:eastAsia="Times New Roman" w:hAnsi="Bookman Old Style" w:cs="Arial"/>
          <w:sz w:val="24"/>
          <w:szCs w:val="24"/>
          <w:lang w:eastAsia="es-ES"/>
        </w:rPr>
        <w:t xml:space="preserve">de </w:t>
      </w:r>
      <w:r w:rsidRPr="00C74826">
        <w:rPr>
          <w:rFonts w:ascii="Bookman Old Style" w:eastAsia="Times New Roman" w:hAnsi="Bookman Old Style" w:cs="Arial"/>
          <w:sz w:val="24"/>
          <w:szCs w:val="24"/>
          <w:lang w:eastAsia="es-ES"/>
        </w:rPr>
        <w:t>la resolución hace referencia a GENSA</w:t>
      </w:r>
      <w:r w:rsidR="000B5551">
        <w:rPr>
          <w:rFonts w:ascii="Bookman Old Style" w:eastAsia="Times New Roman" w:hAnsi="Bookman Old Style" w:cs="Arial"/>
          <w:sz w:val="24"/>
          <w:szCs w:val="24"/>
          <w:lang w:eastAsia="es-ES"/>
        </w:rPr>
        <w:t xml:space="preserve"> S.A. E.S.P.</w:t>
      </w:r>
      <w:r w:rsidRPr="00C74826">
        <w:rPr>
          <w:rFonts w:ascii="Bookman Old Style" w:eastAsia="Times New Roman" w:hAnsi="Bookman Old Style" w:cs="Arial"/>
          <w:sz w:val="24"/>
          <w:szCs w:val="24"/>
          <w:lang w:eastAsia="es-ES"/>
        </w:rPr>
        <w:t xml:space="preserve">, en la medida en que la solicitud fue interpuesta por dicha empresa, en el resuelve no se hace referencia a ningún </w:t>
      </w:r>
      <w:r w:rsidR="001455BE">
        <w:rPr>
          <w:rFonts w:ascii="Bookman Old Style" w:eastAsia="Times New Roman" w:hAnsi="Bookman Old Style" w:cs="Arial"/>
          <w:sz w:val="24"/>
          <w:szCs w:val="24"/>
          <w:lang w:eastAsia="es-ES"/>
        </w:rPr>
        <w:t>prestador del servicio en</w:t>
      </w:r>
      <w:r w:rsidRPr="00C74826">
        <w:rPr>
          <w:rFonts w:ascii="Bookman Old Style" w:eastAsia="Times New Roman" w:hAnsi="Bookman Old Style" w:cs="Arial"/>
          <w:sz w:val="24"/>
          <w:szCs w:val="24"/>
          <w:lang w:eastAsia="es-ES"/>
        </w:rPr>
        <w:t xml:space="preserve"> particular</w:t>
      </w:r>
      <w:r w:rsidR="001455BE">
        <w:rPr>
          <w:rFonts w:ascii="Bookman Old Style" w:eastAsia="Times New Roman" w:hAnsi="Bookman Old Style" w:cs="Arial"/>
          <w:sz w:val="24"/>
          <w:szCs w:val="24"/>
          <w:lang w:eastAsia="es-ES"/>
        </w:rPr>
        <w:t>,</w:t>
      </w:r>
      <w:r w:rsidR="00980307">
        <w:rPr>
          <w:rFonts w:ascii="Bookman Old Style" w:eastAsia="Times New Roman" w:hAnsi="Bookman Old Style" w:cs="Arial"/>
          <w:sz w:val="24"/>
          <w:szCs w:val="24"/>
          <w:lang w:eastAsia="es-ES"/>
        </w:rPr>
        <w:t xml:space="preserve"> </w:t>
      </w:r>
      <w:r w:rsidRPr="00C74826">
        <w:rPr>
          <w:rFonts w:ascii="Bookman Old Style" w:eastAsia="Times New Roman" w:hAnsi="Bookman Old Style" w:cs="Arial"/>
          <w:sz w:val="24"/>
          <w:szCs w:val="24"/>
          <w:lang w:eastAsia="es-ES"/>
        </w:rPr>
        <w:t>como se observa a continuación:</w:t>
      </w:r>
    </w:p>
    <w:p w14:paraId="32194634" w14:textId="77777777" w:rsidR="00C74826" w:rsidRPr="00C74826" w:rsidRDefault="00C74826" w:rsidP="00C74826">
      <w:pPr>
        <w:spacing w:after="0" w:line="240" w:lineRule="auto"/>
        <w:contextualSpacing/>
        <w:jc w:val="both"/>
        <w:rPr>
          <w:rFonts w:ascii="Bookman Old Style" w:eastAsia="Times New Roman" w:hAnsi="Bookman Old Style" w:cs="Arial"/>
          <w:sz w:val="24"/>
          <w:szCs w:val="24"/>
          <w:lang w:eastAsia="es-ES"/>
        </w:rPr>
      </w:pPr>
    </w:p>
    <w:p w14:paraId="0EA716DB" w14:textId="77777777" w:rsidR="00C74826" w:rsidRPr="000B5551" w:rsidRDefault="00C74826" w:rsidP="000B5551">
      <w:pPr>
        <w:tabs>
          <w:tab w:val="center" w:pos="4845"/>
        </w:tabs>
        <w:spacing w:after="0" w:line="240" w:lineRule="auto"/>
        <w:ind w:left="284"/>
        <w:jc w:val="both"/>
        <w:rPr>
          <w:rFonts w:ascii="Bookman Old Style" w:eastAsia="Times New Roman" w:hAnsi="Bookman Old Style" w:cs="Arial"/>
          <w:i/>
          <w:iCs/>
          <w:sz w:val="20"/>
          <w:szCs w:val="20"/>
          <w:lang w:val="es-ES" w:eastAsia="es-ES"/>
        </w:rPr>
      </w:pPr>
      <w:r w:rsidRPr="000B5551">
        <w:rPr>
          <w:rFonts w:ascii="Bookman Old Style" w:eastAsia="Times New Roman" w:hAnsi="Bookman Old Style" w:cs="Arial"/>
          <w:b/>
          <w:i/>
          <w:iCs/>
          <w:sz w:val="20"/>
          <w:szCs w:val="20"/>
          <w:lang w:val="es-ES" w:eastAsia="es-ES"/>
        </w:rPr>
        <w:t>“ARTÍCULO 1</w:t>
      </w:r>
      <w:r w:rsidRPr="000B5551">
        <w:rPr>
          <w:rFonts w:ascii="Bookman Old Style" w:eastAsia="Times New Roman" w:hAnsi="Bookman Old Style" w:cs="Arial"/>
          <w:b/>
          <w:bCs/>
          <w:i/>
          <w:iCs/>
          <w:sz w:val="20"/>
          <w:szCs w:val="20"/>
          <w:lang w:val="es-ES" w:eastAsia="es-ES"/>
        </w:rPr>
        <w:t xml:space="preserve">. Remuneración de las componentes de inversión y de administración, operación y mantenimiento para el </w:t>
      </w:r>
      <w:r w:rsidRPr="000B5551">
        <w:rPr>
          <w:rFonts w:ascii="Bookman Old Style" w:eastAsia="Times New Roman" w:hAnsi="Bookman Old Style" w:cs="Arial"/>
          <w:b/>
          <w:i/>
          <w:iCs/>
          <w:sz w:val="20"/>
          <w:szCs w:val="20"/>
          <w:lang w:val="es-ES" w:eastAsia="es-ES"/>
        </w:rPr>
        <w:t xml:space="preserve">sistema solar fotovoltaico de 2.47 </w:t>
      </w:r>
      <w:proofErr w:type="spellStart"/>
      <w:r w:rsidRPr="000B5551">
        <w:rPr>
          <w:rFonts w:ascii="Bookman Old Style" w:eastAsia="Times New Roman" w:hAnsi="Bookman Old Style" w:cs="Arial"/>
          <w:b/>
          <w:i/>
          <w:iCs/>
          <w:sz w:val="20"/>
          <w:szCs w:val="20"/>
          <w:lang w:val="es-ES" w:eastAsia="es-ES"/>
        </w:rPr>
        <w:t>MWp</w:t>
      </w:r>
      <w:proofErr w:type="spellEnd"/>
      <w:r w:rsidRPr="000B5551">
        <w:rPr>
          <w:rFonts w:ascii="Bookman Old Style" w:eastAsia="Times New Roman" w:hAnsi="Bookman Old Style" w:cs="Arial"/>
          <w:b/>
          <w:i/>
          <w:iCs/>
          <w:sz w:val="20"/>
          <w:szCs w:val="20"/>
          <w:lang w:val="es-ES" w:eastAsia="es-ES"/>
        </w:rPr>
        <w:t xml:space="preserve">. </w:t>
      </w:r>
      <w:r w:rsidRPr="000B5551">
        <w:rPr>
          <w:rFonts w:ascii="Bookman Old Style" w:eastAsia="Times New Roman" w:hAnsi="Bookman Old Style" w:cs="Arial"/>
          <w:i/>
          <w:iCs/>
          <w:sz w:val="20"/>
          <w:szCs w:val="20"/>
          <w:lang w:val="es-ES" w:eastAsia="es-ES"/>
        </w:rPr>
        <w:t xml:space="preserve">Las </w:t>
      </w:r>
      <w:r w:rsidRPr="000B5551">
        <w:rPr>
          <w:rFonts w:ascii="Bookman Old Style" w:eastAsia="Times New Roman" w:hAnsi="Bookman Old Style" w:cs="Arial"/>
          <w:bCs/>
          <w:i/>
          <w:iCs/>
          <w:sz w:val="20"/>
          <w:szCs w:val="20"/>
          <w:lang w:val="es-ES" w:eastAsia="es-ES"/>
        </w:rPr>
        <w:t xml:space="preserve">componentes de inversión y de administración, operación y mantenimiento </w:t>
      </w:r>
      <w:r w:rsidRPr="000B5551">
        <w:rPr>
          <w:rFonts w:ascii="Bookman Old Style" w:eastAsia="Times New Roman" w:hAnsi="Bookman Old Style" w:cs="Arial"/>
          <w:i/>
          <w:iCs/>
          <w:sz w:val="20"/>
          <w:szCs w:val="20"/>
          <w:lang w:val="es-ES" w:eastAsia="es-ES"/>
        </w:rPr>
        <w:t xml:space="preserve">incluyen tanto los costos de adquisición de equipos, obras eléctricas, obras civiles, costos indirectos e interventoría, así como los gastos de mantenimiento preventivo, costos ambientales, seguros, personal operativo y todos aquellos necesarios para la puesta en marcha y posterior operación y mantenimiento del sistema solar fotovoltaico de 2.47 </w:t>
      </w:r>
      <w:proofErr w:type="spellStart"/>
      <w:r w:rsidRPr="000B5551">
        <w:rPr>
          <w:rFonts w:ascii="Bookman Old Style" w:eastAsia="Times New Roman" w:hAnsi="Bookman Old Style" w:cs="Arial"/>
          <w:i/>
          <w:iCs/>
          <w:sz w:val="20"/>
          <w:szCs w:val="20"/>
          <w:lang w:val="es-ES" w:eastAsia="es-ES"/>
        </w:rPr>
        <w:t>MWp</w:t>
      </w:r>
      <w:proofErr w:type="spellEnd"/>
      <w:r w:rsidRPr="000B5551">
        <w:rPr>
          <w:rFonts w:ascii="Bookman Old Style" w:eastAsia="Times New Roman" w:hAnsi="Bookman Old Style" w:cs="Arial"/>
          <w:i/>
          <w:iCs/>
          <w:sz w:val="20"/>
          <w:szCs w:val="20"/>
          <w:lang w:val="es-ES" w:eastAsia="es-ES"/>
        </w:rPr>
        <w:t>.</w:t>
      </w:r>
    </w:p>
    <w:p w14:paraId="3B247A7E" w14:textId="77777777" w:rsidR="00C74826" w:rsidRPr="000B5551" w:rsidRDefault="00C74826" w:rsidP="000B5551">
      <w:pPr>
        <w:tabs>
          <w:tab w:val="center" w:pos="4845"/>
        </w:tabs>
        <w:spacing w:after="0" w:line="240" w:lineRule="auto"/>
        <w:ind w:left="284"/>
        <w:jc w:val="both"/>
        <w:rPr>
          <w:rFonts w:ascii="Bookman Old Style" w:eastAsia="Times New Roman" w:hAnsi="Bookman Old Style" w:cs="Arial"/>
          <w:i/>
          <w:iCs/>
          <w:sz w:val="20"/>
          <w:szCs w:val="20"/>
          <w:lang w:val="es-ES" w:eastAsia="es-ES"/>
        </w:rPr>
      </w:pPr>
    </w:p>
    <w:p w14:paraId="017C10B0" w14:textId="77777777" w:rsidR="00C74826" w:rsidRPr="000B5551" w:rsidRDefault="00C74826" w:rsidP="000B5551">
      <w:pPr>
        <w:tabs>
          <w:tab w:val="center" w:pos="4845"/>
        </w:tabs>
        <w:spacing w:after="0" w:line="240" w:lineRule="auto"/>
        <w:ind w:left="284"/>
        <w:jc w:val="both"/>
        <w:rPr>
          <w:rFonts w:ascii="Bookman Old Style" w:eastAsia="Times New Roman" w:hAnsi="Bookman Old Style" w:cs="Arial"/>
          <w:i/>
          <w:iCs/>
          <w:sz w:val="20"/>
          <w:szCs w:val="20"/>
          <w:lang w:val="es-ES" w:eastAsia="es-ES"/>
        </w:rPr>
      </w:pPr>
      <w:r w:rsidRPr="000B5551">
        <w:rPr>
          <w:rFonts w:ascii="Bookman Old Style" w:eastAsia="Times New Roman" w:hAnsi="Bookman Old Style" w:cs="Arial"/>
          <w:i/>
          <w:iCs/>
          <w:sz w:val="20"/>
          <w:szCs w:val="20"/>
          <w:lang w:val="es-ES" w:eastAsia="es-ES"/>
        </w:rPr>
        <w:t xml:space="preserve">Las </w:t>
      </w:r>
      <w:r w:rsidRPr="000B5551">
        <w:rPr>
          <w:rFonts w:ascii="Bookman Old Style" w:eastAsia="Times New Roman" w:hAnsi="Bookman Old Style" w:cs="Arial"/>
          <w:bCs/>
          <w:i/>
          <w:iCs/>
          <w:sz w:val="20"/>
          <w:szCs w:val="20"/>
          <w:lang w:val="es-ES" w:eastAsia="es-ES"/>
        </w:rPr>
        <w:t xml:space="preserve">componentes que remuneran los costos de inversión y de administración, operación y mantenimiento para el </w:t>
      </w:r>
      <w:r w:rsidRPr="000B5551">
        <w:rPr>
          <w:rFonts w:ascii="Bookman Old Style" w:eastAsia="Times New Roman" w:hAnsi="Bookman Old Style" w:cs="Arial"/>
          <w:i/>
          <w:iCs/>
          <w:sz w:val="20"/>
          <w:szCs w:val="20"/>
          <w:lang w:val="es-ES" w:eastAsia="es-ES"/>
        </w:rPr>
        <w:t xml:space="preserve">sistema solar fotovoltaico de 2.47 </w:t>
      </w:r>
      <w:proofErr w:type="spellStart"/>
      <w:r w:rsidRPr="000B5551">
        <w:rPr>
          <w:rFonts w:ascii="Bookman Old Style" w:eastAsia="Times New Roman" w:hAnsi="Bookman Old Style" w:cs="Arial"/>
          <w:i/>
          <w:iCs/>
          <w:sz w:val="20"/>
          <w:szCs w:val="20"/>
          <w:lang w:val="es-ES" w:eastAsia="es-ES"/>
        </w:rPr>
        <w:t>MWp</w:t>
      </w:r>
      <w:proofErr w:type="spellEnd"/>
      <w:r w:rsidRPr="000B5551">
        <w:rPr>
          <w:rFonts w:ascii="Bookman Old Style" w:eastAsia="Times New Roman" w:hAnsi="Bookman Old Style" w:cs="Arial"/>
          <w:i/>
          <w:iCs/>
          <w:sz w:val="20"/>
          <w:szCs w:val="20"/>
          <w:lang w:val="es-ES" w:eastAsia="es-ES"/>
        </w:rPr>
        <w:t xml:space="preserve"> son las siguientes:</w:t>
      </w:r>
    </w:p>
    <w:p w14:paraId="78B21BA9" w14:textId="77777777" w:rsidR="00C74826" w:rsidRPr="000B5551" w:rsidRDefault="00C74826" w:rsidP="000B5551">
      <w:pPr>
        <w:tabs>
          <w:tab w:val="center" w:pos="4845"/>
        </w:tabs>
        <w:spacing w:after="0" w:line="240" w:lineRule="auto"/>
        <w:ind w:left="284"/>
        <w:jc w:val="both"/>
        <w:rPr>
          <w:rFonts w:ascii="Bookman Old Style" w:eastAsia="Times New Roman" w:hAnsi="Bookman Old Style" w:cs="Arial"/>
          <w:i/>
          <w:iCs/>
          <w:sz w:val="20"/>
          <w:szCs w:val="20"/>
          <w:lang w:val="es-ES" w:eastAsia="es-ES"/>
        </w:rPr>
      </w:pPr>
    </w:p>
    <w:p w14:paraId="63DC0B7B" w14:textId="77777777" w:rsidR="00C74826" w:rsidRPr="000B5551" w:rsidRDefault="00C74826" w:rsidP="000B5551">
      <w:pPr>
        <w:tabs>
          <w:tab w:val="center" w:pos="4845"/>
        </w:tabs>
        <w:spacing w:after="0" w:line="240" w:lineRule="auto"/>
        <w:ind w:left="284"/>
        <w:jc w:val="center"/>
        <w:rPr>
          <w:rFonts w:ascii="Bookman Old Style" w:eastAsia="Times New Roman" w:hAnsi="Bookman Old Style" w:cs="Arial"/>
          <w:b/>
          <w:i/>
          <w:iCs/>
          <w:sz w:val="20"/>
          <w:szCs w:val="20"/>
          <w:lang w:val="es-ES" w:eastAsia="es-ES"/>
        </w:rPr>
      </w:pPr>
      <w:r w:rsidRPr="000B5551">
        <w:rPr>
          <w:rFonts w:ascii="Bookman Old Style" w:eastAsia="Times New Roman" w:hAnsi="Bookman Old Style" w:cs="Arial"/>
          <w:b/>
          <w:i/>
          <w:iCs/>
          <w:sz w:val="20"/>
          <w:szCs w:val="20"/>
          <w:lang w:val="es-ES" w:eastAsia="es-ES"/>
        </w:rPr>
        <w:t>Tabla1. Componentes de remuneración de costos de inversión y de administración,</w:t>
      </w:r>
      <w:r w:rsidRPr="000B5551">
        <w:rPr>
          <w:rFonts w:ascii="Bookman Old Style" w:eastAsia="Times New Roman" w:hAnsi="Bookman Old Style" w:cs="Arial"/>
          <w:b/>
          <w:bCs/>
          <w:i/>
          <w:iCs/>
          <w:sz w:val="20"/>
          <w:szCs w:val="20"/>
          <w:lang w:val="es-ES" w:eastAsia="es-ES"/>
        </w:rPr>
        <w:t xml:space="preserve"> operación y mantenimiento del </w:t>
      </w:r>
      <w:r w:rsidRPr="000B5551">
        <w:rPr>
          <w:rFonts w:ascii="Bookman Old Style" w:eastAsia="Times New Roman" w:hAnsi="Bookman Old Style" w:cs="Arial"/>
          <w:b/>
          <w:i/>
          <w:iCs/>
          <w:sz w:val="20"/>
          <w:szCs w:val="20"/>
          <w:lang w:val="es-ES" w:eastAsia="es-ES"/>
        </w:rPr>
        <w:t xml:space="preserve">sistema solar fotovoltaico de 2.47 </w:t>
      </w:r>
      <w:proofErr w:type="spellStart"/>
      <w:r w:rsidRPr="000B5551">
        <w:rPr>
          <w:rFonts w:ascii="Bookman Old Style" w:eastAsia="Times New Roman" w:hAnsi="Bookman Old Style" w:cs="Arial"/>
          <w:b/>
          <w:i/>
          <w:iCs/>
          <w:sz w:val="20"/>
          <w:szCs w:val="20"/>
          <w:lang w:val="es-ES" w:eastAsia="es-ES"/>
        </w:rPr>
        <w:t>MWp</w:t>
      </w:r>
      <w:proofErr w:type="spellEnd"/>
      <w:r w:rsidRPr="000B5551">
        <w:rPr>
          <w:rFonts w:ascii="Bookman Old Style" w:eastAsia="Times New Roman" w:hAnsi="Bookman Old Style" w:cs="Arial"/>
          <w:b/>
          <w:i/>
          <w:iCs/>
          <w:sz w:val="20"/>
          <w:szCs w:val="20"/>
          <w:lang w:val="es-ES" w:eastAsia="es-ES"/>
        </w:rPr>
        <w:t xml:space="preserve"> </w:t>
      </w:r>
    </w:p>
    <w:p w14:paraId="0BB15144" w14:textId="77777777" w:rsidR="00C74826" w:rsidRPr="000B5551" w:rsidRDefault="00C74826" w:rsidP="000B5551">
      <w:pPr>
        <w:tabs>
          <w:tab w:val="center" w:pos="4845"/>
        </w:tabs>
        <w:spacing w:after="0" w:line="240" w:lineRule="auto"/>
        <w:ind w:left="284"/>
        <w:jc w:val="center"/>
        <w:rPr>
          <w:rFonts w:ascii="Bookman Old Style" w:eastAsia="Times New Roman" w:hAnsi="Bookman Old Style" w:cs="Arial"/>
          <w:b/>
          <w:i/>
          <w:iCs/>
          <w:sz w:val="20"/>
          <w:szCs w:val="20"/>
          <w:lang w:val="es-ES" w:eastAsia="es-ES"/>
        </w:rPr>
      </w:pPr>
      <w:r w:rsidRPr="000B5551">
        <w:rPr>
          <w:rFonts w:ascii="Bookman Old Style" w:eastAsia="Times New Roman" w:hAnsi="Bookman Old Style" w:cs="Arial"/>
          <w:b/>
          <w:i/>
          <w:iCs/>
          <w:sz w:val="20"/>
          <w:szCs w:val="20"/>
          <w:lang w:val="es-ES" w:eastAsia="es-ES"/>
        </w:rPr>
        <w:t>(pesos de diciembre de 2006)</w:t>
      </w:r>
    </w:p>
    <w:p w14:paraId="2C87608A" w14:textId="77777777" w:rsidR="00C74826" w:rsidRPr="000B5551" w:rsidRDefault="00C74826" w:rsidP="000B5551">
      <w:pPr>
        <w:tabs>
          <w:tab w:val="center" w:pos="4845"/>
        </w:tabs>
        <w:spacing w:after="0" w:line="240" w:lineRule="auto"/>
        <w:ind w:left="284"/>
        <w:jc w:val="both"/>
        <w:rPr>
          <w:rFonts w:ascii="Bookman Old Style" w:eastAsia="Times New Roman" w:hAnsi="Bookman Old Style" w:cs="Arial"/>
          <w:i/>
          <w:iCs/>
          <w:sz w:val="20"/>
          <w:szCs w:val="20"/>
          <w:lang w:val="es-ES" w:eastAsia="es-ES"/>
        </w:rPr>
      </w:pPr>
    </w:p>
    <w:tbl>
      <w:tblPr>
        <w:tblStyle w:val="Tablaconcuadrcula12"/>
        <w:tblW w:w="7672" w:type="dxa"/>
        <w:tblInd w:w="562" w:type="dxa"/>
        <w:tblLook w:val="04A0" w:firstRow="1" w:lastRow="0" w:firstColumn="1" w:lastColumn="0" w:noHBand="0" w:noVBand="1"/>
      </w:tblPr>
      <w:tblGrid>
        <w:gridCol w:w="2475"/>
        <w:gridCol w:w="2351"/>
        <w:gridCol w:w="2846"/>
      </w:tblGrid>
      <w:tr w:rsidR="00C74826" w:rsidRPr="000B5551" w14:paraId="56F0D19E" w14:textId="77777777" w:rsidTr="00616A5A">
        <w:trPr>
          <w:trHeight w:val="1188"/>
        </w:trPr>
        <w:tc>
          <w:tcPr>
            <w:tcW w:w="2475" w:type="dxa"/>
            <w:vAlign w:val="center"/>
          </w:tcPr>
          <w:p w14:paraId="608F68DF" w14:textId="77777777" w:rsidR="00C74826" w:rsidRPr="000B5551" w:rsidRDefault="00C74826" w:rsidP="000B5551">
            <w:pPr>
              <w:tabs>
                <w:tab w:val="center" w:pos="4845"/>
              </w:tabs>
              <w:jc w:val="center"/>
              <w:rPr>
                <w:rFonts w:ascii="Bookman Old Style" w:hAnsi="Bookman Old Style" w:cs="Arial"/>
                <w:b/>
                <w:i/>
                <w:iCs/>
                <w:lang w:val="es-ES" w:eastAsia="es-ES"/>
              </w:rPr>
            </w:pPr>
            <w:r w:rsidRPr="000B5551">
              <w:rPr>
                <w:rFonts w:ascii="Bookman Old Style" w:hAnsi="Bookman Old Style" w:cs="Arial"/>
                <w:b/>
                <w:i/>
                <w:iCs/>
                <w:lang w:val="es-ES" w:eastAsia="es-ES"/>
              </w:rPr>
              <w:t xml:space="preserve">Potencia </w:t>
            </w:r>
          </w:p>
          <w:p w14:paraId="78B70B93" w14:textId="77777777" w:rsidR="00C74826" w:rsidRPr="000B5551" w:rsidRDefault="00C74826" w:rsidP="000B5551">
            <w:pPr>
              <w:tabs>
                <w:tab w:val="center" w:pos="4845"/>
              </w:tabs>
              <w:jc w:val="center"/>
              <w:rPr>
                <w:rFonts w:ascii="Bookman Old Style" w:hAnsi="Bookman Old Style" w:cs="Arial"/>
                <w:b/>
                <w:i/>
                <w:iCs/>
                <w:lang w:val="es-ES" w:eastAsia="es-ES"/>
              </w:rPr>
            </w:pPr>
            <w:r w:rsidRPr="000B5551">
              <w:rPr>
                <w:rFonts w:ascii="Bookman Old Style" w:hAnsi="Bookman Old Style" w:cs="Arial"/>
                <w:b/>
                <w:i/>
                <w:iCs/>
                <w:lang w:val="es-ES" w:eastAsia="es-ES"/>
              </w:rPr>
              <w:t>nominal</w:t>
            </w:r>
          </w:p>
        </w:tc>
        <w:tc>
          <w:tcPr>
            <w:tcW w:w="2351" w:type="dxa"/>
            <w:vAlign w:val="center"/>
          </w:tcPr>
          <w:p w14:paraId="2143FB11" w14:textId="77777777" w:rsidR="00C74826" w:rsidRPr="000B5551" w:rsidRDefault="00C74826" w:rsidP="000B5551">
            <w:pPr>
              <w:tabs>
                <w:tab w:val="center" w:pos="4845"/>
              </w:tabs>
              <w:jc w:val="center"/>
              <w:rPr>
                <w:rFonts w:ascii="Bookman Old Style" w:hAnsi="Bookman Old Style" w:cs="Arial"/>
                <w:b/>
                <w:i/>
                <w:iCs/>
                <w:vertAlign w:val="subscript"/>
                <w:lang w:val="es-ES" w:eastAsia="es-ES"/>
              </w:rPr>
            </w:pPr>
            <w:r w:rsidRPr="000B5551">
              <w:rPr>
                <w:rFonts w:ascii="Bookman Old Style" w:hAnsi="Bookman Old Style" w:cs="Arial"/>
                <w:b/>
                <w:i/>
                <w:iCs/>
                <w:lang w:val="es-ES" w:eastAsia="es-ES"/>
              </w:rPr>
              <w:t xml:space="preserve">Costo de inversión, </w:t>
            </w:r>
            <w:proofErr w:type="spellStart"/>
            <w:r w:rsidRPr="000B5551">
              <w:rPr>
                <w:rFonts w:ascii="Bookman Old Style" w:hAnsi="Bookman Old Style" w:cs="Arial"/>
                <w:b/>
                <w:i/>
                <w:iCs/>
                <w:lang w:val="es-ES" w:eastAsia="es-ES"/>
              </w:rPr>
              <w:t>CI</w:t>
            </w:r>
            <w:r w:rsidRPr="000B5551">
              <w:rPr>
                <w:rFonts w:ascii="Bookman Old Style" w:hAnsi="Bookman Old Style" w:cs="Arial"/>
                <w:b/>
                <w:i/>
                <w:iCs/>
                <w:vertAlign w:val="subscript"/>
                <w:lang w:val="es-ES" w:eastAsia="es-ES"/>
              </w:rPr>
              <w:t>j</w:t>
            </w:r>
            <w:proofErr w:type="spellEnd"/>
          </w:p>
          <w:p w14:paraId="48038DF9" w14:textId="77777777" w:rsidR="00C74826" w:rsidRPr="000B5551" w:rsidRDefault="00C74826" w:rsidP="000B5551">
            <w:pPr>
              <w:tabs>
                <w:tab w:val="center" w:pos="4845"/>
              </w:tabs>
              <w:jc w:val="center"/>
              <w:rPr>
                <w:rFonts w:ascii="Bookman Old Style" w:hAnsi="Bookman Old Style" w:cs="Arial"/>
                <w:b/>
                <w:i/>
                <w:iCs/>
                <w:lang w:val="es-ES" w:eastAsia="es-ES"/>
              </w:rPr>
            </w:pPr>
            <w:r w:rsidRPr="000B5551">
              <w:rPr>
                <w:rFonts w:ascii="Bookman Old Style" w:hAnsi="Bookman Old Style" w:cs="Arial"/>
                <w:b/>
                <w:i/>
                <w:iCs/>
                <w:lang w:val="es-ES" w:eastAsia="es-ES"/>
              </w:rPr>
              <w:t>($/kWh)</w:t>
            </w:r>
          </w:p>
        </w:tc>
        <w:tc>
          <w:tcPr>
            <w:tcW w:w="2846" w:type="dxa"/>
            <w:vAlign w:val="center"/>
          </w:tcPr>
          <w:p w14:paraId="4B6A5848" w14:textId="77777777" w:rsidR="00C74826" w:rsidRPr="000B5551" w:rsidRDefault="00C74826" w:rsidP="000B5551">
            <w:pPr>
              <w:tabs>
                <w:tab w:val="center" w:pos="4845"/>
              </w:tabs>
              <w:jc w:val="center"/>
              <w:rPr>
                <w:rFonts w:ascii="Bookman Old Style" w:hAnsi="Bookman Old Style" w:cs="Arial"/>
                <w:b/>
                <w:i/>
                <w:iCs/>
                <w:lang w:val="es-ES" w:eastAsia="es-ES"/>
              </w:rPr>
            </w:pPr>
            <w:r w:rsidRPr="000B5551">
              <w:rPr>
                <w:rFonts w:ascii="Bookman Old Style" w:hAnsi="Bookman Old Style" w:cs="Arial"/>
                <w:b/>
                <w:i/>
                <w:iCs/>
                <w:lang w:val="es-ES" w:eastAsia="es-ES"/>
              </w:rPr>
              <w:t xml:space="preserve">Costos de administración, operación y mantenimiento, </w:t>
            </w:r>
            <w:proofErr w:type="spellStart"/>
            <w:r w:rsidRPr="000B5551">
              <w:rPr>
                <w:rFonts w:ascii="Bookman Old Style" w:hAnsi="Bookman Old Style" w:cs="Arial"/>
                <w:b/>
                <w:i/>
                <w:iCs/>
                <w:lang w:val="es-ES" w:eastAsia="es-ES"/>
              </w:rPr>
              <w:t>CM</w:t>
            </w:r>
            <w:r w:rsidRPr="000B5551">
              <w:rPr>
                <w:rFonts w:ascii="Bookman Old Style" w:hAnsi="Bookman Old Style" w:cs="Arial"/>
                <w:b/>
                <w:i/>
                <w:iCs/>
                <w:vertAlign w:val="subscript"/>
                <w:lang w:val="es-ES" w:eastAsia="es-ES"/>
              </w:rPr>
              <w:t>j</w:t>
            </w:r>
            <w:proofErr w:type="spellEnd"/>
            <w:r w:rsidRPr="000B5551">
              <w:rPr>
                <w:rFonts w:ascii="Bookman Old Style" w:hAnsi="Bookman Old Style" w:cs="Arial"/>
                <w:b/>
                <w:i/>
                <w:iCs/>
                <w:lang w:val="es-ES" w:eastAsia="es-ES"/>
              </w:rPr>
              <w:t xml:space="preserve"> </w:t>
            </w:r>
          </w:p>
          <w:p w14:paraId="49C99F4B" w14:textId="77777777" w:rsidR="00C74826" w:rsidRPr="000B5551" w:rsidRDefault="00C74826" w:rsidP="000B5551">
            <w:pPr>
              <w:tabs>
                <w:tab w:val="center" w:pos="4845"/>
              </w:tabs>
              <w:jc w:val="center"/>
              <w:rPr>
                <w:rFonts w:ascii="Bookman Old Style" w:hAnsi="Bookman Old Style" w:cs="Arial"/>
                <w:b/>
                <w:i/>
                <w:iCs/>
                <w:lang w:val="es-ES" w:eastAsia="es-ES"/>
              </w:rPr>
            </w:pPr>
            <w:r w:rsidRPr="000B5551">
              <w:rPr>
                <w:rFonts w:ascii="Bookman Old Style" w:hAnsi="Bookman Old Style" w:cs="Arial"/>
                <w:b/>
                <w:i/>
                <w:iCs/>
                <w:lang w:val="es-ES" w:eastAsia="es-ES"/>
              </w:rPr>
              <w:t>($/kWh)</w:t>
            </w:r>
          </w:p>
        </w:tc>
      </w:tr>
      <w:tr w:rsidR="00C74826" w:rsidRPr="000B5551" w14:paraId="737623F6" w14:textId="77777777" w:rsidTr="00616A5A">
        <w:trPr>
          <w:trHeight w:val="438"/>
        </w:trPr>
        <w:tc>
          <w:tcPr>
            <w:tcW w:w="2475" w:type="dxa"/>
            <w:vAlign w:val="center"/>
          </w:tcPr>
          <w:p w14:paraId="6FA67E46" w14:textId="77777777" w:rsidR="00C74826" w:rsidRPr="000B5551" w:rsidRDefault="00C74826" w:rsidP="000B5551">
            <w:pPr>
              <w:tabs>
                <w:tab w:val="center" w:pos="4845"/>
              </w:tabs>
              <w:jc w:val="center"/>
              <w:rPr>
                <w:rFonts w:ascii="Bookman Old Style" w:hAnsi="Bookman Old Style" w:cs="Arial"/>
                <w:i/>
                <w:iCs/>
                <w:lang w:val="es-ES" w:eastAsia="es-ES"/>
              </w:rPr>
            </w:pPr>
            <w:r w:rsidRPr="000B5551">
              <w:rPr>
                <w:rFonts w:ascii="Bookman Old Style" w:hAnsi="Bookman Old Style" w:cs="Arial"/>
                <w:i/>
                <w:iCs/>
                <w:lang w:val="es-ES" w:eastAsia="es-ES"/>
              </w:rPr>
              <w:t xml:space="preserve">2,47 </w:t>
            </w:r>
            <w:proofErr w:type="spellStart"/>
            <w:r w:rsidRPr="000B5551">
              <w:rPr>
                <w:rFonts w:ascii="Bookman Old Style" w:hAnsi="Bookman Old Style" w:cs="Arial"/>
                <w:i/>
                <w:iCs/>
                <w:lang w:val="es-ES" w:eastAsia="es-ES"/>
              </w:rPr>
              <w:t>MWp</w:t>
            </w:r>
            <w:proofErr w:type="spellEnd"/>
          </w:p>
        </w:tc>
        <w:tc>
          <w:tcPr>
            <w:tcW w:w="2351" w:type="dxa"/>
            <w:vAlign w:val="center"/>
          </w:tcPr>
          <w:p w14:paraId="61474880" w14:textId="77777777" w:rsidR="00C74826" w:rsidRPr="000B5551" w:rsidRDefault="00C74826" w:rsidP="000B5551">
            <w:pPr>
              <w:tabs>
                <w:tab w:val="center" w:pos="4845"/>
              </w:tabs>
              <w:jc w:val="center"/>
              <w:rPr>
                <w:rFonts w:ascii="Bookman Old Style" w:hAnsi="Bookman Old Style" w:cs="Arial"/>
                <w:i/>
                <w:iCs/>
                <w:lang w:val="es-ES" w:eastAsia="es-ES"/>
              </w:rPr>
            </w:pPr>
            <w:r w:rsidRPr="000B5551">
              <w:rPr>
                <w:rFonts w:ascii="Bookman Old Style" w:hAnsi="Bookman Old Style" w:cs="Arial"/>
                <w:i/>
                <w:iCs/>
                <w:lang w:val="es-ES" w:eastAsia="es-ES"/>
              </w:rPr>
              <w:t>525,25</w:t>
            </w:r>
          </w:p>
        </w:tc>
        <w:tc>
          <w:tcPr>
            <w:tcW w:w="2846" w:type="dxa"/>
            <w:vAlign w:val="center"/>
          </w:tcPr>
          <w:p w14:paraId="06B5471F" w14:textId="77777777" w:rsidR="00C74826" w:rsidRPr="000B5551" w:rsidRDefault="00C74826" w:rsidP="000B5551">
            <w:pPr>
              <w:tabs>
                <w:tab w:val="center" w:pos="4845"/>
              </w:tabs>
              <w:jc w:val="center"/>
              <w:rPr>
                <w:rFonts w:ascii="Bookman Old Style" w:hAnsi="Bookman Old Style" w:cs="Arial"/>
                <w:i/>
                <w:iCs/>
                <w:lang w:val="es-ES" w:eastAsia="es-ES"/>
              </w:rPr>
            </w:pPr>
            <w:r w:rsidRPr="000B5551">
              <w:rPr>
                <w:rFonts w:ascii="Bookman Old Style" w:hAnsi="Bookman Old Style" w:cs="Arial"/>
                <w:i/>
                <w:iCs/>
                <w:lang w:val="es-ES" w:eastAsia="es-ES"/>
              </w:rPr>
              <w:t>66,28</w:t>
            </w:r>
          </w:p>
        </w:tc>
      </w:tr>
    </w:tbl>
    <w:p w14:paraId="164E7AF2" w14:textId="77777777" w:rsidR="00C74826" w:rsidRPr="000B5551" w:rsidRDefault="00C74826" w:rsidP="000B5551">
      <w:pPr>
        <w:spacing w:after="0" w:line="240" w:lineRule="auto"/>
        <w:contextualSpacing/>
        <w:jc w:val="both"/>
        <w:rPr>
          <w:rFonts w:ascii="Bookman Old Style" w:eastAsia="Times New Roman" w:hAnsi="Bookman Old Style" w:cs="Arial"/>
          <w:sz w:val="20"/>
          <w:szCs w:val="20"/>
          <w:lang w:eastAsia="es-ES"/>
        </w:rPr>
      </w:pPr>
    </w:p>
    <w:p w14:paraId="5BCF6304" w14:textId="77777777" w:rsidR="00C74826" w:rsidRPr="000B5551" w:rsidRDefault="00C74826" w:rsidP="000B5551">
      <w:pPr>
        <w:spacing w:after="0" w:line="240" w:lineRule="auto"/>
        <w:ind w:left="708"/>
        <w:contextualSpacing/>
        <w:jc w:val="both"/>
        <w:rPr>
          <w:rFonts w:ascii="Bookman Old Style" w:eastAsia="Times New Roman" w:hAnsi="Bookman Old Style" w:cs="Arial"/>
          <w:i/>
          <w:iCs/>
          <w:sz w:val="20"/>
          <w:szCs w:val="20"/>
          <w:lang w:eastAsia="es-ES"/>
        </w:rPr>
      </w:pPr>
    </w:p>
    <w:p w14:paraId="3E1666C5" w14:textId="77777777" w:rsidR="00C74826" w:rsidRPr="000B5551" w:rsidRDefault="00C74826" w:rsidP="000B5551">
      <w:pPr>
        <w:spacing w:after="0" w:line="240" w:lineRule="auto"/>
        <w:ind w:left="284"/>
        <w:contextualSpacing/>
        <w:jc w:val="both"/>
        <w:rPr>
          <w:rFonts w:ascii="Bookman Old Style" w:eastAsia="Times New Roman" w:hAnsi="Bookman Old Style" w:cs="Arial"/>
          <w:i/>
          <w:iCs/>
          <w:sz w:val="20"/>
          <w:szCs w:val="20"/>
          <w:lang w:eastAsia="es-ES"/>
        </w:rPr>
      </w:pPr>
      <w:r w:rsidRPr="000B5551">
        <w:rPr>
          <w:rFonts w:ascii="Bookman Old Style" w:eastAsia="Times New Roman" w:hAnsi="Bookman Old Style" w:cs="Arial"/>
          <w:b/>
          <w:i/>
          <w:iCs/>
          <w:sz w:val="20"/>
          <w:szCs w:val="20"/>
          <w:lang w:val="es-ES" w:eastAsia="es-ES"/>
        </w:rPr>
        <w:t>ARTÍCULO 2</w:t>
      </w:r>
      <w:r w:rsidRPr="000B5551">
        <w:rPr>
          <w:rFonts w:ascii="Bookman Old Style" w:eastAsia="Times New Roman" w:hAnsi="Bookman Old Style" w:cs="Arial"/>
          <w:b/>
          <w:bCs/>
          <w:i/>
          <w:iCs/>
          <w:sz w:val="20"/>
          <w:szCs w:val="20"/>
          <w:lang w:val="es-ES" w:eastAsia="es-ES"/>
        </w:rPr>
        <w:t>. Aplicación del artículo 25 de la Resolución CREG 091 de 2007 para el parque de generación conectado al sistema de distribución del municipio de Inírida.</w:t>
      </w:r>
      <w:r w:rsidRPr="000B5551">
        <w:rPr>
          <w:rFonts w:ascii="Bookman Old Style" w:eastAsia="Times New Roman" w:hAnsi="Bookman Old Style" w:cs="Arial"/>
          <w:bCs/>
          <w:i/>
          <w:iCs/>
          <w:sz w:val="20"/>
          <w:szCs w:val="20"/>
          <w:lang w:val="es-ES" w:eastAsia="es-ES"/>
        </w:rPr>
        <w:t xml:space="preserve"> Para efectos de la aplicación de lo previsto en el artículo 25 de la Resolución CREG 091 de 2007, </w:t>
      </w:r>
      <w:r w:rsidRPr="000B5551">
        <w:rPr>
          <w:rFonts w:ascii="Bookman Old Style" w:eastAsia="Times New Roman" w:hAnsi="Bookman Old Style" w:cs="Arial"/>
          <w:i/>
          <w:iCs/>
          <w:sz w:val="20"/>
          <w:szCs w:val="20"/>
          <w:lang w:val="es-ES" w:eastAsia="es-ES"/>
        </w:rPr>
        <w:t>el sistema solar fotovoltaico de 2.47MWp del que trata la presente resolución, deberá considerarse como una unidad diésel adicional. (…)”</w:t>
      </w:r>
    </w:p>
    <w:p w14:paraId="7C7176FE" w14:textId="77777777" w:rsidR="00C74826" w:rsidRPr="00C74826" w:rsidRDefault="00C74826" w:rsidP="00C74826">
      <w:pPr>
        <w:spacing w:after="0" w:line="240" w:lineRule="auto"/>
        <w:contextualSpacing/>
        <w:jc w:val="both"/>
        <w:rPr>
          <w:rFonts w:ascii="Bookman Old Style" w:eastAsia="Times New Roman" w:hAnsi="Bookman Old Style" w:cs="Arial"/>
          <w:sz w:val="24"/>
          <w:szCs w:val="24"/>
          <w:lang w:eastAsia="es-ES"/>
        </w:rPr>
      </w:pPr>
    </w:p>
    <w:p w14:paraId="27EEEFE7" w14:textId="77777777" w:rsidR="00C74826" w:rsidRPr="00C74826" w:rsidRDefault="00C74826" w:rsidP="00C74826">
      <w:pPr>
        <w:spacing w:after="0" w:line="240" w:lineRule="auto"/>
        <w:contextualSpacing/>
        <w:jc w:val="both"/>
        <w:rPr>
          <w:rFonts w:ascii="Bookman Old Style" w:eastAsia="Calibri" w:hAnsi="Bookman Old Style" w:cs="BookmanOldStyle"/>
          <w:sz w:val="24"/>
          <w:szCs w:val="24"/>
          <w:lang w:val="es-MX"/>
        </w:rPr>
      </w:pPr>
      <w:r w:rsidRPr="00C74826">
        <w:rPr>
          <w:rFonts w:ascii="Bookman Old Style" w:eastAsia="Times New Roman" w:hAnsi="Bookman Old Style" w:cs="Arial"/>
          <w:sz w:val="24"/>
          <w:szCs w:val="24"/>
          <w:lang w:eastAsia="es-ES"/>
        </w:rPr>
        <w:t>Misma situación ocurre en lo contenido en la Resolución CREG 124 de 2020, donde se define la remuneración</w:t>
      </w:r>
      <w:r w:rsidRPr="00C74826">
        <w:rPr>
          <w:rFonts w:ascii="Bookman Old Style" w:eastAsia="Calibri" w:hAnsi="Bookman Old Style" w:cs="BookmanOldStyle-Bold"/>
          <w:sz w:val="24"/>
          <w:szCs w:val="24"/>
          <w:lang w:val="es-MX"/>
        </w:rPr>
        <w:t xml:space="preserve"> de las componentes de inversión y de administración, operación y mantenimiento para</w:t>
      </w:r>
      <w:r w:rsidRPr="00C74826">
        <w:rPr>
          <w:rFonts w:ascii="Bookman Old Style" w:eastAsia="Calibri" w:hAnsi="Bookman Old Style" w:cs="BookmanOldStyle"/>
          <w:sz w:val="24"/>
          <w:szCs w:val="24"/>
          <w:lang w:val="es-MX"/>
        </w:rPr>
        <w:t xml:space="preserve"> sistemas híbridos diésel, pequeña central hidroeléctrica, solar fotovoltaicos con acumulación para el mercado relevante de Mitú en el departamento del Vaupés. </w:t>
      </w:r>
    </w:p>
    <w:p w14:paraId="14762DB0" w14:textId="77777777" w:rsidR="00C74826" w:rsidRPr="00C74826" w:rsidRDefault="00C74826" w:rsidP="00C74826">
      <w:pPr>
        <w:spacing w:after="0" w:line="240" w:lineRule="auto"/>
        <w:contextualSpacing/>
        <w:jc w:val="both"/>
        <w:rPr>
          <w:rFonts w:ascii="Bookman Old Style" w:eastAsia="Times New Roman" w:hAnsi="Bookman Old Style" w:cs="Arial"/>
          <w:sz w:val="24"/>
          <w:szCs w:val="24"/>
          <w:lang w:eastAsia="es-ES"/>
        </w:rPr>
      </w:pPr>
    </w:p>
    <w:p w14:paraId="64780228" w14:textId="03B9E956" w:rsidR="007452DC" w:rsidRPr="007452DC" w:rsidRDefault="007452DC" w:rsidP="007452DC">
      <w:pPr>
        <w:spacing w:after="0" w:line="240" w:lineRule="auto"/>
        <w:contextualSpacing/>
        <w:jc w:val="both"/>
        <w:rPr>
          <w:rFonts w:ascii="Bookman Old Style" w:eastAsia="Times New Roman" w:hAnsi="Bookman Old Style" w:cs="Arial"/>
          <w:sz w:val="24"/>
          <w:szCs w:val="24"/>
          <w:lang w:eastAsia="es-ES"/>
        </w:rPr>
      </w:pPr>
      <w:r w:rsidRPr="007452DC">
        <w:rPr>
          <w:rFonts w:ascii="Bookman Old Style" w:eastAsia="Times New Roman" w:hAnsi="Bookman Old Style" w:cs="Arial"/>
          <w:sz w:val="24"/>
          <w:szCs w:val="24"/>
          <w:lang w:eastAsia="es-ES"/>
        </w:rPr>
        <w:t>Adicionalmente, no deben perderse de vista otras decisiones de actuaciones administrativas en las que se ha mantenido esta postura por parte de esta Comisión</w:t>
      </w:r>
      <w:r w:rsidR="0094520E">
        <w:rPr>
          <w:rFonts w:ascii="Bookman Old Style" w:eastAsia="Times New Roman" w:hAnsi="Bookman Old Style" w:cs="Arial"/>
          <w:sz w:val="24"/>
          <w:szCs w:val="24"/>
          <w:lang w:eastAsia="es-ES"/>
        </w:rPr>
        <w:t>,</w:t>
      </w:r>
      <w:r w:rsidRPr="007452DC">
        <w:rPr>
          <w:rFonts w:ascii="Bookman Old Style" w:eastAsia="Times New Roman" w:hAnsi="Bookman Old Style" w:cs="Arial"/>
          <w:sz w:val="24"/>
          <w:szCs w:val="24"/>
          <w:lang w:eastAsia="es-ES"/>
        </w:rPr>
        <w:t xml:space="preserve"> tales como las que se enlistan a continuación:  </w:t>
      </w:r>
    </w:p>
    <w:p w14:paraId="6AF7B429" w14:textId="77777777" w:rsidR="007452DC" w:rsidRPr="007452DC" w:rsidRDefault="007452DC" w:rsidP="007452DC">
      <w:pPr>
        <w:spacing w:after="0" w:line="240" w:lineRule="auto"/>
        <w:contextualSpacing/>
        <w:jc w:val="both"/>
        <w:rPr>
          <w:rFonts w:ascii="Bookman Old Style" w:eastAsia="Times New Roman" w:hAnsi="Bookman Old Style" w:cs="Arial"/>
          <w:sz w:val="24"/>
          <w:szCs w:val="24"/>
          <w:lang w:eastAsia="es-ES"/>
        </w:rPr>
      </w:pPr>
    </w:p>
    <w:p w14:paraId="3BC77DDC" w14:textId="77777777" w:rsidR="007452DC" w:rsidRDefault="007452DC" w:rsidP="007452DC">
      <w:pPr>
        <w:numPr>
          <w:ilvl w:val="0"/>
          <w:numId w:val="29"/>
        </w:numPr>
        <w:spacing w:after="0" w:line="240" w:lineRule="auto"/>
        <w:contextualSpacing/>
        <w:jc w:val="both"/>
        <w:rPr>
          <w:rFonts w:ascii="Bookman Old Style" w:eastAsia="Times New Roman" w:hAnsi="Bookman Old Style" w:cs="Arial"/>
          <w:sz w:val="24"/>
          <w:szCs w:val="24"/>
          <w:lang w:eastAsia="es-ES"/>
        </w:rPr>
      </w:pPr>
      <w:r w:rsidRPr="007452DC">
        <w:rPr>
          <w:rFonts w:ascii="Bookman Old Style" w:eastAsia="Times New Roman" w:hAnsi="Bookman Old Style" w:cs="Arial"/>
          <w:sz w:val="24"/>
          <w:szCs w:val="24"/>
          <w:lang w:eastAsia="es-ES"/>
        </w:rPr>
        <w:t>Resolución CREG 136 de 2019 “</w:t>
      </w:r>
      <w:r w:rsidRPr="007452DC">
        <w:rPr>
          <w:rFonts w:ascii="Bookman Old Style" w:eastAsia="Times New Roman" w:hAnsi="Bookman Old Style" w:cs="Arial"/>
          <w:i/>
          <w:iCs/>
          <w:sz w:val="24"/>
          <w:szCs w:val="24"/>
          <w:lang w:eastAsia="es-ES"/>
        </w:rPr>
        <w:t xml:space="preserve">Por la cual se determina el cargo máximo de generación para sistemas híbridos diésel solar fotovoltaicos con acumulación en el mercado relevante de comercialización de la cabecera municipal de </w:t>
      </w:r>
      <w:proofErr w:type="spellStart"/>
      <w:r w:rsidRPr="007452DC">
        <w:rPr>
          <w:rFonts w:ascii="Bookman Old Style" w:eastAsia="Times New Roman" w:hAnsi="Bookman Old Style" w:cs="Arial"/>
          <w:i/>
          <w:iCs/>
          <w:sz w:val="24"/>
          <w:szCs w:val="24"/>
          <w:lang w:eastAsia="es-ES"/>
        </w:rPr>
        <w:t>Unguía</w:t>
      </w:r>
      <w:proofErr w:type="spellEnd"/>
      <w:r w:rsidRPr="007452DC">
        <w:rPr>
          <w:rFonts w:ascii="Bookman Old Style" w:eastAsia="Times New Roman" w:hAnsi="Bookman Old Style" w:cs="Arial"/>
          <w:i/>
          <w:iCs/>
          <w:sz w:val="24"/>
          <w:szCs w:val="24"/>
          <w:lang w:eastAsia="es-ES"/>
        </w:rPr>
        <w:t>-Chocó</w:t>
      </w:r>
      <w:r w:rsidRPr="007452DC">
        <w:rPr>
          <w:rFonts w:ascii="Bookman Old Style" w:eastAsia="Times New Roman" w:hAnsi="Bookman Old Style" w:cs="Arial"/>
          <w:sz w:val="24"/>
          <w:szCs w:val="24"/>
          <w:lang w:eastAsia="es-ES"/>
        </w:rPr>
        <w:t xml:space="preserve">”. </w:t>
      </w:r>
    </w:p>
    <w:p w14:paraId="77EF2FCD" w14:textId="77777777" w:rsidR="00AA28F5" w:rsidRDefault="00AA28F5" w:rsidP="00AA28F5">
      <w:pPr>
        <w:spacing w:after="0" w:line="240" w:lineRule="auto"/>
        <w:ind w:left="720"/>
        <w:contextualSpacing/>
        <w:jc w:val="both"/>
        <w:rPr>
          <w:rFonts w:ascii="Bookman Old Style" w:eastAsia="Times New Roman" w:hAnsi="Bookman Old Style" w:cs="Arial"/>
          <w:sz w:val="24"/>
          <w:szCs w:val="24"/>
          <w:lang w:eastAsia="es-ES"/>
        </w:rPr>
      </w:pPr>
    </w:p>
    <w:p w14:paraId="0830D290" w14:textId="2E396337" w:rsidR="005424D1" w:rsidRPr="0094520E" w:rsidRDefault="006D7905" w:rsidP="0094520E">
      <w:pPr>
        <w:keepNext/>
        <w:tabs>
          <w:tab w:val="center" w:pos="4845"/>
        </w:tabs>
        <w:spacing w:after="0" w:line="240" w:lineRule="auto"/>
        <w:ind w:left="284"/>
        <w:jc w:val="both"/>
        <w:rPr>
          <w:rFonts w:ascii="Bookman Old Style" w:eastAsia="Times New Roman" w:hAnsi="Bookman Old Style" w:cs="Arial"/>
          <w:i/>
          <w:iCs/>
          <w:sz w:val="20"/>
          <w:szCs w:val="20"/>
          <w:lang w:val="es-ES" w:eastAsia="es-ES"/>
        </w:rPr>
      </w:pPr>
      <w:r w:rsidRPr="0094520E">
        <w:rPr>
          <w:rFonts w:ascii="Bookman Old Style" w:eastAsia="Times New Roman" w:hAnsi="Bookman Old Style" w:cs="Arial"/>
          <w:b/>
          <w:i/>
          <w:iCs/>
          <w:sz w:val="20"/>
          <w:szCs w:val="20"/>
          <w:lang w:val="es-ES" w:eastAsia="es-ES"/>
        </w:rPr>
        <w:t>“</w:t>
      </w:r>
      <w:r w:rsidR="005424D1" w:rsidRPr="0094520E">
        <w:rPr>
          <w:rFonts w:ascii="Bookman Old Style" w:eastAsia="Times New Roman" w:hAnsi="Bookman Old Style" w:cs="Arial"/>
          <w:b/>
          <w:i/>
          <w:iCs/>
          <w:sz w:val="20"/>
          <w:szCs w:val="20"/>
          <w:lang w:val="es-ES" w:eastAsia="es-ES"/>
        </w:rPr>
        <w:t>ARTÍCULO 1</w:t>
      </w:r>
      <w:r w:rsidR="005424D1" w:rsidRPr="0094520E">
        <w:rPr>
          <w:rFonts w:ascii="Bookman Old Style" w:eastAsia="Times New Roman" w:hAnsi="Bookman Old Style" w:cs="Arial"/>
          <w:b/>
          <w:bCs/>
          <w:i/>
          <w:iCs/>
          <w:sz w:val="20"/>
          <w:szCs w:val="20"/>
          <w:lang w:val="es-ES" w:eastAsia="es-ES"/>
        </w:rPr>
        <w:t>.</w:t>
      </w:r>
      <w:r w:rsidR="005424D1" w:rsidRPr="0094520E">
        <w:rPr>
          <w:rFonts w:ascii="Bookman Old Style" w:eastAsia="Times New Roman" w:hAnsi="Bookman Old Style" w:cs="Arial"/>
          <w:b/>
          <w:i/>
          <w:iCs/>
          <w:sz w:val="20"/>
          <w:szCs w:val="20"/>
          <w:lang w:val="es-ES" w:eastAsia="es-ES"/>
        </w:rPr>
        <w:t xml:space="preserve"> Remuneración de las componentes de inversión y de administración, operación y mantenimiento para sistemas híbridos diésel </w:t>
      </w:r>
      <w:r w:rsidR="005424D1" w:rsidRPr="0094520E">
        <w:rPr>
          <w:rFonts w:ascii="Bookman Old Style" w:eastAsia="Times New Roman" w:hAnsi="Bookman Old Style" w:cs="Arial"/>
          <w:b/>
          <w:i/>
          <w:iCs/>
          <w:sz w:val="20"/>
          <w:szCs w:val="20"/>
          <w:lang w:val="es-ES" w:eastAsia="es-ES"/>
        </w:rPr>
        <w:noBreakHyphen/>
        <w:t xml:space="preserve"> solar fotovoltaicos con acumulación en el mercado relevante de comercialización conformado por la cabecera municipal del municipio de </w:t>
      </w:r>
      <w:proofErr w:type="spellStart"/>
      <w:r w:rsidR="005424D1" w:rsidRPr="0094520E">
        <w:rPr>
          <w:rFonts w:ascii="Bookman Old Style" w:eastAsia="Times New Roman" w:hAnsi="Bookman Old Style" w:cs="Arial"/>
          <w:b/>
          <w:i/>
          <w:iCs/>
          <w:sz w:val="20"/>
          <w:szCs w:val="20"/>
          <w:lang w:val="es-ES" w:eastAsia="es-ES"/>
        </w:rPr>
        <w:t>Unguía</w:t>
      </w:r>
      <w:proofErr w:type="spellEnd"/>
      <w:r w:rsidR="005424D1" w:rsidRPr="0094520E">
        <w:rPr>
          <w:rFonts w:ascii="Bookman Old Style" w:eastAsia="Times New Roman" w:hAnsi="Bookman Old Style" w:cs="Arial"/>
          <w:b/>
          <w:i/>
          <w:iCs/>
          <w:sz w:val="20"/>
          <w:szCs w:val="20"/>
          <w:lang w:val="es-ES" w:eastAsia="es-ES"/>
        </w:rPr>
        <w:t>, Chocó, y las demás poblaciones y usuarios atendidos con el mismo sistema de distribución.</w:t>
      </w:r>
      <w:r w:rsidR="005424D1" w:rsidRPr="0094520E">
        <w:rPr>
          <w:rFonts w:ascii="Bookman Old Style" w:eastAsia="Times New Roman" w:hAnsi="Bookman Old Style" w:cs="Arial"/>
          <w:i/>
          <w:iCs/>
          <w:sz w:val="20"/>
          <w:szCs w:val="20"/>
          <w:lang w:val="es-ES" w:eastAsia="es-ES"/>
        </w:rPr>
        <w:t xml:space="preserve"> Las </w:t>
      </w:r>
      <w:r w:rsidR="005424D1" w:rsidRPr="0094520E">
        <w:rPr>
          <w:rFonts w:ascii="Bookman Old Style" w:eastAsia="Times New Roman" w:hAnsi="Bookman Old Style" w:cs="Arial"/>
          <w:bCs/>
          <w:i/>
          <w:iCs/>
          <w:sz w:val="20"/>
          <w:szCs w:val="20"/>
          <w:lang w:val="es-ES" w:eastAsia="es-ES"/>
        </w:rPr>
        <w:t xml:space="preserve">componentes que remuneran los costos de inversión y de administración, operación y mantenimiento para </w:t>
      </w:r>
      <w:r w:rsidR="005424D1" w:rsidRPr="0094520E">
        <w:rPr>
          <w:rFonts w:ascii="Bookman Old Style" w:eastAsia="Times New Roman" w:hAnsi="Bookman Old Style" w:cs="Arial"/>
          <w:i/>
          <w:iCs/>
          <w:sz w:val="20"/>
          <w:szCs w:val="20"/>
          <w:lang w:val="es-ES" w:eastAsia="es-ES"/>
        </w:rPr>
        <w:t>sistemas híbridos diésel - solar fotovoltaicos con acumulación, son las siguientes:</w:t>
      </w:r>
    </w:p>
    <w:p w14:paraId="540A9981" w14:textId="77777777" w:rsidR="005424D1" w:rsidRPr="0094520E" w:rsidRDefault="005424D1" w:rsidP="0094520E">
      <w:pPr>
        <w:tabs>
          <w:tab w:val="center" w:pos="4845"/>
        </w:tabs>
        <w:spacing w:after="0" w:line="240" w:lineRule="auto"/>
        <w:ind w:left="284"/>
        <w:jc w:val="both"/>
        <w:rPr>
          <w:rFonts w:ascii="Bookman Old Style" w:eastAsia="Times New Roman" w:hAnsi="Bookman Old Style" w:cs="Arial"/>
          <w:i/>
          <w:iCs/>
          <w:sz w:val="20"/>
          <w:szCs w:val="20"/>
          <w:lang w:val="es-ES" w:eastAsia="es-ES"/>
        </w:rPr>
      </w:pPr>
    </w:p>
    <w:p w14:paraId="35AFD6BC" w14:textId="77777777" w:rsidR="005424D1" w:rsidRPr="0094520E" w:rsidRDefault="005424D1" w:rsidP="0094520E">
      <w:pPr>
        <w:tabs>
          <w:tab w:val="center" w:pos="4845"/>
        </w:tabs>
        <w:spacing w:after="0" w:line="240" w:lineRule="auto"/>
        <w:ind w:left="284"/>
        <w:jc w:val="center"/>
        <w:rPr>
          <w:rFonts w:ascii="Bookman Old Style" w:eastAsia="Times New Roman" w:hAnsi="Bookman Old Style" w:cs="Arial"/>
          <w:b/>
          <w:i/>
          <w:iCs/>
          <w:sz w:val="20"/>
          <w:szCs w:val="20"/>
          <w:lang w:val="es-ES" w:eastAsia="es-ES"/>
        </w:rPr>
      </w:pPr>
      <w:r w:rsidRPr="0094520E">
        <w:rPr>
          <w:rFonts w:ascii="Bookman Old Style" w:eastAsia="Times New Roman" w:hAnsi="Bookman Old Style" w:cs="Arial"/>
          <w:b/>
          <w:i/>
          <w:iCs/>
          <w:sz w:val="20"/>
          <w:szCs w:val="20"/>
          <w:lang w:val="es-ES" w:eastAsia="es-ES"/>
        </w:rPr>
        <w:t>Tabla1. Componentes de remuneración de costos de inversión y de administración,</w:t>
      </w:r>
      <w:r w:rsidRPr="0094520E">
        <w:rPr>
          <w:rFonts w:ascii="Bookman Old Style" w:eastAsia="Times New Roman" w:hAnsi="Bookman Old Style" w:cs="Arial"/>
          <w:b/>
          <w:bCs/>
          <w:i/>
          <w:iCs/>
          <w:sz w:val="20"/>
          <w:szCs w:val="20"/>
          <w:lang w:val="es-ES" w:eastAsia="es-ES"/>
        </w:rPr>
        <w:t xml:space="preserve"> operación y mantenimiento sistemas híbridos diésel -solar fotovoltaicos con acumulación</w:t>
      </w:r>
    </w:p>
    <w:p w14:paraId="35CDC137" w14:textId="77777777" w:rsidR="005424D1" w:rsidRPr="0094520E" w:rsidRDefault="005424D1" w:rsidP="0094520E">
      <w:pPr>
        <w:tabs>
          <w:tab w:val="center" w:pos="4845"/>
        </w:tabs>
        <w:spacing w:after="0" w:line="240" w:lineRule="auto"/>
        <w:ind w:left="284"/>
        <w:jc w:val="center"/>
        <w:rPr>
          <w:rFonts w:ascii="Bookman Old Style" w:eastAsia="Times New Roman" w:hAnsi="Bookman Old Style" w:cs="Arial"/>
          <w:b/>
          <w:i/>
          <w:iCs/>
          <w:sz w:val="20"/>
          <w:szCs w:val="20"/>
          <w:lang w:val="es-ES" w:eastAsia="es-ES"/>
        </w:rPr>
      </w:pPr>
      <w:r w:rsidRPr="0094520E">
        <w:rPr>
          <w:rFonts w:ascii="Bookman Old Style" w:eastAsia="Times New Roman" w:hAnsi="Bookman Old Style" w:cs="Arial"/>
          <w:b/>
          <w:i/>
          <w:iCs/>
          <w:sz w:val="20"/>
          <w:szCs w:val="20"/>
          <w:lang w:val="es-ES" w:eastAsia="es-ES"/>
        </w:rPr>
        <w:t>(pesos de diciembre de 2006)</w:t>
      </w:r>
    </w:p>
    <w:p w14:paraId="317A296E" w14:textId="77777777" w:rsidR="005424D1" w:rsidRPr="0094520E" w:rsidRDefault="005424D1" w:rsidP="0094520E">
      <w:pPr>
        <w:tabs>
          <w:tab w:val="center" w:pos="4845"/>
        </w:tabs>
        <w:spacing w:after="0" w:line="240" w:lineRule="auto"/>
        <w:ind w:left="284"/>
        <w:jc w:val="both"/>
        <w:rPr>
          <w:rFonts w:ascii="Bookman Old Style" w:eastAsia="Times New Roman" w:hAnsi="Bookman Old Style" w:cs="Arial"/>
          <w:i/>
          <w:iCs/>
          <w:sz w:val="20"/>
          <w:szCs w:val="20"/>
          <w:lang w:val="es-ES" w:eastAsia="es-ES"/>
        </w:rPr>
      </w:pPr>
    </w:p>
    <w:p w14:paraId="6926EBC2" w14:textId="152F6EAF" w:rsidR="005424D1" w:rsidRPr="0094520E" w:rsidRDefault="005424D1" w:rsidP="0094520E">
      <w:pPr>
        <w:spacing w:after="0" w:line="240" w:lineRule="auto"/>
        <w:contextualSpacing/>
        <w:jc w:val="both"/>
        <w:rPr>
          <w:rFonts w:ascii="Bookman Old Style" w:eastAsia="Times New Roman" w:hAnsi="Bookman Old Style" w:cs="Arial"/>
          <w:i/>
          <w:iCs/>
          <w:sz w:val="20"/>
          <w:szCs w:val="20"/>
          <w:lang w:eastAsia="es-ES"/>
        </w:rPr>
      </w:pPr>
    </w:p>
    <w:tbl>
      <w:tblPr>
        <w:tblStyle w:val="Tablaconcuadrcula6"/>
        <w:tblW w:w="8095" w:type="dxa"/>
        <w:jc w:val="center"/>
        <w:tblLayout w:type="fixed"/>
        <w:tblLook w:val="04A0" w:firstRow="1" w:lastRow="0" w:firstColumn="1" w:lastColumn="0" w:noHBand="0" w:noVBand="1"/>
      </w:tblPr>
      <w:tblGrid>
        <w:gridCol w:w="2665"/>
        <w:gridCol w:w="2715"/>
        <w:gridCol w:w="2715"/>
      </w:tblGrid>
      <w:tr w:rsidR="006D7905" w:rsidRPr="0094520E" w14:paraId="101DAF65" w14:textId="77777777" w:rsidTr="006D7905">
        <w:trPr>
          <w:trHeight w:val="1127"/>
          <w:jc w:val="center"/>
        </w:trPr>
        <w:tc>
          <w:tcPr>
            <w:tcW w:w="2665" w:type="dxa"/>
            <w:vAlign w:val="center"/>
          </w:tcPr>
          <w:p w14:paraId="7864F1DF" w14:textId="77777777" w:rsidR="006D7905" w:rsidRPr="0094520E" w:rsidRDefault="006D7905" w:rsidP="0094520E">
            <w:pPr>
              <w:tabs>
                <w:tab w:val="center" w:pos="4845"/>
              </w:tabs>
              <w:contextualSpacing/>
              <w:jc w:val="center"/>
              <w:rPr>
                <w:rFonts w:ascii="Bookman Old Style" w:hAnsi="Bookman Old Style" w:cs="Arial"/>
                <w:b/>
                <w:i/>
                <w:iCs/>
                <w:lang w:val="es-ES" w:eastAsia="es-ES"/>
              </w:rPr>
            </w:pPr>
            <w:r w:rsidRPr="0094520E">
              <w:rPr>
                <w:rFonts w:ascii="Bookman Old Style" w:hAnsi="Bookman Old Style" w:cs="Arial"/>
                <w:b/>
                <w:i/>
                <w:iCs/>
                <w:lang w:val="es-ES" w:eastAsia="es-ES"/>
              </w:rPr>
              <w:t>Tipo de recurso energético</w:t>
            </w:r>
          </w:p>
        </w:tc>
        <w:tc>
          <w:tcPr>
            <w:tcW w:w="2715" w:type="dxa"/>
            <w:vAlign w:val="center"/>
          </w:tcPr>
          <w:p w14:paraId="539FFF7B" w14:textId="77777777" w:rsidR="006D7905" w:rsidRPr="0094520E" w:rsidRDefault="006D7905" w:rsidP="0094520E">
            <w:pPr>
              <w:tabs>
                <w:tab w:val="center" w:pos="4845"/>
              </w:tabs>
              <w:contextualSpacing/>
              <w:jc w:val="center"/>
              <w:rPr>
                <w:rFonts w:ascii="Bookman Old Style" w:hAnsi="Bookman Old Style" w:cs="Arial"/>
                <w:b/>
                <w:i/>
                <w:iCs/>
                <w:vertAlign w:val="subscript"/>
                <w:lang w:val="es-ES" w:eastAsia="es-ES"/>
              </w:rPr>
            </w:pPr>
            <w:r w:rsidRPr="0094520E">
              <w:rPr>
                <w:rFonts w:ascii="Bookman Old Style" w:hAnsi="Bookman Old Style" w:cs="Arial"/>
                <w:b/>
                <w:i/>
                <w:iCs/>
                <w:lang w:val="es-ES" w:eastAsia="es-ES"/>
              </w:rPr>
              <w:t>Costo de inversión, CI</w:t>
            </w:r>
            <w:proofErr w:type="gramStart"/>
            <w:r w:rsidRPr="0094520E">
              <w:rPr>
                <w:rFonts w:ascii="Bookman Old Style" w:hAnsi="Bookman Old Style" w:cs="Arial"/>
                <w:b/>
                <w:i/>
                <w:iCs/>
                <w:vertAlign w:val="subscript"/>
                <w:lang w:val="es-ES" w:eastAsia="es-ES"/>
              </w:rPr>
              <w:t>0,j</w:t>
            </w:r>
            <w:proofErr w:type="gramEnd"/>
          </w:p>
          <w:p w14:paraId="3C18FB1C" w14:textId="77777777" w:rsidR="006D7905" w:rsidRPr="0094520E" w:rsidRDefault="006D7905" w:rsidP="0094520E">
            <w:pPr>
              <w:tabs>
                <w:tab w:val="center" w:pos="4845"/>
              </w:tabs>
              <w:contextualSpacing/>
              <w:jc w:val="center"/>
              <w:rPr>
                <w:rFonts w:ascii="Bookman Old Style" w:hAnsi="Bookman Old Style" w:cs="Arial"/>
                <w:b/>
                <w:i/>
                <w:iCs/>
                <w:lang w:val="es-ES" w:eastAsia="es-ES"/>
              </w:rPr>
            </w:pPr>
            <w:r w:rsidRPr="0094520E">
              <w:rPr>
                <w:rFonts w:ascii="Bookman Old Style" w:hAnsi="Bookman Old Style" w:cs="Arial"/>
                <w:b/>
                <w:i/>
                <w:iCs/>
                <w:lang w:val="es-ES" w:eastAsia="es-ES"/>
              </w:rPr>
              <w:t>($/kWh)</w:t>
            </w:r>
          </w:p>
        </w:tc>
        <w:tc>
          <w:tcPr>
            <w:tcW w:w="2715" w:type="dxa"/>
            <w:vAlign w:val="center"/>
          </w:tcPr>
          <w:p w14:paraId="25662A74" w14:textId="77777777" w:rsidR="006D7905" w:rsidRPr="0094520E" w:rsidRDefault="006D7905" w:rsidP="0094520E">
            <w:pPr>
              <w:tabs>
                <w:tab w:val="center" w:pos="4845"/>
              </w:tabs>
              <w:contextualSpacing/>
              <w:jc w:val="center"/>
              <w:rPr>
                <w:rFonts w:ascii="Bookman Old Style" w:hAnsi="Bookman Old Style" w:cs="Arial"/>
                <w:b/>
                <w:i/>
                <w:iCs/>
                <w:lang w:val="es-ES" w:eastAsia="es-ES"/>
              </w:rPr>
            </w:pPr>
            <w:r w:rsidRPr="0094520E">
              <w:rPr>
                <w:rFonts w:ascii="Bookman Old Style" w:hAnsi="Bookman Old Style" w:cs="Arial"/>
                <w:b/>
                <w:i/>
                <w:iCs/>
                <w:lang w:val="es-ES" w:eastAsia="es-ES"/>
              </w:rPr>
              <w:t>Costos de administración, operación y mantenimiento,</w:t>
            </w:r>
          </w:p>
          <w:p w14:paraId="5B777057" w14:textId="77777777" w:rsidR="006D7905" w:rsidRPr="0094520E" w:rsidRDefault="006D7905" w:rsidP="0094520E">
            <w:pPr>
              <w:tabs>
                <w:tab w:val="center" w:pos="4845"/>
              </w:tabs>
              <w:contextualSpacing/>
              <w:jc w:val="center"/>
              <w:rPr>
                <w:rFonts w:ascii="Bookman Old Style" w:hAnsi="Bookman Old Style" w:cs="Arial"/>
                <w:b/>
                <w:i/>
                <w:iCs/>
                <w:lang w:val="es-ES" w:eastAsia="es-ES"/>
              </w:rPr>
            </w:pPr>
            <w:r w:rsidRPr="0094520E">
              <w:rPr>
                <w:rFonts w:ascii="Bookman Old Style" w:hAnsi="Bookman Old Style" w:cs="Arial"/>
                <w:b/>
                <w:i/>
                <w:iCs/>
                <w:lang w:val="es-ES" w:eastAsia="es-ES"/>
              </w:rPr>
              <w:t>CM</w:t>
            </w:r>
            <w:proofErr w:type="gramStart"/>
            <w:r w:rsidRPr="0094520E">
              <w:rPr>
                <w:rFonts w:ascii="Bookman Old Style" w:hAnsi="Bookman Old Style" w:cs="Arial"/>
                <w:b/>
                <w:i/>
                <w:iCs/>
                <w:vertAlign w:val="subscript"/>
                <w:lang w:val="es-ES" w:eastAsia="es-ES"/>
              </w:rPr>
              <w:t>0,j</w:t>
            </w:r>
            <w:proofErr w:type="gramEnd"/>
            <w:r w:rsidRPr="0094520E">
              <w:rPr>
                <w:rFonts w:ascii="Bookman Old Style" w:hAnsi="Bookman Old Style" w:cs="Arial"/>
                <w:b/>
                <w:i/>
                <w:iCs/>
                <w:lang w:val="es-ES" w:eastAsia="es-ES"/>
              </w:rPr>
              <w:t xml:space="preserve"> ($/kWh)</w:t>
            </w:r>
          </w:p>
        </w:tc>
      </w:tr>
      <w:tr w:rsidR="006D7905" w:rsidRPr="0094520E" w14:paraId="2E665968" w14:textId="77777777" w:rsidTr="006D7905">
        <w:trPr>
          <w:trHeight w:val="851"/>
          <w:jc w:val="center"/>
        </w:trPr>
        <w:tc>
          <w:tcPr>
            <w:tcW w:w="2665" w:type="dxa"/>
            <w:vAlign w:val="center"/>
          </w:tcPr>
          <w:p w14:paraId="5DDE7DD9" w14:textId="77777777" w:rsidR="006D7905" w:rsidRPr="0094520E" w:rsidRDefault="006D7905" w:rsidP="0094520E">
            <w:pPr>
              <w:tabs>
                <w:tab w:val="center" w:pos="4845"/>
              </w:tabs>
              <w:contextualSpacing/>
              <w:rPr>
                <w:rFonts w:ascii="Bookman Old Style" w:hAnsi="Bookman Old Style" w:cs="Arial"/>
                <w:i/>
                <w:iCs/>
                <w:lang w:val="es-ES" w:eastAsia="es-ES"/>
              </w:rPr>
            </w:pPr>
            <w:r w:rsidRPr="0094520E">
              <w:rPr>
                <w:rFonts w:ascii="Bookman Old Style" w:hAnsi="Bookman Old Style" w:cs="Arial"/>
                <w:i/>
                <w:iCs/>
                <w:lang w:val="es-ES" w:eastAsia="es-ES"/>
              </w:rPr>
              <w:t>Solar fotovoltaico con alimentación directa a red.</w:t>
            </w:r>
          </w:p>
        </w:tc>
        <w:tc>
          <w:tcPr>
            <w:tcW w:w="2715" w:type="dxa"/>
            <w:vAlign w:val="center"/>
          </w:tcPr>
          <w:p w14:paraId="3B8EC499" w14:textId="77777777" w:rsidR="006D7905" w:rsidRPr="0094520E" w:rsidRDefault="006D7905" w:rsidP="0094520E">
            <w:pPr>
              <w:tabs>
                <w:tab w:val="center" w:pos="4845"/>
              </w:tabs>
              <w:contextualSpacing/>
              <w:jc w:val="center"/>
              <w:rPr>
                <w:rFonts w:ascii="Bookman Old Style" w:hAnsi="Bookman Old Style" w:cs="Arial"/>
                <w:i/>
                <w:iCs/>
                <w:lang w:val="es-ES" w:eastAsia="es-ES"/>
              </w:rPr>
            </w:pPr>
            <w:r w:rsidRPr="0094520E">
              <w:rPr>
                <w:rFonts w:ascii="Bookman Old Style" w:hAnsi="Bookman Old Style" w:cs="Arial"/>
                <w:i/>
                <w:iCs/>
                <w:lang w:val="es-ES" w:eastAsia="es-ES"/>
              </w:rPr>
              <w:t>319,18</w:t>
            </w:r>
          </w:p>
        </w:tc>
        <w:tc>
          <w:tcPr>
            <w:tcW w:w="2715" w:type="dxa"/>
            <w:vAlign w:val="center"/>
          </w:tcPr>
          <w:p w14:paraId="6F190875" w14:textId="77777777" w:rsidR="006D7905" w:rsidRPr="0094520E" w:rsidRDefault="006D7905" w:rsidP="0094520E">
            <w:pPr>
              <w:tabs>
                <w:tab w:val="center" w:pos="4845"/>
              </w:tabs>
              <w:contextualSpacing/>
              <w:jc w:val="center"/>
              <w:rPr>
                <w:rFonts w:ascii="Bookman Old Style" w:hAnsi="Bookman Old Style" w:cs="Arial"/>
                <w:i/>
                <w:iCs/>
                <w:lang w:val="es-ES" w:eastAsia="es-ES"/>
              </w:rPr>
            </w:pPr>
            <w:r w:rsidRPr="0094520E">
              <w:rPr>
                <w:rFonts w:ascii="Bookman Old Style" w:hAnsi="Bookman Old Style" w:cs="Arial"/>
                <w:i/>
                <w:iCs/>
                <w:lang w:val="es-ES" w:eastAsia="es-ES"/>
              </w:rPr>
              <w:t>38,05</w:t>
            </w:r>
          </w:p>
        </w:tc>
      </w:tr>
      <w:tr w:rsidR="006D7905" w:rsidRPr="0094520E" w14:paraId="150981B6" w14:textId="77777777" w:rsidTr="006D7905">
        <w:trPr>
          <w:trHeight w:val="851"/>
          <w:jc w:val="center"/>
        </w:trPr>
        <w:tc>
          <w:tcPr>
            <w:tcW w:w="2665" w:type="dxa"/>
            <w:vAlign w:val="center"/>
          </w:tcPr>
          <w:p w14:paraId="2780A9A6" w14:textId="77777777" w:rsidR="006D7905" w:rsidRPr="0094520E" w:rsidRDefault="006D7905" w:rsidP="0094520E">
            <w:pPr>
              <w:tabs>
                <w:tab w:val="center" w:pos="4845"/>
              </w:tabs>
              <w:contextualSpacing/>
              <w:jc w:val="both"/>
              <w:rPr>
                <w:rFonts w:ascii="Bookman Old Style" w:hAnsi="Bookman Old Style" w:cs="Arial"/>
                <w:i/>
                <w:iCs/>
                <w:lang w:val="es-ES" w:eastAsia="es-ES"/>
              </w:rPr>
            </w:pPr>
            <w:r w:rsidRPr="0094520E">
              <w:rPr>
                <w:rFonts w:ascii="Bookman Old Style" w:hAnsi="Bookman Old Style" w:cs="Arial"/>
                <w:i/>
                <w:iCs/>
                <w:lang w:val="es-ES" w:eastAsia="es-ES"/>
              </w:rPr>
              <w:t>Acumulación de recurso solar fotovoltaico.</w:t>
            </w:r>
          </w:p>
        </w:tc>
        <w:tc>
          <w:tcPr>
            <w:tcW w:w="2715" w:type="dxa"/>
            <w:vAlign w:val="center"/>
          </w:tcPr>
          <w:p w14:paraId="0DF907FF" w14:textId="77777777" w:rsidR="006D7905" w:rsidRPr="0094520E" w:rsidRDefault="006D7905" w:rsidP="0094520E">
            <w:pPr>
              <w:tabs>
                <w:tab w:val="center" w:pos="4845"/>
              </w:tabs>
              <w:contextualSpacing/>
              <w:jc w:val="center"/>
              <w:rPr>
                <w:rFonts w:ascii="Bookman Old Style" w:hAnsi="Bookman Old Style" w:cs="Arial"/>
                <w:i/>
                <w:iCs/>
                <w:lang w:val="es-ES" w:eastAsia="es-ES"/>
              </w:rPr>
            </w:pPr>
            <w:r w:rsidRPr="0094520E">
              <w:rPr>
                <w:rFonts w:ascii="Bookman Old Style" w:hAnsi="Bookman Old Style" w:cs="Arial"/>
                <w:i/>
                <w:iCs/>
                <w:lang w:val="es-ES" w:eastAsia="es-ES"/>
              </w:rPr>
              <w:t>1.889,13</w:t>
            </w:r>
          </w:p>
        </w:tc>
        <w:tc>
          <w:tcPr>
            <w:tcW w:w="2715" w:type="dxa"/>
            <w:vAlign w:val="center"/>
          </w:tcPr>
          <w:p w14:paraId="25B46814" w14:textId="77777777" w:rsidR="006D7905" w:rsidRPr="0094520E" w:rsidRDefault="006D7905" w:rsidP="0094520E">
            <w:pPr>
              <w:tabs>
                <w:tab w:val="center" w:pos="4845"/>
              </w:tabs>
              <w:contextualSpacing/>
              <w:jc w:val="center"/>
              <w:rPr>
                <w:rFonts w:ascii="Bookman Old Style" w:hAnsi="Bookman Old Style" w:cs="Arial"/>
                <w:i/>
                <w:iCs/>
                <w:lang w:val="es-ES" w:eastAsia="es-ES"/>
              </w:rPr>
            </w:pPr>
            <w:r w:rsidRPr="0094520E">
              <w:rPr>
                <w:rFonts w:ascii="Bookman Old Style" w:hAnsi="Bookman Old Style" w:cs="Arial"/>
                <w:i/>
                <w:iCs/>
                <w:lang w:val="es-ES" w:eastAsia="es-ES"/>
              </w:rPr>
              <w:t>208,96</w:t>
            </w:r>
          </w:p>
        </w:tc>
      </w:tr>
      <w:tr w:rsidR="006D7905" w:rsidRPr="0094520E" w14:paraId="6C94342A" w14:textId="77777777" w:rsidTr="006D7905">
        <w:trPr>
          <w:trHeight w:val="992"/>
          <w:jc w:val="center"/>
        </w:trPr>
        <w:tc>
          <w:tcPr>
            <w:tcW w:w="2665" w:type="dxa"/>
            <w:vAlign w:val="center"/>
          </w:tcPr>
          <w:p w14:paraId="28C1F0AB" w14:textId="77777777" w:rsidR="006D7905" w:rsidRPr="0094520E" w:rsidRDefault="006D7905" w:rsidP="0094520E">
            <w:pPr>
              <w:tabs>
                <w:tab w:val="center" w:pos="4845"/>
              </w:tabs>
              <w:contextualSpacing/>
              <w:rPr>
                <w:rFonts w:ascii="Bookman Old Style" w:hAnsi="Bookman Old Style" w:cs="Arial"/>
                <w:i/>
                <w:iCs/>
                <w:lang w:val="es-ES" w:eastAsia="es-ES"/>
              </w:rPr>
            </w:pPr>
            <w:r w:rsidRPr="0094520E">
              <w:rPr>
                <w:rFonts w:ascii="Bookman Old Style" w:hAnsi="Bookman Old Style" w:cs="Arial"/>
                <w:i/>
                <w:iCs/>
                <w:lang w:val="es-ES" w:eastAsia="es-ES"/>
              </w:rPr>
              <w:t>Diésel.</w:t>
            </w:r>
          </w:p>
        </w:tc>
        <w:tc>
          <w:tcPr>
            <w:tcW w:w="5430" w:type="dxa"/>
            <w:gridSpan w:val="2"/>
            <w:vAlign w:val="center"/>
          </w:tcPr>
          <w:p w14:paraId="333AA9E3" w14:textId="77777777" w:rsidR="006D7905" w:rsidRPr="0094520E" w:rsidRDefault="006D7905" w:rsidP="0094520E">
            <w:pPr>
              <w:tabs>
                <w:tab w:val="center" w:pos="4845"/>
              </w:tabs>
              <w:contextualSpacing/>
              <w:jc w:val="center"/>
              <w:rPr>
                <w:rFonts w:ascii="Bookman Old Style" w:hAnsi="Bookman Old Style" w:cs="Arial"/>
                <w:i/>
                <w:iCs/>
                <w:lang w:val="es-ES" w:eastAsia="es-ES"/>
              </w:rPr>
            </w:pPr>
            <w:r w:rsidRPr="0094520E">
              <w:rPr>
                <w:rFonts w:ascii="Bookman Old Style" w:hAnsi="Bookman Old Style" w:cs="Arial"/>
                <w:i/>
                <w:iCs/>
                <w:lang w:val="es-ES" w:eastAsia="es-ES"/>
              </w:rPr>
              <w:t>Según lo previsto en el literal a), del artículo 22, de la Resolución CREG 091 de 2007, modificada mediante Resolución CREG 057 de 2009.</w:t>
            </w:r>
          </w:p>
        </w:tc>
      </w:tr>
    </w:tbl>
    <w:p w14:paraId="57B5F70E" w14:textId="7AD3B8DC" w:rsidR="005424D1" w:rsidRPr="0094520E" w:rsidRDefault="005424D1" w:rsidP="0094520E">
      <w:pPr>
        <w:spacing w:after="0" w:line="240" w:lineRule="auto"/>
        <w:contextualSpacing/>
        <w:jc w:val="both"/>
        <w:rPr>
          <w:rFonts w:ascii="Bookman Old Style" w:eastAsia="Times New Roman" w:hAnsi="Bookman Old Style" w:cs="Arial"/>
          <w:sz w:val="20"/>
          <w:szCs w:val="20"/>
          <w:lang w:val="es-ES" w:eastAsia="es-ES"/>
        </w:rPr>
      </w:pPr>
    </w:p>
    <w:p w14:paraId="00A96E2E" w14:textId="7EF49DD8" w:rsidR="005424D1" w:rsidRDefault="005424D1" w:rsidP="007452DC">
      <w:pPr>
        <w:spacing w:after="0" w:line="240" w:lineRule="auto"/>
        <w:contextualSpacing/>
        <w:jc w:val="both"/>
        <w:rPr>
          <w:rFonts w:ascii="Bookman Old Style" w:eastAsia="Times New Roman" w:hAnsi="Bookman Old Style" w:cs="Arial"/>
          <w:sz w:val="24"/>
          <w:szCs w:val="24"/>
          <w:lang w:eastAsia="es-ES"/>
        </w:rPr>
      </w:pPr>
    </w:p>
    <w:p w14:paraId="5F1269F6" w14:textId="5A679699" w:rsidR="007452DC" w:rsidRPr="00AA28F5" w:rsidRDefault="007452DC" w:rsidP="00AA28F5">
      <w:pPr>
        <w:pStyle w:val="Prrafodelista"/>
        <w:numPr>
          <w:ilvl w:val="0"/>
          <w:numId w:val="29"/>
        </w:numPr>
        <w:spacing w:after="0" w:line="240" w:lineRule="auto"/>
        <w:jc w:val="both"/>
        <w:rPr>
          <w:rFonts w:ascii="Bookman Old Style" w:eastAsia="Times New Roman" w:hAnsi="Bookman Old Style" w:cs="Arial"/>
          <w:sz w:val="24"/>
          <w:szCs w:val="24"/>
          <w:lang w:eastAsia="es-ES"/>
        </w:rPr>
      </w:pPr>
      <w:r w:rsidRPr="00AA28F5">
        <w:rPr>
          <w:rFonts w:ascii="Bookman Old Style" w:eastAsia="Times New Roman" w:hAnsi="Bookman Old Style" w:cs="Arial"/>
          <w:sz w:val="24"/>
          <w:szCs w:val="24"/>
          <w:lang w:eastAsia="es-ES"/>
        </w:rPr>
        <w:t xml:space="preserve">Resolución CREG 018 de 2020 </w:t>
      </w:r>
      <w:r w:rsidRPr="00AA28F5">
        <w:rPr>
          <w:rFonts w:ascii="Bookman Old Style" w:eastAsia="Times New Roman" w:hAnsi="Bookman Old Style" w:cs="Arial"/>
          <w:i/>
          <w:iCs/>
          <w:sz w:val="24"/>
          <w:szCs w:val="24"/>
          <w:lang w:eastAsia="es-ES"/>
        </w:rPr>
        <w:t xml:space="preserve">“Por la cual se determina el cargo máximo de generación para sistemas híbridos diésel solar fotovoltaico con acumulación para los mercados relevantes de </w:t>
      </w:r>
      <w:proofErr w:type="spellStart"/>
      <w:r w:rsidRPr="00AA28F5">
        <w:rPr>
          <w:rFonts w:ascii="Bookman Old Style" w:eastAsia="Times New Roman" w:hAnsi="Bookman Old Style" w:cs="Arial"/>
          <w:i/>
          <w:iCs/>
          <w:sz w:val="24"/>
          <w:szCs w:val="24"/>
          <w:lang w:eastAsia="es-ES"/>
        </w:rPr>
        <w:t>Jumaracarra</w:t>
      </w:r>
      <w:proofErr w:type="spellEnd"/>
      <w:r w:rsidRPr="00AA28F5">
        <w:rPr>
          <w:rFonts w:ascii="Bookman Old Style" w:eastAsia="Times New Roman" w:hAnsi="Bookman Old Style" w:cs="Arial"/>
          <w:i/>
          <w:iCs/>
          <w:sz w:val="24"/>
          <w:szCs w:val="24"/>
          <w:lang w:eastAsia="es-ES"/>
        </w:rPr>
        <w:t xml:space="preserve"> y el Cedral en el municipio de </w:t>
      </w:r>
      <w:proofErr w:type="spellStart"/>
      <w:r w:rsidRPr="00AA28F5">
        <w:rPr>
          <w:rFonts w:ascii="Bookman Old Style" w:eastAsia="Times New Roman" w:hAnsi="Bookman Old Style" w:cs="Arial"/>
          <w:i/>
          <w:iCs/>
          <w:sz w:val="24"/>
          <w:szCs w:val="24"/>
          <w:lang w:eastAsia="es-ES"/>
        </w:rPr>
        <w:t>Juradó</w:t>
      </w:r>
      <w:proofErr w:type="spellEnd"/>
      <w:r w:rsidRPr="00AA28F5">
        <w:rPr>
          <w:rFonts w:ascii="Bookman Old Style" w:eastAsia="Times New Roman" w:hAnsi="Bookman Old Style" w:cs="Arial"/>
          <w:i/>
          <w:iCs/>
          <w:sz w:val="24"/>
          <w:szCs w:val="24"/>
          <w:lang w:eastAsia="es-ES"/>
        </w:rPr>
        <w:t xml:space="preserve">- Chocó”. </w:t>
      </w:r>
    </w:p>
    <w:p w14:paraId="65C74F2C" w14:textId="77777777" w:rsidR="005239E7" w:rsidRDefault="005239E7" w:rsidP="00C74826">
      <w:pPr>
        <w:spacing w:after="0" w:line="240" w:lineRule="auto"/>
        <w:contextualSpacing/>
        <w:jc w:val="both"/>
        <w:rPr>
          <w:rFonts w:ascii="Bookman Old Style" w:eastAsia="Times New Roman" w:hAnsi="Bookman Old Style" w:cs="Arial"/>
          <w:sz w:val="24"/>
          <w:szCs w:val="24"/>
          <w:lang w:eastAsia="es-ES"/>
        </w:rPr>
      </w:pPr>
    </w:p>
    <w:p w14:paraId="64443FE7" w14:textId="77777777" w:rsidR="00BF694E" w:rsidRPr="00BF694E" w:rsidRDefault="00BF694E" w:rsidP="00BF694E">
      <w:pPr>
        <w:tabs>
          <w:tab w:val="center" w:pos="4845"/>
        </w:tabs>
        <w:spacing w:after="0" w:line="240" w:lineRule="auto"/>
        <w:ind w:left="284" w:right="142"/>
        <w:jc w:val="both"/>
        <w:rPr>
          <w:rFonts w:ascii="Bookman Old Style" w:eastAsia="Times New Roman" w:hAnsi="Bookman Old Style" w:cs="Arial"/>
          <w:i/>
          <w:iCs/>
          <w:sz w:val="20"/>
          <w:szCs w:val="20"/>
          <w:lang w:val="es-ES" w:eastAsia="es-ES"/>
        </w:rPr>
      </w:pPr>
      <w:r w:rsidRPr="00BF694E">
        <w:rPr>
          <w:rFonts w:ascii="Bookman Old Style" w:eastAsia="Times New Roman" w:hAnsi="Bookman Old Style" w:cs="Arial"/>
          <w:b/>
          <w:i/>
          <w:iCs/>
          <w:sz w:val="20"/>
          <w:szCs w:val="20"/>
          <w:lang w:val="es-ES" w:eastAsia="es-ES"/>
        </w:rPr>
        <w:t>ARTÍCULO 1</w:t>
      </w:r>
      <w:r w:rsidRPr="00BF694E">
        <w:rPr>
          <w:rFonts w:ascii="Bookman Old Style" w:eastAsia="Times New Roman" w:hAnsi="Bookman Old Style" w:cs="Arial"/>
          <w:b/>
          <w:bCs/>
          <w:i/>
          <w:iCs/>
          <w:sz w:val="20"/>
          <w:szCs w:val="20"/>
          <w:lang w:val="es-ES" w:eastAsia="es-ES"/>
        </w:rPr>
        <w:t xml:space="preserve">. Remuneración de las componentes de inversión y de administración, operación y mantenimiento. </w:t>
      </w:r>
      <w:r w:rsidRPr="00BF694E">
        <w:rPr>
          <w:rFonts w:ascii="Bookman Old Style" w:eastAsia="Times New Roman" w:hAnsi="Bookman Old Style" w:cs="Arial"/>
          <w:bCs/>
          <w:i/>
          <w:iCs/>
          <w:sz w:val="20"/>
          <w:szCs w:val="20"/>
          <w:lang w:val="es-ES" w:eastAsia="es-ES"/>
        </w:rPr>
        <w:t xml:space="preserve">Para </w:t>
      </w:r>
      <w:r w:rsidRPr="00BF694E">
        <w:rPr>
          <w:rFonts w:ascii="Bookman Old Style" w:eastAsia="Times New Roman" w:hAnsi="Bookman Old Style" w:cs="Arial"/>
          <w:i/>
          <w:iCs/>
          <w:sz w:val="20"/>
          <w:szCs w:val="20"/>
          <w:lang w:val="es-ES" w:eastAsia="es-ES"/>
        </w:rPr>
        <w:t>sistemas híbridos diésel</w:t>
      </w:r>
      <w:r w:rsidRPr="00BF694E">
        <w:rPr>
          <w:rFonts w:ascii="Bookman Old Style" w:eastAsia="Times New Roman" w:hAnsi="Bookman Old Style" w:cs="Arial"/>
          <w:i/>
          <w:iCs/>
          <w:sz w:val="20"/>
          <w:szCs w:val="20"/>
          <w:lang w:val="es-ES" w:eastAsia="es-ES"/>
        </w:rPr>
        <w:noBreakHyphen/>
        <w:t xml:space="preserve">solar fotovoltaico con acumulación en los mercados relevantes de </w:t>
      </w:r>
      <w:proofErr w:type="spellStart"/>
      <w:r w:rsidRPr="00BF694E">
        <w:rPr>
          <w:rFonts w:ascii="Bookman Old Style" w:eastAsia="Times New Roman" w:hAnsi="Bookman Old Style" w:cs="Arial"/>
          <w:i/>
          <w:iCs/>
          <w:sz w:val="20"/>
          <w:szCs w:val="20"/>
          <w:lang w:val="es-ES" w:eastAsia="es-ES"/>
        </w:rPr>
        <w:t>Jumaracarra</w:t>
      </w:r>
      <w:proofErr w:type="spellEnd"/>
      <w:r w:rsidRPr="00BF694E">
        <w:rPr>
          <w:rFonts w:ascii="Bookman Old Style" w:eastAsia="Times New Roman" w:hAnsi="Bookman Old Style" w:cs="Arial"/>
          <w:i/>
          <w:iCs/>
          <w:sz w:val="20"/>
          <w:szCs w:val="20"/>
          <w:lang w:val="es-ES" w:eastAsia="es-ES"/>
        </w:rPr>
        <w:t xml:space="preserve"> y el Cedral en el Municipio de </w:t>
      </w:r>
      <w:proofErr w:type="spellStart"/>
      <w:r w:rsidRPr="00BF694E">
        <w:rPr>
          <w:rFonts w:ascii="Bookman Old Style" w:eastAsia="Times New Roman" w:hAnsi="Bookman Old Style" w:cs="Arial"/>
          <w:i/>
          <w:iCs/>
          <w:sz w:val="20"/>
          <w:szCs w:val="20"/>
          <w:lang w:val="es-ES" w:eastAsia="es-ES"/>
        </w:rPr>
        <w:t>Juradó</w:t>
      </w:r>
      <w:proofErr w:type="spellEnd"/>
      <w:r w:rsidRPr="00BF694E">
        <w:rPr>
          <w:rFonts w:ascii="Bookman Old Style" w:eastAsia="Times New Roman" w:hAnsi="Bookman Old Style" w:cs="Arial"/>
          <w:i/>
          <w:iCs/>
          <w:sz w:val="20"/>
          <w:szCs w:val="20"/>
          <w:lang w:val="es-ES" w:eastAsia="es-ES"/>
        </w:rPr>
        <w:t xml:space="preserve">, Chocó, las </w:t>
      </w:r>
      <w:r w:rsidRPr="00BF694E">
        <w:rPr>
          <w:rFonts w:ascii="Bookman Old Style" w:eastAsia="Times New Roman" w:hAnsi="Bookman Old Style" w:cs="Arial"/>
          <w:bCs/>
          <w:i/>
          <w:iCs/>
          <w:sz w:val="20"/>
          <w:szCs w:val="20"/>
          <w:lang w:val="es-ES" w:eastAsia="es-ES"/>
        </w:rPr>
        <w:t xml:space="preserve">componentes que remuneran los costos de inversión y de administración, operación y mantenimiento </w:t>
      </w:r>
      <w:r w:rsidRPr="00BF694E">
        <w:rPr>
          <w:rFonts w:ascii="Bookman Old Style" w:eastAsia="Times New Roman" w:hAnsi="Bookman Old Style" w:cs="Arial"/>
          <w:i/>
          <w:iCs/>
          <w:sz w:val="20"/>
          <w:szCs w:val="20"/>
          <w:lang w:val="es-ES" w:eastAsia="es-ES"/>
        </w:rPr>
        <w:t>son las siguientes:</w:t>
      </w:r>
    </w:p>
    <w:p w14:paraId="295475BC" w14:textId="77777777" w:rsidR="00BF694E" w:rsidRPr="00BF694E" w:rsidRDefault="00BF694E" w:rsidP="00BF694E">
      <w:pPr>
        <w:tabs>
          <w:tab w:val="center" w:pos="4845"/>
        </w:tabs>
        <w:spacing w:after="0" w:line="240" w:lineRule="auto"/>
        <w:ind w:left="284" w:right="142"/>
        <w:jc w:val="both"/>
        <w:rPr>
          <w:rFonts w:ascii="Bookman Old Style" w:eastAsia="Times New Roman" w:hAnsi="Bookman Old Style" w:cs="Arial"/>
          <w:i/>
          <w:iCs/>
          <w:sz w:val="20"/>
          <w:szCs w:val="20"/>
          <w:lang w:val="es-ES" w:eastAsia="es-ES"/>
        </w:rPr>
      </w:pPr>
    </w:p>
    <w:p w14:paraId="28356798" w14:textId="77777777" w:rsidR="00BF694E" w:rsidRPr="00BF694E" w:rsidRDefault="00BF694E" w:rsidP="00BF694E">
      <w:pPr>
        <w:tabs>
          <w:tab w:val="center" w:pos="4845"/>
        </w:tabs>
        <w:spacing w:after="0" w:line="240" w:lineRule="auto"/>
        <w:ind w:left="284" w:right="142"/>
        <w:jc w:val="center"/>
        <w:rPr>
          <w:rFonts w:ascii="Bookman Old Style" w:eastAsia="Times New Roman" w:hAnsi="Bookman Old Style" w:cs="Arial"/>
          <w:b/>
          <w:i/>
          <w:iCs/>
          <w:sz w:val="20"/>
          <w:szCs w:val="20"/>
          <w:lang w:val="es-ES" w:eastAsia="es-ES"/>
        </w:rPr>
      </w:pPr>
      <w:r w:rsidRPr="00BF694E">
        <w:rPr>
          <w:rFonts w:ascii="Bookman Old Style" w:eastAsia="Times New Roman" w:hAnsi="Bookman Old Style" w:cs="Arial"/>
          <w:b/>
          <w:i/>
          <w:iCs/>
          <w:sz w:val="20"/>
          <w:szCs w:val="20"/>
          <w:lang w:val="es-ES" w:eastAsia="es-ES"/>
        </w:rPr>
        <w:t>Tabla 1. Componentes de remuneración de costos de inversión y de administración,</w:t>
      </w:r>
      <w:r w:rsidRPr="00BF694E">
        <w:rPr>
          <w:rFonts w:ascii="Bookman Old Style" w:eastAsia="Times New Roman" w:hAnsi="Bookman Old Style" w:cs="Arial"/>
          <w:b/>
          <w:bCs/>
          <w:i/>
          <w:iCs/>
          <w:sz w:val="20"/>
          <w:szCs w:val="20"/>
          <w:lang w:val="es-ES" w:eastAsia="es-ES"/>
        </w:rPr>
        <w:t xml:space="preserve"> operación y mantenimiento para </w:t>
      </w:r>
      <w:r w:rsidRPr="00BF694E">
        <w:rPr>
          <w:rFonts w:ascii="Bookman Old Style" w:eastAsia="Times New Roman" w:hAnsi="Bookman Old Style" w:cs="Arial"/>
          <w:b/>
          <w:i/>
          <w:iCs/>
          <w:sz w:val="20"/>
          <w:szCs w:val="20"/>
          <w:lang w:val="es-ES" w:eastAsia="es-ES"/>
        </w:rPr>
        <w:t xml:space="preserve">sistemas híbridos diésel – solar fotovoltaico con acumulación </w:t>
      </w:r>
    </w:p>
    <w:p w14:paraId="23D3F1D6" w14:textId="77777777" w:rsidR="00BF694E" w:rsidRPr="00BF694E" w:rsidRDefault="00BF694E" w:rsidP="00BF694E">
      <w:pPr>
        <w:tabs>
          <w:tab w:val="center" w:pos="4845"/>
        </w:tabs>
        <w:spacing w:after="0" w:line="240" w:lineRule="auto"/>
        <w:ind w:left="284" w:right="142"/>
        <w:jc w:val="center"/>
        <w:rPr>
          <w:rFonts w:ascii="Bookman Old Style" w:eastAsia="Times New Roman" w:hAnsi="Bookman Old Style" w:cs="Arial"/>
          <w:b/>
          <w:i/>
          <w:iCs/>
          <w:sz w:val="20"/>
          <w:szCs w:val="20"/>
          <w:lang w:val="es-ES" w:eastAsia="es-ES"/>
        </w:rPr>
      </w:pPr>
      <w:r w:rsidRPr="00BF694E">
        <w:rPr>
          <w:rFonts w:ascii="Bookman Old Style" w:eastAsia="Times New Roman" w:hAnsi="Bookman Old Style" w:cs="Arial"/>
          <w:b/>
          <w:i/>
          <w:iCs/>
          <w:sz w:val="20"/>
          <w:szCs w:val="20"/>
          <w:lang w:val="es-ES" w:eastAsia="es-ES"/>
        </w:rPr>
        <w:t>(pesos de diciembre de 2006)</w:t>
      </w:r>
    </w:p>
    <w:p w14:paraId="14F15A63" w14:textId="77777777" w:rsidR="00BF694E" w:rsidRPr="00BF694E" w:rsidRDefault="00BF694E" w:rsidP="00BF694E">
      <w:pPr>
        <w:tabs>
          <w:tab w:val="center" w:pos="4845"/>
        </w:tabs>
        <w:spacing w:after="0" w:line="240" w:lineRule="auto"/>
        <w:ind w:left="284" w:right="142"/>
        <w:jc w:val="both"/>
        <w:rPr>
          <w:rFonts w:ascii="Bookman Old Style" w:eastAsia="Times New Roman" w:hAnsi="Bookman Old Style" w:cs="Arial"/>
          <w:i/>
          <w:iCs/>
          <w:sz w:val="20"/>
          <w:szCs w:val="20"/>
          <w:lang w:val="es-ES" w:eastAsia="es-ES"/>
        </w:rPr>
      </w:pPr>
    </w:p>
    <w:tbl>
      <w:tblPr>
        <w:tblStyle w:val="Tablaconcuadrcula7"/>
        <w:tblW w:w="8386" w:type="dxa"/>
        <w:jc w:val="center"/>
        <w:tblLayout w:type="fixed"/>
        <w:tblLook w:val="04A0" w:firstRow="1" w:lastRow="0" w:firstColumn="1" w:lastColumn="0" w:noHBand="0" w:noVBand="1"/>
      </w:tblPr>
      <w:tblGrid>
        <w:gridCol w:w="2761"/>
        <w:gridCol w:w="2812"/>
        <w:gridCol w:w="2813"/>
      </w:tblGrid>
      <w:tr w:rsidR="00BF694E" w:rsidRPr="00BF694E" w14:paraId="091F608E" w14:textId="77777777" w:rsidTr="00BF694E">
        <w:trPr>
          <w:trHeight w:val="1096"/>
          <w:jc w:val="center"/>
        </w:trPr>
        <w:tc>
          <w:tcPr>
            <w:tcW w:w="2761" w:type="dxa"/>
            <w:vAlign w:val="center"/>
          </w:tcPr>
          <w:p w14:paraId="0A2551EC" w14:textId="77777777" w:rsidR="00BF694E" w:rsidRPr="00BF694E" w:rsidRDefault="00BF694E" w:rsidP="00BF694E">
            <w:pPr>
              <w:tabs>
                <w:tab w:val="center" w:pos="4845"/>
              </w:tabs>
              <w:ind w:right="142"/>
              <w:contextualSpacing/>
              <w:jc w:val="center"/>
              <w:rPr>
                <w:rFonts w:ascii="Bookman Old Style" w:hAnsi="Bookman Old Style" w:cs="Arial"/>
                <w:b/>
                <w:i/>
                <w:iCs/>
                <w:lang w:val="es-ES" w:eastAsia="es-ES"/>
              </w:rPr>
            </w:pPr>
            <w:r w:rsidRPr="00BF694E">
              <w:rPr>
                <w:rFonts w:ascii="Bookman Old Style" w:hAnsi="Bookman Old Style" w:cs="Arial"/>
                <w:b/>
                <w:i/>
                <w:iCs/>
                <w:lang w:val="es-ES" w:eastAsia="es-ES"/>
              </w:rPr>
              <w:t>Tipo de recurso energético</w:t>
            </w:r>
          </w:p>
        </w:tc>
        <w:tc>
          <w:tcPr>
            <w:tcW w:w="2812" w:type="dxa"/>
            <w:vAlign w:val="center"/>
          </w:tcPr>
          <w:p w14:paraId="54C488ED" w14:textId="77777777" w:rsidR="00BF694E" w:rsidRPr="00BF694E" w:rsidRDefault="00BF694E" w:rsidP="00BF694E">
            <w:pPr>
              <w:tabs>
                <w:tab w:val="center" w:pos="4845"/>
              </w:tabs>
              <w:ind w:right="142"/>
              <w:contextualSpacing/>
              <w:jc w:val="center"/>
              <w:rPr>
                <w:rFonts w:ascii="Bookman Old Style" w:hAnsi="Bookman Old Style" w:cs="Arial"/>
                <w:b/>
                <w:i/>
                <w:iCs/>
                <w:vertAlign w:val="subscript"/>
                <w:lang w:val="es-ES" w:eastAsia="es-ES"/>
              </w:rPr>
            </w:pPr>
            <w:r w:rsidRPr="00BF694E">
              <w:rPr>
                <w:rFonts w:ascii="Bookman Old Style" w:hAnsi="Bookman Old Style" w:cs="Arial"/>
                <w:b/>
                <w:i/>
                <w:iCs/>
                <w:lang w:val="es-ES" w:eastAsia="es-ES"/>
              </w:rPr>
              <w:t>Costo de inversión, CI</w:t>
            </w:r>
            <w:proofErr w:type="gramStart"/>
            <w:r w:rsidRPr="00BF694E">
              <w:rPr>
                <w:rFonts w:ascii="Bookman Old Style" w:hAnsi="Bookman Old Style" w:cs="Arial"/>
                <w:b/>
                <w:i/>
                <w:iCs/>
                <w:vertAlign w:val="subscript"/>
                <w:lang w:val="es-ES" w:eastAsia="es-ES"/>
              </w:rPr>
              <w:t>0,j</w:t>
            </w:r>
            <w:proofErr w:type="gramEnd"/>
          </w:p>
          <w:p w14:paraId="12C5BCCC" w14:textId="77777777" w:rsidR="00BF694E" w:rsidRPr="00BF694E" w:rsidRDefault="00BF694E" w:rsidP="00BF694E">
            <w:pPr>
              <w:tabs>
                <w:tab w:val="center" w:pos="4845"/>
              </w:tabs>
              <w:ind w:right="142"/>
              <w:contextualSpacing/>
              <w:jc w:val="center"/>
              <w:rPr>
                <w:rFonts w:ascii="Bookman Old Style" w:hAnsi="Bookman Old Style" w:cs="Arial"/>
                <w:b/>
                <w:i/>
                <w:iCs/>
                <w:lang w:val="es-ES" w:eastAsia="es-ES"/>
              </w:rPr>
            </w:pPr>
            <w:r w:rsidRPr="00BF694E">
              <w:rPr>
                <w:rFonts w:ascii="Bookman Old Style" w:hAnsi="Bookman Old Style" w:cs="Arial"/>
                <w:b/>
                <w:i/>
                <w:iCs/>
                <w:lang w:val="es-ES" w:eastAsia="es-ES"/>
              </w:rPr>
              <w:t>($/kWh)</w:t>
            </w:r>
          </w:p>
        </w:tc>
        <w:tc>
          <w:tcPr>
            <w:tcW w:w="2812" w:type="dxa"/>
            <w:vAlign w:val="center"/>
          </w:tcPr>
          <w:p w14:paraId="46E8A9A3" w14:textId="77777777" w:rsidR="00BF694E" w:rsidRPr="00BF694E" w:rsidRDefault="00BF694E" w:rsidP="00BF694E">
            <w:pPr>
              <w:tabs>
                <w:tab w:val="center" w:pos="4845"/>
              </w:tabs>
              <w:ind w:right="142"/>
              <w:contextualSpacing/>
              <w:jc w:val="center"/>
              <w:rPr>
                <w:rFonts w:ascii="Bookman Old Style" w:hAnsi="Bookman Old Style" w:cs="Arial"/>
                <w:b/>
                <w:i/>
                <w:iCs/>
                <w:lang w:val="es-ES" w:eastAsia="es-ES"/>
              </w:rPr>
            </w:pPr>
            <w:r w:rsidRPr="00BF694E">
              <w:rPr>
                <w:rFonts w:ascii="Bookman Old Style" w:hAnsi="Bookman Old Style" w:cs="Arial"/>
                <w:b/>
                <w:i/>
                <w:iCs/>
                <w:lang w:val="es-ES" w:eastAsia="es-ES"/>
              </w:rPr>
              <w:t>Costos de administración, operación y mantenimiento,</w:t>
            </w:r>
          </w:p>
          <w:p w14:paraId="66C0AFA6" w14:textId="77777777" w:rsidR="00BF694E" w:rsidRPr="00BF694E" w:rsidRDefault="00BF694E" w:rsidP="00BF694E">
            <w:pPr>
              <w:tabs>
                <w:tab w:val="center" w:pos="4845"/>
              </w:tabs>
              <w:ind w:right="142"/>
              <w:contextualSpacing/>
              <w:jc w:val="center"/>
              <w:rPr>
                <w:rFonts w:ascii="Bookman Old Style" w:hAnsi="Bookman Old Style" w:cs="Arial"/>
                <w:b/>
                <w:i/>
                <w:iCs/>
                <w:lang w:val="es-ES" w:eastAsia="es-ES"/>
              </w:rPr>
            </w:pPr>
            <w:r w:rsidRPr="00BF694E">
              <w:rPr>
                <w:rFonts w:ascii="Bookman Old Style" w:hAnsi="Bookman Old Style" w:cs="Arial"/>
                <w:b/>
                <w:i/>
                <w:iCs/>
                <w:lang w:val="es-ES" w:eastAsia="es-ES"/>
              </w:rPr>
              <w:t>CM</w:t>
            </w:r>
            <w:proofErr w:type="gramStart"/>
            <w:r w:rsidRPr="00BF694E">
              <w:rPr>
                <w:rFonts w:ascii="Bookman Old Style" w:hAnsi="Bookman Old Style" w:cs="Arial"/>
                <w:b/>
                <w:i/>
                <w:iCs/>
                <w:vertAlign w:val="subscript"/>
                <w:lang w:val="es-ES" w:eastAsia="es-ES"/>
              </w:rPr>
              <w:t>0,j</w:t>
            </w:r>
            <w:proofErr w:type="gramEnd"/>
            <w:r w:rsidRPr="00BF694E">
              <w:rPr>
                <w:rFonts w:ascii="Bookman Old Style" w:hAnsi="Bookman Old Style" w:cs="Arial"/>
                <w:b/>
                <w:i/>
                <w:iCs/>
                <w:lang w:val="es-ES" w:eastAsia="es-ES"/>
              </w:rPr>
              <w:t xml:space="preserve"> ($/kWh)</w:t>
            </w:r>
          </w:p>
        </w:tc>
      </w:tr>
      <w:tr w:rsidR="00BF694E" w:rsidRPr="00BF694E" w14:paraId="0EC6118E" w14:textId="77777777" w:rsidTr="00BF694E">
        <w:trPr>
          <w:trHeight w:val="828"/>
          <w:jc w:val="center"/>
        </w:trPr>
        <w:tc>
          <w:tcPr>
            <w:tcW w:w="2761" w:type="dxa"/>
            <w:vAlign w:val="center"/>
          </w:tcPr>
          <w:p w14:paraId="13C7D49F" w14:textId="77777777" w:rsidR="00BF694E" w:rsidRPr="00BF694E" w:rsidRDefault="00BF694E" w:rsidP="00BF694E">
            <w:pPr>
              <w:tabs>
                <w:tab w:val="center" w:pos="4845"/>
              </w:tabs>
              <w:ind w:right="142"/>
              <w:contextualSpacing/>
              <w:rPr>
                <w:rFonts w:ascii="Bookman Old Style" w:hAnsi="Bookman Old Style" w:cs="Arial"/>
                <w:i/>
                <w:iCs/>
                <w:lang w:val="es-ES" w:eastAsia="es-ES"/>
              </w:rPr>
            </w:pPr>
            <w:r w:rsidRPr="00BF694E">
              <w:rPr>
                <w:rFonts w:ascii="Bookman Old Style" w:hAnsi="Bookman Old Style" w:cs="Arial"/>
                <w:i/>
                <w:iCs/>
                <w:lang w:val="es-ES" w:eastAsia="es-ES"/>
              </w:rPr>
              <w:t>Solar fotovoltaico con alimentación directa a red.</w:t>
            </w:r>
          </w:p>
        </w:tc>
        <w:tc>
          <w:tcPr>
            <w:tcW w:w="2812" w:type="dxa"/>
            <w:vAlign w:val="center"/>
          </w:tcPr>
          <w:p w14:paraId="7434919A" w14:textId="77777777" w:rsidR="00BF694E" w:rsidRPr="00BF694E" w:rsidRDefault="00BF694E" w:rsidP="00BF694E">
            <w:pPr>
              <w:tabs>
                <w:tab w:val="center" w:pos="4252"/>
                <w:tab w:val="center" w:pos="4845"/>
                <w:tab w:val="right" w:pos="8504"/>
              </w:tabs>
              <w:ind w:right="142"/>
              <w:contextualSpacing/>
              <w:jc w:val="center"/>
              <w:rPr>
                <w:rFonts w:ascii="Bookman Old Style" w:hAnsi="Bookman Old Style" w:cs="Arial"/>
                <w:i/>
                <w:iCs/>
                <w:lang w:val="es-MX" w:eastAsia="es-ES"/>
              </w:rPr>
            </w:pPr>
            <w:r w:rsidRPr="00BF694E">
              <w:rPr>
                <w:rFonts w:ascii="Bookman Old Style" w:hAnsi="Bookman Old Style" w:cs="Arial"/>
                <w:i/>
                <w:iCs/>
                <w:lang w:eastAsia="es-ES"/>
              </w:rPr>
              <w:t xml:space="preserve">  429,59</w:t>
            </w:r>
          </w:p>
        </w:tc>
        <w:tc>
          <w:tcPr>
            <w:tcW w:w="2812" w:type="dxa"/>
            <w:vAlign w:val="center"/>
          </w:tcPr>
          <w:p w14:paraId="1FC2C9D7" w14:textId="77777777" w:rsidR="00BF694E" w:rsidRPr="00BF694E" w:rsidRDefault="00BF694E" w:rsidP="00BF694E">
            <w:pPr>
              <w:tabs>
                <w:tab w:val="center" w:pos="4845"/>
              </w:tabs>
              <w:ind w:right="142"/>
              <w:contextualSpacing/>
              <w:jc w:val="center"/>
              <w:rPr>
                <w:rFonts w:ascii="Bookman Old Style" w:hAnsi="Bookman Old Style" w:cs="Arial"/>
                <w:i/>
                <w:iCs/>
                <w:highlight w:val="green"/>
                <w:lang w:val="es-ES" w:eastAsia="es-ES"/>
              </w:rPr>
            </w:pPr>
            <w:r w:rsidRPr="00BF694E">
              <w:rPr>
                <w:rFonts w:ascii="Bookman Old Style" w:hAnsi="Bookman Old Style" w:cs="Arial"/>
                <w:i/>
                <w:iCs/>
                <w:lang w:val="es-ES" w:eastAsia="es-ES"/>
              </w:rPr>
              <w:t>78,88</w:t>
            </w:r>
          </w:p>
        </w:tc>
      </w:tr>
      <w:tr w:rsidR="00BF694E" w:rsidRPr="00BF694E" w14:paraId="0D4BD5B5" w14:textId="77777777" w:rsidTr="00BF694E">
        <w:trPr>
          <w:trHeight w:val="828"/>
          <w:jc w:val="center"/>
        </w:trPr>
        <w:tc>
          <w:tcPr>
            <w:tcW w:w="2761" w:type="dxa"/>
            <w:vAlign w:val="center"/>
          </w:tcPr>
          <w:p w14:paraId="5F9C1CE5" w14:textId="77777777" w:rsidR="00BF694E" w:rsidRPr="00BF694E" w:rsidRDefault="00BF694E" w:rsidP="00BF694E">
            <w:pPr>
              <w:tabs>
                <w:tab w:val="center" w:pos="4845"/>
              </w:tabs>
              <w:ind w:right="142"/>
              <w:contextualSpacing/>
              <w:jc w:val="both"/>
              <w:rPr>
                <w:rFonts w:ascii="Bookman Old Style" w:hAnsi="Bookman Old Style" w:cs="Arial"/>
                <w:i/>
                <w:iCs/>
                <w:lang w:val="es-ES" w:eastAsia="es-ES"/>
              </w:rPr>
            </w:pPr>
            <w:r w:rsidRPr="00BF694E">
              <w:rPr>
                <w:rFonts w:ascii="Bookman Old Style" w:hAnsi="Bookman Old Style" w:cs="Arial"/>
                <w:i/>
                <w:iCs/>
                <w:lang w:val="es-ES" w:eastAsia="es-ES"/>
              </w:rPr>
              <w:t>Acumulación de recurso solar fotovoltaico.</w:t>
            </w:r>
          </w:p>
        </w:tc>
        <w:tc>
          <w:tcPr>
            <w:tcW w:w="2812" w:type="dxa"/>
            <w:vAlign w:val="center"/>
          </w:tcPr>
          <w:p w14:paraId="030D72C2" w14:textId="77777777" w:rsidR="00BF694E" w:rsidRPr="00BF694E" w:rsidRDefault="00BF694E" w:rsidP="00BF694E">
            <w:pPr>
              <w:tabs>
                <w:tab w:val="center" w:pos="4845"/>
              </w:tabs>
              <w:ind w:right="142"/>
              <w:contextualSpacing/>
              <w:jc w:val="center"/>
              <w:rPr>
                <w:rFonts w:ascii="Bookman Old Style" w:hAnsi="Bookman Old Style" w:cs="Arial"/>
                <w:i/>
                <w:iCs/>
                <w:highlight w:val="green"/>
                <w:lang w:val="es-ES" w:eastAsia="es-ES"/>
              </w:rPr>
            </w:pPr>
            <w:r w:rsidRPr="00BF694E">
              <w:rPr>
                <w:rFonts w:ascii="Bookman Old Style" w:hAnsi="Bookman Old Style" w:cs="Arial"/>
                <w:i/>
                <w:iCs/>
                <w:lang w:val="es-ES" w:eastAsia="es-ES"/>
              </w:rPr>
              <w:t>1.786,83</w:t>
            </w:r>
          </w:p>
        </w:tc>
        <w:tc>
          <w:tcPr>
            <w:tcW w:w="2812" w:type="dxa"/>
            <w:vAlign w:val="center"/>
          </w:tcPr>
          <w:p w14:paraId="35F82FBA" w14:textId="77777777" w:rsidR="00BF694E" w:rsidRPr="00BF694E" w:rsidRDefault="00BF694E" w:rsidP="00BF694E">
            <w:pPr>
              <w:tabs>
                <w:tab w:val="center" w:pos="4845"/>
              </w:tabs>
              <w:ind w:right="142"/>
              <w:contextualSpacing/>
              <w:jc w:val="center"/>
              <w:rPr>
                <w:rFonts w:ascii="Bookman Old Style" w:hAnsi="Bookman Old Style" w:cs="Arial"/>
                <w:i/>
                <w:iCs/>
                <w:highlight w:val="green"/>
                <w:lang w:val="es-ES" w:eastAsia="es-ES"/>
              </w:rPr>
            </w:pPr>
            <w:r w:rsidRPr="00BF694E">
              <w:rPr>
                <w:rFonts w:ascii="Bookman Old Style" w:hAnsi="Bookman Old Style" w:cs="Arial"/>
                <w:i/>
                <w:iCs/>
                <w:lang w:val="es-ES" w:eastAsia="es-ES"/>
              </w:rPr>
              <w:t>547,97</w:t>
            </w:r>
          </w:p>
        </w:tc>
      </w:tr>
      <w:tr w:rsidR="00BF694E" w:rsidRPr="00BF694E" w14:paraId="0E4D173B" w14:textId="77777777" w:rsidTr="00BF694E">
        <w:trPr>
          <w:trHeight w:val="966"/>
          <w:jc w:val="center"/>
        </w:trPr>
        <w:tc>
          <w:tcPr>
            <w:tcW w:w="2761" w:type="dxa"/>
            <w:vAlign w:val="center"/>
          </w:tcPr>
          <w:p w14:paraId="315230C9" w14:textId="77777777" w:rsidR="00BF694E" w:rsidRPr="00BF694E" w:rsidRDefault="00BF694E" w:rsidP="00BF694E">
            <w:pPr>
              <w:tabs>
                <w:tab w:val="center" w:pos="4845"/>
              </w:tabs>
              <w:ind w:right="142"/>
              <w:contextualSpacing/>
              <w:rPr>
                <w:rFonts w:ascii="Bookman Old Style" w:hAnsi="Bookman Old Style" w:cs="Arial"/>
                <w:i/>
                <w:iCs/>
                <w:lang w:val="es-ES" w:eastAsia="es-ES"/>
              </w:rPr>
            </w:pPr>
            <w:r w:rsidRPr="00BF694E">
              <w:rPr>
                <w:rFonts w:ascii="Bookman Old Style" w:hAnsi="Bookman Old Style" w:cs="Arial"/>
                <w:i/>
                <w:iCs/>
                <w:lang w:val="es-ES" w:eastAsia="es-ES"/>
              </w:rPr>
              <w:t>Diésel.</w:t>
            </w:r>
          </w:p>
        </w:tc>
        <w:tc>
          <w:tcPr>
            <w:tcW w:w="5625" w:type="dxa"/>
            <w:gridSpan w:val="2"/>
            <w:vAlign w:val="center"/>
          </w:tcPr>
          <w:p w14:paraId="3926530E" w14:textId="77777777" w:rsidR="00BF694E" w:rsidRPr="00BF694E" w:rsidRDefault="00BF694E" w:rsidP="00BF694E">
            <w:pPr>
              <w:tabs>
                <w:tab w:val="center" w:pos="4845"/>
              </w:tabs>
              <w:ind w:right="142"/>
              <w:contextualSpacing/>
              <w:jc w:val="center"/>
              <w:rPr>
                <w:rFonts w:ascii="Bookman Old Style" w:hAnsi="Bookman Old Style" w:cs="Arial"/>
                <w:i/>
                <w:iCs/>
                <w:lang w:val="es-ES" w:eastAsia="es-ES"/>
              </w:rPr>
            </w:pPr>
            <w:r w:rsidRPr="00BF694E">
              <w:rPr>
                <w:rFonts w:ascii="Bookman Old Style" w:hAnsi="Bookman Old Style" w:cs="Arial"/>
                <w:i/>
                <w:iCs/>
                <w:lang w:val="es-ES" w:eastAsia="es-ES"/>
              </w:rPr>
              <w:t>Según lo previsto en el literal a), del artículo 22, de la Resolución CREG 091 de 2007, modificada mediante Resolución CREG 057 de 2009.</w:t>
            </w:r>
          </w:p>
        </w:tc>
      </w:tr>
    </w:tbl>
    <w:p w14:paraId="22262A36" w14:textId="2D2E2E5D" w:rsidR="00BF694E" w:rsidRPr="00BF694E" w:rsidRDefault="00BF694E" w:rsidP="00C74826">
      <w:pPr>
        <w:spacing w:after="0" w:line="240" w:lineRule="auto"/>
        <w:contextualSpacing/>
        <w:jc w:val="both"/>
        <w:rPr>
          <w:rFonts w:ascii="Bookman Old Style" w:eastAsia="Times New Roman" w:hAnsi="Bookman Old Style" w:cs="Arial"/>
          <w:sz w:val="24"/>
          <w:szCs w:val="24"/>
          <w:lang w:val="es-ES" w:eastAsia="es-ES"/>
        </w:rPr>
      </w:pPr>
    </w:p>
    <w:p w14:paraId="08F830EA" w14:textId="12F25AA1" w:rsidR="0068555D" w:rsidRDefault="00F205EB" w:rsidP="00C74826">
      <w:pPr>
        <w:spacing w:after="0" w:line="240" w:lineRule="auto"/>
        <w:contextualSpacing/>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E</w:t>
      </w:r>
      <w:r w:rsidR="00931B92">
        <w:rPr>
          <w:rFonts w:ascii="Bookman Old Style" w:eastAsia="Times New Roman" w:hAnsi="Bookman Old Style" w:cs="Arial"/>
          <w:sz w:val="24"/>
          <w:szCs w:val="24"/>
          <w:lang w:eastAsia="es-ES"/>
        </w:rPr>
        <w:t>n relación con las Resoluciones CREG 012 de 2018 y 124 de 2020</w:t>
      </w:r>
      <w:r w:rsidR="005444E8">
        <w:rPr>
          <w:rFonts w:ascii="Bookman Old Style" w:eastAsia="Times New Roman" w:hAnsi="Bookman Old Style" w:cs="Arial"/>
          <w:sz w:val="24"/>
          <w:szCs w:val="24"/>
          <w:lang w:eastAsia="es-ES"/>
        </w:rPr>
        <w:t>,</w:t>
      </w:r>
      <w:r w:rsidR="008D33DA">
        <w:rPr>
          <w:rFonts w:ascii="Bookman Old Style" w:eastAsia="Times New Roman" w:hAnsi="Bookman Old Style" w:cs="Arial"/>
          <w:sz w:val="24"/>
          <w:szCs w:val="24"/>
          <w:lang w:eastAsia="es-ES"/>
        </w:rPr>
        <w:t xml:space="preserve"> </w:t>
      </w:r>
      <w:r w:rsidR="00C74826" w:rsidRPr="00C74826">
        <w:rPr>
          <w:rFonts w:ascii="Bookman Old Style" w:eastAsia="Times New Roman" w:hAnsi="Bookman Old Style" w:cs="Arial"/>
          <w:sz w:val="24"/>
          <w:szCs w:val="24"/>
          <w:lang w:eastAsia="es-ES"/>
        </w:rPr>
        <w:t>esta Comisión si encuentra diferencia en</w:t>
      </w:r>
      <w:r w:rsidR="00F63AB9">
        <w:rPr>
          <w:rFonts w:ascii="Bookman Old Style" w:eastAsia="Times New Roman" w:hAnsi="Bookman Old Style" w:cs="Arial"/>
          <w:sz w:val="24"/>
          <w:szCs w:val="24"/>
          <w:lang w:eastAsia="es-ES"/>
        </w:rPr>
        <w:t xml:space="preserve"> la naturaleza de</w:t>
      </w:r>
      <w:r w:rsidR="00C74826" w:rsidRPr="00C74826">
        <w:rPr>
          <w:rFonts w:ascii="Bookman Old Style" w:eastAsia="Times New Roman" w:hAnsi="Bookman Old Style" w:cs="Arial"/>
          <w:sz w:val="24"/>
          <w:szCs w:val="24"/>
          <w:lang w:eastAsia="es-ES"/>
        </w:rPr>
        <w:t xml:space="preserve"> los sujetos que presenta</w:t>
      </w:r>
      <w:r w:rsidR="00611F56">
        <w:rPr>
          <w:rFonts w:ascii="Bookman Old Style" w:eastAsia="Times New Roman" w:hAnsi="Bookman Old Style" w:cs="Arial"/>
          <w:sz w:val="24"/>
          <w:szCs w:val="24"/>
          <w:lang w:eastAsia="es-ES"/>
        </w:rPr>
        <w:t>ron</w:t>
      </w:r>
      <w:r w:rsidR="00C74826" w:rsidRPr="00C74826">
        <w:rPr>
          <w:rFonts w:ascii="Bookman Old Style" w:eastAsia="Times New Roman" w:hAnsi="Bookman Old Style" w:cs="Arial"/>
          <w:sz w:val="24"/>
          <w:szCs w:val="24"/>
          <w:lang w:eastAsia="es-ES"/>
        </w:rPr>
        <w:t xml:space="preserve"> la solicitud</w:t>
      </w:r>
      <w:r w:rsidR="00EA2C2E">
        <w:rPr>
          <w:rFonts w:ascii="Bookman Old Style" w:eastAsia="Times New Roman" w:hAnsi="Bookman Old Style" w:cs="Arial"/>
          <w:sz w:val="24"/>
          <w:szCs w:val="24"/>
          <w:lang w:eastAsia="es-ES"/>
        </w:rPr>
        <w:t>.</w:t>
      </w:r>
      <w:r w:rsidR="00C74826" w:rsidRPr="00C74826">
        <w:rPr>
          <w:rFonts w:ascii="Bookman Old Style" w:eastAsia="Times New Roman" w:hAnsi="Bookman Old Style" w:cs="Arial"/>
          <w:sz w:val="24"/>
          <w:szCs w:val="24"/>
          <w:lang w:eastAsia="es-ES"/>
        </w:rPr>
        <w:t xml:space="preserve"> </w:t>
      </w:r>
      <w:r w:rsidR="00EA2C2E">
        <w:rPr>
          <w:rFonts w:ascii="Bookman Old Style" w:eastAsia="Times New Roman" w:hAnsi="Bookman Old Style" w:cs="Arial"/>
          <w:sz w:val="24"/>
          <w:szCs w:val="24"/>
          <w:lang w:eastAsia="es-ES"/>
        </w:rPr>
        <w:t>E</w:t>
      </w:r>
      <w:r w:rsidR="00C74826" w:rsidRPr="00C74826">
        <w:rPr>
          <w:rFonts w:ascii="Bookman Old Style" w:eastAsia="Times New Roman" w:hAnsi="Bookman Old Style" w:cs="Arial"/>
          <w:sz w:val="24"/>
          <w:szCs w:val="24"/>
          <w:lang w:eastAsia="es-ES"/>
        </w:rPr>
        <w:t xml:space="preserve">n el caso de la definición del </w:t>
      </w:r>
      <w:r w:rsidR="002C08AB">
        <w:rPr>
          <w:rFonts w:ascii="Bookman Old Style" w:eastAsia="Times New Roman" w:hAnsi="Bookman Old Style" w:cs="Arial"/>
          <w:sz w:val="24"/>
          <w:szCs w:val="24"/>
          <w:lang w:eastAsia="es-ES"/>
        </w:rPr>
        <w:t>cargo máximo</w:t>
      </w:r>
      <w:r w:rsidR="00C74826" w:rsidRPr="00C74826">
        <w:rPr>
          <w:rFonts w:ascii="Bookman Old Style" w:eastAsia="Times New Roman" w:hAnsi="Bookman Old Style" w:cs="Arial"/>
          <w:sz w:val="24"/>
          <w:szCs w:val="24"/>
          <w:lang w:eastAsia="es-ES"/>
        </w:rPr>
        <w:t xml:space="preserve"> </w:t>
      </w:r>
      <w:r w:rsidR="002C08AB">
        <w:rPr>
          <w:rFonts w:ascii="Bookman Old Style" w:eastAsia="Times New Roman" w:hAnsi="Bookman Old Style" w:cs="Arial"/>
          <w:sz w:val="24"/>
          <w:szCs w:val="24"/>
          <w:lang w:eastAsia="es-ES"/>
        </w:rPr>
        <w:t xml:space="preserve">de generación </w:t>
      </w:r>
      <w:r w:rsidR="00C74826" w:rsidRPr="00C74826">
        <w:rPr>
          <w:rFonts w:ascii="Bookman Old Style" w:eastAsia="Times New Roman" w:hAnsi="Bookman Old Style" w:cs="Arial"/>
          <w:sz w:val="24"/>
          <w:szCs w:val="24"/>
          <w:lang w:eastAsia="es-ES"/>
        </w:rPr>
        <w:t>para el mercado relevante de Inírida</w:t>
      </w:r>
      <w:r w:rsidR="0094520E">
        <w:rPr>
          <w:rFonts w:ascii="Bookman Old Style" w:eastAsia="Times New Roman" w:hAnsi="Bookman Old Style" w:cs="Arial"/>
          <w:sz w:val="24"/>
          <w:szCs w:val="24"/>
          <w:lang w:eastAsia="es-ES"/>
        </w:rPr>
        <w:t>,</w:t>
      </w:r>
      <w:r w:rsidR="00C74826" w:rsidRPr="00C74826">
        <w:rPr>
          <w:rFonts w:ascii="Bookman Old Style" w:eastAsia="Times New Roman" w:hAnsi="Bookman Old Style" w:cs="Arial"/>
          <w:sz w:val="24"/>
          <w:szCs w:val="24"/>
          <w:lang w:eastAsia="es-ES"/>
        </w:rPr>
        <w:t xml:space="preserve"> quien presenta la solicitud es una empresa de servicios públicos</w:t>
      </w:r>
      <w:r w:rsidR="002C08AB">
        <w:rPr>
          <w:rFonts w:ascii="Bookman Old Style" w:eastAsia="Times New Roman" w:hAnsi="Bookman Old Style" w:cs="Arial"/>
          <w:sz w:val="24"/>
          <w:szCs w:val="24"/>
          <w:lang w:eastAsia="es-ES"/>
        </w:rPr>
        <w:t>,</w:t>
      </w:r>
      <w:r w:rsidR="00D645AE">
        <w:rPr>
          <w:rFonts w:ascii="Bookman Old Style" w:eastAsia="Times New Roman" w:hAnsi="Bookman Old Style" w:cs="Arial"/>
          <w:sz w:val="24"/>
          <w:szCs w:val="24"/>
          <w:lang w:eastAsia="es-ES"/>
        </w:rPr>
        <w:t xml:space="preserve"> </w:t>
      </w:r>
      <w:r w:rsidR="0094520E">
        <w:rPr>
          <w:rFonts w:ascii="Bookman Old Style" w:eastAsia="Times New Roman" w:hAnsi="Bookman Old Style" w:cs="Arial"/>
          <w:sz w:val="24"/>
          <w:szCs w:val="24"/>
          <w:lang w:eastAsia="es-ES"/>
        </w:rPr>
        <w:t xml:space="preserve">que actúa como generador en dicho mercado; </w:t>
      </w:r>
      <w:r w:rsidR="00C74826" w:rsidRPr="00C74826">
        <w:rPr>
          <w:rFonts w:ascii="Bookman Old Style" w:eastAsia="Times New Roman" w:hAnsi="Bookman Old Style" w:cs="Arial"/>
          <w:sz w:val="24"/>
          <w:szCs w:val="24"/>
          <w:lang w:eastAsia="es-ES"/>
        </w:rPr>
        <w:t xml:space="preserve">mientras </w:t>
      </w:r>
      <w:proofErr w:type="gramStart"/>
      <w:r w:rsidR="00C74826" w:rsidRPr="00C74826">
        <w:rPr>
          <w:rFonts w:ascii="Bookman Old Style" w:eastAsia="Times New Roman" w:hAnsi="Bookman Old Style" w:cs="Arial"/>
          <w:sz w:val="24"/>
          <w:szCs w:val="24"/>
          <w:lang w:eastAsia="es-ES"/>
        </w:rPr>
        <w:t>que</w:t>
      </w:r>
      <w:proofErr w:type="gramEnd"/>
      <w:r w:rsidR="00C74826" w:rsidRPr="00C74826">
        <w:rPr>
          <w:rFonts w:ascii="Bookman Old Style" w:eastAsia="Times New Roman" w:hAnsi="Bookman Old Style" w:cs="Arial"/>
          <w:sz w:val="24"/>
          <w:szCs w:val="24"/>
          <w:lang w:eastAsia="es-ES"/>
        </w:rPr>
        <w:t xml:space="preserve"> en el caso</w:t>
      </w:r>
      <w:r w:rsidR="002C08AB">
        <w:rPr>
          <w:rFonts w:ascii="Bookman Old Style" w:eastAsia="Times New Roman" w:hAnsi="Bookman Old Style" w:cs="Arial"/>
          <w:sz w:val="24"/>
          <w:szCs w:val="24"/>
          <w:lang w:eastAsia="es-ES"/>
        </w:rPr>
        <w:t xml:space="preserve"> d</w:t>
      </w:r>
      <w:r w:rsidR="00C74826" w:rsidRPr="00C74826">
        <w:rPr>
          <w:rFonts w:ascii="Bookman Old Style" w:eastAsia="Times New Roman" w:hAnsi="Bookman Old Style" w:cs="Arial"/>
          <w:sz w:val="24"/>
          <w:szCs w:val="24"/>
          <w:lang w:eastAsia="es-ES"/>
        </w:rPr>
        <w:t>el mercado relevante de Mitú</w:t>
      </w:r>
      <w:r w:rsidR="0094520E">
        <w:rPr>
          <w:rFonts w:ascii="Bookman Old Style" w:eastAsia="Times New Roman" w:hAnsi="Bookman Old Style" w:cs="Arial"/>
          <w:sz w:val="24"/>
          <w:szCs w:val="24"/>
          <w:lang w:eastAsia="es-ES"/>
        </w:rPr>
        <w:t>,</w:t>
      </w:r>
      <w:r w:rsidR="00C74826" w:rsidRPr="00C74826">
        <w:rPr>
          <w:rFonts w:ascii="Bookman Old Style" w:eastAsia="Times New Roman" w:hAnsi="Bookman Old Style" w:cs="Arial"/>
          <w:sz w:val="24"/>
          <w:szCs w:val="24"/>
          <w:lang w:eastAsia="es-ES"/>
        </w:rPr>
        <w:t xml:space="preserve"> quien realizó dicha solicitud fue una empresa promotora de proyectos</w:t>
      </w:r>
      <w:r w:rsidR="0094520E">
        <w:rPr>
          <w:rFonts w:ascii="Bookman Old Style" w:eastAsia="Times New Roman" w:hAnsi="Bookman Old Style" w:cs="Arial"/>
          <w:sz w:val="24"/>
          <w:szCs w:val="24"/>
          <w:lang w:eastAsia="es-ES"/>
        </w:rPr>
        <w:t>,</w:t>
      </w:r>
      <w:r w:rsidR="00C74826" w:rsidRPr="00C74826">
        <w:rPr>
          <w:rFonts w:ascii="Bookman Old Style" w:eastAsia="Times New Roman" w:hAnsi="Bookman Old Style" w:cs="Arial"/>
          <w:sz w:val="24"/>
          <w:szCs w:val="24"/>
          <w:lang w:eastAsia="es-ES"/>
        </w:rPr>
        <w:t xml:space="preserve"> que no se encuentra registrada como empresa de servicios públicos en el Registro Único de Prestadores del SUI. </w:t>
      </w:r>
      <w:r>
        <w:rPr>
          <w:rFonts w:ascii="Bookman Old Style" w:eastAsia="Times New Roman" w:hAnsi="Bookman Old Style" w:cs="Arial"/>
          <w:sz w:val="24"/>
          <w:szCs w:val="24"/>
          <w:lang w:eastAsia="es-ES"/>
        </w:rPr>
        <w:t xml:space="preserve"> </w:t>
      </w:r>
    </w:p>
    <w:p w14:paraId="2EA839FD" w14:textId="77777777" w:rsidR="008C0995" w:rsidRDefault="008C0995" w:rsidP="00C74826">
      <w:pPr>
        <w:spacing w:after="0" w:line="240" w:lineRule="auto"/>
        <w:contextualSpacing/>
        <w:jc w:val="both"/>
        <w:rPr>
          <w:rFonts w:ascii="Bookman Old Style" w:eastAsia="Times New Roman" w:hAnsi="Bookman Old Style" w:cs="Arial"/>
          <w:sz w:val="24"/>
          <w:szCs w:val="24"/>
          <w:lang w:eastAsia="es-ES"/>
        </w:rPr>
      </w:pPr>
    </w:p>
    <w:p w14:paraId="14C37854" w14:textId="3D422C3F" w:rsidR="00C74826" w:rsidRPr="00C74826" w:rsidRDefault="00F205EB" w:rsidP="00C74826">
      <w:pPr>
        <w:spacing w:after="0" w:line="240" w:lineRule="auto"/>
        <w:contextualSpacing/>
        <w:jc w:val="both"/>
        <w:rPr>
          <w:rFonts w:ascii="Bookman Old Style" w:eastAsia="Times New Roman" w:hAnsi="Bookman Old Style" w:cs="Arial"/>
          <w:sz w:val="24"/>
          <w:szCs w:val="24"/>
          <w:lang w:eastAsia="es-ES"/>
        </w:rPr>
      </w:pPr>
      <w:r>
        <w:rPr>
          <w:rFonts w:ascii="Bookman Old Style" w:eastAsia="Times New Roman" w:hAnsi="Bookman Old Style" w:cs="Arial"/>
          <w:sz w:val="24"/>
          <w:szCs w:val="24"/>
          <w:lang w:eastAsia="es-ES"/>
        </w:rPr>
        <w:t>No obstante</w:t>
      </w:r>
      <w:r w:rsidR="005574F2">
        <w:rPr>
          <w:rFonts w:ascii="Bookman Old Style" w:eastAsia="Times New Roman" w:hAnsi="Bookman Old Style" w:cs="Arial"/>
          <w:sz w:val="24"/>
          <w:szCs w:val="24"/>
          <w:lang w:eastAsia="es-ES"/>
        </w:rPr>
        <w:t xml:space="preserve">, </w:t>
      </w:r>
      <w:r>
        <w:rPr>
          <w:rFonts w:ascii="Bookman Old Style" w:eastAsia="Times New Roman" w:hAnsi="Bookman Old Style" w:cs="Arial"/>
          <w:sz w:val="24"/>
          <w:szCs w:val="24"/>
          <w:lang w:eastAsia="es-ES"/>
        </w:rPr>
        <w:t>d</w:t>
      </w:r>
      <w:r w:rsidR="00931B92" w:rsidRPr="00C74826">
        <w:rPr>
          <w:rFonts w:ascii="Bookman Old Style" w:eastAsia="Times New Roman" w:hAnsi="Bookman Old Style" w:cs="Arial"/>
          <w:sz w:val="24"/>
          <w:szCs w:val="24"/>
          <w:lang w:eastAsia="es-ES"/>
        </w:rPr>
        <w:t xml:space="preserve">ebe resaltarse que </w:t>
      </w:r>
      <w:r>
        <w:rPr>
          <w:rFonts w:ascii="Bookman Old Style" w:eastAsia="Times New Roman" w:hAnsi="Bookman Old Style" w:cs="Arial"/>
          <w:sz w:val="24"/>
          <w:szCs w:val="24"/>
          <w:lang w:eastAsia="es-ES"/>
        </w:rPr>
        <w:t>esta Comisión</w:t>
      </w:r>
      <w:r w:rsidR="00931B92" w:rsidRPr="00C74826">
        <w:rPr>
          <w:rFonts w:ascii="Bookman Old Style" w:eastAsia="Times New Roman" w:hAnsi="Bookman Old Style" w:cs="Arial"/>
          <w:sz w:val="24"/>
          <w:szCs w:val="24"/>
          <w:lang w:eastAsia="es-ES"/>
        </w:rPr>
        <w:t xml:space="preserve"> le dio el mismo trato a las </w:t>
      </w:r>
      <w:r w:rsidR="008B2F00" w:rsidRPr="00C74826">
        <w:rPr>
          <w:rFonts w:ascii="Bookman Old Style" w:eastAsia="Times New Roman" w:hAnsi="Bookman Old Style" w:cs="Arial"/>
          <w:sz w:val="24"/>
          <w:szCs w:val="24"/>
          <w:lang w:eastAsia="es-ES"/>
        </w:rPr>
        <w:t>empresas</w:t>
      </w:r>
      <w:r w:rsidR="00420C2E">
        <w:rPr>
          <w:rFonts w:ascii="Bookman Old Style" w:eastAsia="Times New Roman" w:hAnsi="Bookman Old Style" w:cs="Arial"/>
          <w:sz w:val="24"/>
          <w:szCs w:val="24"/>
          <w:lang w:eastAsia="es-ES"/>
        </w:rPr>
        <w:t>,</w:t>
      </w:r>
      <w:r w:rsidR="008B2F00" w:rsidRPr="00C74826">
        <w:rPr>
          <w:rFonts w:ascii="Bookman Old Style" w:eastAsia="Times New Roman" w:hAnsi="Bookman Old Style" w:cs="Arial"/>
          <w:sz w:val="24"/>
          <w:szCs w:val="24"/>
          <w:lang w:eastAsia="es-ES"/>
        </w:rPr>
        <w:t xml:space="preserve"> </w:t>
      </w:r>
      <w:r w:rsidR="008B2F00">
        <w:rPr>
          <w:rFonts w:ascii="Bookman Old Style" w:eastAsia="Times New Roman" w:hAnsi="Bookman Old Style" w:cs="Arial"/>
          <w:sz w:val="24"/>
          <w:szCs w:val="24"/>
          <w:lang w:eastAsia="es-ES"/>
        </w:rPr>
        <w:t>en</w:t>
      </w:r>
      <w:r w:rsidR="00ED591D">
        <w:rPr>
          <w:rFonts w:ascii="Bookman Old Style" w:eastAsia="Times New Roman" w:hAnsi="Bookman Old Style" w:cs="Arial"/>
          <w:sz w:val="24"/>
          <w:szCs w:val="24"/>
          <w:lang w:eastAsia="es-ES"/>
        </w:rPr>
        <w:t xml:space="preserve"> la medid</w:t>
      </w:r>
      <w:r w:rsidR="00530CBA">
        <w:rPr>
          <w:rFonts w:ascii="Bookman Old Style" w:eastAsia="Times New Roman" w:hAnsi="Bookman Old Style" w:cs="Arial"/>
          <w:sz w:val="24"/>
          <w:szCs w:val="24"/>
          <w:lang w:eastAsia="es-ES"/>
        </w:rPr>
        <w:t>a en que la decisión adopt</w:t>
      </w:r>
      <w:r w:rsidR="001100D6">
        <w:rPr>
          <w:rFonts w:ascii="Bookman Old Style" w:eastAsia="Times New Roman" w:hAnsi="Bookman Old Style" w:cs="Arial"/>
          <w:sz w:val="24"/>
          <w:szCs w:val="24"/>
          <w:lang w:eastAsia="es-ES"/>
        </w:rPr>
        <w:t>ada</w:t>
      </w:r>
      <w:r w:rsidR="00530CBA">
        <w:rPr>
          <w:rFonts w:ascii="Bookman Old Style" w:eastAsia="Times New Roman" w:hAnsi="Bookman Old Style" w:cs="Arial"/>
          <w:sz w:val="24"/>
          <w:szCs w:val="24"/>
          <w:lang w:eastAsia="es-ES"/>
        </w:rPr>
        <w:t xml:space="preserve"> se </w:t>
      </w:r>
      <w:r w:rsidR="001100D6">
        <w:rPr>
          <w:rFonts w:ascii="Bookman Old Style" w:eastAsia="Times New Roman" w:hAnsi="Bookman Old Style" w:cs="Arial"/>
          <w:sz w:val="24"/>
          <w:szCs w:val="24"/>
          <w:lang w:eastAsia="es-ES"/>
        </w:rPr>
        <w:t>expidió en los mismo</w:t>
      </w:r>
      <w:r w:rsidR="00E0617C">
        <w:rPr>
          <w:rFonts w:ascii="Bookman Old Style" w:eastAsia="Times New Roman" w:hAnsi="Bookman Old Style" w:cs="Arial"/>
          <w:sz w:val="24"/>
          <w:szCs w:val="24"/>
          <w:lang w:eastAsia="es-ES"/>
        </w:rPr>
        <w:t>s</w:t>
      </w:r>
      <w:r w:rsidR="001100D6">
        <w:rPr>
          <w:rFonts w:ascii="Bookman Old Style" w:eastAsia="Times New Roman" w:hAnsi="Bookman Old Style" w:cs="Arial"/>
          <w:sz w:val="24"/>
          <w:szCs w:val="24"/>
          <w:lang w:eastAsia="es-ES"/>
        </w:rPr>
        <w:t xml:space="preserve"> términos</w:t>
      </w:r>
      <w:r w:rsidR="00931B92" w:rsidRPr="00C74826">
        <w:rPr>
          <w:rFonts w:ascii="Bookman Old Style" w:eastAsia="Times New Roman" w:hAnsi="Bookman Old Style" w:cs="Arial"/>
          <w:sz w:val="24"/>
          <w:szCs w:val="24"/>
          <w:lang w:eastAsia="es-ES"/>
        </w:rPr>
        <w:t>,</w:t>
      </w:r>
      <w:r w:rsidR="00342FE6">
        <w:rPr>
          <w:rFonts w:ascii="Bookman Old Style" w:eastAsia="Times New Roman" w:hAnsi="Bookman Old Style" w:cs="Arial"/>
          <w:sz w:val="24"/>
          <w:szCs w:val="24"/>
          <w:lang w:eastAsia="es-ES"/>
        </w:rPr>
        <w:t xml:space="preserve"> </w:t>
      </w:r>
      <w:r w:rsidR="009B2E94">
        <w:rPr>
          <w:rFonts w:ascii="Bookman Old Style" w:eastAsia="Times New Roman" w:hAnsi="Bookman Old Style" w:cs="Arial"/>
          <w:sz w:val="24"/>
          <w:szCs w:val="24"/>
          <w:lang w:eastAsia="es-ES"/>
        </w:rPr>
        <w:t>al</w:t>
      </w:r>
      <w:r w:rsidR="00342FE6">
        <w:rPr>
          <w:rFonts w:ascii="Bookman Old Style" w:eastAsia="Times New Roman" w:hAnsi="Bookman Old Style" w:cs="Arial"/>
          <w:sz w:val="24"/>
          <w:szCs w:val="24"/>
          <w:lang w:eastAsia="es-ES"/>
        </w:rPr>
        <w:t xml:space="preserve"> </w:t>
      </w:r>
      <w:r w:rsidR="00931B92" w:rsidRPr="006A22E5">
        <w:rPr>
          <w:rFonts w:ascii="Bookman Old Style" w:eastAsia="Times New Roman" w:hAnsi="Bookman Old Style" w:cs="Arial"/>
          <w:sz w:val="24"/>
          <w:szCs w:val="24"/>
          <w:lang w:eastAsia="es-ES"/>
        </w:rPr>
        <w:t>defin</w:t>
      </w:r>
      <w:r w:rsidR="00931B92">
        <w:rPr>
          <w:rFonts w:ascii="Bookman Old Style" w:eastAsia="Times New Roman" w:hAnsi="Bookman Old Style" w:cs="Arial"/>
          <w:sz w:val="24"/>
          <w:szCs w:val="24"/>
          <w:lang w:eastAsia="es-ES"/>
        </w:rPr>
        <w:t>i</w:t>
      </w:r>
      <w:r w:rsidR="009B2E94">
        <w:rPr>
          <w:rFonts w:ascii="Bookman Old Style" w:eastAsia="Times New Roman" w:hAnsi="Bookman Old Style" w:cs="Arial"/>
          <w:sz w:val="24"/>
          <w:szCs w:val="24"/>
          <w:lang w:eastAsia="es-ES"/>
        </w:rPr>
        <w:t>rse</w:t>
      </w:r>
      <w:r w:rsidR="00342FE6">
        <w:rPr>
          <w:rFonts w:ascii="Bookman Old Style" w:eastAsia="Times New Roman" w:hAnsi="Bookman Old Style" w:cs="Arial"/>
          <w:sz w:val="24"/>
          <w:szCs w:val="24"/>
          <w:lang w:eastAsia="es-ES"/>
        </w:rPr>
        <w:t xml:space="preserve"> un</w:t>
      </w:r>
      <w:r w:rsidR="00931B92" w:rsidRPr="006A22E5">
        <w:rPr>
          <w:rFonts w:ascii="Bookman Old Style" w:eastAsia="Times New Roman" w:hAnsi="Bookman Old Style" w:cs="Arial"/>
          <w:sz w:val="24"/>
          <w:szCs w:val="24"/>
          <w:lang w:eastAsia="es-ES"/>
        </w:rPr>
        <w:t xml:space="preserve"> cargo máximo de generación</w:t>
      </w:r>
      <w:r w:rsidR="00EF0773">
        <w:rPr>
          <w:rFonts w:ascii="Bookman Old Style" w:eastAsia="Times New Roman" w:hAnsi="Bookman Old Style" w:cs="Arial"/>
          <w:sz w:val="24"/>
          <w:szCs w:val="24"/>
          <w:lang w:eastAsia="es-ES"/>
        </w:rPr>
        <w:t xml:space="preserve"> que debe ser tenido en cuenta por el prestador para determinar</w:t>
      </w:r>
      <w:r w:rsidR="006C5E39">
        <w:rPr>
          <w:rFonts w:ascii="Bookman Old Style" w:eastAsia="Times New Roman" w:hAnsi="Bookman Old Style" w:cs="Arial"/>
          <w:sz w:val="24"/>
          <w:szCs w:val="24"/>
          <w:lang w:eastAsia="es-ES"/>
        </w:rPr>
        <w:t xml:space="preserve"> el </w:t>
      </w:r>
      <w:r w:rsidR="00AC0315">
        <w:rPr>
          <w:rFonts w:ascii="Bookman Old Style" w:eastAsia="Times New Roman" w:hAnsi="Bookman Old Style" w:cs="Arial"/>
          <w:sz w:val="24"/>
          <w:szCs w:val="24"/>
          <w:lang w:eastAsia="es-ES"/>
        </w:rPr>
        <w:t xml:space="preserve">costo </w:t>
      </w:r>
      <w:r w:rsidR="00B90852">
        <w:rPr>
          <w:rFonts w:ascii="Bookman Old Style" w:eastAsia="Times New Roman" w:hAnsi="Bookman Old Style" w:cs="Arial"/>
          <w:sz w:val="24"/>
          <w:szCs w:val="24"/>
          <w:lang w:eastAsia="es-ES"/>
        </w:rPr>
        <w:t>máximo de</w:t>
      </w:r>
      <w:r w:rsidR="004710D2">
        <w:rPr>
          <w:rFonts w:ascii="Bookman Old Style" w:eastAsia="Times New Roman" w:hAnsi="Bookman Old Style" w:cs="Arial"/>
          <w:sz w:val="24"/>
          <w:szCs w:val="24"/>
          <w:lang w:eastAsia="es-ES"/>
        </w:rPr>
        <w:t xml:space="preserve">l servicio de energía eléctrica trasladable a </w:t>
      </w:r>
      <w:r w:rsidR="00931B92" w:rsidRPr="006A22E5">
        <w:rPr>
          <w:rFonts w:ascii="Bookman Old Style" w:eastAsia="Times New Roman" w:hAnsi="Bookman Old Style" w:cs="Arial"/>
          <w:sz w:val="24"/>
          <w:szCs w:val="24"/>
          <w:lang w:eastAsia="es-ES"/>
        </w:rPr>
        <w:t>los usuarios de acuerdo con el tipo de tecnología de generación utilizada</w:t>
      </w:r>
      <w:r w:rsidR="00342FE6">
        <w:rPr>
          <w:rFonts w:ascii="Bookman Old Style" w:eastAsia="Times New Roman" w:hAnsi="Bookman Old Style" w:cs="Arial"/>
          <w:sz w:val="24"/>
          <w:szCs w:val="24"/>
          <w:lang w:eastAsia="es-ES"/>
        </w:rPr>
        <w:t>.</w:t>
      </w:r>
    </w:p>
    <w:p w14:paraId="29EBFB9E" w14:textId="77777777" w:rsidR="00C74826" w:rsidRPr="00C74826" w:rsidRDefault="00C74826" w:rsidP="00C74826">
      <w:pPr>
        <w:spacing w:after="0" w:line="240" w:lineRule="auto"/>
        <w:contextualSpacing/>
        <w:jc w:val="both"/>
        <w:rPr>
          <w:rFonts w:ascii="Bookman Old Style" w:eastAsia="Times New Roman" w:hAnsi="Bookman Old Style" w:cs="Arial"/>
          <w:sz w:val="24"/>
          <w:szCs w:val="24"/>
          <w:lang w:eastAsia="es-ES"/>
        </w:rPr>
      </w:pPr>
    </w:p>
    <w:p w14:paraId="5D20B2B7" w14:textId="5C619937" w:rsidR="00C74826" w:rsidRPr="00C74826" w:rsidRDefault="00C74826" w:rsidP="00C74826">
      <w:pPr>
        <w:spacing w:after="0" w:line="240" w:lineRule="auto"/>
        <w:contextualSpacing/>
        <w:jc w:val="both"/>
        <w:rPr>
          <w:rFonts w:ascii="Bookman Old Style" w:eastAsia="Times New Roman" w:hAnsi="Bookman Old Style" w:cs="Arial"/>
          <w:sz w:val="24"/>
          <w:szCs w:val="24"/>
          <w:lang w:eastAsia="es-ES"/>
        </w:rPr>
      </w:pPr>
      <w:r w:rsidRPr="00C74826">
        <w:rPr>
          <w:rFonts w:ascii="Bookman Old Style" w:eastAsia="Times New Roman" w:hAnsi="Bookman Old Style" w:cs="Arial"/>
          <w:sz w:val="24"/>
          <w:szCs w:val="24"/>
          <w:lang w:eastAsia="es-ES"/>
        </w:rPr>
        <w:t>En relación con los supuestos de hecho, se evidencia que</w:t>
      </w:r>
      <w:r w:rsidR="0094520E">
        <w:rPr>
          <w:rFonts w:ascii="Bookman Old Style" w:eastAsia="Times New Roman" w:hAnsi="Bookman Old Style" w:cs="Arial"/>
          <w:sz w:val="24"/>
          <w:szCs w:val="24"/>
          <w:lang w:eastAsia="es-ES"/>
        </w:rPr>
        <w:t>,</w:t>
      </w:r>
      <w:r w:rsidRPr="00C74826">
        <w:rPr>
          <w:rFonts w:ascii="Bookman Old Style" w:eastAsia="Times New Roman" w:hAnsi="Bookman Old Style" w:cs="Arial"/>
          <w:sz w:val="24"/>
          <w:szCs w:val="24"/>
          <w:lang w:eastAsia="es-ES"/>
        </w:rPr>
        <w:t xml:space="preserve"> en ambos casos</w:t>
      </w:r>
      <w:r w:rsidR="0094520E">
        <w:rPr>
          <w:rFonts w:ascii="Bookman Old Style" w:eastAsia="Times New Roman" w:hAnsi="Bookman Old Style" w:cs="Arial"/>
          <w:sz w:val="24"/>
          <w:szCs w:val="24"/>
          <w:lang w:eastAsia="es-ES"/>
        </w:rPr>
        <w:t>,</w:t>
      </w:r>
      <w:r w:rsidRPr="00C74826">
        <w:rPr>
          <w:rFonts w:ascii="Bookman Old Style" w:eastAsia="Times New Roman" w:hAnsi="Bookman Old Style" w:cs="Arial"/>
          <w:sz w:val="24"/>
          <w:szCs w:val="24"/>
          <w:lang w:eastAsia="es-ES"/>
        </w:rPr>
        <w:t xml:space="preserve"> la solicitud que se presenta a la Comisión surge del hecho de que en la metodología tarifaria vigente no se encuentran reconocidos los costos para el tipo de tecnología propuesto. Así las cosas, en el desarrollo de las actuaciones administrativas</w:t>
      </w:r>
      <w:r w:rsidR="00A67903">
        <w:rPr>
          <w:rFonts w:ascii="Bookman Old Style" w:eastAsia="Times New Roman" w:hAnsi="Bookman Old Style" w:cs="Arial"/>
          <w:sz w:val="24"/>
          <w:szCs w:val="24"/>
          <w:lang w:eastAsia="es-ES"/>
        </w:rPr>
        <w:t xml:space="preserve">, </w:t>
      </w:r>
      <w:r w:rsidRPr="00C74826">
        <w:rPr>
          <w:rFonts w:ascii="Bookman Old Style" w:eastAsia="Times New Roman" w:hAnsi="Bookman Old Style" w:cs="Arial"/>
          <w:sz w:val="24"/>
          <w:szCs w:val="24"/>
          <w:lang w:eastAsia="es-ES"/>
        </w:rPr>
        <w:t>las empresas presentaron una propuesta de costos considerando condiciones particulares de la ubicación de la tecnología de generación</w:t>
      </w:r>
      <w:r w:rsidR="0094520E">
        <w:rPr>
          <w:rFonts w:ascii="Bookman Old Style" w:eastAsia="Times New Roman" w:hAnsi="Bookman Old Style" w:cs="Arial"/>
          <w:sz w:val="24"/>
          <w:szCs w:val="24"/>
          <w:lang w:eastAsia="es-ES"/>
        </w:rPr>
        <w:t>,</w:t>
      </w:r>
      <w:r w:rsidRPr="00C74826">
        <w:rPr>
          <w:rFonts w:ascii="Bookman Old Style" w:eastAsia="Times New Roman" w:hAnsi="Bookman Old Style" w:cs="Arial"/>
          <w:sz w:val="24"/>
          <w:szCs w:val="24"/>
          <w:lang w:eastAsia="es-ES"/>
        </w:rPr>
        <w:t xml:space="preserve"> y </w:t>
      </w:r>
      <w:r w:rsidR="00621141">
        <w:rPr>
          <w:rFonts w:ascii="Bookman Old Style" w:eastAsia="Times New Roman" w:hAnsi="Bookman Old Style" w:cs="Arial"/>
          <w:sz w:val="24"/>
          <w:szCs w:val="24"/>
          <w:lang w:eastAsia="es-ES"/>
        </w:rPr>
        <w:t>una proyección de la</w:t>
      </w:r>
      <w:r w:rsidRPr="00C74826">
        <w:rPr>
          <w:rFonts w:ascii="Bookman Old Style" w:eastAsia="Times New Roman" w:hAnsi="Bookman Old Style" w:cs="Arial"/>
          <w:sz w:val="24"/>
          <w:szCs w:val="24"/>
          <w:lang w:eastAsia="es-ES"/>
        </w:rPr>
        <w:t xml:space="preserve"> demanda que se pretend</w:t>
      </w:r>
      <w:r w:rsidR="00AF6601">
        <w:rPr>
          <w:rFonts w:ascii="Bookman Old Style" w:eastAsia="Times New Roman" w:hAnsi="Bookman Old Style" w:cs="Arial"/>
          <w:sz w:val="24"/>
          <w:szCs w:val="24"/>
          <w:lang w:eastAsia="es-ES"/>
        </w:rPr>
        <w:t>ía atender</w:t>
      </w:r>
      <w:r w:rsidRPr="00C74826">
        <w:rPr>
          <w:rFonts w:ascii="Bookman Old Style" w:eastAsia="Times New Roman" w:hAnsi="Bookman Old Style" w:cs="Arial"/>
          <w:sz w:val="24"/>
          <w:szCs w:val="24"/>
          <w:lang w:eastAsia="es-ES"/>
        </w:rPr>
        <w:t xml:space="preserve">. </w:t>
      </w:r>
      <w:r w:rsidRPr="008D2F24">
        <w:rPr>
          <w:rFonts w:ascii="Bookman Old Style" w:eastAsia="Times New Roman" w:hAnsi="Bookman Old Style" w:cs="Arial"/>
          <w:sz w:val="24"/>
          <w:szCs w:val="24"/>
          <w:lang w:eastAsia="es-ES"/>
        </w:rPr>
        <w:t xml:space="preserve">En ese sentido, las diferencias que se presentan en el reconocimiento de costos atienden a las particularidades del mercado relevante </w:t>
      </w:r>
      <w:r w:rsidR="00BC4F0B">
        <w:rPr>
          <w:rFonts w:ascii="Bookman Old Style" w:eastAsia="Times New Roman" w:hAnsi="Bookman Old Style" w:cs="Arial"/>
          <w:sz w:val="24"/>
          <w:szCs w:val="24"/>
          <w:lang w:eastAsia="es-ES"/>
        </w:rPr>
        <w:t>para el cual se define el carg</w:t>
      </w:r>
      <w:r w:rsidR="001D792B">
        <w:rPr>
          <w:rFonts w:ascii="Bookman Old Style" w:eastAsia="Times New Roman" w:hAnsi="Bookman Old Style" w:cs="Arial"/>
          <w:sz w:val="24"/>
          <w:szCs w:val="24"/>
          <w:lang w:eastAsia="es-ES"/>
        </w:rPr>
        <w:t>o.</w:t>
      </w:r>
    </w:p>
    <w:p w14:paraId="4A74F9E9" w14:textId="77777777" w:rsidR="00C74826" w:rsidRPr="00C74826" w:rsidRDefault="00C74826" w:rsidP="00C74826">
      <w:pPr>
        <w:spacing w:after="0" w:line="240" w:lineRule="auto"/>
        <w:contextualSpacing/>
        <w:jc w:val="both"/>
        <w:rPr>
          <w:rFonts w:ascii="Bookman Old Style" w:eastAsia="Times New Roman" w:hAnsi="Bookman Old Style" w:cs="Arial"/>
          <w:sz w:val="24"/>
          <w:szCs w:val="24"/>
          <w:lang w:eastAsia="es-ES"/>
        </w:rPr>
      </w:pPr>
    </w:p>
    <w:p w14:paraId="04A43AE9" w14:textId="54F4B67F" w:rsidR="00C74826" w:rsidRPr="00C74826" w:rsidRDefault="00C74826" w:rsidP="00C74826">
      <w:pPr>
        <w:spacing w:after="0" w:line="240" w:lineRule="auto"/>
        <w:contextualSpacing/>
        <w:jc w:val="both"/>
        <w:rPr>
          <w:rFonts w:ascii="Bookman Old Style" w:eastAsia="Times New Roman" w:hAnsi="Bookman Old Style" w:cs="Arial"/>
          <w:sz w:val="24"/>
          <w:szCs w:val="24"/>
          <w:lang w:eastAsia="es-ES"/>
        </w:rPr>
      </w:pPr>
      <w:r w:rsidRPr="00C74826">
        <w:rPr>
          <w:rFonts w:ascii="Bookman Old Style" w:eastAsia="Times New Roman" w:hAnsi="Bookman Old Style" w:cs="Arial"/>
          <w:sz w:val="24"/>
          <w:szCs w:val="24"/>
          <w:lang w:eastAsia="es-ES"/>
        </w:rPr>
        <w:t>Particularmente, en lo que respecta a que la definición del cargo máximo se haga para el mercado relevante, debe resaltarse que</w:t>
      </w:r>
      <w:r w:rsidR="0094520E">
        <w:rPr>
          <w:rFonts w:ascii="Bookman Old Style" w:eastAsia="Times New Roman" w:hAnsi="Bookman Old Style" w:cs="Arial"/>
          <w:sz w:val="24"/>
          <w:szCs w:val="24"/>
          <w:lang w:eastAsia="es-ES"/>
        </w:rPr>
        <w:t>,</w:t>
      </w:r>
      <w:r w:rsidRPr="00C74826">
        <w:rPr>
          <w:rFonts w:ascii="Bookman Old Style" w:eastAsia="Times New Roman" w:hAnsi="Bookman Old Style" w:cs="Arial"/>
          <w:sz w:val="24"/>
          <w:szCs w:val="24"/>
          <w:lang w:eastAsia="es-ES"/>
        </w:rPr>
        <w:t xml:space="preserve"> tanto en la Resolución CREG 012 de 2018 como en la Resolución CREG 124 de 2020</w:t>
      </w:r>
      <w:r w:rsidR="0094520E">
        <w:rPr>
          <w:rFonts w:ascii="Bookman Old Style" w:eastAsia="Times New Roman" w:hAnsi="Bookman Old Style" w:cs="Arial"/>
          <w:sz w:val="24"/>
          <w:szCs w:val="24"/>
          <w:lang w:eastAsia="es-ES"/>
        </w:rPr>
        <w:t>,</w:t>
      </w:r>
      <w:r w:rsidRPr="00C74826">
        <w:rPr>
          <w:rFonts w:ascii="Bookman Old Style" w:eastAsia="Times New Roman" w:hAnsi="Bookman Old Style" w:cs="Arial"/>
          <w:sz w:val="24"/>
          <w:szCs w:val="24"/>
          <w:lang w:eastAsia="es-ES"/>
        </w:rPr>
        <w:t xml:space="preserve"> se tuvo en cuenta este concepto para la definición del cargo máximo de generación. </w:t>
      </w:r>
    </w:p>
    <w:p w14:paraId="2B74B943" w14:textId="77777777" w:rsidR="00C74826" w:rsidRPr="00C74826" w:rsidRDefault="00C74826" w:rsidP="00C74826">
      <w:pPr>
        <w:spacing w:after="0" w:line="240" w:lineRule="auto"/>
        <w:contextualSpacing/>
        <w:jc w:val="both"/>
        <w:rPr>
          <w:rFonts w:ascii="Bookman Old Style" w:eastAsia="Times New Roman" w:hAnsi="Bookman Old Style" w:cs="Arial"/>
          <w:sz w:val="24"/>
          <w:szCs w:val="24"/>
          <w:lang w:eastAsia="es-ES"/>
        </w:rPr>
      </w:pPr>
    </w:p>
    <w:p w14:paraId="37F41728" w14:textId="4B0A15A1" w:rsidR="00C74826" w:rsidRPr="00C74826" w:rsidRDefault="00C74826" w:rsidP="00C74826">
      <w:pPr>
        <w:spacing w:after="0" w:line="240" w:lineRule="auto"/>
        <w:contextualSpacing/>
        <w:jc w:val="both"/>
        <w:rPr>
          <w:rFonts w:ascii="Bookman Old Style" w:eastAsia="Times New Roman" w:hAnsi="Bookman Old Style" w:cs="Arial"/>
          <w:sz w:val="24"/>
          <w:szCs w:val="24"/>
          <w:lang w:eastAsia="es-ES"/>
        </w:rPr>
      </w:pPr>
      <w:r w:rsidRPr="00C74826">
        <w:rPr>
          <w:rFonts w:ascii="Bookman Old Style" w:eastAsia="Times New Roman" w:hAnsi="Bookman Old Style" w:cs="Arial"/>
          <w:sz w:val="24"/>
          <w:szCs w:val="24"/>
          <w:lang w:eastAsia="es-ES"/>
        </w:rPr>
        <w:t xml:space="preserve">En el artículo 2 de la Resolución CREG 012 de 2018 </w:t>
      </w:r>
      <w:r w:rsidRPr="00C74826">
        <w:rPr>
          <w:rFonts w:ascii="Bookman Old Style" w:eastAsia="Times New Roman" w:hAnsi="Bookman Old Style" w:cs="Arial"/>
          <w:lang w:eastAsia="es-ES"/>
        </w:rPr>
        <w:t>“</w:t>
      </w:r>
      <w:r w:rsidRPr="00C74826">
        <w:rPr>
          <w:rFonts w:ascii="Bookman Old Style" w:eastAsia="Times New Roman" w:hAnsi="Bookman Old Style" w:cs="Arial"/>
          <w:i/>
          <w:iCs/>
          <w:lang w:eastAsia="es-ES"/>
        </w:rPr>
        <w:t>aplicación del artículo 25 de la Resolución CREG 091 de 2007 para el parque de generación conectado al sistema de distribución del municipio de Inírida</w:t>
      </w:r>
      <w:r w:rsidRPr="00C74826">
        <w:rPr>
          <w:rFonts w:ascii="Bookman Old Style" w:eastAsia="Times New Roman" w:hAnsi="Bookman Old Style" w:cs="Arial"/>
          <w:lang w:eastAsia="es-ES"/>
        </w:rPr>
        <w:t xml:space="preserve">”, </w:t>
      </w:r>
      <w:r w:rsidR="00A40DA9" w:rsidRPr="001F3FCE">
        <w:rPr>
          <w:rFonts w:ascii="Bookman Old Style" w:eastAsia="Times New Roman" w:hAnsi="Bookman Old Style" w:cs="Arial"/>
          <w:sz w:val="24"/>
          <w:szCs w:val="24"/>
          <w:lang w:eastAsia="es-ES"/>
        </w:rPr>
        <w:t xml:space="preserve">se considera la energía total entregada al sistema de distribución por las plantas de </w:t>
      </w:r>
      <w:r w:rsidR="00C94FF1" w:rsidRPr="001F3FCE">
        <w:rPr>
          <w:rFonts w:ascii="Bookman Old Style" w:eastAsia="Times New Roman" w:hAnsi="Bookman Old Style" w:cs="Arial"/>
          <w:sz w:val="24"/>
          <w:szCs w:val="24"/>
          <w:lang w:eastAsia="es-ES"/>
        </w:rPr>
        <w:t>generación</w:t>
      </w:r>
      <w:r w:rsidR="00A40DA9" w:rsidRPr="001F3FCE">
        <w:rPr>
          <w:rFonts w:ascii="Bookman Old Style" w:eastAsia="Times New Roman" w:hAnsi="Bookman Old Style" w:cs="Arial"/>
          <w:sz w:val="24"/>
          <w:szCs w:val="24"/>
          <w:lang w:eastAsia="es-ES"/>
        </w:rPr>
        <w:t xml:space="preserve"> conectad</w:t>
      </w:r>
      <w:r w:rsidR="00C94FF1" w:rsidRPr="001F3FCE">
        <w:rPr>
          <w:rFonts w:ascii="Bookman Old Style" w:eastAsia="Times New Roman" w:hAnsi="Bookman Old Style" w:cs="Arial"/>
          <w:sz w:val="24"/>
          <w:szCs w:val="24"/>
          <w:lang w:eastAsia="es-ES"/>
        </w:rPr>
        <w:t xml:space="preserve">as al sistema de </w:t>
      </w:r>
      <w:r w:rsidR="00C94FF1" w:rsidRPr="00967876">
        <w:rPr>
          <w:rFonts w:ascii="Bookman Old Style" w:eastAsia="Times New Roman" w:hAnsi="Bookman Old Style" w:cs="Arial"/>
          <w:sz w:val="24"/>
          <w:szCs w:val="24"/>
          <w:lang w:eastAsia="es-ES"/>
        </w:rPr>
        <w:t>distribución del municipio de Inírida</w:t>
      </w:r>
      <w:r w:rsidR="00E145DF" w:rsidRPr="00967876">
        <w:rPr>
          <w:rFonts w:ascii="Bookman Old Style" w:eastAsia="Times New Roman" w:hAnsi="Bookman Old Style" w:cs="Arial"/>
          <w:sz w:val="24"/>
          <w:szCs w:val="24"/>
          <w:lang w:eastAsia="es-ES"/>
        </w:rPr>
        <w:t xml:space="preserve">. </w:t>
      </w:r>
      <w:r w:rsidR="009C4D97" w:rsidRPr="00967876">
        <w:rPr>
          <w:rFonts w:ascii="Bookman Old Style" w:eastAsia="Times New Roman" w:hAnsi="Bookman Old Style" w:cs="Arial"/>
          <w:sz w:val="24"/>
          <w:szCs w:val="24"/>
          <w:lang w:eastAsia="es-ES"/>
        </w:rPr>
        <w:t>Lo cual</w:t>
      </w:r>
      <w:r w:rsidR="0094520E">
        <w:rPr>
          <w:rFonts w:ascii="Bookman Old Style" w:eastAsia="Times New Roman" w:hAnsi="Bookman Old Style" w:cs="Arial"/>
          <w:sz w:val="24"/>
          <w:szCs w:val="24"/>
          <w:lang w:eastAsia="es-ES"/>
        </w:rPr>
        <w:t>,</w:t>
      </w:r>
      <w:r w:rsidR="009C4D97" w:rsidRPr="00967876">
        <w:rPr>
          <w:rFonts w:ascii="Bookman Old Style" w:eastAsia="Times New Roman" w:hAnsi="Bookman Old Style" w:cs="Arial"/>
          <w:sz w:val="24"/>
          <w:szCs w:val="24"/>
          <w:lang w:eastAsia="es-ES"/>
        </w:rPr>
        <w:t xml:space="preserve"> </w:t>
      </w:r>
      <w:r w:rsidR="00967876" w:rsidRPr="00967876">
        <w:rPr>
          <w:rFonts w:ascii="Bookman Old Style" w:eastAsia="Times New Roman" w:hAnsi="Bookman Old Style" w:cs="Arial"/>
          <w:sz w:val="24"/>
          <w:szCs w:val="24"/>
          <w:lang w:eastAsia="es-ES"/>
        </w:rPr>
        <w:t>de acuerdo</w:t>
      </w:r>
      <w:r w:rsidR="009C4D97" w:rsidRPr="00967876">
        <w:rPr>
          <w:rFonts w:ascii="Bookman Old Style" w:eastAsia="Times New Roman" w:hAnsi="Bookman Old Style" w:cs="Arial"/>
          <w:sz w:val="24"/>
          <w:szCs w:val="24"/>
          <w:lang w:eastAsia="es-ES"/>
        </w:rPr>
        <w:t xml:space="preserve"> con lo previsto en la Resolución CREG 091 de 2007</w:t>
      </w:r>
      <w:r w:rsidR="008E4B48" w:rsidRPr="00967876">
        <w:rPr>
          <w:rFonts w:ascii="Bookman Old Style" w:eastAsia="Times New Roman" w:hAnsi="Bookman Old Style" w:cs="Arial"/>
          <w:sz w:val="24"/>
          <w:szCs w:val="24"/>
          <w:lang w:eastAsia="es-ES"/>
        </w:rPr>
        <w:t xml:space="preserve">, </w:t>
      </w:r>
      <w:r w:rsidR="00B63869" w:rsidRPr="00967876">
        <w:rPr>
          <w:rFonts w:ascii="Bookman Old Style" w:eastAsia="Times New Roman" w:hAnsi="Bookman Old Style" w:cs="Arial"/>
          <w:sz w:val="24"/>
          <w:szCs w:val="24"/>
          <w:lang w:eastAsia="es-ES"/>
        </w:rPr>
        <w:t>se refiere al</w:t>
      </w:r>
      <w:r w:rsidRPr="00967876">
        <w:rPr>
          <w:rFonts w:ascii="Bookman Old Style" w:eastAsia="Times New Roman" w:hAnsi="Bookman Old Style" w:cs="Arial"/>
          <w:sz w:val="24"/>
          <w:szCs w:val="24"/>
          <w:lang w:eastAsia="es-ES"/>
        </w:rPr>
        <w:t xml:space="preserve"> mercado relevante de Inírida, que se entiende está conformado por los usuarios atendidos con la respectiva red de distribución.</w:t>
      </w:r>
    </w:p>
    <w:p w14:paraId="2A292EE0" w14:textId="77777777" w:rsidR="00C74826" w:rsidRPr="00C74826" w:rsidRDefault="00C74826" w:rsidP="00C74826">
      <w:pPr>
        <w:spacing w:after="0" w:line="240" w:lineRule="auto"/>
        <w:contextualSpacing/>
        <w:jc w:val="both"/>
        <w:rPr>
          <w:rFonts w:ascii="Bookman Old Style" w:eastAsia="Times New Roman" w:hAnsi="Bookman Old Style" w:cs="Arial"/>
          <w:sz w:val="24"/>
          <w:szCs w:val="24"/>
          <w:lang w:eastAsia="es-ES"/>
        </w:rPr>
      </w:pPr>
    </w:p>
    <w:p w14:paraId="08F81CF2" w14:textId="5CECA61E" w:rsidR="00C74826" w:rsidRPr="00C74826" w:rsidRDefault="00C74826" w:rsidP="00C74826">
      <w:pPr>
        <w:spacing w:after="0" w:line="240" w:lineRule="auto"/>
        <w:contextualSpacing/>
        <w:jc w:val="both"/>
        <w:rPr>
          <w:rFonts w:ascii="Bookman Old Style" w:eastAsia="Times New Roman" w:hAnsi="Bookman Old Style" w:cs="Arial"/>
          <w:sz w:val="24"/>
          <w:szCs w:val="24"/>
          <w:lang w:eastAsia="es-ES"/>
        </w:rPr>
      </w:pPr>
      <w:r w:rsidRPr="00C74826">
        <w:rPr>
          <w:rFonts w:ascii="Bookman Old Style" w:eastAsia="Times New Roman" w:hAnsi="Bookman Old Style" w:cs="Arial"/>
          <w:sz w:val="24"/>
          <w:szCs w:val="24"/>
          <w:lang w:eastAsia="es-ES"/>
        </w:rPr>
        <w:t>Por su parte</w:t>
      </w:r>
      <w:r w:rsidR="0094520E">
        <w:rPr>
          <w:rFonts w:ascii="Bookman Old Style" w:eastAsia="Times New Roman" w:hAnsi="Bookman Old Style" w:cs="Arial"/>
          <w:sz w:val="24"/>
          <w:szCs w:val="24"/>
          <w:lang w:eastAsia="es-ES"/>
        </w:rPr>
        <w:t>,</w:t>
      </w:r>
      <w:r w:rsidRPr="00C74826">
        <w:rPr>
          <w:rFonts w:ascii="Bookman Old Style" w:eastAsia="Times New Roman" w:hAnsi="Bookman Old Style" w:cs="Arial"/>
          <w:sz w:val="24"/>
          <w:szCs w:val="24"/>
          <w:lang w:eastAsia="es-ES"/>
        </w:rPr>
        <w:t xml:space="preserve"> en los considerandos de la Resolución CREG 124 de 2020 se indicó lo siguiente: </w:t>
      </w:r>
    </w:p>
    <w:p w14:paraId="317B3406" w14:textId="77777777" w:rsidR="00C74826" w:rsidRPr="00C74826" w:rsidRDefault="00C74826" w:rsidP="00C74826">
      <w:pPr>
        <w:spacing w:after="0" w:line="240" w:lineRule="auto"/>
        <w:contextualSpacing/>
        <w:jc w:val="both"/>
        <w:rPr>
          <w:rFonts w:ascii="Bookman Old Style" w:eastAsia="Times New Roman" w:hAnsi="Bookman Old Style" w:cs="Arial"/>
          <w:i/>
          <w:iCs/>
          <w:sz w:val="24"/>
          <w:szCs w:val="24"/>
          <w:lang w:eastAsia="es-ES"/>
        </w:rPr>
      </w:pPr>
    </w:p>
    <w:p w14:paraId="5E87A84A" w14:textId="77777777" w:rsidR="00C74826" w:rsidRPr="0094520E" w:rsidRDefault="00C74826" w:rsidP="0094520E">
      <w:pPr>
        <w:autoSpaceDE w:val="0"/>
        <w:autoSpaceDN w:val="0"/>
        <w:adjustRightInd w:val="0"/>
        <w:spacing w:after="0" w:line="240" w:lineRule="auto"/>
        <w:ind w:left="284"/>
        <w:jc w:val="both"/>
        <w:rPr>
          <w:rFonts w:ascii="Bookman Old Style" w:eastAsia="Calibri" w:hAnsi="Bookman Old Style" w:cs="BookmanOldStyle"/>
          <w:i/>
          <w:iCs/>
          <w:sz w:val="20"/>
          <w:szCs w:val="20"/>
          <w:lang w:val="es-MX"/>
        </w:rPr>
      </w:pPr>
      <w:r w:rsidRPr="0094520E">
        <w:rPr>
          <w:rFonts w:ascii="Bookman Old Style" w:eastAsia="Calibri" w:hAnsi="Bookman Old Style" w:cs="BookmanOldStyle"/>
          <w:i/>
          <w:iCs/>
          <w:sz w:val="20"/>
          <w:szCs w:val="20"/>
          <w:lang w:val="es-MX"/>
        </w:rPr>
        <w:t>“En el artículo 2 de la Resolución CREG 091 de 2007 se define el mercado de relevante de comercialización y el parque de generación de la siguiente manera:</w:t>
      </w:r>
    </w:p>
    <w:p w14:paraId="154FFE1F" w14:textId="77777777" w:rsidR="00C74826" w:rsidRPr="0094520E" w:rsidRDefault="00C74826" w:rsidP="0094520E">
      <w:pPr>
        <w:autoSpaceDE w:val="0"/>
        <w:autoSpaceDN w:val="0"/>
        <w:adjustRightInd w:val="0"/>
        <w:spacing w:after="0" w:line="240" w:lineRule="auto"/>
        <w:ind w:left="284"/>
        <w:rPr>
          <w:rFonts w:ascii="Bookman Old Style" w:eastAsia="Times New Roman" w:hAnsi="Bookman Old Style" w:cs="Arial"/>
          <w:i/>
          <w:iCs/>
          <w:sz w:val="20"/>
          <w:szCs w:val="20"/>
          <w:lang w:eastAsia="es-ES"/>
        </w:rPr>
      </w:pPr>
    </w:p>
    <w:p w14:paraId="38D49991" w14:textId="77777777" w:rsidR="00C74826" w:rsidRPr="0094520E" w:rsidRDefault="00C74826" w:rsidP="0094520E">
      <w:pPr>
        <w:spacing w:after="0" w:line="240" w:lineRule="auto"/>
        <w:ind w:left="284"/>
        <w:contextualSpacing/>
        <w:jc w:val="both"/>
        <w:rPr>
          <w:rFonts w:ascii="Bookman Old Style" w:eastAsia="Times New Roman" w:hAnsi="Bookman Old Style" w:cs="Arial"/>
          <w:i/>
          <w:iCs/>
          <w:sz w:val="20"/>
          <w:szCs w:val="20"/>
          <w:lang w:eastAsia="es-ES"/>
        </w:rPr>
      </w:pPr>
      <w:r w:rsidRPr="0094520E">
        <w:rPr>
          <w:rFonts w:ascii="Bookman Old Style" w:eastAsia="Times New Roman" w:hAnsi="Bookman Old Style" w:cs="Arial"/>
          <w:i/>
          <w:iCs/>
          <w:sz w:val="20"/>
          <w:szCs w:val="20"/>
          <w:lang w:eastAsia="es-ES"/>
        </w:rPr>
        <w:t xml:space="preserve">Mercado Relevante de Comercialización: Conjunto de usuarios conectados a un mismo Sistema de Distribución Local o atendido sin red física por un distribuidor (…)”. </w:t>
      </w:r>
    </w:p>
    <w:p w14:paraId="4F143341" w14:textId="77777777" w:rsidR="00C74826" w:rsidRPr="0094520E" w:rsidRDefault="00C74826" w:rsidP="0094520E">
      <w:pPr>
        <w:spacing w:after="0" w:line="240" w:lineRule="auto"/>
        <w:ind w:left="284"/>
        <w:contextualSpacing/>
        <w:jc w:val="both"/>
        <w:rPr>
          <w:rFonts w:ascii="Bookman Old Style" w:eastAsia="Times New Roman" w:hAnsi="Bookman Old Style" w:cs="Arial"/>
          <w:i/>
          <w:iCs/>
          <w:sz w:val="20"/>
          <w:szCs w:val="20"/>
          <w:lang w:eastAsia="es-ES"/>
        </w:rPr>
      </w:pPr>
    </w:p>
    <w:p w14:paraId="54FF2DD0" w14:textId="77777777" w:rsidR="00C74826" w:rsidRPr="0094520E" w:rsidRDefault="00C74826" w:rsidP="0094520E">
      <w:pPr>
        <w:autoSpaceDE w:val="0"/>
        <w:autoSpaceDN w:val="0"/>
        <w:adjustRightInd w:val="0"/>
        <w:spacing w:after="0" w:line="240" w:lineRule="auto"/>
        <w:ind w:left="284"/>
        <w:jc w:val="both"/>
        <w:rPr>
          <w:rFonts w:ascii="Bookman Old Style" w:eastAsia="Times New Roman" w:hAnsi="Bookman Old Style" w:cs="Arial"/>
          <w:i/>
          <w:iCs/>
          <w:sz w:val="20"/>
          <w:szCs w:val="20"/>
          <w:lang w:eastAsia="es-ES"/>
        </w:rPr>
      </w:pPr>
      <w:r w:rsidRPr="0094520E">
        <w:rPr>
          <w:rFonts w:ascii="Bookman Old Style" w:eastAsia="Calibri" w:hAnsi="Bookman Old Style" w:cs="BookmanOldStyle-Italic"/>
          <w:i/>
          <w:iCs/>
          <w:sz w:val="20"/>
          <w:szCs w:val="20"/>
          <w:lang w:val="es-MX"/>
        </w:rPr>
        <w:t>Parque de Generación: Conjunto de unidades de generación con el que se atiende un Mercado Relevante de Comercialización.”</w:t>
      </w:r>
    </w:p>
    <w:p w14:paraId="5C8D5F4D" w14:textId="77777777" w:rsidR="00C74826" w:rsidRPr="00C74826" w:rsidRDefault="00C74826" w:rsidP="00C74826">
      <w:pPr>
        <w:spacing w:after="0" w:line="240" w:lineRule="auto"/>
        <w:contextualSpacing/>
        <w:jc w:val="both"/>
        <w:rPr>
          <w:rFonts w:ascii="Bookman Old Style" w:eastAsia="Times New Roman" w:hAnsi="Bookman Old Style" w:cs="Arial"/>
          <w:sz w:val="24"/>
          <w:szCs w:val="24"/>
          <w:lang w:eastAsia="es-ES"/>
        </w:rPr>
      </w:pPr>
    </w:p>
    <w:p w14:paraId="368DE58A" w14:textId="611868A9" w:rsidR="00C74826" w:rsidRPr="00C74826" w:rsidRDefault="00DD045A" w:rsidP="00C74826">
      <w:pPr>
        <w:autoSpaceDE w:val="0"/>
        <w:autoSpaceDN w:val="0"/>
        <w:adjustRightInd w:val="0"/>
        <w:spacing w:after="0" w:line="240" w:lineRule="auto"/>
        <w:jc w:val="both"/>
        <w:rPr>
          <w:rFonts w:ascii="Bookman Old Style" w:eastAsia="Calibri" w:hAnsi="Bookman Old Style" w:cs="BookmanOldStyle-Bold"/>
          <w:sz w:val="24"/>
          <w:szCs w:val="24"/>
          <w:lang w:val="es-MX"/>
        </w:rPr>
      </w:pPr>
      <w:r>
        <w:rPr>
          <w:rFonts w:ascii="Bookman Old Style" w:eastAsia="Times New Roman" w:hAnsi="Bookman Old Style" w:cs="Arial"/>
          <w:sz w:val="24"/>
          <w:szCs w:val="24"/>
          <w:lang w:eastAsia="es-ES"/>
        </w:rPr>
        <w:t>E</w:t>
      </w:r>
      <w:r w:rsidR="0033704C">
        <w:rPr>
          <w:rFonts w:ascii="Bookman Old Style" w:eastAsia="Times New Roman" w:hAnsi="Bookman Old Style" w:cs="Arial"/>
          <w:sz w:val="24"/>
          <w:szCs w:val="24"/>
          <w:lang w:eastAsia="es-ES"/>
        </w:rPr>
        <w:t>n consonancia</w:t>
      </w:r>
      <w:r>
        <w:rPr>
          <w:rFonts w:ascii="Bookman Old Style" w:eastAsia="Times New Roman" w:hAnsi="Bookman Old Style" w:cs="Arial"/>
          <w:sz w:val="24"/>
          <w:szCs w:val="24"/>
          <w:lang w:eastAsia="es-ES"/>
        </w:rPr>
        <w:t xml:space="preserve"> con</w:t>
      </w:r>
      <w:r w:rsidR="00A346F2">
        <w:rPr>
          <w:rFonts w:ascii="Bookman Old Style" w:eastAsia="Times New Roman" w:hAnsi="Bookman Old Style" w:cs="Arial"/>
          <w:sz w:val="24"/>
          <w:szCs w:val="24"/>
          <w:lang w:eastAsia="es-ES"/>
        </w:rPr>
        <w:t xml:space="preserve"> </w:t>
      </w:r>
      <w:r w:rsidR="0060062D">
        <w:rPr>
          <w:rFonts w:ascii="Bookman Old Style" w:eastAsia="Times New Roman" w:hAnsi="Bookman Old Style" w:cs="Arial"/>
          <w:sz w:val="24"/>
          <w:szCs w:val="24"/>
          <w:lang w:eastAsia="es-ES"/>
        </w:rPr>
        <w:t>ello se</w:t>
      </w:r>
      <w:r w:rsidR="00227AFF">
        <w:rPr>
          <w:rFonts w:ascii="Bookman Old Style" w:eastAsia="Times New Roman" w:hAnsi="Bookman Old Style" w:cs="Arial"/>
          <w:sz w:val="24"/>
          <w:szCs w:val="24"/>
          <w:lang w:eastAsia="es-ES"/>
        </w:rPr>
        <w:t xml:space="preserve"> encuentra lo</w:t>
      </w:r>
      <w:r w:rsidR="0033704C">
        <w:rPr>
          <w:rFonts w:ascii="Bookman Old Style" w:eastAsia="Times New Roman" w:hAnsi="Bookman Old Style" w:cs="Arial"/>
          <w:sz w:val="24"/>
          <w:szCs w:val="24"/>
          <w:lang w:eastAsia="es-ES"/>
        </w:rPr>
        <w:t xml:space="preserve"> </w:t>
      </w:r>
      <w:r w:rsidR="005F3B47">
        <w:rPr>
          <w:rFonts w:ascii="Bookman Old Style" w:eastAsia="Times New Roman" w:hAnsi="Bookman Old Style" w:cs="Arial"/>
          <w:sz w:val="24"/>
          <w:szCs w:val="24"/>
          <w:lang w:eastAsia="es-ES"/>
        </w:rPr>
        <w:t>previsto en el</w:t>
      </w:r>
      <w:r w:rsidR="00C74826" w:rsidRPr="00C74826">
        <w:rPr>
          <w:rFonts w:ascii="Bookman Old Style" w:eastAsia="Times New Roman" w:hAnsi="Bookman Old Style" w:cs="Arial"/>
          <w:sz w:val="24"/>
          <w:szCs w:val="24"/>
          <w:lang w:eastAsia="es-ES"/>
        </w:rPr>
        <w:t xml:space="preserve"> resuelve, en los artículos 1</w:t>
      </w:r>
      <w:r w:rsidR="0094520E">
        <w:rPr>
          <w:rFonts w:ascii="Bookman Old Style" w:eastAsia="Times New Roman" w:hAnsi="Bookman Old Style" w:cs="Arial"/>
          <w:sz w:val="24"/>
          <w:szCs w:val="24"/>
          <w:lang w:eastAsia="es-ES"/>
        </w:rPr>
        <w:t xml:space="preserve"> </w:t>
      </w:r>
      <w:r w:rsidR="00C74826" w:rsidRPr="00C74826">
        <w:rPr>
          <w:rFonts w:ascii="Bookman Old Style" w:eastAsia="Times New Roman" w:hAnsi="Bookman Old Style" w:cs="Arial"/>
          <w:sz w:val="24"/>
          <w:szCs w:val="24"/>
          <w:lang w:eastAsia="es-ES"/>
        </w:rPr>
        <w:t>y 2</w:t>
      </w:r>
      <w:r w:rsidR="00977972">
        <w:rPr>
          <w:rFonts w:ascii="Bookman Old Style" w:eastAsia="Times New Roman" w:hAnsi="Bookman Old Style" w:cs="Arial"/>
          <w:sz w:val="24"/>
          <w:szCs w:val="24"/>
          <w:lang w:eastAsia="es-ES"/>
        </w:rPr>
        <w:t>,</w:t>
      </w:r>
      <w:r w:rsidR="00C74826" w:rsidRPr="00C74826">
        <w:rPr>
          <w:rFonts w:ascii="Bookman Old Style" w:eastAsia="Times New Roman" w:hAnsi="Bookman Old Style" w:cs="Arial"/>
          <w:sz w:val="24"/>
          <w:szCs w:val="24"/>
          <w:lang w:eastAsia="es-ES"/>
        </w:rPr>
        <w:t xml:space="preserve"> </w:t>
      </w:r>
      <w:r w:rsidR="000674BA">
        <w:rPr>
          <w:rFonts w:ascii="Bookman Old Style" w:eastAsia="Times New Roman" w:hAnsi="Bookman Old Style" w:cs="Arial"/>
          <w:sz w:val="24"/>
          <w:szCs w:val="24"/>
          <w:lang w:eastAsia="es-ES"/>
        </w:rPr>
        <w:t>al</w:t>
      </w:r>
      <w:r w:rsidR="000958E1">
        <w:rPr>
          <w:rFonts w:ascii="Bookman Old Style" w:eastAsia="Times New Roman" w:hAnsi="Bookman Old Style" w:cs="Arial"/>
          <w:sz w:val="24"/>
          <w:szCs w:val="24"/>
          <w:lang w:eastAsia="es-ES"/>
        </w:rPr>
        <w:t xml:space="preserve"> quedar</w:t>
      </w:r>
      <w:r w:rsidR="00C74826" w:rsidRPr="00C74826">
        <w:rPr>
          <w:rFonts w:ascii="Bookman Old Style" w:eastAsia="Times New Roman" w:hAnsi="Bookman Old Style" w:cs="Arial"/>
          <w:sz w:val="24"/>
          <w:szCs w:val="24"/>
          <w:lang w:eastAsia="es-ES"/>
        </w:rPr>
        <w:t xml:space="preserve"> definido el cargo máximo de generación para el </w:t>
      </w:r>
      <w:r w:rsidR="00C74826" w:rsidRPr="00C74826">
        <w:rPr>
          <w:rFonts w:ascii="Bookman Old Style" w:eastAsia="Calibri" w:hAnsi="Bookman Old Style" w:cs="BookmanOldStyle-Bold"/>
          <w:sz w:val="24"/>
          <w:szCs w:val="24"/>
          <w:lang w:val="es-MX"/>
        </w:rPr>
        <w:t>mercado relevante de comercialización de la Cabecera municipal de Mitú, Vaupés.</w:t>
      </w:r>
    </w:p>
    <w:p w14:paraId="7CABAD6E" w14:textId="77777777" w:rsidR="00C74826" w:rsidRPr="00C74826" w:rsidRDefault="00C74826" w:rsidP="00C74826">
      <w:pPr>
        <w:spacing w:after="0" w:line="240" w:lineRule="auto"/>
        <w:contextualSpacing/>
        <w:jc w:val="both"/>
        <w:rPr>
          <w:rFonts w:ascii="Bookman Old Style" w:eastAsia="Times New Roman" w:hAnsi="Bookman Old Style" w:cs="Arial"/>
          <w:sz w:val="24"/>
          <w:szCs w:val="24"/>
          <w:lang w:val="es-MX" w:eastAsia="es-ES"/>
        </w:rPr>
      </w:pPr>
    </w:p>
    <w:p w14:paraId="61294E0B" w14:textId="0073FE61" w:rsidR="00C74826" w:rsidRDefault="00C74826" w:rsidP="00C74826">
      <w:pPr>
        <w:spacing w:after="0" w:line="240" w:lineRule="auto"/>
        <w:contextualSpacing/>
        <w:jc w:val="both"/>
        <w:rPr>
          <w:rFonts w:ascii="Bookman Old Style" w:eastAsia="Times New Roman" w:hAnsi="Bookman Old Style" w:cs="Arial"/>
          <w:sz w:val="24"/>
          <w:szCs w:val="24"/>
          <w:lang w:val="es-MX" w:eastAsia="es-ES"/>
        </w:rPr>
      </w:pPr>
      <w:r w:rsidRPr="00C74826">
        <w:rPr>
          <w:rFonts w:ascii="Bookman Old Style" w:eastAsia="Times New Roman" w:hAnsi="Bookman Old Style" w:cs="Arial"/>
          <w:sz w:val="24"/>
          <w:szCs w:val="24"/>
          <w:lang w:val="es-MX" w:eastAsia="es-ES"/>
        </w:rPr>
        <w:t>Por lo anterior,</w:t>
      </w:r>
      <w:r w:rsidR="00BE08E1">
        <w:rPr>
          <w:rFonts w:ascii="Bookman Old Style" w:eastAsia="Times New Roman" w:hAnsi="Bookman Old Style" w:cs="Arial"/>
          <w:sz w:val="24"/>
          <w:szCs w:val="24"/>
          <w:lang w:val="es-MX" w:eastAsia="es-ES"/>
        </w:rPr>
        <w:t xml:space="preserve"> puede concluirse que</w:t>
      </w:r>
      <w:r w:rsidRPr="00C74826">
        <w:rPr>
          <w:rFonts w:ascii="Bookman Old Style" w:eastAsia="Times New Roman" w:hAnsi="Bookman Old Style" w:cs="Arial"/>
          <w:sz w:val="24"/>
          <w:szCs w:val="24"/>
          <w:lang w:val="es-MX" w:eastAsia="es-ES"/>
        </w:rPr>
        <w:t xml:space="preserve"> no se evidencia un trato diferente a las dos empresas</w:t>
      </w:r>
      <w:r w:rsidR="0094520E">
        <w:rPr>
          <w:rFonts w:ascii="Bookman Old Style" w:eastAsia="Times New Roman" w:hAnsi="Bookman Old Style" w:cs="Arial"/>
          <w:sz w:val="24"/>
          <w:szCs w:val="24"/>
          <w:lang w:val="es-MX" w:eastAsia="es-ES"/>
        </w:rPr>
        <w:t>,</w:t>
      </w:r>
      <w:r w:rsidRPr="00C74826">
        <w:rPr>
          <w:rFonts w:ascii="Bookman Old Style" w:eastAsia="Times New Roman" w:hAnsi="Bookman Old Style" w:cs="Arial"/>
          <w:sz w:val="24"/>
          <w:szCs w:val="24"/>
          <w:lang w:val="es-MX" w:eastAsia="es-ES"/>
        </w:rPr>
        <w:t xml:space="preserve"> en la medida en que en ambas actuaciones administrativas se definió un cargo máximo de generación para el mercado relevante. </w:t>
      </w:r>
    </w:p>
    <w:p w14:paraId="48D59A29" w14:textId="77777777" w:rsidR="009C316E" w:rsidRPr="00C74826" w:rsidRDefault="009C316E" w:rsidP="00C74826">
      <w:pPr>
        <w:spacing w:after="0" w:line="240" w:lineRule="auto"/>
        <w:contextualSpacing/>
        <w:jc w:val="both"/>
        <w:rPr>
          <w:rFonts w:ascii="Bookman Old Style" w:eastAsia="Times New Roman" w:hAnsi="Bookman Old Style" w:cs="Arial"/>
          <w:sz w:val="24"/>
          <w:szCs w:val="24"/>
          <w:lang w:val="es-MX" w:eastAsia="es-ES"/>
        </w:rPr>
      </w:pPr>
    </w:p>
    <w:p w14:paraId="135D213E" w14:textId="7CF280B0" w:rsidR="00C74826" w:rsidRPr="00C74826" w:rsidRDefault="00C74826" w:rsidP="00C74826">
      <w:pPr>
        <w:spacing w:after="0" w:line="240" w:lineRule="auto"/>
        <w:contextualSpacing/>
        <w:jc w:val="both"/>
        <w:rPr>
          <w:rFonts w:ascii="Bookman Old Style" w:eastAsia="Times New Roman" w:hAnsi="Bookman Old Style" w:cs="Arial"/>
          <w:sz w:val="24"/>
          <w:szCs w:val="24"/>
          <w:lang w:eastAsia="es-ES"/>
        </w:rPr>
      </w:pPr>
      <w:r w:rsidRPr="00C74826">
        <w:rPr>
          <w:rFonts w:ascii="Bookman Old Style" w:eastAsia="Times New Roman" w:hAnsi="Bookman Old Style" w:cs="Arial"/>
          <w:sz w:val="24"/>
          <w:szCs w:val="24"/>
          <w:lang w:eastAsia="es-ES"/>
        </w:rPr>
        <w:t>En relación con los supuestos normativos, para resolver las actuaciones administrativas se tuvo en cuenta lo previsto en los artículos 108 y siguientes de la Ley 142 de 1994, el Código de Procedimiento Administrativo y de lo Contencioso Administrativo</w:t>
      </w:r>
      <w:r w:rsidR="0094520E">
        <w:rPr>
          <w:rFonts w:ascii="Bookman Old Style" w:eastAsia="Times New Roman" w:hAnsi="Bookman Old Style" w:cs="Arial"/>
          <w:sz w:val="24"/>
          <w:szCs w:val="24"/>
          <w:lang w:eastAsia="es-ES"/>
        </w:rPr>
        <w:t>,</w:t>
      </w:r>
      <w:r w:rsidRPr="00C74826">
        <w:rPr>
          <w:rFonts w:ascii="Bookman Old Style" w:eastAsia="Times New Roman" w:hAnsi="Bookman Old Style" w:cs="Arial"/>
          <w:sz w:val="24"/>
          <w:szCs w:val="24"/>
          <w:lang w:eastAsia="es-ES"/>
        </w:rPr>
        <w:t xml:space="preserve"> y lo señalado en </w:t>
      </w:r>
      <w:r w:rsidR="005F0FCF" w:rsidRPr="005F0FCF">
        <w:rPr>
          <w:rFonts w:ascii="Bookman Old Style" w:eastAsia="Times New Roman" w:hAnsi="Bookman Old Style" w:cs="Arial"/>
          <w:sz w:val="24"/>
          <w:szCs w:val="24"/>
          <w:lang w:eastAsia="es-ES"/>
        </w:rPr>
        <w:t>la Resolución CREG 091 de 2007</w:t>
      </w:r>
      <w:r w:rsidR="005F0FCF">
        <w:rPr>
          <w:rFonts w:ascii="Bookman Old Style" w:eastAsia="Times New Roman" w:hAnsi="Bookman Old Style" w:cs="Arial"/>
          <w:sz w:val="24"/>
          <w:szCs w:val="24"/>
          <w:lang w:eastAsia="es-ES"/>
        </w:rPr>
        <w:t>,</w:t>
      </w:r>
      <w:r w:rsidR="001B5B03">
        <w:rPr>
          <w:rFonts w:ascii="Bookman Old Style" w:eastAsia="Times New Roman" w:hAnsi="Bookman Old Style" w:cs="Arial"/>
          <w:sz w:val="24"/>
          <w:szCs w:val="24"/>
          <w:lang w:eastAsia="es-ES"/>
        </w:rPr>
        <w:t xml:space="preserve"> </w:t>
      </w:r>
      <w:r w:rsidR="005F0FCF">
        <w:rPr>
          <w:rFonts w:ascii="Bookman Old Style" w:eastAsia="Times New Roman" w:hAnsi="Bookman Old Style" w:cs="Arial"/>
          <w:sz w:val="24"/>
          <w:szCs w:val="24"/>
          <w:lang w:eastAsia="es-ES"/>
        </w:rPr>
        <w:t xml:space="preserve">en particular en </w:t>
      </w:r>
      <w:r w:rsidRPr="00C74826">
        <w:rPr>
          <w:rFonts w:ascii="Bookman Old Style" w:eastAsia="Times New Roman" w:hAnsi="Bookman Old Style" w:cs="Arial"/>
          <w:sz w:val="24"/>
          <w:szCs w:val="24"/>
          <w:lang w:eastAsia="es-ES"/>
        </w:rPr>
        <w:t>los artículos 22,</w:t>
      </w:r>
      <w:r w:rsidR="00D51C6D">
        <w:rPr>
          <w:rFonts w:ascii="Bookman Old Style" w:eastAsia="Times New Roman" w:hAnsi="Bookman Old Style" w:cs="Arial"/>
          <w:sz w:val="24"/>
          <w:szCs w:val="24"/>
          <w:lang w:eastAsia="es-ES"/>
        </w:rPr>
        <w:t xml:space="preserve"> </w:t>
      </w:r>
      <w:r w:rsidRPr="00C74826">
        <w:rPr>
          <w:rFonts w:ascii="Bookman Old Style" w:eastAsia="Times New Roman" w:hAnsi="Bookman Old Style" w:cs="Arial"/>
          <w:sz w:val="24"/>
          <w:szCs w:val="24"/>
          <w:lang w:eastAsia="es-ES"/>
        </w:rPr>
        <w:t xml:space="preserve">24 y 25. Dándosele el mismo trato y aplicación de las normas en mención a </w:t>
      </w:r>
      <w:r w:rsidR="008A141B">
        <w:rPr>
          <w:rFonts w:ascii="Bookman Old Style" w:eastAsia="Times New Roman" w:hAnsi="Bookman Old Style" w:cs="Arial"/>
          <w:sz w:val="24"/>
          <w:szCs w:val="24"/>
          <w:lang w:eastAsia="es-ES"/>
        </w:rPr>
        <w:t>las empresas</w:t>
      </w:r>
      <w:r w:rsidR="00295763">
        <w:rPr>
          <w:rFonts w:ascii="Bookman Old Style" w:eastAsia="Times New Roman" w:hAnsi="Bookman Old Style" w:cs="Arial"/>
          <w:sz w:val="24"/>
          <w:szCs w:val="24"/>
          <w:lang w:eastAsia="es-ES"/>
        </w:rPr>
        <w:t xml:space="preserve"> </w:t>
      </w:r>
      <w:r w:rsidR="00DE665B">
        <w:rPr>
          <w:rFonts w:ascii="Bookman Old Style" w:eastAsia="Times New Roman" w:hAnsi="Bookman Old Style" w:cs="Arial"/>
          <w:sz w:val="24"/>
          <w:szCs w:val="24"/>
          <w:lang w:eastAsia="es-ES"/>
        </w:rPr>
        <w:t>dentro de</w:t>
      </w:r>
      <w:r w:rsidR="005947D0">
        <w:rPr>
          <w:rFonts w:ascii="Bookman Old Style" w:eastAsia="Times New Roman" w:hAnsi="Bookman Old Style" w:cs="Arial"/>
          <w:sz w:val="24"/>
          <w:szCs w:val="24"/>
          <w:lang w:eastAsia="es-ES"/>
        </w:rPr>
        <w:t xml:space="preserve"> la decisión de la</w:t>
      </w:r>
      <w:r w:rsidR="00295763">
        <w:rPr>
          <w:rFonts w:ascii="Bookman Old Style" w:eastAsia="Times New Roman" w:hAnsi="Bookman Old Style" w:cs="Arial"/>
          <w:sz w:val="24"/>
          <w:szCs w:val="24"/>
          <w:lang w:eastAsia="es-ES"/>
        </w:rPr>
        <w:t>s</w:t>
      </w:r>
      <w:r w:rsidR="005947D0">
        <w:rPr>
          <w:rFonts w:ascii="Bookman Old Style" w:eastAsia="Times New Roman" w:hAnsi="Bookman Old Style" w:cs="Arial"/>
          <w:sz w:val="24"/>
          <w:szCs w:val="24"/>
          <w:lang w:eastAsia="es-ES"/>
        </w:rPr>
        <w:t xml:space="preserve"> actuaci</w:t>
      </w:r>
      <w:r w:rsidR="00295763">
        <w:rPr>
          <w:rFonts w:ascii="Bookman Old Style" w:eastAsia="Times New Roman" w:hAnsi="Bookman Old Style" w:cs="Arial"/>
          <w:sz w:val="24"/>
          <w:szCs w:val="24"/>
          <w:lang w:eastAsia="es-ES"/>
        </w:rPr>
        <w:t>ones</w:t>
      </w:r>
      <w:r w:rsidR="005947D0">
        <w:rPr>
          <w:rFonts w:ascii="Bookman Old Style" w:eastAsia="Times New Roman" w:hAnsi="Bookman Old Style" w:cs="Arial"/>
          <w:sz w:val="24"/>
          <w:szCs w:val="24"/>
          <w:lang w:eastAsia="es-ES"/>
        </w:rPr>
        <w:t xml:space="preserve"> administrativa</w:t>
      </w:r>
      <w:r w:rsidR="00295763">
        <w:rPr>
          <w:rFonts w:ascii="Bookman Old Style" w:eastAsia="Times New Roman" w:hAnsi="Bookman Old Style" w:cs="Arial"/>
          <w:sz w:val="24"/>
          <w:szCs w:val="24"/>
          <w:lang w:eastAsia="es-ES"/>
        </w:rPr>
        <w:t>s</w:t>
      </w:r>
      <w:r w:rsidRPr="00C74826">
        <w:rPr>
          <w:rFonts w:ascii="Bookman Old Style" w:eastAsia="Times New Roman" w:hAnsi="Bookman Old Style" w:cs="Arial"/>
          <w:sz w:val="24"/>
          <w:szCs w:val="24"/>
          <w:lang w:eastAsia="es-ES"/>
        </w:rPr>
        <w:t xml:space="preserve">. </w:t>
      </w:r>
    </w:p>
    <w:p w14:paraId="76D0F228" w14:textId="77777777" w:rsidR="00C74826" w:rsidRPr="00C74826" w:rsidRDefault="00C74826" w:rsidP="00C74826">
      <w:pPr>
        <w:spacing w:after="0" w:line="240" w:lineRule="auto"/>
        <w:contextualSpacing/>
        <w:jc w:val="both"/>
        <w:rPr>
          <w:rFonts w:ascii="Bookman Old Style" w:eastAsia="Times New Roman" w:hAnsi="Bookman Old Style" w:cs="Arial"/>
          <w:sz w:val="24"/>
          <w:szCs w:val="24"/>
          <w:lang w:eastAsia="es-ES"/>
        </w:rPr>
      </w:pPr>
    </w:p>
    <w:p w14:paraId="48E6CFEF" w14:textId="4D35DBA2" w:rsidR="00C74826" w:rsidRPr="00C74826" w:rsidRDefault="00C74826" w:rsidP="00C74826">
      <w:pPr>
        <w:spacing w:after="0" w:line="240" w:lineRule="auto"/>
        <w:contextualSpacing/>
        <w:jc w:val="both"/>
        <w:rPr>
          <w:rFonts w:ascii="Bookman Old Style" w:eastAsia="Times New Roman" w:hAnsi="Bookman Old Style" w:cs="Arial"/>
          <w:sz w:val="24"/>
          <w:szCs w:val="24"/>
          <w:lang w:eastAsia="es-ES"/>
        </w:rPr>
      </w:pPr>
      <w:r w:rsidRPr="00C74826">
        <w:rPr>
          <w:rFonts w:ascii="Bookman Old Style" w:eastAsia="Times New Roman" w:hAnsi="Bookman Old Style" w:cs="Arial"/>
          <w:sz w:val="24"/>
          <w:szCs w:val="24"/>
          <w:lang w:eastAsia="es-ES"/>
        </w:rPr>
        <w:t>Frente a la finalidad de las resoluciones en mención, Resoluciones CREG 012 de 2018 y 124 de 2020, se resalta que con la definición de cargos máximos de generación de acuerdo al tipo de tecnología y aplicables a un mercado relevante se busca dar la señal</w:t>
      </w:r>
      <w:r w:rsidR="0094520E">
        <w:rPr>
          <w:rFonts w:ascii="Bookman Old Style" w:eastAsia="Times New Roman" w:hAnsi="Bookman Old Style" w:cs="Arial"/>
          <w:sz w:val="24"/>
          <w:szCs w:val="24"/>
          <w:lang w:eastAsia="es-ES"/>
        </w:rPr>
        <w:t>,</w:t>
      </w:r>
      <w:r w:rsidRPr="00C74826">
        <w:rPr>
          <w:rFonts w:ascii="Bookman Old Style" w:eastAsia="Times New Roman" w:hAnsi="Bookman Old Style" w:cs="Arial"/>
          <w:sz w:val="24"/>
          <w:szCs w:val="24"/>
          <w:lang w:eastAsia="es-ES"/>
        </w:rPr>
        <w:t xml:space="preserve"> no solo para quien propone la tarifa, sino para cualquier interesado en desarrollar la actividad, en la medida en que se establece un tope al valor que el comercializador puede trasladar a </w:t>
      </w:r>
      <w:r w:rsidR="0094520E">
        <w:rPr>
          <w:rFonts w:ascii="Bookman Old Style" w:eastAsia="Times New Roman" w:hAnsi="Bookman Old Style" w:cs="Arial"/>
          <w:sz w:val="24"/>
          <w:szCs w:val="24"/>
          <w:lang w:eastAsia="es-ES"/>
        </w:rPr>
        <w:t xml:space="preserve">los </w:t>
      </w:r>
      <w:r w:rsidRPr="00C74826">
        <w:rPr>
          <w:rFonts w:ascii="Bookman Old Style" w:eastAsia="Times New Roman" w:hAnsi="Bookman Old Style" w:cs="Arial"/>
          <w:sz w:val="24"/>
          <w:szCs w:val="24"/>
          <w:lang w:eastAsia="es-ES"/>
        </w:rPr>
        <w:t>usuarios regulados</w:t>
      </w:r>
      <w:r w:rsidR="0094520E">
        <w:rPr>
          <w:rFonts w:ascii="Bookman Old Style" w:eastAsia="Times New Roman" w:hAnsi="Bookman Old Style" w:cs="Arial"/>
          <w:sz w:val="24"/>
          <w:szCs w:val="24"/>
          <w:lang w:eastAsia="es-ES"/>
        </w:rPr>
        <w:t xml:space="preserve"> del mercado relevante</w:t>
      </w:r>
      <w:r w:rsidRPr="00C74826">
        <w:rPr>
          <w:rFonts w:ascii="Bookman Old Style" w:eastAsia="Times New Roman" w:hAnsi="Bookman Old Style" w:cs="Arial"/>
          <w:sz w:val="24"/>
          <w:szCs w:val="24"/>
          <w:lang w:eastAsia="es-ES"/>
        </w:rPr>
        <w:t xml:space="preserve">. Adicionalmente, se mantienen las condiciones para la libre entrada de agentes.  </w:t>
      </w:r>
    </w:p>
    <w:p w14:paraId="59C3D0C6" w14:textId="77777777" w:rsidR="00C74826" w:rsidRPr="00C74826" w:rsidRDefault="00C74826" w:rsidP="00C74826">
      <w:pPr>
        <w:spacing w:after="0" w:line="240" w:lineRule="auto"/>
        <w:contextualSpacing/>
        <w:jc w:val="both"/>
        <w:rPr>
          <w:rFonts w:ascii="Bookman Old Style" w:eastAsia="Times New Roman" w:hAnsi="Bookman Old Style" w:cs="Arial"/>
          <w:sz w:val="24"/>
          <w:szCs w:val="24"/>
          <w:highlight w:val="yellow"/>
          <w:lang w:eastAsia="es-ES"/>
        </w:rPr>
      </w:pPr>
    </w:p>
    <w:p w14:paraId="482D2AAC" w14:textId="77777777" w:rsidR="00C74826" w:rsidRPr="00C74826" w:rsidRDefault="00C74826" w:rsidP="00C74826">
      <w:pPr>
        <w:spacing w:after="0" w:line="240" w:lineRule="auto"/>
        <w:contextualSpacing/>
        <w:jc w:val="both"/>
        <w:rPr>
          <w:rFonts w:ascii="Times New Roman" w:eastAsia="Calibri" w:hAnsi="Times New Roman" w:cs="Times New Roman"/>
          <w:bCs/>
          <w:sz w:val="28"/>
          <w:szCs w:val="28"/>
          <w:highlight w:val="yellow"/>
          <w:lang w:val="es-ES" w:eastAsia="es-ES"/>
        </w:rPr>
      </w:pPr>
      <w:r w:rsidRPr="00C74826">
        <w:rPr>
          <w:rFonts w:ascii="Bookman Old Style" w:eastAsia="Calibri" w:hAnsi="Bookman Old Style" w:cs="Times New Roman"/>
          <w:bCs/>
          <w:sz w:val="24"/>
          <w:szCs w:val="24"/>
          <w:lang w:val="es-ES" w:eastAsia="es-ES"/>
        </w:rPr>
        <w:t>En ese sentido, las decisiones adoptadas en las actuaciones administrativas son efectivamente</w:t>
      </w:r>
      <w:r w:rsidRPr="00C74826">
        <w:rPr>
          <w:rFonts w:ascii="Bookman Old Style" w:eastAsia="Calibri" w:hAnsi="Bookman Old Style" w:cs="Times New Roman"/>
          <w:bCs/>
          <w:iCs/>
          <w:sz w:val="24"/>
          <w:szCs w:val="24"/>
          <w:lang w:val="es-ES" w:eastAsia="es-ES"/>
        </w:rPr>
        <w:t xml:space="preserve"> conducentes</w:t>
      </w:r>
      <w:r w:rsidRPr="00C74826">
        <w:rPr>
          <w:rFonts w:ascii="Bookman Old Style" w:eastAsia="Calibri" w:hAnsi="Bookman Old Style" w:cs="Times New Roman"/>
          <w:bCs/>
          <w:sz w:val="24"/>
          <w:szCs w:val="24"/>
          <w:lang w:val="es-ES" w:eastAsia="es-ES"/>
        </w:rPr>
        <w:t xml:space="preserve"> para la consecución del fin propuesto, debido a que con ello se definen costos de generación eficientes que pueden ser trasladados a los usuarios del respectivo mercado de comercialización, lo cual se encuentra en línea con los criterios tarifarios definidos en el artículo 87 de la Ley 142 de 1994.</w:t>
      </w:r>
      <w:r w:rsidRPr="00C74826">
        <w:rPr>
          <w:rFonts w:ascii="Times New Roman" w:eastAsia="Calibri" w:hAnsi="Times New Roman" w:cs="Times New Roman"/>
          <w:bCs/>
          <w:sz w:val="28"/>
          <w:szCs w:val="28"/>
          <w:lang w:val="es-ES" w:eastAsia="es-ES"/>
        </w:rPr>
        <w:t xml:space="preserve"> </w:t>
      </w:r>
    </w:p>
    <w:p w14:paraId="07CAF429" w14:textId="77777777" w:rsidR="00C74826" w:rsidRPr="00C74826" w:rsidRDefault="00C74826" w:rsidP="00C74826">
      <w:pPr>
        <w:spacing w:after="0" w:line="240" w:lineRule="auto"/>
        <w:contextualSpacing/>
        <w:jc w:val="both"/>
        <w:rPr>
          <w:rFonts w:ascii="Times New Roman" w:eastAsia="Calibri" w:hAnsi="Times New Roman" w:cs="Times New Roman"/>
          <w:bCs/>
          <w:sz w:val="28"/>
          <w:szCs w:val="28"/>
          <w:highlight w:val="yellow"/>
          <w:lang w:val="es-ES" w:eastAsia="es-ES"/>
        </w:rPr>
      </w:pPr>
    </w:p>
    <w:p w14:paraId="691E16C8" w14:textId="645DAC8F" w:rsidR="00C74826" w:rsidRPr="00C74826" w:rsidRDefault="00C74826" w:rsidP="00C74826">
      <w:pPr>
        <w:spacing w:after="0" w:line="240" w:lineRule="auto"/>
        <w:contextualSpacing/>
        <w:jc w:val="both"/>
        <w:rPr>
          <w:rFonts w:ascii="Bookman Old Style" w:eastAsia="Times New Roman" w:hAnsi="Bookman Old Style" w:cs="Arial"/>
          <w:sz w:val="24"/>
          <w:szCs w:val="24"/>
          <w:lang w:eastAsia="es-ES"/>
        </w:rPr>
      </w:pPr>
      <w:r w:rsidRPr="00C74826">
        <w:rPr>
          <w:rFonts w:ascii="Bookman Old Style" w:eastAsia="Times New Roman" w:hAnsi="Bookman Old Style" w:cs="Arial"/>
          <w:sz w:val="24"/>
          <w:szCs w:val="24"/>
          <w:lang w:eastAsia="es-ES"/>
        </w:rPr>
        <w:t>Por todo lo expuesto, se concluye que no es cierto lo planteado por el recurrente y que</w:t>
      </w:r>
      <w:r w:rsidR="0094520E">
        <w:rPr>
          <w:rFonts w:ascii="Bookman Old Style" w:eastAsia="Times New Roman" w:hAnsi="Bookman Old Style" w:cs="Arial"/>
          <w:sz w:val="24"/>
          <w:szCs w:val="24"/>
          <w:lang w:eastAsia="es-ES"/>
        </w:rPr>
        <w:t>,</w:t>
      </w:r>
      <w:r w:rsidRPr="00C74826">
        <w:rPr>
          <w:rFonts w:ascii="Bookman Old Style" w:eastAsia="Times New Roman" w:hAnsi="Bookman Old Style" w:cs="Arial"/>
          <w:sz w:val="24"/>
          <w:szCs w:val="24"/>
          <w:lang w:eastAsia="es-ES"/>
        </w:rPr>
        <w:t xml:space="preserve"> por el contrario</w:t>
      </w:r>
      <w:r w:rsidR="0094520E">
        <w:rPr>
          <w:rFonts w:ascii="Bookman Old Style" w:eastAsia="Times New Roman" w:hAnsi="Bookman Old Style" w:cs="Arial"/>
          <w:sz w:val="24"/>
          <w:szCs w:val="24"/>
          <w:lang w:eastAsia="es-ES"/>
        </w:rPr>
        <w:t>,</w:t>
      </w:r>
      <w:r w:rsidRPr="00C74826">
        <w:rPr>
          <w:rFonts w:ascii="Bookman Old Style" w:eastAsia="Times New Roman" w:hAnsi="Bookman Old Style" w:cs="Arial"/>
          <w:sz w:val="24"/>
          <w:szCs w:val="24"/>
          <w:lang w:eastAsia="es-ES"/>
        </w:rPr>
        <w:t xml:space="preserve"> con la decisión adoptada</w:t>
      </w:r>
      <w:r w:rsidR="0094520E">
        <w:rPr>
          <w:rFonts w:ascii="Bookman Old Style" w:eastAsia="Times New Roman" w:hAnsi="Bookman Old Style" w:cs="Arial"/>
          <w:sz w:val="24"/>
          <w:szCs w:val="24"/>
          <w:lang w:eastAsia="es-ES"/>
        </w:rPr>
        <w:t>,</w:t>
      </w:r>
      <w:r w:rsidRPr="00C74826">
        <w:rPr>
          <w:rFonts w:ascii="Bookman Old Style" w:eastAsia="Times New Roman" w:hAnsi="Bookman Old Style" w:cs="Arial"/>
          <w:sz w:val="24"/>
          <w:szCs w:val="24"/>
          <w:lang w:eastAsia="es-ES"/>
        </w:rPr>
        <w:t xml:space="preserve"> esta Comisión no ha violado el principio de igualdad</w:t>
      </w:r>
      <w:r w:rsidR="0094520E">
        <w:rPr>
          <w:rFonts w:ascii="Bookman Old Style" w:eastAsia="Times New Roman" w:hAnsi="Bookman Old Style" w:cs="Arial"/>
          <w:sz w:val="24"/>
          <w:szCs w:val="24"/>
          <w:lang w:eastAsia="es-ES"/>
        </w:rPr>
        <w:t>,</w:t>
      </w:r>
      <w:r w:rsidRPr="00C74826">
        <w:rPr>
          <w:rFonts w:ascii="Bookman Old Style" w:eastAsia="Times New Roman" w:hAnsi="Bookman Old Style" w:cs="Arial"/>
          <w:sz w:val="24"/>
          <w:szCs w:val="24"/>
          <w:lang w:eastAsia="es-ES"/>
        </w:rPr>
        <w:t xml:space="preserve"> toda vez que la decisión del caso en concreto guarda congruencia con los hechos y fundamentos normativos que sirvieron de base para la adopción de la decisión, se garantizó el debido proceso</w:t>
      </w:r>
      <w:r w:rsidR="0094520E">
        <w:rPr>
          <w:rFonts w:ascii="Bookman Old Style" w:eastAsia="Times New Roman" w:hAnsi="Bookman Old Style" w:cs="Arial"/>
          <w:sz w:val="24"/>
          <w:szCs w:val="24"/>
          <w:lang w:eastAsia="es-ES"/>
        </w:rPr>
        <w:t>,</w:t>
      </w:r>
      <w:r w:rsidRPr="00C74826">
        <w:rPr>
          <w:rFonts w:ascii="Bookman Old Style" w:eastAsia="Times New Roman" w:hAnsi="Bookman Old Style" w:cs="Arial"/>
          <w:sz w:val="24"/>
          <w:szCs w:val="24"/>
          <w:lang w:eastAsia="es-ES"/>
        </w:rPr>
        <w:t xml:space="preserve"> y se le dio el mismo tratamiento que a otras solicitudes presentadas con anterioridad</w:t>
      </w:r>
      <w:r w:rsidR="0094520E">
        <w:rPr>
          <w:rFonts w:ascii="Bookman Old Style" w:eastAsia="Times New Roman" w:hAnsi="Bookman Old Style" w:cs="Arial"/>
          <w:sz w:val="24"/>
          <w:szCs w:val="24"/>
          <w:lang w:eastAsia="es-ES"/>
        </w:rPr>
        <w:t>,</w:t>
      </w:r>
      <w:r w:rsidRPr="00C74826">
        <w:rPr>
          <w:rFonts w:ascii="Bookman Old Style" w:eastAsia="Times New Roman" w:hAnsi="Bookman Old Style" w:cs="Arial"/>
          <w:sz w:val="24"/>
          <w:szCs w:val="24"/>
          <w:lang w:eastAsia="es-ES"/>
        </w:rPr>
        <w:t xml:space="preserve"> a</w:t>
      </w:r>
      <w:r w:rsidR="0094520E">
        <w:rPr>
          <w:rFonts w:ascii="Bookman Old Style" w:eastAsia="Times New Roman" w:hAnsi="Bookman Old Style" w:cs="Arial"/>
          <w:sz w:val="24"/>
          <w:szCs w:val="24"/>
          <w:lang w:eastAsia="es-ES"/>
        </w:rPr>
        <w:t>u</w:t>
      </w:r>
      <w:r w:rsidRPr="00C74826">
        <w:rPr>
          <w:rFonts w:ascii="Bookman Old Style" w:eastAsia="Times New Roman" w:hAnsi="Bookman Old Style" w:cs="Arial"/>
          <w:sz w:val="24"/>
          <w:szCs w:val="24"/>
          <w:lang w:eastAsia="es-ES"/>
        </w:rPr>
        <w:t>n cuando el solicitante no tiene la calidad de prestador del servicio.</w:t>
      </w:r>
    </w:p>
    <w:p w14:paraId="425CEF97" w14:textId="77777777" w:rsidR="00C74826" w:rsidRPr="00C74826" w:rsidRDefault="00C74826" w:rsidP="00C74826">
      <w:pPr>
        <w:spacing w:after="0" w:line="240" w:lineRule="auto"/>
        <w:contextualSpacing/>
        <w:jc w:val="both"/>
        <w:rPr>
          <w:rFonts w:ascii="Bookman Old Style" w:eastAsia="Times New Roman" w:hAnsi="Bookman Old Style" w:cs="Arial"/>
          <w:sz w:val="24"/>
          <w:szCs w:val="24"/>
          <w:lang w:eastAsia="es-ES"/>
        </w:rPr>
      </w:pPr>
    </w:p>
    <w:p w14:paraId="02605424" w14:textId="77777777" w:rsidR="00C74826" w:rsidRPr="00C74826" w:rsidRDefault="00C74826" w:rsidP="00C74826">
      <w:pPr>
        <w:shd w:val="clear" w:color="auto" w:fill="FFFFFF"/>
        <w:spacing w:after="0" w:line="240" w:lineRule="auto"/>
        <w:jc w:val="both"/>
        <w:rPr>
          <w:rFonts w:ascii="Times New Roman" w:eastAsia="Times New Roman" w:hAnsi="Times New Roman" w:cs="Times New Roman"/>
          <w:color w:val="2D2D2D"/>
          <w:sz w:val="23"/>
          <w:szCs w:val="23"/>
          <w:lang w:val="es-MX" w:eastAsia="es-MX"/>
        </w:rPr>
      </w:pPr>
      <w:r w:rsidRPr="00C74826">
        <w:rPr>
          <w:rFonts w:ascii="Bookman Old Style" w:eastAsia="Calibri" w:hAnsi="Bookman Old Style" w:cs="Times New Roman"/>
          <w:bCs/>
          <w:sz w:val="24"/>
          <w:szCs w:val="24"/>
          <w:lang w:eastAsia="es-ES"/>
        </w:rPr>
        <w:t>Al respecto vale la pena destacar que la</w:t>
      </w:r>
      <w:r w:rsidRPr="00C74826">
        <w:rPr>
          <w:rFonts w:ascii="Bookman Old Style" w:eastAsia="Calibri" w:hAnsi="Bookman Old Style" w:cs="Times New Roman"/>
          <w:sz w:val="24"/>
          <w:szCs w:val="24"/>
          <w:lang w:eastAsia="es-ES"/>
        </w:rPr>
        <w:t xml:space="preserve"> definición de un cargo máximo de generación </w:t>
      </w:r>
      <w:r w:rsidRPr="00C74826">
        <w:rPr>
          <w:rFonts w:ascii="Bookman Old Style" w:eastAsia="Calibri" w:hAnsi="Bookman Old Style" w:cs="Times New Roman"/>
          <w:bCs/>
          <w:sz w:val="24"/>
          <w:szCs w:val="24"/>
          <w:lang w:eastAsia="es-ES"/>
        </w:rPr>
        <w:t>no limita de ninguna manera el derecho a la libre competencia y a la libertad de empresa, toda vez que no se define un área de servicio exclusivo o establecen barreras de entrada para los competidores, sino que simplemente se establece un tope máximo que puede ser trasladado a los usuarios por la prestación del servicio.</w:t>
      </w:r>
      <w:r w:rsidRPr="00C74826">
        <w:rPr>
          <w:rFonts w:ascii="Calibri" w:eastAsia="Calibri" w:hAnsi="Calibri" w:cs="Times New Roman"/>
          <w:color w:val="2D2D2D"/>
          <w:sz w:val="28"/>
          <w:szCs w:val="28"/>
        </w:rPr>
        <w:t xml:space="preserve"> </w:t>
      </w:r>
    </w:p>
    <w:p w14:paraId="4488AC37" w14:textId="77777777" w:rsidR="00C74826" w:rsidRPr="00C74826" w:rsidRDefault="00C74826" w:rsidP="00C74826">
      <w:pPr>
        <w:spacing w:after="0" w:line="240" w:lineRule="auto"/>
        <w:contextualSpacing/>
        <w:jc w:val="both"/>
        <w:rPr>
          <w:rFonts w:ascii="Bookman Old Style" w:eastAsia="Times New Roman" w:hAnsi="Bookman Old Style" w:cs="Arial"/>
          <w:sz w:val="24"/>
          <w:szCs w:val="24"/>
          <w:lang w:val="es-MX" w:eastAsia="es-ES"/>
        </w:rPr>
      </w:pPr>
    </w:p>
    <w:p w14:paraId="1C1AD885" w14:textId="1C457B5B" w:rsidR="00C74826" w:rsidRPr="00C74826" w:rsidRDefault="00C74826" w:rsidP="00C74826">
      <w:pPr>
        <w:autoSpaceDE w:val="0"/>
        <w:autoSpaceDN w:val="0"/>
        <w:adjustRightInd w:val="0"/>
        <w:spacing w:after="0" w:line="240" w:lineRule="auto"/>
        <w:jc w:val="both"/>
        <w:rPr>
          <w:rFonts w:ascii="Bookman Old Style" w:eastAsia="Calibri" w:hAnsi="Bookman Old Style" w:cs="Times New Roman"/>
          <w:b/>
          <w:sz w:val="24"/>
          <w:szCs w:val="24"/>
          <w:lang w:eastAsia="es-ES"/>
        </w:rPr>
      </w:pPr>
      <w:r w:rsidRPr="00C74826">
        <w:rPr>
          <w:rFonts w:ascii="Bookman Old Style" w:eastAsia="Times New Roman" w:hAnsi="Bookman Old Style" w:cs="Arial"/>
          <w:sz w:val="24"/>
          <w:szCs w:val="24"/>
          <w:lang w:eastAsia="es-ES"/>
        </w:rPr>
        <w:t xml:space="preserve">Finalmente, la decisión adoptada </w:t>
      </w:r>
      <w:r w:rsidRPr="00C74826">
        <w:rPr>
          <w:rFonts w:ascii="Bookman Old Style" w:eastAsia="Calibri" w:hAnsi="Bookman Old Style" w:cs="Times New Roman"/>
          <w:sz w:val="24"/>
          <w:szCs w:val="24"/>
          <w:lang w:eastAsia="es-ES"/>
        </w:rPr>
        <w:t xml:space="preserve">tampoco interfiere en la materialización de ningún derecho constitucional, ni se basa en un criterio constitucionalmente sospechoso, pues hace referencia únicamente a la definición de un cargo máximo de generación para el mercado relevante de </w:t>
      </w:r>
      <w:r w:rsidRPr="00C74826">
        <w:rPr>
          <w:rFonts w:ascii="Bookman Old Style" w:eastAsia="Calibri" w:hAnsi="Bookman Old Style" w:cs="BookmanOldStyle"/>
          <w:sz w:val="24"/>
          <w:szCs w:val="24"/>
          <w:lang w:val="es-MX"/>
        </w:rPr>
        <w:t>de comercialización de la cabecera municipal de Mitú en el departamento del Vaupés.</w:t>
      </w:r>
    </w:p>
    <w:p w14:paraId="3421FCBF" w14:textId="16EA0095" w:rsidR="0007741E" w:rsidRDefault="0007741E" w:rsidP="002A13DB">
      <w:pPr>
        <w:spacing w:after="0" w:line="240" w:lineRule="auto"/>
        <w:contextualSpacing/>
        <w:jc w:val="both"/>
        <w:rPr>
          <w:rFonts w:ascii="Bookman Old Style" w:eastAsia="Times New Roman" w:hAnsi="Bookman Old Style" w:cs="Times New Roman"/>
          <w:sz w:val="24"/>
          <w:szCs w:val="24"/>
          <w:lang w:eastAsia="es-ES"/>
        </w:rPr>
      </w:pPr>
    </w:p>
    <w:p w14:paraId="375DD9A0" w14:textId="1080274A" w:rsidR="00A71B6B" w:rsidRPr="00A71B6B" w:rsidRDefault="00A71B6B" w:rsidP="002A13DB">
      <w:pPr>
        <w:spacing w:after="0" w:line="240" w:lineRule="auto"/>
        <w:contextualSpacing/>
        <w:jc w:val="both"/>
        <w:rPr>
          <w:rFonts w:ascii="Bookman Old Style" w:eastAsia="Times New Roman" w:hAnsi="Bookman Old Style" w:cs="Times New Roman"/>
          <w:b/>
          <w:bCs/>
          <w:i/>
          <w:iCs/>
          <w:sz w:val="24"/>
          <w:szCs w:val="24"/>
          <w:lang w:eastAsia="es-ES"/>
        </w:rPr>
      </w:pPr>
      <w:r w:rsidRPr="00A71B6B">
        <w:rPr>
          <w:rFonts w:ascii="Bookman Old Style" w:eastAsia="Times New Roman" w:hAnsi="Bookman Old Style" w:cs="Times New Roman"/>
          <w:b/>
          <w:bCs/>
          <w:i/>
          <w:iCs/>
          <w:sz w:val="24"/>
          <w:szCs w:val="24"/>
          <w:lang w:eastAsia="es-ES"/>
        </w:rPr>
        <w:t>4. Modificación del Cargo Máximo de los Componentes de Inversión y Administración Operación y Mantenimiento para Sistemas Híbridos Diésel – Solar Fotovoltaico con Acumulación</w:t>
      </w:r>
      <w:r w:rsidR="00B00B1D">
        <w:rPr>
          <w:rFonts w:ascii="Bookman Old Style" w:eastAsia="Times New Roman" w:hAnsi="Bookman Old Style" w:cs="Times New Roman"/>
          <w:b/>
          <w:bCs/>
          <w:i/>
          <w:iCs/>
          <w:sz w:val="24"/>
          <w:szCs w:val="24"/>
          <w:lang w:eastAsia="es-ES"/>
        </w:rPr>
        <w:t xml:space="preserve"> </w:t>
      </w:r>
    </w:p>
    <w:p w14:paraId="7CA74062" w14:textId="1A6BDCC8" w:rsidR="00A71B6B" w:rsidRDefault="00A71B6B" w:rsidP="002A13DB">
      <w:pPr>
        <w:spacing w:after="0" w:line="240" w:lineRule="auto"/>
        <w:contextualSpacing/>
        <w:jc w:val="both"/>
        <w:rPr>
          <w:rFonts w:ascii="Bookman Old Style" w:eastAsia="Times New Roman" w:hAnsi="Bookman Old Style" w:cs="Times New Roman"/>
          <w:sz w:val="24"/>
          <w:szCs w:val="24"/>
          <w:lang w:eastAsia="es-ES"/>
        </w:rPr>
      </w:pPr>
    </w:p>
    <w:p w14:paraId="524208D9" w14:textId="6FB653A5" w:rsidR="005C71FD" w:rsidRPr="005C71FD" w:rsidRDefault="005C71FD" w:rsidP="005C71FD">
      <w:pPr>
        <w:spacing w:after="0" w:line="240" w:lineRule="auto"/>
        <w:contextualSpacing/>
        <w:jc w:val="both"/>
        <w:rPr>
          <w:rFonts w:ascii="Bookman Old Style" w:eastAsia="Times New Roman" w:hAnsi="Bookman Old Style" w:cs="Times New Roman"/>
          <w:sz w:val="24"/>
          <w:szCs w:val="24"/>
          <w:lang w:eastAsia="es-ES"/>
        </w:rPr>
      </w:pPr>
      <w:r w:rsidRPr="005C71FD">
        <w:rPr>
          <w:rFonts w:ascii="Bookman Old Style" w:eastAsia="Times New Roman" w:hAnsi="Bookman Old Style" w:cs="Times New Roman"/>
          <w:sz w:val="24"/>
          <w:szCs w:val="24"/>
          <w:lang w:eastAsia="es-ES"/>
        </w:rPr>
        <w:t xml:space="preserve">Con respecto al numeral 4 del recurso, como se indicó anteriormente, el régimen tarifario se orienta, entre otros, por el criterio de suficiencia financiera. De esta manera, en el reconocimiento de los costos eficientes, en este caso de generación de energía eléctrica, esta Comisión tuvo en cuenta que, mediante el cargo definido, fuera posible </w:t>
      </w:r>
      <w:r w:rsidRPr="00101B85">
        <w:rPr>
          <w:rFonts w:ascii="Bookman Old Style" w:eastAsia="Times New Roman" w:hAnsi="Bookman Old Style" w:cs="Times New Roman"/>
          <w:i/>
          <w:lang w:eastAsia="es-ES"/>
        </w:rPr>
        <w:t>“la recuperación de los costos y gastos propios de operación, incluyendo la expansión, la reposición y el mantenimiento”</w:t>
      </w:r>
      <w:r w:rsidRPr="00101B85">
        <w:rPr>
          <w:rFonts w:ascii="Bookman Old Style" w:eastAsia="Times New Roman" w:hAnsi="Bookman Old Style" w:cs="Times New Roman"/>
          <w:lang w:eastAsia="es-ES"/>
        </w:rPr>
        <w:t xml:space="preserve"> y que, adicionalmente, en el caso de presentarse inversiones, con este cargo fuera posible </w:t>
      </w:r>
      <w:r w:rsidRPr="00101B85">
        <w:rPr>
          <w:rFonts w:ascii="Bookman Old Style" w:eastAsia="Times New Roman" w:hAnsi="Bookman Old Style" w:cs="Times New Roman"/>
          <w:i/>
          <w:lang w:eastAsia="es-ES"/>
        </w:rPr>
        <w:t>“remunerar el patrimonio de los accionistas en la misma forma en la que lo habría remunerado una empresa eficiente en un sector de riesgo comparable</w:t>
      </w:r>
      <w:r w:rsidRPr="005C71FD">
        <w:rPr>
          <w:rFonts w:ascii="Bookman Old Style" w:eastAsia="Times New Roman" w:hAnsi="Bookman Old Style" w:cs="Times New Roman"/>
          <w:i/>
          <w:iCs/>
          <w:sz w:val="24"/>
          <w:szCs w:val="24"/>
          <w:lang w:eastAsia="es-ES"/>
        </w:rPr>
        <w:t>”</w:t>
      </w:r>
      <w:r>
        <w:rPr>
          <w:rFonts w:ascii="Bookman Old Style" w:eastAsia="Times New Roman" w:hAnsi="Bookman Old Style" w:cs="Times New Roman"/>
          <w:sz w:val="24"/>
          <w:szCs w:val="24"/>
          <w:lang w:eastAsia="es-ES"/>
        </w:rPr>
        <w:t>.</w:t>
      </w:r>
    </w:p>
    <w:p w14:paraId="4A5A40C0" w14:textId="77777777" w:rsidR="005C71FD" w:rsidRPr="005C71FD" w:rsidRDefault="005C71FD" w:rsidP="005C71FD">
      <w:pPr>
        <w:spacing w:after="0" w:line="240" w:lineRule="auto"/>
        <w:contextualSpacing/>
        <w:jc w:val="both"/>
        <w:rPr>
          <w:rFonts w:ascii="Bookman Old Style" w:eastAsia="Times New Roman" w:hAnsi="Bookman Old Style" w:cs="Times New Roman"/>
          <w:sz w:val="24"/>
          <w:szCs w:val="24"/>
          <w:lang w:eastAsia="es-ES"/>
        </w:rPr>
      </w:pPr>
    </w:p>
    <w:p w14:paraId="0372F061" w14:textId="77777777" w:rsidR="005C71FD" w:rsidRPr="005C71FD" w:rsidRDefault="005C71FD" w:rsidP="005C71FD">
      <w:pPr>
        <w:spacing w:after="0" w:line="240" w:lineRule="auto"/>
        <w:contextualSpacing/>
        <w:jc w:val="both"/>
        <w:rPr>
          <w:rFonts w:ascii="Bookman Old Style" w:eastAsia="Times New Roman" w:hAnsi="Bookman Old Style" w:cs="Times New Roman"/>
          <w:sz w:val="24"/>
          <w:szCs w:val="24"/>
          <w:lang w:eastAsia="es-ES"/>
        </w:rPr>
      </w:pPr>
      <w:r w:rsidRPr="005C71FD">
        <w:rPr>
          <w:rFonts w:ascii="Bookman Old Style" w:eastAsia="Times New Roman" w:hAnsi="Bookman Old Style" w:cs="Times New Roman"/>
          <w:sz w:val="24"/>
          <w:szCs w:val="24"/>
          <w:lang w:eastAsia="es-ES"/>
        </w:rPr>
        <w:t>De allí que, en la determinación del cargo máximo de generación, aunque en el articulado no se listen uno a uno los distintos determinantes y categorías de costos que fueron tenidos en cuenta, todos los indicados en el artículo 22 de la Resolución CREG 091 de 2007 fueron parte del análisis efectuado por esta Comisión, tal como se evidencia en el Documento CREG 097 de 2020, soporte de la Resolución CREG 124 de 2020. Lo anterior no significa que los valores presentados por DUE en su solicitud, aunque se incluyeron en el análisis, tuvieran que ser los que finalmente se utilizaran en la decisión adoptada.</w:t>
      </w:r>
    </w:p>
    <w:p w14:paraId="6B7C588E" w14:textId="77777777" w:rsidR="005C71FD" w:rsidRPr="005C71FD" w:rsidRDefault="005C71FD" w:rsidP="005C71FD">
      <w:pPr>
        <w:spacing w:after="0" w:line="240" w:lineRule="auto"/>
        <w:contextualSpacing/>
        <w:jc w:val="both"/>
        <w:rPr>
          <w:rFonts w:ascii="Bookman Old Style" w:eastAsia="Times New Roman" w:hAnsi="Bookman Old Style" w:cs="Times New Roman"/>
          <w:sz w:val="24"/>
          <w:szCs w:val="24"/>
          <w:lang w:eastAsia="es-ES"/>
        </w:rPr>
      </w:pPr>
    </w:p>
    <w:p w14:paraId="1C5E3CF2" w14:textId="78B1D911" w:rsidR="005C71FD" w:rsidRPr="005C71FD" w:rsidRDefault="005C71FD" w:rsidP="005C71FD">
      <w:pPr>
        <w:spacing w:after="0" w:line="240" w:lineRule="auto"/>
        <w:contextualSpacing/>
        <w:jc w:val="both"/>
        <w:rPr>
          <w:rFonts w:ascii="Bookman Old Style" w:eastAsia="Times New Roman" w:hAnsi="Bookman Old Style" w:cs="Times New Roman"/>
          <w:sz w:val="24"/>
          <w:szCs w:val="24"/>
          <w:lang w:eastAsia="es-ES"/>
        </w:rPr>
      </w:pPr>
      <w:r w:rsidRPr="005C71FD">
        <w:rPr>
          <w:rFonts w:ascii="Bookman Old Style" w:eastAsia="Times New Roman" w:hAnsi="Bookman Old Style" w:cs="Times New Roman"/>
          <w:sz w:val="24"/>
          <w:szCs w:val="24"/>
          <w:lang w:eastAsia="es-ES"/>
        </w:rPr>
        <w:t>Con respecto a lo anterior, debe recordarse que la definición del cargo máximo de generación también debe atender el criterio de eficiencia económica, es decir</w:t>
      </w:r>
      <w:r w:rsidR="0094520E">
        <w:rPr>
          <w:rFonts w:ascii="Bookman Old Style" w:eastAsia="Times New Roman" w:hAnsi="Bookman Old Style" w:cs="Times New Roman"/>
          <w:sz w:val="24"/>
          <w:szCs w:val="24"/>
          <w:lang w:eastAsia="es-ES"/>
        </w:rPr>
        <w:t>,</w:t>
      </w:r>
      <w:r w:rsidRPr="005C71FD">
        <w:rPr>
          <w:rFonts w:ascii="Bookman Old Style" w:eastAsia="Times New Roman" w:hAnsi="Bookman Old Style" w:cs="Times New Roman"/>
          <w:sz w:val="24"/>
          <w:szCs w:val="24"/>
          <w:lang w:eastAsia="es-ES"/>
        </w:rPr>
        <w:t xml:space="preserve"> que “el régimen de tarifas procurará que éstas se aproximen a lo que serían los precios de un mercado competitivo”, así como que “las fórmulas tarifarias no pueden trasladar a los usuarios los costos de una gestión ineficiente”. Adicionalmente, como ya fue manifestado y lo tiene previsto la ley, “al definir en las fórmulas los costos y gastos típicos de operación de las empresas de servicios públicos, las comisiones utilizarán no solo la información propia de la empresa, sino la de otras empresas que operen en condiciones similares, pero que sean más eficientes”.</w:t>
      </w:r>
    </w:p>
    <w:p w14:paraId="6654BF0B" w14:textId="77777777" w:rsidR="005C71FD" w:rsidRPr="005C71FD" w:rsidRDefault="005C71FD" w:rsidP="005C71FD">
      <w:pPr>
        <w:spacing w:after="0" w:line="240" w:lineRule="auto"/>
        <w:contextualSpacing/>
        <w:jc w:val="both"/>
        <w:rPr>
          <w:rFonts w:ascii="Bookman Old Style" w:eastAsia="Times New Roman" w:hAnsi="Bookman Old Style" w:cs="Times New Roman"/>
          <w:sz w:val="24"/>
          <w:szCs w:val="24"/>
          <w:lang w:eastAsia="es-ES"/>
        </w:rPr>
      </w:pPr>
    </w:p>
    <w:p w14:paraId="5C31EC80" w14:textId="77777777" w:rsidR="005C71FD" w:rsidRPr="005C71FD" w:rsidRDefault="005C71FD" w:rsidP="005C71FD">
      <w:pPr>
        <w:spacing w:after="0" w:line="240" w:lineRule="auto"/>
        <w:contextualSpacing/>
        <w:jc w:val="both"/>
        <w:rPr>
          <w:rFonts w:ascii="Bookman Old Style" w:eastAsia="Times New Roman" w:hAnsi="Bookman Old Style" w:cs="Times New Roman"/>
          <w:sz w:val="24"/>
          <w:szCs w:val="24"/>
          <w:lang w:eastAsia="es-ES"/>
        </w:rPr>
      </w:pPr>
      <w:r w:rsidRPr="005C71FD">
        <w:rPr>
          <w:rFonts w:ascii="Bookman Old Style" w:eastAsia="Times New Roman" w:hAnsi="Bookman Old Style" w:cs="Times New Roman"/>
          <w:sz w:val="24"/>
          <w:szCs w:val="24"/>
          <w:lang w:eastAsia="es-ES"/>
        </w:rPr>
        <w:t>Se reitera que esta Comisión no valida los costos o estructuración de un proyecto en particular. Tiene a su cargo la definición del costo de venta de la energía eléctrica, definiendo, en este caso en particular, un cargo máximo para la generación de energía eléctrica, tal como lo tiene previsto el artículo 91 de la Ley 142 de 1994: “Para establecer las fórmulas de tarifas se calculará por separado, cuando sea posible, una fórmula para cada una de las diversas etapas del servicio.”</w:t>
      </w:r>
    </w:p>
    <w:p w14:paraId="024ACCBC" w14:textId="77777777" w:rsidR="005C71FD" w:rsidRPr="005C71FD" w:rsidRDefault="005C71FD" w:rsidP="005C71FD">
      <w:pPr>
        <w:spacing w:after="0" w:line="240" w:lineRule="auto"/>
        <w:contextualSpacing/>
        <w:jc w:val="both"/>
        <w:rPr>
          <w:rFonts w:ascii="Bookman Old Style" w:eastAsia="Times New Roman" w:hAnsi="Bookman Old Style" w:cs="Times New Roman"/>
          <w:sz w:val="24"/>
          <w:szCs w:val="24"/>
          <w:lang w:eastAsia="es-ES"/>
        </w:rPr>
      </w:pPr>
    </w:p>
    <w:p w14:paraId="0A9D00CC" w14:textId="59E14953" w:rsidR="005C71FD" w:rsidRPr="005C71FD" w:rsidRDefault="005C71FD" w:rsidP="005C71FD">
      <w:pPr>
        <w:spacing w:after="0" w:line="240" w:lineRule="auto"/>
        <w:contextualSpacing/>
        <w:jc w:val="both"/>
        <w:rPr>
          <w:rFonts w:ascii="Bookman Old Style" w:eastAsia="Times New Roman" w:hAnsi="Bookman Old Style" w:cs="Times New Roman"/>
          <w:sz w:val="24"/>
          <w:szCs w:val="24"/>
          <w:lang w:eastAsia="es-ES"/>
        </w:rPr>
      </w:pPr>
      <w:r w:rsidRPr="005C71FD">
        <w:rPr>
          <w:rFonts w:ascii="Bookman Old Style" w:eastAsia="Times New Roman" w:hAnsi="Bookman Old Style" w:cs="Times New Roman"/>
          <w:sz w:val="24"/>
          <w:szCs w:val="24"/>
          <w:lang w:eastAsia="es-ES"/>
        </w:rPr>
        <w:t xml:space="preserve">Adicionalmente, menciona DUE en el recurso, al identificar que para algunos de los costos reconocidos en la Resolución CREG 124 de 2020 se toma como referente la información analizada en el caso de la Resolución CREG 136 de 2019, “Por la cual se determina el cargo máximo de generación para sistemas híbridos diésel solar fotovoltaicos con acumulación en el mercado relevante de comercialización de la cabecera municipal del municipio de </w:t>
      </w:r>
      <w:proofErr w:type="spellStart"/>
      <w:r w:rsidRPr="005C71FD">
        <w:rPr>
          <w:rFonts w:ascii="Bookman Old Style" w:eastAsia="Times New Roman" w:hAnsi="Bookman Old Style" w:cs="Times New Roman"/>
          <w:sz w:val="24"/>
          <w:szCs w:val="24"/>
          <w:lang w:eastAsia="es-ES"/>
        </w:rPr>
        <w:t>Unguía</w:t>
      </w:r>
      <w:proofErr w:type="spellEnd"/>
      <w:r w:rsidRPr="005C71FD">
        <w:rPr>
          <w:rFonts w:ascii="Bookman Old Style" w:eastAsia="Times New Roman" w:hAnsi="Bookman Old Style" w:cs="Times New Roman"/>
          <w:sz w:val="24"/>
          <w:szCs w:val="24"/>
          <w:lang w:eastAsia="es-ES"/>
        </w:rPr>
        <w:t xml:space="preserve"> – Chocó”, que el proyecto </w:t>
      </w:r>
      <w:proofErr w:type="spellStart"/>
      <w:r w:rsidRPr="005C71FD">
        <w:rPr>
          <w:rFonts w:ascii="Bookman Old Style" w:eastAsia="Times New Roman" w:hAnsi="Bookman Old Style" w:cs="Times New Roman"/>
          <w:sz w:val="24"/>
          <w:szCs w:val="24"/>
          <w:lang w:eastAsia="es-ES"/>
        </w:rPr>
        <w:t>Matakavi</w:t>
      </w:r>
      <w:proofErr w:type="spellEnd"/>
      <w:r w:rsidRPr="005C71FD">
        <w:rPr>
          <w:rFonts w:ascii="Bookman Old Style" w:eastAsia="Times New Roman" w:hAnsi="Bookman Old Style" w:cs="Times New Roman"/>
          <w:sz w:val="24"/>
          <w:szCs w:val="24"/>
          <w:lang w:eastAsia="es-ES"/>
        </w:rPr>
        <w:t xml:space="preserve"> tiene mayor capacidad, y por ende muy distinta en costos, al utilizado como referente en esa decisión, indicando que </w:t>
      </w:r>
      <w:proofErr w:type="spellStart"/>
      <w:r w:rsidRPr="005C71FD">
        <w:rPr>
          <w:rFonts w:ascii="Bookman Old Style" w:eastAsia="Times New Roman" w:hAnsi="Bookman Old Style" w:cs="Times New Roman"/>
          <w:sz w:val="24"/>
          <w:szCs w:val="24"/>
          <w:lang w:eastAsia="es-ES"/>
        </w:rPr>
        <w:t>Matakavi</w:t>
      </w:r>
      <w:proofErr w:type="spellEnd"/>
      <w:r w:rsidRPr="005C71FD">
        <w:rPr>
          <w:rFonts w:ascii="Bookman Old Style" w:eastAsia="Times New Roman" w:hAnsi="Bookman Old Style" w:cs="Times New Roman"/>
          <w:sz w:val="24"/>
          <w:szCs w:val="24"/>
          <w:lang w:eastAsia="es-ES"/>
        </w:rPr>
        <w:t xml:space="preserve"> es “9,76 veces más grande en SFV y 44,87 veces en Almacenamiento”.</w:t>
      </w:r>
    </w:p>
    <w:p w14:paraId="443443F0" w14:textId="77777777" w:rsidR="005C71FD" w:rsidRPr="005C71FD" w:rsidRDefault="005C71FD" w:rsidP="005C71FD">
      <w:pPr>
        <w:spacing w:after="0" w:line="240" w:lineRule="auto"/>
        <w:contextualSpacing/>
        <w:jc w:val="both"/>
        <w:rPr>
          <w:rFonts w:ascii="Bookman Old Style" w:eastAsia="Times New Roman" w:hAnsi="Bookman Old Style" w:cs="Times New Roman"/>
          <w:sz w:val="24"/>
          <w:szCs w:val="24"/>
          <w:lang w:eastAsia="es-ES"/>
        </w:rPr>
      </w:pPr>
    </w:p>
    <w:p w14:paraId="241F3701" w14:textId="5B0D68D9" w:rsidR="005C71FD" w:rsidRPr="005C71FD" w:rsidRDefault="005C71FD" w:rsidP="005C71FD">
      <w:pPr>
        <w:spacing w:after="0" w:line="240" w:lineRule="auto"/>
        <w:contextualSpacing/>
        <w:jc w:val="both"/>
        <w:rPr>
          <w:rFonts w:ascii="Bookman Old Style" w:eastAsia="Times New Roman" w:hAnsi="Bookman Old Style" w:cs="Times New Roman"/>
          <w:sz w:val="24"/>
          <w:szCs w:val="24"/>
          <w:lang w:eastAsia="es-ES"/>
        </w:rPr>
      </w:pPr>
      <w:r w:rsidRPr="005C71FD">
        <w:rPr>
          <w:rFonts w:ascii="Bookman Old Style" w:eastAsia="Times New Roman" w:hAnsi="Bookman Old Style" w:cs="Times New Roman"/>
          <w:sz w:val="24"/>
          <w:szCs w:val="24"/>
          <w:lang w:eastAsia="es-ES"/>
        </w:rPr>
        <w:t>Al respecto, entiende esta comisión que en el servicio público de energía eléctrica se presentan lo que en economía se denomina “economías de escala”, es decir</w:t>
      </w:r>
      <w:r w:rsidR="0094520E">
        <w:rPr>
          <w:rFonts w:ascii="Bookman Old Style" w:eastAsia="Times New Roman" w:hAnsi="Bookman Old Style" w:cs="Times New Roman"/>
          <w:sz w:val="24"/>
          <w:szCs w:val="24"/>
          <w:lang w:eastAsia="es-ES"/>
        </w:rPr>
        <w:t>,</w:t>
      </w:r>
      <w:r w:rsidRPr="005C71FD">
        <w:rPr>
          <w:rFonts w:ascii="Bookman Old Style" w:eastAsia="Times New Roman" w:hAnsi="Bookman Old Style" w:cs="Times New Roman"/>
          <w:sz w:val="24"/>
          <w:szCs w:val="24"/>
          <w:lang w:eastAsia="es-ES"/>
        </w:rPr>
        <w:t xml:space="preserve"> que a medida que se aumenta la producción, en este caso la generación de energía eléctrica, el costo por unidad producida disminuye. Dicho en otras palabras, entre más se produce, menor es el costo de producir una unidad. Lo anterior se presenta, entre otros, cuando es posible comprar insumos o equipos a gran escala, se disminuyen costos de financiación al acceder a líneas de crédito empresariales frente a otro tipo de carteras</w:t>
      </w:r>
      <w:r w:rsidR="0094520E">
        <w:rPr>
          <w:rFonts w:ascii="Bookman Old Style" w:eastAsia="Times New Roman" w:hAnsi="Bookman Old Style" w:cs="Times New Roman"/>
          <w:sz w:val="24"/>
          <w:szCs w:val="24"/>
          <w:lang w:eastAsia="es-ES"/>
        </w:rPr>
        <w:t>,</w:t>
      </w:r>
      <w:r w:rsidRPr="005C71FD">
        <w:rPr>
          <w:rFonts w:ascii="Bookman Old Style" w:eastAsia="Times New Roman" w:hAnsi="Bookman Old Style" w:cs="Times New Roman"/>
          <w:sz w:val="24"/>
          <w:szCs w:val="24"/>
          <w:lang w:eastAsia="es-ES"/>
        </w:rPr>
        <w:t xml:space="preserve"> o se tiene el aprovechamiento de rendimientos a escala derivado de una mayor capacidad instalada.</w:t>
      </w:r>
    </w:p>
    <w:p w14:paraId="5C8DF056" w14:textId="77777777" w:rsidR="005C71FD" w:rsidRPr="005C71FD" w:rsidRDefault="005C71FD" w:rsidP="005C71FD">
      <w:pPr>
        <w:spacing w:after="0" w:line="240" w:lineRule="auto"/>
        <w:contextualSpacing/>
        <w:jc w:val="both"/>
        <w:rPr>
          <w:rFonts w:ascii="Bookman Old Style" w:eastAsia="Times New Roman" w:hAnsi="Bookman Old Style" w:cs="Times New Roman"/>
          <w:sz w:val="24"/>
          <w:szCs w:val="24"/>
          <w:lang w:eastAsia="es-ES"/>
        </w:rPr>
      </w:pPr>
    </w:p>
    <w:p w14:paraId="4C49FE50" w14:textId="77777777" w:rsidR="005C71FD" w:rsidRPr="005C71FD" w:rsidRDefault="005C71FD" w:rsidP="005C71FD">
      <w:pPr>
        <w:spacing w:after="0" w:line="240" w:lineRule="auto"/>
        <w:contextualSpacing/>
        <w:jc w:val="both"/>
        <w:rPr>
          <w:rFonts w:ascii="Bookman Old Style" w:eastAsia="Times New Roman" w:hAnsi="Bookman Old Style" w:cs="Times New Roman"/>
          <w:sz w:val="24"/>
          <w:szCs w:val="24"/>
          <w:lang w:eastAsia="es-ES"/>
        </w:rPr>
      </w:pPr>
      <w:r w:rsidRPr="005C71FD">
        <w:rPr>
          <w:rFonts w:ascii="Bookman Old Style" w:eastAsia="Times New Roman" w:hAnsi="Bookman Old Style" w:cs="Times New Roman"/>
          <w:sz w:val="24"/>
          <w:szCs w:val="24"/>
          <w:lang w:eastAsia="es-ES"/>
        </w:rPr>
        <w:t>Es decir que, “</w:t>
      </w:r>
      <w:proofErr w:type="spellStart"/>
      <w:r w:rsidRPr="005C71FD">
        <w:rPr>
          <w:rFonts w:ascii="Bookman Old Style" w:eastAsia="Times New Roman" w:hAnsi="Bookman Old Style" w:cs="Times New Roman"/>
          <w:sz w:val="24"/>
          <w:szCs w:val="24"/>
          <w:lang w:eastAsia="es-ES"/>
        </w:rPr>
        <w:t>ceteris</w:t>
      </w:r>
      <w:proofErr w:type="spellEnd"/>
      <w:r w:rsidRPr="005C71FD">
        <w:rPr>
          <w:rFonts w:ascii="Bookman Old Style" w:eastAsia="Times New Roman" w:hAnsi="Bookman Old Style" w:cs="Times New Roman"/>
          <w:sz w:val="24"/>
          <w:szCs w:val="24"/>
          <w:lang w:eastAsia="es-ES"/>
        </w:rPr>
        <w:t xml:space="preserve"> </w:t>
      </w:r>
      <w:proofErr w:type="spellStart"/>
      <w:r w:rsidRPr="005C71FD">
        <w:rPr>
          <w:rFonts w:ascii="Bookman Old Style" w:eastAsia="Times New Roman" w:hAnsi="Bookman Old Style" w:cs="Times New Roman"/>
          <w:sz w:val="24"/>
          <w:szCs w:val="24"/>
          <w:lang w:eastAsia="es-ES"/>
        </w:rPr>
        <w:t>paribus</w:t>
      </w:r>
      <w:proofErr w:type="spellEnd"/>
      <w:r w:rsidRPr="005C71FD">
        <w:rPr>
          <w:rFonts w:ascii="Bookman Old Style" w:eastAsia="Times New Roman" w:hAnsi="Bookman Old Style" w:cs="Times New Roman"/>
          <w:sz w:val="24"/>
          <w:szCs w:val="24"/>
          <w:lang w:eastAsia="es-ES"/>
        </w:rPr>
        <w:t>”, el costo de generación de una unidad de energía, en nuestro caso de un kilovatio hora, debería ser menor cuando la misma se genera con un sistema que llega a ser “9,76 veces más grande en SFV y 44,87 veces en Almacenamiento” que otro.</w:t>
      </w:r>
    </w:p>
    <w:p w14:paraId="4DAE328E" w14:textId="77777777" w:rsidR="005C71FD" w:rsidRPr="005C71FD" w:rsidRDefault="005C71FD" w:rsidP="005C71FD">
      <w:pPr>
        <w:spacing w:after="0" w:line="240" w:lineRule="auto"/>
        <w:contextualSpacing/>
        <w:jc w:val="both"/>
        <w:rPr>
          <w:rFonts w:ascii="Bookman Old Style" w:eastAsia="Times New Roman" w:hAnsi="Bookman Old Style" w:cs="Times New Roman"/>
          <w:sz w:val="24"/>
          <w:szCs w:val="24"/>
          <w:lang w:eastAsia="es-ES"/>
        </w:rPr>
      </w:pPr>
    </w:p>
    <w:p w14:paraId="1B8C8373" w14:textId="424F0F2C" w:rsidR="0007741E" w:rsidRDefault="005C71FD" w:rsidP="005C71FD">
      <w:pPr>
        <w:spacing w:after="0" w:line="240" w:lineRule="auto"/>
        <w:contextualSpacing/>
        <w:jc w:val="both"/>
        <w:rPr>
          <w:rFonts w:ascii="Bookman Old Style" w:eastAsia="Times New Roman" w:hAnsi="Bookman Old Style" w:cs="Times New Roman"/>
          <w:sz w:val="24"/>
          <w:szCs w:val="24"/>
          <w:lang w:eastAsia="es-ES"/>
        </w:rPr>
      </w:pPr>
      <w:r w:rsidRPr="005C71FD">
        <w:rPr>
          <w:rFonts w:ascii="Bookman Old Style" w:eastAsia="Times New Roman" w:hAnsi="Bookman Old Style" w:cs="Times New Roman"/>
          <w:sz w:val="24"/>
          <w:szCs w:val="24"/>
          <w:lang w:eastAsia="es-ES"/>
        </w:rPr>
        <w:t>De lo anterior y considerando que, para la definición del cargo máximo de generación del mercado relevante de Mitú, algunos de los referentes de los costos típicos de operación se obtuvieron de un sistema de generación solar fotovoltaico con acumulación de menor potencia al presentado por DUE en su solicitud, se entiende que los costos de referencia utilizados, debidamente ajustados a las particularidades de la prestación del servicio en Mitú, permiten, no solo la recuperación los costos y gastos propios de operación, reposición y mantenimiento</w:t>
      </w:r>
      <w:r w:rsidR="0094520E">
        <w:rPr>
          <w:rFonts w:ascii="Bookman Old Style" w:eastAsia="Times New Roman" w:hAnsi="Bookman Old Style" w:cs="Times New Roman"/>
          <w:sz w:val="24"/>
          <w:szCs w:val="24"/>
          <w:lang w:eastAsia="es-ES"/>
        </w:rPr>
        <w:t>,</w:t>
      </w:r>
      <w:r w:rsidRPr="005C71FD">
        <w:rPr>
          <w:rFonts w:ascii="Bookman Old Style" w:eastAsia="Times New Roman" w:hAnsi="Bookman Old Style" w:cs="Times New Roman"/>
          <w:sz w:val="24"/>
          <w:szCs w:val="24"/>
          <w:lang w:eastAsia="es-ES"/>
        </w:rPr>
        <w:t xml:space="preserve"> y remunerar el patrimonio de potenciales inversionistas, de una forma eficiente, en línea con el riesgo de esta actividad, sino que</w:t>
      </w:r>
      <w:r w:rsidR="0094520E">
        <w:rPr>
          <w:rFonts w:ascii="Bookman Old Style" w:eastAsia="Times New Roman" w:hAnsi="Bookman Old Style" w:cs="Times New Roman"/>
          <w:sz w:val="24"/>
          <w:szCs w:val="24"/>
          <w:lang w:eastAsia="es-ES"/>
        </w:rPr>
        <w:t>,</w:t>
      </w:r>
      <w:r w:rsidRPr="005C71FD">
        <w:rPr>
          <w:rFonts w:ascii="Bookman Old Style" w:eastAsia="Times New Roman" w:hAnsi="Bookman Old Style" w:cs="Times New Roman"/>
          <w:sz w:val="24"/>
          <w:szCs w:val="24"/>
          <w:lang w:eastAsia="es-ES"/>
        </w:rPr>
        <w:t xml:space="preserve"> adicionalmente</w:t>
      </w:r>
      <w:r w:rsidR="0094520E">
        <w:rPr>
          <w:rFonts w:ascii="Bookman Old Style" w:eastAsia="Times New Roman" w:hAnsi="Bookman Old Style" w:cs="Times New Roman"/>
          <w:sz w:val="24"/>
          <w:szCs w:val="24"/>
          <w:lang w:eastAsia="es-ES"/>
        </w:rPr>
        <w:t>,</w:t>
      </w:r>
      <w:r w:rsidRPr="005C71FD">
        <w:rPr>
          <w:rFonts w:ascii="Bookman Old Style" w:eastAsia="Times New Roman" w:hAnsi="Bookman Old Style" w:cs="Times New Roman"/>
          <w:sz w:val="24"/>
          <w:szCs w:val="24"/>
          <w:lang w:eastAsia="es-ES"/>
        </w:rPr>
        <w:t xml:space="preserve"> le permiten a las empresas “apropiarse los beneficios de la mayor eficiencia”, tal como lo tiene previsto la Ley.</w:t>
      </w:r>
    </w:p>
    <w:p w14:paraId="3A7FADB7" w14:textId="4F381594" w:rsidR="005C71FD" w:rsidRDefault="005C71FD" w:rsidP="002A13DB">
      <w:pPr>
        <w:spacing w:after="0" w:line="240" w:lineRule="auto"/>
        <w:contextualSpacing/>
        <w:jc w:val="both"/>
        <w:rPr>
          <w:rFonts w:ascii="Bookman Old Style" w:eastAsia="Times New Roman" w:hAnsi="Bookman Old Style" w:cs="Times New Roman"/>
          <w:sz w:val="24"/>
          <w:szCs w:val="24"/>
          <w:lang w:eastAsia="es-ES"/>
        </w:rPr>
      </w:pPr>
    </w:p>
    <w:p w14:paraId="35A0AF46" w14:textId="08E8050B" w:rsidR="005C71FD" w:rsidRDefault="00435A42" w:rsidP="002A13DB">
      <w:pPr>
        <w:spacing w:after="0" w:line="240" w:lineRule="auto"/>
        <w:contextualSpacing/>
        <w:jc w:val="both"/>
        <w:rPr>
          <w:rFonts w:ascii="Bookman Old Style" w:eastAsia="Times New Roman" w:hAnsi="Bookman Old Style" w:cs="Times New Roman"/>
          <w:sz w:val="24"/>
          <w:szCs w:val="24"/>
          <w:lang w:eastAsia="es-ES"/>
        </w:rPr>
      </w:pPr>
      <w:r>
        <w:rPr>
          <w:rFonts w:ascii="Bookman Old Style" w:eastAsia="Times New Roman" w:hAnsi="Bookman Old Style" w:cs="Times New Roman"/>
          <w:sz w:val="24"/>
          <w:szCs w:val="24"/>
          <w:lang w:eastAsia="es-ES"/>
        </w:rPr>
        <w:t>A continuación, bajo estas consideraciones, se analizan uno a uno los argumentos presentados en el recurso, en lo referente a los costos reconocidos en la definición del cargo máximo de generación para el mercado relevante de la cabecera municipal de Mitú.</w:t>
      </w:r>
    </w:p>
    <w:p w14:paraId="01382044" w14:textId="77777777" w:rsidR="0007741E" w:rsidRDefault="0007741E" w:rsidP="002A13DB">
      <w:pPr>
        <w:spacing w:after="0" w:line="240" w:lineRule="auto"/>
        <w:contextualSpacing/>
        <w:jc w:val="both"/>
        <w:rPr>
          <w:rFonts w:ascii="Bookman Old Style" w:eastAsia="Times New Roman" w:hAnsi="Bookman Old Style" w:cs="Times New Roman"/>
          <w:sz w:val="24"/>
          <w:szCs w:val="24"/>
          <w:lang w:eastAsia="es-ES"/>
        </w:rPr>
      </w:pPr>
    </w:p>
    <w:p w14:paraId="055334C7" w14:textId="5996C185" w:rsidR="00DA739E" w:rsidRDefault="00A71B6B" w:rsidP="002A13DB">
      <w:pPr>
        <w:spacing w:after="0" w:line="240" w:lineRule="auto"/>
        <w:contextualSpacing/>
        <w:jc w:val="both"/>
        <w:rPr>
          <w:rFonts w:ascii="Bookman Old Style" w:eastAsia="Times New Roman" w:hAnsi="Bookman Old Style" w:cs="Times New Roman"/>
          <w:b/>
          <w:i/>
          <w:sz w:val="24"/>
          <w:szCs w:val="24"/>
          <w:lang w:eastAsia="es-ES"/>
        </w:rPr>
      </w:pPr>
      <w:r w:rsidRPr="00A71B6B">
        <w:rPr>
          <w:rFonts w:ascii="Bookman Old Style" w:eastAsia="Times New Roman" w:hAnsi="Bookman Old Style" w:cs="Times New Roman"/>
          <w:b/>
          <w:bCs/>
          <w:i/>
          <w:iCs/>
          <w:sz w:val="24"/>
          <w:szCs w:val="24"/>
          <w:lang w:eastAsia="es-ES"/>
        </w:rPr>
        <w:t>4.1. Costos indirectos</w:t>
      </w:r>
      <w:r w:rsidR="008E7AAA">
        <w:rPr>
          <w:rFonts w:ascii="Bookman Old Style" w:eastAsia="Times New Roman" w:hAnsi="Bookman Old Style" w:cs="Times New Roman"/>
          <w:b/>
          <w:bCs/>
          <w:i/>
          <w:iCs/>
          <w:sz w:val="24"/>
          <w:szCs w:val="24"/>
          <w:lang w:eastAsia="es-ES"/>
        </w:rPr>
        <w:t xml:space="preserve"> </w:t>
      </w:r>
    </w:p>
    <w:p w14:paraId="1CC8C840" w14:textId="75ABDD8E" w:rsidR="00A71B6B" w:rsidRPr="0007741E" w:rsidRDefault="00A71B6B" w:rsidP="002A13DB">
      <w:pPr>
        <w:spacing w:after="0" w:line="240" w:lineRule="auto"/>
        <w:contextualSpacing/>
        <w:jc w:val="both"/>
        <w:rPr>
          <w:rFonts w:ascii="Bookman Old Style" w:eastAsia="Times New Roman" w:hAnsi="Bookman Old Style" w:cs="Times New Roman"/>
          <w:sz w:val="24"/>
          <w:szCs w:val="24"/>
          <w:lang w:eastAsia="es-ES"/>
        </w:rPr>
      </w:pPr>
    </w:p>
    <w:p w14:paraId="0BD28617" w14:textId="77777777" w:rsidR="000A7EFD" w:rsidRPr="000A7EFD" w:rsidRDefault="000A7EFD" w:rsidP="000A7EFD">
      <w:pPr>
        <w:spacing w:after="0" w:line="240" w:lineRule="auto"/>
        <w:contextualSpacing/>
        <w:jc w:val="both"/>
        <w:rPr>
          <w:rFonts w:ascii="Bookman Old Style" w:eastAsia="Times New Roman" w:hAnsi="Bookman Old Style" w:cs="Times New Roman"/>
          <w:sz w:val="24"/>
          <w:szCs w:val="24"/>
          <w:lang w:eastAsia="es-ES"/>
        </w:rPr>
      </w:pPr>
      <w:r w:rsidRPr="000A7EFD">
        <w:rPr>
          <w:rFonts w:ascii="Bookman Old Style" w:eastAsia="Times New Roman" w:hAnsi="Bookman Old Style" w:cs="Times New Roman"/>
          <w:sz w:val="24"/>
          <w:szCs w:val="24"/>
          <w:lang w:eastAsia="es-ES"/>
        </w:rPr>
        <w:t>Se identifica en la revisión de los costos presentados por DUE, adelantada por esta Comisión, que se relacionan una serie de conceptos que exceden los niveles eficientes de referencia adoptados por esta Comisión, al decidir en otras solicitudes de similar naturaleza. En particular, sobre los costos indirectos, se ha tomado como nivel de eficiencia el equivalente al 10.5% del valor de la inversión, CAPEX, con el cual se identifica que es posible atender una serie de gastos asociados a la etapa preoperativa y de montaje de una planta de generación, entre otros, los de interventoría, administración delegada y certificación RETIE, así como otros de licenciamiento, estudios y alistamiento del terreno.</w:t>
      </w:r>
    </w:p>
    <w:p w14:paraId="266ED256" w14:textId="77777777" w:rsidR="000A7EFD" w:rsidRPr="000A7EFD" w:rsidRDefault="000A7EFD" w:rsidP="000A7EFD">
      <w:pPr>
        <w:spacing w:after="0" w:line="240" w:lineRule="auto"/>
        <w:contextualSpacing/>
        <w:jc w:val="both"/>
        <w:rPr>
          <w:rFonts w:ascii="Bookman Old Style" w:eastAsia="Times New Roman" w:hAnsi="Bookman Old Style" w:cs="Times New Roman"/>
          <w:sz w:val="24"/>
          <w:szCs w:val="24"/>
          <w:lang w:eastAsia="es-ES"/>
        </w:rPr>
      </w:pPr>
    </w:p>
    <w:p w14:paraId="0487E6A4" w14:textId="593784B0" w:rsidR="000A7EFD" w:rsidRPr="000A7EFD" w:rsidRDefault="000A7EFD" w:rsidP="000A7EFD">
      <w:pPr>
        <w:spacing w:after="0" w:line="240" w:lineRule="auto"/>
        <w:contextualSpacing/>
        <w:jc w:val="both"/>
        <w:rPr>
          <w:rFonts w:ascii="Bookman Old Style" w:eastAsia="Times New Roman" w:hAnsi="Bookman Old Style" w:cs="Times New Roman"/>
          <w:sz w:val="24"/>
          <w:szCs w:val="24"/>
          <w:lang w:eastAsia="es-ES"/>
        </w:rPr>
      </w:pPr>
      <w:r w:rsidRPr="000A7EFD">
        <w:rPr>
          <w:rFonts w:ascii="Bookman Old Style" w:eastAsia="Times New Roman" w:hAnsi="Bookman Old Style" w:cs="Times New Roman"/>
          <w:sz w:val="24"/>
          <w:szCs w:val="24"/>
          <w:lang w:eastAsia="es-ES"/>
        </w:rPr>
        <w:t>En la medida en que las fórmulas tarifarias y, en consecuencia, los cargos máximos aprobados por esta Comisión</w:t>
      </w:r>
      <w:r w:rsidR="0094520E">
        <w:rPr>
          <w:rFonts w:ascii="Bookman Old Style" w:eastAsia="Times New Roman" w:hAnsi="Bookman Old Style" w:cs="Times New Roman"/>
          <w:sz w:val="24"/>
          <w:szCs w:val="24"/>
          <w:lang w:eastAsia="es-ES"/>
        </w:rPr>
        <w:t>,</w:t>
      </w:r>
      <w:r w:rsidRPr="000A7EFD">
        <w:rPr>
          <w:rFonts w:ascii="Bookman Old Style" w:eastAsia="Times New Roman" w:hAnsi="Bookman Old Style" w:cs="Times New Roman"/>
          <w:sz w:val="24"/>
          <w:szCs w:val="24"/>
          <w:lang w:eastAsia="es-ES"/>
        </w:rPr>
        <w:t xml:space="preserve"> se definen en línea con los criterios tarifarios que establece la misma ley, los cargos que hoy en día se encuentran vigente</w:t>
      </w:r>
      <w:r w:rsidR="0094520E">
        <w:rPr>
          <w:rFonts w:ascii="Bookman Old Style" w:eastAsia="Times New Roman" w:hAnsi="Bookman Old Style" w:cs="Times New Roman"/>
          <w:sz w:val="24"/>
          <w:szCs w:val="24"/>
          <w:lang w:eastAsia="es-ES"/>
        </w:rPr>
        <w:t>s</w:t>
      </w:r>
      <w:r w:rsidRPr="000A7EFD">
        <w:rPr>
          <w:rFonts w:ascii="Bookman Old Style" w:eastAsia="Times New Roman" w:hAnsi="Bookman Old Style" w:cs="Times New Roman"/>
          <w:sz w:val="24"/>
          <w:szCs w:val="24"/>
          <w:lang w:eastAsia="es-ES"/>
        </w:rPr>
        <w:t xml:space="preserve"> se presumen legales y, de esta manera, los costos de referencia allí utilizados cumplen, entre otros, con los criterios de eficiencia económica, se aproximan a lo que serían los precios de un mercado competitivo sin trasladar a los usuarios costos de una gestión ineficiente, y de suficiencia financiera, permiten la recuperación de los costos y gastos propios de operación, la expansión, la reposición y el mantenimiento</w:t>
      </w:r>
      <w:r w:rsidR="0094520E">
        <w:rPr>
          <w:rFonts w:ascii="Bookman Old Style" w:eastAsia="Times New Roman" w:hAnsi="Bookman Old Style" w:cs="Times New Roman"/>
          <w:sz w:val="24"/>
          <w:szCs w:val="24"/>
          <w:lang w:eastAsia="es-ES"/>
        </w:rPr>
        <w:t>,</w:t>
      </w:r>
      <w:r w:rsidRPr="000A7EFD">
        <w:rPr>
          <w:rFonts w:ascii="Bookman Old Style" w:eastAsia="Times New Roman" w:hAnsi="Bookman Old Style" w:cs="Times New Roman"/>
          <w:sz w:val="24"/>
          <w:szCs w:val="24"/>
          <w:lang w:eastAsia="es-ES"/>
        </w:rPr>
        <w:t xml:space="preserve"> y permiten remunerar el patrimonio de los accionistas en la misma forma en la que lo habría remunerado una empresa eficiente en un sector de riesgo comparable.</w:t>
      </w:r>
    </w:p>
    <w:p w14:paraId="6CA7DA4C" w14:textId="77777777" w:rsidR="000A7EFD" w:rsidRPr="000A7EFD" w:rsidRDefault="000A7EFD" w:rsidP="000A7EFD">
      <w:pPr>
        <w:spacing w:after="0" w:line="240" w:lineRule="auto"/>
        <w:contextualSpacing/>
        <w:jc w:val="both"/>
        <w:rPr>
          <w:rFonts w:ascii="Bookman Old Style" w:eastAsia="Times New Roman" w:hAnsi="Bookman Old Style" w:cs="Times New Roman"/>
          <w:sz w:val="24"/>
          <w:szCs w:val="24"/>
          <w:lang w:eastAsia="es-ES"/>
        </w:rPr>
      </w:pPr>
    </w:p>
    <w:p w14:paraId="7E6E82B4" w14:textId="41EA3E90" w:rsidR="000A7EFD" w:rsidRPr="000A7EFD" w:rsidRDefault="000A7EFD" w:rsidP="000A7EFD">
      <w:pPr>
        <w:spacing w:after="0" w:line="240" w:lineRule="auto"/>
        <w:contextualSpacing/>
        <w:jc w:val="both"/>
        <w:rPr>
          <w:rFonts w:ascii="Bookman Old Style" w:eastAsia="Times New Roman" w:hAnsi="Bookman Old Style" w:cs="Times New Roman"/>
          <w:sz w:val="24"/>
          <w:szCs w:val="24"/>
          <w:lang w:eastAsia="es-ES"/>
        </w:rPr>
      </w:pPr>
      <w:r w:rsidRPr="000A7EFD">
        <w:rPr>
          <w:rFonts w:ascii="Bookman Old Style" w:eastAsia="Times New Roman" w:hAnsi="Bookman Old Style" w:cs="Times New Roman"/>
          <w:sz w:val="24"/>
          <w:szCs w:val="24"/>
          <w:lang w:eastAsia="es-ES"/>
        </w:rPr>
        <w:t>Se identifica</w:t>
      </w:r>
      <w:r w:rsidR="0094520E">
        <w:rPr>
          <w:rFonts w:ascii="Bookman Old Style" w:eastAsia="Times New Roman" w:hAnsi="Bookman Old Style" w:cs="Times New Roman"/>
          <w:sz w:val="24"/>
          <w:szCs w:val="24"/>
          <w:lang w:eastAsia="es-ES"/>
        </w:rPr>
        <w:t>n</w:t>
      </w:r>
      <w:r w:rsidRPr="000A7EFD">
        <w:rPr>
          <w:rFonts w:ascii="Bookman Old Style" w:eastAsia="Times New Roman" w:hAnsi="Bookman Old Style" w:cs="Times New Roman"/>
          <w:sz w:val="24"/>
          <w:szCs w:val="24"/>
          <w:lang w:eastAsia="es-ES"/>
        </w:rPr>
        <w:t xml:space="preserve"> adicionalmente una serie de gastos que hace sentido presentarlos, en la forma en que los relaciona DUE en su solicitud, cuando se estructura o vende un proyecto. No obstante, se reitera que la decisión adoptada por esta Comisión corresponde a la de definir el costo eficiente de prestación de un servicio, en este caso el de energía eléctrica.</w:t>
      </w:r>
    </w:p>
    <w:p w14:paraId="70991F36" w14:textId="77777777" w:rsidR="000A7EFD" w:rsidRPr="000A7EFD" w:rsidRDefault="000A7EFD" w:rsidP="000A7EFD">
      <w:pPr>
        <w:spacing w:after="0" w:line="240" w:lineRule="auto"/>
        <w:contextualSpacing/>
        <w:jc w:val="both"/>
        <w:rPr>
          <w:rFonts w:ascii="Bookman Old Style" w:eastAsia="Times New Roman" w:hAnsi="Bookman Old Style" w:cs="Times New Roman"/>
          <w:sz w:val="24"/>
          <w:szCs w:val="24"/>
          <w:lang w:eastAsia="es-ES"/>
        </w:rPr>
      </w:pPr>
    </w:p>
    <w:p w14:paraId="3D4F4325" w14:textId="029410A2" w:rsidR="000A7EFD" w:rsidRPr="000A7EFD" w:rsidRDefault="000A7EFD" w:rsidP="000A7EFD">
      <w:pPr>
        <w:spacing w:after="0" w:line="240" w:lineRule="auto"/>
        <w:contextualSpacing/>
        <w:jc w:val="both"/>
        <w:rPr>
          <w:rFonts w:ascii="Bookman Old Style" w:eastAsia="Times New Roman" w:hAnsi="Bookman Old Style" w:cs="Times New Roman"/>
          <w:sz w:val="24"/>
          <w:szCs w:val="24"/>
          <w:lang w:eastAsia="es-ES"/>
        </w:rPr>
      </w:pPr>
      <w:r w:rsidRPr="000A7EFD">
        <w:rPr>
          <w:rFonts w:ascii="Bookman Old Style" w:eastAsia="Times New Roman" w:hAnsi="Bookman Old Style" w:cs="Times New Roman"/>
          <w:sz w:val="24"/>
          <w:szCs w:val="24"/>
          <w:lang w:eastAsia="es-ES"/>
        </w:rPr>
        <w:t>De lo anterior se tiene que, aunque la mayoría de elementos considerados en la estructuración de un proyecto y la definición de los costos de prestación de un servicio son iguales, especialmente en lo relacionado con el costo de los equipos o de las actividades para su operación y mantenimiento</w:t>
      </w:r>
      <w:r w:rsidR="0094520E">
        <w:rPr>
          <w:rFonts w:ascii="Bookman Old Style" w:eastAsia="Times New Roman" w:hAnsi="Bookman Old Style" w:cs="Times New Roman"/>
          <w:sz w:val="24"/>
          <w:szCs w:val="24"/>
          <w:lang w:eastAsia="es-ES"/>
        </w:rPr>
        <w:t>,</w:t>
      </w:r>
      <w:r w:rsidRPr="000A7EFD">
        <w:rPr>
          <w:rFonts w:ascii="Bookman Old Style" w:eastAsia="Times New Roman" w:hAnsi="Bookman Old Style" w:cs="Times New Roman"/>
          <w:sz w:val="24"/>
          <w:szCs w:val="24"/>
          <w:lang w:eastAsia="es-ES"/>
        </w:rPr>
        <w:t xml:space="preserve"> otros elementos son conceptualmente distintos: la forma en que se incorpora y reconoce cada uno de los elementos de costo y de remuneración; o quiénes son las partes involucradas, por ejemplo en un proyecto se tienen a posibles estructuradores e inversionista</w:t>
      </w:r>
      <w:r w:rsidR="00417044">
        <w:rPr>
          <w:rFonts w:ascii="Bookman Old Style" w:eastAsia="Times New Roman" w:hAnsi="Bookman Old Style" w:cs="Times New Roman"/>
          <w:sz w:val="24"/>
          <w:szCs w:val="24"/>
          <w:lang w:eastAsia="es-ES"/>
        </w:rPr>
        <w:t>s</w:t>
      </w:r>
      <w:r w:rsidRPr="000A7EFD">
        <w:rPr>
          <w:rFonts w:ascii="Bookman Old Style" w:eastAsia="Times New Roman" w:hAnsi="Bookman Old Style" w:cs="Times New Roman"/>
          <w:sz w:val="24"/>
          <w:szCs w:val="24"/>
          <w:lang w:eastAsia="es-ES"/>
        </w:rPr>
        <w:t>, mientras que desde la perspectiva de la prestación del servicio se tienen a empresas prestadoras y usuarios.</w:t>
      </w:r>
    </w:p>
    <w:p w14:paraId="24CFA4E8" w14:textId="77777777" w:rsidR="000A7EFD" w:rsidRPr="000A7EFD" w:rsidRDefault="000A7EFD" w:rsidP="000A7EFD">
      <w:pPr>
        <w:spacing w:after="0" w:line="240" w:lineRule="auto"/>
        <w:contextualSpacing/>
        <w:jc w:val="both"/>
        <w:rPr>
          <w:rFonts w:ascii="Bookman Old Style" w:eastAsia="Times New Roman" w:hAnsi="Bookman Old Style" w:cs="Times New Roman"/>
          <w:sz w:val="24"/>
          <w:szCs w:val="24"/>
          <w:lang w:eastAsia="es-ES"/>
        </w:rPr>
      </w:pPr>
    </w:p>
    <w:p w14:paraId="4CF6102D" w14:textId="6C64AF50" w:rsidR="000A7EFD" w:rsidRPr="000A7EFD" w:rsidRDefault="000A7EFD" w:rsidP="000A7EFD">
      <w:pPr>
        <w:spacing w:after="0" w:line="240" w:lineRule="auto"/>
        <w:contextualSpacing/>
        <w:jc w:val="both"/>
        <w:rPr>
          <w:rFonts w:ascii="Bookman Old Style" w:eastAsia="Times New Roman" w:hAnsi="Bookman Old Style" w:cs="Times New Roman"/>
          <w:sz w:val="24"/>
          <w:szCs w:val="24"/>
          <w:lang w:eastAsia="es-ES"/>
        </w:rPr>
      </w:pPr>
      <w:r w:rsidRPr="000A7EFD">
        <w:rPr>
          <w:rFonts w:ascii="Bookman Old Style" w:eastAsia="Times New Roman" w:hAnsi="Bookman Old Style" w:cs="Times New Roman"/>
          <w:sz w:val="24"/>
          <w:szCs w:val="24"/>
          <w:lang w:eastAsia="es-ES"/>
        </w:rPr>
        <w:t>En ese orden de ideas, temas como el reconocimiento de los costos de financiación o la remuneración del capital propio se presentan de manera distinta en ambos casos. Por ejemplo, con respecto a los gastos financieros, en la información presentada por DUE se incluyen</w:t>
      </w:r>
      <w:r w:rsidR="00DB2F47">
        <w:rPr>
          <w:rFonts w:ascii="Bookman Old Style" w:eastAsia="Times New Roman" w:hAnsi="Bookman Old Style" w:cs="Times New Roman"/>
          <w:sz w:val="24"/>
          <w:szCs w:val="24"/>
          <w:lang w:eastAsia="es-ES"/>
        </w:rPr>
        <w:t>,</w:t>
      </w:r>
      <w:r w:rsidRPr="000A7EFD">
        <w:rPr>
          <w:rFonts w:ascii="Bookman Old Style" w:eastAsia="Times New Roman" w:hAnsi="Bookman Old Style" w:cs="Times New Roman"/>
          <w:sz w:val="24"/>
          <w:szCs w:val="24"/>
          <w:lang w:eastAsia="es-ES"/>
        </w:rPr>
        <w:t xml:space="preserve"> de manera explícita, en función de la salida de efectivo que los mismos pudieran generar, conceptos como: Estudio de factibilidad financiera, corretaje de los recursos financieros, comisión de desembolso de crédito, entre otros.</w:t>
      </w:r>
    </w:p>
    <w:p w14:paraId="16D77B85" w14:textId="77777777" w:rsidR="000A7EFD" w:rsidRPr="000A7EFD" w:rsidRDefault="000A7EFD" w:rsidP="000A7EFD">
      <w:pPr>
        <w:spacing w:after="0" w:line="240" w:lineRule="auto"/>
        <w:contextualSpacing/>
        <w:jc w:val="both"/>
        <w:rPr>
          <w:rFonts w:ascii="Bookman Old Style" w:eastAsia="Times New Roman" w:hAnsi="Bookman Old Style" w:cs="Times New Roman"/>
          <w:sz w:val="24"/>
          <w:szCs w:val="24"/>
          <w:lang w:eastAsia="es-ES"/>
        </w:rPr>
      </w:pPr>
    </w:p>
    <w:p w14:paraId="63AA69BE" w14:textId="2840BA7B" w:rsidR="000A7EFD" w:rsidRPr="000A7EFD" w:rsidRDefault="000A7EFD" w:rsidP="000A7EFD">
      <w:pPr>
        <w:spacing w:after="0" w:line="240" w:lineRule="auto"/>
        <w:contextualSpacing/>
        <w:jc w:val="both"/>
        <w:rPr>
          <w:rFonts w:ascii="Bookman Old Style" w:eastAsia="Times New Roman" w:hAnsi="Bookman Old Style" w:cs="Times New Roman"/>
          <w:sz w:val="24"/>
          <w:szCs w:val="24"/>
          <w:lang w:eastAsia="es-ES"/>
        </w:rPr>
      </w:pPr>
      <w:r w:rsidRPr="000A7EFD">
        <w:rPr>
          <w:rFonts w:ascii="Bookman Old Style" w:eastAsia="Times New Roman" w:hAnsi="Bookman Old Style" w:cs="Times New Roman"/>
          <w:sz w:val="24"/>
          <w:szCs w:val="24"/>
          <w:lang w:eastAsia="es-ES"/>
        </w:rPr>
        <w:t>De otro lado, se presentan</w:t>
      </w:r>
      <w:r w:rsidR="00DB2F47">
        <w:rPr>
          <w:rFonts w:ascii="Bookman Old Style" w:eastAsia="Times New Roman" w:hAnsi="Bookman Old Style" w:cs="Times New Roman"/>
          <w:sz w:val="24"/>
          <w:szCs w:val="24"/>
          <w:lang w:eastAsia="es-ES"/>
        </w:rPr>
        <w:t>,</w:t>
      </w:r>
      <w:r w:rsidRPr="000A7EFD">
        <w:rPr>
          <w:rFonts w:ascii="Bookman Old Style" w:eastAsia="Times New Roman" w:hAnsi="Bookman Old Style" w:cs="Times New Roman"/>
          <w:sz w:val="24"/>
          <w:szCs w:val="24"/>
          <w:lang w:eastAsia="es-ES"/>
        </w:rPr>
        <w:t xml:space="preserve"> en relación con la remuneración del capital propio</w:t>
      </w:r>
      <w:r w:rsidR="00DB2F47">
        <w:rPr>
          <w:rFonts w:ascii="Bookman Old Style" w:eastAsia="Times New Roman" w:hAnsi="Bookman Old Style" w:cs="Times New Roman"/>
          <w:sz w:val="24"/>
          <w:szCs w:val="24"/>
          <w:lang w:eastAsia="es-ES"/>
        </w:rPr>
        <w:t>,</w:t>
      </w:r>
      <w:r w:rsidRPr="000A7EFD">
        <w:rPr>
          <w:rFonts w:ascii="Bookman Old Style" w:eastAsia="Times New Roman" w:hAnsi="Bookman Old Style" w:cs="Times New Roman"/>
          <w:sz w:val="24"/>
          <w:szCs w:val="24"/>
          <w:lang w:eastAsia="es-ES"/>
        </w:rPr>
        <w:t xml:space="preserve"> conceptos como: Gestión DUE Capital, Gestión QSE y utilidades, propiamente del que pueda ser un futuro operador del proyecto. Al respecto, se reitera lo anteriormente mencionado, en relación con que el desarrollo de las actividades de prestación del servicio, entre las que se cuenta la de generación de energía eléctrica, son adelantadas por cuenta y riesgo de las empresas y, en ese sentido, es el prestador del servicio, a partir de la señal de remuneración definida por esta Comisión al establecer los cargo</w:t>
      </w:r>
      <w:r w:rsidR="00365B55">
        <w:rPr>
          <w:rFonts w:ascii="Bookman Old Style" w:eastAsia="Times New Roman" w:hAnsi="Bookman Old Style" w:cs="Times New Roman"/>
          <w:sz w:val="24"/>
          <w:szCs w:val="24"/>
          <w:lang w:eastAsia="es-ES"/>
        </w:rPr>
        <w:t>s</w:t>
      </w:r>
      <w:r w:rsidRPr="000A7EFD">
        <w:rPr>
          <w:rFonts w:ascii="Bookman Old Style" w:eastAsia="Times New Roman" w:hAnsi="Bookman Old Style" w:cs="Times New Roman"/>
          <w:sz w:val="24"/>
          <w:szCs w:val="24"/>
          <w:lang w:eastAsia="es-ES"/>
        </w:rPr>
        <w:t xml:space="preserve"> máximos de generación trasladables al usuario, quien identifica y selecciona la mejor forma de adelantar la construcción, instalación y operación de una central de generación y, en consecuencia, cómo se distribuye la remuneración del componente de inversiones, en el cual se remunera el capital propio, entre quienes hayan participado, sea que todo fue acometido directamente por el prestador del servicio</w:t>
      </w:r>
      <w:r w:rsidR="00DB2F47">
        <w:rPr>
          <w:rFonts w:ascii="Bookman Old Style" w:eastAsia="Times New Roman" w:hAnsi="Bookman Old Style" w:cs="Times New Roman"/>
          <w:sz w:val="24"/>
          <w:szCs w:val="24"/>
          <w:lang w:eastAsia="es-ES"/>
        </w:rPr>
        <w:t>,</w:t>
      </w:r>
      <w:r w:rsidRPr="000A7EFD">
        <w:rPr>
          <w:rFonts w:ascii="Bookman Old Style" w:eastAsia="Times New Roman" w:hAnsi="Bookman Old Style" w:cs="Times New Roman"/>
          <w:sz w:val="24"/>
          <w:szCs w:val="24"/>
          <w:lang w:eastAsia="es-ES"/>
        </w:rPr>
        <w:t xml:space="preserve"> o se valió de la ayuda de terceros para estructurar un proyecto</w:t>
      </w:r>
      <w:r w:rsidR="00DB2F47">
        <w:rPr>
          <w:rFonts w:ascii="Bookman Old Style" w:eastAsia="Times New Roman" w:hAnsi="Bookman Old Style" w:cs="Times New Roman"/>
          <w:sz w:val="24"/>
          <w:szCs w:val="24"/>
          <w:lang w:eastAsia="es-ES"/>
        </w:rPr>
        <w:t>,</w:t>
      </w:r>
      <w:r w:rsidRPr="000A7EFD">
        <w:rPr>
          <w:rFonts w:ascii="Bookman Old Style" w:eastAsia="Times New Roman" w:hAnsi="Bookman Old Style" w:cs="Times New Roman"/>
          <w:sz w:val="24"/>
          <w:szCs w:val="24"/>
          <w:lang w:eastAsia="es-ES"/>
        </w:rPr>
        <w:t xml:space="preserve"> o haya implementado otro tipo de esquemas de vinculación de capital.</w:t>
      </w:r>
    </w:p>
    <w:p w14:paraId="1BA7825B" w14:textId="77777777" w:rsidR="000A7EFD" w:rsidRPr="000A7EFD" w:rsidRDefault="000A7EFD" w:rsidP="000A7EFD">
      <w:pPr>
        <w:spacing w:after="0" w:line="240" w:lineRule="auto"/>
        <w:contextualSpacing/>
        <w:jc w:val="both"/>
        <w:rPr>
          <w:rFonts w:ascii="Bookman Old Style" w:eastAsia="Times New Roman" w:hAnsi="Bookman Old Style" w:cs="Times New Roman"/>
          <w:sz w:val="24"/>
          <w:szCs w:val="24"/>
          <w:lang w:eastAsia="es-ES"/>
        </w:rPr>
      </w:pPr>
    </w:p>
    <w:p w14:paraId="044098DB" w14:textId="1B722F17" w:rsidR="000A7EFD" w:rsidRPr="000A7EFD" w:rsidRDefault="000A7EFD" w:rsidP="000A7EFD">
      <w:pPr>
        <w:spacing w:after="0" w:line="240" w:lineRule="auto"/>
        <w:contextualSpacing/>
        <w:jc w:val="both"/>
        <w:rPr>
          <w:rFonts w:ascii="Bookman Old Style" w:eastAsia="Times New Roman" w:hAnsi="Bookman Old Style" w:cs="Times New Roman"/>
          <w:sz w:val="24"/>
          <w:szCs w:val="24"/>
          <w:lang w:eastAsia="es-ES"/>
        </w:rPr>
      </w:pPr>
      <w:r w:rsidRPr="000A7EFD">
        <w:rPr>
          <w:rFonts w:ascii="Bookman Old Style" w:eastAsia="Times New Roman" w:hAnsi="Bookman Old Style" w:cs="Times New Roman"/>
          <w:sz w:val="24"/>
          <w:szCs w:val="24"/>
          <w:lang w:eastAsia="es-ES"/>
        </w:rPr>
        <w:t>Complementando lo anterior, la remuneración de los componentes tratados, costos de financiación y remuneración al capital propio</w:t>
      </w:r>
      <w:r w:rsidR="00DB2F47">
        <w:rPr>
          <w:rFonts w:ascii="Bookman Old Style" w:eastAsia="Times New Roman" w:hAnsi="Bookman Old Style" w:cs="Times New Roman"/>
          <w:sz w:val="24"/>
          <w:szCs w:val="24"/>
          <w:lang w:eastAsia="es-ES"/>
        </w:rPr>
        <w:t>,</w:t>
      </w:r>
      <w:r w:rsidRPr="000A7EFD">
        <w:rPr>
          <w:rFonts w:ascii="Bookman Old Style" w:eastAsia="Times New Roman" w:hAnsi="Bookman Old Style" w:cs="Times New Roman"/>
          <w:sz w:val="24"/>
          <w:szCs w:val="24"/>
          <w:lang w:eastAsia="es-ES"/>
        </w:rPr>
        <w:t xml:space="preserve"> no hacen parte de la estimación de las inversiones o del componente de administración operación y mantenimiento</w:t>
      </w:r>
      <w:r w:rsidR="00DB2F47">
        <w:rPr>
          <w:rFonts w:ascii="Bookman Old Style" w:eastAsia="Times New Roman" w:hAnsi="Bookman Old Style" w:cs="Times New Roman"/>
          <w:sz w:val="24"/>
          <w:szCs w:val="24"/>
          <w:lang w:eastAsia="es-ES"/>
        </w:rPr>
        <w:t>. E</w:t>
      </w:r>
      <w:r w:rsidRPr="000A7EFD">
        <w:rPr>
          <w:rFonts w:ascii="Bookman Old Style" w:eastAsia="Times New Roman" w:hAnsi="Bookman Old Style" w:cs="Times New Roman"/>
          <w:sz w:val="24"/>
          <w:szCs w:val="24"/>
          <w:lang w:eastAsia="es-ES"/>
        </w:rPr>
        <w:t>stos son incorporados en los cargos aprobados, en la tasa de descuento que se selecciona para remunerar el componente de inversión. Sobre esta materia, en el Documento CREG 046 de 2015 se menciona:</w:t>
      </w:r>
    </w:p>
    <w:p w14:paraId="3D34BB16" w14:textId="77777777" w:rsidR="000A7EFD" w:rsidRPr="000A7EFD" w:rsidRDefault="000A7EFD" w:rsidP="000A7EFD">
      <w:pPr>
        <w:spacing w:after="0" w:line="240" w:lineRule="auto"/>
        <w:contextualSpacing/>
        <w:jc w:val="both"/>
        <w:rPr>
          <w:rFonts w:ascii="Bookman Old Style" w:eastAsia="Times New Roman" w:hAnsi="Bookman Old Style" w:cs="Times New Roman"/>
          <w:sz w:val="24"/>
          <w:szCs w:val="24"/>
          <w:lang w:eastAsia="es-ES"/>
        </w:rPr>
      </w:pPr>
    </w:p>
    <w:p w14:paraId="2AFA174E" w14:textId="77777777" w:rsidR="000A7EFD" w:rsidRPr="00DB2F47" w:rsidRDefault="000A7EFD" w:rsidP="00DB2F47">
      <w:pPr>
        <w:spacing w:after="0" w:line="240" w:lineRule="auto"/>
        <w:ind w:left="284"/>
        <w:contextualSpacing/>
        <w:jc w:val="both"/>
        <w:rPr>
          <w:rFonts w:ascii="Bookman Old Style" w:eastAsia="Times New Roman" w:hAnsi="Bookman Old Style" w:cs="Times New Roman"/>
          <w:i/>
          <w:sz w:val="20"/>
          <w:szCs w:val="20"/>
          <w:lang w:eastAsia="es-ES"/>
        </w:rPr>
      </w:pPr>
      <w:r w:rsidRPr="00DB2F47">
        <w:rPr>
          <w:rFonts w:ascii="Bookman Old Style" w:eastAsia="Times New Roman" w:hAnsi="Bookman Old Style" w:cs="Times New Roman"/>
          <w:i/>
          <w:sz w:val="20"/>
          <w:szCs w:val="20"/>
          <w:lang w:eastAsia="es-ES"/>
        </w:rPr>
        <w:t>“(…) El principio de suficiencia financiera incluye la remuneración del capital propio, patrimonio de los accionistas, en la misma forma en la que se le habría remunerado a una empresa eficiente, en un sector de riesgo comparable.</w:t>
      </w:r>
    </w:p>
    <w:p w14:paraId="575CDCC8" w14:textId="77777777" w:rsidR="000A7EFD" w:rsidRPr="00DB2F47" w:rsidRDefault="000A7EFD" w:rsidP="00DB2F47">
      <w:pPr>
        <w:spacing w:after="0" w:line="240" w:lineRule="auto"/>
        <w:ind w:left="284"/>
        <w:contextualSpacing/>
        <w:jc w:val="both"/>
        <w:rPr>
          <w:rFonts w:ascii="Bookman Old Style" w:eastAsia="Times New Roman" w:hAnsi="Bookman Old Style" w:cs="Times New Roman"/>
          <w:i/>
          <w:sz w:val="20"/>
          <w:szCs w:val="20"/>
          <w:lang w:eastAsia="es-ES"/>
        </w:rPr>
      </w:pPr>
    </w:p>
    <w:p w14:paraId="208ECF82" w14:textId="77777777" w:rsidR="000A7EFD" w:rsidRPr="00DB2F47" w:rsidRDefault="000A7EFD" w:rsidP="00DB2F47">
      <w:pPr>
        <w:spacing w:after="0" w:line="240" w:lineRule="auto"/>
        <w:ind w:left="284"/>
        <w:contextualSpacing/>
        <w:jc w:val="both"/>
        <w:rPr>
          <w:rFonts w:ascii="Bookman Old Style" w:eastAsia="Times New Roman" w:hAnsi="Bookman Old Style" w:cs="Times New Roman"/>
          <w:i/>
          <w:sz w:val="20"/>
          <w:szCs w:val="20"/>
          <w:lang w:eastAsia="es-ES"/>
        </w:rPr>
      </w:pPr>
      <w:r w:rsidRPr="00DB2F47">
        <w:rPr>
          <w:rFonts w:ascii="Bookman Old Style" w:eastAsia="Times New Roman" w:hAnsi="Bookman Old Style" w:cs="Times New Roman"/>
          <w:i/>
          <w:sz w:val="20"/>
          <w:szCs w:val="20"/>
          <w:lang w:eastAsia="es-ES"/>
        </w:rPr>
        <w:t>De acuerdo con lo anterior, le corresponde a la CREG el cálculo de las tasas de descuento que utilizará en las diferentes actividades que regula (transmisión y distribución de energía eléctrica en el sistema interconectado nacional, transporte y distribución de gas natural, transporte de gas licuado de petróleo, GLP, y generación y distribución de energía eléctrica en las zonas no interconectadas, ZNI). Cabe resaltar, que en la literatura y en la práctica existen diversas maneras de estimar una tasa de descuento. (…)</w:t>
      </w:r>
    </w:p>
    <w:p w14:paraId="21BB6274" w14:textId="77777777" w:rsidR="000A7EFD" w:rsidRPr="00DB2F47" w:rsidRDefault="000A7EFD" w:rsidP="00DB2F47">
      <w:pPr>
        <w:spacing w:after="0" w:line="240" w:lineRule="auto"/>
        <w:ind w:left="284"/>
        <w:contextualSpacing/>
        <w:jc w:val="both"/>
        <w:rPr>
          <w:rFonts w:ascii="Bookman Old Style" w:eastAsia="Times New Roman" w:hAnsi="Bookman Old Style" w:cs="Times New Roman"/>
          <w:i/>
          <w:sz w:val="20"/>
          <w:szCs w:val="20"/>
          <w:lang w:eastAsia="es-ES"/>
        </w:rPr>
      </w:pPr>
    </w:p>
    <w:p w14:paraId="2CBCC6C5" w14:textId="77777777" w:rsidR="000A7EFD" w:rsidRPr="00DB2F47" w:rsidRDefault="000A7EFD" w:rsidP="00DB2F47">
      <w:pPr>
        <w:spacing w:after="0" w:line="240" w:lineRule="auto"/>
        <w:ind w:left="284"/>
        <w:contextualSpacing/>
        <w:jc w:val="both"/>
        <w:rPr>
          <w:rFonts w:ascii="Bookman Old Style" w:eastAsia="Times New Roman" w:hAnsi="Bookman Old Style" w:cs="Times New Roman"/>
          <w:i/>
          <w:sz w:val="20"/>
          <w:szCs w:val="20"/>
          <w:lang w:eastAsia="es-ES"/>
        </w:rPr>
      </w:pPr>
      <w:r w:rsidRPr="00DB2F47">
        <w:rPr>
          <w:rFonts w:ascii="Bookman Old Style" w:eastAsia="Times New Roman" w:hAnsi="Bookman Old Style" w:cs="Times New Roman"/>
          <w:i/>
          <w:sz w:val="20"/>
          <w:szCs w:val="20"/>
          <w:lang w:eastAsia="es-ES"/>
        </w:rPr>
        <w:t>El valor financiero de un activo corresponde al valor neto de los flujos de caja futuros que este está en capacidad de generar. Para sumar correctamente los flujos de caja, es necesario expresarlos de manera equivalente en el mismo momento del tiempo. Si se acepta que el dinero tiene un costo en el tiempo o, expresado de otra manera, un costo de oportunidad, entonces para hacer un cálculo correcto es indispensable utilizar una tasa de descuento equivalente a dicho costo de oportunidad. (…)</w:t>
      </w:r>
    </w:p>
    <w:p w14:paraId="61224A1B" w14:textId="77777777" w:rsidR="000A7EFD" w:rsidRPr="00DB2F47" w:rsidRDefault="000A7EFD" w:rsidP="00DB2F47">
      <w:pPr>
        <w:spacing w:after="0" w:line="240" w:lineRule="auto"/>
        <w:ind w:left="284"/>
        <w:contextualSpacing/>
        <w:jc w:val="both"/>
        <w:rPr>
          <w:rFonts w:ascii="Bookman Old Style" w:eastAsia="Times New Roman" w:hAnsi="Bookman Old Style" w:cs="Times New Roman"/>
          <w:i/>
          <w:sz w:val="20"/>
          <w:szCs w:val="20"/>
          <w:lang w:eastAsia="es-ES"/>
        </w:rPr>
      </w:pPr>
    </w:p>
    <w:p w14:paraId="7B81E624" w14:textId="77777777" w:rsidR="000A7EFD" w:rsidRPr="00DB2F47" w:rsidRDefault="000A7EFD" w:rsidP="00DB2F47">
      <w:pPr>
        <w:spacing w:after="0" w:line="240" w:lineRule="auto"/>
        <w:ind w:left="284"/>
        <w:contextualSpacing/>
        <w:jc w:val="both"/>
        <w:rPr>
          <w:rFonts w:ascii="Bookman Old Style" w:eastAsia="Times New Roman" w:hAnsi="Bookman Old Style" w:cs="Times New Roman"/>
          <w:i/>
          <w:sz w:val="20"/>
          <w:szCs w:val="20"/>
          <w:lang w:eastAsia="es-ES"/>
        </w:rPr>
      </w:pPr>
      <w:r w:rsidRPr="00DB2F47">
        <w:rPr>
          <w:rFonts w:ascii="Bookman Old Style" w:eastAsia="Times New Roman" w:hAnsi="Bookman Old Style" w:cs="Times New Roman"/>
          <w:i/>
          <w:sz w:val="20"/>
          <w:szCs w:val="20"/>
          <w:lang w:eastAsia="es-ES"/>
        </w:rPr>
        <w:t>Ahora bien, si ese activo se mira como una empresa, por lo general para acometerla es necesaria una estructura de financiación que permita cubrir las inversiones y el capital de trabajo requeridos para su operación, mientras se llega a un estado en el que cuente con la capacidad propia de generar caja.</w:t>
      </w:r>
    </w:p>
    <w:p w14:paraId="4166E857" w14:textId="77777777" w:rsidR="000A7EFD" w:rsidRPr="00DB2F47" w:rsidRDefault="000A7EFD" w:rsidP="00DB2F47">
      <w:pPr>
        <w:spacing w:after="0" w:line="240" w:lineRule="auto"/>
        <w:ind w:left="284"/>
        <w:contextualSpacing/>
        <w:jc w:val="both"/>
        <w:rPr>
          <w:rFonts w:ascii="Bookman Old Style" w:eastAsia="Times New Roman" w:hAnsi="Bookman Old Style" w:cs="Times New Roman"/>
          <w:i/>
          <w:sz w:val="20"/>
          <w:szCs w:val="20"/>
          <w:lang w:eastAsia="es-ES"/>
        </w:rPr>
      </w:pPr>
    </w:p>
    <w:p w14:paraId="23EC35C9" w14:textId="77777777" w:rsidR="000A7EFD" w:rsidRPr="00DB2F47" w:rsidRDefault="000A7EFD" w:rsidP="00DB2F47">
      <w:pPr>
        <w:spacing w:after="0" w:line="240" w:lineRule="auto"/>
        <w:ind w:left="284"/>
        <w:contextualSpacing/>
        <w:jc w:val="both"/>
        <w:rPr>
          <w:rFonts w:ascii="Bookman Old Style" w:eastAsia="Times New Roman" w:hAnsi="Bookman Old Style" w:cs="Times New Roman"/>
          <w:b/>
          <w:i/>
          <w:sz w:val="20"/>
          <w:szCs w:val="20"/>
          <w:u w:val="single"/>
          <w:lang w:eastAsia="es-ES"/>
        </w:rPr>
      </w:pPr>
      <w:r w:rsidRPr="00DB2F47">
        <w:rPr>
          <w:rFonts w:ascii="Bookman Old Style" w:eastAsia="Times New Roman" w:hAnsi="Bookman Old Style" w:cs="Times New Roman"/>
          <w:b/>
          <w:i/>
          <w:sz w:val="20"/>
          <w:szCs w:val="20"/>
          <w:u w:val="single"/>
          <w:lang w:eastAsia="es-ES"/>
        </w:rPr>
        <w:t>¿Para qué valores del activo hace sentido acometer la empresa?</w:t>
      </w:r>
    </w:p>
    <w:p w14:paraId="37D8343D" w14:textId="77777777" w:rsidR="000A7EFD" w:rsidRPr="00DB2F47" w:rsidRDefault="000A7EFD" w:rsidP="00DB2F47">
      <w:pPr>
        <w:spacing w:after="0" w:line="240" w:lineRule="auto"/>
        <w:ind w:left="284"/>
        <w:contextualSpacing/>
        <w:jc w:val="both"/>
        <w:rPr>
          <w:rFonts w:ascii="Bookman Old Style" w:eastAsia="Times New Roman" w:hAnsi="Bookman Old Style" w:cs="Times New Roman"/>
          <w:i/>
          <w:sz w:val="20"/>
          <w:szCs w:val="20"/>
          <w:lang w:eastAsia="es-ES"/>
        </w:rPr>
      </w:pPr>
    </w:p>
    <w:p w14:paraId="7C58E84A" w14:textId="77777777" w:rsidR="000A7EFD" w:rsidRPr="00DB2F47" w:rsidRDefault="000A7EFD" w:rsidP="00DB2F47">
      <w:pPr>
        <w:spacing w:after="0" w:line="240" w:lineRule="auto"/>
        <w:ind w:left="284"/>
        <w:contextualSpacing/>
        <w:jc w:val="both"/>
        <w:rPr>
          <w:rFonts w:ascii="Bookman Old Style" w:eastAsia="Times New Roman" w:hAnsi="Bookman Old Style" w:cs="Times New Roman"/>
          <w:sz w:val="20"/>
          <w:szCs w:val="20"/>
          <w:lang w:eastAsia="es-ES"/>
        </w:rPr>
      </w:pPr>
      <w:r w:rsidRPr="00DB2F47">
        <w:rPr>
          <w:rFonts w:ascii="Bookman Old Style" w:eastAsia="Times New Roman" w:hAnsi="Bookman Old Style" w:cs="Times New Roman"/>
          <w:i/>
          <w:sz w:val="20"/>
          <w:szCs w:val="20"/>
          <w:lang w:eastAsia="es-ES"/>
        </w:rPr>
        <w:t xml:space="preserve">La respuesta resulta obvia: </w:t>
      </w:r>
      <w:r w:rsidRPr="00DB2F47">
        <w:rPr>
          <w:rFonts w:ascii="Bookman Old Style" w:eastAsia="Times New Roman" w:hAnsi="Bookman Old Style" w:cs="Times New Roman"/>
          <w:b/>
          <w:i/>
          <w:sz w:val="20"/>
          <w:szCs w:val="20"/>
          <w:u w:val="single"/>
          <w:lang w:eastAsia="es-ES"/>
        </w:rPr>
        <w:t>para aquellos valores que sean por lo menos igual al valor de los flujos de caja que se comprometen con las fuentes de financiación</w:t>
      </w:r>
      <w:r w:rsidRPr="00DB2F47">
        <w:rPr>
          <w:rFonts w:ascii="Bookman Old Style" w:eastAsia="Times New Roman" w:hAnsi="Bookman Old Style" w:cs="Times New Roman"/>
          <w:i/>
          <w:sz w:val="20"/>
          <w:szCs w:val="20"/>
          <w:lang w:eastAsia="es-ES"/>
        </w:rPr>
        <w:t xml:space="preserve">. Dicho de otra manera, </w:t>
      </w:r>
      <w:r w:rsidRPr="00DB2F47">
        <w:rPr>
          <w:rFonts w:ascii="Bookman Old Style" w:eastAsia="Times New Roman" w:hAnsi="Bookman Old Style" w:cs="Times New Roman"/>
          <w:b/>
          <w:i/>
          <w:sz w:val="20"/>
          <w:szCs w:val="20"/>
          <w:u w:val="single"/>
          <w:lang w:eastAsia="es-ES"/>
        </w:rPr>
        <w:t>el activo debe generar la caja suficiente para remunerar como mínimo a quienes participan como inversionistas, bien sea que se vinculen a la empresa bajo la figura de acreedores financieros o de accionistas.</w:t>
      </w:r>
      <w:r w:rsidRPr="00DB2F47">
        <w:rPr>
          <w:rFonts w:ascii="Bookman Old Style" w:eastAsia="Times New Roman" w:hAnsi="Bookman Old Style" w:cs="Times New Roman"/>
          <w:i/>
          <w:sz w:val="20"/>
          <w:szCs w:val="20"/>
          <w:lang w:eastAsia="es-ES"/>
        </w:rPr>
        <w:t xml:space="preserve"> (…)”</w:t>
      </w:r>
      <w:r w:rsidRPr="00DB2F47">
        <w:rPr>
          <w:rFonts w:ascii="Bookman Old Style" w:eastAsia="Times New Roman" w:hAnsi="Bookman Old Style" w:cs="Times New Roman"/>
          <w:sz w:val="20"/>
          <w:szCs w:val="20"/>
          <w:lang w:eastAsia="es-ES"/>
        </w:rPr>
        <w:t xml:space="preserve"> Resaltado y subrayado fuera de texto</w:t>
      </w:r>
    </w:p>
    <w:p w14:paraId="79D460CE" w14:textId="77777777" w:rsidR="000A7EFD" w:rsidRPr="000A7EFD" w:rsidRDefault="000A7EFD" w:rsidP="000A7EFD">
      <w:pPr>
        <w:spacing w:after="0" w:line="240" w:lineRule="auto"/>
        <w:contextualSpacing/>
        <w:jc w:val="both"/>
        <w:rPr>
          <w:rFonts w:ascii="Bookman Old Style" w:eastAsia="Times New Roman" w:hAnsi="Bookman Old Style" w:cs="Times New Roman"/>
          <w:sz w:val="24"/>
          <w:szCs w:val="24"/>
          <w:lang w:eastAsia="es-ES"/>
        </w:rPr>
      </w:pPr>
    </w:p>
    <w:p w14:paraId="6392BDD6" w14:textId="36DF77DE" w:rsidR="000A7EFD" w:rsidRPr="000A7EFD" w:rsidRDefault="000A7EFD" w:rsidP="000A7EFD">
      <w:pPr>
        <w:spacing w:after="0" w:line="240" w:lineRule="auto"/>
        <w:contextualSpacing/>
        <w:jc w:val="both"/>
        <w:rPr>
          <w:rFonts w:ascii="Bookman Old Style" w:eastAsia="Times New Roman" w:hAnsi="Bookman Old Style" w:cs="Times New Roman"/>
          <w:sz w:val="24"/>
          <w:szCs w:val="24"/>
          <w:lang w:eastAsia="es-ES"/>
        </w:rPr>
      </w:pPr>
      <w:r w:rsidRPr="000A7EFD">
        <w:rPr>
          <w:rFonts w:ascii="Bookman Old Style" w:eastAsia="Times New Roman" w:hAnsi="Bookman Old Style" w:cs="Times New Roman"/>
          <w:sz w:val="24"/>
          <w:szCs w:val="24"/>
          <w:lang w:eastAsia="es-ES"/>
        </w:rPr>
        <w:t>En ese orden de ideas, la remuneración a la estructura de capital, en la que se incluyen el costo de financiamiento y la rentabilidad esperada de un inversionista, hacen parte del componente de inversión, reflejadas en una estructura de capital regulatoria</w:t>
      </w:r>
      <w:r w:rsidR="00DB2F47">
        <w:rPr>
          <w:rFonts w:ascii="Bookman Old Style" w:eastAsia="Times New Roman" w:hAnsi="Bookman Old Style" w:cs="Times New Roman"/>
          <w:sz w:val="24"/>
          <w:szCs w:val="24"/>
          <w:lang w:eastAsia="es-ES"/>
        </w:rPr>
        <w:t>,</w:t>
      </w:r>
      <w:r w:rsidRPr="000A7EFD">
        <w:rPr>
          <w:rFonts w:ascii="Bookman Old Style" w:eastAsia="Times New Roman" w:hAnsi="Bookman Old Style" w:cs="Times New Roman"/>
          <w:sz w:val="24"/>
          <w:szCs w:val="24"/>
          <w:lang w:eastAsia="es-ES"/>
        </w:rPr>
        <w:t xml:space="preserve"> y la estimación de unos costos de cada una de dichas fuentes de financiación, en línea con lo previsto en la misma Resolución CREG 091 de 2007, para dichos efectos.</w:t>
      </w:r>
    </w:p>
    <w:p w14:paraId="0F89B674" w14:textId="77777777" w:rsidR="000A7EFD" w:rsidRPr="000A7EFD" w:rsidRDefault="000A7EFD" w:rsidP="000A7EFD">
      <w:pPr>
        <w:spacing w:after="0" w:line="240" w:lineRule="auto"/>
        <w:contextualSpacing/>
        <w:jc w:val="both"/>
        <w:rPr>
          <w:rFonts w:ascii="Bookman Old Style" w:eastAsia="Times New Roman" w:hAnsi="Bookman Old Style" w:cs="Times New Roman"/>
          <w:sz w:val="24"/>
          <w:szCs w:val="24"/>
          <w:lang w:eastAsia="es-ES"/>
        </w:rPr>
      </w:pPr>
    </w:p>
    <w:p w14:paraId="4EB35610" w14:textId="15D76CF7" w:rsidR="000A7EFD" w:rsidRDefault="000A7EFD" w:rsidP="000A7EFD">
      <w:pPr>
        <w:spacing w:after="0" w:line="240" w:lineRule="auto"/>
        <w:contextualSpacing/>
        <w:jc w:val="both"/>
        <w:rPr>
          <w:rFonts w:ascii="Bookman Old Style" w:eastAsia="Times New Roman" w:hAnsi="Bookman Old Style" w:cs="Times New Roman"/>
          <w:sz w:val="24"/>
          <w:szCs w:val="24"/>
          <w:lang w:eastAsia="es-ES"/>
        </w:rPr>
      </w:pPr>
      <w:bookmarkStart w:id="12" w:name="_Hlk52810638"/>
      <w:r w:rsidRPr="00DB2F47">
        <w:rPr>
          <w:rFonts w:ascii="Bookman Old Style" w:eastAsia="Times New Roman" w:hAnsi="Bookman Old Style" w:cs="Times New Roman"/>
          <w:sz w:val="24"/>
          <w:szCs w:val="24"/>
          <w:lang w:eastAsia="es-ES"/>
        </w:rPr>
        <w:t xml:space="preserve">En consecuencia, </w:t>
      </w:r>
      <w:r w:rsidR="00DB2F47" w:rsidRPr="00DB2F47">
        <w:rPr>
          <w:rFonts w:ascii="Bookman Old Style" w:eastAsia="Times New Roman" w:hAnsi="Bookman Old Style" w:cs="Times New Roman"/>
          <w:sz w:val="24"/>
          <w:szCs w:val="24"/>
          <w:lang w:eastAsia="es-ES"/>
        </w:rPr>
        <w:t xml:space="preserve">no </w:t>
      </w:r>
      <w:r w:rsidR="00992790" w:rsidRPr="00DB2F47">
        <w:rPr>
          <w:rFonts w:ascii="Bookman Old Style" w:eastAsia="Times New Roman" w:hAnsi="Bookman Old Style" w:cs="Times New Roman"/>
          <w:sz w:val="24"/>
          <w:szCs w:val="24"/>
          <w:lang w:eastAsia="es-ES"/>
        </w:rPr>
        <w:t xml:space="preserve">es </w:t>
      </w:r>
      <w:r w:rsidRPr="00DB2F47">
        <w:rPr>
          <w:rFonts w:ascii="Bookman Old Style" w:eastAsia="Times New Roman" w:hAnsi="Bookman Old Style" w:cs="Times New Roman"/>
          <w:sz w:val="24"/>
          <w:szCs w:val="24"/>
          <w:lang w:eastAsia="es-ES"/>
        </w:rPr>
        <w:t>procedente la solicitud de ajuste al valor de los costos indirectos formuladas por DUE en el recurso.</w:t>
      </w:r>
    </w:p>
    <w:bookmarkEnd w:id="12"/>
    <w:p w14:paraId="74BD095D" w14:textId="77777777" w:rsidR="0007741E" w:rsidRPr="0007741E" w:rsidRDefault="0007741E" w:rsidP="002A13DB">
      <w:pPr>
        <w:spacing w:after="0" w:line="240" w:lineRule="auto"/>
        <w:contextualSpacing/>
        <w:jc w:val="both"/>
        <w:rPr>
          <w:rFonts w:ascii="Bookman Old Style" w:eastAsia="Times New Roman" w:hAnsi="Bookman Old Style" w:cs="Times New Roman"/>
          <w:sz w:val="24"/>
          <w:szCs w:val="24"/>
          <w:lang w:eastAsia="es-ES"/>
        </w:rPr>
      </w:pPr>
    </w:p>
    <w:p w14:paraId="39C9CA2C" w14:textId="769DD7A6" w:rsidR="00A71B6B" w:rsidRPr="00A71B6B" w:rsidRDefault="00A71B6B" w:rsidP="002A13DB">
      <w:pPr>
        <w:spacing w:after="0" w:line="240" w:lineRule="auto"/>
        <w:contextualSpacing/>
        <w:jc w:val="both"/>
        <w:rPr>
          <w:rFonts w:ascii="Bookman Old Style" w:eastAsia="Times New Roman" w:hAnsi="Bookman Old Style" w:cs="Times New Roman"/>
          <w:b/>
          <w:bCs/>
          <w:i/>
          <w:iCs/>
          <w:sz w:val="24"/>
          <w:szCs w:val="24"/>
          <w:lang w:eastAsia="es-ES"/>
        </w:rPr>
      </w:pPr>
      <w:r w:rsidRPr="00A71B6B">
        <w:rPr>
          <w:rFonts w:ascii="Bookman Old Style" w:eastAsia="Times New Roman" w:hAnsi="Bookman Old Style" w:cs="Times New Roman"/>
          <w:b/>
          <w:bCs/>
          <w:i/>
          <w:iCs/>
          <w:sz w:val="24"/>
          <w:szCs w:val="24"/>
          <w:lang w:eastAsia="es-ES"/>
        </w:rPr>
        <w:t>4.2. Se descuenta el valor de las inversiones los componentes que son requeridos para la coordinación de la operación de los distintos recursos de generación.</w:t>
      </w:r>
      <w:r w:rsidR="00ED736E">
        <w:rPr>
          <w:rFonts w:ascii="Bookman Old Style" w:eastAsia="Times New Roman" w:hAnsi="Bookman Old Style" w:cs="Times New Roman"/>
          <w:b/>
          <w:bCs/>
          <w:i/>
          <w:iCs/>
          <w:sz w:val="24"/>
          <w:szCs w:val="24"/>
          <w:lang w:eastAsia="es-ES"/>
        </w:rPr>
        <w:t xml:space="preserve"> </w:t>
      </w:r>
    </w:p>
    <w:p w14:paraId="6B607AD4" w14:textId="6F5509F4" w:rsidR="00BB6978" w:rsidRDefault="00BB6978" w:rsidP="002A13DB">
      <w:pPr>
        <w:spacing w:after="0" w:line="240" w:lineRule="auto"/>
        <w:contextualSpacing/>
        <w:jc w:val="both"/>
        <w:rPr>
          <w:rFonts w:ascii="Bookman Old Style" w:eastAsia="Times New Roman" w:hAnsi="Bookman Old Style" w:cs="Times New Roman"/>
          <w:sz w:val="24"/>
          <w:szCs w:val="24"/>
          <w:lang w:eastAsia="es-ES"/>
        </w:rPr>
      </w:pPr>
    </w:p>
    <w:p w14:paraId="13548552" w14:textId="3B56F819" w:rsidR="007269A9" w:rsidRDefault="007269A9" w:rsidP="002A13DB">
      <w:pPr>
        <w:spacing w:after="0" w:line="240" w:lineRule="auto"/>
        <w:contextualSpacing/>
        <w:jc w:val="both"/>
        <w:rPr>
          <w:rFonts w:ascii="Bookman Old Style" w:eastAsia="Times New Roman" w:hAnsi="Bookman Old Style" w:cs="Times New Roman"/>
          <w:sz w:val="24"/>
          <w:szCs w:val="24"/>
          <w:lang w:eastAsia="es-ES"/>
        </w:rPr>
      </w:pPr>
      <w:r>
        <w:rPr>
          <w:rFonts w:ascii="Bookman Old Style" w:eastAsia="Times New Roman" w:hAnsi="Bookman Old Style" w:cs="Times New Roman"/>
          <w:sz w:val="24"/>
          <w:szCs w:val="24"/>
          <w:lang w:eastAsia="es-ES"/>
        </w:rPr>
        <w:t>En comunicación de radi</w:t>
      </w:r>
      <w:r w:rsidR="00A9510B">
        <w:rPr>
          <w:rFonts w:ascii="Bookman Old Style" w:eastAsia="Times New Roman" w:hAnsi="Bookman Old Style" w:cs="Times New Roman"/>
          <w:sz w:val="24"/>
          <w:szCs w:val="24"/>
          <w:lang w:eastAsia="es-ES"/>
        </w:rPr>
        <w:t xml:space="preserve">cado CREG E-2019-008549 </w:t>
      </w:r>
      <w:r w:rsidR="00384FCE">
        <w:rPr>
          <w:rFonts w:ascii="Bookman Old Style" w:eastAsia="Times New Roman" w:hAnsi="Bookman Old Style" w:cs="Times New Roman"/>
          <w:sz w:val="24"/>
          <w:szCs w:val="24"/>
          <w:lang w:eastAsia="es-ES"/>
        </w:rPr>
        <w:t>se identifica el costo de transporte nacional, al presentarse de manera detallada la siguiente información:</w:t>
      </w:r>
    </w:p>
    <w:p w14:paraId="76E1BCE6" w14:textId="0446939D" w:rsidR="007269A9" w:rsidRDefault="007269A9" w:rsidP="002A13DB">
      <w:pPr>
        <w:spacing w:after="0" w:line="240" w:lineRule="auto"/>
        <w:contextualSpacing/>
        <w:jc w:val="both"/>
        <w:rPr>
          <w:rFonts w:ascii="Bookman Old Style" w:eastAsia="Times New Roman" w:hAnsi="Bookman Old Style" w:cs="Times New Roman"/>
          <w:sz w:val="24"/>
          <w:szCs w:val="24"/>
          <w:lang w:eastAsia="es-ES"/>
        </w:rPr>
      </w:pPr>
    </w:p>
    <w:p w14:paraId="3212A3A0" w14:textId="43708E58" w:rsidR="00384FCE" w:rsidRDefault="00384FCE" w:rsidP="002A13DB">
      <w:pPr>
        <w:spacing w:after="0" w:line="240" w:lineRule="auto"/>
        <w:contextualSpacing/>
        <w:jc w:val="both"/>
        <w:rPr>
          <w:rFonts w:ascii="Bookman Old Style" w:eastAsia="Times New Roman" w:hAnsi="Bookman Old Style" w:cs="Times New Roman"/>
          <w:sz w:val="24"/>
          <w:szCs w:val="24"/>
          <w:lang w:eastAsia="es-ES"/>
        </w:rPr>
      </w:pPr>
      <w:r w:rsidRPr="007B4B41">
        <w:rPr>
          <w:noProof/>
        </w:rPr>
        <w:drawing>
          <wp:inline distT="0" distB="0" distL="0" distR="0" wp14:anchorId="5011A580" wp14:editId="5007100B">
            <wp:extent cx="5854700" cy="3649488"/>
            <wp:effectExtent l="0" t="0" r="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64653" cy="3655692"/>
                    </a:xfrm>
                    <a:prstGeom prst="rect">
                      <a:avLst/>
                    </a:prstGeom>
                  </pic:spPr>
                </pic:pic>
              </a:graphicData>
            </a:graphic>
          </wp:inline>
        </w:drawing>
      </w:r>
    </w:p>
    <w:p w14:paraId="22999573" w14:textId="79072514" w:rsidR="007B4B41" w:rsidRDefault="007B4B41" w:rsidP="002A13DB">
      <w:pPr>
        <w:spacing w:after="0" w:line="240" w:lineRule="auto"/>
        <w:contextualSpacing/>
        <w:jc w:val="both"/>
        <w:rPr>
          <w:rFonts w:ascii="Bookman Old Style" w:eastAsia="Times New Roman" w:hAnsi="Bookman Old Style" w:cs="Times New Roman"/>
          <w:sz w:val="24"/>
          <w:szCs w:val="24"/>
          <w:lang w:eastAsia="es-ES"/>
        </w:rPr>
      </w:pPr>
    </w:p>
    <w:p w14:paraId="3A33CA66" w14:textId="2011D146" w:rsidR="00384FCE" w:rsidRDefault="00384FCE" w:rsidP="002A13DB">
      <w:pPr>
        <w:spacing w:after="0" w:line="240" w:lineRule="auto"/>
        <w:contextualSpacing/>
        <w:jc w:val="both"/>
        <w:rPr>
          <w:rFonts w:ascii="Bookman Old Style" w:eastAsia="Times New Roman" w:hAnsi="Bookman Old Style" w:cs="Times New Roman"/>
          <w:sz w:val="24"/>
          <w:szCs w:val="24"/>
          <w:lang w:eastAsia="es-ES"/>
        </w:rPr>
      </w:pPr>
      <w:r>
        <w:rPr>
          <w:rFonts w:ascii="Bookman Old Style" w:eastAsia="Times New Roman" w:hAnsi="Bookman Old Style" w:cs="Times New Roman"/>
          <w:sz w:val="24"/>
          <w:szCs w:val="24"/>
          <w:lang w:eastAsia="es-ES"/>
        </w:rPr>
        <w:t>En el último componente, VARIOS, se identifican elementos que hacen referencia a la subestación, entendiéndose que se hace referencia a la Subestación Mitú: Herrajes subestación,</w:t>
      </w:r>
      <w:r w:rsidR="001B53BD">
        <w:rPr>
          <w:rFonts w:ascii="Bookman Old Style" w:eastAsia="Times New Roman" w:hAnsi="Bookman Old Style" w:cs="Times New Roman"/>
          <w:sz w:val="24"/>
          <w:szCs w:val="24"/>
          <w:lang w:eastAsia="es-ES"/>
        </w:rPr>
        <w:t xml:space="preserve"> </w:t>
      </w:r>
      <w:r>
        <w:rPr>
          <w:rFonts w:ascii="Bookman Old Style" w:eastAsia="Times New Roman" w:hAnsi="Bookman Old Style" w:cs="Times New Roman"/>
          <w:sz w:val="24"/>
          <w:szCs w:val="24"/>
          <w:lang w:eastAsia="es-ES"/>
        </w:rPr>
        <w:t>equipam</w:t>
      </w:r>
      <w:r w:rsidR="001B53BD">
        <w:rPr>
          <w:rFonts w:ascii="Bookman Old Style" w:eastAsia="Times New Roman" w:hAnsi="Bookman Old Style" w:cs="Times New Roman"/>
          <w:sz w:val="24"/>
          <w:szCs w:val="24"/>
          <w:lang w:eastAsia="es-ES"/>
        </w:rPr>
        <w:t>i</w:t>
      </w:r>
      <w:r>
        <w:rPr>
          <w:rFonts w:ascii="Bookman Old Style" w:eastAsia="Times New Roman" w:hAnsi="Bookman Old Style" w:cs="Times New Roman"/>
          <w:sz w:val="24"/>
          <w:szCs w:val="24"/>
          <w:lang w:eastAsia="es-ES"/>
        </w:rPr>
        <w:t>ento subestación y transformadores subestación.</w:t>
      </w:r>
    </w:p>
    <w:p w14:paraId="22267B56" w14:textId="39564A84" w:rsidR="007B4B41" w:rsidRDefault="007B4B41" w:rsidP="002A13DB">
      <w:pPr>
        <w:spacing w:after="0" w:line="240" w:lineRule="auto"/>
        <w:contextualSpacing/>
        <w:jc w:val="both"/>
        <w:rPr>
          <w:rFonts w:ascii="Bookman Old Style" w:eastAsia="Times New Roman" w:hAnsi="Bookman Old Style" w:cs="Times New Roman"/>
          <w:sz w:val="24"/>
          <w:szCs w:val="24"/>
          <w:lang w:eastAsia="es-ES"/>
        </w:rPr>
      </w:pPr>
    </w:p>
    <w:p w14:paraId="47AD11F0" w14:textId="656A2F04" w:rsidR="007B4B41" w:rsidRDefault="00384FCE" w:rsidP="002A13DB">
      <w:pPr>
        <w:spacing w:after="0" w:line="240" w:lineRule="auto"/>
        <w:contextualSpacing/>
        <w:jc w:val="both"/>
        <w:rPr>
          <w:rFonts w:ascii="Bookman Old Style" w:eastAsia="Times New Roman" w:hAnsi="Bookman Old Style" w:cs="Times New Roman"/>
          <w:sz w:val="24"/>
          <w:szCs w:val="24"/>
          <w:lang w:eastAsia="es-ES"/>
        </w:rPr>
      </w:pPr>
      <w:r>
        <w:rPr>
          <w:rFonts w:ascii="Bookman Old Style" w:eastAsia="Times New Roman" w:hAnsi="Bookman Old Style" w:cs="Times New Roman"/>
          <w:sz w:val="24"/>
          <w:szCs w:val="24"/>
          <w:lang w:eastAsia="es-ES"/>
        </w:rPr>
        <w:t>De otro lado, m</w:t>
      </w:r>
      <w:r w:rsidR="007B4B41">
        <w:rPr>
          <w:rFonts w:ascii="Bookman Old Style" w:eastAsia="Times New Roman" w:hAnsi="Bookman Old Style" w:cs="Times New Roman"/>
          <w:sz w:val="24"/>
          <w:szCs w:val="24"/>
          <w:lang w:eastAsia="es-ES"/>
        </w:rPr>
        <w:t>ediante comunicación de radicado CREG E-2020-001180, remitido como respuesta al Auto de pruebas I-2020-00794, en donde se solicita especificar los componentes que</w:t>
      </w:r>
      <w:r w:rsidR="00961E62">
        <w:rPr>
          <w:rFonts w:ascii="Bookman Old Style" w:eastAsia="Times New Roman" w:hAnsi="Bookman Old Style" w:cs="Times New Roman"/>
          <w:sz w:val="24"/>
          <w:szCs w:val="24"/>
          <w:lang w:eastAsia="es-ES"/>
        </w:rPr>
        <w:t>,</w:t>
      </w:r>
      <w:r w:rsidR="007B4B41">
        <w:rPr>
          <w:rFonts w:ascii="Bookman Old Style" w:eastAsia="Times New Roman" w:hAnsi="Bookman Old Style" w:cs="Times New Roman"/>
          <w:sz w:val="24"/>
          <w:szCs w:val="24"/>
          <w:lang w:eastAsia="es-ES"/>
        </w:rPr>
        <w:t xml:space="preserve"> según el proyecto presentado como soporte de la solicitud de cargo de generación, serían instalados en los </w:t>
      </w:r>
      <w:r w:rsidR="00961E62">
        <w:rPr>
          <w:rFonts w:ascii="Bookman Old Style" w:eastAsia="Times New Roman" w:hAnsi="Bookman Old Style" w:cs="Times New Roman"/>
          <w:sz w:val="24"/>
          <w:szCs w:val="24"/>
          <w:lang w:eastAsia="es-ES"/>
        </w:rPr>
        <w:t>otros recursos de generación o en el sistema de distribución operados en la actualidad por GENSA; DUE manifestó lo siguiente:</w:t>
      </w:r>
    </w:p>
    <w:p w14:paraId="4572E895" w14:textId="13101049" w:rsidR="007B4B41" w:rsidRDefault="007B4B41" w:rsidP="002A13DB">
      <w:pPr>
        <w:spacing w:after="0" w:line="240" w:lineRule="auto"/>
        <w:contextualSpacing/>
        <w:jc w:val="both"/>
        <w:rPr>
          <w:rFonts w:ascii="Bookman Old Style" w:eastAsia="Times New Roman" w:hAnsi="Bookman Old Style" w:cs="Times New Roman"/>
          <w:sz w:val="24"/>
          <w:szCs w:val="24"/>
          <w:lang w:eastAsia="es-ES"/>
        </w:rPr>
      </w:pPr>
    </w:p>
    <w:p w14:paraId="6A4D6AB4" w14:textId="3F32FBA3" w:rsidR="00961E62" w:rsidRPr="00DB2F47" w:rsidRDefault="00961E62" w:rsidP="00DB2F47">
      <w:pPr>
        <w:spacing w:after="0" w:line="240" w:lineRule="auto"/>
        <w:ind w:left="284"/>
        <w:contextualSpacing/>
        <w:jc w:val="both"/>
        <w:rPr>
          <w:rFonts w:ascii="Bookman Old Style" w:eastAsia="Times New Roman" w:hAnsi="Bookman Old Style" w:cs="Times New Roman"/>
          <w:i/>
          <w:iCs/>
          <w:sz w:val="20"/>
          <w:szCs w:val="20"/>
          <w:lang w:eastAsia="es-ES"/>
        </w:rPr>
      </w:pPr>
      <w:r w:rsidRPr="00DB2F47">
        <w:rPr>
          <w:rFonts w:ascii="Bookman Old Style" w:eastAsia="Times New Roman" w:hAnsi="Bookman Old Style" w:cs="Times New Roman"/>
          <w:i/>
          <w:iCs/>
          <w:sz w:val="20"/>
          <w:szCs w:val="20"/>
          <w:lang w:eastAsia="es-ES"/>
        </w:rPr>
        <w:t>“Los valores correspondientes a transporte e instalación son un global que se encuentran en el capítulo 8 LOGISTICA y, para los casos aquí solicitados, en el costo unitario de cada uno de los elementos. La logística se hace por contenedor y no por unidad de equipo, ya que los mismos vienen consolidados para optimizar su coste.</w:t>
      </w:r>
    </w:p>
    <w:p w14:paraId="21EC7C93" w14:textId="0873DD83" w:rsidR="00961E62" w:rsidRPr="00DB2F47" w:rsidRDefault="00961E62" w:rsidP="00DB2F47">
      <w:pPr>
        <w:spacing w:after="0" w:line="240" w:lineRule="auto"/>
        <w:ind w:left="284"/>
        <w:contextualSpacing/>
        <w:jc w:val="both"/>
        <w:rPr>
          <w:rFonts w:ascii="Bookman Old Style" w:eastAsia="Times New Roman" w:hAnsi="Bookman Old Style" w:cs="Times New Roman"/>
          <w:i/>
          <w:iCs/>
          <w:sz w:val="20"/>
          <w:szCs w:val="20"/>
          <w:lang w:eastAsia="es-ES"/>
        </w:rPr>
      </w:pPr>
    </w:p>
    <w:p w14:paraId="6005905A" w14:textId="50E52383" w:rsidR="00961E62" w:rsidRPr="00DB2F47" w:rsidRDefault="00961E62" w:rsidP="00DB2F47">
      <w:pPr>
        <w:spacing w:after="0" w:line="240" w:lineRule="auto"/>
        <w:ind w:left="284"/>
        <w:contextualSpacing/>
        <w:jc w:val="both"/>
        <w:rPr>
          <w:rFonts w:ascii="Bookman Old Style" w:eastAsia="Times New Roman" w:hAnsi="Bookman Old Style" w:cs="Times New Roman"/>
          <w:i/>
          <w:iCs/>
          <w:sz w:val="20"/>
          <w:szCs w:val="20"/>
          <w:lang w:eastAsia="es-ES"/>
        </w:rPr>
      </w:pPr>
      <w:r w:rsidRPr="00DB2F47">
        <w:rPr>
          <w:rFonts w:ascii="Bookman Old Style" w:eastAsia="Times New Roman" w:hAnsi="Bookman Old Style" w:cs="Times New Roman"/>
          <w:i/>
          <w:iCs/>
          <w:sz w:val="20"/>
          <w:szCs w:val="20"/>
          <w:lang w:eastAsia="es-ES"/>
        </w:rPr>
        <w:t>a. Subestación Mitú</w:t>
      </w:r>
    </w:p>
    <w:p w14:paraId="019042EB" w14:textId="13A31FDD" w:rsidR="00961E62" w:rsidRPr="00DB2F47" w:rsidRDefault="00961E62" w:rsidP="00DB2F47">
      <w:pPr>
        <w:spacing w:after="0" w:line="240" w:lineRule="auto"/>
        <w:ind w:left="284"/>
        <w:contextualSpacing/>
        <w:jc w:val="both"/>
        <w:rPr>
          <w:rFonts w:ascii="Bookman Old Style" w:eastAsia="Times New Roman" w:hAnsi="Bookman Old Style" w:cs="Times New Roman"/>
          <w:i/>
          <w:iCs/>
          <w:sz w:val="20"/>
          <w:szCs w:val="20"/>
          <w:lang w:eastAsia="es-ES"/>
        </w:rPr>
      </w:pPr>
    </w:p>
    <w:p w14:paraId="740A0DD4" w14:textId="52900C09" w:rsidR="00961E62" w:rsidRPr="00DB2F47" w:rsidRDefault="00961E62" w:rsidP="00DB2F47">
      <w:pPr>
        <w:spacing w:after="0" w:line="240" w:lineRule="auto"/>
        <w:ind w:left="284"/>
        <w:contextualSpacing/>
        <w:jc w:val="both"/>
        <w:rPr>
          <w:rFonts w:ascii="Bookman Old Style" w:eastAsia="Times New Roman" w:hAnsi="Bookman Old Style" w:cs="Times New Roman"/>
          <w:i/>
          <w:iCs/>
          <w:sz w:val="20"/>
          <w:szCs w:val="20"/>
          <w:lang w:eastAsia="es-ES"/>
        </w:rPr>
      </w:pPr>
      <w:r w:rsidRPr="00DB2F47">
        <w:rPr>
          <w:rFonts w:ascii="Bookman Old Style" w:eastAsia="Times New Roman" w:hAnsi="Bookman Old Style" w:cs="Times New Roman"/>
          <w:i/>
          <w:iCs/>
          <w:sz w:val="20"/>
          <w:szCs w:val="20"/>
          <w:lang w:eastAsia="es-ES"/>
        </w:rPr>
        <w:t>Cambio de dos transformadores de 1.5MVA por dos transformadores de 3.5MVA</w:t>
      </w:r>
    </w:p>
    <w:p w14:paraId="7B2A8E81" w14:textId="2AA9F7E1" w:rsidR="00961E62" w:rsidRPr="00DB2F47" w:rsidRDefault="00961E62" w:rsidP="00DB2F47">
      <w:pPr>
        <w:spacing w:after="0" w:line="240" w:lineRule="auto"/>
        <w:ind w:left="284"/>
        <w:contextualSpacing/>
        <w:jc w:val="both"/>
        <w:rPr>
          <w:rFonts w:ascii="Bookman Old Style" w:eastAsia="Times New Roman" w:hAnsi="Bookman Old Style" w:cs="Times New Roman"/>
          <w:i/>
          <w:iCs/>
          <w:sz w:val="20"/>
          <w:szCs w:val="20"/>
          <w:lang w:eastAsia="es-ES"/>
        </w:rPr>
      </w:pPr>
    </w:p>
    <w:p w14:paraId="559746E2" w14:textId="68494AC1" w:rsidR="00961E62" w:rsidRPr="00DB2F47" w:rsidRDefault="00961E62" w:rsidP="00DB2F47">
      <w:pPr>
        <w:spacing w:after="0" w:line="240" w:lineRule="auto"/>
        <w:ind w:left="284"/>
        <w:contextualSpacing/>
        <w:jc w:val="both"/>
        <w:rPr>
          <w:rFonts w:ascii="Bookman Old Style" w:eastAsia="Times New Roman" w:hAnsi="Bookman Old Style" w:cs="Times New Roman"/>
          <w:i/>
          <w:iCs/>
          <w:sz w:val="20"/>
          <w:szCs w:val="20"/>
          <w:lang w:eastAsia="es-ES"/>
        </w:rPr>
      </w:pPr>
      <w:r w:rsidRPr="00DB2F47">
        <w:rPr>
          <w:noProof/>
          <w:sz w:val="20"/>
          <w:szCs w:val="20"/>
        </w:rPr>
        <w:drawing>
          <wp:inline distT="0" distB="0" distL="0" distR="0" wp14:anchorId="5EC5BC55" wp14:editId="77BDC646">
            <wp:extent cx="5429250" cy="433481"/>
            <wp:effectExtent l="0" t="0" r="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92284" cy="438514"/>
                    </a:xfrm>
                    <a:prstGeom prst="rect">
                      <a:avLst/>
                    </a:prstGeom>
                  </pic:spPr>
                </pic:pic>
              </a:graphicData>
            </a:graphic>
          </wp:inline>
        </w:drawing>
      </w:r>
    </w:p>
    <w:p w14:paraId="06AD8164" w14:textId="466C5F32" w:rsidR="00961E62" w:rsidRPr="00DB2F47" w:rsidRDefault="00961E62" w:rsidP="00DB2F47">
      <w:pPr>
        <w:spacing w:after="0" w:line="240" w:lineRule="auto"/>
        <w:ind w:left="284"/>
        <w:contextualSpacing/>
        <w:jc w:val="both"/>
        <w:rPr>
          <w:rFonts w:ascii="Bookman Old Style" w:eastAsia="Times New Roman" w:hAnsi="Bookman Old Style" w:cs="Times New Roman"/>
          <w:i/>
          <w:iCs/>
          <w:sz w:val="20"/>
          <w:szCs w:val="20"/>
          <w:lang w:eastAsia="es-ES"/>
        </w:rPr>
      </w:pPr>
    </w:p>
    <w:p w14:paraId="468CCD11" w14:textId="7799601E" w:rsidR="00961E62" w:rsidRPr="00DB2F47" w:rsidRDefault="004613B3" w:rsidP="00DB2F47">
      <w:pPr>
        <w:spacing w:after="0" w:line="240" w:lineRule="auto"/>
        <w:ind w:left="284"/>
        <w:contextualSpacing/>
        <w:jc w:val="both"/>
        <w:rPr>
          <w:rFonts w:ascii="Bookman Old Style" w:eastAsia="Times New Roman" w:hAnsi="Bookman Old Style" w:cs="Times New Roman"/>
          <w:i/>
          <w:iCs/>
          <w:sz w:val="20"/>
          <w:szCs w:val="20"/>
          <w:lang w:eastAsia="es-ES"/>
        </w:rPr>
      </w:pPr>
      <w:r w:rsidRPr="00DB2F47">
        <w:rPr>
          <w:rFonts w:ascii="Bookman Old Style" w:eastAsia="Times New Roman" w:hAnsi="Bookman Old Style" w:cs="Times New Roman"/>
          <w:i/>
          <w:iCs/>
          <w:sz w:val="20"/>
          <w:szCs w:val="20"/>
          <w:lang w:eastAsia="es-ES"/>
        </w:rPr>
        <w:t>b. Sistema de Generación Diésel</w:t>
      </w:r>
    </w:p>
    <w:p w14:paraId="0D3406E2" w14:textId="1FF8D456" w:rsidR="00961E62" w:rsidRPr="00DB2F47" w:rsidRDefault="00961E62" w:rsidP="00DB2F47">
      <w:pPr>
        <w:spacing w:after="0" w:line="240" w:lineRule="auto"/>
        <w:ind w:left="284"/>
        <w:contextualSpacing/>
        <w:jc w:val="both"/>
        <w:rPr>
          <w:rFonts w:ascii="Bookman Old Style" w:eastAsia="Times New Roman" w:hAnsi="Bookman Old Style" w:cs="Times New Roman"/>
          <w:i/>
          <w:iCs/>
          <w:sz w:val="20"/>
          <w:szCs w:val="20"/>
          <w:lang w:eastAsia="es-ES"/>
        </w:rPr>
      </w:pPr>
    </w:p>
    <w:p w14:paraId="27F69E9E" w14:textId="3B2FCFCB" w:rsidR="00961E62" w:rsidRPr="00DB2F47" w:rsidRDefault="004613B3" w:rsidP="00DB2F47">
      <w:pPr>
        <w:spacing w:after="0" w:line="240" w:lineRule="auto"/>
        <w:ind w:left="284"/>
        <w:contextualSpacing/>
        <w:jc w:val="both"/>
        <w:rPr>
          <w:rFonts w:ascii="Bookman Old Style" w:eastAsia="Times New Roman" w:hAnsi="Bookman Old Style" w:cs="Times New Roman"/>
          <w:i/>
          <w:iCs/>
          <w:sz w:val="20"/>
          <w:szCs w:val="20"/>
          <w:lang w:eastAsia="es-ES"/>
        </w:rPr>
      </w:pPr>
      <w:r w:rsidRPr="00DB2F47">
        <w:rPr>
          <w:noProof/>
          <w:sz w:val="20"/>
          <w:szCs w:val="20"/>
        </w:rPr>
        <w:drawing>
          <wp:inline distT="0" distB="0" distL="0" distR="0" wp14:anchorId="16C22133" wp14:editId="19029FB5">
            <wp:extent cx="5429250" cy="2623518"/>
            <wp:effectExtent l="0" t="0" r="0" b="571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35142" cy="2626365"/>
                    </a:xfrm>
                    <a:prstGeom prst="rect">
                      <a:avLst/>
                    </a:prstGeom>
                  </pic:spPr>
                </pic:pic>
              </a:graphicData>
            </a:graphic>
          </wp:inline>
        </w:drawing>
      </w:r>
    </w:p>
    <w:p w14:paraId="0FDC5B31" w14:textId="77777777" w:rsidR="00961E62" w:rsidRPr="00DB2F47" w:rsidRDefault="00961E62" w:rsidP="00DB2F47">
      <w:pPr>
        <w:spacing w:after="0" w:line="240" w:lineRule="auto"/>
        <w:ind w:left="284"/>
        <w:contextualSpacing/>
        <w:jc w:val="both"/>
        <w:rPr>
          <w:rFonts w:ascii="Bookman Old Style" w:eastAsia="Times New Roman" w:hAnsi="Bookman Old Style" w:cs="Times New Roman"/>
          <w:i/>
          <w:iCs/>
          <w:sz w:val="20"/>
          <w:szCs w:val="20"/>
          <w:lang w:eastAsia="es-ES"/>
        </w:rPr>
      </w:pPr>
    </w:p>
    <w:p w14:paraId="17313183" w14:textId="2CA073F2" w:rsidR="004613B3" w:rsidRPr="00DB2F47" w:rsidRDefault="004613B3" w:rsidP="00DB2F47">
      <w:pPr>
        <w:spacing w:after="0" w:line="240" w:lineRule="auto"/>
        <w:ind w:left="284"/>
        <w:contextualSpacing/>
        <w:jc w:val="both"/>
        <w:rPr>
          <w:rFonts w:ascii="Bookman Old Style" w:eastAsia="Times New Roman" w:hAnsi="Bookman Old Style" w:cs="Times New Roman"/>
          <w:i/>
          <w:iCs/>
          <w:sz w:val="20"/>
          <w:szCs w:val="20"/>
          <w:lang w:eastAsia="es-ES"/>
        </w:rPr>
      </w:pPr>
      <w:r w:rsidRPr="00DB2F47">
        <w:rPr>
          <w:rFonts w:ascii="Bookman Old Style" w:eastAsia="Times New Roman" w:hAnsi="Bookman Old Style" w:cs="Times New Roman"/>
          <w:i/>
          <w:iCs/>
          <w:sz w:val="20"/>
          <w:szCs w:val="20"/>
          <w:lang w:eastAsia="es-ES"/>
        </w:rPr>
        <w:t>c. MCH</w:t>
      </w:r>
    </w:p>
    <w:p w14:paraId="5880949D" w14:textId="228CC609" w:rsidR="004613B3" w:rsidRPr="00DB2F47" w:rsidRDefault="004613B3" w:rsidP="00DB2F47">
      <w:pPr>
        <w:spacing w:after="0" w:line="240" w:lineRule="auto"/>
        <w:ind w:left="284"/>
        <w:contextualSpacing/>
        <w:jc w:val="both"/>
        <w:rPr>
          <w:rFonts w:ascii="Bookman Old Style" w:eastAsia="Times New Roman" w:hAnsi="Bookman Old Style" w:cs="Times New Roman"/>
          <w:i/>
          <w:iCs/>
          <w:sz w:val="20"/>
          <w:szCs w:val="20"/>
          <w:lang w:eastAsia="es-ES"/>
        </w:rPr>
      </w:pPr>
    </w:p>
    <w:p w14:paraId="0D9606D0" w14:textId="123EB20A" w:rsidR="004613B3" w:rsidRPr="00DB2F47" w:rsidRDefault="004613B3" w:rsidP="00DB2F47">
      <w:pPr>
        <w:spacing w:after="0" w:line="240" w:lineRule="auto"/>
        <w:ind w:left="284"/>
        <w:contextualSpacing/>
        <w:jc w:val="both"/>
        <w:rPr>
          <w:rFonts w:ascii="Bookman Old Style" w:eastAsia="Times New Roman" w:hAnsi="Bookman Old Style" w:cs="Times New Roman"/>
          <w:i/>
          <w:iCs/>
          <w:sz w:val="20"/>
          <w:szCs w:val="20"/>
          <w:lang w:eastAsia="es-ES"/>
        </w:rPr>
      </w:pPr>
      <w:r w:rsidRPr="00DB2F47">
        <w:rPr>
          <w:noProof/>
          <w:sz w:val="20"/>
          <w:szCs w:val="20"/>
        </w:rPr>
        <w:drawing>
          <wp:inline distT="0" distB="0" distL="0" distR="0" wp14:anchorId="0A40E8E0" wp14:editId="54DD1D3A">
            <wp:extent cx="5378450" cy="118422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10767" cy="1191341"/>
                    </a:xfrm>
                    <a:prstGeom prst="rect">
                      <a:avLst/>
                    </a:prstGeom>
                  </pic:spPr>
                </pic:pic>
              </a:graphicData>
            </a:graphic>
          </wp:inline>
        </w:drawing>
      </w:r>
    </w:p>
    <w:p w14:paraId="647F083C" w14:textId="4CF672A8" w:rsidR="004613B3" w:rsidRPr="00DB2F47" w:rsidRDefault="004613B3" w:rsidP="00DB2F47">
      <w:pPr>
        <w:spacing w:after="0" w:line="240" w:lineRule="auto"/>
        <w:ind w:left="284"/>
        <w:contextualSpacing/>
        <w:jc w:val="both"/>
        <w:rPr>
          <w:rFonts w:ascii="Bookman Old Style" w:eastAsia="Times New Roman" w:hAnsi="Bookman Old Style" w:cs="Times New Roman"/>
          <w:i/>
          <w:iCs/>
          <w:sz w:val="20"/>
          <w:szCs w:val="20"/>
          <w:lang w:eastAsia="es-ES"/>
        </w:rPr>
      </w:pPr>
    </w:p>
    <w:p w14:paraId="259981E2" w14:textId="19BB06DB" w:rsidR="004613B3" w:rsidRPr="00DB2F47" w:rsidRDefault="004613B3" w:rsidP="00DB2F47">
      <w:pPr>
        <w:spacing w:after="0" w:line="240" w:lineRule="auto"/>
        <w:ind w:left="284"/>
        <w:contextualSpacing/>
        <w:jc w:val="both"/>
        <w:rPr>
          <w:rFonts w:ascii="Bookman Old Style" w:eastAsia="Times New Roman" w:hAnsi="Bookman Old Style" w:cs="Times New Roman"/>
          <w:i/>
          <w:iCs/>
          <w:sz w:val="20"/>
          <w:szCs w:val="20"/>
          <w:lang w:eastAsia="es-ES"/>
        </w:rPr>
      </w:pPr>
      <w:r w:rsidRPr="00DB2F47">
        <w:rPr>
          <w:rFonts w:ascii="Bookman Old Style" w:eastAsia="Times New Roman" w:hAnsi="Bookman Old Style" w:cs="Times New Roman"/>
          <w:i/>
          <w:iCs/>
          <w:sz w:val="20"/>
          <w:szCs w:val="20"/>
          <w:lang w:eastAsia="es-ES"/>
        </w:rPr>
        <w:t>(…)”</w:t>
      </w:r>
    </w:p>
    <w:p w14:paraId="21F4161E" w14:textId="2C013206" w:rsidR="007B4B41" w:rsidRPr="00DB2F47" w:rsidRDefault="007B4B41" w:rsidP="00DB2F47">
      <w:pPr>
        <w:spacing w:after="0" w:line="240" w:lineRule="auto"/>
        <w:ind w:left="284"/>
        <w:contextualSpacing/>
        <w:jc w:val="both"/>
        <w:rPr>
          <w:rFonts w:ascii="Bookman Old Style" w:eastAsia="Times New Roman" w:hAnsi="Bookman Old Style" w:cs="Times New Roman"/>
          <w:sz w:val="20"/>
          <w:szCs w:val="20"/>
          <w:lang w:eastAsia="es-ES"/>
        </w:rPr>
      </w:pPr>
    </w:p>
    <w:p w14:paraId="44E8E1B4" w14:textId="43B81B5F" w:rsidR="007B4B41" w:rsidRDefault="00384FCE" w:rsidP="002A13DB">
      <w:pPr>
        <w:spacing w:after="0" w:line="240" w:lineRule="auto"/>
        <w:contextualSpacing/>
        <w:jc w:val="both"/>
        <w:rPr>
          <w:rFonts w:ascii="Bookman Old Style" w:eastAsia="Times New Roman" w:hAnsi="Bookman Old Style" w:cs="Times New Roman"/>
          <w:sz w:val="24"/>
          <w:szCs w:val="24"/>
          <w:lang w:eastAsia="es-ES"/>
        </w:rPr>
      </w:pPr>
      <w:r>
        <w:rPr>
          <w:rFonts w:ascii="Bookman Old Style" w:eastAsia="Times New Roman" w:hAnsi="Bookman Old Style" w:cs="Times New Roman"/>
          <w:sz w:val="24"/>
          <w:szCs w:val="24"/>
          <w:lang w:eastAsia="es-ES"/>
        </w:rPr>
        <w:t xml:space="preserve">Aunque en la discriminación de los equipos que se requerirían para la coordinación de los distintos recursos conectados a la red de distribución de Mitú, incluido un sistema solar fotovoltaico con acumulación, se listan componentes para el sistema de generación con diésel y para la </w:t>
      </w:r>
      <w:r w:rsidR="0079576C">
        <w:rPr>
          <w:rFonts w:ascii="Bookman Old Style" w:eastAsia="Times New Roman" w:hAnsi="Bookman Old Style" w:cs="Times New Roman"/>
          <w:sz w:val="24"/>
          <w:szCs w:val="24"/>
          <w:lang w:eastAsia="es-ES"/>
        </w:rPr>
        <w:t>micro central</w:t>
      </w:r>
      <w:r>
        <w:rPr>
          <w:rFonts w:ascii="Bookman Old Style" w:eastAsia="Times New Roman" w:hAnsi="Bookman Old Style" w:cs="Times New Roman"/>
          <w:sz w:val="24"/>
          <w:szCs w:val="24"/>
          <w:lang w:eastAsia="es-ES"/>
        </w:rPr>
        <w:t xml:space="preserve"> </w:t>
      </w:r>
      <w:r w:rsidR="0079576C">
        <w:rPr>
          <w:rFonts w:ascii="Bookman Old Style" w:eastAsia="Times New Roman" w:hAnsi="Bookman Old Style" w:cs="Times New Roman"/>
          <w:sz w:val="24"/>
          <w:szCs w:val="24"/>
          <w:lang w:eastAsia="es-ES"/>
        </w:rPr>
        <w:t>hidroeléctrica, MCH</w:t>
      </w:r>
      <w:r>
        <w:rPr>
          <w:rFonts w:ascii="Bookman Old Style" w:eastAsia="Times New Roman" w:hAnsi="Bookman Old Style" w:cs="Times New Roman"/>
          <w:sz w:val="24"/>
          <w:szCs w:val="24"/>
          <w:lang w:eastAsia="es-ES"/>
        </w:rPr>
        <w:t xml:space="preserve">, por las mismas razones que expone DUE, </w:t>
      </w:r>
      <w:r w:rsidRPr="00384FCE">
        <w:rPr>
          <w:rFonts w:ascii="Bookman Old Style" w:eastAsia="Times New Roman" w:hAnsi="Bookman Old Style" w:cs="Times New Roman"/>
          <w:i/>
          <w:iCs/>
          <w:sz w:val="24"/>
          <w:szCs w:val="24"/>
          <w:lang w:eastAsia="es-ES"/>
        </w:rPr>
        <w:t>“La logística se hace por contenedor y no por unidad de equipo”</w:t>
      </w:r>
      <w:r>
        <w:rPr>
          <w:rFonts w:ascii="Bookman Old Style" w:eastAsia="Times New Roman" w:hAnsi="Bookman Old Style" w:cs="Times New Roman"/>
          <w:sz w:val="24"/>
          <w:szCs w:val="24"/>
          <w:lang w:eastAsia="es-ES"/>
        </w:rPr>
        <w:t xml:space="preserve">, </w:t>
      </w:r>
      <w:r w:rsidR="0079576C">
        <w:rPr>
          <w:rFonts w:ascii="Bookman Old Style" w:eastAsia="Times New Roman" w:hAnsi="Bookman Old Style" w:cs="Times New Roman"/>
          <w:sz w:val="24"/>
          <w:szCs w:val="24"/>
          <w:lang w:eastAsia="es-ES"/>
        </w:rPr>
        <w:t xml:space="preserve">el costo de transporte de estos elementos </w:t>
      </w:r>
      <w:r>
        <w:rPr>
          <w:rFonts w:ascii="Bookman Old Style" w:eastAsia="Times New Roman" w:hAnsi="Bookman Old Style" w:cs="Times New Roman"/>
          <w:sz w:val="24"/>
          <w:szCs w:val="24"/>
          <w:lang w:eastAsia="es-ES"/>
        </w:rPr>
        <w:t>no puede ser identificado en el detalle de la información de la comunicación de radicado CREG E-2019-008549 arriba relacionad</w:t>
      </w:r>
      <w:r w:rsidR="0079576C">
        <w:rPr>
          <w:rFonts w:ascii="Bookman Old Style" w:eastAsia="Times New Roman" w:hAnsi="Bookman Old Style" w:cs="Times New Roman"/>
          <w:sz w:val="24"/>
          <w:szCs w:val="24"/>
          <w:lang w:eastAsia="es-ES"/>
        </w:rPr>
        <w:t>a.</w:t>
      </w:r>
    </w:p>
    <w:p w14:paraId="48A7EBFB" w14:textId="03117D58" w:rsidR="007269A9" w:rsidRDefault="007269A9" w:rsidP="002A13DB">
      <w:pPr>
        <w:spacing w:after="0" w:line="240" w:lineRule="auto"/>
        <w:contextualSpacing/>
        <w:jc w:val="both"/>
        <w:rPr>
          <w:rFonts w:ascii="Bookman Old Style" w:eastAsia="Times New Roman" w:hAnsi="Bookman Old Style" w:cs="Times New Roman"/>
          <w:sz w:val="24"/>
          <w:szCs w:val="24"/>
          <w:lang w:eastAsia="es-ES"/>
        </w:rPr>
      </w:pPr>
    </w:p>
    <w:p w14:paraId="52B85E45" w14:textId="5C911308" w:rsidR="0079576C" w:rsidRDefault="0079576C" w:rsidP="002A13DB">
      <w:pPr>
        <w:spacing w:after="0" w:line="240" w:lineRule="auto"/>
        <w:contextualSpacing/>
        <w:jc w:val="both"/>
        <w:rPr>
          <w:rFonts w:ascii="Bookman Old Style" w:eastAsia="Times New Roman" w:hAnsi="Bookman Old Style" w:cs="Times New Roman"/>
          <w:sz w:val="24"/>
          <w:szCs w:val="24"/>
          <w:lang w:eastAsia="es-ES"/>
        </w:rPr>
      </w:pPr>
      <w:r>
        <w:rPr>
          <w:rFonts w:ascii="Bookman Old Style" w:eastAsia="Times New Roman" w:hAnsi="Bookman Old Style" w:cs="Times New Roman"/>
          <w:sz w:val="24"/>
          <w:szCs w:val="24"/>
          <w:lang w:eastAsia="es-ES"/>
        </w:rPr>
        <w:t>En la medida en que en el componente de VARIOS solo se identifican elementos relacionados con la subestación</w:t>
      </w:r>
      <w:r w:rsidR="00DB2F47">
        <w:rPr>
          <w:rFonts w:ascii="Bookman Old Style" w:eastAsia="Times New Roman" w:hAnsi="Bookman Old Style" w:cs="Times New Roman"/>
          <w:sz w:val="24"/>
          <w:szCs w:val="24"/>
          <w:lang w:eastAsia="es-ES"/>
        </w:rPr>
        <w:t>,</w:t>
      </w:r>
      <w:r>
        <w:rPr>
          <w:rFonts w:ascii="Bookman Old Style" w:eastAsia="Times New Roman" w:hAnsi="Bookman Old Style" w:cs="Times New Roman"/>
          <w:sz w:val="24"/>
          <w:szCs w:val="24"/>
          <w:lang w:eastAsia="es-ES"/>
        </w:rPr>
        <w:t xml:space="preserve"> y no es posible identificar de forma separada los elementos del sistema de generación, ni de la MCH</w:t>
      </w:r>
      <w:r w:rsidR="00DB2F47">
        <w:rPr>
          <w:rFonts w:ascii="Bookman Old Style" w:eastAsia="Times New Roman" w:hAnsi="Bookman Old Style" w:cs="Times New Roman"/>
          <w:sz w:val="24"/>
          <w:szCs w:val="24"/>
          <w:lang w:eastAsia="es-ES"/>
        </w:rPr>
        <w:t>,</w:t>
      </w:r>
      <w:r>
        <w:rPr>
          <w:rFonts w:ascii="Bookman Old Style" w:eastAsia="Times New Roman" w:hAnsi="Bookman Old Style" w:cs="Times New Roman"/>
          <w:sz w:val="24"/>
          <w:szCs w:val="24"/>
          <w:lang w:eastAsia="es-ES"/>
        </w:rPr>
        <w:t xml:space="preserve"> y el objetivo de considerar este tipo de costos es el de contar con una referencia de costos eficiente para la determinación del cargo máximo de generación para el mercado relevante de Mitú</w:t>
      </w:r>
      <w:r w:rsidR="00DB2F47">
        <w:rPr>
          <w:rFonts w:ascii="Bookman Old Style" w:eastAsia="Times New Roman" w:hAnsi="Bookman Old Style" w:cs="Times New Roman"/>
          <w:sz w:val="24"/>
          <w:szCs w:val="24"/>
          <w:lang w:eastAsia="es-ES"/>
        </w:rPr>
        <w:t>,</w:t>
      </w:r>
      <w:r>
        <w:rPr>
          <w:rFonts w:ascii="Bookman Old Style" w:eastAsia="Times New Roman" w:hAnsi="Bookman Old Style" w:cs="Times New Roman"/>
          <w:sz w:val="24"/>
          <w:szCs w:val="24"/>
          <w:lang w:eastAsia="es-ES"/>
        </w:rPr>
        <w:t xml:space="preserve"> y no la de definir los costos de un proyecto en particular, se mantiene la estimación de los costos de transporte de los equipos que no son considerado</w:t>
      </w:r>
      <w:r w:rsidR="0027222A">
        <w:rPr>
          <w:rFonts w:ascii="Bookman Old Style" w:eastAsia="Times New Roman" w:hAnsi="Bookman Old Style" w:cs="Times New Roman"/>
          <w:sz w:val="24"/>
          <w:szCs w:val="24"/>
          <w:lang w:eastAsia="es-ES"/>
        </w:rPr>
        <w:t>s</w:t>
      </w:r>
      <w:r>
        <w:rPr>
          <w:rFonts w:ascii="Bookman Old Style" w:eastAsia="Times New Roman" w:hAnsi="Bookman Old Style" w:cs="Times New Roman"/>
          <w:sz w:val="24"/>
          <w:szCs w:val="24"/>
          <w:lang w:eastAsia="es-ES"/>
        </w:rPr>
        <w:t xml:space="preserve"> en el cálculo del valor de referencia de la inversión en un total de seis (6) contendedores.</w:t>
      </w:r>
    </w:p>
    <w:p w14:paraId="15D5749A" w14:textId="77777777" w:rsidR="0079576C" w:rsidRDefault="0079576C" w:rsidP="002A13DB">
      <w:pPr>
        <w:spacing w:after="0" w:line="240" w:lineRule="auto"/>
        <w:contextualSpacing/>
        <w:jc w:val="both"/>
        <w:rPr>
          <w:rFonts w:ascii="Bookman Old Style" w:eastAsia="Times New Roman" w:hAnsi="Bookman Old Style" w:cs="Times New Roman"/>
          <w:sz w:val="24"/>
          <w:szCs w:val="24"/>
          <w:lang w:eastAsia="es-ES"/>
        </w:rPr>
      </w:pPr>
    </w:p>
    <w:p w14:paraId="11545734" w14:textId="3B1BF51A" w:rsidR="0079576C" w:rsidRDefault="0079576C" w:rsidP="002A13DB">
      <w:pPr>
        <w:spacing w:after="0" w:line="240" w:lineRule="auto"/>
        <w:contextualSpacing/>
        <w:jc w:val="both"/>
        <w:rPr>
          <w:rFonts w:ascii="Bookman Old Style" w:eastAsia="Times New Roman" w:hAnsi="Bookman Old Style" w:cs="Times New Roman"/>
          <w:sz w:val="24"/>
          <w:szCs w:val="24"/>
          <w:lang w:eastAsia="es-ES"/>
        </w:rPr>
      </w:pPr>
      <w:r>
        <w:rPr>
          <w:rFonts w:ascii="Bookman Old Style" w:eastAsia="Times New Roman" w:hAnsi="Bookman Old Style" w:cs="Times New Roman"/>
          <w:sz w:val="24"/>
          <w:szCs w:val="24"/>
          <w:lang w:eastAsia="es-ES"/>
        </w:rPr>
        <w:t>En ese sentido, no es procedente la solicitud de DUE, en el sentido de revisar el valor que se descuenta de las inversiones por este concepto.</w:t>
      </w:r>
    </w:p>
    <w:p w14:paraId="6E869BE1" w14:textId="3D1708D0" w:rsidR="0007741E" w:rsidRDefault="0007741E" w:rsidP="002A13DB">
      <w:pPr>
        <w:spacing w:after="0" w:line="240" w:lineRule="auto"/>
        <w:contextualSpacing/>
        <w:jc w:val="both"/>
        <w:rPr>
          <w:rFonts w:ascii="Bookman Old Style" w:eastAsia="Times New Roman" w:hAnsi="Bookman Old Style" w:cs="Times New Roman"/>
          <w:sz w:val="24"/>
          <w:szCs w:val="24"/>
          <w:lang w:eastAsia="es-ES"/>
        </w:rPr>
      </w:pPr>
    </w:p>
    <w:p w14:paraId="3F36E3F0" w14:textId="66961BF5" w:rsidR="00A71B6B" w:rsidRPr="00A71B6B" w:rsidRDefault="00A71B6B" w:rsidP="002A13DB">
      <w:pPr>
        <w:spacing w:after="0" w:line="240" w:lineRule="auto"/>
        <w:contextualSpacing/>
        <w:jc w:val="both"/>
        <w:rPr>
          <w:rFonts w:ascii="Bookman Old Style" w:eastAsia="Times New Roman" w:hAnsi="Bookman Old Style" w:cs="Times New Roman"/>
          <w:b/>
          <w:bCs/>
          <w:i/>
          <w:iCs/>
          <w:sz w:val="24"/>
          <w:szCs w:val="24"/>
          <w:lang w:eastAsia="es-ES"/>
        </w:rPr>
      </w:pPr>
      <w:r w:rsidRPr="00A71B6B">
        <w:rPr>
          <w:rFonts w:ascii="Bookman Old Style" w:eastAsia="Times New Roman" w:hAnsi="Bookman Old Style" w:cs="Times New Roman"/>
          <w:b/>
          <w:bCs/>
          <w:i/>
          <w:iCs/>
          <w:sz w:val="24"/>
          <w:szCs w:val="24"/>
          <w:lang w:eastAsia="es-ES"/>
        </w:rPr>
        <w:t>4.3 Se ajusta el centro de transformación de acuerdo con las unidades constructivas equivalentes de la Resolución CREG 015 – 2018.</w:t>
      </w:r>
      <w:r w:rsidR="008C050C">
        <w:rPr>
          <w:rFonts w:ascii="Bookman Old Style" w:eastAsia="Times New Roman" w:hAnsi="Bookman Old Style" w:cs="Times New Roman"/>
          <w:b/>
          <w:bCs/>
          <w:i/>
          <w:iCs/>
          <w:sz w:val="24"/>
          <w:szCs w:val="24"/>
          <w:lang w:eastAsia="es-ES"/>
        </w:rPr>
        <w:t xml:space="preserve"> </w:t>
      </w:r>
    </w:p>
    <w:p w14:paraId="742EB732" w14:textId="21EE0B3D" w:rsidR="00A71B6B" w:rsidRPr="00BB6978" w:rsidRDefault="00A71B6B" w:rsidP="002A13DB">
      <w:pPr>
        <w:spacing w:after="0" w:line="240" w:lineRule="auto"/>
        <w:contextualSpacing/>
        <w:jc w:val="both"/>
        <w:rPr>
          <w:rFonts w:ascii="Bookman Old Style" w:eastAsia="Times New Roman" w:hAnsi="Bookman Old Style" w:cs="Times New Roman"/>
          <w:sz w:val="24"/>
          <w:szCs w:val="24"/>
          <w:lang w:eastAsia="es-ES"/>
        </w:rPr>
      </w:pPr>
    </w:p>
    <w:p w14:paraId="4413A029" w14:textId="0609946B" w:rsidR="003C2887" w:rsidRPr="003C2887" w:rsidRDefault="003C2887" w:rsidP="003C2887">
      <w:pPr>
        <w:spacing w:after="0" w:line="240" w:lineRule="auto"/>
        <w:contextualSpacing/>
        <w:jc w:val="both"/>
        <w:rPr>
          <w:rFonts w:ascii="Bookman Old Style" w:eastAsia="Times New Roman" w:hAnsi="Bookman Old Style" w:cs="Arial"/>
          <w:sz w:val="24"/>
          <w:szCs w:val="24"/>
          <w:lang w:eastAsia="es-ES"/>
        </w:rPr>
      </w:pPr>
      <w:r w:rsidRPr="003C2887">
        <w:rPr>
          <w:rFonts w:ascii="Bookman Old Style" w:eastAsia="Times New Roman" w:hAnsi="Bookman Old Style" w:cs="Arial"/>
          <w:sz w:val="24"/>
          <w:szCs w:val="24"/>
          <w:lang w:eastAsia="es-ES"/>
        </w:rPr>
        <w:t>Al respecto, para establecer el costo eficiente de este tipo de componentes, a ser usado como referencia en la determinación del cargo máximo de generación en el marco de la solicitud de DUE, mediante Auto de pruebas de radicado CREG I</w:t>
      </w:r>
      <w:r w:rsidR="00DB2F47">
        <w:rPr>
          <w:rFonts w:ascii="Bookman Old Style" w:eastAsia="Times New Roman" w:hAnsi="Bookman Old Style" w:cs="Arial"/>
          <w:sz w:val="24"/>
          <w:szCs w:val="24"/>
          <w:lang w:eastAsia="es-ES"/>
        </w:rPr>
        <w:noBreakHyphen/>
      </w:r>
      <w:r w:rsidRPr="003C2887">
        <w:rPr>
          <w:rFonts w:ascii="Bookman Old Style" w:eastAsia="Times New Roman" w:hAnsi="Bookman Old Style" w:cs="Arial"/>
          <w:sz w:val="24"/>
          <w:szCs w:val="24"/>
          <w:lang w:eastAsia="es-ES"/>
        </w:rPr>
        <w:t>2019-004636</w:t>
      </w:r>
      <w:r w:rsidR="00DB2F47">
        <w:rPr>
          <w:rFonts w:ascii="Bookman Old Style" w:eastAsia="Times New Roman" w:hAnsi="Bookman Old Style" w:cs="Arial"/>
          <w:sz w:val="24"/>
          <w:szCs w:val="24"/>
          <w:lang w:eastAsia="es-ES"/>
        </w:rPr>
        <w:t>,</w:t>
      </w:r>
      <w:r w:rsidRPr="003C2887">
        <w:rPr>
          <w:rFonts w:ascii="Bookman Old Style" w:eastAsia="Times New Roman" w:hAnsi="Bookman Old Style" w:cs="Arial"/>
          <w:sz w:val="24"/>
          <w:szCs w:val="24"/>
          <w:lang w:eastAsia="es-ES"/>
        </w:rPr>
        <w:t xml:space="preserve"> esta Comisión solicitó la siguiente información:</w:t>
      </w:r>
    </w:p>
    <w:p w14:paraId="3FF429D3" w14:textId="77777777" w:rsidR="003C2887" w:rsidRPr="005872A0" w:rsidRDefault="003C2887" w:rsidP="003C2887">
      <w:pPr>
        <w:spacing w:after="0" w:line="240" w:lineRule="auto"/>
        <w:contextualSpacing/>
        <w:jc w:val="both"/>
        <w:rPr>
          <w:rFonts w:ascii="Bookman Old Style" w:eastAsia="Times New Roman" w:hAnsi="Bookman Old Style" w:cs="Arial"/>
          <w:lang w:eastAsia="es-ES"/>
        </w:rPr>
      </w:pPr>
    </w:p>
    <w:p w14:paraId="14F550D5" w14:textId="77777777" w:rsidR="003C2887" w:rsidRPr="00DB2F47" w:rsidRDefault="003C2887" w:rsidP="00DB2F47">
      <w:pPr>
        <w:spacing w:after="0" w:line="240" w:lineRule="auto"/>
        <w:ind w:left="284"/>
        <w:contextualSpacing/>
        <w:jc w:val="both"/>
        <w:rPr>
          <w:rFonts w:ascii="Bookman Old Style" w:eastAsia="MS Mincho" w:hAnsi="Bookman Old Style" w:cs="Arial"/>
          <w:i/>
          <w:sz w:val="20"/>
          <w:szCs w:val="20"/>
          <w:lang w:val="es-ES"/>
        </w:rPr>
      </w:pPr>
      <w:r w:rsidRPr="00DB2F47">
        <w:rPr>
          <w:rFonts w:ascii="Bookman Old Style" w:eastAsia="MS Mincho" w:hAnsi="Bookman Old Style" w:cs="Arial"/>
          <w:i/>
          <w:sz w:val="20"/>
          <w:szCs w:val="20"/>
        </w:rPr>
        <w:t xml:space="preserve">“(…) PRIMERO. </w:t>
      </w:r>
      <w:r w:rsidRPr="00DB2F47">
        <w:rPr>
          <w:rFonts w:ascii="Bookman Old Style" w:eastAsia="MS Mincho" w:hAnsi="Bookman Old Style" w:cs="Arial"/>
          <w:i/>
          <w:sz w:val="20"/>
          <w:szCs w:val="20"/>
          <w:lang w:val="es-ES"/>
        </w:rPr>
        <w:t>Oficiar a la empresa</w:t>
      </w:r>
      <w:r w:rsidRPr="00DB2F47">
        <w:rPr>
          <w:rFonts w:ascii="Bookman Old Style" w:eastAsia="Times New Roman" w:hAnsi="Bookman Old Style" w:cs="Arial"/>
          <w:i/>
          <w:sz w:val="20"/>
          <w:szCs w:val="20"/>
          <w:lang w:val="es-ES" w:eastAsia="es-ES"/>
        </w:rPr>
        <w:t xml:space="preserve"> </w:t>
      </w:r>
      <w:proofErr w:type="spellStart"/>
      <w:r w:rsidRPr="00DB2F47">
        <w:rPr>
          <w:rFonts w:ascii="Bookman Old Style" w:eastAsia="Times New Roman" w:hAnsi="Bookman Old Style" w:cs="Arial"/>
          <w:i/>
          <w:sz w:val="20"/>
          <w:szCs w:val="20"/>
          <w:lang w:val="es-ES" w:eastAsia="es-ES"/>
        </w:rPr>
        <w:t>Due</w:t>
      </w:r>
      <w:proofErr w:type="spellEnd"/>
      <w:r w:rsidRPr="00DB2F47">
        <w:rPr>
          <w:rFonts w:ascii="Bookman Old Style" w:eastAsia="Times New Roman" w:hAnsi="Bookman Old Style" w:cs="Arial"/>
          <w:i/>
          <w:sz w:val="20"/>
          <w:szCs w:val="20"/>
          <w:lang w:val="es-ES" w:eastAsia="es-ES"/>
        </w:rPr>
        <w:t xml:space="preserve"> Capital and </w:t>
      </w:r>
      <w:proofErr w:type="spellStart"/>
      <w:r w:rsidRPr="00DB2F47">
        <w:rPr>
          <w:rFonts w:ascii="Bookman Old Style" w:eastAsia="Times New Roman" w:hAnsi="Bookman Old Style" w:cs="Arial"/>
          <w:i/>
          <w:sz w:val="20"/>
          <w:szCs w:val="20"/>
          <w:lang w:val="es-ES" w:eastAsia="es-ES"/>
        </w:rPr>
        <w:t>Services</w:t>
      </w:r>
      <w:proofErr w:type="spellEnd"/>
      <w:r w:rsidRPr="00DB2F47">
        <w:rPr>
          <w:rFonts w:ascii="Bookman Old Style" w:eastAsia="Times New Roman" w:hAnsi="Bookman Old Style" w:cs="Arial"/>
          <w:i/>
          <w:sz w:val="20"/>
          <w:szCs w:val="20"/>
          <w:lang w:val="es-ES" w:eastAsia="es-ES"/>
        </w:rPr>
        <w:t xml:space="preserve"> S.A.S. </w:t>
      </w:r>
      <w:r w:rsidRPr="00DB2F47">
        <w:rPr>
          <w:rFonts w:ascii="Bookman Old Style" w:eastAsia="MS Mincho" w:hAnsi="Bookman Old Style" w:cs="Arial"/>
          <w:i/>
          <w:sz w:val="20"/>
          <w:szCs w:val="20"/>
          <w:lang w:val="es-ES"/>
        </w:rPr>
        <w:t>para que se pronuncie sobre los siguientes aspectos: (…)</w:t>
      </w:r>
    </w:p>
    <w:p w14:paraId="222AB24E" w14:textId="77777777" w:rsidR="003C2887" w:rsidRPr="00DB2F47" w:rsidRDefault="003C2887" w:rsidP="003C2887">
      <w:pPr>
        <w:spacing w:after="0" w:line="240" w:lineRule="auto"/>
        <w:ind w:left="851" w:hanging="425"/>
        <w:contextualSpacing/>
        <w:jc w:val="both"/>
        <w:rPr>
          <w:rFonts w:ascii="Bookman Old Style" w:eastAsia="MS Mincho" w:hAnsi="Bookman Old Style" w:cs="Arial"/>
          <w:i/>
          <w:sz w:val="20"/>
          <w:szCs w:val="20"/>
          <w:lang w:val="es-ES"/>
        </w:rPr>
      </w:pPr>
    </w:p>
    <w:p w14:paraId="5B071348" w14:textId="77777777" w:rsidR="003C2887" w:rsidRPr="00DB2F47" w:rsidRDefault="003C2887" w:rsidP="003C2887">
      <w:pPr>
        <w:spacing w:after="0" w:line="240" w:lineRule="auto"/>
        <w:ind w:left="851" w:hanging="425"/>
        <w:jc w:val="both"/>
        <w:rPr>
          <w:rFonts w:ascii="Bookman Old Style" w:eastAsia="MS Mincho" w:hAnsi="Bookman Old Style" w:cs="Arial"/>
          <w:i/>
          <w:sz w:val="20"/>
          <w:szCs w:val="20"/>
        </w:rPr>
      </w:pPr>
      <w:r w:rsidRPr="00DB2F47">
        <w:rPr>
          <w:rFonts w:ascii="Bookman Old Style" w:eastAsia="MS Mincho" w:hAnsi="Bookman Old Style" w:cs="Arial"/>
          <w:i/>
          <w:sz w:val="20"/>
          <w:szCs w:val="20"/>
        </w:rPr>
        <w:t>2.</w:t>
      </w:r>
      <w:r w:rsidRPr="00DB2F47">
        <w:rPr>
          <w:rFonts w:ascii="Bookman Old Style" w:eastAsia="MS Mincho" w:hAnsi="Bookman Old Style" w:cs="Arial"/>
          <w:i/>
          <w:sz w:val="20"/>
          <w:szCs w:val="20"/>
        </w:rPr>
        <w:tab/>
        <w:t xml:space="preserve">Respecto del numeral 1.6. Características técnicas relevantes: Potencia pico, tensión de interconexión, potencia nominal de los inversores, número y tipo de módulos, tipo de estructura, superficie ocupada, </w:t>
      </w:r>
      <w:proofErr w:type="spellStart"/>
      <w:r w:rsidRPr="00DB2F47">
        <w:rPr>
          <w:rFonts w:ascii="Bookman Old Style" w:eastAsia="MS Mincho" w:hAnsi="Bookman Old Style" w:cs="Arial"/>
          <w:i/>
          <w:sz w:val="20"/>
          <w:szCs w:val="20"/>
        </w:rPr>
        <w:t>etc</w:t>
      </w:r>
      <w:proofErr w:type="spellEnd"/>
      <w:r w:rsidRPr="00DB2F47">
        <w:rPr>
          <w:rFonts w:ascii="Bookman Old Style" w:eastAsia="MS Mincho" w:hAnsi="Bookman Old Style" w:cs="Arial"/>
          <w:i/>
          <w:sz w:val="20"/>
          <w:szCs w:val="20"/>
        </w:rPr>
        <w:t>; y numeral 1.7 dimensionado de la planta FV, sírvase aclarar y justificar para todos los componentes las diferencias presentadas entre los radicados CREG E-2019-002423 y E-2019-004020, indicando a qué se deben estas diferencias y cuál es el costo que se soporta en la documentación presentada. Lo anterior teniendo en cuenta que en los dos radicados el costo total del proyecto es igual, pero los costos y descripción de los componentes y elementos es diferente. Así las cosas, explique como mínimo los siguientes casos que fueron identificados: (…)</w:t>
      </w:r>
    </w:p>
    <w:p w14:paraId="397B8CCB" w14:textId="77777777" w:rsidR="003C2887" w:rsidRPr="00DB2F47" w:rsidRDefault="003C2887" w:rsidP="003C2887">
      <w:pPr>
        <w:spacing w:after="0" w:line="240" w:lineRule="auto"/>
        <w:ind w:left="851"/>
        <w:jc w:val="both"/>
        <w:rPr>
          <w:rFonts w:ascii="Bookman Old Style" w:eastAsia="MS Mincho" w:hAnsi="Bookman Old Style" w:cs="Arial"/>
          <w:i/>
          <w:sz w:val="20"/>
          <w:szCs w:val="20"/>
        </w:rPr>
      </w:pPr>
    </w:p>
    <w:p w14:paraId="53D52734" w14:textId="77777777" w:rsidR="003C2887" w:rsidRPr="00DB2F47" w:rsidRDefault="003C2887" w:rsidP="003C2887">
      <w:pPr>
        <w:spacing w:after="0" w:line="240" w:lineRule="auto"/>
        <w:ind w:left="851" w:hanging="425"/>
        <w:contextualSpacing/>
        <w:jc w:val="both"/>
        <w:rPr>
          <w:rFonts w:ascii="Bookman Old Style" w:eastAsia="MS Mincho" w:hAnsi="Bookman Old Style" w:cs="Arial"/>
          <w:i/>
          <w:sz w:val="20"/>
          <w:szCs w:val="20"/>
        </w:rPr>
      </w:pPr>
      <w:r w:rsidRPr="00DB2F47">
        <w:rPr>
          <w:rFonts w:ascii="Bookman Old Style" w:eastAsia="MS Mincho" w:hAnsi="Bookman Old Style" w:cs="Arial"/>
          <w:i/>
          <w:sz w:val="20"/>
          <w:szCs w:val="20"/>
        </w:rPr>
        <w:t>c)</w:t>
      </w:r>
      <w:r w:rsidRPr="00DB2F47">
        <w:rPr>
          <w:rFonts w:ascii="Bookman Old Style" w:eastAsia="MS Mincho" w:hAnsi="Bookman Old Style" w:cs="Arial"/>
          <w:i/>
          <w:sz w:val="20"/>
          <w:szCs w:val="20"/>
        </w:rPr>
        <w:tab/>
        <w:t>En el informe con radicado CREG E-2019-002423 se menciona que son 2 centros de trasformación de 4.18 MVA, y en los documentos anexos en la comunicación E-2019-004020 se relacionan 37 unidades de 2 MW (Cuadro en Número de folio 00000027).</w:t>
      </w:r>
    </w:p>
    <w:p w14:paraId="334DDF77" w14:textId="77777777" w:rsidR="003C2887" w:rsidRPr="00DB2F47" w:rsidRDefault="003C2887" w:rsidP="003C2887">
      <w:pPr>
        <w:spacing w:after="0" w:line="240" w:lineRule="auto"/>
        <w:ind w:left="851"/>
        <w:contextualSpacing/>
        <w:jc w:val="both"/>
        <w:rPr>
          <w:rFonts w:ascii="Bookman Old Style" w:eastAsia="MS Mincho" w:hAnsi="Bookman Old Style" w:cs="Arial"/>
          <w:i/>
          <w:sz w:val="20"/>
          <w:szCs w:val="20"/>
        </w:rPr>
      </w:pPr>
    </w:p>
    <w:p w14:paraId="4D82AF72" w14:textId="77777777" w:rsidR="003C2887" w:rsidRPr="00DB2F47" w:rsidRDefault="003C2887" w:rsidP="003C2887">
      <w:pPr>
        <w:spacing w:after="0" w:line="240" w:lineRule="auto"/>
        <w:ind w:left="851"/>
        <w:contextualSpacing/>
        <w:jc w:val="both"/>
        <w:rPr>
          <w:rFonts w:ascii="Bookman Old Style" w:eastAsia="MS Mincho" w:hAnsi="Bookman Old Style" w:cs="Arial"/>
          <w:i/>
          <w:sz w:val="20"/>
          <w:szCs w:val="20"/>
        </w:rPr>
      </w:pPr>
      <w:r w:rsidRPr="00DB2F47">
        <w:rPr>
          <w:rFonts w:ascii="Bookman Old Style" w:eastAsia="MS Mincho" w:hAnsi="Bookman Old Style" w:cs="Arial"/>
          <w:i/>
          <w:sz w:val="20"/>
          <w:szCs w:val="20"/>
        </w:rPr>
        <w:t>En este caso en particular, sírvase identificar las diferencias, y cuáles de los componentes se dedican a los módulos, cuáles al sistema de acumulación, cuáles a los grupos electrógenos, cuáles son requeridos para la hibridación, cuáles se destinan al balance de generación de los diferentes recursos que alimentan el sistema de distribución y cualquier otra aclaración que considere pertinente, considerando que en el radicado CREG E-2019-002423 se describe un sistema de evacuación en los siguientes términos: “EVACUATION SYSTEM (TRANSFORMER 34,5/13,8 kV 4 MVA, SWITCHNG CABINETS AND ELECTRICAL METER TO EXISTING 34 KV HVL AND SWITCHING CABINET AND ELECTRICAL METER TO DIESEL GEN PLANT)”; mientras que en el radicado CREG E-2019-004020 se encuentran dentro del presupuesto de inversión los siguientes componentes: Evacuación, compuesto por 5.1 Seccionamiento, 5.2 Interconexión y 5.3 Hibridación; y dentro del Sistema AC se encuentra el componente 2.2.1 Centro de transformación (hasta 2.00 MW). (…)”</w:t>
      </w:r>
    </w:p>
    <w:p w14:paraId="299192BD" w14:textId="77777777" w:rsidR="003C2887" w:rsidRPr="003C2887" w:rsidRDefault="003C2887" w:rsidP="003C2887">
      <w:pPr>
        <w:spacing w:after="0" w:line="240" w:lineRule="auto"/>
        <w:contextualSpacing/>
        <w:jc w:val="both"/>
        <w:rPr>
          <w:rFonts w:ascii="Bookman Old Style" w:eastAsia="Times New Roman" w:hAnsi="Bookman Old Style" w:cs="Arial"/>
          <w:sz w:val="24"/>
          <w:szCs w:val="24"/>
          <w:lang w:eastAsia="es-ES"/>
        </w:rPr>
      </w:pPr>
    </w:p>
    <w:p w14:paraId="50B72CD5" w14:textId="77777777" w:rsidR="003C2887" w:rsidRPr="003C2887" w:rsidRDefault="003C2887" w:rsidP="003C2887">
      <w:pPr>
        <w:spacing w:after="0" w:line="240" w:lineRule="auto"/>
        <w:contextualSpacing/>
        <w:jc w:val="both"/>
        <w:rPr>
          <w:rFonts w:ascii="Bookman Old Style" w:eastAsia="Times New Roman" w:hAnsi="Bookman Old Style" w:cs="Arial"/>
          <w:sz w:val="24"/>
          <w:szCs w:val="24"/>
          <w:lang w:eastAsia="es-ES"/>
        </w:rPr>
      </w:pPr>
      <w:r w:rsidRPr="003C2887">
        <w:rPr>
          <w:rFonts w:ascii="Bookman Old Style" w:eastAsia="Times New Roman" w:hAnsi="Bookman Old Style" w:cs="Arial"/>
          <w:sz w:val="24"/>
          <w:szCs w:val="24"/>
          <w:lang w:eastAsia="es-ES"/>
        </w:rPr>
        <w:t xml:space="preserve">No obstante, DUE en su respuesta no hace las aclaraciones respectivas sobre lo que denomina, en la documentación presentada, como </w:t>
      </w:r>
      <w:r w:rsidRPr="003C2887">
        <w:rPr>
          <w:rFonts w:ascii="Bookman Old Style" w:eastAsia="Times New Roman" w:hAnsi="Bookman Old Style" w:cs="Arial"/>
          <w:i/>
          <w:sz w:val="24"/>
          <w:szCs w:val="24"/>
          <w:lang w:eastAsia="es-ES"/>
        </w:rPr>
        <w:t xml:space="preserve">“Centro de transformación (hasta 2.00 MW - 37 unidades) / Transformador 34,5/13,8 kV 4 MVA, </w:t>
      </w:r>
      <w:proofErr w:type="spellStart"/>
      <w:r w:rsidRPr="003C2887">
        <w:rPr>
          <w:rFonts w:ascii="Bookman Old Style" w:eastAsia="Times New Roman" w:hAnsi="Bookman Old Style" w:cs="Arial"/>
          <w:i/>
          <w:sz w:val="24"/>
          <w:szCs w:val="24"/>
          <w:lang w:eastAsia="es-ES"/>
        </w:rPr>
        <w:t>switching</w:t>
      </w:r>
      <w:proofErr w:type="spellEnd"/>
      <w:r w:rsidRPr="003C2887">
        <w:rPr>
          <w:rFonts w:ascii="Bookman Old Style" w:eastAsia="Times New Roman" w:hAnsi="Bookman Old Style" w:cs="Arial"/>
          <w:i/>
          <w:sz w:val="24"/>
          <w:szCs w:val="24"/>
          <w:lang w:eastAsia="es-ES"/>
        </w:rPr>
        <w:t xml:space="preserve"> </w:t>
      </w:r>
      <w:proofErr w:type="spellStart"/>
      <w:r w:rsidRPr="003C2887">
        <w:rPr>
          <w:rFonts w:ascii="Bookman Old Style" w:eastAsia="Times New Roman" w:hAnsi="Bookman Old Style" w:cs="Arial"/>
          <w:i/>
          <w:sz w:val="24"/>
          <w:szCs w:val="24"/>
          <w:lang w:eastAsia="es-ES"/>
        </w:rPr>
        <w:t>cabinet</w:t>
      </w:r>
      <w:proofErr w:type="spellEnd"/>
      <w:r w:rsidRPr="003C2887">
        <w:rPr>
          <w:rFonts w:ascii="Bookman Old Style" w:eastAsia="Times New Roman" w:hAnsi="Bookman Old Style" w:cs="Arial"/>
          <w:i/>
          <w:sz w:val="24"/>
          <w:szCs w:val="24"/>
          <w:lang w:eastAsia="es-ES"/>
        </w:rPr>
        <w:t xml:space="preserve"> y </w:t>
      </w:r>
      <w:proofErr w:type="spellStart"/>
      <w:r w:rsidRPr="003C2887">
        <w:rPr>
          <w:rFonts w:ascii="Bookman Old Style" w:eastAsia="Times New Roman" w:hAnsi="Bookman Old Style" w:cs="Arial"/>
          <w:i/>
          <w:sz w:val="24"/>
          <w:szCs w:val="24"/>
          <w:lang w:eastAsia="es-ES"/>
        </w:rPr>
        <w:t>electrical</w:t>
      </w:r>
      <w:proofErr w:type="spellEnd"/>
      <w:r w:rsidRPr="003C2887">
        <w:rPr>
          <w:rFonts w:ascii="Bookman Old Style" w:eastAsia="Times New Roman" w:hAnsi="Bookman Old Style" w:cs="Arial"/>
          <w:i/>
          <w:sz w:val="24"/>
          <w:szCs w:val="24"/>
          <w:lang w:eastAsia="es-ES"/>
        </w:rPr>
        <w:t xml:space="preserve"> meter </w:t>
      </w:r>
      <w:proofErr w:type="spellStart"/>
      <w:r w:rsidRPr="003C2887">
        <w:rPr>
          <w:rFonts w:ascii="Bookman Old Style" w:eastAsia="Times New Roman" w:hAnsi="Bookman Old Style" w:cs="Arial"/>
          <w:i/>
          <w:sz w:val="24"/>
          <w:szCs w:val="24"/>
          <w:lang w:eastAsia="es-ES"/>
        </w:rPr>
        <w:t>to</w:t>
      </w:r>
      <w:proofErr w:type="spellEnd"/>
      <w:r w:rsidRPr="003C2887">
        <w:rPr>
          <w:rFonts w:ascii="Bookman Old Style" w:eastAsia="Times New Roman" w:hAnsi="Bookman Old Style" w:cs="Arial"/>
          <w:i/>
          <w:sz w:val="24"/>
          <w:szCs w:val="24"/>
          <w:lang w:eastAsia="es-ES"/>
        </w:rPr>
        <w:t xml:space="preserve"> PCH y </w:t>
      </w:r>
      <w:proofErr w:type="spellStart"/>
      <w:r w:rsidRPr="003C2887">
        <w:rPr>
          <w:rFonts w:ascii="Bookman Old Style" w:eastAsia="Times New Roman" w:hAnsi="Bookman Old Style" w:cs="Arial"/>
          <w:i/>
          <w:sz w:val="24"/>
          <w:szCs w:val="24"/>
          <w:lang w:eastAsia="es-ES"/>
        </w:rPr>
        <w:t>switching</w:t>
      </w:r>
      <w:proofErr w:type="spellEnd"/>
      <w:r w:rsidRPr="003C2887">
        <w:rPr>
          <w:rFonts w:ascii="Bookman Old Style" w:eastAsia="Times New Roman" w:hAnsi="Bookman Old Style" w:cs="Arial"/>
          <w:i/>
          <w:sz w:val="24"/>
          <w:szCs w:val="24"/>
          <w:lang w:eastAsia="es-ES"/>
        </w:rPr>
        <w:t xml:space="preserve"> </w:t>
      </w:r>
      <w:proofErr w:type="spellStart"/>
      <w:r w:rsidRPr="003C2887">
        <w:rPr>
          <w:rFonts w:ascii="Bookman Old Style" w:eastAsia="Times New Roman" w:hAnsi="Bookman Old Style" w:cs="Arial"/>
          <w:i/>
          <w:sz w:val="24"/>
          <w:szCs w:val="24"/>
          <w:lang w:eastAsia="es-ES"/>
        </w:rPr>
        <w:t>cabinet</w:t>
      </w:r>
      <w:proofErr w:type="spellEnd"/>
      <w:r w:rsidRPr="003C2887">
        <w:rPr>
          <w:rFonts w:ascii="Bookman Old Style" w:eastAsia="Times New Roman" w:hAnsi="Bookman Old Style" w:cs="Arial"/>
          <w:i/>
          <w:sz w:val="24"/>
          <w:szCs w:val="24"/>
          <w:lang w:eastAsia="es-ES"/>
        </w:rPr>
        <w:t xml:space="preserve"> y </w:t>
      </w:r>
      <w:proofErr w:type="spellStart"/>
      <w:r w:rsidRPr="003C2887">
        <w:rPr>
          <w:rFonts w:ascii="Bookman Old Style" w:eastAsia="Times New Roman" w:hAnsi="Bookman Old Style" w:cs="Arial"/>
          <w:i/>
          <w:sz w:val="24"/>
          <w:szCs w:val="24"/>
          <w:lang w:eastAsia="es-ES"/>
        </w:rPr>
        <w:t>electrical</w:t>
      </w:r>
      <w:proofErr w:type="spellEnd"/>
      <w:r w:rsidRPr="003C2887">
        <w:rPr>
          <w:rFonts w:ascii="Bookman Old Style" w:eastAsia="Times New Roman" w:hAnsi="Bookman Old Style" w:cs="Arial"/>
          <w:i/>
          <w:sz w:val="24"/>
          <w:szCs w:val="24"/>
          <w:lang w:eastAsia="es-ES"/>
        </w:rPr>
        <w:t xml:space="preserve"> meter </w:t>
      </w:r>
      <w:proofErr w:type="spellStart"/>
      <w:r w:rsidRPr="003C2887">
        <w:rPr>
          <w:rFonts w:ascii="Bookman Old Style" w:eastAsia="Times New Roman" w:hAnsi="Bookman Old Style" w:cs="Arial"/>
          <w:i/>
          <w:sz w:val="24"/>
          <w:szCs w:val="24"/>
          <w:lang w:eastAsia="es-ES"/>
        </w:rPr>
        <w:t>to</w:t>
      </w:r>
      <w:proofErr w:type="spellEnd"/>
      <w:r w:rsidRPr="003C2887">
        <w:rPr>
          <w:rFonts w:ascii="Bookman Old Style" w:eastAsia="Times New Roman" w:hAnsi="Bookman Old Style" w:cs="Arial"/>
          <w:i/>
          <w:sz w:val="24"/>
          <w:szCs w:val="24"/>
          <w:lang w:eastAsia="es-ES"/>
        </w:rPr>
        <w:t xml:space="preserve"> </w:t>
      </w:r>
      <w:proofErr w:type="spellStart"/>
      <w:r w:rsidRPr="003C2887">
        <w:rPr>
          <w:rFonts w:ascii="Bookman Old Style" w:eastAsia="Times New Roman" w:hAnsi="Bookman Old Style" w:cs="Arial"/>
          <w:i/>
          <w:sz w:val="24"/>
          <w:szCs w:val="24"/>
          <w:lang w:eastAsia="es-ES"/>
        </w:rPr>
        <w:t>diesel</w:t>
      </w:r>
      <w:proofErr w:type="spellEnd"/>
      <w:r w:rsidRPr="003C2887">
        <w:rPr>
          <w:rFonts w:ascii="Bookman Old Style" w:eastAsia="Times New Roman" w:hAnsi="Bookman Old Style" w:cs="Arial"/>
          <w:i/>
          <w:sz w:val="24"/>
          <w:szCs w:val="24"/>
          <w:lang w:eastAsia="es-ES"/>
        </w:rPr>
        <w:t>”</w:t>
      </w:r>
      <w:r w:rsidRPr="003C2887">
        <w:rPr>
          <w:rFonts w:ascii="Bookman Old Style" w:eastAsia="Times New Roman" w:hAnsi="Bookman Old Style" w:cs="Arial"/>
          <w:sz w:val="24"/>
          <w:szCs w:val="24"/>
          <w:lang w:eastAsia="es-ES"/>
        </w:rPr>
        <w:t>.</w:t>
      </w:r>
    </w:p>
    <w:p w14:paraId="1E3FCEDB" w14:textId="77777777" w:rsidR="003C2887" w:rsidRPr="003C2887" w:rsidRDefault="003C2887" w:rsidP="003C2887">
      <w:pPr>
        <w:spacing w:after="0" w:line="240" w:lineRule="auto"/>
        <w:contextualSpacing/>
        <w:jc w:val="both"/>
        <w:rPr>
          <w:rFonts w:ascii="Bookman Old Style" w:eastAsia="Times New Roman" w:hAnsi="Bookman Old Style" w:cs="Arial"/>
          <w:sz w:val="24"/>
          <w:szCs w:val="24"/>
          <w:lang w:eastAsia="es-ES"/>
        </w:rPr>
      </w:pPr>
    </w:p>
    <w:p w14:paraId="10EF7B7B" w14:textId="1A14AA29" w:rsidR="003C2887" w:rsidRPr="003C2887" w:rsidRDefault="003C2887" w:rsidP="003C2887">
      <w:pPr>
        <w:spacing w:after="0" w:line="240" w:lineRule="auto"/>
        <w:contextualSpacing/>
        <w:jc w:val="both"/>
        <w:rPr>
          <w:rFonts w:ascii="Bookman Old Style" w:eastAsia="Times New Roman" w:hAnsi="Bookman Old Style" w:cs="Arial"/>
          <w:sz w:val="24"/>
          <w:szCs w:val="24"/>
          <w:lang w:eastAsia="es-ES"/>
        </w:rPr>
      </w:pPr>
      <w:r w:rsidRPr="003C2887">
        <w:rPr>
          <w:rFonts w:ascii="Bookman Old Style" w:eastAsia="Times New Roman" w:hAnsi="Bookman Old Style" w:cs="Arial"/>
          <w:sz w:val="24"/>
          <w:szCs w:val="24"/>
          <w:lang w:eastAsia="es-ES"/>
        </w:rPr>
        <w:t>Atendiendo esta situación</w:t>
      </w:r>
      <w:r w:rsidR="00DB2F47">
        <w:rPr>
          <w:rFonts w:ascii="Bookman Old Style" w:eastAsia="Times New Roman" w:hAnsi="Bookman Old Style" w:cs="Arial"/>
          <w:sz w:val="24"/>
          <w:szCs w:val="24"/>
          <w:lang w:eastAsia="es-ES"/>
        </w:rPr>
        <w:t>,</w:t>
      </w:r>
      <w:r w:rsidRPr="003C2887">
        <w:rPr>
          <w:rFonts w:ascii="Bookman Old Style" w:eastAsia="Times New Roman" w:hAnsi="Bookman Old Style" w:cs="Arial"/>
          <w:sz w:val="24"/>
          <w:szCs w:val="24"/>
          <w:lang w:eastAsia="es-ES"/>
        </w:rPr>
        <w:t xml:space="preserve"> y con el ánimo de tener un referente de costos eficiente para este componente, soportado por DUE, esta Comisión, mediante Auto de pruebas de radicado CREG I-2020-000794, solicitó lo siguiente:</w:t>
      </w:r>
    </w:p>
    <w:p w14:paraId="4E60E1F1" w14:textId="77777777" w:rsidR="003C2887" w:rsidRPr="003C2887" w:rsidRDefault="003C2887" w:rsidP="003C2887">
      <w:pPr>
        <w:spacing w:after="0" w:line="240" w:lineRule="auto"/>
        <w:contextualSpacing/>
        <w:jc w:val="both"/>
        <w:rPr>
          <w:rFonts w:ascii="Bookman Old Style" w:eastAsia="Times New Roman" w:hAnsi="Bookman Old Style" w:cs="Arial"/>
          <w:sz w:val="24"/>
          <w:szCs w:val="24"/>
          <w:lang w:eastAsia="es-ES"/>
        </w:rPr>
      </w:pPr>
    </w:p>
    <w:p w14:paraId="75C8C698" w14:textId="77777777" w:rsidR="003C2887" w:rsidRPr="00DB2F47" w:rsidRDefault="003C2887" w:rsidP="00DB2F47">
      <w:pPr>
        <w:spacing w:after="0" w:line="240" w:lineRule="auto"/>
        <w:ind w:left="284"/>
        <w:contextualSpacing/>
        <w:jc w:val="both"/>
        <w:rPr>
          <w:rFonts w:ascii="Bookman Old Style" w:eastAsia="Times New Roman" w:hAnsi="Bookman Old Style" w:cs="Arial"/>
          <w:i/>
          <w:sz w:val="20"/>
          <w:szCs w:val="20"/>
          <w:lang w:eastAsia="es-ES"/>
        </w:rPr>
      </w:pPr>
      <w:r w:rsidRPr="00DB2F47">
        <w:rPr>
          <w:rFonts w:ascii="Bookman Old Style" w:eastAsia="Times New Roman" w:hAnsi="Bookman Old Style" w:cs="Arial"/>
          <w:i/>
          <w:sz w:val="20"/>
          <w:szCs w:val="20"/>
          <w:lang w:eastAsia="es-ES"/>
        </w:rPr>
        <w:t xml:space="preserve">“(…) PRIMERO. Oficiar a la empresa </w:t>
      </w:r>
      <w:proofErr w:type="spellStart"/>
      <w:r w:rsidRPr="00DB2F47">
        <w:rPr>
          <w:rFonts w:ascii="Bookman Old Style" w:eastAsia="Times New Roman" w:hAnsi="Bookman Old Style" w:cs="Arial"/>
          <w:i/>
          <w:sz w:val="20"/>
          <w:szCs w:val="20"/>
          <w:lang w:eastAsia="es-ES"/>
        </w:rPr>
        <w:t>Due</w:t>
      </w:r>
      <w:proofErr w:type="spellEnd"/>
      <w:r w:rsidRPr="00DB2F47">
        <w:rPr>
          <w:rFonts w:ascii="Bookman Old Style" w:eastAsia="Times New Roman" w:hAnsi="Bookman Old Style" w:cs="Arial"/>
          <w:i/>
          <w:sz w:val="20"/>
          <w:szCs w:val="20"/>
          <w:lang w:eastAsia="es-ES"/>
        </w:rPr>
        <w:t xml:space="preserve"> Capital and </w:t>
      </w:r>
      <w:proofErr w:type="spellStart"/>
      <w:r w:rsidRPr="00DB2F47">
        <w:rPr>
          <w:rFonts w:ascii="Bookman Old Style" w:eastAsia="Times New Roman" w:hAnsi="Bookman Old Style" w:cs="Arial"/>
          <w:i/>
          <w:sz w:val="20"/>
          <w:szCs w:val="20"/>
          <w:lang w:eastAsia="es-ES"/>
        </w:rPr>
        <w:t>Services</w:t>
      </w:r>
      <w:proofErr w:type="spellEnd"/>
      <w:r w:rsidRPr="00DB2F47">
        <w:rPr>
          <w:rFonts w:ascii="Bookman Old Style" w:eastAsia="Times New Roman" w:hAnsi="Bookman Old Style" w:cs="Arial"/>
          <w:i/>
          <w:sz w:val="20"/>
          <w:szCs w:val="20"/>
          <w:lang w:eastAsia="es-ES"/>
        </w:rPr>
        <w:t xml:space="preserve"> S.A.S. para que se pronuncie sobre los siguientes aspectos: (…)</w:t>
      </w:r>
    </w:p>
    <w:p w14:paraId="3277B293" w14:textId="77777777" w:rsidR="003C2887" w:rsidRPr="00DB2F47" w:rsidRDefault="003C2887" w:rsidP="003C2887">
      <w:pPr>
        <w:spacing w:after="0" w:line="240" w:lineRule="auto"/>
        <w:ind w:left="426"/>
        <w:contextualSpacing/>
        <w:jc w:val="both"/>
        <w:rPr>
          <w:rFonts w:ascii="Bookman Old Style" w:eastAsia="Times New Roman" w:hAnsi="Bookman Old Style" w:cs="Arial"/>
          <w:i/>
          <w:sz w:val="20"/>
          <w:szCs w:val="20"/>
          <w:lang w:eastAsia="es-ES"/>
        </w:rPr>
      </w:pPr>
    </w:p>
    <w:p w14:paraId="350A86E6" w14:textId="77777777" w:rsidR="003C2887" w:rsidRPr="00DB2F47" w:rsidRDefault="003C2887" w:rsidP="00DB2F47">
      <w:pPr>
        <w:spacing w:after="0" w:line="240" w:lineRule="auto"/>
        <w:ind w:left="567" w:hanging="283"/>
        <w:contextualSpacing/>
        <w:jc w:val="both"/>
        <w:rPr>
          <w:rFonts w:ascii="Bookman Old Style" w:eastAsia="Times New Roman" w:hAnsi="Bookman Old Style" w:cs="Arial"/>
          <w:i/>
          <w:sz w:val="20"/>
          <w:szCs w:val="20"/>
          <w:lang w:eastAsia="es-ES"/>
        </w:rPr>
      </w:pPr>
      <w:r w:rsidRPr="00DB2F47">
        <w:rPr>
          <w:rFonts w:ascii="Bookman Old Style" w:eastAsia="Times New Roman" w:hAnsi="Bookman Old Style" w:cs="Arial"/>
          <w:i/>
          <w:sz w:val="20"/>
          <w:szCs w:val="20"/>
          <w:lang w:eastAsia="es-ES"/>
        </w:rPr>
        <w:t>3.</w:t>
      </w:r>
      <w:r w:rsidRPr="00DB2F47">
        <w:rPr>
          <w:rFonts w:ascii="Bookman Old Style" w:eastAsia="Times New Roman" w:hAnsi="Bookman Old Style" w:cs="Arial"/>
          <w:i/>
          <w:sz w:val="20"/>
          <w:szCs w:val="20"/>
          <w:lang w:eastAsia="es-ES"/>
        </w:rPr>
        <w:tab/>
        <w:t>En comunicación con radicado CREG E-2019-008549, remitida a esta Comisión como respuesta al auto de pruebas I-2019-004636, se menciona:</w:t>
      </w:r>
    </w:p>
    <w:p w14:paraId="6FE5E2B2" w14:textId="77777777" w:rsidR="003C2887" w:rsidRPr="00DB2F47" w:rsidRDefault="003C2887" w:rsidP="003C2887">
      <w:pPr>
        <w:spacing w:after="0" w:line="240" w:lineRule="auto"/>
        <w:ind w:left="426"/>
        <w:contextualSpacing/>
        <w:jc w:val="both"/>
        <w:rPr>
          <w:rFonts w:ascii="Bookman Old Style" w:eastAsia="Times New Roman" w:hAnsi="Bookman Old Style" w:cs="Arial"/>
          <w:i/>
          <w:sz w:val="20"/>
          <w:szCs w:val="20"/>
          <w:lang w:eastAsia="es-ES"/>
        </w:rPr>
      </w:pPr>
    </w:p>
    <w:p w14:paraId="6136A8E5" w14:textId="77777777" w:rsidR="003C2887" w:rsidRPr="00DB2F47" w:rsidRDefault="003C2887" w:rsidP="00DB2F47">
      <w:pPr>
        <w:spacing w:after="0" w:line="240" w:lineRule="auto"/>
        <w:ind w:left="567"/>
        <w:contextualSpacing/>
        <w:jc w:val="both"/>
        <w:rPr>
          <w:rFonts w:ascii="Bookman Old Style" w:eastAsia="Times New Roman" w:hAnsi="Bookman Old Style" w:cs="Arial"/>
          <w:i/>
          <w:sz w:val="20"/>
          <w:szCs w:val="20"/>
          <w:lang w:eastAsia="es-ES"/>
        </w:rPr>
      </w:pPr>
      <w:r w:rsidRPr="00DB2F47">
        <w:rPr>
          <w:rFonts w:ascii="Bookman Old Style" w:eastAsia="Times New Roman" w:hAnsi="Bookman Old Style" w:cs="Arial"/>
          <w:i/>
          <w:sz w:val="20"/>
          <w:szCs w:val="20"/>
          <w:lang w:eastAsia="es-ES"/>
        </w:rPr>
        <w:t>‘(…) c) En el informe con radicado CREG-2019-002423 se menciona que son 2 centros de transformación de 4.18 MVA y en los documentos anexos en la comunicación E-2019-004020 se relacionan 37 unidades de 2 MW (cuadro en número de folio 00000027).</w:t>
      </w:r>
    </w:p>
    <w:p w14:paraId="08FA3821" w14:textId="77777777" w:rsidR="003C2887" w:rsidRPr="00DB2F47" w:rsidRDefault="003C2887" w:rsidP="00DB2F47">
      <w:pPr>
        <w:spacing w:after="0" w:line="240" w:lineRule="auto"/>
        <w:ind w:left="567"/>
        <w:contextualSpacing/>
        <w:jc w:val="both"/>
        <w:rPr>
          <w:rFonts w:ascii="Bookman Old Style" w:eastAsia="Times New Roman" w:hAnsi="Bookman Old Style" w:cs="Arial"/>
          <w:i/>
          <w:sz w:val="20"/>
          <w:szCs w:val="20"/>
          <w:lang w:eastAsia="es-ES"/>
        </w:rPr>
      </w:pPr>
    </w:p>
    <w:p w14:paraId="024802CA" w14:textId="77777777" w:rsidR="003C2887" w:rsidRPr="00DB2F47" w:rsidRDefault="003C2887" w:rsidP="00DB2F47">
      <w:pPr>
        <w:spacing w:after="0" w:line="240" w:lineRule="auto"/>
        <w:ind w:left="567"/>
        <w:contextualSpacing/>
        <w:jc w:val="both"/>
        <w:rPr>
          <w:rFonts w:ascii="Bookman Old Style" w:eastAsia="Times New Roman" w:hAnsi="Bookman Old Style" w:cs="Arial"/>
          <w:i/>
          <w:sz w:val="20"/>
          <w:szCs w:val="20"/>
          <w:lang w:eastAsia="es-ES"/>
        </w:rPr>
      </w:pPr>
      <w:r w:rsidRPr="00DB2F47">
        <w:rPr>
          <w:rFonts w:ascii="Bookman Old Style" w:eastAsia="Times New Roman" w:hAnsi="Bookman Old Style" w:cs="Arial"/>
          <w:i/>
          <w:sz w:val="20"/>
          <w:szCs w:val="20"/>
          <w:lang w:eastAsia="es-ES"/>
        </w:rPr>
        <w:t>En este caso en particular, sírvase identificar las diferencias y cuáles de los componentes se dedican a los módulos, cuáles al sistema de acumulación, cuáles a los grupos electrógenos, cuáles son requeridos para la hibridación, cuáles se destinan al balance de generación de los diferentes recursos que alimentan el sistema de distribución y cualquier otra aclaración que considere pertinente, considerando que en el radicado CREG E-2019-002423 se describe un sistema de evacuación de los siguientes términos: ‘EVACUATION SYSTEM (TRANSFORMER 34.5/13.8 Kv 4 MVA, SWICHING CABINETS AND ELECRICAL METER TO EXISTEING 34 KV HVL AND SWITCHING CABINET AND ELECTRICAL METER TO DIESEL GEN PLANT)’; mientras que en el radicado CREG E-2019-004020 se encuentran dentro del presupuesto de inversión los siguientes componentes: Evacuación, compuesto por 5.1 Seccionamiento, 5.2. Interconexión y 5.3 Hibridación y dentro del sistema AC se encuentran el componente 2.2.1. Centro de transformación (hasta 2.00 MW).</w:t>
      </w:r>
    </w:p>
    <w:p w14:paraId="1F9FA6B9" w14:textId="77777777" w:rsidR="003C2887" w:rsidRPr="00DB2F47" w:rsidRDefault="003C2887" w:rsidP="00DB2F47">
      <w:pPr>
        <w:spacing w:after="0" w:line="240" w:lineRule="auto"/>
        <w:ind w:left="567"/>
        <w:contextualSpacing/>
        <w:jc w:val="both"/>
        <w:rPr>
          <w:rFonts w:ascii="Bookman Old Style" w:eastAsia="Times New Roman" w:hAnsi="Bookman Old Style" w:cs="Arial"/>
          <w:i/>
          <w:sz w:val="20"/>
          <w:szCs w:val="20"/>
          <w:lang w:eastAsia="es-ES"/>
        </w:rPr>
      </w:pPr>
    </w:p>
    <w:p w14:paraId="4ACBC88C" w14:textId="77777777" w:rsidR="003C2887" w:rsidRPr="00DB2F47" w:rsidRDefault="003C2887" w:rsidP="00DB2F47">
      <w:pPr>
        <w:spacing w:after="0" w:line="240" w:lineRule="auto"/>
        <w:ind w:left="567"/>
        <w:contextualSpacing/>
        <w:jc w:val="both"/>
        <w:rPr>
          <w:rFonts w:ascii="Bookman Old Style" w:eastAsia="Times New Roman" w:hAnsi="Bookman Old Style" w:cs="Arial"/>
          <w:i/>
          <w:sz w:val="20"/>
          <w:szCs w:val="20"/>
          <w:lang w:eastAsia="es-ES"/>
        </w:rPr>
      </w:pPr>
      <w:r w:rsidRPr="00DB2F47">
        <w:rPr>
          <w:rFonts w:ascii="Bookman Old Style" w:eastAsia="Times New Roman" w:hAnsi="Bookman Old Style" w:cs="Arial"/>
          <w:i/>
          <w:sz w:val="20"/>
          <w:szCs w:val="20"/>
          <w:lang w:eastAsia="es-ES"/>
        </w:rPr>
        <w:t xml:space="preserve">Debido a la ubicación del proyecto en zona aislada y con relativamente difícil acceso, se discutió en detalle con el </w:t>
      </w:r>
      <w:proofErr w:type="spellStart"/>
      <w:r w:rsidRPr="00DB2F47">
        <w:rPr>
          <w:rFonts w:ascii="Bookman Old Style" w:eastAsia="Times New Roman" w:hAnsi="Bookman Old Style" w:cs="Arial"/>
          <w:i/>
          <w:sz w:val="20"/>
          <w:szCs w:val="20"/>
          <w:lang w:eastAsia="es-ES"/>
        </w:rPr>
        <w:t>epecista</w:t>
      </w:r>
      <w:proofErr w:type="spellEnd"/>
      <w:r w:rsidRPr="00DB2F47">
        <w:rPr>
          <w:rFonts w:ascii="Bookman Old Style" w:eastAsia="Times New Roman" w:hAnsi="Bookman Old Style" w:cs="Arial"/>
          <w:i/>
          <w:sz w:val="20"/>
          <w:szCs w:val="20"/>
          <w:lang w:eastAsia="es-ES"/>
        </w:rPr>
        <w:t xml:space="preserve"> la mejor forma de disminuir los periodos de no-operación y se consideró que para poder garantizar una mejor prestación del servicio y poder </w:t>
      </w:r>
      <w:proofErr w:type="spellStart"/>
      <w:r w:rsidRPr="00DB2F47">
        <w:rPr>
          <w:rFonts w:ascii="Bookman Old Style" w:eastAsia="Times New Roman" w:hAnsi="Bookman Old Style" w:cs="Arial"/>
          <w:i/>
          <w:sz w:val="20"/>
          <w:szCs w:val="20"/>
          <w:lang w:eastAsia="es-ES"/>
        </w:rPr>
        <w:t>garantiza</w:t>
      </w:r>
      <w:proofErr w:type="spellEnd"/>
      <w:r w:rsidRPr="00DB2F47">
        <w:rPr>
          <w:rFonts w:ascii="Bookman Old Style" w:eastAsia="Times New Roman" w:hAnsi="Bookman Old Style" w:cs="Arial"/>
          <w:i/>
          <w:sz w:val="20"/>
          <w:szCs w:val="20"/>
          <w:lang w:eastAsia="es-ES"/>
        </w:rPr>
        <w:t xml:space="preserve"> una disponibilidad alta durante la operación de la planta, sería </w:t>
      </w:r>
      <w:proofErr w:type="spellStart"/>
      <w:r w:rsidRPr="00DB2F47">
        <w:rPr>
          <w:rFonts w:ascii="Bookman Old Style" w:eastAsia="Times New Roman" w:hAnsi="Bookman Old Style" w:cs="Arial"/>
          <w:i/>
          <w:sz w:val="20"/>
          <w:szCs w:val="20"/>
          <w:lang w:eastAsia="es-ES"/>
        </w:rPr>
        <w:t>mas</w:t>
      </w:r>
      <w:proofErr w:type="spellEnd"/>
      <w:r w:rsidRPr="00DB2F47">
        <w:rPr>
          <w:rFonts w:ascii="Bookman Old Style" w:eastAsia="Times New Roman" w:hAnsi="Bookman Old Style" w:cs="Arial"/>
          <w:i/>
          <w:sz w:val="20"/>
          <w:szCs w:val="20"/>
          <w:lang w:eastAsia="es-ES"/>
        </w:rPr>
        <w:t xml:space="preserve"> conveniente utilizar inversores de tipo ‘</w:t>
      </w:r>
      <w:proofErr w:type="spellStart"/>
      <w:r w:rsidRPr="00DB2F47">
        <w:rPr>
          <w:rFonts w:ascii="Bookman Old Style" w:eastAsia="Times New Roman" w:hAnsi="Bookman Old Style" w:cs="Arial"/>
          <w:i/>
          <w:sz w:val="20"/>
          <w:szCs w:val="20"/>
          <w:lang w:eastAsia="es-ES"/>
        </w:rPr>
        <w:t>String</w:t>
      </w:r>
      <w:proofErr w:type="spellEnd"/>
      <w:r w:rsidRPr="00DB2F47">
        <w:rPr>
          <w:rFonts w:ascii="Bookman Old Style" w:eastAsia="Times New Roman" w:hAnsi="Bookman Old Style" w:cs="Arial"/>
          <w:i/>
          <w:sz w:val="20"/>
          <w:szCs w:val="20"/>
          <w:lang w:eastAsia="es-ES"/>
        </w:rPr>
        <w:t xml:space="preserve">’ y no los de tipo ‘Central’ que habían propuesto inicialmente y por tanto se pasa de dos inversores centrales a 37 x 175 </w:t>
      </w:r>
      <w:proofErr w:type="spellStart"/>
      <w:r w:rsidRPr="00DB2F47">
        <w:rPr>
          <w:rFonts w:ascii="Bookman Old Style" w:eastAsia="Times New Roman" w:hAnsi="Bookman Old Style" w:cs="Arial"/>
          <w:i/>
          <w:sz w:val="20"/>
          <w:szCs w:val="20"/>
          <w:lang w:eastAsia="es-ES"/>
        </w:rPr>
        <w:t>kWac</w:t>
      </w:r>
      <w:proofErr w:type="spellEnd"/>
      <w:r w:rsidRPr="00DB2F47">
        <w:rPr>
          <w:rFonts w:ascii="Bookman Old Style" w:eastAsia="Times New Roman" w:hAnsi="Bookman Old Style" w:cs="Arial"/>
          <w:i/>
          <w:sz w:val="20"/>
          <w:szCs w:val="20"/>
          <w:lang w:eastAsia="es-ES"/>
        </w:rPr>
        <w:t xml:space="preserve"> inversores </w:t>
      </w:r>
      <w:proofErr w:type="spellStart"/>
      <w:r w:rsidRPr="00DB2F47">
        <w:rPr>
          <w:rFonts w:ascii="Bookman Old Style" w:eastAsia="Times New Roman" w:hAnsi="Bookman Old Style" w:cs="Arial"/>
          <w:i/>
          <w:sz w:val="20"/>
          <w:szCs w:val="20"/>
          <w:lang w:eastAsia="es-ES"/>
        </w:rPr>
        <w:t>String</w:t>
      </w:r>
      <w:proofErr w:type="spellEnd"/>
      <w:r w:rsidRPr="00DB2F47">
        <w:rPr>
          <w:rFonts w:ascii="Bookman Old Style" w:eastAsia="Times New Roman" w:hAnsi="Bookman Old Style" w:cs="Arial"/>
          <w:i/>
          <w:sz w:val="20"/>
          <w:szCs w:val="20"/>
          <w:lang w:eastAsia="es-ES"/>
        </w:rPr>
        <w:t>. (…)’</w:t>
      </w:r>
    </w:p>
    <w:p w14:paraId="06D97C54" w14:textId="77777777" w:rsidR="003C2887" w:rsidRPr="00DB2F47" w:rsidRDefault="003C2887" w:rsidP="003C2887">
      <w:pPr>
        <w:spacing w:after="0" w:line="240" w:lineRule="auto"/>
        <w:ind w:left="426"/>
        <w:contextualSpacing/>
        <w:jc w:val="both"/>
        <w:rPr>
          <w:rFonts w:ascii="Bookman Old Style" w:eastAsia="Times New Roman" w:hAnsi="Bookman Old Style" w:cs="Arial"/>
          <w:i/>
          <w:sz w:val="20"/>
          <w:szCs w:val="20"/>
          <w:lang w:eastAsia="es-ES"/>
        </w:rPr>
      </w:pPr>
    </w:p>
    <w:p w14:paraId="60835158" w14:textId="77777777" w:rsidR="003C2887" w:rsidRPr="00DB2F47" w:rsidRDefault="003C2887" w:rsidP="00DB2F47">
      <w:pPr>
        <w:spacing w:after="0" w:line="240" w:lineRule="auto"/>
        <w:ind w:left="284"/>
        <w:contextualSpacing/>
        <w:jc w:val="both"/>
        <w:rPr>
          <w:rFonts w:ascii="Bookman Old Style" w:eastAsia="Times New Roman" w:hAnsi="Bookman Old Style" w:cs="Arial"/>
          <w:i/>
          <w:sz w:val="20"/>
          <w:szCs w:val="20"/>
          <w:lang w:eastAsia="es-ES"/>
        </w:rPr>
      </w:pPr>
      <w:r w:rsidRPr="00DB2F47">
        <w:rPr>
          <w:rFonts w:ascii="Bookman Old Style" w:eastAsia="Times New Roman" w:hAnsi="Bookman Old Style" w:cs="Arial"/>
          <w:i/>
          <w:sz w:val="20"/>
          <w:szCs w:val="20"/>
          <w:lang w:eastAsia="es-ES"/>
        </w:rPr>
        <w:t>En la anterior respuesta se explica la modificación que se observa con respecto a los inversores. No obstante, queda sin aclarar lo referente al numeral 2.2.1 Centro de transformación (hasta 2.00 MW), que se lista en los documentos anexos de la comunicación E-2019-004020, en la medida en que, dentro de dicho presupuesto, para este ítem se hace referencia a 37 unidades con un costo de suministro de USD 13,500 y un costo de instalación de USD 4,500 por cada unidad, mientras que en los anexos entregados en la comunicación de radicado CREG E-2019-008549, respuesta al auto I-2019-004636, el diseño del centro de transformación, presentado en el diagrama unifilar, indica que son cuatro (4) transformadores, discriminados así: 3 transformadores, cada uno para agrupar 10 inversores y una capacidad de 1.85 MVA, y un transformador que agrupa 7 inversores y una capacidad de 1.3 MVA.</w:t>
      </w:r>
    </w:p>
    <w:p w14:paraId="28D48AF7" w14:textId="77777777" w:rsidR="003C2887" w:rsidRPr="00DB2F47" w:rsidRDefault="003C2887" w:rsidP="00DB2F47">
      <w:pPr>
        <w:spacing w:after="0" w:line="240" w:lineRule="auto"/>
        <w:ind w:left="284"/>
        <w:contextualSpacing/>
        <w:jc w:val="both"/>
        <w:rPr>
          <w:rFonts w:ascii="Bookman Old Style" w:eastAsia="Times New Roman" w:hAnsi="Bookman Old Style" w:cs="Arial"/>
          <w:i/>
          <w:sz w:val="20"/>
          <w:szCs w:val="20"/>
          <w:lang w:eastAsia="es-ES"/>
        </w:rPr>
      </w:pPr>
    </w:p>
    <w:p w14:paraId="7CE3F214" w14:textId="77777777" w:rsidR="003C2887" w:rsidRPr="00DB2F47" w:rsidRDefault="003C2887" w:rsidP="00DB2F47">
      <w:pPr>
        <w:spacing w:after="0" w:line="240" w:lineRule="auto"/>
        <w:ind w:left="284"/>
        <w:contextualSpacing/>
        <w:jc w:val="both"/>
        <w:rPr>
          <w:rFonts w:ascii="Bookman Old Style" w:eastAsia="Times New Roman" w:hAnsi="Bookman Old Style" w:cs="Arial"/>
          <w:i/>
          <w:sz w:val="20"/>
          <w:szCs w:val="20"/>
          <w:lang w:eastAsia="es-ES"/>
        </w:rPr>
      </w:pPr>
      <w:r w:rsidRPr="00DB2F47">
        <w:rPr>
          <w:rFonts w:ascii="Bookman Old Style" w:eastAsia="Times New Roman" w:hAnsi="Bookman Old Style" w:cs="Arial"/>
          <w:i/>
          <w:sz w:val="20"/>
          <w:szCs w:val="20"/>
          <w:lang w:eastAsia="es-ES"/>
        </w:rPr>
        <w:t>Por lo anterior, sírvase presentar el detalle de los costos del “Centro de transformación (hasta 2.00 MW)”, numeral 2.2.1 del “Anexo 2 PRESUPUESTO DE INVERSIÓN DEL PROYECTO”, comunicación de radicado CREG E-2019-004020, indicando el valor correspondiente de cada uno de los elementos que los conforman, y aclarando las diferencias evidenciadas entre las distintas comunicaciones. Deben adjuntarse los soportes correspondientes. (…)”</w:t>
      </w:r>
    </w:p>
    <w:p w14:paraId="4FCAECFD" w14:textId="77777777" w:rsidR="003C2887" w:rsidRPr="003C2887" w:rsidRDefault="003C2887" w:rsidP="003C2887">
      <w:pPr>
        <w:spacing w:after="0" w:line="240" w:lineRule="auto"/>
        <w:contextualSpacing/>
        <w:jc w:val="both"/>
        <w:rPr>
          <w:rFonts w:ascii="Bookman Old Style" w:eastAsia="Times New Roman" w:hAnsi="Bookman Old Style" w:cs="Arial"/>
          <w:sz w:val="24"/>
          <w:szCs w:val="24"/>
          <w:lang w:eastAsia="es-ES"/>
        </w:rPr>
      </w:pPr>
    </w:p>
    <w:p w14:paraId="36F28C57" w14:textId="77777777" w:rsidR="003C2887" w:rsidRPr="003C2887" w:rsidRDefault="003C2887" w:rsidP="003C2887">
      <w:pPr>
        <w:spacing w:after="0" w:line="240" w:lineRule="auto"/>
        <w:contextualSpacing/>
        <w:jc w:val="both"/>
        <w:rPr>
          <w:rFonts w:ascii="Bookman Old Style" w:eastAsia="Times New Roman" w:hAnsi="Bookman Old Style" w:cs="Arial"/>
          <w:sz w:val="24"/>
          <w:szCs w:val="24"/>
          <w:lang w:eastAsia="es-ES"/>
        </w:rPr>
      </w:pPr>
      <w:r w:rsidRPr="003C2887">
        <w:rPr>
          <w:rFonts w:ascii="Bookman Old Style" w:eastAsia="Times New Roman" w:hAnsi="Bookman Old Style" w:cs="Arial"/>
          <w:sz w:val="24"/>
          <w:szCs w:val="24"/>
          <w:lang w:eastAsia="es-ES"/>
        </w:rPr>
        <w:t xml:space="preserve">Mediante comunicación de radicado CREG E-2020-001180, </w:t>
      </w:r>
      <w:proofErr w:type="spellStart"/>
      <w:r w:rsidRPr="003C2887">
        <w:rPr>
          <w:rFonts w:ascii="Bookman Old Style" w:eastAsia="Times New Roman" w:hAnsi="Bookman Old Style" w:cs="Arial"/>
          <w:sz w:val="24"/>
          <w:szCs w:val="24"/>
          <w:lang w:eastAsia="es-ES"/>
        </w:rPr>
        <w:t>Due</w:t>
      </w:r>
      <w:proofErr w:type="spellEnd"/>
      <w:r w:rsidRPr="003C2887">
        <w:rPr>
          <w:rFonts w:ascii="Bookman Old Style" w:eastAsia="Times New Roman" w:hAnsi="Bookman Old Style" w:cs="Arial"/>
          <w:sz w:val="24"/>
          <w:szCs w:val="24"/>
          <w:lang w:eastAsia="es-ES"/>
        </w:rPr>
        <w:t xml:space="preserve"> contestó en los siguientes términos:</w:t>
      </w:r>
    </w:p>
    <w:p w14:paraId="11FEA4B3" w14:textId="77777777" w:rsidR="003C2887" w:rsidRPr="003C2887" w:rsidRDefault="003C2887" w:rsidP="003C2887">
      <w:pPr>
        <w:spacing w:after="0" w:line="240" w:lineRule="auto"/>
        <w:contextualSpacing/>
        <w:jc w:val="both"/>
        <w:rPr>
          <w:rFonts w:ascii="Bookman Old Style" w:eastAsia="Times New Roman" w:hAnsi="Bookman Old Style" w:cs="Arial"/>
          <w:sz w:val="24"/>
          <w:szCs w:val="24"/>
          <w:lang w:eastAsia="es-ES"/>
        </w:rPr>
      </w:pPr>
    </w:p>
    <w:p w14:paraId="71011841" w14:textId="77777777" w:rsidR="003C2887" w:rsidRPr="00DB2F47" w:rsidRDefault="003C2887" w:rsidP="00DB2F47">
      <w:pPr>
        <w:spacing w:after="0" w:line="240" w:lineRule="auto"/>
        <w:ind w:left="284"/>
        <w:contextualSpacing/>
        <w:jc w:val="both"/>
        <w:rPr>
          <w:rFonts w:ascii="Bookman Old Style" w:eastAsia="Times New Roman" w:hAnsi="Bookman Old Style" w:cs="Arial"/>
          <w:i/>
          <w:sz w:val="20"/>
          <w:szCs w:val="20"/>
          <w:lang w:eastAsia="es-ES"/>
        </w:rPr>
      </w:pPr>
      <w:r w:rsidRPr="00DB2F47">
        <w:rPr>
          <w:rFonts w:ascii="Bookman Old Style" w:eastAsia="Times New Roman" w:hAnsi="Bookman Old Style" w:cs="Arial"/>
          <w:i/>
          <w:sz w:val="20"/>
          <w:szCs w:val="20"/>
          <w:lang w:eastAsia="es-ES"/>
        </w:rPr>
        <w:t xml:space="preserve">“(…) 3. El numeral 2.2.1 Centro de transformación (hasta 2.00 MW) que se lista en los anexos de la comunicación E-2019-004020 se referencia una cantidad de 37 unidades con un precio unitario de USD 13,500 y un costo de instalación de USD 4,500 por unidad; sin embargo, en el diseño presentado por el contratista se estipulan cuatro (4) transformadores para servir a los 37 inversores de </w:t>
      </w:r>
      <w:proofErr w:type="spellStart"/>
      <w:r w:rsidRPr="00DB2F47">
        <w:rPr>
          <w:rFonts w:ascii="Bookman Old Style" w:eastAsia="Times New Roman" w:hAnsi="Bookman Old Style" w:cs="Arial"/>
          <w:i/>
          <w:sz w:val="20"/>
          <w:szCs w:val="20"/>
          <w:lang w:eastAsia="es-ES"/>
        </w:rPr>
        <w:t>string</w:t>
      </w:r>
      <w:proofErr w:type="spellEnd"/>
      <w:r w:rsidRPr="00DB2F47">
        <w:rPr>
          <w:rFonts w:ascii="Bookman Old Style" w:eastAsia="Times New Roman" w:hAnsi="Bookman Old Style" w:cs="Arial"/>
          <w:i/>
          <w:sz w:val="20"/>
          <w:szCs w:val="20"/>
          <w:lang w:eastAsia="es-ES"/>
        </w:rPr>
        <w:t>.</w:t>
      </w:r>
    </w:p>
    <w:p w14:paraId="520C5C6A" w14:textId="77777777" w:rsidR="003C2887" w:rsidRPr="00DB2F47" w:rsidRDefault="003C2887" w:rsidP="00DB2F47">
      <w:pPr>
        <w:spacing w:after="0" w:line="240" w:lineRule="auto"/>
        <w:ind w:left="284"/>
        <w:contextualSpacing/>
        <w:jc w:val="both"/>
        <w:rPr>
          <w:rFonts w:ascii="Bookman Old Style" w:eastAsia="Times New Roman" w:hAnsi="Bookman Old Style" w:cs="Arial"/>
          <w:i/>
          <w:sz w:val="20"/>
          <w:szCs w:val="20"/>
          <w:lang w:eastAsia="es-ES"/>
        </w:rPr>
      </w:pPr>
    </w:p>
    <w:p w14:paraId="3F423071" w14:textId="77777777" w:rsidR="003C2887" w:rsidRPr="00DB2F47" w:rsidRDefault="003C2887" w:rsidP="00DB2F47">
      <w:pPr>
        <w:spacing w:after="0" w:line="240" w:lineRule="auto"/>
        <w:ind w:left="284"/>
        <w:contextualSpacing/>
        <w:jc w:val="both"/>
        <w:rPr>
          <w:rFonts w:ascii="Bookman Old Style" w:eastAsia="Times New Roman" w:hAnsi="Bookman Old Style" w:cs="Arial"/>
          <w:i/>
          <w:sz w:val="20"/>
          <w:szCs w:val="20"/>
          <w:lang w:eastAsia="es-ES"/>
        </w:rPr>
      </w:pPr>
      <w:r w:rsidRPr="00DB2F47">
        <w:rPr>
          <w:rFonts w:ascii="Bookman Old Style" w:eastAsia="Times New Roman" w:hAnsi="Bookman Old Style" w:cs="Arial"/>
          <w:i/>
          <w:sz w:val="20"/>
          <w:szCs w:val="20"/>
          <w:lang w:eastAsia="es-ES"/>
        </w:rPr>
        <w:t>Debido a que la modalidad de construcción que aplicará DUE Capital en este proyecto es la de contrato EPC, es decir un contrato que engloba la ingeniería, compras construcción y montaje del sistema de generación, los datos que presentamos son los que nos entregó el oferente del EPC, que entrega un presupuesto a precio global y discrimina los capítulos que ellos consideran especialmente preponderantes.</w:t>
      </w:r>
    </w:p>
    <w:p w14:paraId="69492209" w14:textId="77777777" w:rsidR="003C2887" w:rsidRPr="00DB2F47" w:rsidRDefault="003C2887" w:rsidP="00DB2F47">
      <w:pPr>
        <w:spacing w:after="0" w:line="240" w:lineRule="auto"/>
        <w:ind w:left="284"/>
        <w:contextualSpacing/>
        <w:jc w:val="both"/>
        <w:rPr>
          <w:rFonts w:ascii="Bookman Old Style" w:eastAsia="Times New Roman" w:hAnsi="Bookman Old Style" w:cs="Arial"/>
          <w:i/>
          <w:sz w:val="20"/>
          <w:szCs w:val="20"/>
          <w:lang w:eastAsia="es-ES"/>
        </w:rPr>
      </w:pPr>
    </w:p>
    <w:p w14:paraId="35AB9BF2" w14:textId="77777777" w:rsidR="003C2887" w:rsidRPr="00DB2F47" w:rsidRDefault="003C2887" w:rsidP="00DB2F47">
      <w:pPr>
        <w:spacing w:after="0" w:line="240" w:lineRule="auto"/>
        <w:ind w:left="284"/>
        <w:contextualSpacing/>
        <w:jc w:val="both"/>
        <w:rPr>
          <w:rFonts w:ascii="Bookman Old Style" w:eastAsia="Times New Roman" w:hAnsi="Bookman Old Style" w:cs="Arial"/>
          <w:i/>
          <w:sz w:val="20"/>
          <w:szCs w:val="20"/>
          <w:lang w:eastAsia="es-ES"/>
        </w:rPr>
      </w:pPr>
      <w:r w:rsidRPr="00DB2F47">
        <w:rPr>
          <w:rFonts w:ascii="Bookman Old Style" w:eastAsia="Times New Roman" w:hAnsi="Bookman Old Style" w:cs="Arial"/>
          <w:i/>
          <w:sz w:val="20"/>
          <w:szCs w:val="20"/>
          <w:lang w:eastAsia="es-ES"/>
        </w:rPr>
        <w:t xml:space="preserve">En razón de lo anterior cuando se solicitó el cambio a inversores de </w:t>
      </w:r>
      <w:proofErr w:type="spellStart"/>
      <w:r w:rsidRPr="00DB2F47">
        <w:rPr>
          <w:rFonts w:ascii="Bookman Old Style" w:eastAsia="Times New Roman" w:hAnsi="Bookman Old Style" w:cs="Arial"/>
          <w:i/>
          <w:sz w:val="20"/>
          <w:szCs w:val="20"/>
          <w:lang w:eastAsia="es-ES"/>
        </w:rPr>
        <w:t>string</w:t>
      </w:r>
      <w:proofErr w:type="spellEnd"/>
      <w:r w:rsidRPr="00DB2F47">
        <w:rPr>
          <w:rFonts w:ascii="Bookman Old Style" w:eastAsia="Times New Roman" w:hAnsi="Bookman Old Style" w:cs="Arial"/>
          <w:i/>
          <w:sz w:val="20"/>
          <w:szCs w:val="20"/>
          <w:lang w:eastAsia="es-ES"/>
        </w:rPr>
        <w:t xml:space="preserve"> se solicitó que nos dieran los costos unitarios de los mismos y de los elementos que este cambio impactara. El oferente del contrato EPC nos envió una comunicación la cual fue la fuente de la tabla de costos unitarios presentada por DUE a la Comisión y en la misma se reflejó un error en la cantidad y en los costos unitarios de este ítem, sin embargo, el costo total es correcto.</w:t>
      </w:r>
    </w:p>
    <w:p w14:paraId="138A633D" w14:textId="77777777" w:rsidR="003C2887" w:rsidRPr="00DB2F47" w:rsidRDefault="003C2887" w:rsidP="00DB2F47">
      <w:pPr>
        <w:spacing w:after="0" w:line="240" w:lineRule="auto"/>
        <w:ind w:left="284"/>
        <w:contextualSpacing/>
        <w:jc w:val="both"/>
        <w:rPr>
          <w:rFonts w:ascii="Bookman Old Style" w:eastAsia="Times New Roman" w:hAnsi="Bookman Old Style" w:cs="Arial"/>
          <w:i/>
          <w:sz w:val="20"/>
          <w:szCs w:val="20"/>
          <w:lang w:eastAsia="es-ES"/>
        </w:rPr>
      </w:pPr>
    </w:p>
    <w:p w14:paraId="3F0DEA36" w14:textId="77777777" w:rsidR="003C2887" w:rsidRPr="00DB2F47" w:rsidRDefault="003C2887" w:rsidP="00DB2F47">
      <w:pPr>
        <w:spacing w:after="0" w:line="240" w:lineRule="auto"/>
        <w:ind w:left="284"/>
        <w:contextualSpacing/>
        <w:jc w:val="both"/>
        <w:rPr>
          <w:rFonts w:ascii="Bookman Old Style" w:eastAsia="Times New Roman" w:hAnsi="Bookman Old Style" w:cs="Arial"/>
          <w:i/>
          <w:sz w:val="20"/>
          <w:szCs w:val="20"/>
          <w:lang w:eastAsia="es-ES"/>
        </w:rPr>
      </w:pPr>
      <w:r w:rsidRPr="00DB2F47">
        <w:rPr>
          <w:rFonts w:ascii="Bookman Old Style" w:eastAsia="Times New Roman" w:hAnsi="Bookman Old Style" w:cs="Arial"/>
          <w:i/>
          <w:sz w:val="20"/>
          <w:szCs w:val="20"/>
          <w:lang w:eastAsia="es-ES"/>
        </w:rPr>
        <w:t>Se le solicitó al oferente del contrato EPC una comunicación para dar respuesta a la solicitud de la comisión y en ella confirmó que efectivamente se trata de un error de ellos, pero que los costos totales no se modifican. Por lo anterior, los valores correctos se estipulan en la siguiente tabla:</w:t>
      </w:r>
    </w:p>
    <w:p w14:paraId="13DEE54C" w14:textId="77777777" w:rsidR="003C2887" w:rsidRPr="00DB2F47" w:rsidRDefault="003C2887" w:rsidP="00DB2F47">
      <w:pPr>
        <w:spacing w:after="0" w:line="240" w:lineRule="auto"/>
        <w:ind w:left="284"/>
        <w:contextualSpacing/>
        <w:jc w:val="both"/>
        <w:rPr>
          <w:rFonts w:ascii="Bookman Old Style" w:eastAsia="Times New Roman" w:hAnsi="Bookman Old Style" w:cs="Arial"/>
          <w:i/>
          <w:iCs/>
          <w:sz w:val="20"/>
          <w:szCs w:val="20"/>
          <w:lang w:eastAsia="es-ES"/>
        </w:rPr>
      </w:pPr>
    </w:p>
    <w:p w14:paraId="690F599E" w14:textId="77777777" w:rsidR="003C2887" w:rsidRPr="00DB2F47" w:rsidRDefault="003C2887" w:rsidP="00DB2F47">
      <w:pPr>
        <w:spacing w:after="0" w:line="240" w:lineRule="auto"/>
        <w:ind w:left="284"/>
        <w:contextualSpacing/>
        <w:jc w:val="both"/>
        <w:rPr>
          <w:rFonts w:ascii="Bookman Old Style" w:eastAsia="Times New Roman" w:hAnsi="Bookman Old Style" w:cs="Arial"/>
          <w:i/>
          <w:iCs/>
          <w:sz w:val="20"/>
          <w:szCs w:val="20"/>
          <w:lang w:eastAsia="es-ES"/>
        </w:rPr>
      </w:pPr>
      <w:r w:rsidRPr="00DB2F47">
        <w:rPr>
          <w:rFonts w:ascii="Calibri" w:eastAsia="Calibri" w:hAnsi="Calibri" w:cs="Times New Roman"/>
          <w:noProof/>
          <w:sz w:val="20"/>
          <w:szCs w:val="20"/>
        </w:rPr>
        <w:drawing>
          <wp:inline distT="0" distB="0" distL="0" distR="0" wp14:anchorId="22A6482D" wp14:editId="602BA79C">
            <wp:extent cx="5612130" cy="742315"/>
            <wp:effectExtent l="0" t="0" r="7620" b="6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742315"/>
                    </a:xfrm>
                    <a:prstGeom prst="rect">
                      <a:avLst/>
                    </a:prstGeom>
                  </pic:spPr>
                </pic:pic>
              </a:graphicData>
            </a:graphic>
          </wp:inline>
        </w:drawing>
      </w:r>
    </w:p>
    <w:p w14:paraId="0CEDE768" w14:textId="77777777" w:rsidR="003C2887" w:rsidRPr="00DB2F47" w:rsidRDefault="003C2887" w:rsidP="00DB2F47">
      <w:pPr>
        <w:spacing w:after="0" w:line="240" w:lineRule="auto"/>
        <w:ind w:left="284"/>
        <w:contextualSpacing/>
        <w:jc w:val="both"/>
        <w:rPr>
          <w:rFonts w:ascii="Bookman Old Style" w:eastAsia="Times New Roman" w:hAnsi="Bookman Old Style" w:cs="Arial"/>
          <w:i/>
          <w:iCs/>
          <w:sz w:val="20"/>
          <w:szCs w:val="20"/>
          <w:lang w:eastAsia="es-ES"/>
        </w:rPr>
      </w:pPr>
    </w:p>
    <w:p w14:paraId="1DD32E91" w14:textId="77777777" w:rsidR="003C2887" w:rsidRPr="00DB2F47" w:rsidRDefault="003C2887" w:rsidP="00DB2F47">
      <w:pPr>
        <w:spacing w:after="0" w:line="240" w:lineRule="auto"/>
        <w:ind w:left="284"/>
        <w:contextualSpacing/>
        <w:jc w:val="both"/>
        <w:rPr>
          <w:rFonts w:ascii="Bookman Old Style" w:eastAsia="Times New Roman" w:hAnsi="Bookman Old Style" w:cs="Arial"/>
          <w:i/>
          <w:iCs/>
          <w:sz w:val="20"/>
          <w:szCs w:val="20"/>
          <w:lang w:eastAsia="es-ES"/>
        </w:rPr>
      </w:pPr>
      <w:r w:rsidRPr="00DB2F47">
        <w:rPr>
          <w:rFonts w:ascii="Bookman Old Style" w:eastAsia="Times New Roman" w:hAnsi="Bookman Old Style" w:cs="Arial"/>
          <w:i/>
          <w:iCs/>
          <w:sz w:val="20"/>
          <w:szCs w:val="20"/>
          <w:lang w:eastAsia="es-ES"/>
        </w:rPr>
        <w:t>(…)”</w:t>
      </w:r>
    </w:p>
    <w:p w14:paraId="49AE237A" w14:textId="77777777" w:rsidR="003C2887" w:rsidRPr="003C2887" w:rsidRDefault="003C2887" w:rsidP="003C2887">
      <w:pPr>
        <w:spacing w:after="0" w:line="240" w:lineRule="auto"/>
        <w:contextualSpacing/>
        <w:jc w:val="both"/>
        <w:rPr>
          <w:rFonts w:ascii="Bookman Old Style" w:eastAsia="Times New Roman" w:hAnsi="Bookman Old Style" w:cs="Arial"/>
          <w:sz w:val="24"/>
          <w:szCs w:val="24"/>
          <w:lang w:eastAsia="es-ES"/>
        </w:rPr>
      </w:pPr>
    </w:p>
    <w:p w14:paraId="3893DF01" w14:textId="77777777" w:rsidR="003C2887" w:rsidRPr="003C2887" w:rsidRDefault="003C2887" w:rsidP="003C2887">
      <w:pPr>
        <w:spacing w:after="0" w:line="240" w:lineRule="auto"/>
        <w:contextualSpacing/>
        <w:jc w:val="both"/>
        <w:rPr>
          <w:rFonts w:ascii="Bookman Old Style" w:eastAsia="Times New Roman" w:hAnsi="Bookman Old Style" w:cs="Arial"/>
          <w:sz w:val="24"/>
          <w:szCs w:val="24"/>
          <w:lang w:eastAsia="es-ES"/>
        </w:rPr>
      </w:pPr>
      <w:r w:rsidRPr="003C2887">
        <w:rPr>
          <w:rFonts w:ascii="Bookman Old Style" w:eastAsia="Times New Roman" w:hAnsi="Bookman Old Style" w:cs="Arial"/>
          <w:sz w:val="24"/>
          <w:szCs w:val="24"/>
          <w:lang w:eastAsia="es-ES"/>
        </w:rPr>
        <w:t>Si bien en la respuesta al Auto de pruebas I-2020-000794 se presenta una tabla con valores ajustados, no se adjuntan los soportes solicitados, por ejemplo, cotizaciones de los equipos.</w:t>
      </w:r>
    </w:p>
    <w:p w14:paraId="1BDF017B" w14:textId="77777777" w:rsidR="003C2887" w:rsidRPr="003C2887" w:rsidRDefault="003C2887" w:rsidP="003C2887">
      <w:pPr>
        <w:spacing w:after="0" w:line="240" w:lineRule="auto"/>
        <w:contextualSpacing/>
        <w:jc w:val="both"/>
        <w:rPr>
          <w:rFonts w:ascii="Bookman Old Style" w:eastAsia="Times New Roman" w:hAnsi="Bookman Old Style" w:cs="Arial"/>
          <w:sz w:val="24"/>
          <w:szCs w:val="24"/>
          <w:lang w:eastAsia="es-ES"/>
        </w:rPr>
      </w:pPr>
    </w:p>
    <w:p w14:paraId="55489689" w14:textId="77777777" w:rsidR="003C2887" w:rsidRPr="003C2887" w:rsidRDefault="003C2887" w:rsidP="003C2887">
      <w:pPr>
        <w:spacing w:after="0" w:line="240" w:lineRule="auto"/>
        <w:contextualSpacing/>
        <w:jc w:val="both"/>
        <w:rPr>
          <w:rFonts w:ascii="Bookman Old Style" w:eastAsia="Times New Roman" w:hAnsi="Bookman Old Style" w:cs="Arial"/>
          <w:sz w:val="24"/>
          <w:szCs w:val="24"/>
          <w:lang w:eastAsia="es-ES"/>
        </w:rPr>
      </w:pPr>
      <w:r w:rsidRPr="003C2887">
        <w:rPr>
          <w:rFonts w:ascii="Bookman Old Style" w:eastAsia="Times New Roman" w:hAnsi="Bookman Old Style" w:cs="Arial"/>
          <w:sz w:val="24"/>
          <w:szCs w:val="24"/>
          <w:lang w:eastAsia="es-ES"/>
        </w:rPr>
        <w:t>En ese sentido, para contar con un referente de costos eficiente para este componente del sistema, la Comisión desarrolló el ejercicio mencionado en el recurso por DUE, a partir de la unidad constructiva N3T1, a la que se refiere la Resolución CREG 015 de 2018.</w:t>
      </w:r>
    </w:p>
    <w:p w14:paraId="5CC3F137" w14:textId="77777777" w:rsidR="003C2887" w:rsidRPr="003C2887" w:rsidRDefault="003C2887" w:rsidP="003C2887">
      <w:pPr>
        <w:spacing w:after="0" w:line="240" w:lineRule="auto"/>
        <w:contextualSpacing/>
        <w:jc w:val="both"/>
        <w:rPr>
          <w:rFonts w:ascii="Bookman Old Style" w:eastAsia="Times New Roman" w:hAnsi="Bookman Old Style" w:cs="Arial"/>
          <w:sz w:val="24"/>
          <w:szCs w:val="24"/>
          <w:lang w:eastAsia="es-ES"/>
        </w:rPr>
      </w:pPr>
    </w:p>
    <w:p w14:paraId="6409B6F3" w14:textId="77777777" w:rsidR="003C2887" w:rsidRPr="003C2887" w:rsidRDefault="003C2887" w:rsidP="003C2887">
      <w:pPr>
        <w:spacing w:after="0" w:line="240" w:lineRule="auto"/>
        <w:contextualSpacing/>
        <w:jc w:val="both"/>
        <w:rPr>
          <w:rFonts w:ascii="Bookman Old Style" w:eastAsia="Times New Roman" w:hAnsi="Bookman Old Style" w:cs="Arial"/>
          <w:sz w:val="24"/>
          <w:szCs w:val="24"/>
          <w:lang w:eastAsia="es-ES"/>
        </w:rPr>
      </w:pPr>
      <w:r w:rsidRPr="003C2887">
        <w:rPr>
          <w:rFonts w:ascii="Bookman Old Style" w:eastAsia="Times New Roman" w:hAnsi="Bookman Old Style" w:cs="Arial"/>
          <w:sz w:val="24"/>
          <w:szCs w:val="24"/>
          <w:lang w:eastAsia="es-ES"/>
        </w:rPr>
        <w:t>No obstante, plantea DUE que el ejercicio correcto para reconocer el costo eficiente de este componente debe considerar unidades constructivas adicionales, según la descripción de dicho componente, tal como se evidencia en el soporte presentado, cotización y descripción por parte de ABB, el cual hace parte de la información remitida a esta Comisión mediante comunicación de radicado CREG E-2019-004020.</w:t>
      </w:r>
    </w:p>
    <w:p w14:paraId="63BC7EAA" w14:textId="77777777" w:rsidR="003C2887" w:rsidRPr="003C2887" w:rsidRDefault="003C2887" w:rsidP="003C2887">
      <w:pPr>
        <w:spacing w:after="0" w:line="240" w:lineRule="auto"/>
        <w:contextualSpacing/>
        <w:jc w:val="both"/>
        <w:rPr>
          <w:rFonts w:ascii="Bookman Old Style" w:eastAsia="Times New Roman" w:hAnsi="Bookman Old Style" w:cs="Arial"/>
          <w:sz w:val="24"/>
          <w:szCs w:val="24"/>
          <w:lang w:eastAsia="es-ES"/>
        </w:rPr>
      </w:pPr>
    </w:p>
    <w:p w14:paraId="5154194C" w14:textId="77777777" w:rsidR="003C2887" w:rsidRPr="003C2887" w:rsidRDefault="003C2887" w:rsidP="003C2887">
      <w:pPr>
        <w:spacing w:after="0" w:line="240" w:lineRule="auto"/>
        <w:contextualSpacing/>
        <w:jc w:val="both"/>
        <w:rPr>
          <w:rFonts w:ascii="Bookman Old Style" w:eastAsia="Times New Roman" w:hAnsi="Bookman Old Style" w:cs="Arial"/>
          <w:sz w:val="24"/>
          <w:szCs w:val="24"/>
          <w:lang w:eastAsia="es-ES"/>
        </w:rPr>
      </w:pPr>
      <w:r w:rsidRPr="003C2887">
        <w:rPr>
          <w:rFonts w:ascii="Bookman Old Style" w:eastAsia="Times New Roman" w:hAnsi="Bookman Old Style" w:cs="Arial"/>
          <w:sz w:val="24"/>
          <w:szCs w:val="24"/>
          <w:lang w:eastAsia="es-ES"/>
        </w:rPr>
        <w:t>En este sentido, DUE plantea que el costo eficiente a reconocerse debería ser de USD 1.251.204, en caso de que se considere un componente encapsulado, o de USD 856.626, en caso de que no sea encapsulado, valores superiores a los USD 625.300 por los cuales se encuentra relacionado en la solicitud original. Es importante señalar que estos USD 625.300 son el total de los conceptos de suministro, por USD 499.500, y de instalación, por USD 125.800.</w:t>
      </w:r>
    </w:p>
    <w:p w14:paraId="225B54C6" w14:textId="77777777" w:rsidR="003C2887" w:rsidRPr="003C2887" w:rsidRDefault="003C2887" w:rsidP="003C2887">
      <w:pPr>
        <w:spacing w:after="0" w:line="240" w:lineRule="auto"/>
        <w:contextualSpacing/>
        <w:jc w:val="both"/>
        <w:rPr>
          <w:rFonts w:ascii="Bookman Old Style" w:eastAsia="Times New Roman" w:hAnsi="Bookman Old Style" w:cs="Arial"/>
          <w:sz w:val="24"/>
          <w:szCs w:val="24"/>
          <w:lang w:eastAsia="es-ES"/>
        </w:rPr>
      </w:pPr>
    </w:p>
    <w:p w14:paraId="24CFF371" w14:textId="25D47D33" w:rsidR="003C2887" w:rsidRPr="003C2887" w:rsidRDefault="003C2887" w:rsidP="003C2887">
      <w:pPr>
        <w:spacing w:after="0" w:line="240" w:lineRule="auto"/>
        <w:contextualSpacing/>
        <w:jc w:val="both"/>
        <w:rPr>
          <w:rFonts w:ascii="Bookman Old Style" w:eastAsia="Times New Roman" w:hAnsi="Bookman Old Style" w:cs="Arial"/>
          <w:sz w:val="24"/>
          <w:szCs w:val="24"/>
          <w:lang w:eastAsia="es-ES"/>
        </w:rPr>
      </w:pPr>
      <w:r w:rsidRPr="003C2887">
        <w:rPr>
          <w:rFonts w:ascii="Bookman Old Style" w:eastAsia="Times New Roman" w:hAnsi="Bookman Old Style" w:cs="Arial"/>
          <w:sz w:val="24"/>
          <w:szCs w:val="24"/>
          <w:lang w:eastAsia="es-ES"/>
        </w:rPr>
        <w:t>Tal como lo menciona DUE, en la comunicación de radicado CREG E</w:t>
      </w:r>
      <w:r w:rsidR="00DB2F47">
        <w:rPr>
          <w:rFonts w:ascii="Bookman Old Style" w:eastAsia="Times New Roman" w:hAnsi="Bookman Old Style" w:cs="Arial"/>
          <w:sz w:val="24"/>
          <w:szCs w:val="24"/>
          <w:lang w:eastAsia="es-ES"/>
        </w:rPr>
        <w:noBreakHyphen/>
      </w:r>
      <w:r w:rsidRPr="003C2887">
        <w:rPr>
          <w:rFonts w:ascii="Bookman Old Style" w:eastAsia="Times New Roman" w:hAnsi="Bookman Old Style" w:cs="Arial"/>
          <w:sz w:val="24"/>
          <w:szCs w:val="24"/>
          <w:lang w:eastAsia="es-ES"/>
        </w:rPr>
        <w:t>2019</w:t>
      </w:r>
      <w:r w:rsidR="00DB2F47">
        <w:rPr>
          <w:rFonts w:ascii="Bookman Old Style" w:eastAsia="Times New Roman" w:hAnsi="Bookman Old Style" w:cs="Arial"/>
          <w:sz w:val="24"/>
          <w:szCs w:val="24"/>
          <w:lang w:eastAsia="es-ES"/>
        </w:rPr>
        <w:noBreakHyphen/>
      </w:r>
      <w:r w:rsidRPr="003C2887">
        <w:rPr>
          <w:rFonts w:ascii="Bookman Old Style" w:eastAsia="Times New Roman" w:hAnsi="Bookman Old Style" w:cs="Arial"/>
          <w:sz w:val="24"/>
          <w:szCs w:val="24"/>
          <w:lang w:eastAsia="es-ES"/>
        </w:rPr>
        <w:t>004020</w:t>
      </w:r>
      <w:r w:rsidR="00DB2F47">
        <w:rPr>
          <w:rFonts w:ascii="Bookman Old Style" w:eastAsia="Times New Roman" w:hAnsi="Bookman Old Style" w:cs="Arial"/>
          <w:sz w:val="24"/>
          <w:szCs w:val="24"/>
          <w:lang w:eastAsia="es-ES"/>
        </w:rPr>
        <w:t>,</w:t>
      </w:r>
      <w:r w:rsidRPr="003C2887">
        <w:rPr>
          <w:rFonts w:ascii="Bookman Old Style" w:eastAsia="Times New Roman" w:hAnsi="Bookman Old Style" w:cs="Arial"/>
          <w:sz w:val="24"/>
          <w:szCs w:val="24"/>
          <w:lang w:eastAsia="es-ES"/>
        </w:rPr>
        <w:t xml:space="preserve"> se adjunta información sobre el centro de transformación y, en esta, se identifica la cotización de ABB en la que se describe el componente en referencia, por un costo total de USD 499.500 por concepto de suministro de los equipos.</w:t>
      </w:r>
    </w:p>
    <w:p w14:paraId="58BB02C7" w14:textId="77777777" w:rsidR="003C2887" w:rsidRPr="003C2887" w:rsidRDefault="003C2887" w:rsidP="003C2887">
      <w:pPr>
        <w:spacing w:after="0" w:line="240" w:lineRule="auto"/>
        <w:contextualSpacing/>
        <w:jc w:val="both"/>
        <w:rPr>
          <w:rFonts w:ascii="Bookman Old Style" w:eastAsia="Times New Roman" w:hAnsi="Bookman Old Style" w:cs="Arial"/>
          <w:sz w:val="24"/>
          <w:szCs w:val="24"/>
          <w:lang w:eastAsia="es-ES"/>
        </w:rPr>
      </w:pPr>
    </w:p>
    <w:p w14:paraId="19666622" w14:textId="086DD26E" w:rsidR="003C2887" w:rsidRPr="003C2887" w:rsidRDefault="003C2887" w:rsidP="003C2887">
      <w:pPr>
        <w:spacing w:after="0" w:line="240" w:lineRule="auto"/>
        <w:contextualSpacing/>
        <w:jc w:val="both"/>
        <w:rPr>
          <w:rFonts w:ascii="Bookman Old Style" w:eastAsia="Times New Roman" w:hAnsi="Bookman Old Style" w:cs="Arial"/>
          <w:sz w:val="24"/>
          <w:szCs w:val="24"/>
          <w:lang w:eastAsia="es-ES"/>
        </w:rPr>
      </w:pPr>
      <w:r w:rsidRPr="003C2887">
        <w:rPr>
          <w:rFonts w:ascii="Bookman Old Style" w:eastAsia="Times New Roman" w:hAnsi="Bookman Old Style" w:cs="Arial"/>
          <w:sz w:val="24"/>
          <w:szCs w:val="24"/>
          <w:lang w:eastAsia="es-ES"/>
        </w:rPr>
        <w:t>Estos USD 499.500 coinciden con el valor reportado para el suministro de los equipos en la solicitud original</w:t>
      </w:r>
      <w:r w:rsidR="00DB2F47">
        <w:rPr>
          <w:rFonts w:ascii="Bookman Old Style" w:eastAsia="Times New Roman" w:hAnsi="Bookman Old Style" w:cs="Arial"/>
          <w:sz w:val="24"/>
          <w:szCs w:val="24"/>
          <w:lang w:eastAsia="es-ES"/>
        </w:rPr>
        <w:t>. S</w:t>
      </w:r>
      <w:r w:rsidRPr="003C2887">
        <w:rPr>
          <w:rFonts w:ascii="Bookman Old Style" w:eastAsia="Times New Roman" w:hAnsi="Bookman Old Style" w:cs="Arial"/>
          <w:sz w:val="24"/>
          <w:szCs w:val="24"/>
          <w:lang w:eastAsia="es-ES"/>
        </w:rPr>
        <w:t>in embargo, en la cotización se evidencia que dentro de este valor se incluye también el suministro de los inversores, tal como se puede evidenciar del siguiente aparte del documento remitido por DUE, identificado con los números de folio 00000039 y 00000040:</w:t>
      </w:r>
    </w:p>
    <w:p w14:paraId="0868F807" w14:textId="77777777" w:rsidR="003C2887" w:rsidRPr="003C2887" w:rsidRDefault="003C2887" w:rsidP="003C2887">
      <w:pPr>
        <w:spacing w:after="0" w:line="240" w:lineRule="auto"/>
        <w:contextualSpacing/>
        <w:jc w:val="both"/>
        <w:rPr>
          <w:rFonts w:ascii="Bookman Old Style" w:eastAsia="Times New Roman" w:hAnsi="Bookman Old Style" w:cs="Arial"/>
          <w:sz w:val="24"/>
          <w:szCs w:val="24"/>
          <w:lang w:eastAsia="es-ES"/>
        </w:rPr>
      </w:pPr>
    </w:p>
    <w:p w14:paraId="3DFFD792" w14:textId="77777777" w:rsidR="003C2887" w:rsidRPr="003C2887" w:rsidRDefault="003C2887" w:rsidP="003C2887">
      <w:pPr>
        <w:spacing w:after="0" w:line="240" w:lineRule="auto"/>
        <w:contextualSpacing/>
        <w:jc w:val="both"/>
        <w:rPr>
          <w:rFonts w:ascii="Bookman Old Style" w:eastAsia="Times New Roman" w:hAnsi="Bookman Old Style" w:cs="Arial"/>
          <w:sz w:val="24"/>
          <w:szCs w:val="24"/>
          <w:lang w:eastAsia="es-ES"/>
        </w:rPr>
      </w:pPr>
      <w:r w:rsidRPr="003C2887">
        <w:rPr>
          <w:rFonts w:ascii="Bookman Old Style" w:eastAsia="Times New Roman" w:hAnsi="Bookman Old Style" w:cs="Arial"/>
          <w:noProof/>
          <w:sz w:val="24"/>
          <w:szCs w:val="24"/>
          <w:lang w:eastAsia="es-ES"/>
        </w:rPr>
        <w:drawing>
          <wp:inline distT="0" distB="0" distL="0" distR="0" wp14:anchorId="05C9F909" wp14:editId="30637289">
            <wp:extent cx="5612130" cy="4150995"/>
            <wp:effectExtent l="0" t="0" r="762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4150995"/>
                    </a:xfrm>
                    <a:prstGeom prst="rect">
                      <a:avLst/>
                    </a:prstGeom>
                    <a:noFill/>
                    <a:ln>
                      <a:noFill/>
                    </a:ln>
                  </pic:spPr>
                </pic:pic>
              </a:graphicData>
            </a:graphic>
          </wp:inline>
        </w:drawing>
      </w:r>
    </w:p>
    <w:p w14:paraId="1AFDCA44" w14:textId="77777777" w:rsidR="003C2887" w:rsidRPr="003C2887" w:rsidRDefault="003C2887" w:rsidP="003C2887">
      <w:pPr>
        <w:spacing w:after="0" w:line="240" w:lineRule="auto"/>
        <w:contextualSpacing/>
        <w:jc w:val="both"/>
        <w:rPr>
          <w:rFonts w:ascii="Bookman Old Style" w:eastAsia="Times New Roman" w:hAnsi="Bookman Old Style" w:cs="Arial"/>
          <w:sz w:val="24"/>
          <w:szCs w:val="24"/>
          <w:lang w:eastAsia="es-ES"/>
        </w:rPr>
      </w:pPr>
    </w:p>
    <w:p w14:paraId="15455E75" w14:textId="77777777" w:rsidR="003C2887" w:rsidRPr="003C2887" w:rsidRDefault="003C2887" w:rsidP="003C2887">
      <w:pPr>
        <w:spacing w:after="0" w:line="240" w:lineRule="auto"/>
        <w:contextualSpacing/>
        <w:jc w:val="both"/>
        <w:rPr>
          <w:rFonts w:ascii="Bookman Old Style" w:eastAsia="Times New Roman" w:hAnsi="Bookman Old Style" w:cs="Arial"/>
          <w:sz w:val="24"/>
          <w:szCs w:val="24"/>
          <w:lang w:eastAsia="es-ES"/>
        </w:rPr>
      </w:pPr>
      <w:r w:rsidRPr="003C2887">
        <w:rPr>
          <w:rFonts w:ascii="Bookman Old Style" w:eastAsia="Times New Roman" w:hAnsi="Bookman Old Style" w:cs="Arial"/>
          <w:noProof/>
          <w:sz w:val="24"/>
          <w:szCs w:val="24"/>
          <w:lang w:eastAsia="es-ES"/>
        </w:rPr>
        <w:drawing>
          <wp:inline distT="0" distB="0" distL="0" distR="0" wp14:anchorId="722DC84F" wp14:editId="616A7708">
            <wp:extent cx="5612130" cy="4205605"/>
            <wp:effectExtent l="0" t="0" r="7620"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4205605"/>
                    </a:xfrm>
                    <a:prstGeom prst="rect">
                      <a:avLst/>
                    </a:prstGeom>
                    <a:noFill/>
                    <a:ln>
                      <a:noFill/>
                    </a:ln>
                  </pic:spPr>
                </pic:pic>
              </a:graphicData>
            </a:graphic>
          </wp:inline>
        </w:drawing>
      </w:r>
    </w:p>
    <w:p w14:paraId="21457A7C" w14:textId="77777777" w:rsidR="003C2887" w:rsidRPr="003C2887" w:rsidRDefault="003C2887" w:rsidP="003C2887">
      <w:pPr>
        <w:spacing w:after="0" w:line="240" w:lineRule="auto"/>
        <w:contextualSpacing/>
        <w:jc w:val="both"/>
        <w:rPr>
          <w:rFonts w:ascii="Bookman Old Style" w:eastAsia="Times New Roman" w:hAnsi="Bookman Old Style" w:cs="Arial"/>
          <w:sz w:val="24"/>
          <w:szCs w:val="24"/>
          <w:lang w:eastAsia="es-ES"/>
        </w:rPr>
      </w:pPr>
    </w:p>
    <w:p w14:paraId="0178A192" w14:textId="77777777" w:rsidR="003C2887" w:rsidRPr="003C2887" w:rsidRDefault="003C2887" w:rsidP="003C2887">
      <w:pPr>
        <w:spacing w:after="0" w:line="240" w:lineRule="auto"/>
        <w:contextualSpacing/>
        <w:jc w:val="both"/>
        <w:rPr>
          <w:rFonts w:ascii="Bookman Old Style" w:eastAsia="Times New Roman" w:hAnsi="Bookman Old Style" w:cs="Arial"/>
          <w:sz w:val="24"/>
          <w:szCs w:val="24"/>
          <w:lang w:eastAsia="es-ES"/>
        </w:rPr>
      </w:pPr>
      <w:r w:rsidRPr="003C2887">
        <w:rPr>
          <w:rFonts w:ascii="Calibri" w:eastAsia="Calibri" w:hAnsi="Calibri" w:cs="Times New Roman"/>
          <w:noProof/>
        </w:rPr>
        <mc:AlternateContent>
          <mc:Choice Requires="wps">
            <w:drawing>
              <wp:anchor distT="0" distB="0" distL="114300" distR="114300" simplePos="0" relativeHeight="251658245" behindDoc="0" locked="0" layoutInCell="1" allowOverlap="1" wp14:anchorId="4C656352" wp14:editId="68A00C77">
                <wp:simplePos x="0" y="0"/>
                <wp:positionH relativeFrom="column">
                  <wp:posOffset>1125893</wp:posOffset>
                </wp:positionH>
                <wp:positionV relativeFrom="paragraph">
                  <wp:posOffset>3916831</wp:posOffset>
                </wp:positionV>
                <wp:extent cx="709684" cy="191068"/>
                <wp:effectExtent l="0" t="0" r="14605" b="19050"/>
                <wp:wrapNone/>
                <wp:docPr id="40" name="Elipse 40"/>
                <wp:cNvGraphicFramePr/>
                <a:graphic xmlns:a="http://schemas.openxmlformats.org/drawingml/2006/main">
                  <a:graphicData uri="http://schemas.microsoft.com/office/word/2010/wordprocessingShape">
                    <wps:wsp>
                      <wps:cNvSpPr/>
                      <wps:spPr>
                        <a:xfrm>
                          <a:off x="0" y="0"/>
                          <a:ext cx="709684" cy="191068"/>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w:pict>
              <v:oval w14:anchorId="4BBA8C4D" id="Elipse 40" o:spid="_x0000_s1026" style="position:absolute;margin-left:88.65pt;margin-top:308.4pt;width:55.9pt;height:15.05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" filled="f" strokecolor="red" strokeweight="1pt">
                <v:stroke joinstyle="miter"/>
              </v:oval>
            </w:pict>
          </mc:Fallback>
        </mc:AlternateContent>
      </w:r>
      <w:r w:rsidRPr="003C2887">
        <w:rPr>
          <w:rFonts w:ascii="Calibri" w:eastAsia="Calibri" w:hAnsi="Calibri" w:cs="Times New Roman"/>
          <w:noProof/>
        </w:rPr>
        <mc:AlternateContent>
          <mc:Choice Requires="wps">
            <w:drawing>
              <wp:anchor distT="0" distB="0" distL="114300" distR="114300" simplePos="0" relativeHeight="251658244" behindDoc="0" locked="0" layoutInCell="1" allowOverlap="1" wp14:anchorId="5F0B1C9A" wp14:editId="485524F3">
                <wp:simplePos x="0" y="0"/>
                <wp:positionH relativeFrom="column">
                  <wp:posOffset>627797</wp:posOffset>
                </wp:positionH>
                <wp:positionV relativeFrom="paragraph">
                  <wp:posOffset>1140223</wp:posOffset>
                </wp:positionV>
                <wp:extent cx="709684" cy="191068"/>
                <wp:effectExtent l="0" t="0" r="14605" b="19050"/>
                <wp:wrapNone/>
                <wp:docPr id="38" name="Elipse 38"/>
                <wp:cNvGraphicFramePr/>
                <a:graphic xmlns:a="http://schemas.openxmlformats.org/drawingml/2006/main">
                  <a:graphicData uri="http://schemas.microsoft.com/office/word/2010/wordprocessingShape">
                    <wps:wsp>
                      <wps:cNvSpPr/>
                      <wps:spPr>
                        <a:xfrm>
                          <a:off x="0" y="0"/>
                          <a:ext cx="709684" cy="191068"/>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w:pict>
              <v:oval w14:anchorId="563B5DC1" id="Elipse 38" o:spid="_x0000_s1026" style="position:absolute;margin-left:49.45pt;margin-top:89.8pt;width:55.9pt;height:15.0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" filled="f" strokecolor="red" strokeweight="1pt">
                <v:stroke joinstyle="miter"/>
              </v:oval>
            </w:pict>
          </mc:Fallback>
        </mc:AlternateContent>
      </w:r>
      <w:r w:rsidRPr="003C2887">
        <w:rPr>
          <w:rFonts w:ascii="Calibri" w:eastAsia="Calibri" w:hAnsi="Calibri" w:cs="Times New Roman"/>
          <w:noProof/>
        </w:rPr>
        <mc:AlternateContent>
          <mc:Choice Requires="wps">
            <w:drawing>
              <wp:anchor distT="0" distB="0" distL="114300" distR="114300" simplePos="0" relativeHeight="251658243" behindDoc="0" locked="0" layoutInCell="1" allowOverlap="1" wp14:anchorId="0577526D" wp14:editId="4DA1D266">
                <wp:simplePos x="0" y="0"/>
                <wp:positionH relativeFrom="column">
                  <wp:posOffset>571244</wp:posOffset>
                </wp:positionH>
                <wp:positionV relativeFrom="paragraph">
                  <wp:posOffset>1796728</wp:posOffset>
                </wp:positionV>
                <wp:extent cx="825690" cy="191068"/>
                <wp:effectExtent l="0" t="0" r="12700" b="19050"/>
                <wp:wrapNone/>
                <wp:docPr id="39" name="Elipse 39"/>
                <wp:cNvGraphicFramePr/>
                <a:graphic xmlns:a="http://schemas.openxmlformats.org/drawingml/2006/main">
                  <a:graphicData uri="http://schemas.microsoft.com/office/word/2010/wordprocessingShape">
                    <wps:wsp>
                      <wps:cNvSpPr/>
                      <wps:spPr>
                        <a:xfrm>
                          <a:off x="0" y="0"/>
                          <a:ext cx="825690" cy="191068"/>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w:pict>
              <v:oval w14:anchorId="5D66163C" id="Elipse 39" o:spid="_x0000_s1026" style="position:absolute;margin-left:45pt;margin-top:141.45pt;width:65pt;height:15.0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" filled="f" strokecolor="red" strokeweight="1pt">
                <v:stroke joinstyle="miter"/>
              </v:oval>
            </w:pict>
          </mc:Fallback>
        </mc:AlternateContent>
      </w:r>
      <w:r w:rsidRPr="003C2887">
        <w:rPr>
          <w:rFonts w:ascii="Calibri" w:eastAsia="Calibri" w:hAnsi="Calibri" w:cs="Times New Roman"/>
          <w:noProof/>
        </w:rPr>
        <mc:AlternateContent>
          <mc:Choice Requires="wps">
            <w:drawing>
              <wp:anchor distT="0" distB="0" distL="114300" distR="114300" simplePos="0" relativeHeight="251658242" behindDoc="0" locked="0" layoutInCell="1" allowOverlap="1" wp14:anchorId="541172BD" wp14:editId="3C6B94C7">
                <wp:simplePos x="0" y="0"/>
                <wp:positionH relativeFrom="column">
                  <wp:posOffset>1603745</wp:posOffset>
                </wp:positionH>
                <wp:positionV relativeFrom="paragraph">
                  <wp:posOffset>2002496</wp:posOffset>
                </wp:positionV>
                <wp:extent cx="368490" cy="191068"/>
                <wp:effectExtent l="0" t="0" r="12700" b="19050"/>
                <wp:wrapNone/>
                <wp:docPr id="37" name="Elipse 37"/>
                <wp:cNvGraphicFramePr/>
                <a:graphic xmlns:a="http://schemas.openxmlformats.org/drawingml/2006/main">
                  <a:graphicData uri="http://schemas.microsoft.com/office/word/2010/wordprocessingShape">
                    <wps:wsp>
                      <wps:cNvSpPr/>
                      <wps:spPr>
                        <a:xfrm>
                          <a:off x="0" y="0"/>
                          <a:ext cx="368490" cy="191068"/>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oval w14:anchorId="7D18383B" id="Elipse 37" o:spid="_x0000_s1026" style="position:absolute;margin-left:126.3pt;margin-top:157.7pt;width:29pt;height:15.0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" filled="f" strokecolor="red" strokeweight="1pt">
                <v:stroke joinstyle="miter"/>
              </v:oval>
            </w:pict>
          </mc:Fallback>
        </mc:AlternateContent>
      </w:r>
      <w:r w:rsidRPr="003C2887">
        <w:rPr>
          <w:rFonts w:ascii="Calibri" w:eastAsia="Calibri" w:hAnsi="Calibri" w:cs="Times New Roman"/>
          <w:noProof/>
        </w:rPr>
        <mc:AlternateContent>
          <mc:Choice Requires="wps">
            <w:drawing>
              <wp:anchor distT="0" distB="0" distL="114300" distR="114300" simplePos="0" relativeHeight="251658241" behindDoc="0" locked="0" layoutInCell="1" allowOverlap="1" wp14:anchorId="06376126" wp14:editId="1596B3E4">
                <wp:simplePos x="0" y="0"/>
                <wp:positionH relativeFrom="column">
                  <wp:posOffset>1601650</wp:posOffset>
                </wp:positionH>
                <wp:positionV relativeFrom="paragraph">
                  <wp:posOffset>1400943</wp:posOffset>
                </wp:positionV>
                <wp:extent cx="368490" cy="191068"/>
                <wp:effectExtent l="0" t="0" r="12700" b="19050"/>
                <wp:wrapNone/>
                <wp:docPr id="36" name="Elipse 36"/>
                <wp:cNvGraphicFramePr/>
                <a:graphic xmlns:a="http://schemas.openxmlformats.org/drawingml/2006/main">
                  <a:graphicData uri="http://schemas.microsoft.com/office/word/2010/wordprocessingShape">
                    <wps:wsp>
                      <wps:cNvSpPr/>
                      <wps:spPr>
                        <a:xfrm>
                          <a:off x="0" y="0"/>
                          <a:ext cx="368490" cy="191068"/>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oval w14:anchorId="7729F424" id="Elipse 36" o:spid="_x0000_s1026" style="position:absolute;margin-left:126.1pt;margin-top:110.3pt;width:29pt;height:15.0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" filled="f" strokecolor="red" strokeweight="1pt">
                <v:stroke joinstyle="miter"/>
              </v:oval>
            </w:pict>
          </mc:Fallback>
        </mc:AlternateContent>
      </w:r>
      <w:r w:rsidRPr="003C2887">
        <w:rPr>
          <w:rFonts w:ascii="Calibri" w:eastAsia="Calibri" w:hAnsi="Calibri" w:cs="Times New Roman"/>
          <w:noProof/>
        </w:rPr>
        <w:drawing>
          <wp:inline distT="0" distB="0" distL="0" distR="0" wp14:anchorId="517FF770" wp14:editId="354453B6">
            <wp:extent cx="5612130" cy="4104640"/>
            <wp:effectExtent l="0" t="0" r="762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4104640"/>
                    </a:xfrm>
                    <a:prstGeom prst="rect">
                      <a:avLst/>
                    </a:prstGeom>
                  </pic:spPr>
                </pic:pic>
              </a:graphicData>
            </a:graphic>
          </wp:inline>
        </w:drawing>
      </w:r>
    </w:p>
    <w:p w14:paraId="0BDB0C33" w14:textId="77777777" w:rsidR="003C2887" w:rsidRPr="003C2887" w:rsidRDefault="003C2887" w:rsidP="003C2887">
      <w:pPr>
        <w:spacing w:after="0" w:line="240" w:lineRule="auto"/>
        <w:contextualSpacing/>
        <w:jc w:val="both"/>
        <w:rPr>
          <w:rFonts w:ascii="Bookman Old Style" w:eastAsia="Times New Roman" w:hAnsi="Bookman Old Style" w:cs="Arial"/>
          <w:sz w:val="24"/>
          <w:szCs w:val="24"/>
          <w:lang w:eastAsia="es-ES"/>
        </w:rPr>
      </w:pPr>
    </w:p>
    <w:p w14:paraId="6D6FAFCE" w14:textId="77777777" w:rsidR="003C2887" w:rsidRPr="003C2887" w:rsidRDefault="003C2887" w:rsidP="003C2887">
      <w:pPr>
        <w:spacing w:after="0" w:line="240" w:lineRule="auto"/>
        <w:contextualSpacing/>
        <w:jc w:val="both"/>
        <w:rPr>
          <w:rFonts w:ascii="Bookman Old Style" w:eastAsia="Times New Roman" w:hAnsi="Bookman Old Style" w:cs="Arial"/>
          <w:sz w:val="24"/>
          <w:szCs w:val="24"/>
          <w:lang w:eastAsia="es-ES"/>
        </w:rPr>
      </w:pPr>
      <w:r w:rsidRPr="003C2887">
        <w:rPr>
          <w:rFonts w:ascii="Bookman Old Style" w:eastAsia="Times New Roman" w:hAnsi="Bookman Old Style" w:cs="Arial"/>
          <w:noProof/>
          <w:sz w:val="24"/>
          <w:szCs w:val="24"/>
          <w:lang w:eastAsia="es-ES"/>
        </w:rPr>
        <w:drawing>
          <wp:inline distT="0" distB="0" distL="0" distR="0" wp14:anchorId="194C46A9" wp14:editId="1E3F7732">
            <wp:extent cx="5612130" cy="4178935"/>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2130" cy="4178935"/>
                    </a:xfrm>
                    <a:prstGeom prst="rect">
                      <a:avLst/>
                    </a:prstGeom>
                    <a:noFill/>
                    <a:ln>
                      <a:noFill/>
                    </a:ln>
                  </pic:spPr>
                </pic:pic>
              </a:graphicData>
            </a:graphic>
          </wp:inline>
        </w:drawing>
      </w:r>
    </w:p>
    <w:p w14:paraId="70B86EC7" w14:textId="77777777" w:rsidR="003C2887" w:rsidRPr="003C2887" w:rsidRDefault="003C2887" w:rsidP="003C2887">
      <w:pPr>
        <w:spacing w:after="0" w:line="240" w:lineRule="auto"/>
        <w:contextualSpacing/>
        <w:jc w:val="both"/>
        <w:rPr>
          <w:rFonts w:ascii="Bookman Old Style" w:eastAsia="Times New Roman" w:hAnsi="Bookman Old Style" w:cs="Arial"/>
          <w:sz w:val="24"/>
          <w:szCs w:val="24"/>
          <w:lang w:eastAsia="es-ES"/>
        </w:rPr>
      </w:pPr>
    </w:p>
    <w:p w14:paraId="6E7EB0F7" w14:textId="77777777" w:rsidR="003C2887" w:rsidRPr="003C2887" w:rsidRDefault="003C2887" w:rsidP="003C2887">
      <w:pPr>
        <w:spacing w:after="0" w:line="240" w:lineRule="auto"/>
        <w:contextualSpacing/>
        <w:jc w:val="both"/>
        <w:rPr>
          <w:rFonts w:ascii="Bookman Old Style" w:eastAsia="Times New Roman" w:hAnsi="Bookman Old Style" w:cs="Arial"/>
          <w:sz w:val="24"/>
          <w:szCs w:val="24"/>
          <w:lang w:eastAsia="es-ES"/>
        </w:rPr>
      </w:pPr>
      <w:r w:rsidRPr="003C2887">
        <w:rPr>
          <w:rFonts w:ascii="Bookman Old Style" w:eastAsia="Times New Roman" w:hAnsi="Bookman Old Style" w:cs="Arial"/>
          <w:sz w:val="24"/>
          <w:szCs w:val="24"/>
          <w:lang w:eastAsia="es-ES"/>
        </w:rPr>
        <w:t>En ese orden de ideas, con el objeto de reconocer el costo eficiente del centro de transformación, se toman los valores correspondientes de la cotización de ABB, adjuntada por DUE, aplicando los USD 499.500 de suministro y los USD 125.800 de instalación, los cuales se ponderan de forma proporcional, según el costo de cada componente, para obtener el costo solamente del centro de transformación, en la medida en que el costo de los inversores se reconoce de forma separada.</w:t>
      </w:r>
    </w:p>
    <w:p w14:paraId="0D57EA7F" w14:textId="77777777" w:rsidR="003C2887" w:rsidRPr="003C2887" w:rsidRDefault="003C2887" w:rsidP="003C2887">
      <w:pPr>
        <w:spacing w:after="0" w:line="240" w:lineRule="auto"/>
        <w:contextualSpacing/>
        <w:jc w:val="both"/>
        <w:rPr>
          <w:rFonts w:ascii="Bookman Old Style" w:eastAsia="Times New Roman" w:hAnsi="Bookman Old Style" w:cs="Arial"/>
          <w:sz w:val="24"/>
          <w:szCs w:val="24"/>
          <w:lang w:eastAsia="es-ES"/>
        </w:rPr>
      </w:pPr>
    </w:p>
    <w:p w14:paraId="00CBB9DF" w14:textId="77777777" w:rsidR="003C2887" w:rsidRPr="003C2887" w:rsidRDefault="003C2887" w:rsidP="003C2887">
      <w:pPr>
        <w:spacing w:after="0" w:line="240" w:lineRule="auto"/>
        <w:contextualSpacing/>
        <w:jc w:val="both"/>
        <w:rPr>
          <w:rFonts w:ascii="Bookman Old Style" w:eastAsia="Times New Roman" w:hAnsi="Bookman Old Style" w:cs="Arial"/>
          <w:sz w:val="24"/>
          <w:szCs w:val="24"/>
          <w:lang w:eastAsia="es-ES"/>
        </w:rPr>
      </w:pPr>
      <w:r w:rsidRPr="003C2887">
        <w:rPr>
          <w:rFonts w:ascii="Bookman Old Style" w:eastAsia="Times New Roman" w:hAnsi="Bookman Old Style" w:cs="Arial"/>
          <w:sz w:val="24"/>
          <w:szCs w:val="24"/>
          <w:lang w:eastAsia="es-ES"/>
        </w:rPr>
        <w:t xml:space="preserve">De lo anterior, se tiene que los costos eficientes a ser reconocidos en el cálculo del cargo máximo de generación con tecnologías solares fotovoltaicas con acumulación para el mercado relevante de Mitú, para el centro de transformación son: i) por concepto de suministro USD 208.685; </w:t>
      </w:r>
      <w:proofErr w:type="spellStart"/>
      <w:r w:rsidRPr="003C2887">
        <w:rPr>
          <w:rFonts w:ascii="Bookman Old Style" w:eastAsia="Times New Roman" w:hAnsi="Bookman Old Style" w:cs="Arial"/>
          <w:sz w:val="24"/>
          <w:szCs w:val="24"/>
          <w:lang w:eastAsia="es-ES"/>
        </w:rPr>
        <w:t>ii</w:t>
      </w:r>
      <w:proofErr w:type="spellEnd"/>
      <w:r w:rsidRPr="003C2887">
        <w:rPr>
          <w:rFonts w:ascii="Bookman Old Style" w:eastAsia="Times New Roman" w:hAnsi="Bookman Old Style" w:cs="Arial"/>
          <w:sz w:val="24"/>
          <w:szCs w:val="24"/>
          <w:lang w:eastAsia="es-ES"/>
        </w:rPr>
        <w:t>) por concepto de instalación USD 52.558; para un total de USD 261.242, frente a los USD 136.412 considerados en los valores presentados en la Resolución CREG 124 de 2020.</w:t>
      </w:r>
    </w:p>
    <w:p w14:paraId="13B49F98" w14:textId="77777777" w:rsidR="00BB6978" w:rsidRPr="00BB6978" w:rsidRDefault="00BB6978" w:rsidP="002A13DB">
      <w:pPr>
        <w:spacing w:after="0" w:line="240" w:lineRule="auto"/>
        <w:contextualSpacing/>
        <w:jc w:val="both"/>
        <w:rPr>
          <w:rFonts w:ascii="Bookman Old Style" w:eastAsia="Times New Roman" w:hAnsi="Bookman Old Style" w:cs="Times New Roman"/>
          <w:sz w:val="24"/>
          <w:szCs w:val="24"/>
          <w:lang w:eastAsia="es-ES"/>
        </w:rPr>
      </w:pPr>
    </w:p>
    <w:p w14:paraId="3FDB5928" w14:textId="0B953184" w:rsidR="00A71B6B" w:rsidRDefault="00A71B6B" w:rsidP="002A13DB">
      <w:pPr>
        <w:spacing w:after="0" w:line="240" w:lineRule="auto"/>
        <w:contextualSpacing/>
        <w:jc w:val="both"/>
        <w:rPr>
          <w:rFonts w:ascii="Bookman Old Style" w:eastAsia="Times New Roman" w:hAnsi="Bookman Old Style" w:cs="Times New Roman"/>
          <w:b/>
          <w:bCs/>
          <w:i/>
          <w:iCs/>
          <w:sz w:val="24"/>
          <w:szCs w:val="24"/>
          <w:lang w:eastAsia="es-ES"/>
        </w:rPr>
      </w:pPr>
      <w:r w:rsidRPr="00A71B6B">
        <w:rPr>
          <w:rFonts w:ascii="Bookman Old Style" w:eastAsia="Times New Roman" w:hAnsi="Bookman Old Style" w:cs="Times New Roman"/>
          <w:b/>
          <w:bCs/>
          <w:i/>
          <w:iCs/>
          <w:sz w:val="24"/>
          <w:szCs w:val="24"/>
          <w:lang w:eastAsia="es-ES"/>
        </w:rPr>
        <w:t>4.4. Se ajusta el AOM a los niveles de costo eficiente aprobados mediante Resolución CREG 136 de 2019.</w:t>
      </w:r>
      <w:r w:rsidR="008C050C">
        <w:rPr>
          <w:rFonts w:ascii="Bookman Old Style" w:eastAsia="Times New Roman" w:hAnsi="Bookman Old Style" w:cs="Times New Roman"/>
          <w:b/>
          <w:bCs/>
          <w:i/>
          <w:iCs/>
          <w:sz w:val="24"/>
          <w:szCs w:val="24"/>
          <w:lang w:eastAsia="es-ES"/>
        </w:rPr>
        <w:t xml:space="preserve"> </w:t>
      </w:r>
    </w:p>
    <w:p w14:paraId="2AC1C559" w14:textId="77777777" w:rsidR="00A71B6B" w:rsidRPr="00BB6978" w:rsidRDefault="00A71B6B" w:rsidP="002A13DB">
      <w:pPr>
        <w:spacing w:after="0" w:line="240" w:lineRule="auto"/>
        <w:contextualSpacing/>
        <w:jc w:val="both"/>
        <w:rPr>
          <w:rFonts w:ascii="Bookman Old Style" w:eastAsia="Times New Roman" w:hAnsi="Bookman Old Style" w:cs="Times New Roman"/>
          <w:sz w:val="24"/>
          <w:szCs w:val="24"/>
          <w:lang w:eastAsia="es-ES"/>
        </w:rPr>
      </w:pPr>
    </w:p>
    <w:p w14:paraId="30EF1BD9" w14:textId="2AA4CBF9" w:rsidR="00A71B6B" w:rsidRDefault="005731FF" w:rsidP="00BB6978">
      <w:pPr>
        <w:spacing w:after="0" w:line="240" w:lineRule="auto"/>
        <w:contextualSpacing/>
        <w:jc w:val="both"/>
        <w:rPr>
          <w:rFonts w:ascii="Bookman Old Style" w:eastAsia="Times New Roman" w:hAnsi="Bookman Old Style" w:cs="Times New Roman"/>
          <w:sz w:val="24"/>
          <w:szCs w:val="24"/>
          <w:lang w:eastAsia="es-ES"/>
        </w:rPr>
      </w:pPr>
      <w:r>
        <w:rPr>
          <w:rFonts w:ascii="Bookman Old Style" w:eastAsia="Times New Roman" w:hAnsi="Bookman Old Style" w:cs="Times New Roman"/>
          <w:sz w:val="24"/>
          <w:szCs w:val="24"/>
          <w:lang w:eastAsia="es-ES"/>
        </w:rPr>
        <w:t>Como ya se ha mencionado, la Comisión no remunera proyectos en particular, establece costos eficientes de prestación del servicio, en este caso de generación de energía eléctrica.</w:t>
      </w:r>
    </w:p>
    <w:p w14:paraId="0F31C615" w14:textId="0388D712" w:rsidR="005731FF" w:rsidRDefault="005731FF" w:rsidP="00BB6978">
      <w:pPr>
        <w:spacing w:after="0" w:line="240" w:lineRule="auto"/>
        <w:contextualSpacing/>
        <w:jc w:val="both"/>
        <w:rPr>
          <w:rFonts w:ascii="Bookman Old Style" w:eastAsia="Times New Roman" w:hAnsi="Bookman Old Style" w:cs="Times New Roman"/>
          <w:sz w:val="24"/>
          <w:szCs w:val="24"/>
          <w:lang w:eastAsia="es-ES"/>
        </w:rPr>
      </w:pPr>
    </w:p>
    <w:p w14:paraId="33AF6CEF" w14:textId="1859FD2B" w:rsidR="005731FF" w:rsidRDefault="005731FF" w:rsidP="00BB6978">
      <w:pPr>
        <w:spacing w:after="0" w:line="240" w:lineRule="auto"/>
        <w:contextualSpacing/>
        <w:jc w:val="both"/>
        <w:rPr>
          <w:rFonts w:ascii="Bookman Old Style" w:eastAsia="Times New Roman" w:hAnsi="Bookman Old Style" w:cs="Times New Roman"/>
          <w:sz w:val="24"/>
          <w:szCs w:val="24"/>
          <w:lang w:eastAsia="es-ES"/>
        </w:rPr>
      </w:pPr>
      <w:r>
        <w:rPr>
          <w:rFonts w:ascii="Bookman Old Style" w:eastAsia="Times New Roman" w:hAnsi="Bookman Old Style" w:cs="Times New Roman"/>
          <w:sz w:val="24"/>
          <w:szCs w:val="24"/>
          <w:lang w:eastAsia="es-ES"/>
        </w:rPr>
        <w:t xml:space="preserve">Para dichos efectos </w:t>
      </w:r>
      <w:r w:rsidR="006C3025">
        <w:rPr>
          <w:rFonts w:ascii="Bookman Old Style" w:eastAsia="Times New Roman" w:hAnsi="Bookman Old Style" w:cs="Times New Roman"/>
          <w:sz w:val="24"/>
          <w:szCs w:val="24"/>
          <w:lang w:eastAsia="es-ES"/>
        </w:rPr>
        <w:t xml:space="preserve">se </w:t>
      </w:r>
      <w:r>
        <w:rPr>
          <w:rFonts w:ascii="Bookman Old Style" w:eastAsia="Times New Roman" w:hAnsi="Bookman Old Style" w:cs="Times New Roman"/>
          <w:sz w:val="24"/>
          <w:szCs w:val="24"/>
          <w:lang w:eastAsia="es-ES"/>
        </w:rPr>
        <w:t>tom</w:t>
      </w:r>
      <w:r w:rsidR="00FB7346">
        <w:rPr>
          <w:rFonts w:ascii="Bookman Old Style" w:eastAsia="Times New Roman" w:hAnsi="Bookman Old Style" w:cs="Times New Roman"/>
          <w:sz w:val="24"/>
          <w:szCs w:val="24"/>
          <w:lang w:eastAsia="es-ES"/>
        </w:rPr>
        <w:t>aron,</w:t>
      </w:r>
      <w:r>
        <w:rPr>
          <w:rFonts w:ascii="Bookman Old Style" w:eastAsia="Times New Roman" w:hAnsi="Bookman Old Style" w:cs="Times New Roman"/>
          <w:sz w:val="24"/>
          <w:szCs w:val="24"/>
          <w:lang w:eastAsia="es-ES"/>
        </w:rPr>
        <w:t xml:space="preserve"> en su gran mayoría</w:t>
      </w:r>
      <w:r w:rsidR="00FB7346">
        <w:rPr>
          <w:rFonts w:ascii="Bookman Old Style" w:eastAsia="Times New Roman" w:hAnsi="Bookman Old Style" w:cs="Times New Roman"/>
          <w:sz w:val="24"/>
          <w:szCs w:val="24"/>
          <w:lang w:eastAsia="es-ES"/>
        </w:rPr>
        <w:t>,</w:t>
      </w:r>
      <w:r>
        <w:rPr>
          <w:rFonts w:ascii="Bookman Old Style" w:eastAsia="Times New Roman" w:hAnsi="Bookman Old Style" w:cs="Times New Roman"/>
          <w:sz w:val="24"/>
          <w:szCs w:val="24"/>
          <w:lang w:eastAsia="es-ES"/>
        </w:rPr>
        <w:t xml:space="preserve"> los costos presentados por DUE en su solicitud, en lo que </w:t>
      </w:r>
      <w:r w:rsidR="00FB7346">
        <w:rPr>
          <w:rFonts w:ascii="Bookman Old Style" w:eastAsia="Times New Roman" w:hAnsi="Bookman Old Style" w:cs="Times New Roman"/>
          <w:sz w:val="24"/>
          <w:szCs w:val="24"/>
          <w:lang w:eastAsia="es-ES"/>
        </w:rPr>
        <w:t xml:space="preserve">esta Comisión </w:t>
      </w:r>
      <w:r>
        <w:rPr>
          <w:rFonts w:ascii="Bookman Old Style" w:eastAsia="Times New Roman" w:hAnsi="Bookman Old Style" w:cs="Times New Roman"/>
          <w:sz w:val="24"/>
          <w:szCs w:val="24"/>
          <w:lang w:eastAsia="es-ES"/>
        </w:rPr>
        <w:t xml:space="preserve">encontró procedente hacerlo, con los respectivos soportes presentados. En donde </w:t>
      </w:r>
      <w:r w:rsidR="006C3025">
        <w:rPr>
          <w:rFonts w:ascii="Bookman Old Style" w:eastAsia="Times New Roman" w:hAnsi="Bookman Old Style" w:cs="Times New Roman"/>
          <w:sz w:val="24"/>
          <w:szCs w:val="24"/>
          <w:lang w:eastAsia="es-ES"/>
        </w:rPr>
        <w:t xml:space="preserve">se </w:t>
      </w:r>
      <w:r>
        <w:rPr>
          <w:rFonts w:ascii="Bookman Old Style" w:eastAsia="Times New Roman" w:hAnsi="Bookman Old Style" w:cs="Times New Roman"/>
          <w:sz w:val="24"/>
          <w:szCs w:val="24"/>
          <w:lang w:eastAsia="es-ES"/>
        </w:rPr>
        <w:t>encontr</w:t>
      </w:r>
      <w:r w:rsidR="00FB7346">
        <w:rPr>
          <w:rFonts w:ascii="Bookman Old Style" w:eastAsia="Times New Roman" w:hAnsi="Bookman Old Style" w:cs="Times New Roman"/>
          <w:sz w:val="24"/>
          <w:szCs w:val="24"/>
          <w:lang w:eastAsia="es-ES"/>
        </w:rPr>
        <w:t xml:space="preserve">aron </w:t>
      </w:r>
      <w:r>
        <w:rPr>
          <w:rFonts w:ascii="Bookman Old Style" w:eastAsia="Times New Roman" w:hAnsi="Bookman Old Style" w:cs="Times New Roman"/>
          <w:sz w:val="24"/>
          <w:szCs w:val="24"/>
          <w:lang w:eastAsia="es-ES"/>
        </w:rPr>
        <w:t>diferencias con los niveles de eficiencia utilizados en otras decisiones, se recurrió a esa otra información</w:t>
      </w:r>
      <w:r w:rsidR="00FB7346">
        <w:rPr>
          <w:rFonts w:ascii="Bookman Old Style" w:eastAsia="Times New Roman" w:hAnsi="Bookman Old Style" w:cs="Times New Roman"/>
          <w:sz w:val="24"/>
          <w:szCs w:val="24"/>
          <w:lang w:eastAsia="es-ES"/>
        </w:rPr>
        <w:t>, como mejor información disponible a la fecha de la decisión,</w:t>
      </w:r>
      <w:r>
        <w:rPr>
          <w:rFonts w:ascii="Bookman Old Style" w:eastAsia="Times New Roman" w:hAnsi="Bookman Old Style" w:cs="Times New Roman"/>
          <w:sz w:val="24"/>
          <w:szCs w:val="24"/>
          <w:lang w:eastAsia="es-ES"/>
        </w:rPr>
        <w:t xml:space="preserve"> para completar en lo que fuera necesario.</w:t>
      </w:r>
    </w:p>
    <w:p w14:paraId="20DD2E1D" w14:textId="59977877" w:rsidR="005731FF" w:rsidRDefault="005731FF" w:rsidP="00BB6978">
      <w:pPr>
        <w:spacing w:after="0" w:line="240" w:lineRule="auto"/>
        <w:contextualSpacing/>
        <w:jc w:val="both"/>
        <w:rPr>
          <w:rFonts w:ascii="Bookman Old Style" w:eastAsia="Times New Roman" w:hAnsi="Bookman Old Style" w:cs="Times New Roman"/>
          <w:sz w:val="24"/>
          <w:szCs w:val="24"/>
          <w:lang w:eastAsia="es-ES"/>
        </w:rPr>
      </w:pPr>
    </w:p>
    <w:p w14:paraId="22F55682" w14:textId="13E779BB" w:rsidR="00FB7346" w:rsidRDefault="00FB7346" w:rsidP="00BB6978">
      <w:pPr>
        <w:spacing w:after="0" w:line="240" w:lineRule="auto"/>
        <w:contextualSpacing/>
        <w:jc w:val="both"/>
        <w:rPr>
          <w:rFonts w:ascii="Bookman Old Style" w:eastAsia="Times New Roman" w:hAnsi="Bookman Old Style" w:cs="Times New Roman"/>
          <w:sz w:val="24"/>
          <w:szCs w:val="24"/>
          <w:lang w:eastAsia="es-ES"/>
        </w:rPr>
      </w:pPr>
      <w:r>
        <w:rPr>
          <w:rFonts w:ascii="Bookman Old Style" w:eastAsia="Times New Roman" w:hAnsi="Bookman Old Style" w:cs="Times New Roman"/>
          <w:sz w:val="24"/>
          <w:szCs w:val="24"/>
          <w:lang w:eastAsia="es-ES"/>
        </w:rPr>
        <w:t xml:space="preserve">Sobre este particular, no sobra hacer referencia a que la decisión sobre el cargo máximo para el mercado relevante del municipio de Inírida, Resolución CREG 012 de 2018, corresponde a una decisión de enero de 2018, con información al corte de diciembre de 2017, mientras que en la decisión sobre del cargo máximo de generación para el mercado relevante del municipio de </w:t>
      </w:r>
      <w:proofErr w:type="spellStart"/>
      <w:r>
        <w:rPr>
          <w:rFonts w:ascii="Bookman Old Style" w:eastAsia="Times New Roman" w:hAnsi="Bookman Old Style" w:cs="Times New Roman"/>
          <w:sz w:val="24"/>
          <w:szCs w:val="24"/>
          <w:lang w:eastAsia="es-ES"/>
        </w:rPr>
        <w:t>Unguía</w:t>
      </w:r>
      <w:proofErr w:type="spellEnd"/>
      <w:r>
        <w:rPr>
          <w:rFonts w:ascii="Bookman Old Style" w:eastAsia="Times New Roman" w:hAnsi="Bookman Old Style" w:cs="Times New Roman"/>
          <w:sz w:val="24"/>
          <w:szCs w:val="24"/>
          <w:lang w:eastAsia="es-ES"/>
        </w:rPr>
        <w:t>, Resolución CREG 136 de 2019, se tomaron costos con corte a junio de 2019.</w:t>
      </w:r>
    </w:p>
    <w:p w14:paraId="4AD8E08E" w14:textId="77777777" w:rsidR="00FB7346" w:rsidRDefault="00FB7346" w:rsidP="00BB6978">
      <w:pPr>
        <w:spacing w:after="0" w:line="240" w:lineRule="auto"/>
        <w:contextualSpacing/>
        <w:jc w:val="both"/>
        <w:rPr>
          <w:rFonts w:ascii="Bookman Old Style" w:eastAsia="Times New Roman" w:hAnsi="Bookman Old Style" w:cs="Times New Roman"/>
          <w:sz w:val="24"/>
          <w:szCs w:val="24"/>
          <w:lang w:eastAsia="es-ES"/>
        </w:rPr>
      </w:pPr>
    </w:p>
    <w:p w14:paraId="652F6188" w14:textId="4F52197C" w:rsidR="005731FF" w:rsidRDefault="005731FF" w:rsidP="00BB6978">
      <w:pPr>
        <w:spacing w:after="0" w:line="240" w:lineRule="auto"/>
        <w:contextualSpacing/>
        <w:jc w:val="both"/>
        <w:rPr>
          <w:rFonts w:ascii="Bookman Old Style" w:eastAsia="Times New Roman" w:hAnsi="Bookman Old Style" w:cs="Times New Roman"/>
          <w:sz w:val="24"/>
          <w:szCs w:val="24"/>
          <w:lang w:eastAsia="es-ES"/>
        </w:rPr>
      </w:pPr>
      <w:r>
        <w:rPr>
          <w:rFonts w:ascii="Bookman Old Style" w:eastAsia="Times New Roman" w:hAnsi="Bookman Old Style" w:cs="Times New Roman"/>
          <w:sz w:val="24"/>
          <w:szCs w:val="24"/>
          <w:lang w:eastAsia="es-ES"/>
        </w:rPr>
        <w:t>Se destaca que la información utilizada, que fue debidamente ajustada para reflejar las particularidades de la prestación del servicio en Mitú, como la disponibilidad del recurso solar y los costos de instalación, al verse afectados por el costo de transporte de los equipos hasta la zona, corresponde a costos de referencia de plantas de generación de menor capacidad que la presentada por DUE. En ese orden de ideas</w:t>
      </w:r>
      <w:r w:rsidR="006C3025">
        <w:rPr>
          <w:rFonts w:ascii="Bookman Old Style" w:eastAsia="Times New Roman" w:hAnsi="Bookman Old Style" w:cs="Times New Roman"/>
          <w:sz w:val="24"/>
          <w:szCs w:val="24"/>
          <w:lang w:eastAsia="es-ES"/>
        </w:rPr>
        <w:t>,</w:t>
      </w:r>
      <w:r>
        <w:rPr>
          <w:rFonts w:ascii="Bookman Old Style" w:eastAsia="Times New Roman" w:hAnsi="Bookman Old Style" w:cs="Times New Roman"/>
          <w:sz w:val="24"/>
          <w:szCs w:val="24"/>
          <w:lang w:eastAsia="es-ES"/>
        </w:rPr>
        <w:t xml:space="preserve"> y considerando las eficiencias que pueden obtenerse por economías de escala al tenerse costos de referencia de una instalación varias veces mayor, los costos de referencia utilizados, en especial los utilizados en la aprobación del cargo máximo de generación para el mercado relevante de </w:t>
      </w:r>
      <w:proofErr w:type="spellStart"/>
      <w:r>
        <w:rPr>
          <w:rFonts w:ascii="Bookman Old Style" w:eastAsia="Times New Roman" w:hAnsi="Bookman Old Style" w:cs="Times New Roman"/>
          <w:sz w:val="24"/>
          <w:szCs w:val="24"/>
          <w:lang w:eastAsia="es-ES"/>
        </w:rPr>
        <w:t>Unguía</w:t>
      </w:r>
      <w:proofErr w:type="spellEnd"/>
      <w:r>
        <w:rPr>
          <w:rFonts w:ascii="Bookman Old Style" w:eastAsia="Times New Roman" w:hAnsi="Bookman Old Style" w:cs="Times New Roman"/>
          <w:sz w:val="24"/>
          <w:szCs w:val="24"/>
          <w:lang w:eastAsia="es-ES"/>
        </w:rPr>
        <w:t>, Chocó, le permitirán a un prestador cubrir la operación y apropiar las eficiencias que provengan de la instalación de una planta de mayor capacidad.</w:t>
      </w:r>
    </w:p>
    <w:p w14:paraId="618BC78F" w14:textId="4A73B149" w:rsidR="00BB6978" w:rsidRDefault="00BB6978" w:rsidP="002A13DB">
      <w:pPr>
        <w:spacing w:after="0" w:line="240" w:lineRule="auto"/>
        <w:contextualSpacing/>
        <w:jc w:val="both"/>
        <w:rPr>
          <w:rFonts w:ascii="Bookman Old Style" w:eastAsia="Times New Roman" w:hAnsi="Bookman Old Style" w:cs="Times New Roman"/>
          <w:sz w:val="24"/>
          <w:szCs w:val="24"/>
          <w:lang w:eastAsia="es-ES"/>
        </w:rPr>
      </w:pPr>
    </w:p>
    <w:p w14:paraId="059FE938" w14:textId="1BA89319" w:rsidR="00B05420" w:rsidRDefault="00B154B8" w:rsidP="00B05420">
      <w:pPr>
        <w:spacing w:after="0" w:line="240" w:lineRule="auto"/>
        <w:contextualSpacing/>
        <w:jc w:val="both"/>
        <w:rPr>
          <w:rFonts w:ascii="Bookman Old Style" w:eastAsia="Times New Roman" w:hAnsi="Bookman Old Style" w:cs="Times New Roman"/>
          <w:sz w:val="24"/>
          <w:szCs w:val="24"/>
          <w:lang w:eastAsia="es-ES"/>
        </w:rPr>
      </w:pPr>
      <w:r>
        <w:rPr>
          <w:rFonts w:ascii="Bookman Old Style" w:eastAsia="Times New Roman" w:hAnsi="Bookman Old Style" w:cs="Times New Roman"/>
          <w:sz w:val="24"/>
          <w:szCs w:val="24"/>
          <w:lang w:eastAsia="es-ES"/>
        </w:rPr>
        <w:t>En ese sentido</w:t>
      </w:r>
      <w:r w:rsidR="006C3025">
        <w:rPr>
          <w:rFonts w:ascii="Bookman Old Style" w:eastAsia="Times New Roman" w:hAnsi="Bookman Old Style" w:cs="Times New Roman"/>
          <w:sz w:val="24"/>
          <w:szCs w:val="24"/>
          <w:lang w:eastAsia="es-ES"/>
        </w:rPr>
        <w:t>,</w:t>
      </w:r>
      <w:r>
        <w:rPr>
          <w:rFonts w:ascii="Bookman Old Style" w:eastAsia="Times New Roman" w:hAnsi="Bookman Old Style" w:cs="Times New Roman"/>
          <w:sz w:val="24"/>
          <w:szCs w:val="24"/>
          <w:lang w:eastAsia="es-ES"/>
        </w:rPr>
        <w:t xml:space="preserve"> y teniendo en cuenta que los costos tomados por esta Comisión para la definición del cargo máximo de generación del mercado relevante de la cabecera municipal de Mitú cumplen con </w:t>
      </w:r>
      <w:r w:rsidR="00992790">
        <w:rPr>
          <w:rFonts w:ascii="Bookman Old Style" w:eastAsia="Times New Roman" w:hAnsi="Bookman Old Style" w:cs="Times New Roman"/>
          <w:sz w:val="24"/>
          <w:szCs w:val="24"/>
          <w:lang w:eastAsia="es-ES"/>
        </w:rPr>
        <w:t xml:space="preserve">lo previsto en los criterios tarifarios previstos en el artículo 87 de la Ley 142 de 1994, no se encuentra </w:t>
      </w:r>
      <w:r w:rsidR="00B05420" w:rsidRPr="000A7EFD">
        <w:rPr>
          <w:rFonts w:ascii="Bookman Old Style" w:eastAsia="Times New Roman" w:hAnsi="Bookman Old Style" w:cs="Times New Roman"/>
          <w:sz w:val="24"/>
          <w:szCs w:val="24"/>
          <w:lang w:eastAsia="es-ES"/>
        </w:rPr>
        <w:t xml:space="preserve">procedente la solicitud de ajuste al valor de </w:t>
      </w:r>
      <w:r w:rsidR="00B05420">
        <w:rPr>
          <w:rFonts w:ascii="Bookman Old Style" w:eastAsia="Times New Roman" w:hAnsi="Bookman Old Style" w:cs="Times New Roman"/>
          <w:sz w:val="24"/>
          <w:szCs w:val="24"/>
          <w:lang w:eastAsia="es-ES"/>
        </w:rPr>
        <w:t xml:space="preserve">AOM </w:t>
      </w:r>
      <w:r w:rsidR="00B05420" w:rsidRPr="000A7EFD">
        <w:rPr>
          <w:rFonts w:ascii="Bookman Old Style" w:eastAsia="Times New Roman" w:hAnsi="Bookman Old Style" w:cs="Times New Roman"/>
          <w:sz w:val="24"/>
          <w:szCs w:val="24"/>
          <w:lang w:eastAsia="es-ES"/>
        </w:rPr>
        <w:t>formulada por DUE en el recurso.</w:t>
      </w:r>
    </w:p>
    <w:p w14:paraId="5365236C" w14:textId="77777777" w:rsidR="00BB6978" w:rsidRPr="00BB6978" w:rsidRDefault="00BB6978" w:rsidP="002A13DB">
      <w:pPr>
        <w:spacing w:after="0" w:line="240" w:lineRule="auto"/>
        <w:contextualSpacing/>
        <w:jc w:val="both"/>
        <w:rPr>
          <w:rFonts w:ascii="Bookman Old Style" w:eastAsia="Times New Roman" w:hAnsi="Bookman Old Style" w:cs="Times New Roman"/>
          <w:sz w:val="24"/>
          <w:szCs w:val="24"/>
          <w:lang w:eastAsia="es-ES"/>
        </w:rPr>
      </w:pPr>
    </w:p>
    <w:p w14:paraId="600C2F6E" w14:textId="1FEADC76" w:rsidR="00A71B6B" w:rsidRPr="00A71B6B" w:rsidRDefault="00A71B6B" w:rsidP="002A13DB">
      <w:pPr>
        <w:spacing w:after="0" w:line="240" w:lineRule="auto"/>
        <w:contextualSpacing/>
        <w:jc w:val="both"/>
        <w:rPr>
          <w:rFonts w:ascii="Bookman Old Style" w:eastAsia="Times New Roman" w:hAnsi="Bookman Old Style" w:cs="Times New Roman"/>
          <w:b/>
          <w:bCs/>
          <w:i/>
          <w:iCs/>
          <w:sz w:val="24"/>
          <w:szCs w:val="24"/>
          <w:lang w:eastAsia="es-ES"/>
        </w:rPr>
      </w:pPr>
      <w:r w:rsidRPr="00A71B6B">
        <w:rPr>
          <w:rFonts w:ascii="Bookman Old Style" w:eastAsia="Times New Roman" w:hAnsi="Bookman Old Style" w:cs="Times New Roman"/>
          <w:b/>
          <w:bCs/>
          <w:i/>
          <w:iCs/>
          <w:sz w:val="24"/>
          <w:szCs w:val="24"/>
          <w:lang w:eastAsia="es-ES"/>
        </w:rPr>
        <w:t xml:space="preserve">4.5. Se ajusta el valor de la TRM para </w:t>
      </w:r>
      <w:proofErr w:type="spellStart"/>
      <w:r w:rsidRPr="00A71B6B">
        <w:rPr>
          <w:rFonts w:ascii="Bookman Old Style" w:eastAsia="Times New Roman" w:hAnsi="Bookman Old Style" w:cs="Times New Roman"/>
          <w:b/>
          <w:bCs/>
          <w:i/>
          <w:iCs/>
          <w:sz w:val="24"/>
          <w:szCs w:val="24"/>
          <w:lang w:eastAsia="es-ES"/>
        </w:rPr>
        <w:t>reexpresar</w:t>
      </w:r>
      <w:proofErr w:type="spellEnd"/>
      <w:r w:rsidRPr="00A71B6B">
        <w:rPr>
          <w:rFonts w:ascii="Bookman Old Style" w:eastAsia="Times New Roman" w:hAnsi="Bookman Old Style" w:cs="Times New Roman"/>
          <w:b/>
          <w:bCs/>
          <w:i/>
          <w:iCs/>
          <w:sz w:val="24"/>
          <w:szCs w:val="24"/>
          <w:lang w:eastAsia="es-ES"/>
        </w:rPr>
        <w:t xml:space="preserve"> en pesos el valor de la inversión.</w:t>
      </w:r>
      <w:r w:rsidR="008C050C">
        <w:rPr>
          <w:rFonts w:ascii="Bookman Old Style" w:eastAsia="Times New Roman" w:hAnsi="Bookman Old Style" w:cs="Times New Roman"/>
          <w:b/>
          <w:bCs/>
          <w:i/>
          <w:iCs/>
          <w:sz w:val="24"/>
          <w:szCs w:val="24"/>
          <w:lang w:eastAsia="es-ES"/>
        </w:rPr>
        <w:t xml:space="preserve"> </w:t>
      </w:r>
    </w:p>
    <w:p w14:paraId="706E5C1F" w14:textId="6EDBD226" w:rsidR="00A71B6B" w:rsidRPr="00096004" w:rsidRDefault="00A71B6B" w:rsidP="002A13DB">
      <w:pPr>
        <w:spacing w:after="0" w:line="240" w:lineRule="auto"/>
        <w:contextualSpacing/>
        <w:jc w:val="both"/>
        <w:rPr>
          <w:rFonts w:ascii="Bookman Old Style" w:eastAsia="Times New Roman" w:hAnsi="Bookman Old Style" w:cs="Times New Roman"/>
          <w:sz w:val="24"/>
          <w:szCs w:val="24"/>
          <w:lang w:eastAsia="es-ES"/>
        </w:rPr>
      </w:pPr>
    </w:p>
    <w:p w14:paraId="0219F318" w14:textId="3DB5A8E9" w:rsidR="00096004" w:rsidRDefault="00096004" w:rsidP="002A13DB">
      <w:pPr>
        <w:spacing w:after="0" w:line="240" w:lineRule="auto"/>
        <w:contextualSpacing/>
        <w:jc w:val="both"/>
        <w:rPr>
          <w:rFonts w:ascii="Bookman Old Style" w:eastAsia="Times New Roman" w:hAnsi="Bookman Old Style" w:cs="Times New Roman"/>
          <w:sz w:val="24"/>
          <w:szCs w:val="24"/>
          <w:lang w:eastAsia="es-ES"/>
        </w:rPr>
      </w:pPr>
      <w:r>
        <w:rPr>
          <w:rFonts w:ascii="Bookman Old Style" w:eastAsia="Times New Roman" w:hAnsi="Bookman Old Style" w:cs="Times New Roman"/>
          <w:sz w:val="24"/>
          <w:szCs w:val="24"/>
          <w:lang w:eastAsia="es-ES"/>
        </w:rPr>
        <w:t>Debe indicarse que, respecto del comentario presentado por DUE en el recurso sobre este aspecto, al reconocerse que la valoración en pesos</w:t>
      </w:r>
      <w:r w:rsidR="00211B09">
        <w:rPr>
          <w:rFonts w:ascii="Bookman Old Style" w:eastAsia="Times New Roman" w:hAnsi="Bookman Old Style" w:cs="Times New Roman"/>
          <w:sz w:val="24"/>
          <w:szCs w:val="24"/>
          <w:lang w:eastAsia="es-ES"/>
        </w:rPr>
        <w:t>,</w:t>
      </w:r>
      <w:r>
        <w:rPr>
          <w:rFonts w:ascii="Bookman Old Style" w:eastAsia="Times New Roman" w:hAnsi="Bookman Old Style" w:cs="Times New Roman"/>
          <w:sz w:val="24"/>
          <w:szCs w:val="24"/>
          <w:lang w:eastAsia="es-ES"/>
        </w:rPr>
        <w:t xml:space="preserve"> de algunos de los equipos considerados en la determinación del componente de inversión</w:t>
      </w:r>
      <w:r w:rsidR="00211B09">
        <w:rPr>
          <w:rFonts w:ascii="Bookman Old Style" w:eastAsia="Times New Roman" w:hAnsi="Bookman Old Style" w:cs="Times New Roman"/>
          <w:sz w:val="24"/>
          <w:szCs w:val="24"/>
          <w:lang w:eastAsia="es-ES"/>
        </w:rPr>
        <w:t>,</w:t>
      </w:r>
      <w:r>
        <w:rPr>
          <w:rFonts w:ascii="Bookman Old Style" w:eastAsia="Times New Roman" w:hAnsi="Bookman Old Style" w:cs="Times New Roman"/>
          <w:sz w:val="24"/>
          <w:szCs w:val="24"/>
          <w:lang w:eastAsia="es-ES"/>
        </w:rPr>
        <w:t xml:space="preserve"> está asociada a las variaciones de la tasa de cambio</w:t>
      </w:r>
      <w:r w:rsidR="00211B09">
        <w:rPr>
          <w:rFonts w:ascii="Bookman Old Style" w:eastAsia="Times New Roman" w:hAnsi="Bookman Old Style" w:cs="Times New Roman"/>
          <w:sz w:val="24"/>
          <w:szCs w:val="24"/>
          <w:lang w:eastAsia="es-ES"/>
        </w:rPr>
        <w:t>,</w:t>
      </w:r>
      <w:r>
        <w:rPr>
          <w:rFonts w:ascii="Bookman Old Style" w:eastAsia="Times New Roman" w:hAnsi="Bookman Old Style" w:cs="Times New Roman"/>
          <w:sz w:val="24"/>
          <w:szCs w:val="24"/>
          <w:lang w:eastAsia="es-ES"/>
        </w:rPr>
        <w:t xml:space="preserve"> no tiene como objeto reconocer posibles impactos de devaluación en el proyecto de la planta </w:t>
      </w:r>
      <w:proofErr w:type="spellStart"/>
      <w:r>
        <w:rPr>
          <w:rFonts w:ascii="Bookman Old Style" w:eastAsia="Times New Roman" w:hAnsi="Bookman Old Style" w:cs="Times New Roman"/>
          <w:sz w:val="24"/>
          <w:szCs w:val="24"/>
          <w:lang w:eastAsia="es-ES"/>
        </w:rPr>
        <w:t>Matakavi</w:t>
      </w:r>
      <w:proofErr w:type="spellEnd"/>
      <w:r w:rsidR="00211B09">
        <w:rPr>
          <w:rFonts w:ascii="Bookman Old Style" w:eastAsia="Times New Roman" w:hAnsi="Bookman Old Style" w:cs="Times New Roman"/>
          <w:sz w:val="24"/>
          <w:szCs w:val="24"/>
          <w:lang w:eastAsia="es-ES"/>
        </w:rPr>
        <w:t xml:space="preserve">, esta Comisión identifica que cierto tipo de componentes para la generación de energía eléctrica con sistemas solares fotovoltaicos con acumulación, por sus capacidades, dimensiones o tecnología, posiblemente deben importarse y, en ese orden de ideas, al momento de definirse el cargo máximo de generación para Mitú, se reconoce el nivel de tasa de cambio vigente. No obstante, el riesgo de tasa de cambio queda asignado al prestador del servicio y no </w:t>
      </w:r>
      <w:r w:rsidR="006C3025">
        <w:rPr>
          <w:rFonts w:ascii="Bookman Old Style" w:eastAsia="Times New Roman" w:hAnsi="Bookman Old Style" w:cs="Times New Roman"/>
          <w:sz w:val="24"/>
          <w:szCs w:val="24"/>
          <w:lang w:eastAsia="es-ES"/>
        </w:rPr>
        <w:t>a</w:t>
      </w:r>
      <w:r w:rsidR="00211B09">
        <w:rPr>
          <w:rFonts w:ascii="Bookman Old Style" w:eastAsia="Times New Roman" w:hAnsi="Bookman Old Style" w:cs="Times New Roman"/>
          <w:sz w:val="24"/>
          <w:szCs w:val="24"/>
          <w:lang w:eastAsia="es-ES"/>
        </w:rPr>
        <w:t>l usuario, en la medida en que la fórmula de actualización de cargos no tiene previsto que ninguno de los componentes tarifarios se actualice con este tipo de indicadores.</w:t>
      </w:r>
    </w:p>
    <w:p w14:paraId="1A539C2B" w14:textId="77777777" w:rsidR="00211B09" w:rsidRPr="00096004" w:rsidRDefault="00211B09" w:rsidP="002A13DB">
      <w:pPr>
        <w:spacing w:after="0" w:line="240" w:lineRule="auto"/>
        <w:contextualSpacing/>
        <w:jc w:val="both"/>
        <w:rPr>
          <w:rFonts w:ascii="Bookman Old Style" w:eastAsia="Times New Roman" w:hAnsi="Bookman Old Style" w:cs="Times New Roman"/>
          <w:sz w:val="24"/>
          <w:szCs w:val="24"/>
          <w:lang w:eastAsia="es-ES"/>
        </w:rPr>
      </w:pPr>
    </w:p>
    <w:p w14:paraId="059835BC" w14:textId="65F68ACD" w:rsidR="00A71B6B" w:rsidRDefault="00A71B6B" w:rsidP="001B53BD">
      <w:pPr>
        <w:tabs>
          <w:tab w:val="left" w:pos="7060"/>
        </w:tabs>
        <w:spacing w:after="0" w:line="240" w:lineRule="auto"/>
        <w:contextualSpacing/>
        <w:jc w:val="both"/>
        <w:rPr>
          <w:rFonts w:ascii="Bookman Old Style" w:eastAsia="Times New Roman" w:hAnsi="Bookman Old Style" w:cs="Times New Roman"/>
          <w:b/>
          <w:bCs/>
          <w:i/>
          <w:iCs/>
          <w:sz w:val="24"/>
          <w:szCs w:val="24"/>
          <w:lang w:eastAsia="es-ES"/>
        </w:rPr>
      </w:pPr>
      <w:r w:rsidRPr="00A71B6B">
        <w:rPr>
          <w:rFonts w:ascii="Bookman Old Style" w:eastAsia="Times New Roman" w:hAnsi="Bookman Old Style" w:cs="Times New Roman"/>
          <w:b/>
          <w:bCs/>
          <w:i/>
          <w:iCs/>
          <w:sz w:val="24"/>
          <w:szCs w:val="24"/>
          <w:lang w:eastAsia="es-ES"/>
        </w:rPr>
        <w:t>4.5.1. Comercio Exterior</w:t>
      </w:r>
      <w:r w:rsidR="000C1328">
        <w:rPr>
          <w:rFonts w:ascii="Bookman Old Style" w:eastAsia="Times New Roman" w:hAnsi="Bookman Old Style" w:cs="Times New Roman"/>
          <w:b/>
          <w:bCs/>
          <w:i/>
          <w:iCs/>
          <w:sz w:val="24"/>
          <w:szCs w:val="24"/>
          <w:lang w:eastAsia="es-ES"/>
        </w:rPr>
        <w:t xml:space="preserve"> </w:t>
      </w:r>
    </w:p>
    <w:p w14:paraId="301199C5" w14:textId="57AA8907" w:rsidR="00A71B6B" w:rsidRDefault="00A71B6B" w:rsidP="002A13DB">
      <w:pPr>
        <w:spacing w:after="0" w:line="240" w:lineRule="auto"/>
        <w:contextualSpacing/>
        <w:jc w:val="both"/>
        <w:rPr>
          <w:rFonts w:ascii="Bookman Old Style" w:eastAsia="Times New Roman" w:hAnsi="Bookman Old Style" w:cs="Times New Roman"/>
          <w:sz w:val="24"/>
          <w:szCs w:val="24"/>
          <w:lang w:eastAsia="es-ES"/>
        </w:rPr>
      </w:pPr>
    </w:p>
    <w:p w14:paraId="1ADFBBF0" w14:textId="0141B15A" w:rsidR="00E5277D" w:rsidRDefault="00170002" w:rsidP="002A13DB">
      <w:pPr>
        <w:spacing w:after="0" w:line="240" w:lineRule="auto"/>
        <w:contextualSpacing/>
        <w:jc w:val="both"/>
        <w:rPr>
          <w:rFonts w:ascii="Bookman Old Style" w:eastAsia="Times New Roman" w:hAnsi="Bookman Old Style" w:cs="Times New Roman"/>
          <w:sz w:val="24"/>
          <w:szCs w:val="24"/>
          <w:lang w:eastAsia="es-ES"/>
        </w:rPr>
      </w:pPr>
      <w:r>
        <w:rPr>
          <w:rFonts w:ascii="Bookman Old Style" w:eastAsia="Times New Roman" w:hAnsi="Bookman Old Style" w:cs="Times New Roman"/>
          <w:sz w:val="24"/>
          <w:szCs w:val="24"/>
          <w:lang w:eastAsia="es-ES"/>
        </w:rPr>
        <w:t>En línea con lo mencionado en el numeral anterior, se encuentra procedente hacer el ajuste, solicitado por DUE en el recurso, al costo de transporte de los componentes para los que se considera que su valoración fluctúa con la tasa de cambio, en la medida en que los mismos posiblemente deban ser importados.</w:t>
      </w:r>
    </w:p>
    <w:p w14:paraId="2D738867" w14:textId="4444AD96" w:rsidR="00170002" w:rsidRDefault="00170002" w:rsidP="002A13DB">
      <w:pPr>
        <w:spacing w:after="0" w:line="240" w:lineRule="auto"/>
        <w:contextualSpacing/>
        <w:jc w:val="both"/>
        <w:rPr>
          <w:rFonts w:ascii="Bookman Old Style" w:eastAsia="Times New Roman" w:hAnsi="Bookman Old Style" w:cs="Times New Roman"/>
          <w:sz w:val="24"/>
          <w:szCs w:val="24"/>
          <w:lang w:eastAsia="es-ES"/>
        </w:rPr>
      </w:pPr>
    </w:p>
    <w:p w14:paraId="19C428FD" w14:textId="31460B23" w:rsidR="00170002" w:rsidRDefault="00170002" w:rsidP="002A13DB">
      <w:pPr>
        <w:spacing w:after="0" w:line="240" w:lineRule="auto"/>
        <w:contextualSpacing/>
        <w:jc w:val="both"/>
        <w:rPr>
          <w:rFonts w:ascii="Bookman Old Style" w:eastAsia="Times New Roman" w:hAnsi="Bookman Old Style" w:cs="Times New Roman"/>
          <w:sz w:val="24"/>
          <w:szCs w:val="24"/>
          <w:lang w:eastAsia="es-ES"/>
        </w:rPr>
      </w:pPr>
      <w:r>
        <w:rPr>
          <w:rFonts w:ascii="Bookman Old Style" w:eastAsia="Times New Roman" w:hAnsi="Bookman Old Style" w:cs="Times New Roman"/>
          <w:sz w:val="24"/>
          <w:szCs w:val="24"/>
          <w:lang w:eastAsia="es-ES"/>
        </w:rPr>
        <w:t>Para los demás componentes, se entiende que la valoración presentada por DUE en su solicitud es competitiva con el suministro de estos elementos por proveedores nacionales y, en esa medida, el costo de referencia de paridad importación, es decir</w:t>
      </w:r>
      <w:r w:rsidR="009C7E28">
        <w:rPr>
          <w:rFonts w:ascii="Bookman Old Style" w:eastAsia="Times New Roman" w:hAnsi="Bookman Old Style" w:cs="Times New Roman"/>
          <w:sz w:val="24"/>
          <w:szCs w:val="24"/>
          <w:lang w:eastAsia="es-ES"/>
        </w:rPr>
        <w:t>,</w:t>
      </w:r>
      <w:r>
        <w:rPr>
          <w:rFonts w:ascii="Bookman Old Style" w:eastAsia="Times New Roman" w:hAnsi="Bookman Old Style" w:cs="Times New Roman"/>
          <w:sz w:val="24"/>
          <w:szCs w:val="24"/>
          <w:lang w:eastAsia="es-ES"/>
        </w:rPr>
        <w:t xml:space="preserve"> el costo de suministro más el costo de transporte hasta Colombia, según cotizaciones EXW </w:t>
      </w:r>
      <w:proofErr w:type="spellStart"/>
      <w:r>
        <w:rPr>
          <w:rFonts w:ascii="Bookman Old Style" w:eastAsia="Times New Roman" w:hAnsi="Bookman Old Style" w:cs="Times New Roman"/>
          <w:sz w:val="24"/>
          <w:szCs w:val="24"/>
          <w:lang w:eastAsia="es-ES"/>
        </w:rPr>
        <w:t>to</w:t>
      </w:r>
      <w:proofErr w:type="spellEnd"/>
      <w:r>
        <w:rPr>
          <w:rFonts w:ascii="Bookman Old Style" w:eastAsia="Times New Roman" w:hAnsi="Bookman Old Style" w:cs="Times New Roman"/>
          <w:sz w:val="24"/>
          <w:szCs w:val="24"/>
          <w:lang w:eastAsia="es-ES"/>
        </w:rPr>
        <w:t xml:space="preserve"> DDP y CIF </w:t>
      </w:r>
      <w:proofErr w:type="spellStart"/>
      <w:r>
        <w:rPr>
          <w:rFonts w:ascii="Bookman Old Style" w:eastAsia="Times New Roman" w:hAnsi="Bookman Old Style" w:cs="Times New Roman"/>
          <w:sz w:val="24"/>
          <w:szCs w:val="24"/>
          <w:lang w:eastAsia="es-ES"/>
        </w:rPr>
        <w:t>to</w:t>
      </w:r>
      <w:proofErr w:type="spellEnd"/>
      <w:r>
        <w:rPr>
          <w:rFonts w:ascii="Bookman Old Style" w:eastAsia="Times New Roman" w:hAnsi="Bookman Old Style" w:cs="Times New Roman"/>
          <w:sz w:val="24"/>
          <w:szCs w:val="24"/>
          <w:lang w:eastAsia="es-ES"/>
        </w:rPr>
        <w:t xml:space="preserve"> DDP, valorados a la tasa de cambio </w:t>
      </w:r>
      <w:r w:rsidR="009C7E28">
        <w:rPr>
          <w:rFonts w:ascii="Bookman Old Style" w:eastAsia="Times New Roman" w:hAnsi="Bookman Old Style" w:cs="Times New Roman"/>
          <w:sz w:val="24"/>
          <w:szCs w:val="24"/>
          <w:lang w:eastAsia="es-ES"/>
        </w:rPr>
        <w:t>utilizada en la solicitud de cargo de generación</w:t>
      </w:r>
      <w:r>
        <w:rPr>
          <w:rFonts w:ascii="Bookman Old Style" w:eastAsia="Times New Roman" w:hAnsi="Bookman Old Style" w:cs="Times New Roman"/>
          <w:sz w:val="24"/>
          <w:szCs w:val="24"/>
          <w:lang w:eastAsia="es-ES"/>
        </w:rPr>
        <w:t>, s</w:t>
      </w:r>
      <w:r w:rsidR="00237F73">
        <w:rPr>
          <w:rFonts w:ascii="Bookman Old Style" w:eastAsia="Times New Roman" w:hAnsi="Bookman Old Style" w:cs="Times New Roman"/>
          <w:sz w:val="24"/>
          <w:szCs w:val="24"/>
          <w:lang w:eastAsia="es-ES"/>
        </w:rPr>
        <w:t>on</w:t>
      </w:r>
      <w:r>
        <w:rPr>
          <w:rFonts w:ascii="Bookman Old Style" w:eastAsia="Times New Roman" w:hAnsi="Bookman Old Style" w:cs="Times New Roman"/>
          <w:sz w:val="24"/>
          <w:szCs w:val="24"/>
          <w:lang w:eastAsia="es-ES"/>
        </w:rPr>
        <w:t xml:space="preserve"> l</w:t>
      </w:r>
      <w:r w:rsidR="00237F73">
        <w:rPr>
          <w:rFonts w:ascii="Bookman Old Style" w:eastAsia="Times New Roman" w:hAnsi="Bookman Old Style" w:cs="Times New Roman"/>
          <w:sz w:val="24"/>
          <w:szCs w:val="24"/>
          <w:lang w:eastAsia="es-ES"/>
        </w:rPr>
        <w:t>os</w:t>
      </w:r>
      <w:r>
        <w:rPr>
          <w:rFonts w:ascii="Bookman Old Style" w:eastAsia="Times New Roman" w:hAnsi="Bookman Old Style" w:cs="Times New Roman"/>
          <w:sz w:val="24"/>
          <w:szCs w:val="24"/>
          <w:lang w:eastAsia="es-ES"/>
        </w:rPr>
        <w:t xml:space="preserve"> referente</w:t>
      </w:r>
      <w:r w:rsidR="00237F73">
        <w:rPr>
          <w:rFonts w:ascii="Bookman Old Style" w:eastAsia="Times New Roman" w:hAnsi="Bookman Old Style" w:cs="Times New Roman"/>
          <w:sz w:val="24"/>
          <w:szCs w:val="24"/>
          <w:lang w:eastAsia="es-ES"/>
        </w:rPr>
        <w:t>s</w:t>
      </w:r>
      <w:r>
        <w:rPr>
          <w:rFonts w:ascii="Bookman Old Style" w:eastAsia="Times New Roman" w:hAnsi="Bookman Old Style" w:cs="Times New Roman"/>
          <w:sz w:val="24"/>
          <w:szCs w:val="24"/>
          <w:lang w:eastAsia="es-ES"/>
        </w:rPr>
        <w:t xml:space="preserve"> de costo eficiente adecuado</w:t>
      </w:r>
      <w:r w:rsidR="00237F73">
        <w:rPr>
          <w:rFonts w:ascii="Bookman Old Style" w:eastAsia="Times New Roman" w:hAnsi="Bookman Old Style" w:cs="Times New Roman"/>
          <w:sz w:val="24"/>
          <w:szCs w:val="24"/>
          <w:lang w:eastAsia="es-ES"/>
        </w:rPr>
        <w:t>s</w:t>
      </w:r>
      <w:r>
        <w:rPr>
          <w:rFonts w:ascii="Bookman Old Style" w:eastAsia="Times New Roman" w:hAnsi="Bookman Old Style" w:cs="Times New Roman"/>
          <w:sz w:val="24"/>
          <w:szCs w:val="24"/>
          <w:lang w:eastAsia="es-ES"/>
        </w:rPr>
        <w:t>.</w:t>
      </w:r>
    </w:p>
    <w:p w14:paraId="00F74341" w14:textId="77777777" w:rsidR="00E5277D" w:rsidRPr="00E5277D" w:rsidRDefault="00E5277D" w:rsidP="002A13DB">
      <w:pPr>
        <w:spacing w:after="0" w:line="240" w:lineRule="auto"/>
        <w:contextualSpacing/>
        <w:jc w:val="both"/>
        <w:rPr>
          <w:rFonts w:ascii="Bookman Old Style" w:eastAsia="Times New Roman" w:hAnsi="Bookman Old Style" w:cs="Times New Roman"/>
          <w:sz w:val="24"/>
          <w:szCs w:val="24"/>
          <w:lang w:eastAsia="es-ES"/>
        </w:rPr>
      </w:pPr>
    </w:p>
    <w:p w14:paraId="4118B396" w14:textId="2CB054B4" w:rsidR="00A71B6B" w:rsidRPr="00A71B6B" w:rsidRDefault="00A71B6B" w:rsidP="002A13DB">
      <w:pPr>
        <w:spacing w:after="0" w:line="240" w:lineRule="auto"/>
        <w:contextualSpacing/>
        <w:jc w:val="both"/>
        <w:rPr>
          <w:rFonts w:ascii="Bookman Old Style" w:eastAsia="Times New Roman" w:hAnsi="Bookman Old Style" w:cs="Times New Roman"/>
          <w:b/>
          <w:bCs/>
          <w:i/>
          <w:iCs/>
          <w:sz w:val="24"/>
          <w:szCs w:val="24"/>
          <w:lang w:eastAsia="es-ES"/>
        </w:rPr>
      </w:pPr>
      <w:r w:rsidRPr="00A71B6B">
        <w:rPr>
          <w:rFonts w:ascii="Bookman Old Style" w:eastAsia="Times New Roman" w:hAnsi="Bookman Old Style" w:cs="Times New Roman"/>
          <w:b/>
          <w:bCs/>
          <w:i/>
          <w:iCs/>
          <w:sz w:val="24"/>
          <w:szCs w:val="24"/>
          <w:lang w:eastAsia="es-ES"/>
        </w:rPr>
        <w:t>4.5.2. Equipos importados</w:t>
      </w:r>
      <w:r w:rsidR="000C1328">
        <w:rPr>
          <w:rFonts w:ascii="Bookman Old Style" w:eastAsia="Times New Roman" w:hAnsi="Bookman Old Style" w:cs="Times New Roman"/>
          <w:b/>
          <w:bCs/>
          <w:i/>
          <w:iCs/>
          <w:sz w:val="24"/>
          <w:szCs w:val="24"/>
          <w:lang w:eastAsia="es-ES"/>
        </w:rPr>
        <w:t xml:space="preserve"> </w:t>
      </w:r>
    </w:p>
    <w:p w14:paraId="24A09FA1" w14:textId="77777777" w:rsidR="00A71B6B" w:rsidRPr="00E5277D" w:rsidRDefault="00A71B6B" w:rsidP="002A13DB">
      <w:pPr>
        <w:spacing w:after="0" w:line="240" w:lineRule="auto"/>
        <w:contextualSpacing/>
        <w:jc w:val="both"/>
        <w:rPr>
          <w:rFonts w:ascii="Bookman Old Style" w:eastAsia="Times New Roman" w:hAnsi="Bookman Old Style" w:cs="Times New Roman"/>
          <w:sz w:val="24"/>
          <w:szCs w:val="24"/>
          <w:lang w:eastAsia="es-ES"/>
        </w:rPr>
      </w:pPr>
    </w:p>
    <w:p w14:paraId="1982B1FB" w14:textId="258B6BD2" w:rsidR="00170002" w:rsidRDefault="00170002" w:rsidP="002A13DB">
      <w:pPr>
        <w:spacing w:after="0" w:line="240" w:lineRule="auto"/>
        <w:contextualSpacing/>
        <w:jc w:val="both"/>
        <w:rPr>
          <w:rFonts w:ascii="Bookman Old Style" w:eastAsia="Times New Roman" w:hAnsi="Bookman Old Style" w:cs="Times New Roman"/>
          <w:sz w:val="24"/>
          <w:szCs w:val="24"/>
          <w:lang w:eastAsia="es-ES"/>
        </w:rPr>
      </w:pPr>
      <w:r>
        <w:rPr>
          <w:rFonts w:ascii="Bookman Old Style" w:eastAsia="Times New Roman" w:hAnsi="Bookman Old Style" w:cs="Times New Roman"/>
          <w:sz w:val="24"/>
          <w:szCs w:val="24"/>
          <w:lang w:eastAsia="es-ES"/>
        </w:rPr>
        <w:t>En línea con los numerales anteriores, en desarrollo de la actuación, se ajustaron los valores en pesos de algunos de los componentes para refl</w:t>
      </w:r>
      <w:r w:rsidR="009C7E28">
        <w:rPr>
          <w:rFonts w:ascii="Bookman Old Style" w:eastAsia="Times New Roman" w:hAnsi="Bookman Old Style" w:cs="Times New Roman"/>
          <w:sz w:val="24"/>
          <w:szCs w:val="24"/>
          <w:lang w:eastAsia="es-ES"/>
        </w:rPr>
        <w:t>e</w:t>
      </w:r>
      <w:r>
        <w:rPr>
          <w:rFonts w:ascii="Bookman Old Style" w:eastAsia="Times New Roman" w:hAnsi="Bookman Old Style" w:cs="Times New Roman"/>
          <w:sz w:val="24"/>
          <w:szCs w:val="24"/>
          <w:lang w:eastAsia="es-ES"/>
        </w:rPr>
        <w:t xml:space="preserve">jar </w:t>
      </w:r>
      <w:r w:rsidR="009C7E28">
        <w:rPr>
          <w:rFonts w:ascii="Bookman Old Style" w:eastAsia="Times New Roman" w:hAnsi="Bookman Old Style" w:cs="Times New Roman"/>
          <w:sz w:val="24"/>
          <w:szCs w:val="24"/>
          <w:lang w:eastAsia="es-ES"/>
        </w:rPr>
        <w:t xml:space="preserve">que </w:t>
      </w:r>
      <w:r>
        <w:rPr>
          <w:rFonts w:ascii="Bookman Old Style" w:eastAsia="Times New Roman" w:hAnsi="Bookman Old Style" w:cs="Times New Roman"/>
          <w:sz w:val="24"/>
          <w:szCs w:val="24"/>
          <w:lang w:eastAsia="es-ES"/>
        </w:rPr>
        <w:t>el costo eficiente de adquisición de dichos equipos</w:t>
      </w:r>
      <w:r w:rsidR="009C7E28">
        <w:rPr>
          <w:rFonts w:ascii="Bookman Old Style" w:eastAsia="Times New Roman" w:hAnsi="Bookman Old Style" w:cs="Times New Roman"/>
          <w:sz w:val="24"/>
          <w:szCs w:val="24"/>
          <w:lang w:eastAsia="es-ES"/>
        </w:rPr>
        <w:t xml:space="preserve"> fluctúa con la tasa de cambio,</w:t>
      </w:r>
      <w:r>
        <w:rPr>
          <w:rFonts w:ascii="Bookman Old Style" w:eastAsia="Times New Roman" w:hAnsi="Bookman Old Style" w:cs="Times New Roman"/>
          <w:sz w:val="24"/>
          <w:szCs w:val="24"/>
          <w:lang w:eastAsia="es-ES"/>
        </w:rPr>
        <w:t xml:space="preserve"> en la medida en que</w:t>
      </w:r>
      <w:r w:rsidR="009C7E28">
        <w:rPr>
          <w:rFonts w:ascii="Bookman Old Style" w:eastAsia="Times New Roman" w:hAnsi="Bookman Old Style" w:cs="Times New Roman"/>
          <w:sz w:val="24"/>
          <w:szCs w:val="24"/>
          <w:lang w:eastAsia="es-ES"/>
        </w:rPr>
        <w:t>,</w:t>
      </w:r>
      <w:r>
        <w:rPr>
          <w:rFonts w:ascii="Bookman Old Style" w:eastAsia="Times New Roman" w:hAnsi="Bookman Old Style" w:cs="Times New Roman"/>
          <w:sz w:val="24"/>
          <w:szCs w:val="24"/>
          <w:lang w:eastAsia="es-ES"/>
        </w:rPr>
        <w:t xml:space="preserve"> por sus características</w:t>
      </w:r>
      <w:r w:rsidR="009C7E28">
        <w:rPr>
          <w:rFonts w:ascii="Bookman Old Style" w:eastAsia="Times New Roman" w:hAnsi="Bookman Old Style" w:cs="Times New Roman"/>
          <w:sz w:val="24"/>
          <w:szCs w:val="24"/>
          <w:lang w:eastAsia="es-ES"/>
        </w:rPr>
        <w:t xml:space="preserve">, posiblemente </w:t>
      </w:r>
      <w:r>
        <w:rPr>
          <w:rFonts w:ascii="Bookman Old Style" w:eastAsia="Times New Roman" w:hAnsi="Bookman Old Style" w:cs="Times New Roman"/>
          <w:sz w:val="24"/>
          <w:szCs w:val="24"/>
          <w:lang w:eastAsia="es-ES"/>
        </w:rPr>
        <w:t>deban ser importados.</w:t>
      </w:r>
    </w:p>
    <w:p w14:paraId="18B9F416" w14:textId="30D5BEBE" w:rsidR="00170002" w:rsidRDefault="00170002" w:rsidP="002A13DB">
      <w:pPr>
        <w:spacing w:after="0" w:line="240" w:lineRule="auto"/>
        <w:contextualSpacing/>
        <w:jc w:val="both"/>
        <w:rPr>
          <w:rFonts w:ascii="Bookman Old Style" w:eastAsia="Times New Roman" w:hAnsi="Bookman Old Style" w:cs="Times New Roman"/>
          <w:sz w:val="24"/>
          <w:szCs w:val="24"/>
          <w:lang w:eastAsia="es-ES"/>
        </w:rPr>
      </w:pPr>
    </w:p>
    <w:p w14:paraId="49404FE4" w14:textId="672602F2" w:rsidR="00237F73" w:rsidRDefault="00170002" w:rsidP="00237F73">
      <w:pPr>
        <w:spacing w:after="0" w:line="240" w:lineRule="auto"/>
        <w:contextualSpacing/>
        <w:jc w:val="both"/>
        <w:rPr>
          <w:rFonts w:ascii="Bookman Old Style" w:eastAsia="Times New Roman" w:hAnsi="Bookman Old Style" w:cs="Times New Roman"/>
          <w:sz w:val="24"/>
          <w:szCs w:val="24"/>
          <w:lang w:eastAsia="es-ES"/>
        </w:rPr>
      </w:pPr>
      <w:r>
        <w:rPr>
          <w:rFonts w:ascii="Bookman Old Style" w:eastAsia="Times New Roman" w:hAnsi="Bookman Old Style" w:cs="Times New Roman"/>
          <w:sz w:val="24"/>
          <w:szCs w:val="24"/>
          <w:lang w:eastAsia="es-ES"/>
        </w:rPr>
        <w:t>Entiende esta Comisión que los demás elementos son de fácil a</w:t>
      </w:r>
      <w:r w:rsidR="009C7E28">
        <w:rPr>
          <w:rFonts w:ascii="Bookman Old Style" w:eastAsia="Times New Roman" w:hAnsi="Bookman Old Style" w:cs="Times New Roman"/>
          <w:sz w:val="24"/>
          <w:szCs w:val="24"/>
          <w:lang w:eastAsia="es-ES"/>
        </w:rPr>
        <w:t xml:space="preserve">dquisición al interior del país y, en ese orden de ideas, </w:t>
      </w:r>
      <w:r w:rsidR="00237F73">
        <w:rPr>
          <w:rFonts w:ascii="Bookman Old Style" w:eastAsia="Times New Roman" w:hAnsi="Bookman Old Style" w:cs="Times New Roman"/>
          <w:sz w:val="24"/>
          <w:szCs w:val="24"/>
          <w:lang w:eastAsia="es-ES"/>
        </w:rPr>
        <w:t xml:space="preserve">el costo de referencia de paridad importación, es decir, el costo de suministro más el costo de transporte hasta Colombia, según cotizaciones EXW </w:t>
      </w:r>
      <w:proofErr w:type="spellStart"/>
      <w:r w:rsidR="00237F73">
        <w:rPr>
          <w:rFonts w:ascii="Bookman Old Style" w:eastAsia="Times New Roman" w:hAnsi="Bookman Old Style" w:cs="Times New Roman"/>
          <w:sz w:val="24"/>
          <w:szCs w:val="24"/>
          <w:lang w:eastAsia="es-ES"/>
        </w:rPr>
        <w:t>to</w:t>
      </w:r>
      <w:proofErr w:type="spellEnd"/>
      <w:r w:rsidR="00237F73">
        <w:rPr>
          <w:rFonts w:ascii="Bookman Old Style" w:eastAsia="Times New Roman" w:hAnsi="Bookman Old Style" w:cs="Times New Roman"/>
          <w:sz w:val="24"/>
          <w:szCs w:val="24"/>
          <w:lang w:eastAsia="es-ES"/>
        </w:rPr>
        <w:t xml:space="preserve"> DDP y CIF </w:t>
      </w:r>
      <w:proofErr w:type="spellStart"/>
      <w:r w:rsidR="00237F73">
        <w:rPr>
          <w:rFonts w:ascii="Bookman Old Style" w:eastAsia="Times New Roman" w:hAnsi="Bookman Old Style" w:cs="Times New Roman"/>
          <w:sz w:val="24"/>
          <w:szCs w:val="24"/>
          <w:lang w:eastAsia="es-ES"/>
        </w:rPr>
        <w:t>to</w:t>
      </w:r>
      <w:proofErr w:type="spellEnd"/>
      <w:r w:rsidR="00237F73">
        <w:rPr>
          <w:rFonts w:ascii="Bookman Old Style" w:eastAsia="Times New Roman" w:hAnsi="Bookman Old Style" w:cs="Times New Roman"/>
          <w:sz w:val="24"/>
          <w:szCs w:val="24"/>
          <w:lang w:eastAsia="es-ES"/>
        </w:rPr>
        <w:t xml:space="preserve"> DDP, valorados a la tasa de cambio utilizada en la solicitud de cargo de generación, son los referentes de costo eficiente adecuados.</w:t>
      </w:r>
    </w:p>
    <w:p w14:paraId="13035532" w14:textId="4345ADA0" w:rsidR="00170002" w:rsidRDefault="00170002" w:rsidP="002A13DB">
      <w:pPr>
        <w:spacing w:after="0" w:line="240" w:lineRule="auto"/>
        <w:contextualSpacing/>
        <w:jc w:val="both"/>
        <w:rPr>
          <w:rFonts w:ascii="Bookman Old Style" w:eastAsia="Times New Roman" w:hAnsi="Bookman Old Style" w:cs="Times New Roman"/>
          <w:sz w:val="24"/>
          <w:szCs w:val="24"/>
          <w:lang w:eastAsia="es-ES"/>
        </w:rPr>
      </w:pPr>
    </w:p>
    <w:p w14:paraId="30C53731" w14:textId="60CBA769" w:rsidR="009C7E28" w:rsidRPr="009C7E28" w:rsidRDefault="009C7E28" w:rsidP="009C7E28">
      <w:pPr>
        <w:spacing w:after="0" w:line="240" w:lineRule="auto"/>
        <w:contextualSpacing/>
        <w:jc w:val="both"/>
        <w:rPr>
          <w:rFonts w:ascii="Bookman Old Style" w:eastAsia="Times New Roman" w:hAnsi="Bookman Old Style" w:cs="Times New Roman"/>
          <w:sz w:val="24"/>
          <w:szCs w:val="24"/>
          <w:lang w:eastAsia="es-ES"/>
        </w:rPr>
      </w:pPr>
      <w:r>
        <w:rPr>
          <w:rFonts w:ascii="Bookman Old Style" w:eastAsia="Times New Roman" w:hAnsi="Bookman Old Style" w:cs="Times New Roman"/>
          <w:sz w:val="24"/>
          <w:szCs w:val="24"/>
          <w:lang w:eastAsia="es-ES"/>
        </w:rPr>
        <w:t xml:space="preserve">Frente al comentario presentado por DUE en el recurso, en el que se indica que: </w:t>
      </w:r>
      <w:r w:rsidRPr="009C7E28">
        <w:rPr>
          <w:rFonts w:ascii="Bookman Old Style" w:eastAsia="Times New Roman" w:hAnsi="Bookman Old Style" w:cs="Times New Roman"/>
          <w:i/>
          <w:iCs/>
          <w:sz w:val="24"/>
          <w:szCs w:val="24"/>
          <w:lang w:eastAsia="es-ES"/>
        </w:rPr>
        <w:t xml:space="preserve">“Todos los equipos serán adquiridos a través de un contrato EPC llave-en-mano, más </w:t>
      </w:r>
      <w:proofErr w:type="spellStart"/>
      <w:r w:rsidRPr="009C7E28">
        <w:rPr>
          <w:rFonts w:ascii="Bookman Old Style" w:eastAsia="Times New Roman" w:hAnsi="Bookman Old Style" w:cs="Times New Roman"/>
          <w:i/>
          <w:iCs/>
          <w:sz w:val="24"/>
          <w:szCs w:val="24"/>
          <w:lang w:eastAsia="es-ES"/>
        </w:rPr>
        <w:t>aún</w:t>
      </w:r>
      <w:proofErr w:type="spellEnd"/>
      <w:r w:rsidRPr="009C7E28">
        <w:rPr>
          <w:rFonts w:ascii="Bookman Old Style" w:eastAsia="Times New Roman" w:hAnsi="Bookman Old Style" w:cs="Times New Roman"/>
          <w:i/>
          <w:iCs/>
          <w:sz w:val="24"/>
          <w:szCs w:val="24"/>
          <w:lang w:eastAsia="es-ES"/>
        </w:rPr>
        <w:t xml:space="preserve"> teniendo en cuenta la exención de arancel e IVA, los equipos están denominados en dólares americanos”</w:t>
      </w:r>
      <w:r>
        <w:rPr>
          <w:rFonts w:ascii="Bookman Old Style" w:eastAsia="Times New Roman" w:hAnsi="Bookman Old Style" w:cs="Times New Roman"/>
          <w:sz w:val="24"/>
          <w:szCs w:val="24"/>
          <w:lang w:eastAsia="es-ES"/>
        </w:rPr>
        <w:t xml:space="preserve"> y que </w:t>
      </w:r>
      <w:r w:rsidRPr="009C7E28">
        <w:rPr>
          <w:rFonts w:ascii="Bookman Old Style" w:eastAsia="Times New Roman" w:hAnsi="Bookman Old Style" w:cs="Times New Roman"/>
          <w:i/>
          <w:iCs/>
          <w:sz w:val="24"/>
          <w:szCs w:val="24"/>
          <w:lang w:eastAsia="es-ES"/>
        </w:rPr>
        <w:t>“Teniendo en cuenta lo anterior las siguientes partidas deben ser indexadas”</w:t>
      </w:r>
      <w:r>
        <w:rPr>
          <w:rFonts w:ascii="Bookman Old Style" w:eastAsia="Times New Roman" w:hAnsi="Bookman Old Style" w:cs="Times New Roman"/>
          <w:sz w:val="24"/>
          <w:szCs w:val="24"/>
          <w:lang w:eastAsia="es-ES"/>
        </w:rPr>
        <w:t xml:space="preserve">, se reitera que: i) esta Comisión no aprueba costos de proyectos en particular, determina el costo eficiente de prestación del servicio; </w:t>
      </w:r>
      <w:proofErr w:type="spellStart"/>
      <w:r>
        <w:rPr>
          <w:rFonts w:ascii="Bookman Old Style" w:eastAsia="Times New Roman" w:hAnsi="Bookman Old Style" w:cs="Times New Roman"/>
          <w:sz w:val="24"/>
          <w:szCs w:val="24"/>
          <w:lang w:eastAsia="es-ES"/>
        </w:rPr>
        <w:t>ii</w:t>
      </w:r>
      <w:proofErr w:type="spellEnd"/>
      <w:r>
        <w:rPr>
          <w:rFonts w:ascii="Bookman Old Style" w:eastAsia="Times New Roman" w:hAnsi="Bookman Old Style" w:cs="Times New Roman"/>
          <w:sz w:val="24"/>
          <w:szCs w:val="24"/>
          <w:lang w:eastAsia="es-ES"/>
        </w:rPr>
        <w:t xml:space="preserve">) el riesgo de tasa de cambio se asignó al prestador del servicio; </w:t>
      </w:r>
      <w:proofErr w:type="spellStart"/>
      <w:r>
        <w:rPr>
          <w:rFonts w:ascii="Bookman Old Style" w:eastAsia="Times New Roman" w:hAnsi="Bookman Old Style" w:cs="Times New Roman"/>
          <w:sz w:val="24"/>
          <w:szCs w:val="24"/>
          <w:lang w:eastAsia="es-ES"/>
        </w:rPr>
        <w:t>iii</w:t>
      </w:r>
      <w:proofErr w:type="spellEnd"/>
      <w:r>
        <w:rPr>
          <w:rFonts w:ascii="Bookman Old Style" w:eastAsia="Times New Roman" w:hAnsi="Bookman Old Style" w:cs="Times New Roman"/>
          <w:sz w:val="24"/>
          <w:szCs w:val="24"/>
          <w:lang w:eastAsia="es-ES"/>
        </w:rPr>
        <w:t xml:space="preserve">) las inversiones son a cuenta y riesgo del prestador del servicio y, en ese sentido, </w:t>
      </w:r>
      <w:r w:rsidR="00A64020">
        <w:rPr>
          <w:rFonts w:ascii="Bookman Old Style" w:eastAsia="Times New Roman" w:hAnsi="Bookman Old Style" w:cs="Times New Roman"/>
          <w:sz w:val="24"/>
          <w:szCs w:val="24"/>
          <w:lang w:eastAsia="es-ES"/>
        </w:rPr>
        <w:t>se entiende que las</w:t>
      </w:r>
      <w:r>
        <w:rPr>
          <w:rFonts w:ascii="Bookman Old Style" w:eastAsia="Times New Roman" w:hAnsi="Bookman Old Style" w:cs="Times New Roman"/>
          <w:sz w:val="24"/>
          <w:szCs w:val="24"/>
          <w:lang w:eastAsia="es-ES"/>
        </w:rPr>
        <w:t xml:space="preserve"> deci</w:t>
      </w:r>
      <w:r w:rsidR="00A64020">
        <w:rPr>
          <w:rFonts w:ascii="Bookman Old Style" w:eastAsia="Times New Roman" w:hAnsi="Bookman Old Style" w:cs="Times New Roman"/>
          <w:sz w:val="24"/>
          <w:szCs w:val="24"/>
          <w:lang w:eastAsia="es-ES"/>
        </w:rPr>
        <w:t>siones que toma para</w:t>
      </w:r>
      <w:r>
        <w:rPr>
          <w:rFonts w:ascii="Bookman Old Style" w:eastAsia="Times New Roman" w:hAnsi="Bookman Old Style" w:cs="Times New Roman"/>
          <w:sz w:val="24"/>
          <w:szCs w:val="24"/>
          <w:lang w:eastAsia="es-ES"/>
        </w:rPr>
        <w:t xml:space="preserve"> adelantar la instalación de una planta de generación</w:t>
      </w:r>
      <w:r w:rsidR="00A64020">
        <w:rPr>
          <w:rFonts w:ascii="Bookman Old Style" w:eastAsia="Times New Roman" w:hAnsi="Bookman Old Style" w:cs="Times New Roman"/>
          <w:sz w:val="24"/>
          <w:szCs w:val="24"/>
          <w:lang w:eastAsia="es-ES"/>
        </w:rPr>
        <w:t xml:space="preserve">, </w:t>
      </w:r>
      <w:r>
        <w:rPr>
          <w:rFonts w:ascii="Bookman Old Style" w:eastAsia="Times New Roman" w:hAnsi="Bookman Old Style" w:cs="Times New Roman"/>
          <w:sz w:val="24"/>
          <w:szCs w:val="24"/>
          <w:lang w:eastAsia="es-ES"/>
        </w:rPr>
        <w:t xml:space="preserve">así como </w:t>
      </w:r>
      <w:r w:rsidR="00A64020">
        <w:rPr>
          <w:rFonts w:ascii="Bookman Old Style" w:eastAsia="Times New Roman" w:hAnsi="Bookman Old Style" w:cs="Times New Roman"/>
          <w:sz w:val="24"/>
          <w:szCs w:val="24"/>
          <w:lang w:eastAsia="es-ES"/>
        </w:rPr>
        <w:t xml:space="preserve">sobre cual resulta ser el </w:t>
      </w:r>
      <w:r>
        <w:rPr>
          <w:rFonts w:ascii="Bookman Old Style" w:eastAsia="Times New Roman" w:hAnsi="Bookman Old Style" w:cs="Times New Roman"/>
          <w:sz w:val="24"/>
          <w:szCs w:val="24"/>
          <w:lang w:eastAsia="es-ES"/>
        </w:rPr>
        <w:t xml:space="preserve">esquema o vehículo contractual </w:t>
      </w:r>
      <w:r w:rsidR="00A64020">
        <w:rPr>
          <w:rFonts w:ascii="Bookman Old Style" w:eastAsia="Times New Roman" w:hAnsi="Bookman Old Style" w:cs="Times New Roman"/>
          <w:sz w:val="24"/>
          <w:szCs w:val="24"/>
          <w:lang w:eastAsia="es-ES"/>
        </w:rPr>
        <w:t xml:space="preserve">más favorable </w:t>
      </w:r>
      <w:r>
        <w:rPr>
          <w:rFonts w:ascii="Bookman Old Style" w:eastAsia="Times New Roman" w:hAnsi="Bookman Old Style" w:cs="Times New Roman"/>
          <w:sz w:val="24"/>
          <w:szCs w:val="24"/>
          <w:lang w:eastAsia="es-ES"/>
        </w:rPr>
        <w:t xml:space="preserve">para </w:t>
      </w:r>
      <w:r w:rsidR="00A64020">
        <w:rPr>
          <w:rFonts w:ascii="Bookman Old Style" w:eastAsia="Times New Roman" w:hAnsi="Bookman Old Style" w:cs="Times New Roman"/>
          <w:sz w:val="24"/>
          <w:szCs w:val="24"/>
          <w:lang w:eastAsia="es-ES"/>
        </w:rPr>
        <w:t>llevarlo a cabo</w:t>
      </w:r>
      <w:r>
        <w:rPr>
          <w:rFonts w:ascii="Bookman Old Style" w:eastAsia="Times New Roman" w:hAnsi="Bookman Old Style" w:cs="Times New Roman"/>
          <w:sz w:val="24"/>
          <w:szCs w:val="24"/>
          <w:lang w:eastAsia="es-ES"/>
        </w:rPr>
        <w:t xml:space="preserve">, </w:t>
      </w:r>
      <w:r w:rsidR="00237F73">
        <w:rPr>
          <w:rFonts w:ascii="Bookman Old Style" w:eastAsia="Times New Roman" w:hAnsi="Bookman Old Style" w:cs="Times New Roman"/>
          <w:sz w:val="24"/>
          <w:szCs w:val="24"/>
          <w:lang w:eastAsia="es-ES"/>
        </w:rPr>
        <w:t xml:space="preserve">recogen las señales regulatorias dadas mediante el esquema tarifario y, adicionalmente, </w:t>
      </w:r>
      <w:r w:rsidR="00A64020">
        <w:rPr>
          <w:rFonts w:ascii="Bookman Old Style" w:eastAsia="Times New Roman" w:hAnsi="Bookman Old Style" w:cs="Times New Roman"/>
          <w:sz w:val="24"/>
          <w:szCs w:val="24"/>
          <w:lang w:eastAsia="es-ES"/>
        </w:rPr>
        <w:t xml:space="preserve">le permiten </w:t>
      </w:r>
      <w:r w:rsidR="00237F73">
        <w:rPr>
          <w:rFonts w:ascii="Bookman Old Style" w:eastAsia="Times New Roman" w:hAnsi="Bookman Old Style" w:cs="Times New Roman"/>
          <w:sz w:val="24"/>
          <w:szCs w:val="24"/>
          <w:lang w:eastAsia="es-ES"/>
        </w:rPr>
        <w:t>apropiar</w:t>
      </w:r>
      <w:r w:rsidR="00A64020">
        <w:rPr>
          <w:rFonts w:ascii="Bookman Old Style" w:eastAsia="Times New Roman" w:hAnsi="Bookman Old Style" w:cs="Times New Roman"/>
          <w:sz w:val="24"/>
          <w:szCs w:val="24"/>
          <w:lang w:eastAsia="es-ES"/>
        </w:rPr>
        <w:t xml:space="preserve"> </w:t>
      </w:r>
      <w:r w:rsidR="00237F73">
        <w:rPr>
          <w:rFonts w:ascii="Bookman Old Style" w:eastAsia="Times New Roman" w:hAnsi="Bookman Old Style" w:cs="Times New Roman"/>
          <w:sz w:val="24"/>
          <w:szCs w:val="24"/>
          <w:lang w:eastAsia="es-ES"/>
        </w:rPr>
        <w:t>beneficios como los previstos en la Ley</w:t>
      </w:r>
      <w:r w:rsidR="00A64020">
        <w:rPr>
          <w:rFonts w:ascii="Bookman Old Style" w:eastAsia="Times New Roman" w:hAnsi="Bookman Old Style" w:cs="Times New Roman"/>
          <w:sz w:val="24"/>
          <w:szCs w:val="24"/>
          <w:lang w:eastAsia="es-ES"/>
        </w:rPr>
        <w:t>,</w:t>
      </w:r>
      <w:r w:rsidR="00237F73">
        <w:rPr>
          <w:rFonts w:ascii="Bookman Old Style" w:eastAsia="Times New Roman" w:hAnsi="Bookman Old Style" w:cs="Times New Roman"/>
          <w:sz w:val="24"/>
          <w:szCs w:val="24"/>
          <w:lang w:eastAsia="es-ES"/>
        </w:rPr>
        <w:t xml:space="preserve"> en materia de fuentes no convencionales de energía renovable, FNCER, </w:t>
      </w:r>
      <w:r w:rsidR="00A64020">
        <w:rPr>
          <w:rFonts w:ascii="Bookman Old Style" w:eastAsia="Times New Roman" w:hAnsi="Bookman Old Style" w:cs="Times New Roman"/>
          <w:sz w:val="24"/>
          <w:szCs w:val="24"/>
          <w:lang w:eastAsia="es-ES"/>
        </w:rPr>
        <w:t xml:space="preserve">como la exención al arancel y al IVA, los cuales son igualmente </w:t>
      </w:r>
      <w:r w:rsidR="00237F73">
        <w:rPr>
          <w:rFonts w:ascii="Bookman Old Style" w:eastAsia="Times New Roman" w:hAnsi="Bookman Old Style" w:cs="Times New Roman"/>
          <w:sz w:val="24"/>
          <w:szCs w:val="24"/>
          <w:lang w:eastAsia="es-ES"/>
        </w:rPr>
        <w:t>ilustrados en el recurs</w:t>
      </w:r>
      <w:r w:rsidR="00A64020">
        <w:rPr>
          <w:rFonts w:ascii="Bookman Old Style" w:eastAsia="Times New Roman" w:hAnsi="Bookman Old Style" w:cs="Times New Roman"/>
          <w:sz w:val="24"/>
          <w:szCs w:val="24"/>
          <w:lang w:eastAsia="es-ES"/>
        </w:rPr>
        <w:t>o</w:t>
      </w:r>
      <w:r w:rsidR="00237F73">
        <w:rPr>
          <w:rFonts w:ascii="Bookman Old Style" w:eastAsia="Times New Roman" w:hAnsi="Bookman Old Style" w:cs="Times New Roman"/>
          <w:sz w:val="24"/>
          <w:szCs w:val="24"/>
          <w:lang w:eastAsia="es-ES"/>
        </w:rPr>
        <w:t>.</w:t>
      </w:r>
    </w:p>
    <w:p w14:paraId="06EE0B88" w14:textId="753D18AD" w:rsidR="009C7E28" w:rsidRDefault="009C7E28" w:rsidP="002A13DB">
      <w:pPr>
        <w:spacing w:after="0" w:line="240" w:lineRule="auto"/>
        <w:contextualSpacing/>
        <w:jc w:val="both"/>
        <w:rPr>
          <w:rFonts w:ascii="Bookman Old Style" w:eastAsia="Times New Roman" w:hAnsi="Bookman Old Style" w:cs="Times New Roman"/>
          <w:sz w:val="24"/>
          <w:szCs w:val="24"/>
          <w:lang w:eastAsia="es-ES"/>
        </w:rPr>
      </w:pPr>
    </w:p>
    <w:p w14:paraId="43E88E7F" w14:textId="29AC7F3E" w:rsidR="009C7E28" w:rsidRDefault="00237F73" w:rsidP="002A13DB">
      <w:pPr>
        <w:spacing w:after="0" w:line="240" w:lineRule="auto"/>
        <w:contextualSpacing/>
        <w:jc w:val="both"/>
        <w:rPr>
          <w:rFonts w:ascii="Bookman Old Style" w:eastAsia="Times New Roman" w:hAnsi="Bookman Old Style" w:cs="Times New Roman"/>
          <w:sz w:val="24"/>
          <w:szCs w:val="24"/>
          <w:lang w:eastAsia="es-ES"/>
        </w:rPr>
      </w:pPr>
      <w:r>
        <w:rPr>
          <w:rFonts w:ascii="Bookman Old Style" w:eastAsia="Times New Roman" w:hAnsi="Bookman Old Style" w:cs="Times New Roman"/>
          <w:sz w:val="24"/>
          <w:szCs w:val="24"/>
          <w:lang w:eastAsia="es-ES"/>
        </w:rPr>
        <w:t xml:space="preserve">Considerando lo anterior, no se encuentra </w:t>
      </w:r>
      <w:r w:rsidRPr="000A7EFD">
        <w:rPr>
          <w:rFonts w:ascii="Bookman Old Style" w:eastAsia="Times New Roman" w:hAnsi="Bookman Old Style" w:cs="Times New Roman"/>
          <w:sz w:val="24"/>
          <w:szCs w:val="24"/>
          <w:lang w:eastAsia="es-ES"/>
        </w:rPr>
        <w:t xml:space="preserve">procedente la solicitud de ajuste </w:t>
      </w:r>
      <w:r>
        <w:rPr>
          <w:rFonts w:ascii="Bookman Old Style" w:eastAsia="Times New Roman" w:hAnsi="Bookman Old Style" w:cs="Times New Roman"/>
          <w:sz w:val="24"/>
          <w:szCs w:val="24"/>
          <w:lang w:eastAsia="es-ES"/>
        </w:rPr>
        <w:t xml:space="preserve">presentada en el recurso, </w:t>
      </w:r>
      <w:r w:rsidRPr="000A7EFD">
        <w:rPr>
          <w:rFonts w:ascii="Bookman Old Style" w:eastAsia="Times New Roman" w:hAnsi="Bookman Old Style" w:cs="Times New Roman"/>
          <w:sz w:val="24"/>
          <w:szCs w:val="24"/>
          <w:lang w:eastAsia="es-ES"/>
        </w:rPr>
        <w:t xml:space="preserve">al valor de </w:t>
      </w:r>
      <w:r>
        <w:rPr>
          <w:rFonts w:ascii="Bookman Old Style" w:eastAsia="Times New Roman" w:hAnsi="Bookman Old Style" w:cs="Times New Roman"/>
          <w:sz w:val="24"/>
          <w:szCs w:val="24"/>
          <w:lang w:eastAsia="es-ES"/>
        </w:rPr>
        <w:t>los componentes relacionados en este numeral.</w:t>
      </w:r>
    </w:p>
    <w:p w14:paraId="608E0BF8" w14:textId="77777777" w:rsidR="00E5277D" w:rsidRPr="00E5277D" w:rsidRDefault="00E5277D" w:rsidP="002A13DB">
      <w:pPr>
        <w:spacing w:after="0" w:line="240" w:lineRule="auto"/>
        <w:contextualSpacing/>
        <w:jc w:val="both"/>
        <w:rPr>
          <w:rFonts w:ascii="Bookman Old Style" w:eastAsia="Times New Roman" w:hAnsi="Bookman Old Style" w:cs="Times New Roman"/>
          <w:sz w:val="24"/>
          <w:szCs w:val="24"/>
          <w:lang w:eastAsia="es-ES"/>
        </w:rPr>
      </w:pPr>
    </w:p>
    <w:p w14:paraId="10892E2E" w14:textId="49A857F4" w:rsidR="00A71B6B" w:rsidRDefault="00A71B6B" w:rsidP="002A13DB">
      <w:pPr>
        <w:spacing w:after="0" w:line="240" w:lineRule="auto"/>
        <w:contextualSpacing/>
        <w:jc w:val="both"/>
        <w:rPr>
          <w:rFonts w:ascii="Bookman Old Style" w:eastAsia="Times New Roman" w:hAnsi="Bookman Old Style" w:cs="Times New Roman"/>
          <w:b/>
          <w:bCs/>
          <w:i/>
          <w:iCs/>
          <w:sz w:val="24"/>
          <w:szCs w:val="24"/>
          <w:lang w:eastAsia="es-ES"/>
        </w:rPr>
      </w:pPr>
      <w:r w:rsidRPr="00A71B6B">
        <w:rPr>
          <w:rFonts w:ascii="Bookman Old Style" w:eastAsia="Times New Roman" w:hAnsi="Bookman Old Style" w:cs="Times New Roman"/>
          <w:b/>
          <w:bCs/>
          <w:i/>
          <w:iCs/>
          <w:sz w:val="24"/>
          <w:szCs w:val="24"/>
          <w:lang w:eastAsia="es-ES"/>
        </w:rPr>
        <w:t>4.5.3. Obras Civiles</w:t>
      </w:r>
      <w:r w:rsidR="001763F2">
        <w:rPr>
          <w:rFonts w:ascii="Bookman Old Style" w:eastAsia="Times New Roman" w:hAnsi="Bookman Old Style" w:cs="Times New Roman"/>
          <w:b/>
          <w:bCs/>
          <w:i/>
          <w:iCs/>
          <w:sz w:val="24"/>
          <w:szCs w:val="24"/>
          <w:lang w:eastAsia="es-ES"/>
        </w:rPr>
        <w:t xml:space="preserve"> </w:t>
      </w:r>
    </w:p>
    <w:p w14:paraId="25C64785" w14:textId="0AC6E406" w:rsidR="00A71B6B" w:rsidRPr="00BB6978" w:rsidRDefault="00A71B6B" w:rsidP="002A13DB">
      <w:pPr>
        <w:spacing w:after="0" w:line="240" w:lineRule="auto"/>
        <w:contextualSpacing/>
        <w:jc w:val="both"/>
        <w:rPr>
          <w:rFonts w:ascii="Bookman Old Style" w:eastAsia="Times New Roman" w:hAnsi="Bookman Old Style" w:cs="Times New Roman"/>
          <w:sz w:val="24"/>
          <w:szCs w:val="24"/>
          <w:lang w:eastAsia="es-ES"/>
        </w:rPr>
      </w:pPr>
    </w:p>
    <w:p w14:paraId="5F56B7F2" w14:textId="7D1DC031" w:rsidR="00237F73" w:rsidRDefault="00237F73" w:rsidP="00237F73">
      <w:pPr>
        <w:spacing w:after="0" w:line="240" w:lineRule="auto"/>
        <w:contextualSpacing/>
        <w:jc w:val="both"/>
        <w:rPr>
          <w:rFonts w:ascii="Bookman Old Style" w:eastAsia="Times New Roman" w:hAnsi="Bookman Old Style" w:cs="Arial"/>
          <w:sz w:val="24"/>
          <w:szCs w:val="24"/>
          <w:lang w:eastAsia="es-ES"/>
        </w:rPr>
      </w:pPr>
      <w:r w:rsidRPr="008E2740">
        <w:rPr>
          <w:rFonts w:ascii="Bookman Old Style" w:eastAsia="Times New Roman" w:hAnsi="Bookman Old Style" w:cs="Arial"/>
          <w:sz w:val="24"/>
          <w:szCs w:val="24"/>
          <w:lang w:eastAsia="es-ES"/>
        </w:rPr>
        <w:t xml:space="preserve">Esta Comisión no encuentra sustento en la argumentación presentada por DUE en el recuro para justificar que el costo de </w:t>
      </w:r>
      <w:r>
        <w:rPr>
          <w:rFonts w:ascii="Bookman Old Style" w:eastAsia="Times New Roman" w:hAnsi="Bookman Old Style" w:cs="Arial"/>
          <w:sz w:val="24"/>
          <w:szCs w:val="24"/>
          <w:lang w:eastAsia="es-ES"/>
        </w:rPr>
        <w:t xml:space="preserve">las obras civiles </w:t>
      </w:r>
      <w:r w:rsidRPr="008E2740">
        <w:rPr>
          <w:rFonts w:ascii="Bookman Old Style" w:eastAsia="Times New Roman" w:hAnsi="Bookman Old Style" w:cs="Arial"/>
          <w:sz w:val="24"/>
          <w:szCs w:val="24"/>
          <w:lang w:eastAsia="es-ES"/>
        </w:rPr>
        <w:t>deba ser reconocido en dólares, en la medida en que este</w:t>
      </w:r>
      <w:r>
        <w:rPr>
          <w:rFonts w:ascii="Bookman Old Style" w:eastAsia="Times New Roman" w:hAnsi="Bookman Old Style" w:cs="Arial"/>
          <w:sz w:val="24"/>
          <w:szCs w:val="24"/>
          <w:lang w:eastAsia="es-ES"/>
        </w:rPr>
        <w:t xml:space="preserve"> tipo de actividades se encuentran en mercados en competencia, </w:t>
      </w:r>
      <w:r w:rsidRPr="008E2740">
        <w:rPr>
          <w:rFonts w:ascii="Bookman Old Style" w:eastAsia="Times New Roman" w:hAnsi="Bookman Old Style" w:cs="Arial"/>
          <w:sz w:val="24"/>
          <w:szCs w:val="24"/>
          <w:lang w:eastAsia="es-ES"/>
        </w:rPr>
        <w:t>con suficiente oferta de proveedores nacionales.</w:t>
      </w:r>
    </w:p>
    <w:p w14:paraId="796317ED" w14:textId="77777777" w:rsidR="006C3025" w:rsidRPr="008E2740" w:rsidRDefault="006C3025" w:rsidP="00237F73">
      <w:pPr>
        <w:spacing w:after="0" w:line="240" w:lineRule="auto"/>
        <w:contextualSpacing/>
        <w:jc w:val="both"/>
        <w:rPr>
          <w:rFonts w:ascii="Bookman Old Style" w:eastAsia="Times New Roman" w:hAnsi="Bookman Old Style" w:cs="Arial"/>
          <w:sz w:val="24"/>
          <w:szCs w:val="24"/>
          <w:lang w:eastAsia="es-ES"/>
        </w:rPr>
      </w:pPr>
    </w:p>
    <w:p w14:paraId="5E336616" w14:textId="4DF3DF12" w:rsidR="00237F73" w:rsidRDefault="00237F73" w:rsidP="00237F73">
      <w:pPr>
        <w:spacing w:after="0" w:line="240" w:lineRule="auto"/>
        <w:contextualSpacing/>
        <w:jc w:val="both"/>
        <w:rPr>
          <w:rFonts w:ascii="Bookman Old Style" w:eastAsia="Times New Roman" w:hAnsi="Bookman Old Style" w:cs="Times New Roman"/>
          <w:sz w:val="24"/>
          <w:szCs w:val="24"/>
          <w:lang w:eastAsia="es-ES"/>
        </w:rPr>
      </w:pPr>
      <w:r>
        <w:rPr>
          <w:rFonts w:ascii="Bookman Old Style" w:eastAsia="Times New Roman" w:hAnsi="Bookman Old Style" w:cs="Times New Roman"/>
          <w:sz w:val="24"/>
          <w:szCs w:val="24"/>
          <w:lang w:eastAsia="es-ES"/>
        </w:rPr>
        <w:t>Se reitera que l</w:t>
      </w:r>
      <w:r w:rsidR="00BB6978" w:rsidRPr="00BB6978">
        <w:rPr>
          <w:rFonts w:ascii="Bookman Old Style" w:eastAsia="Times New Roman" w:hAnsi="Bookman Old Style" w:cs="Times New Roman"/>
          <w:sz w:val="24"/>
          <w:szCs w:val="24"/>
          <w:lang w:eastAsia="es-ES"/>
        </w:rPr>
        <w:t xml:space="preserve">os costos presentados por DUE en su </w:t>
      </w:r>
      <w:r>
        <w:rPr>
          <w:rFonts w:ascii="Bookman Old Style" w:eastAsia="Times New Roman" w:hAnsi="Bookman Old Style" w:cs="Times New Roman"/>
          <w:sz w:val="24"/>
          <w:szCs w:val="24"/>
          <w:lang w:eastAsia="es-ES"/>
        </w:rPr>
        <w:t xml:space="preserve">solicitud de cargo </w:t>
      </w:r>
      <w:r w:rsidR="00BB6978" w:rsidRPr="00BB6978">
        <w:rPr>
          <w:rFonts w:ascii="Bookman Old Style" w:eastAsia="Times New Roman" w:hAnsi="Bookman Old Style" w:cs="Times New Roman"/>
          <w:sz w:val="24"/>
          <w:szCs w:val="24"/>
          <w:lang w:eastAsia="es-ES"/>
        </w:rPr>
        <w:t xml:space="preserve">son solamente de referencia para que esta Comisión determine el costo de prestación de servicio. No está en </w:t>
      </w:r>
      <w:r>
        <w:rPr>
          <w:rFonts w:ascii="Bookman Old Style" w:eastAsia="Times New Roman" w:hAnsi="Bookman Old Style" w:cs="Times New Roman"/>
          <w:sz w:val="24"/>
          <w:szCs w:val="24"/>
          <w:lang w:eastAsia="es-ES"/>
        </w:rPr>
        <w:t xml:space="preserve">revisión </w:t>
      </w:r>
      <w:r w:rsidR="00BB6978" w:rsidRPr="00BB6978">
        <w:rPr>
          <w:rFonts w:ascii="Bookman Old Style" w:eastAsia="Times New Roman" w:hAnsi="Bookman Old Style" w:cs="Times New Roman"/>
          <w:sz w:val="24"/>
          <w:szCs w:val="24"/>
          <w:lang w:eastAsia="es-ES"/>
        </w:rPr>
        <w:t>la estructuración de</w:t>
      </w:r>
      <w:r>
        <w:rPr>
          <w:rFonts w:ascii="Bookman Old Style" w:eastAsia="Times New Roman" w:hAnsi="Bookman Old Style" w:cs="Times New Roman"/>
          <w:sz w:val="24"/>
          <w:szCs w:val="24"/>
          <w:lang w:eastAsia="es-ES"/>
        </w:rPr>
        <w:t xml:space="preserve"> un </w:t>
      </w:r>
      <w:r w:rsidR="00BB6978" w:rsidRPr="00BB6978">
        <w:rPr>
          <w:rFonts w:ascii="Bookman Old Style" w:eastAsia="Times New Roman" w:hAnsi="Bookman Old Style" w:cs="Times New Roman"/>
          <w:sz w:val="24"/>
          <w:szCs w:val="24"/>
          <w:lang w:eastAsia="es-ES"/>
        </w:rPr>
        <w:t>proyecto</w:t>
      </w:r>
      <w:r>
        <w:rPr>
          <w:rFonts w:ascii="Bookman Old Style" w:eastAsia="Times New Roman" w:hAnsi="Bookman Old Style" w:cs="Times New Roman"/>
          <w:sz w:val="24"/>
          <w:szCs w:val="24"/>
          <w:lang w:eastAsia="es-ES"/>
        </w:rPr>
        <w:t xml:space="preserve"> o </w:t>
      </w:r>
      <w:r w:rsidR="00BB6978" w:rsidRPr="00BB6978">
        <w:rPr>
          <w:rFonts w:ascii="Bookman Old Style" w:eastAsia="Times New Roman" w:hAnsi="Bookman Old Style" w:cs="Times New Roman"/>
          <w:sz w:val="24"/>
          <w:szCs w:val="24"/>
          <w:lang w:eastAsia="es-ES"/>
        </w:rPr>
        <w:t xml:space="preserve">el esquema de contratación </w:t>
      </w:r>
      <w:r>
        <w:rPr>
          <w:rFonts w:ascii="Bookman Old Style" w:eastAsia="Times New Roman" w:hAnsi="Bookman Old Style" w:cs="Times New Roman"/>
          <w:sz w:val="24"/>
          <w:szCs w:val="24"/>
          <w:lang w:eastAsia="es-ES"/>
        </w:rPr>
        <w:t xml:space="preserve">que </w:t>
      </w:r>
      <w:r w:rsidR="00BB6978" w:rsidRPr="00BB6978">
        <w:rPr>
          <w:rFonts w:ascii="Bookman Old Style" w:eastAsia="Times New Roman" w:hAnsi="Bookman Old Style" w:cs="Times New Roman"/>
          <w:sz w:val="24"/>
          <w:szCs w:val="24"/>
          <w:lang w:eastAsia="es-ES"/>
        </w:rPr>
        <w:t>seleccion</w:t>
      </w:r>
      <w:r>
        <w:rPr>
          <w:rFonts w:ascii="Bookman Old Style" w:eastAsia="Times New Roman" w:hAnsi="Bookman Old Style" w:cs="Times New Roman"/>
          <w:sz w:val="24"/>
          <w:szCs w:val="24"/>
          <w:lang w:eastAsia="es-ES"/>
        </w:rPr>
        <w:t xml:space="preserve">e un potencial prestador del servicio para llevar a cabo la instalación de una planta de generación. Se entiende que las decisiones del prestador recogen las señales regulatorias, dadas mediante el esquema tarifario y, adicionalmente, </w:t>
      </w:r>
      <w:r w:rsidR="00A64020">
        <w:rPr>
          <w:rFonts w:ascii="Bookman Old Style" w:eastAsia="Times New Roman" w:hAnsi="Bookman Old Style" w:cs="Times New Roman"/>
          <w:sz w:val="24"/>
          <w:szCs w:val="24"/>
          <w:lang w:eastAsia="es-ES"/>
        </w:rPr>
        <w:t xml:space="preserve">le permiten </w:t>
      </w:r>
      <w:r>
        <w:rPr>
          <w:rFonts w:ascii="Bookman Old Style" w:eastAsia="Times New Roman" w:hAnsi="Bookman Old Style" w:cs="Times New Roman"/>
          <w:sz w:val="24"/>
          <w:szCs w:val="24"/>
          <w:lang w:eastAsia="es-ES"/>
        </w:rPr>
        <w:t xml:space="preserve">apropiarse de beneficios como los previstos en la Ley en materia de fuentes no convencionales de energía renovable, FNCER, </w:t>
      </w:r>
      <w:r w:rsidR="00A64020">
        <w:rPr>
          <w:rFonts w:ascii="Bookman Old Style" w:eastAsia="Times New Roman" w:hAnsi="Bookman Old Style" w:cs="Times New Roman"/>
          <w:sz w:val="24"/>
          <w:szCs w:val="24"/>
          <w:lang w:eastAsia="es-ES"/>
        </w:rPr>
        <w:t xml:space="preserve">en materia de </w:t>
      </w:r>
      <w:r>
        <w:rPr>
          <w:rFonts w:ascii="Bookman Old Style" w:eastAsia="Times New Roman" w:hAnsi="Bookman Old Style" w:cs="Times New Roman"/>
          <w:sz w:val="24"/>
          <w:szCs w:val="24"/>
          <w:lang w:eastAsia="es-ES"/>
        </w:rPr>
        <w:t xml:space="preserve">exención </w:t>
      </w:r>
      <w:r w:rsidR="00A64020">
        <w:rPr>
          <w:rFonts w:ascii="Bookman Old Style" w:eastAsia="Times New Roman" w:hAnsi="Bookman Old Style" w:cs="Times New Roman"/>
          <w:sz w:val="24"/>
          <w:szCs w:val="24"/>
          <w:lang w:eastAsia="es-ES"/>
        </w:rPr>
        <w:t xml:space="preserve">de </w:t>
      </w:r>
      <w:r>
        <w:rPr>
          <w:rFonts w:ascii="Bookman Old Style" w:eastAsia="Times New Roman" w:hAnsi="Bookman Old Style" w:cs="Times New Roman"/>
          <w:sz w:val="24"/>
          <w:szCs w:val="24"/>
          <w:lang w:eastAsia="es-ES"/>
        </w:rPr>
        <w:t>arancel</w:t>
      </w:r>
      <w:r w:rsidR="00A64020">
        <w:rPr>
          <w:rFonts w:ascii="Bookman Old Style" w:eastAsia="Times New Roman" w:hAnsi="Bookman Old Style" w:cs="Times New Roman"/>
          <w:sz w:val="24"/>
          <w:szCs w:val="24"/>
          <w:lang w:eastAsia="es-ES"/>
        </w:rPr>
        <w:t>es</w:t>
      </w:r>
      <w:r>
        <w:rPr>
          <w:rFonts w:ascii="Bookman Old Style" w:eastAsia="Times New Roman" w:hAnsi="Bookman Old Style" w:cs="Times New Roman"/>
          <w:sz w:val="24"/>
          <w:szCs w:val="24"/>
          <w:lang w:eastAsia="es-ES"/>
        </w:rPr>
        <w:t xml:space="preserve"> </w:t>
      </w:r>
      <w:r w:rsidR="00A64020">
        <w:rPr>
          <w:rFonts w:ascii="Bookman Old Style" w:eastAsia="Times New Roman" w:hAnsi="Bookman Old Style" w:cs="Times New Roman"/>
          <w:sz w:val="24"/>
          <w:szCs w:val="24"/>
          <w:lang w:eastAsia="es-ES"/>
        </w:rPr>
        <w:t xml:space="preserve">e </w:t>
      </w:r>
      <w:r>
        <w:rPr>
          <w:rFonts w:ascii="Bookman Old Style" w:eastAsia="Times New Roman" w:hAnsi="Bookman Old Style" w:cs="Times New Roman"/>
          <w:sz w:val="24"/>
          <w:szCs w:val="24"/>
          <w:lang w:eastAsia="es-ES"/>
        </w:rPr>
        <w:t>IVA.</w:t>
      </w:r>
    </w:p>
    <w:p w14:paraId="507059AC" w14:textId="012CFCAC" w:rsidR="00A64020" w:rsidRDefault="00A64020" w:rsidP="00237F73">
      <w:pPr>
        <w:spacing w:after="0" w:line="240" w:lineRule="auto"/>
        <w:contextualSpacing/>
        <w:jc w:val="both"/>
        <w:rPr>
          <w:rFonts w:ascii="Bookman Old Style" w:eastAsia="Times New Roman" w:hAnsi="Bookman Old Style" w:cs="Times New Roman"/>
          <w:sz w:val="24"/>
          <w:szCs w:val="24"/>
          <w:lang w:eastAsia="es-ES"/>
        </w:rPr>
      </w:pPr>
    </w:p>
    <w:p w14:paraId="5220FB54" w14:textId="77777777" w:rsidR="00A64020" w:rsidRPr="008E2740" w:rsidRDefault="00A64020" w:rsidP="00A64020">
      <w:pPr>
        <w:spacing w:after="0" w:line="240" w:lineRule="auto"/>
        <w:contextualSpacing/>
        <w:jc w:val="both"/>
        <w:rPr>
          <w:rFonts w:ascii="Bookman Old Style" w:eastAsia="Times New Roman" w:hAnsi="Bookman Old Style" w:cs="Arial"/>
          <w:sz w:val="24"/>
          <w:szCs w:val="24"/>
          <w:lang w:eastAsia="es-ES"/>
        </w:rPr>
      </w:pPr>
      <w:r w:rsidRPr="008E2740">
        <w:rPr>
          <w:rFonts w:ascii="Bookman Old Style" w:eastAsia="Times New Roman" w:hAnsi="Bookman Old Style" w:cs="Arial"/>
          <w:sz w:val="24"/>
          <w:szCs w:val="24"/>
          <w:lang w:eastAsia="es-ES"/>
        </w:rPr>
        <w:t>En ese sentido, no es procedente la modificación indicada en el recurso interpuesto por DUE para este componente.</w:t>
      </w:r>
    </w:p>
    <w:p w14:paraId="1665CE52" w14:textId="77777777" w:rsidR="00BB6978" w:rsidRPr="00BB6978" w:rsidRDefault="00BB6978" w:rsidP="002A13DB">
      <w:pPr>
        <w:spacing w:after="0" w:line="240" w:lineRule="auto"/>
        <w:contextualSpacing/>
        <w:jc w:val="both"/>
        <w:rPr>
          <w:rFonts w:ascii="Bookman Old Style" w:eastAsia="Times New Roman" w:hAnsi="Bookman Old Style" w:cs="Times New Roman"/>
          <w:sz w:val="24"/>
          <w:szCs w:val="24"/>
          <w:lang w:eastAsia="es-ES"/>
        </w:rPr>
      </w:pPr>
    </w:p>
    <w:p w14:paraId="6D5E2EB7" w14:textId="4FB8372B" w:rsidR="00A71B6B" w:rsidRPr="00A71B6B" w:rsidRDefault="00A71B6B" w:rsidP="002A13DB">
      <w:pPr>
        <w:spacing w:after="0" w:line="240" w:lineRule="auto"/>
        <w:contextualSpacing/>
        <w:jc w:val="both"/>
        <w:rPr>
          <w:rFonts w:ascii="Bookman Old Style" w:eastAsia="Times New Roman" w:hAnsi="Bookman Old Style" w:cs="Times New Roman"/>
          <w:b/>
          <w:bCs/>
          <w:i/>
          <w:iCs/>
          <w:sz w:val="24"/>
          <w:szCs w:val="24"/>
          <w:lang w:eastAsia="es-ES"/>
        </w:rPr>
      </w:pPr>
      <w:r w:rsidRPr="00A71B6B">
        <w:rPr>
          <w:rFonts w:ascii="Bookman Old Style" w:eastAsia="Times New Roman" w:hAnsi="Bookman Old Style" w:cs="Times New Roman"/>
          <w:b/>
          <w:bCs/>
          <w:i/>
          <w:iCs/>
          <w:sz w:val="24"/>
          <w:szCs w:val="24"/>
          <w:lang w:eastAsia="es-ES"/>
        </w:rPr>
        <w:t xml:space="preserve">4.5.4. Transporte </w:t>
      </w:r>
      <w:proofErr w:type="spellStart"/>
      <w:r w:rsidRPr="00A71B6B">
        <w:rPr>
          <w:rFonts w:ascii="Bookman Old Style" w:eastAsia="Times New Roman" w:hAnsi="Bookman Old Style" w:cs="Times New Roman"/>
          <w:b/>
          <w:bCs/>
          <w:i/>
          <w:iCs/>
          <w:sz w:val="24"/>
          <w:szCs w:val="24"/>
          <w:lang w:eastAsia="es-ES"/>
        </w:rPr>
        <w:t>Aviomar</w:t>
      </w:r>
      <w:proofErr w:type="spellEnd"/>
      <w:r w:rsidR="00AD5B74">
        <w:rPr>
          <w:rFonts w:ascii="Bookman Old Style" w:eastAsia="Times New Roman" w:hAnsi="Bookman Old Style" w:cs="Times New Roman"/>
          <w:b/>
          <w:bCs/>
          <w:i/>
          <w:iCs/>
          <w:sz w:val="24"/>
          <w:szCs w:val="24"/>
          <w:lang w:eastAsia="es-ES"/>
        </w:rPr>
        <w:t xml:space="preserve"> </w:t>
      </w:r>
    </w:p>
    <w:p w14:paraId="41D3973F" w14:textId="295974EF" w:rsidR="00A71B6B" w:rsidRPr="00BB6978" w:rsidRDefault="00A71B6B" w:rsidP="002A13DB">
      <w:pPr>
        <w:spacing w:after="0" w:line="240" w:lineRule="auto"/>
        <w:contextualSpacing/>
        <w:jc w:val="both"/>
        <w:rPr>
          <w:rFonts w:ascii="Bookman Old Style" w:eastAsia="Times New Roman" w:hAnsi="Bookman Old Style" w:cs="Times New Roman"/>
          <w:sz w:val="24"/>
          <w:szCs w:val="24"/>
          <w:lang w:eastAsia="es-ES"/>
        </w:rPr>
      </w:pPr>
    </w:p>
    <w:p w14:paraId="7DD61A27" w14:textId="77777777" w:rsidR="008E2740" w:rsidRPr="008E2740" w:rsidRDefault="008E2740" w:rsidP="008E2740">
      <w:pPr>
        <w:spacing w:after="0" w:line="240" w:lineRule="auto"/>
        <w:contextualSpacing/>
        <w:jc w:val="both"/>
        <w:rPr>
          <w:rFonts w:ascii="Bookman Old Style" w:eastAsia="Times New Roman" w:hAnsi="Bookman Old Style" w:cs="Arial"/>
          <w:sz w:val="24"/>
          <w:szCs w:val="24"/>
          <w:lang w:eastAsia="es-ES"/>
        </w:rPr>
      </w:pPr>
      <w:r w:rsidRPr="008E2740">
        <w:rPr>
          <w:rFonts w:ascii="Bookman Old Style" w:eastAsia="Times New Roman" w:hAnsi="Bookman Old Style" w:cs="Arial"/>
          <w:sz w:val="24"/>
          <w:szCs w:val="24"/>
          <w:lang w:eastAsia="es-ES"/>
        </w:rPr>
        <w:t>Esta Comisión no encuentra sustento en la argumentación presentada por DUE en el recuro para justificar que el costo de transporte nacional por vía aérea deba ser reconocido en dólares, en la medida en que este es un servicio en competencia que cuenta con suficiente oferta de proveedores nacionales.</w:t>
      </w:r>
    </w:p>
    <w:p w14:paraId="19B63B3D" w14:textId="77777777" w:rsidR="008E2740" w:rsidRPr="008E2740" w:rsidRDefault="008E2740" w:rsidP="008E2740">
      <w:pPr>
        <w:spacing w:after="0" w:line="240" w:lineRule="auto"/>
        <w:contextualSpacing/>
        <w:jc w:val="both"/>
        <w:rPr>
          <w:rFonts w:ascii="Bookman Old Style" w:eastAsia="Times New Roman" w:hAnsi="Bookman Old Style" w:cs="Arial"/>
          <w:sz w:val="24"/>
          <w:szCs w:val="24"/>
          <w:lang w:eastAsia="es-ES"/>
        </w:rPr>
      </w:pPr>
    </w:p>
    <w:p w14:paraId="7F0B4A61" w14:textId="77777777" w:rsidR="008E2740" w:rsidRPr="008E2740" w:rsidRDefault="008E2740" w:rsidP="008E2740">
      <w:pPr>
        <w:spacing w:after="0" w:line="240" w:lineRule="auto"/>
        <w:contextualSpacing/>
        <w:jc w:val="both"/>
        <w:rPr>
          <w:rFonts w:ascii="Bookman Old Style" w:eastAsia="Times New Roman" w:hAnsi="Bookman Old Style" w:cs="Arial"/>
          <w:sz w:val="24"/>
          <w:szCs w:val="24"/>
          <w:lang w:eastAsia="es-ES"/>
        </w:rPr>
      </w:pPr>
      <w:r w:rsidRPr="008E2740">
        <w:rPr>
          <w:rFonts w:ascii="Bookman Old Style" w:eastAsia="Times New Roman" w:hAnsi="Bookman Old Style" w:cs="Arial"/>
          <w:sz w:val="24"/>
          <w:szCs w:val="24"/>
          <w:lang w:eastAsia="es-ES"/>
        </w:rPr>
        <w:t>En ese sentido, no es procedente la modificación indicada en el recurso interpuesto por DUE para este componente.</w:t>
      </w:r>
    </w:p>
    <w:p w14:paraId="5F5A8592" w14:textId="77777777" w:rsidR="00BB6978" w:rsidRPr="00BB6978" w:rsidRDefault="00BB6978" w:rsidP="002A13DB">
      <w:pPr>
        <w:spacing w:after="0" w:line="240" w:lineRule="auto"/>
        <w:contextualSpacing/>
        <w:jc w:val="both"/>
        <w:rPr>
          <w:rFonts w:ascii="Bookman Old Style" w:eastAsia="Times New Roman" w:hAnsi="Bookman Old Style" w:cs="Times New Roman"/>
          <w:sz w:val="24"/>
          <w:szCs w:val="24"/>
          <w:lang w:eastAsia="es-ES"/>
        </w:rPr>
      </w:pPr>
    </w:p>
    <w:p w14:paraId="0440820C" w14:textId="6ADECD5E" w:rsidR="00A71B6B" w:rsidRDefault="00A71B6B" w:rsidP="002A13DB">
      <w:pPr>
        <w:spacing w:after="0" w:line="240" w:lineRule="auto"/>
        <w:contextualSpacing/>
        <w:jc w:val="both"/>
        <w:rPr>
          <w:rFonts w:ascii="Bookman Old Style" w:eastAsia="Times New Roman" w:hAnsi="Bookman Old Style" w:cs="Times New Roman"/>
          <w:b/>
          <w:bCs/>
          <w:i/>
          <w:iCs/>
          <w:sz w:val="24"/>
          <w:szCs w:val="24"/>
          <w:lang w:eastAsia="es-ES"/>
        </w:rPr>
      </w:pPr>
      <w:r w:rsidRPr="00A71B6B">
        <w:rPr>
          <w:rFonts w:ascii="Bookman Old Style" w:eastAsia="Times New Roman" w:hAnsi="Bookman Old Style" w:cs="Times New Roman"/>
          <w:b/>
          <w:bCs/>
          <w:i/>
          <w:iCs/>
          <w:sz w:val="24"/>
          <w:szCs w:val="24"/>
          <w:lang w:eastAsia="es-ES"/>
        </w:rPr>
        <w:t>4.5.5. Eficiencia del sistema.</w:t>
      </w:r>
      <w:r w:rsidR="00AD5B74">
        <w:rPr>
          <w:rFonts w:ascii="Bookman Old Style" w:eastAsia="Times New Roman" w:hAnsi="Bookman Old Style" w:cs="Times New Roman"/>
          <w:b/>
          <w:bCs/>
          <w:i/>
          <w:iCs/>
          <w:sz w:val="24"/>
          <w:szCs w:val="24"/>
          <w:lang w:eastAsia="es-ES"/>
        </w:rPr>
        <w:t xml:space="preserve"> </w:t>
      </w:r>
    </w:p>
    <w:p w14:paraId="153BC812" w14:textId="77777777" w:rsidR="00781BA5" w:rsidRDefault="00781BA5" w:rsidP="00511F59">
      <w:pPr>
        <w:spacing w:after="0" w:line="240" w:lineRule="auto"/>
        <w:contextualSpacing/>
        <w:jc w:val="both"/>
        <w:rPr>
          <w:rFonts w:ascii="Bookman Old Style" w:eastAsia="Times New Roman" w:hAnsi="Bookman Old Style" w:cs="Arial"/>
          <w:sz w:val="24"/>
          <w:szCs w:val="24"/>
          <w:lang w:eastAsia="es-ES"/>
        </w:rPr>
      </w:pPr>
    </w:p>
    <w:p w14:paraId="3587977C" w14:textId="00798AC9" w:rsidR="00511F59" w:rsidRPr="00511F59" w:rsidRDefault="00511F59" w:rsidP="00511F59">
      <w:pPr>
        <w:spacing w:after="0" w:line="240" w:lineRule="auto"/>
        <w:contextualSpacing/>
        <w:jc w:val="both"/>
        <w:rPr>
          <w:rFonts w:ascii="Bookman Old Style" w:eastAsia="Times New Roman" w:hAnsi="Bookman Old Style" w:cs="Arial"/>
          <w:sz w:val="24"/>
          <w:szCs w:val="24"/>
          <w:lang w:eastAsia="es-ES"/>
        </w:rPr>
      </w:pPr>
      <w:r w:rsidRPr="00511F59">
        <w:rPr>
          <w:rFonts w:ascii="Bookman Old Style" w:eastAsia="Times New Roman" w:hAnsi="Bookman Old Style" w:cs="Arial"/>
          <w:sz w:val="24"/>
          <w:szCs w:val="24"/>
          <w:lang w:eastAsia="es-ES"/>
        </w:rPr>
        <w:t xml:space="preserve">Indica DUE en el recurso que </w:t>
      </w:r>
      <w:r w:rsidRPr="00511F59">
        <w:rPr>
          <w:rFonts w:ascii="Bookman Old Style" w:eastAsia="Times New Roman" w:hAnsi="Bookman Old Style" w:cs="Arial"/>
          <w:i/>
          <w:iCs/>
          <w:sz w:val="24"/>
          <w:szCs w:val="24"/>
          <w:lang w:eastAsia="es-ES"/>
        </w:rPr>
        <w:t>“En su análisis la Comisión omite uno de los elementos de básicos en el diseño eléctrico de cualquier sistema: la Perdida por Temperatura”</w:t>
      </w:r>
      <w:r w:rsidR="006C3025">
        <w:rPr>
          <w:rFonts w:ascii="Bookman Old Style" w:eastAsia="Times New Roman" w:hAnsi="Bookman Old Style" w:cs="Arial"/>
          <w:i/>
          <w:iCs/>
          <w:sz w:val="24"/>
          <w:szCs w:val="24"/>
          <w:lang w:eastAsia="es-ES"/>
        </w:rPr>
        <w:t>.</w:t>
      </w:r>
      <w:r w:rsidRPr="00511F59">
        <w:rPr>
          <w:rFonts w:ascii="Bookman Old Style" w:eastAsia="Times New Roman" w:hAnsi="Bookman Old Style" w:cs="Arial"/>
          <w:i/>
          <w:iCs/>
          <w:sz w:val="24"/>
          <w:szCs w:val="24"/>
          <w:lang w:eastAsia="es-ES"/>
        </w:rPr>
        <w:t xml:space="preserve"> </w:t>
      </w:r>
    </w:p>
    <w:p w14:paraId="2DCB2D90" w14:textId="77777777" w:rsidR="00511F59" w:rsidRPr="00511F59" w:rsidRDefault="00511F59" w:rsidP="00511F59">
      <w:pPr>
        <w:spacing w:after="0" w:line="240" w:lineRule="auto"/>
        <w:contextualSpacing/>
        <w:jc w:val="both"/>
        <w:rPr>
          <w:rFonts w:ascii="Bookman Old Style" w:eastAsia="Times New Roman" w:hAnsi="Bookman Old Style" w:cs="Arial"/>
          <w:sz w:val="24"/>
          <w:szCs w:val="24"/>
          <w:lang w:eastAsia="es-ES"/>
        </w:rPr>
      </w:pPr>
    </w:p>
    <w:p w14:paraId="669FCC05" w14:textId="77777777" w:rsidR="00511F59" w:rsidRPr="00511F59" w:rsidRDefault="00511F59" w:rsidP="00511F59">
      <w:pPr>
        <w:spacing w:after="0" w:line="240" w:lineRule="auto"/>
        <w:contextualSpacing/>
        <w:jc w:val="both"/>
        <w:rPr>
          <w:rFonts w:ascii="Bookman Old Style" w:eastAsia="Times New Roman" w:hAnsi="Bookman Old Style" w:cs="Arial"/>
          <w:sz w:val="24"/>
          <w:szCs w:val="24"/>
          <w:lang w:eastAsia="es-ES"/>
        </w:rPr>
      </w:pPr>
      <w:r w:rsidRPr="00511F59">
        <w:rPr>
          <w:rFonts w:ascii="Bookman Old Style" w:eastAsia="Times New Roman" w:hAnsi="Bookman Old Style" w:cs="Arial"/>
          <w:sz w:val="24"/>
          <w:szCs w:val="24"/>
          <w:lang w:eastAsia="es-ES"/>
        </w:rPr>
        <w:t>Al respecto, se resalta que en ningún momento esta Comisión desconoce el efecto que tiene la temperatura de operación sobre la eficiencia de los módulos. La tabla presentada por DUE en su recurso fue elaborada por esta Comisión a partir de la información remitida en el modelo financiero que se adjuntó con la solicitud, inicialmente con los valores de eficiencia allí referenciados. No obstante, los valores de dicha tabla se ajustaron en dos sentidos, siendo el primero la validación de la misma información sobre generación del componente fotovoltaico, remitida por DUE, tal como fue explicado en el Documento CREG 097 de 2020, que acompaña a la Resolución CREG 124 de 2020:</w:t>
      </w:r>
    </w:p>
    <w:p w14:paraId="1B62CC70" w14:textId="77777777" w:rsidR="00511F59" w:rsidRPr="00511F59" w:rsidRDefault="00511F59" w:rsidP="00511F59">
      <w:pPr>
        <w:spacing w:after="0" w:line="240" w:lineRule="auto"/>
        <w:contextualSpacing/>
        <w:jc w:val="both"/>
        <w:rPr>
          <w:rFonts w:ascii="Bookman Old Style" w:eastAsia="Times New Roman" w:hAnsi="Bookman Old Style" w:cs="Arial"/>
          <w:sz w:val="24"/>
          <w:szCs w:val="24"/>
          <w:lang w:eastAsia="es-ES"/>
        </w:rPr>
      </w:pPr>
    </w:p>
    <w:p w14:paraId="38499864" w14:textId="77777777" w:rsidR="00511F59" w:rsidRPr="006C3025" w:rsidRDefault="00511F59" w:rsidP="00511F59">
      <w:pPr>
        <w:overflowPunct w:val="0"/>
        <w:autoSpaceDE w:val="0"/>
        <w:autoSpaceDN w:val="0"/>
        <w:adjustRightInd w:val="0"/>
        <w:spacing w:after="0" w:line="240" w:lineRule="auto"/>
        <w:ind w:left="426" w:right="142"/>
        <w:contextualSpacing/>
        <w:jc w:val="both"/>
        <w:textAlignment w:val="baseline"/>
        <w:rPr>
          <w:rFonts w:ascii="Bookman Old Style" w:eastAsia="Times New Roman" w:hAnsi="Bookman Old Style" w:cs="Arial"/>
          <w:i/>
          <w:iCs/>
          <w:sz w:val="20"/>
          <w:szCs w:val="20"/>
          <w:lang w:val="es-ES_tradnl" w:eastAsia="es-ES"/>
        </w:rPr>
      </w:pPr>
      <w:r w:rsidRPr="006C3025">
        <w:rPr>
          <w:rFonts w:ascii="Bookman Old Style" w:eastAsia="Times New Roman" w:hAnsi="Bookman Old Style" w:cs="Arial"/>
          <w:i/>
          <w:iCs/>
          <w:sz w:val="20"/>
          <w:szCs w:val="20"/>
          <w:lang w:val="es-ES_tradnl" w:eastAsia="es-ES"/>
        </w:rPr>
        <w:t xml:space="preserve">“(…) Con respecto a la eficiencia del sistema y la proyección de generación de este, según la información inicialmente allegada por </w:t>
      </w:r>
      <w:proofErr w:type="spellStart"/>
      <w:r w:rsidRPr="006C3025">
        <w:rPr>
          <w:rFonts w:ascii="Bookman Old Style" w:eastAsia="Times New Roman" w:hAnsi="Bookman Old Style" w:cs="Arial"/>
          <w:i/>
          <w:iCs/>
          <w:sz w:val="20"/>
          <w:szCs w:val="20"/>
          <w:lang w:val="es-ES_tradnl" w:eastAsia="es-ES"/>
        </w:rPr>
        <w:t>Due</w:t>
      </w:r>
      <w:proofErr w:type="spellEnd"/>
      <w:r w:rsidRPr="006C3025">
        <w:rPr>
          <w:rFonts w:ascii="Bookman Old Style" w:eastAsia="Times New Roman" w:hAnsi="Bookman Old Style" w:cs="Arial"/>
          <w:i/>
          <w:iCs/>
          <w:sz w:val="20"/>
          <w:szCs w:val="20"/>
          <w:lang w:val="es-ES_tradnl" w:eastAsia="es-ES"/>
        </w:rPr>
        <w:t xml:space="preserve"> Capital en su solicitud y según se evidencia en el modelo financiero que fue anexado, el sistema que se relaciona como proyecto tendría un nivel de eficiencia de 68.2% para el primer año y 58.6% para el promedio de 30 años.</w:t>
      </w:r>
    </w:p>
    <w:p w14:paraId="7A67F48A" w14:textId="77777777" w:rsidR="00511F59" w:rsidRPr="006C3025" w:rsidRDefault="00511F59" w:rsidP="00511F59">
      <w:pPr>
        <w:overflowPunct w:val="0"/>
        <w:autoSpaceDE w:val="0"/>
        <w:autoSpaceDN w:val="0"/>
        <w:adjustRightInd w:val="0"/>
        <w:spacing w:after="0" w:line="240" w:lineRule="auto"/>
        <w:ind w:left="426" w:right="142"/>
        <w:contextualSpacing/>
        <w:jc w:val="both"/>
        <w:textAlignment w:val="baseline"/>
        <w:rPr>
          <w:rFonts w:ascii="Bookman Old Style" w:eastAsia="Times New Roman" w:hAnsi="Bookman Old Style" w:cs="Arial"/>
          <w:i/>
          <w:iCs/>
          <w:sz w:val="20"/>
          <w:szCs w:val="20"/>
          <w:lang w:val="es-ES_tradnl" w:eastAsia="es-ES"/>
        </w:rPr>
      </w:pPr>
    </w:p>
    <w:p w14:paraId="011D4587" w14:textId="77777777" w:rsidR="00511F59" w:rsidRPr="006C3025" w:rsidRDefault="00511F59" w:rsidP="00511F59">
      <w:pPr>
        <w:overflowPunct w:val="0"/>
        <w:autoSpaceDE w:val="0"/>
        <w:autoSpaceDN w:val="0"/>
        <w:adjustRightInd w:val="0"/>
        <w:spacing w:after="0" w:line="240" w:lineRule="auto"/>
        <w:ind w:left="426" w:right="142"/>
        <w:contextualSpacing/>
        <w:jc w:val="both"/>
        <w:textAlignment w:val="baseline"/>
        <w:rPr>
          <w:rFonts w:ascii="Bookman Old Style" w:eastAsia="Times New Roman" w:hAnsi="Bookman Old Style" w:cs="Arial"/>
          <w:i/>
          <w:iCs/>
          <w:sz w:val="20"/>
          <w:szCs w:val="20"/>
          <w:lang w:val="es-ES_tradnl" w:eastAsia="es-ES"/>
        </w:rPr>
      </w:pPr>
      <w:r w:rsidRPr="006C3025">
        <w:rPr>
          <w:rFonts w:ascii="Bookman Old Style" w:eastAsia="Times New Roman" w:hAnsi="Bookman Old Style" w:cs="Arial"/>
          <w:i/>
          <w:iCs/>
          <w:sz w:val="20"/>
          <w:szCs w:val="20"/>
          <w:lang w:val="es-ES_tradnl" w:eastAsia="es-ES"/>
        </w:rPr>
        <w:t xml:space="preserve">No obstante, </w:t>
      </w:r>
      <w:r w:rsidRPr="006C3025">
        <w:rPr>
          <w:rFonts w:ascii="Bookman Old Style" w:eastAsia="Times New Roman" w:hAnsi="Bookman Old Style" w:cs="Arial"/>
          <w:b/>
          <w:i/>
          <w:sz w:val="20"/>
          <w:szCs w:val="20"/>
          <w:u w:val="single"/>
          <w:lang w:val="es-ES_tradnl" w:eastAsia="es-ES"/>
        </w:rPr>
        <w:t xml:space="preserve">en la siguiente ilustración también allegada por </w:t>
      </w:r>
      <w:proofErr w:type="spellStart"/>
      <w:r w:rsidRPr="006C3025">
        <w:rPr>
          <w:rFonts w:ascii="Bookman Old Style" w:eastAsia="Times New Roman" w:hAnsi="Bookman Old Style" w:cs="Arial"/>
          <w:b/>
          <w:i/>
          <w:sz w:val="20"/>
          <w:szCs w:val="20"/>
          <w:u w:val="single"/>
          <w:lang w:val="es-ES_tradnl" w:eastAsia="es-ES"/>
        </w:rPr>
        <w:t>Due</w:t>
      </w:r>
      <w:proofErr w:type="spellEnd"/>
      <w:r w:rsidRPr="006C3025">
        <w:rPr>
          <w:rFonts w:ascii="Bookman Old Style" w:eastAsia="Times New Roman" w:hAnsi="Bookman Old Style" w:cs="Arial"/>
          <w:b/>
          <w:i/>
          <w:sz w:val="20"/>
          <w:szCs w:val="20"/>
          <w:u w:val="single"/>
          <w:lang w:val="es-ES_tradnl" w:eastAsia="es-ES"/>
        </w:rPr>
        <w:t xml:space="preserve"> Capital, mediante comunicación de radicado CREG E-2019-008549, remitida en respuesta al Auto de Pruebas de radicado CREG I-2019-004636, se informa que la generación del sistema, SFV más acumulación, sería de 10.14 GWh para el primer año, frente a los 8.89 GWh presentados como base para la solicitud del cargo</w:t>
      </w:r>
      <w:r w:rsidRPr="006C3025">
        <w:rPr>
          <w:rFonts w:ascii="Bookman Old Style" w:eastAsia="Times New Roman" w:hAnsi="Bookman Old Style" w:cs="Arial"/>
          <w:i/>
          <w:iCs/>
          <w:sz w:val="20"/>
          <w:szCs w:val="20"/>
          <w:lang w:val="es-ES_tradnl" w:eastAsia="es-ES"/>
        </w:rPr>
        <w:t>.</w:t>
      </w:r>
    </w:p>
    <w:p w14:paraId="5B00F507" w14:textId="77777777" w:rsidR="00511F59" w:rsidRPr="006C3025" w:rsidRDefault="00511F59" w:rsidP="00511F59">
      <w:pPr>
        <w:overflowPunct w:val="0"/>
        <w:autoSpaceDE w:val="0"/>
        <w:autoSpaceDN w:val="0"/>
        <w:adjustRightInd w:val="0"/>
        <w:spacing w:after="0" w:line="240" w:lineRule="auto"/>
        <w:ind w:left="426" w:right="142"/>
        <w:contextualSpacing/>
        <w:jc w:val="both"/>
        <w:textAlignment w:val="baseline"/>
        <w:rPr>
          <w:rFonts w:ascii="Bookman Old Style" w:eastAsia="Times New Roman" w:hAnsi="Bookman Old Style" w:cs="Arial"/>
          <w:i/>
          <w:iCs/>
          <w:sz w:val="20"/>
          <w:szCs w:val="20"/>
          <w:lang w:val="es-ES_tradnl" w:eastAsia="es-ES"/>
        </w:rPr>
      </w:pPr>
    </w:p>
    <w:p w14:paraId="4EC4F518" w14:textId="77777777" w:rsidR="00511F59" w:rsidRPr="006C3025" w:rsidRDefault="00511F59" w:rsidP="00511F59">
      <w:pPr>
        <w:overflowPunct w:val="0"/>
        <w:autoSpaceDE w:val="0"/>
        <w:autoSpaceDN w:val="0"/>
        <w:adjustRightInd w:val="0"/>
        <w:spacing w:after="0" w:line="240" w:lineRule="auto"/>
        <w:ind w:left="426" w:right="142"/>
        <w:contextualSpacing/>
        <w:jc w:val="center"/>
        <w:textAlignment w:val="baseline"/>
        <w:rPr>
          <w:rFonts w:ascii="Bookman Old Style" w:eastAsia="Times New Roman" w:hAnsi="Bookman Old Style" w:cs="Arial"/>
          <w:i/>
          <w:iCs/>
          <w:sz w:val="20"/>
          <w:szCs w:val="20"/>
          <w:lang w:val="es-ES_tradnl" w:eastAsia="es-ES"/>
        </w:rPr>
      </w:pPr>
      <w:r w:rsidRPr="006C3025">
        <w:rPr>
          <w:rFonts w:ascii="Bookman Old Style" w:eastAsia="Times New Roman" w:hAnsi="Bookman Old Style" w:cs="Arial"/>
          <w:i/>
          <w:iCs/>
          <w:noProof/>
          <w:sz w:val="20"/>
          <w:szCs w:val="20"/>
          <w:lang w:val="es-ES_tradnl" w:eastAsia="es-ES"/>
        </w:rPr>
        <w:drawing>
          <wp:inline distT="0" distB="0" distL="0" distR="0" wp14:anchorId="1CA656A7" wp14:editId="3457160B">
            <wp:extent cx="3708527" cy="3221355"/>
            <wp:effectExtent l="0" t="0" r="635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68479" cy="3273431"/>
                    </a:xfrm>
                    <a:prstGeom prst="rect">
                      <a:avLst/>
                    </a:prstGeom>
                  </pic:spPr>
                </pic:pic>
              </a:graphicData>
            </a:graphic>
          </wp:inline>
        </w:drawing>
      </w:r>
    </w:p>
    <w:p w14:paraId="74FB8011" w14:textId="77777777" w:rsidR="00511F59" w:rsidRPr="006C3025" w:rsidRDefault="00511F59" w:rsidP="002847EE">
      <w:pPr>
        <w:overflowPunct w:val="0"/>
        <w:autoSpaceDE w:val="0"/>
        <w:autoSpaceDN w:val="0"/>
        <w:adjustRightInd w:val="0"/>
        <w:spacing w:after="0" w:line="240" w:lineRule="auto"/>
        <w:ind w:left="1701" w:right="142"/>
        <w:contextualSpacing/>
        <w:jc w:val="center"/>
        <w:textAlignment w:val="baseline"/>
        <w:rPr>
          <w:rFonts w:ascii="Bookman Old Style" w:eastAsia="Times New Roman" w:hAnsi="Bookman Old Style" w:cs="Arial"/>
          <w:i/>
          <w:sz w:val="20"/>
          <w:szCs w:val="20"/>
          <w:lang w:val="es-ES_tradnl" w:eastAsia="es-ES"/>
        </w:rPr>
      </w:pPr>
      <w:r w:rsidRPr="006C3025">
        <w:rPr>
          <w:rFonts w:ascii="Bookman Old Style" w:eastAsia="Times New Roman" w:hAnsi="Bookman Old Style" w:cs="Arial"/>
          <w:i/>
          <w:sz w:val="20"/>
          <w:szCs w:val="20"/>
          <w:lang w:val="es-ES_tradnl" w:eastAsia="es-ES"/>
        </w:rPr>
        <w:t xml:space="preserve">Fuente: </w:t>
      </w:r>
      <w:proofErr w:type="spellStart"/>
      <w:r w:rsidRPr="006C3025">
        <w:rPr>
          <w:rFonts w:ascii="Bookman Old Style" w:eastAsia="Times New Roman" w:hAnsi="Bookman Old Style" w:cs="Arial"/>
          <w:i/>
          <w:sz w:val="20"/>
          <w:szCs w:val="20"/>
          <w:lang w:val="es-ES_tradnl" w:eastAsia="es-ES"/>
        </w:rPr>
        <w:t>Due</w:t>
      </w:r>
      <w:proofErr w:type="spellEnd"/>
      <w:r w:rsidRPr="006C3025">
        <w:rPr>
          <w:rFonts w:ascii="Bookman Old Style" w:eastAsia="Times New Roman" w:hAnsi="Bookman Old Style" w:cs="Arial"/>
          <w:i/>
          <w:sz w:val="20"/>
          <w:szCs w:val="20"/>
          <w:lang w:val="es-ES_tradnl" w:eastAsia="es-ES"/>
        </w:rPr>
        <w:t xml:space="preserve"> Capital.</w:t>
      </w:r>
    </w:p>
    <w:p w14:paraId="6F6D1105" w14:textId="77777777" w:rsidR="00511F59" w:rsidRPr="006C3025" w:rsidRDefault="00511F59" w:rsidP="00511F59">
      <w:pPr>
        <w:overflowPunct w:val="0"/>
        <w:autoSpaceDE w:val="0"/>
        <w:autoSpaceDN w:val="0"/>
        <w:adjustRightInd w:val="0"/>
        <w:spacing w:after="0" w:line="240" w:lineRule="auto"/>
        <w:ind w:left="426" w:right="142"/>
        <w:contextualSpacing/>
        <w:jc w:val="both"/>
        <w:textAlignment w:val="baseline"/>
        <w:rPr>
          <w:rFonts w:ascii="Bookman Old Style" w:eastAsia="Times New Roman" w:hAnsi="Bookman Old Style" w:cs="Arial"/>
          <w:i/>
          <w:iCs/>
          <w:sz w:val="20"/>
          <w:szCs w:val="20"/>
          <w:lang w:val="es-ES_tradnl" w:eastAsia="es-ES"/>
        </w:rPr>
      </w:pPr>
    </w:p>
    <w:p w14:paraId="4632EEF8" w14:textId="77777777" w:rsidR="00511F59" w:rsidRPr="006C3025" w:rsidRDefault="00511F59" w:rsidP="00511F59">
      <w:pPr>
        <w:overflowPunct w:val="0"/>
        <w:autoSpaceDE w:val="0"/>
        <w:autoSpaceDN w:val="0"/>
        <w:adjustRightInd w:val="0"/>
        <w:spacing w:after="0" w:line="240" w:lineRule="auto"/>
        <w:ind w:left="426" w:right="142"/>
        <w:contextualSpacing/>
        <w:jc w:val="both"/>
        <w:textAlignment w:val="baseline"/>
        <w:rPr>
          <w:rFonts w:ascii="Bookman Old Style" w:eastAsia="Times New Roman" w:hAnsi="Bookman Old Style" w:cs="Arial"/>
          <w:i/>
          <w:iCs/>
          <w:sz w:val="20"/>
          <w:szCs w:val="20"/>
          <w:lang w:val="es-ES_tradnl" w:eastAsia="es-ES"/>
        </w:rPr>
      </w:pPr>
      <w:r w:rsidRPr="006C3025">
        <w:rPr>
          <w:rFonts w:ascii="Bookman Old Style" w:eastAsia="Times New Roman" w:hAnsi="Bookman Old Style" w:cs="Arial"/>
          <w:i/>
          <w:iCs/>
          <w:sz w:val="20"/>
          <w:szCs w:val="20"/>
          <w:lang w:val="es-ES_tradnl" w:eastAsia="es-ES"/>
        </w:rPr>
        <w:t>En ese sentido</w:t>
      </w:r>
      <w:r w:rsidRPr="006C3025">
        <w:rPr>
          <w:rFonts w:ascii="Bookman Old Style" w:eastAsia="Times New Roman" w:hAnsi="Bookman Old Style" w:cs="Arial"/>
          <w:b/>
          <w:i/>
          <w:sz w:val="20"/>
          <w:szCs w:val="20"/>
          <w:u w:val="single"/>
          <w:lang w:val="es-ES_tradnl" w:eastAsia="es-ES"/>
        </w:rPr>
        <w:t>, se identifica que la eficiencia del sistema, a nivel del componente SFV sería a 79.1% para el primer año</w:t>
      </w:r>
      <w:r w:rsidRPr="006C3025">
        <w:rPr>
          <w:rFonts w:ascii="Bookman Old Style" w:eastAsia="Times New Roman" w:hAnsi="Bookman Old Style" w:cs="Arial"/>
          <w:i/>
          <w:iCs/>
          <w:sz w:val="20"/>
          <w:szCs w:val="20"/>
          <w:lang w:val="es-ES_tradnl" w:eastAsia="es-ES"/>
        </w:rPr>
        <w:t xml:space="preserve"> y de 75.4% para el promedio de los primeros 20 años. De la misma forma, se tiene un nivel de eficiencia para todo el sistema, componente SFV más acumulación, de 79.1% para el primer año y de 72.6% para los primeros 20 años.</w:t>
      </w:r>
    </w:p>
    <w:p w14:paraId="2B066734" w14:textId="77777777" w:rsidR="00511F59" w:rsidRPr="006C3025" w:rsidRDefault="00511F59" w:rsidP="00511F59">
      <w:pPr>
        <w:overflowPunct w:val="0"/>
        <w:autoSpaceDE w:val="0"/>
        <w:autoSpaceDN w:val="0"/>
        <w:adjustRightInd w:val="0"/>
        <w:spacing w:after="0" w:line="240" w:lineRule="auto"/>
        <w:ind w:left="426" w:right="142"/>
        <w:contextualSpacing/>
        <w:jc w:val="both"/>
        <w:textAlignment w:val="baseline"/>
        <w:rPr>
          <w:rFonts w:ascii="Bookman Old Style" w:eastAsia="Times New Roman" w:hAnsi="Bookman Old Style" w:cs="Arial"/>
          <w:i/>
          <w:iCs/>
          <w:sz w:val="20"/>
          <w:szCs w:val="20"/>
          <w:lang w:val="es-ES_tradnl" w:eastAsia="es-ES"/>
        </w:rPr>
      </w:pPr>
    </w:p>
    <w:p w14:paraId="2FB1F7D4" w14:textId="77777777" w:rsidR="00511F59" w:rsidRPr="006C3025" w:rsidRDefault="00511F59" w:rsidP="00511F59">
      <w:pPr>
        <w:overflowPunct w:val="0"/>
        <w:autoSpaceDE w:val="0"/>
        <w:autoSpaceDN w:val="0"/>
        <w:adjustRightInd w:val="0"/>
        <w:spacing w:after="0" w:line="240" w:lineRule="auto"/>
        <w:ind w:left="426" w:right="142"/>
        <w:contextualSpacing/>
        <w:jc w:val="both"/>
        <w:textAlignment w:val="baseline"/>
        <w:rPr>
          <w:rFonts w:ascii="Bookman Old Style" w:eastAsia="Times New Roman" w:hAnsi="Bookman Old Style" w:cs="Arial"/>
          <w:i/>
          <w:iCs/>
          <w:sz w:val="20"/>
          <w:szCs w:val="20"/>
          <w:lang w:val="es-ES_tradnl" w:eastAsia="es-ES"/>
        </w:rPr>
      </w:pPr>
      <w:r w:rsidRPr="006C3025">
        <w:rPr>
          <w:rFonts w:ascii="Bookman Old Style" w:eastAsia="Times New Roman" w:hAnsi="Bookman Old Style" w:cs="Arial"/>
          <w:i/>
          <w:iCs/>
          <w:sz w:val="20"/>
          <w:szCs w:val="20"/>
          <w:lang w:val="es-ES_tradnl" w:eastAsia="es-ES"/>
        </w:rPr>
        <w:t>En consecuencia, para efectos del reconocimiento de la remuneración, se efectúan entonces los siguientes ajustes a la proyección de la generación considerada en el cálculo:</w:t>
      </w:r>
    </w:p>
    <w:p w14:paraId="597D53DC" w14:textId="77777777" w:rsidR="00511F59" w:rsidRPr="006C3025" w:rsidRDefault="00511F59" w:rsidP="00511F59">
      <w:pPr>
        <w:overflowPunct w:val="0"/>
        <w:autoSpaceDE w:val="0"/>
        <w:autoSpaceDN w:val="0"/>
        <w:adjustRightInd w:val="0"/>
        <w:spacing w:after="0" w:line="240" w:lineRule="auto"/>
        <w:ind w:left="426" w:right="142"/>
        <w:contextualSpacing/>
        <w:jc w:val="both"/>
        <w:textAlignment w:val="baseline"/>
        <w:rPr>
          <w:rFonts w:ascii="Bookman Old Style" w:eastAsia="Times New Roman" w:hAnsi="Bookman Old Style" w:cs="Arial"/>
          <w:i/>
          <w:iCs/>
          <w:sz w:val="20"/>
          <w:szCs w:val="20"/>
          <w:lang w:val="es-ES_tradnl" w:eastAsia="es-ES"/>
        </w:rPr>
      </w:pPr>
    </w:p>
    <w:p w14:paraId="38070294" w14:textId="77777777" w:rsidR="00511F59" w:rsidRPr="006C3025" w:rsidRDefault="00511F59" w:rsidP="00511F59">
      <w:pPr>
        <w:numPr>
          <w:ilvl w:val="0"/>
          <w:numId w:val="28"/>
        </w:numPr>
        <w:overflowPunct w:val="0"/>
        <w:autoSpaceDE w:val="0"/>
        <w:autoSpaceDN w:val="0"/>
        <w:adjustRightInd w:val="0"/>
        <w:spacing w:after="0" w:line="240" w:lineRule="auto"/>
        <w:ind w:left="851" w:right="142" w:hanging="426"/>
        <w:contextualSpacing/>
        <w:jc w:val="both"/>
        <w:textAlignment w:val="baseline"/>
        <w:rPr>
          <w:rFonts w:ascii="Bookman Old Style" w:eastAsia="Times New Roman" w:hAnsi="Bookman Old Style" w:cs="Arial"/>
          <w:i/>
          <w:iCs/>
          <w:sz w:val="20"/>
          <w:szCs w:val="20"/>
          <w:lang w:val="es-ES_tradnl" w:eastAsia="es-ES"/>
        </w:rPr>
      </w:pPr>
      <w:r w:rsidRPr="006C3025">
        <w:rPr>
          <w:rFonts w:ascii="Bookman Old Style" w:eastAsia="Times New Roman" w:hAnsi="Bookman Old Style" w:cs="Arial"/>
          <w:b/>
          <w:i/>
          <w:sz w:val="20"/>
          <w:szCs w:val="20"/>
          <w:u w:val="single"/>
          <w:lang w:val="es-ES_tradnl" w:eastAsia="es-ES"/>
        </w:rPr>
        <w:t>Para la estimación de la generación del componente SFV se utiliza una eficiencia promedio, para los 20 años de vida útil regulatoria definida como periodo para pago de las inversiones, de 82.13%. Lo anterior implica un nivel de eficiencia de los módulos de 86.1% para el primer año.</w:t>
      </w:r>
      <w:r w:rsidRPr="006C3025">
        <w:rPr>
          <w:rFonts w:ascii="Bookman Old Style" w:eastAsia="Times New Roman" w:hAnsi="Bookman Old Style" w:cs="Arial"/>
          <w:i/>
          <w:iCs/>
          <w:sz w:val="20"/>
          <w:szCs w:val="20"/>
          <w:lang w:val="es-ES_tradnl" w:eastAsia="es-ES"/>
        </w:rPr>
        <w:t xml:space="preserve"> Esta eficiencia es la misma considerada por esta Comisión para la definición de los cargos para el mercado de comercialización del municipio de </w:t>
      </w:r>
      <w:proofErr w:type="spellStart"/>
      <w:r w:rsidRPr="006C3025">
        <w:rPr>
          <w:rFonts w:ascii="Bookman Old Style" w:eastAsia="Times New Roman" w:hAnsi="Bookman Old Style" w:cs="Arial"/>
          <w:i/>
          <w:iCs/>
          <w:sz w:val="20"/>
          <w:szCs w:val="20"/>
          <w:lang w:val="es-ES_tradnl" w:eastAsia="es-ES"/>
        </w:rPr>
        <w:t>Unguía</w:t>
      </w:r>
      <w:proofErr w:type="spellEnd"/>
      <w:r w:rsidRPr="006C3025">
        <w:rPr>
          <w:rFonts w:ascii="Bookman Old Style" w:eastAsia="Times New Roman" w:hAnsi="Bookman Old Style" w:cs="Arial"/>
          <w:i/>
          <w:iCs/>
          <w:sz w:val="20"/>
          <w:szCs w:val="20"/>
          <w:lang w:val="es-ES_tradnl" w:eastAsia="es-ES"/>
        </w:rPr>
        <w:t>, Chocó, Resolución CREG 136 de 2019.</w:t>
      </w:r>
    </w:p>
    <w:p w14:paraId="7FFAB191" w14:textId="77777777" w:rsidR="00511F59" w:rsidRPr="006C3025" w:rsidRDefault="00511F59" w:rsidP="00511F59">
      <w:pPr>
        <w:numPr>
          <w:ilvl w:val="0"/>
          <w:numId w:val="28"/>
        </w:numPr>
        <w:overflowPunct w:val="0"/>
        <w:autoSpaceDE w:val="0"/>
        <w:autoSpaceDN w:val="0"/>
        <w:adjustRightInd w:val="0"/>
        <w:spacing w:after="0" w:line="240" w:lineRule="auto"/>
        <w:ind w:left="851" w:right="142" w:hanging="426"/>
        <w:contextualSpacing/>
        <w:jc w:val="both"/>
        <w:textAlignment w:val="baseline"/>
        <w:rPr>
          <w:rFonts w:ascii="Bookman Old Style" w:eastAsia="Times New Roman" w:hAnsi="Bookman Old Style" w:cs="Arial"/>
          <w:i/>
          <w:iCs/>
          <w:sz w:val="20"/>
          <w:szCs w:val="20"/>
          <w:lang w:val="es-ES_tradnl" w:eastAsia="es-ES"/>
        </w:rPr>
      </w:pPr>
      <w:r w:rsidRPr="006C3025">
        <w:rPr>
          <w:rFonts w:ascii="Bookman Old Style" w:eastAsia="Times New Roman" w:hAnsi="Bookman Old Style" w:cs="Arial"/>
          <w:i/>
          <w:iCs/>
          <w:sz w:val="20"/>
          <w:szCs w:val="20"/>
          <w:lang w:val="es-ES_tradnl" w:eastAsia="es-ES"/>
        </w:rPr>
        <w:t xml:space="preserve">La degradación anual de los módulos se mantiene en el 0.5% anual, según lo indicado en la tabla informada por </w:t>
      </w:r>
      <w:proofErr w:type="spellStart"/>
      <w:r w:rsidRPr="006C3025">
        <w:rPr>
          <w:rFonts w:ascii="Bookman Old Style" w:eastAsia="Times New Roman" w:hAnsi="Bookman Old Style" w:cs="Arial"/>
          <w:i/>
          <w:iCs/>
          <w:sz w:val="20"/>
          <w:szCs w:val="20"/>
          <w:lang w:val="es-ES_tradnl" w:eastAsia="es-ES"/>
        </w:rPr>
        <w:t>Due</w:t>
      </w:r>
      <w:proofErr w:type="spellEnd"/>
      <w:r w:rsidRPr="006C3025">
        <w:rPr>
          <w:rFonts w:ascii="Bookman Old Style" w:eastAsia="Times New Roman" w:hAnsi="Bookman Old Style" w:cs="Arial"/>
          <w:i/>
          <w:iCs/>
          <w:sz w:val="20"/>
          <w:szCs w:val="20"/>
          <w:lang w:val="es-ES_tradnl" w:eastAsia="es-ES"/>
        </w:rPr>
        <w:t xml:space="preserve"> Capital.</w:t>
      </w:r>
    </w:p>
    <w:p w14:paraId="4F7B04A8" w14:textId="77777777" w:rsidR="00511F59" w:rsidRPr="006C3025" w:rsidRDefault="00511F59" w:rsidP="00511F59">
      <w:pPr>
        <w:numPr>
          <w:ilvl w:val="0"/>
          <w:numId w:val="28"/>
        </w:numPr>
        <w:overflowPunct w:val="0"/>
        <w:autoSpaceDE w:val="0"/>
        <w:autoSpaceDN w:val="0"/>
        <w:adjustRightInd w:val="0"/>
        <w:spacing w:after="0" w:line="240" w:lineRule="auto"/>
        <w:ind w:left="851" w:right="142" w:hanging="426"/>
        <w:contextualSpacing/>
        <w:jc w:val="both"/>
        <w:textAlignment w:val="baseline"/>
        <w:rPr>
          <w:rFonts w:ascii="Bookman Old Style" w:eastAsia="Times New Roman" w:hAnsi="Bookman Old Style" w:cs="Arial"/>
          <w:i/>
          <w:iCs/>
          <w:sz w:val="20"/>
          <w:szCs w:val="20"/>
          <w:lang w:val="es-ES_tradnl" w:eastAsia="es-ES"/>
        </w:rPr>
      </w:pPr>
      <w:r w:rsidRPr="006C3025">
        <w:rPr>
          <w:rFonts w:ascii="Bookman Old Style" w:eastAsia="Times New Roman" w:hAnsi="Bookman Old Style" w:cs="Arial"/>
          <w:i/>
          <w:iCs/>
          <w:sz w:val="20"/>
          <w:szCs w:val="20"/>
          <w:lang w:val="es-ES_tradnl" w:eastAsia="es-ES"/>
        </w:rPr>
        <w:t xml:space="preserve">Para modelar la energía entregada por el componente de acumulación, se toma como referencia lo informado en la tabla presentada por </w:t>
      </w:r>
      <w:proofErr w:type="spellStart"/>
      <w:r w:rsidRPr="006C3025">
        <w:rPr>
          <w:rFonts w:ascii="Bookman Old Style" w:eastAsia="Times New Roman" w:hAnsi="Bookman Old Style" w:cs="Arial"/>
          <w:i/>
          <w:iCs/>
          <w:sz w:val="20"/>
          <w:szCs w:val="20"/>
          <w:lang w:val="es-ES_tradnl" w:eastAsia="es-ES"/>
        </w:rPr>
        <w:t>Due</w:t>
      </w:r>
      <w:proofErr w:type="spellEnd"/>
      <w:r w:rsidRPr="006C3025">
        <w:rPr>
          <w:rFonts w:ascii="Bookman Old Style" w:eastAsia="Times New Roman" w:hAnsi="Bookman Old Style" w:cs="Arial"/>
          <w:i/>
          <w:iCs/>
          <w:sz w:val="20"/>
          <w:szCs w:val="20"/>
          <w:lang w:val="es-ES_tradnl" w:eastAsia="es-ES"/>
        </w:rPr>
        <w:t xml:space="preserve"> Capital, manteniendo el nivel de degradación de este componente, en el 1.5% anual.</w:t>
      </w:r>
    </w:p>
    <w:p w14:paraId="3D6E79F9" w14:textId="77777777" w:rsidR="00511F59" w:rsidRPr="006C3025" w:rsidRDefault="00511F59" w:rsidP="00511F59">
      <w:pPr>
        <w:numPr>
          <w:ilvl w:val="0"/>
          <w:numId w:val="28"/>
        </w:numPr>
        <w:overflowPunct w:val="0"/>
        <w:autoSpaceDE w:val="0"/>
        <w:autoSpaceDN w:val="0"/>
        <w:adjustRightInd w:val="0"/>
        <w:spacing w:after="0" w:line="240" w:lineRule="auto"/>
        <w:ind w:left="851" w:right="142" w:hanging="426"/>
        <w:contextualSpacing/>
        <w:jc w:val="both"/>
        <w:textAlignment w:val="baseline"/>
        <w:rPr>
          <w:rFonts w:ascii="Bookman Old Style" w:eastAsia="Times New Roman" w:hAnsi="Bookman Old Style" w:cs="Arial"/>
          <w:i/>
          <w:iCs/>
          <w:sz w:val="20"/>
          <w:szCs w:val="20"/>
          <w:lang w:val="es-ES_tradnl" w:eastAsia="es-ES"/>
        </w:rPr>
      </w:pPr>
      <w:r w:rsidRPr="006C3025">
        <w:rPr>
          <w:rFonts w:ascii="Bookman Old Style" w:eastAsia="Times New Roman" w:hAnsi="Bookman Old Style" w:cs="Arial"/>
          <w:i/>
          <w:iCs/>
          <w:sz w:val="20"/>
          <w:szCs w:val="20"/>
          <w:lang w:val="es-ES_tradnl" w:eastAsia="es-ES"/>
        </w:rPr>
        <w:t>La energía total entregada por el sistema se obtiene a partir los valores estimados en los numerales anteriores, dando como resultado un nivel de eficiencia del sistema de 86.2% para el primer año y de 79.3% para el promedio de los primeros 20 años, implicando una tasa de degradación de todo el sistema de 0.9% anual. (…)”</w:t>
      </w:r>
      <w:r w:rsidRPr="006C3025">
        <w:rPr>
          <w:rFonts w:ascii="Bookman Old Style" w:eastAsia="Times New Roman" w:hAnsi="Bookman Old Style" w:cs="Arial"/>
          <w:sz w:val="20"/>
          <w:szCs w:val="20"/>
          <w:lang w:val="es-ES_tradnl" w:eastAsia="es-ES"/>
        </w:rPr>
        <w:t xml:space="preserve"> Resaltado y subrayado fuera de texto</w:t>
      </w:r>
    </w:p>
    <w:p w14:paraId="524A103C" w14:textId="77777777" w:rsidR="00511F59" w:rsidRPr="006C3025" w:rsidRDefault="00511F59" w:rsidP="00511F59">
      <w:pPr>
        <w:spacing w:after="0" w:line="240" w:lineRule="auto"/>
        <w:contextualSpacing/>
        <w:jc w:val="both"/>
        <w:rPr>
          <w:rFonts w:ascii="Bookman Old Style" w:eastAsia="Times New Roman" w:hAnsi="Bookman Old Style" w:cs="Arial"/>
          <w:sz w:val="20"/>
          <w:szCs w:val="20"/>
          <w:lang w:val="es-ES_tradnl" w:eastAsia="es-ES"/>
        </w:rPr>
      </w:pPr>
    </w:p>
    <w:p w14:paraId="7E5DB246" w14:textId="77777777" w:rsidR="00511F59" w:rsidRPr="00511F59" w:rsidRDefault="00511F59" w:rsidP="00511F59">
      <w:pPr>
        <w:spacing w:after="0" w:line="240" w:lineRule="auto"/>
        <w:contextualSpacing/>
        <w:jc w:val="both"/>
        <w:rPr>
          <w:rFonts w:ascii="Bookman Old Style" w:eastAsia="Times New Roman" w:hAnsi="Bookman Old Style" w:cs="Arial"/>
          <w:sz w:val="24"/>
          <w:szCs w:val="24"/>
          <w:lang w:eastAsia="es-ES"/>
        </w:rPr>
      </w:pPr>
      <w:r w:rsidRPr="00511F59">
        <w:rPr>
          <w:rFonts w:ascii="Bookman Old Style" w:eastAsia="Times New Roman" w:hAnsi="Bookman Old Style" w:cs="Arial"/>
          <w:sz w:val="24"/>
          <w:szCs w:val="24"/>
          <w:lang w:eastAsia="es-ES"/>
        </w:rPr>
        <w:t>Una vez validada la eficiencia de la generación presentada por DUE, al nivel del componente fotovoltaico, a partir del perfil de generación incluido en la comunicación de radicado CREG E-2019-008549, y al encontrarse que dicho nivel de eficiencia es menor al que ha sido utilizado como referente por esta Comisión en otras actuaciones para la determinación de los cargos máximos de generación para este tipo de tecnologías, se hace un segundo ajuste que consiste utilizar directamente dicho nivel de eficiencia, equivalente al 86.1% para el primer año.</w:t>
      </w:r>
    </w:p>
    <w:p w14:paraId="6B8D1785" w14:textId="77777777" w:rsidR="00511F59" w:rsidRPr="00511F59" w:rsidRDefault="00511F59" w:rsidP="00511F59">
      <w:pPr>
        <w:spacing w:after="0" w:line="240" w:lineRule="auto"/>
        <w:contextualSpacing/>
        <w:jc w:val="both"/>
        <w:rPr>
          <w:rFonts w:ascii="Bookman Old Style" w:eastAsia="Times New Roman" w:hAnsi="Bookman Old Style" w:cs="Arial"/>
          <w:sz w:val="24"/>
          <w:szCs w:val="24"/>
          <w:lang w:eastAsia="es-ES"/>
        </w:rPr>
      </w:pPr>
    </w:p>
    <w:p w14:paraId="1ECC3F55" w14:textId="07B3B940" w:rsidR="00511F59" w:rsidRPr="00511F59" w:rsidRDefault="00511F59" w:rsidP="00511F59">
      <w:pPr>
        <w:spacing w:after="0" w:line="240" w:lineRule="auto"/>
        <w:contextualSpacing/>
        <w:jc w:val="both"/>
        <w:rPr>
          <w:rFonts w:ascii="Bookman Old Style" w:eastAsia="Times New Roman" w:hAnsi="Bookman Old Style" w:cs="Arial"/>
          <w:sz w:val="24"/>
          <w:szCs w:val="24"/>
          <w:lang w:eastAsia="es-ES"/>
        </w:rPr>
      </w:pPr>
      <w:r w:rsidRPr="00511F59">
        <w:rPr>
          <w:rFonts w:ascii="Bookman Old Style" w:eastAsia="Times New Roman" w:hAnsi="Bookman Old Style" w:cs="Arial"/>
          <w:sz w:val="24"/>
          <w:szCs w:val="24"/>
          <w:lang w:eastAsia="es-ES"/>
        </w:rPr>
        <w:t>Los cambios en los valores que se observan en la tabla relacionada en el recurso, obedecen simplemente al ajuste aritmético que debe hacerse para obtener el nivel de eficiencia establecido como referente por esta Comisión, sin que lo mismo signifique el desconocimiento de alguno de los factores que inciden en el nivel de generación de este tipo de tecnologías. En ese sentido, no es procedente la modificación indicada en el recurso interpuesto por DUE para este componente.</w:t>
      </w:r>
    </w:p>
    <w:p w14:paraId="02D542DA" w14:textId="77777777" w:rsidR="00A71B6B" w:rsidRDefault="00A71B6B" w:rsidP="002A13DB">
      <w:pPr>
        <w:spacing w:after="0" w:line="240" w:lineRule="auto"/>
        <w:contextualSpacing/>
        <w:jc w:val="both"/>
        <w:rPr>
          <w:rFonts w:ascii="Bookman Old Style" w:eastAsia="Times New Roman" w:hAnsi="Bookman Old Style" w:cs="Times New Roman"/>
          <w:b/>
          <w:bCs/>
          <w:i/>
          <w:iCs/>
          <w:sz w:val="24"/>
          <w:szCs w:val="24"/>
          <w:lang w:eastAsia="es-ES"/>
        </w:rPr>
      </w:pPr>
    </w:p>
    <w:p w14:paraId="4B22F638" w14:textId="1498D047" w:rsidR="001B53BD" w:rsidRPr="00A71B6B" w:rsidRDefault="00A71B6B" w:rsidP="002A13DB">
      <w:pPr>
        <w:spacing w:after="0" w:line="240" w:lineRule="auto"/>
        <w:contextualSpacing/>
        <w:jc w:val="both"/>
        <w:rPr>
          <w:rFonts w:ascii="Bookman Old Style" w:eastAsia="Times New Roman" w:hAnsi="Bookman Old Style" w:cs="Times New Roman"/>
          <w:b/>
          <w:bCs/>
          <w:i/>
          <w:iCs/>
          <w:sz w:val="24"/>
          <w:szCs w:val="24"/>
          <w:lang w:eastAsia="es-ES"/>
        </w:rPr>
      </w:pPr>
      <w:r w:rsidRPr="00A71B6B">
        <w:rPr>
          <w:rFonts w:ascii="Bookman Old Style" w:eastAsia="Times New Roman" w:hAnsi="Bookman Old Style" w:cs="Times New Roman"/>
          <w:b/>
          <w:bCs/>
          <w:i/>
          <w:iCs/>
          <w:sz w:val="24"/>
          <w:szCs w:val="24"/>
          <w:lang w:eastAsia="es-ES"/>
        </w:rPr>
        <w:t>4.6. Tasa de descuento</w:t>
      </w:r>
      <w:r w:rsidR="00295BDF">
        <w:rPr>
          <w:rFonts w:ascii="Bookman Old Style" w:eastAsia="Times New Roman" w:hAnsi="Bookman Old Style" w:cs="Times New Roman"/>
          <w:b/>
          <w:bCs/>
          <w:i/>
          <w:iCs/>
          <w:sz w:val="24"/>
          <w:szCs w:val="24"/>
          <w:lang w:eastAsia="es-ES"/>
        </w:rPr>
        <w:t xml:space="preserve"> </w:t>
      </w:r>
    </w:p>
    <w:p w14:paraId="1E679FAE" w14:textId="0ECA1A22" w:rsidR="00A71B6B" w:rsidRDefault="00A71B6B" w:rsidP="002A13DB">
      <w:pPr>
        <w:spacing w:after="0" w:line="240" w:lineRule="auto"/>
        <w:contextualSpacing/>
        <w:jc w:val="both"/>
        <w:rPr>
          <w:rFonts w:ascii="Bookman Old Style" w:eastAsia="Times New Roman" w:hAnsi="Bookman Old Style" w:cs="Times New Roman"/>
          <w:sz w:val="24"/>
          <w:szCs w:val="24"/>
          <w:lang w:eastAsia="es-ES"/>
        </w:rPr>
      </w:pPr>
    </w:p>
    <w:p w14:paraId="427D9B70" w14:textId="77777777" w:rsidR="00295BDF" w:rsidRPr="00295BDF" w:rsidRDefault="00295BDF" w:rsidP="00295BDF">
      <w:pPr>
        <w:spacing w:after="0" w:line="240" w:lineRule="auto"/>
        <w:contextualSpacing/>
        <w:jc w:val="both"/>
        <w:rPr>
          <w:rFonts w:ascii="Bookman Old Style" w:eastAsia="Times New Roman" w:hAnsi="Bookman Old Style" w:cs="Arial"/>
          <w:sz w:val="24"/>
          <w:szCs w:val="24"/>
          <w:lang w:eastAsia="es-ES"/>
        </w:rPr>
      </w:pPr>
      <w:r w:rsidRPr="00295BDF">
        <w:rPr>
          <w:rFonts w:ascii="Bookman Old Style" w:eastAsia="Times New Roman" w:hAnsi="Bookman Old Style" w:cs="Arial"/>
          <w:sz w:val="24"/>
          <w:szCs w:val="24"/>
          <w:lang w:eastAsia="es-ES"/>
        </w:rPr>
        <w:t>En la Ley 142 de 1994 se tiene previsto:</w:t>
      </w:r>
    </w:p>
    <w:p w14:paraId="67C0DCB2" w14:textId="77777777" w:rsidR="00295BDF" w:rsidRPr="00295BDF" w:rsidRDefault="00295BDF" w:rsidP="00295BDF">
      <w:pPr>
        <w:spacing w:after="0" w:line="240" w:lineRule="auto"/>
        <w:contextualSpacing/>
        <w:jc w:val="both"/>
        <w:rPr>
          <w:rFonts w:ascii="Bookman Old Style" w:eastAsia="Times New Roman" w:hAnsi="Bookman Old Style" w:cs="Arial"/>
          <w:sz w:val="24"/>
          <w:szCs w:val="24"/>
          <w:lang w:eastAsia="es-ES"/>
        </w:rPr>
      </w:pPr>
    </w:p>
    <w:p w14:paraId="6CDF7DAA" w14:textId="77777777" w:rsidR="00295BDF" w:rsidRPr="00295BDF" w:rsidRDefault="00295BDF" w:rsidP="006C3025">
      <w:pPr>
        <w:spacing w:after="0" w:line="240" w:lineRule="auto"/>
        <w:ind w:left="284"/>
        <w:contextualSpacing/>
        <w:jc w:val="both"/>
        <w:rPr>
          <w:rFonts w:ascii="Bookman Old Style" w:eastAsia="Times New Roman" w:hAnsi="Bookman Old Style" w:cs="Arial"/>
          <w:i/>
          <w:iCs/>
          <w:sz w:val="20"/>
          <w:szCs w:val="20"/>
          <w:lang w:val="es-ES" w:eastAsia="es-ES"/>
        </w:rPr>
      </w:pPr>
      <w:r w:rsidRPr="00295BDF">
        <w:rPr>
          <w:rFonts w:ascii="Bookman Old Style" w:eastAsia="Times New Roman" w:hAnsi="Bookman Old Style" w:cs="Arial"/>
          <w:i/>
          <w:iCs/>
          <w:sz w:val="20"/>
          <w:szCs w:val="20"/>
          <w:lang w:val="es-ES" w:eastAsia="es-ES"/>
        </w:rPr>
        <w:t xml:space="preserve">“(…) Artículo 87. Criterios para definir el régimen tarifario. El régimen tarifario estará orientado por los criterios de eficiencia económica, neutralidad, solidaridad, redistribución, </w:t>
      </w:r>
      <w:r w:rsidRPr="00295BDF">
        <w:rPr>
          <w:rFonts w:ascii="Bookman Old Style" w:eastAsia="Times New Roman" w:hAnsi="Bookman Old Style" w:cs="Arial"/>
          <w:b/>
          <w:bCs/>
          <w:i/>
          <w:iCs/>
          <w:sz w:val="20"/>
          <w:szCs w:val="20"/>
          <w:u w:val="single"/>
          <w:lang w:val="es-ES" w:eastAsia="es-ES"/>
        </w:rPr>
        <w:t>suficiencia financiera</w:t>
      </w:r>
      <w:r w:rsidRPr="00295BDF">
        <w:rPr>
          <w:rFonts w:ascii="Bookman Old Style" w:eastAsia="Times New Roman" w:hAnsi="Bookman Old Style" w:cs="Arial"/>
          <w:i/>
          <w:iCs/>
          <w:sz w:val="20"/>
          <w:szCs w:val="20"/>
          <w:lang w:val="es-ES" w:eastAsia="es-ES"/>
        </w:rPr>
        <w:t>, simplicidad y transparencia. (…)</w:t>
      </w:r>
    </w:p>
    <w:p w14:paraId="54E4DD44" w14:textId="77777777" w:rsidR="00295BDF" w:rsidRPr="00295BDF" w:rsidRDefault="00295BDF" w:rsidP="006C3025">
      <w:pPr>
        <w:spacing w:after="0" w:line="240" w:lineRule="auto"/>
        <w:ind w:left="284"/>
        <w:contextualSpacing/>
        <w:jc w:val="both"/>
        <w:rPr>
          <w:rFonts w:ascii="Bookman Old Style" w:eastAsia="Times New Roman" w:hAnsi="Bookman Old Style" w:cs="Arial"/>
          <w:i/>
          <w:iCs/>
          <w:sz w:val="20"/>
          <w:szCs w:val="20"/>
          <w:lang w:val="es-ES" w:eastAsia="es-ES"/>
        </w:rPr>
      </w:pPr>
    </w:p>
    <w:p w14:paraId="6B0952F1" w14:textId="77777777" w:rsidR="00295BDF" w:rsidRPr="00295BDF" w:rsidRDefault="00295BDF" w:rsidP="006C3025">
      <w:pPr>
        <w:spacing w:after="0" w:line="240" w:lineRule="auto"/>
        <w:ind w:left="284"/>
        <w:contextualSpacing/>
        <w:jc w:val="both"/>
        <w:rPr>
          <w:rFonts w:ascii="Bookman Old Style" w:eastAsia="Times New Roman" w:hAnsi="Bookman Old Style" w:cs="Arial"/>
          <w:sz w:val="20"/>
          <w:szCs w:val="20"/>
          <w:lang w:val="es-ES" w:eastAsia="es-ES"/>
        </w:rPr>
      </w:pPr>
      <w:r w:rsidRPr="00295BDF">
        <w:rPr>
          <w:rFonts w:ascii="Bookman Old Style" w:eastAsia="Times New Roman" w:hAnsi="Bookman Old Style" w:cs="Arial"/>
          <w:i/>
          <w:iCs/>
          <w:sz w:val="20"/>
          <w:szCs w:val="20"/>
          <w:lang w:val="es-ES" w:eastAsia="es-ES"/>
        </w:rPr>
        <w:t xml:space="preserve">87.4. Por suficiencia financiera se entiende que </w:t>
      </w:r>
      <w:r w:rsidRPr="00295BDF">
        <w:rPr>
          <w:rFonts w:ascii="Bookman Old Style" w:eastAsia="Times New Roman" w:hAnsi="Bookman Old Style" w:cs="Arial"/>
          <w:b/>
          <w:bCs/>
          <w:i/>
          <w:iCs/>
          <w:sz w:val="20"/>
          <w:szCs w:val="20"/>
          <w:u w:val="single"/>
          <w:lang w:val="es-ES" w:eastAsia="es-ES"/>
        </w:rPr>
        <w:t>las fórmulas de tarifas</w:t>
      </w:r>
      <w:r w:rsidRPr="00295BDF">
        <w:rPr>
          <w:rFonts w:ascii="Bookman Old Style" w:eastAsia="Times New Roman" w:hAnsi="Bookman Old Style" w:cs="Arial"/>
          <w:i/>
          <w:iCs/>
          <w:sz w:val="20"/>
          <w:szCs w:val="20"/>
          <w:lang w:val="es-ES" w:eastAsia="es-ES"/>
        </w:rPr>
        <w:t xml:space="preserve"> garantizarán la recuperación de los costos y gastos propios de operación, incluyendo la expansión, la reposición y el mantenimiento; </w:t>
      </w:r>
      <w:r w:rsidRPr="00295BDF">
        <w:rPr>
          <w:rFonts w:ascii="Bookman Old Style" w:eastAsia="Times New Roman" w:hAnsi="Bookman Old Style" w:cs="Arial"/>
          <w:b/>
          <w:bCs/>
          <w:i/>
          <w:iCs/>
          <w:sz w:val="20"/>
          <w:szCs w:val="20"/>
          <w:u w:val="single"/>
          <w:lang w:val="es-ES" w:eastAsia="es-ES"/>
        </w:rPr>
        <w:t>permitirán remunerar el patrimonio de los accionistas en la misma forma en la que lo habría remunerado una empresa eficiente en un sector de riesgo comparable</w:t>
      </w:r>
      <w:r w:rsidRPr="00295BDF">
        <w:rPr>
          <w:rFonts w:ascii="Bookman Old Style" w:eastAsia="Times New Roman" w:hAnsi="Bookman Old Style" w:cs="Arial"/>
          <w:i/>
          <w:iCs/>
          <w:sz w:val="20"/>
          <w:szCs w:val="20"/>
          <w:lang w:val="es-ES" w:eastAsia="es-ES"/>
        </w:rPr>
        <w:t>; y permitirán utilizar las tecnologías y sistemas administrativos que garanticen la mejor calidad, continuidad y seguridad a sus usuarios. (…)”</w:t>
      </w:r>
      <w:r w:rsidRPr="00295BDF">
        <w:rPr>
          <w:rFonts w:ascii="Bookman Old Style" w:eastAsia="Times New Roman" w:hAnsi="Bookman Old Style" w:cs="Arial"/>
          <w:sz w:val="20"/>
          <w:szCs w:val="20"/>
          <w:lang w:val="es-ES" w:eastAsia="es-ES"/>
        </w:rPr>
        <w:t xml:space="preserve"> Resaltado y subrayado fuera de texto</w:t>
      </w:r>
    </w:p>
    <w:p w14:paraId="5FBFCE33" w14:textId="77777777" w:rsidR="00295BDF" w:rsidRPr="00295BDF" w:rsidRDefault="00295BDF" w:rsidP="00295BDF">
      <w:pPr>
        <w:spacing w:after="0" w:line="240" w:lineRule="auto"/>
        <w:contextualSpacing/>
        <w:jc w:val="both"/>
        <w:rPr>
          <w:rFonts w:ascii="Bookman Old Style" w:eastAsia="Times New Roman" w:hAnsi="Bookman Old Style" w:cs="Arial"/>
          <w:sz w:val="24"/>
          <w:szCs w:val="24"/>
          <w:lang w:val="es-ES" w:eastAsia="es-ES"/>
        </w:rPr>
      </w:pPr>
    </w:p>
    <w:p w14:paraId="5C567509" w14:textId="77777777" w:rsidR="00295BDF" w:rsidRPr="00295BDF" w:rsidRDefault="00295BDF" w:rsidP="00295BDF">
      <w:pPr>
        <w:spacing w:after="0" w:line="240" w:lineRule="auto"/>
        <w:contextualSpacing/>
        <w:jc w:val="both"/>
        <w:rPr>
          <w:rFonts w:ascii="Bookman Old Style" w:eastAsia="Times New Roman" w:hAnsi="Bookman Old Style" w:cs="Arial"/>
          <w:sz w:val="24"/>
          <w:szCs w:val="24"/>
          <w:lang w:eastAsia="es-ES"/>
        </w:rPr>
      </w:pPr>
      <w:r w:rsidRPr="00295BDF">
        <w:rPr>
          <w:rFonts w:ascii="Bookman Old Style" w:eastAsia="Times New Roman" w:hAnsi="Bookman Old Style" w:cs="Arial"/>
          <w:sz w:val="24"/>
          <w:szCs w:val="24"/>
          <w:lang w:eastAsia="es-ES"/>
        </w:rPr>
        <w:t>En ese sentido, en la resolución CREG 091 de 2007, marco tarifario vigente y bajo el cual debe resolverse la solicitud presentada por DUE, se definió:</w:t>
      </w:r>
    </w:p>
    <w:p w14:paraId="7BD4B36E" w14:textId="77777777" w:rsidR="00295BDF" w:rsidRPr="00295BDF" w:rsidRDefault="00295BDF" w:rsidP="00295BDF">
      <w:pPr>
        <w:spacing w:after="0" w:line="240" w:lineRule="auto"/>
        <w:contextualSpacing/>
        <w:jc w:val="both"/>
        <w:rPr>
          <w:rFonts w:ascii="Bookman Old Style" w:eastAsia="Times New Roman" w:hAnsi="Bookman Old Style" w:cs="Arial"/>
          <w:sz w:val="24"/>
          <w:szCs w:val="24"/>
          <w:lang w:eastAsia="es-ES"/>
        </w:rPr>
      </w:pPr>
    </w:p>
    <w:p w14:paraId="29F48902" w14:textId="77777777" w:rsidR="00295BDF" w:rsidRPr="00295BDF" w:rsidRDefault="00295BDF" w:rsidP="006C3025">
      <w:pPr>
        <w:spacing w:after="0" w:line="240" w:lineRule="auto"/>
        <w:ind w:left="284"/>
        <w:contextualSpacing/>
        <w:jc w:val="both"/>
        <w:rPr>
          <w:rFonts w:ascii="Bookman Old Style" w:eastAsia="Times New Roman" w:hAnsi="Bookman Old Style" w:cs="Arial"/>
          <w:i/>
          <w:iCs/>
          <w:sz w:val="20"/>
          <w:szCs w:val="20"/>
          <w:lang w:eastAsia="es-ES"/>
        </w:rPr>
      </w:pPr>
      <w:r w:rsidRPr="00295BDF">
        <w:rPr>
          <w:rFonts w:ascii="Bookman Old Style" w:eastAsia="Times New Roman" w:hAnsi="Bookman Old Style" w:cs="Arial"/>
          <w:i/>
          <w:iCs/>
          <w:sz w:val="20"/>
          <w:szCs w:val="20"/>
          <w:lang w:eastAsia="es-ES"/>
        </w:rPr>
        <w:t xml:space="preserve">“(…) Artículo 45. Costo de Capital Invertido. El costo de capital invertido para remunerar los activos de la actividad de generación y de distribución de energía eléctrica en las ZNI, es de 12,18% en pesos constantes antes de impuestos. </w:t>
      </w:r>
      <w:r w:rsidRPr="00295BDF">
        <w:rPr>
          <w:rFonts w:ascii="Bookman Old Style" w:eastAsia="Times New Roman" w:hAnsi="Bookman Old Style" w:cs="Arial"/>
          <w:b/>
          <w:bCs/>
          <w:i/>
          <w:iCs/>
          <w:sz w:val="20"/>
          <w:szCs w:val="20"/>
          <w:u w:val="single"/>
          <w:lang w:eastAsia="es-ES"/>
        </w:rPr>
        <w:t>Una vez la Comisión defina el costo de capital invertido para la actividad de distribución de energía eléctrica en el SIN para el próximo período tarifario, podrá ajustar la tasa establecida en este artículo.</w:t>
      </w:r>
    </w:p>
    <w:p w14:paraId="2538E9EB" w14:textId="77777777" w:rsidR="00295BDF" w:rsidRPr="00295BDF" w:rsidRDefault="00295BDF" w:rsidP="006C3025">
      <w:pPr>
        <w:spacing w:after="0" w:line="240" w:lineRule="auto"/>
        <w:ind w:left="284"/>
        <w:contextualSpacing/>
        <w:jc w:val="both"/>
        <w:rPr>
          <w:rFonts w:ascii="Bookman Old Style" w:eastAsia="Times New Roman" w:hAnsi="Bookman Old Style" w:cs="Arial"/>
          <w:i/>
          <w:iCs/>
          <w:sz w:val="20"/>
          <w:szCs w:val="20"/>
          <w:lang w:eastAsia="es-ES"/>
        </w:rPr>
      </w:pPr>
    </w:p>
    <w:p w14:paraId="1372AE32" w14:textId="77777777" w:rsidR="00295BDF" w:rsidRPr="00295BDF" w:rsidRDefault="00295BDF" w:rsidP="006C3025">
      <w:pPr>
        <w:spacing w:after="0" w:line="240" w:lineRule="auto"/>
        <w:ind w:left="284"/>
        <w:contextualSpacing/>
        <w:jc w:val="both"/>
        <w:rPr>
          <w:rFonts w:ascii="Bookman Old Style" w:eastAsia="Times New Roman" w:hAnsi="Bookman Old Style" w:cs="Arial"/>
          <w:i/>
          <w:iCs/>
          <w:sz w:val="20"/>
          <w:szCs w:val="20"/>
          <w:lang w:eastAsia="es-ES"/>
        </w:rPr>
      </w:pPr>
      <w:r w:rsidRPr="00295BDF">
        <w:rPr>
          <w:rFonts w:ascii="Bookman Old Style" w:eastAsia="Times New Roman" w:hAnsi="Bookman Old Style" w:cs="Arial"/>
          <w:i/>
          <w:iCs/>
          <w:sz w:val="20"/>
          <w:szCs w:val="20"/>
          <w:lang w:eastAsia="es-ES"/>
        </w:rPr>
        <w:t xml:space="preserve">Parágrafo. </w:t>
      </w:r>
      <w:r w:rsidRPr="00295BDF">
        <w:rPr>
          <w:rFonts w:ascii="Bookman Old Style" w:eastAsia="Times New Roman" w:hAnsi="Bookman Old Style" w:cs="Arial"/>
          <w:b/>
          <w:bCs/>
          <w:i/>
          <w:iCs/>
          <w:sz w:val="20"/>
          <w:szCs w:val="20"/>
          <w:u w:val="single"/>
          <w:lang w:eastAsia="es-ES"/>
        </w:rPr>
        <w:t>Para el caso en el cual los activos correspondan a tecnologías que utilicen fuentes de energía renovables, se reconocerá una prima de riesgo tecnológico equivalente a 3,5 puntos del costo de capital propio (ke), adicional al costo de capital definido en el presente artículo.</w:t>
      </w:r>
      <w:r w:rsidRPr="00295BDF">
        <w:rPr>
          <w:rFonts w:ascii="Bookman Old Style" w:eastAsia="Times New Roman" w:hAnsi="Bookman Old Style" w:cs="Arial"/>
          <w:i/>
          <w:iCs/>
          <w:sz w:val="20"/>
          <w:szCs w:val="20"/>
          <w:lang w:eastAsia="es-ES"/>
        </w:rPr>
        <w:t xml:space="preserve"> (…)</w:t>
      </w:r>
    </w:p>
    <w:p w14:paraId="31917521" w14:textId="77777777" w:rsidR="00295BDF" w:rsidRPr="00295BDF" w:rsidRDefault="00295BDF" w:rsidP="00295BDF">
      <w:pPr>
        <w:spacing w:after="0" w:line="240" w:lineRule="auto"/>
        <w:contextualSpacing/>
        <w:jc w:val="both"/>
        <w:rPr>
          <w:rFonts w:ascii="Bookman Old Style" w:eastAsia="Times New Roman" w:hAnsi="Bookman Old Style" w:cs="Arial"/>
          <w:sz w:val="24"/>
          <w:szCs w:val="24"/>
          <w:lang w:eastAsia="es-ES"/>
        </w:rPr>
      </w:pPr>
    </w:p>
    <w:p w14:paraId="344738F9" w14:textId="4C772A42" w:rsidR="00295BDF" w:rsidRPr="00295BDF" w:rsidRDefault="00295BDF" w:rsidP="00295BDF">
      <w:pPr>
        <w:spacing w:after="0" w:line="240" w:lineRule="auto"/>
        <w:contextualSpacing/>
        <w:jc w:val="both"/>
        <w:rPr>
          <w:rFonts w:ascii="Bookman Old Style" w:eastAsia="Times New Roman" w:hAnsi="Bookman Old Style" w:cs="Arial"/>
          <w:sz w:val="24"/>
          <w:szCs w:val="24"/>
          <w:lang w:eastAsia="es-ES"/>
        </w:rPr>
      </w:pPr>
      <w:r w:rsidRPr="00295BDF">
        <w:rPr>
          <w:rFonts w:ascii="Bookman Old Style" w:eastAsia="Times New Roman" w:hAnsi="Bookman Old Style" w:cs="Arial"/>
          <w:sz w:val="24"/>
          <w:szCs w:val="24"/>
          <w:lang w:eastAsia="es-ES"/>
        </w:rPr>
        <w:t>En línea con lo anterior</w:t>
      </w:r>
      <w:r w:rsidR="006C3025">
        <w:rPr>
          <w:rFonts w:ascii="Bookman Old Style" w:eastAsia="Times New Roman" w:hAnsi="Bookman Old Style" w:cs="Arial"/>
          <w:sz w:val="24"/>
          <w:szCs w:val="24"/>
          <w:lang w:eastAsia="es-ES"/>
        </w:rPr>
        <w:t>,</w:t>
      </w:r>
      <w:r w:rsidRPr="00295BDF">
        <w:rPr>
          <w:rFonts w:ascii="Bookman Old Style" w:eastAsia="Times New Roman" w:hAnsi="Bookman Old Style" w:cs="Arial"/>
          <w:sz w:val="24"/>
          <w:szCs w:val="24"/>
          <w:lang w:eastAsia="es-ES"/>
        </w:rPr>
        <w:t xml:space="preserve"> y según lo explicado en el “ANEXO – CÁLCULO TASA DE DESCUENTO” del Documento CREG D-097 de 2020 que acompaña la Resolución CREG 124 de 2020, se parte de la tasa de descuento definida en </w:t>
      </w:r>
      <w:r w:rsidR="006C3025">
        <w:rPr>
          <w:rFonts w:ascii="Bookman Old Style" w:eastAsia="Times New Roman" w:hAnsi="Bookman Old Style" w:cs="Arial"/>
          <w:sz w:val="24"/>
          <w:szCs w:val="24"/>
          <w:lang w:eastAsia="es-ES"/>
        </w:rPr>
        <w:t xml:space="preserve">las </w:t>
      </w:r>
      <w:r w:rsidRPr="00295BDF">
        <w:rPr>
          <w:rFonts w:ascii="Bookman Old Style" w:eastAsia="Times New Roman" w:hAnsi="Bookman Old Style" w:cs="Arial"/>
          <w:sz w:val="24"/>
          <w:szCs w:val="24"/>
          <w:lang w:eastAsia="es-ES"/>
        </w:rPr>
        <w:t>resoluci</w:t>
      </w:r>
      <w:r w:rsidR="006C3025">
        <w:rPr>
          <w:rFonts w:ascii="Bookman Old Style" w:eastAsia="Times New Roman" w:hAnsi="Bookman Old Style" w:cs="Arial"/>
          <w:sz w:val="24"/>
          <w:szCs w:val="24"/>
          <w:lang w:eastAsia="es-ES"/>
        </w:rPr>
        <w:t>ones</w:t>
      </w:r>
      <w:r w:rsidRPr="00295BDF">
        <w:rPr>
          <w:rFonts w:ascii="Bookman Old Style" w:eastAsia="Times New Roman" w:hAnsi="Bookman Old Style" w:cs="Arial"/>
          <w:sz w:val="24"/>
          <w:szCs w:val="24"/>
          <w:lang w:eastAsia="es-ES"/>
        </w:rPr>
        <w:t xml:space="preserve"> CREG 016 de 2018, </w:t>
      </w:r>
      <w:r w:rsidRPr="00295BDF">
        <w:rPr>
          <w:rFonts w:ascii="Bookman Old Style" w:eastAsia="Times New Roman" w:hAnsi="Bookman Old Style" w:cs="Arial"/>
          <w:i/>
          <w:iCs/>
          <w:sz w:val="24"/>
          <w:szCs w:val="24"/>
          <w:lang w:eastAsia="es-ES"/>
        </w:rPr>
        <w:t>“Por la cual se define la tasa de retorno para la actividad de distribución de energía eléctrica en el sistema interconectado nacional”</w:t>
      </w:r>
      <w:r w:rsidRPr="00295BDF">
        <w:rPr>
          <w:rFonts w:ascii="Bookman Old Style" w:eastAsia="Times New Roman" w:hAnsi="Bookman Old Style" w:cs="Arial"/>
          <w:sz w:val="24"/>
          <w:szCs w:val="24"/>
          <w:lang w:eastAsia="es-ES"/>
        </w:rPr>
        <w:t xml:space="preserve">, y 015 de 2019, </w:t>
      </w:r>
      <w:r w:rsidRPr="00295BDF">
        <w:rPr>
          <w:rFonts w:ascii="Bookman Old Style" w:eastAsia="Times New Roman" w:hAnsi="Bookman Old Style" w:cs="Arial"/>
          <w:i/>
          <w:iCs/>
          <w:sz w:val="24"/>
          <w:szCs w:val="24"/>
          <w:lang w:eastAsia="es-ES"/>
        </w:rPr>
        <w:t>“Por la cual se modifica la tasa de retorno para la actividad de distribución de energía eléctrica, aprobada en la Resolución CREG 016 de 2018”</w:t>
      </w:r>
      <w:r w:rsidR="006C3025">
        <w:rPr>
          <w:rFonts w:ascii="Bookman Old Style" w:eastAsia="Times New Roman" w:hAnsi="Bookman Old Style" w:cs="Arial"/>
          <w:i/>
          <w:iCs/>
          <w:sz w:val="24"/>
          <w:szCs w:val="24"/>
          <w:lang w:eastAsia="es-ES"/>
        </w:rPr>
        <w:t>,</w:t>
      </w:r>
      <w:r w:rsidRPr="00295BDF">
        <w:rPr>
          <w:rFonts w:ascii="Bookman Old Style" w:eastAsia="Times New Roman" w:hAnsi="Bookman Old Style" w:cs="Arial"/>
          <w:sz w:val="24"/>
          <w:szCs w:val="24"/>
          <w:lang w:eastAsia="es-ES"/>
        </w:rPr>
        <w:t xml:space="preserve"> y se adicionan los 3,5 puntos al costo del capital propio (ke) al que se refiere el precitado artículo.</w:t>
      </w:r>
    </w:p>
    <w:p w14:paraId="2B6174F6" w14:textId="77777777" w:rsidR="00295BDF" w:rsidRPr="00295BDF" w:rsidRDefault="00295BDF" w:rsidP="00295BDF">
      <w:pPr>
        <w:spacing w:after="0" w:line="240" w:lineRule="auto"/>
        <w:contextualSpacing/>
        <w:jc w:val="both"/>
        <w:rPr>
          <w:rFonts w:ascii="Bookman Old Style" w:eastAsia="Times New Roman" w:hAnsi="Bookman Old Style" w:cs="Arial"/>
          <w:sz w:val="24"/>
          <w:szCs w:val="24"/>
          <w:lang w:eastAsia="es-ES"/>
        </w:rPr>
      </w:pPr>
    </w:p>
    <w:p w14:paraId="54D0C64D" w14:textId="77777777" w:rsidR="00295BDF" w:rsidRPr="00295BDF" w:rsidRDefault="00295BDF" w:rsidP="00295BDF">
      <w:pPr>
        <w:spacing w:after="0" w:line="240" w:lineRule="auto"/>
        <w:contextualSpacing/>
        <w:jc w:val="both"/>
        <w:rPr>
          <w:rFonts w:ascii="Bookman Old Style" w:eastAsia="Times New Roman" w:hAnsi="Bookman Old Style" w:cs="Arial"/>
          <w:sz w:val="24"/>
          <w:szCs w:val="24"/>
          <w:lang w:eastAsia="es-ES"/>
        </w:rPr>
      </w:pPr>
      <w:r w:rsidRPr="00295BDF">
        <w:rPr>
          <w:rFonts w:ascii="Bookman Old Style" w:eastAsia="Times New Roman" w:hAnsi="Bookman Old Style" w:cs="Arial"/>
          <w:sz w:val="24"/>
          <w:szCs w:val="24"/>
          <w:lang w:eastAsia="es-ES"/>
        </w:rPr>
        <w:t>En resumen, la tasa de descuento aplicada para la determinación de los cargos máximos de generación de los que trata la Resolución CREG 124 de 2020, corresponde a lo previsto en el marco tarifario vigente para el servicio de energía eléctrica en las ZNI y, en consecuencia, no son procedentes las modificaciones indicadas en el recurso interpuesto por DUE.</w:t>
      </w:r>
    </w:p>
    <w:p w14:paraId="42FB41CC" w14:textId="77777777" w:rsidR="0053546C" w:rsidRPr="0053546C" w:rsidRDefault="0053546C" w:rsidP="002A13DB">
      <w:pPr>
        <w:spacing w:after="0" w:line="240" w:lineRule="auto"/>
        <w:contextualSpacing/>
        <w:jc w:val="both"/>
        <w:rPr>
          <w:rFonts w:ascii="Bookman Old Style" w:eastAsia="Times New Roman" w:hAnsi="Bookman Old Style" w:cs="Times New Roman"/>
          <w:sz w:val="24"/>
          <w:szCs w:val="24"/>
          <w:lang w:eastAsia="es-ES"/>
        </w:rPr>
      </w:pPr>
    </w:p>
    <w:p w14:paraId="2A911E6C" w14:textId="59C4C38F" w:rsidR="00A71B6B" w:rsidRDefault="00A71B6B" w:rsidP="002A13DB">
      <w:pPr>
        <w:spacing w:after="0" w:line="240" w:lineRule="auto"/>
        <w:contextualSpacing/>
        <w:jc w:val="both"/>
        <w:rPr>
          <w:rFonts w:ascii="Bookman Old Style" w:eastAsia="Times New Roman" w:hAnsi="Bookman Old Style" w:cs="Times New Roman"/>
          <w:b/>
          <w:bCs/>
          <w:i/>
          <w:iCs/>
          <w:sz w:val="24"/>
          <w:szCs w:val="24"/>
          <w:lang w:eastAsia="es-ES"/>
        </w:rPr>
      </w:pPr>
      <w:r w:rsidRPr="00A71B6B">
        <w:rPr>
          <w:rFonts w:ascii="Bookman Old Style" w:eastAsia="Times New Roman" w:hAnsi="Bookman Old Style" w:cs="Times New Roman"/>
          <w:b/>
          <w:bCs/>
          <w:i/>
          <w:iCs/>
          <w:sz w:val="24"/>
          <w:szCs w:val="24"/>
          <w:lang w:eastAsia="es-ES"/>
        </w:rPr>
        <w:t>4.7. Costos de conexión</w:t>
      </w:r>
      <w:r w:rsidR="009A48FF">
        <w:rPr>
          <w:rFonts w:ascii="Bookman Old Style" w:eastAsia="Times New Roman" w:hAnsi="Bookman Old Style" w:cs="Times New Roman"/>
          <w:b/>
          <w:bCs/>
          <w:i/>
          <w:iCs/>
          <w:sz w:val="24"/>
          <w:szCs w:val="24"/>
          <w:lang w:eastAsia="es-ES"/>
        </w:rPr>
        <w:t xml:space="preserve"> </w:t>
      </w:r>
    </w:p>
    <w:p w14:paraId="11E3D9CD" w14:textId="77777777" w:rsidR="00F03EB7" w:rsidRDefault="00F03EB7" w:rsidP="002A13DB">
      <w:pPr>
        <w:spacing w:after="0" w:line="240" w:lineRule="auto"/>
        <w:contextualSpacing/>
        <w:jc w:val="both"/>
        <w:rPr>
          <w:rFonts w:ascii="Bookman Old Style" w:eastAsia="Times New Roman" w:hAnsi="Bookman Old Style" w:cs="Times New Roman"/>
          <w:sz w:val="24"/>
          <w:szCs w:val="24"/>
          <w:lang w:eastAsia="es-ES"/>
        </w:rPr>
      </w:pPr>
    </w:p>
    <w:p w14:paraId="59C29C0F" w14:textId="7FBC4AC5" w:rsidR="009B6673" w:rsidRDefault="007564BC" w:rsidP="002A13DB">
      <w:pPr>
        <w:spacing w:after="0" w:line="240" w:lineRule="auto"/>
        <w:contextualSpacing/>
        <w:jc w:val="both"/>
        <w:rPr>
          <w:rFonts w:ascii="Bookman Old Style" w:eastAsia="Times New Roman" w:hAnsi="Bookman Old Style" w:cs="Times New Roman"/>
          <w:sz w:val="24"/>
          <w:szCs w:val="24"/>
          <w:lang w:eastAsia="es-ES"/>
        </w:rPr>
      </w:pPr>
      <w:r>
        <w:rPr>
          <w:rFonts w:ascii="Bookman Old Style" w:eastAsia="Times New Roman" w:hAnsi="Bookman Old Style" w:cs="Times New Roman"/>
          <w:sz w:val="24"/>
          <w:szCs w:val="24"/>
          <w:lang w:eastAsia="es-ES"/>
        </w:rPr>
        <w:t>Como ha sido reiterado en distintos apartes, esta Comisión no define los costos particulares de un proyecto</w:t>
      </w:r>
      <w:r w:rsidR="006C3025">
        <w:rPr>
          <w:rFonts w:ascii="Bookman Old Style" w:eastAsia="Times New Roman" w:hAnsi="Bookman Old Style" w:cs="Times New Roman"/>
          <w:sz w:val="24"/>
          <w:szCs w:val="24"/>
          <w:lang w:eastAsia="es-ES"/>
        </w:rPr>
        <w:t>. D</w:t>
      </w:r>
      <w:r w:rsidR="009B6673">
        <w:rPr>
          <w:rFonts w:ascii="Bookman Old Style" w:eastAsia="Times New Roman" w:hAnsi="Bookman Old Style" w:cs="Times New Roman"/>
          <w:sz w:val="24"/>
          <w:szCs w:val="24"/>
          <w:lang w:eastAsia="es-ES"/>
        </w:rPr>
        <w:t xml:space="preserve">efine el cargo máximo de generación que </w:t>
      </w:r>
      <w:r w:rsidR="00B4041A">
        <w:rPr>
          <w:rFonts w:ascii="Bookman Old Style" w:eastAsia="Times New Roman" w:hAnsi="Bookman Old Style" w:cs="Times New Roman"/>
          <w:sz w:val="24"/>
          <w:szCs w:val="24"/>
          <w:lang w:eastAsia="es-ES"/>
        </w:rPr>
        <w:t>debe ser utilizado</w:t>
      </w:r>
      <w:r w:rsidR="009B6673">
        <w:rPr>
          <w:rFonts w:ascii="Bookman Old Style" w:eastAsia="Times New Roman" w:hAnsi="Bookman Old Style" w:cs="Times New Roman"/>
          <w:sz w:val="24"/>
          <w:szCs w:val="24"/>
          <w:lang w:eastAsia="es-ES"/>
        </w:rPr>
        <w:t xml:space="preserve"> por el prestador para determinar el costo máximo de prestación del servicio de energía que puede ser trasladado al usuario.</w:t>
      </w:r>
    </w:p>
    <w:p w14:paraId="737B646C" w14:textId="77777777" w:rsidR="009B6673" w:rsidRDefault="009B6673" w:rsidP="002A13DB">
      <w:pPr>
        <w:spacing w:after="0" w:line="240" w:lineRule="auto"/>
        <w:contextualSpacing/>
        <w:jc w:val="both"/>
        <w:rPr>
          <w:rFonts w:ascii="Bookman Old Style" w:eastAsia="Times New Roman" w:hAnsi="Bookman Old Style" w:cs="Times New Roman"/>
          <w:sz w:val="24"/>
          <w:szCs w:val="24"/>
          <w:lang w:eastAsia="es-ES"/>
        </w:rPr>
      </w:pPr>
    </w:p>
    <w:p w14:paraId="2410F10F" w14:textId="6DCEDDEE" w:rsidR="004767D5" w:rsidRDefault="009B6673" w:rsidP="002A13DB">
      <w:pPr>
        <w:spacing w:after="0" w:line="240" w:lineRule="auto"/>
        <w:contextualSpacing/>
        <w:jc w:val="both"/>
        <w:rPr>
          <w:rFonts w:ascii="Bookman Old Style" w:eastAsia="Times New Roman" w:hAnsi="Bookman Old Style" w:cs="Times New Roman"/>
          <w:sz w:val="24"/>
          <w:szCs w:val="24"/>
          <w:lang w:eastAsia="es-ES"/>
        </w:rPr>
      </w:pPr>
      <w:r>
        <w:rPr>
          <w:rFonts w:ascii="Bookman Old Style" w:eastAsia="Times New Roman" w:hAnsi="Bookman Old Style" w:cs="Times New Roman"/>
          <w:sz w:val="24"/>
          <w:szCs w:val="24"/>
          <w:lang w:eastAsia="es-ES"/>
        </w:rPr>
        <w:t>E</w:t>
      </w:r>
      <w:r w:rsidR="007564BC">
        <w:rPr>
          <w:rFonts w:ascii="Bookman Old Style" w:eastAsia="Times New Roman" w:hAnsi="Bookman Old Style" w:cs="Times New Roman"/>
          <w:sz w:val="24"/>
          <w:szCs w:val="24"/>
          <w:lang w:eastAsia="es-ES"/>
        </w:rPr>
        <w:t xml:space="preserve">n ese sentido, los costos de conexión de un sistema de generación al sistema de distribución, en este caso particular al del mercado relevante de la cabecera municipal de Mitú, no </w:t>
      </w:r>
      <w:r w:rsidR="00B4041A">
        <w:rPr>
          <w:rFonts w:ascii="Bookman Old Style" w:eastAsia="Times New Roman" w:hAnsi="Bookman Old Style" w:cs="Times New Roman"/>
          <w:sz w:val="24"/>
          <w:szCs w:val="24"/>
          <w:lang w:eastAsia="es-ES"/>
        </w:rPr>
        <w:t>hacen parte de los</w:t>
      </w:r>
      <w:r w:rsidR="00B4041A" w:rsidRPr="00B4041A">
        <w:rPr>
          <w:rFonts w:ascii="Bookman Old Style" w:eastAsia="Times New Roman" w:hAnsi="Bookman Old Style" w:cs="Times New Roman"/>
          <w:sz w:val="24"/>
          <w:szCs w:val="24"/>
          <w:lang w:eastAsia="es-ES"/>
        </w:rPr>
        <w:t xml:space="preserve"> costos y gastos propios de operación, reposición y mantenimiento</w:t>
      </w:r>
      <w:r w:rsidR="00B4041A">
        <w:rPr>
          <w:rFonts w:ascii="Bookman Old Style" w:eastAsia="Times New Roman" w:hAnsi="Bookman Old Style" w:cs="Times New Roman"/>
          <w:sz w:val="24"/>
          <w:szCs w:val="24"/>
          <w:lang w:eastAsia="es-ES"/>
        </w:rPr>
        <w:t xml:space="preserve">, de la tecnología solar fotovoltaica con acumulación, requeridos para que sea posible la generación de energía eléctrica y, en consecuencia, no </w:t>
      </w:r>
      <w:r w:rsidR="007564BC">
        <w:rPr>
          <w:rFonts w:ascii="Bookman Old Style" w:eastAsia="Times New Roman" w:hAnsi="Bookman Old Style" w:cs="Times New Roman"/>
          <w:sz w:val="24"/>
          <w:szCs w:val="24"/>
          <w:lang w:eastAsia="es-ES"/>
        </w:rPr>
        <w:t>son objeto de la decisión de esta actuación.</w:t>
      </w:r>
    </w:p>
    <w:p w14:paraId="4DAE0A6D" w14:textId="28D2E3CC" w:rsidR="007564BC" w:rsidRDefault="007564BC" w:rsidP="002A13DB">
      <w:pPr>
        <w:spacing w:after="0" w:line="240" w:lineRule="auto"/>
        <w:contextualSpacing/>
        <w:jc w:val="both"/>
        <w:rPr>
          <w:rFonts w:ascii="Bookman Old Style" w:eastAsia="Times New Roman" w:hAnsi="Bookman Old Style" w:cs="Times New Roman"/>
          <w:sz w:val="24"/>
          <w:szCs w:val="24"/>
          <w:lang w:eastAsia="es-ES"/>
        </w:rPr>
      </w:pPr>
    </w:p>
    <w:p w14:paraId="3D79C7AD" w14:textId="0DC37E04" w:rsidR="007564BC" w:rsidRDefault="007564BC" w:rsidP="002A13DB">
      <w:pPr>
        <w:spacing w:after="0" w:line="240" w:lineRule="auto"/>
        <w:contextualSpacing/>
        <w:jc w:val="both"/>
        <w:rPr>
          <w:rFonts w:ascii="Bookman Old Style" w:eastAsia="Times New Roman" w:hAnsi="Bookman Old Style" w:cs="Times New Roman"/>
          <w:sz w:val="24"/>
          <w:szCs w:val="24"/>
          <w:lang w:eastAsia="es-ES"/>
        </w:rPr>
      </w:pPr>
      <w:r>
        <w:rPr>
          <w:rFonts w:ascii="Bookman Old Style" w:eastAsia="Times New Roman" w:hAnsi="Bookman Old Style" w:cs="Times New Roman"/>
          <w:sz w:val="24"/>
          <w:szCs w:val="24"/>
          <w:lang w:eastAsia="es-ES"/>
        </w:rPr>
        <w:t>Los costos de conexión p</w:t>
      </w:r>
      <w:r w:rsidR="009B6673">
        <w:rPr>
          <w:rFonts w:ascii="Bookman Old Style" w:eastAsia="Times New Roman" w:hAnsi="Bookman Old Style" w:cs="Times New Roman"/>
          <w:sz w:val="24"/>
          <w:szCs w:val="24"/>
          <w:lang w:eastAsia="es-ES"/>
        </w:rPr>
        <w:t xml:space="preserve">odrán </w:t>
      </w:r>
      <w:r>
        <w:rPr>
          <w:rFonts w:ascii="Bookman Old Style" w:eastAsia="Times New Roman" w:hAnsi="Bookman Old Style" w:cs="Times New Roman"/>
          <w:sz w:val="24"/>
          <w:szCs w:val="24"/>
          <w:lang w:eastAsia="es-ES"/>
        </w:rPr>
        <w:t xml:space="preserve">ser </w:t>
      </w:r>
      <w:r w:rsidR="009B6673">
        <w:rPr>
          <w:rFonts w:ascii="Bookman Old Style" w:eastAsia="Times New Roman" w:hAnsi="Bookman Old Style" w:cs="Times New Roman"/>
          <w:sz w:val="24"/>
          <w:szCs w:val="24"/>
          <w:lang w:eastAsia="es-ES"/>
        </w:rPr>
        <w:t xml:space="preserve">establecido </w:t>
      </w:r>
      <w:r>
        <w:rPr>
          <w:rFonts w:ascii="Bookman Old Style" w:eastAsia="Times New Roman" w:hAnsi="Bookman Old Style" w:cs="Times New Roman"/>
          <w:sz w:val="24"/>
          <w:szCs w:val="24"/>
          <w:lang w:eastAsia="es-ES"/>
        </w:rPr>
        <w:t>por esta Comisión</w:t>
      </w:r>
      <w:r w:rsidR="009B6673">
        <w:rPr>
          <w:rFonts w:ascii="Bookman Old Style" w:eastAsia="Times New Roman" w:hAnsi="Bookman Old Style" w:cs="Times New Roman"/>
          <w:sz w:val="24"/>
          <w:szCs w:val="24"/>
          <w:lang w:eastAsia="es-ES"/>
        </w:rPr>
        <w:t>,</w:t>
      </w:r>
      <w:r>
        <w:rPr>
          <w:rFonts w:ascii="Bookman Old Style" w:eastAsia="Times New Roman" w:hAnsi="Bookman Old Style" w:cs="Times New Roman"/>
          <w:sz w:val="24"/>
          <w:szCs w:val="24"/>
          <w:lang w:eastAsia="es-ES"/>
        </w:rPr>
        <w:t xml:space="preserve"> según lo previsto la Ley 142 de 1994 en su artículo 39:</w:t>
      </w:r>
    </w:p>
    <w:p w14:paraId="440A167D" w14:textId="77777777" w:rsidR="007564BC" w:rsidRDefault="007564BC" w:rsidP="007564BC">
      <w:pPr>
        <w:spacing w:after="0" w:line="240" w:lineRule="auto"/>
        <w:contextualSpacing/>
        <w:jc w:val="both"/>
        <w:rPr>
          <w:rFonts w:ascii="Bookman Old Style" w:eastAsia="Times New Roman" w:hAnsi="Bookman Old Style" w:cs="Times New Roman"/>
          <w:sz w:val="24"/>
          <w:szCs w:val="24"/>
          <w:lang w:eastAsia="es-ES"/>
        </w:rPr>
      </w:pPr>
    </w:p>
    <w:p w14:paraId="520DA1C9" w14:textId="77777777" w:rsidR="007564BC" w:rsidRPr="006C3025" w:rsidRDefault="007564BC" w:rsidP="006C3025">
      <w:pPr>
        <w:spacing w:after="0" w:line="240" w:lineRule="auto"/>
        <w:ind w:left="284"/>
        <w:contextualSpacing/>
        <w:jc w:val="both"/>
        <w:rPr>
          <w:rFonts w:ascii="Bookman Old Style" w:eastAsia="Times New Roman" w:hAnsi="Bookman Old Style" w:cs="Times New Roman"/>
          <w:i/>
          <w:iCs/>
          <w:sz w:val="20"/>
          <w:szCs w:val="20"/>
          <w:lang w:eastAsia="es-ES"/>
        </w:rPr>
      </w:pPr>
      <w:r w:rsidRPr="006C3025">
        <w:rPr>
          <w:rFonts w:ascii="Bookman Old Style" w:eastAsia="Times New Roman" w:hAnsi="Bookman Old Style" w:cs="Times New Roman"/>
          <w:i/>
          <w:iCs/>
          <w:sz w:val="20"/>
          <w:szCs w:val="20"/>
          <w:lang w:eastAsia="es-ES"/>
        </w:rPr>
        <w:t xml:space="preserve">“(…) 39.4. Contratos en virtud de los cuales dos o </w:t>
      </w:r>
      <w:proofErr w:type="spellStart"/>
      <w:r w:rsidRPr="006C3025">
        <w:rPr>
          <w:rFonts w:ascii="Bookman Old Style" w:eastAsia="Times New Roman" w:hAnsi="Bookman Old Style" w:cs="Times New Roman"/>
          <w:i/>
          <w:iCs/>
          <w:sz w:val="20"/>
          <w:szCs w:val="20"/>
          <w:lang w:eastAsia="es-ES"/>
        </w:rPr>
        <w:t>mas</w:t>
      </w:r>
      <w:proofErr w:type="spellEnd"/>
      <w:r w:rsidRPr="006C3025">
        <w:rPr>
          <w:rFonts w:ascii="Bookman Old Style" w:eastAsia="Times New Roman" w:hAnsi="Bookman Old Style" w:cs="Times New Roman"/>
          <w:i/>
          <w:iCs/>
          <w:sz w:val="20"/>
          <w:szCs w:val="20"/>
          <w:lang w:eastAsia="es-ES"/>
        </w:rPr>
        <w:t xml:space="preserve"> entidades prestadoras de servicios públicos o éstas con grandes proveedores o usuarios, </w:t>
      </w:r>
      <w:r w:rsidRPr="006C3025">
        <w:rPr>
          <w:rFonts w:ascii="Bookman Old Style" w:eastAsia="Times New Roman" w:hAnsi="Bookman Old Style" w:cs="Times New Roman"/>
          <w:b/>
          <w:bCs/>
          <w:i/>
          <w:iCs/>
          <w:sz w:val="20"/>
          <w:szCs w:val="20"/>
          <w:u w:val="single"/>
          <w:lang w:eastAsia="es-ES"/>
        </w:rPr>
        <w:t>regulan el acceso compartido o de interconexión de bienes indispensables para la prestación de servicios públicos, mediante el pago de remuneración o peaje razonable</w:t>
      </w:r>
      <w:r w:rsidRPr="006C3025">
        <w:rPr>
          <w:rFonts w:ascii="Bookman Old Style" w:eastAsia="Times New Roman" w:hAnsi="Bookman Old Style" w:cs="Times New Roman"/>
          <w:i/>
          <w:iCs/>
          <w:sz w:val="20"/>
          <w:szCs w:val="20"/>
          <w:lang w:eastAsia="es-ES"/>
        </w:rPr>
        <w:t>.</w:t>
      </w:r>
    </w:p>
    <w:p w14:paraId="700476D4" w14:textId="77777777" w:rsidR="007564BC" w:rsidRPr="006C3025" w:rsidRDefault="007564BC" w:rsidP="006C3025">
      <w:pPr>
        <w:spacing w:after="0" w:line="240" w:lineRule="auto"/>
        <w:ind w:left="284"/>
        <w:contextualSpacing/>
        <w:jc w:val="both"/>
        <w:rPr>
          <w:rFonts w:ascii="Bookman Old Style" w:eastAsia="Times New Roman" w:hAnsi="Bookman Old Style" w:cs="Times New Roman"/>
          <w:i/>
          <w:iCs/>
          <w:sz w:val="20"/>
          <w:szCs w:val="20"/>
          <w:lang w:eastAsia="es-ES"/>
        </w:rPr>
      </w:pPr>
    </w:p>
    <w:p w14:paraId="764FA8E9" w14:textId="77777777" w:rsidR="007564BC" w:rsidRPr="006C3025" w:rsidRDefault="007564BC" w:rsidP="006C3025">
      <w:pPr>
        <w:spacing w:after="0" w:line="240" w:lineRule="auto"/>
        <w:ind w:left="284"/>
        <w:contextualSpacing/>
        <w:jc w:val="both"/>
        <w:rPr>
          <w:rFonts w:ascii="Bookman Old Style" w:eastAsia="Times New Roman" w:hAnsi="Bookman Old Style" w:cs="Times New Roman"/>
          <w:i/>
          <w:iCs/>
          <w:sz w:val="20"/>
          <w:szCs w:val="20"/>
          <w:lang w:eastAsia="es-ES"/>
        </w:rPr>
      </w:pPr>
      <w:r w:rsidRPr="006C3025">
        <w:rPr>
          <w:rFonts w:ascii="Bookman Old Style" w:eastAsia="Times New Roman" w:hAnsi="Bookman Old Style" w:cs="Times New Roman"/>
          <w:i/>
          <w:iCs/>
          <w:sz w:val="20"/>
          <w:szCs w:val="20"/>
          <w:lang w:eastAsia="es-ES"/>
        </w:rPr>
        <w:t>Este contrato puede celebrarse también entre una empresa de servicios públicos y cualquiera de sus grandes proveedores o usuarios.</w:t>
      </w:r>
    </w:p>
    <w:p w14:paraId="690FE342" w14:textId="77777777" w:rsidR="007564BC" w:rsidRPr="006C3025" w:rsidRDefault="007564BC" w:rsidP="006C3025">
      <w:pPr>
        <w:spacing w:after="0" w:line="240" w:lineRule="auto"/>
        <w:ind w:left="284"/>
        <w:contextualSpacing/>
        <w:jc w:val="both"/>
        <w:rPr>
          <w:rFonts w:ascii="Bookman Old Style" w:eastAsia="Times New Roman" w:hAnsi="Bookman Old Style" w:cs="Times New Roman"/>
          <w:i/>
          <w:iCs/>
          <w:sz w:val="20"/>
          <w:szCs w:val="20"/>
          <w:lang w:eastAsia="es-ES"/>
        </w:rPr>
      </w:pPr>
    </w:p>
    <w:p w14:paraId="218E5B7B" w14:textId="77777777" w:rsidR="007564BC" w:rsidRPr="006C3025" w:rsidRDefault="007564BC" w:rsidP="006C3025">
      <w:pPr>
        <w:spacing w:after="0" w:line="240" w:lineRule="auto"/>
        <w:ind w:left="284"/>
        <w:contextualSpacing/>
        <w:jc w:val="both"/>
        <w:rPr>
          <w:rFonts w:ascii="Bookman Old Style" w:eastAsia="Times New Roman" w:hAnsi="Bookman Old Style" w:cs="Times New Roman"/>
          <w:i/>
          <w:iCs/>
          <w:sz w:val="20"/>
          <w:szCs w:val="20"/>
          <w:lang w:eastAsia="es-ES"/>
        </w:rPr>
      </w:pPr>
      <w:r w:rsidRPr="006C3025">
        <w:rPr>
          <w:rFonts w:ascii="Bookman Old Style" w:eastAsia="Times New Roman" w:hAnsi="Bookman Old Style" w:cs="Times New Roman"/>
          <w:b/>
          <w:bCs/>
          <w:i/>
          <w:iCs/>
          <w:sz w:val="20"/>
          <w:szCs w:val="20"/>
          <w:u w:val="single"/>
          <w:lang w:eastAsia="es-ES"/>
        </w:rPr>
        <w:t>Si las partes no se convienen, en virtud de esta Ley la comisión de regulación podrá imponer una servidumbre de acceso o de interconexión a quien tenga el uso del bien</w:t>
      </w:r>
      <w:r w:rsidRPr="006C3025">
        <w:rPr>
          <w:rFonts w:ascii="Bookman Old Style" w:eastAsia="Times New Roman" w:hAnsi="Bookman Old Style" w:cs="Times New Roman"/>
          <w:i/>
          <w:iCs/>
          <w:sz w:val="20"/>
          <w:szCs w:val="20"/>
          <w:lang w:eastAsia="es-ES"/>
        </w:rPr>
        <w:t>. (…)”</w:t>
      </w:r>
    </w:p>
    <w:p w14:paraId="6D5844DD" w14:textId="77777777" w:rsidR="007564BC" w:rsidRDefault="007564BC" w:rsidP="007564BC">
      <w:pPr>
        <w:spacing w:after="0" w:line="240" w:lineRule="auto"/>
        <w:contextualSpacing/>
        <w:jc w:val="both"/>
        <w:rPr>
          <w:rFonts w:ascii="Bookman Old Style" w:eastAsia="Times New Roman" w:hAnsi="Bookman Old Style" w:cs="Times New Roman"/>
          <w:sz w:val="24"/>
          <w:szCs w:val="24"/>
          <w:lang w:eastAsia="es-ES"/>
        </w:rPr>
      </w:pPr>
    </w:p>
    <w:p w14:paraId="2A8EB275" w14:textId="7A94657D" w:rsidR="00C07DC6" w:rsidRDefault="0070122C" w:rsidP="002A13DB">
      <w:pPr>
        <w:spacing w:after="0" w:line="240" w:lineRule="auto"/>
        <w:contextualSpacing/>
        <w:jc w:val="both"/>
        <w:rPr>
          <w:rFonts w:ascii="Bookman Old Style" w:eastAsia="Times New Roman" w:hAnsi="Bookman Old Style" w:cs="Times New Roman"/>
          <w:sz w:val="24"/>
          <w:szCs w:val="24"/>
          <w:lang w:eastAsia="es-ES"/>
        </w:rPr>
      </w:pPr>
      <w:r>
        <w:rPr>
          <w:rFonts w:ascii="Bookman Old Style" w:eastAsia="Times New Roman" w:hAnsi="Bookman Old Style" w:cs="Times New Roman"/>
          <w:sz w:val="24"/>
          <w:szCs w:val="24"/>
          <w:lang w:eastAsia="es-ES"/>
        </w:rPr>
        <w:t>Considerando lo anterior</w:t>
      </w:r>
      <w:r w:rsidR="00B4041A">
        <w:rPr>
          <w:rFonts w:ascii="Bookman Old Style" w:eastAsia="Times New Roman" w:hAnsi="Bookman Old Style" w:cs="Times New Roman"/>
          <w:sz w:val="24"/>
          <w:szCs w:val="24"/>
          <w:lang w:eastAsia="es-ES"/>
        </w:rPr>
        <w:t xml:space="preserve"> y </w:t>
      </w:r>
      <w:r>
        <w:rPr>
          <w:rFonts w:ascii="Bookman Old Style" w:eastAsia="Times New Roman" w:hAnsi="Bookman Old Style" w:cs="Times New Roman"/>
          <w:sz w:val="24"/>
          <w:szCs w:val="24"/>
          <w:lang w:eastAsia="es-ES"/>
        </w:rPr>
        <w:t>que</w:t>
      </w:r>
      <w:r w:rsidR="00B4041A">
        <w:rPr>
          <w:rFonts w:ascii="Bookman Old Style" w:eastAsia="Times New Roman" w:hAnsi="Bookman Old Style" w:cs="Times New Roman"/>
          <w:sz w:val="24"/>
          <w:szCs w:val="24"/>
          <w:lang w:eastAsia="es-ES"/>
        </w:rPr>
        <w:t>: i)</w:t>
      </w:r>
      <w:r>
        <w:rPr>
          <w:rFonts w:ascii="Bookman Old Style" w:eastAsia="Times New Roman" w:hAnsi="Bookman Old Style" w:cs="Times New Roman"/>
          <w:sz w:val="24"/>
          <w:szCs w:val="24"/>
          <w:lang w:eastAsia="es-ES"/>
        </w:rPr>
        <w:t xml:space="preserve"> los costos de conexión presentados por DUE son </w:t>
      </w:r>
      <w:r w:rsidR="00B4041A">
        <w:rPr>
          <w:rFonts w:ascii="Bookman Old Style" w:eastAsia="Times New Roman" w:hAnsi="Bookman Old Style" w:cs="Times New Roman"/>
          <w:sz w:val="24"/>
          <w:szCs w:val="24"/>
          <w:lang w:eastAsia="es-ES"/>
        </w:rPr>
        <w:t>una estimación particular</w:t>
      </w:r>
      <w:r>
        <w:rPr>
          <w:rFonts w:ascii="Bookman Old Style" w:eastAsia="Times New Roman" w:hAnsi="Bookman Old Style" w:cs="Times New Roman"/>
          <w:sz w:val="24"/>
          <w:szCs w:val="24"/>
          <w:lang w:eastAsia="es-ES"/>
        </w:rPr>
        <w:t xml:space="preserve"> para el proyecto </w:t>
      </w:r>
      <w:proofErr w:type="spellStart"/>
      <w:r>
        <w:rPr>
          <w:rFonts w:ascii="Bookman Old Style" w:eastAsia="Times New Roman" w:hAnsi="Bookman Old Style" w:cs="Times New Roman"/>
          <w:sz w:val="24"/>
          <w:szCs w:val="24"/>
          <w:lang w:eastAsia="es-ES"/>
        </w:rPr>
        <w:t>Matakavi</w:t>
      </w:r>
      <w:proofErr w:type="spellEnd"/>
      <w:r>
        <w:rPr>
          <w:rFonts w:ascii="Bookman Old Style" w:eastAsia="Times New Roman" w:hAnsi="Bookman Old Style" w:cs="Times New Roman"/>
          <w:sz w:val="24"/>
          <w:szCs w:val="24"/>
          <w:lang w:eastAsia="es-ES"/>
        </w:rPr>
        <w:t>, en función de su posible ubicación, punto de conexión a la red de distribución y potencia</w:t>
      </w:r>
      <w:r w:rsidR="00234772">
        <w:rPr>
          <w:rFonts w:ascii="Bookman Old Style" w:eastAsia="Times New Roman" w:hAnsi="Bookman Old Style" w:cs="Times New Roman"/>
          <w:sz w:val="24"/>
          <w:szCs w:val="24"/>
          <w:lang w:eastAsia="es-ES"/>
        </w:rPr>
        <w:t>, y no genéricos para cualquier generador que pretenda instalar un sistema so</w:t>
      </w:r>
      <w:r w:rsidR="00B4041A">
        <w:rPr>
          <w:rFonts w:ascii="Bookman Old Style" w:eastAsia="Times New Roman" w:hAnsi="Bookman Old Style" w:cs="Times New Roman"/>
          <w:sz w:val="24"/>
          <w:szCs w:val="24"/>
          <w:lang w:eastAsia="es-ES"/>
        </w:rPr>
        <w:t xml:space="preserve">lar fotovoltaico con acumulación; </w:t>
      </w:r>
      <w:proofErr w:type="spellStart"/>
      <w:r w:rsidR="00B4041A">
        <w:rPr>
          <w:rFonts w:ascii="Bookman Old Style" w:eastAsia="Times New Roman" w:hAnsi="Bookman Old Style" w:cs="Times New Roman"/>
          <w:sz w:val="24"/>
          <w:szCs w:val="24"/>
          <w:lang w:eastAsia="es-ES"/>
        </w:rPr>
        <w:t>ii</w:t>
      </w:r>
      <w:proofErr w:type="spellEnd"/>
      <w:r w:rsidR="00B4041A">
        <w:rPr>
          <w:rFonts w:ascii="Bookman Old Style" w:eastAsia="Times New Roman" w:hAnsi="Bookman Old Style" w:cs="Times New Roman"/>
          <w:sz w:val="24"/>
          <w:szCs w:val="24"/>
          <w:lang w:eastAsia="es-ES"/>
        </w:rPr>
        <w:t xml:space="preserve">) </w:t>
      </w:r>
      <w:r>
        <w:rPr>
          <w:rFonts w:ascii="Bookman Old Style" w:eastAsia="Times New Roman" w:hAnsi="Bookman Old Style" w:cs="Times New Roman"/>
          <w:sz w:val="24"/>
          <w:szCs w:val="24"/>
          <w:lang w:eastAsia="es-ES"/>
        </w:rPr>
        <w:t xml:space="preserve">los equipos </w:t>
      </w:r>
      <w:r w:rsidR="00B4041A">
        <w:rPr>
          <w:rFonts w:ascii="Bookman Old Style" w:eastAsia="Times New Roman" w:hAnsi="Bookman Old Style" w:cs="Times New Roman"/>
          <w:sz w:val="24"/>
          <w:szCs w:val="24"/>
          <w:lang w:eastAsia="es-ES"/>
        </w:rPr>
        <w:t xml:space="preserve">y demás actividades necesarias </w:t>
      </w:r>
      <w:r>
        <w:rPr>
          <w:rFonts w:ascii="Bookman Old Style" w:eastAsia="Times New Roman" w:hAnsi="Bookman Old Style" w:cs="Times New Roman"/>
          <w:sz w:val="24"/>
          <w:szCs w:val="24"/>
          <w:lang w:eastAsia="es-ES"/>
        </w:rPr>
        <w:t xml:space="preserve">para la coordinación de </w:t>
      </w:r>
      <w:r w:rsidR="00B4041A">
        <w:rPr>
          <w:rFonts w:ascii="Bookman Old Style" w:eastAsia="Times New Roman" w:hAnsi="Bookman Old Style" w:cs="Times New Roman"/>
          <w:sz w:val="24"/>
          <w:szCs w:val="24"/>
          <w:lang w:eastAsia="es-ES"/>
        </w:rPr>
        <w:t xml:space="preserve">recursos energéticos solo se determinarán una vez se tenga definida y aprobada la conexión de algún sistema de generación en particular al sistema de distribución, por parte del respectivo distribuidor; </w:t>
      </w:r>
      <w:proofErr w:type="spellStart"/>
      <w:r w:rsidR="00B4041A">
        <w:rPr>
          <w:rFonts w:ascii="Bookman Old Style" w:eastAsia="Times New Roman" w:hAnsi="Bookman Old Style" w:cs="Times New Roman"/>
          <w:sz w:val="24"/>
          <w:szCs w:val="24"/>
          <w:lang w:eastAsia="es-ES"/>
        </w:rPr>
        <w:t>iii</w:t>
      </w:r>
      <w:proofErr w:type="spellEnd"/>
      <w:r w:rsidR="00B4041A">
        <w:rPr>
          <w:rFonts w:ascii="Bookman Old Style" w:eastAsia="Times New Roman" w:hAnsi="Bookman Old Style" w:cs="Times New Roman"/>
          <w:sz w:val="24"/>
          <w:szCs w:val="24"/>
          <w:lang w:eastAsia="es-ES"/>
        </w:rPr>
        <w:t xml:space="preserve">) la solicitud de DUE hace referencia a tener un cargo máximo de generación de energía eléctrica a partir de sistemas solares fotovoltaicos con acumulación; la solicitud </w:t>
      </w:r>
      <w:r w:rsidR="00D13D2A">
        <w:rPr>
          <w:rFonts w:ascii="Bookman Old Style" w:eastAsia="Times New Roman" w:hAnsi="Bookman Old Style" w:cs="Times New Roman"/>
          <w:sz w:val="24"/>
          <w:szCs w:val="24"/>
          <w:lang w:eastAsia="es-ES"/>
        </w:rPr>
        <w:t xml:space="preserve">en este numeral del recuro, </w:t>
      </w:r>
      <w:r w:rsidR="00B4041A">
        <w:rPr>
          <w:rFonts w:ascii="Bookman Old Style" w:eastAsia="Times New Roman" w:hAnsi="Bookman Old Style" w:cs="Times New Roman"/>
          <w:sz w:val="24"/>
          <w:szCs w:val="24"/>
          <w:lang w:eastAsia="es-ES"/>
        </w:rPr>
        <w:t xml:space="preserve">de considerar los </w:t>
      </w:r>
      <w:r w:rsidR="00B4041A" w:rsidRPr="00B4041A">
        <w:rPr>
          <w:rFonts w:ascii="Bookman Old Style" w:eastAsia="Times New Roman" w:hAnsi="Bookman Old Style" w:cs="Times New Roman"/>
          <w:sz w:val="24"/>
          <w:szCs w:val="24"/>
          <w:lang w:eastAsia="es-ES"/>
        </w:rPr>
        <w:t>componentes que son requeridos para la coordinación de la operación de los distintos recursos de generación (PCH, Diésel) y que serían instalados en los activos operados por GENSA</w:t>
      </w:r>
      <w:r w:rsidR="00D13D2A">
        <w:rPr>
          <w:rFonts w:ascii="Bookman Old Style" w:eastAsia="Times New Roman" w:hAnsi="Bookman Old Style" w:cs="Times New Roman"/>
          <w:sz w:val="24"/>
          <w:szCs w:val="24"/>
          <w:lang w:eastAsia="es-ES"/>
        </w:rPr>
        <w:t>, no es procedente.</w:t>
      </w:r>
    </w:p>
    <w:p w14:paraId="2D6C96D9" w14:textId="77777777" w:rsidR="004767D5" w:rsidRPr="004767D5" w:rsidRDefault="004767D5" w:rsidP="002A13DB">
      <w:pPr>
        <w:spacing w:after="0" w:line="240" w:lineRule="auto"/>
        <w:contextualSpacing/>
        <w:jc w:val="both"/>
        <w:rPr>
          <w:rFonts w:ascii="Bookman Old Style" w:eastAsia="Times New Roman" w:hAnsi="Bookman Old Style" w:cs="Times New Roman"/>
          <w:sz w:val="24"/>
          <w:szCs w:val="24"/>
          <w:lang w:eastAsia="es-ES"/>
        </w:rPr>
      </w:pPr>
    </w:p>
    <w:p w14:paraId="580FE254" w14:textId="5DE40875" w:rsidR="00F03EB7" w:rsidRPr="00F03EB7" w:rsidRDefault="00F03EB7" w:rsidP="002A13DB">
      <w:pPr>
        <w:spacing w:after="0" w:line="240" w:lineRule="auto"/>
        <w:contextualSpacing/>
        <w:jc w:val="both"/>
        <w:rPr>
          <w:rFonts w:ascii="Bookman Old Style" w:eastAsia="Times New Roman" w:hAnsi="Bookman Old Style" w:cs="Times New Roman"/>
          <w:b/>
          <w:bCs/>
          <w:i/>
          <w:iCs/>
          <w:sz w:val="24"/>
          <w:szCs w:val="24"/>
          <w:lang w:eastAsia="es-ES"/>
        </w:rPr>
      </w:pPr>
      <w:r w:rsidRPr="00F03EB7">
        <w:rPr>
          <w:rFonts w:ascii="Bookman Old Style" w:eastAsia="Times New Roman" w:hAnsi="Bookman Old Style" w:cs="Times New Roman"/>
          <w:b/>
          <w:bCs/>
          <w:i/>
          <w:iCs/>
          <w:sz w:val="24"/>
          <w:szCs w:val="24"/>
          <w:lang w:eastAsia="es-ES"/>
        </w:rPr>
        <w:t xml:space="preserve">5. Eliminación del valor mínimo del factor </w:t>
      </w:r>
      <m:oMath>
        <m:sSub>
          <m:sSubPr>
            <m:ctrlPr>
              <w:rPr>
                <w:rFonts w:ascii="Cambria Math" w:eastAsia="Times New Roman" w:hAnsi="Cambria Math" w:cs="Times New Roman"/>
                <w:b/>
                <w:bCs/>
                <w:i/>
                <w:iCs/>
                <w:sz w:val="24"/>
                <w:szCs w:val="24"/>
                <w:lang w:eastAsia="es-ES"/>
              </w:rPr>
            </m:ctrlPr>
          </m:sSubPr>
          <m:e>
            <m:r>
              <m:rPr>
                <m:sty m:val="bi"/>
              </m:rPr>
              <w:rPr>
                <w:rFonts w:ascii="Cambria Math" w:eastAsia="Times New Roman" w:hAnsi="Cambria Math" w:cs="Times New Roman"/>
                <w:sz w:val="24"/>
                <w:szCs w:val="24"/>
                <w:lang w:eastAsia="es-ES"/>
              </w:rPr>
              <m:t>α</m:t>
            </m:r>
          </m:e>
          <m:sub>
            <m:r>
              <m:rPr>
                <m:sty m:val="bi"/>
              </m:rPr>
              <w:rPr>
                <w:rFonts w:ascii="Cambria Math" w:eastAsia="Times New Roman" w:hAnsi="Cambria Math" w:cs="Times New Roman"/>
                <w:sz w:val="24"/>
                <w:szCs w:val="24"/>
                <w:lang w:eastAsia="es-ES"/>
              </w:rPr>
              <m:t>m</m:t>
            </m:r>
          </m:sub>
        </m:sSub>
      </m:oMath>
      <w:r w:rsidRPr="00F03EB7">
        <w:rPr>
          <w:rFonts w:ascii="Bookman Old Style" w:eastAsia="Times New Roman" w:hAnsi="Bookman Old Style" w:cs="Times New Roman"/>
          <w:b/>
          <w:bCs/>
          <w:i/>
          <w:iCs/>
          <w:sz w:val="24"/>
          <w:szCs w:val="24"/>
          <w:lang w:eastAsia="es-ES"/>
        </w:rPr>
        <w:t xml:space="preserve"> de la fórmula de actualización de Cargos Máximos de Generación.</w:t>
      </w:r>
      <w:r w:rsidR="008E5468">
        <w:rPr>
          <w:rFonts w:ascii="Bookman Old Style" w:eastAsia="Times New Roman" w:hAnsi="Bookman Old Style" w:cs="Times New Roman"/>
          <w:b/>
          <w:bCs/>
          <w:i/>
          <w:iCs/>
          <w:sz w:val="24"/>
          <w:szCs w:val="24"/>
          <w:lang w:eastAsia="es-ES"/>
        </w:rPr>
        <w:t xml:space="preserve"> </w:t>
      </w:r>
    </w:p>
    <w:p w14:paraId="180A23E6" w14:textId="78F5D422" w:rsidR="00F03EB7" w:rsidRDefault="00F03EB7" w:rsidP="002A13DB">
      <w:pPr>
        <w:spacing w:after="0" w:line="240" w:lineRule="auto"/>
        <w:contextualSpacing/>
        <w:jc w:val="both"/>
        <w:rPr>
          <w:rFonts w:ascii="Bookman Old Style" w:eastAsia="Times New Roman" w:hAnsi="Bookman Old Style" w:cs="Times New Roman"/>
          <w:sz w:val="24"/>
          <w:szCs w:val="24"/>
          <w:lang w:eastAsia="es-ES"/>
        </w:rPr>
      </w:pPr>
    </w:p>
    <w:p w14:paraId="09D80A93" w14:textId="394E0662" w:rsidR="00A64020" w:rsidRDefault="007A62E1" w:rsidP="002A13DB">
      <w:pPr>
        <w:spacing w:after="0" w:line="240" w:lineRule="auto"/>
        <w:contextualSpacing/>
        <w:jc w:val="both"/>
        <w:rPr>
          <w:rFonts w:ascii="Bookman Old Style" w:eastAsia="Times New Roman" w:hAnsi="Bookman Old Style" w:cs="Times New Roman"/>
          <w:sz w:val="24"/>
          <w:szCs w:val="24"/>
          <w:lang w:eastAsia="es-ES"/>
        </w:rPr>
      </w:pPr>
      <w:r>
        <w:rPr>
          <w:rFonts w:ascii="Bookman Old Style" w:eastAsia="Times New Roman" w:hAnsi="Bookman Old Style" w:cs="Times New Roman"/>
          <w:sz w:val="24"/>
          <w:szCs w:val="24"/>
          <w:lang w:eastAsia="es-ES"/>
        </w:rPr>
        <w:t xml:space="preserve">El valor </w:t>
      </w:r>
      <m:oMath>
        <m:sSub>
          <m:sSubPr>
            <m:ctrlPr>
              <w:rPr>
                <w:rFonts w:ascii="Cambria Math" w:eastAsia="Times New Roman" w:hAnsi="Cambria Math" w:cs="Times New Roman"/>
                <w:i/>
                <w:sz w:val="24"/>
                <w:szCs w:val="24"/>
                <w:lang w:eastAsia="es-ES"/>
              </w:rPr>
            </m:ctrlPr>
          </m:sSubPr>
          <m:e>
            <m:r>
              <w:rPr>
                <w:rFonts w:ascii="Cambria Math" w:eastAsia="Times New Roman" w:hAnsi="Cambria Math" w:cs="Times New Roman"/>
                <w:sz w:val="24"/>
                <w:szCs w:val="24"/>
                <w:lang w:eastAsia="es-ES"/>
              </w:rPr>
              <m:t>α</m:t>
            </m:r>
          </m:e>
          <m:sub>
            <m:r>
              <w:rPr>
                <w:rFonts w:ascii="Cambria Math" w:eastAsia="Times New Roman" w:hAnsi="Cambria Math" w:cs="Times New Roman"/>
                <w:sz w:val="24"/>
                <w:szCs w:val="24"/>
                <w:lang w:eastAsia="es-ES"/>
              </w:rPr>
              <m:t>m</m:t>
            </m:r>
          </m:sub>
        </m:sSub>
      </m:oMath>
      <w:r>
        <w:rPr>
          <w:rFonts w:ascii="Bookman Old Style" w:eastAsia="Times New Roman" w:hAnsi="Bookman Old Style" w:cs="Times New Roman"/>
          <w:sz w:val="24"/>
          <w:szCs w:val="24"/>
          <w:lang w:eastAsia="es-ES"/>
        </w:rPr>
        <w:t xml:space="preserve"> adoptado por la Comisión</w:t>
      </w:r>
      <w:r w:rsidR="00066C33">
        <w:rPr>
          <w:rFonts w:ascii="Bookman Old Style" w:eastAsia="Times New Roman" w:hAnsi="Bookman Old Style" w:cs="Times New Roman"/>
          <w:sz w:val="24"/>
          <w:szCs w:val="24"/>
          <w:lang w:eastAsia="es-ES"/>
        </w:rPr>
        <w:t>,</w:t>
      </w:r>
      <w:r>
        <w:rPr>
          <w:rFonts w:ascii="Bookman Old Style" w:eastAsia="Times New Roman" w:hAnsi="Bookman Old Style" w:cs="Times New Roman"/>
          <w:sz w:val="24"/>
          <w:szCs w:val="24"/>
          <w:lang w:eastAsia="es-ES"/>
        </w:rPr>
        <w:t xml:space="preserve"> en la definición de los costos eficientes de generación para el mercado relevante de comercialización de la cabecera municipal de Mitú, </w:t>
      </w:r>
      <w:r w:rsidR="00066C33">
        <w:rPr>
          <w:rFonts w:ascii="Bookman Old Style" w:eastAsia="Times New Roman" w:hAnsi="Bookman Old Style" w:cs="Times New Roman"/>
          <w:sz w:val="24"/>
          <w:szCs w:val="24"/>
          <w:lang w:eastAsia="es-ES"/>
        </w:rPr>
        <w:t xml:space="preserve">que </w:t>
      </w:r>
      <w:r>
        <w:rPr>
          <w:rFonts w:ascii="Bookman Old Style" w:eastAsia="Times New Roman" w:hAnsi="Bookman Old Style" w:cs="Times New Roman"/>
          <w:sz w:val="24"/>
          <w:szCs w:val="24"/>
          <w:lang w:eastAsia="es-ES"/>
        </w:rPr>
        <w:t>indica la proporción mínima del costo del componente solar fotovoltaico que debe considerarse en el cálculo del costo de generación del sistema solar fotovoltaico con acumulación, resulta del análisis de eficiencia presentado por DUE en su solicitud, considerando el aporte de múltiples recursos de generación para atender las necesidades de energía eléctrica en ese mercado relevante.</w:t>
      </w:r>
    </w:p>
    <w:p w14:paraId="2916138B" w14:textId="4EF87DCF" w:rsidR="007A62E1" w:rsidRDefault="007A62E1" w:rsidP="002A13DB">
      <w:pPr>
        <w:spacing w:after="0" w:line="240" w:lineRule="auto"/>
        <w:contextualSpacing/>
        <w:jc w:val="both"/>
        <w:rPr>
          <w:rFonts w:ascii="Bookman Old Style" w:eastAsia="Times New Roman" w:hAnsi="Bookman Old Style" w:cs="Times New Roman"/>
          <w:sz w:val="24"/>
          <w:szCs w:val="24"/>
          <w:lang w:eastAsia="es-ES"/>
        </w:rPr>
      </w:pPr>
    </w:p>
    <w:p w14:paraId="2DFF3E86" w14:textId="70F688A0" w:rsidR="007A62E1" w:rsidRDefault="007A62E1" w:rsidP="002A13DB">
      <w:pPr>
        <w:spacing w:after="0" w:line="240" w:lineRule="auto"/>
        <w:contextualSpacing/>
        <w:jc w:val="both"/>
        <w:rPr>
          <w:rFonts w:ascii="Bookman Old Style" w:eastAsia="Times New Roman" w:hAnsi="Bookman Old Style" w:cs="Times New Roman"/>
          <w:sz w:val="24"/>
          <w:szCs w:val="24"/>
          <w:lang w:eastAsia="es-ES"/>
        </w:rPr>
      </w:pPr>
      <w:r>
        <w:rPr>
          <w:rFonts w:ascii="Bookman Old Style" w:eastAsia="Times New Roman" w:hAnsi="Bookman Old Style" w:cs="Times New Roman"/>
          <w:sz w:val="24"/>
          <w:szCs w:val="24"/>
          <w:lang w:eastAsia="es-ES"/>
        </w:rPr>
        <w:t>Considerando lo anterior</w:t>
      </w:r>
      <w:r w:rsidR="006C3025">
        <w:rPr>
          <w:rFonts w:ascii="Bookman Old Style" w:eastAsia="Times New Roman" w:hAnsi="Bookman Old Style" w:cs="Times New Roman"/>
          <w:sz w:val="24"/>
          <w:szCs w:val="24"/>
          <w:lang w:eastAsia="es-ES"/>
        </w:rPr>
        <w:t>,</w:t>
      </w:r>
      <w:r>
        <w:rPr>
          <w:rFonts w:ascii="Bookman Old Style" w:eastAsia="Times New Roman" w:hAnsi="Bookman Old Style" w:cs="Times New Roman"/>
          <w:sz w:val="24"/>
          <w:szCs w:val="24"/>
          <w:lang w:eastAsia="es-ES"/>
        </w:rPr>
        <w:t xml:space="preserve"> y como señal de eficiencia, teniendo en cuenta que la energía entregada mediante almacenamiento tiene el mayor costo por unidad, esta Comisión define que el costo máximo de generación que puede trasladarse a los usuarios, en el mencionado mercado relevante de comercialización, </w:t>
      </w:r>
      <w:r w:rsidR="00FD0FD3">
        <w:rPr>
          <w:rFonts w:ascii="Bookman Old Style" w:eastAsia="Times New Roman" w:hAnsi="Bookman Old Style" w:cs="Times New Roman"/>
          <w:sz w:val="24"/>
          <w:szCs w:val="24"/>
          <w:lang w:eastAsia="es-ES"/>
        </w:rPr>
        <w:t xml:space="preserve">deber tener como mínimo un peso porcentual del 75.8% del costo del componente solar fotovoltaico, es decir, máximo un </w:t>
      </w:r>
      <w:r>
        <w:rPr>
          <w:rFonts w:ascii="Bookman Old Style" w:eastAsia="Times New Roman" w:hAnsi="Bookman Old Style" w:cs="Times New Roman"/>
          <w:sz w:val="24"/>
          <w:szCs w:val="24"/>
          <w:lang w:eastAsia="es-ES"/>
        </w:rPr>
        <w:t>24.2% de</w:t>
      </w:r>
      <w:r w:rsidR="00FD0FD3">
        <w:rPr>
          <w:rFonts w:ascii="Bookman Old Style" w:eastAsia="Times New Roman" w:hAnsi="Bookman Old Style" w:cs="Times New Roman"/>
          <w:sz w:val="24"/>
          <w:szCs w:val="24"/>
          <w:lang w:eastAsia="es-ES"/>
        </w:rPr>
        <w:t xml:space="preserve">l costo del componente de </w:t>
      </w:r>
      <w:r>
        <w:rPr>
          <w:rFonts w:ascii="Bookman Old Style" w:eastAsia="Times New Roman" w:hAnsi="Bookman Old Style" w:cs="Times New Roman"/>
          <w:sz w:val="24"/>
          <w:szCs w:val="24"/>
          <w:lang w:eastAsia="es-ES"/>
        </w:rPr>
        <w:t>almacenamiento</w:t>
      </w:r>
      <w:r w:rsidR="00FD0FD3">
        <w:rPr>
          <w:rFonts w:ascii="Bookman Old Style" w:eastAsia="Times New Roman" w:hAnsi="Bookman Old Style" w:cs="Times New Roman"/>
          <w:sz w:val="24"/>
          <w:szCs w:val="24"/>
          <w:lang w:eastAsia="es-ES"/>
        </w:rPr>
        <w:t>.</w:t>
      </w:r>
    </w:p>
    <w:p w14:paraId="4F89687A" w14:textId="57870F6D" w:rsidR="00A64020" w:rsidRDefault="00A64020" w:rsidP="002A13DB">
      <w:pPr>
        <w:spacing w:after="0" w:line="240" w:lineRule="auto"/>
        <w:contextualSpacing/>
        <w:jc w:val="both"/>
        <w:rPr>
          <w:rFonts w:ascii="Bookman Old Style" w:eastAsia="Times New Roman" w:hAnsi="Bookman Old Style" w:cs="Times New Roman"/>
          <w:sz w:val="24"/>
          <w:szCs w:val="24"/>
          <w:lang w:eastAsia="es-ES"/>
        </w:rPr>
      </w:pPr>
    </w:p>
    <w:p w14:paraId="51B0E46F" w14:textId="77777777" w:rsidR="005531B1" w:rsidRDefault="00FD0FD3" w:rsidP="002A13DB">
      <w:pPr>
        <w:spacing w:after="0" w:line="240" w:lineRule="auto"/>
        <w:contextualSpacing/>
        <w:jc w:val="both"/>
        <w:rPr>
          <w:rFonts w:ascii="Bookman Old Style" w:eastAsia="Times New Roman" w:hAnsi="Bookman Old Style" w:cs="Times New Roman"/>
          <w:sz w:val="24"/>
          <w:szCs w:val="24"/>
          <w:lang w:eastAsia="es-ES"/>
        </w:rPr>
      </w:pPr>
      <w:r>
        <w:rPr>
          <w:rFonts w:ascii="Bookman Old Style" w:eastAsia="Times New Roman" w:hAnsi="Bookman Old Style" w:cs="Times New Roman"/>
          <w:sz w:val="24"/>
          <w:szCs w:val="24"/>
          <w:lang w:eastAsia="es-ES"/>
        </w:rPr>
        <w:t>Debe recordarse qu</w:t>
      </w:r>
      <w:r w:rsidR="00C946B3">
        <w:rPr>
          <w:rFonts w:ascii="Bookman Old Style" w:eastAsia="Times New Roman" w:hAnsi="Bookman Old Style" w:cs="Times New Roman"/>
          <w:sz w:val="24"/>
          <w:szCs w:val="24"/>
          <w:lang w:eastAsia="es-ES"/>
        </w:rPr>
        <w:t>e esta Comisión, al definir el cargo máximo de generación, establece</w:t>
      </w:r>
      <w:r w:rsidR="005531B1">
        <w:rPr>
          <w:rFonts w:ascii="Bookman Old Style" w:eastAsia="Times New Roman" w:hAnsi="Bookman Old Style" w:cs="Times New Roman"/>
          <w:sz w:val="24"/>
          <w:szCs w:val="24"/>
          <w:lang w:eastAsia="es-ES"/>
        </w:rPr>
        <w:t>,</w:t>
      </w:r>
      <w:r w:rsidR="00C946B3">
        <w:rPr>
          <w:rFonts w:ascii="Bookman Old Style" w:eastAsia="Times New Roman" w:hAnsi="Bookman Old Style" w:cs="Times New Roman"/>
          <w:sz w:val="24"/>
          <w:szCs w:val="24"/>
          <w:lang w:eastAsia="es-ES"/>
        </w:rPr>
        <w:t xml:space="preserve"> como </w:t>
      </w:r>
      <w:r>
        <w:rPr>
          <w:rFonts w:ascii="Bookman Old Style" w:eastAsia="Times New Roman" w:hAnsi="Bookman Old Style" w:cs="Times New Roman"/>
          <w:sz w:val="24"/>
          <w:szCs w:val="24"/>
          <w:lang w:eastAsia="es-ES"/>
        </w:rPr>
        <w:t>señal regulatoria</w:t>
      </w:r>
      <w:r w:rsidR="00C946B3">
        <w:rPr>
          <w:rFonts w:ascii="Bookman Old Style" w:eastAsia="Times New Roman" w:hAnsi="Bookman Old Style" w:cs="Times New Roman"/>
          <w:sz w:val="24"/>
          <w:szCs w:val="24"/>
          <w:lang w:eastAsia="es-ES"/>
        </w:rPr>
        <w:t xml:space="preserve"> y referente de eficiencia</w:t>
      </w:r>
      <w:r>
        <w:rPr>
          <w:rFonts w:ascii="Bookman Old Style" w:eastAsia="Times New Roman" w:hAnsi="Bookman Old Style" w:cs="Times New Roman"/>
          <w:sz w:val="24"/>
          <w:szCs w:val="24"/>
          <w:lang w:eastAsia="es-ES"/>
        </w:rPr>
        <w:t xml:space="preserve">, </w:t>
      </w:r>
      <w:r w:rsidR="00C946B3">
        <w:rPr>
          <w:rFonts w:ascii="Bookman Old Style" w:eastAsia="Times New Roman" w:hAnsi="Bookman Old Style" w:cs="Times New Roman"/>
          <w:sz w:val="24"/>
          <w:szCs w:val="24"/>
          <w:lang w:eastAsia="es-ES"/>
        </w:rPr>
        <w:t>e</w:t>
      </w:r>
      <w:r>
        <w:rPr>
          <w:rFonts w:ascii="Bookman Old Style" w:eastAsia="Times New Roman" w:hAnsi="Bookman Old Style" w:cs="Times New Roman"/>
          <w:sz w:val="24"/>
          <w:szCs w:val="24"/>
          <w:lang w:eastAsia="es-ES"/>
        </w:rPr>
        <w:t>l costo máximo que un prestador del servicio puede trasladar a los usuarios</w:t>
      </w:r>
      <w:r w:rsidR="00C946B3">
        <w:rPr>
          <w:rFonts w:ascii="Bookman Old Style" w:eastAsia="Times New Roman" w:hAnsi="Bookman Old Style" w:cs="Times New Roman"/>
          <w:sz w:val="24"/>
          <w:szCs w:val="24"/>
          <w:lang w:eastAsia="es-ES"/>
        </w:rPr>
        <w:t>. L</w:t>
      </w:r>
      <w:r>
        <w:rPr>
          <w:rFonts w:ascii="Bookman Old Style" w:eastAsia="Times New Roman" w:hAnsi="Bookman Old Style" w:cs="Times New Roman"/>
          <w:sz w:val="24"/>
          <w:szCs w:val="24"/>
          <w:lang w:eastAsia="es-ES"/>
        </w:rPr>
        <w:t xml:space="preserve">as decisiones </w:t>
      </w:r>
      <w:r w:rsidR="00C946B3">
        <w:rPr>
          <w:rFonts w:ascii="Bookman Old Style" w:eastAsia="Times New Roman" w:hAnsi="Bookman Old Style" w:cs="Times New Roman"/>
          <w:sz w:val="24"/>
          <w:szCs w:val="24"/>
          <w:lang w:eastAsia="es-ES"/>
        </w:rPr>
        <w:t xml:space="preserve">de </w:t>
      </w:r>
      <w:r>
        <w:rPr>
          <w:rFonts w:ascii="Bookman Old Style" w:eastAsia="Times New Roman" w:hAnsi="Bookman Old Style" w:cs="Times New Roman"/>
          <w:sz w:val="24"/>
          <w:szCs w:val="24"/>
          <w:lang w:eastAsia="es-ES"/>
        </w:rPr>
        <w:t xml:space="preserve">un </w:t>
      </w:r>
      <w:r w:rsidR="00C946B3">
        <w:rPr>
          <w:rFonts w:ascii="Bookman Old Style" w:eastAsia="Times New Roman" w:hAnsi="Bookman Old Style" w:cs="Times New Roman"/>
          <w:sz w:val="24"/>
          <w:szCs w:val="24"/>
          <w:lang w:eastAsia="es-ES"/>
        </w:rPr>
        <w:t>prestador del servicio,</w:t>
      </w:r>
      <w:r>
        <w:rPr>
          <w:rFonts w:ascii="Bookman Old Style" w:eastAsia="Times New Roman" w:hAnsi="Bookman Old Style" w:cs="Times New Roman"/>
          <w:sz w:val="24"/>
          <w:szCs w:val="24"/>
          <w:lang w:eastAsia="es-ES"/>
        </w:rPr>
        <w:t xml:space="preserve"> al momento de instalar capacidades de generación con este tipo de tecnologías</w:t>
      </w:r>
      <w:r w:rsidR="00C946B3">
        <w:rPr>
          <w:rFonts w:ascii="Bookman Old Style" w:eastAsia="Times New Roman" w:hAnsi="Bookman Old Style" w:cs="Times New Roman"/>
          <w:sz w:val="24"/>
          <w:szCs w:val="24"/>
          <w:lang w:eastAsia="es-ES"/>
        </w:rPr>
        <w:t xml:space="preserve">, como se ha mencionado, son a </w:t>
      </w:r>
      <w:r w:rsidR="005531B1">
        <w:rPr>
          <w:rFonts w:ascii="Bookman Old Style" w:eastAsia="Times New Roman" w:hAnsi="Bookman Old Style" w:cs="Times New Roman"/>
          <w:sz w:val="24"/>
          <w:szCs w:val="24"/>
          <w:lang w:eastAsia="es-ES"/>
        </w:rPr>
        <w:t xml:space="preserve">su </w:t>
      </w:r>
      <w:r w:rsidR="00C946B3">
        <w:rPr>
          <w:rFonts w:ascii="Bookman Old Style" w:eastAsia="Times New Roman" w:hAnsi="Bookman Old Style" w:cs="Times New Roman"/>
          <w:sz w:val="24"/>
          <w:szCs w:val="24"/>
          <w:lang w:eastAsia="es-ES"/>
        </w:rPr>
        <w:t>cuenta y riesgo</w:t>
      </w:r>
      <w:r>
        <w:rPr>
          <w:rFonts w:ascii="Bookman Old Style" w:eastAsia="Times New Roman" w:hAnsi="Bookman Old Style" w:cs="Times New Roman"/>
          <w:sz w:val="24"/>
          <w:szCs w:val="24"/>
          <w:lang w:eastAsia="es-ES"/>
        </w:rPr>
        <w:t>.</w:t>
      </w:r>
    </w:p>
    <w:p w14:paraId="2CBBB4B1" w14:textId="77777777" w:rsidR="005531B1" w:rsidRDefault="005531B1" w:rsidP="002A13DB">
      <w:pPr>
        <w:spacing w:after="0" w:line="240" w:lineRule="auto"/>
        <w:contextualSpacing/>
        <w:jc w:val="both"/>
        <w:rPr>
          <w:rFonts w:ascii="Bookman Old Style" w:eastAsia="Times New Roman" w:hAnsi="Bookman Old Style" w:cs="Times New Roman"/>
          <w:sz w:val="24"/>
          <w:szCs w:val="24"/>
          <w:lang w:eastAsia="es-ES"/>
        </w:rPr>
      </w:pPr>
    </w:p>
    <w:p w14:paraId="7B2780A4" w14:textId="380FAE69" w:rsidR="00FD0FD3" w:rsidRDefault="00FD0FD3" w:rsidP="002A13DB">
      <w:pPr>
        <w:spacing w:after="0" w:line="240" w:lineRule="auto"/>
        <w:contextualSpacing/>
        <w:jc w:val="both"/>
        <w:rPr>
          <w:rFonts w:ascii="Bookman Old Style" w:eastAsia="Times New Roman" w:hAnsi="Bookman Old Style" w:cs="Times New Roman"/>
          <w:sz w:val="24"/>
          <w:szCs w:val="24"/>
          <w:lang w:eastAsia="es-ES"/>
        </w:rPr>
      </w:pPr>
      <w:r>
        <w:rPr>
          <w:rFonts w:ascii="Bookman Old Style" w:eastAsia="Times New Roman" w:hAnsi="Bookman Old Style" w:cs="Times New Roman"/>
          <w:sz w:val="24"/>
          <w:szCs w:val="24"/>
          <w:lang w:eastAsia="es-ES"/>
        </w:rPr>
        <w:t>Aunque esta Comisión adopt</w:t>
      </w:r>
      <w:r w:rsidR="00C946B3">
        <w:rPr>
          <w:rFonts w:ascii="Bookman Old Style" w:eastAsia="Times New Roman" w:hAnsi="Bookman Old Style" w:cs="Times New Roman"/>
          <w:sz w:val="24"/>
          <w:szCs w:val="24"/>
          <w:lang w:eastAsia="es-ES"/>
        </w:rPr>
        <w:t>ó</w:t>
      </w:r>
      <w:r>
        <w:rPr>
          <w:rFonts w:ascii="Bookman Old Style" w:eastAsia="Times New Roman" w:hAnsi="Bookman Old Style" w:cs="Times New Roman"/>
          <w:sz w:val="24"/>
          <w:szCs w:val="24"/>
          <w:lang w:eastAsia="es-ES"/>
        </w:rPr>
        <w:t xml:space="preserve"> como referente el análisis de eficiencia presentado por DUE en su solicitud sobre el aporte de distintos recursos de generación al mercado relevante de Mitú, la definición del cargo máximo de generación se hace de manera general, sin establecer costos particulares de algún proyecto.</w:t>
      </w:r>
    </w:p>
    <w:p w14:paraId="6446D282" w14:textId="77777777" w:rsidR="00FD0FD3" w:rsidRDefault="00FD0FD3" w:rsidP="002A13DB">
      <w:pPr>
        <w:spacing w:after="0" w:line="240" w:lineRule="auto"/>
        <w:contextualSpacing/>
        <w:jc w:val="both"/>
        <w:rPr>
          <w:rFonts w:ascii="Bookman Old Style" w:eastAsia="Times New Roman" w:hAnsi="Bookman Old Style" w:cs="Times New Roman"/>
          <w:sz w:val="24"/>
          <w:szCs w:val="24"/>
          <w:lang w:eastAsia="es-ES"/>
        </w:rPr>
      </w:pPr>
    </w:p>
    <w:p w14:paraId="2ABF7138" w14:textId="1383D210" w:rsidR="005531B1" w:rsidRDefault="005531B1" w:rsidP="002A13DB">
      <w:pPr>
        <w:spacing w:after="0" w:line="240" w:lineRule="auto"/>
        <w:contextualSpacing/>
        <w:jc w:val="both"/>
        <w:rPr>
          <w:rFonts w:ascii="Bookman Old Style" w:eastAsia="Times New Roman" w:hAnsi="Bookman Old Style" w:cs="Times New Roman"/>
          <w:sz w:val="24"/>
          <w:szCs w:val="24"/>
          <w:lang w:eastAsia="es-ES"/>
        </w:rPr>
      </w:pPr>
      <w:r>
        <w:rPr>
          <w:rFonts w:ascii="Bookman Old Style" w:eastAsia="Times New Roman" w:hAnsi="Bookman Old Style" w:cs="Times New Roman"/>
          <w:sz w:val="24"/>
          <w:szCs w:val="24"/>
          <w:lang w:eastAsia="es-ES"/>
        </w:rPr>
        <w:t xml:space="preserve">Se revisa la decisión sobre la señal de cargo máximo de generación respecto del valor del </w:t>
      </w:r>
      <m:oMath>
        <m:sSub>
          <m:sSubPr>
            <m:ctrlPr>
              <w:rPr>
                <w:rFonts w:ascii="Cambria Math" w:eastAsia="Times New Roman" w:hAnsi="Cambria Math" w:cs="Times New Roman"/>
                <w:i/>
                <w:sz w:val="24"/>
                <w:szCs w:val="24"/>
                <w:lang w:eastAsia="es-ES"/>
              </w:rPr>
            </m:ctrlPr>
          </m:sSubPr>
          <m:e>
            <m:r>
              <w:rPr>
                <w:rFonts w:ascii="Cambria Math" w:eastAsia="Times New Roman" w:hAnsi="Cambria Math" w:cs="Times New Roman"/>
                <w:sz w:val="24"/>
                <w:szCs w:val="24"/>
                <w:lang w:eastAsia="es-ES"/>
              </w:rPr>
              <m:t>α</m:t>
            </m:r>
          </m:e>
          <m:sub>
            <m:r>
              <w:rPr>
                <w:rFonts w:ascii="Cambria Math" w:eastAsia="Times New Roman" w:hAnsi="Cambria Math" w:cs="Times New Roman"/>
                <w:sz w:val="24"/>
                <w:szCs w:val="24"/>
                <w:lang w:eastAsia="es-ES"/>
              </w:rPr>
              <m:t>m</m:t>
            </m:r>
          </m:sub>
        </m:sSub>
      </m:oMath>
      <w:r>
        <w:rPr>
          <w:rFonts w:ascii="Bookman Old Style" w:eastAsia="Times New Roman" w:hAnsi="Bookman Old Style" w:cs="Times New Roman"/>
          <w:sz w:val="24"/>
          <w:szCs w:val="24"/>
          <w:lang w:eastAsia="es-ES"/>
        </w:rPr>
        <w:t xml:space="preserve">, teniendo en cuenta el comentario presentado por DUE en el recurso, en el sentido </w:t>
      </w:r>
      <w:r w:rsidR="00377D00">
        <w:rPr>
          <w:rFonts w:ascii="Bookman Old Style" w:eastAsia="Times New Roman" w:hAnsi="Bookman Old Style" w:cs="Times New Roman"/>
          <w:sz w:val="24"/>
          <w:szCs w:val="24"/>
          <w:lang w:eastAsia="es-ES"/>
        </w:rPr>
        <w:t xml:space="preserve">en </w:t>
      </w:r>
      <w:r>
        <w:rPr>
          <w:rFonts w:ascii="Bookman Old Style" w:eastAsia="Times New Roman" w:hAnsi="Bookman Old Style" w:cs="Times New Roman"/>
          <w:sz w:val="24"/>
          <w:szCs w:val="24"/>
          <w:lang w:eastAsia="es-ES"/>
        </w:rPr>
        <w:t>que dicho referente fue definido considerando el aporte promedio de los recursos, entre alimentación directa desde generación solar fotovoltaica y almacenamiento, y se tienen per</w:t>
      </w:r>
      <w:r w:rsidR="005A05B9">
        <w:rPr>
          <w:rFonts w:ascii="Bookman Old Style" w:eastAsia="Times New Roman" w:hAnsi="Bookman Old Style" w:cs="Times New Roman"/>
          <w:sz w:val="24"/>
          <w:szCs w:val="24"/>
          <w:lang w:eastAsia="es-ES"/>
        </w:rPr>
        <w:t>í</w:t>
      </w:r>
      <w:r>
        <w:rPr>
          <w:rFonts w:ascii="Bookman Old Style" w:eastAsia="Times New Roman" w:hAnsi="Bookman Old Style" w:cs="Times New Roman"/>
          <w:sz w:val="24"/>
          <w:szCs w:val="24"/>
          <w:lang w:eastAsia="es-ES"/>
        </w:rPr>
        <w:t xml:space="preserve">odos en los cuales el recurso de almacenamiento puede ser mayor, considerando la degradación de los paneles solares y </w:t>
      </w:r>
      <w:r w:rsidR="00377D00">
        <w:rPr>
          <w:rFonts w:ascii="Bookman Old Style" w:eastAsia="Times New Roman" w:hAnsi="Bookman Old Style" w:cs="Times New Roman"/>
          <w:sz w:val="24"/>
          <w:szCs w:val="24"/>
          <w:lang w:eastAsia="es-ES"/>
        </w:rPr>
        <w:t>d</w:t>
      </w:r>
      <w:r>
        <w:rPr>
          <w:rFonts w:ascii="Bookman Old Style" w:eastAsia="Times New Roman" w:hAnsi="Bookman Old Style" w:cs="Times New Roman"/>
          <w:sz w:val="24"/>
          <w:szCs w:val="24"/>
          <w:lang w:eastAsia="es-ES"/>
        </w:rPr>
        <w:t>el mismo sistema de almacenamiento. En la siguiente tabla se ilustra el aporte de cada uno de los recursos según fueron considerados para determinar los cargos máximos, teniéndose como aporte mínimo del recurso solar fotovoltaico un 74.3%.</w:t>
      </w:r>
    </w:p>
    <w:p w14:paraId="1DCCDE43" w14:textId="57777D5D" w:rsidR="00FD0FD3" w:rsidRDefault="00FD0FD3" w:rsidP="002A13DB">
      <w:pPr>
        <w:spacing w:after="0" w:line="240" w:lineRule="auto"/>
        <w:contextualSpacing/>
        <w:jc w:val="both"/>
        <w:rPr>
          <w:rFonts w:ascii="Bookman Old Style" w:eastAsia="Times New Roman" w:hAnsi="Bookman Old Style" w:cs="Times New Roman"/>
          <w:sz w:val="24"/>
          <w:szCs w:val="24"/>
          <w:lang w:eastAsia="es-ES"/>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362"/>
        <w:gridCol w:w="2363"/>
        <w:gridCol w:w="2363"/>
        <w:gridCol w:w="1559"/>
      </w:tblGrid>
      <w:tr w:rsidR="00377D00" w:rsidRPr="00377D00" w14:paraId="4FB8AE5B" w14:textId="77777777" w:rsidTr="00A75928">
        <w:trPr>
          <w:trHeight w:val="1692"/>
          <w:tblHeader/>
        </w:trPr>
        <w:tc>
          <w:tcPr>
            <w:tcW w:w="567" w:type="dxa"/>
            <w:tcBorders>
              <w:top w:val="single" w:sz="4" w:space="0" w:color="auto"/>
              <w:left w:val="single" w:sz="4" w:space="0" w:color="auto"/>
              <w:bottom w:val="single" w:sz="4" w:space="0" w:color="FFFFFF" w:themeColor="background1"/>
              <w:right w:val="single" w:sz="4" w:space="0" w:color="FFFFFF" w:themeColor="background1"/>
            </w:tcBorders>
            <w:shd w:val="clear" w:color="auto" w:fill="244061" w:themeFill="accent1" w:themeFillShade="80"/>
            <w:noWrap/>
            <w:vAlign w:val="center"/>
            <w:hideMark/>
          </w:tcPr>
          <w:p w14:paraId="21204CDD" w14:textId="77777777" w:rsidR="004C0067" w:rsidRPr="004C0067" w:rsidRDefault="004C0067" w:rsidP="004C0067">
            <w:pPr>
              <w:spacing w:after="0" w:line="240" w:lineRule="auto"/>
              <w:jc w:val="center"/>
              <w:rPr>
                <w:rFonts w:ascii="Bookman Old Style" w:eastAsia="Times New Roman" w:hAnsi="Bookman Old Style" w:cs="Times New Roman"/>
                <w:b/>
                <w:bCs/>
                <w:color w:val="FFFFFF" w:themeColor="background1"/>
                <w:sz w:val="20"/>
                <w:szCs w:val="20"/>
                <w:lang w:eastAsia="es-CO"/>
              </w:rPr>
            </w:pPr>
            <w:r w:rsidRPr="004C0067">
              <w:rPr>
                <w:rFonts w:ascii="Bookman Old Style" w:eastAsia="Times New Roman" w:hAnsi="Bookman Old Style" w:cs="Times New Roman"/>
                <w:b/>
                <w:bCs/>
                <w:color w:val="FFFFFF" w:themeColor="background1"/>
                <w:sz w:val="20"/>
                <w:szCs w:val="20"/>
                <w:lang w:eastAsia="es-CO"/>
              </w:rPr>
              <w:t>Año</w:t>
            </w:r>
          </w:p>
        </w:tc>
        <w:tc>
          <w:tcPr>
            <w:tcW w:w="2362"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14:paraId="723CAE03" w14:textId="77777777" w:rsidR="00377D00" w:rsidRDefault="004C0067" w:rsidP="004C0067">
            <w:pPr>
              <w:spacing w:after="0" w:line="240" w:lineRule="auto"/>
              <w:jc w:val="center"/>
              <w:rPr>
                <w:rFonts w:ascii="Bookman Old Style" w:eastAsia="Times New Roman" w:hAnsi="Bookman Old Style" w:cs="Times New Roman"/>
                <w:b/>
                <w:bCs/>
                <w:color w:val="FFFFFF" w:themeColor="background1"/>
                <w:sz w:val="20"/>
                <w:szCs w:val="20"/>
                <w:lang w:eastAsia="es-CO"/>
              </w:rPr>
            </w:pPr>
            <w:r w:rsidRPr="004C0067">
              <w:rPr>
                <w:rFonts w:ascii="Bookman Old Style" w:eastAsia="Times New Roman" w:hAnsi="Bookman Old Style" w:cs="Times New Roman"/>
                <w:b/>
                <w:bCs/>
                <w:color w:val="FFFFFF" w:themeColor="background1"/>
                <w:sz w:val="20"/>
                <w:szCs w:val="20"/>
                <w:lang w:eastAsia="es-CO"/>
              </w:rPr>
              <w:t>Suministro de energía con recursos solares fotovoltaicos con alimentación directa a red</w:t>
            </w:r>
          </w:p>
          <w:p w14:paraId="6F31812A" w14:textId="65A12606" w:rsidR="004C0067" w:rsidRPr="004C0067" w:rsidRDefault="004C0067" w:rsidP="004C0067">
            <w:pPr>
              <w:spacing w:after="0" w:line="240" w:lineRule="auto"/>
              <w:jc w:val="center"/>
              <w:rPr>
                <w:rFonts w:ascii="Bookman Old Style" w:eastAsia="Times New Roman" w:hAnsi="Bookman Old Style" w:cs="Times New Roman"/>
                <w:b/>
                <w:bCs/>
                <w:color w:val="FFFFFF" w:themeColor="background1"/>
                <w:sz w:val="20"/>
                <w:szCs w:val="20"/>
                <w:lang w:eastAsia="es-CO"/>
              </w:rPr>
            </w:pPr>
            <w:r w:rsidRPr="00377D00">
              <w:rPr>
                <w:rFonts w:ascii="Bookman Old Style" w:eastAsia="Times New Roman" w:hAnsi="Bookman Old Style" w:cs="Times New Roman"/>
                <w:b/>
                <w:bCs/>
                <w:color w:val="FFFFFF" w:themeColor="background1"/>
                <w:sz w:val="20"/>
                <w:szCs w:val="20"/>
                <w:lang w:eastAsia="es-CO"/>
              </w:rPr>
              <w:t>(kWh)</w:t>
            </w:r>
          </w:p>
        </w:tc>
        <w:tc>
          <w:tcPr>
            <w:tcW w:w="2363"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14:paraId="59352204" w14:textId="214DB989" w:rsidR="004C0067" w:rsidRPr="004C0067" w:rsidRDefault="004C0067" w:rsidP="004C0067">
            <w:pPr>
              <w:spacing w:after="0" w:line="240" w:lineRule="auto"/>
              <w:jc w:val="center"/>
              <w:rPr>
                <w:rFonts w:ascii="Bookman Old Style" w:eastAsia="Times New Roman" w:hAnsi="Bookman Old Style" w:cs="Times New Roman"/>
                <w:b/>
                <w:bCs/>
                <w:color w:val="FFFFFF" w:themeColor="background1"/>
                <w:sz w:val="20"/>
                <w:szCs w:val="20"/>
                <w:lang w:eastAsia="es-CO"/>
              </w:rPr>
            </w:pPr>
            <w:r w:rsidRPr="004C0067">
              <w:rPr>
                <w:rFonts w:ascii="Bookman Old Style" w:eastAsia="Times New Roman" w:hAnsi="Bookman Old Style" w:cs="Times New Roman"/>
                <w:b/>
                <w:bCs/>
                <w:color w:val="FFFFFF" w:themeColor="background1"/>
                <w:sz w:val="20"/>
                <w:szCs w:val="20"/>
                <w:lang w:eastAsia="es-CO"/>
              </w:rPr>
              <w:t>Suministro de energía a partir de acumuladores de recursos energéticos solares fotovoltaicos</w:t>
            </w:r>
            <w:r w:rsidRPr="00377D00">
              <w:rPr>
                <w:rFonts w:ascii="Bookman Old Style" w:eastAsia="Times New Roman" w:hAnsi="Bookman Old Style" w:cs="Times New Roman"/>
                <w:b/>
                <w:bCs/>
                <w:color w:val="FFFFFF" w:themeColor="background1"/>
                <w:sz w:val="20"/>
                <w:szCs w:val="20"/>
                <w:lang w:eastAsia="es-CO"/>
              </w:rPr>
              <w:t xml:space="preserve"> (kWh)</w:t>
            </w:r>
          </w:p>
        </w:tc>
        <w:tc>
          <w:tcPr>
            <w:tcW w:w="2363"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14:paraId="6666D3BC" w14:textId="7AC7B149" w:rsidR="004C0067" w:rsidRPr="004C0067" w:rsidRDefault="004C0067" w:rsidP="004C0067">
            <w:pPr>
              <w:spacing w:after="0" w:line="240" w:lineRule="auto"/>
              <w:jc w:val="center"/>
              <w:rPr>
                <w:rFonts w:ascii="Bookman Old Style" w:eastAsia="Times New Roman" w:hAnsi="Bookman Old Style" w:cs="Times New Roman"/>
                <w:b/>
                <w:bCs/>
                <w:color w:val="FFFFFF" w:themeColor="background1"/>
                <w:sz w:val="20"/>
                <w:szCs w:val="20"/>
                <w:lang w:eastAsia="es-CO"/>
              </w:rPr>
            </w:pPr>
            <w:proofErr w:type="gramStart"/>
            <w:r w:rsidRPr="00377D00">
              <w:rPr>
                <w:rFonts w:ascii="Bookman Old Style" w:eastAsia="Times New Roman" w:hAnsi="Bookman Old Style" w:cs="Times New Roman"/>
                <w:b/>
                <w:bCs/>
                <w:color w:val="FFFFFF" w:themeColor="background1"/>
                <w:sz w:val="20"/>
                <w:szCs w:val="20"/>
                <w:lang w:eastAsia="es-CO"/>
              </w:rPr>
              <w:t>Total</w:t>
            </w:r>
            <w:proofErr w:type="gramEnd"/>
            <w:r w:rsidRPr="00377D00">
              <w:rPr>
                <w:rFonts w:ascii="Bookman Old Style" w:eastAsia="Times New Roman" w:hAnsi="Bookman Old Style" w:cs="Times New Roman"/>
                <w:b/>
                <w:bCs/>
                <w:color w:val="FFFFFF" w:themeColor="background1"/>
                <w:sz w:val="20"/>
                <w:szCs w:val="20"/>
                <w:lang w:eastAsia="es-CO"/>
              </w:rPr>
              <w:t xml:space="preserve"> s</w:t>
            </w:r>
            <w:r w:rsidRPr="004C0067">
              <w:rPr>
                <w:rFonts w:ascii="Bookman Old Style" w:eastAsia="Times New Roman" w:hAnsi="Bookman Old Style" w:cs="Times New Roman"/>
                <w:b/>
                <w:bCs/>
                <w:color w:val="FFFFFF" w:themeColor="background1"/>
                <w:sz w:val="20"/>
                <w:szCs w:val="20"/>
                <w:lang w:eastAsia="es-CO"/>
              </w:rPr>
              <w:t>uministro de energía con sistemas solares fotovoltaicos con acumulación</w:t>
            </w:r>
            <w:r w:rsidRPr="00377D00">
              <w:rPr>
                <w:rFonts w:ascii="Bookman Old Style" w:eastAsia="Times New Roman" w:hAnsi="Bookman Old Style" w:cs="Times New Roman"/>
                <w:b/>
                <w:bCs/>
                <w:color w:val="FFFFFF" w:themeColor="background1"/>
                <w:sz w:val="20"/>
                <w:szCs w:val="20"/>
                <w:lang w:eastAsia="es-CO"/>
              </w:rPr>
              <w:t xml:space="preserve"> (kWh)</w:t>
            </w:r>
          </w:p>
        </w:tc>
        <w:tc>
          <w:tcPr>
            <w:tcW w:w="1559" w:type="dxa"/>
            <w:tcBorders>
              <w:top w:val="single" w:sz="4" w:space="0" w:color="auto"/>
              <w:left w:val="single" w:sz="4" w:space="0" w:color="FFFFFF" w:themeColor="background1"/>
              <w:bottom w:val="single" w:sz="4" w:space="0" w:color="FFFFFF" w:themeColor="background1"/>
              <w:right w:val="single" w:sz="4" w:space="0" w:color="auto"/>
            </w:tcBorders>
            <w:shd w:val="clear" w:color="auto" w:fill="244061" w:themeFill="accent1" w:themeFillShade="80"/>
            <w:noWrap/>
            <w:vAlign w:val="center"/>
            <w:hideMark/>
          </w:tcPr>
          <w:p w14:paraId="6C000101" w14:textId="77777777" w:rsidR="004C0067" w:rsidRPr="00377D00" w:rsidRDefault="004C0067" w:rsidP="004C0067">
            <w:pPr>
              <w:spacing w:after="0" w:line="240" w:lineRule="auto"/>
              <w:jc w:val="center"/>
              <w:rPr>
                <w:rFonts w:ascii="Bookman Old Style" w:eastAsia="Times New Roman" w:hAnsi="Bookman Old Style" w:cs="Times New Roman"/>
                <w:b/>
                <w:bCs/>
                <w:color w:val="FFFFFF" w:themeColor="background1"/>
                <w:sz w:val="20"/>
                <w:szCs w:val="20"/>
                <w:lang w:eastAsia="es-CO"/>
              </w:rPr>
            </w:pPr>
            <w:r w:rsidRPr="004C0067">
              <w:rPr>
                <w:rFonts w:ascii="Bookman Old Style" w:eastAsia="Times New Roman" w:hAnsi="Bookman Old Style" w:cs="Times New Roman"/>
                <w:b/>
                <w:bCs/>
                <w:color w:val="FFFFFF" w:themeColor="background1"/>
                <w:sz w:val="20"/>
                <w:szCs w:val="20"/>
                <w:lang w:eastAsia="es-CO"/>
              </w:rPr>
              <w:t>Partici</w:t>
            </w:r>
            <w:r w:rsidRPr="00377D00">
              <w:rPr>
                <w:rFonts w:ascii="Bookman Old Style" w:eastAsia="Times New Roman" w:hAnsi="Bookman Old Style" w:cs="Times New Roman"/>
                <w:b/>
                <w:bCs/>
                <w:color w:val="FFFFFF" w:themeColor="background1"/>
                <w:sz w:val="20"/>
                <w:szCs w:val="20"/>
                <w:lang w:eastAsia="es-CO"/>
              </w:rPr>
              <w:t>pa</w:t>
            </w:r>
            <w:r w:rsidRPr="004C0067">
              <w:rPr>
                <w:rFonts w:ascii="Bookman Old Style" w:eastAsia="Times New Roman" w:hAnsi="Bookman Old Style" w:cs="Times New Roman"/>
                <w:b/>
                <w:bCs/>
                <w:color w:val="FFFFFF" w:themeColor="background1"/>
                <w:sz w:val="20"/>
                <w:szCs w:val="20"/>
                <w:lang w:eastAsia="es-CO"/>
              </w:rPr>
              <w:t>ción</w:t>
            </w:r>
          </w:p>
          <w:p w14:paraId="11D5BCCD" w14:textId="73D5CC00" w:rsidR="004C0067" w:rsidRPr="004C0067" w:rsidRDefault="004C0067" w:rsidP="004C0067">
            <w:pPr>
              <w:spacing w:after="0" w:line="240" w:lineRule="auto"/>
              <w:jc w:val="center"/>
              <w:rPr>
                <w:rFonts w:ascii="Bookman Old Style" w:eastAsia="Times New Roman" w:hAnsi="Bookman Old Style" w:cs="Times New Roman"/>
                <w:b/>
                <w:bCs/>
                <w:color w:val="FFFFFF" w:themeColor="background1"/>
                <w:sz w:val="20"/>
                <w:szCs w:val="20"/>
                <w:lang w:eastAsia="es-CO"/>
              </w:rPr>
            </w:pPr>
            <w:r w:rsidRPr="004C0067">
              <w:rPr>
                <w:rFonts w:ascii="Bookman Old Style" w:eastAsia="Times New Roman" w:hAnsi="Bookman Old Style" w:cs="Times New Roman"/>
                <w:b/>
                <w:bCs/>
                <w:color w:val="FFFFFF" w:themeColor="background1"/>
                <w:sz w:val="20"/>
                <w:szCs w:val="20"/>
                <w:lang w:eastAsia="es-CO"/>
              </w:rPr>
              <w:t>% SFV</w:t>
            </w:r>
          </w:p>
        </w:tc>
      </w:tr>
      <w:tr w:rsidR="00377D00" w:rsidRPr="004C0067" w14:paraId="387DAB7C" w14:textId="77777777" w:rsidTr="00A75928">
        <w:trPr>
          <w:trHeight w:val="255"/>
        </w:trPr>
        <w:tc>
          <w:tcPr>
            <w:tcW w:w="567" w:type="dxa"/>
            <w:tcBorders>
              <w:top w:val="single" w:sz="4" w:space="0" w:color="FFFFFF" w:themeColor="background1"/>
              <w:left w:val="single" w:sz="4" w:space="0" w:color="auto"/>
            </w:tcBorders>
            <w:shd w:val="clear" w:color="auto" w:fill="auto"/>
            <w:noWrap/>
            <w:vAlign w:val="center"/>
            <w:hideMark/>
          </w:tcPr>
          <w:p w14:paraId="7B05C780"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1</w:t>
            </w:r>
          </w:p>
        </w:tc>
        <w:tc>
          <w:tcPr>
            <w:tcW w:w="2362" w:type="dxa"/>
            <w:tcBorders>
              <w:top w:val="single" w:sz="4" w:space="0" w:color="FFFFFF" w:themeColor="background1"/>
            </w:tcBorders>
            <w:shd w:val="clear" w:color="auto" w:fill="auto"/>
            <w:noWrap/>
            <w:vAlign w:val="center"/>
            <w:hideMark/>
          </w:tcPr>
          <w:p w14:paraId="27C36FAA"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8,200,952</w:t>
            </w:r>
          </w:p>
        </w:tc>
        <w:tc>
          <w:tcPr>
            <w:tcW w:w="2363" w:type="dxa"/>
            <w:tcBorders>
              <w:top w:val="single" w:sz="4" w:space="0" w:color="FFFFFF" w:themeColor="background1"/>
            </w:tcBorders>
            <w:shd w:val="clear" w:color="auto" w:fill="auto"/>
            <w:noWrap/>
            <w:vAlign w:val="center"/>
            <w:hideMark/>
          </w:tcPr>
          <w:p w14:paraId="0F9F9178"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2,838,123</w:t>
            </w:r>
          </w:p>
        </w:tc>
        <w:tc>
          <w:tcPr>
            <w:tcW w:w="2363" w:type="dxa"/>
            <w:tcBorders>
              <w:top w:val="single" w:sz="4" w:space="0" w:color="FFFFFF" w:themeColor="background1"/>
            </w:tcBorders>
            <w:shd w:val="clear" w:color="auto" w:fill="auto"/>
            <w:noWrap/>
            <w:vAlign w:val="center"/>
            <w:hideMark/>
          </w:tcPr>
          <w:p w14:paraId="779C71B8"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11,039,075</w:t>
            </w:r>
          </w:p>
        </w:tc>
        <w:tc>
          <w:tcPr>
            <w:tcW w:w="1559" w:type="dxa"/>
            <w:tcBorders>
              <w:top w:val="single" w:sz="4" w:space="0" w:color="FFFFFF" w:themeColor="background1"/>
              <w:right w:val="single" w:sz="4" w:space="0" w:color="auto"/>
            </w:tcBorders>
            <w:shd w:val="clear" w:color="auto" w:fill="auto"/>
            <w:noWrap/>
            <w:vAlign w:val="center"/>
            <w:hideMark/>
          </w:tcPr>
          <w:p w14:paraId="47C3AAD6"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74.3%</w:t>
            </w:r>
          </w:p>
        </w:tc>
      </w:tr>
      <w:tr w:rsidR="00377D00" w:rsidRPr="004C0067" w14:paraId="41460779" w14:textId="77777777" w:rsidTr="00A75928">
        <w:trPr>
          <w:trHeight w:val="255"/>
        </w:trPr>
        <w:tc>
          <w:tcPr>
            <w:tcW w:w="567" w:type="dxa"/>
            <w:tcBorders>
              <w:left w:val="single" w:sz="4" w:space="0" w:color="auto"/>
            </w:tcBorders>
            <w:shd w:val="clear" w:color="auto" w:fill="auto"/>
            <w:noWrap/>
            <w:vAlign w:val="center"/>
            <w:hideMark/>
          </w:tcPr>
          <w:p w14:paraId="4828826C"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2</w:t>
            </w:r>
          </w:p>
        </w:tc>
        <w:tc>
          <w:tcPr>
            <w:tcW w:w="2362" w:type="dxa"/>
            <w:shd w:val="clear" w:color="auto" w:fill="auto"/>
            <w:noWrap/>
            <w:vAlign w:val="center"/>
            <w:hideMark/>
          </w:tcPr>
          <w:p w14:paraId="552042EC"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8,145,796</w:t>
            </w:r>
          </w:p>
        </w:tc>
        <w:tc>
          <w:tcPr>
            <w:tcW w:w="2363" w:type="dxa"/>
            <w:shd w:val="clear" w:color="auto" w:fill="auto"/>
            <w:noWrap/>
            <w:vAlign w:val="center"/>
            <w:hideMark/>
          </w:tcPr>
          <w:p w14:paraId="51B441D5"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2,795,551</w:t>
            </w:r>
          </w:p>
        </w:tc>
        <w:tc>
          <w:tcPr>
            <w:tcW w:w="2363" w:type="dxa"/>
            <w:shd w:val="clear" w:color="auto" w:fill="auto"/>
            <w:noWrap/>
            <w:vAlign w:val="center"/>
            <w:hideMark/>
          </w:tcPr>
          <w:p w14:paraId="0B4E6A04"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10,941,347</w:t>
            </w:r>
          </w:p>
        </w:tc>
        <w:tc>
          <w:tcPr>
            <w:tcW w:w="1559" w:type="dxa"/>
            <w:tcBorders>
              <w:right w:val="single" w:sz="4" w:space="0" w:color="auto"/>
            </w:tcBorders>
            <w:shd w:val="clear" w:color="auto" w:fill="auto"/>
            <w:noWrap/>
            <w:vAlign w:val="center"/>
            <w:hideMark/>
          </w:tcPr>
          <w:p w14:paraId="5A45C290"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74.4%</w:t>
            </w:r>
          </w:p>
        </w:tc>
      </w:tr>
      <w:tr w:rsidR="00377D00" w:rsidRPr="004C0067" w14:paraId="006B249F" w14:textId="77777777" w:rsidTr="00A75928">
        <w:trPr>
          <w:trHeight w:val="255"/>
        </w:trPr>
        <w:tc>
          <w:tcPr>
            <w:tcW w:w="567" w:type="dxa"/>
            <w:tcBorders>
              <w:left w:val="single" w:sz="4" w:space="0" w:color="auto"/>
            </w:tcBorders>
            <w:shd w:val="clear" w:color="auto" w:fill="auto"/>
            <w:noWrap/>
            <w:vAlign w:val="center"/>
            <w:hideMark/>
          </w:tcPr>
          <w:p w14:paraId="36997BC8"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3</w:t>
            </w:r>
          </w:p>
        </w:tc>
        <w:tc>
          <w:tcPr>
            <w:tcW w:w="2362" w:type="dxa"/>
            <w:shd w:val="clear" w:color="auto" w:fill="auto"/>
            <w:noWrap/>
            <w:vAlign w:val="center"/>
            <w:hideMark/>
          </w:tcPr>
          <w:p w14:paraId="392E84CB"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8,090,916</w:t>
            </w:r>
          </w:p>
        </w:tc>
        <w:tc>
          <w:tcPr>
            <w:tcW w:w="2363" w:type="dxa"/>
            <w:shd w:val="clear" w:color="auto" w:fill="auto"/>
            <w:noWrap/>
            <w:vAlign w:val="center"/>
            <w:hideMark/>
          </w:tcPr>
          <w:p w14:paraId="48A9311E"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2,753,618</w:t>
            </w:r>
          </w:p>
        </w:tc>
        <w:tc>
          <w:tcPr>
            <w:tcW w:w="2363" w:type="dxa"/>
            <w:shd w:val="clear" w:color="auto" w:fill="auto"/>
            <w:noWrap/>
            <w:vAlign w:val="center"/>
            <w:hideMark/>
          </w:tcPr>
          <w:p w14:paraId="1DCE2FC8"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10,844,534</w:t>
            </w:r>
          </w:p>
        </w:tc>
        <w:tc>
          <w:tcPr>
            <w:tcW w:w="1559" w:type="dxa"/>
            <w:tcBorders>
              <w:right w:val="single" w:sz="4" w:space="0" w:color="auto"/>
            </w:tcBorders>
            <w:shd w:val="clear" w:color="auto" w:fill="auto"/>
            <w:noWrap/>
            <w:vAlign w:val="center"/>
            <w:hideMark/>
          </w:tcPr>
          <w:p w14:paraId="0A0BC402"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74.6%</w:t>
            </w:r>
          </w:p>
        </w:tc>
      </w:tr>
      <w:tr w:rsidR="00377D00" w:rsidRPr="004C0067" w14:paraId="1920C842" w14:textId="77777777" w:rsidTr="00A75928">
        <w:trPr>
          <w:trHeight w:val="255"/>
        </w:trPr>
        <w:tc>
          <w:tcPr>
            <w:tcW w:w="567" w:type="dxa"/>
            <w:tcBorders>
              <w:left w:val="single" w:sz="4" w:space="0" w:color="auto"/>
            </w:tcBorders>
            <w:shd w:val="clear" w:color="auto" w:fill="auto"/>
            <w:noWrap/>
            <w:vAlign w:val="center"/>
            <w:hideMark/>
          </w:tcPr>
          <w:p w14:paraId="29689B77"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4</w:t>
            </w:r>
          </w:p>
        </w:tc>
        <w:tc>
          <w:tcPr>
            <w:tcW w:w="2362" w:type="dxa"/>
            <w:shd w:val="clear" w:color="auto" w:fill="auto"/>
            <w:noWrap/>
            <w:vAlign w:val="center"/>
            <w:hideMark/>
          </w:tcPr>
          <w:p w14:paraId="2D20E472"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8,036,311</w:t>
            </w:r>
          </w:p>
        </w:tc>
        <w:tc>
          <w:tcPr>
            <w:tcW w:w="2363" w:type="dxa"/>
            <w:shd w:val="clear" w:color="auto" w:fill="auto"/>
            <w:noWrap/>
            <w:vAlign w:val="center"/>
            <w:hideMark/>
          </w:tcPr>
          <w:p w14:paraId="61E8C1F1"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2,712,314</w:t>
            </w:r>
          </w:p>
        </w:tc>
        <w:tc>
          <w:tcPr>
            <w:tcW w:w="2363" w:type="dxa"/>
            <w:shd w:val="clear" w:color="auto" w:fill="auto"/>
            <w:noWrap/>
            <w:vAlign w:val="center"/>
            <w:hideMark/>
          </w:tcPr>
          <w:p w14:paraId="3965188D"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10,748,625</w:t>
            </w:r>
          </w:p>
        </w:tc>
        <w:tc>
          <w:tcPr>
            <w:tcW w:w="1559" w:type="dxa"/>
            <w:tcBorders>
              <w:right w:val="single" w:sz="4" w:space="0" w:color="auto"/>
            </w:tcBorders>
            <w:shd w:val="clear" w:color="auto" w:fill="auto"/>
            <w:noWrap/>
            <w:vAlign w:val="center"/>
            <w:hideMark/>
          </w:tcPr>
          <w:p w14:paraId="766B9ADB"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74.8%</w:t>
            </w:r>
          </w:p>
        </w:tc>
      </w:tr>
      <w:tr w:rsidR="00377D00" w:rsidRPr="004C0067" w14:paraId="66ED4C5A" w14:textId="77777777" w:rsidTr="00A75928">
        <w:trPr>
          <w:trHeight w:val="255"/>
        </w:trPr>
        <w:tc>
          <w:tcPr>
            <w:tcW w:w="567" w:type="dxa"/>
            <w:tcBorders>
              <w:left w:val="single" w:sz="4" w:space="0" w:color="auto"/>
            </w:tcBorders>
            <w:shd w:val="clear" w:color="auto" w:fill="auto"/>
            <w:noWrap/>
            <w:vAlign w:val="center"/>
            <w:hideMark/>
          </w:tcPr>
          <w:p w14:paraId="19AF59D4"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5</w:t>
            </w:r>
          </w:p>
        </w:tc>
        <w:tc>
          <w:tcPr>
            <w:tcW w:w="2362" w:type="dxa"/>
            <w:shd w:val="clear" w:color="auto" w:fill="auto"/>
            <w:noWrap/>
            <w:vAlign w:val="center"/>
            <w:hideMark/>
          </w:tcPr>
          <w:p w14:paraId="7715E949"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7,981,979</w:t>
            </w:r>
          </w:p>
        </w:tc>
        <w:tc>
          <w:tcPr>
            <w:tcW w:w="2363" w:type="dxa"/>
            <w:shd w:val="clear" w:color="auto" w:fill="auto"/>
            <w:noWrap/>
            <w:vAlign w:val="center"/>
            <w:hideMark/>
          </w:tcPr>
          <w:p w14:paraId="1EA39C78"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2,671,629</w:t>
            </w:r>
          </w:p>
        </w:tc>
        <w:tc>
          <w:tcPr>
            <w:tcW w:w="2363" w:type="dxa"/>
            <w:shd w:val="clear" w:color="auto" w:fill="auto"/>
            <w:noWrap/>
            <w:vAlign w:val="center"/>
            <w:hideMark/>
          </w:tcPr>
          <w:p w14:paraId="05B66051"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10,653,608</w:t>
            </w:r>
          </w:p>
        </w:tc>
        <w:tc>
          <w:tcPr>
            <w:tcW w:w="1559" w:type="dxa"/>
            <w:tcBorders>
              <w:right w:val="single" w:sz="4" w:space="0" w:color="auto"/>
            </w:tcBorders>
            <w:shd w:val="clear" w:color="auto" w:fill="auto"/>
            <w:noWrap/>
            <w:vAlign w:val="center"/>
            <w:hideMark/>
          </w:tcPr>
          <w:p w14:paraId="4099CA29"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74.9%</w:t>
            </w:r>
          </w:p>
        </w:tc>
      </w:tr>
      <w:tr w:rsidR="00377D00" w:rsidRPr="004C0067" w14:paraId="633A1097" w14:textId="77777777" w:rsidTr="00A75928">
        <w:trPr>
          <w:trHeight w:val="255"/>
        </w:trPr>
        <w:tc>
          <w:tcPr>
            <w:tcW w:w="567" w:type="dxa"/>
            <w:tcBorders>
              <w:left w:val="single" w:sz="4" w:space="0" w:color="auto"/>
            </w:tcBorders>
            <w:shd w:val="clear" w:color="auto" w:fill="auto"/>
            <w:noWrap/>
            <w:vAlign w:val="center"/>
            <w:hideMark/>
          </w:tcPr>
          <w:p w14:paraId="38970125"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6</w:t>
            </w:r>
          </w:p>
        </w:tc>
        <w:tc>
          <w:tcPr>
            <w:tcW w:w="2362" w:type="dxa"/>
            <w:shd w:val="clear" w:color="auto" w:fill="auto"/>
            <w:noWrap/>
            <w:vAlign w:val="center"/>
            <w:hideMark/>
          </w:tcPr>
          <w:p w14:paraId="1413CA3A"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7,927,918</w:t>
            </w:r>
          </w:p>
        </w:tc>
        <w:tc>
          <w:tcPr>
            <w:tcW w:w="2363" w:type="dxa"/>
            <w:shd w:val="clear" w:color="auto" w:fill="auto"/>
            <w:noWrap/>
            <w:vAlign w:val="center"/>
            <w:hideMark/>
          </w:tcPr>
          <w:p w14:paraId="5641C81E"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2,631,554</w:t>
            </w:r>
          </w:p>
        </w:tc>
        <w:tc>
          <w:tcPr>
            <w:tcW w:w="2363" w:type="dxa"/>
            <w:shd w:val="clear" w:color="auto" w:fill="auto"/>
            <w:noWrap/>
            <w:vAlign w:val="center"/>
            <w:hideMark/>
          </w:tcPr>
          <w:p w14:paraId="34A717D1"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10,559,472</w:t>
            </w:r>
          </w:p>
        </w:tc>
        <w:tc>
          <w:tcPr>
            <w:tcW w:w="1559" w:type="dxa"/>
            <w:tcBorders>
              <w:right w:val="single" w:sz="4" w:space="0" w:color="auto"/>
            </w:tcBorders>
            <w:shd w:val="clear" w:color="auto" w:fill="auto"/>
            <w:noWrap/>
            <w:vAlign w:val="center"/>
            <w:hideMark/>
          </w:tcPr>
          <w:p w14:paraId="09497C81"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75.1%</w:t>
            </w:r>
          </w:p>
        </w:tc>
      </w:tr>
      <w:tr w:rsidR="00377D00" w:rsidRPr="004C0067" w14:paraId="44B800CD" w14:textId="77777777" w:rsidTr="00A75928">
        <w:trPr>
          <w:trHeight w:val="255"/>
        </w:trPr>
        <w:tc>
          <w:tcPr>
            <w:tcW w:w="567" w:type="dxa"/>
            <w:tcBorders>
              <w:left w:val="single" w:sz="4" w:space="0" w:color="auto"/>
            </w:tcBorders>
            <w:shd w:val="clear" w:color="auto" w:fill="auto"/>
            <w:noWrap/>
            <w:vAlign w:val="center"/>
            <w:hideMark/>
          </w:tcPr>
          <w:p w14:paraId="459B65BE"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7</w:t>
            </w:r>
          </w:p>
        </w:tc>
        <w:tc>
          <w:tcPr>
            <w:tcW w:w="2362" w:type="dxa"/>
            <w:shd w:val="clear" w:color="auto" w:fill="auto"/>
            <w:noWrap/>
            <w:vAlign w:val="center"/>
            <w:hideMark/>
          </w:tcPr>
          <w:p w14:paraId="759B11A5"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7,874,128</w:t>
            </w:r>
          </w:p>
        </w:tc>
        <w:tc>
          <w:tcPr>
            <w:tcW w:w="2363" w:type="dxa"/>
            <w:shd w:val="clear" w:color="auto" w:fill="auto"/>
            <w:noWrap/>
            <w:vAlign w:val="center"/>
            <w:hideMark/>
          </w:tcPr>
          <w:p w14:paraId="5900EF29"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2,592,081</w:t>
            </w:r>
          </w:p>
        </w:tc>
        <w:tc>
          <w:tcPr>
            <w:tcW w:w="2363" w:type="dxa"/>
            <w:shd w:val="clear" w:color="auto" w:fill="auto"/>
            <w:noWrap/>
            <w:vAlign w:val="center"/>
            <w:hideMark/>
          </w:tcPr>
          <w:p w14:paraId="13E3DA6E"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10,466,209</w:t>
            </w:r>
          </w:p>
        </w:tc>
        <w:tc>
          <w:tcPr>
            <w:tcW w:w="1559" w:type="dxa"/>
            <w:tcBorders>
              <w:right w:val="single" w:sz="4" w:space="0" w:color="auto"/>
            </w:tcBorders>
            <w:shd w:val="clear" w:color="auto" w:fill="auto"/>
            <w:noWrap/>
            <w:vAlign w:val="center"/>
            <w:hideMark/>
          </w:tcPr>
          <w:p w14:paraId="273F5BF8"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75.2%</w:t>
            </w:r>
          </w:p>
        </w:tc>
      </w:tr>
      <w:tr w:rsidR="00377D00" w:rsidRPr="004C0067" w14:paraId="61BC6C34" w14:textId="77777777" w:rsidTr="00A75928">
        <w:trPr>
          <w:trHeight w:val="255"/>
        </w:trPr>
        <w:tc>
          <w:tcPr>
            <w:tcW w:w="567" w:type="dxa"/>
            <w:tcBorders>
              <w:left w:val="single" w:sz="4" w:space="0" w:color="auto"/>
            </w:tcBorders>
            <w:shd w:val="clear" w:color="auto" w:fill="auto"/>
            <w:noWrap/>
            <w:vAlign w:val="center"/>
            <w:hideMark/>
          </w:tcPr>
          <w:p w14:paraId="62038BCB"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8</w:t>
            </w:r>
          </w:p>
        </w:tc>
        <w:tc>
          <w:tcPr>
            <w:tcW w:w="2362" w:type="dxa"/>
            <w:shd w:val="clear" w:color="auto" w:fill="auto"/>
            <w:noWrap/>
            <w:vAlign w:val="center"/>
            <w:hideMark/>
          </w:tcPr>
          <w:p w14:paraId="3D16C3FC"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7,820,606</w:t>
            </w:r>
          </w:p>
        </w:tc>
        <w:tc>
          <w:tcPr>
            <w:tcW w:w="2363" w:type="dxa"/>
            <w:shd w:val="clear" w:color="auto" w:fill="auto"/>
            <w:noWrap/>
            <w:vAlign w:val="center"/>
            <w:hideMark/>
          </w:tcPr>
          <w:p w14:paraId="2D698133"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2,553,200</w:t>
            </w:r>
          </w:p>
        </w:tc>
        <w:tc>
          <w:tcPr>
            <w:tcW w:w="2363" w:type="dxa"/>
            <w:shd w:val="clear" w:color="auto" w:fill="auto"/>
            <w:noWrap/>
            <w:vAlign w:val="center"/>
            <w:hideMark/>
          </w:tcPr>
          <w:p w14:paraId="438E5586"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10,373,806</w:t>
            </w:r>
          </w:p>
        </w:tc>
        <w:tc>
          <w:tcPr>
            <w:tcW w:w="1559" w:type="dxa"/>
            <w:tcBorders>
              <w:right w:val="single" w:sz="4" w:space="0" w:color="auto"/>
            </w:tcBorders>
            <w:shd w:val="clear" w:color="auto" w:fill="auto"/>
            <w:noWrap/>
            <w:vAlign w:val="center"/>
            <w:hideMark/>
          </w:tcPr>
          <w:p w14:paraId="4673C0E8"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75.4%</w:t>
            </w:r>
          </w:p>
        </w:tc>
      </w:tr>
      <w:tr w:rsidR="00377D00" w:rsidRPr="004C0067" w14:paraId="41098650" w14:textId="77777777" w:rsidTr="00A75928">
        <w:trPr>
          <w:trHeight w:val="255"/>
        </w:trPr>
        <w:tc>
          <w:tcPr>
            <w:tcW w:w="567" w:type="dxa"/>
            <w:tcBorders>
              <w:left w:val="single" w:sz="4" w:space="0" w:color="auto"/>
            </w:tcBorders>
            <w:shd w:val="clear" w:color="auto" w:fill="auto"/>
            <w:noWrap/>
            <w:vAlign w:val="center"/>
            <w:hideMark/>
          </w:tcPr>
          <w:p w14:paraId="149004A0"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9</w:t>
            </w:r>
          </w:p>
        </w:tc>
        <w:tc>
          <w:tcPr>
            <w:tcW w:w="2362" w:type="dxa"/>
            <w:shd w:val="clear" w:color="auto" w:fill="auto"/>
            <w:noWrap/>
            <w:vAlign w:val="center"/>
            <w:hideMark/>
          </w:tcPr>
          <w:p w14:paraId="740E19A8"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7,767,352</w:t>
            </w:r>
          </w:p>
        </w:tc>
        <w:tc>
          <w:tcPr>
            <w:tcW w:w="2363" w:type="dxa"/>
            <w:shd w:val="clear" w:color="auto" w:fill="auto"/>
            <w:noWrap/>
            <w:vAlign w:val="center"/>
            <w:hideMark/>
          </w:tcPr>
          <w:p w14:paraId="5BFB3053"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2,514,902</w:t>
            </w:r>
          </w:p>
        </w:tc>
        <w:tc>
          <w:tcPr>
            <w:tcW w:w="2363" w:type="dxa"/>
            <w:shd w:val="clear" w:color="auto" w:fill="auto"/>
            <w:noWrap/>
            <w:vAlign w:val="center"/>
            <w:hideMark/>
          </w:tcPr>
          <w:p w14:paraId="4E79C861"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10,282,254</w:t>
            </w:r>
          </w:p>
        </w:tc>
        <w:tc>
          <w:tcPr>
            <w:tcW w:w="1559" w:type="dxa"/>
            <w:tcBorders>
              <w:right w:val="single" w:sz="4" w:space="0" w:color="auto"/>
            </w:tcBorders>
            <w:shd w:val="clear" w:color="auto" w:fill="auto"/>
            <w:noWrap/>
            <w:vAlign w:val="center"/>
            <w:hideMark/>
          </w:tcPr>
          <w:p w14:paraId="3108FE1E"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75.5%</w:t>
            </w:r>
          </w:p>
        </w:tc>
      </w:tr>
      <w:tr w:rsidR="00377D00" w:rsidRPr="004C0067" w14:paraId="2E81665A" w14:textId="77777777" w:rsidTr="00A75928">
        <w:trPr>
          <w:trHeight w:val="255"/>
        </w:trPr>
        <w:tc>
          <w:tcPr>
            <w:tcW w:w="567" w:type="dxa"/>
            <w:tcBorders>
              <w:left w:val="single" w:sz="4" w:space="0" w:color="auto"/>
            </w:tcBorders>
            <w:shd w:val="clear" w:color="auto" w:fill="auto"/>
            <w:noWrap/>
            <w:vAlign w:val="center"/>
            <w:hideMark/>
          </w:tcPr>
          <w:p w14:paraId="2572747F"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10</w:t>
            </w:r>
          </w:p>
        </w:tc>
        <w:tc>
          <w:tcPr>
            <w:tcW w:w="2362" w:type="dxa"/>
            <w:shd w:val="clear" w:color="auto" w:fill="auto"/>
            <w:noWrap/>
            <w:vAlign w:val="center"/>
            <w:hideMark/>
          </w:tcPr>
          <w:p w14:paraId="32EBDFEA"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7,714,365</w:t>
            </w:r>
          </w:p>
        </w:tc>
        <w:tc>
          <w:tcPr>
            <w:tcW w:w="2363" w:type="dxa"/>
            <w:shd w:val="clear" w:color="auto" w:fill="auto"/>
            <w:noWrap/>
            <w:vAlign w:val="center"/>
            <w:hideMark/>
          </w:tcPr>
          <w:p w14:paraId="1DF9DB31"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2,477,178</w:t>
            </w:r>
          </w:p>
        </w:tc>
        <w:tc>
          <w:tcPr>
            <w:tcW w:w="2363" w:type="dxa"/>
            <w:shd w:val="clear" w:color="auto" w:fill="auto"/>
            <w:noWrap/>
            <w:vAlign w:val="center"/>
            <w:hideMark/>
          </w:tcPr>
          <w:p w14:paraId="155AAFB5"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10,191,543</w:t>
            </w:r>
          </w:p>
        </w:tc>
        <w:tc>
          <w:tcPr>
            <w:tcW w:w="1559" w:type="dxa"/>
            <w:tcBorders>
              <w:right w:val="single" w:sz="4" w:space="0" w:color="auto"/>
            </w:tcBorders>
            <w:shd w:val="clear" w:color="auto" w:fill="auto"/>
            <w:noWrap/>
            <w:vAlign w:val="center"/>
            <w:hideMark/>
          </w:tcPr>
          <w:p w14:paraId="5313827A"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75.7%</w:t>
            </w:r>
          </w:p>
        </w:tc>
      </w:tr>
      <w:tr w:rsidR="00377D00" w:rsidRPr="004C0067" w14:paraId="41AC4D20" w14:textId="77777777" w:rsidTr="00A75928">
        <w:trPr>
          <w:trHeight w:val="255"/>
        </w:trPr>
        <w:tc>
          <w:tcPr>
            <w:tcW w:w="567" w:type="dxa"/>
            <w:tcBorders>
              <w:left w:val="single" w:sz="4" w:space="0" w:color="auto"/>
            </w:tcBorders>
            <w:shd w:val="clear" w:color="auto" w:fill="auto"/>
            <w:noWrap/>
            <w:vAlign w:val="center"/>
            <w:hideMark/>
          </w:tcPr>
          <w:p w14:paraId="354050FB"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11</w:t>
            </w:r>
          </w:p>
        </w:tc>
        <w:tc>
          <w:tcPr>
            <w:tcW w:w="2362" w:type="dxa"/>
            <w:shd w:val="clear" w:color="auto" w:fill="auto"/>
            <w:noWrap/>
            <w:vAlign w:val="center"/>
            <w:hideMark/>
          </w:tcPr>
          <w:p w14:paraId="7F6F6F31"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7,661,642</w:t>
            </w:r>
          </w:p>
        </w:tc>
        <w:tc>
          <w:tcPr>
            <w:tcW w:w="2363" w:type="dxa"/>
            <w:shd w:val="clear" w:color="auto" w:fill="auto"/>
            <w:noWrap/>
            <w:vAlign w:val="center"/>
            <w:hideMark/>
          </w:tcPr>
          <w:p w14:paraId="7109ABF9"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2,440,021</w:t>
            </w:r>
          </w:p>
        </w:tc>
        <w:tc>
          <w:tcPr>
            <w:tcW w:w="2363" w:type="dxa"/>
            <w:shd w:val="clear" w:color="auto" w:fill="auto"/>
            <w:noWrap/>
            <w:vAlign w:val="center"/>
            <w:hideMark/>
          </w:tcPr>
          <w:p w14:paraId="1B17755B"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10,101,663</w:t>
            </w:r>
          </w:p>
        </w:tc>
        <w:tc>
          <w:tcPr>
            <w:tcW w:w="1559" w:type="dxa"/>
            <w:tcBorders>
              <w:right w:val="single" w:sz="4" w:space="0" w:color="auto"/>
            </w:tcBorders>
            <w:shd w:val="clear" w:color="auto" w:fill="auto"/>
            <w:noWrap/>
            <w:vAlign w:val="center"/>
            <w:hideMark/>
          </w:tcPr>
          <w:p w14:paraId="6DFDEE4F"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75.8%</w:t>
            </w:r>
          </w:p>
        </w:tc>
      </w:tr>
      <w:tr w:rsidR="00377D00" w:rsidRPr="004C0067" w14:paraId="1E300115" w14:textId="77777777" w:rsidTr="00A75928">
        <w:trPr>
          <w:trHeight w:val="255"/>
        </w:trPr>
        <w:tc>
          <w:tcPr>
            <w:tcW w:w="567" w:type="dxa"/>
            <w:tcBorders>
              <w:left w:val="single" w:sz="4" w:space="0" w:color="auto"/>
            </w:tcBorders>
            <w:shd w:val="clear" w:color="auto" w:fill="auto"/>
            <w:noWrap/>
            <w:vAlign w:val="center"/>
            <w:hideMark/>
          </w:tcPr>
          <w:p w14:paraId="0A17AB5B"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12</w:t>
            </w:r>
          </w:p>
        </w:tc>
        <w:tc>
          <w:tcPr>
            <w:tcW w:w="2362" w:type="dxa"/>
            <w:shd w:val="clear" w:color="auto" w:fill="auto"/>
            <w:noWrap/>
            <w:vAlign w:val="center"/>
            <w:hideMark/>
          </w:tcPr>
          <w:p w14:paraId="491576A8"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7,609,183</w:t>
            </w:r>
          </w:p>
        </w:tc>
        <w:tc>
          <w:tcPr>
            <w:tcW w:w="2363" w:type="dxa"/>
            <w:shd w:val="clear" w:color="auto" w:fill="auto"/>
            <w:noWrap/>
            <w:vAlign w:val="center"/>
            <w:hideMark/>
          </w:tcPr>
          <w:p w14:paraId="5775F880"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2,403,420</w:t>
            </w:r>
          </w:p>
        </w:tc>
        <w:tc>
          <w:tcPr>
            <w:tcW w:w="2363" w:type="dxa"/>
            <w:shd w:val="clear" w:color="auto" w:fill="auto"/>
            <w:noWrap/>
            <w:vAlign w:val="center"/>
            <w:hideMark/>
          </w:tcPr>
          <w:p w14:paraId="63CB2ECC"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10,012,604</w:t>
            </w:r>
          </w:p>
        </w:tc>
        <w:tc>
          <w:tcPr>
            <w:tcW w:w="1559" w:type="dxa"/>
            <w:tcBorders>
              <w:right w:val="single" w:sz="4" w:space="0" w:color="auto"/>
            </w:tcBorders>
            <w:shd w:val="clear" w:color="auto" w:fill="auto"/>
            <w:noWrap/>
            <w:vAlign w:val="center"/>
            <w:hideMark/>
          </w:tcPr>
          <w:p w14:paraId="04CF4252"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76.0%</w:t>
            </w:r>
          </w:p>
        </w:tc>
      </w:tr>
      <w:tr w:rsidR="00377D00" w:rsidRPr="004C0067" w14:paraId="395BC21F" w14:textId="77777777" w:rsidTr="00A75928">
        <w:trPr>
          <w:trHeight w:val="255"/>
        </w:trPr>
        <w:tc>
          <w:tcPr>
            <w:tcW w:w="567" w:type="dxa"/>
            <w:tcBorders>
              <w:left w:val="single" w:sz="4" w:space="0" w:color="auto"/>
            </w:tcBorders>
            <w:shd w:val="clear" w:color="auto" w:fill="auto"/>
            <w:noWrap/>
            <w:vAlign w:val="center"/>
            <w:hideMark/>
          </w:tcPr>
          <w:p w14:paraId="32A64C6F"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13</w:t>
            </w:r>
          </w:p>
        </w:tc>
        <w:tc>
          <w:tcPr>
            <w:tcW w:w="2362" w:type="dxa"/>
            <w:shd w:val="clear" w:color="auto" w:fill="auto"/>
            <w:noWrap/>
            <w:vAlign w:val="center"/>
            <w:hideMark/>
          </w:tcPr>
          <w:p w14:paraId="30CF14F1"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7,556,986</w:t>
            </w:r>
          </w:p>
        </w:tc>
        <w:tc>
          <w:tcPr>
            <w:tcW w:w="2363" w:type="dxa"/>
            <w:shd w:val="clear" w:color="auto" w:fill="auto"/>
            <w:noWrap/>
            <w:vAlign w:val="center"/>
            <w:hideMark/>
          </w:tcPr>
          <w:p w14:paraId="13633A7E"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2,367,369</w:t>
            </w:r>
          </w:p>
        </w:tc>
        <w:tc>
          <w:tcPr>
            <w:tcW w:w="2363" w:type="dxa"/>
            <w:shd w:val="clear" w:color="auto" w:fill="auto"/>
            <w:noWrap/>
            <w:vAlign w:val="center"/>
            <w:hideMark/>
          </w:tcPr>
          <w:p w14:paraId="60C7BE8D"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9,924,356</w:t>
            </w:r>
          </w:p>
        </w:tc>
        <w:tc>
          <w:tcPr>
            <w:tcW w:w="1559" w:type="dxa"/>
            <w:tcBorders>
              <w:right w:val="single" w:sz="4" w:space="0" w:color="auto"/>
            </w:tcBorders>
            <w:shd w:val="clear" w:color="auto" w:fill="auto"/>
            <w:noWrap/>
            <w:vAlign w:val="center"/>
            <w:hideMark/>
          </w:tcPr>
          <w:p w14:paraId="69E60BB3"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76.1%</w:t>
            </w:r>
          </w:p>
        </w:tc>
      </w:tr>
      <w:tr w:rsidR="00377D00" w:rsidRPr="004C0067" w14:paraId="3ED41ECD" w14:textId="77777777" w:rsidTr="00A75928">
        <w:trPr>
          <w:trHeight w:val="255"/>
        </w:trPr>
        <w:tc>
          <w:tcPr>
            <w:tcW w:w="567" w:type="dxa"/>
            <w:tcBorders>
              <w:left w:val="single" w:sz="4" w:space="0" w:color="auto"/>
            </w:tcBorders>
            <w:shd w:val="clear" w:color="auto" w:fill="auto"/>
            <w:noWrap/>
            <w:vAlign w:val="center"/>
            <w:hideMark/>
          </w:tcPr>
          <w:p w14:paraId="1032EEEA"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14</w:t>
            </w:r>
          </w:p>
        </w:tc>
        <w:tc>
          <w:tcPr>
            <w:tcW w:w="2362" w:type="dxa"/>
            <w:shd w:val="clear" w:color="auto" w:fill="auto"/>
            <w:noWrap/>
            <w:vAlign w:val="center"/>
            <w:hideMark/>
          </w:tcPr>
          <w:p w14:paraId="0D043DB5"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7,505,051</w:t>
            </w:r>
          </w:p>
        </w:tc>
        <w:tc>
          <w:tcPr>
            <w:tcW w:w="2363" w:type="dxa"/>
            <w:shd w:val="clear" w:color="auto" w:fill="auto"/>
            <w:noWrap/>
            <w:vAlign w:val="center"/>
            <w:hideMark/>
          </w:tcPr>
          <w:p w14:paraId="76C01328"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2,331,859</w:t>
            </w:r>
          </w:p>
        </w:tc>
        <w:tc>
          <w:tcPr>
            <w:tcW w:w="2363" w:type="dxa"/>
            <w:shd w:val="clear" w:color="auto" w:fill="auto"/>
            <w:noWrap/>
            <w:vAlign w:val="center"/>
            <w:hideMark/>
          </w:tcPr>
          <w:p w14:paraId="41ABCD88"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9,836,909</w:t>
            </w:r>
          </w:p>
        </w:tc>
        <w:tc>
          <w:tcPr>
            <w:tcW w:w="1559" w:type="dxa"/>
            <w:tcBorders>
              <w:right w:val="single" w:sz="4" w:space="0" w:color="auto"/>
            </w:tcBorders>
            <w:shd w:val="clear" w:color="auto" w:fill="auto"/>
            <w:noWrap/>
            <w:vAlign w:val="center"/>
            <w:hideMark/>
          </w:tcPr>
          <w:p w14:paraId="76F8B8BD"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76.3%</w:t>
            </w:r>
          </w:p>
        </w:tc>
      </w:tr>
      <w:tr w:rsidR="00377D00" w:rsidRPr="004C0067" w14:paraId="3AEF74C6" w14:textId="77777777" w:rsidTr="00A75928">
        <w:trPr>
          <w:trHeight w:val="255"/>
        </w:trPr>
        <w:tc>
          <w:tcPr>
            <w:tcW w:w="567" w:type="dxa"/>
            <w:tcBorders>
              <w:left w:val="single" w:sz="4" w:space="0" w:color="auto"/>
            </w:tcBorders>
            <w:shd w:val="clear" w:color="auto" w:fill="auto"/>
            <w:noWrap/>
            <w:vAlign w:val="center"/>
            <w:hideMark/>
          </w:tcPr>
          <w:p w14:paraId="6AAE66ED"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15</w:t>
            </w:r>
          </w:p>
        </w:tc>
        <w:tc>
          <w:tcPr>
            <w:tcW w:w="2362" w:type="dxa"/>
            <w:shd w:val="clear" w:color="auto" w:fill="auto"/>
            <w:noWrap/>
            <w:vAlign w:val="center"/>
            <w:hideMark/>
          </w:tcPr>
          <w:p w14:paraId="3FAF84BD"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7,453,375</w:t>
            </w:r>
          </w:p>
        </w:tc>
        <w:tc>
          <w:tcPr>
            <w:tcW w:w="2363" w:type="dxa"/>
            <w:shd w:val="clear" w:color="auto" w:fill="auto"/>
            <w:noWrap/>
            <w:vAlign w:val="center"/>
            <w:hideMark/>
          </w:tcPr>
          <w:p w14:paraId="4B841D0D"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2,296,881</w:t>
            </w:r>
          </w:p>
        </w:tc>
        <w:tc>
          <w:tcPr>
            <w:tcW w:w="2363" w:type="dxa"/>
            <w:shd w:val="clear" w:color="auto" w:fill="auto"/>
            <w:noWrap/>
            <w:vAlign w:val="center"/>
            <w:hideMark/>
          </w:tcPr>
          <w:p w14:paraId="265B661F"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9,750,255</w:t>
            </w:r>
          </w:p>
        </w:tc>
        <w:tc>
          <w:tcPr>
            <w:tcW w:w="1559" w:type="dxa"/>
            <w:tcBorders>
              <w:right w:val="single" w:sz="4" w:space="0" w:color="auto"/>
            </w:tcBorders>
            <w:shd w:val="clear" w:color="auto" w:fill="auto"/>
            <w:noWrap/>
            <w:vAlign w:val="center"/>
            <w:hideMark/>
          </w:tcPr>
          <w:p w14:paraId="1B698A68"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76.4%</w:t>
            </w:r>
          </w:p>
        </w:tc>
      </w:tr>
      <w:tr w:rsidR="00377D00" w:rsidRPr="004C0067" w14:paraId="54EF754E" w14:textId="77777777" w:rsidTr="00A75928">
        <w:trPr>
          <w:trHeight w:val="255"/>
        </w:trPr>
        <w:tc>
          <w:tcPr>
            <w:tcW w:w="567" w:type="dxa"/>
            <w:tcBorders>
              <w:left w:val="single" w:sz="4" w:space="0" w:color="auto"/>
            </w:tcBorders>
            <w:shd w:val="clear" w:color="auto" w:fill="auto"/>
            <w:noWrap/>
            <w:vAlign w:val="center"/>
            <w:hideMark/>
          </w:tcPr>
          <w:p w14:paraId="0F5FA43A"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16</w:t>
            </w:r>
          </w:p>
        </w:tc>
        <w:tc>
          <w:tcPr>
            <w:tcW w:w="2362" w:type="dxa"/>
            <w:shd w:val="clear" w:color="auto" w:fill="auto"/>
            <w:noWrap/>
            <w:vAlign w:val="center"/>
            <w:hideMark/>
          </w:tcPr>
          <w:p w14:paraId="632C05CE"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7,401,957</w:t>
            </w:r>
          </w:p>
        </w:tc>
        <w:tc>
          <w:tcPr>
            <w:tcW w:w="2363" w:type="dxa"/>
            <w:shd w:val="clear" w:color="auto" w:fill="auto"/>
            <w:noWrap/>
            <w:vAlign w:val="center"/>
            <w:hideMark/>
          </w:tcPr>
          <w:p w14:paraId="2AE7ADA4"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2,262,427</w:t>
            </w:r>
          </w:p>
        </w:tc>
        <w:tc>
          <w:tcPr>
            <w:tcW w:w="2363" w:type="dxa"/>
            <w:shd w:val="clear" w:color="auto" w:fill="auto"/>
            <w:noWrap/>
            <w:vAlign w:val="center"/>
            <w:hideMark/>
          </w:tcPr>
          <w:p w14:paraId="14FD4572"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9,664,384</w:t>
            </w:r>
          </w:p>
        </w:tc>
        <w:tc>
          <w:tcPr>
            <w:tcW w:w="1559" w:type="dxa"/>
            <w:tcBorders>
              <w:right w:val="single" w:sz="4" w:space="0" w:color="auto"/>
            </w:tcBorders>
            <w:shd w:val="clear" w:color="auto" w:fill="auto"/>
            <w:noWrap/>
            <w:vAlign w:val="center"/>
            <w:hideMark/>
          </w:tcPr>
          <w:p w14:paraId="535DEA39"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76.6%</w:t>
            </w:r>
          </w:p>
        </w:tc>
      </w:tr>
      <w:tr w:rsidR="00377D00" w:rsidRPr="004C0067" w14:paraId="704EF39D" w14:textId="77777777" w:rsidTr="00A75928">
        <w:trPr>
          <w:trHeight w:val="255"/>
        </w:trPr>
        <w:tc>
          <w:tcPr>
            <w:tcW w:w="567" w:type="dxa"/>
            <w:tcBorders>
              <w:left w:val="single" w:sz="4" w:space="0" w:color="auto"/>
            </w:tcBorders>
            <w:shd w:val="clear" w:color="auto" w:fill="auto"/>
            <w:noWrap/>
            <w:vAlign w:val="center"/>
            <w:hideMark/>
          </w:tcPr>
          <w:p w14:paraId="0174210F"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17</w:t>
            </w:r>
          </w:p>
        </w:tc>
        <w:tc>
          <w:tcPr>
            <w:tcW w:w="2362" w:type="dxa"/>
            <w:shd w:val="clear" w:color="auto" w:fill="auto"/>
            <w:noWrap/>
            <w:vAlign w:val="center"/>
            <w:hideMark/>
          </w:tcPr>
          <w:p w14:paraId="5F24E941"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7,350,796</w:t>
            </w:r>
          </w:p>
        </w:tc>
        <w:tc>
          <w:tcPr>
            <w:tcW w:w="2363" w:type="dxa"/>
            <w:shd w:val="clear" w:color="auto" w:fill="auto"/>
            <w:noWrap/>
            <w:vAlign w:val="center"/>
            <w:hideMark/>
          </w:tcPr>
          <w:p w14:paraId="26155448"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2,228,491</w:t>
            </w:r>
          </w:p>
        </w:tc>
        <w:tc>
          <w:tcPr>
            <w:tcW w:w="2363" w:type="dxa"/>
            <w:shd w:val="clear" w:color="auto" w:fill="auto"/>
            <w:noWrap/>
            <w:vAlign w:val="center"/>
            <w:hideMark/>
          </w:tcPr>
          <w:p w14:paraId="1B4F2227"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9,579,287</w:t>
            </w:r>
          </w:p>
        </w:tc>
        <w:tc>
          <w:tcPr>
            <w:tcW w:w="1559" w:type="dxa"/>
            <w:tcBorders>
              <w:right w:val="single" w:sz="4" w:space="0" w:color="auto"/>
            </w:tcBorders>
            <w:shd w:val="clear" w:color="auto" w:fill="auto"/>
            <w:noWrap/>
            <w:vAlign w:val="center"/>
            <w:hideMark/>
          </w:tcPr>
          <w:p w14:paraId="45DDFD65"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76.7%</w:t>
            </w:r>
          </w:p>
        </w:tc>
      </w:tr>
      <w:tr w:rsidR="00377D00" w:rsidRPr="004C0067" w14:paraId="4E2CBE4D" w14:textId="77777777" w:rsidTr="00A75928">
        <w:trPr>
          <w:trHeight w:val="255"/>
        </w:trPr>
        <w:tc>
          <w:tcPr>
            <w:tcW w:w="567" w:type="dxa"/>
            <w:tcBorders>
              <w:left w:val="single" w:sz="4" w:space="0" w:color="auto"/>
            </w:tcBorders>
            <w:shd w:val="clear" w:color="auto" w:fill="auto"/>
            <w:noWrap/>
            <w:vAlign w:val="center"/>
            <w:hideMark/>
          </w:tcPr>
          <w:p w14:paraId="1FE4CBC4"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18</w:t>
            </w:r>
          </w:p>
        </w:tc>
        <w:tc>
          <w:tcPr>
            <w:tcW w:w="2362" w:type="dxa"/>
            <w:shd w:val="clear" w:color="auto" w:fill="auto"/>
            <w:noWrap/>
            <w:vAlign w:val="center"/>
            <w:hideMark/>
          </w:tcPr>
          <w:p w14:paraId="2769F040"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7,299,892</w:t>
            </w:r>
          </w:p>
        </w:tc>
        <w:tc>
          <w:tcPr>
            <w:tcW w:w="2363" w:type="dxa"/>
            <w:shd w:val="clear" w:color="auto" w:fill="auto"/>
            <w:noWrap/>
            <w:vAlign w:val="center"/>
            <w:hideMark/>
          </w:tcPr>
          <w:p w14:paraId="26329D1F"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2,195,064</w:t>
            </w:r>
          </w:p>
        </w:tc>
        <w:tc>
          <w:tcPr>
            <w:tcW w:w="2363" w:type="dxa"/>
            <w:shd w:val="clear" w:color="auto" w:fill="auto"/>
            <w:noWrap/>
            <w:vAlign w:val="center"/>
            <w:hideMark/>
          </w:tcPr>
          <w:p w14:paraId="7EC267E1"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9,494,955</w:t>
            </w:r>
          </w:p>
        </w:tc>
        <w:tc>
          <w:tcPr>
            <w:tcW w:w="1559" w:type="dxa"/>
            <w:tcBorders>
              <w:right w:val="single" w:sz="4" w:space="0" w:color="auto"/>
            </w:tcBorders>
            <w:shd w:val="clear" w:color="auto" w:fill="auto"/>
            <w:noWrap/>
            <w:vAlign w:val="center"/>
            <w:hideMark/>
          </w:tcPr>
          <w:p w14:paraId="031816BB"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76.9%</w:t>
            </w:r>
          </w:p>
        </w:tc>
      </w:tr>
      <w:tr w:rsidR="00377D00" w:rsidRPr="004C0067" w14:paraId="471A95FE" w14:textId="77777777" w:rsidTr="00A75928">
        <w:trPr>
          <w:trHeight w:val="255"/>
        </w:trPr>
        <w:tc>
          <w:tcPr>
            <w:tcW w:w="567" w:type="dxa"/>
            <w:tcBorders>
              <w:left w:val="single" w:sz="4" w:space="0" w:color="auto"/>
            </w:tcBorders>
            <w:shd w:val="clear" w:color="auto" w:fill="auto"/>
            <w:noWrap/>
            <w:vAlign w:val="center"/>
            <w:hideMark/>
          </w:tcPr>
          <w:p w14:paraId="258D7CEC"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19</w:t>
            </w:r>
          </w:p>
        </w:tc>
        <w:tc>
          <w:tcPr>
            <w:tcW w:w="2362" w:type="dxa"/>
            <w:shd w:val="clear" w:color="auto" w:fill="auto"/>
            <w:noWrap/>
            <w:vAlign w:val="center"/>
            <w:hideMark/>
          </w:tcPr>
          <w:p w14:paraId="3FFE3842"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7,249,241</w:t>
            </w:r>
          </w:p>
        </w:tc>
        <w:tc>
          <w:tcPr>
            <w:tcW w:w="2363" w:type="dxa"/>
            <w:shd w:val="clear" w:color="auto" w:fill="auto"/>
            <w:noWrap/>
            <w:vAlign w:val="center"/>
            <w:hideMark/>
          </w:tcPr>
          <w:p w14:paraId="16C1239B"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2,162,138</w:t>
            </w:r>
          </w:p>
        </w:tc>
        <w:tc>
          <w:tcPr>
            <w:tcW w:w="2363" w:type="dxa"/>
            <w:shd w:val="clear" w:color="auto" w:fill="auto"/>
            <w:noWrap/>
            <w:vAlign w:val="center"/>
            <w:hideMark/>
          </w:tcPr>
          <w:p w14:paraId="0A7FACCE"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9,411,379</w:t>
            </w:r>
          </w:p>
        </w:tc>
        <w:tc>
          <w:tcPr>
            <w:tcW w:w="1559" w:type="dxa"/>
            <w:tcBorders>
              <w:right w:val="single" w:sz="4" w:space="0" w:color="auto"/>
            </w:tcBorders>
            <w:shd w:val="clear" w:color="auto" w:fill="auto"/>
            <w:noWrap/>
            <w:vAlign w:val="center"/>
            <w:hideMark/>
          </w:tcPr>
          <w:p w14:paraId="5F1516DA"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77.0%</w:t>
            </w:r>
          </w:p>
        </w:tc>
      </w:tr>
      <w:tr w:rsidR="00377D00" w:rsidRPr="004C0067" w14:paraId="0B100B35" w14:textId="77777777" w:rsidTr="00A75928">
        <w:trPr>
          <w:trHeight w:val="255"/>
        </w:trPr>
        <w:tc>
          <w:tcPr>
            <w:tcW w:w="567" w:type="dxa"/>
            <w:tcBorders>
              <w:left w:val="single" w:sz="4" w:space="0" w:color="auto"/>
              <w:bottom w:val="single" w:sz="4" w:space="0" w:color="auto"/>
            </w:tcBorders>
            <w:shd w:val="clear" w:color="auto" w:fill="auto"/>
            <w:noWrap/>
            <w:vAlign w:val="center"/>
            <w:hideMark/>
          </w:tcPr>
          <w:p w14:paraId="61F90138"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20</w:t>
            </w:r>
          </w:p>
        </w:tc>
        <w:tc>
          <w:tcPr>
            <w:tcW w:w="2362" w:type="dxa"/>
            <w:tcBorders>
              <w:bottom w:val="single" w:sz="4" w:space="0" w:color="auto"/>
            </w:tcBorders>
            <w:shd w:val="clear" w:color="auto" w:fill="auto"/>
            <w:noWrap/>
            <w:vAlign w:val="center"/>
            <w:hideMark/>
          </w:tcPr>
          <w:p w14:paraId="28B0BA48"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7,198,844</w:t>
            </w:r>
          </w:p>
        </w:tc>
        <w:tc>
          <w:tcPr>
            <w:tcW w:w="2363" w:type="dxa"/>
            <w:tcBorders>
              <w:bottom w:val="single" w:sz="4" w:space="0" w:color="auto"/>
            </w:tcBorders>
            <w:shd w:val="clear" w:color="auto" w:fill="auto"/>
            <w:noWrap/>
            <w:vAlign w:val="center"/>
            <w:hideMark/>
          </w:tcPr>
          <w:p w14:paraId="1EE71614"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2,129,706</w:t>
            </w:r>
          </w:p>
        </w:tc>
        <w:tc>
          <w:tcPr>
            <w:tcW w:w="2363" w:type="dxa"/>
            <w:tcBorders>
              <w:bottom w:val="single" w:sz="4" w:space="0" w:color="auto"/>
            </w:tcBorders>
            <w:shd w:val="clear" w:color="auto" w:fill="auto"/>
            <w:noWrap/>
            <w:vAlign w:val="center"/>
            <w:hideMark/>
          </w:tcPr>
          <w:p w14:paraId="2246C067"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9,328,550</w:t>
            </w:r>
          </w:p>
        </w:tc>
        <w:tc>
          <w:tcPr>
            <w:tcW w:w="1559" w:type="dxa"/>
            <w:tcBorders>
              <w:bottom w:val="single" w:sz="4" w:space="0" w:color="auto"/>
              <w:right w:val="single" w:sz="4" w:space="0" w:color="auto"/>
            </w:tcBorders>
            <w:shd w:val="clear" w:color="auto" w:fill="auto"/>
            <w:noWrap/>
            <w:vAlign w:val="center"/>
            <w:hideMark/>
          </w:tcPr>
          <w:p w14:paraId="0F4FFFAB" w14:textId="77777777" w:rsidR="004C0067" w:rsidRPr="004C0067" w:rsidRDefault="004C0067" w:rsidP="004C0067">
            <w:pPr>
              <w:spacing w:after="0" w:line="240" w:lineRule="auto"/>
              <w:jc w:val="center"/>
              <w:rPr>
                <w:rFonts w:ascii="Bookman Old Style" w:eastAsia="Times New Roman" w:hAnsi="Bookman Old Style" w:cs="Times New Roman"/>
                <w:color w:val="000000"/>
                <w:sz w:val="20"/>
                <w:szCs w:val="20"/>
                <w:lang w:eastAsia="es-CO"/>
              </w:rPr>
            </w:pPr>
            <w:r w:rsidRPr="004C0067">
              <w:rPr>
                <w:rFonts w:ascii="Bookman Old Style" w:eastAsia="Times New Roman" w:hAnsi="Bookman Old Style" w:cs="Times New Roman"/>
                <w:color w:val="000000"/>
                <w:sz w:val="20"/>
                <w:szCs w:val="20"/>
                <w:lang w:eastAsia="es-CO"/>
              </w:rPr>
              <w:t>77.2%</w:t>
            </w:r>
          </w:p>
        </w:tc>
      </w:tr>
    </w:tbl>
    <w:p w14:paraId="1E114E80" w14:textId="18FD45B1" w:rsidR="00FD0FD3" w:rsidRDefault="00FD0FD3" w:rsidP="002A13DB">
      <w:pPr>
        <w:spacing w:after="0" w:line="240" w:lineRule="auto"/>
        <w:contextualSpacing/>
        <w:jc w:val="both"/>
        <w:rPr>
          <w:rFonts w:ascii="Bookman Old Style" w:eastAsia="Times New Roman" w:hAnsi="Bookman Old Style" w:cs="Times New Roman"/>
          <w:sz w:val="24"/>
          <w:szCs w:val="24"/>
          <w:lang w:eastAsia="es-ES"/>
        </w:rPr>
      </w:pPr>
    </w:p>
    <w:p w14:paraId="47674BD3" w14:textId="54A5CBC5" w:rsidR="00FD0FD3" w:rsidRDefault="00FD0FD3" w:rsidP="002A13DB">
      <w:pPr>
        <w:spacing w:after="0" w:line="240" w:lineRule="auto"/>
        <w:contextualSpacing/>
        <w:jc w:val="both"/>
        <w:rPr>
          <w:rFonts w:ascii="Bookman Old Style" w:eastAsia="Times New Roman" w:hAnsi="Bookman Old Style" w:cs="Times New Roman"/>
          <w:sz w:val="24"/>
          <w:szCs w:val="24"/>
          <w:lang w:eastAsia="es-ES"/>
        </w:rPr>
      </w:pPr>
      <w:r w:rsidRPr="003B2AE3">
        <w:rPr>
          <w:rFonts w:ascii="Bookman Old Style" w:eastAsia="Times New Roman" w:hAnsi="Bookman Old Style" w:cs="Times New Roman"/>
          <w:sz w:val="24"/>
          <w:szCs w:val="24"/>
          <w:lang w:eastAsia="es-ES"/>
        </w:rPr>
        <w:t xml:space="preserve">Finalmente, </w:t>
      </w:r>
      <w:r w:rsidR="00377D00" w:rsidRPr="003B2AE3">
        <w:rPr>
          <w:rFonts w:ascii="Bookman Old Style" w:eastAsia="Times New Roman" w:hAnsi="Bookman Old Style" w:cs="Times New Roman"/>
          <w:sz w:val="24"/>
          <w:szCs w:val="24"/>
          <w:lang w:eastAsia="es-ES"/>
        </w:rPr>
        <w:t xml:space="preserve">los costos máximos de prestación del servicio de energía eléctrica </w:t>
      </w:r>
      <w:r w:rsidRPr="003B2AE3">
        <w:rPr>
          <w:rFonts w:ascii="Bookman Old Style" w:eastAsia="Times New Roman" w:hAnsi="Bookman Old Style" w:cs="Times New Roman"/>
          <w:sz w:val="24"/>
          <w:szCs w:val="24"/>
          <w:lang w:eastAsia="es-ES"/>
        </w:rPr>
        <w:t xml:space="preserve">para </w:t>
      </w:r>
      <w:r w:rsidR="00377D00" w:rsidRPr="003B2AE3">
        <w:rPr>
          <w:rFonts w:ascii="Bookman Old Style" w:eastAsia="Times New Roman" w:hAnsi="Bookman Old Style" w:cs="Times New Roman"/>
          <w:sz w:val="24"/>
          <w:szCs w:val="24"/>
          <w:lang w:eastAsia="es-ES"/>
        </w:rPr>
        <w:t xml:space="preserve">el </w:t>
      </w:r>
      <w:r w:rsidRPr="003B2AE3">
        <w:rPr>
          <w:rFonts w:ascii="Bookman Old Style" w:eastAsia="Times New Roman" w:hAnsi="Bookman Old Style" w:cs="Times New Roman"/>
          <w:sz w:val="24"/>
          <w:szCs w:val="24"/>
          <w:lang w:eastAsia="es-ES"/>
        </w:rPr>
        <w:t xml:space="preserve">mercado relevante de comercialización de la cabecera municipal de Mitú, compuesto por todos los usuarios conectados a la respectiva red de distribución, actualmente atendida por el Departamento del Vaupés, según consta en comunicación de la Superintendencia de Servicios Públicos Domiciliarios </w:t>
      </w:r>
      <w:r w:rsidR="00412348" w:rsidRPr="003B2AE3">
        <w:rPr>
          <w:rFonts w:ascii="Bookman Old Style" w:eastAsia="Times New Roman" w:hAnsi="Bookman Old Style" w:cs="Times New Roman"/>
          <w:sz w:val="24"/>
          <w:szCs w:val="24"/>
          <w:lang w:eastAsia="es-ES"/>
        </w:rPr>
        <w:t>dirigida a esta Comisión, son l</w:t>
      </w:r>
      <w:r w:rsidR="00377D00" w:rsidRPr="003B2AE3">
        <w:rPr>
          <w:rFonts w:ascii="Bookman Old Style" w:eastAsia="Times New Roman" w:hAnsi="Bookman Old Style" w:cs="Times New Roman"/>
          <w:sz w:val="24"/>
          <w:szCs w:val="24"/>
          <w:lang w:eastAsia="es-ES"/>
        </w:rPr>
        <w:t>os</w:t>
      </w:r>
      <w:r w:rsidR="00412348" w:rsidRPr="003B2AE3">
        <w:rPr>
          <w:rFonts w:ascii="Bookman Old Style" w:eastAsia="Times New Roman" w:hAnsi="Bookman Old Style" w:cs="Times New Roman"/>
          <w:sz w:val="24"/>
          <w:szCs w:val="24"/>
          <w:lang w:eastAsia="es-ES"/>
        </w:rPr>
        <w:t xml:space="preserve"> definidas mediante Resolución CREG 091 de 2007, </w:t>
      </w:r>
      <w:r w:rsidR="00377D00" w:rsidRPr="003B2AE3">
        <w:rPr>
          <w:rFonts w:ascii="Bookman Old Style" w:eastAsia="Times New Roman" w:hAnsi="Bookman Old Style" w:cs="Times New Roman"/>
          <w:sz w:val="24"/>
          <w:szCs w:val="24"/>
          <w:lang w:eastAsia="es-ES"/>
        </w:rPr>
        <w:t xml:space="preserve">en especial </w:t>
      </w:r>
      <w:r w:rsidR="00412348" w:rsidRPr="003B2AE3">
        <w:rPr>
          <w:rFonts w:ascii="Bookman Old Style" w:eastAsia="Times New Roman" w:hAnsi="Bookman Old Style" w:cs="Times New Roman"/>
          <w:sz w:val="24"/>
          <w:szCs w:val="24"/>
          <w:lang w:eastAsia="es-ES"/>
        </w:rPr>
        <w:t xml:space="preserve">para </w:t>
      </w:r>
      <w:r w:rsidR="00377D00" w:rsidRPr="003B2AE3">
        <w:rPr>
          <w:rFonts w:ascii="Bookman Old Style" w:eastAsia="Times New Roman" w:hAnsi="Bookman Old Style" w:cs="Times New Roman"/>
          <w:sz w:val="24"/>
          <w:szCs w:val="24"/>
          <w:lang w:eastAsia="es-ES"/>
        </w:rPr>
        <w:t xml:space="preserve">los cargos máximos de </w:t>
      </w:r>
      <w:r w:rsidR="00412348" w:rsidRPr="003B2AE3">
        <w:rPr>
          <w:rFonts w:ascii="Bookman Old Style" w:eastAsia="Times New Roman" w:hAnsi="Bookman Old Style" w:cs="Times New Roman"/>
          <w:sz w:val="24"/>
          <w:szCs w:val="24"/>
          <w:lang w:eastAsia="es-ES"/>
        </w:rPr>
        <w:t>generación con sistemas diésel y PCH, ratificad</w:t>
      </w:r>
      <w:r w:rsidR="00377D00" w:rsidRPr="003B2AE3">
        <w:rPr>
          <w:rFonts w:ascii="Bookman Old Style" w:eastAsia="Times New Roman" w:hAnsi="Bookman Old Style" w:cs="Times New Roman"/>
          <w:sz w:val="24"/>
          <w:szCs w:val="24"/>
          <w:lang w:eastAsia="es-ES"/>
        </w:rPr>
        <w:t>o</w:t>
      </w:r>
      <w:r w:rsidR="00412348" w:rsidRPr="003B2AE3">
        <w:rPr>
          <w:rFonts w:ascii="Bookman Old Style" w:eastAsia="Times New Roman" w:hAnsi="Bookman Old Style" w:cs="Times New Roman"/>
          <w:sz w:val="24"/>
          <w:szCs w:val="24"/>
          <w:lang w:eastAsia="es-ES"/>
        </w:rPr>
        <w:t>s en las disposiciones de esta resolución</w:t>
      </w:r>
      <w:r w:rsidR="0026419D" w:rsidRPr="003B2AE3">
        <w:rPr>
          <w:rFonts w:ascii="Bookman Old Style" w:eastAsia="Times New Roman" w:hAnsi="Bookman Old Style" w:cs="Times New Roman"/>
          <w:sz w:val="24"/>
          <w:szCs w:val="24"/>
          <w:lang w:eastAsia="es-ES"/>
        </w:rPr>
        <w:t xml:space="preserve">, </w:t>
      </w:r>
      <w:r w:rsidR="00EA750F" w:rsidRPr="003B2AE3">
        <w:rPr>
          <w:rFonts w:ascii="Bookman Old Style" w:eastAsia="Times New Roman" w:hAnsi="Bookman Old Style" w:cs="Times New Roman"/>
          <w:sz w:val="24"/>
          <w:szCs w:val="24"/>
          <w:lang w:eastAsia="es-ES"/>
        </w:rPr>
        <w:t>a</w:t>
      </w:r>
      <w:r w:rsidR="0026419D" w:rsidRPr="003B2AE3">
        <w:rPr>
          <w:rFonts w:ascii="Bookman Old Style" w:eastAsia="Times New Roman" w:hAnsi="Bookman Old Style" w:cs="Times New Roman"/>
          <w:sz w:val="24"/>
          <w:szCs w:val="24"/>
          <w:lang w:eastAsia="es-ES"/>
        </w:rPr>
        <w:t>sí como</w:t>
      </w:r>
      <w:r w:rsidR="00412348" w:rsidRPr="003B2AE3">
        <w:rPr>
          <w:rFonts w:ascii="Bookman Old Style" w:eastAsia="Times New Roman" w:hAnsi="Bookman Old Style" w:cs="Times New Roman"/>
          <w:sz w:val="24"/>
          <w:szCs w:val="24"/>
          <w:lang w:eastAsia="es-ES"/>
        </w:rPr>
        <w:t xml:space="preserve"> l</w:t>
      </w:r>
      <w:r w:rsidR="00377D00" w:rsidRPr="003B2AE3">
        <w:rPr>
          <w:rFonts w:ascii="Bookman Old Style" w:eastAsia="Times New Roman" w:hAnsi="Bookman Old Style" w:cs="Times New Roman"/>
          <w:sz w:val="24"/>
          <w:szCs w:val="24"/>
          <w:lang w:eastAsia="es-ES"/>
        </w:rPr>
        <w:t>os</w:t>
      </w:r>
      <w:r w:rsidR="00412348" w:rsidRPr="003B2AE3">
        <w:rPr>
          <w:rFonts w:ascii="Bookman Old Style" w:eastAsia="Times New Roman" w:hAnsi="Bookman Old Style" w:cs="Times New Roman"/>
          <w:sz w:val="24"/>
          <w:szCs w:val="24"/>
          <w:lang w:eastAsia="es-ES"/>
        </w:rPr>
        <w:t xml:space="preserve"> definid</w:t>
      </w:r>
      <w:r w:rsidR="00377D00" w:rsidRPr="003B2AE3">
        <w:rPr>
          <w:rFonts w:ascii="Bookman Old Style" w:eastAsia="Times New Roman" w:hAnsi="Bookman Old Style" w:cs="Times New Roman"/>
          <w:sz w:val="24"/>
          <w:szCs w:val="24"/>
          <w:lang w:eastAsia="es-ES"/>
        </w:rPr>
        <w:t>o</w:t>
      </w:r>
      <w:r w:rsidR="00412348" w:rsidRPr="003B2AE3">
        <w:rPr>
          <w:rFonts w:ascii="Bookman Old Style" w:eastAsia="Times New Roman" w:hAnsi="Bookman Old Style" w:cs="Times New Roman"/>
          <w:sz w:val="24"/>
          <w:szCs w:val="24"/>
          <w:lang w:eastAsia="es-ES"/>
        </w:rPr>
        <w:t xml:space="preserve">s </w:t>
      </w:r>
      <w:r w:rsidR="00377D00" w:rsidRPr="003B2AE3">
        <w:rPr>
          <w:rFonts w:ascii="Bookman Old Style" w:eastAsia="Times New Roman" w:hAnsi="Bookman Old Style" w:cs="Times New Roman"/>
          <w:sz w:val="24"/>
          <w:szCs w:val="24"/>
          <w:lang w:eastAsia="es-ES"/>
        </w:rPr>
        <w:t xml:space="preserve">para sistemas solares fotovoltaicos con acumulación </w:t>
      </w:r>
      <w:r w:rsidR="003B2AE3">
        <w:rPr>
          <w:rFonts w:ascii="Bookman Old Style" w:eastAsia="Times New Roman" w:hAnsi="Bookman Old Style" w:cs="Times New Roman"/>
          <w:sz w:val="24"/>
          <w:szCs w:val="24"/>
          <w:lang w:eastAsia="es-ES"/>
        </w:rPr>
        <w:t xml:space="preserve">definidos </w:t>
      </w:r>
      <w:r w:rsidR="00412348" w:rsidRPr="003B2AE3">
        <w:rPr>
          <w:rFonts w:ascii="Bookman Old Style" w:eastAsia="Times New Roman" w:hAnsi="Bookman Old Style" w:cs="Times New Roman"/>
          <w:sz w:val="24"/>
          <w:szCs w:val="24"/>
          <w:lang w:eastAsia="es-ES"/>
        </w:rPr>
        <w:t>en esta resolución.</w:t>
      </w:r>
    </w:p>
    <w:p w14:paraId="135FA69A" w14:textId="77777777" w:rsidR="00A64020" w:rsidRPr="00A64020" w:rsidRDefault="00A64020" w:rsidP="002A13DB">
      <w:pPr>
        <w:spacing w:after="0" w:line="240" w:lineRule="auto"/>
        <w:contextualSpacing/>
        <w:jc w:val="both"/>
        <w:rPr>
          <w:rFonts w:ascii="Bookman Old Style" w:eastAsia="Times New Roman" w:hAnsi="Bookman Old Style" w:cs="Times New Roman"/>
          <w:sz w:val="24"/>
          <w:szCs w:val="24"/>
          <w:lang w:eastAsia="es-ES"/>
        </w:rPr>
      </w:pPr>
    </w:p>
    <w:p w14:paraId="0B758BE3" w14:textId="6D62F299" w:rsidR="00F03EB7" w:rsidRPr="00F03EB7" w:rsidRDefault="00F03EB7" w:rsidP="002A13DB">
      <w:pPr>
        <w:spacing w:after="0" w:line="240" w:lineRule="auto"/>
        <w:contextualSpacing/>
        <w:jc w:val="both"/>
        <w:rPr>
          <w:rFonts w:ascii="Bookman Old Style" w:eastAsia="Times New Roman" w:hAnsi="Bookman Old Style" w:cs="Times New Roman"/>
          <w:b/>
          <w:bCs/>
          <w:i/>
          <w:iCs/>
          <w:sz w:val="24"/>
          <w:szCs w:val="24"/>
          <w:lang w:eastAsia="es-ES"/>
        </w:rPr>
      </w:pPr>
      <w:r w:rsidRPr="00F03EB7">
        <w:rPr>
          <w:rFonts w:ascii="Bookman Old Style" w:eastAsia="Times New Roman" w:hAnsi="Bookman Old Style" w:cs="Times New Roman"/>
          <w:b/>
          <w:bCs/>
          <w:i/>
          <w:iCs/>
          <w:sz w:val="24"/>
          <w:szCs w:val="24"/>
          <w:lang w:eastAsia="es-ES"/>
        </w:rPr>
        <w:t>6. Principios y Reglas de despacho de recursos energéticos y mecanismos de comercialización de energía</w:t>
      </w:r>
      <w:r w:rsidR="009D236F">
        <w:rPr>
          <w:rFonts w:ascii="Bookman Old Style" w:eastAsia="Times New Roman" w:hAnsi="Bookman Old Style" w:cs="Times New Roman"/>
          <w:b/>
          <w:bCs/>
          <w:i/>
          <w:iCs/>
          <w:sz w:val="24"/>
          <w:szCs w:val="24"/>
          <w:lang w:eastAsia="es-ES"/>
        </w:rPr>
        <w:t xml:space="preserve"> </w:t>
      </w:r>
    </w:p>
    <w:p w14:paraId="6D6085A0" w14:textId="1395B3FE" w:rsidR="00F03EB7" w:rsidRPr="00A71B6B" w:rsidRDefault="00F03EB7" w:rsidP="002A13DB">
      <w:pPr>
        <w:spacing w:after="0" w:line="240" w:lineRule="auto"/>
        <w:contextualSpacing/>
        <w:jc w:val="both"/>
        <w:rPr>
          <w:rFonts w:ascii="Bookman Old Style" w:eastAsia="Times New Roman" w:hAnsi="Bookman Old Style" w:cs="Times New Roman"/>
          <w:b/>
          <w:bCs/>
          <w:i/>
          <w:iCs/>
          <w:sz w:val="24"/>
          <w:szCs w:val="24"/>
          <w:lang w:eastAsia="es-ES"/>
        </w:rPr>
      </w:pPr>
    </w:p>
    <w:p w14:paraId="7688E2DD" w14:textId="03015AF6" w:rsidR="008F7980" w:rsidRPr="005A05B9" w:rsidRDefault="00D0073B" w:rsidP="008F250C">
      <w:pPr>
        <w:spacing w:after="0" w:line="240" w:lineRule="auto"/>
        <w:ind w:right="-142"/>
        <w:contextualSpacing/>
        <w:jc w:val="both"/>
        <w:rPr>
          <w:rFonts w:ascii="Bookman Old Style" w:hAnsi="Bookman Old Style" w:cs="Arial"/>
          <w:i/>
          <w:iCs/>
          <w:sz w:val="24"/>
          <w:szCs w:val="24"/>
        </w:rPr>
      </w:pPr>
      <w:r w:rsidRPr="005A05B9">
        <w:rPr>
          <w:rFonts w:ascii="Bookman Old Style" w:eastAsia="Times New Roman" w:hAnsi="Bookman Old Style" w:cs="Times New Roman"/>
          <w:sz w:val="24"/>
          <w:szCs w:val="24"/>
          <w:lang w:eastAsia="es-ES"/>
        </w:rPr>
        <w:t xml:space="preserve">En este punto el recurrente </w:t>
      </w:r>
      <w:r w:rsidR="00AF3192" w:rsidRPr="005A05B9">
        <w:rPr>
          <w:rFonts w:ascii="Bookman Old Style" w:eastAsia="Times New Roman" w:hAnsi="Bookman Old Style" w:cs="Times New Roman"/>
          <w:sz w:val="24"/>
          <w:szCs w:val="24"/>
          <w:lang w:eastAsia="es-ES"/>
        </w:rPr>
        <w:t>manifi</w:t>
      </w:r>
      <w:r w:rsidR="00487816" w:rsidRPr="005A05B9">
        <w:rPr>
          <w:rFonts w:ascii="Bookman Old Style" w:eastAsia="Times New Roman" w:hAnsi="Bookman Old Style" w:cs="Times New Roman"/>
          <w:sz w:val="24"/>
          <w:szCs w:val="24"/>
          <w:lang w:eastAsia="es-ES"/>
        </w:rPr>
        <w:t>esta que</w:t>
      </w:r>
      <w:r w:rsidR="005A05B9" w:rsidRPr="005A05B9">
        <w:rPr>
          <w:rFonts w:ascii="Bookman Old Style" w:eastAsia="Times New Roman" w:hAnsi="Bookman Old Style" w:cs="Times New Roman"/>
          <w:sz w:val="24"/>
          <w:szCs w:val="24"/>
          <w:lang w:eastAsia="es-ES"/>
        </w:rPr>
        <w:t>,</w:t>
      </w:r>
      <w:r w:rsidR="00487816" w:rsidRPr="005A05B9">
        <w:rPr>
          <w:rFonts w:ascii="Bookman Old Style" w:eastAsia="Times New Roman" w:hAnsi="Bookman Old Style" w:cs="Times New Roman"/>
          <w:sz w:val="24"/>
          <w:szCs w:val="24"/>
          <w:lang w:eastAsia="es-ES"/>
        </w:rPr>
        <w:t xml:space="preserve"> </w:t>
      </w:r>
      <w:r w:rsidR="005B4699" w:rsidRPr="005A05B9">
        <w:rPr>
          <w:rFonts w:ascii="Bookman Old Style" w:eastAsia="Times New Roman" w:hAnsi="Bookman Old Style" w:cs="Times New Roman"/>
          <w:sz w:val="24"/>
          <w:szCs w:val="24"/>
          <w:lang w:eastAsia="es-ES"/>
        </w:rPr>
        <w:t xml:space="preserve">aunque se difiere a resolución posterior </w:t>
      </w:r>
      <w:r w:rsidR="00525D60" w:rsidRPr="005A05B9">
        <w:rPr>
          <w:rFonts w:ascii="Bookman Old Style" w:eastAsia="Times New Roman" w:hAnsi="Bookman Old Style" w:cs="Times New Roman"/>
          <w:sz w:val="24"/>
          <w:szCs w:val="24"/>
          <w:lang w:eastAsia="es-ES"/>
        </w:rPr>
        <w:t>los principios y reglas de despacho de recursos energéticos y mecanismos de comercialización de energía</w:t>
      </w:r>
      <w:r w:rsidR="005A05B9" w:rsidRPr="005A05B9">
        <w:rPr>
          <w:rFonts w:ascii="Bookman Old Style" w:eastAsia="Times New Roman" w:hAnsi="Bookman Old Style" w:cs="Times New Roman"/>
          <w:sz w:val="24"/>
          <w:szCs w:val="24"/>
          <w:lang w:eastAsia="es-ES"/>
        </w:rPr>
        <w:t>,</w:t>
      </w:r>
      <w:r w:rsidR="00525D60" w:rsidRPr="005A05B9">
        <w:rPr>
          <w:rFonts w:ascii="Bookman Old Style" w:eastAsia="Times New Roman" w:hAnsi="Bookman Old Style" w:cs="Times New Roman"/>
          <w:sz w:val="24"/>
          <w:szCs w:val="24"/>
          <w:lang w:eastAsia="es-ES"/>
        </w:rPr>
        <w:t xml:space="preserve"> se tenga en </w:t>
      </w:r>
      <w:r w:rsidR="005B4699" w:rsidRPr="005A05B9">
        <w:rPr>
          <w:rFonts w:ascii="Bookman Old Style" w:eastAsia="Times New Roman" w:hAnsi="Bookman Old Style" w:cs="Times New Roman"/>
          <w:sz w:val="24"/>
          <w:szCs w:val="24"/>
          <w:lang w:eastAsia="es-ES"/>
        </w:rPr>
        <w:t>consideración</w:t>
      </w:r>
      <w:r w:rsidR="003D0EBF" w:rsidRPr="005A05B9">
        <w:rPr>
          <w:rFonts w:ascii="Bookman Old Style" w:eastAsia="Times New Roman" w:hAnsi="Bookman Old Style" w:cs="Times New Roman"/>
          <w:sz w:val="24"/>
          <w:szCs w:val="24"/>
          <w:lang w:eastAsia="es-ES"/>
        </w:rPr>
        <w:t xml:space="preserve"> la función de la</w:t>
      </w:r>
      <w:r w:rsidR="00B77EFF" w:rsidRPr="005A05B9">
        <w:rPr>
          <w:rFonts w:ascii="Bookman Old Style" w:hAnsi="Bookman Old Style" w:cs="Arial"/>
          <w:sz w:val="24"/>
          <w:szCs w:val="24"/>
        </w:rPr>
        <w:t xml:space="preserve"> Comisión de promover la competencia y evitar los abusos de posición dominante y garantizar los derechos de los usuarios, garantiza</w:t>
      </w:r>
      <w:r w:rsidR="003D0EBF" w:rsidRPr="005A05B9">
        <w:rPr>
          <w:rFonts w:ascii="Bookman Old Style" w:hAnsi="Bookman Old Style" w:cs="Arial"/>
          <w:sz w:val="24"/>
          <w:szCs w:val="24"/>
        </w:rPr>
        <w:t>ndo</w:t>
      </w:r>
      <w:r w:rsidR="00B77EFF" w:rsidRPr="005A05B9">
        <w:rPr>
          <w:rFonts w:ascii="Bookman Old Style" w:hAnsi="Bookman Old Style" w:cs="Arial"/>
          <w:sz w:val="24"/>
          <w:szCs w:val="24"/>
        </w:rPr>
        <w:t xml:space="preserve"> la prestación eficiente del servicio público.</w:t>
      </w:r>
      <w:r w:rsidR="00CD7906" w:rsidRPr="005A05B9">
        <w:rPr>
          <w:rFonts w:ascii="Bookman Old Style" w:eastAsia="Times New Roman" w:hAnsi="Bookman Old Style" w:cs="Times New Roman"/>
          <w:sz w:val="24"/>
          <w:szCs w:val="24"/>
          <w:lang w:eastAsia="es-ES"/>
        </w:rPr>
        <w:t xml:space="preserve"> Indicando particularmente que “</w:t>
      </w:r>
      <w:r w:rsidR="00D54CC2" w:rsidRPr="005A05B9">
        <w:rPr>
          <w:rFonts w:ascii="Bookman Old Style" w:eastAsia="Times New Roman" w:hAnsi="Bookman Old Style" w:cs="Times New Roman"/>
          <w:sz w:val="24"/>
          <w:szCs w:val="24"/>
          <w:lang w:eastAsia="es-ES"/>
        </w:rPr>
        <w:t>e</w:t>
      </w:r>
      <w:r w:rsidR="0063310F" w:rsidRPr="005A05B9">
        <w:rPr>
          <w:rFonts w:ascii="Bookman Old Style" w:hAnsi="Bookman Old Style" w:cs="Arial"/>
          <w:i/>
          <w:sz w:val="24"/>
          <w:szCs w:val="24"/>
        </w:rPr>
        <w:t xml:space="preserve">s claro que el costo de </w:t>
      </w:r>
      <w:proofErr w:type="spellStart"/>
      <w:r w:rsidR="0063310F" w:rsidRPr="005A05B9">
        <w:rPr>
          <w:rFonts w:ascii="Bookman Old Style" w:hAnsi="Bookman Old Style" w:cs="Arial"/>
          <w:i/>
          <w:sz w:val="24"/>
          <w:szCs w:val="24"/>
        </w:rPr>
        <w:t>Gm</w:t>
      </w:r>
      <w:proofErr w:type="spellEnd"/>
      <w:r w:rsidR="0063310F" w:rsidRPr="005A05B9">
        <w:rPr>
          <w:rFonts w:ascii="Bookman Old Style" w:hAnsi="Bookman Old Style" w:cs="Arial"/>
          <w:i/>
          <w:sz w:val="24"/>
          <w:szCs w:val="24"/>
        </w:rPr>
        <w:t xml:space="preserve"> en el municipio no es el eficiente </w:t>
      </w:r>
      <w:proofErr w:type="spellStart"/>
      <w:r w:rsidR="0063310F" w:rsidRPr="005A05B9">
        <w:rPr>
          <w:rFonts w:ascii="Bookman Old Style" w:hAnsi="Bookman Old Style" w:cs="Arial"/>
          <w:i/>
          <w:sz w:val="24"/>
          <w:szCs w:val="24"/>
        </w:rPr>
        <w:t>por que</w:t>
      </w:r>
      <w:proofErr w:type="spellEnd"/>
      <w:r w:rsidR="0063310F" w:rsidRPr="005A05B9">
        <w:rPr>
          <w:rFonts w:ascii="Bookman Old Style" w:hAnsi="Bookman Old Style" w:cs="Arial"/>
          <w:i/>
          <w:sz w:val="24"/>
          <w:szCs w:val="24"/>
        </w:rPr>
        <w:t xml:space="preserve"> de otra forma no se entendería que a GENSA S.A. E.S.P. se le paguen costos reales de acuerdo con la resolución MME 181891 de 2008 y 091873 de 2012, ya que solo se cancelan los costos reales si el valor es superior al eficiente</w:t>
      </w:r>
      <w:r w:rsidR="00D54CC2" w:rsidRPr="005A05B9">
        <w:rPr>
          <w:rFonts w:ascii="Bookman Old Style" w:hAnsi="Bookman Old Style" w:cs="Arial"/>
          <w:i/>
          <w:sz w:val="24"/>
          <w:szCs w:val="24"/>
        </w:rPr>
        <w:t>”</w:t>
      </w:r>
      <w:r w:rsidR="0063310F" w:rsidRPr="005A05B9">
        <w:rPr>
          <w:rFonts w:ascii="Bookman Old Style" w:hAnsi="Bookman Old Style" w:cs="Arial"/>
          <w:i/>
          <w:sz w:val="24"/>
          <w:szCs w:val="24"/>
        </w:rPr>
        <w:t>.</w:t>
      </w:r>
      <w:r w:rsidR="00956C90" w:rsidRPr="005A05B9">
        <w:rPr>
          <w:rFonts w:ascii="Bookman Old Style" w:hAnsi="Bookman Old Style" w:cs="Arial"/>
          <w:i/>
          <w:sz w:val="24"/>
          <w:szCs w:val="24"/>
        </w:rPr>
        <w:t xml:space="preserve"> </w:t>
      </w:r>
      <w:r w:rsidR="00956C90" w:rsidRPr="005A05B9">
        <w:rPr>
          <w:rFonts w:ascii="Bookman Old Style" w:hAnsi="Bookman Old Style" w:cs="Arial"/>
          <w:sz w:val="24"/>
          <w:szCs w:val="24"/>
        </w:rPr>
        <w:t xml:space="preserve">Y </w:t>
      </w:r>
      <w:r w:rsidR="00A80CCF" w:rsidRPr="005A05B9">
        <w:rPr>
          <w:rFonts w:ascii="Bookman Old Style" w:hAnsi="Bookman Old Style" w:cs="Arial"/>
          <w:sz w:val="24"/>
          <w:szCs w:val="24"/>
        </w:rPr>
        <w:t xml:space="preserve">recomiendan </w:t>
      </w:r>
      <w:r w:rsidR="008F250C" w:rsidRPr="005A05B9">
        <w:rPr>
          <w:rFonts w:ascii="Bookman Old Style" w:hAnsi="Bookman Old Style" w:cs="Arial"/>
          <w:sz w:val="24"/>
          <w:szCs w:val="24"/>
        </w:rPr>
        <w:t>“</w:t>
      </w:r>
      <w:r w:rsidR="008F7980" w:rsidRPr="005A05B9">
        <w:rPr>
          <w:rFonts w:ascii="Bookman Old Style" w:hAnsi="Bookman Old Style" w:cs="Arial"/>
          <w:i/>
          <w:iCs/>
          <w:sz w:val="24"/>
          <w:szCs w:val="24"/>
        </w:rPr>
        <w:t xml:space="preserve">poner a </w:t>
      </w:r>
      <w:proofErr w:type="spellStart"/>
      <w:r w:rsidR="008F7980" w:rsidRPr="005A05B9">
        <w:rPr>
          <w:rFonts w:ascii="Bookman Old Style" w:hAnsi="Bookman Old Style" w:cs="Arial"/>
          <w:i/>
          <w:iCs/>
          <w:sz w:val="24"/>
          <w:szCs w:val="24"/>
        </w:rPr>
        <w:t>Matakabi</w:t>
      </w:r>
      <w:proofErr w:type="spellEnd"/>
      <w:r w:rsidR="008F7980" w:rsidRPr="005A05B9">
        <w:rPr>
          <w:rFonts w:ascii="Bookman Old Style" w:hAnsi="Bookman Old Style" w:cs="Arial"/>
          <w:i/>
          <w:iCs/>
          <w:sz w:val="24"/>
          <w:szCs w:val="24"/>
        </w:rPr>
        <w:t xml:space="preserve"> en la base de generación</w:t>
      </w:r>
      <w:r w:rsidR="008F250C" w:rsidRPr="005A05B9">
        <w:rPr>
          <w:rFonts w:ascii="Bookman Old Style" w:hAnsi="Bookman Old Style" w:cs="Arial"/>
          <w:i/>
          <w:iCs/>
          <w:sz w:val="24"/>
          <w:szCs w:val="24"/>
        </w:rPr>
        <w:t>”</w:t>
      </w:r>
      <w:r w:rsidR="008F7980" w:rsidRPr="005A05B9">
        <w:rPr>
          <w:rFonts w:ascii="Bookman Old Style" w:hAnsi="Bookman Old Style" w:cs="Arial"/>
          <w:i/>
          <w:iCs/>
          <w:sz w:val="24"/>
          <w:szCs w:val="24"/>
        </w:rPr>
        <w:t xml:space="preserve">. </w:t>
      </w:r>
    </w:p>
    <w:p w14:paraId="56EA5342" w14:textId="77777777" w:rsidR="008F7980" w:rsidRPr="00F527A6" w:rsidRDefault="008F7980" w:rsidP="007F2AFE">
      <w:pPr>
        <w:spacing w:after="0" w:line="240" w:lineRule="auto"/>
        <w:ind w:right="-142"/>
        <w:contextualSpacing/>
        <w:jc w:val="both"/>
        <w:rPr>
          <w:rFonts w:ascii="Bookman Old Style" w:eastAsia="Times New Roman" w:hAnsi="Bookman Old Style" w:cs="Times New Roman"/>
          <w:sz w:val="24"/>
          <w:szCs w:val="24"/>
          <w:lang w:eastAsia="es-ES"/>
        </w:rPr>
      </w:pPr>
    </w:p>
    <w:p w14:paraId="2EF9069B" w14:textId="60EF3560" w:rsidR="00657E04" w:rsidRDefault="007157E5" w:rsidP="007F2AFE">
      <w:pPr>
        <w:spacing w:after="0" w:line="240" w:lineRule="auto"/>
        <w:ind w:right="-142"/>
        <w:contextualSpacing/>
        <w:jc w:val="both"/>
        <w:rPr>
          <w:rFonts w:ascii="Bookman Old Style" w:eastAsia="Times New Roman" w:hAnsi="Bookman Old Style" w:cs="Times New Roman"/>
          <w:sz w:val="24"/>
          <w:szCs w:val="24"/>
          <w:lang w:eastAsia="es-ES"/>
        </w:rPr>
      </w:pPr>
      <w:r>
        <w:rPr>
          <w:rFonts w:ascii="Bookman Old Style" w:eastAsia="Times New Roman" w:hAnsi="Bookman Old Style" w:cs="Times New Roman"/>
          <w:sz w:val="24"/>
          <w:szCs w:val="24"/>
          <w:lang w:eastAsia="es-ES"/>
        </w:rPr>
        <w:t>Sobre lo manifestado</w:t>
      </w:r>
      <w:r w:rsidR="00787975">
        <w:rPr>
          <w:rFonts w:ascii="Bookman Old Style" w:eastAsia="Times New Roman" w:hAnsi="Bookman Old Style" w:cs="Times New Roman"/>
          <w:sz w:val="24"/>
          <w:szCs w:val="24"/>
          <w:lang w:eastAsia="es-ES"/>
        </w:rPr>
        <w:t xml:space="preserve"> por el recurrente</w:t>
      </w:r>
      <w:r w:rsidR="00A84E2B">
        <w:rPr>
          <w:rFonts w:ascii="Bookman Old Style" w:eastAsia="Times New Roman" w:hAnsi="Bookman Old Style" w:cs="Times New Roman"/>
          <w:sz w:val="24"/>
          <w:szCs w:val="24"/>
          <w:lang w:eastAsia="es-ES"/>
        </w:rPr>
        <w:t xml:space="preserve"> </w:t>
      </w:r>
      <w:r w:rsidR="005B7D8C">
        <w:rPr>
          <w:rFonts w:ascii="Bookman Old Style" w:eastAsia="Times New Roman" w:hAnsi="Bookman Old Style" w:cs="Times New Roman"/>
          <w:sz w:val="24"/>
          <w:szCs w:val="24"/>
          <w:lang w:eastAsia="es-ES"/>
        </w:rPr>
        <w:t xml:space="preserve">en </w:t>
      </w:r>
      <w:r w:rsidR="00D94EC9">
        <w:rPr>
          <w:rFonts w:ascii="Bookman Old Style" w:eastAsia="Times New Roman" w:hAnsi="Bookman Old Style" w:cs="Times New Roman"/>
          <w:sz w:val="24"/>
          <w:szCs w:val="24"/>
          <w:lang w:eastAsia="es-ES"/>
        </w:rPr>
        <w:t xml:space="preserve">relación </w:t>
      </w:r>
      <w:r w:rsidR="00D94EC9" w:rsidRPr="00714B3C">
        <w:rPr>
          <w:rFonts w:ascii="Bookman Old Style" w:eastAsia="Times New Roman" w:hAnsi="Bookman Old Style" w:cs="Times New Roman"/>
          <w:sz w:val="24"/>
          <w:szCs w:val="24"/>
          <w:lang w:eastAsia="es-ES"/>
        </w:rPr>
        <w:t>con</w:t>
      </w:r>
      <w:r w:rsidR="00714B3C" w:rsidRPr="00714B3C">
        <w:rPr>
          <w:rFonts w:ascii="Bookman Old Style" w:eastAsia="Times New Roman" w:hAnsi="Bookman Old Style" w:cs="Times New Roman"/>
          <w:sz w:val="24"/>
          <w:szCs w:val="24"/>
          <w:lang w:eastAsia="es-ES"/>
        </w:rPr>
        <w:t xml:space="preserve"> </w:t>
      </w:r>
      <w:r w:rsidR="00714B3C" w:rsidRPr="00714B3C">
        <w:rPr>
          <w:rFonts w:ascii="Bookman Old Style" w:hAnsi="Bookman Old Style" w:cs="Arial"/>
          <w:sz w:val="24"/>
          <w:szCs w:val="24"/>
        </w:rPr>
        <w:t>las resoluciones</w:t>
      </w:r>
      <w:r w:rsidR="00714B3C" w:rsidRPr="00714B3C">
        <w:rPr>
          <w:rFonts w:ascii="Bookman Old Style" w:hAnsi="Bookman Old Style" w:cs="Arial"/>
          <w:i/>
          <w:iCs/>
        </w:rPr>
        <w:t xml:space="preserve"> 181891 de 2008 y 091873 de 2012</w:t>
      </w:r>
      <w:r w:rsidR="00714B3C">
        <w:rPr>
          <w:rFonts w:ascii="Bookman Old Style" w:eastAsia="Times New Roman" w:hAnsi="Bookman Old Style" w:cs="Times New Roman"/>
          <w:lang w:eastAsia="es-ES"/>
        </w:rPr>
        <w:t xml:space="preserve">, </w:t>
      </w:r>
      <w:r w:rsidR="009F5507">
        <w:rPr>
          <w:rFonts w:ascii="Bookman Old Style" w:eastAsia="Times New Roman" w:hAnsi="Bookman Old Style" w:cs="Times New Roman"/>
          <w:sz w:val="24"/>
          <w:szCs w:val="24"/>
          <w:lang w:eastAsia="es-ES"/>
        </w:rPr>
        <w:t>esta Comisión no cuenta con las</w:t>
      </w:r>
      <w:r w:rsidR="00270D97">
        <w:rPr>
          <w:rFonts w:ascii="Bookman Old Style" w:eastAsia="Times New Roman" w:hAnsi="Bookman Old Style" w:cs="Times New Roman"/>
          <w:sz w:val="24"/>
          <w:szCs w:val="24"/>
          <w:lang w:eastAsia="es-ES"/>
        </w:rPr>
        <w:t xml:space="preserve"> competencias </w:t>
      </w:r>
      <w:r w:rsidR="009F5507">
        <w:rPr>
          <w:rFonts w:ascii="Bookman Old Style" w:eastAsia="Times New Roman" w:hAnsi="Bookman Old Style" w:cs="Times New Roman"/>
          <w:sz w:val="24"/>
          <w:szCs w:val="24"/>
          <w:lang w:eastAsia="es-ES"/>
        </w:rPr>
        <w:t xml:space="preserve">para pronunciarse </w:t>
      </w:r>
      <w:r w:rsidR="0071175F">
        <w:rPr>
          <w:rFonts w:ascii="Bookman Old Style" w:eastAsia="Times New Roman" w:hAnsi="Bookman Old Style" w:cs="Times New Roman"/>
          <w:sz w:val="24"/>
          <w:szCs w:val="24"/>
          <w:lang w:eastAsia="es-ES"/>
        </w:rPr>
        <w:t>al respecto y</w:t>
      </w:r>
      <w:r w:rsidR="005B7D8C">
        <w:rPr>
          <w:rFonts w:ascii="Bookman Old Style" w:eastAsia="Times New Roman" w:hAnsi="Bookman Old Style" w:cs="Times New Roman"/>
          <w:sz w:val="24"/>
          <w:szCs w:val="24"/>
          <w:lang w:eastAsia="es-ES"/>
        </w:rPr>
        <w:t xml:space="preserve">a </w:t>
      </w:r>
      <w:r w:rsidR="0071175F">
        <w:rPr>
          <w:rFonts w:ascii="Bookman Old Style" w:eastAsia="Times New Roman" w:hAnsi="Bookman Old Style" w:cs="Times New Roman"/>
          <w:sz w:val="24"/>
          <w:szCs w:val="24"/>
          <w:lang w:eastAsia="es-ES"/>
        </w:rPr>
        <w:t xml:space="preserve">que </w:t>
      </w:r>
      <w:r w:rsidR="00AA5E25">
        <w:rPr>
          <w:rFonts w:ascii="Bookman Old Style" w:eastAsia="Times New Roman" w:hAnsi="Bookman Old Style" w:cs="Times New Roman"/>
          <w:sz w:val="24"/>
          <w:szCs w:val="24"/>
          <w:lang w:eastAsia="es-ES"/>
        </w:rPr>
        <w:t>se trata de</w:t>
      </w:r>
      <w:r w:rsidR="0071175F">
        <w:rPr>
          <w:rFonts w:ascii="Bookman Old Style" w:eastAsia="Times New Roman" w:hAnsi="Bookman Old Style" w:cs="Times New Roman"/>
          <w:sz w:val="24"/>
          <w:szCs w:val="24"/>
          <w:lang w:eastAsia="es-ES"/>
        </w:rPr>
        <w:t xml:space="preserve"> un asunto que se encuentra por fuera del alcance de la actuación administrativa</w:t>
      </w:r>
      <w:r w:rsidR="00495259">
        <w:rPr>
          <w:rFonts w:ascii="Bookman Old Style" w:eastAsia="Times New Roman" w:hAnsi="Bookman Old Style" w:cs="Times New Roman"/>
          <w:sz w:val="24"/>
          <w:szCs w:val="24"/>
          <w:lang w:eastAsia="es-ES"/>
        </w:rPr>
        <w:t xml:space="preserve"> y </w:t>
      </w:r>
      <w:r w:rsidR="00AF7DE5">
        <w:rPr>
          <w:rFonts w:ascii="Bookman Old Style" w:eastAsia="Times New Roman" w:hAnsi="Bookman Old Style" w:cs="Times New Roman"/>
          <w:sz w:val="24"/>
          <w:szCs w:val="24"/>
          <w:lang w:eastAsia="es-ES"/>
        </w:rPr>
        <w:t>de acuerdo</w:t>
      </w:r>
      <w:r w:rsidR="00D552E2">
        <w:rPr>
          <w:rFonts w:ascii="Bookman Old Style" w:eastAsia="Times New Roman" w:hAnsi="Bookman Old Style" w:cs="Times New Roman"/>
          <w:sz w:val="24"/>
          <w:szCs w:val="24"/>
          <w:lang w:eastAsia="es-ES"/>
        </w:rPr>
        <w:t xml:space="preserve"> </w:t>
      </w:r>
      <w:r w:rsidR="00FC2DA8">
        <w:rPr>
          <w:rFonts w:ascii="Bookman Old Style" w:eastAsia="Times New Roman" w:hAnsi="Bookman Old Style" w:cs="Times New Roman"/>
          <w:sz w:val="24"/>
          <w:szCs w:val="24"/>
          <w:lang w:eastAsia="es-ES"/>
        </w:rPr>
        <w:t>con l</w:t>
      </w:r>
      <w:r w:rsidR="00EC57D9">
        <w:rPr>
          <w:rFonts w:ascii="Bookman Old Style" w:eastAsia="Times New Roman" w:hAnsi="Bookman Old Style" w:cs="Times New Roman"/>
          <w:sz w:val="24"/>
          <w:szCs w:val="24"/>
          <w:lang w:eastAsia="es-ES"/>
        </w:rPr>
        <w:t>a autoridad que expide el acto</w:t>
      </w:r>
      <w:r w:rsidR="00657E04">
        <w:rPr>
          <w:rFonts w:ascii="Bookman Old Style" w:eastAsia="Times New Roman" w:hAnsi="Bookman Old Style" w:cs="Times New Roman"/>
          <w:sz w:val="24"/>
          <w:szCs w:val="24"/>
          <w:lang w:eastAsia="es-ES"/>
        </w:rPr>
        <w:t xml:space="preserve"> administrativo le corresponde al Ministerio de Minas y Energía</w:t>
      </w:r>
      <w:r w:rsidR="0071175F">
        <w:rPr>
          <w:rFonts w:ascii="Bookman Old Style" w:eastAsia="Times New Roman" w:hAnsi="Bookman Old Style" w:cs="Times New Roman"/>
          <w:sz w:val="24"/>
          <w:szCs w:val="24"/>
          <w:lang w:eastAsia="es-ES"/>
        </w:rPr>
        <w:t xml:space="preserve">.  </w:t>
      </w:r>
      <w:r w:rsidR="00921675">
        <w:rPr>
          <w:rFonts w:ascii="Bookman Old Style" w:eastAsia="Times New Roman" w:hAnsi="Bookman Old Style" w:cs="Times New Roman"/>
          <w:sz w:val="24"/>
          <w:szCs w:val="24"/>
          <w:lang w:eastAsia="es-ES"/>
        </w:rPr>
        <w:t xml:space="preserve">  </w:t>
      </w:r>
    </w:p>
    <w:p w14:paraId="0641E72E" w14:textId="77777777" w:rsidR="00657E04" w:rsidRDefault="00657E04" w:rsidP="007F2AFE">
      <w:pPr>
        <w:spacing w:after="0" w:line="240" w:lineRule="auto"/>
        <w:ind w:right="-142"/>
        <w:contextualSpacing/>
        <w:jc w:val="both"/>
        <w:rPr>
          <w:rFonts w:ascii="Bookman Old Style" w:eastAsia="Times New Roman" w:hAnsi="Bookman Old Style" w:cs="Times New Roman"/>
          <w:sz w:val="24"/>
          <w:szCs w:val="24"/>
          <w:lang w:eastAsia="es-ES"/>
        </w:rPr>
      </w:pPr>
    </w:p>
    <w:p w14:paraId="7F732446" w14:textId="5A9B4139" w:rsidR="00B868F3" w:rsidRDefault="00C033E5" w:rsidP="007F2AFE">
      <w:pPr>
        <w:spacing w:after="0" w:line="240" w:lineRule="auto"/>
        <w:ind w:right="-142"/>
        <w:contextualSpacing/>
        <w:jc w:val="both"/>
        <w:rPr>
          <w:rFonts w:ascii="Bookman Old Style" w:eastAsia="Times New Roman" w:hAnsi="Bookman Old Style" w:cs="Times New Roman"/>
          <w:sz w:val="24"/>
          <w:szCs w:val="24"/>
          <w:lang w:eastAsia="es-ES"/>
        </w:rPr>
      </w:pPr>
      <w:r>
        <w:rPr>
          <w:rFonts w:ascii="Bookman Old Style" w:eastAsia="Times New Roman" w:hAnsi="Bookman Old Style" w:cs="Times New Roman"/>
          <w:sz w:val="24"/>
          <w:szCs w:val="24"/>
          <w:lang w:eastAsia="es-ES"/>
        </w:rPr>
        <w:t xml:space="preserve">Adicionalmente, </w:t>
      </w:r>
      <w:r w:rsidR="00760319">
        <w:rPr>
          <w:rFonts w:ascii="Bookman Old Style" w:eastAsia="Times New Roman" w:hAnsi="Bookman Old Style" w:cs="Times New Roman"/>
          <w:sz w:val="24"/>
          <w:szCs w:val="24"/>
          <w:lang w:eastAsia="es-ES"/>
        </w:rPr>
        <w:t>debe tenerse en cuenta que</w:t>
      </w:r>
      <w:r w:rsidR="005A05B9">
        <w:rPr>
          <w:rFonts w:ascii="Bookman Old Style" w:eastAsia="Times New Roman" w:hAnsi="Bookman Old Style" w:cs="Times New Roman"/>
          <w:sz w:val="24"/>
          <w:szCs w:val="24"/>
          <w:lang w:eastAsia="es-ES"/>
        </w:rPr>
        <w:t>,</w:t>
      </w:r>
      <w:r w:rsidR="00295F1A">
        <w:rPr>
          <w:rFonts w:ascii="Bookman Old Style" w:eastAsia="Times New Roman" w:hAnsi="Bookman Old Style" w:cs="Times New Roman"/>
          <w:sz w:val="24"/>
          <w:szCs w:val="24"/>
          <w:lang w:eastAsia="es-ES"/>
        </w:rPr>
        <w:t xml:space="preserve"> </w:t>
      </w:r>
      <w:r w:rsidR="008923F5">
        <w:rPr>
          <w:rFonts w:ascii="Bookman Old Style" w:eastAsia="Times New Roman" w:hAnsi="Bookman Old Style" w:cs="Times New Roman"/>
          <w:sz w:val="24"/>
          <w:szCs w:val="24"/>
          <w:lang w:eastAsia="es-ES"/>
        </w:rPr>
        <w:t xml:space="preserve">derivado de </w:t>
      </w:r>
      <w:r w:rsidR="009A56A0">
        <w:rPr>
          <w:rFonts w:ascii="Bookman Old Style" w:eastAsia="Times New Roman" w:hAnsi="Bookman Old Style" w:cs="Times New Roman"/>
          <w:sz w:val="24"/>
          <w:szCs w:val="24"/>
          <w:lang w:eastAsia="es-ES"/>
        </w:rPr>
        <w:t>lo solicitado por la empresa</w:t>
      </w:r>
      <w:r w:rsidR="005A05B9">
        <w:rPr>
          <w:rFonts w:ascii="Bookman Old Style" w:eastAsia="Times New Roman" w:hAnsi="Bookman Old Style" w:cs="Times New Roman"/>
          <w:sz w:val="24"/>
          <w:szCs w:val="24"/>
          <w:lang w:eastAsia="es-ES"/>
        </w:rPr>
        <w:t>,</w:t>
      </w:r>
      <w:r w:rsidR="008923F5">
        <w:rPr>
          <w:rFonts w:ascii="Bookman Old Style" w:eastAsia="Times New Roman" w:hAnsi="Bookman Old Style" w:cs="Times New Roman"/>
          <w:sz w:val="24"/>
          <w:szCs w:val="24"/>
          <w:lang w:eastAsia="es-ES"/>
        </w:rPr>
        <w:t xml:space="preserve"> </w:t>
      </w:r>
      <w:r w:rsidR="009A56A0">
        <w:rPr>
          <w:rFonts w:ascii="Bookman Old Style" w:eastAsia="Times New Roman" w:hAnsi="Bookman Old Style" w:cs="Times New Roman"/>
          <w:sz w:val="24"/>
          <w:szCs w:val="24"/>
          <w:lang w:eastAsia="es-ES"/>
        </w:rPr>
        <w:t xml:space="preserve">esta Comisión </w:t>
      </w:r>
      <w:r w:rsidR="00B22D95">
        <w:rPr>
          <w:rFonts w:ascii="Bookman Old Style" w:eastAsia="Times New Roman" w:hAnsi="Bookman Old Style" w:cs="Times New Roman"/>
          <w:sz w:val="24"/>
          <w:szCs w:val="24"/>
          <w:lang w:eastAsia="es-ES"/>
        </w:rPr>
        <w:t xml:space="preserve">definió </w:t>
      </w:r>
      <w:r w:rsidR="00295F1A">
        <w:rPr>
          <w:rFonts w:ascii="Bookman Old Style" w:eastAsia="Times New Roman" w:hAnsi="Bookman Old Style" w:cs="Times New Roman"/>
          <w:sz w:val="24"/>
          <w:szCs w:val="24"/>
          <w:lang w:eastAsia="es-ES"/>
        </w:rPr>
        <w:t>un cargo máximo de generación</w:t>
      </w:r>
      <w:r w:rsidR="009A56A0">
        <w:rPr>
          <w:rFonts w:ascii="Bookman Old Style" w:eastAsia="Times New Roman" w:hAnsi="Bookman Old Style" w:cs="Times New Roman"/>
          <w:sz w:val="24"/>
          <w:szCs w:val="24"/>
          <w:lang w:eastAsia="es-ES"/>
        </w:rPr>
        <w:t xml:space="preserve"> de energía eléctrica a partir de sistemas solares fotovoltaicos con acumulación</w:t>
      </w:r>
      <w:r w:rsidR="000F5DAC">
        <w:rPr>
          <w:rFonts w:ascii="Bookman Old Style" w:eastAsia="Times New Roman" w:hAnsi="Bookman Old Style" w:cs="Times New Roman"/>
          <w:sz w:val="24"/>
          <w:szCs w:val="24"/>
          <w:lang w:eastAsia="es-ES"/>
        </w:rPr>
        <w:t xml:space="preserve"> para el mercado</w:t>
      </w:r>
      <w:r w:rsidR="00415AAA">
        <w:rPr>
          <w:rFonts w:ascii="Bookman Old Style" w:eastAsia="Times New Roman" w:hAnsi="Bookman Old Style" w:cs="Times New Roman"/>
          <w:sz w:val="24"/>
          <w:szCs w:val="24"/>
          <w:lang w:eastAsia="es-ES"/>
        </w:rPr>
        <w:t xml:space="preserve"> relevante de comercialización de la cabecera municipal</w:t>
      </w:r>
      <w:r w:rsidR="000F5DAC">
        <w:rPr>
          <w:rFonts w:ascii="Bookman Old Style" w:eastAsia="Times New Roman" w:hAnsi="Bookman Old Style" w:cs="Times New Roman"/>
          <w:sz w:val="24"/>
          <w:szCs w:val="24"/>
          <w:lang w:eastAsia="es-ES"/>
        </w:rPr>
        <w:t xml:space="preserve"> de Mitú</w:t>
      </w:r>
      <w:r w:rsidR="00295F1A">
        <w:rPr>
          <w:rFonts w:ascii="Bookman Old Style" w:eastAsia="Times New Roman" w:hAnsi="Bookman Old Style" w:cs="Times New Roman"/>
          <w:sz w:val="24"/>
          <w:szCs w:val="24"/>
          <w:lang w:eastAsia="es-ES"/>
        </w:rPr>
        <w:t xml:space="preserve"> </w:t>
      </w:r>
      <w:r w:rsidR="00B23B3A">
        <w:rPr>
          <w:rFonts w:ascii="Bookman Old Style" w:eastAsia="Times New Roman" w:hAnsi="Bookman Old Style" w:cs="Times New Roman"/>
          <w:sz w:val="24"/>
          <w:szCs w:val="24"/>
          <w:lang w:eastAsia="es-ES"/>
        </w:rPr>
        <w:t>sin entrar</w:t>
      </w:r>
      <w:r w:rsidR="00295F1A">
        <w:rPr>
          <w:rFonts w:ascii="Bookman Old Style" w:eastAsia="Times New Roman" w:hAnsi="Bookman Old Style" w:cs="Times New Roman"/>
          <w:sz w:val="24"/>
          <w:szCs w:val="24"/>
          <w:lang w:eastAsia="es-ES"/>
        </w:rPr>
        <w:t xml:space="preserve"> a regular aspectos de la operación de las actividades de </w:t>
      </w:r>
      <w:r w:rsidR="00C17EF8">
        <w:rPr>
          <w:rFonts w:ascii="Bookman Old Style" w:eastAsia="Times New Roman" w:hAnsi="Bookman Old Style" w:cs="Times New Roman"/>
          <w:sz w:val="24"/>
          <w:szCs w:val="24"/>
          <w:lang w:eastAsia="es-ES"/>
        </w:rPr>
        <w:t>generación</w:t>
      </w:r>
      <w:r w:rsidR="00295F1A">
        <w:rPr>
          <w:rFonts w:ascii="Bookman Old Style" w:eastAsia="Times New Roman" w:hAnsi="Bookman Old Style" w:cs="Times New Roman"/>
          <w:sz w:val="24"/>
          <w:szCs w:val="24"/>
          <w:lang w:eastAsia="es-ES"/>
        </w:rPr>
        <w:t xml:space="preserve"> y distribución de energía eléctrica en </w:t>
      </w:r>
      <w:r w:rsidR="00FC07DC">
        <w:rPr>
          <w:rFonts w:ascii="Bookman Old Style" w:eastAsia="Times New Roman" w:hAnsi="Bookman Old Style" w:cs="Times New Roman"/>
          <w:sz w:val="24"/>
          <w:szCs w:val="24"/>
          <w:lang w:eastAsia="es-ES"/>
        </w:rPr>
        <w:t>las ZNI</w:t>
      </w:r>
      <w:r w:rsidR="0022444A">
        <w:rPr>
          <w:rFonts w:ascii="Bookman Old Style" w:eastAsia="Times New Roman" w:hAnsi="Bookman Old Style" w:cs="Times New Roman"/>
          <w:sz w:val="24"/>
          <w:szCs w:val="24"/>
          <w:lang w:eastAsia="es-ES"/>
        </w:rPr>
        <w:t xml:space="preserve">, </w:t>
      </w:r>
      <w:r w:rsidR="008817D3">
        <w:rPr>
          <w:rFonts w:ascii="Bookman Old Style" w:eastAsia="Times New Roman" w:hAnsi="Bookman Old Style" w:cs="Times New Roman"/>
          <w:sz w:val="24"/>
          <w:szCs w:val="24"/>
          <w:lang w:eastAsia="es-ES"/>
        </w:rPr>
        <w:t xml:space="preserve">para lo </w:t>
      </w:r>
      <w:r w:rsidR="000A4986">
        <w:rPr>
          <w:rFonts w:ascii="Bookman Old Style" w:eastAsia="Times New Roman" w:hAnsi="Bookman Old Style" w:cs="Times New Roman"/>
          <w:sz w:val="24"/>
          <w:szCs w:val="24"/>
          <w:lang w:eastAsia="es-ES"/>
        </w:rPr>
        <w:t xml:space="preserve">cual </w:t>
      </w:r>
      <w:r w:rsidR="008817D3">
        <w:rPr>
          <w:rFonts w:ascii="Bookman Old Style" w:eastAsia="Times New Roman" w:hAnsi="Bookman Old Style" w:cs="Times New Roman"/>
          <w:sz w:val="24"/>
          <w:szCs w:val="24"/>
          <w:lang w:eastAsia="es-ES"/>
        </w:rPr>
        <w:t xml:space="preserve">se requiere de la expedición de un acto </w:t>
      </w:r>
      <w:r w:rsidR="000A4986">
        <w:rPr>
          <w:rFonts w:ascii="Bookman Old Style" w:eastAsia="Times New Roman" w:hAnsi="Bookman Old Style" w:cs="Times New Roman"/>
          <w:sz w:val="24"/>
          <w:szCs w:val="24"/>
          <w:lang w:eastAsia="es-ES"/>
        </w:rPr>
        <w:t xml:space="preserve">administrativo </w:t>
      </w:r>
      <w:r w:rsidR="008817D3">
        <w:rPr>
          <w:rFonts w:ascii="Bookman Old Style" w:eastAsia="Times New Roman" w:hAnsi="Bookman Old Style" w:cs="Times New Roman"/>
          <w:sz w:val="24"/>
          <w:szCs w:val="24"/>
          <w:lang w:eastAsia="es-ES"/>
        </w:rPr>
        <w:t>de contenido general</w:t>
      </w:r>
      <w:r w:rsidR="00FC07DC">
        <w:rPr>
          <w:rFonts w:ascii="Bookman Old Style" w:eastAsia="Times New Roman" w:hAnsi="Bookman Old Style" w:cs="Times New Roman"/>
          <w:sz w:val="24"/>
          <w:szCs w:val="24"/>
          <w:lang w:eastAsia="es-ES"/>
        </w:rPr>
        <w:t xml:space="preserve">. </w:t>
      </w:r>
      <w:r w:rsidR="00760319">
        <w:rPr>
          <w:rFonts w:ascii="Bookman Old Style" w:eastAsia="Times New Roman" w:hAnsi="Bookman Old Style" w:cs="Times New Roman"/>
          <w:sz w:val="24"/>
          <w:szCs w:val="24"/>
          <w:lang w:eastAsia="es-ES"/>
        </w:rPr>
        <w:t xml:space="preserve"> </w:t>
      </w:r>
      <w:r w:rsidR="002C7922">
        <w:rPr>
          <w:rFonts w:ascii="Bookman Old Style" w:eastAsia="Times New Roman" w:hAnsi="Bookman Old Style" w:cs="Times New Roman"/>
          <w:sz w:val="24"/>
          <w:szCs w:val="24"/>
          <w:lang w:eastAsia="es-ES"/>
        </w:rPr>
        <w:t xml:space="preserve">                                                                                                                                                                                 </w:t>
      </w:r>
      <w:r w:rsidR="00984C35">
        <w:rPr>
          <w:rFonts w:ascii="Bookman Old Style" w:eastAsia="Times New Roman" w:hAnsi="Bookman Old Style" w:cs="Times New Roman"/>
          <w:sz w:val="24"/>
          <w:szCs w:val="24"/>
          <w:lang w:eastAsia="es-ES"/>
        </w:rPr>
        <w:t xml:space="preserve">                                                                                                 </w:t>
      </w:r>
    </w:p>
    <w:p w14:paraId="36D61B23" w14:textId="4EDBEC80" w:rsidR="00B868F3" w:rsidRDefault="00B868F3" w:rsidP="007F2AFE">
      <w:pPr>
        <w:spacing w:after="0" w:line="240" w:lineRule="auto"/>
        <w:ind w:right="-142"/>
        <w:contextualSpacing/>
        <w:jc w:val="both"/>
        <w:rPr>
          <w:rFonts w:ascii="Bookman Old Style" w:eastAsia="Times New Roman" w:hAnsi="Bookman Old Style" w:cs="Times New Roman"/>
          <w:sz w:val="24"/>
          <w:szCs w:val="24"/>
          <w:lang w:eastAsia="es-ES"/>
        </w:rPr>
      </w:pPr>
    </w:p>
    <w:p w14:paraId="4080BE2D" w14:textId="24633398" w:rsidR="00D2042D" w:rsidRPr="00D2042D" w:rsidRDefault="00D2042D" w:rsidP="007F2AFE">
      <w:pPr>
        <w:spacing w:after="0" w:line="240" w:lineRule="auto"/>
        <w:ind w:right="-142"/>
        <w:contextualSpacing/>
        <w:jc w:val="both"/>
        <w:rPr>
          <w:rFonts w:ascii="Bookman Old Style" w:eastAsia="Times New Roman" w:hAnsi="Bookman Old Style" w:cs="Times New Roman"/>
          <w:sz w:val="24"/>
          <w:szCs w:val="24"/>
          <w:lang w:eastAsia="es-ES"/>
        </w:rPr>
      </w:pPr>
      <w:r w:rsidRPr="009042E0">
        <w:rPr>
          <w:rFonts w:ascii="Bookman Old Style" w:eastAsia="Times New Roman" w:hAnsi="Bookman Old Style" w:cs="Times New Roman"/>
          <w:sz w:val="24"/>
          <w:szCs w:val="24"/>
          <w:lang w:val="es-MX" w:eastAsia="es-ES"/>
        </w:rPr>
        <w:t xml:space="preserve">En este sentido, los argumentos </w:t>
      </w:r>
      <w:r w:rsidR="008450EC">
        <w:rPr>
          <w:rFonts w:ascii="Bookman Old Style" w:eastAsia="Times New Roman" w:hAnsi="Bookman Old Style" w:cs="Times New Roman"/>
          <w:sz w:val="24"/>
          <w:szCs w:val="24"/>
          <w:lang w:val="es-MX" w:eastAsia="es-ES"/>
        </w:rPr>
        <w:t xml:space="preserve">sobre este punto </w:t>
      </w:r>
      <w:r w:rsidRPr="009042E0">
        <w:rPr>
          <w:rFonts w:ascii="Bookman Old Style" w:eastAsia="Times New Roman" w:hAnsi="Bookman Old Style" w:cs="Times New Roman"/>
          <w:sz w:val="24"/>
          <w:szCs w:val="24"/>
          <w:lang w:val="es-MX" w:eastAsia="es-ES"/>
        </w:rPr>
        <w:t>expuestos por la recurrente no son procedentes y</w:t>
      </w:r>
      <w:r w:rsidR="005A05B9">
        <w:rPr>
          <w:rFonts w:ascii="Bookman Old Style" w:eastAsia="Times New Roman" w:hAnsi="Bookman Old Style" w:cs="Times New Roman"/>
          <w:sz w:val="24"/>
          <w:szCs w:val="24"/>
          <w:lang w:val="es-MX" w:eastAsia="es-ES"/>
        </w:rPr>
        <w:t>,</w:t>
      </w:r>
      <w:r w:rsidRPr="009042E0">
        <w:rPr>
          <w:rFonts w:ascii="Bookman Old Style" w:eastAsia="Times New Roman" w:hAnsi="Bookman Old Style" w:cs="Times New Roman"/>
          <w:sz w:val="24"/>
          <w:szCs w:val="24"/>
          <w:lang w:val="es-MX" w:eastAsia="es-ES"/>
        </w:rPr>
        <w:t xml:space="preserve"> por tanto, no conllevan a modificar o revocar lo resuelto en la Resolución CREG</w:t>
      </w:r>
      <w:r w:rsidRPr="00D2042D">
        <w:rPr>
          <w:rFonts w:ascii="Bookman Old Style" w:eastAsia="Times New Roman" w:hAnsi="Bookman Old Style" w:cs="Times New Roman"/>
          <w:sz w:val="24"/>
          <w:szCs w:val="24"/>
          <w:lang w:val="es-MX" w:eastAsia="es-ES"/>
        </w:rPr>
        <w:t xml:space="preserve"> </w:t>
      </w:r>
      <w:r w:rsidR="00F1569C" w:rsidRPr="009042E0">
        <w:rPr>
          <w:rFonts w:ascii="Bookman Old Style" w:eastAsia="Times New Roman" w:hAnsi="Bookman Old Style" w:cs="Times New Roman"/>
          <w:sz w:val="24"/>
          <w:szCs w:val="24"/>
          <w:lang w:val="es-MX" w:eastAsia="es-ES"/>
        </w:rPr>
        <w:t xml:space="preserve">124 </w:t>
      </w:r>
      <w:r w:rsidRPr="009042E0">
        <w:rPr>
          <w:rFonts w:ascii="Bookman Old Style" w:eastAsia="Times New Roman" w:hAnsi="Bookman Old Style" w:cs="Times New Roman"/>
          <w:sz w:val="24"/>
          <w:szCs w:val="24"/>
          <w:lang w:val="es-MX" w:eastAsia="es-ES"/>
        </w:rPr>
        <w:t>de 2020</w:t>
      </w:r>
      <w:r>
        <w:rPr>
          <w:rFonts w:ascii="Bookman Old Style" w:eastAsia="Times New Roman" w:hAnsi="Bookman Old Style" w:cs="Times New Roman"/>
          <w:sz w:val="24"/>
          <w:szCs w:val="24"/>
          <w:lang w:val="es-MX" w:eastAsia="es-ES"/>
        </w:rPr>
        <w:t xml:space="preserve">. </w:t>
      </w:r>
    </w:p>
    <w:bookmarkEnd w:id="11"/>
    <w:p w14:paraId="1CE426EC" w14:textId="77777777" w:rsidR="0081625F" w:rsidRPr="00082D81" w:rsidRDefault="0081625F" w:rsidP="007F2AFE">
      <w:pPr>
        <w:spacing w:after="0" w:line="240" w:lineRule="auto"/>
        <w:ind w:right="-142"/>
        <w:contextualSpacing/>
        <w:jc w:val="both"/>
        <w:rPr>
          <w:rFonts w:ascii="Bookman Old Style" w:eastAsia="Times New Roman" w:hAnsi="Bookman Old Style" w:cs="Times New Roman"/>
          <w:sz w:val="24"/>
          <w:szCs w:val="24"/>
          <w:lang w:val="es-ES" w:eastAsia="es-ES"/>
        </w:rPr>
      </w:pPr>
    </w:p>
    <w:p w14:paraId="77B5FD54" w14:textId="1EFACA29" w:rsidR="0081625F" w:rsidRDefault="0081625F" w:rsidP="007F2AFE">
      <w:pPr>
        <w:spacing w:after="0" w:line="240" w:lineRule="auto"/>
        <w:ind w:right="-142"/>
        <w:contextualSpacing/>
        <w:jc w:val="both"/>
        <w:rPr>
          <w:rFonts w:ascii="Bookman Old Style" w:eastAsia="Times New Roman" w:hAnsi="Bookman Old Style" w:cs="Times New Roman"/>
          <w:sz w:val="24"/>
          <w:szCs w:val="24"/>
          <w:lang w:val="es-ES" w:eastAsia="es-ES"/>
        </w:rPr>
      </w:pPr>
      <w:r w:rsidRPr="00EC1D37">
        <w:rPr>
          <w:rFonts w:ascii="Bookman Old Style" w:eastAsia="Times New Roman" w:hAnsi="Bookman Old Style" w:cs="Times New Roman"/>
          <w:sz w:val="24"/>
          <w:szCs w:val="24"/>
          <w:lang w:val="es-ES" w:eastAsia="es-ES"/>
        </w:rPr>
        <w:t xml:space="preserve">La Comisión de Regulación de Energía y Gas, en su </w:t>
      </w:r>
      <w:r w:rsidRPr="004A77B4">
        <w:rPr>
          <w:rFonts w:ascii="Bookman Old Style" w:eastAsia="Times New Roman" w:hAnsi="Bookman Old Style" w:cs="Times New Roman"/>
          <w:sz w:val="24"/>
          <w:szCs w:val="24"/>
          <w:lang w:val="es-ES" w:eastAsia="es-ES"/>
        </w:rPr>
        <w:t>sesión No.</w:t>
      </w:r>
      <w:r w:rsidR="004A77B4" w:rsidRPr="004A77B4">
        <w:rPr>
          <w:rFonts w:ascii="Bookman Old Style" w:eastAsia="Times New Roman" w:hAnsi="Bookman Old Style" w:cs="Times New Roman"/>
          <w:sz w:val="24"/>
          <w:szCs w:val="24"/>
          <w:lang w:val="es-ES" w:eastAsia="es-ES"/>
        </w:rPr>
        <w:t>1052</w:t>
      </w:r>
      <w:r w:rsidRPr="004A77B4">
        <w:rPr>
          <w:rFonts w:ascii="Bookman Old Style" w:eastAsia="Times New Roman" w:hAnsi="Bookman Old Style" w:cs="Times New Roman"/>
          <w:sz w:val="24"/>
          <w:szCs w:val="24"/>
          <w:lang w:val="es-ES" w:eastAsia="es-ES"/>
        </w:rPr>
        <w:t xml:space="preserve"> del </w:t>
      </w:r>
      <w:r w:rsidR="004A77B4" w:rsidRPr="004A77B4">
        <w:rPr>
          <w:rFonts w:ascii="Bookman Old Style" w:eastAsia="Times New Roman" w:hAnsi="Bookman Old Style" w:cs="Times New Roman"/>
          <w:sz w:val="24"/>
          <w:szCs w:val="24"/>
          <w:lang w:val="es-ES" w:eastAsia="es-ES"/>
        </w:rPr>
        <w:t>19</w:t>
      </w:r>
      <w:r w:rsidR="00D2042D" w:rsidRPr="004A77B4">
        <w:rPr>
          <w:rFonts w:ascii="Bookman Old Style" w:eastAsia="Times New Roman" w:hAnsi="Bookman Old Style" w:cs="Times New Roman"/>
          <w:sz w:val="24"/>
          <w:szCs w:val="24"/>
          <w:lang w:val="es-ES" w:eastAsia="es-ES"/>
        </w:rPr>
        <w:t xml:space="preserve"> </w:t>
      </w:r>
      <w:r w:rsidRPr="004A77B4">
        <w:rPr>
          <w:rFonts w:ascii="Bookman Old Style" w:eastAsia="Times New Roman" w:hAnsi="Bookman Old Style" w:cs="Times New Roman"/>
          <w:sz w:val="24"/>
          <w:szCs w:val="24"/>
          <w:lang w:val="es-ES" w:eastAsia="es-ES"/>
        </w:rPr>
        <w:t xml:space="preserve">de </w:t>
      </w:r>
      <w:r w:rsidR="004A77B4">
        <w:rPr>
          <w:rFonts w:ascii="Bookman Old Style" w:eastAsia="Times New Roman" w:hAnsi="Bookman Old Style" w:cs="Times New Roman"/>
          <w:sz w:val="24"/>
          <w:szCs w:val="24"/>
          <w:lang w:val="es-ES" w:eastAsia="es-ES"/>
        </w:rPr>
        <w:t>octubre</w:t>
      </w:r>
      <w:r w:rsidR="00502FF5">
        <w:rPr>
          <w:rFonts w:ascii="Bookman Old Style" w:eastAsia="Times New Roman" w:hAnsi="Bookman Old Style" w:cs="Times New Roman"/>
          <w:sz w:val="24"/>
          <w:szCs w:val="24"/>
          <w:lang w:val="es-ES" w:eastAsia="es-ES"/>
        </w:rPr>
        <w:t xml:space="preserve"> de 2020</w:t>
      </w:r>
      <w:r w:rsidR="004C2FE7">
        <w:rPr>
          <w:rFonts w:ascii="Bookman Old Style" w:eastAsia="Times New Roman" w:hAnsi="Bookman Old Style" w:cs="Times New Roman"/>
          <w:sz w:val="24"/>
          <w:szCs w:val="24"/>
          <w:lang w:val="es-ES" w:eastAsia="es-ES"/>
        </w:rPr>
        <w:t xml:space="preserve"> y por las razones expuestas en la parte motiva </w:t>
      </w:r>
      <w:r w:rsidR="00D22F52">
        <w:rPr>
          <w:rFonts w:ascii="Bookman Old Style" w:eastAsia="Times New Roman" w:hAnsi="Bookman Old Style" w:cs="Times New Roman"/>
          <w:sz w:val="24"/>
          <w:szCs w:val="24"/>
          <w:lang w:val="es-ES" w:eastAsia="es-ES"/>
        </w:rPr>
        <w:t>del presente acto administrativo</w:t>
      </w:r>
      <w:r w:rsidRPr="00082D8D">
        <w:rPr>
          <w:rFonts w:ascii="Bookman Old Style" w:eastAsia="Times New Roman" w:hAnsi="Bookman Old Style" w:cs="Times New Roman"/>
          <w:sz w:val="24"/>
          <w:szCs w:val="24"/>
          <w:lang w:val="es-ES" w:eastAsia="es-ES"/>
        </w:rPr>
        <w:t>, acordó expedir la presente resolución.</w:t>
      </w:r>
    </w:p>
    <w:p w14:paraId="1BC4784D" w14:textId="77777777" w:rsidR="00082D8D" w:rsidRPr="00082D81" w:rsidRDefault="00082D8D" w:rsidP="007F2AFE">
      <w:pPr>
        <w:spacing w:after="0" w:line="240" w:lineRule="auto"/>
        <w:ind w:right="-142"/>
        <w:contextualSpacing/>
        <w:jc w:val="both"/>
        <w:rPr>
          <w:rFonts w:ascii="Bookman Old Style" w:eastAsia="Times New Roman" w:hAnsi="Bookman Old Style" w:cs="Times New Roman"/>
          <w:sz w:val="24"/>
          <w:szCs w:val="24"/>
          <w:lang w:val="es-ES" w:eastAsia="es-ES"/>
        </w:rPr>
      </w:pPr>
    </w:p>
    <w:p w14:paraId="5B47F451" w14:textId="77777777" w:rsidR="0081625F" w:rsidRPr="00082D81" w:rsidRDefault="0081625F" w:rsidP="007F2AFE">
      <w:pPr>
        <w:tabs>
          <w:tab w:val="right" w:pos="9498"/>
        </w:tabs>
        <w:spacing w:after="0" w:line="240" w:lineRule="auto"/>
        <w:ind w:right="-142"/>
        <w:contextualSpacing/>
        <w:jc w:val="both"/>
        <w:rPr>
          <w:rFonts w:ascii="Bookman Old Style" w:eastAsia="Times New Roman" w:hAnsi="Bookman Old Style" w:cs="Times New Roman"/>
          <w:bCs/>
          <w:sz w:val="24"/>
          <w:szCs w:val="24"/>
          <w:lang w:val="es-ES" w:eastAsia="es-ES"/>
        </w:rPr>
      </w:pPr>
    </w:p>
    <w:p w14:paraId="7274B92A" w14:textId="77777777" w:rsidR="0081625F" w:rsidRPr="00082D81" w:rsidRDefault="0081625F" w:rsidP="007F2AFE">
      <w:pPr>
        <w:tabs>
          <w:tab w:val="right" w:pos="9498"/>
        </w:tabs>
        <w:spacing w:after="0" w:line="240" w:lineRule="auto"/>
        <w:ind w:right="-142"/>
        <w:contextualSpacing/>
        <w:jc w:val="center"/>
        <w:rPr>
          <w:rFonts w:ascii="Bookman Old Style" w:eastAsia="Times New Roman" w:hAnsi="Bookman Old Style" w:cs="Arial"/>
          <w:sz w:val="24"/>
          <w:szCs w:val="24"/>
          <w:lang w:val="es-ES" w:eastAsia="es-ES"/>
        </w:rPr>
      </w:pPr>
      <w:r w:rsidRPr="00082D81">
        <w:rPr>
          <w:rFonts w:ascii="Bookman Old Style" w:eastAsia="Times New Roman" w:hAnsi="Bookman Old Style" w:cs="Arial"/>
          <w:b/>
          <w:spacing w:val="80"/>
          <w:sz w:val="24"/>
          <w:szCs w:val="24"/>
          <w:lang w:val="es-ES" w:eastAsia="es-ES"/>
        </w:rPr>
        <w:t>RESUELVE</w:t>
      </w:r>
      <w:r w:rsidRPr="00082D81">
        <w:rPr>
          <w:rFonts w:ascii="Bookman Old Style" w:eastAsia="Times New Roman" w:hAnsi="Bookman Old Style" w:cs="Arial"/>
          <w:sz w:val="24"/>
          <w:szCs w:val="24"/>
          <w:lang w:val="es-ES" w:eastAsia="es-ES"/>
        </w:rPr>
        <w:t>:</w:t>
      </w:r>
    </w:p>
    <w:p w14:paraId="02F07620" w14:textId="77777777" w:rsidR="0081625F" w:rsidRPr="00082D81" w:rsidRDefault="0081625F" w:rsidP="007F2AFE">
      <w:pPr>
        <w:spacing w:after="0" w:line="240" w:lineRule="auto"/>
        <w:contextualSpacing/>
        <w:jc w:val="both"/>
        <w:rPr>
          <w:rFonts w:ascii="Bookman Old Style" w:eastAsia="Times New Roman" w:hAnsi="Bookman Old Style" w:cs="Times New Roman"/>
          <w:sz w:val="24"/>
          <w:szCs w:val="24"/>
          <w:lang w:val="es-ES" w:eastAsia="es-ES"/>
        </w:rPr>
      </w:pPr>
    </w:p>
    <w:p w14:paraId="3A039B9D" w14:textId="0CBF1FD2" w:rsidR="006B5A6D" w:rsidRDefault="0081625F" w:rsidP="007F2AFE">
      <w:pPr>
        <w:spacing w:after="0" w:line="240" w:lineRule="auto"/>
        <w:contextualSpacing/>
        <w:jc w:val="both"/>
        <w:rPr>
          <w:rFonts w:ascii="Bookman Old Style" w:eastAsia="Times New Roman" w:hAnsi="Bookman Old Style" w:cs="Times New Roman"/>
          <w:bCs/>
          <w:i/>
          <w:iCs/>
          <w:sz w:val="24"/>
          <w:szCs w:val="24"/>
          <w:lang w:eastAsia="es-ES"/>
        </w:rPr>
      </w:pPr>
      <w:r w:rsidRPr="00EC1D37">
        <w:rPr>
          <w:rFonts w:ascii="Bookman Old Style" w:eastAsia="Times New Roman" w:hAnsi="Bookman Old Style" w:cs="Times New Roman"/>
          <w:b/>
          <w:sz w:val="24"/>
          <w:szCs w:val="24"/>
          <w:lang w:val="es-ES" w:eastAsia="es-ES"/>
        </w:rPr>
        <w:t>Artículo 1.</w:t>
      </w:r>
      <w:r w:rsidR="006B5A6D">
        <w:rPr>
          <w:rFonts w:ascii="Bookman Old Style" w:eastAsia="Times New Roman" w:hAnsi="Bookman Old Style" w:cs="Times New Roman"/>
          <w:b/>
          <w:sz w:val="24"/>
          <w:szCs w:val="24"/>
          <w:lang w:val="es-ES" w:eastAsia="es-ES"/>
        </w:rPr>
        <w:t xml:space="preserve"> </w:t>
      </w:r>
      <w:r w:rsidR="00D22F52">
        <w:rPr>
          <w:rFonts w:ascii="Bookman Old Style" w:eastAsia="Times New Roman" w:hAnsi="Bookman Old Style" w:cs="Times New Roman"/>
          <w:bCs/>
          <w:sz w:val="24"/>
          <w:szCs w:val="24"/>
          <w:lang w:val="es-ES" w:eastAsia="es-ES"/>
        </w:rPr>
        <w:t>R</w:t>
      </w:r>
      <w:r w:rsidR="006B5A6D" w:rsidRPr="005D6BB2">
        <w:rPr>
          <w:rFonts w:ascii="Bookman Old Style" w:eastAsia="Times New Roman" w:hAnsi="Bookman Old Style" w:cs="Times New Roman"/>
          <w:bCs/>
          <w:sz w:val="24"/>
          <w:szCs w:val="24"/>
          <w:lang w:val="es-ES" w:eastAsia="es-ES"/>
        </w:rPr>
        <w:t xml:space="preserve">echazar la solicitud de </w:t>
      </w:r>
      <w:r w:rsidR="005D6BB2" w:rsidRPr="005D6BB2">
        <w:rPr>
          <w:rFonts w:ascii="Bookman Old Style" w:eastAsia="Times New Roman" w:hAnsi="Bookman Old Style" w:cs="Times New Roman"/>
          <w:bCs/>
          <w:sz w:val="24"/>
          <w:szCs w:val="24"/>
          <w:lang w:eastAsia="es-ES"/>
        </w:rPr>
        <w:t>determinar</w:t>
      </w:r>
      <w:r w:rsidR="006B5A6D" w:rsidRPr="005D6BB2">
        <w:rPr>
          <w:rFonts w:ascii="Bookman Old Style" w:eastAsia="Times New Roman" w:hAnsi="Bookman Old Style" w:cs="Times New Roman"/>
          <w:bCs/>
          <w:sz w:val="24"/>
          <w:szCs w:val="24"/>
          <w:lang w:eastAsia="es-ES"/>
        </w:rPr>
        <w:t xml:space="preserve"> el </w:t>
      </w:r>
      <w:r w:rsidR="005D6BB2" w:rsidRPr="005D6BB2">
        <w:rPr>
          <w:rFonts w:ascii="Bookman Old Style" w:eastAsia="Times New Roman" w:hAnsi="Bookman Old Style" w:cs="Times New Roman"/>
          <w:bCs/>
          <w:sz w:val="24"/>
          <w:szCs w:val="24"/>
          <w:lang w:eastAsia="es-ES"/>
        </w:rPr>
        <w:t>c</w:t>
      </w:r>
      <w:r w:rsidR="006B5A6D" w:rsidRPr="005D6BB2">
        <w:rPr>
          <w:rFonts w:ascii="Bookman Old Style" w:eastAsia="Times New Roman" w:hAnsi="Bookman Old Style" w:cs="Times New Roman"/>
          <w:bCs/>
          <w:sz w:val="24"/>
          <w:szCs w:val="24"/>
          <w:lang w:eastAsia="es-ES"/>
        </w:rPr>
        <w:t xml:space="preserve">argo </w:t>
      </w:r>
      <w:r w:rsidR="005D6BB2" w:rsidRPr="005D6BB2">
        <w:rPr>
          <w:rFonts w:ascii="Bookman Old Style" w:eastAsia="Times New Roman" w:hAnsi="Bookman Old Style" w:cs="Times New Roman"/>
          <w:bCs/>
          <w:sz w:val="24"/>
          <w:szCs w:val="24"/>
          <w:lang w:eastAsia="es-ES"/>
        </w:rPr>
        <w:t>m</w:t>
      </w:r>
      <w:r w:rsidR="006B5A6D" w:rsidRPr="005D6BB2">
        <w:rPr>
          <w:rFonts w:ascii="Bookman Old Style" w:eastAsia="Times New Roman" w:hAnsi="Bookman Old Style" w:cs="Times New Roman"/>
          <w:bCs/>
          <w:sz w:val="24"/>
          <w:szCs w:val="24"/>
          <w:lang w:eastAsia="es-ES"/>
        </w:rPr>
        <w:t xml:space="preserve">áximo de </w:t>
      </w:r>
      <w:r w:rsidR="005D6BB2" w:rsidRPr="005D6BB2">
        <w:rPr>
          <w:rFonts w:ascii="Bookman Old Style" w:eastAsia="Times New Roman" w:hAnsi="Bookman Old Style" w:cs="Times New Roman"/>
          <w:bCs/>
          <w:sz w:val="24"/>
          <w:szCs w:val="24"/>
          <w:lang w:eastAsia="es-ES"/>
        </w:rPr>
        <w:t>g</w:t>
      </w:r>
      <w:r w:rsidR="006B5A6D" w:rsidRPr="005D6BB2">
        <w:rPr>
          <w:rFonts w:ascii="Bookman Old Style" w:eastAsia="Times New Roman" w:hAnsi="Bookman Old Style" w:cs="Times New Roman"/>
          <w:bCs/>
          <w:sz w:val="24"/>
          <w:szCs w:val="24"/>
          <w:lang w:eastAsia="es-ES"/>
        </w:rPr>
        <w:t xml:space="preserve">eneración para el parque solar fotovoltaico </w:t>
      </w:r>
      <w:proofErr w:type="spellStart"/>
      <w:r w:rsidR="006B5A6D" w:rsidRPr="005D6BB2">
        <w:rPr>
          <w:rFonts w:ascii="Bookman Old Style" w:eastAsia="Times New Roman" w:hAnsi="Bookman Old Style" w:cs="Times New Roman"/>
          <w:bCs/>
          <w:sz w:val="24"/>
          <w:szCs w:val="24"/>
          <w:lang w:eastAsia="es-ES"/>
        </w:rPr>
        <w:t>Matakavi</w:t>
      </w:r>
      <w:proofErr w:type="spellEnd"/>
      <w:r w:rsidR="006B5A6D" w:rsidRPr="005D6BB2">
        <w:rPr>
          <w:rFonts w:ascii="Bookman Old Style" w:eastAsia="Times New Roman" w:hAnsi="Bookman Old Style" w:cs="Times New Roman"/>
          <w:bCs/>
          <w:sz w:val="24"/>
          <w:szCs w:val="24"/>
          <w:lang w:eastAsia="es-ES"/>
        </w:rPr>
        <w:t xml:space="preserve"> de 7.6</w:t>
      </w:r>
      <w:r w:rsidR="005A05B9">
        <w:rPr>
          <w:rFonts w:ascii="Bookman Old Style" w:eastAsia="Times New Roman" w:hAnsi="Bookman Old Style" w:cs="Times New Roman"/>
          <w:bCs/>
          <w:sz w:val="24"/>
          <w:szCs w:val="24"/>
          <w:lang w:eastAsia="es-ES"/>
        </w:rPr>
        <w:t xml:space="preserve"> </w:t>
      </w:r>
      <w:proofErr w:type="spellStart"/>
      <w:r w:rsidR="006B5A6D" w:rsidRPr="005D6BB2">
        <w:rPr>
          <w:rFonts w:ascii="Bookman Old Style" w:eastAsia="Times New Roman" w:hAnsi="Bookman Old Style" w:cs="Times New Roman"/>
          <w:bCs/>
          <w:sz w:val="24"/>
          <w:szCs w:val="24"/>
          <w:lang w:eastAsia="es-ES"/>
        </w:rPr>
        <w:t>MWp</w:t>
      </w:r>
      <w:proofErr w:type="spellEnd"/>
      <w:r w:rsidR="006B5A6D" w:rsidRPr="005D6BB2">
        <w:rPr>
          <w:rFonts w:ascii="Bookman Old Style" w:eastAsia="Times New Roman" w:hAnsi="Bookman Old Style" w:cs="Times New Roman"/>
          <w:bCs/>
          <w:sz w:val="24"/>
          <w:szCs w:val="24"/>
          <w:lang w:eastAsia="es-ES"/>
        </w:rPr>
        <w:t xml:space="preserve"> con acumulación de 8.8 </w:t>
      </w:r>
      <w:proofErr w:type="spellStart"/>
      <w:r w:rsidR="006B5A6D" w:rsidRPr="005D6BB2">
        <w:rPr>
          <w:rFonts w:ascii="Bookman Old Style" w:eastAsia="Times New Roman" w:hAnsi="Bookman Old Style" w:cs="Times New Roman"/>
          <w:bCs/>
          <w:sz w:val="24"/>
          <w:szCs w:val="24"/>
          <w:lang w:eastAsia="es-ES"/>
        </w:rPr>
        <w:t>MWh</w:t>
      </w:r>
      <w:proofErr w:type="spellEnd"/>
      <w:r w:rsidR="006B5A6D" w:rsidRPr="005D6BB2">
        <w:rPr>
          <w:rFonts w:ascii="Bookman Old Style" w:eastAsia="Times New Roman" w:hAnsi="Bookman Old Style" w:cs="Times New Roman"/>
          <w:bCs/>
          <w:sz w:val="24"/>
          <w:szCs w:val="24"/>
          <w:lang w:eastAsia="es-ES"/>
        </w:rPr>
        <w:t xml:space="preserve"> desarrollado por DUE Capital and </w:t>
      </w:r>
      <w:proofErr w:type="spellStart"/>
      <w:r w:rsidR="006B5A6D" w:rsidRPr="005D6BB2">
        <w:rPr>
          <w:rFonts w:ascii="Bookman Old Style" w:eastAsia="Times New Roman" w:hAnsi="Bookman Old Style" w:cs="Times New Roman"/>
          <w:bCs/>
          <w:sz w:val="24"/>
          <w:szCs w:val="24"/>
          <w:lang w:eastAsia="es-ES"/>
        </w:rPr>
        <w:t>Services</w:t>
      </w:r>
      <w:proofErr w:type="spellEnd"/>
      <w:r w:rsidR="006B5A6D" w:rsidRPr="005D6BB2">
        <w:rPr>
          <w:rFonts w:ascii="Bookman Old Style" w:eastAsia="Times New Roman" w:hAnsi="Bookman Old Style" w:cs="Times New Roman"/>
          <w:bCs/>
          <w:sz w:val="24"/>
          <w:szCs w:val="24"/>
          <w:lang w:eastAsia="es-ES"/>
        </w:rPr>
        <w:t xml:space="preserve"> S.A</w:t>
      </w:r>
      <w:r w:rsidR="005D6BB2" w:rsidRPr="005D6BB2">
        <w:rPr>
          <w:rFonts w:ascii="Bookman Old Style" w:eastAsia="Times New Roman" w:hAnsi="Bookman Old Style" w:cs="Times New Roman"/>
          <w:bCs/>
          <w:sz w:val="24"/>
          <w:szCs w:val="24"/>
          <w:lang w:eastAsia="es-ES"/>
        </w:rPr>
        <w:t>.</w:t>
      </w:r>
      <w:r w:rsidR="005D6BB2">
        <w:rPr>
          <w:rFonts w:ascii="Bookman Old Style" w:eastAsia="Times New Roman" w:hAnsi="Bookman Old Style" w:cs="Times New Roman"/>
          <w:bCs/>
          <w:i/>
          <w:iCs/>
          <w:sz w:val="24"/>
          <w:szCs w:val="24"/>
          <w:lang w:eastAsia="es-ES"/>
        </w:rPr>
        <w:t xml:space="preserve"> </w:t>
      </w:r>
    </w:p>
    <w:p w14:paraId="2F79EFD8" w14:textId="1B346759" w:rsidR="0081700B" w:rsidRDefault="0081700B" w:rsidP="007F2AFE">
      <w:pPr>
        <w:spacing w:after="0" w:line="240" w:lineRule="auto"/>
        <w:contextualSpacing/>
        <w:jc w:val="both"/>
        <w:rPr>
          <w:rFonts w:ascii="Bookman Old Style" w:eastAsia="Times New Roman" w:hAnsi="Bookman Old Style" w:cs="Times New Roman"/>
          <w:b/>
          <w:sz w:val="24"/>
          <w:szCs w:val="24"/>
          <w:lang w:val="es-ES" w:eastAsia="es-ES"/>
        </w:rPr>
      </w:pPr>
    </w:p>
    <w:p w14:paraId="446D93AE" w14:textId="77777777" w:rsidR="005A05B9" w:rsidRDefault="005A05B9" w:rsidP="007F2AFE">
      <w:pPr>
        <w:spacing w:after="0" w:line="240" w:lineRule="auto"/>
        <w:contextualSpacing/>
        <w:jc w:val="both"/>
        <w:rPr>
          <w:rFonts w:ascii="Bookman Old Style" w:eastAsia="Times New Roman" w:hAnsi="Bookman Old Style" w:cs="Times New Roman"/>
          <w:b/>
          <w:sz w:val="24"/>
          <w:szCs w:val="24"/>
          <w:lang w:val="es-ES" w:eastAsia="es-ES"/>
        </w:rPr>
      </w:pPr>
    </w:p>
    <w:p w14:paraId="5DF05276" w14:textId="55CB8586" w:rsidR="0081625F" w:rsidRDefault="005D6BB2" w:rsidP="007F2AFE">
      <w:pPr>
        <w:spacing w:after="0" w:line="240" w:lineRule="auto"/>
        <w:contextualSpacing/>
        <w:jc w:val="both"/>
        <w:rPr>
          <w:rFonts w:ascii="Bookman Old Style" w:eastAsia="Times New Roman" w:hAnsi="Bookman Old Style" w:cs="Times New Roman"/>
          <w:sz w:val="24"/>
          <w:szCs w:val="24"/>
          <w:lang w:eastAsia="es-ES"/>
        </w:rPr>
      </w:pPr>
      <w:r w:rsidRPr="00AE08C2">
        <w:rPr>
          <w:rFonts w:ascii="Bookman Old Style" w:eastAsia="Times New Roman" w:hAnsi="Bookman Old Style" w:cs="Times New Roman"/>
          <w:b/>
          <w:sz w:val="24"/>
          <w:szCs w:val="24"/>
          <w:lang w:val="es-ES" w:eastAsia="es-ES"/>
        </w:rPr>
        <w:t>Artículo 2.</w:t>
      </w:r>
      <w:r>
        <w:rPr>
          <w:rFonts w:ascii="Bookman Old Style" w:eastAsia="Times New Roman" w:hAnsi="Bookman Old Style" w:cs="Times New Roman"/>
          <w:b/>
          <w:sz w:val="24"/>
          <w:szCs w:val="24"/>
          <w:lang w:val="es-ES" w:eastAsia="es-ES"/>
        </w:rPr>
        <w:t xml:space="preserve"> </w:t>
      </w:r>
      <w:r w:rsidR="00D22F52">
        <w:rPr>
          <w:rFonts w:ascii="Bookman Old Style" w:eastAsia="Times New Roman" w:hAnsi="Bookman Old Style" w:cs="Times New Roman"/>
          <w:sz w:val="24"/>
          <w:szCs w:val="24"/>
          <w:lang w:eastAsia="es-ES"/>
        </w:rPr>
        <w:t>R</w:t>
      </w:r>
      <w:r w:rsidR="007072EE">
        <w:rPr>
          <w:rFonts w:ascii="Bookman Old Style" w:eastAsia="Times New Roman" w:hAnsi="Bookman Old Style" w:cs="Times New Roman"/>
          <w:sz w:val="24"/>
          <w:szCs w:val="24"/>
          <w:lang w:eastAsia="es-ES"/>
        </w:rPr>
        <w:t xml:space="preserve">eponer parcialmente el artículo 1 de la Resolución CREG 124 de 2020 el cual quedará así: </w:t>
      </w:r>
    </w:p>
    <w:p w14:paraId="15F0789D" w14:textId="77777777" w:rsidR="009A48FF" w:rsidRPr="009A48FF" w:rsidRDefault="009A48FF" w:rsidP="009A48FF">
      <w:pPr>
        <w:spacing w:after="0" w:line="240" w:lineRule="auto"/>
        <w:contextualSpacing/>
        <w:jc w:val="both"/>
        <w:rPr>
          <w:rFonts w:ascii="Bookman Old Style" w:eastAsia="Times New Roman" w:hAnsi="Bookman Old Style" w:cs="Times New Roman"/>
          <w:sz w:val="24"/>
          <w:szCs w:val="24"/>
          <w:lang w:val="es-ES" w:eastAsia="es-ES"/>
        </w:rPr>
      </w:pPr>
    </w:p>
    <w:p w14:paraId="454FDFA0" w14:textId="77777777" w:rsidR="009A48FF" w:rsidRPr="00994249" w:rsidRDefault="009A48FF" w:rsidP="009A48FF">
      <w:pPr>
        <w:spacing w:after="0" w:line="240" w:lineRule="auto"/>
        <w:contextualSpacing/>
        <w:jc w:val="center"/>
        <w:rPr>
          <w:rFonts w:ascii="Bookman Old Style" w:eastAsia="Times New Roman" w:hAnsi="Bookman Old Style" w:cs="Times New Roman"/>
          <w:b/>
          <w:sz w:val="24"/>
          <w:szCs w:val="24"/>
          <w:lang w:val="es-ES" w:eastAsia="es-ES"/>
        </w:rPr>
      </w:pPr>
      <w:r w:rsidRPr="00994249">
        <w:rPr>
          <w:rFonts w:ascii="Bookman Old Style" w:eastAsia="Times New Roman" w:hAnsi="Bookman Old Style" w:cs="Times New Roman"/>
          <w:b/>
          <w:sz w:val="24"/>
          <w:szCs w:val="24"/>
          <w:lang w:val="es-ES" w:eastAsia="es-ES"/>
        </w:rPr>
        <w:t>Tabla 1. Componentes de remuneración de costos de inversión y de administración,</w:t>
      </w:r>
      <w:r w:rsidRPr="00994249">
        <w:rPr>
          <w:rFonts w:ascii="Bookman Old Style" w:eastAsia="Times New Roman" w:hAnsi="Bookman Old Style" w:cs="Times New Roman"/>
          <w:b/>
          <w:bCs/>
          <w:sz w:val="24"/>
          <w:szCs w:val="24"/>
          <w:lang w:val="es-ES" w:eastAsia="es-ES"/>
        </w:rPr>
        <w:t xml:space="preserve"> operación y mantenimiento para sistemas híbridos diésel</w:t>
      </w:r>
      <w:r w:rsidRPr="00994249">
        <w:rPr>
          <w:rFonts w:ascii="Bookman Old Style" w:eastAsia="Times New Roman" w:hAnsi="Bookman Old Style" w:cs="Times New Roman"/>
          <w:b/>
          <w:sz w:val="24"/>
          <w:szCs w:val="24"/>
          <w:lang w:val="es-ES" w:eastAsia="es-ES"/>
        </w:rPr>
        <w:t>, pequeña central hidroeléctrica, solar fotovoltaicos con acumulación</w:t>
      </w:r>
    </w:p>
    <w:p w14:paraId="2442C6A2" w14:textId="77777777" w:rsidR="009A48FF" w:rsidRPr="00994249" w:rsidRDefault="009A48FF" w:rsidP="009A48FF">
      <w:pPr>
        <w:spacing w:after="0" w:line="240" w:lineRule="auto"/>
        <w:contextualSpacing/>
        <w:jc w:val="center"/>
        <w:rPr>
          <w:rFonts w:ascii="Bookman Old Style" w:eastAsia="Times New Roman" w:hAnsi="Bookman Old Style" w:cs="Times New Roman"/>
          <w:b/>
          <w:sz w:val="24"/>
          <w:szCs w:val="24"/>
          <w:lang w:val="es-ES" w:eastAsia="es-ES"/>
        </w:rPr>
      </w:pPr>
      <w:r w:rsidRPr="00994249">
        <w:rPr>
          <w:rFonts w:ascii="Bookman Old Style" w:eastAsia="Times New Roman" w:hAnsi="Bookman Old Style" w:cs="Times New Roman"/>
          <w:b/>
          <w:sz w:val="24"/>
          <w:szCs w:val="24"/>
          <w:lang w:val="es-ES" w:eastAsia="es-ES"/>
        </w:rPr>
        <w:t>(pesos de diciembre de 2006)</w:t>
      </w:r>
    </w:p>
    <w:p w14:paraId="30CAEF99" w14:textId="77777777" w:rsidR="009A48FF" w:rsidRPr="00994249" w:rsidRDefault="009A48FF" w:rsidP="009A48FF">
      <w:pPr>
        <w:spacing w:after="0" w:line="240" w:lineRule="auto"/>
        <w:contextualSpacing/>
        <w:jc w:val="both"/>
        <w:rPr>
          <w:rFonts w:ascii="Bookman Old Style" w:eastAsia="Times New Roman" w:hAnsi="Bookman Old Style" w:cs="Times New Roman"/>
          <w:sz w:val="24"/>
          <w:szCs w:val="24"/>
          <w:lang w:val="es-ES" w:eastAsia="es-ES"/>
        </w:rPr>
      </w:pPr>
    </w:p>
    <w:tbl>
      <w:tblPr>
        <w:tblStyle w:val="Tablaconcuadrcula"/>
        <w:tblW w:w="9127" w:type="dxa"/>
        <w:tblInd w:w="279" w:type="dxa"/>
        <w:tblLayout w:type="fixed"/>
        <w:tblLook w:val="04A0" w:firstRow="1" w:lastRow="0" w:firstColumn="1" w:lastColumn="0" w:noHBand="0" w:noVBand="1"/>
      </w:tblPr>
      <w:tblGrid>
        <w:gridCol w:w="3005"/>
        <w:gridCol w:w="3061"/>
        <w:gridCol w:w="3061"/>
      </w:tblGrid>
      <w:tr w:rsidR="009A48FF" w:rsidRPr="00994249" w14:paraId="19872795" w14:textId="77777777" w:rsidTr="00EF4F04">
        <w:trPr>
          <w:trHeight w:val="1120"/>
          <w:tblHeader/>
        </w:trPr>
        <w:tc>
          <w:tcPr>
            <w:tcW w:w="3005" w:type="dxa"/>
            <w:vAlign w:val="center"/>
          </w:tcPr>
          <w:p w14:paraId="745683A4" w14:textId="77777777" w:rsidR="009A48FF" w:rsidRPr="00994249" w:rsidRDefault="009A48FF" w:rsidP="009A48FF">
            <w:pPr>
              <w:contextualSpacing/>
              <w:jc w:val="center"/>
              <w:rPr>
                <w:rFonts w:ascii="Bookman Old Style" w:hAnsi="Bookman Old Style"/>
                <w:b/>
                <w:sz w:val="24"/>
                <w:szCs w:val="24"/>
                <w:lang w:val="es-ES" w:eastAsia="es-ES"/>
              </w:rPr>
            </w:pPr>
            <w:r w:rsidRPr="00994249">
              <w:rPr>
                <w:rFonts w:ascii="Bookman Old Style" w:hAnsi="Bookman Old Style"/>
                <w:b/>
                <w:sz w:val="24"/>
                <w:szCs w:val="24"/>
                <w:lang w:val="es-ES" w:eastAsia="es-ES"/>
              </w:rPr>
              <w:t>Tipo de recurso energético</w:t>
            </w:r>
          </w:p>
        </w:tc>
        <w:tc>
          <w:tcPr>
            <w:tcW w:w="3061" w:type="dxa"/>
            <w:vAlign w:val="center"/>
          </w:tcPr>
          <w:p w14:paraId="36051A39" w14:textId="77777777" w:rsidR="009A48FF" w:rsidRPr="00994249" w:rsidRDefault="009A48FF" w:rsidP="009A48FF">
            <w:pPr>
              <w:contextualSpacing/>
              <w:jc w:val="center"/>
              <w:rPr>
                <w:rFonts w:ascii="Bookman Old Style" w:hAnsi="Bookman Old Style"/>
                <w:b/>
                <w:sz w:val="24"/>
                <w:szCs w:val="24"/>
                <w:vertAlign w:val="subscript"/>
                <w:lang w:val="es-ES" w:eastAsia="es-ES"/>
              </w:rPr>
            </w:pPr>
            <w:r w:rsidRPr="00994249">
              <w:rPr>
                <w:rFonts w:ascii="Bookman Old Style" w:hAnsi="Bookman Old Style"/>
                <w:b/>
                <w:sz w:val="24"/>
                <w:szCs w:val="24"/>
                <w:lang w:val="es-ES" w:eastAsia="es-ES"/>
              </w:rPr>
              <w:t xml:space="preserve">Costo de inversión, </w:t>
            </w:r>
            <w:r w:rsidRPr="00994249">
              <w:rPr>
                <w:rFonts w:ascii="Bookman Old Style" w:hAnsi="Bookman Old Style"/>
                <w:b/>
                <w:i/>
                <w:sz w:val="24"/>
                <w:szCs w:val="24"/>
                <w:lang w:val="es-ES" w:eastAsia="es-ES"/>
              </w:rPr>
              <w:t>CI</w:t>
            </w:r>
            <w:r w:rsidRPr="00994249">
              <w:rPr>
                <w:rFonts w:ascii="Bookman Old Style" w:hAnsi="Bookman Old Style"/>
                <w:b/>
                <w:i/>
                <w:sz w:val="24"/>
                <w:szCs w:val="24"/>
                <w:vertAlign w:val="subscript"/>
                <w:lang w:val="es-ES" w:eastAsia="es-ES"/>
              </w:rPr>
              <w:t>j,0</w:t>
            </w:r>
          </w:p>
          <w:p w14:paraId="7CCBC90E" w14:textId="77777777" w:rsidR="009A48FF" w:rsidRPr="00994249" w:rsidRDefault="009A48FF" w:rsidP="009A48FF">
            <w:pPr>
              <w:contextualSpacing/>
              <w:jc w:val="center"/>
              <w:rPr>
                <w:rFonts w:ascii="Bookman Old Style" w:hAnsi="Bookman Old Style"/>
                <w:b/>
                <w:sz w:val="24"/>
                <w:szCs w:val="24"/>
                <w:lang w:val="es-ES" w:eastAsia="es-ES"/>
              </w:rPr>
            </w:pPr>
            <w:r w:rsidRPr="00994249">
              <w:rPr>
                <w:rFonts w:ascii="Bookman Old Style" w:hAnsi="Bookman Old Style"/>
                <w:b/>
                <w:sz w:val="24"/>
                <w:szCs w:val="24"/>
                <w:lang w:val="es-ES" w:eastAsia="es-ES"/>
              </w:rPr>
              <w:t>($/kWh)</w:t>
            </w:r>
          </w:p>
        </w:tc>
        <w:tc>
          <w:tcPr>
            <w:tcW w:w="3061" w:type="dxa"/>
            <w:vAlign w:val="center"/>
          </w:tcPr>
          <w:p w14:paraId="30ED21D0" w14:textId="77777777" w:rsidR="009A48FF" w:rsidRPr="00994249" w:rsidRDefault="009A48FF" w:rsidP="009A48FF">
            <w:pPr>
              <w:contextualSpacing/>
              <w:jc w:val="center"/>
              <w:rPr>
                <w:rFonts w:ascii="Bookman Old Style" w:hAnsi="Bookman Old Style"/>
                <w:b/>
                <w:sz w:val="24"/>
                <w:szCs w:val="24"/>
                <w:lang w:val="es-ES" w:eastAsia="es-ES"/>
              </w:rPr>
            </w:pPr>
            <w:r w:rsidRPr="00994249">
              <w:rPr>
                <w:rFonts w:ascii="Bookman Old Style" w:hAnsi="Bookman Old Style"/>
                <w:b/>
                <w:sz w:val="24"/>
                <w:szCs w:val="24"/>
                <w:lang w:val="es-ES" w:eastAsia="es-ES"/>
              </w:rPr>
              <w:t>Costos de administración, operación y mantenimiento,</w:t>
            </w:r>
          </w:p>
          <w:p w14:paraId="1436E8A1" w14:textId="77777777" w:rsidR="009A48FF" w:rsidRPr="00994249" w:rsidRDefault="009A48FF" w:rsidP="009A48FF">
            <w:pPr>
              <w:contextualSpacing/>
              <w:jc w:val="center"/>
              <w:rPr>
                <w:rFonts w:ascii="Bookman Old Style" w:hAnsi="Bookman Old Style"/>
                <w:b/>
                <w:sz w:val="24"/>
                <w:szCs w:val="24"/>
                <w:lang w:val="es-ES" w:eastAsia="es-ES"/>
              </w:rPr>
            </w:pPr>
            <w:r w:rsidRPr="00994249">
              <w:rPr>
                <w:rFonts w:ascii="Bookman Old Style" w:hAnsi="Bookman Old Style"/>
                <w:b/>
                <w:i/>
                <w:sz w:val="24"/>
                <w:szCs w:val="24"/>
                <w:lang w:val="es-ES" w:eastAsia="es-ES"/>
              </w:rPr>
              <w:t>CM</w:t>
            </w:r>
            <w:r w:rsidRPr="00994249">
              <w:rPr>
                <w:rFonts w:ascii="Bookman Old Style" w:hAnsi="Bookman Old Style"/>
                <w:b/>
                <w:i/>
                <w:sz w:val="24"/>
                <w:szCs w:val="24"/>
                <w:vertAlign w:val="subscript"/>
                <w:lang w:val="es-ES" w:eastAsia="es-ES"/>
              </w:rPr>
              <w:t>j,0</w:t>
            </w:r>
            <w:r w:rsidRPr="00994249">
              <w:rPr>
                <w:rFonts w:ascii="Bookman Old Style" w:hAnsi="Bookman Old Style"/>
                <w:b/>
                <w:sz w:val="24"/>
                <w:szCs w:val="24"/>
                <w:lang w:val="es-ES" w:eastAsia="es-ES"/>
              </w:rPr>
              <w:t xml:space="preserve"> ($/kWh)</w:t>
            </w:r>
          </w:p>
        </w:tc>
      </w:tr>
      <w:tr w:rsidR="009A48FF" w:rsidRPr="00994249" w14:paraId="79A4EA8B" w14:textId="77777777" w:rsidTr="009A48FF">
        <w:trPr>
          <w:trHeight w:val="846"/>
        </w:trPr>
        <w:tc>
          <w:tcPr>
            <w:tcW w:w="3005" w:type="dxa"/>
            <w:vAlign w:val="center"/>
          </w:tcPr>
          <w:p w14:paraId="7106305B" w14:textId="77777777" w:rsidR="009A48FF" w:rsidRPr="00994249" w:rsidRDefault="009A48FF" w:rsidP="009A48FF">
            <w:pPr>
              <w:contextualSpacing/>
              <w:rPr>
                <w:rFonts w:ascii="Bookman Old Style" w:hAnsi="Bookman Old Style"/>
                <w:sz w:val="24"/>
                <w:szCs w:val="24"/>
                <w:lang w:val="es-ES" w:eastAsia="es-ES"/>
              </w:rPr>
            </w:pPr>
            <w:r w:rsidRPr="00994249">
              <w:rPr>
                <w:rFonts w:ascii="Bookman Old Style" w:hAnsi="Bookman Old Style"/>
                <w:sz w:val="24"/>
                <w:szCs w:val="24"/>
                <w:lang w:val="es-ES" w:eastAsia="es-ES"/>
              </w:rPr>
              <w:t>Solar fotovoltaico con alimentación directa a red.</w:t>
            </w:r>
          </w:p>
        </w:tc>
        <w:tc>
          <w:tcPr>
            <w:tcW w:w="3061" w:type="dxa"/>
            <w:vAlign w:val="center"/>
          </w:tcPr>
          <w:p w14:paraId="1579F9DD" w14:textId="384C045C" w:rsidR="009A48FF" w:rsidRPr="00994249" w:rsidRDefault="009A48FF" w:rsidP="009A48FF">
            <w:pPr>
              <w:contextualSpacing/>
              <w:jc w:val="center"/>
              <w:rPr>
                <w:rFonts w:ascii="Bookman Old Style" w:hAnsi="Bookman Old Style"/>
                <w:sz w:val="24"/>
                <w:szCs w:val="24"/>
                <w:lang w:val="es-MX" w:eastAsia="es-ES"/>
              </w:rPr>
            </w:pPr>
            <w:r w:rsidRPr="00994249">
              <w:rPr>
                <w:rFonts w:ascii="Bookman Old Style" w:hAnsi="Bookman Old Style"/>
                <w:sz w:val="24"/>
                <w:szCs w:val="24"/>
                <w:lang w:eastAsia="es-ES"/>
              </w:rPr>
              <w:t>377,70</w:t>
            </w:r>
          </w:p>
        </w:tc>
        <w:tc>
          <w:tcPr>
            <w:tcW w:w="3061" w:type="dxa"/>
            <w:vAlign w:val="center"/>
          </w:tcPr>
          <w:p w14:paraId="03734EDB" w14:textId="77777777" w:rsidR="009A48FF" w:rsidRPr="00994249" w:rsidRDefault="009A48FF" w:rsidP="009A48FF">
            <w:pPr>
              <w:contextualSpacing/>
              <w:jc w:val="center"/>
              <w:rPr>
                <w:rFonts w:ascii="Bookman Old Style" w:hAnsi="Bookman Old Style"/>
                <w:sz w:val="24"/>
                <w:szCs w:val="24"/>
                <w:lang w:val="es-ES" w:eastAsia="es-ES"/>
              </w:rPr>
            </w:pPr>
            <w:r w:rsidRPr="00994249">
              <w:rPr>
                <w:rFonts w:ascii="Bookman Old Style" w:hAnsi="Bookman Old Style"/>
                <w:sz w:val="24"/>
                <w:szCs w:val="24"/>
                <w:lang w:val="es-ES" w:eastAsia="es-ES"/>
              </w:rPr>
              <w:t>34,83</w:t>
            </w:r>
          </w:p>
        </w:tc>
      </w:tr>
      <w:tr w:rsidR="009A48FF" w:rsidRPr="00994249" w14:paraId="4C004F51" w14:textId="77777777" w:rsidTr="009A48FF">
        <w:trPr>
          <w:trHeight w:val="846"/>
        </w:trPr>
        <w:tc>
          <w:tcPr>
            <w:tcW w:w="3005" w:type="dxa"/>
            <w:vAlign w:val="center"/>
          </w:tcPr>
          <w:p w14:paraId="46C6BF2C" w14:textId="77777777" w:rsidR="009A48FF" w:rsidRPr="00994249" w:rsidRDefault="009A48FF" w:rsidP="009A48FF">
            <w:pPr>
              <w:contextualSpacing/>
              <w:rPr>
                <w:rFonts w:ascii="Bookman Old Style" w:hAnsi="Bookman Old Style"/>
                <w:sz w:val="24"/>
                <w:szCs w:val="24"/>
                <w:lang w:val="es-ES" w:eastAsia="es-ES"/>
              </w:rPr>
            </w:pPr>
            <w:r w:rsidRPr="00994249">
              <w:rPr>
                <w:rFonts w:ascii="Bookman Old Style" w:hAnsi="Bookman Old Style"/>
                <w:sz w:val="24"/>
                <w:szCs w:val="24"/>
                <w:lang w:val="es-ES" w:eastAsia="es-ES"/>
              </w:rPr>
              <w:t>Acumulación de recurso solar fotovoltaico.</w:t>
            </w:r>
          </w:p>
        </w:tc>
        <w:tc>
          <w:tcPr>
            <w:tcW w:w="3061" w:type="dxa"/>
            <w:vAlign w:val="center"/>
          </w:tcPr>
          <w:p w14:paraId="51A0CB62" w14:textId="2387922B" w:rsidR="009A48FF" w:rsidRPr="00994249" w:rsidRDefault="009A48FF" w:rsidP="009A48FF">
            <w:pPr>
              <w:contextualSpacing/>
              <w:jc w:val="center"/>
              <w:rPr>
                <w:rFonts w:ascii="Bookman Old Style" w:hAnsi="Bookman Old Style"/>
                <w:sz w:val="24"/>
                <w:szCs w:val="24"/>
                <w:lang w:val="es-ES" w:eastAsia="es-ES"/>
              </w:rPr>
            </w:pPr>
            <w:r w:rsidRPr="00994249">
              <w:rPr>
                <w:rFonts w:ascii="Bookman Old Style" w:hAnsi="Bookman Old Style"/>
                <w:sz w:val="24"/>
                <w:szCs w:val="24"/>
                <w:lang w:val="es-ES" w:eastAsia="es-ES"/>
              </w:rPr>
              <w:t>1,643.26</w:t>
            </w:r>
          </w:p>
        </w:tc>
        <w:tc>
          <w:tcPr>
            <w:tcW w:w="3061" w:type="dxa"/>
            <w:vAlign w:val="center"/>
          </w:tcPr>
          <w:p w14:paraId="20A7449F" w14:textId="77777777" w:rsidR="009A48FF" w:rsidRPr="00994249" w:rsidRDefault="009A48FF" w:rsidP="009A48FF">
            <w:pPr>
              <w:contextualSpacing/>
              <w:jc w:val="center"/>
              <w:rPr>
                <w:rFonts w:ascii="Bookman Old Style" w:hAnsi="Bookman Old Style"/>
                <w:sz w:val="24"/>
                <w:szCs w:val="24"/>
                <w:lang w:val="es-ES" w:eastAsia="es-ES"/>
              </w:rPr>
            </w:pPr>
            <w:r w:rsidRPr="00994249">
              <w:rPr>
                <w:rFonts w:ascii="Bookman Old Style" w:hAnsi="Bookman Old Style"/>
                <w:sz w:val="24"/>
                <w:szCs w:val="24"/>
                <w:lang w:val="es-ES" w:eastAsia="es-ES"/>
              </w:rPr>
              <w:t>196,64</w:t>
            </w:r>
          </w:p>
        </w:tc>
      </w:tr>
      <w:tr w:rsidR="009A48FF" w:rsidRPr="00994249" w14:paraId="23A10223" w14:textId="77777777" w:rsidTr="009A48FF">
        <w:trPr>
          <w:trHeight w:val="987"/>
        </w:trPr>
        <w:tc>
          <w:tcPr>
            <w:tcW w:w="3005" w:type="dxa"/>
            <w:vAlign w:val="center"/>
          </w:tcPr>
          <w:p w14:paraId="42EFC22C" w14:textId="77777777" w:rsidR="009A48FF" w:rsidRPr="00994249" w:rsidRDefault="009A48FF" w:rsidP="009A48FF">
            <w:pPr>
              <w:contextualSpacing/>
              <w:rPr>
                <w:rFonts w:ascii="Bookman Old Style" w:hAnsi="Bookman Old Style"/>
                <w:sz w:val="24"/>
                <w:szCs w:val="24"/>
                <w:lang w:val="es-ES" w:eastAsia="es-ES"/>
              </w:rPr>
            </w:pPr>
            <w:r w:rsidRPr="00994249">
              <w:rPr>
                <w:rFonts w:ascii="Bookman Old Style" w:hAnsi="Bookman Old Style"/>
                <w:sz w:val="24"/>
                <w:szCs w:val="24"/>
                <w:lang w:val="es-ES" w:eastAsia="es-ES"/>
              </w:rPr>
              <w:t>Diésel.</w:t>
            </w:r>
          </w:p>
        </w:tc>
        <w:tc>
          <w:tcPr>
            <w:tcW w:w="6122" w:type="dxa"/>
            <w:gridSpan w:val="2"/>
            <w:vAlign w:val="center"/>
          </w:tcPr>
          <w:p w14:paraId="02F8F378" w14:textId="77777777" w:rsidR="009A48FF" w:rsidRPr="00994249" w:rsidRDefault="009A48FF" w:rsidP="009A48FF">
            <w:pPr>
              <w:contextualSpacing/>
              <w:jc w:val="center"/>
              <w:rPr>
                <w:rFonts w:ascii="Bookman Old Style" w:hAnsi="Bookman Old Style"/>
                <w:sz w:val="24"/>
                <w:szCs w:val="24"/>
                <w:lang w:val="es-ES" w:eastAsia="es-ES"/>
              </w:rPr>
            </w:pPr>
            <w:r w:rsidRPr="00994249">
              <w:rPr>
                <w:rFonts w:ascii="Bookman Old Style" w:hAnsi="Bookman Old Style"/>
                <w:sz w:val="24"/>
                <w:szCs w:val="24"/>
                <w:lang w:val="es-ES" w:eastAsia="es-ES"/>
              </w:rPr>
              <w:t>Según lo previsto en el literal a), del artículo 22, de la Resolución CREG 091 de 2007, modificada mediante Resolución CREG 057 de 2009.</w:t>
            </w:r>
          </w:p>
        </w:tc>
      </w:tr>
      <w:tr w:rsidR="009A48FF" w:rsidRPr="009A48FF" w14:paraId="07D702F9" w14:textId="77777777" w:rsidTr="009A48FF">
        <w:trPr>
          <w:trHeight w:val="987"/>
        </w:trPr>
        <w:tc>
          <w:tcPr>
            <w:tcW w:w="3005" w:type="dxa"/>
            <w:vAlign w:val="center"/>
          </w:tcPr>
          <w:p w14:paraId="72DBAD64" w14:textId="77777777" w:rsidR="009A48FF" w:rsidRPr="00994249" w:rsidRDefault="009A48FF" w:rsidP="009A48FF">
            <w:pPr>
              <w:contextualSpacing/>
              <w:rPr>
                <w:rFonts w:ascii="Bookman Old Style" w:hAnsi="Bookman Old Style"/>
                <w:sz w:val="24"/>
                <w:szCs w:val="24"/>
                <w:lang w:val="es-ES" w:eastAsia="es-ES"/>
              </w:rPr>
            </w:pPr>
            <w:r w:rsidRPr="00994249">
              <w:rPr>
                <w:rFonts w:ascii="Bookman Old Style" w:hAnsi="Bookman Old Style"/>
                <w:sz w:val="24"/>
                <w:szCs w:val="24"/>
                <w:lang w:val="es-ES" w:eastAsia="es-ES"/>
              </w:rPr>
              <w:t>Central Hidroeléctrica a pequeña escala</w:t>
            </w:r>
          </w:p>
        </w:tc>
        <w:tc>
          <w:tcPr>
            <w:tcW w:w="6122" w:type="dxa"/>
            <w:gridSpan w:val="2"/>
            <w:vAlign w:val="center"/>
          </w:tcPr>
          <w:p w14:paraId="7097BA67" w14:textId="77777777" w:rsidR="009A48FF" w:rsidRPr="009A48FF" w:rsidRDefault="009A48FF" w:rsidP="009A48FF">
            <w:pPr>
              <w:contextualSpacing/>
              <w:jc w:val="center"/>
              <w:rPr>
                <w:rFonts w:ascii="Bookman Old Style" w:hAnsi="Bookman Old Style"/>
                <w:sz w:val="24"/>
                <w:szCs w:val="24"/>
                <w:lang w:val="es-ES" w:eastAsia="es-ES"/>
              </w:rPr>
            </w:pPr>
            <w:r w:rsidRPr="00994249">
              <w:rPr>
                <w:rFonts w:ascii="Bookman Old Style" w:hAnsi="Bookman Old Style"/>
                <w:sz w:val="24"/>
                <w:szCs w:val="24"/>
                <w:lang w:val="es-ES" w:eastAsia="es-ES"/>
              </w:rPr>
              <w:t>Según lo previsto en el literal b), del artículo 22, y el numeral 24.3, del artículo 24, de la Resolución CREG 091 de 2007, modificada mediante Resolución CREG 057 de 2009.</w:t>
            </w:r>
          </w:p>
        </w:tc>
      </w:tr>
    </w:tbl>
    <w:p w14:paraId="3E9F2864" w14:textId="77777777" w:rsidR="0074179F" w:rsidRDefault="0074179F" w:rsidP="007F2AFE">
      <w:pPr>
        <w:spacing w:after="0" w:line="240" w:lineRule="auto"/>
        <w:contextualSpacing/>
        <w:jc w:val="both"/>
        <w:rPr>
          <w:rFonts w:ascii="Bookman Old Style" w:eastAsia="Times New Roman" w:hAnsi="Bookman Old Style" w:cs="Times New Roman"/>
          <w:sz w:val="24"/>
          <w:szCs w:val="24"/>
          <w:lang w:eastAsia="es-ES"/>
        </w:rPr>
      </w:pPr>
    </w:p>
    <w:p w14:paraId="6F2536E8" w14:textId="77777777" w:rsidR="00B01E58" w:rsidRDefault="00B01E58" w:rsidP="007F2AFE">
      <w:pPr>
        <w:spacing w:after="0" w:line="240" w:lineRule="auto"/>
        <w:contextualSpacing/>
        <w:jc w:val="both"/>
        <w:rPr>
          <w:rFonts w:ascii="Bookman Old Style" w:eastAsia="Times New Roman" w:hAnsi="Bookman Old Style" w:cs="Times New Roman"/>
          <w:sz w:val="24"/>
          <w:szCs w:val="24"/>
          <w:lang w:eastAsia="es-ES"/>
        </w:rPr>
      </w:pPr>
    </w:p>
    <w:p w14:paraId="6E2B0C94" w14:textId="0BDF55C1" w:rsidR="00B01E58" w:rsidRDefault="0081625F" w:rsidP="002719FF">
      <w:pPr>
        <w:spacing w:after="0" w:line="240" w:lineRule="auto"/>
        <w:contextualSpacing/>
        <w:jc w:val="both"/>
        <w:rPr>
          <w:rFonts w:ascii="Bookman Old Style" w:eastAsia="Times New Roman" w:hAnsi="Bookman Old Style" w:cs="Times New Roman"/>
          <w:sz w:val="24"/>
          <w:szCs w:val="24"/>
          <w:lang w:eastAsia="es-ES"/>
        </w:rPr>
      </w:pPr>
      <w:r w:rsidRPr="00AE08C2">
        <w:rPr>
          <w:rFonts w:ascii="Bookman Old Style" w:eastAsia="Times New Roman" w:hAnsi="Bookman Old Style" w:cs="Times New Roman"/>
          <w:b/>
          <w:sz w:val="24"/>
          <w:szCs w:val="24"/>
          <w:lang w:val="es-ES" w:eastAsia="es-ES"/>
        </w:rPr>
        <w:t xml:space="preserve">Artículo </w:t>
      </w:r>
      <w:r w:rsidR="005D6BB2">
        <w:rPr>
          <w:rFonts w:ascii="Bookman Old Style" w:eastAsia="Times New Roman" w:hAnsi="Bookman Old Style" w:cs="Times New Roman"/>
          <w:b/>
          <w:sz w:val="24"/>
          <w:szCs w:val="24"/>
          <w:lang w:val="es-ES" w:eastAsia="es-ES"/>
        </w:rPr>
        <w:t>3</w:t>
      </w:r>
      <w:r w:rsidRPr="00AE08C2">
        <w:rPr>
          <w:rFonts w:ascii="Bookman Old Style" w:eastAsia="Times New Roman" w:hAnsi="Bookman Old Style" w:cs="Times New Roman"/>
          <w:b/>
          <w:sz w:val="24"/>
          <w:szCs w:val="24"/>
          <w:lang w:val="es-ES" w:eastAsia="es-ES"/>
        </w:rPr>
        <w:t>.</w:t>
      </w:r>
      <w:r w:rsidR="00DD7CFF">
        <w:rPr>
          <w:rFonts w:ascii="Bookman Old Style" w:eastAsia="Times New Roman" w:hAnsi="Bookman Old Style" w:cs="Times New Roman"/>
          <w:b/>
          <w:sz w:val="24"/>
          <w:szCs w:val="24"/>
          <w:lang w:val="es-ES" w:eastAsia="es-ES"/>
        </w:rPr>
        <w:t xml:space="preserve"> </w:t>
      </w:r>
      <w:r w:rsidR="00D22F52">
        <w:rPr>
          <w:rFonts w:ascii="Bookman Old Style" w:eastAsia="Times New Roman" w:hAnsi="Bookman Old Style" w:cs="Times New Roman"/>
          <w:sz w:val="24"/>
          <w:szCs w:val="24"/>
          <w:lang w:eastAsia="es-ES"/>
        </w:rPr>
        <w:t>R</w:t>
      </w:r>
      <w:r w:rsidR="00B01E58">
        <w:rPr>
          <w:rFonts w:ascii="Bookman Old Style" w:eastAsia="Times New Roman" w:hAnsi="Bookman Old Style" w:cs="Times New Roman"/>
          <w:sz w:val="24"/>
          <w:szCs w:val="24"/>
          <w:lang w:eastAsia="es-ES"/>
        </w:rPr>
        <w:t xml:space="preserve">eponer parcialmente el artículo 2 de la Resolución CREG 124 de </w:t>
      </w:r>
      <w:r w:rsidR="002719FF">
        <w:rPr>
          <w:rFonts w:ascii="Bookman Old Style" w:eastAsia="Times New Roman" w:hAnsi="Bookman Old Style" w:cs="Times New Roman"/>
          <w:sz w:val="24"/>
          <w:szCs w:val="24"/>
          <w:lang w:eastAsia="es-ES"/>
        </w:rPr>
        <w:t>2020, modificándose</w:t>
      </w:r>
      <w:r w:rsidR="001328FA">
        <w:rPr>
          <w:rFonts w:ascii="Bookman Old Style" w:eastAsia="Times New Roman" w:hAnsi="Bookman Old Style" w:cs="Times New Roman"/>
          <w:sz w:val="24"/>
          <w:szCs w:val="24"/>
          <w:lang w:eastAsia="es-ES"/>
        </w:rPr>
        <w:t xml:space="preserve"> </w:t>
      </w:r>
      <w:r w:rsidR="008902F1">
        <w:rPr>
          <w:rFonts w:ascii="Bookman Old Style" w:eastAsia="Times New Roman" w:hAnsi="Bookman Old Style" w:cs="Times New Roman"/>
          <w:sz w:val="24"/>
          <w:szCs w:val="24"/>
          <w:lang w:eastAsia="es-ES"/>
        </w:rPr>
        <w:t xml:space="preserve">el valor mínimo del parámetro </w:t>
      </w:r>
      <w:r w:rsidR="001328FA">
        <w:rPr>
          <w:rFonts w:ascii="Bookman Old Style" w:eastAsia="Times New Roman" w:hAnsi="Bookman Old Style" w:cs="Times New Roman"/>
          <w:sz w:val="24"/>
          <w:szCs w:val="24"/>
          <w:lang w:eastAsia="es-ES"/>
        </w:rPr>
        <w:t xml:space="preserve"> </w:t>
      </w:r>
      <m:oMath>
        <m:r>
          <m:rPr>
            <m:sty m:val="p"/>
          </m:rPr>
          <w:rPr>
            <w:rFonts w:ascii="Cambria Math" w:hAnsi="Cambria Math" w:cs="Arial"/>
            <w:highlight w:val="yellow"/>
          </w:rPr>
          <w:br/>
        </m:r>
        <m:sSub>
          <m:sSubPr>
            <m:ctrlPr>
              <w:rPr>
                <w:rFonts w:ascii="Cambria Math" w:hAnsi="Cambria Math" w:cs="Arial"/>
                <w:i/>
              </w:rPr>
            </m:ctrlPr>
          </m:sSubPr>
          <m:e>
            <m:r>
              <w:rPr>
                <w:rFonts w:ascii="Cambria Math" w:hAnsi="Cambria Math" w:cs="Arial"/>
              </w:rPr>
              <m:t>α</m:t>
            </m:r>
          </m:e>
          <m:sub>
            <m:r>
              <w:rPr>
                <w:rFonts w:ascii="Cambria Math" w:hAnsi="Cambria Math" w:cs="Arial"/>
              </w:rPr>
              <m:t>m</m:t>
            </m:r>
          </m:sub>
        </m:sSub>
      </m:oMath>
      <w:r w:rsidR="00B01E58">
        <w:rPr>
          <w:rFonts w:ascii="Bookman Old Style" w:eastAsia="Times New Roman" w:hAnsi="Bookman Old Style" w:cs="Times New Roman"/>
          <w:sz w:val="24"/>
          <w:szCs w:val="24"/>
          <w:lang w:eastAsia="es-ES"/>
        </w:rPr>
        <w:t xml:space="preserve"> el cual quedará así:</w:t>
      </w:r>
    </w:p>
    <w:p w14:paraId="731C3CF7" w14:textId="77777777" w:rsidR="002719FF" w:rsidRDefault="002719FF" w:rsidP="007F2AFE">
      <w:pPr>
        <w:spacing w:after="0" w:line="240" w:lineRule="auto"/>
        <w:contextualSpacing/>
        <w:jc w:val="both"/>
        <w:rPr>
          <w:rFonts w:ascii="Bookman Old Style" w:eastAsia="Times New Roman" w:hAnsi="Bookman Old Style" w:cs="Times New Roman"/>
          <w:b/>
          <w:sz w:val="24"/>
          <w:szCs w:val="24"/>
          <w:lang w:val="es-ES" w:eastAsia="es-ES"/>
        </w:rPr>
      </w:pP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
        <w:gridCol w:w="434"/>
        <w:gridCol w:w="7652"/>
      </w:tblGrid>
      <w:tr w:rsidR="009A48FF" w:rsidRPr="00AD369B" w14:paraId="29FC9F2B" w14:textId="77777777" w:rsidTr="00BD6A34">
        <w:tc>
          <w:tcPr>
            <w:tcW w:w="986" w:type="dxa"/>
          </w:tcPr>
          <w:p w14:paraId="187D9104" w14:textId="77777777" w:rsidR="009A48FF" w:rsidRPr="00BD6A34" w:rsidRDefault="00625C69" w:rsidP="009A48FF">
            <w:pPr>
              <w:ind w:right="142"/>
              <w:contextualSpacing/>
            </w:pPr>
            <m:oMathPara>
              <m:oMathParaPr>
                <m:jc m:val="left"/>
              </m:oMathParaPr>
              <m:oMath>
                <m:sSub>
                  <m:sSubPr>
                    <m:ctrlPr>
                      <w:rPr>
                        <w:rFonts w:ascii="Cambria Math" w:hAnsi="Cambria Math" w:cs="Arial"/>
                        <w:i/>
                      </w:rPr>
                    </m:ctrlPr>
                  </m:sSubPr>
                  <m:e>
                    <m:r>
                      <w:rPr>
                        <w:rFonts w:ascii="Cambria Math" w:hAnsi="Cambria Math" w:cs="Arial"/>
                      </w:rPr>
                      <m:t>α</m:t>
                    </m:r>
                  </m:e>
                  <m:sub>
                    <m:r>
                      <w:rPr>
                        <w:rFonts w:ascii="Cambria Math" w:hAnsi="Cambria Math" w:cs="Arial"/>
                      </w:rPr>
                      <m:t>m</m:t>
                    </m:r>
                  </m:sub>
                </m:sSub>
              </m:oMath>
            </m:oMathPara>
          </w:p>
        </w:tc>
        <w:tc>
          <w:tcPr>
            <w:tcW w:w="434" w:type="dxa"/>
          </w:tcPr>
          <w:p w14:paraId="24311834" w14:textId="77777777" w:rsidR="009A48FF" w:rsidRPr="00BD6A34" w:rsidRDefault="009A48FF" w:rsidP="009A48FF">
            <w:pPr>
              <w:ind w:right="142"/>
              <w:contextualSpacing/>
              <w:jc w:val="both"/>
              <w:rPr>
                <w:rFonts w:ascii="Bookman Old Style" w:hAnsi="Bookman Old Style" w:cs="Arial"/>
                <w:bCs/>
              </w:rPr>
            </w:pPr>
            <w:r w:rsidRPr="00BD6A34">
              <w:rPr>
                <w:rFonts w:ascii="Bookman Old Style" w:hAnsi="Bookman Old Style" w:cs="Arial"/>
                <w:bCs/>
              </w:rPr>
              <w:t>:</w:t>
            </w:r>
          </w:p>
        </w:tc>
        <w:tc>
          <w:tcPr>
            <w:tcW w:w="7652" w:type="dxa"/>
          </w:tcPr>
          <w:p w14:paraId="0A7A3CE4" w14:textId="094CCA99" w:rsidR="009A48FF" w:rsidRPr="00AD369B" w:rsidRDefault="009A48FF" w:rsidP="009A48FF">
            <w:pPr>
              <w:ind w:right="142"/>
              <w:contextualSpacing/>
              <w:jc w:val="both"/>
              <w:rPr>
                <w:rFonts w:ascii="Bookman Old Style" w:hAnsi="Bookman Old Style" w:cs="Arial"/>
              </w:rPr>
            </w:pPr>
            <w:r w:rsidRPr="00BD6A34">
              <w:rPr>
                <w:rFonts w:ascii="Bookman Old Style" w:hAnsi="Bookman Old Style" w:cs="Arial"/>
                <w:bCs/>
              </w:rPr>
              <w:t>Proporción de la generación de recursos solares fotovoltaicos con alimentación directa a red, como parte de la generación de sistemas solares fotovoltaicos con acumulación, dentro del parque de generación de</w:t>
            </w:r>
            <w:r w:rsidRPr="00BD6A34">
              <w:rPr>
                <w:rFonts w:ascii="Bookman Old Style" w:hAnsi="Bookman Old Style" w:cs="Arial"/>
              </w:rPr>
              <w:t xml:space="preserve">l mercado relevante de comercialización señalado en este artículo, para el mes </w:t>
            </w:r>
            <w:r w:rsidRPr="00BD6A34">
              <w:rPr>
                <w:rFonts w:ascii="Bookman Old Style" w:hAnsi="Bookman Old Style" w:cs="Arial"/>
                <w:i/>
              </w:rPr>
              <w:t>m</w:t>
            </w:r>
            <w:r w:rsidRPr="00BD6A34">
              <w:rPr>
                <w:rFonts w:ascii="Bookman Old Style" w:hAnsi="Bookman Old Style" w:cs="Arial"/>
              </w:rPr>
              <w:t>. El valor mínimo de este parámetro será de 0,743.</w:t>
            </w:r>
          </w:p>
          <w:p w14:paraId="0E7E9A93" w14:textId="77777777" w:rsidR="009A48FF" w:rsidRPr="00AD369B" w:rsidRDefault="009A48FF" w:rsidP="009A48FF">
            <w:pPr>
              <w:ind w:right="142"/>
              <w:contextualSpacing/>
              <w:jc w:val="both"/>
              <w:rPr>
                <w:rFonts w:ascii="Bookman Old Style" w:hAnsi="Bookman Old Style" w:cs="Arial"/>
              </w:rPr>
            </w:pPr>
          </w:p>
        </w:tc>
      </w:tr>
    </w:tbl>
    <w:p w14:paraId="60CF5F96" w14:textId="3AC74597" w:rsidR="00613706" w:rsidRDefault="00B01E58" w:rsidP="007F2AFE">
      <w:pPr>
        <w:spacing w:after="0" w:line="240" w:lineRule="auto"/>
        <w:contextualSpacing/>
        <w:jc w:val="both"/>
        <w:rPr>
          <w:rFonts w:ascii="Bookman Old Style" w:eastAsia="Times New Roman" w:hAnsi="Bookman Old Style" w:cs="Times New Roman"/>
          <w:b/>
          <w:sz w:val="24"/>
          <w:szCs w:val="24"/>
          <w:lang w:val="es-ES" w:eastAsia="es-ES"/>
        </w:rPr>
      </w:pPr>
      <w:r>
        <w:rPr>
          <w:rFonts w:ascii="Bookman Old Style" w:eastAsia="Times New Roman" w:hAnsi="Bookman Old Style" w:cs="Times New Roman"/>
          <w:b/>
          <w:sz w:val="24"/>
          <w:szCs w:val="24"/>
          <w:lang w:val="es-ES" w:eastAsia="es-ES"/>
        </w:rPr>
        <w:t xml:space="preserve">Artículo </w:t>
      </w:r>
      <w:r w:rsidR="005D6BB2">
        <w:rPr>
          <w:rFonts w:ascii="Bookman Old Style" w:eastAsia="Times New Roman" w:hAnsi="Bookman Old Style" w:cs="Times New Roman"/>
          <w:b/>
          <w:sz w:val="24"/>
          <w:szCs w:val="24"/>
          <w:lang w:val="es-ES" w:eastAsia="es-ES"/>
        </w:rPr>
        <w:t>4</w:t>
      </w:r>
      <w:r>
        <w:rPr>
          <w:rFonts w:ascii="Bookman Old Style" w:eastAsia="Times New Roman" w:hAnsi="Bookman Old Style" w:cs="Times New Roman"/>
          <w:b/>
          <w:sz w:val="24"/>
          <w:szCs w:val="24"/>
          <w:lang w:val="es-ES" w:eastAsia="es-ES"/>
        </w:rPr>
        <w:t>.</w:t>
      </w:r>
      <w:r w:rsidR="00613706" w:rsidRPr="00613706">
        <w:rPr>
          <w:rFonts w:ascii="Bookman Old Style" w:eastAsia="Times New Roman" w:hAnsi="Bookman Old Style" w:cs="Times New Roman"/>
          <w:sz w:val="24"/>
          <w:szCs w:val="24"/>
          <w:lang w:eastAsia="es-ES"/>
        </w:rPr>
        <w:t xml:space="preserve"> </w:t>
      </w:r>
      <w:r w:rsidR="00D22F52">
        <w:rPr>
          <w:rFonts w:ascii="Bookman Old Style" w:eastAsia="Times New Roman" w:hAnsi="Bookman Old Style" w:cs="Times New Roman"/>
          <w:sz w:val="24"/>
          <w:szCs w:val="24"/>
          <w:lang w:eastAsia="es-ES"/>
        </w:rPr>
        <w:t>R</w:t>
      </w:r>
      <w:r w:rsidR="00613706">
        <w:rPr>
          <w:rFonts w:ascii="Bookman Old Style" w:eastAsia="Times New Roman" w:hAnsi="Bookman Old Style" w:cs="Times New Roman"/>
          <w:sz w:val="24"/>
          <w:szCs w:val="24"/>
          <w:lang w:eastAsia="es-ES"/>
        </w:rPr>
        <w:t xml:space="preserve">echazar la solicitud de </w:t>
      </w:r>
      <w:r w:rsidR="00613706" w:rsidRPr="00D625B6">
        <w:rPr>
          <w:rFonts w:ascii="Bookman Old Style" w:eastAsia="Times New Roman" w:hAnsi="Bookman Old Style" w:cs="Times New Roman"/>
          <w:sz w:val="24"/>
          <w:szCs w:val="24"/>
          <w:lang w:eastAsia="es-ES"/>
        </w:rPr>
        <w:t>e</w:t>
      </w:r>
      <w:r w:rsidR="00613706" w:rsidRPr="00D625B6">
        <w:rPr>
          <w:rFonts w:ascii="Bookman Old Style" w:eastAsia="Times New Roman" w:hAnsi="Bookman Old Style" w:cs="Times New Roman"/>
          <w:sz w:val="24"/>
          <w:szCs w:val="24"/>
          <w:lang w:val="es-ES" w:eastAsia="es-ES"/>
        </w:rPr>
        <w:t>liminar de la fórmula de actualización de cargos máximos de Generación la limitación impuesta a la proporción de la energía entregada al sistema de distribución por la planta de generación y por el sistema de almacenamiento.</w:t>
      </w:r>
      <w:r w:rsidR="00613706" w:rsidRPr="00613706">
        <w:rPr>
          <w:rFonts w:ascii="Bookman Old Style" w:eastAsia="Times New Roman" w:hAnsi="Bookman Old Style" w:cs="Times New Roman"/>
          <w:b/>
          <w:sz w:val="24"/>
          <w:szCs w:val="24"/>
          <w:lang w:val="es-ES" w:eastAsia="es-ES"/>
        </w:rPr>
        <w:t xml:space="preserve"> </w:t>
      </w:r>
    </w:p>
    <w:p w14:paraId="1BEA90B9" w14:textId="77777777" w:rsidR="005A05B9" w:rsidRDefault="005A05B9" w:rsidP="007F2AFE">
      <w:pPr>
        <w:spacing w:after="0" w:line="240" w:lineRule="auto"/>
        <w:contextualSpacing/>
        <w:jc w:val="both"/>
        <w:rPr>
          <w:rFonts w:ascii="Bookman Old Style" w:eastAsia="Times New Roman" w:hAnsi="Bookman Old Style" w:cs="Times New Roman"/>
          <w:b/>
          <w:sz w:val="24"/>
          <w:szCs w:val="24"/>
          <w:lang w:val="es-ES" w:eastAsia="es-ES"/>
        </w:rPr>
      </w:pPr>
    </w:p>
    <w:p w14:paraId="59A132D1" w14:textId="37350785" w:rsidR="0081625F" w:rsidRPr="00082D81" w:rsidRDefault="00613706" w:rsidP="007F2AFE">
      <w:pPr>
        <w:spacing w:after="0" w:line="240" w:lineRule="auto"/>
        <w:contextualSpacing/>
        <w:jc w:val="both"/>
        <w:rPr>
          <w:rFonts w:ascii="Bookman Old Style" w:eastAsia="Times New Roman" w:hAnsi="Bookman Old Style" w:cs="Times New Roman"/>
          <w:sz w:val="24"/>
          <w:szCs w:val="24"/>
          <w:lang w:val="es-ES" w:eastAsia="es-ES"/>
        </w:rPr>
      </w:pPr>
      <w:r>
        <w:rPr>
          <w:rFonts w:ascii="Bookman Old Style" w:eastAsia="Times New Roman" w:hAnsi="Bookman Old Style" w:cs="Times New Roman"/>
          <w:b/>
          <w:sz w:val="24"/>
          <w:szCs w:val="24"/>
          <w:lang w:val="es-ES" w:eastAsia="es-ES"/>
        </w:rPr>
        <w:t>Artículo 5.</w:t>
      </w:r>
      <w:r w:rsidR="00B01E58">
        <w:rPr>
          <w:rFonts w:ascii="Bookman Old Style" w:eastAsia="Times New Roman" w:hAnsi="Bookman Old Style" w:cs="Times New Roman"/>
          <w:b/>
          <w:sz w:val="24"/>
          <w:szCs w:val="24"/>
          <w:lang w:val="es-ES" w:eastAsia="es-ES"/>
        </w:rPr>
        <w:t xml:space="preserve"> </w:t>
      </w:r>
      <w:r w:rsidR="0081625F" w:rsidRPr="00C35B4C">
        <w:rPr>
          <w:rFonts w:ascii="Bookman Old Style" w:eastAsia="Times New Roman" w:hAnsi="Bookman Old Style" w:cs="Times New Roman"/>
          <w:sz w:val="24"/>
          <w:szCs w:val="24"/>
          <w:lang w:val="es-ES" w:eastAsia="es-ES"/>
        </w:rPr>
        <w:t>La presente resolución deberá notificarse a la</w:t>
      </w:r>
      <w:r w:rsidR="0072655F">
        <w:rPr>
          <w:rFonts w:ascii="Bookman Old Style" w:eastAsia="Times New Roman" w:hAnsi="Bookman Old Style" w:cs="Times New Roman"/>
          <w:sz w:val="24"/>
          <w:szCs w:val="24"/>
          <w:lang w:val="es-ES" w:eastAsia="es-ES"/>
        </w:rPr>
        <w:t>s</w:t>
      </w:r>
      <w:r w:rsidR="0081625F" w:rsidRPr="00C35B4C">
        <w:rPr>
          <w:rFonts w:ascii="Bookman Old Style" w:eastAsia="Times New Roman" w:hAnsi="Bookman Old Style" w:cs="Times New Roman"/>
          <w:sz w:val="24"/>
          <w:szCs w:val="24"/>
          <w:lang w:val="es-ES" w:eastAsia="es-ES"/>
        </w:rPr>
        <w:t xml:space="preserve"> empresa</w:t>
      </w:r>
      <w:r w:rsidR="00F1569C">
        <w:rPr>
          <w:rFonts w:ascii="Bookman Old Style" w:eastAsia="Times New Roman" w:hAnsi="Bookman Old Style" w:cs="Times New Roman"/>
          <w:sz w:val="24"/>
          <w:szCs w:val="24"/>
          <w:lang w:val="es-ES" w:eastAsia="es-ES"/>
        </w:rPr>
        <w:t>s</w:t>
      </w:r>
      <w:r w:rsidR="0081625F" w:rsidRPr="00C35B4C">
        <w:rPr>
          <w:rFonts w:ascii="Bookman Old Style" w:eastAsia="Times New Roman" w:hAnsi="Bookman Old Style" w:cs="Times New Roman"/>
          <w:sz w:val="24"/>
          <w:szCs w:val="24"/>
          <w:lang w:val="es-ES" w:eastAsia="es-ES"/>
        </w:rPr>
        <w:t xml:space="preserve"> </w:t>
      </w:r>
      <w:proofErr w:type="spellStart"/>
      <w:r w:rsidR="00CE1CAA" w:rsidRPr="00BD6A34">
        <w:rPr>
          <w:rFonts w:ascii="Bookman Old Style" w:eastAsia="Times New Roman" w:hAnsi="Bookman Old Style" w:cs="Times New Roman"/>
          <w:sz w:val="24"/>
          <w:szCs w:val="24"/>
          <w:lang w:val="es-ES" w:eastAsia="es-ES"/>
        </w:rPr>
        <w:t>Due</w:t>
      </w:r>
      <w:proofErr w:type="spellEnd"/>
      <w:r w:rsidR="00CE1CAA" w:rsidRPr="00BD6A34">
        <w:rPr>
          <w:rFonts w:ascii="Bookman Old Style" w:eastAsia="Times New Roman" w:hAnsi="Bookman Old Style" w:cs="Times New Roman"/>
          <w:sz w:val="24"/>
          <w:szCs w:val="24"/>
          <w:lang w:val="es-ES" w:eastAsia="es-ES"/>
        </w:rPr>
        <w:t xml:space="preserve"> Capital and </w:t>
      </w:r>
      <w:proofErr w:type="spellStart"/>
      <w:r w:rsidR="00CE1CAA" w:rsidRPr="00BD6A34">
        <w:rPr>
          <w:rFonts w:ascii="Bookman Old Style" w:eastAsia="Times New Roman" w:hAnsi="Bookman Old Style" w:cs="Times New Roman"/>
          <w:sz w:val="24"/>
          <w:szCs w:val="24"/>
          <w:lang w:val="es-ES" w:eastAsia="es-ES"/>
        </w:rPr>
        <w:t>Services</w:t>
      </w:r>
      <w:proofErr w:type="spellEnd"/>
      <w:r w:rsidR="00CE1CAA" w:rsidRPr="00BD6A34">
        <w:rPr>
          <w:rFonts w:ascii="Bookman Old Style" w:eastAsia="Times New Roman" w:hAnsi="Bookman Old Style" w:cs="Times New Roman"/>
          <w:sz w:val="24"/>
          <w:szCs w:val="24"/>
          <w:lang w:val="es-ES" w:eastAsia="es-ES"/>
        </w:rPr>
        <w:t xml:space="preserve"> S</w:t>
      </w:r>
      <w:r w:rsidR="005A05B9">
        <w:rPr>
          <w:rFonts w:ascii="Bookman Old Style" w:eastAsia="Times New Roman" w:hAnsi="Bookman Old Style" w:cs="Times New Roman"/>
          <w:sz w:val="24"/>
          <w:szCs w:val="24"/>
          <w:lang w:val="es-ES" w:eastAsia="es-ES"/>
        </w:rPr>
        <w:t>.</w:t>
      </w:r>
      <w:r w:rsidR="00CE1CAA" w:rsidRPr="00BD6A34">
        <w:rPr>
          <w:rFonts w:ascii="Bookman Old Style" w:eastAsia="Times New Roman" w:hAnsi="Bookman Old Style" w:cs="Times New Roman"/>
          <w:sz w:val="24"/>
          <w:szCs w:val="24"/>
          <w:lang w:val="es-ES" w:eastAsia="es-ES"/>
        </w:rPr>
        <w:t>A</w:t>
      </w:r>
      <w:r w:rsidR="005A05B9">
        <w:rPr>
          <w:rFonts w:ascii="Bookman Old Style" w:eastAsia="Times New Roman" w:hAnsi="Bookman Old Style" w:cs="Times New Roman"/>
          <w:sz w:val="24"/>
          <w:szCs w:val="24"/>
          <w:lang w:val="es-ES" w:eastAsia="es-ES"/>
        </w:rPr>
        <w:t>.</w:t>
      </w:r>
      <w:r w:rsidR="00CE1CAA" w:rsidRPr="00BD6A34">
        <w:rPr>
          <w:rFonts w:ascii="Bookman Old Style" w:eastAsia="Times New Roman" w:hAnsi="Bookman Old Style" w:cs="Times New Roman"/>
          <w:sz w:val="24"/>
          <w:szCs w:val="24"/>
          <w:lang w:val="es-ES" w:eastAsia="es-ES"/>
        </w:rPr>
        <w:t>S</w:t>
      </w:r>
      <w:r w:rsidR="005A05B9">
        <w:rPr>
          <w:rFonts w:ascii="Bookman Old Style" w:eastAsia="Times New Roman" w:hAnsi="Bookman Old Style" w:cs="Times New Roman"/>
          <w:sz w:val="24"/>
          <w:szCs w:val="24"/>
          <w:lang w:val="es-ES" w:eastAsia="es-ES"/>
        </w:rPr>
        <w:t>.</w:t>
      </w:r>
      <w:r w:rsidR="00CE1CAA" w:rsidRPr="00BD6A34">
        <w:rPr>
          <w:rFonts w:ascii="Bookman Old Style" w:eastAsia="Times New Roman" w:hAnsi="Bookman Old Style" w:cs="Times New Roman"/>
          <w:sz w:val="24"/>
          <w:szCs w:val="24"/>
          <w:lang w:val="es-ES" w:eastAsia="es-ES"/>
        </w:rPr>
        <w:t xml:space="preserve"> y GENSA S.A</w:t>
      </w:r>
      <w:r w:rsidR="005A05B9">
        <w:rPr>
          <w:rFonts w:ascii="Bookman Old Style" w:eastAsia="Times New Roman" w:hAnsi="Bookman Old Style" w:cs="Times New Roman"/>
          <w:sz w:val="24"/>
          <w:szCs w:val="24"/>
          <w:lang w:val="es-ES" w:eastAsia="es-ES"/>
        </w:rPr>
        <w:t>.</w:t>
      </w:r>
      <w:r w:rsidR="0081625F" w:rsidRPr="00BD6A34">
        <w:rPr>
          <w:rFonts w:ascii="Bookman Old Style" w:eastAsia="Times New Roman" w:hAnsi="Bookman Old Style" w:cs="Times New Roman"/>
          <w:sz w:val="24"/>
          <w:szCs w:val="24"/>
          <w:lang w:val="es-ES" w:eastAsia="es-ES"/>
        </w:rPr>
        <w:t xml:space="preserve"> E.S.P.</w:t>
      </w:r>
      <w:r w:rsidR="00502FF5" w:rsidRPr="00BD6A34">
        <w:rPr>
          <w:rFonts w:ascii="Bookman Old Style" w:eastAsia="Times New Roman" w:hAnsi="Bookman Old Style" w:cs="Times New Roman"/>
          <w:sz w:val="24"/>
          <w:szCs w:val="24"/>
          <w:lang w:val="es-ES" w:eastAsia="es-ES"/>
        </w:rPr>
        <w:t>,</w:t>
      </w:r>
      <w:r w:rsidR="00502FF5">
        <w:rPr>
          <w:rFonts w:ascii="Bookman Old Style" w:eastAsia="Times New Roman" w:hAnsi="Bookman Old Style" w:cs="Times New Roman"/>
          <w:sz w:val="24"/>
          <w:szCs w:val="24"/>
          <w:lang w:val="es-ES" w:eastAsia="es-ES"/>
        </w:rPr>
        <w:t xml:space="preserve"> c</w:t>
      </w:r>
      <w:r w:rsidR="0081625F" w:rsidRPr="00C35B4C">
        <w:rPr>
          <w:rFonts w:ascii="Bookman Old Style" w:eastAsia="Times New Roman" w:hAnsi="Bookman Old Style" w:cs="Times New Roman"/>
          <w:sz w:val="24"/>
          <w:szCs w:val="24"/>
          <w:lang w:val="es-ES" w:eastAsia="es-ES"/>
        </w:rPr>
        <w:t>ontra lo aquí dispuesto no procede recurso alguno por haber finalizado la actuación administrativa correspondiente a la presentación de recursos previsto en la Ley.</w:t>
      </w:r>
    </w:p>
    <w:p w14:paraId="1827589D" w14:textId="77777777" w:rsidR="0081625F" w:rsidRPr="00082D81" w:rsidRDefault="0081625F" w:rsidP="007F2AFE">
      <w:pPr>
        <w:spacing w:after="0" w:line="240" w:lineRule="auto"/>
        <w:ind w:right="-93"/>
        <w:contextualSpacing/>
        <w:jc w:val="center"/>
        <w:rPr>
          <w:rFonts w:ascii="Bookman Old Style" w:eastAsia="MS Mincho" w:hAnsi="Bookman Old Style" w:cs="Arial"/>
          <w:b/>
          <w:sz w:val="24"/>
          <w:szCs w:val="24"/>
          <w:lang w:val="es-ES" w:eastAsia="es-ES"/>
        </w:rPr>
      </w:pPr>
    </w:p>
    <w:p w14:paraId="387F4CF6" w14:textId="77777777" w:rsidR="0081625F" w:rsidRPr="00082D81" w:rsidRDefault="0081625F" w:rsidP="007F2AFE">
      <w:pPr>
        <w:spacing w:after="0" w:line="240" w:lineRule="auto"/>
        <w:ind w:right="-93"/>
        <w:contextualSpacing/>
        <w:jc w:val="center"/>
        <w:rPr>
          <w:rFonts w:ascii="Bookman Old Style" w:eastAsia="MS Mincho" w:hAnsi="Bookman Old Style" w:cs="Arial"/>
          <w:b/>
          <w:sz w:val="24"/>
          <w:szCs w:val="24"/>
          <w:lang w:val="es-ES" w:eastAsia="es-ES"/>
        </w:rPr>
      </w:pPr>
    </w:p>
    <w:p w14:paraId="06B84F9D" w14:textId="77777777" w:rsidR="0081625F" w:rsidRPr="00082D81" w:rsidRDefault="0081625F" w:rsidP="007F2AFE">
      <w:pPr>
        <w:spacing w:after="0" w:line="240" w:lineRule="auto"/>
        <w:contextualSpacing/>
        <w:jc w:val="center"/>
        <w:rPr>
          <w:rFonts w:ascii="Bookman Old Style" w:eastAsia="Times New Roman" w:hAnsi="Bookman Old Style" w:cs="Times New Roman"/>
          <w:b/>
          <w:sz w:val="24"/>
          <w:szCs w:val="24"/>
          <w:lang w:val="es-ES" w:eastAsia="es-ES"/>
        </w:rPr>
      </w:pPr>
      <w:r w:rsidRPr="00082D81">
        <w:rPr>
          <w:rFonts w:ascii="Bookman Old Style" w:eastAsia="Times New Roman" w:hAnsi="Bookman Old Style" w:cs="Times New Roman"/>
          <w:b/>
          <w:sz w:val="24"/>
          <w:szCs w:val="24"/>
          <w:lang w:val="es-ES" w:eastAsia="es-ES"/>
        </w:rPr>
        <w:t>NOTIFÍQUESE Y CÚMPLASE</w:t>
      </w:r>
    </w:p>
    <w:p w14:paraId="67D2F022" w14:textId="77777777" w:rsidR="0081625F" w:rsidRPr="00082D81" w:rsidRDefault="0081625F" w:rsidP="007F2AFE">
      <w:pPr>
        <w:spacing w:after="0" w:line="240" w:lineRule="auto"/>
        <w:contextualSpacing/>
        <w:rPr>
          <w:rFonts w:ascii="Bookman Old Style" w:eastAsia="Times New Roman" w:hAnsi="Bookman Old Style" w:cs="Times New Roman"/>
          <w:sz w:val="24"/>
          <w:szCs w:val="24"/>
          <w:lang w:val="es-ES" w:eastAsia="es-ES"/>
        </w:rPr>
      </w:pPr>
    </w:p>
    <w:p w14:paraId="225327BD" w14:textId="2394B3E3" w:rsidR="0081625F" w:rsidRPr="00082D81" w:rsidRDefault="0081625F" w:rsidP="007F2AFE">
      <w:pPr>
        <w:spacing w:after="0" w:line="240" w:lineRule="auto"/>
        <w:contextualSpacing/>
        <w:rPr>
          <w:rFonts w:ascii="Bookman Old Style" w:eastAsia="Times New Roman" w:hAnsi="Bookman Old Style" w:cs="Times New Roman"/>
          <w:sz w:val="24"/>
          <w:szCs w:val="24"/>
          <w:lang w:val="es-ES" w:eastAsia="es-ES"/>
        </w:rPr>
      </w:pPr>
      <w:r w:rsidRPr="00082D81">
        <w:rPr>
          <w:rFonts w:ascii="Bookman Old Style" w:eastAsia="Times New Roman" w:hAnsi="Bookman Old Style" w:cs="Times New Roman"/>
          <w:sz w:val="24"/>
          <w:szCs w:val="24"/>
          <w:lang w:val="es-ES" w:eastAsia="es-ES"/>
        </w:rPr>
        <w:t>Dada en Bogotá, D.C. a,</w:t>
      </w:r>
      <w:r w:rsidR="008D55B8">
        <w:rPr>
          <w:rFonts w:ascii="Bookman Old Style" w:eastAsia="Times New Roman" w:hAnsi="Bookman Old Style" w:cs="Times New Roman"/>
          <w:sz w:val="24"/>
          <w:szCs w:val="24"/>
          <w:lang w:val="es-ES" w:eastAsia="es-ES"/>
        </w:rPr>
        <w:t xml:space="preserve"> </w:t>
      </w:r>
      <w:r w:rsidR="00EF4F04" w:rsidRPr="00EF4F04">
        <w:rPr>
          <w:rFonts w:ascii="Bookman Old Style" w:eastAsia="Times New Roman" w:hAnsi="Bookman Old Style" w:cs="Times New Roman"/>
          <w:b/>
          <w:bCs/>
          <w:sz w:val="24"/>
          <w:szCs w:val="24"/>
          <w:lang w:val="es-ES" w:eastAsia="es-ES"/>
        </w:rPr>
        <w:t>19 OCT. 2020</w:t>
      </w:r>
    </w:p>
    <w:p w14:paraId="7A31D706" w14:textId="47807AA7" w:rsidR="0081625F" w:rsidRDefault="0081625F" w:rsidP="007F2AFE">
      <w:pPr>
        <w:spacing w:after="0" w:line="240" w:lineRule="auto"/>
        <w:contextualSpacing/>
        <w:rPr>
          <w:rFonts w:ascii="Bookman Old Style" w:eastAsia="Times New Roman" w:hAnsi="Bookman Old Style" w:cs="Times New Roman"/>
          <w:sz w:val="24"/>
          <w:szCs w:val="24"/>
          <w:lang w:val="es-ES" w:eastAsia="es-ES"/>
        </w:rPr>
      </w:pPr>
    </w:p>
    <w:p w14:paraId="26EE282B" w14:textId="1987C8BF" w:rsidR="000F4072" w:rsidRDefault="000F4072" w:rsidP="007F2AFE">
      <w:pPr>
        <w:spacing w:after="0" w:line="240" w:lineRule="auto"/>
        <w:contextualSpacing/>
        <w:rPr>
          <w:rFonts w:ascii="Bookman Old Style" w:eastAsia="Times New Roman" w:hAnsi="Bookman Old Style" w:cs="Times New Roman"/>
          <w:sz w:val="24"/>
          <w:szCs w:val="24"/>
          <w:lang w:val="es-ES" w:eastAsia="es-ES"/>
        </w:rPr>
      </w:pPr>
    </w:p>
    <w:p w14:paraId="7E7A019F" w14:textId="299D38AF" w:rsidR="000F4072" w:rsidRDefault="000F4072" w:rsidP="007F2AFE">
      <w:pPr>
        <w:spacing w:after="0" w:line="240" w:lineRule="auto"/>
        <w:contextualSpacing/>
        <w:rPr>
          <w:rFonts w:ascii="Bookman Old Style" w:eastAsia="Times New Roman" w:hAnsi="Bookman Old Style" w:cs="Times New Roman"/>
          <w:sz w:val="24"/>
          <w:szCs w:val="24"/>
          <w:lang w:val="es-ES" w:eastAsia="es-ES"/>
        </w:rPr>
      </w:pPr>
    </w:p>
    <w:p w14:paraId="6512F71D" w14:textId="77777777" w:rsidR="0081625F" w:rsidRPr="00082D81" w:rsidRDefault="0081625F" w:rsidP="007F2AFE">
      <w:pPr>
        <w:spacing w:after="0" w:line="240" w:lineRule="auto"/>
        <w:contextualSpacing/>
        <w:rPr>
          <w:rFonts w:ascii="Bookman Old Style" w:eastAsia="Times New Roman" w:hAnsi="Bookman Old Style" w:cs="Times New Roman"/>
          <w:sz w:val="24"/>
          <w:szCs w:val="24"/>
          <w:lang w:val="es-ES" w:eastAsia="es-ES"/>
        </w:rPr>
      </w:pPr>
    </w:p>
    <w:tbl>
      <w:tblPr>
        <w:tblW w:w="9645" w:type="dxa"/>
        <w:tblInd w:w="-147" w:type="dxa"/>
        <w:tblLayout w:type="fixed"/>
        <w:tblCellMar>
          <w:left w:w="0" w:type="dxa"/>
          <w:right w:w="0" w:type="dxa"/>
        </w:tblCellMar>
        <w:tblLook w:val="04A0" w:firstRow="1" w:lastRow="0" w:firstColumn="1" w:lastColumn="0" w:noHBand="0" w:noVBand="1"/>
      </w:tblPr>
      <w:tblGrid>
        <w:gridCol w:w="4683"/>
        <w:gridCol w:w="4962"/>
      </w:tblGrid>
      <w:tr w:rsidR="0081625F" w:rsidRPr="00082D81" w14:paraId="7D1CBA83" w14:textId="77777777" w:rsidTr="005A05B9">
        <w:tc>
          <w:tcPr>
            <w:tcW w:w="4683" w:type="dxa"/>
            <w:hideMark/>
          </w:tcPr>
          <w:p w14:paraId="239F1025" w14:textId="6C9FB6A6" w:rsidR="0081625F" w:rsidRPr="00082D8D" w:rsidRDefault="00414522" w:rsidP="007F2AFE">
            <w:pPr>
              <w:snapToGrid w:val="0"/>
              <w:spacing w:after="0" w:line="240" w:lineRule="auto"/>
              <w:contextualSpacing/>
              <w:jc w:val="center"/>
              <w:rPr>
                <w:rFonts w:ascii="Bookman Old Style" w:eastAsia="Times New Roman" w:hAnsi="Bookman Old Style" w:cs="Arial"/>
                <w:b/>
                <w:bCs/>
                <w:sz w:val="24"/>
                <w:szCs w:val="24"/>
                <w:lang w:val="es-ES" w:eastAsia="es-ES"/>
              </w:rPr>
            </w:pPr>
            <w:r>
              <w:rPr>
                <w:rFonts w:ascii="Bookman Old Style" w:eastAsia="Times New Roman" w:hAnsi="Bookman Old Style" w:cs="Arial"/>
                <w:b/>
                <w:bCs/>
                <w:sz w:val="24"/>
                <w:szCs w:val="24"/>
                <w:lang w:val="es-ES" w:eastAsia="es-ES"/>
              </w:rPr>
              <w:t>MIGUEL LOTERO ROBLEDO</w:t>
            </w:r>
          </w:p>
        </w:tc>
        <w:tc>
          <w:tcPr>
            <w:tcW w:w="4962" w:type="dxa"/>
            <w:hideMark/>
          </w:tcPr>
          <w:p w14:paraId="283B118B" w14:textId="77777777" w:rsidR="0081625F" w:rsidRPr="00082D81" w:rsidRDefault="00502FF5" w:rsidP="007F2AFE">
            <w:pPr>
              <w:snapToGrid w:val="0"/>
              <w:spacing w:after="0" w:line="240" w:lineRule="auto"/>
              <w:ind w:left="141"/>
              <w:contextualSpacing/>
              <w:jc w:val="center"/>
              <w:rPr>
                <w:rFonts w:ascii="Bookman Old Style" w:eastAsia="Times New Roman" w:hAnsi="Bookman Old Style" w:cs="Arial"/>
                <w:b/>
                <w:bCs/>
                <w:sz w:val="24"/>
                <w:szCs w:val="24"/>
                <w:lang w:val="es-ES" w:eastAsia="es-ES"/>
              </w:rPr>
            </w:pPr>
            <w:r>
              <w:rPr>
                <w:rFonts w:ascii="Bookman Old Style" w:eastAsia="Times New Roman" w:hAnsi="Bookman Old Style" w:cs="Arial"/>
                <w:b/>
                <w:bCs/>
                <w:sz w:val="24"/>
                <w:szCs w:val="24"/>
                <w:lang w:val="es-ES" w:eastAsia="es-ES"/>
              </w:rPr>
              <w:t>JORGE ALBERTO VALENCIA MARÍN</w:t>
            </w:r>
          </w:p>
        </w:tc>
      </w:tr>
      <w:tr w:rsidR="0081625F" w:rsidRPr="00082D81" w14:paraId="6DA3B2AC" w14:textId="77777777" w:rsidTr="005A05B9">
        <w:tc>
          <w:tcPr>
            <w:tcW w:w="4683" w:type="dxa"/>
            <w:hideMark/>
          </w:tcPr>
          <w:p w14:paraId="522C3C8F" w14:textId="5E45D35A" w:rsidR="0081625F" w:rsidRPr="00082D8D" w:rsidRDefault="006800DA" w:rsidP="007F2AFE">
            <w:pPr>
              <w:snapToGrid w:val="0"/>
              <w:spacing w:after="0" w:line="240" w:lineRule="auto"/>
              <w:contextualSpacing/>
              <w:jc w:val="center"/>
              <w:rPr>
                <w:rFonts w:ascii="Bookman Old Style" w:eastAsia="Times New Roman" w:hAnsi="Bookman Old Style" w:cs="Arial"/>
                <w:sz w:val="24"/>
                <w:szCs w:val="24"/>
                <w:lang w:val="es-ES" w:eastAsia="es-ES"/>
              </w:rPr>
            </w:pPr>
            <w:r w:rsidRPr="00082D8D">
              <w:rPr>
                <w:rFonts w:ascii="Bookman Old Style" w:eastAsia="Times New Roman" w:hAnsi="Bookman Old Style" w:cs="Arial"/>
                <w:sz w:val="24"/>
                <w:szCs w:val="24"/>
                <w:lang w:val="es-ES" w:eastAsia="es-ES"/>
              </w:rPr>
              <w:t>Viceministro de</w:t>
            </w:r>
            <w:r w:rsidR="0081625F" w:rsidRPr="00082D8D">
              <w:rPr>
                <w:rFonts w:ascii="Bookman Old Style" w:eastAsia="Times New Roman" w:hAnsi="Bookman Old Style" w:cs="Arial"/>
                <w:sz w:val="24"/>
                <w:szCs w:val="24"/>
                <w:lang w:val="es-ES" w:eastAsia="es-ES"/>
              </w:rPr>
              <w:t xml:space="preserve"> Energía</w:t>
            </w:r>
            <w:r w:rsidR="00EF4F04">
              <w:rPr>
                <w:rFonts w:ascii="Bookman Old Style" w:eastAsia="Times New Roman" w:hAnsi="Bookman Old Style" w:cs="Arial"/>
                <w:sz w:val="24"/>
                <w:szCs w:val="24"/>
                <w:lang w:val="es-ES" w:eastAsia="es-ES"/>
              </w:rPr>
              <w:t xml:space="preserve">, </w:t>
            </w:r>
            <w:proofErr w:type="gramStart"/>
            <w:r w:rsidR="00EF4F04">
              <w:rPr>
                <w:rFonts w:ascii="Bookman Old Style" w:eastAsia="Times New Roman" w:hAnsi="Bookman Old Style" w:cs="Arial"/>
                <w:sz w:val="24"/>
                <w:szCs w:val="24"/>
                <w:lang w:val="es-ES" w:eastAsia="es-ES"/>
              </w:rPr>
              <w:t>Delegado</w:t>
            </w:r>
            <w:proofErr w:type="gramEnd"/>
          </w:p>
          <w:p w14:paraId="061C154A" w14:textId="37C9FECF" w:rsidR="00082D8D" w:rsidRPr="00082D8D" w:rsidRDefault="00082D8D" w:rsidP="007F2AFE">
            <w:pPr>
              <w:snapToGrid w:val="0"/>
              <w:spacing w:after="0" w:line="240" w:lineRule="auto"/>
              <w:contextualSpacing/>
              <w:jc w:val="center"/>
              <w:rPr>
                <w:rFonts w:ascii="Bookman Old Style" w:eastAsia="Times New Roman" w:hAnsi="Bookman Old Style" w:cs="Arial"/>
                <w:sz w:val="24"/>
                <w:szCs w:val="24"/>
                <w:lang w:val="es-ES" w:eastAsia="es-ES"/>
              </w:rPr>
            </w:pPr>
            <w:r w:rsidRPr="00082D8D">
              <w:rPr>
                <w:rFonts w:ascii="Bookman Old Style" w:hAnsi="Bookman Old Style" w:cs="Arial"/>
                <w:spacing w:val="-3"/>
                <w:sz w:val="24"/>
                <w:szCs w:val="24"/>
              </w:rPr>
              <w:t>de</w:t>
            </w:r>
            <w:r w:rsidR="00414522">
              <w:rPr>
                <w:rFonts w:ascii="Bookman Old Style" w:hAnsi="Bookman Old Style" w:cs="Arial"/>
                <w:spacing w:val="-3"/>
                <w:sz w:val="24"/>
                <w:szCs w:val="24"/>
              </w:rPr>
              <w:t xml:space="preserve">l </w:t>
            </w:r>
            <w:proofErr w:type="gramStart"/>
            <w:r w:rsidRPr="00082D8D">
              <w:rPr>
                <w:rFonts w:ascii="Bookman Old Style" w:hAnsi="Bookman Old Style" w:cs="Arial"/>
                <w:spacing w:val="-3"/>
                <w:sz w:val="24"/>
                <w:szCs w:val="24"/>
              </w:rPr>
              <w:t>Ministr</w:t>
            </w:r>
            <w:r w:rsidR="00414522">
              <w:rPr>
                <w:rFonts w:ascii="Bookman Old Style" w:hAnsi="Bookman Old Style" w:cs="Arial"/>
                <w:spacing w:val="-3"/>
                <w:sz w:val="24"/>
                <w:szCs w:val="24"/>
              </w:rPr>
              <w:t>o</w:t>
            </w:r>
            <w:proofErr w:type="gramEnd"/>
            <w:r w:rsidRPr="00082D8D">
              <w:rPr>
                <w:rFonts w:ascii="Bookman Old Style" w:hAnsi="Bookman Old Style" w:cs="Arial"/>
                <w:spacing w:val="-3"/>
                <w:sz w:val="24"/>
                <w:szCs w:val="24"/>
              </w:rPr>
              <w:t xml:space="preserve"> de Minas y Energía</w:t>
            </w:r>
          </w:p>
          <w:p w14:paraId="7E697B77" w14:textId="77777777" w:rsidR="0081625F" w:rsidRPr="00082D8D" w:rsidRDefault="0081625F" w:rsidP="007F2AFE">
            <w:pPr>
              <w:snapToGrid w:val="0"/>
              <w:spacing w:after="0" w:line="240" w:lineRule="auto"/>
              <w:contextualSpacing/>
              <w:jc w:val="center"/>
              <w:rPr>
                <w:rFonts w:ascii="Bookman Old Style" w:eastAsia="Times New Roman" w:hAnsi="Bookman Old Style" w:cs="Arial"/>
                <w:sz w:val="24"/>
                <w:szCs w:val="24"/>
                <w:lang w:val="es-ES" w:eastAsia="es-ES"/>
              </w:rPr>
            </w:pPr>
            <w:r w:rsidRPr="00082D8D">
              <w:rPr>
                <w:rFonts w:ascii="Bookman Old Style" w:eastAsia="Times New Roman" w:hAnsi="Bookman Old Style" w:cs="Arial"/>
                <w:sz w:val="24"/>
                <w:szCs w:val="24"/>
                <w:lang w:val="es-ES" w:eastAsia="es-ES"/>
              </w:rPr>
              <w:t>Presidente</w:t>
            </w:r>
          </w:p>
        </w:tc>
        <w:tc>
          <w:tcPr>
            <w:tcW w:w="4962" w:type="dxa"/>
            <w:hideMark/>
          </w:tcPr>
          <w:p w14:paraId="2FB27E4A" w14:textId="77777777" w:rsidR="0081625F" w:rsidRPr="00082D81" w:rsidRDefault="0081625F" w:rsidP="007F2AFE">
            <w:pPr>
              <w:snapToGrid w:val="0"/>
              <w:spacing w:after="0" w:line="240" w:lineRule="auto"/>
              <w:ind w:left="567"/>
              <w:contextualSpacing/>
              <w:jc w:val="center"/>
              <w:rPr>
                <w:rFonts w:ascii="Bookman Old Style" w:eastAsia="Times New Roman" w:hAnsi="Bookman Old Style" w:cs="Arial"/>
                <w:sz w:val="24"/>
                <w:szCs w:val="24"/>
                <w:lang w:val="es-ES" w:eastAsia="es-ES"/>
              </w:rPr>
            </w:pPr>
            <w:r w:rsidRPr="00082D81">
              <w:rPr>
                <w:rFonts w:ascii="Bookman Old Style" w:eastAsia="Times New Roman" w:hAnsi="Bookman Old Style" w:cs="Arial"/>
                <w:sz w:val="24"/>
                <w:szCs w:val="24"/>
                <w:lang w:val="es-ES" w:eastAsia="es-ES"/>
              </w:rPr>
              <w:t>Director Ejecutivo</w:t>
            </w:r>
          </w:p>
        </w:tc>
      </w:tr>
    </w:tbl>
    <w:p w14:paraId="77724307" w14:textId="77777777" w:rsidR="0081625F" w:rsidRDefault="0081625F" w:rsidP="00EF4F04">
      <w:pPr>
        <w:spacing w:after="0" w:line="240" w:lineRule="auto"/>
        <w:ind w:right="-142"/>
        <w:contextualSpacing/>
        <w:jc w:val="both"/>
        <w:rPr>
          <w:rFonts w:ascii="Bookman Old Style" w:eastAsia="Times New Roman" w:hAnsi="Bookman Old Style" w:cs="Times New Roman"/>
          <w:sz w:val="24"/>
          <w:szCs w:val="24"/>
          <w:lang w:val="es-ES" w:eastAsia="es-ES"/>
        </w:rPr>
      </w:pPr>
      <w:bookmarkStart w:id="13" w:name="_GoBack"/>
      <w:bookmarkEnd w:id="13"/>
    </w:p>
    <w:sectPr w:rsidR="0081625F" w:rsidSect="005C1BCA">
      <w:headerReference w:type="default" r:id="rId40"/>
      <w:headerReference w:type="first" r:id="rId41"/>
      <w:pgSz w:w="12242" w:h="18722" w:code="123"/>
      <w:pgMar w:top="2341" w:right="1185" w:bottom="175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C9DE72" w14:textId="77777777" w:rsidR="00D97DDA" w:rsidRDefault="00D97DDA" w:rsidP="005C1BCA">
      <w:pPr>
        <w:spacing w:after="0" w:line="240" w:lineRule="auto"/>
      </w:pPr>
      <w:r>
        <w:separator/>
      </w:r>
    </w:p>
  </w:endnote>
  <w:endnote w:type="continuationSeparator" w:id="0">
    <w:p w14:paraId="1547FD13" w14:textId="77777777" w:rsidR="00D97DDA" w:rsidRDefault="00D97DDA" w:rsidP="005C1BCA">
      <w:pPr>
        <w:spacing w:after="0" w:line="240" w:lineRule="auto"/>
      </w:pPr>
      <w:r>
        <w:continuationSeparator/>
      </w:r>
    </w:p>
  </w:endnote>
  <w:endnote w:type="continuationNotice" w:id="1">
    <w:p w14:paraId="5F6CFE2A" w14:textId="77777777" w:rsidR="00D97DDA" w:rsidRDefault="00D97D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G Times">
    <w:altName w:val="Times New Roman"/>
    <w:charset w:val="00"/>
    <w:family w:val="roman"/>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BookmanOldStyle">
    <w:altName w:val="Calibri"/>
    <w:panose1 w:val="00000000000000000000"/>
    <w:charset w:val="00"/>
    <w:family w:val="auto"/>
    <w:notTrueType/>
    <w:pitch w:val="default"/>
    <w:sig w:usb0="00000003" w:usb1="00000000" w:usb2="00000000" w:usb3="00000000" w:csb0="00000001" w:csb1="00000000"/>
  </w:font>
  <w:font w:name="BookmanOldStyle-Bold">
    <w:altName w:val="Calibri"/>
    <w:panose1 w:val="00000000000000000000"/>
    <w:charset w:val="00"/>
    <w:family w:val="auto"/>
    <w:notTrueType/>
    <w:pitch w:val="default"/>
    <w:sig w:usb0="00000003" w:usb1="00000000" w:usb2="00000000" w:usb3="00000000" w:csb0="00000001" w:csb1="00000000"/>
  </w:font>
  <w:font w:name="BookmanOldStyle-Italic">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4CE99C" w14:textId="77777777" w:rsidR="00D97DDA" w:rsidRDefault="00D97DDA" w:rsidP="005C1BCA">
      <w:pPr>
        <w:spacing w:after="0" w:line="240" w:lineRule="auto"/>
      </w:pPr>
      <w:r>
        <w:separator/>
      </w:r>
    </w:p>
  </w:footnote>
  <w:footnote w:type="continuationSeparator" w:id="0">
    <w:p w14:paraId="5FDF3630" w14:textId="77777777" w:rsidR="00D97DDA" w:rsidRDefault="00D97DDA" w:rsidP="005C1BCA">
      <w:pPr>
        <w:spacing w:after="0" w:line="240" w:lineRule="auto"/>
      </w:pPr>
      <w:r>
        <w:continuationSeparator/>
      </w:r>
    </w:p>
  </w:footnote>
  <w:footnote w:type="continuationNotice" w:id="1">
    <w:p w14:paraId="4B3F9F7E" w14:textId="77777777" w:rsidR="00D97DDA" w:rsidRDefault="00D97DDA">
      <w:pPr>
        <w:spacing w:after="0" w:line="240" w:lineRule="auto"/>
      </w:pPr>
    </w:p>
  </w:footnote>
  <w:footnote w:id="2">
    <w:p w14:paraId="61316881" w14:textId="77777777" w:rsidR="000B5551" w:rsidRPr="00A45AAE" w:rsidRDefault="000B5551" w:rsidP="00A45AAE">
      <w:pPr>
        <w:pStyle w:val="Textonotapie"/>
        <w:ind w:left="0"/>
        <w:jc w:val="both"/>
        <w:rPr>
          <w:rFonts w:ascii="Bookman Old Style" w:hAnsi="Bookman Old Style" w:cs="Arial"/>
        </w:rPr>
      </w:pPr>
      <w:r w:rsidRPr="00A45AAE">
        <w:rPr>
          <w:rFonts w:ascii="Bookman Old Style" w:hAnsi="Bookman Old Style" w:cs="Arial"/>
        </w:rPr>
        <w:footnoteRef/>
      </w:r>
      <w:r w:rsidRPr="00A45AAE">
        <w:rPr>
          <w:rFonts w:ascii="Bookman Old Style" w:hAnsi="Bookman Old Style" w:cs="Arial"/>
        </w:rPr>
        <w:t xml:space="preserve"> “Artículo 77. Requisitos. Por regla general los recursos se interpondrán por escrito que no requiere de presentación personal si quien lo presenta ha sido reconocido en la actuación. Igualmente, podrán presentarse por medios electrónicos. Los recursos deberán reunir, además, los siguientes requisitos:</w:t>
      </w:r>
    </w:p>
    <w:p w14:paraId="3F82F43B" w14:textId="77777777" w:rsidR="000B5551" w:rsidRPr="00A45AAE" w:rsidRDefault="000B5551" w:rsidP="00A45AAE">
      <w:pPr>
        <w:pStyle w:val="Textonotapie"/>
        <w:ind w:left="0"/>
        <w:jc w:val="both"/>
        <w:rPr>
          <w:rFonts w:ascii="Bookman Old Style" w:hAnsi="Bookman Old Style" w:cs="Arial"/>
        </w:rPr>
      </w:pPr>
      <w:r w:rsidRPr="00A45AAE">
        <w:rPr>
          <w:rFonts w:ascii="Bookman Old Style" w:hAnsi="Bookman Old Style" w:cs="Arial"/>
        </w:rPr>
        <w:t>1. Interponerse dentro del plazo legal, por el interesado o su representante o apoderado debidamente constituido.</w:t>
      </w:r>
    </w:p>
    <w:p w14:paraId="1DE04D55" w14:textId="77777777" w:rsidR="000B5551" w:rsidRPr="00A45AAE" w:rsidRDefault="000B5551" w:rsidP="00A45AAE">
      <w:pPr>
        <w:pStyle w:val="Textonotapie"/>
        <w:ind w:left="0"/>
        <w:jc w:val="both"/>
        <w:rPr>
          <w:rFonts w:ascii="Bookman Old Style" w:hAnsi="Bookman Old Style" w:cs="Arial"/>
        </w:rPr>
      </w:pPr>
      <w:r w:rsidRPr="00A45AAE">
        <w:rPr>
          <w:rFonts w:ascii="Bookman Old Style" w:hAnsi="Bookman Old Style" w:cs="Arial"/>
        </w:rPr>
        <w:t>2. Sustentarse con expresión concreta de los motivos de inconformidad.</w:t>
      </w:r>
    </w:p>
    <w:p w14:paraId="41037DCF" w14:textId="77777777" w:rsidR="000B5551" w:rsidRPr="00A45AAE" w:rsidRDefault="000B5551" w:rsidP="00A45AAE">
      <w:pPr>
        <w:pStyle w:val="Textonotapie"/>
        <w:ind w:left="0"/>
        <w:jc w:val="both"/>
        <w:rPr>
          <w:rFonts w:ascii="Bookman Old Style" w:hAnsi="Bookman Old Style" w:cs="Arial"/>
        </w:rPr>
      </w:pPr>
      <w:r w:rsidRPr="00A45AAE">
        <w:rPr>
          <w:rFonts w:ascii="Bookman Old Style" w:hAnsi="Bookman Old Style" w:cs="Arial"/>
        </w:rPr>
        <w:t>3. Solicitar y aportar las pruebas que se pretende hacer valer.</w:t>
      </w:r>
    </w:p>
    <w:p w14:paraId="3DFE566D" w14:textId="77777777" w:rsidR="000B5551" w:rsidRPr="00A45AAE" w:rsidRDefault="000B5551" w:rsidP="00A45AAE">
      <w:pPr>
        <w:pStyle w:val="Textonotapie"/>
        <w:ind w:left="0"/>
        <w:jc w:val="both"/>
        <w:rPr>
          <w:rFonts w:ascii="Bookman Old Style" w:hAnsi="Bookman Old Style"/>
        </w:rPr>
      </w:pPr>
      <w:r w:rsidRPr="00A45AAE">
        <w:rPr>
          <w:rFonts w:ascii="Bookman Old Style" w:hAnsi="Bookman Old Style" w:cs="Arial"/>
        </w:rPr>
        <w:t>4. Indicar el nombre y la dirección del recurrente, así como la dirección electrónica si desea ser notificado por este medio. (…)”</w:t>
      </w:r>
    </w:p>
  </w:footnote>
  <w:footnote w:id="3">
    <w:p w14:paraId="25CCDE27" w14:textId="77777777" w:rsidR="000B5551" w:rsidRPr="00A45AAE" w:rsidRDefault="000B5551" w:rsidP="00A45AAE">
      <w:pPr>
        <w:pStyle w:val="Textonotapie"/>
        <w:ind w:left="0"/>
        <w:jc w:val="both"/>
        <w:rPr>
          <w:rFonts w:ascii="Bookman Old Style" w:hAnsi="Bookman Old Style" w:cs="Arial"/>
        </w:rPr>
      </w:pPr>
      <w:r w:rsidRPr="00A45AAE">
        <w:rPr>
          <w:rStyle w:val="Refdenotaalpie"/>
          <w:rFonts w:ascii="Bookman Old Style" w:hAnsi="Bookman Old Style" w:cs="Arial"/>
        </w:rPr>
        <w:footnoteRef/>
      </w:r>
      <w:r w:rsidRPr="00A45AAE">
        <w:rPr>
          <w:rFonts w:ascii="Bookman Old Style" w:hAnsi="Bookman Old Style" w:cs="Arial"/>
        </w:rPr>
        <w:t xml:space="preserve"> Resolución CREG 136-2019</w:t>
      </w:r>
    </w:p>
  </w:footnote>
  <w:footnote w:id="4">
    <w:p w14:paraId="3F7354B6" w14:textId="77777777" w:rsidR="000B5551" w:rsidRPr="00A45AAE" w:rsidRDefault="000B5551" w:rsidP="00A45AAE">
      <w:pPr>
        <w:pStyle w:val="Textonotapie"/>
        <w:ind w:left="0"/>
        <w:jc w:val="both"/>
        <w:rPr>
          <w:rFonts w:ascii="Bookman Old Style" w:hAnsi="Bookman Old Style" w:cs="Arial"/>
        </w:rPr>
      </w:pPr>
      <w:r w:rsidRPr="00A45AAE">
        <w:rPr>
          <w:rStyle w:val="Refdenotaalpie"/>
          <w:rFonts w:ascii="Bookman Old Style" w:hAnsi="Bookman Old Style" w:cs="Arial"/>
        </w:rPr>
        <w:footnoteRef/>
      </w:r>
      <w:r w:rsidRPr="00A45AAE">
        <w:rPr>
          <w:rFonts w:ascii="Bookman Old Style" w:hAnsi="Bookman Old Style" w:cs="Arial"/>
        </w:rPr>
        <w:t xml:space="preserve"> HORAS SOL PICO (HSP) Para facilitar el proceso de calculo en las instalaciones fotovoltaicas, se emplea un oncepto relacionado con la radicación solar, que simplifica el cálculo de las prestaciones energéticas de este tipo de instalaciones, son las “horas sol pico” (HSP). Se denomina HSP al número de horas diarias que, con una irradiancia solar ideal de 1000 W/m</w:t>
      </w:r>
      <w:r w:rsidRPr="00A45AAE">
        <w:rPr>
          <w:rFonts w:ascii="Bookman Old Style" w:hAnsi="Bookman Old Style" w:cs="Arial"/>
          <w:vertAlign w:val="superscript"/>
        </w:rPr>
        <w:t>2</w:t>
      </w:r>
      <w:r w:rsidRPr="00A45AAE">
        <w:rPr>
          <w:rFonts w:ascii="Bookman Old Style" w:hAnsi="Bookman Old Style" w:cs="Arial"/>
        </w:rPr>
        <w:t xml:space="preserve"> proporciona la misma irradiación solar total que la real de ese día</w:t>
      </w:r>
    </w:p>
  </w:footnote>
  <w:footnote w:id="5">
    <w:p w14:paraId="5763B39C" w14:textId="5EC94DD4" w:rsidR="000B5551" w:rsidRPr="00AE2B06" w:rsidRDefault="000B5551" w:rsidP="00CC4CCA">
      <w:pPr>
        <w:pStyle w:val="Textonotapie"/>
        <w:ind w:left="0"/>
        <w:rPr>
          <w:sz w:val="18"/>
          <w:szCs w:val="18"/>
          <w:lang w:val="es-MX"/>
        </w:rPr>
      </w:pPr>
      <w:r w:rsidRPr="00AE2B06">
        <w:rPr>
          <w:rStyle w:val="Refdenotaalpie"/>
          <w:sz w:val="18"/>
          <w:szCs w:val="18"/>
        </w:rPr>
        <w:footnoteRef/>
      </w:r>
      <w:r w:rsidRPr="00AE2B06">
        <w:rPr>
          <w:sz w:val="18"/>
          <w:szCs w:val="18"/>
        </w:rPr>
        <w:t xml:space="preserve"> </w:t>
      </w:r>
      <w:r w:rsidRPr="00AE2B06">
        <w:rPr>
          <w:rFonts w:ascii="Bookman Old Style" w:hAnsi="Bookman Old Style"/>
          <w:sz w:val="18"/>
          <w:szCs w:val="18"/>
          <w:lang w:val="es-MX"/>
        </w:rPr>
        <w:t>Radicados CREG E-2019-002423 y E-2019-004020.</w:t>
      </w:r>
    </w:p>
  </w:footnote>
  <w:footnote w:id="6">
    <w:p w14:paraId="1F09474F" w14:textId="4E746CEF" w:rsidR="000B5551" w:rsidRPr="00110CE0" w:rsidRDefault="000B5551" w:rsidP="00065A02">
      <w:pPr>
        <w:contextualSpacing/>
        <w:rPr>
          <w:rFonts w:ascii="Bookman Old Style" w:hAnsi="Bookman Old Style"/>
          <w:sz w:val="18"/>
          <w:szCs w:val="18"/>
        </w:rPr>
      </w:pPr>
      <w:r w:rsidRPr="00110CE0">
        <w:rPr>
          <w:rStyle w:val="Refdenotaalpie"/>
          <w:rFonts w:ascii="Bookman Old Style" w:hAnsi="Bookman Old Style"/>
          <w:sz w:val="18"/>
          <w:szCs w:val="18"/>
        </w:rPr>
        <w:footnoteRef/>
      </w:r>
      <w:r w:rsidRPr="00110CE0">
        <w:rPr>
          <w:rFonts w:ascii="Bookman Old Style" w:hAnsi="Bookman Old Style"/>
          <w:sz w:val="18"/>
          <w:szCs w:val="18"/>
        </w:rPr>
        <w:t xml:space="preserve"> </w:t>
      </w:r>
      <w:r w:rsidRPr="00110CE0">
        <w:rPr>
          <w:rFonts w:ascii="Bookman Old Style" w:eastAsia="Times New Roman" w:hAnsi="Bookman Old Style" w:cs="Arial"/>
          <w:sz w:val="18"/>
          <w:szCs w:val="18"/>
          <w:lang w:eastAsia="es-ES"/>
        </w:rPr>
        <w:t xml:space="preserve">Radicados CREG E-2019-002423; E-2019-004020; E-2019-005284. </w:t>
      </w:r>
    </w:p>
  </w:footnote>
  <w:footnote w:id="7">
    <w:p w14:paraId="4201662F" w14:textId="77777777" w:rsidR="000B5551" w:rsidRPr="00AA56E4" w:rsidRDefault="000B5551" w:rsidP="00065A02">
      <w:pPr>
        <w:pStyle w:val="Textonotapie"/>
        <w:ind w:left="0"/>
        <w:rPr>
          <w:lang w:val="es-CO"/>
        </w:rPr>
      </w:pPr>
      <w:r w:rsidRPr="00110CE0">
        <w:rPr>
          <w:rStyle w:val="Refdenotaalpie"/>
          <w:rFonts w:ascii="Bookman Old Style" w:hAnsi="Bookman Old Style"/>
          <w:sz w:val="18"/>
          <w:szCs w:val="18"/>
        </w:rPr>
        <w:footnoteRef/>
      </w:r>
      <w:r w:rsidRPr="00110CE0">
        <w:rPr>
          <w:rFonts w:ascii="Bookman Old Style" w:hAnsi="Bookman Old Style"/>
          <w:sz w:val="18"/>
          <w:szCs w:val="18"/>
        </w:rPr>
        <w:t xml:space="preserve">  </w:t>
      </w:r>
      <w:r w:rsidRPr="00110CE0">
        <w:rPr>
          <w:rFonts w:ascii="Bookman Old Style" w:hAnsi="Bookman Old Style" w:cs="Arial"/>
          <w:sz w:val="18"/>
          <w:szCs w:val="18"/>
        </w:rPr>
        <w:t>Radicado CREG E-2019-008549</w:t>
      </w:r>
    </w:p>
  </w:footnote>
  <w:footnote w:id="8">
    <w:p w14:paraId="4AB9F3AA" w14:textId="77777777" w:rsidR="000B5551" w:rsidRPr="00110CE0" w:rsidRDefault="000B5551" w:rsidP="009F7D5C">
      <w:pPr>
        <w:contextualSpacing/>
        <w:jc w:val="both"/>
        <w:rPr>
          <w:rFonts w:ascii="Bookman Old Style" w:eastAsia="Times New Roman" w:hAnsi="Bookman Old Style" w:cs="Arial"/>
          <w:color w:val="000000"/>
          <w:sz w:val="18"/>
          <w:szCs w:val="18"/>
          <w:lang w:val="es-MX" w:eastAsia="es-MX"/>
        </w:rPr>
      </w:pPr>
      <w:r w:rsidRPr="00110CE0">
        <w:rPr>
          <w:rStyle w:val="Refdenotaalpie"/>
          <w:rFonts w:ascii="Bookman Old Style" w:hAnsi="Bookman Old Style"/>
          <w:sz w:val="18"/>
          <w:szCs w:val="18"/>
        </w:rPr>
        <w:footnoteRef/>
      </w:r>
      <w:r w:rsidRPr="00110CE0">
        <w:rPr>
          <w:rFonts w:ascii="Bookman Old Style" w:hAnsi="Bookman Old Style"/>
          <w:sz w:val="18"/>
          <w:szCs w:val="18"/>
        </w:rPr>
        <w:t xml:space="preserve"> </w:t>
      </w:r>
      <w:r w:rsidRPr="00110CE0">
        <w:rPr>
          <w:rFonts w:ascii="Bookman Old Style" w:eastAsia="Times New Roman" w:hAnsi="Bookman Old Style" w:cs="Arial"/>
          <w:color w:val="000000"/>
          <w:sz w:val="18"/>
          <w:szCs w:val="18"/>
          <w:lang w:val="es-MX" w:eastAsia="es-MX"/>
        </w:rPr>
        <w:t xml:space="preserve">Consejo De Estado, Sentencia del 11 de agosto de 2016, Sala de lo Contencioso Administrativo Sección Primera, Consejero Ponente: Guillermo Vargas Ayala, Rad: 25000 23 41 000 2013 00855 01. </w:t>
      </w:r>
    </w:p>
    <w:p w14:paraId="5AC58B63" w14:textId="77777777" w:rsidR="000B5551" w:rsidRPr="001A0D80" w:rsidRDefault="000B5551" w:rsidP="00D1226F">
      <w:pPr>
        <w:pStyle w:val="Textonotapie"/>
        <w:rPr>
          <w:lang w:val="es-MX"/>
        </w:rPr>
      </w:pPr>
    </w:p>
  </w:footnote>
  <w:footnote w:id="9">
    <w:p w14:paraId="5B5A112E" w14:textId="5689A781" w:rsidR="000B5551" w:rsidRPr="00110CE0" w:rsidRDefault="000B5551" w:rsidP="00DA6774">
      <w:pPr>
        <w:shd w:val="clear" w:color="auto" w:fill="FFFFFF"/>
        <w:rPr>
          <w:rFonts w:ascii="Bookman Old Style" w:hAnsi="Bookman Old Style"/>
          <w:sz w:val="18"/>
          <w:szCs w:val="18"/>
          <w:lang w:val="es-MX"/>
        </w:rPr>
      </w:pPr>
      <w:r w:rsidRPr="00110CE0">
        <w:rPr>
          <w:rStyle w:val="Refdenotaalpie"/>
          <w:rFonts w:ascii="Bookman Old Style" w:hAnsi="Bookman Old Style"/>
          <w:sz w:val="18"/>
          <w:szCs w:val="18"/>
        </w:rPr>
        <w:footnoteRef/>
      </w:r>
      <w:r w:rsidRPr="00110CE0">
        <w:rPr>
          <w:rFonts w:ascii="Bookman Old Style" w:hAnsi="Bookman Old Style"/>
          <w:sz w:val="18"/>
          <w:szCs w:val="18"/>
        </w:rPr>
        <w:t xml:space="preserve"> Corte Constitucional, </w:t>
      </w:r>
      <w:r w:rsidRPr="00110CE0">
        <w:rPr>
          <w:rFonts w:ascii="Bookman Old Style" w:hAnsi="Bookman Old Style"/>
          <w:color w:val="2D2D2D"/>
          <w:sz w:val="18"/>
          <w:szCs w:val="18"/>
          <w:shd w:val="clear" w:color="auto" w:fill="FFFFFF"/>
          <w:lang w:val="pt-BR"/>
        </w:rPr>
        <w:t xml:space="preserve">Sentencia C-178 de 2014, Magistrada Ponente: </w:t>
      </w:r>
      <w:r w:rsidRPr="00110CE0">
        <w:rPr>
          <w:rFonts w:ascii="Bookman Old Style" w:eastAsia="Times New Roman" w:hAnsi="Bookman Old Style" w:cs="Times New Roman"/>
          <w:color w:val="2D2D2D"/>
          <w:sz w:val="18"/>
          <w:szCs w:val="18"/>
          <w:lang w:val="es-MX" w:eastAsia="es-MX"/>
        </w:rPr>
        <w:t xml:space="preserve">María Victoria Calle Correa. </w:t>
      </w:r>
    </w:p>
  </w:footnote>
  <w:footnote w:id="10">
    <w:p w14:paraId="2951FA2A" w14:textId="77777777" w:rsidR="000B5551" w:rsidRPr="009A26A1" w:rsidRDefault="000B5551" w:rsidP="00DA6774">
      <w:pPr>
        <w:pStyle w:val="Textonotapie"/>
        <w:ind w:left="0"/>
        <w:rPr>
          <w:lang w:val="es-MX"/>
        </w:rPr>
      </w:pPr>
      <w:r w:rsidRPr="009A26A1">
        <w:rPr>
          <w:rStyle w:val="Refdenotaalpie"/>
          <w:rFonts w:ascii="Bookman Old Style" w:hAnsi="Bookman Old Style"/>
          <w:sz w:val="18"/>
          <w:szCs w:val="18"/>
        </w:rPr>
        <w:footnoteRef/>
      </w:r>
      <w:r w:rsidRPr="009A26A1">
        <w:rPr>
          <w:rFonts w:ascii="Bookman Old Style" w:hAnsi="Bookman Old Style"/>
          <w:sz w:val="18"/>
          <w:szCs w:val="18"/>
        </w:rPr>
        <w:t xml:space="preserve"> Corte Constitucional, </w:t>
      </w:r>
      <w:r w:rsidRPr="009A26A1">
        <w:rPr>
          <w:rFonts w:ascii="Bookman Old Style" w:hAnsi="Bookman Old Style"/>
          <w:color w:val="2D2D2D"/>
          <w:sz w:val="18"/>
          <w:szCs w:val="18"/>
          <w:shd w:val="clear" w:color="auto" w:fill="FFFFFF"/>
          <w:lang w:val="pt-BR"/>
        </w:rPr>
        <w:t xml:space="preserve">Sentencia </w:t>
      </w:r>
      <w:r w:rsidRPr="009A26A1">
        <w:rPr>
          <w:rFonts w:ascii="Bookman Old Style" w:hAnsi="Bookman Old Style"/>
          <w:color w:val="2D2D2D"/>
          <w:sz w:val="18"/>
          <w:szCs w:val="18"/>
          <w:lang w:val="es-MX" w:eastAsia="es-MX"/>
        </w:rPr>
        <w:t>C-104 de 2016,</w:t>
      </w:r>
      <w:r w:rsidRPr="009A26A1">
        <w:rPr>
          <w:rFonts w:ascii="Bookman Old Style" w:hAnsi="Bookman Old Style"/>
          <w:color w:val="2D2D2D"/>
          <w:sz w:val="18"/>
          <w:szCs w:val="18"/>
          <w:shd w:val="clear" w:color="auto" w:fill="FFFFFF"/>
          <w:lang w:val="pt-BR"/>
        </w:rPr>
        <w:t xml:space="preserve"> </w:t>
      </w:r>
      <w:r w:rsidRPr="009A26A1">
        <w:rPr>
          <w:rFonts w:ascii="Bookman Old Style" w:hAnsi="Bookman Old Style"/>
          <w:sz w:val="18"/>
          <w:szCs w:val="18"/>
        </w:rPr>
        <w:t>M</w:t>
      </w:r>
      <w:r>
        <w:rPr>
          <w:rFonts w:ascii="Bookman Old Style" w:hAnsi="Bookman Old Style"/>
          <w:sz w:val="18"/>
          <w:szCs w:val="18"/>
        </w:rPr>
        <w:t xml:space="preserve">agistrado </w:t>
      </w:r>
      <w:r w:rsidRPr="009A26A1">
        <w:rPr>
          <w:rFonts w:ascii="Bookman Old Style" w:hAnsi="Bookman Old Style"/>
          <w:sz w:val="18"/>
          <w:szCs w:val="18"/>
        </w:rPr>
        <w:t>P</w:t>
      </w:r>
      <w:r>
        <w:rPr>
          <w:rFonts w:ascii="Bookman Old Style" w:hAnsi="Bookman Old Style"/>
          <w:sz w:val="18"/>
          <w:szCs w:val="18"/>
        </w:rPr>
        <w:t>onente:</w:t>
      </w:r>
      <w:r w:rsidRPr="009A26A1">
        <w:rPr>
          <w:rFonts w:ascii="Bookman Old Style" w:hAnsi="Bookman Old Style"/>
          <w:sz w:val="18"/>
          <w:szCs w:val="18"/>
        </w:rPr>
        <w:t xml:space="preserve"> Luis Guillermo Guerrero Pérez</w:t>
      </w:r>
      <w:r>
        <w:rPr>
          <w:rFonts w:ascii="Bookman Old Style" w:hAnsi="Bookman Old Style"/>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71600" w14:textId="77777777" w:rsidR="000B5551" w:rsidRDefault="000B5551" w:rsidP="001F2B83">
    <w:pPr>
      <w:pStyle w:val="Ttulo1"/>
      <w:ind w:right="6"/>
      <w:jc w:val="left"/>
      <w:rPr>
        <w:rFonts w:ascii="Bookman Old Style" w:hAnsi="Bookman Old Style" w:cs="Arial"/>
        <w:b w:val="0"/>
        <w:sz w:val="22"/>
        <w:szCs w:val="22"/>
      </w:rPr>
    </w:pPr>
  </w:p>
  <w:p w14:paraId="77040445" w14:textId="71C27E32" w:rsidR="000B5551" w:rsidRPr="00951F79" w:rsidRDefault="000B5551" w:rsidP="001F2B83">
    <w:pPr>
      <w:pStyle w:val="Ttulo1"/>
      <w:ind w:left="0" w:right="6"/>
      <w:jc w:val="left"/>
      <w:rPr>
        <w:rFonts w:ascii="Bookman Old Style" w:hAnsi="Bookman Old Style" w:cs="Arial"/>
        <w:b w:val="0"/>
        <w:sz w:val="22"/>
        <w:szCs w:val="22"/>
      </w:rPr>
    </w:pPr>
    <w:r w:rsidRPr="00654384">
      <w:rPr>
        <w:rFonts w:ascii="Bookman Old Style" w:hAnsi="Bookman Old Style" w:cs="Arial"/>
        <w:b w:val="0"/>
        <w:sz w:val="22"/>
        <w:szCs w:val="22"/>
      </w:rPr>
      <w:t>RESOLUCIÓN No</w:t>
    </w:r>
    <w:r w:rsidRPr="008D55B8">
      <w:rPr>
        <w:rFonts w:ascii="Bookman Old Style" w:hAnsi="Bookman Old Style" w:cs="Arial"/>
        <w:bCs/>
        <w:szCs w:val="24"/>
        <w:u w:val="single"/>
      </w:rPr>
      <w:t xml:space="preserve">.  </w:t>
    </w:r>
    <w:proofErr w:type="gramStart"/>
    <w:r w:rsidR="008D55B8" w:rsidRPr="008D55B8">
      <w:rPr>
        <w:rFonts w:ascii="Bookman Old Style" w:hAnsi="Bookman Old Style" w:cs="Arial"/>
        <w:bCs/>
        <w:szCs w:val="24"/>
        <w:u w:val="single"/>
      </w:rPr>
      <w:t>196</w:t>
    </w:r>
    <w:r w:rsidR="008D55B8">
      <w:rPr>
        <w:rFonts w:ascii="Bookman Old Style" w:hAnsi="Bookman Old Style" w:cs="Arial"/>
        <w:b w:val="0"/>
        <w:sz w:val="22"/>
        <w:szCs w:val="22"/>
      </w:rPr>
      <w:t xml:space="preserve">  </w:t>
    </w:r>
    <w:r w:rsidRPr="00654384">
      <w:rPr>
        <w:rFonts w:ascii="Bookman Old Style" w:hAnsi="Bookman Old Style" w:cs="Arial"/>
        <w:b w:val="0"/>
        <w:sz w:val="22"/>
        <w:szCs w:val="22"/>
      </w:rPr>
      <w:tab/>
    </w:r>
    <w:proofErr w:type="gramEnd"/>
    <w:r>
      <w:rPr>
        <w:rFonts w:ascii="Bookman Old Style" w:hAnsi="Bookman Old Style" w:cs="Arial"/>
        <w:b w:val="0"/>
        <w:sz w:val="22"/>
        <w:szCs w:val="22"/>
      </w:rPr>
      <w:t xml:space="preserve">DE </w:t>
    </w:r>
    <w:r w:rsidR="008D55B8">
      <w:rPr>
        <w:rFonts w:ascii="Bookman Old Style" w:hAnsi="Bookman Old Style" w:cs="Arial"/>
        <w:b w:val="0"/>
        <w:sz w:val="22"/>
        <w:szCs w:val="22"/>
      </w:rPr>
      <w:t xml:space="preserve"> </w:t>
    </w:r>
    <w:r w:rsidR="008D55B8" w:rsidRPr="008D55B8">
      <w:rPr>
        <w:rFonts w:ascii="Bookman Old Style" w:hAnsi="Bookman Old Style" w:cs="Arial"/>
        <w:bCs/>
        <w:szCs w:val="24"/>
        <w:u w:val="single"/>
      </w:rPr>
      <w:t>19 OCT. 2020</w:t>
    </w:r>
    <w:r w:rsidR="008D55B8">
      <w:rPr>
        <w:rFonts w:ascii="Bookman Old Style" w:hAnsi="Bookman Old Style" w:cs="Arial"/>
        <w:b w:val="0"/>
        <w:sz w:val="22"/>
        <w:szCs w:val="22"/>
      </w:rPr>
      <w:t xml:space="preserve"> </w:t>
    </w:r>
    <w:r>
      <w:rPr>
        <w:rFonts w:ascii="Bookman Old Style" w:hAnsi="Bookman Old Style" w:cs="Arial"/>
        <w:b w:val="0"/>
        <w:sz w:val="22"/>
        <w:szCs w:val="22"/>
      </w:rPr>
      <w:tab/>
    </w:r>
    <w:r w:rsidRPr="00654384">
      <w:rPr>
        <w:rFonts w:ascii="Bookman Old Style" w:hAnsi="Bookman Old Style" w:cs="Arial"/>
        <w:b w:val="0"/>
        <w:sz w:val="22"/>
        <w:szCs w:val="22"/>
      </w:rPr>
      <w:t xml:space="preserve">HOJA No. </w:t>
    </w:r>
    <w:r w:rsidRPr="00654384">
      <w:rPr>
        <w:rFonts w:ascii="Bookman Old Style" w:hAnsi="Bookman Old Style" w:cs="Arial"/>
        <w:b w:val="0"/>
        <w:sz w:val="22"/>
        <w:szCs w:val="22"/>
      </w:rPr>
      <w:fldChar w:fldCharType="begin"/>
    </w:r>
    <w:r w:rsidRPr="00654384">
      <w:rPr>
        <w:rFonts w:ascii="Bookman Old Style" w:hAnsi="Bookman Old Style" w:cs="Arial"/>
        <w:b w:val="0"/>
        <w:sz w:val="22"/>
        <w:szCs w:val="22"/>
      </w:rPr>
      <w:instrText xml:space="preserve"> PAGE   \* MERGEFORMAT </w:instrText>
    </w:r>
    <w:r w:rsidRPr="00654384">
      <w:rPr>
        <w:rFonts w:ascii="Bookman Old Style" w:hAnsi="Bookman Old Style" w:cs="Arial"/>
        <w:b w:val="0"/>
        <w:sz w:val="22"/>
        <w:szCs w:val="22"/>
      </w:rPr>
      <w:fldChar w:fldCharType="separate"/>
    </w:r>
    <w:r>
      <w:rPr>
        <w:rFonts w:ascii="Bookman Old Style" w:hAnsi="Bookman Old Style" w:cs="Arial"/>
        <w:b w:val="0"/>
        <w:noProof/>
        <w:sz w:val="22"/>
        <w:szCs w:val="22"/>
      </w:rPr>
      <w:t>18</w:t>
    </w:r>
    <w:r w:rsidRPr="00654384">
      <w:rPr>
        <w:rFonts w:ascii="Bookman Old Style" w:hAnsi="Bookman Old Style" w:cs="Arial"/>
        <w:b w:val="0"/>
        <w:sz w:val="22"/>
        <w:szCs w:val="22"/>
      </w:rPr>
      <w:fldChar w:fldCharType="end"/>
    </w:r>
    <w:r w:rsidRPr="00654384">
      <w:rPr>
        <w:rFonts w:ascii="Bookman Old Style" w:hAnsi="Bookman Old Style" w:cs="Arial"/>
        <w:b w:val="0"/>
        <w:sz w:val="22"/>
        <w:szCs w:val="22"/>
      </w:rPr>
      <w:t>/</w:t>
    </w:r>
    <w:r w:rsidR="00625C69">
      <w:fldChar w:fldCharType="begin"/>
    </w:r>
    <w:r w:rsidR="00625C69">
      <w:instrText xml:space="preserve"> NUMPAGES  \* MERGEFORMAT </w:instrText>
    </w:r>
    <w:r w:rsidR="00625C69">
      <w:fldChar w:fldCharType="separate"/>
    </w:r>
    <w:r w:rsidRPr="000A7270">
      <w:rPr>
        <w:rFonts w:ascii="Bookman Old Style" w:hAnsi="Bookman Old Style" w:cs="Arial"/>
        <w:b w:val="0"/>
        <w:noProof/>
        <w:sz w:val="22"/>
        <w:szCs w:val="22"/>
      </w:rPr>
      <w:t>18</w:t>
    </w:r>
    <w:r w:rsidR="00625C69">
      <w:rPr>
        <w:rFonts w:ascii="Bookman Old Style" w:hAnsi="Bookman Old Style" w:cs="Arial"/>
        <w:b w:val="0"/>
        <w:noProof/>
        <w:sz w:val="22"/>
        <w:szCs w:val="22"/>
      </w:rPr>
      <w:fldChar w:fldCharType="end"/>
    </w:r>
  </w:p>
  <w:p w14:paraId="7024B816" w14:textId="77777777" w:rsidR="000B5551" w:rsidRDefault="000B5551" w:rsidP="001F2B83">
    <w:pPr>
      <w:ind w:left="142" w:right="148"/>
      <w:rPr>
        <w:rFonts w:ascii="Bookman Old Style" w:hAnsi="Bookman Old Style" w:cs="Arial"/>
      </w:rPr>
    </w:pPr>
    <w:r>
      <w:rPr>
        <w:noProof/>
        <w:lang w:eastAsia="es-CO"/>
      </w:rPr>
      <mc:AlternateContent>
        <mc:Choice Requires="wps">
          <w:drawing>
            <wp:anchor distT="0" distB="0" distL="114300" distR="114300" simplePos="0" relativeHeight="251658240" behindDoc="0" locked="0" layoutInCell="1" allowOverlap="1" wp14:anchorId="5D1DA662" wp14:editId="5584D9D6">
              <wp:simplePos x="0" y="0"/>
              <wp:positionH relativeFrom="column">
                <wp:posOffset>-175260</wp:posOffset>
              </wp:positionH>
              <wp:positionV relativeFrom="paragraph">
                <wp:posOffset>139065</wp:posOffset>
              </wp:positionV>
              <wp:extent cx="6267450" cy="9900920"/>
              <wp:effectExtent l="15240" t="15240" r="13335" b="18415"/>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99009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7FFA0FFD" id="Rectangle 1" o:spid="_x0000_s1026" style="position:absolute;margin-left:-13.8pt;margin-top:10.95pt;width:493.5pt;height:77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" filled="f" strokeweight="1.5pt"/>
          </w:pict>
        </mc:Fallback>
      </mc:AlternateContent>
    </w:r>
  </w:p>
  <w:p w14:paraId="47DE12FC" w14:textId="45DD9B33" w:rsidR="000B5551" w:rsidRPr="00FE26C8" w:rsidRDefault="000B5551" w:rsidP="009F6B95">
    <w:pPr>
      <w:pBdr>
        <w:bottom w:val="single" w:sz="4" w:space="1" w:color="auto"/>
      </w:pBdr>
      <w:spacing w:after="0" w:line="240" w:lineRule="auto"/>
      <w:ind w:right="147"/>
      <w:jc w:val="both"/>
      <w:rPr>
        <w:b/>
        <w:sz w:val="10"/>
        <w:szCs w:val="10"/>
        <w:lang w:val="es-ES"/>
      </w:rPr>
    </w:pPr>
    <w:r w:rsidRPr="009F6B95">
      <w:rPr>
        <w:rFonts w:ascii="Bookman Old Style" w:eastAsia="Times New Roman" w:hAnsi="Bookman Old Style" w:cs="Times New Roman"/>
        <w:lang w:val="es-ES" w:eastAsia="es-ES"/>
      </w:rPr>
      <w:t xml:space="preserve">Por la cual se resuelve el recurso de reposición interpuesto por </w:t>
    </w:r>
    <w:proofErr w:type="spellStart"/>
    <w:r w:rsidRPr="009F6B95">
      <w:rPr>
        <w:rFonts w:ascii="Bookman Old Style" w:eastAsia="Times New Roman" w:hAnsi="Bookman Old Style" w:cs="Times New Roman"/>
        <w:lang w:val="es-ES" w:eastAsia="es-ES"/>
      </w:rPr>
      <w:t>Due</w:t>
    </w:r>
    <w:proofErr w:type="spellEnd"/>
    <w:r w:rsidRPr="009F6B95">
      <w:rPr>
        <w:rFonts w:ascii="Bookman Old Style" w:eastAsia="Times New Roman" w:hAnsi="Bookman Old Style" w:cs="Times New Roman"/>
        <w:lang w:val="es-ES" w:eastAsia="es-ES"/>
      </w:rPr>
      <w:t xml:space="preserve"> Capital &amp; </w:t>
    </w:r>
    <w:proofErr w:type="spellStart"/>
    <w:r w:rsidRPr="009F6B95">
      <w:rPr>
        <w:rFonts w:ascii="Bookman Old Style" w:eastAsia="Times New Roman" w:hAnsi="Bookman Old Style" w:cs="Times New Roman"/>
        <w:lang w:val="es-ES" w:eastAsia="es-ES"/>
      </w:rPr>
      <w:t>Services</w:t>
    </w:r>
    <w:proofErr w:type="spellEnd"/>
    <w:r w:rsidRPr="009F6B95">
      <w:rPr>
        <w:rFonts w:ascii="Bookman Old Style" w:eastAsia="Times New Roman" w:hAnsi="Bookman Old Style" w:cs="Times New Roman"/>
        <w:lang w:val="es-ES" w:eastAsia="es-ES"/>
      </w:rPr>
      <w:t xml:space="preserve"> S.A.S contra la Resolución CREG 124</w:t>
    </w:r>
    <w:r>
      <w:rPr>
        <w:rFonts w:ascii="Bookman Old Style" w:eastAsia="Times New Roman" w:hAnsi="Bookman Old Style" w:cs="Times New Roman"/>
        <w:lang w:val="es-ES" w:eastAsia="es-ES"/>
      </w:rPr>
      <w:t xml:space="preserve"> de 2020.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260A9" w14:textId="77777777" w:rsidR="000B5551" w:rsidRDefault="000B5551" w:rsidP="001F2B83">
    <w:pPr>
      <w:pStyle w:val="Encabezado"/>
      <w:jc w:val="both"/>
      <w:rPr>
        <w:rFonts w:ascii="Arial" w:hAnsi="Arial" w:cs="Arial"/>
        <w:spacing w:val="20"/>
        <w:sz w:val="20"/>
      </w:rPr>
    </w:pPr>
    <w:r>
      <w:rPr>
        <w:rFonts w:ascii="Arial" w:hAnsi="Arial" w:cs="Arial"/>
        <w:spacing w:val="20"/>
        <w:sz w:val="20"/>
      </w:rPr>
      <w:t xml:space="preserve">                                   República de Colombia</w:t>
    </w:r>
  </w:p>
  <w:p w14:paraId="06430F69" w14:textId="77777777" w:rsidR="000B5551" w:rsidRDefault="000B5551">
    <w:pPr>
      <w:pStyle w:val="Encabezado"/>
      <w:jc w:val="center"/>
      <w:rPr>
        <w:rFonts w:ascii="Arial" w:hAnsi="Arial" w:cs="Arial"/>
        <w:spacing w:val="20"/>
        <w:sz w:val="20"/>
      </w:rPr>
    </w:pPr>
  </w:p>
  <w:p w14:paraId="55B2E4B8" w14:textId="77777777" w:rsidR="000B5551" w:rsidRDefault="000B5551" w:rsidP="001F2B83">
    <w:pPr>
      <w:pStyle w:val="Encabezado"/>
      <w:jc w:val="center"/>
    </w:pPr>
    <w:r>
      <w:rPr>
        <w:rFonts w:ascii="Arial" w:hAnsi="Arial" w:cs="Arial"/>
        <w:noProof/>
        <w:spacing w:val="20"/>
        <w:sz w:val="20"/>
        <w:lang w:eastAsia="es-CO"/>
      </w:rPr>
      <mc:AlternateContent>
        <mc:Choice Requires="wps">
          <w:drawing>
            <wp:anchor distT="0" distB="0" distL="114300" distR="114300" simplePos="0" relativeHeight="251658241" behindDoc="0" locked="0" layoutInCell="1" allowOverlap="1" wp14:anchorId="64A5D795" wp14:editId="494C5E19">
              <wp:simplePos x="0" y="0"/>
              <wp:positionH relativeFrom="column">
                <wp:posOffset>-213360</wp:posOffset>
              </wp:positionH>
              <wp:positionV relativeFrom="paragraph">
                <wp:posOffset>377190</wp:posOffset>
              </wp:positionV>
              <wp:extent cx="6343650" cy="9839325"/>
              <wp:effectExtent l="15240" t="15240" r="13335" b="1333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98393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30EB29BA" id="Rectangle 2" o:spid="_x0000_s1026" style="position:absolute;margin-left:-16.8pt;margin-top:29.7pt;width:499.5pt;height:774.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" filled="f"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13"/>
    <w:lvl w:ilvl="0">
      <w:start w:val="1"/>
      <w:numFmt w:val="decimal"/>
      <w:lvlText w:val="%1."/>
      <w:lvlJc w:val="left"/>
      <w:pPr>
        <w:tabs>
          <w:tab w:val="num" w:pos="0"/>
        </w:tabs>
        <w:ind w:left="720" w:hanging="360"/>
      </w:pPr>
    </w:lvl>
  </w:abstractNum>
  <w:abstractNum w:abstractNumId="1" w15:restartNumberingAfterBreak="0">
    <w:nsid w:val="00000003"/>
    <w:multiLevelType w:val="multilevel"/>
    <w:tmpl w:val="00000002"/>
    <w:lvl w:ilvl="0">
      <w:start w:val="4"/>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1">
      <w:start w:val="4"/>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2">
      <w:start w:val="4"/>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3">
      <w:start w:val="4"/>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4">
      <w:start w:val="4"/>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5">
      <w:start w:val="4"/>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6">
      <w:start w:val="4"/>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7">
      <w:start w:val="4"/>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8">
      <w:start w:val="4"/>
      <w:numFmt w:val="decimal"/>
      <w:lvlText w:val="%1."/>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2" w15:restartNumberingAfterBreak="0">
    <w:nsid w:val="0000000F"/>
    <w:multiLevelType w:val="singleLevel"/>
    <w:tmpl w:val="0000000F"/>
    <w:name w:val="WW8Num21"/>
    <w:lvl w:ilvl="0">
      <w:numFmt w:val="bullet"/>
      <w:lvlText w:val="-"/>
      <w:lvlJc w:val="left"/>
      <w:pPr>
        <w:tabs>
          <w:tab w:val="num" w:pos="720"/>
        </w:tabs>
      </w:pPr>
      <w:rPr>
        <w:rFonts w:ascii="Times New Roman" w:hAnsi="Times New Roman" w:cs="Times New Roman"/>
      </w:rPr>
    </w:lvl>
  </w:abstractNum>
  <w:abstractNum w:abstractNumId="3" w15:restartNumberingAfterBreak="0">
    <w:nsid w:val="0000001F"/>
    <w:multiLevelType w:val="multilevel"/>
    <w:tmpl w:val="0000001F"/>
    <w:name w:val="WW8StyleNum"/>
    <w:lvl w:ilvl="0">
      <w:start w:val="1"/>
      <w:numFmt w:val="lowerLetter"/>
      <w:pStyle w:val="Vietaletra"/>
      <w:lvlText w:val="%1)"/>
      <w:lvlJc w:val="left"/>
      <w:pPr>
        <w:tabs>
          <w:tab w:val="num" w:pos="36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4" w15:restartNumberingAfterBreak="0">
    <w:nsid w:val="07FC7898"/>
    <w:multiLevelType w:val="hybridMultilevel"/>
    <w:tmpl w:val="50AE751C"/>
    <w:lvl w:ilvl="0" w:tplc="5A1437C8">
      <w:start w:val="1"/>
      <w:numFmt w:val="decimal"/>
      <w:lvlText w:val="%1."/>
      <w:lvlJc w:val="left"/>
      <w:pPr>
        <w:ind w:left="1482" w:hanging="915"/>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5" w15:restartNumberingAfterBreak="0">
    <w:nsid w:val="0CA705AE"/>
    <w:multiLevelType w:val="hybridMultilevel"/>
    <w:tmpl w:val="1FB028B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6" w15:restartNumberingAfterBreak="0">
    <w:nsid w:val="15255C7C"/>
    <w:multiLevelType w:val="hybridMultilevel"/>
    <w:tmpl w:val="85CAF93A"/>
    <w:lvl w:ilvl="0" w:tplc="4FE8D54E">
      <w:start w:val="1"/>
      <w:numFmt w:val="lowerLetter"/>
      <w:lvlText w:val="%1."/>
      <w:lvlJc w:val="left"/>
      <w:pPr>
        <w:ind w:left="1494" w:hanging="360"/>
      </w:pPr>
      <w:rPr>
        <w:rFonts w:hint="default"/>
      </w:r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7" w15:restartNumberingAfterBreak="0">
    <w:nsid w:val="16AB4194"/>
    <w:multiLevelType w:val="hybridMultilevel"/>
    <w:tmpl w:val="07442F84"/>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8" w15:restartNumberingAfterBreak="0">
    <w:nsid w:val="207D1AB6"/>
    <w:multiLevelType w:val="hybridMultilevel"/>
    <w:tmpl w:val="C144BE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0AA4908"/>
    <w:multiLevelType w:val="hybridMultilevel"/>
    <w:tmpl w:val="0E9A9552"/>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3A949DF"/>
    <w:multiLevelType w:val="hybridMultilevel"/>
    <w:tmpl w:val="B106DE6A"/>
    <w:lvl w:ilvl="0" w:tplc="D3A6263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53632F5"/>
    <w:multiLevelType w:val="hybridMultilevel"/>
    <w:tmpl w:val="2F6477C0"/>
    <w:lvl w:ilvl="0" w:tplc="240A0001">
      <w:start w:val="1"/>
      <w:numFmt w:val="bullet"/>
      <w:lvlText w:val=""/>
      <w:lvlJc w:val="left"/>
      <w:pPr>
        <w:ind w:left="1287" w:hanging="360"/>
      </w:pPr>
      <w:rPr>
        <w:rFonts w:ascii="Symbol" w:hAnsi="Symbol" w:hint="default"/>
      </w:rPr>
    </w:lvl>
    <w:lvl w:ilvl="1" w:tplc="62CA57BC">
      <w:start w:val="2"/>
      <w:numFmt w:val="bullet"/>
      <w:lvlText w:val="•"/>
      <w:lvlJc w:val="left"/>
      <w:pPr>
        <w:ind w:left="2007" w:hanging="360"/>
      </w:pPr>
      <w:rPr>
        <w:rFonts w:ascii="Bookman Old Style" w:eastAsia="Times New Roman" w:hAnsi="Bookman Old Style" w:cs="Times New Roman"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2" w15:restartNumberingAfterBreak="0">
    <w:nsid w:val="2A8572C8"/>
    <w:multiLevelType w:val="hybridMultilevel"/>
    <w:tmpl w:val="DDBAB26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3BE4019"/>
    <w:multiLevelType w:val="hybridMultilevel"/>
    <w:tmpl w:val="6F28B22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416806C5"/>
    <w:multiLevelType w:val="hybridMultilevel"/>
    <w:tmpl w:val="CB9E25D0"/>
    <w:lvl w:ilvl="0" w:tplc="240A0003">
      <w:start w:val="1"/>
      <w:numFmt w:val="bullet"/>
      <w:lvlText w:val="o"/>
      <w:lvlJc w:val="left"/>
      <w:pPr>
        <w:ind w:left="1287" w:hanging="360"/>
      </w:pPr>
      <w:rPr>
        <w:rFonts w:ascii="Courier New" w:hAnsi="Courier New" w:cs="Courier New"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5" w15:restartNumberingAfterBreak="0">
    <w:nsid w:val="43A42A76"/>
    <w:multiLevelType w:val="hybridMultilevel"/>
    <w:tmpl w:val="3A8C89B4"/>
    <w:lvl w:ilvl="0" w:tplc="578062C2">
      <w:start w:val="1"/>
      <w:numFmt w:val="decimal"/>
      <w:lvlText w:val="%1."/>
      <w:lvlJc w:val="left"/>
      <w:pPr>
        <w:ind w:left="785" w:hanging="360"/>
      </w:pPr>
      <w:rPr>
        <w:rFonts w:hint="default"/>
      </w:rPr>
    </w:lvl>
    <w:lvl w:ilvl="1" w:tplc="240A0019" w:tentative="1">
      <w:start w:val="1"/>
      <w:numFmt w:val="lowerLetter"/>
      <w:lvlText w:val="%2."/>
      <w:lvlJc w:val="left"/>
      <w:pPr>
        <w:ind w:left="1298" w:hanging="360"/>
      </w:pPr>
    </w:lvl>
    <w:lvl w:ilvl="2" w:tplc="240A001B" w:tentative="1">
      <w:start w:val="1"/>
      <w:numFmt w:val="lowerRoman"/>
      <w:lvlText w:val="%3."/>
      <w:lvlJc w:val="right"/>
      <w:pPr>
        <w:ind w:left="2018" w:hanging="180"/>
      </w:pPr>
    </w:lvl>
    <w:lvl w:ilvl="3" w:tplc="240A000F" w:tentative="1">
      <w:start w:val="1"/>
      <w:numFmt w:val="decimal"/>
      <w:lvlText w:val="%4."/>
      <w:lvlJc w:val="left"/>
      <w:pPr>
        <w:ind w:left="2738" w:hanging="360"/>
      </w:pPr>
    </w:lvl>
    <w:lvl w:ilvl="4" w:tplc="240A0019" w:tentative="1">
      <w:start w:val="1"/>
      <w:numFmt w:val="lowerLetter"/>
      <w:lvlText w:val="%5."/>
      <w:lvlJc w:val="left"/>
      <w:pPr>
        <w:ind w:left="3458" w:hanging="360"/>
      </w:pPr>
    </w:lvl>
    <w:lvl w:ilvl="5" w:tplc="240A001B" w:tentative="1">
      <w:start w:val="1"/>
      <w:numFmt w:val="lowerRoman"/>
      <w:lvlText w:val="%6."/>
      <w:lvlJc w:val="right"/>
      <w:pPr>
        <w:ind w:left="4178" w:hanging="180"/>
      </w:pPr>
    </w:lvl>
    <w:lvl w:ilvl="6" w:tplc="240A000F" w:tentative="1">
      <w:start w:val="1"/>
      <w:numFmt w:val="decimal"/>
      <w:lvlText w:val="%7."/>
      <w:lvlJc w:val="left"/>
      <w:pPr>
        <w:ind w:left="4898" w:hanging="360"/>
      </w:pPr>
    </w:lvl>
    <w:lvl w:ilvl="7" w:tplc="240A0019" w:tentative="1">
      <w:start w:val="1"/>
      <w:numFmt w:val="lowerLetter"/>
      <w:lvlText w:val="%8."/>
      <w:lvlJc w:val="left"/>
      <w:pPr>
        <w:ind w:left="5618" w:hanging="360"/>
      </w:pPr>
    </w:lvl>
    <w:lvl w:ilvl="8" w:tplc="240A001B" w:tentative="1">
      <w:start w:val="1"/>
      <w:numFmt w:val="lowerRoman"/>
      <w:lvlText w:val="%9."/>
      <w:lvlJc w:val="right"/>
      <w:pPr>
        <w:ind w:left="6338" w:hanging="180"/>
      </w:pPr>
    </w:lvl>
  </w:abstractNum>
  <w:abstractNum w:abstractNumId="16" w15:restartNumberingAfterBreak="0">
    <w:nsid w:val="444D1306"/>
    <w:multiLevelType w:val="hybridMultilevel"/>
    <w:tmpl w:val="0ACC71A8"/>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7" w15:restartNumberingAfterBreak="0">
    <w:nsid w:val="45FC18E6"/>
    <w:multiLevelType w:val="hybridMultilevel"/>
    <w:tmpl w:val="E800FE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64C172F"/>
    <w:multiLevelType w:val="hybridMultilevel"/>
    <w:tmpl w:val="1E16A0A6"/>
    <w:lvl w:ilvl="0" w:tplc="49C8E0E4">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9" w15:restartNumberingAfterBreak="0">
    <w:nsid w:val="495F045C"/>
    <w:multiLevelType w:val="hybridMultilevel"/>
    <w:tmpl w:val="B4F823AA"/>
    <w:lvl w:ilvl="0" w:tplc="E9446AB2">
      <w:start w:val="1"/>
      <w:numFmt w:val="upperRoman"/>
      <w:lvlText w:val="%1."/>
      <w:lvlJc w:val="left"/>
      <w:pPr>
        <w:ind w:left="578" w:hanging="72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20" w15:restartNumberingAfterBreak="0">
    <w:nsid w:val="4B025714"/>
    <w:multiLevelType w:val="hybridMultilevel"/>
    <w:tmpl w:val="5EC05C32"/>
    <w:lvl w:ilvl="0" w:tplc="D51AC58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62E7730"/>
    <w:multiLevelType w:val="hybridMultilevel"/>
    <w:tmpl w:val="7668E7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A68234E"/>
    <w:multiLevelType w:val="hybridMultilevel"/>
    <w:tmpl w:val="665C763A"/>
    <w:lvl w:ilvl="0" w:tplc="240A000F">
      <w:start w:val="1"/>
      <w:numFmt w:val="decimal"/>
      <w:lvlText w:val="%1."/>
      <w:lvlJc w:val="left"/>
      <w:pPr>
        <w:ind w:left="1287" w:hanging="360"/>
      </w:p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23" w15:restartNumberingAfterBreak="0">
    <w:nsid w:val="5AFA7DC4"/>
    <w:multiLevelType w:val="hybridMultilevel"/>
    <w:tmpl w:val="4B5A5372"/>
    <w:lvl w:ilvl="0" w:tplc="240A0001">
      <w:start w:val="1"/>
      <w:numFmt w:val="bullet"/>
      <w:lvlText w:val=""/>
      <w:lvlJc w:val="left"/>
      <w:pPr>
        <w:ind w:left="578" w:hanging="360"/>
      </w:pPr>
      <w:rPr>
        <w:rFonts w:ascii="Symbol" w:hAnsi="Symbol" w:hint="default"/>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24" w15:restartNumberingAfterBreak="0">
    <w:nsid w:val="5B825F1B"/>
    <w:multiLevelType w:val="hybridMultilevel"/>
    <w:tmpl w:val="A5DEC314"/>
    <w:lvl w:ilvl="0" w:tplc="A874DB0C">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25" w15:restartNumberingAfterBreak="0">
    <w:nsid w:val="5C8D61E7"/>
    <w:multiLevelType w:val="hybridMultilevel"/>
    <w:tmpl w:val="386AAC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CB72A0A"/>
    <w:multiLevelType w:val="hybridMultilevel"/>
    <w:tmpl w:val="A546FDF6"/>
    <w:lvl w:ilvl="0" w:tplc="4FE8D54E">
      <w:start w:val="1"/>
      <w:numFmt w:val="lowerLetter"/>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27" w15:restartNumberingAfterBreak="0">
    <w:nsid w:val="5CFF68EF"/>
    <w:multiLevelType w:val="hybridMultilevel"/>
    <w:tmpl w:val="BB5A0A5C"/>
    <w:lvl w:ilvl="0" w:tplc="240A000F">
      <w:start w:val="1"/>
      <w:numFmt w:val="decimal"/>
      <w:lvlText w:val="%1."/>
      <w:lvlJc w:val="left"/>
      <w:pPr>
        <w:ind w:left="1494" w:hanging="360"/>
      </w:pPr>
      <w:rPr>
        <w:rFonts w:hint="default"/>
      </w:r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28" w15:restartNumberingAfterBreak="0">
    <w:nsid w:val="601E24D4"/>
    <w:multiLevelType w:val="hybridMultilevel"/>
    <w:tmpl w:val="271222B6"/>
    <w:lvl w:ilvl="0" w:tplc="2C88C4CC">
      <w:start w:val="1"/>
      <w:numFmt w:val="decimal"/>
      <w:lvlText w:val="%1."/>
      <w:lvlJc w:val="left"/>
      <w:pPr>
        <w:ind w:left="720" w:hanging="360"/>
      </w:pPr>
      <w:rPr>
        <w:rFonts w:ascii="Bookman Old Style" w:hAnsi="Bookman Old Style" w:hint="default"/>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D9E0393"/>
    <w:multiLevelType w:val="hybridMultilevel"/>
    <w:tmpl w:val="7B362D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FB53271"/>
    <w:multiLevelType w:val="hybridMultilevel"/>
    <w:tmpl w:val="996085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3432BD8"/>
    <w:multiLevelType w:val="hybridMultilevel"/>
    <w:tmpl w:val="1F3E190C"/>
    <w:lvl w:ilvl="0" w:tplc="68D4F308">
      <w:start w:val="1"/>
      <w:numFmt w:val="decimal"/>
      <w:pStyle w:val="ARTICULOS"/>
      <w:lvlText w:val="Artículo %1."/>
      <w:lvlJc w:val="left"/>
      <w:pPr>
        <w:ind w:left="4046" w:hanging="360"/>
      </w:pPr>
      <w:rPr>
        <w:rFonts w:ascii="Bookman Old Style" w:hAnsi="Bookman Old Style" w:cs="Times New Roman" w:hint="default"/>
        <w:b/>
        <w:i w:val="0"/>
        <w:iCs w:val="0"/>
        <w:caps w:val="0"/>
        <w:smallCaps w:val="0"/>
        <w:strike w:val="0"/>
        <w:dstrike w:val="0"/>
        <w:noProof w:val="0"/>
        <w:vanish w:val="0"/>
        <w:color w:val="000000"/>
        <w:spacing w:val="0"/>
        <w:kern w:val="0"/>
        <w:position w:val="0"/>
        <w:sz w:val="24"/>
        <w:szCs w:val="24"/>
        <w:u w:val="none"/>
        <w:effect w:val="none"/>
        <w:vertAlign w:val="baseline"/>
        <w:em w:val="none"/>
        <w:lang w:val="es-ES" w:eastAsia="x-none"/>
        <w:specVanish w:val="0"/>
        <w14:shadow w14:blurRad="0" w14:dist="0" w14:dir="0" w14:sx="0" w14:sy="0" w14:kx="0" w14:ky="0" w14:algn="none">
          <w14:srgbClr w14:val="000000"/>
        </w14:shadow>
        <w14:textOutline w14:w="0" w14:cap="rnd" w14:cmpd="sng" w14:algn="ctr">
          <w14:noFill/>
          <w14:prstDash w14:val="solid"/>
          <w14:bevel/>
        </w14:textOutline>
      </w:rPr>
    </w:lvl>
    <w:lvl w:ilvl="1" w:tplc="240A0019">
      <w:start w:val="1"/>
      <w:numFmt w:val="lowerLetter"/>
      <w:lvlText w:val="%2."/>
      <w:lvlJc w:val="left"/>
      <w:pPr>
        <w:ind w:left="-338" w:hanging="360"/>
      </w:pPr>
    </w:lvl>
    <w:lvl w:ilvl="2" w:tplc="240A000F">
      <w:start w:val="1"/>
      <w:numFmt w:val="decimal"/>
      <w:lvlText w:val="%3."/>
      <w:lvlJc w:val="left"/>
      <w:pPr>
        <w:ind w:left="382" w:hanging="180"/>
      </w:pPr>
    </w:lvl>
    <w:lvl w:ilvl="3" w:tplc="240A000F" w:tentative="1">
      <w:start w:val="1"/>
      <w:numFmt w:val="decimal"/>
      <w:lvlText w:val="%4."/>
      <w:lvlJc w:val="left"/>
      <w:pPr>
        <w:ind w:left="1102" w:hanging="360"/>
      </w:pPr>
    </w:lvl>
    <w:lvl w:ilvl="4" w:tplc="240A0019" w:tentative="1">
      <w:start w:val="1"/>
      <w:numFmt w:val="lowerLetter"/>
      <w:lvlText w:val="%5."/>
      <w:lvlJc w:val="left"/>
      <w:pPr>
        <w:ind w:left="1822" w:hanging="360"/>
      </w:pPr>
    </w:lvl>
    <w:lvl w:ilvl="5" w:tplc="240A001B" w:tentative="1">
      <w:start w:val="1"/>
      <w:numFmt w:val="lowerRoman"/>
      <w:lvlText w:val="%6."/>
      <w:lvlJc w:val="right"/>
      <w:pPr>
        <w:ind w:left="2542" w:hanging="180"/>
      </w:pPr>
    </w:lvl>
    <w:lvl w:ilvl="6" w:tplc="240A000F" w:tentative="1">
      <w:start w:val="1"/>
      <w:numFmt w:val="decimal"/>
      <w:lvlText w:val="%7."/>
      <w:lvlJc w:val="left"/>
      <w:pPr>
        <w:ind w:left="3262" w:hanging="360"/>
      </w:pPr>
    </w:lvl>
    <w:lvl w:ilvl="7" w:tplc="240A0019" w:tentative="1">
      <w:start w:val="1"/>
      <w:numFmt w:val="lowerLetter"/>
      <w:lvlText w:val="%8."/>
      <w:lvlJc w:val="left"/>
      <w:pPr>
        <w:ind w:left="3982" w:hanging="360"/>
      </w:pPr>
    </w:lvl>
    <w:lvl w:ilvl="8" w:tplc="240A001B" w:tentative="1">
      <w:start w:val="1"/>
      <w:numFmt w:val="lowerRoman"/>
      <w:lvlText w:val="%9."/>
      <w:lvlJc w:val="right"/>
      <w:pPr>
        <w:ind w:left="4702" w:hanging="180"/>
      </w:pPr>
    </w:lvl>
  </w:abstractNum>
  <w:abstractNum w:abstractNumId="32" w15:restartNumberingAfterBreak="0">
    <w:nsid w:val="7C1A3989"/>
    <w:multiLevelType w:val="hybridMultilevel"/>
    <w:tmpl w:val="C46C1540"/>
    <w:lvl w:ilvl="0" w:tplc="B75CFAE8">
      <w:start w:val="1"/>
      <w:numFmt w:val="upperRoman"/>
      <w:lvlText w:val="%1."/>
      <w:lvlJc w:val="left"/>
      <w:pPr>
        <w:ind w:left="1080" w:hanging="720"/>
      </w:pPr>
      <w:rPr>
        <w:rFonts w:hint="default"/>
        <w:b/>
        <w:bCs w:val="0"/>
        <w:color w:val="auto"/>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31"/>
  </w:num>
  <w:num w:numId="3">
    <w:abstractNumId w:val="17"/>
  </w:num>
  <w:num w:numId="4">
    <w:abstractNumId w:val="28"/>
  </w:num>
  <w:num w:numId="5">
    <w:abstractNumId w:val="18"/>
  </w:num>
  <w:num w:numId="6">
    <w:abstractNumId w:val="9"/>
  </w:num>
  <w:num w:numId="7">
    <w:abstractNumId w:val="22"/>
  </w:num>
  <w:num w:numId="8">
    <w:abstractNumId w:val="4"/>
  </w:num>
  <w:num w:numId="9">
    <w:abstractNumId w:val="11"/>
  </w:num>
  <w:num w:numId="10">
    <w:abstractNumId w:val="7"/>
  </w:num>
  <w:num w:numId="11">
    <w:abstractNumId w:val="25"/>
  </w:num>
  <w:num w:numId="12">
    <w:abstractNumId w:val="21"/>
  </w:num>
  <w:num w:numId="13">
    <w:abstractNumId w:val="26"/>
  </w:num>
  <w:num w:numId="14">
    <w:abstractNumId w:val="6"/>
  </w:num>
  <w:num w:numId="15">
    <w:abstractNumId w:val="27"/>
  </w:num>
  <w:num w:numId="16">
    <w:abstractNumId w:val="14"/>
  </w:num>
  <w:num w:numId="17">
    <w:abstractNumId w:val="5"/>
  </w:num>
  <w:num w:numId="18">
    <w:abstractNumId w:val="16"/>
  </w:num>
  <w:num w:numId="19">
    <w:abstractNumId w:val="23"/>
  </w:num>
  <w:num w:numId="20">
    <w:abstractNumId w:val="1"/>
  </w:num>
  <w:num w:numId="21">
    <w:abstractNumId w:val="20"/>
  </w:num>
  <w:num w:numId="22">
    <w:abstractNumId w:val="24"/>
  </w:num>
  <w:num w:numId="23">
    <w:abstractNumId w:val="15"/>
  </w:num>
  <w:num w:numId="24">
    <w:abstractNumId w:val="19"/>
  </w:num>
  <w:num w:numId="25">
    <w:abstractNumId w:val="8"/>
  </w:num>
  <w:num w:numId="26">
    <w:abstractNumId w:val="12"/>
  </w:num>
  <w:num w:numId="27">
    <w:abstractNumId w:val="30"/>
  </w:num>
  <w:num w:numId="28">
    <w:abstractNumId w:val="29"/>
  </w:num>
  <w:num w:numId="29">
    <w:abstractNumId w:val="13"/>
  </w:num>
  <w:num w:numId="30">
    <w:abstractNumId w:val="10"/>
  </w:num>
  <w:num w:numId="31">
    <w:abstractNumId w:val="3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savePreviewPicture/>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BCA"/>
    <w:rsid w:val="00002C5A"/>
    <w:rsid w:val="000068F0"/>
    <w:rsid w:val="00007739"/>
    <w:rsid w:val="00012E4D"/>
    <w:rsid w:val="0001493D"/>
    <w:rsid w:val="00023023"/>
    <w:rsid w:val="000238BC"/>
    <w:rsid w:val="000252DE"/>
    <w:rsid w:val="000300F8"/>
    <w:rsid w:val="0003079D"/>
    <w:rsid w:val="000372E9"/>
    <w:rsid w:val="00037534"/>
    <w:rsid w:val="0004207D"/>
    <w:rsid w:val="00051E42"/>
    <w:rsid w:val="000552C5"/>
    <w:rsid w:val="000651C3"/>
    <w:rsid w:val="00065A02"/>
    <w:rsid w:val="00066C33"/>
    <w:rsid w:val="000674BA"/>
    <w:rsid w:val="000704DD"/>
    <w:rsid w:val="00070A60"/>
    <w:rsid w:val="000710AE"/>
    <w:rsid w:val="00073700"/>
    <w:rsid w:val="00074962"/>
    <w:rsid w:val="00075C9E"/>
    <w:rsid w:val="0007606C"/>
    <w:rsid w:val="000768E2"/>
    <w:rsid w:val="0007741E"/>
    <w:rsid w:val="000807E9"/>
    <w:rsid w:val="00082D4C"/>
    <w:rsid w:val="00082D8D"/>
    <w:rsid w:val="00086996"/>
    <w:rsid w:val="00094B3A"/>
    <w:rsid w:val="000958E1"/>
    <w:rsid w:val="00096004"/>
    <w:rsid w:val="00096487"/>
    <w:rsid w:val="00097C99"/>
    <w:rsid w:val="000A2481"/>
    <w:rsid w:val="000A3AD3"/>
    <w:rsid w:val="000A4986"/>
    <w:rsid w:val="000A5FF0"/>
    <w:rsid w:val="000A62C5"/>
    <w:rsid w:val="000A7270"/>
    <w:rsid w:val="000A7EFD"/>
    <w:rsid w:val="000B2CF1"/>
    <w:rsid w:val="000B4631"/>
    <w:rsid w:val="000B5551"/>
    <w:rsid w:val="000B646B"/>
    <w:rsid w:val="000B66D2"/>
    <w:rsid w:val="000C024D"/>
    <w:rsid w:val="000C1215"/>
    <w:rsid w:val="000C1328"/>
    <w:rsid w:val="000C426C"/>
    <w:rsid w:val="000D4D20"/>
    <w:rsid w:val="000D61B5"/>
    <w:rsid w:val="000D77B1"/>
    <w:rsid w:val="000E1FDC"/>
    <w:rsid w:val="000E43B1"/>
    <w:rsid w:val="000E7FC0"/>
    <w:rsid w:val="000F4072"/>
    <w:rsid w:val="000F5DAC"/>
    <w:rsid w:val="000F619F"/>
    <w:rsid w:val="000F74A4"/>
    <w:rsid w:val="00101B85"/>
    <w:rsid w:val="001030F9"/>
    <w:rsid w:val="00103C0E"/>
    <w:rsid w:val="0010644B"/>
    <w:rsid w:val="001079AA"/>
    <w:rsid w:val="001100D6"/>
    <w:rsid w:val="00110447"/>
    <w:rsid w:val="00110CE0"/>
    <w:rsid w:val="00115B66"/>
    <w:rsid w:val="001164AC"/>
    <w:rsid w:val="001178EC"/>
    <w:rsid w:val="001221FE"/>
    <w:rsid w:val="00127428"/>
    <w:rsid w:val="00131DB0"/>
    <w:rsid w:val="001328FA"/>
    <w:rsid w:val="00140CC8"/>
    <w:rsid w:val="00140F63"/>
    <w:rsid w:val="00143684"/>
    <w:rsid w:val="001455BE"/>
    <w:rsid w:val="00146E52"/>
    <w:rsid w:val="00147365"/>
    <w:rsid w:val="00147CFE"/>
    <w:rsid w:val="00152DF5"/>
    <w:rsid w:val="001544B0"/>
    <w:rsid w:val="00160FF9"/>
    <w:rsid w:val="00161159"/>
    <w:rsid w:val="00167328"/>
    <w:rsid w:val="00167DB1"/>
    <w:rsid w:val="00167E49"/>
    <w:rsid w:val="00170002"/>
    <w:rsid w:val="00170DDB"/>
    <w:rsid w:val="00171DBC"/>
    <w:rsid w:val="00174B17"/>
    <w:rsid w:val="0017540C"/>
    <w:rsid w:val="001763F2"/>
    <w:rsid w:val="001851C6"/>
    <w:rsid w:val="00185CE7"/>
    <w:rsid w:val="00187D75"/>
    <w:rsid w:val="00191CC0"/>
    <w:rsid w:val="001924E8"/>
    <w:rsid w:val="001930E6"/>
    <w:rsid w:val="00193AF1"/>
    <w:rsid w:val="00194E62"/>
    <w:rsid w:val="00196B07"/>
    <w:rsid w:val="001976B3"/>
    <w:rsid w:val="001A1203"/>
    <w:rsid w:val="001A4C23"/>
    <w:rsid w:val="001B07FD"/>
    <w:rsid w:val="001B0BF6"/>
    <w:rsid w:val="001B1BDE"/>
    <w:rsid w:val="001B4CCB"/>
    <w:rsid w:val="001B534B"/>
    <w:rsid w:val="001B53BD"/>
    <w:rsid w:val="001B5B03"/>
    <w:rsid w:val="001B6721"/>
    <w:rsid w:val="001C2697"/>
    <w:rsid w:val="001C513B"/>
    <w:rsid w:val="001C606A"/>
    <w:rsid w:val="001D0E9F"/>
    <w:rsid w:val="001D2917"/>
    <w:rsid w:val="001D4327"/>
    <w:rsid w:val="001D792B"/>
    <w:rsid w:val="001E04A9"/>
    <w:rsid w:val="001E1739"/>
    <w:rsid w:val="001E1AAA"/>
    <w:rsid w:val="001E4952"/>
    <w:rsid w:val="001E531D"/>
    <w:rsid w:val="001E5EF3"/>
    <w:rsid w:val="001E67EC"/>
    <w:rsid w:val="001E7C2B"/>
    <w:rsid w:val="001F1817"/>
    <w:rsid w:val="001F2B83"/>
    <w:rsid w:val="001F3FCE"/>
    <w:rsid w:val="001F44E8"/>
    <w:rsid w:val="001F4751"/>
    <w:rsid w:val="001F63CB"/>
    <w:rsid w:val="00201947"/>
    <w:rsid w:val="00201D11"/>
    <w:rsid w:val="00203287"/>
    <w:rsid w:val="00203C46"/>
    <w:rsid w:val="002055B2"/>
    <w:rsid w:val="0020666C"/>
    <w:rsid w:val="00206DF3"/>
    <w:rsid w:val="002071F1"/>
    <w:rsid w:val="00211B09"/>
    <w:rsid w:val="0021328B"/>
    <w:rsid w:val="002168B9"/>
    <w:rsid w:val="002228A4"/>
    <w:rsid w:val="00222DEB"/>
    <w:rsid w:val="0022444A"/>
    <w:rsid w:val="00224A46"/>
    <w:rsid w:val="00224C18"/>
    <w:rsid w:val="002264BA"/>
    <w:rsid w:val="00227AFF"/>
    <w:rsid w:val="00231269"/>
    <w:rsid w:val="0023283F"/>
    <w:rsid w:val="00234772"/>
    <w:rsid w:val="002360EA"/>
    <w:rsid w:val="00237F73"/>
    <w:rsid w:val="00240088"/>
    <w:rsid w:val="002406BE"/>
    <w:rsid w:val="00241706"/>
    <w:rsid w:val="0024214D"/>
    <w:rsid w:val="00246BDD"/>
    <w:rsid w:val="002506D9"/>
    <w:rsid w:val="00250C34"/>
    <w:rsid w:val="00252FBF"/>
    <w:rsid w:val="0025381F"/>
    <w:rsid w:val="00253CDE"/>
    <w:rsid w:val="00257457"/>
    <w:rsid w:val="002577B1"/>
    <w:rsid w:val="00257891"/>
    <w:rsid w:val="00260077"/>
    <w:rsid w:val="00260CA9"/>
    <w:rsid w:val="002611DB"/>
    <w:rsid w:val="00261DBC"/>
    <w:rsid w:val="0026419D"/>
    <w:rsid w:val="00265CC3"/>
    <w:rsid w:val="00270D97"/>
    <w:rsid w:val="002719FF"/>
    <w:rsid w:val="0027222A"/>
    <w:rsid w:val="002847EE"/>
    <w:rsid w:val="00285974"/>
    <w:rsid w:val="00287DD8"/>
    <w:rsid w:val="00294D1E"/>
    <w:rsid w:val="00295763"/>
    <w:rsid w:val="00295BDF"/>
    <w:rsid w:val="00295F1A"/>
    <w:rsid w:val="0029654C"/>
    <w:rsid w:val="00297D70"/>
    <w:rsid w:val="002A1245"/>
    <w:rsid w:val="002A13DB"/>
    <w:rsid w:val="002A3000"/>
    <w:rsid w:val="002A3B53"/>
    <w:rsid w:val="002A5F8F"/>
    <w:rsid w:val="002A6CF9"/>
    <w:rsid w:val="002B41B1"/>
    <w:rsid w:val="002C047A"/>
    <w:rsid w:val="002C08AB"/>
    <w:rsid w:val="002C2E32"/>
    <w:rsid w:val="002C2F59"/>
    <w:rsid w:val="002C38BA"/>
    <w:rsid w:val="002C7922"/>
    <w:rsid w:val="002D0502"/>
    <w:rsid w:val="002D27A3"/>
    <w:rsid w:val="002E05EE"/>
    <w:rsid w:val="002E37BA"/>
    <w:rsid w:val="002E3F00"/>
    <w:rsid w:val="002E41FE"/>
    <w:rsid w:val="002E47EE"/>
    <w:rsid w:val="002E48FC"/>
    <w:rsid w:val="002E6EBC"/>
    <w:rsid w:val="002E789E"/>
    <w:rsid w:val="002E7E51"/>
    <w:rsid w:val="002F278E"/>
    <w:rsid w:val="002F68A3"/>
    <w:rsid w:val="002F6C3C"/>
    <w:rsid w:val="00306C83"/>
    <w:rsid w:val="00307C93"/>
    <w:rsid w:val="003108B7"/>
    <w:rsid w:val="0031581E"/>
    <w:rsid w:val="003164D9"/>
    <w:rsid w:val="0032228A"/>
    <w:rsid w:val="00322645"/>
    <w:rsid w:val="0032501B"/>
    <w:rsid w:val="003253A2"/>
    <w:rsid w:val="003266EC"/>
    <w:rsid w:val="00330B53"/>
    <w:rsid w:val="00331103"/>
    <w:rsid w:val="00331806"/>
    <w:rsid w:val="00331F35"/>
    <w:rsid w:val="0033266C"/>
    <w:rsid w:val="0033303E"/>
    <w:rsid w:val="003347B1"/>
    <w:rsid w:val="003360A2"/>
    <w:rsid w:val="0033704C"/>
    <w:rsid w:val="0033749B"/>
    <w:rsid w:val="003401B5"/>
    <w:rsid w:val="00341705"/>
    <w:rsid w:val="00342FE6"/>
    <w:rsid w:val="00343039"/>
    <w:rsid w:val="003460A5"/>
    <w:rsid w:val="00346EDA"/>
    <w:rsid w:val="00347C5D"/>
    <w:rsid w:val="00351047"/>
    <w:rsid w:val="00351A5E"/>
    <w:rsid w:val="00352ADF"/>
    <w:rsid w:val="00357027"/>
    <w:rsid w:val="00360CBB"/>
    <w:rsid w:val="003613EA"/>
    <w:rsid w:val="003655CF"/>
    <w:rsid w:val="00365B55"/>
    <w:rsid w:val="00370A60"/>
    <w:rsid w:val="003736AE"/>
    <w:rsid w:val="00373C35"/>
    <w:rsid w:val="00377D00"/>
    <w:rsid w:val="00384FCE"/>
    <w:rsid w:val="00393342"/>
    <w:rsid w:val="0039378C"/>
    <w:rsid w:val="00394E3C"/>
    <w:rsid w:val="0039715B"/>
    <w:rsid w:val="003A1F1B"/>
    <w:rsid w:val="003A6BAD"/>
    <w:rsid w:val="003B0B7A"/>
    <w:rsid w:val="003B2031"/>
    <w:rsid w:val="003B280E"/>
    <w:rsid w:val="003B2AE3"/>
    <w:rsid w:val="003B2F17"/>
    <w:rsid w:val="003B50DF"/>
    <w:rsid w:val="003C1360"/>
    <w:rsid w:val="003C1E03"/>
    <w:rsid w:val="003C2887"/>
    <w:rsid w:val="003C6181"/>
    <w:rsid w:val="003C700B"/>
    <w:rsid w:val="003C71C4"/>
    <w:rsid w:val="003D0EBF"/>
    <w:rsid w:val="003D171F"/>
    <w:rsid w:val="003D682B"/>
    <w:rsid w:val="003E195B"/>
    <w:rsid w:val="003E1AFD"/>
    <w:rsid w:val="003E2145"/>
    <w:rsid w:val="003E2BF8"/>
    <w:rsid w:val="003F59E4"/>
    <w:rsid w:val="003F5A5B"/>
    <w:rsid w:val="00403E9A"/>
    <w:rsid w:val="004076AB"/>
    <w:rsid w:val="00412348"/>
    <w:rsid w:val="0041424B"/>
    <w:rsid w:val="004142F1"/>
    <w:rsid w:val="00414522"/>
    <w:rsid w:val="00415AAA"/>
    <w:rsid w:val="00417044"/>
    <w:rsid w:val="00420C2E"/>
    <w:rsid w:val="0042287A"/>
    <w:rsid w:val="004276D1"/>
    <w:rsid w:val="00430A39"/>
    <w:rsid w:val="00432614"/>
    <w:rsid w:val="004339EA"/>
    <w:rsid w:val="004356C4"/>
    <w:rsid w:val="00435A42"/>
    <w:rsid w:val="00444733"/>
    <w:rsid w:val="004455CB"/>
    <w:rsid w:val="00445CEF"/>
    <w:rsid w:val="00445CF1"/>
    <w:rsid w:val="00447FE8"/>
    <w:rsid w:val="00451FF9"/>
    <w:rsid w:val="00452DA8"/>
    <w:rsid w:val="00454001"/>
    <w:rsid w:val="004570FE"/>
    <w:rsid w:val="004613B3"/>
    <w:rsid w:val="004636AC"/>
    <w:rsid w:val="004645AC"/>
    <w:rsid w:val="00467145"/>
    <w:rsid w:val="0046738F"/>
    <w:rsid w:val="00470C22"/>
    <w:rsid w:val="004710D2"/>
    <w:rsid w:val="004714A4"/>
    <w:rsid w:val="00473010"/>
    <w:rsid w:val="00473510"/>
    <w:rsid w:val="004767D5"/>
    <w:rsid w:val="00481D10"/>
    <w:rsid w:val="00483542"/>
    <w:rsid w:val="004835E4"/>
    <w:rsid w:val="00487816"/>
    <w:rsid w:val="00493D5D"/>
    <w:rsid w:val="00494BE4"/>
    <w:rsid w:val="00495259"/>
    <w:rsid w:val="00496519"/>
    <w:rsid w:val="004966B0"/>
    <w:rsid w:val="004A0F7B"/>
    <w:rsid w:val="004A1394"/>
    <w:rsid w:val="004A2282"/>
    <w:rsid w:val="004A4B8D"/>
    <w:rsid w:val="004A677A"/>
    <w:rsid w:val="004A77B4"/>
    <w:rsid w:val="004A7835"/>
    <w:rsid w:val="004B20DB"/>
    <w:rsid w:val="004B2371"/>
    <w:rsid w:val="004B3466"/>
    <w:rsid w:val="004B5282"/>
    <w:rsid w:val="004B5708"/>
    <w:rsid w:val="004B65F7"/>
    <w:rsid w:val="004B7D73"/>
    <w:rsid w:val="004C0067"/>
    <w:rsid w:val="004C25A3"/>
    <w:rsid w:val="004C299E"/>
    <w:rsid w:val="004C2FE7"/>
    <w:rsid w:val="004C48DC"/>
    <w:rsid w:val="004C5347"/>
    <w:rsid w:val="004C68B6"/>
    <w:rsid w:val="004C7593"/>
    <w:rsid w:val="004D0062"/>
    <w:rsid w:val="004D19A2"/>
    <w:rsid w:val="004D2466"/>
    <w:rsid w:val="004E2AFC"/>
    <w:rsid w:val="004E3012"/>
    <w:rsid w:val="004F21D4"/>
    <w:rsid w:val="004F24AA"/>
    <w:rsid w:val="004F605A"/>
    <w:rsid w:val="00500709"/>
    <w:rsid w:val="0050175F"/>
    <w:rsid w:val="00501F43"/>
    <w:rsid w:val="005021EF"/>
    <w:rsid w:val="00502FF5"/>
    <w:rsid w:val="00505CEA"/>
    <w:rsid w:val="00506375"/>
    <w:rsid w:val="00511F59"/>
    <w:rsid w:val="0051381C"/>
    <w:rsid w:val="00513B41"/>
    <w:rsid w:val="00516A8F"/>
    <w:rsid w:val="00517D3F"/>
    <w:rsid w:val="005237A7"/>
    <w:rsid w:val="005239E7"/>
    <w:rsid w:val="00525D60"/>
    <w:rsid w:val="00530CBA"/>
    <w:rsid w:val="0053546C"/>
    <w:rsid w:val="005424D1"/>
    <w:rsid w:val="00542C35"/>
    <w:rsid w:val="005444E8"/>
    <w:rsid w:val="00544585"/>
    <w:rsid w:val="00547070"/>
    <w:rsid w:val="00550A43"/>
    <w:rsid w:val="005522D3"/>
    <w:rsid w:val="005531B1"/>
    <w:rsid w:val="0055674D"/>
    <w:rsid w:val="005574F2"/>
    <w:rsid w:val="00560437"/>
    <w:rsid w:val="00560FC4"/>
    <w:rsid w:val="005625C9"/>
    <w:rsid w:val="0056381D"/>
    <w:rsid w:val="00564ED7"/>
    <w:rsid w:val="0056639C"/>
    <w:rsid w:val="0056708D"/>
    <w:rsid w:val="00572628"/>
    <w:rsid w:val="005731FF"/>
    <w:rsid w:val="005757D9"/>
    <w:rsid w:val="00575874"/>
    <w:rsid w:val="00581499"/>
    <w:rsid w:val="005824EC"/>
    <w:rsid w:val="005866C9"/>
    <w:rsid w:val="005869AF"/>
    <w:rsid w:val="00586E0C"/>
    <w:rsid w:val="00587189"/>
    <w:rsid w:val="005872A0"/>
    <w:rsid w:val="00590C88"/>
    <w:rsid w:val="0059208B"/>
    <w:rsid w:val="005936CE"/>
    <w:rsid w:val="00593C90"/>
    <w:rsid w:val="00593ECD"/>
    <w:rsid w:val="005947D0"/>
    <w:rsid w:val="005961AB"/>
    <w:rsid w:val="005A0389"/>
    <w:rsid w:val="005A04D0"/>
    <w:rsid w:val="005A05B9"/>
    <w:rsid w:val="005A6F39"/>
    <w:rsid w:val="005B4699"/>
    <w:rsid w:val="005B4FCB"/>
    <w:rsid w:val="005B528A"/>
    <w:rsid w:val="005B7BAF"/>
    <w:rsid w:val="005B7D8C"/>
    <w:rsid w:val="005C1BCA"/>
    <w:rsid w:val="005C71FD"/>
    <w:rsid w:val="005C76C3"/>
    <w:rsid w:val="005D0ED9"/>
    <w:rsid w:val="005D6BB2"/>
    <w:rsid w:val="005E5A5D"/>
    <w:rsid w:val="005E6508"/>
    <w:rsid w:val="005F0FCF"/>
    <w:rsid w:val="005F1339"/>
    <w:rsid w:val="005F1C68"/>
    <w:rsid w:val="005F2512"/>
    <w:rsid w:val="005F3B47"/>
    <w:rsid w:val="005F3F22"/>
    <w:rsid w:val="005F6A65"/>
    <w:rsid w:val="0060008A"/>
    <w:rsid w:val="0060062D"/>
    <w:rsid w:val="00602AA8"/>
    <w:rsid w:val="00604BAF"/>
    <w:rsid w:val="006068BF"/>
    <w:rsid w:val="006071D3"/>
    <w:rsid w:val="00610F82"/>
    <w:rsid w:val="00611F56"/>
    <w:rsid w:val="00612755"/>
    <w:rsid w:val="00613706"/>
    <w:rsid w:val="006140BA"/>
    <w:rsid w:val="00614DE5"/>
    <w:rsid w:val="00616A5A"/>
    <w:rsid w:val="00620B2C"/>
    <w:rsid w:val="00621141"/>
    <w:rsid w:val="006224F3"/>
    <w:rsid w:val="00625C69"/>
    <w:rsid w:val="0063310F"/>
    <w:rsid w:val="00635A94"/>
    <w:rsid w:val="00641AC2"/>
    <w:rsid w:val="006425F0"/>
    <w:rsid w:val="006441EA"/>
    <w:rsid w:val="006448DC"/>
    <w:rsid w:val="006453E7"/>
    <w:rsid w:val="00645B1D"/>
    <w:rsid w:val="00646AD5"/>
    <w:rsid w:val="00650381"/>
    <w:rsid w:val="0065138A"/>
    <w:rsid w:val="006515BF"/>
    <w:rsid w:val="0065201F"/>
    <w:rsid w:val="00653D00"/>
    <w:rsid w:val="0065504C"/>
    <w:rsid w:val="00656706"/>
    <w:rsid w:val="006578EF"/>
    <w:rsid w:val="00657E04"/>
    <w:rsid w:val="006673C7"/>
    <w:rsid w:val="00671C39"/>
    <w:rsid w:val="00671E24"/>
    <w:rsid w:val="0067294D"/>
    <w:rsid w:val="00676BC2"/>
    <w:rsid w:val="00677ABF"/>
    <w:rsid w:val="0068001F"/>
    <w:rsid w:val="006800DA"/>
    <w:rsid w:val="00682CBA"/>
    <w:rsid w:val="00683DA4"/>
    <w:rsid w:val="006848D1"/>
    <w:rsid w:val="0068555D"/>
    <w:rsid w:val="00685C88"/>
    <w:rsid w:val="00686B39"/>
    <w:rsid w:val="00691C75"/>
    <w:rsid w:val="006948D9"/>
    <w:rsid w:val="0069512D"/>
    <w:rsid w:val="00695321"/>
    <w:rsid w:val="00696941"/>
    <w:rsid w:val="006A0E9A"/>
    <w:rsid w:val="006A22E5"/>
    <w:rsid w:val="006A3F69"/>
    <w:rsid w:val="006A5495"/>
    <w:rsid w:val="006A636A"/>
    <w:rsid w:val="006A7BA9"/>
    <w:rsid w:val="006A7E2E"/>
    <w:rsid w:val="006B2543"/>
    <w:rsid w:val="006B57BD"/>
    <w:rsid w:val="006B5A6D"/>
    <w:rsid w:val="006B5D4C"/>
    <w:rsid w:val="006B68C9"/>
    <w:rsid w:val="006B6987"/>
    <w:rsid w:val="006B7EE3"/>
    <w:rsid w:val="006C29E9"/>
    <w:rsid w:val="006C3025"/>
    <w:rsid w:val="006C5E39"/>
    <w:rsid w:val="006C7FD7"/>
    <w:rsid w:val="006D17F2"/>
    <w:rsid w:val="006D1DE5"/>
    <w:rsid w:val="006D440E"/>
    <w:rsid w:val="006D51B0"/>
    <w:rsid w:val="006D6420"/>
    <w:rsid w:val="006D662F"/>
    <w:rsid w:val="006D7905"/>
    <w:rsid w:val="006D7BC5"/>
    <w:rsid w:val="006E1C47"/>
    <w:rsid w:val="006E3216"/>
    <w:rsid w:val="006E3AB6"/>
    <w:rsid w:val="006E3CAF"/>
    <w:rsid w:val="006E4CFF"/>
    <w:rsid w:val="006F4984"/>
    <w:rsid w:val="006F6031"/>
    <w:rsid w:val="006F6F8A"/>
    <w:rsid w:val="00700CBD"/>
    <w:rsid w:val="0070122C"/>
    <w:rsid w:val="00701265"/>
    <w:rsid w:val="007050C2"/>
    <w:rsid w:val="007072EE"/>
    <w:rsid w:val="007112A4"/>
    <w:rsid w:val="0071175F"/>
    <w:rsid w:val="00711EA0"/>
    <w:rsid w:val="007132FA"/>
    <w:rsid w:val="00714B3C"/>
    <w:rsid w:val="007157E5"/>
    <w:rsid w:val="00715ED7"/>
    <w:rsid w:val="007166D4"/>
    <w:rsid w:val="00717331"/>
    <w:rsid w:val="00720524"/>
    <w:rsid w:val="007231D1"/>
    <w:rsid w:val="00723565"/>
    <w:rsid w:val="00723A63"/>
    <w:rsid w:val="007254EE"/>
    <w:rsid w:val="0072655F"/>
    <w:rsid w:val="007269A9"/>
    <w:rsid w:val="007310C6"/>
    <w:rsid w:val="0073140A"/>
    <w:rsid w:val="00734D12"/>
    <w:rsid w:val="00735D6F"/>
    <w:rsid w:val="0073600E"/>
    <w:rsid w:val="0074179F"/>
    <w:rsid w:val="0074403E"/>
    <w:rsid w:val="0074492C"/>
    <w:rsid w:val="00744B35"/>
    <w:rsid w:val="007452DC"/>
    <w:rsid w:val="0074715C"/>
    <w:rsid w:val="00753473"/>
    <w:rsid w:val="00755EED"/>
    <w:rsid w:val="007564BC"/>
    <w:rsid w:val="00756F58"/>
    <w:rsid w:val="00760319"/>
    <w:rsid w:val="00760851"/>
    <w:rsid w:val="0076373F"/>
    <w:rsid w:val="007651E4"/>
    <w:rsid w:val="0076675D"/>
    <w:rsid w:val="007715E6"/>
    <w:rsid w:val="0077262F"/>
    <w:rsid w:val="0077393A"/>
    <w:rsid w:val="0077584D"/>
    <w:rsid w:val="00775993"/>
    <w:rsid w:val="0078006D"/>
    <w:rsid w:val="007806F9"/>
    <w:rsid w:val="00781BA5"/>
    <w:rsid w:val="00784AE1"/>
    <w:rsid w:val="00784E27"/>
    <w:rsid w:val="00785AA2"/>
    <w:rsid w:val="00785E5C"/>
    <w:rsid w:val="007860F7"/>
    <w:rsid w:val="00787076"/>
    <w:rsid w:val="00787975"/>
    <w:rsid w:val="00790018"/>
    <w:rsid w:val="007917F3"/>
    <w:rsid w:val="007944EB"/>
    <w:rsid w:val="0079576C"/>
    <w:rsid w:val="007A2D4E"/>
    <w:rsid w:val="007A62E1"/>
    <w:rsid w:val="007B0472"/>
    <w:rsid w:val="007B0CBB"/>
    <w:rsid w:val="007B4B41"/>
    <w:rsid w:val="007B77DB"/>
    <w:rsid w:val="007B79E1"/>
    <w:rsid w:val="007C2509"/>
    <w:rsid w:val="007C37EC"/>
    <w:rsid w:val="007C6622"/>
    <w:rsid w:val="007D33F6"/>
    <w:rsid w:val="007D4A88"/>
    <w:rsid w:val="007D6256"/>
    <w:rsid w:val="007E5F54"/>
    <w:rsid w:val="007E7028"/>
    <w:rsid w:val="007F2AFE"/>
    <w:rsid w:val="007F3B34"/>
    <w:rsid w:val="007F3FC2"/>
    <w:rsid w:val="007F45BD"/>
    <w:rsid w:val="007F4FCE"/>
    <w:rsid w:val="007F66B9"/>
    <w:rsid w:val="007F6CF0"/>
    <w:rsid w:val="0080052E"/>
    <w:rsid w:val="00800A3D"/>
    <w:rsid w:val="0080440E"/>
    <w:rsid w:val="00807AB2"/>
    <w:rsid w:val="008114F7"/>
    <w:rsid w:val="00811FB5"/>
    <w:rsid w:val="00812471"/>
    <w:rsid w:val="00812C6E"/>
    <w:rsid w:val="00813C99"/>
    <w:rsid w:val="0081421C"/>
    <w:rsid w:val="008144BA"/>
    <w:rsid w:val="0081625F"/>
    <w:rsid w:val="00816379"/>
    <w:rsid w:val="0081700B"/>
    <w:rsid w:val="00822D1A"/>
    <w:rsid w:val="00825CEB"/>
    <w:rsid w:val="008315F2"/>
    <w:rsid w:val="008347D1"/>
    <w:rsid w:val="008436F6"/>
    <w:rsid w:val="0084480B"/>
    <w:rsid w:val="00844E90"/>
    <w:rsid w:val="00844EAB"/>
    <w:rsid w:val="00844F75"/>
    <w:rsid w:val="008450EC"/>
    <w:rsid w:val="00846CC8"/>
    <w:rsid w:val="00847978"/>
    <w:rsid w:val="00850E6C"/>
    <w:rsid w:val="00852297"/>
    <w:rsid w:val="008600DE"/>
    <w:rsid w:val="00864689"/>
    <w:rsid w:val="00867649"/>
    <w:rsid w:val="0087487D"/>
    <w:rsid w:val="00874A55"/>
    <w:rsid w:val="008753FD"/>
    <w:rsid w:val="0087723A"/>
    <w:rsid w:val="008817D3"/>
    <w:rsid w:val="0088208F"/>
    <w:rsid w:val="0088456B"/>
    <w:rsid w:val="008902F1"/>
    <w:rsid w:val="00892382"/>
    <w:rsid w:val="008923F5"/>
    <w:rsid w:val="00892686"/>
    <w:rsid w:val="008932C5"/>
    <w:rsid w:val="0089470C"/>
    <w:rsid w:val="0089512B"/>
    <w:rsid w:val="008957A3"/>
    <w:rsid w:val="008A141B"/>
    <w:rsid w:val="008A5019"/>
    <w:rsid w:val="008B03A8"/>
    <w:rsid w:val="008B23AA"/>
    <w:rsid w:val="008B2F00"/>
    <w:rsid w:val="008B3B31"/>
    <w:rsid w:val="008B5BAE"/>
    <w:rsid w:val="008C050C"/>
    <w:rsid w:val="008C0995"/>
    <w:rsid w:val="008C3A12"/>
    <w:rsid w:val="008C7C6D"/>
    <w:rsid w:val="008D1A97"/>
    <w:rsid w:val="008D274D"/>
    <w:rsid w:val="008D2F24"/>
    <w:rsid w:val="008D33DA"/>
    <w:rsid w:val="008D3777"/>
    <w:rsid w:val="008D55B8"/>
    <w:rsid w:val="008D62F3"/>
    <w:rsid w:val="008D6BD1"/>
    <w:rsid w:val="008E0BB6"/>
    <w:rsid w:val="008E2740"/>
    <w:rsid w:val="008E46D8"/>
    <w:rsid w:val="008E4B48"/>
    <w:rsid w:val="008E53A3"/>
    <w:rsid w:val="008E5468"/>
    <w:rsid w:val="008E5853"/>
    <w:rsid w:val="008E58FA"/>
    <w:rsid w:val="008E784C"/>
    <w:rsid w:val="008E7AAA"/>
    <w:rsid w:val="008F0823"/>
    <w:rsid w:val="008F2026"/>
    <w:rsid w:val="008F203C"/>
    <w:rsid w:val="008F250C"/>
    <w:rsid w:val="008F5C24"/>
    <w:rsid w:val="008F605F"/>
    <w:rsid w:val="008F7980"/>
    <w:rsid w:val="008F7C5B"/>
    <w:rsid w:val="0090104C"/>
    <w:rsid w:val="00902DFA"/>
    <w:rsid w:val="009042E0"/>
    <w:rsid w:val="009055F7"/>
    <w:rsid w:val="00905C5B"/>
    <w:rsid w:val="00906244"/>
    <w:rsid w:val="009138DB"/>
    <w:rsid w:val="009139D2"/>
    <w:rsid w:val="00913A5A"/>
    <w:rsid w:val="009147D1"/>
    <w:rsid w:val="009150DC"/>
    <w:rsid w:val="00916840"/>
    <w:rsid w:val="009178C3"/>
    <w:rsid w:val="00921675"/>
    <w:rsid w:val="0092233F"/>
    <w:rsid w:val="00922F32"/>
    <w:rsid w:val="0092333D"/>
    <w:rsid w:val="009236BC"/>
    <w:rsid w:val="00931B92"/>
    <w:rsid w:val="00933C55"/>
    <w:rsid w:val="00934262"/>
    <w:rsid w:val="0093522B"/>
    <w:rsid w:val="009364D0"/>
    <w:rsid w:val="00936DE3"/>
    <w:rsid w:val="009411AE"/>
    <w:rsid w:val="00943652"/>
    <w:rsid w:val="00943864"/>
    <w:rsid w:val="00943A0D"/>
    <w:rsid w:val="0094520E"/>
    <w:rsid w:val="0095007D"/>
    <w:rsid w:val="009532B1"/>
    <w:rsid w:val="00954DED"/>
    <w:rsid w:val="00956C90"/>
    <w:rsid w:val="00961E62"/>
    <w:rsid w:val="009622F9"/>
    <w:rsid w:val="009625E3"/>
    <w:rsid w:val="00962A90"/>
    <w:rsid w:val="00966880"/>
    <w:rsid w:val="00967876"/>
    <w:rsid w:val="0097340A"/>
    <w:rsid w:val="009746FD"/>
    <w:rsid w:val="009752D3"/>
    <w:rsid w:val="00975BC4"/>
    <w:rsid w:val="00977687"/>
    <w:rsid w:val="00977972"/>
    <w:rsid w:val="009802B3"/>
    <w:rsid w:val="00980307"/>
    <w:rsid w:val="00981490"/>
    <w:rsid w:val="00981587"/>
    <w:rsid w:val="00984C35"/>
    <w:rsid w:val="0098593D"/>
    <w:rsid w:val="00985A5C"/>
    <w:rsid w:val="00986363"/>
    <w:rsid w:val="009877A4"/>
    <w:rsid w:val="00992790"/>
    <w:rsid w:val="00994249"/>
    <w:rsid w:val="0099502A"/>
    <w:rsid w:val="0099538F"/>
    <w:rsid w:val="009A06E3"/>
    <w:rsid w:val="009A48FF"/>
    <w:rsid w:val="009A56A0"/>
    <w:rsid w:val="009A682D"/>
    <w:rsid w:val="009A6B0C"/>
    <w:rsid w:val="009A770C"/>
    <w:rsid w:val="009B05E8"/>
    <w:rsid w:val="009B11FA"/>
    <w:rsid w:val="009B17EF"/>
    <w:rsid w:val="009B2E94"/>
    <w:rsid w:val="009B2F99"/>
    <w:rsid w:val="009B64C3"/>
    <w:rsid w:val="009B6673"/>
    <w:rsid w:val="009B74E5"/>
    <w:rsid w:val="009C0053"/>
    <w:rsid w:val="009C2779"/>
    <w:rsid w:val="009C2849"/>
    <w:rsid w:val="009C316E"/>
    <w:rsid w:val="009C386D"/>
    <w:rsid w:val="009C4D97"/>
    <w:rsid w:val="009C6638"/>
    <w:rsid w:val="009C7403"/>
    <w:rsid w:val="009C7E28"/>
    <w:rsid w:val="009D236F"/>
    <w:rsid w:val="009D5230"/>
    <w:rsid w:val="009D53E5"/>
    <w:rsid w:val="009D7275"/>
    <w:rsid w:val="009D757D"/>
    <w:rsid w:val="009D7D18"/>
    <w:rsid w:val="009E166A"/>
    <w:rsid w:val="009E2BA7"/>
    <w:rsid w:val="009E68DC"/>
    <w:rsid w:val="009F19DD"/>
    <w:rsid w:val="009F2F28"/>
    <w:rsid w:val="009F3054"/>
    <w:rsid w:val="009F5507"/>
    <w:rsid w:val="009F5750"/>
    <w:rsid w:val="009F66AE"/>
    <w:rsid w:val="009F6B95"/>
    <w:rsid w:val="009F6CA4"/>
    <w:rsid w:val="009F7D5C"/>
    <w:rsid w:val="00A03842"/>
    <w:rsid w:val="00A10640"/>
    <w:rsid w:val="00A2193A"/>
    <w:rsid w:val="00A220CA"/>
    <w:rsid w:val="00A23502"/>
    <w:rsid w:val="00A24776"/>
    <w:rsid w:val="00A26817"/>
    <w:rsid w:val="00A26986"/>
    <w:rsid w:val="00A33677"/>
    <w:rsid w:val="00A33C66"/>
    <w:rsid w:val="00A346F2"/>
    <w:rsid w:val="00A35B73"/>
    <w:rsid w:val="00A35D46"/>
    <w:rsid w:val="00A3637E"/>
    <w:rsid w:val="00A36582"/>
    <w:rsid w:val="00A371B3"/>
    <w:rsid w:val="00A40DA9"/>
    <w:rsid w:val="00A41A30"/>
    <w:rsid w:val="00A42417"/>
    <w:rsid w:val="00A430B2"/>
    <w:rsid w:val="00A44FAD"/>
    <w:rsid w:val="00A45AAE"/>
    <w:rsid w:val="00A45EB5"/>
    <w:rsid w:val="00A463CC"/>
    <w:rsid w:val="00A464A9"/>
    <w:rsid w:val="00A52341"/>
    <w:rsid w:val="00A55137"/>
    <w:rsid w:val="00A61B68"/>
    <w:rsid w:val="00A637F8"/>
    <w:rsid w:val="00A6381B"/>
    <w:rsid w:val="00A64020"/>
    <w:rsid w:val="00A647E1"/>
    <w:rsid w:val="00A66E25"/>
    <w:rsid w:val="00A67903"/>
    <w:rsid w:val="00A705BC"/>
    <w:rsid w:val="00A71B6B"/>
    <w:rsid w:val="00A75928"/>
    <w:rsid w:val="00A8008E"/>
    <w:rsid w:val="00A80CCF"/>
    <w:rsid w:val="00A80EE3"/>
    <w:rsid w:val="00A84D12"/>
    <w:rsid w:val="00A84E2B"/>
    <w:rsid w:val="00A87864"/>
    <w:rsid w:val="00A94DC8"/>
    <w:rsid w:val="00A9510B"/>
    <w:rsid w:val="00A95CD7"/>
    <w:rsid w:val="00AA28F5"/>
    <w:rsid w:val="00AA5E25"/>
    <w:rsid w:val="00AA61C9"/>
    <w:rsid w:val="00AA66FE"/>
    <w:rsid w:val="00AA7343"/>
    <w:rsid w:val="00AA7A02"/>
    <w:rsid w:val="00AB283C"/>
    <w:rsid w:val="00AB2C75"/>
    <w:rsid w:val="00AC0315"/>
    <w:rsid w:val="00AC44B0"/>
    <w:rsid w:val="00AC7043"/>
    <w:rsid w:val="00AC7523"/>
    <w:rsid w:val="00AC7D9C"/>
    <w:rsid w:val="00AD168D"/>
    <w:rsid w:val="00AD468F"/>
    <w:rsid w:val="00AD5B74"/>
    <w:rsid w:val="00AE08C2"/>
    <w:rsid w:val="00AE2B06"/>
    <w:rsid w:val="00AE2C18"/>
    <w:rsid w:val="00AE4E4C"/>
    <w:rsid w:val="00AE533F"/>
    <w:rsid w:val="00AE5D16"/>
    <w:rsid w:val="00AE65BE"/>
    <w:rsid w:val="00AF049B"/>
    <w:rsid w:val="00AF1092"/>
    <w:rsid w:val="00AF279C"/>
    <w:rsid w:val="00AF3192"/>
    <w:rsid w:val="00AF4C82"/>
    <w:rsid w:val="00AF6601"/>
    <w:rsid w:val="00AF7DE5"/>
    <w:rsid w:val="00B00B1D"/>
    <w:rsid w:val="00B01E58"/>
    <w:rsid w:val="00B022D5"/>
    <w:rsid w:val="00B05420"/>
    <w:rsid w:val="00B05FD2"/>
    <w:rsid w:val="00B07A49"/>
    <w:rsid w:val="00B12687"/>
    <w:rsid w:val="00B12A2C"/>
    <w:rsid w:val="00B12E7B"/>
    <w:rsid w:val="00B154B8"/>
    <w:rsid w:val="00B17697"/>
    <w:rsid w:val="00B22D95"/>
    <w:rsid w:val="00B23B3A"/>
    <w:rsid w:val="00B371B4"/>
    <w:rsid w:val="00B37A80"/>
    <w:rsid w:val="00B4041A"/>
    <w:rsid w:val="00B450DC"/>
    <w:rsid w:val="00B467DB"/>
    <w:rsid w:val="00B4778A"/>
    <w:rsid w:val="00B47B77"/>
    <w:rsid w:val="00B503A8"/>
    <w:rsid w:val="00B512B7"/>
    <w:rsid w:val="00B53FFF"/>
    <w:rsid w:val="00B55109"/>
    <w:rsid w:val="00B55FC6"/>
    <w:rsid w:val="00B57AF6"/>
    <w:rsid w:val="00B63380"/>
    <w:rsid w:val="00B63869"/>
    <w:rsid w:val="00B64ABE"/>
    <w:rsid w:val="00B70BA2"/>
    <w:rsid w:val="00B753C1"/>
    <w:rsid w:val="00B779FD"/>
    <w:rsid w:val="00B77EFF"/>
    <w:rsid w:val="00B80630"/>
    <w:rsid w:val="00B8540F"/>
    <w:rsid w:val="00B868F3"/>
    <w:rsid w:val="00B87342"/>
    <w:rsid w:val="00B90852"/>
    <w:rsid w:val="00B91345"/>
    <w:rsid w:val="00B919F8"/>
    <w:rsid w:val="00B91B9E"/>
    <w:rsid w:val="00B9265A"/>
    <w:rsid w:val="00BA103A"/>
    <w:rsid w:val="00BA46A4"/>
    <w:rsid w:val="00BA57DB"/>
    <w:rsid w:val="00BA7A0E"/>
    <w:rsid w:val="00BB0025"/>
    <w:rsid w:val="00BB1C1B"/>
    <w:rsid w:val="00BB565F"/>
    <w:rsid w:val="00BB68D3"/>
    <w:rsid w:val="00BB6978"/>
    <w:rsid w:val="00BC35AA"/>
    <w:rsid w:val="00BC49D9"/>
    <w:rsid w:val="00BC4F0B"/>
    <w:rsid w:val="00BC74BC"/>
    <w:rsid w:val="00BD3B62"/>
    <w:rsid w:val="00BD6A34"/>
    <w:rsid w:val="00BD7BE2"/>
    <w:rsid w:val="00BE08E1"/>
    <w:rsid w:val="00BE1950"/>
    <w:rsid w:val="00BE4252"/>
    <w:rsid w:val="00BE5DEF"/>
    <w:rsid w:val="00BF01FF"/>
    <w:rsid w:val="00BF3262"/>
    <w:rsid w:val="00BF5F8C"/>
    <w:rsid w:val="00BF694E"/>
    <w:rsid w:val="00BF78AA"/>
    <w:rsid w:val="00BF7FF8"/>
    <w:rsid w:val="00C0023B"/>
    <w:rsid w:val="00C033E5"/>
    <w:rsid w:val="00C04C59"/>
    <w:rsid w:val="00C05607"/>
    <w:rsid w:val="00C05668"/>
    <w:rsid w:val="00C05930"/>
    <w:rsid w:val="00C064EE"/>
    <w:rsid w:val="00C07DC6"/>
    <w:rsid w:val="00C125D2"/>
    <w:rsid w:val="00C139AB"/>
    <w:rsid w:val="00C149F3"/>
    <w:rsid w:val="00C17EF8"/>
    <w:rsid w:val="00C20597"/>
    <w:rsid w:val="00C20A19"/>
    <w:rsid w:val="00C2192F"/>
    <w:rsid w:val="00C23D34"/>
    <w:rsid w:val="00C30D7B"/>
    <w:rsid w:val="00C31FCA"/>
    <w:rsid w:val="00C3243A"/>
    <w:rsid w:val="00C33164"/>
    <w:rsid w:val="00C345DC"/>
    <w:rsid w:val="00C35B4C"/>
    <w:rsid w:val="00C47F8D"/>
    <w:rsid w:val="00C50588"/>
    <w:rsid w:val="00C5311B"/>
    <w:rsid w:val="00C53D56"/>
    <w:rsid w:val="00C54EB1"/>
    <w:rsid w:val="00C60B50"/>
    <w:rsid w:val="00C60EB5"/>
    <w:rsid w:val="00C61203"/>
    <w:rsid w:val="00C63DE9"/>
    <w:rsid w:val="00C67C0C"/>
    <w:rsid w:val="00C7096A"/>
    <w:rsid w:val="00C73504"/>
    <w:rsid w:val="00C73EF7"/>
    <w:rsid w:val="00C74826"/>
    <w:rsid w:val="00C74B74"/>
    <w:rsid w:val="00C7644A"/>
    <w:rsid w:val="00C8557A"/>
    <w:rsid w:val="00C855A0"/>
    <w:rsid w:val="00C85C27"/>
    <w:rsid w:val="00C946B3"/>
    <w:rsid w:val="00C94FF1"/>
    <w:rsid w:val="00C950E5"/>
    <w:rsid w:val="00CA077E"/>
    <w:rsid w:val="00CA4C24"/>
    <w:rsid w:val="00CB5B75"/>
    <w:rsid w:val="00CC2B99"/>
    <w:rsid w:val="00CC2C25"/>
    <w:rsid w:val="00CC2E29"/>
    <w:rsid w:val="00CC4CCA"/>
    <w:rsid w:val="00CC64BB"/>
    <w:rsid w:val="00CC6E45"/>
    <w:rsid w:val="00CD06AB"/>
    <w:rsid w:val="00CD3E05"/>
    <w:rsid w:val="00CD60B6"/>
    <w:rsid w:val="00CD6BA5"/>
    <w:rsid w:val="00CD6EF8"/>
    <w:rsid w:val="00CD74B5"/>
    <w:rsid w:val="00CD7906"/>
    <w:rsid w:val="00CE1653"/>
    <w:rsid w:val="00CE197A"/>
    <w:rsid w:val="00CE1CAA"/>
    <w:rsid w:val="00CE2B3D"/>
    <w:rsid w:val="00CE3D8E"/>
    <w:rsid w:val="00CF0F96"/>
    <w:rsid w:val="00CF4873"/>
    <w:rsid w:val="00CF5BA8"/>
    <w:rsid w:val="00D0073B"/>
    <w:rsid w:val="00D0479B"/>
    <w:rsid w:val="00D07C49"/>
    <w:rsid w:val="00D11F18"/>
    <w:rsid w:val="00D121F4"/>
    <w:rsid w:val="00D121FD"/>
    <w:rsid w:val="00D1226F"/>
    <w:rsid w:val="00D12518"/>
    <w:rsid w:val="00D13D2A"/>
    <w:rsid w:val="00D2042D"/>
    <w:rsid w:val="00D21ABE"/>
    <w:rsid w:val="00D22F52"/>
    <w:rsid w:val="00D26FF8"/>
    <w:rsid w:val="00D27511"/>
    <w:rsid w:val="00D30C69"/>
    <w:rsid w:val="00D316EC"/>
    <w:rsid w:val="00D41337"/>
    <w:rsid w:val="00D428CA"/>
    <w:rsid w:val="00D44600"/>
    <w:rsid w:val="00D51504"/>
    <w:rsid w:val="00D5194C"/>
    <w:rsid w:val="00D51C6D"/>
    <w:rsid w:val="00D54CC2"/>
    <w:rsid w:val="00D552E2"/>
    <w:rsid w:val="00D56596"/>
    <w:rsid w:val="00D60FCD"/>
    <w:rsid w:val="00D625B6"/>
    <w:rsid w:val="00D6386A"/>
    <w:rsid w:val="00D645AE"/>
    <w:rsid w:val="00D64BEF"/>
    <w:rsid w:val="00D65730"/>
    <w:rsid w:val="00D7068D"/>
    <w:rsid w:val="00D734B2"/>
    <w:rsid w:val="00D76C12"/>
    <w:rsid w:val="00D826FB"/>
    <w:rsid w:val="00D848EA"/>
    <w:rsid w:val="00D93FE3"/>
    <w:rsid w:val="00D94EC9"/>
    <w:rsid w:val="00D97DDA"/>
    <w:rsid w:val="00DA08F9"/>
    <w:rsid w:val="00DA1FD9"/>
    <w:rsid w:val="00DA3552"/>
    <w:rsid w:val="00DA6281"/>
    <w:rsid w:val="00DA6774"/>
    <w:rsid w:val="00DA739E"/>
    <w:rsid w:val="00DA76F3"/>
    <w:rsid w:val="00DB110C"/>
    <w:rsid w:val="00DB2F47"/>
    <w:rsid w:val="00DB3C5B"/>
    <w:rsid w:val="00DB400F"/>
    <w:rsid w:val="00DB56E3"/>
    <w:rsid w:val="00DC20A3"/>
    <w:rsid w:val="00DC340F"/>
    <w:rsid w:val="00DC442C"/>
    <w:rsid w:val="00DC70B0"/>
    <w:rsid w:val="00DC7728"/>
    <w:rsid w:val="00DD00CE"/>
    <w:rsid w:val="00DD045A"/>
    <w:rsid w:val="00DD3558"/>
    <w:rsid w:val="00DD4980"/>
    <w:rsid w:val="00DD6832"/>
    <w:rsid w:val="00DD7CFF"/>
    <w:rsid w:val="00DE34B3"/>
    <w:rsid w:val="00DE5054"/>
    <w:rsid w:val="00DE577A"/>
    <w:rsid w:val="00DE58CF"/>
    <w:rsid w:val="00DE5DBA"/>
    <w:rsid w:val="00DE6614"/>
    <w:rsid w:val="00DE665B"/>
    <w:rsid w:val="00DF163A"/>
    <w:rsid w:val="00DF37E9"/>
    <w:rsid w:val="00DF38C3"/>
    <w:rsid w:val="00DF3F59"/>
    <w:rsid w:val="00DF4A65"/>
    <w:rsid w:val="00DF4A9A"/>
    <w:rsid w:val="00DF599B"/>
    <w:rsid w:val="00E01073"/>
    <w:rsid w:val="00E01B8C"/>
    <w:rsid w:val="00E0213F"/>
    <w:rsid w:val="00E05DB6"/>
    <w:rsid w:val="00E0617C"/>
    <w:rsid w:val="00E12213"/>
    <w:rsid w:val="00E132CB"/>
    <w:rsid w:val="00E145DF"/>
    <w:rsid w:val="00E16F57"/>
    <w:rsid w:val="00E173B2"/>
    <w:rsid w:val="00E303A8"/>
    <w:rsid w:val="00E40CB3"/>
    <w:rsid w:val="00E411EE"/>
    <w:rsid w:val="00E4598F"/>
    <w:rsid w:val="00E51B9C"/>
    <w:rsid w:val="00E5277D"/>
    <w:rsid w:val="00E5659B"/>
    <w:rsid w:val="00E6691C"/>
    <w:rsid w:val="00E67198"/>
    <w:rsid w:val="00E715AE"/>
    <w:rsid w:val="00E73E2E"/>
    <w:rsid w:val="00E7714D"/>
    <w:rsid w:val="00E84CDA"/>
    <w:rsid w:val="00E86592"/>
    <w:rsid w:val="00E91A96"/>
    <w:rsid w:val="00E94694"/>
    <w:rsid w:val="00E9525B"/>
    <w:rsid w:val="00EA23A0"/>
    <w:rsid w:val="00EA28EA"/>
    <w:rsid w:val="00EA2C2E"/>
    <w:rsid w:val="00EA5EF9"/>
    <w:rsid w:val="00EA750F"/>
    <w:rsid w:val="00EB023A"/>
    <w:rsid w:val="00EB1577"/>
    <w:rsid w:val="00EB22E9"/>
    <w:rsid w:val="00EB2D23"/>
    <w:rsid w:val="00EB36F9"/>
    <w:rsid w:val="00EB3EAB"/>
    <w:rsid w:val="00EB559D"/>
    <w:rsid w:val="00EB5610"/>
    <w:rsid w:val="00EB6E02"/>
    <w:rsid w:val="00EB736B"/>
    <w:rsid w:val="00EC1D37"/>
    <w:rsid w:val="00EC3CE3"/>
    <w:rsid w:val="00EC57D9"/>
    <w:rsid w:val="00EC705E"/>
    <w:rsid w:val="00ED1771"/>
    <w:rsid w:val="00ED4ADD"/>
    <w:rsid w:val="00ED4C6D"/>
    <w:rsid w:val="00ED591D"/>
    <w:rsid w:val="00ED68CD"/>
    <w:rsid w:val="00ED736E"/>
    <w:rsid w:val="00ED7D68"/>
    <w:rsid w:val="00EE4B03"/>
    <w:rsid w:val="00EF04CF"/>
    <w:rsid w:val="00EF0773"/>
    <w:rsid w:val="00EF207F"/>
    <w:rsid w:val="00EF4F04"/>
    <w:rsid w:val="00EF5680"/>
    <w:rsid w:val="00EF62CD"/>
    <w:rsid w:val="00F03EB7"/>
    <w:rsid w:val="00F064F7"/>
    <w:rsid w:val="00F07CD4"/>
    <w:rsid w:val="00F1179A"/>
    <w:rsid w:val="00F11960"/>
    <w:rsid w:val="00F14DFE"/>
    <w:rsid w:val="00F1569C"/>
    <w:rsid w:val="00F1788C"/>
    <w:rsid w:val="00F205EB"/>
    <w:rsid w:val="00F242D9"/>
    <w:rsid w:val="00F26001"/>
    <w:rsid w:val="00F30553"/>
    <w:rsid w:val="00F313E0"/>
    <w:rsid w:val="00F3269C"/>
    <w:rsid w:val="00F33621"/>
    <w:rsid w:val="00F33A33"/>
    <w:rsid w:val="00F37CF1"/>
    <w:rsid w:val="00F4158F"/>
    <w:rsid w:val="00F42A0E"/>
    <w:rsid w:val="00F4478E"/>
    <w:rsid w:val="00F46BBA"/>
    <w:rsid w:val="00F46EA4"/>
    <w:rsid w:val="00F51EB5"/>
    <w:rsid w:val="00F527A6"/>
    <w:rsid w:val="00F5339F"/>
    <w:rsid w:val="00F54C93"/>
    <w:rsid w:val="00F6076E"/>
    <w:rsid w:val="00F60C4E"/>
    <w:rsid w:val="00F62750"/>
    <w:rsid w:val="00F62FAE"/>
    <w:rsid w:val="00F63AB9"/>
    <w:rsid w:val="00F654EA"/>
    <w:rsid w:val="00F71FB3"/>
    <w:rsid w:val="00F72E77"/>
    <w:rsid w:val="00F74DD6"/>
    <w:rsid w:val="00F770D4"/>
    <w:rsid w:val="00F80DAF"/>
    <w:rsid w:val="00F80EBD"/>
    <w:rsid w:val="00F8195A"/>
    <w:rsid w:val="00F82460"/>
    <w:rsid w:val="00F83196"/>
    <w:rsid w:val="00F85014"/>
    <w:rsid w:val="00F868F0"/>
    <w:rsid w:val="00F90F7B"/>
    <w:rsid w:val="00F913D4"/>
    <w:rsid w:val="00F914EB"/>
    <w:rsid w:val="00F92C75"/>
    <w:rsid w:val="00F935FE"/>
    <w:rsid w:val="00F93A45"/>
    <w:rsid w:val="00F94BB6"/>
    <w:rsid w:val="00F95D63"/>
    <w:rsid w:val="00F96F17"/>
    <w:rsid w:val="00F97482"/>
    <w:rsid w:val="00F97853"/>
    <w:rsid w:val="00FA0A5C"/>
    <w:rsid w:val="00FA1EA0"/>
    <w:rsid w:val="00FA625D"/>
    <w:rsid w:val="00FA71BF"/>
    <w:rsid w:val="00FB144D"/>
    <w:rsid w:val="00FB1530"/>
    <w:rsid w:val="00FB2E4F"/>
    <w:rsid w:val="00FB2E5A"/>
    <w:rsid w:val="00FB4BC2"/>
    <w:rsid w:val="00FB6EE0"/>
    <w:rsid w:val="00FB7346"/>
    <w:rsid w:val="00FC07DC"/>
    <w:rsid w:val="00FC0F18"/>
    <w:rsid w:val="00FC0FA7"/>
    <w:rsid w:val="00FC2DA8"/>
    <w:rsid w:val="00FC65B9"/>
    <w:rsid w:val="00FC6878"/>
    <w:rsid w:val="00FD0FD3"/>
    <w:rsid w:val="00FD101E"/>
    <w:rsid w:val="00FD292F"/>
    <w:rsid w:val="00FD4133"/>
    <w:rsid w:val="00FD5FF0"/>
    <w:rsid w:val="00FD7A8A"/>
    <w:rsid w:val="00FD7FC1"/>
    <w:rsid w:val="00FE1CF3"/>
    <w:rsid w:val="00FE26C8"/>
    <w:rsid w:val="00FE517B"/>
    <w:rsid w:val="00FE6934"/>
    <w:rsid w:val="00FF2720"/>
    <w:rsid w:val="00FF2BF3"/>
    <w:rsid w:val="00FF3C43"/>
    <w:rsid w:val="00FF4180"/>
    <w:rsid w:val="00FF6563"/>
    <w:rsid w:val="00FF6A33"/>
    <w:rsid w:val="00FF7E63"/>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CE9D34"/>
  <w15:docId w15:val="{2955853F-3F10-4782-B2A7-98AD0D950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ANEXO"/>
    <w:basedOn w:val="Normal"/>
    <w:next w:val="Normal"/>
    <w:link w:val="Ttulo1Car"/>
    <w:qFormat/>
    <w:rsid w:val="005C1BCA"/>
    <w:pPr>
      <w:keepNext/>
      <w:spacing w:after="0" w:line="240" w:lineRule="auto"/>
      <w:ind w:left="567"/>
      <w:jc w:val="center"/>
      <w:outlineLvl w:val="0"/>
    </w:pPr>
    <w:rPr>
      <w:rFonts w:ascii="CG Times" w:eastAsia="Times New Roman" w:hAnsi="CG Times" w:cs="Times New Roman"/>
      <w:b/>
      <w:sz w:val="24"/>
      <w:szCs w:val="20"/>
      <w:lang w:eastAsia="es-ES"/>
    </w:rPr>
  </w:style>
  <w:style w:type="paragraph" w:styleId="Ttulo2">
    <w:name w:val="heading 2"/>
    <w:basedOn w:val="Normal"/>
    <w:next w:val="Normal"/>
    <w:link w:val="Ttulo2Car"/>
    <w:uiPriority w:val="9"/>
    <w:unhideWhenUsed/>
    <w:qFormat/>
    <w:rsid w:val="007917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5C1BCA"/>
    <w:pPr>
      <w:keepNext/>
      <w:spacing w:after="0" w:line="240" w:lineRule="auto"/>
      <w:ind w:left="567"/>
      <w:jc w:val="center"/>
      <w:outlineLvl w:val="2"/>
    </w:pPr>
    <w:rPr>
      <w:rFonts w:ascii="CG Times" w:eastAsia="Times New Roman" w:hAnsi="CG Times" w:cs="Times New Roman"/>
      <w:b/>
      <w:snapToGrid w:val="0"/>
      <w:color w:val="000000"/>
      <w:sz w:val="24"/>
      <w:szCs w:val="20"/>
      <w:lang w:val="es-ES_tradnl" w:eastAsia="es-ES"/>
    </w:rPr>
  </w:style>
  <w:style w:type="paragraph" w:styleId="Ttulo4">
    <w:name w:val="heading 4"/>
    <w:basedOn w:val="Normal"/>
    <w:next w:val="Normal"/>
    <w:link w:val="Ttulo4Car"/>
    <w:qFormat/>
    <w:rsid w:val="005C1BCA"/>
    <w:pPr>
      <w:keepNext/>
      <w:spacing w:after="0" w:line="240" w:lineRule="auto"/>
      <w:ind w:left="567"/>
      <w:jc w:val="center"/>
      <w:outlineLvl w:val="3"/>
    </w:pPr>
    <w:rPr>
      <w:rFonts w:ascii="Arial" w:eastAsia="Times New Roman" w:hAnsi="Arial" w:cs="Arial"/>
      <w:b/>
      <w:snapToGrid w:val="0"/>
      <w:color w:val="000000"/>
      <w:spacing w:val="20"/>
      <w:sz w:val="20"/>
      <w:szCs w:val="20"/>
      <w:lang w:val="es-ES_tradnl" w:eastAsia="es-ES"/>
    </w:rPr>
  </w:style>
  <w:style w:type="paragraph" w:styleId="Ttulo5">
    <w:name w:val="heading 5"/>
    <w:basedOn w:val="Normal"/>
    <w:next w:val="Normal"/>
    <w:link w:val="Ttulo5Car"/>
    <w:qFormat/>
    <w:rsid w:val="005C1BCA"/>
    <w:pPr>
      <w:keepNext/>
      <w:spacing w:after="0" w:line="240" w:lineRule="auto"/>
      <w:ind w:left="567"/>
      <w:jc w:val="center"/>
      <w:outlineLvl w:val="4"/>
    </w:pPr>
    <w:rPr>
      <w:rFonts w:ascii="Arial" w:eastAsia="Times New Roman" w:hAnsi="Arial" w:cs="Arial"/>
      <w:b/>
      <w:snapToGrid w:val="0"/>
      <w:color w:val="000000"/>
      <w:spacing w:val="20"/>
      <w:sz w:val="28"/>
      <w:szCs w:val="20"/>
      <w:lang w:val="es-ES_tradnl" w:eastAsia="es-ES"/>
    </w:rPr>
  </w:style>
  <w:style w:type="paragraph" w:styleId="Ttulo6">
    <w:name w:val="heading 6"/>
    <w:basedOn w:val="Normal"/>
    <w:next w:val="Normal"/>
    <w:link w:val="Ttulo6Car"/>
    <w:unhideWhenUsed/>
    <w:qFormat/>
    <w:rsid w:val="005C1BCA"/>
    <w:pPr>
      <w:spacing w:before="240" w:after="60" w:line="240" w:lineRule="auto"/>
      <w:ind w:left="567"/>
      <w:outlineLvl w:val="5"/>
    </w:pPr>
    <w:rPr>
      <w:rFonts w:ascii="Calibri" w:eastAsia="Times New Roman" w:hAnsi="Calibri" w:cs="Times New Roman"/>
      <w:b/>
      <w:bCs/>
      <w:lang w:val="es-ES" w:eastAsia="es-ES"/>
    </w:rPr>
  </w:style>
  <w:style w:type="paragraph" w:styleId="Ttulo7">
    <w:name w:val="heading 7"/>
    <w:basedOn w:val="Normal"/>
    <w:next w:val="Normal"/>
    <w:link w:val="Ttulo7Car"/>
    <w:uiPriority w:val="9"/>
    <w:unhideWhenUsed/>
    <w:qFormat/>
    <w:rsid w:val="005C1BCA"/>
    <w:pPr>
      <w:spacing w:before="240" w:after="60" w:line="240" w:lineRule="auto"/>
      <w:ind w:left="567"/>
      <w:outlineLvl w:val="6"/>
    </w:pPr>
    <w:rPr>
      <w:rFonts w:ascii="Calibri" w:eastAsia="Times New Roman" w:hAnsi="Calibri"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5C1BCA"/>
    <w:pPr>
      <w:ind w:left="720"/>
      <w:contextualSpacing/>
    </w:pPr>
  </w:style>
  <w:style w:type="character" w:customStyle="1" w:styleId="Ttulo1Car">
    <w:name w:val="Título 1 Car"/>
    <w:aliases w:val="ANEXO Car"/>
    <w:basedOn w:val="Fuentedeprrafopredeter"/>
    <w:link w:val="Ttulo1"/>
    <w:rsid w:val="005C1BCA"/>
    <w:rPr>
      <w:rFonts w:ascii="CG Times" w:eastAsia="Times New Roman" w:hAnsi="CG Times" w:cs="Times New Roman"/>
      <w:b/>
      <w:sz w:val="24"/>
      <w:szCs w:val="20"/>
      <w:lang w:eastAsia="es-ES"/>
    </w:rPr>
  </w:style>
  <w:style w:type="character" w:customStyle="1" w:styleId="Ttulo3Car">
    <w:name w:val="Título 3 Car"/>
    <w:basedOn w:val="Fuentedeprrafopredeter"/>
    <w:link w:val="Ttulo3"/>
    <w:rsid w:val="005C1BCA"/>
    <w:rPr>
      <w:rFonts w:ascii="CG Times" w:eastAsia="Times New Roman" w:hAnsi="CG Times" w:cs="Times New Roman"/>
      <w:b/>
      <w:snapToGrid w:val="0"/>
      <w:color w:val="000000"/>
      <w:sz w:val="24"/>
      <w:szCs w:val="20"/>
      <w:lang w:val="es-ES_tradnl" w:eastAsia="es-ES"/>
    </w:rPr>
  </w:style>
  <w:style w:type="character" w:customStyle="1" w:styleId="Ttulo4Car">
    <w:name w:val="Título 4 Car"/>
    <w:basedOn w:val="Fuentedeprrafopredeter"/>
    <w:link w:val="Ttulo4"/>
    <w:rsid w:val="005C1BCA"/>
    <w:rPr>
      <w:rFonts w:ascii="Arial" w:eastAsia="Times New Roman" w:hAnsi="Arial" w:cs="Arial"/>
      <w:b/>
      <w:snapToGrid w:val="0"/>
      <w:color w:val="000000"/>
      <w:spacing w:val="20"/>
      <w:sz w:val="20"/>
      <w:szCs w:val="20"/>
      <w:lang w:val="es-ES_tradnl" w:eastAsia="es-ES"/>
    </w:rPr>
  </w:style>
  <w:style w:type="character" w:customStyle="1" w:styleId="Ttulo5Car">
    <w:name w:val="Título 5 Car"/>
    <w:basedOn w:val="Fuentedeprrafopredeter"/>
    <w:link w:val="Ttulo5"/>
    <w:rsid w:val="005C1BCA"/>
    <w:rPr>
      <w:rFonts w:ascii="Arial" w:eastAsia="Times New Roman" w:hAnsi="Arial" w:cs="Arial"/>
      <w:b/>
      <w:snapToGrid w:val="0"/>
      <w:color w:val="000000"/>
      <w:spacing w:val="20"/>
      <w:sz w:val="28"/>
      <w:szCs w:val="20"/>
      <w:lang w:val="es-ES_tradnl" w:eastAsia="es-ES"/>
    </w:rPr>
  </w:style>
  <w:style w:type="character" w:customStyle="1" w:styleId="Ttulo6Car">
    <w:name w:val="Título 6 Car"/>
    <w:basedOn w:val="Fuentedeprrafopredeter"/>
    <w:link w:val="Ttulo6"/>
    <w:rsid w:val="005C1BCA"/>
    <w:rPr>
      <w:rFonts w:ascii="Calibri" w:eastAsia="Times New Roman" w:hAnsi="Calibri" w:cs="Times New Roman"/>
      <w:b/>
      <w:bCs/>
      <w:lang w:val="es-ES" w:eastAsia="es-ES"/>
    </w:rPr>
  </w:style>
  <w:style w:type="character" w:customStyle="1" w:styleId="Ttulo7Car">
    <w:name w:val="Título 7 Car"/>
    <w:basedOn w:val="Fuentedeprrafopredeter"/>
    <w:link w:val="Ttulo7"/>
    <w:uiPriority w:val="9"/>
    <w:rsid w:val="005C1BCA"/>
    <w:rPr>
      <w:rFonts w:ascii="Calibri" w:eastAsia="Times New Roman" w:hAnsi="Calibri" w:cs="Times New Roman"/>
      <w:sz w:val="24"/>
      <w:szCs w:val="24"/>
      <w:lang w:val="es-ES" w:eastAsia="es-ES"/>
    </w:rPr>
  </w:style>
  <w:style w:type="numbering" w:customStyle="1" w:styleId="Sinlista1">
    <w:name w:val="Sin lista1"/>
    <w:next w:val="Sinlista"/>
    <w:uiPriority w:val="99"/>
    <w:semiHidden/>
    <w:unhideWhenUsed/>
    <w:rsid w:val="005C1BCA"/>
  </w:style>
  <w:style w:type="paragraph" w:styleId="Encabezado">
    <w:name w:val="header"/>
    <w:basedOn w:val="Normal"/>
    <w:link w:val="EncabezadoCar"/>
    <w:rsid w:val="005C1BCA"/>
    <w:pPr>
      <w:tabs>
        <w:tab w:val="center" w:pos="4252"/>
        <w:tab w:val="right" w:pos="8504"/>
      </w:tabs>
      <w:spacing w:after="0" w:line="240" w:lineRule="auto"/>
      <w:ind w:left="567"/>
    </w:pPr>
    <w:rPr>
      <w:rFonts w:ascii="CG Times" w:eastAsia="Times New Roman" w:hAnsi="CG Times" w:cs="Times New Roman"/>
      <w:sz w:val="24"/>
      <w:szCs w:val="20"/>
      <w:lang w:eastAsia="es-ES"/>
    </w:rPr>
  </w:style>
  <w:style w:type="character" w:customStyle="1" w:styleId="EncabezadoCar">
    <w:name w:val="Encabezado Car"/>
    <w:basedOn w:val="Fuentedeprrafopredeter"/>
    <w:link w:val="Encabezado"/>
    <w:rsid w:val="005C1BCA"/>
    <w:rPr>
      <w:rFonts w:ascii="CG Times" w:eastAsia="Times New Roman" w:hAnsi="CG Times" w:cs="Times New Roman"/>
      <w:sz w:val="24"/>
      <w:szCs w:val="20"/>
      <w:lang w:eastAsia="es-ES"/>
    </w:rPr>
  </w:style>
  <w:style w:type="paragraph" w:styleId="Piedepgina">
    <w:name w:val="footer"/>
    <w:basedOn w:val="Normal"/>
    <w:link w:val="PiedepginaCar"/>
    <w:rsid w:val="005C1BCA"/>
    <w:pPr>
      <w:tabs>
        <w:tab w:val="center" w:pos="4252"/>
        <w:tab w:val="right" w:pos="8504"/>
      </w:tabs>
      <w:spacing w:after="0" w:line="240" w:lineRule="auto"/>
      <w:ind w:left="567"/>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5C1BCA"/>
    <w:rPr>
      <w:rFonts w:ascii="Times New Roman" w:eastAsia="Times New Roman" w:hAnsi="Times New Roman" w:cs="Times New Roman"/>
      <w:sz w:val="24"/>
      <w:szCs w:val="24"/>
      <w:lang w:val="es-ES" w:eastAsia="es-ES"/>
    </w:rPr>
  </w:style>
  <w:style w:type="paragraph" w:customStyle="1" w:styleId="Estilo1">
    <w:name w:val="Estilo1"/>
    <w:basedOn w:val="Normal"/>
    <w:rsid w:val="005C1BCA"/>
    <w:pPr>
      <w:shd w:val="clear" w:color="auto" w:fill="C0C0C0"/>
      <w:spacing w:after="0" w:line="240" w:lineRule="auto"/>
      <w:ind w:left="567"/>
      <w:jc w:val="center"/>
    </w:pPr>
    <w:rPr>
      <w:rFonts w:ascii="Comic Sans MS" w:eastAsia="Times New Roman" w:hAnsi="Comic Sans MS" w:cs="Times New Roman"/>
      <w:color w:val="0000FF"/>
      <w:sz w:val="36"/>
      <w:szCs w:val="20"/>
      <w:lang w:eastAsia="es-E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styleId="Nmerodepgina">
    <w:name w:val="page number"/>
    <w:basedOn w:val="Fuentedeprrafopredeter"/>
    <w:semiHidden/>
    <w:rsid w:val="005C1BCA"/>
  </w:style>
  <w:style w:type="paragraph" w:styleId="Textoindependiente">
    <w:name w:val="Body Text"/>
    <w:basedOn w:val="Normal"/>
    <w:link w:val="TextoindependienteCar"/>
    <w:semiHidden/>
    <w:rsid w:val="005C1BCA"/>
    <w:pPr>
      <w:spacing w:after="0" w:line="240" w:lineRule="auto"/>
      <w:ind w:left="567"/>
      <w:jc w:val="center"/>
    </w:pPr>
    <w:rPr>
      <w:rFonts w:ascii="Arial" w:eastAsia="Times New Roman" w:hAnsi="Arial" w:cs="Arial"/>
      <w:b/>
      <w:bCs/>
      <w:sz w:val="24"/>
      <w:szCs w:val="24"/>
      <w:lang w:val="es-ES" w:eastAsia="es-ES"/>
    </w:rPr>
  </w:style>
  <w:style w:type="character" w:customStyle="1" w:styleId="TextoindependienteCar">
    <w:name w:val="Texto independiente Car"/>
    <w:basedOn w:val="Fuentedeprrafopredeter"/>
    <w:link w:val="Textoindependiente"/>
    <w:semiHidden/>
    <w:rsid w:val="005C1BCA"/>
    <w:rPr>
      <w:rFonts w:ascii="Arial" w:eastAsia="Times New Roman" w:hAnsi="Arial" w:cs="Arial"/>
      <w:b/>
      <w:bCs/>
      <w:sz w:val="24"/>
      <w:szCs w:val="24"/>
      <w:lang w:val="es-ES" w:eastAsia="es-ES"/>
    </w:rPr>
  </w:style>
  <w:style w:type="paragraph" w:styleId="Textoindependiente3">
    <w:name w:val="Body Text 3"/>
    <w:basedOn w:val="Normal"/>
    <w:link w:val="Textoindependiente3Car"/>
    <w:semiHidden/>
    <w:rsid w:val="005C1BCA"/>
    <w:pPr>
      <w:spacing w:after="0" w:line="240" w:lineRule="auto"/>
      <w:ind w:left="567"/>
      <w:jc w:val="center"/>
      <w:outlineLvl w:val="0"/>
    </w:pPr>
    <w:rPr>
      <w:rFonts w:ascii="Arial" w:eastAsia="Times New Roman" w:hAnsi="Arial" w:cs="Arial"/>
      <w:b/>
      <w:bCs/>
      <w:spacing w:val="-3"/>
      <w:sz w:val="24"/>
      <w:szCs w:val="24"/>
      <w:lang w:val="es-ES" w:eastAsia="es-ES"/>
    </w:rPr>
  </w:style>
  <w:style w:type="character" w:customStyle="1" w:styleId="Textoindependiente3Car">
    <w:name w:val="Texto independiente 3 Car"/>
    <w:basedOn w:val="Fuentedeprrafopredeter"/>
    <w:link w:val="Textoindependiente3"/>
    <w:semiHidden/>
    <w:rsid w:val="005C1BCA"/>
    <w:rPr>
      <w:rFonts w:ascii="Arial" w:eastAsia="Times New Roman" w:hAnsi="Arial" w:cs="Arial"/>
      <w:b/>
      <w:bCs/>
      <w:spacing w:val="-3"/>
      <w:sz w:val="24"/>
      <w:szCs w:val="24"/>
      <w:lang w:val="es-ES" w:eastAsia="es-ES"/>
    </w:rPr>
  </w:style>
  <w:style w:type="paragraph" w:styleId="Textodeglobo">
    <w:name w:val="Balloon Text"/>
    <w:basedOn w:val="Normal"/>
    <w:link w:val="TextodegloboCar"/>
    <w:uiPriority w:val="99"/>
    <w:semiHidden/>
    <w:unhideWhenUsed/>
    <w:rsid w:val="005C1BCA"/>
    <w:pPr>
      <w:spacing w:after="0" w:line="240" w:lineRule="auto"/>
      <w:ind w:left="567"/>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uiPriority w:val="99"/>
    <w:semiHidden/>
    <w:rsid w:val="005C1BCA"/>
    <w:rPr>
      <w:rFonts w:ascii="Tahoma" w:eastAsia="Times New Roman" w:hAnsi="Tahoma" w:cs="Tahoma"/>
      <w:sz w:val="16"/>
      <w:szCs w:val="16"/>
      <w:lang w:val="es-ES" w:eastAsia="es-ES"/>
    </w:rPr>
  </w:style>
  <w:style w:type="table" w:styleId="Tablaconcuadrcula">
    <w:name w:val="Table Grid"/>
    <w:basedOn w:val="Tablanormal"/>
    <w:uiPriority w:val="39"/>
    <w:rsid w:val="005C1BCA"/>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
    <w:name w:val="Title"/>
    <w:basedOn w:val="Normal"/>
    <w:link w:val="TtuloCar"/>
    <w:qFormat/>
    <w:rsid w:val="005C1BCA"/>
    <w:pPr>
      <w:widowControl w:val="0"/>
      <w:adjustRightInd w:val="0"/>
      <w:spacing w:after="0" w:line="360" w:lineRule="atLeast"/>
      <w:ind w:left="567"/>
      <w:jc w:val="center"/>
      <w:textAlignment w:val="baseline"/>
    </w:pPr>
    <w:rPr>
      <w:rFonts w:ascii="Arial" w:eastAsia="Times New Roman" w:hAnsi="Arial" w:cs="Arial"/>
      <w:b/>
      <w:bCs/>
      <w:sz w:val="24"/>
      <w:szCs w:val="24"/>
      <w:lang w:val="es-ES" w:eastAsia="es-ES"/>
    </w:rPr>
  </w:style>
  <w:style w:type="character" w:customStyle="1" w:styleId="TtuloCar">
    <w:name w:val="Título Car"/>
    <w:basedOn w:val="Fuentedeprrafopredeter"/>
    <w:link w:val="Ttulo"/>
    <w:rsid w:val="005C1BCA"/>
    <w:rPr>
      <w:rFonts w:ascii="Arial" w:eastAsia="Times New Roman" w:hAnsi="Arial" w:cs="Arial"/>
      <w:b/>
      <w:bCs/>
      <w:sz w:val="24"/>
      <w:szCs w:val="24"/>
      <w:lang w:val="es-ES" w:eastAsia="es-ES"/>
    </w:rPr>
  </w:style>
  <w:style w:type="character" w:customStyle="1" w:styleId="PrrafodelistaCar">
    <w:name w:val="Párrafo de lista Car"/>
    <w:link w:val="Prrafodelista"/>
    <w:uiPriority w:val="34"/>
    <w:rsid w:val="005C1BCA"/>
  </w:style>
  <w:style w:type="paragraph" w:styleId="TDC1">
    <w:name w:val="toc 1"/>
    <w:basedOn w:val="Normal"/>
    <w:next w:val="Normal"/>
    <w:autoRedefine/>
    <w:rsid w:val="005C1BCA"/>
    <w:pPr>
      <w:tabs>
        <w:tab w:val="left" w:pos="480"/>
        <w:tab w:val="right" w:leader="dot" w:pos="8828"/>
      </w:tabs>
      <w:spacing w:before="120" w:after="0" w:line="240" w:lineRule="auto"/>
      <w:ind w:left="567"/>
      <w:jc w:val="both"/>
    </w:pPr>
    <w:rPr>
      <w:rFonts w:ascii="Arial" w:eastAsia="Times New Roman" w:hAnsi="Arial" w:cs="Times New Roman"/>
      <w:noProof/>
      <w:sz w:val="24"/>
      <w:szCs w:val="24"/>
      <w:lang w:val="es-ES" w:eastAsia="es-ES"/>
    </w:rPr>
  </w:style>
  <w:style w:type="paragraph" w:styleId="Textodebloque">
    <w:name w:val="Block Text"/>
    <w:basedOn w:val="Normal"/>
    <w:rsid w:val="005C1BCA"/>
    <w:pPr>
      <w:suppressAutoHyphens/>
      <w:spacing w:after="240" w:line="240" w:lineRule="auto"/>
      <w:ind w:left="567" w:right="788"/>
      <w:jc w:val="both"/>
    </w:pPr>
    <w:rPr>
      <w:rFonts w:ascii="Arial" w:eastAsia="Times New Roman" w:hAnsi="Arial" w:cs="Times New Roman"/>
      <w:spacing w:val="-3"/>
      <w:sz w:val="24"/>
      <w:szCs w:val="20"/>
      <w:lang w:val="es-ES_tradnl" w:eastAsia="es-ES"/>
    </w:rPr>
  </w:style>
  <w:style w:type="paragraph" w:styleId="Textoindependiente2">
    <w:name w:val="Body Text 2"/>
    <w:basedOn w:val="Normal"/>
    <w:link w:val="Textoindependiente2Car"/>
    <w:uiPriority w:val="99"/>
    <w:unhideWhenUsed/>
    <w:rsid w:val="005C1BCA"/>
    <w:pPr>
      <w:spacing w:after="120" w:line="480" w:lineRule="auto"/>
      <w:ind w:left="567"/>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5C1BCA"/>
    <w:rPr>
      <w:rFonts w:ascii="Times New Roman" w:eastAsia="Times New Roman" w:hAnsi="Times New Roman" w:cs="Times New Roman"/>
      <w:sz w:val="24"/>
      <w:szCs w:val="24"/>
      <w:lang w:val="es-ES" w:eastAsia="es-ES"/>
    </w:rPr>
  </w:style>
  <w:style w:type="paragraph" w:styleId="Descripcin">
    <w:name w:val="caption"/>
    <w:basedOn w:val="Normal"/>
    <w:next w:val="Normal"/>
    <w:uiPriority w:val="35"/>
    <w:qFormat/>
    <w:rsid w:val="005C1BCA"/>
    <w:pPr>
      <w:widowControl w:val="0"/>
      <w:adjustRightInd w:val="0"/>
      <w:spacing w:before="120" w:after="120" w:line="360" w:lineRule="atLeast"/>
      <w:jc w:val="center"/>
      <w:textAlignment w:val="baseline"/>
    </w:pPr>
    <w:rPr>
      <w:rFonts w:ascii="Arial" w:eastAsia="Times New Roman" w:hAnsi="Arial" w:cs="Times New Roman"/>
      <w:sz w:val="20"/>
      <w:szCs w:val="20"/>
      <w:lang w:val="es-ES" w:eastAsia="es-ES"/>
    </w:rPr>
  </w:style>
  <w:style w:type="paragraph" w:styleId="Sinespaciado">
    <w:name w:val="No Spacing"/>
    <w:uiPriority w:val="1"/>
    <w:qFormat/>
    <w:rsid w:val="005C1BCA"/>
    <w:pPr>
      <w:spacing w:after="0" w:line="240" w:lineRule="auto"/>
    </w:pPr>
    <w:rPr>
      <w:rFonts w:ascii="Calibri" w:eastAsia="Times New Roman" w:hAnsi="Calibri" w:cs="Calibri"/>
      <w:lang w:val="es-ES"/>
    </w:rPr>
  </w:style>
  <w:style w:type="character" w:customStyle="1" w:styleId="apple-style-span">
    <w:name w:val="apple-style-span"/>
    <w:rsid w:val="005C1BCA"/>
    <w:rPr>
      <w:rFonts w:ascii="Times New Roman" w:hAnsi="Times New Roman" w:cs="Times New Roman"/>
    </w:rPr>
  </w:style>
  <w:style w:type="paragraph" w:styleId="Subttulo">
    <w:name w:val="Subtitle"/>
    <w:basedOn w:val="Normal"/>
    <w:link w:val="SubttuloCar"/>
    <w:qFormat/>
    <w:rsid w:val="005C1BCA"/>
    <w:pPr>
      <w:spacing w:after="0" w:line="240" w:lineRule="auto"/>
    </w:pPr>
    <w:rPr>
      <w:rFonts w:ascii="Century Gothic" w:eastAsia="Times New Roman" w:hAnsi="Century Gothic" w:cs="Times New Roman"/>
      <w:b/>
      <w:bCs/>
      <w:sz w:val="24"/>
      <w:szCs w:val="24"/>
      <w:lang w:val="es-ES" w:eastAsia="es-ES"/>
    </w:rPr>
  </w:style>
  <w:style w:type="character" w:customStyle="1" w:styleId="SubttuloCar">
    <w:name w:val="Subtítulo Car"/>
    <w:basedOn w:val="Fuentedeprrafopredeter"/>
    <w:link w:val="Subttulo"/>
    <w:rsid w:val="005C1BCA"/>
    <w:rPr>
      <w:rFonts w:ascii="Century Gothic" w:eastAsia="Times New Roman" w:hAnsi="Century Gothic" w:cs="Times New Roman"/>
      <w:b/>
      <w:bCs/>
      <w:sz w:val="24"/>
      <w:szCs w:val="24"/>
      <w:lang w:val="es-ES" w:eastAsia="es-ES"/>
    </w:rPr>
  </w:style>
  <w:style w:type="character" w:customStyle="1" w:styleId="apple-converted-space">
    <w:name w:val="apple-converted-space"/>
    <w:basedOn w:val="Fuentedeprrafopredeter"/>
    <w:rsid w:val="005C1BCA"/>
  </w:style>
  <w:style w:type="paragraph" w:customStyle="1" w:styleId="BodyText21">
    <w:name w:val="Body Text 21"/>
    <w:basedOn w:val="Normal"/>
    <w:uiPriority w:val="99"/>
    <w:rsid w:val="005C1BCA"/>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adjustRightInd w:val="0"/>
      <w:spacing w:before="120" w:after="120" w:line="240" w:lineRule="exact"/>
      <w:jc w:val="both"/>
      <w:textAlignment w:val="baseline"/>
    </w:pPr>
    <w:rPr>
      <w:rFonts w:ascii="Arial" w:eastAsia="Times New Roman" w:hAnsi="Arial" w:cs="Times New Roman"/>
      <w:szCs w:val="20"/>
      <w:lang w:val="es-ES" w:eastAsia="es-ES"/>
    </w:rPr>
  </w:style>
  <w:style w:type="paragraph" w:styleId="Sangradetextonormal">
    <w:name w:val="Body Text Indent"/>
    <w:basedOn w:val="Normal"/>
    <w:link w:val="SangradetextonormalCar"/>
    <w:uiPriority w:val="99"/>
    <w:semiHidden/>
    <w:unhideWhenUsed/>
    <w:rsid w:val="005C1BCA"/>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semiHidden/>
    <w:rsid w:val="005C1BCA"/>
    <w:rPr>
      <w:rFonts w:ascii="Times New Roman" w:eastAsia="Times New Roman" w:hAnsi="Times New Roman" w:cs="Times New Roman"/>
      <w:sz w:val="24"/>
      <w:szCs w:val="24"/>
      <w:lang w:val="es-ES" w:eastAsia="es-ES"/>
    </w:rPr>
  </w:style>
  <w:style w:type="paragraph" w:customStyle="1" w:styleId="Vietaletra">
    <w:name w:val="Viñeta letra"/>
    <w:basedOn w:val="Normal"/>
    <w:next w:val="Normal"/>
    <w:rsid w:val="005C1BCA"/>
    <w:pPr>
      <w:numPr>
        <w:numId w:val="1"/>
      </w:numPr>
      <w:suppressAutoHyphens/>
      <w:overflowPunct w:val="0"/>
      <w:autoSpaceDE w:val="0"/>
      <w:spacing w:after="0" w:line="240" w:lineRule="auto"/>
      <w:jc w:val="both"/>
      <w:textAlignment w:val="baseline"/>
    </w:pPr>
    <w:rPr>
      <w:rFonts w:ascii="Arial" w:eastAsia="Times New Roman" w:hAnsi="Arial" w:cs="Times New Roman"/>
      <w:sz w:val="24"/>
      <w:szCs w:val="20"/>
      <w:lang w:val="es-ES_tradnl" w:eastAsia="ar-SA"/>
    </w:rPr>
  </w:style>
  <w:style w:type="paragraph" w:customStyle="1" w:styleId="TableHeading">
    <w:name w:val="Table Heading"/>
    <w:basedOn w:val="Normal"/>
    <w:rsid w:val="005C1BCA"/>
    <w:pPr>
      <w:suppressLineNumbers/>
      <w:suppressAutoHyphens/>
      <w:spacing w:after="0" w:line="240" w:lineRule="auto"/>
      <w:jc w:val="center"/>
    </w:pPr>
    <w:rPr>
      <w:rFonts w:ascii="Arial" w:eastAsia="Times New Roman" w:hAnsi="Arial" w:cs="Times New Roman"/>
      <w:b/>
      <w:bCs/>
      <w:szCs w:val="24"/>
      <w:lang w:val="es-ES" w:eastAsia="ar-SA"/>
    </w:rPr>
  </w:style>
  <w:style w:type="paragraph" w:styleId="Sangra2detindependiente">
    <w:name w:val="Body Text Indent 2"/>
    <w:basedOn w:val="Normal"/>
    <w:link w:val="Sangra2detindependienteCar"/>
    <w:uiPriority w:val="99"/>
    <w:semiHidden/>
    <w:unhideWhenUsed/>
    <w:rsid w:val="005C1BCA"/>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uiPriority w:val="99"/>
    <w:semiHidden/>
    <w:rsid w:val="005C1BCA"/>
    <w:rPr>
      <w:rFonts w:ascii="Times New Roman" w:eastAsia="Times New Roman" w:hAnsi="Times New Roman" w:cs="Times New Roman"/>
      <w:sz w:val="24"/>
      <w:szCs w:val="24"/>
      <w:lang w:val="es-ES" w:eastAsia="es-ES"/>
    </w:rPr>
  </w:style>
  <w:style w:type="paragraph" w:customStyle="1" w:styleId="ARTICULOS">
    <w:name w:val="ARTICULOS"/>
    <w:basedOn w:val="Normal"/>
    <w:link w:val="ARTICULOSCar"/>
    <w:qFormat/>
    <w:rsid w:val="005C1BCA"/>
    <w:pPr>
      <w:widowControl w:val="0"/>
      <w:numPr>
        <w:numId w:val="2"/>
      </w:numPr>
      <w:adjustRightInd w:val="0"/>
      <w:spacing w:after="0" w:line="240" w:lineRule="auto"/>
      <w:ind w:left="0" w:firstLine="1"/>
      <w:jc w:val="both"/>
      <w:textAlignment w:val="baseline"/>
    </w:pPr>
    <w:rPr>
      <w:rFonts w:ascii="Bookman Old Style" w:eastAsia="Times New Roman" w:hAnsi="Bookman Old Style" w:cs="Times New Roman"/>
      <w:bCs/>
      <w:sz w:val="24"/>
      <w:szCs w:val="24"/>
      <w:lang w:val="x-none" w:eastAsia="x-none"/>
    </w:rPr>
  </w:style>
  <w:style w:type="character" w:customStyle="1" w:styleId="ARTICULOSCar">
    <w:name w:val="ARTICULOS Car"/>
    <w:link w:val="ARTICULOS"/>
    <w:rsid w:val="005C1BCA"/>
    <w:rPr>
      <w:rFonts w:ascii="Bookman Old Style" w:eastAsia="Times New Roman" w:hAnsi="Bookman Old Style" w:cs="Times New Roman"/>
      <w:bCs/>
      <w:sz w:val="24"/>
      <w:szCs w:val="24"/>
      <w:lang w:val="x-none" w:eastAsia="x-none"/>
    </w:rPr>
  </w:style>
  <w:style w:type="character" w:styleId="Textodelmarcadordeposicin">
    <w:name w:val="Placeholder Text"/>
    <w:basedOn w:val="Fuentedeprrafopredeter"/>
    <w:uiPriority w:val="99"/>
    <w:semiHidden/>
    <w:rsid w:val="005C1BCA"/>
    <w:rPr>
      <w:color w:val="808080"/>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iPriority w:val="99"/>
    <w:unhideWhenUsed/>
    <w:rsid w:val="005C1BCA"/>
    <w:pPr>
      <w:spacing w:after="0" w:line="240" w:lineRule="auto"/>
      <w:ind w:left="567"/>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rsid w:val="005C1BCA"/>
    <w:rPr>
      <w:rFonts w:ascii="Times New Roman" w:eastAsia="Times New Roman" w:hAnsi="Times New Roman" w:cs="Times New Roman"/>
      <w:sz w:val="20"/>
      <w:szCs w:val="20"/>
      <w:lang w:val="es-ES" w:eastAsia="es-ES"/>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
    <w:uiPriority w:val="99"/>
    <w:unhideWhenUsed/>
    <w:rsid w:val="005C1BCA"/>
    <w:rPr>
      <w:vertAlign w:val="superscript"/>
    </w:rPr>
  </w:style>
  <w:style w:type="character" w:styleId="Refdecomentario">
    <w:name w:val="annotation reference"/>
    <w:basedOn w:val="Fuentedeprrafopredeter"/>
    <w:uiPriority w:val="99"/>
    <w:semiHidden/>
    <w:unhideWhenUsed/>
    <w:rsid w:val="005C1BCA"/>
    <w:rPr>
      <w:sz w:val="16"/>
      <w:szCs w:val="16"/>
    </w:rPr>
  </w:style>
  <w:style w:type="paragraph" w:styleId="Textocomentario">
    <w:name w:val="annotation text"/>
    <w:basedOn w:val="Normal"/>
    <w:link w:val="TextocomentarioCar"/>
    <w:uiPriority w:val="99"/>
    <w:unhideWhenUsed/>
    <w:rsid w:val="005C1BCA"/>
    <w:pPr>
      <w:spacing w:after="0" w:line="240" w:lineRule="auto"/>
      <w:ind w:left="567"/>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5C1BC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5C1BCA"/>
    <w:rPr>
      <w:b/>
      <w:bCs/>
    </w:rPr>
  </w:style>
  <w:style w:type="character" w:customStyle="1" w:styleId="AsuntodelcomentarioCar">
    <w:name w:val="Asunto del comentario Car"/>
    <w:basedOn w:val="TextocomentarioCar"/>
    <w:link w:val="Asuntodelcomentario"/>
    <w:uiPriority w:val="99"/>
    <w:semiHidden/>
    <w:rsid w:val="005C1BCA"/>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5C1BCA"/>
    <w:pPr>
      <w:spacing w:after="0" w:line="240" w:lineRule="auto"/>
    </w:pPr>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5C1BCA"/>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5C1BCA"/>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701265"/>
    <w:pPr>
      <w:spacing w:before="100" w:beforeAutospacing="1" w:after="100" w:afterAutospacing="1" w:line="240" w:lineRule="auto"/>
    </w:pPr>
    <w:rPr>
      <w:rFonts w:ascii="Times New Roman" w:eastAsiaTheme="minorEastAsia" w:hAnsi="Times New Roman" w:cs="Times New Roman"/>
      <w:sz w:val="24"/>
      <w:szCs w:val="24"/>
      <w:lang w:eastAsia="es-CO"/>
    </w:rPr>
  </w:style>
  <w:style w:type="table" w:customStyle="1" w:styleId="Tablaconcuadrcula11">
    <w:name w:val="Tabla con cuadrícula11"/>
    <w:basedOn w:val="Tablanormal"/>
    <w:next w:val="Tablaconcuadrcula"/>
    <w:uiPriority w:val="59"/>
    <w:rsid w:val="00FB2E5A"/>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FB2E5A"/>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2Car">
    <w:name w:val="Título 2 Car"/>
    <w:basedOn w:val="Fuentedeprrafopredeter"/>
    <w:link w:val="Ttulo2"/>
    <w:uiPriority w:val="9"/>
    <w:rsid w:val="007917F3"/>
    <w:rPr>
      <w:rFonts w:asciiTheme="majorHAnsi" w:eastAsiaTheme="majorEastAsia" w:hAnsiTheme="majorHAnsi" w:cstheme="majorBidi"/>
      <w:b/>
      <w:bCs/>
      <w:color w:val="4F81BD" w:themeColor="accent1"/>
      <w:sz w:val="26"/>
      <w:szCs w:val="26"/>
    </w:rPr>
  </w:style>
  <w:style w:type="paragraph" w:styleId="Sangra3detindependiente">
    <w:name w:val="Body Text Indent 3"/>
    <w:basedOn w:val="Normal"/>
    <w:link w:val="Sangra3detindependienteCar"/>
    <w:uiPriority w:val="99"/>
    <w:semiHidden/>
    <w:unhideWhenUsed/>
    <w:rsid w:val="007917F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7917F3"/>
    <w:rPr>
      <w:sz w:val="16"/>
      <w:szCs w:val="16"/>
    </w:rPr>
  </w:style>
  <w:style w:type="character" w:styleId="Hipervnculo">
    <w:name w:val="Hyperlink"/>
    <w:basedOn w:val="Fuentedeprrafopredeter"/>
    <w:uiPriority w:val="99"/>
    <w:unhideWhenUsed/>
    <w:rsid w:val="00FD7FC1"/>
    <w:rPr>
      <w:color w:val="0563C1"/>
      <w:u w:val="single"/>
    </w:rPr>
  </w:style>
  <w:style w:type="character" w:styleId="Hipervnculovisitado">
    <w:name w:val="FollowedHyperlink"/>
    <w:basedOn w:val="Fuentedeprrafopredeter"/>
    <w:uiPriority w:val="99"/>
    <w:semiHidden/>
    <w:unhideWhenUsed/>
    <w:rsid w:val="00FD7FC1"/>
    <w:rPr>
      <w:color w:val="954F72"/>
      <w:u w:val="single"/>
    </w:rPr>
  </w:style>
  <w:style w:type="paragraph" w:customStyle="1" w:styleId="xl67">
    <w:name w:val="xl67"/>
    <w:basedOn w:val="Normal"/>
    <w:rsid w:val="00FD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sz w:val="20"/>
      <w:szCs w:val="20"/>
      <w:lang w:eastAsia="es-CO"/>
    </w:rPr>
  </w:style>
  <w:style w:type="paragraph" w:customStyle="1" w:styleId="xl68">
    <w:name w:val="xl68"/>
    <w:basedOn w:val="Normal"/>
    <w:rsid w:val="00FD7FC1"/>
    <w:pPr>
      <w:spacing w:before="100" w:beforeAutospacing="1" w:after="100" w:afterAutospacing="1" w:line="240" w:lineRule="auto"/>
    </w:pPr>
    <w:rPr>
      <w:rFonts w:ascii="Bookman Old Style" w:eastAsia="Times New Roman" w:hAnsi="Bookman Old Style" w:cs="Times New Roman"/>
      <w:sz w:val="24"/>
      <w:szCs w:val="24"/>
      <w:lang w:eastAsia="es-CO"/>
    </w:rPr>
  </w:style>
  <w:style w:type="paragraph" w:customStyle="1" w:styleId="xl69">
    <w:name w:val="xl69"/>
    <w:basedOn w:val="Normal"/>
    <w:rsid w:val="00FD7FC1"/>
    <w:pPr>
      <w:spacing w:before="100" w:beforeAutospacing="1" w:after="100" w:afterAutospacing="1" w:line="240" w:lineRule="auto"/>
    </w:pPr>
    <w:rPr>
      <w:rFonts w:ascii="Bookman Old Style" w:eastAsia="Times New Roman" w:hAnsi="Bookman Old Style" w:cs="Times New Roman"/>
      <w:sz w:val="20"/>
      <w:szCs w:val="20"/>
      <w:lang w:eastAsia="es-CO"/>
    </w:rPr>
  </w:style>
  <w:style w:type="paragraph" w:customStyle="1" w:styleId="xl70">
    <w:name w:val="xl70"/>
    <w:basedOn w:val="Normal"/>
    <w:rsid w:val="00FD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Times New Roman" w:hAnsi="Bookman Old Style" w:cs="Times New Roman"/>
      <w:sz w:val="20"/>
      <w:szCs w:val="20"/>
      <w:lang w:eastAsia="es-CO"/>
    </w:rPr>
  </w:style>
  <w:style w:type="paragraph" w:customStyle="1" w:styleId="xl71">
    <w:name w:val="xl71"/>
    <w:basedOn w:val="Normal"/>
    <w:rsid w:val="005F1C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Times New Roman" w:hAnsi="Bookman Old Style" w:cs="Times New Roman"/>
      <w:sz w:val="20"/>
      <w:szCs w:val="20"/>
      <w:lang w:eastAsia="es-CO"/>
    </w:rPr>
  </w:style>
  <w:style w:type="character" w:customStyle="1" w:styleId="Caracteresdenotaalpie">
    <w:name w:val="Caracteres de nota al pie"/>
    <w:rsid w:val="00110447"/>
    <w:rPr>
      <w:vertAlign w:val="superscript"/>
    </w:rPr>
  </w:style>
  <w:style w:type="character" w:customStyle="1" w:styleId="Refdenotaalpie2">
    <w:name w:val="Ref. de nota al pie2"/>
    <w:rsid w:val="00110447"/>
    <w:rPr>
      <w:vertAlign w:val="superscript"/>
    </w:rPr>
  </w:style>
  <w:style w:type="paragraph" w:customStyle="1" w:styleId="Cuadrculamedia21">
    <w:name w:val="Cuadrícula media 21"/>
    <w:rsid w:val="00185CE7"/>
    <w:pPr>
      <w:suppressAutoHyphens/>
      <w:spacing w:after="0" w:line="240" w:lineRule="auto"/>
    </w:pPr>
    <w:rPr>
      <w:rFonts w:ascii="Times New Roman" w:eastAsia="Arial" w:hAnsi="Times New Roman" w:cs="Times New Roman"/>
      <w:sz w:val="24"/>
      <w:szCs w:val="24"/>
      <w:lang w:val="es-ES" w:eastAsia="ar-SA"/>
    </w:rPr>
  </w:style>
  <w:style w:type="character" w:customStyle="1" w:styleId="textodato">
    <w:name w:val="textodato"/>
    <w:rsid w:val="00185CE7"/>
  </w:style>
  <w:style w:type="paragraph" w:styleId="TtuloTDC">
    <w:name w:val="TOC Heading"/>
    <w:basedOn w:val="Ttulo1"/>
    <w:next w:val="Normal"/>
    <w:uiPriority w:val="39"/>
    <w:unhideWhenUsed/>
    <w:qFormat/>
    <w:rsid w:val="00EF5680"/>
    <w:pPr>
      <w:keepLines/>
      <w:spacing w:before="480" w:line="276" w:lineRule="auto"/>
      <w:ind w:left="0"/>
      <w:jc w:val="left"/>
      <w:outlineLvl w:val="9"/>
    </w:pPr>
    <w:rPr>
      <w:rFonts w:asciiTheme="majorHAnsi" w:eastAsiaTheme="majorEastAsia" w:hAnsiTheme="majorHAnsi" w:cstheme="majorBidi"/>
      <w:bCs/>
      <w:color w:val="365F91" w:themeColor="accent1" w:themeShade="BF"/>
      <w:sz w:val="28"/>
      <w:szCs w:val="28"/>
      <w:lang w:eastAsia="es-CO"/>
    </w:rPr>
  </w:style>
  <w:style w:type="paragraph" w:styleId="TDC2">
    <w:name w:val="toc 2"/>
    <w:basedOn w:val="Normal"/>
    <w:next w:val="Normal"/>
    <w:autoRedefine/>
    <w:uiPriority w:val="39"/>
    <w:unhideWhenUsed/>
    <w:rsid w:val="00EF5680"/>
    <w:pPr>
      <w:spacing w:after="100"/>
      <w:ind w:left="220"/>
    </w:pPr>
    <w:rPr>
      <w:lang w:val="es-MX"/>
    </w:rPr>
  </w:style>
  <w:style w:type="paragraph" w:styleId="TDC3">
    <w:name w:val="toc 3"/>
    <w:basedOn w:val="Normal"/>
    <w:next w:val="Normal"/>
    <w:autoRedefine/>
    <w:uiPriority w:val="39"/>
    <w:unhideWhenUsed/>
    <w:rsid w:val="00EF5680"/>
    <w:pPr>
      <w:spacing w:after="100"/>
      <w:ind w:left="440"/>
    </w:pPr>
    <w:rPr>
      <w:lang w:val="es-MX"/>
    </w:rPr>
  </w:style>
  <w:style w:type="table" w:styleId="Sombreadomedio1-nfasis1">
    <w:name w:val="Medium Shading 1 Accent 1"/>
    <w:basedOn w:val="Tablanormal"/>
    <w:uiPriority w:val="63"/>
    <w:rsid w:val="00EF568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claro-nfasis5">
    <w:name w:val="Light Shading Accent 5"/>
    <w:basedOn w:val="Tablanormal"/>
    <w:uiPriority w:val="60"/>
    <w:rsid w:val="00EF568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medio2-nfasis1">
    <w:name w:val="Medium Shading 2 Accent 1"/>
    <w:basedOn w:val="Tablanormal"/>
    <w:uiPriority w:val="64"/>
    <w:rsid w:val="00EF56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nfasis1">
    <w:name w:val="Light List Accent 1"/>
    <w:basedOn w:val="Tablanormal"/>
    <w:uiPriority w:val="61"/>
    <w:rsid w:val="00EF568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TMLconformatoprevio">
    <w:name w:val="HTML Preformatted"/>
    <w:basedOn w:val="Normal"/>
    <w:link w:val="HTMLconformatoprevioCar"/>
    <w:uiPriority w:val="99"/>
    <w:semiHidden/>
    <w:unhideWhenUsed/>
    <w:rsid w:val="00EF5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EF5680"/>
    <w:rPr>
      <w:rFonts w:ascii="Courier New" w:eastAsia="Times New Roman" w:hAnsi="Courier New" w:cs="Courier New"/>
      <w:sz w:val="20"/>
      <w:szCs w:val="20"/>
      <w:lang w:eastAsia="es-CO"/>
    </w:rPr>
  </w:style>
  <w:style w:type="paragraph" w:styleId="Textonotaalfinal">
    <w:name w:val="endnote text"/>
    <w:basedOn w:val="Normal"/>
    <w:link w:val="TextonotaalfinalCar"/>
    <w:uiPriority w:val="99"/>
    <w:semiHidden/>
    <w:unhideWhenUsed/>
    <w:rsid w:val="00EF5680"/>
    <w:pPr>
      <w:spacing w:after="0" w:line="240" w:lineRule="auto"/>
    </w:pPr>
    <w:rPr>
      <w:sz w:val="20"/>
      <w:szCs w:val="20"/>
      <w:lang w:val="es-MX"/>
    </w:rPr>
  </w:style>
  <w:style w:type="character" w:customStyle="1" w:styleId="TextonotaalfinalCar">
    <w:name w:val="Texto nota al final Car"/>
    <w:basedOn w:val="Fuentedeprrafopredeter"/>
    <w:link w:val="Textonotaalfinal"/>
    <w:uiPriority w:val="99"/>
    <w:semiHidden/>
    <w:rsid w:val="00EF5680"/>
    <w:rPr>
      <w:sz w:val="20"/>
      <w:szCs w:val="20"/>
      <w:lang w:val="es-MX"/>
    </w:rPr>
  </w:style>
  <w:style w:type="character" w:styleId="Refdenotaalfinal">
    <w:name w:val="endnote reference"/>
    <w:basedOn w:val="Fuentedeprrafopredeter"/>
    <w:uiPriority w:val="99"/>
    <w:semiHidden/>
    <w:unhideWhenUsed/>
    <w:rsid w:val="00EF5680"/>
    <w:rPr>
      <w:vertAlign w:val="superscript"/>
    </w:rPr>
  </w:style>
  <w:style w:type="character" w:customStyle="1" w:styleId="CharStyle11">
    <w:name w:val="Char Style 11"/>
    <w:basedOn w:val="Fuentedeprrafopredeter"/>
    <w:link w:val="Style10"/>
    <w:uiPriority w:val="99"/>
    <w:rsid w:val="00EF5680"/>
    <w:rPr>
      <w:rFonts w:ascii="Arial" w:hAnsi="Arial" w:cs="Arial"/>
      <w:sz w:val="23"/>
      <w:szCs w:val="23"/>
      <w:shd w:val="clear" w:color="auto" w:fill="FFFFFF"/>
    </w:rPr>
  </w:style>
  <w:style w:type="character" w:customStyle="1" w:styleId="CharStyle39">
    <w:name w:val="Char Style 39"/>
    <w:basedOn w:val="CharStyle11"/>
    <w:uiPriority w:val="99"/>
    <w:rsid w:val="00EF5680"/>
    <w:rPr>
      <w:rFonts w:ascii="Arial" w:hAnsi="Arial" w:cs="Arial"/>
      <w:b/>
      <w:bCs/>
      <w:sz w:val="23"/>
      <w:szCs w:val="23"/>
      <w:shd w:val="clear" w:color="auto" w:fill="FFFFFF"/>
    </w:rPr>
  </w:style>
  <w:style w:type="paragraph" w:customStyle="1" w:styleId="Style10">
    <w:name w:val="Style 10"/>
    <w:basedOn w:val="Normal"/>
    <w:link w:val="CharStyle11"/>
    <w:uiPriority w:val="99"/>
    <w:rsid w:val="00EF5680"/>
    <w:pPr>
      <w:widowControl w:val="0"/>
      <w:shd w:val="clear" w:color="auto" w:fill="FFFFFF"/>
      <w:spacing w:before="420" w:after="0" w:line="240" w:lineRule="atLeast"/>
      <w:jc w:val="right"/>
    </w:pPr>
    <w:rPr>
      <w:rFonts w:ascii="Arial" w:hAnsi="Arial" w:cs="Arial"/>
      <w:sz w:val="23"/>
      <w:szCs w:val="23"/>
    </w:rPr>
  </w:style>
  <w:style w:type="character" w:customStyle="1" w:styleId="CharStyle3">
    <w:name w:val="Char Style 3"/>
    <w:basedOn w:val="Fuentedeprrafopredeter"/>
    <w:link w:val="Style2"/>
    <w:uiPriority w:val="99"/>
    <w:rsid w:val="00EF5680"/>
    <w:rPr>
      <w:rFonts w:ascii="Arial" w:hAnsi="Arial" w:cs="Arial"/>
      <w:shd w:val="clear" w:color="auto" w:fill="FFFFFF"/>
    </w:rPr>
  </w:style>
  <w:style w:type="paragraph" w:customStyle="1" w:styleId="Style2">
    <w:name w:val="Style 2"/>
    <w:basedOn w:val="Normal"/>
    <w:link w:val="CharStyle3"/>
    <w:uiPriority w:val="99"/>
    <w:rsid w:val="00EF5680"/>
    <w:pPr>
      <w:widowControl w:val="0"/>
      <w:shd w:val="clear" w:color="auto" w:fill="FFFFFF"/>
      <w:spacing w:after="720" w:line="240" w:lineRule="atLeast"/>
      <w:ind w:hanging="720"/>
      <w:jc w:val="both"/>
    </w:pPr>
    <w:rPr>
      <w:rFonts w:ascii="Arial" w:hAnsi="Arial" w:cs="Arial"/>
    </w:rPr>
  </w:style>
  <w:style w:type="character" w:customStyle="1" w:styleId="CharStyle24">
    <w:name w:val="Char Style 24"/>
    <w:basedOn w:val="Fuentedeprrafopredeter"/>
    <w:link w:val="Style23"/>
    <w:uiPriority w:val="99"/>
    <w:rsid w:val="00EF5680"/>
    <w:rPr>
      <w:rFonts w:ascii="Arial" w:hAnsi="Arial" w:cs="Arial"/>
      <w:sz w:val="19"/>
      <w:szCs w:val="19"/>
      <w:shd w:val="clear" w:color="auto" w:fill="FFFFFF"/>
    </w:rPr>
  </w:style>
  <w:style w:type="paragraph" w:customStyle="1" w:styleId="Style23">
    <w:name w:val="Style 23"/>
    <w:basedOn w:val="Normal"/>
    <w:link w:val="CharStyle24"/>
    <w:uiPriority w:val="99"/>
    <w:rsid w:val="00EF5680"/>
    <w:pPr>
      <w:widowControl w:val="0"/>
      <w:shd w:val="clear" w:color="auto" w:fill="FFFFFF"/>
      <w:spacing w:after="0" w:line="238" w:lineRule="exact"/>
      <w:ind w:hanging="720"/>
      <w:jc w:val="both"/>
    </w:pPr>
    <w:rPr>
      <w:rFonts w:ascii="Arial" w:hAnsi="Arial" w:cs="Arial"/>
      <w:sz w:val="19"/>
      <w:szCs w:val="19"/>
    </w:rPr>
  </w:style>
  <w:style w:type="character" w:customStyle="1" w:styleId="CharStyle7">
    <w:name w:val="Char Style 7"/>
    <w:basedOn w:val="Fuentedeprrafopredeter"/>
    <w:link w:val="Style6"/>
    <w:uiPriority w:val="99"/>
    <w:rsid w:val="00EF5680"/>
    <w:rPr>
      <w:rFonts w:ascii="Arial" w:hAnsi="Arial" w:cs="Arial"/>
      <w:sz w:val="28"/>
      <w:szCs w:val="28"/>
      <w:shd w:val="clear" w:color="auto" w:fill="FFFFFF"/>
    </w:rPr>
  </w:style>
  <w:style w:type="character" w:customStyle="1" w:styleId="CharStyle14">
    <w:name w:val="Char Style 14"/>
    <w:basedOn w:val="Fuentedeprrafopredeter"/>
    <w:link w:val="Style13"/>
    <w:uiPriority w:val="99"/>
    <w:rsid w:val="00EF5680"/>
    <w:rPr>
      <w:rFonts w:ascii="Arial" w:hAnsi="Arial" w:cs="Arial"/>
      <w:i/>
      <w:iCs/>
      <w:sz w:val="26"/>
      <w:szCs w:val="26"/>
      <w:shd w:val="clear" w:color="auto" w:fill="FFFFFF"/>
    </w:rPr>
  </w:style>
  <w:style w:type="character" w:customStyle="1" w:styleId="CharStyle15">
    <w:name w:val="Char Style 15"/>
    <w:basedOn w:val="CharStyle14"/>
    <w:uiPriority w:val="99"/>
    <w:rsid w:val="00EF5680"/>
    <w:rPr>
      <w:rFonts w:ascii="Arial" w:hAnsi="Arial" w:cs="Arial"/>
      <w:i/>
      <w:iCs/>
      <w:spacing w:val="-50"/>
      <w:sz w:val="26"/>
      <w:szCs w:val="26"/>
      <w:shd w:val="clear" w:color="auto" w:fill="FFFFFF"/>
    </w:rPr>
  </w:style>
  <w:style w:type="paragraph" w:customStyle="1" w:styleId="Style6">
    <w:name w:val="Style 6"/>
    <w:basedOn w:val="Normal"/>
    <w:link w:val="CharStyle7"/>
    <w:uiPriority w:val="99"/>
    <w:rsid w:val="00EF5680"/>
    <w:pPr>
      <w:widowControl w:val="0"/>
      <w:shd w:val="clear" w:color="auto" w:fill="FFFFFF"/>
      <w:spacing w:before="180" w:after="420" w:line="240" w:lineRule="atLeast"/>
      <w:ind w:hanging="480"/>
      <w:jc w:val="both"/>
    </w:pPr>
    <w:rPr>
      <w:rFonts w:ascii="Arial" w:hAnsi="Arial" w:cs="Arial"/>
      <w:sz w:val="28"/>
      <w:szCs w:val="28"/>
    </w:rPr>
  </w:style>
  <w:style w:type="paragraph" w:customStyle="1" w:styleId="Style13">
    <w:name w:val="Style 13"/>
    <w:basedOn w:val="Normal"/>
    <w:link w:val="CharStyle14"/>
    <w:uiPriority w:val="99"/>
    <w:rsid w:val="00EF5680"/>
    <w:pPr>
      <w:widowControl w:val="0"/>
      <w:shd w:val="clear" w:color="auto" w:fill="FFFFFF"/>
      <w:spacing w:before="300" w:after="300" w:line="355" w:lineRule="exact"/>
      <w:jc w:val="both"/>
    </w:pPr>
    <w:rPr>
      <w:rFonts w:ascii="Arial" w:hAnsi="Arial" w:cs="Arial"/>
      <w:i/>
      <w:iCs/>
      <w:sz w:val="26"/>
      <w:szCs w:val="26"/>
    </w:rPr>
  </w:style>
  <w:style w:type="character" w:customStyle="1" w:styleId="TextonotapieCar1">
    <w:name w:val="Texto nota pie Car1"/>
    <w:aliases w:val="Footnote Text Char Char Char Char Char Car1,Footnote Text Char Char Char Char Car1,Footnote reference Car1,FA Fu Car1,Footnote Text Cha Car1,Footnote Text Char Char Char Car1,FA Fußnotentext Car1,FA Fuﬂnotentext Car1"/>
    <w:basedOn w:val="Fuentedeprrafopredeter"/>
    <w:uiPriority w:val="99"/>
    <w:semiHidden/>
    <w:rsid w:val="00EF5680"/>
    <w:rPr>
      <w:sz w:val="20"/>
      <w:szCs w:val="20"/>
    </w:rPr>
  </w:style>
  <w:style w:type="paragraph" w:customStyle="1" w:styleId="msonormal0">
    <w:name w:val="msonormal"/>
    <w:basedOn w:val="Normal"/>
    <w:rsid w:val="00EF5680"/>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l65">
    <w:name w:val="xl65"/>
    <w:basedOn w:val="Normal"/>
    <w:rsid w:val="00EF56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20"/>
      <w:szCs w:val="20"/>
      <w:lang w:eastAsia="es-CO"/>
    </w:rPr>
  </w:style>
  <w:style w:type="paragraph" w:customStyle="1" w:styleId="xl66">
    <w:name w:val="xl66"/>
    <w:basedOn w:val="Normal"/>
    <w:rsid w:val="00EF56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sz w:val="20"/>
      <w:szCs w:val="20"/>
      <w:lang w:eastAsia="es-CO"/>
    </w:rPr>
  </w:style>
  <w:style w:type="paragraph" w:customStyle="1" w:styleId="xl72">
    <w:name w:val="xl72"/>
    <w:basedOn w:val="Normal"/>
    <w:rsid w:val="00EF568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sz w:val="20"/>
      <w:szCs w:val="20"/>
      <w:lang w:eastAsia="es-CO"/>
    </w:rPr>
  </w:style>
  <w:style w:type="paragraph" w:customStyle="1" w:styleId="xl73">
    <w:name w:val="xl73"/>
    <w:basedOn w:val="Normal"/>
    <w:rsid w:val="00EF568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sz w:val="20"/>
      <w:szCs w:val="20"/>
      <w:lang w:eastAsia="es-CO"/>
    </w:rPr>
  </w:style>
  <w:style w:type="character" w:customStyle="1" w:styleId="CharStyle23">
    <w:name w:val="Char Style 23"/>
    <w:basedOn w:val="Fuentedeprrafopredeter"/>
    <w:link w:val="Style22"/>
    <w:uiPriority w:val="99"/>
    <w:rsid w:val="00F313E0"/>
    <w:rPr>
      <w:rFonts w:ascii="Arial" w:hAnsi="Arial" w:cs="Arial"/>
      <w:sz w:val="19"/>
      <w:szCs w:val="19"/>
      <w:shd w:val="clear" w:color="auto" w:fill="FFFFFF"/>
    </w:rPr>
  </w:style>
  <w:style w:type="character" w:customStyle="1" w:styleId="CharStyle29">
    <w:name w:val="Char Style 29"/>
    <w:basedOn w:val="Fuentedeprrafopredeter"/>
    <w:link w:val="Style28"/>
    <w:uiPriority w:val="99"/>
    <w:rsid w:val="00F313E0"/>
    <w:rPr>
      <w:rFonts w:ascii="Arial" w:hAnsi="Arial" w:cs="Arial"/>
      <w:sz w:val="13"/>
      <w:szCs w:val="13"/>
      <w:shd w:val="clear" w:color="auto" w:fill="FFFFFF"/>
    </w:rPr>
  </w:style>
  <w:style w:type="character" w:customStyle="1" w:styleId="CharStyle30">
    <w:name w:val="Char Style 30"/>
    <w:basedOn w:val="CharStyle23"/>
    <w:uiPriority w:val="99"/>
    <w:rsid w:val="00F313E0"/>
    <w:rPr>
      <w:rFonts w:ascii="Arial" w:hAnsi="Arial" w:cs="Arial"/>
      <w:b/>
      <w:bCs/>
      <w:sz w:val="19"/>
      <w:szCs w:val="19"/>
      <w:shd w:val="clear" w:color="auto" w:fill="FFFFFF"/>
    </w:rPr>
  </w:style>
  <w:style w:type="character" w:customStyle="1" w:styleId="CharStyle31">
    <w:name w:val="Char Style 31"/>
    <w:basedOn w:val="CharStyle23"/>
    <w:uiPriority w:val="99"/>
    <w:rsid w:val="00F313E0"/>
    <w:rPr>
      <w:rFonts w:ascii="Arial" w:hAnsi="Arial" w:cs="Arial"/>
      <w:sz w:val="19"/>
      <w:szCs w:val="19"/>
      <w:shd w:val="clear" w:color="auto" w:fill="FFFFFF"/>
    </w:rPr>
  </w:style>
  <w:style w:type="paragraph" w:customStyle="1" w:styleId="Style22">
    <w:name w:val="Style 22"/>
    <w:basedOn w:val="Normal"/>
    <w:link w:val="CharStyle23"/>
    <w:uiPriority w:val="99"/>
    <w:rsid w:val="00F313E0"/>
    <w:pPr>
      <w:widowControl w:val="0"/>
      <w:shd w:val="clear" w:color="auto" w:fill="FFFFFF"/>
      <w:spacing w:before="300" w:after="540" w:line="240" w:lineRule="atLeast"/>
      <w:ind w:hanging="360"/>
      <w:jc w:val="both"/>
    </w:pPr>
    <w:rPr>
      <w:rFonts w:ascii="Arial" w:hAnsi="Arial" w:cs="Arial"/>
      <w:sz w:val="19"/>
      <w:szCs w:val="19"/>
    </w:rPr>
  </w:style>
  <w:style w:type="paragraph" w:customStyle="1" w:styleId="Style28">
    <w:name w:val="Style 28"/>
    <w:basedOn w:val="Normal"/>
    <w:link w:val="CharStyle29"/>
    <w:uiPriority w:val="99"/>
    <w:rsid w:val="00F313E0"/>
    <w:pPr>
      <w:widowControl w:val="0"/>
      <w:shd w:val="clear" w:color="auto" w:fill="FFFFFF"/>
      <w:spacing w:after="0" w:line="240" w:lineRule="atLeast"/>
    </w:pPr>
    <w:rPr>
      <w:rFonts w:ascii="Arial" w:hAnsi="Arial" w:cs="Arial"/>
      <w:sz w:val="13"/>
      <w:szCs w:val="13"/>
    </w:rPr>
  </w:style>
  <w:style w:type="character" w:customStyle="1" w:styleId="CharStyle22">
    <w:name w:val="Char Style 22"/>
    <w:basedOn w:val="Fuentedeprrafopredeter"/>
    <w:link w:val="Style21"/>
    <w:uiPriority w:val="99"/>
    <w:rsid w:val="00F90F7B"/>
    <w:rPr>
      <w:rFonts w:ascii="Arial" w:hAnsi="Arial" w:cs="Arial"/>
      <w:sz w:val="20"/>
      <w:szCs w:val="20"/>
      <w:shd w:val="clear" w:color="auto" w:fill="FFFFFF"/>
    </w:rPr>
  </w:style>
  <w:style w:type="character" w:customStyle="1" w:styleId="CharStyle40">
    <w:name w:val="Char Style 40"/>
    <w:basedOn w:val="CharStyle22"/>
    <w:uiPriority w:val="99"/>
    <w:rsid w:val="00F90F7B"/>
    <w:rPr>
      <w:rFonts w:ascii="Arial" w:hAnsi="Arial" w:cs="Arial"/>
      <w:sz w:val="18"/>
      <w:szCs w:val="18"/>
      <w:shd w:val="clear" w:color="auto" w:fill="FFFFFF"/>
    </w:rPr>
  </w:style>
  <w:style w:type="paragraph" w:customStyle="1" w:styleId="Style21">
    <w:name w:val="Style 21"/>
    <w:basedOn w:val="Normal"/>
    <w:link w:val="CharStyle22"/>
    <w:uiPriority w:val="99"/>
    <w:rsid w:val="00F90F7B"/>
    <w:pPr>
      <w:widowControl w:val="0"/>
      <w:shd w:val="clear" w:color="auto" w:fill="FFFFFF"/>
      <w:spacing w:after="120" w:line="230" w:lineRule="exact"/>
      <w:jc w:val="right"/>
    </w:pPr>
    <w:rPr>
      <w:rFonts w:ascii="Arial" w:hAnsi="Arial" w:cs="Arial"/>
      <w:sz w:val="20"/>
      <w:szCs w:val="20"/>
    </w:rPr>
  </w:style>
  <w:style w:type="character" w:customStyle="1" w:styleId="CharStyle43">
    <w:name w:val="Char Style 43"/>
    <w:basedOn w:val="CharStyle22"/>
    <w:uiPriority w:val="99"/>
    <w:rsid w:val="00F90F7B"/>
    <w:rPr>
      <w:rFonts w:ascii="Arial" w:hAnsi="Arial" w:cs="Arial"/>
      <w:b/>
      <w:bCs/>
      <w:sz w:val="18"/>
      <w:szCs w:val="18"/>
      <w:u w:val="none"/>
      <w:shd w:val="clear" w:color="auto" w:fill="FFFFFF"/>
    </w:rPr>
  </w:style>
  <w:style w:type="table" w:customStyle="1" w:styleId="TableGrid">
    <w:name w:val="TableGrid"/>
    <w:rsid w:val="00BE5DEF"/>
    <w:pPr>
      <w:spacing w:after="0" w:line="240" w:lineRule="auto"/>
    </w:pPr>
    <w:rPr>
      <w:rFonts w:eastAsiaTheme="minorEastAsia"/>
      <w:lang w:eastAsia="es-CO"/>
    </w:rPr>
    <w:tblPr>
      <w:tblCellMar>
        <w:top w:w="0" w:type="dxa"/>
        <w:left w:w="0" w:type="dxa"/>
        <w:bottom w:w="0" w:type="dxa"/>
        <w:right w:w="0" w:type="dxa"/>
      </w:tblCellMar>
    </w:tblPr>
  </w:style>
  <w:style w:type="paragraph" w:customStyle="1" w:styleId="font5">
    <w:name w:val="font5"/>
    <w:basedOn w:val="Normal"/>
    <w:rsid w:val="00B57AF6"/>
    <w:pPr>
      <w:spacing w:before="100" w:beforeAutospacing="1" w:after="100" w:afterAutospacing="1" w:line="240" w:lineRule="auto"/>
    </w:pPr>
    <w:rPr>
      <w:rFonts w:ascii="Tahoma" w:eastAsia="Times New Roman" w:hAnsi="Tahoma" w:cs="Tahoma"/>
      <w:color w:val="000000"/>
      <w:sz w:val="18"/>
      <w:szCs w:val="18"/>
      <w:lang w:eastAsia="es-CO"/>
    </w:rPr>
  </w:style>
  <w:style w:type="paragraph" w:customStyle="1" w:styleId="font6">
    <w:name w:val="font6"/>
    <w:basedOn w:val="Normal"/>
    <w:rsid w:val="00B57AF6"/>
    <w:pPr>
      <w:spacing w:before="100" w:beforeAutospacing="1" w:after="100" w:afterAutospacing="1" w:line="240" w:lineRule="auto"/>
    </w:pPr>
    <w:rPr>
      <w:rFonts w:ascii="Tahoma" w:eastAsia="Times New Roman" w:hAnsi="Tahoma" w:cs="Tahoma"/>
      <w:b/>
      <w:bCs/>
      <w:color w:val="000000"/>
      <w:sz w:val="18"/>
      <w:szCs w:val="18"/>
      <w:lang w:eastAsia="es-CO"/>
    </w:rPr>
  </w:style>
  <w:style w:type="paragraph" w:customStyle="1" w:styleId="xl74">
    <w:name w:val="xl74"/>
    <w:basedOn w:val="Normal"/>
    <w:rsid w:val="008F082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pPr>
    <w:rPr>
      <w:rFonts w:ascii="Bookman Old Style" w:eastAsia="Times New Roman" w:hAnsi="Bookman Old Style" w:cs="Times New Roman"/>
      <w:sz w:val="20"/>
      <w:szCs w:val="20"/>
      <w:lang w:eastAsia="es-CO"/>
    </w:rPr>
  </w:style>
  <w:style w:type="table" w:customStyle="1" w:styleId="Tablaconcuadrcula4">
    <w:name w:val="Tabla con cuadrícula4"/>
    <w:basedOn w:val="Tablanormal"/>
    <w:next w:val="Tablaconcuadrcula"/>
    <w:uiPriority w:val="59"/>
    <w:rsid w:val="007F3FC2"/>
    <w:pPr>
      <w:spacing w:after="0" w:line="240" w:lineRule="auto"/>
    </w:pPr>
    <w:rPr>
      <w:rFonts w:eastAsia="Times New Roman"/>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81625F"/>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
    <w:name w:val="Tabla con cuadrícula12"/>
    <w:basedOn w:val="Tablanormal"/>
    <w:next w:val="Tablaconcuadrcula"/>
    <w:uiPriority w:val="59"/>
    <w:rsid w:val="00454001"/>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6D7905"/>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BF694E"/>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7449">
      <w:bodyDiv w:val="1"/>
      <w:marLeft w:val="0"/>
      <w:marRight w:val="0"/>
      <w:marTop w:val="0"/>
      <w:marBottom w:val="0"/>
      <w:divBdr>
        <w:top w:val="none" w:sz="0" w:space="0" w:color="auto"/>
        <w:left w:val="none" w:sz="0" w:space="0" w:color="auto"/>
        <w:bottom w:val="none" w:sz="0" w:space="0" w:color="auto"/>
        <w:right w:val="none" w:sz="0" w:space="0" w:color="auto"/>
      </w:divBdr>
    </w:div>
    <w:div w:id="103312606">
      <w:bodyDiv w:val="1"/>
      <w:marLeft w:val="0"/>
      <w:marRight w:val="0"/>
      <w:marTop w:val="0"/>
      <w:marBottom w:val="0"/>
      <w:divBdr>
        <w:top w:val="none" w:sz="0" w:space="0" w:color="auto"/>
        <w:left w:val="none" w:sz="0" w:space="0" w:color="auto"/>
        <w:bottom w:val="none" w:sz="0" w:space="0" w:color="auto"/>
        <w:right w:val="none" w:sz="0" w:space="0" w:color="auto"/>
      </w:divBdr>
    </w:div>
    <w:div w:id="106512877">
      <w:bodyDiv w:val="1"/>
      <w:marLeft w:val="0"/>
      <w:marRight w:val="0"/>
      <w:marTop w:val="0"/>
      <w:marBottom w:val="0"/>
      <w:divBdr>
        <w:top w:val="none" w:sz="0" w:space="0" w:color="auto"/>
        <w:left w:val="none" w:sz="0" w:space="0" w:color="auto"/>
        <w:bottom w:val="none" w:sz="0" w:space="0" w:color="auto"/>
        <w:right w:val="none" w:sz="0" w:space="0" w:color="auto"/>
      </w:divBdr>
    </w:div>
    <w:div w:id="108667032">
      <w:bodyDiv w:val="1"/>
      <w:marLeft w:val="0"/>
      <w:marRight w:val="0"/>
      <w:marTop w:val="0"/>
      <w:marBottom w:val="0"/>
      <w:divBdr>
        <w:top w:val="none" w:sz="0" w:space="0" w:color="auto"/>
        <w:left w:val="none" w:sz="0" w:space="0" w:color="auto"/>
        <w:bottom w:val="none" w:sz="0" w:space="0" w:color="auto"/>
        <w:right w:val="none" w:sz="0" w:space="0" w:color="auto"/>
      </w:divBdr>
    </w:div>
    <w:div w:id="151455879">
      <w:bodyDiv w:val="1"/>
      <w:marLeft w:val="0"/>
      <w:marRight w:val="0"/>
      <w:marTop w:val="0"/>
      <w:marBottom w:val="0"/>
      <w:divBdr>
        <w:top w:val="none" w:sz="0" w:space="0" w:color="auto"/>
        <w:left w:val="none" w:sz="0" w:space="0" w:color="auto"/>
        <w:bottom w:val="none" w:sz="0" w:space="0" w:color="auto"/>
        <w:right w:val="none" w:sz="0" w:space="0" w:color="auto"/>
      </w:divBdr>
    </w:div>
    <w:div w:id="152113082">
      <w:bodyDiv w:val="1"/>
      <w:marLeft w:val="0"/>
      <w:marRight w:val="0"/>
      <w:marTop w:val="0"/>
      <w:marBottom w:val="0"/>
      <w:divBdr>
        <w:top w:val="none" w:sz="0" w:space="0" w:color="auto"/>
        <w:left w:val="none" w:sz="0" w:space="0" w:color="auto"/>
        <w:bottom w:val="none" w:sz="0" w:space="0" w:color="auto"/>
        <w:right w:val="none" w:sz="0" w:space="0" w:color="auto"/>
      </w:divBdr>
    </w:div>
    <w:div w:id="169375863">
      <w:bodyDiv w:val="1"/>
      <w:marLeft w:val="0"/>
      <w:marRight w:val="0"/>
      <w:marTop w:val="0"/>
      <w:marBottom w:val="0"/>
      <w:divBdr>
        <w:top w:val="none" w:sz="0" w:space="0" w:color="auto"/>
        <w:left w:val="none" w:sz="0" w:space="0" w:color="auto"/>
        <w:bottom w:val="none" w:sz="0" w:space="0" w:color="auto"/>
        <w:right w:val="none" w:sz="0" w:space="0" w:color="auto"/>
      </w:divBdr>
    </w:div>
    <w:div w:id="171990352">
      <w:bodyDiv w:val="1"/>
      <w:marLeft w:val="0"/>
      <w:marRight w:val="0"/>
      <w:marTop w:val="0"/>
      <w:marBottom w:val="0"/>
      <w:divBdr>
        <w:top w:val="none" w:sz="0" w:space="0" w:color="auto"/>
        <w:left w:val="none" w:sz="0" w:space="0" w:color="auto"/>
        <w:bottom w:val="none" w:sz="0" w:space="0" w:color="auto"/>
        <w:right w:val="none" w:sz="0" w:space="0" w:color="auto"/>
      </w:divBdr>
    </w:div>
    <w:div w:id="193157903">
      <w:bodyDiv w:val="1"/>
      <w:marLeft w:val="0"/>
      <w:marRight w:val="0"/>
      <w:marTop w:val="0"/>
      <w:marBottom w:val="0"/>
      <w:divBdr>
        <w:top w:val="none" w:sz="0" w:space="0" w:color="auto"/>
        <w:left w:val="none" w:sz="0" w:space="0" w:color="auto"/>
        <w:bottom w:val="none" w:sz="0" w:space="0" w:color="auto"/>
        <w:right w:val="none" w:sz="0" w:space="0" w:color="auto"/>
      </w:divBdr>
    </w:div>
    <w:div w:id="258489558">
      <w:bodyDiv w:val="1"/>
      <w:marLeft w:val="0"/>
      <w:marRight w:val="0"/>
      <w:marTop w:val="0"/>
      <w:marBottom w:val="0"/>
      <w:divBdr>
        <w:top w:val="none" w:sz="0" w:space="0" w:color="auto"/>
        <w:left w:val="none" w:sz="0" w:space="0" w:color="auto"/>
        <w:bottom w:val="none" w:sz="0" w:space="0" w:color="auto"/>
        <w:right w:val="none" w:sz="0" w:space="0" w:color="auto"/>
      </w:divBdr>
    </w:div>
    <w:div w:id="286546125">
      <w:bodyDiv w:val="1"/>
      <w:marLeft w:val="0"/>
      <w:marRight w:val="0"/>
      <w:marTop w:val="0"/>
      <w:marBottom w:val="0"/>
      <w:divBdr>
        <w:top w:val="none" w:sz="0" w:space="0" w:color="auto"/>
        <w:left w:val="none" w:sz="0" w:space="0" w:color="auto"/>
        <w:bottom w:val="none" w:sz="0" w:space="0" w:color="auto"/>
        <w:right w:val="none" w:sz="0" w:space="0" w:color="auto"/>
      </w:divBdr>
    </w:div>
    <w:div w:id="315454905">
      <w:bodyDiv w:val="1"/>
      <w:marLeft w:val="0"/>
      <w:marRight w:val="0"/>
      <w:marTop w:val="0"/>
      <w:marBottom w:val="0"/>
      <w:divBdr>
        <w:top w:val="none" w:sz="0" w:space="0" w:color="auto"/>
        <w:left w:val="none" w:sz="0" w:space="0" w:color="auto"/>
        <w:bottom w:val="none" w:sz="0" w:space="0" w:color="auto"/>
        <w:right w:val="none" w:sz="0" w:space="0" w:color="auto"/>
      </w:divBdr>
    </w:div>
    <w:div w:id="332417518">
      <w:bodyDiv w:val="1"/>
      <w:marLeft w:val="0"/>
      <w:marRight w:val="0"/>
      <w:marTop w:val="0"/>
      <w:marBottom w:val="0"/>
      <w:divBdr>
        <w:top w:val="none" w:sz="0" w:space="0" w:color="auto"/>
        <w:left w:val="none" w:sz="0" w:space="0" w:color="auto"/>
        <w:bottom w:val="none" w:sz="0" w:space="0" w:color="auto"/>
        <w:right w:val="none" w:sz="0" w:space="0" w:color="auto"/>
      </w:divBdr>
    </w:div>
    <w:div w:id="388768480">
      <w:bodyDiv w:val="1"/>
      <w:marLeft w:val="0"/>
      <w:marRight w:val="0"/>
      <w:marTop w:val="0"/>
      <w:marBottom w:val="0"/>
      <w:divBdr>
        <w:top w:val="none" w:sz="0" w:space="0" w:color="auto"/>
        <w:left w:val="none" w:sz="0" w:space="0" w:color="auto"/>
        <w:bottom w:val="none" w:sz="0" w:space="0" w:color="auto"/>
        <w:right w:val="none" w:sz="0" w:space="0" w:color="auto"/>
      </w:divBdr>
    </w:div>
    <w:div w:id="406457382">
      <w:bodyDiv w:val="1"/>
      <w:marLeft w:val="0"/>
      <w:marRight w:val="0"/>
      <w:marTop w:val="0"/>
      <w:marBottom w:val="0"/>
      <w:divBdr>
        <w:top w:val="none" w:sz="0" w:space="0" w:color="auto"/>
        <w:left w:val="none" w:sz="0" w:space="0" w:color="auto"/>
        <w:bottom w:val="none" w:sz="0" w:space="0" w:color="auto"/>
        <w:right w:val="none" w:sz="0" w:space="0" w:color="auto"/>
      </w:divBdr>
    </w:div>
    <w:div w:id="428548580">
      <w:bodyDiv w:val="1"/>
      <w:marLeft w:val="0"/>
      <w:marRight w:val="0"/>
      <w:marTop w:val="0"/>
      <w:marBottom w:val="0"/>
      <w:divBdr>
        <w:top w:val="none" w:sz="0" w:space="0" w:color="auto"/>
        <w:left w:val="none" w:sz="0" w:space="0" w:color="auto"/>
        <w:bottom w:val="none" w:sz="0" w:space="0" w:color="auto"/>
        <w:right w:val="none" w:sz="0" w:space="0" w:color="auto"/>
      </w:divBdr>
    </w:div>
    <w:div w:id="447623819">
      <w:bodyDiv w:val="1"/>
      <w:marLeft w:val="0"/>
      <w:marRight w:val="0"/>
      <w:marTop w:val="0"/>
      <w:marBottom w:val="0"/>
      <w:divBdr>
        <w:top w:val="none" w:sz="0" w:space="0" w:color="auto"/>
        <w:left w:val="none" w:sz="0" w:space="0" w:color="auto"/>
        <w:bottom w:val="none" w:sz="0" w:space="0" w:color="auto"/>
        <w:right w:val="none" w:sz="0" w:space="0" w:color="auto"/>
      </w:divBdr>
    </w:div>
    <w:div w:id="484201968">
      <w:bodyDiv w:val="1"/>
      <w:marLeft w:val="0"/>
      <w:marRight w:val="0"/>
      <w:marTop w:val="0"/>
      <w:marBottom w:val="0"/>
      <w:divBdr>
        <w:top w:val="none" w:sz="0" w:space="0" w:color="auto"/>
        <w:left w:val="none" w:sz="0" w:space="0" w:color="auto"/>
        <w:bottom w:val="none" w:sz="0" w:space="0" w:color="auto"/>
        <w:right w:val="none" w:sz="0" w:space="0" w:color="auto"/>
      </w:divBdr>
    </w:div>
    <w:div w:id="502477425">
      <w:bodyDiv w:val="1"/>
      <w:marLeft w:val="0"/>
      <w:marRight w:val="0"/>
      <w:marTop w:val="0"/>
      <w:marBottom w:val="0"/>
      <w:divBdr>
        <w:top w:val="none" w:sz="0" w:space="0" w:color="auto"/>
        <w:left w:val="none" w:sz="0" w:space="0" w:color="auto"/>
        <w:bottom w:val="none" w:sz="0" w:space="0" w:color="auto"/>
        <w:right w:val="none" w:sz="0" w:space="0" w:color="auto"/>
      </w:divBdr>
    </w:div>
    <w:div w:id="503471579">
      <w:bodyDiv w:val="1"/>
      <w:marLeft w:val="0"/>
      <w:marRight w:val="0"/>
      <w:marTop w:val="0"/>
      <w:marBottom w:val="0"/>
      <w:divBdr>
        <w:top w:val="none" w:sz="0" w:space="0" w:color="auto"/>
        <w:left w:val="none" w:sz="0" w:space="0" w:color="auto"/>
        <w:bottom w:val="none" w:sz="0" w:space="0" w:color="auto"/>
        <w:right w:val="none" w:sz="0" w:space="0" w:color="auto"/>
      </w:divBdr>
    </w:div>
    <w:div w:id="514610400">
      <w:bodyDiv w:val="1"/>
      <w:marLeft w:val="0"/>
      <w:marRight w:val="0"/>
      <w:marTop w:val="0"/>
      <w:marBottom w:val="0"/>
      <w:divBdr>
        <w:top w:val="none" w:sz="0" w:space="0" w:color="auto"/>
        <w:left w:val="none" w:sz="0" w:space="0" w:color="auto"/>
        <w:bottom w:val="none" w:sz="0" w:space="0" w:color="auto"/>
        <w:right w:val="none" w:sz="0" w:space="0" w:color="auto"/>
      </w:divBdr>
    </w:div>
    <w:div w:id="530654703">
      <w:bodyDiv w:val="1"/>
      <w:marLeft w:val="0"/>
      <w:marRight w:val="0"/>
      <w:marTop w:val="0"/>
      <w:marBottom w:val="0"/>
      <w:divBdr>
        <w:top w:val="none" w:sz="0" w:space="0" w:color="auto"/>
        <w:left w:val="none" w:sz="0" w:space="0" w:color="auto"/>
        <w:bottom w:val="none" w:sz="0" w:space="0" w:color="auto"/>
        <w:right w:val="none" w:sz="0" w:space="0" w:color="auto"/>
      </w:divBdr>
    </w:div>
    <w:div w:id="538905877">
      <w:bodyDiv w:val="1"/>
      <w:marLeft w:val="0"/>
      <w:marRight w:val="0"/>
      <w:marTop w:val="0"/>
      <w:marBottom w:val="0"/>
      <w:divBdr>
        <w:top w:val="none" w:sz="0" w:space="0" w:color="auto"/>
        <w:left w:val="none" w:sz="0" w:space="0" w:color="auto"/>
        <w:bottom w:val="none" w:sz="0" w:space="0" w:color="auto"/>
        <w:right w:val="none" w:sz="0" w:space="0" w:color="auto"/>
      </w:divBdr>
    </w:div>
    <w:div w:id="597325862">
      <w:bodyDiv w:val="1"/>
      <w:marLeft w:val="0"/>
      <w:marRight w:val="0"/>
      <w:marTop w:val="0"/>
      <w:marBottom w:val="0"/>
      <w:divBdr>
        <w:top w:val="none" w:sz="0" w:space="0" w:color="auto"/>
        <w:left w:val="none" w:sz="0" w:space="0" w:color="auto"/>
        <w:bottom w:val="none" w:sz="0" w:space="0" w:color="auto"/>
        <w:right w:val="none" w:sz="0" w:space="0" w:color="auto"/>
      </w:divBdr>
    </w:div>
    <w:div w:id="611984634">
      <w:bodyDiv w:val="1"/>
      <w:marLeft w:val="0"/>
      <w:marRight w:val="0"/>
      <w:marTop w:val="0"/>
      <w:marBottom w:val="0"/>
      <w:divBdr>
        <w:top w:val="none" w:sz="0" w:space="0" w:color="auto"/>
        <w:left w:val="none" w:sz="0" w:space="0" w:color="auto"/>
        <w:bottom w:val="none" w:sz="0" w:space="0" w:color="auto"/>
        <w:right w:val="none" w:sz="0" w:space="0" w:color="auto"/>
      </w:divBdr>
    </w:div>
    <w:div w:id="622733404">
      <w:bodyDiv w:val="1"/>
      <w:marLeft w:val="0"/>
      <w:marRight w:val="0"/>
      <w:marTop w:val="0"/>
      <w:marBottom w:val="0"/>
      <w:divBdr>
        <w:top w:val="none" w:sz="0" w:space="0" w:color="auto"/>
        <w:left w:val="none" w:sz="0" w:space="0" w:color="auto"/>
        <w:bottom w:val="none" w:sz="0" w:space="0" w:color="auto"/>
        <w:right w:val="none" w:sz="0" w:space="0" w:color="auto"/>
      </w:divBdr>
    </w:div>
    <w:div w:id="641620702">
      <w:bodyDiv w:val="1"/>
      <w:marLeft w:val="0"/>
      <w:marRight w:val="0"/>
      <w:marTop w:val="0"/>
      <w:marBottom w:val="0"/>
      <w:divBdr>
        <w:top w:val="none" w:sz="0" w:space="0" w:color="auto"/>
        <w:left w:val="none" w:sz="0" w:space="0" w:color="auto"/>
        <w:bottom w:val="none" w:sz="0" w:space="0" w:color="auto"/>
        <w:right w:val="none" w:sz="0" w:space="0" w:color="auto"/>
      </w:divBdr>
    </w:div>
    <w:div w:id="643854832">
      <w:bodyDiv w:val="1"/>
      <w:marLeft w:val="0"/>
      <w:marRight w:val="0"/>
      <w:marTop w:val="0"/>
      <w:marBottom w:val="0"/>
      <w:divBdr>
        <w:top w:val="none" w:sz="0" w:space="0" w:color="auto"/>
        <w:left w:val="none" w:sz="0" w:space="0" w:color="auto"/>
        <w:bottom w:val="none" w:sz="0" w:space="0" w:color="auto"/>
        <w:right w:val="none" w:sz="0" w:space="0" w:color="auto"/>
      </w:divBdr>
    </w:div>
    <w:div w:id="668486877">
      <w:bodyDiv w:val="1"/>
      <w:marLeft w:val="0"/>
      <w:marRight w:val="0"/>
      <w:marTop w:val="0"/>
      <w:marBottom w:val="0"/>
      <w:divBdr>
        <w:top w:val="none" w:sz="0" w:space="0" w:color="auto"/>
        <w:left w:val="none" w:sz="0" w:space="0" w:color="auto"/>
        <w:bottom w:val="none" w:sz="0" w:space="0" w:color="auto"/>
        <w:right w:val="none" w:sz="0" w:space="0" w:color="auto"/>
      </w:divBdr>
    </w:div>
    <w:div w:id="715351796">
      <w:bodyDiv w:val="1"/>
      <w:marLeft w:val="0"/>
      <w:marRight w:val="0"/>
      <w:marTop w:val="0"/>
      <w:marBottom w:val="0"/>
      <w:divBdr>
        <w:top w:val="none" w:sz="0" w:space="0" w:color="auto"/>
        <w:left w:val="none" w:sz="0" w:space="0" w:color="auto"/>
        <w:bottom w:val="none" w:sz="0" w:space="0" w:color="auto"/>
        <w:right w:val="none" w:sz="0" w:space="0" w:color="auto"/>
      </w:divBdr>
    </w:div>
    <w:div w:id="731928250">
      <w:bodyDiv w:val="1"/>
      <w:marLeft w:val="0"/>
      <w:marRight w:val="0"/>
      <w:marTop w:val="0"/>
      <w:marBottom w:val="0"/>
      <w:divBdr>
        <w:top w:val="none" w:sz="0" w:space="0" w:color="auto"/>
        <w:left w:val="none" w:sz="0" w:space="0" w:color="auto"/>
        <w:bottom w:val="none" w:sz="0" w:space="0" w:color="auto"/>
        <w:right w:val="none" w:sz="0" w:space="0" w:color="auto"/>
      </w:divBdr>
    </w:div>
    <w:div w:id="741374628">
      <w:bodyDiv w:val="1"/>
      <w:marLeft w:val="0"/>
      <w:marRight w:val="0"/>
      <w:marTop w:val="0"/>
      <w:marBottom w:val="0"/>
      <w:divBdr>
        <w:top w:val="none" w:sz="0" w:space="0" w:color="auto"/>
        <w:left w:val="none" w:sz="0" w:space="0" w:color="auto"/>
        <w:bottom w:val="none" w:sz="0" w:space="0" w:color="auto"/>
        <w:right w:val="none" w:sz="0" w:space="0" w:color="auto"/>
      </w:divBdr>
    </w:div>
    <w:div w:id="867643855">
      <w:bodyDiv w:val="1"/>
      <w:marLeft w:val="0"/>
      <w:marRight w:val="0"/>
      <w:marTop w:val="0"/>
      <w:marBottom w:val="0"/>
      <w:divBdr>
        <w:top w:val="none" w:sz="0" w:space="0" w:color="auto"/>
        <w:left w:val="none" w:sz="0" w:space="0" w:color="auto"/>
        <w:bottom w:val="none" w:sz="0" w:space="0" w:color="auto"/>
        <w:right w:val="none" w:sz="0" w:space="0" w:color="auto"/>
      </w:divBdr>
    </w:div>
    <w:div w:id="873929273">
      <w:bodyDiv w:val="1"/>
      <w:marLeft w:val="0"/>
      <w:marRight w:val="0"/>
      <w:marTop w:val="0"/>
      <w:marBottom w:val="0"/>
      <w:divBdr>
        <w:top w:val="none" w:sz="0" w:space="0" w:color="auto"/>
        <w:left w:val="none" w:sz="0" w:space="0" w:color="auto"/>
        <w:bottom w:val="none" w:sz="0" w:space="0" w:color="auto"/>
        <w:right w:val="none" w:sz="0" w:space="0" w:color="auto"/>
      </w:divBdr>
    </w:div>
    <w:div w:id="875047431">
      <w:bodyDiv w:val="1"/>
      <w:marLeft w:val="0"/>
      <w:marRight w:val="0"/>
      <w:marTop w:val="0"/>
      <w:marBottom w:val="0"/>
      <w:divBdr>
        <w:top w:val="none" w:sz="0" w:space="0" w:color="auto"/>
        <w:left w:val="none" w:sz="0" w:space="0" w:color="auto"/>
        <w:bottom w:val="none" w:sz="0" w:space="0" w:color="auto"/>
        <w:right w:val="none" w:sz="0" w:space="0" w:color="auto"/>
      </w:divBdr>
    </w:div>
    <w:div w:id="943810008">
      <w:bodyDiv w:val="1"/>
      <w:marLeft w:val="0"/>
      <w:marRight w:val="0"/>
      <w:marTop w:val="0"/>
      <w:marBottom w:val="0"/>
      <w:divBdr>
        <w:top w:val="none" w:sz="0" w:space="0" w:color="auto"/>
        <w:left w:val="none" w:sz="0" w:space="0" w:color="auto"/>
        <w:bottom w:val="none" w:sz="0" w:space="0" w:color="auto"/>
        <w:right w:val="none" w:sz="0" w:space="0" w:color="auto"/>
      </w:divBdr>
    </w:div>
    <w:div w:id="1038356791">
      <w:bodyDiv w:val="1"/>
      <w:marLeft w:val="0"/>
      <w:marRight w:val="0"/>
      <w:marTop w:val="0"/>
      <w:marBottom w:val="0"/>
      <w:divBdr>
        <w:top w:val="none" w:sz="0" w:space="0" w:color="auto"/>
        <w:left w:val="none" w:sz="0" w:space="0" w:color="auto"/>
        <w:bottom w:val="none" w:sz="0" w:space="0" w:color="auto"/>
        <w:right w:val="none" w:sz="0" w:space="0" w:color="auto"/>
      </w:divBdr>
    </w:div>
    <w:div w:id="1113136129">
      <w:bodyDiv w:val="1"/>
      <w:marLeft w:val="0"/>
      <w:marRight w:val="0"/>
      <w:marTop w:val="0"/>
      <w:marBottom w:val="0"/>
      <w:divBdr>
        <w:top w:val="none" w:sz="0" w:space="0" w:color="auto"/>
        <w:left w:val="none" w:sz="0" w:space="0" w:color="auto"/>
        <w:bottom w:val="none" w:sz="0" w:space="0" w:color="auto"/>
        <w:right w:val="none" w:sz="0" w:space="0" w:color="auto"/>
      </w:divBdr>
    </w:div>
    <w:div w:id="1135877756">
      <w:bodyDiv w:val="1"/>
      <w:marLeft w:val="0"/>
      <w:marRight w:val="0"/>
      <w:marTop w:val="0"/>
      <w:marBottom w:val="0"/>
      <w:divBdr>
        <w:top w:val="none" w:sz="0" w:space="0" w:color="auto"/>
        <w:left w:val="none" w:sz="0" w:space="0" w:color="auto"/>
        <w:bottom w:val="none" w:sz="0" w:space="0" w:color="auto"/>
        <w:right w:val="none" w:sz="0" w:space="0" w:color="auto"/>
      </w:divBdr>
    </w:div>
    <w:div w:id="1226919216">
      <w:bodyDiv w:val="1"/>
      <w:marLeft w:val="0"/>
      <w:marRight w:val="0"/>
      <w:marTop w:val="0"/>
      <w:marBottom w:val="0"/>
      <w:divBdr>
        <w:top w:val="none" w:sz="0" w:space="0" w:color="auto"/>
        <w:left w:val="none" w:sz="0" w:space="0" w:color="auto"/>
        <w:bottom w:val="none" w:sz="0" w:space="0" w:color="auto"/>
        <w:right w:val="none" w:sz="0" w:space="0" w:color="auto"/>
      </w:divBdr>
    </w:div>
    <w:div w:id="1350596692">
      <w:bodyDiv w:val="1"/>
      <w:marLeft w:val="0"/>
      <w:marRight w:val="0"/>
      <w:marTop w:val="0"/>
      <w:marBottom w:val="0"/>
      <w:divBdr>
        <w:top w:val="none" w:sz="0" w:space="0" w:color="auto"/>
        <w:left w:val="none" w:sz="0" w:space="0" w:color="auto"/>
        <w:bottom w:val="none" w:sz="0" w:space="0" w:color="auto"/>
        <w:right w:val="none" w:sz="0" w:space="0" w:color="auto"/>
      </w:divBdr>
    </w:div>
    <w:div w:id="1377973063">
      <w:bodyDiv w:val="1"/>
      <w:marLeft w:val="0"/>
      <w:marRight w:val="0"/>
      <w:marTop w:val="0"/>
      <w:marBottom w:val="0"/>
      <w:divBdr>
        <w:top w:val="none" w:sz="0" w:space="0" w:color="auto"/>
        <w:left w:val="none" w:sz="0" w:space="0" w:color="auto"/>
        <w:bottom w:val="none" w:sz="0" w:space="0" w:color="auto"/>
        <w:right w:val="none" w:sz="0" w:space="0" w:color="auto"/>
      </w:divBdr>
    </w:div>
    <w:div w:id="1407413027">
      <w:bodyDiv w:val="1"/>
      <w:marLeft w:val="0"/>
      <w:marRight w:val="0"/>
      <w:marTop w:val="0"/>
      <w:marBottom w:val="0"/>
      <w:divBdr>
        <w:top w:val="none" w:sz="0" w:space="0" w:color="auto"/>
        <w:left w:val="none" w:sz="0" w:space="0" w:color="auto"/>
        <w:bottom w:val="none" w:sz="0" w:space="0" w:color="auto"/>
        <w:right w:val="none" w:sz="0" w:space="0" w:color="auto"/>
      </w:divBdr>
    </w:div>
    <w:div w:id="1423525766">
      <w:bodyDiv w:val="1"/>
      <w:marLeft w:val="0"/>
      <w:marRight w:val="0"/>
      <w:marTop w:val="0"/>
      <w:marBottom w:val="0"/>
      <w:divBdr>
        <w:top w:val="none" w:sz="0" w:space="0" w:color="auto"/>
        <w:left w:val="none" w:sz="0" w:space="0" w:color="auto"/>
        <w:bottom w:val="none" w:sz="0" w:space="0" w:color="auto"/>
        <w:right w:val="none" w:sz="0" w:space="0" w:color="auto"/>
      </w:divBdr>
    </w:div>
    <w:div w:id="1486777759">
      <w:bodyDiv w:val="1"/>
      <w:marLeft w:val="0"/>
      <w:marRight w:val="0"/>
      <w:marTop w:val="0"/>
      <w:marBottom w:val="0"/>
      <w:divBdr>
        <w:top w:val="none" w:sz="0" w:space="0" w:color="auto"/>
        <w:left w:val="none" w:sz="0" w:space="0" w:color="auto"/>
        <w:bottom w:val="none" w:sz="0" w:space="0" w:color="auto"/>
        <w:right w:val="none" w:sz="0" w:space="0" w:color="auto"/>
      </w:divBdr>
    </w:div>
    <w:div w:id="1541555519">
      <w:bodyDiv w:val="1"/>
      <w:marLeft w:val="0"/>
      <w:marRight w:val="0"/>
      <w:marTop w:val="0"/>
      <w:marBottom w:val="0"/>
      <w:divBdr>
        <w:top w:val="none" w:sz="0" w:space="0" w:color="auto"/>
        <w:left w:val="none" w:sz="0" w:space="0" w:color="auto"/>
        <w:bottom w:val="none" w:sz="0" w:space="0" w:color="auto"/>
        <w:right w:val="none" w:sz="0" w:space="0" w:color="auto"/>
      </w:divBdr>
    </w:div>
    <w:div w:id="1547254549">
      <w:bodyDiv w:val="1"/>
      <w:marLeft w:val="0"/>
      <w:marRight w:val="0"/>
      <w:marTop w:val="0"/>
      <w:marBottom w:val="0"/>
      <w:divBdr>
        <w:top w:val="none" w:sz="0" w:space="0" w:color="auto"/>
        <w:left w:val="none" w:sz="0" w:space="0" w:color="auto"/>
        <w:bottom w:val="none" w:sz="0" w:space="0" w:color="auto"/>
        <w:right w:val="none" w:sz="0" w:space="0" w:color="auto"/>
      </w:divBdr>
    </w:div>
    <w:div w:id="1590432217">
      <w:bodyDiv w:val="1"/>
      <w:marLeft w:val="0"/>
      <w:marRight w:val="0"/>
      <w:marTop w:val="0"/>
      <w:marBottom w:val="0"/>
      <w:divBdr>
        <w:top w:val="none" w:sz="0" w:space="0" w:color="auto"/>
        <w:left w:val="none" w:sz="0" w:space="0" w:color="auto"/>
        <w:bottom w:val="none" w:sz="0" w:space="0" w:color="auto"/>
        <w:right w:val="none" w:sz="0" w:space="0" w:color="auto"/>
      </w:divBdr>
    </w:div>
    <w:div w:id="1602372100">
      <w:bodyDiv w:val="1"/>
      <w:marLeft w:val="0"/>
      <w:marRight w:val="0"/>
      <w:marTop w:val="0"/>
      <w:marBottom w:val="0"/>
      <w:divBdr>
        <w:top w:val="none" w:sz="0" w:space="0" w:color="auto"/>
        <w:left w:val="none" w:sz="0" w:space="0" w:color="auto"/>
        <w:bottom w:val="none" w:sz="0" w:space="0" w:color="auto"/>
        <w:right w:val="none" w:sz="0" w:space="0" w:color="auto"/>
      </w:divBdr>
    </w:div>
    <w:div w:id="1612399553">
      <w:bodyDiv w:val="1"/>
      <w:marLeft w:val="0"/>
      <w:marRight w:val="0"/>
      <w:marTop w:val="0"/>
      <w:marBottom w:val="0"/>
      <w:divBdr>
        <w:top w:val="none" w:sz="0" w:space="0" w:color="auto"/>
        <w:left w:val="none" w:sz="0" w:space="0" w:color="auto"/>
        <w:bottom w:val="none" w:sz="0" w:space="0" w:color="auto"/>
        <w:right w:val="none" w:sz="0" w:space="0" w:color="auto"/>
      </w:divBdr>
    </w:div>
    <w:div w:id="1679847696">
      <w:bodyDiv w:val="1"/>
      <w:marLeft w:val="0"/>
      <w:marRight w:val="0"/>
      <w:marTop w:val="0"/>
      <w:marBottom w:val="0"/>
      <w:divBdr>
        <w:top w:val="none" w:sz="0" w:space="0" w:color="auto"/>
        <w:left w:val="none" w:sz="0" w:space="0" w:color="auto"/>
        <w:bottom w:val="none" w:sz="0" w:space="0" w:color="auto"/>
        <w:right w:val="none" w:sz="0" w:space="0" w:color="auto"/>
      </w:divBdr>
    </w:div>
    <w:div w:id="1743486611">
      <w:bodyDiv w:val="1"/>
      <w:marLeft w:val="0"/>
      <w:marRight w:val="0"/>
      <w:marTop w:val="0"/>
      <w:marBottom w:val="0"/>
      <w:divBdr>
        <w:top w:val="none" w:sz="0" w:space="0" w:color="auto"/>
        <w:left w:val="none" w:sz="0" w:space="0" w:color="auto"/>
        <w:bottom w:val="none" w:sz="0" w:space="0" w:color="auto"/>
        <w:right w:val="none" w:sz="0" w:space="0" w:color="auto"/>
      </w:divBdr>
    </w:div>
    <w:div w:id="1762213784">
      <w:bodyDiv w:val="1"/>
      <w:marLeft w:val="0"/>
      <w:marRight w:val="0"/>
      <w:marTop w:val="0"/>
      <w:marBottom w:val="0"/>
      <w:divBdr>
        <w:top w:val="none" w:sz="0" w:space="0" w:color="auto"/>
        <w:left w:val="none" w:sz="0" w:space="0" w:color="auto"/>
        <w:bottom w:val="none" w:sz="0" w:space="0" w:color="auto"/>
        <w:right w:val="none" w:sz="0" w:space="0" w:color="auto"/>
      </w:divBdr>
    </w:div>
    <w:div w:id="1763329960">
      <w:bodyDiv w:val="1"/>
      <w:marLeft w:val="0"/>
      <w:marRight w:val="0"/>
      <w:marTop w:val="0"/>
      <w:marBottom w:val="0"/>
      <w:divBdr>
        <w:top w:val="none" w:sz="0" w:space="0" w:color="auto"/>
        <w:left w:val="none" w:sz="0" w:space="0" w:color="auto"/>
        <w:bottom w:val="none" w:sz="0" w:space="0" w:color="auto"/>
        <w:right w:val="none" w:sz="0" w:space="0" w:color="auto"/>
      </w:divBdr>
    </w:div>
    <w:div w:id="1780484666">
      <w:bodyDiv w:val="1"/>
      <w:marLeft w:val="0"/>
      <w:marRight w:val="0"/>
      <w:marTop w:val="0"/>
      <w:marBottom w:val="0"/>
      <w:divBdr>
        <w:top w:val="none" w:sz="0" w:space="0" w:color="auto"/>
        <w:left w:val="none" w:sz="0" w:space="0" w:color="auto"/>
        <w:bottom w:val="none" w:sz="0" w:space="0" w:color="auto"/>
        <w:right w:val="none" w:sz="0" w:space="0" w:color="auto"/>
      </w:divBdr>
    </w:div>
    <w:div w:id="1781534506">
      <w:bodyDiv w:val="1"/>
      <w:marLeft w:val="0"/>
      <w:marRight w:val="0"/>
      <w:marTop w:val="0"/>
      <w:marBottom w:val="0"/>
      <w:divBdr>
        <w:top w:val="none" w:sz="0" w:space="0" w:color="auto"/>
        <w:left w:val="none" w:sz="0" w:space="0" w:color="auto"/>
        <w:bottom w:val="none" w:sz="0" w:space="0" w:color="auto"/>
        <w:right w:val="none" w:sz="0" w:space="0" w:color="auto"/>
      </w:divBdr>
    </w:div>
    <w:div w:id="1792240711">
      <w:bodyDiv w:val="1"/>
      <w:marLeft w:val="0"/>
      <w:marRight w:val="0"/>
      <w:marTop w:val="0"/>
      <w:marBottom w:val="0"/>
      <w:divBdr>
        <w:top w:val="none" w:sz="0" w:space="0" w:color="auto"/>
        <w:left w:val="none" w:sz="0" w:space="0" w:color="auto"/>
        <w:bottom w:val="none" w:sz="0" w:space="0" w:color="auto"/>
        <w:right w:val="none" w:sz="0" w:space="0" w:color="auto"/>
      </w:divBdr>
    </w:div>
    <w:div w:id="1806198104">
      <w:bodyDiv w:val="1"/>
      <w:marLeft w:val="0"/>
      <w:marRight w:val="0"/>
      <w:marTop w:val="0"/>
      <w:marBottom w:val="0"/>
      <w:divBdr>
        <w:top w:val="none" w:sz="0" w:space="0" w:color="auto"/>
        <w:left w:val="none" w:sz="0" w:space="0" w:color="auto"/>
        <w:bottom w:val="none" w:sz="0" w:space="0" w:color="auto"/>
        <w:right w:val="none" w:sz="0" w:space="0" w:color="auto"/>
      </w:divBdr>
    </w:div>
    <w:div w:id="1825976238">
      <w:bodyDiv w:val="1"/>
      <w:marLeft w:val="0"/>
      <w:marRight w:val="0"/>
      <w:marTop w:val="0"/>
      <w:marBottom w:val="0"/>
      <w:divBdr>
        <w:top w:val="none" w:sz="0" w:space="0" w:color="auto"/>
        <w:left w:val="none" w:sz="0" w:space="0" w:color="auto"/>
        <w:bottom w:val="none" w:sz="0" w:space="0" w:color="auto"/>
        <w:right w:val="none" w:sz="0" w:space="0" w:color="auto"/>
      </w:divBdr>
    </w:div>
    <w:div w:id="1827043297">
      <w:bodyDiv w:val="1"/>
      <w:marLeft w:val="0"/>
      <w:marRight w:val="0"/>
      <w:marTop w:val="0"/>
      <w:marBottom w:val="0"/>
      <w:divBdr>
        <w:top w:val="none" w:sz="0" w:space="0" w:color="auto"/>
        <w:left w:val="none" w:sz="0" w:space="0" w:color="auto"/>
        <w:bottom w:val="none" w:sz="0" w:space="0" w:color="auto"/>
        <w:right w:val="none" w:sz="0" w:space="0" w:color="auto"/>
      </w:divBdr>
    </w:div>
    <w:div w:id="1845167479">
      <w:bodyDiv w:val="1"/>
      <w:marLeft w:val="0"/>
      <w:marRight w:val="0"/>
      <w:marTop w:val="0"/>
      <w:marBottom w:val="0"/>
      <w:divBdr>
        <w:top w:val="none" w:sz="0" w:space="0" w:color="auto"/>
        <w:left w:val="none" w:sz="0" w:space="0" w:color="auto"/>
        <w:bottom w:val="none" w:sz="0" w:space="0" w:color="auto"/>
        <w:right w:val="none" w:sz="0" w:space="0" w:color="auto"/>
      </w:divBdr>
    </w:div>
    <w:div w:id="1882400678">
      <w:bodyDiv w:val="1"/>
      <w:marLeft w:val="0"/>
      <w:marRight w:val="0"/>
      <w:marTop w:val="0"/>
      <w:marBottom w:val="0"/>
      <w:divBdr>
        <w:top w:val="none" w:sz="0" w:space="0" w:color="auto"/>
        <w:left w:val="none" w:sz="0" w:space="0" w:color="auto"/>
        <w:bottom w:val="none" w:sz="0" w:space="0" w:color="auto"/>
        <w:right w:val="none" w:sz="0" w:space="0" w:color="auto"/>
      </w:divBdr>
    </w:div>
    <w:div w:id="1882858373">
      <w:bodyDiv w:val="1"/>
      <w:marLeft w:val="0"/>
      <w:marRight w:val="0"/>
      <w:marTop w:val="0"/>
      <w:marBottom w:val="0"/>
      <w:divBdr>
        <w:top w:val="none" w:sz="0" w:space="0" w:color="auto"/>
        <w:left w:val="none" w:sz="0" w:space="0" w:color="auto"/>
        <w:bottom w:val="none" w:sz="0" w:space="0" w:color="auto"/>
        <w:right w:val="none" w:sz="0" w:space="0" w:color="auto"/>
      </w:divBdr>
    </w:div>
    <w:div w:id="1898204847">
      <w:bodyDiv w:val="1"/>
      <w:marLeft w:val="0"/>
      <w:marRight w:val="0"/>
      <w:marTop w:val="0"/>
      <w:marBottom w:val="0"/>
      <w:divBdr>
        <w:top w:val="none" w:sz="0" w:space="0" w:color="auto"/>
        <w:left w:val="none" w:sz="0" w:space="0" w:color="auto"/>
        <w:bottom w:val="none" w:sz="0" w:space="0" w:color="auto"/>
        <w:right w:val="none" w:sz="0" w:space="0" w:color="auto"/>
      </w:divBdr>
    </w:div>
    <w:div w:id="1918398735">
      <w:bodyDiv w:val="1"/>
      <w:marLeft w:val="0"/>
      <w:marRight w:val="0"/>
      <w:marTop w:val="0"/>
      <w:marBottom w:val="0"/>
      <w:divBdr>
        <w:top w:val="none" w:sz="0" w:space="0" w:color="auto"/>
        <w:left w:val="none" w:sz="0" w:space="0" w:color="auto"/>
        <w:bottom w:val="none" w:sz="0" w:space="0" w:color="auto"/>
        <w:right w:val="none" w:sz="0" w:space="0" w:color="auto"/>
      </w:divBdr>
    </w:div>
    <w:div w:id="1919099651">
      <w:bodyDiv w:val="1"/>
      <w:marLeft w:val="0"/>
      <w:marRight w:val="0"/>
      <w:marTop w:val="0"/>
      <w:marBottom w:val="0"/>
      <w:divBdr>
        <w:top w:val="none" w:sz="0" w:space="0" w:color="auto"/>
        <w:left w:val="none" w:sz="0" w:space="0" w:color="auto"/>
        <w:bottom w:val="none" w:sz="0" w:space="0" w:color="auto"/>
        <w:right w:val="none" w:sz="0" w:space="0" w:color="auto"/>
      </w:divBdr>
    </w:div>
    <w:div w:id="1924220524">
      <w:bodyDiv w:val="1"/>
      <w:marLeft w:val="0"/>
      <w:marRight w:val="0"/>
      <w:marTop w:val="0"/>
      <w:marBottom w:val="0"/>
      <w:divBdr>
        <w:top w:val="none" w:sz="0" w:space="0" w:color="auto"/>
        <w:left w:val="none" w:sz="0" w:space="0" w:color="auto"/>
        <w:bottom w:val="none" w:sz="0" w:space="0" w:color="auto"/>
        <w:right w:val="none" w:sz="0" w:space="0" w:color="auto"/>
      </w:divBdr>
    </w:div>
    <w:div w:id="1991056060">
      <w:bodyDiv w:val="1"/>
      <w:marLeft w:val="0"/>
      <w:marRight w:val="0"/>
      <w:marTop w:val="0"/>
      <w:marBottom w:val="0"/>
      <w:divBdr>
        <w:top w:val="none" w:sz="0" w:space="0" w:color="auto"/>
        <w:left w:val="none" w:sz="0" w:space="0" w:color="auto"/>
        <w:bottom w:val="none" w:sz="0" w:space="0" w:color="auto"/>
        <w:right w:val="none" w:sz="0" w:space="0" w:color="auto"/>
      </w:divBdr>
    </w:div>
    <w:div w:id="2014646365">
      <w:bodyDiv w:val="1"/>
      <w:marLeft w:val="0"/>
      <w:marRight w:val="0"/>
      <w:marTop w:val="0"/>
      <w:marBottom w:val="0"/>
      <w:divBdr>
        <w:top w:val="none" w:sz="0" w:space="0" w:color="auto"/>
        <w:left w:val="none" w:sz="0" w:space="0" w:color="auto"/>
        <w:bottom w:val="none" w:sz="0" w:space="0" w:color="auto"/>
        <w:right w:val="none" w:sz="0" w:space="0" w:color="auto"/>
      </w:divBdr>
    </w:div>
    <w:div w:id="2026397939">
      <w:bodyDiv w:val="1"/>
      <w:marLeft w:val="0"/>
      <w:marRight w:val="0"/>
      <w:marTop w:val="0"/>
      <w:marBottom w:val="0"/>
      <w:divBdr>
        <w:top w:val="none" w:sz="0" w:space="0" w:color="auto"/>
        <w:left w:val="none" w:sz="0" w:space="0" w:color="auto"/>
        <w:bottom w:val="none" w:sz="0" w:space="0" w:color="auto"/>
        <w:right w:val="none" w:sz="0" w:space="0" w:color="auto"/>
      </w:divBdr>
    </w:div>
    <w:div w:id="2029060847">
      <w:bodyDiv w:val="1"/>
      <w:marLeft w:val="0"/>
      <w:marRight w:val="0"/>
      <w:marTop w:val="0"/>
      <w:marBottom w:val="0"/>
      <w:divBdr>
        <w:top w:val="none" w:sz="0" w:space="0" w:color="auto"/>
        <w:left w:val="none" w:sz="0" w:space="0" w:color="auto"/>
        <w:bottom w:val="none" w:sz="0" w:space="0" w:color="auto"/>
        <w:right w:val="none" w:sz="0" w:space="0" w:color="auto"/>
      </w:divBdr>
    </w:div>
    <w:div w:id="2041971626">
      <w:bodyDiv w:val="1"/>
      <w:marLeft w:val="0"/>
      <w:marRight w:val="0"/>
      <w:marTop w:val="0"/>
      <w:marBottom w:val="0"/>
      <w:divBdr>
        <w:top w:val="none" w:sz="0" w:space="0" w:color="auto"/>
        <w:left w:val="none" w:sz="0" w:space="0" w:color="auto"/>
        <w:bottom w:val="none" w:sz="0" w:space="0" w:color="auto"/>
        <w:right w:val="none" w:sz="0" w:space="0" w:color="auto"/>
      </w:divBdr>
    </w:div>
    <w:div w:id="2081632972">
      <w:bodyDiv w:val="1"/>
      <w:marLeft w:val="0"/>
      <w:marRight w:val="0"/>
      <w:marTop w:val="0"/>
      <w:marBottom w:val="0"/>
      <w:divBdr>
        <w:top w:val="none" w:sz="0" w:space="0" w:color="auto"/>
        <w:left w:val="none" w:sz="0" w:space="0" w:color="auto"/>
        <w:bottom w:val="none" w:sz="0" w:space="0" w:color="auto"/>
        <w:right w:val="none" w:sz="0" w:space="0" w:color="auto"/>
      </w:divBdr>
    </w:div>
    <w:div w:id="2103642266">
      <w:bodyDiv w:val="1"/>
      <w:marLeft w:val="0"/>
      <w:marRight w:val="0"/>
      <w:marTop w:val="0"/>
      <w:marBottom w:val="0"/>
      <w:divBdr>
        <w:top w:val="none" w:sz="0" w:space="0" w:color="auto"/>
        <w:left w:val="none" w:sz="0" w:space="0" w:color="auto"/>
        <w:bottom w:val="none" w:sz="0" w:space="0" w:color="auto"/>
        <w:right w:val="none" w:sz="0" w:space="0" w:color="auto"/>
      </w:divBdr>
    </w:div>
    <w:div w:id="2133817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wmf"/><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wmf"/><Relationship Id="rId36" Type="http://schemas.openxmlformats.org/officeDocument/2006/relationships/image" Target="media/image25.emf"/><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A7D4FDF199FE64438732850D4FBE260F" ma:contentTypeVersion="2" ma:contentTypeDescription="Crear nuevo documento." ma:contentTypeScope="" ma:versionID="63c92538b28d5b713d16874c15cb8d52">
  <xsd:schema xmlns:xsd="http://www.w3.org/2001/XMLSchema" xmlns:xs="http://www.w3.org/2001/XMLSchema" xmlns:p="http://schemas.microsoft.com/office/2006/metadata/properties" xmlns:ns2="0f90cc45-9d06-4234-8034-eeec6c0c7cc1" targetNamespace="http://schemas.microsoft.com/office/2006/metadata/properties" ma:root="true" ma:fieldsID="f4593a53156f1345ddb7249d4a7fc36b" ns2:_="">
    <xsd:import namespace="0f90cc45-9d06-4234-8034-eeec6c0c7cc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90cc45-9d06-4234-8034-eeec6c0c7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11427-EE31-4A33-824E-B28098C932DB}">
  <ds:schemaRefs>
    <ds:schemaRef ds:uri="http://schemas.microsoft.com/sharepoint/v3/contenttype/forms"/>
  </ds:schemaRefs>
</ds:datastoreItem>
</file>

<file path=customXml/itemProps2.xml><?xml version="1.0" encoding="utf-8"?>
<ds:datastoreItem xmlns:ds="http://schemas.openxmlformats.org/officeDocument/2006/customXml" ds:itemID="{7813D14A-8B9B-4EB0-ADCA-DD61ED0D817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47B42D9-78EE-471E-A98E-CB78BA4A15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90cc45-9d06-4234-8034-eeec6c0c7c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46CFD2-BD04-427B-AF26-46CF1D6CC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21581</Words>
  <Characters>118699</Characters>
  <Application>Microsoft Office Word</Application>
  <DocSecurity>0</DocSecurity>
  <Lines>989</Lines>
  <Paragraphs>279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Ramos;Luz</dc:creator>
  <cp:keywords/>
  <cp:lastModifiedBy>Luz Stella Rojas Macias</cp:lastModifiedBy>
  <cp:revision>2</cp:revision>
  <cp:lastPrinted>2019-04-23T22:02:00Z</cp:lastPrinted>
  <dcterms:created xsi:type="dcterms:W3CDTF">2020-11-05T20:22:00Z</dcterms:created>
  <dcterms:modified xsi:type="dcterms:W3CDTF">2020-11-05T20:22:00Z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0x010100A7D4FDF199FE64438732850D4FBE260F</vt:lpwstr>
  </property>
</Properties>
</file>