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59" w:rsidRPr="003301B8" w:rsidRDefault="00DE1BF2" w:rsidP="008411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7" o:title=""/>
          </v:shape>
          <o:OLEObject Type="Embed" ProgID="PBrush" ShapeID="_x0000_s1026" DrawAspect="Content" ObjectID="_1637742477" r:id="rId8"/>
        </w:object>
      </w:r>
    </w:p>
    <w:p w:rsidR="00841159" w:rsidRPr="003301B8" w:rsidRDefault="00841159" w:rsidP="00841159">
      <w:pPr>
        <w:pStyle w:val="Ttulo4"/>
        <w:tabs>
          <w:tab w:val="left" w:pos="0"/>
          <w:tab w:val="right" w:pos="9356"/>
        </w:tabs>
        <w:ind w:left="0"/>
        <w:rPr>
          <w:rFonts w:ascii="Bookman Old Style" w:hAnsi="Bookman Old Style"/>
          <w:b w:val="0"/>
          <w:bCs/>
          <w:sz w:val="24"/>
          <w:szCs w:val="24"/>
        </w:rPr>
      </w:pPr>
    </w:p>
    <w:p w:rsidR="00841159" w:rsidRPr="003301B8" w:rsidRDefault="00841159" w:rsidP="00841159">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841159" w:rsidRPr="003301B8" w:rsidRDefault="00841159" w:rsidP="00841159">
      <w:pPr>
        <w:pStyle w:val="Ttulo4"/>
        <w:tabs>
          <w:tab w:val="left" w:pos="0"/>
          <w:tab w:val="right" w:pos="9356"/>
        </w:tabs>
        <w:ind w:left="0"/>
        <w:rPr>
          <w:rFonts w:ascii="Bookman Old Style" w:hAnsi="Bookman Old Style"/>
          <w:b w:val="0"/>
          <w:bCs/>
          <w:sz w:val="24"/>
          <w:szCs w:val="24"/>
        </w:rPr>
      </w:pPr>
    </w:p>
    <w:p w:rsidR="00841159" w:rsidRPr="003301B8" w:rsidRDefault="00841159" w:rsidP="00841159">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841159" w:rsidRPr="003301B8" w:rsidRDefault="00841159" w:rsidP="00841159">
      <w:pPr>
        <w:pStyle w:val="Ttulo5"/>
        <w:tabs>
          <w:tab w:val="left" w:pos="0"/>
          <w:tab w:val="right" w:pos="9356"/>
        </w:tabs>
        <w:ind w:left="0"/>
        <w:rPr>
          <w:rFonts w:ascii="Bookman Old Style" w:hAnsi="Bookman Old Style"/>
          <w:sz w:val="24"/>
          <w:szCs w:val="24"/>
        </w:rPr>
      </w:pPr>
    </w:p>
    <w:p w:rsidR="00841159" w:rsidRPr="003301B8" w:rsidRDefault="00841159" w:rsidP="00841159">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RESOLUCIÓN No.          DE 201</w:t>
      </w:r>
      <w:r>
        <w:rPr>
          <w:rFonts w:ascii="Bookman Old Style" w:hAnsi="Bookman Old Style"/>
          <w:sz w:val="24"/>
          <w:szCs w:val="24"/>
        </w:rPr>
        <w:t>9</w:t>
      </w:r>
    </w:p>
    <w:p w:rsidR="00841159" w:rsidRPr="003301B8" w:rsidRDefault="00841159" w:rsidP="00841159">
      <w:pPr>
        <w:tabs>
          <w:tab w:val="left" w:pos="0"/>
          <w:tab w:val="right" w:pos="9356"/>
        </w:tabs>
        <w:ind w:left="0"/>
        <w:jc w:val="center"/>
        <w:rPr>
          <w:rFonts w:ascii="Bookman Old Style" w:hAnsi="Bookman Old Style" w:cs="Arial"/>
          <w:b/>
          <w:snapToGrid w:val="0"/>
          <w:color w:val="000000"/>
          <w:lang w:val="es-ES_tradnl"/>
        </w:rPr>
      </w:pPr>
    </w:p>
    <w:p w:rsidR="00841159" w:rsidRPr="003301B8" w:rsidRDefault="00841159" w:rsidP="00841159">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w:t>
      </w:r>
    </w:p>
    <w:p w:rsidR="00841159" w:rsidRPr="003301B8" w:rsidRDefault="00841159" w:rsidP="00841159">
      <w:pPr>
        <w:tabs>
          <w:tab w:val="left" w:pos="0"/>
          <w:tab w:val="right" w:pos="9356"/>
        </w:tabs>
        <w:ind w:left="0"/>
        <w:jc w:val="center"/>
        <w:rPr>
          <w:rFonts w:ascii="Bookman Old Style" w:hAnsi="Bookman Old Style"/>
          <w:lang w:val="es-ES_tradnl"/>
        </w:rPr>
      </w:pPr>
    </w:p>
    <w:p w:rsidR="00841159" w:rsidRPr="003301B8" w:rsidRDefault="00841159" w:rsidP="00841159">
      <w:pPr>
        <w:ind w:left="0"/>
        <w:rPr>
          <w:rFonts w:ascii="Bookman Old Style" w:hAnsi="Bookman Old Style"/>
          <w:bCs/>
          <w:lang w:val="es-ES_tradnl"/>
        </w:rPr>
      </w:pPr>
    </w:p>
    <w:p w:rsidR="00841159" w:rsidRPr="003301B8" w:rsidRDefault="00841159" w:rsidP="00E95E95">
      <w:pPr>
        <w:ind w:left="227" w:right="-142"/>
        <w:jc w:val="center"/>
        <w:rPr>
          <w:rFonts w:ascii="Bookman Old Style" w:hAnsi="Bookman Old Style"/>
        </w:rPr>
      </w:pPr>
      <w:r w:rsidRPr="003301B8">
        <w:rPr>
          <w:rFonts w:ascii="Bookman Old Style" w:hAnsi="Bookman Old Style"/>
        </w:rPr>
        <w:t xml:space="preserve">Por medio de la cual se resuelve </w:t>
      </w:r>
      <w:r w:rsidR="00E95E95">
        <w:rPr>
          <w:rFonts w:ascii="Bookman Old Style" w:hAnsi="Bookman Old Style"/>
        </w:rPr>
        <w:t>el</w:t>
      </w:r>
      <w:r w:rsidRPr="003301B8">
        <w:rPr>
          <w:rFonts w:ascii="Bookman Old Style" w:hAnsi="Bookman Old Style"/>
        </w:rPr>
        <w:t xml:space="preserve"> recurso de reposición </w:t>
      </w:r>
      <w:r w:rsidR="00E95E95">
        <w:rPr>
          <w:rFonts w:ascii="Bookman Old Style" w:hAnsi="Bookman Old Style"/>
        </w:rPr>
        <w:t xml:space="preserve">interpuesto por </w:t>
      </w:r>
      <w:r w:rsidR="00E95E95" w:rsidRPr="00E95E95">
        <w:rPr>
          <w:rFonts w:ascii="Bookman Old Style" w:hAnsi="Bookman Old Style"/>
        </w:rPr>
        <w:t>EMPRESA DE ENERGÍA DEL QUINDÍO S.A. E.S.P.</w:t>
      </w:r>
      <w:r w:rsidR="00E95E95">
        <w:rPr>
          <w:rFonts w:ascii="Bookman Old Style" w:hAnsi="Bookman Old Style"/>
        </w:rPr>
        <w:t xml:space="preserve"> </w:t>
      </w:r>
      <w:r w:rsidRPr="003301B8">
        <w:rPr>
          <w:rFonts w:ascii="Bookman Old Style" w:hAnsi="Bookman Old Style"/>
        </w:rPr>
        <w:t xml:space="preserve">en contra de la Resolución CREG </w:t>
      </w:r>
      <w:r>
        <w:rPr>
          <w:rFonts w:ascii="Bookman Old Style" w:hAnsi="Bookman Old Style"/>
        </w:rPr>
        <w:t>139 de 2018</w:t>
      </w:r>
    </w:p>
    <w:p w:rsidR="00841159" w:rsidRPr="003301B8" w:rsidRDefault="00841159" w:rsidP="00841159">
      <w:pPr>
        <w:ind w:left="170" w:right="-454"/>
        <w:jc w:val="both"/>
        <w:rPr>
          <w:rFonts w:ascii="Bookman Old Style" w:hAnsi="Bookman Old Style"/>
        </w:rPr>
      </w:pPr>
    </w:p>
    <w:p w:rsidR="00841159" w:rsidRPr="003301B8" w:rsidRDefault="00841159" w:rsidP="00841159">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841159" w:rsidRPr="003301B8" w:rsidRDefault="00841159" w:rsidP="00841159">
      <w:pPr>
        <w:ind w:left="170" w:right="-454"/>
        <w:jc w:val="both"/>
        <w:rPr>
          <w:rFonts w:ascii="Bookman Old Style" w:hAnsi="Bookman Old Style"/>
        </w:rPr>
      </w:pPr>
    </w:p>
    <w:p w:rsidR="00841159" w:rsidRPr="003301B8" w:rsidRDefault="00841159" w:rsidP="00841159">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w:t>
      </w:r>
      <w:r w:rsidR="00220E4F">
        <w:rPr>
          <w:rFonts w:ascii="Bookman Old Style" w:hAnsi="Bookman Old Style"/>
        </w:rPr>
        <w:t>os decretos 1524 y 2253 de 1994 y 1260 de 2013,</w:t>
      </w:r>
      <w:r w:rsidRPr="003301B8">
        <w:rPr>
          <w:rFonts w:ascii="Bookman Old Style" w:hAnsi="Bookman Old Style"/>
        </w:rPr>
        <w:t xml:space="preserve"> </w:t>
      </w:r>
    </w:p>
    <w:p w:rsidR="00841159" w:rsidRPr="003301B8" w:rsidRDefault="00841159" w:rsidP="00841159">
      <w:pPr>
        <w:ind w:left="0" w:right="-454"/>
        <w:jc w:val="both"/>
        <w:rPr>
          <w:rFonts w:ascii="Bookman Old Style" w:hAnsi="Bookman Old Style"/>
        </w:rPr>
      </w:pPr>
    </w:p>
    <w:p w:rsidR="00841159" w:rsidRPr="003301B8" w:rsidRDefault="00841159" w:rsidP="00841159">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841159" w:rsidRPr="003301B8" w:rsidRDefault="00841159"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841159" w:rsidRPr="003301B8" w:rsidRDefault="00841159" w:rsidP="00841159">
      <w:pPr>
        <w:pStyle w:val="Prrafodelista"/>
        <w:ind w:left="720"/>
        <w:jc w:val="both"/>
        <w:rPr>
          <w:rFonts w:ascii="Bookman Old Style" w:hAnsi="Bookman Old Style" w:cs="Arial"/>
          <w:sz w:val="24"/>
          <w:szCs w:val="24"/>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 xml:space="preserve"> </w:t>
      </w:r>
    </w:p>
    <w:p w:rsidR="00841159" w:rsidRPr="003301B8" w:rsidRDefault="00232AE6" w:rsidP="00841159">
      <w:pPr>
        <w:ind w:left="0"/>
        <w:jc w:val="both"/>
        <w:rPr>
          <w:rFonts w:ascii="Bookman Old Style" w:hAnsi="Bookman Old Style" w:cs="Arial"/>
        </w:rPr>
      </w:pPr>
      <w:r>
        <w:rPr>
          <w:rFonts w:ascii="Bookman Old Style" w:hAnsi="Bookman Old Style" w:cs="Arial"/>
        </w:rPr>
        <w:t>Que la</w:t>
      </w:r>
      <w:r w:rsidR="00637B98">
        <w:rPr>
          <w:rFonts w:ascii="Bookman Old Style" w:hAnsi="Bookman Old Style" w:cs="Arial"/>
        </w:rPr>
        <w:t xml:space="preserve"> </w:t>
      </w:r>
      <w:r w:rsidR="009D02FF">
        <w:rPr>
          <w:rFonts w:ascii="Bookman Old Style" w:hAnsi="Bookman Old Style" w:cs="Arial"/>
        </w:rPr>
        <w:t>EMPRESA DE ENERGÍA DEL QUINDÍO S.A. E.S.P</w:t>
      </w:r>
      <w:r w:rsidR="00D53866">
        <w:rPr>
          <w:rFonts w:ascii="Bookman Old Style" w:hAnsi="Bookman Old Style" w:cs="Arial"/>
        </w:rPr>
        <w:t>.</w:t>
      </w:r>
      <w:r w:rsidR="00637B98">
        <w:rPr>
          <w:rFonts w:ascii="Bookman Old Style" w:hAnsi="Bookman Old Style" w:cs="Arial"/>
        </w:rPr>
        <w:t xml:space="preserve"> </w:t>
      </w:r>
      <w:r w:rsidR="00841159" w:rsidRPr="003301B8">
        <w:rPr>
          <w:rFonts w:ascii="Bookman Old Style" w:hAnsi="Bookman Old Style" w:cs="Arial"/>
        </w:rPr>
        <w:t xml:space="preserve">fue notificada </w:t>
      </w:r>
      <w:r w:rsidR="00841159">
        <w:rPr>
          <w:rFonts w:ascii="Bookman Old Style" w:hAnsi="Bookman Old Style" w:cs="Arial"/>
        </w:rPr>
        <w:t xml:space="preserve">conforme a los mecanismos previstos en la ley </w:t>
      </w:r>
      <w:r w:rsidR="00841159" w:rsidRPr="003301B8">
        <w:rPr>
          <w:rFonts w:ascii="Bookman Old Style" w:hAnsi="Bookman Old Style" w:cs="Arial"/>
        </w:rPr>
        <w:t>del contenido de la resolución CREG-</w:t>
      </w:r>
      <w:r w:rsidR="00841159">
        <w:rPr>
          <w:rFonts w:ascii="Bookman Old Style" w:hAnsi="Bookman Old Style" w:cs="Arial"/>
        </w:rPr>
        <w:t>139 de 2018</w:t>
      </w:r>
      <w:r w:rsidR="00841159" w:rsidRPr="003301B8">
        <w:rPr>
          <w:rFonts w:ascii="Bookman Old Style" w:hAnsi="Bookman Old Style" w:cs="Arial"/>
        </w:rPr>
        <w:t xml:space="preserve">. </w:t>
      </w:r>
    </w:p>
    <w:p w:rsidR="00841159" w:rsidRPr="003301B8" w:rsidRDefault="00841159" w:rsidP="00841159">
      <w:pPr>
        <w:pStyle w:val="Prrafodelista"/>
        <w:rPr>
          <w:rFonts w:ascii="Bookman Old Style" w:hAnsi="Bookman Old Style" w:cs="Arial"/>
          <w:sz w:val="24"/>
          <w:szCs w:val="24"/>
        </w:rPr>
      </w:pPr>
    </w:p>
    <w:p w:rsidR="00841159" w:rsidRPr="003301B8" w:rsidRDefault="00841159" w:rsidP="00841159">
      <w:pPr>
        <w:ind w:left="0"/>
        <w:jc w:val="both"/>
        <w:rPr>
          <w:rFonts w:ascii="Bookman Old Style" w:hAnsi="Bookman Old Style" w:cs="Arial"/>
          <w:highlight w:val="yellow"/>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 xml:space="preserve">ón de Energía y Gas -CREG- bajo radicado número </w:t>
      </w:r>
      <w:r w:rsidR="00562CFF" w:rsidRPr="006872DA">
        <w:rPr>
          <w:rFonts w:ascii="Bookman Old Style" w:hAnsi="Bookman Old Style" w:cs="Arial"/>
        </w:rPr>
        <w:t>E-2019-000</w:t>
      </w:r>
      <w:r w:rsidR="009D02FF" w:rsidRPr="006872DA">
        <w:rPr>
          <w:rFonts w:ascii="Bookman Old Style" w:hAnsi="Bookman Old Style" w:cs="Arial"/>
        </w:rPr>
        <w:t>O86</w:t>
      </w:r>
      <w:r w:rsidRPr="006872DA">
        <w:rPr>
          <w:rFonts w:ascii="Bookman Old Style" w:hAnsi="Bookman Old Style" w:cs="Arial"/>
        </w:rPr>
        <w:t xml:space="preserve"> del </w:t>
      </w:r>
      <w:r w:rsidR="009D02FF" w:rsidRPr="006872DA">
        <w:rPr>
          <w:rFonts w:ascii="Bookman Old Style" w:hAnsi="Bookman Old Style" w:cs="Arial"/>
        </w:rPr>
        <w:t>cuatro</w:t>
      </w:r>
      <w:r w:rsidR="00562CFF" w:rsidRPr="006872DA">
        <w:rPr>
          <w:rFonts w:ascii="Bookman Old Style" w:hAnsi="Bookman Old Style" w:cs="Arial"/>
        </w:rPr>
        <w:t xml:space="preserve"> </w:t>
      </w:r>
      <w:r w:rsidRPr="006872DA">
        <w:rPr>
          <w:rFonts w:ascii="Bookman Old Style" w:hAnsi="Bookman Old Style" w:cs="Arial"/>
        </w:rPr>
        <w:t xml:space="preserve">de enero de 2019., </w:t>
      </w:r>
      <w:r w:rsidR="00562CFF" w:rsidRPr="006872DA">
        <w:rPr>
          <w:rFonts w:ascii="Bookman Old Style" w:hAnsi="Bookman Old Style" w:cs="Arial"/>
        </w:rPr>
        <w:t xml:space="preserve">la </w:t>
      </w:r>
      <w:r w:rsidR="006872DA">
        <w:rPr>
          <w:rFonts w:ascii="Bookman Old Style" w:hAnsi="Bookman Old Style" w:cs="Arial"/>
        </w:rPr>
        <w:t>señora</w:t>
      </w:r>
      <w:r w:rsidR="00562CFF" w:rsidRPr="006872DA">
        <w:rPr>
          <w:rFonts w:ascii="Bookman Old Style" w:hAnsi="Bookman Old Style" w:cs="Arial"/>
        </w:rPr>
        <w:t xml:space="preserve"> </w:t>
      </w:r>
      <w:r w:rsidR="009D02FF" w:rsidRPr="006872DA">
        <w:rPr>
          <w:rFonts w:ascii="Bookman Old Style" w:hAnsi="Bookman Old Style" w:cs="Arial"/>
        </w:rPr>
        <w:t xml:space="preserve">Jinneth Marulanda Zapata </w:t>
      </w:r>
      <w:r w:rsidRPr="006872DA">
        <w:rPr>
          <w:rFonts w:ascii="Bookman Old Style" w:hAnsi="Bookman Old Style" w:cs="Arial"/>
        </w:rPr>
        <w:t xml:space="preserve">en calidad de </w:t>
      </w:r>
      <w:r w:rsidR="009D02FF" w:rsidRPr="006872DA">
        <w:rPr>
          <w:rFonts w:ascii="Bookman Old Style" w:hAnsi="Bookman Old Style" w:cs="Arial"/>
        </w:rPr>
        <w:t>Representante Legal</w:t>
      </w:r>
      <w:r w:rsidRPr="006872DA">
        <w:rPr>
          <w:rFonts w:ascii="Bookman Old Style" w:hAnsi="Bookman Old Style" w:cs="Arial"/>
        </w:rPr>
        <w:t xml:space="preserve"> </w:t>
      </w:r>
      <w:r w:rsidR="009D02FF" w:rsidRPr="006872DA">
        <w:rPr>
          <w:rFonts w:ascii="Bookman Old Style" w:hAnsi="Bookman Old Style" w:cs="Arial"/>
        </w:rPr>
        <w:t>EM</w:t>
      </w:r>
      <w:r w:rsidR="009D02FF">
        <w:rPr>
          <w:rFonts w:ascii="Bookman Old Style" w:hAnsi="Bookman Old Style" w:cs="Arial"/>
        </w:rPr>
        <w:t>PRESA DE ENERGÍA DEL QUINDÍO S.A. E.S.P</w:t>
      </w:r>
      <w:r w:rsidR="00B24086" w:rsidRPr="003301B8">
        <w:rPr>
          <w:rFonts w:ascii="Bookman Old Style" w:hAnsi="Bookman Old Style" w:cs="Arial"/>
        </w:rPr>
        <w:t>.</w:t>
      </w:r>
      <w:r w:rsidR="00B24086">
        <w:rPr>
          <w:rFonts w:ascii="Bookman Old Style" w:hAnsi="Bookman Old Style" w:cs="Arial"/>
        </w:rPr>
        <w:t>,</w:t>
      </w:r>
      <w:r w:rsidR="00B24086" w:rsidRPr="003301B8">
        <w:rPr>
          <w:rFonts w:ascii="Bookman Old Style" w:hAnsi="Bookman Old Style" w:cs="Arial"/>
        </w:rPr>
        <w:t xml:space="preserve"> </w:t>
      </w:r>
      <w:r w:rsidRPr="003301B8">
        <w:rPr>
          <w:rFonts w:ascii="Bookman Old Style" w:hAnsi="Bookman Old Style" w:cs="Arial"/>
        </w:rPr>
        <w:t>presentó recurso de reposición contra la resolución CREG-</w:t>
      </w:r>
      <w:r>
        <w:rPr>
          <w:rFonts w:ascii="Bookman Old Style" w:hAnsi="Bookman Old Style" w:cs="Arial"/>
        </w:rPr>
        <w:t>139 de 2018</w:t>
      </w:r>
      <w:r w:rsidRPr="003301B8">
        <w:rPr>
          <w:rFonts w:ascii="Bookman Old Style" w:hAnsi="Bookman Old Style" w:cs="Arial"/>
        </w:rPr>
        <w:t>.</w:t>
      </w: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251214" w:rsidRPr="003301B8" w:rsidRDefault="00251214" w:rsidP="00841159">
      <w:pPr>
        <w:ind w:left="0"/>
        <w:jc w:val="both"/>
        <w:rPr>
          <w:rFonts w:ascii="Bookman Old Style" w:hAnsi="Bookman Old Style" w:cs="Arial"/>
        </w:rPr>
      </w:pPr>
    </w:p>
    <w:p w:rsidR="00841159" w:rsidRPr="003301B8" w:rsidRDefault="00841159" w:rsidP="00841159">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841159" w:rsidRPr="003301B8" w:rsidRDefault="00841159" w:rsidP="00841159">
      <w:pPr>
        <w:ind w:left="0"/>
        <w:jc w:val="both"/>
        <w:rPr>
          <w:rFonts w:ascii="Bookman Old Style" w:hAnsi="Bookman Old Style" w:cs="Arial"/>
        </w:rPr>
      </w:pPr>
    </w:p>
    <w:p w:rsidR="00841159" w:rsidRPr="003301B8" w:rsidRDefault="00841159" w:rsidP="00841159">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841159" w:rsidRPr="003301B8" w:rsidRDefault="00841159" w:rsidP="00841159">
      <w:pPr>
        <w:pStyle w:val="Prrafodelista"/>
        <w:ind w:left="720"/>
        <w:rPr>
          <w:rFonts w:ascii="Bookman Old Style" w:hAnsi="Bookman Old Style" w:cs="Arial"/>
          <w:b/>
          <w:sz w:val="24"/>
          <w:szCs w:val="24"/>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Pr>
          <w:rFonts w:ascii="Bookman Old Style" w:hAnsi="Bookman Old Style" w:cs="Arial"/>
        </w:rPr>
        <w:t>resolución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841159" w:rsidRPr="003301B8" w:rsidRDefault="00841159" w:rsidP="00841159">
      <w:pPr>
        <w:ind w:left="0"/>
        <w:jc w:val="both"/>
        <w:rPr>
          <w:rFonts w:ascii="Bookman Old Style" w:hAnsi="Bookman Old Style"/>
        </w:rPr>
      </w:pPr>
    </w:p>
    <w:p w:rsidR="00841159" w:rsidRPr="00220E4F" w:rsidRDefault="00841159" w:rsidP="00841159">
      <w:pPr>
        <w:ind w:left="0"/>
        <w:jc w:val="both"/>
        <w:rPr>
          <w:rFonts w:ascii="Bookman Old Style" w:hAnsi="Bookman Old Style" w:cs="Arial"/>
          <w:i/>
          <w:lang w:val="es-CO"/>
        </w:rPr>
      </w:pPr>
      <w:r w:rsidRPr="00220E4F">
        <w:rPr>
          <w:rFonts w:ascii="Bookman Old Style" w:hAnsi="Bookman Old Style" w:cs="Arial"/>
          <w:i/>
          <w:lang w:val="es-CO"/>
        </w:rPr>
        <w:t>Los fundamentos del recurrente se exponen a continuación:</w:t>
      </w:r>
    </w:p>
    <w:p w:rsidR="00841159" w:rsidRPr="00220E4F" w:rsidRDefault="00841159" w:rsidP="00841159">
      <w:pPr>
        <w:ind w:left="170"/>
        <w:jc w:val="both"/>
        <w:rPr>
          <w:rFonts w:ascii="Bookman Old Style" w:hAnsi="Bookman Old Style" w:cs="Arial"/>
          <w:i/>
          <w:lang w:val="es-CO"/>
        </w:rPr>
      </w:pPr>
    </w:p>
    <w:p w:rsidR="00841159" w:rsidRPr="003301B8" w:rsidRDefault="00841159" w:rsidP="006E75CD">
      <w:pPr>
        <w:ind w:left="0"/>
        <w:jc w:val="both"/>
        <w:rPr>
          <w:rFonts w:ascii="Bookman Old Style" w:hAnsi="Bookman Old Style" w:cs="Arial"/>
          <w:i/>
          <w:lang w:val="es-CO"/>
        </w:rPr>
      </w:pPr>
      <w:r w:rsidRPr="00220E4F">
        <w:rPr>
          <w:rFonts w:ascii="Bookman Old Style" w:hAnsi="Bookman Old Style" w:cs="Arial"/>
          <w:i/>
          <w:lang w:val="es-CO"/>
        </w:rPr>
        <w:t>Argumenta el recurrente que:</w:t>
      </w:r>
    </w:p>
    <w:p w:rsidR="00BF4610" w:rsidRPr="00BF4610" w:rsidRDefault="00BF4610" w:rsidP="00BF4610">
      <w:pPr>
        <w:pStyle w:val="Style2"/>
        <w:shd w:val="clear" w:color="auto" w:fill="auto"/>
        <w:spacing w:before="240" w:after="271" w:line="278" w:lineRule="exact"/>
        <w:ind w:left="40" w:right="20" w:firstLine="0"/>
        <w:jc w:val="both"/>
        <w:rPr>
          <w:rFonts w:ascii="Bookman Old Style" w:eastAsia="Times New Roman" w:hAnsi="Bookman Old Style"/>
          <w:i/>
          <w:sz w:val="24"/>
          <w:szCs w:val="24"/>
          <w:lang w:eastAsia="es-ES"/>
        </w:rPr>
      </w:pPr>
      <w:r w:rsidRPr="00BF4610">
        <w:rPr>
          <w:rFonts w:ascii="Bookman Old Style" w:eastAsia="Times New Roman" w:hAnsi="Bookman Old Style"/>
          <w:i/>
          <w:sz w:val="24"/>
          <w:szCs w:val="24"/>
          <w:lang w:eastAsia="es-ES"/>
        </w:rPr>
        <w:t>La sección cuarta del Consejo de Estado mediante sentencia del 23 de septiembre de 2010 (Expediente 18874), se pronunció sobre la improcedencia de incluir los gastos de inversión en la conformación de la base gravable, al respecto estableció lo siguiente:</w:t>
      </w:r>
    </w:p>
    <w:p w:rsidR="00BF4610" w:rsidRPr="00BF4610" w:rsidRDefault="00BF4610" w:rsidP="00BF4610">
      <w:pPr>
        <w:pStyle w:val="Style2"/>
        <w:shd w:val="clear" w:color="auto" w:fill="auto"/>
        <w:spacing w:after="209" w:line="240" w:lineRule="exact"/>
        <w:ind w:left="560" w:right="620" w:firstLine="0"/>
        <w:jc w:val="both"/>
        <w:rPr>
          <w:rFonts w:ascii="Bookman Old Style" w:eastAsia="Times New Roman" w:hAnsi="Bookman Old Style"/>
          <w:i/>
          <w:sz w:val="24"/>
          <w:szCs w:val="24"/>
          <w:lang w:eastAsia="es-ES"/>
        </w:rPr>
      </w:pPr>
      <w:r w:rsidRPr="00BF4610">
        <w:rPr>
          <w:rFonts w:ascii="Bookman Old Style" w:eastAsia="Times New Roman" w:hAnsi="Bookman Old Style"/>
          <w:sz w:val="24"/>
          <w:szCs w:val="24"/>
          <w:lang w:eastAsia="es-ES"/>
        </w:rPr>
        <w:t>"</w:t>
      </w:r>
      <w:r w:rsidRPr="00BF4610">
        <w:rPr>
          <w:rFonts w:ascii="Bookman Old Style" w:eastAsia="Times New Roman" w:hAnsi="Bookman Old Style"/>
          <w:i/>
          <w:sz w:val="24"/>
          <w:szCs w:val="24"/>
          <w:lang w:eastAsia="es-ES"/>
        </w:rPr>
        <w:t xml:space="preserve">la noción de gastos de funcionamiento debe incluir las erogaciones causadas o pagadas durante el periodo contable que estén relacionadas con la prestación de los servicios públicos de cada ente prestador, lo que implica que no hagan parte de tales gastos los recursos que el ente destine para otros efectos, tales como, servicios de la deuda e </w:t>
      </w:r>
      <w:r>
        <w:rPr>
          <w:rFonts w:ascii="Bookman Old Style" w:eastAsia="Times New Roman" w:hAnsi="Bookman Old Style"/>
          <w:i/>
          <w:sz w:val="24"/>
          <w:szCs w:val="24"/>
          <w:lang w:eastAsia="es-ES"/>
        </w:rPr>
        <w:t>inversión…</w:t>
      </w:r>
      <w:r w:rsidRPr="00BF4610">
        <w:rPr>
          <w:rFonts w:ascii="Bookman Old Style" w:eastAsia="Times New Roman" w:hAnsi="Bookman Old Style"/>
          <w:i/>
          <w:sz w:val="24"/>
          <w:szCs w:val="24"/>
          <w:lang w:eastAsia="es-ES"/>
        </w:rPr>
        <w:t>"</w:t>
      </w:r>
    </w:p>
    <w:p w:rsidR="00BF4610" w:rsidRPr="00BF4610" w:rsidRDefault="00BF4610" w:rsidP="00BF4610">
      <w:pPr>
        <w:pStyle w:val="Style2"/>
        <w:shd w:val="clear" w:color="auto" w:fill="auto"/>
        <w:spacing w:after="240" w:line="278" w:lineRule="exact"/>
        <w:ind w:left="40" w:right="20" w:firstLine="0"/>
        <w:jc w:val="both"/>
        <w:rPr>
          <w:rFonts w:ascii="Bookman Old Style" w:eastAsia="Times New Roman" w:hAnsi="Bookman Old Style"/>
          <w:i/>
          <w:sz w:val="24"/>
          <w:szCs w:val="24"/>
          <w:lang w:eastAsia="es-ES"/>
        </w:rPr>
      </w:pPr>
      <w:r w:rsidRPr="00BF4610">
        <w:rPr>
          <w:rFonts w:ascii="Bookman Old Style" w:eastAsia="Times New Roman" w:hAnsi="Bookman Old Style"/>
          <w:i/>
          <w:sz w:val="24"/>
          <w:szCs w:val="24"/>
          <w:lang w:eastAsia="es-ES"/>
        </w:rPr>
        <w:t>Así las cosas,</w:t>
      </w:r>
      <w:r>
        <w:rPr>
          <w:rFonts w:ascii="Bookman Old Style" w:eastAsia="Times New Roman" w:hAnsi="Bookman Old Style"/>
          <w:i/>
          <w:sz w:val="24"/>
          <w:szCs w:val="24"/>
          <w:lang w:eastAsia="es-ES"/>
        </w:rPr>
        <w:t xml:space="preserve"> </w:t>
      </w:r>
      <w:r w:rsidRPr="00BF4610">
        <w:rPr>
          <w:rFonts w:ascii="Bookman Old Style" w:eastAsia="Times New Roman" w:hAnsi="Bookman Old Style"/>
          <w:i/>
          <w:sz w:val="24"/>
          <w:szCs w:val="24"/>
          <w:lang w:eastAsia="es-ES"/>
        </w:rPr>
        <w:t>es claro que todo acto administrativo que expida la CRE</w:t>
      </w:r>
      <w:r>
        <w:rPr>
          <w:rFonts w:ascii="Bookman Old Style" w:eastAsia="Times New Roman" w:hAnsi="Bookman Old Style"/>
          <w:i/>
          <w:sz w:val="24"/>
          <w:szCs w:val="24"/>
          <w:lang w:eastAsia="es-ES"/>
        </w:rPr>
        <w:t xml:space="preserve">G </w:t>
      </w:r>
      <w:r w:rsidRPr="00BF4610">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q</w:t>
      </w:r>
      <w:r w:rsidRPr="00BF4610">
        <w:rPr>
          <w:rFonts w:ascii="Bookman Old Style" w:eastAsia="Times New Roman" w:hAnsi="Bookman Old Style"/>
          <w:i/>
          <w:sz w:val="24"/>
          <w:szCs w:val="24"/>
          <w:lang w:eastAsia="es-ES"/>
        </w:rPr>
        <w:t>ue considere en la base gravable gastos que no sean de funcionamiento está excediendo el marco legal que regula su expedición</w:t>
      </w:r>
      <w:r>
        <w:rPr>
          <w:rFonts w:ascii="Bookman Old Style" w:eastAsia="Times New Roman" w:hAnsi="Bookman Old Style"/>
          <w:i/>
          <w:sz w:val="24"/>
          <w:szCs w:val="24"/>
          <w:lang w:eastAsia="es-ES"/>
        </w:rPr>
        <w:t xml:space="preserve"> </w:t>
      </w:r>
      <w:r w:rsidRPr="00BF4610">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BF4610">
        <w:rPr>
          <w:rFonts w:ascii="Bookman Old Style" w:eastAsia="Times New Roman" w:hAnsi="Bookman Old Style"/>
          <w:i/>
          <w:sz w:val="24"/>
          <w:szCs w:val="24"/>
          <w:lang w:eastAsia="es-ES"/>
        </w:rPr>
        <w:t>en ese orden de ideas adolece de nulidad,</w:t>
      </w:r>
    </w:p>
    <w:p w:rsidR="00BF4610" w:rsidRPr="00BF4610" w:rsidRDefault="00BF4610" w:rsidP="00BF4610">
      <w:pPr>
        <w:pStyle w:val="Style2"/>
        <w:shd w:val="clear" w:color="auto" w:fill="auto"/>
        <w:spacing w:after="240" w:line="278" w:lineRule="exact"/>
        <w:ind w:left="40" w:right="20" w:firstLine="0"/>
        <w:jc w:val="both"/>
        <w:rPr>
          <w:rFonts w:ascii="Bookman Old Style" w:eastAsia="Times New Roman" w:hAnsi="Bookman Old Style"/>
          <w:i/>
          <w:sz w:val="24"/>
          <w:szCs w:val="24"/>
          <w:lang w:eastAsia="es-ES"/>
        </w:rPr>
      </w:pPr>
      <w:r>
        <w:rPr>
          <w:rFonts w:ascii="Bookman Old Style" w:eastAsia="Times New Roman" w:hAnsi="Bookman Old Style"/>
          <w:i/>
          <w:sz w:val="24"/>
          <w:szCs w:val="24"/>
          <w:lang w:eastAsia="es-ES"/>
        </w:rPr>
        <w:t>P</w:t>
      </w:r>
      <w:r w:rsidRPr="00BF4610">
        <w:rPr>
          <w:rFonts w:ascii="Bookman Old Style" w:eastAsia="Times New Roman" w:hAnsi="Bookman Old Style"/>
          <w:i/>
          <w:sz w:val="24"/>
          <w:szCs w:val="24"/>
          <w:lang w:eastAsia="es-ES"/>
        </w:rPr>
        <w:t>or lo tanto, la GREG está aplicando indebidamente lo dispuesto en el inciso segundo de los artículos 18 del Decreto 2481 de 1999 y</w:t>
      </w:r>
      <w:r>
        <w:rPr>
          <w:rFonts w:ascii="Bookman Old Style" w:eastAsia="Times New Roman" w:hAnsi="Bookman Old Style"/>
          <w:i/>
          <w:sz w:val="24"/>
          <w:szCs w:val="24"/>
          <w:lang w:eastAsia="es-ES"/>
        </w:rPr>
        <w:t xml:space="preserve"> </w:t>
      </w:r>
      <w:r w:rsidRPr="00BF4610">
        <w:rPr>
          <w:rFonts w:ascii="Bookman Old Style" w:eastAsia="Times New Roman" w:hAnsi="Bookman Old Style"/>
          <w:i/>
          <w:sz w:val="24"/>
          <w:szCs w:val="24"/>
          <w:lang w:eastAsia="es-ES"/>
        </w:rPr>
        <w:t>21 de la Resolución GREG 039 de 2017 ya que está liquidando la contribución especial teniendo en cuenta los gastos de inversión.</w:t>
      </w:r>
    </w:p>
    <w:p w:rsidR="006E75CD" w:rsidRDefault="006E75CD" w:rsidP="00BF4610">
      <w:pPr>
        <w:pStyle w:val="Style2"/>
        <w:shd w:val="clear" w:color="auto" w:fill="auto"/>
        <w:spacing w:line="278" w:lineRule="exact"/>
        <w:ind w:left="40" w:right="20" w:firstLine="0"/>
        <w:jc w:val="both"/>
        <w:rPr>
          <w:rFonts w:ascii="Bookman Old Style" w:eastAsia="Times New Roman" w:hAnsi="Bookman Old Style"/>
          <w:i/>
          <w:sz w:val="24"/>
          <w:szCs w:val="24"/>
          <w:lang w:eastAsia="es-ES"/>
        </w:rPr>
      </w:pPr>
    </w:p>
    <w:p w:rsidR="00BF4610" w:rsidRPr="00BF4610" w:rsidRDefault="00BF4610" w:rsidP="00BF4610">
      <w:pPr>
        <w:pStyle w:val="Style2"/>
        <w:shd w:val="clear" w:color="auto" w:fill="auto"/>
        <w:spacing w:line="278" w:lineRule="exact"/>
        <w:ind w:left="40" w:right="20" w:firstLine="0"/>
        <w:jc w:val="both"/>
        <w:rPr>
          <w:rFonts w:ascii="Bookman Old Style" w:eastAsia="Times New Roman" w:hAnsi="Bookman Old Style"/>
          <w:i/>
          <w:sz w:val="24"/>
          <w:szCs w:val="24"/>
          <w:lang w:eastAsia="es-ES"/>
        </w:rPr>
      </w:pPr>
      <w:r w:rsidRPr="00BF4610">
        <w:rPr>
          <w:rFonts w:ascii="Bookman Old Style" w:eastAsia="Times New Roman" w:hAnsi="Bookman Old Style"/>
          <w:i/>
          <w:sz w:val="24"/>
          <w:szCs w:val="24"/>
          <w:lang w:eastAsia="es-ES"/>
        </w:rPr>
        <w:t>En consecuencia, se solicita la reliquidación de la contribución especial y que se excluya de la base los gastos de inversión de la GREG, La liquidación según los cálculos realizados por EDEQ debería quedar así</w:t>
      </w:r>
      <w:r>
        <w:rPr>
          <w:rFonts w:ascii="Bookman Old Style" w:eastAsia="Times New Roman" w:hAnsi="Bookman Old Style"/>
          <w:i/>
          <w:sz w:val="24"/>
          <w:szCs w:val="24"/>
          <w:lang w:eastAsia="es-ES"/>
        </w:rPr>
        <w:t>…</w:t>
      </w:r>
    </w:p>
    <w:p w:rsidR="00841159" w:rsidRPr="00BF4610" w:rsidRDefault="00841159" w:rsidP="00841159">
      <w:pPr>
        <w:pStyle w:val="Style11"/>
        <w:shd w:val="clear" w:color="auto" w:fill="auto"/>
        <w:spacing w:after="180"/>
        <w:ind w:firstLine="0"/>
        <w:jc w:val="both"/>
        <w:rPr>
          <w:rFonts w:ascii="Bookman Old Style" w:eastAsia="Times New Roman" w:hAnsi="Bookman Old Style"/>
          <w:sz w:val="24"/>
          <w:szCs w:val="24"/>
          <w:lang w:eastAsia="es-ES"/>
        </w:rPr>
      </w:pPr>
    </w:p>
    <w:p w:rsidR="00841159" w:rsidRPr="003301B8" w:rsidRDefault="00841159" w:rsidP="00841159">
      <w:pPr>
        <w:pStyle w:val="Prrafodelista"/>
        <w:numPr>
          <w:ilvl w:val="0"/>
          <w:numId w:val="2"/>
        </w:numPr>
        <w:jc w:val="both"/>
        <w:rPr>
          <w:rFonts w:ascii="Bookman Old Style" w:hAnsi="Bookman Old Style"/>
          <w:b/>
          <w:sz w:val="24"/>
          <w:szCs w:val="24"/>
        </w:rPr>
      </w:pPr>
      <w:r w:rsidRPr="003301B8">
        <w:rPr>
          <w:rFonts w:ascii="Bookman Old Style" w:hAnsi="Bookman Old Style"/>
          <w:b/>
          <w:sz w:val="24"/>
          <w:szCs w:val="24"/>
        </w:rPr>
        <w:t>CONSIDERACIONES DE LA CREG</w:t>
      </w:r>
    </w:p>
    <w:p w:rsidR="008330DB" w:rsidRDefault="008330DB" w:rsidP="00841159">
      <w:pPr>
        <w:ind w:left="0"/>
        <w:jc w:val="both"/>
        <w:rPr>
          <w:rFonts w:ascii="Bookman Old Style" w:hAnsi="Bookman Old Style"/>
        </w:rPr>
      </w:pPr>
    </w:p>
    <w:p w:rsidR="00764EA2" w:rsidRDefault="00764EA2" w:rsidP="00764EA2">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Leyes 142 y 143 de 1994.</w:t>
      </w:r>
    </w:p>
    <w:p w:rsidR="00764EA2" w:rsidRPr="00764EA2" w:rsidRDefault="00764EA2" w:rsidP="00764EA2">
      <w:pPr>
        <w:pStyle w:val="Prrafodelista"/>
        <w:ind w:left="0"/>
        <w:jc w:val="both"/>
        <w:rPr>
          <w:rFonts w:ascii="Bookman Old Style" w:hAnsi="Bookman Old Style"/>
          <w:sz w:val="24"/>
          <w:szCs w:val="24"/>
          <w:lang w:val="es-ES"/>
        </w:rPr>
      </w:pPr>
    </w:p>
    <w:p w:rsidR="00764EA2" w:rsidRDefault="00764EA2" w:rsidP="00764EA2">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ingresos de la CREG, provienen de la contribución especial de que tratan los artículos antes mencionados, en lo que respecta a los recursos 16 - Sin situación de fondos.</w:t>
      </w:r>
    </w:p>
    <w:p w:rsidR="00764EA2" w:rsidRPr="00764EA2" w:rsidRDefault="00764EA2" w:rsidP="00764EA2">
      <w:pPr>
        <w:pStyle w:val="Prrafodelista"/>
        <w:ind w:left="0"/>
        <w:jc w:val="both"/>
        <w:rPr>
          <w:rFonts w:ascii="Bookman Old Style" w:hAnsi="Bookman Old Style"/>
          <w:sz w:val="24"/>
          <w:szCs w:val="24"/>
          <w:lang w:val="es-ES"/>
        </w:rPr>
      </w:pPr>
    </w:p>
    <w:p w:rsidR="00764EA2" w:rsidRDefault="00764EA2" w:rsidP="00764EA2">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764EA2" w:rsidRPr="00764EA2" w:rsidRDefault="00764EA2" w:rsidP="00764EA2">
      <w:pPr>
        <w:pStyle w:val="Prrafodelista"/>
        <w:ind w:left="0"/>
        <w:jc w:val="both"/>
        <w:rPr>
          <w:rFonts w:ascii="Bookman Old Style" w:hAnsi="Bookman Old Style"/>
          <w:sz w:val="24"/>
          <w:szCs w:val="24"/>
          <w:lang w:val="es-ES"/>
        </w:rPr>
      </w:pPr>
    </w:p>
    <w:p w:rsidR="00841159" w:rsidRDefault="00764EA2" w:rsidP="00764EA2">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porcentaje de la contribución que deben pagar las entidades sometidas a regulación por parte de la Comisión de Regulación de Energía y Gas, en el año gravable 2018, se determinó de la siguiente manera</w:t>
      </w:r>
      <w:r>
        <w:rPr>
          <w:rFonts w:ascii="Bookman Old Style" w:hAnsi="Bookman Old Style"/>
          <w:sz w:val="24"/>
          <w:szCs w:val="24"/>
          <w:lang w:val="es-ES"/>
        </w:rPr>
        <w:t>:</w:t>
      </w:r>
    </w:p>
    <w:p w:rsidR="00764EA2" w:rsidRDefault="00764EA2" w:rsidP="00764EA2">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764EA2" w:rsidRPr="00764EA2" w:rsidTr="00764EA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4EA2" w:rsidRPr="00764EA2" w:rsidRDefault="00764EA2" w:rsidP="00764EA2">
            <w:pPr>
              <w:ind w:left="0"/>
              <w:jc w:val="center"/>
              <w:rPr>
                <w:rFonts w:ascii="Bookman Old Style" w:hAnsi="Bookman Old Style"/>
                <w:b/>
                <w:sz w:val="18"/>
                <w:szCs w:val="18"/>
              </w:rPr>
            </w:pPr>
            <w:r w:rsidRPr="00764EA2">
              <w:rPr>
                <w:rFonts w:ascii="Bookman Old Style" w:hAnsi="Bookman Old Style"/>
                <w:b/>
                <w:sz w:val="18"/>
                <w:szCs w:val="18"/>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4EA2" w:rsidRPr="00764EA2" w:rsidRDefault="00764EA2" w:rsidP="00764EA2">
            <w:pPr>
              <w:ind w:left="0"/>
              <w:jc w:val="center"/>
              <w:rPr>
                <w:rFonts w:ascii="Bookman Old Style" w:hAnsi="Bookman Old Style"/>
                <w:b/>
                <w:sz w:val="18"/>
                <w:szCs w:val="18"/>
              </w:rPr>
            </w:pPr>
            <w:r w:rsidRPr="00764EA2">
              <w:rPr>
                <w:rFonts w:ascii="Bookman Old Style" w:hAnsi="Bookman Old Style"/>
                <w:b/>
                <w:sz w:val="18"/>
                <w:szCs w:val="18"/>
              </w:rPr>
              <w:t xml:space="preserve">CALCULOS </w:t>
            </w:r>
          </w:p>
        </w:tc>
      </w:tr>
      <w:tr w:rsidR="00764EA2" w:rsidRPr="00764EA2" w:rsidTr="00764EA2">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4EA2" w:rsidRPr="00764EA2" w:rsidRDefault="00764EA2" w:rsidP="00764EA2">
            <w:pPr>
              <w:ind w:left="0"/>
              <w:rPr>
                <w:rFonts w:ascii="Bookman Old Style" w:hAnsi="Bookman Old Style"/>
                <w:sz w:val="18"/>
                <w:szCs w:val="18"/>
              </w:rPr>
            </w:pPr>
            <w:r w:rsidRPr="00764EA2">
              <w:rPr>
                <w:rFonts w:ascii="Bookman Old Style" w:hAnsi="Bookman Old Style"/>
                <w:sz w:val="18"/>
                <w:szCs w:val="18"/>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764EA2" w:rsidRPr="00764EA2" w:rsidRDefault="00764EA2" w:rsidP="00764EA2">
            <w:pPr>
              <w:ind w:left="0"/>
              <w:rPr>
                <w:rFonts w:ascii="Bookman Old Style" w:hAnsi="Bookman Old Style"/>
                <w:sz w:val="18"/>
                <w:szCs w:val="18"/>
              </w:rPr>
            </w:pPr>
            <w:r w:rsidRPr="00764EA2">
              <w:rPr>
                <w:rFonts w:ascii="Bookman Old Style" w:hAnsi="Bookman Old Style"/>
                <w:sz w:val="18"/>
                <w:szCs w:val="18"/>
              </w:rPr>
              <w:t>23.961.291.000</w:t>
            </w:r>
          </w:p>
        </w:tc>
      </w:tr>
      <w:tr w:rsidR="00764EA2" w:rsidRPr="00764EA2" w:rsidTr="00764EA2">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4EA2" w:rsidRPr="00764EA2" w:rsidRDefault="00764EA2" w:rsidP="00764EA2">
            <w:pPr>
              <w:ind w:left="0"/>
              <w:rPr>
                <w:rFonts w:ascii="Bookman Old Style" w:hAnsi="Bookman Old Style"/>
                <w:sz w:val="18"/>
                <w:szCs w:val="18"/>
              </w:rPr>
            </w:pPr>
            <w:r w:rsidRPr="00764EA2">
              <w:rPr>
                <w:rFonts w:ascii="Bookman Old Style" w:hAnsi="Bookman Old Style"/>
                <w:sz w:val="18"/>
                <w:szCs w:val="18"/>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764EA2" w:rsidRPr="00764EA2" w:rsidRDefault="00764EA2" w:rsidP="00764EA2">
            <w:pPr>
              <w:ind w:left="0"/>
              <w:rPr>
                <w:rFonts w:ascii="Bookman Old Style" w:hAnsi="Bookman Old Style"/>
                <w:sz w:val="18"/>
                <w:szCs w:val="18"/>
              </w:rPr>
            </w:pPr>
            <w:r w:rsidRPr="00764EA2">
              <w:rPr>
                <w:rFonts w:ascii="Bookman Old Style" w:hAnsi="Bookman Old Style"/>
                <w:sz w:val="18"/>
                <w:szCs w:val="18"/>
              </w:rPr>
              <w:t> </w:t>
            </w:r>
          </w:p>
        </w:tc>
      </w:tr>
      <w:tr w:rsidR="00764EA2" w:rsidRPr="00764EA2" w:rsidTr="00764EA2">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4EA2" w:rsidRPr="00764EA2" w:rsidRDefault="00764EA2" w:rsidP="00764EA2">
            <w:pPr>
              <w:ind w:left="0"/>
              <w:rPr>
                <w:rFonts w:ascii="Bookman Old Style" w:hAnsi="Bookman Old Style"/>
                <w:sz w:val="18"/>
                <w:szCs w:val="18"/>
              </w:rPr>
            </w:pPr>
            <w:r w:rsidRPr="00764EA2">
              <w:rPr>
                <w:rFonts w:ascii="Bookman Old Style" w:hAnsi="Bookman Old Style"/>
                <w:sz w:val="18"/>
                <w:szCs w:val="18"/>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764EA2" w:rsidRPr="00764EA2" w:rsidRDefault="00764EA2" w:rsidP="00764EA2">
            <w:pPr>
              <w:ind w:left="0"/>
              <w:rPr>
                <w:rFonts w:ascii="Bookman Old Style" w:hAnsi="Bookman Old Style"/>
                <w:sz w:val="18"/>
                <w:szCs w:val="18"/>
              </w:rPr>
            </w:pPr>
            <w:r w:rsidRPr="00764EA2">
              <w:rPr>
                <w:rFonts w:ascii="Bookman Old Style" w:hAnsi="Bookman Old Style"/>
                <w:sz w:val="18"/>
                <w:szCs w:val="18"/>
              </w:rPr>
              <w:t>1.748.544.000</w:t>
            </w:r>
          </w:p>
        </w:tc>
      </w:tr>
      <w:tr w:rsidR="00764EA2" w:rsidRPr="00764EA2" w:rsidTr="00764EA2">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4EA2" w:rsidRPr="00764EA2" w:rsidRDefault="00764EA2" w:rsidP="00764EA2">
            <w:pPr>
              <w:ind w:left="0"/>
              <w:rPr>
                <w:rFonts w:ascii="Bookman Old Style" w:hAnsi="Bookman Old Style"/>
                <w:b/>
                <w:sz w:val="18"/>
                <w:szCs w:val="18"/>
              </w:rPr>
            </w:pPr>
            <w:r w:rsidRPr="00764EA2">
              <w:rPr>
                <w:rFonts w:ascii="Bookman Old Style" w:hAnsi="Bookman Old Style"/>
                <w:b/>
                <w:sz w:val="18"/>
                <w:szCs w:val="18"/>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764EA2" w:rsidRPr="00764EA2" w:rsidRDefault="00764EA2" w:rsidP="00764EA2">
            <w:pPr>
              <w:ind w:left="0"/>
              <w:rPr>
                <w:rFonts w:ascii="Bookman Old Style" w:hAnsi="Bookman Old Style"/>
                <w:b/>
                <w:sz w:val="18"/>
                <w:szCs w:val="18"/>
              </w:rPr>
            </w:pPr>
            <w:r w:rsidRPr="00764EA2">
              <w:rPr>
                <w:rFonts w:ascii="Bookman Old Style" w:hAnsi="Bookman Old Style"/>
                <w:b/>
                <w:sz w:val="18"/>
                <w:szCs w:val="18"/>
              </w:rPr>
              <w:t>22.212.747.000</w:t>
            </w:r>
          </w:p>
        </w:tc>
      </w:tr>
    </w:tbl>
    <w:p w:rsidR="00764EA2" w:rsidRDefault="00764EA2" w:rsidP="00764EA2">
      <w:pPr>
        <w:pStyle w:val="Prrafodelista"/>
        <w:ind w:left="0"/>
        <w:jc w:val="both"/>
        <w:rPr>
          <w:rFonts w:ascii="Bookman Old Style" w:hAnsi="Bookman Old Style"/>
          <w:sz w:val="24"/>
          <w:szCs w:val="24"/>
          <w:lang w:val="es-ES"/>
        </w:rPr>
      </w:pPr>
    </w:p>
    <w:p w:rsidR="00764EA2" w:rsidRDefault="00764EA2" w:rsidP="00764EA2">
      <w:pPr>
        <w:pStyle w:val="Prrafodelista"/>
        <w:ind w:left="0"/>
        <w:jc w:val="both"/>
        <w:rPr>
          <w:rFonts w:ascii="Bookman Old Style" w:hAnsi="Bookman Old Style"/>
          <w:sz w:val="24"/>
          <w:szCs w:val="24"/>
          <w:lang w:val="es-ES"/>
        </w:rPr>
      </w:pPr>
      <w:r w:rsidRPr="00C30A25">
        <w:rPr>
          <w:rFonts w:ascii="Bookman Old Style" w:hAnsi="Bookman Old Style"/>
          <w:sz w:val="24"/>
          <w:szCs w:val="24"/>
          <w:lang w:val="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220E4F" w:rsidRDefault="00220E4F" w:rsidP="00764EA2">
      <w:pPr>
        <w:pStyle w:val="Prrafodelista"/>
        <w:ind w:left="0"/>
        <w:jc w:val="both"/>
        <w:rPr>
          <w:rFonts w:ascii="Bookman Old Style" w:hAnsi="Bookman Old Style"/>
          <w:sz w:val="24"/>
          <w:szCs w:val="24"/>
          <w:lang w:val="es-ES"/>
        </w:rPr>
      </w:pPr>
    </w:p>
    <w:p w:rsidR="00220E4F" w:rsidRPr="00C30A25" w:rsidRDefault="00220E4F" w:rsidP="00764EA2">
      <w:pPr>
        <w:pStyle w:val="Prrafodelista"/>
        <w:ind w:left="0"/>
        <w:jc w:val="both"/>
        <w:rPr>
          <w:rFonts w:ascii="Bookman Old Style" w:hAnsi="Bookman Old Style"/>
          <w:sz w:val="24"/>
          <w:szCs w:val="24"/>
          <w:lang w:val="es-ES"/>
        </w:rPr>
      </w:pPr>
    </w:p>
    <w:p w:rsidR="00764EA2" w:rsidRDefault="00764EA2" w:rsidP="00764EA2">
      <w:pPr>
        <w:pStyle w:val="Prrafodelista"/>
        <w:ind w:left="0"/>
        <w:jc w:val="both"/>
        <w:rPr>
          <w:rStyle w:val="CharStyle9"/>
          <w:lang w:eastAsia="es-ES_tradnl"/>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764EA2" w:rsidRPr="00764EA2" w:rsidTr="00764EA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4EA2" w:rsidRPr="00764EA2" w:rsidRDefault="00764EA2" w:rsidP="00764EA2">
            <w:pPr>
              <w:ind w:left="0"/>
              <w:jc w:val="center"/>
              <w:rPr>
                <w:rFonts w:ascii="Bookman Old Style" w:hAnsi="Bookman Old Style"/>
                <w:b/>
                <w:spacing w:val="-3"/>
                <w:sz w:val="18"/>
                <w:szCs w:val="18"/>
              </w:rPr>
            </w:pPr>
            <w:r w:rsidRPr="00764EA2">
              <w:rPr>
                <w:rFonts w:ascii="Bookman Old Style" w:hAnsi="Bookman Old Style"/>
                <w:b/>
                <w:spacing w:val="-3"/>
                <w:sz w:val="18"/>
                <w:szCs w:val="18"/>
              </w:rPr>
              <w:lastRenderedPageBreak/>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64EA2" w:rsidRPr="00764EA2" w:rsidRDefault="00764EA2" w:rsidP="00764EA2">
            <w:pPr>
              <w:ind w:left="0"/>
              <w:jc w:val="center"/>
              <w:rPr>
                <w:rFonts w:ascii="Bookman Old Style" w:hAnsi="Bookman Old Style"/>
                <w:b/>
                <w:spacing w:val="-3"/>
                <w:sz w:val="18"/>
                <w:szCs w:val="18"/>
              </w:rPr>
            </w:pPr>
            <w:r w:rsidRPr="00764EA2">
              <w:rPr>
                <w:rFonts w:ascii="Bookman Old Style" w:hAnsi="Bookman Old Style"/>
                <w:b/>
                <w:spacing w:val="-3"/>
                <w:sz w:val="18"/>
                <w:szCs w:val="18"/>
              </w:rPr>
              <w:t>CALCULOS</w:t>
            </w:r>
          </w:p>
        </w:tc>
      </w:tr>
      <w:tr w:rsidR="00764EA2" w:rsidRPr="00764EA2" w:rsidTr="00764EA2">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764EA2" w:rsidRPr="00764EA2" w:rsidRDefault="00764EA2" w:rsidP="00764EA2">
            <w:pPr>
              <w:ind w:left="0"/>
              <w:jc w:val="center"/>
              <w:rPr>
                <w:rFonts w:ascii="Bookman Old Style" w:hAnsi="Bookman Old Style"/>
                <w:spacing w:val="-3"/>
                <w:sz w:val="18"/>
                <w:szCs w:val="18"/>
              </w:rPr>
            </w:pPr>
            <w:r w:rsidRPr="00764EA2">
              <w:rPr>
                <w:rFonts w:ascii="Bookman Old Style" w:hAnsi="Bookman Old Style"/>
                <w:spacing w:val="-3"/>
                <w:sz w:val="18"/>
                <w:szCs w:val="18"/>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764EA2" w:rsidRPr="00764EA2" w:rsidRDefault="00764EA2" w:rsidP="00764EA2">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$2.099.732.143.185</w:t>
            </w:r>
          </w:p>
        </w:tc>
      </w:tr>
      <w:tr w:rsidR="00764EA2" w:rsidRPr="00764EA2" w:rsidTr="00764EA2">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764EA2" w:rsidRPr="00764EA2" w:rsidRDefault="00764EA2" w:rsidP="00764EA2">
            <w:pPr>
              <w:ind w:left="0"/>
              <w:jc w:val="center"/>
              <w:rPr>
                <w:rFonts w:ascii="Bookman Old Style" w:hAnsi="Bookman Old Style"/>
                <w:spacing w:val="-3"/>
                <w:sz w:val="18"/>
                <w:szCs w:val="18"/>
              </w:rPr>
            </w:pPr>
            <w:r w:rsidRPr="00764EA2">
              <w:rPr>
                <w:rFonts w:ascii="Bookman Old Style" w:hAnsi="Bookman Old Style"/>
                <w:spacing w:val="-3"/>
                <w:sz w:val="18"/>
                <w:szCs w:val="18"/>
              </w:rPr>
              <w:t>Tarifa 1%</w:t>
            </w:r>
          </w:p>
        </w:tc>
        <w:tc>
          <w:tcPr>
            <w:tcW w:w="0" w:type="auto"/>
            <w:tcBorders>
              <w:top w:val="nil"/>
              <w:left w:val="nil"/>
              <w:bottom w:val="single" w:sz="4" w:space="0" w:color="auto"/>
              <w:right w:val="single" w:sz="4" w:space="0" w:color="auto"/>
            </w:tcBorders>
            <w:shd w:val="clear" w:color="000000" w:fill="FFFFFF"/>
            <w:vAlign w:val="center"/>
            <w:hideMark/>
          </w:tcPr>
          <w:p w:rsidR="00764EA2" w:rsidRPr="00764EA2" w:rsidRDefault="00764EA2" w:rsidP="00764EA2">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$20.997.321.432</w:t>
            </w:r>
          </w:p>
        </w:tc>
      </w:tr>
      <w:tr w:rsidR="00764EA2" w:rsidRPr="00764EA2" w:rsidTr="00764EA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64EA2" w:rsidRPr="00764EA2" w:rsidRDefault="00764EA2" w:rsidP="00764EA2">
            <w:pPr>
              <w:ind w:left="0"/>
              <w:jc w:val="center"/>
              <w:rPr>
                <w:rFonts w:ascii="Bookman Old Style" w:hAnsi="Bookman Old Style"/>
                <w:spacing w:val="-3"/>
                <w:sz w:val="18"/>
                <w:szCs w:val="18"/>
              </w:rPr>
            </w:pPr>
            <w:r w:rsidRPr="00764EA2">
              <w:rPr>
                <w:rFonts w:ascii="Bookman Old Style" w:hAnsi="Bookman Old Style"/>
                <w:spacing w:val="-3"/>
                <w:sz w:val="18"/>
                <w:szCs w:val="18"/>
              </w:rPr>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764EA2" w:rsidRPr="00764EA2" w:rsidRDefault="00764EA2" w:rsidP="00764EA2">
            <w:pPr>
              <w:ind w:left="0"/>
              <w:jc w:val="center"/>
              <w:rPr>
                <w:rFonts w:ascii="Bookman Old Style" w:hAnsi="Bookman Old Style"/>
                <w:spacing w:val="-3"/>
                <w:sz w:val="18"/>
                <w:szCs w:val="18"/>
              </w:rPr>
            </w:pPr>
            <w:r w:rsidRPr="00764EA2">
              <w:rPr>
                <w:rFonts w:ascii="Bookman Old Style" w:hAnsi="Bookman Old Style"/>
                <w:spacing w:val="-3"/>
                <w:sz w:val="18"/>
                <w:szCs w:val="18"/>
              </w:rPr>
              <w:t>$1.215.425.568</w:t>
            </w:r>
          </w:p>
        </w:tc>
      </w:tr>
    </w:tbl>
    <w:p w:rsidR="00764EA2" w:rsidRDefault="00764EA2" w:rsidP="00764EA2">
      <w:pPr>
        <w:pStyle w:val="Prrafodelista"/>
        <w:ind w:left="0"/>
        <w:jc w:val="both"/>
        <w:rPr>
          <w:rFonts w:ascii="Bookman Old Style" w:hAnsi="Bookman Old Style"/>
          <w:sz w:val="24"/>
          <w:szCs w:val="24"/>
          <w:lang w:val="es-ES"/>
        </w:rPr>
      </w:pPr>
    </w:p>
    <w:p w:rsidR="00764EA2" w:rsidRPr="00C30A25" w:rsidRDefault="00764EA2" w:rsidP="00764EA2">
      <w:pPr>
        <w:pStyle w:val="Style8"/>
        <w:shd w:val="clear" w:color="auto" w:fill="auto"/>
        <w:spacing w:before="208" w:after="236" w:line="274"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Que para cubrir los costos del servicio de regulación durante la vigencia 2018 fue necesario aplicar la Ley 142 de 1994, Articulo 85. PARÁGRAFO 2o, el cual 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presupuéstales de las comisiones v la superintendencia”</w:t>
      </w:r>
    </w:p>
    <w:p w:rsidR="00764EA2" w:rsidRPr="00C30A25" w:rsidRDefault="00764EA2" w:rsidP="00764EA2">
      <w:pPr>
        <w:pStyle w:val="Style8"/>
        <w:shd w:val="clear" w:color="auto" w:fill="auto"/>
        <w:spacing w:before="0" w:after="244" w:line="278"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764EA2" w:rsidRPr="00C30A25" w:rsidRDefault="00764EA2" w:rsidP="00764EA2">
      <w:pPr>
        <w:pStyle w:val="Style40"/>
        <w:shd w:val="clear" w:color="auto" w:fill="auto"/>
        <w:spacing w:before="0"/>
        <w:ind w:left="40" w:right="60"/>
        <w:rPr>
          <w:rFonts w:ascii="Bookman Old Style" w:eastAsia="Times New Roman" w:hAnsi="Bookman Old Style" w:cs="Times New Roman"/>
          <w:iCs w:val="0"/>
          <w:sz w:val="24"/>
          <w:szCs w:val="24"/>
          <w:lang w:val="es-ES" w:eastAsia="es-ES"/>
        </w:rPr>
      </w:pPr>
      <w:r>
        <w:rPr>
          <w:rStyle w:val="CharStyle41"/>
          <w:i/>
          <w:iCs/>
          <w:color w:val="000000"/>
          <w:lang w:eastAsia="es-ES_tradnl"/>
        </w:rPr>
        <w:t>“</w:t>
      </w:r>
      <w:r w:rsidRPr="00C30A25">
        <w:rPr>
          <w:rFonts w:ascii="Bookman Old Style" w:eastAsia="Times New Roman" w:hAnsi="Bookman Old Style" w:cs="Times New Roman"/>
          <w:sz w:val="24"/>
          <w:szCs w:val="24"/>
          <w:lang w:val="es-ES" w:eastAsia="es-ES"/>
        </w:rPr>
        <w:t>Entonces,</w:t>
      </w:r>
      <w:r w:rsidR="006E75CD">
        <w:rPr>
          <w:rFonts w:ascii="Bookman Old Style" w:eastAsia="Times New Roman" w:hAnsi="Bookman Old Style" w:cs="Times New Roman"/>
          <w:sz w:val="24"/>
          <w:szCs w:val="24"/>
          <w:lang w:val="es-ES" w:eastAsia="es-ES"/>
        </w:rPr>
        <w:t xml:space="preserve"> </w:t>
      </w:r>
      <w:r w:rsidRPr="00C30A25">
        <w:rPr>
          <w:rFonts w:ascii="Bookman Old Style" w:eastAsia="Times New Roman" w:hAnsi="Bookman Old Style" w:cs="Times New Roman"/>
          <w:sz w:val="24"/>
          <w:szCs w:val="24"/>
          <w:lang w:val="es-ES" w:eastAsia="es-ES"/>
        </w:rPr>
        <w:t>cuando la SSPD necesita cubrir faltantes presupuéstales, la ley permite que los gastos operativos puedan ser adicionados a los gastos de funcionamiento, en la misma proporción en que sean indispensables para cubrir el faltante presupuesta! de la superintendencia.</w:t>
      </w:r>
    </w:p>
    <w:p w:rsidR="00764EA2" w:rsidRPr="00C30A25" w:rsidRDefault="00764EA2" w:rsidP="00764EA2">
      <w:pPr>
        <w:pStyle w:val="Style40"/>
        <w:shd w:val="clear" w:color="auto" w:fill="auto"/>
        <w:spacing w:before="0" w:after="0"/>
        <w:ind w:left="40" w:right="60"/>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hecho - el faltante presupuesta!- la lev permite adicionara esos rubros los gastos operativos en la misma proporción en que sean indispensables para cubrir el faltante presupuesta! de la superintendencia. (Subrayado fuera del texto original).</w:t>
      </w:r>
    </w:p>
    <w:p w:rsidR="00764EA2" w:rsidRPr="00C30A25" w:rsidRDefault="00764EA2" w:rsidP="00764EA2">
      <w:pPr>
        <w:pStyle w:val="Style40"/>
        <w:shd w:val="clear" w:color="auto" w:fill="auto"/>
        <w:spacing w:before="0" w:after="0"/>
        <w:ind w:left="40" w:right="60"/>
        <w:rPr>
          <w:rFonts w:ascii="Bookman Old Style" w:eastAsia="Times New Roman" w:hAnsi="Bookman Old Style" w:cs="Times New Roman"/>
          <w:iCs w:val="0"/>
          <w:sz w:val="24"/>
          <w:szCs w:val="24"/>
          <w:lang w:val="es-ES" w:eastAsia="es-ES"/>
        </w:rPr>
      </w:pPr>
    </w:p>
    <w:p w:rsidR="00764EA2" w:rsidRDefault="00764EA2" w:rsidP="00764EA2">
      <w:pPr>
        <w:pStyle w:val="Style40"/>
        <w:shd w:val="clear" w:color="auto" w:fill="auto"/>
        <w:spacing w:before="0"/>
        <w:ind w:left="20" w:right="20"/>
      </w:pPr>
      <w:r w:rsidRPr="00C30A25">
        <w:rPr>
          <w:rFonts w:ascii="Bookman Old Style" w:eastAsia="Times New Roman" w:hAnsi="Bookman Old Style" w:cs="Times New Roman"/>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Pr>
          <w:rStyle w:val="CharStyle41"/>
          <w:i/>
          <w:iCs/>
          <w:color w:val="000000"/>
          <w:lang w:eastAsia="es-ES_tradnl"/>
        </w:rPr>
        <w:t>.</w:t>
      </w:r>
    </w:p>
    <w:p w:rsidR="00764EA2" w:rsidRDefault="00764EA2" w:rsidP="00764EA2">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r w:rsidRPr="00C30A25">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p w:rsidR="00220E4F" w:rsidRDefault="00220E4F" w:rsidP="00764EA2">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p>
    <w:p w:rsidR="006E75CD" w:rsidRPr="006E75CD" w:rsidRDefault="006E75CD" w:rsidP="00764EA2">
      <w:pPr>
        <w:pStyle w:val="Style8"/>
        <w:shd w:val="clear" w:color="auto" w:fill="auto"/>
        <w:spacing w:before="0" w:after="211" w:line="274" w:lineRule="exact"/>
        <w:ind w:left="20" w:right="20"/>
        <w:jc w:val="both"/>
        <w:rPr>
          <w:rFonts w:ascii="Bookman Old Style" w:eastAsia="Times New Roman" w:hAnsi="Bookman Old Style" w:cs="Times New Roman"/>
          <w:iCs/>
          <w:sz w:val="10"/>
          <w:szCs w:val="24"/>
          <w:lang w:val="es-ES" w:eastAsia="es-ES"/>
        </w:rPr>
      </w:pPr>
    </w:p>
    <w:tbl>
      <w:tblPr>
        <w:tblW w:w="6440" w:type="dxa"/>
        <w:jc w:val="center"/>
        <w:tblCellMar>
          <w:left w:w="70" w:type="dxa"/>
          <w:right w:w="70" w:type="dxa"/>
        </w:tblCellMar>
        <w:tblLook w:val="04A0" w:firstRow="1" w:lastRow="0" w:firstColumn="1" w:lastColumn="0" w:noHBand="0" w:noVBand="1"/>
      </w:tblPr>
      <w:tblGrid>
        <w:gridCol w:w="4180"/>
        <w:gridCol w:w="2260"/>
      </w:tblGrid>
      <w:tr w:rsidR="00C30A25" w:rsidRPr="00C30A25" w:rsidTr="00C30A25">
        <w:trPr>
          <w:trHeight w:val="414"/>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0A25" w:rsidRPr="00C30A25" w:rsidRDefault="00C30A25" w:rsidP="00C30A25">
            <w:pPr>
              <w:ind w:left="0"/>
              <w:jc w:val="center"/>
              <w:rPr>
                <w:rFonts w:ascii="Bookman Old Style" w:hAnsi="Bookman Old Style"/>
                <w:spacing w:val="-3"/>
                <w:sz w:val="18"/>
                <w:szCs w:val="18"/>
              </w:rPr>
            </w:pPr>
            <w:r w:rsidRPr="00C30A25">
              <w:rPr>
                <w:rFonts w:ascii="Bookman Old Style" w:hAnsi="Bookman Old Style"/>
                <w:spacing w:val="-3"/>
                <w:sz w:val="18"/>
                <w:szCs w:val="18"/>
              </w:rPr>
              <w:t>Reporte consolidado de cuentas del costo de las empresas vigiladas</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1.844.258.978.315,81</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2.566.144.897.216,00</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Arrendamientos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180.954.387.122,00</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698.022.924.920,48</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1.182.472.571.058,00</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14.203.421.685,00</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374.709.011.939,16</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106.617.672.407,29</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1.443.771.966.289,94</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CO"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388.199.628.729,82</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C30A25" w:rsidRPr="00C30A25" w:rsidRDefault="00C30A25" w:rsidP="00C30A25">
            <w:pPr>
              <w:ind w:left="0"/>
              <w:rPr>
                <w:rFonts w:ascii="Arial" w:hAnsi="Arial" w:cs="Arial"/>
                <w:color w:val="000000"/>
                <w:sz w:val="16"/>
                <w:szCs w:val="16"/>
                <w:lang w:val="es-CO" w:eastAsia="es-CO"/>
              </w:rPr>
            </w:pPr>
            <w:r w:rsidRPr="00C30A25">
              <w:rPr>
                <w:rFonts w:ascii="Arial" w:hAnsi="Arial" w:cs="Arial"/>
                <w:color w:val="000000"/>
                <w:sz w:val="16"/>
                <w:szCs w:val="16"/>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jc w:val="both"/>
              <w:rPr>
                <w:rFonts w:ascii="Bookman Old Style" w:hAnsi="Bookman Old Style"/>
                <w:spacing w:val="-3"/>
                <w:sz w:val="18"/>
                <w:szCs w:val="18"/>
              </w:rPr>
            </w:pPr>
            <w:r w:rsidRPr="00C30A25">
              <w:rPr>
                <w:rFonts w:ascii="Bookman Old Style" w:hAnsi="Bookman Old Style"/>
                <w:spacing w:val="-3"/>
                <w:sz w:val="18"/>
                <w:szCs w:val="18"/>
              </w:rPr>
              <w:t>2.101.485.300.204,41</w:t>
            </w:r>
          </w:p>
        </w:tc>
      </w:tr>
      <w:tr w:rsidR="00C30A25" w:rsidRPr="00C30A25" w:rsidTr="00C30A25">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C30A25" w:rsidRPr="00C30A25" w:rsidRDefault="00C30A25" w:rsidP="00C30A25">
            <w:pPr>
              <w:ind w:left="0"/>
              <w:rPr>
                <w:rFonts w:ascii="Arial" w:hAnsi="Arial" w:cs="Arial"/>
                <w:b/>
                <w:color w:val="000000"/>
                <w:sz w:val="16"/>
                <w:szCs w:val="16"/>
                <w:lang w:val="es-CO" w:eastAsia="es-CO"/>
              </w:rPr>
            </w:pPr>
            <w:r w:rsidRPr="00C30A25">
              <w:rPr>
                <w:rFonts w:ascii="Arial" w:hAnsi="Arial" w:cs="Arial"/>
                <w:b/>
                <w:color w:val="000000"/>
                <w:sz w:val="16"/>
                <w:szCs w:val="16"/>
                <w:lang w:val="es-CO"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C30A25" w:rsidRPr="00C30A25" w:rsidRDefault="00C30A25" w:rsidP="00C30A25">
            <w:pPr>
              <w:ind w:left="0"/>
              <w:jc w:val="right"/>
              <w:rPr>
                <w:rFonts w:ascii="Bookman Old Style" w:hAnsi="Bookman Old Style"/>
                <w:spacing w:val="-3"/>
                <w:sz w:val="18"/>
                <w:szCs w:val="18"/>
              </w:rPr>
            </w:pPr>
            <w:r w:rsidRPr="00C30A25">
              <w:rPr>
                <w:rFonts w:ascii="Bookman Old Style" w:hAnsi="Bookman Old Style"/>
                <w:spacing w:val="-3"/>
                <w:sz w:val="18"/>
                <w:szCs w:val="18"/>
              </w:rPr>
              <w:t>10.900.840.759.887,90</w:t>
            </w:r>
          </w:p>
        </w:tc>
      </w:tr>
    </w:tbl>
    <w:p w:rsidR="00764EA2" w:rsidRDefault="00764EA2" w:rsidP="00764EA2">
      <w:pPr>
        <w:pStyle w:val="Prrafodelista"/>
        <w:ind w:left="0"/>
        <w:jc w:val="both"/>
        <w:rPr>
          <w:rFonts w:ascii="Bookman Old Style" w:hAnsi="Bookman Old Style"/>
          <w:i/>
          <w:sz w:val="24"/>
          <w:szCs w:val="24"/>
          <w:highlight w:val="yellow"/>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C30A25" w:rsidRPr="00C30A25" w:rsidTr="00C30A25">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b/>
                <w:spacing w:val="-3"/>
                <w:sz w:val="18"/>
                <w:szCs w:val="18"/>
              </w:rPr>
            </w:pPr>
            <w:r w:rsidRPr="00C30A25">
              <w:rPr>
                <w:rFonts w:ascii="Bookman Old Style" w:hAnsi="Bookman Old Style"/>
                <w:b/>
                <w:spacing w:val="-3"/>
                <w:sz w:val="18"/>
                <w:szCs w:val="18"/>
              </w:rPr>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b/>
                <w:spacing w:val="-3"/>
                <w:sz w:val="18"/>
                <w:szCs w:val="18"/>
              </w:rPr>
            </w:pPr>
            <w:r w:rsidRPr="00C30A25">
              <w:rPr>
                <w:rFonts w:ascii="Bookman Old Style" w:hAnsi="Bookman Old Style"/>
                <w:b/>
                <w:spacing w:val="-3"/>
                <w:sz w:val="18"/>
                <w:szCs w:val="18"/>
              </w:rPr>
              <w:t>CALCULOS</w:t>
            </w:r>
          </w:p>
        </w:tc>
      </w:tr>
      <w:tr w:rsidR="00C30A25" w:rsidRPr="00C30A25" w:rsidTr="00C30A25">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spacing w:val="-3"/>
                <w:sz w:val="18"/>
                <w:szCs w:val="18"/>
              </w:rPr>
            </w:pPr>
            <w:r w:rsidRPr="00C30A25">
              <w:rPr>
                <w:rFonts w:ascii="Bookman Old Style" w:hAnsi="Bookman Old Style"/>
                <w:spacing w:val="-3"/>
                <w:sz w:val="18"/>
                <w:szCs w:val="18"/>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spacing w:val="-3"/>
                <w:sz w:val="18"/>
                <w:szCs w:val="18"/>
              </w:rPr>
            </w:pPr>
            <w:r w:rsidRPr="00C30A25">
              <w:rPr>
                <w:rFonts w:ascii="Bookman Old Style" w:hAnsi="Bookman Old Style"/>
                <w:spacing w:val="-3"/>
                <w:sz w:val="18"/>
                <w:szCs w:val="18"/>
              </w:rPr>
              <w:t>10.900.840.759.888</w:t>
            </w:r>
          </w:p>
        </w:tc>
      </w:tr>
      <w:tr w:rsidR="00C30A25" w:rsidRPr="00C30A25" w:rsidTr="00C30A25">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C30A25" w:rsidRPr="00C30A25" w:rsidRDefault="00C30A25" w:rsidP="00C30A25">
            <w:pPr>
              <w:ind w:left="0"/>
              <w:rPr>
                <w:rFonts w:ascii="Bookman Old Style" w:hAnsi="Bookman Old Style"/>
                <w:spacing w:val="-3"/>
                <w:sz w:val="18"/>
                <w:szCs w:val="18"/>
              </w:rPr>
            </w:pPr>
            <w:r w:rsidRPr="00C30A25">
              <w:rPr>
                <w:rFonts w:ascii="Bookman Old Style" w:hAnsi="Bookman Old Style"/>
                <w:spacing w:val="-3"/>
                <w:sz w:val="18"/>
                <w:szCs w:val="18"/>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spacing w:val="-3"/>
                <w:sz w:val="18"/>
                <w:szCs w:val="18"/>
              </w:rPr>
            </w:pPr>
            <w:r w:rsidRPr="00C30A25">
              <w:rPr>
                <w:rFonts w:ascii="Bookman Old Style" w:hAnsi="Bookman Old Style"/>
                <w:spacing w:val="-3"/>
                <w:sz w:val="18"/>
                <w:szCs w:val="18"/>
              </w:rPr>
              <w:t>1.215.425.568</w:t>
            </w:r>
          </w:p>
        </w:tc>
      </w:tr>
      <w:tr w:rsidR="00C30A25" w:rsidRPr="00C30A25" w:rsidTr="00C30A25">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spacing w:val="-3"/>
                <w:sz w:val="18"/>
                <w:szCs w:val="18"/>
              </w:rPr>
            </w:pPr>
            <w:r w:rsidRPr="00C30A25">
              <w:rPr>
                <w:rFonts w:ascii="Bookman Old Style" w:hAnsi="Bookman Old Style"/>
                <w:spacing w:val="-3"/>
                <w:sz w:val="18"/>
                <w:szCs w:val="18"/>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spacing w:val="-3"/>
                <w:sz w:val="18"/>
                <w:szCs w:val="18"/>
              </w:rPr>
            </w:pPr>
            <w:r w:rsidRPr="00C30A25">
              <w:rPr>
                <w:rFonts w:ascii="Bookman Old Style" w:hAnsi="Bookman Old Style"/>
                <w:spacing w:val="-3"/>
                <w:sz w:val="18"/>
                <w:szCs w:val="18"/>
              </w:rPr>
              <w:t>121.542.556.815</w:t>
            </w:r>
          </w:p>
        </w:tc>
      </w:tr>
      <w:tr w:rsidR="00C30A25" w:rsidRPr="00C30A25" w:rsidTr="00C30A25">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C30A25" w:rsidRPr="00C30A25" w:rsidRDefault="00C30A25" w:rsidP="00C30A25">
            <w:pPr>
              <w:ind w:left="0"/>
              <w:jc w:val="center"/>
              <w:rPr>
                <w:rFonts w:ascii="Bookman Old Style" w:hAnsi="Bookman Old Style"/>
                <w:spacing w:val="-3"/>
                <w:sz w:val="18"/>
                <w:szCs w:val="18"/>
              </w:rPr>
            </w:pPr>
            <w:r w:rsidRPr="00C30A25">
              <w:rPr>
                <w:rFonts w:ascii="Bookman Old Style" w:hAnsi="Bookman Old Style"/>
                <w:spacing w:val="-3"/>
                <w:sz w:val="18"/>
                <w:szCs w:val="18"/>
              </w:rPr>
              <w:t xml:space="preserve">Procentaje adicional </w:t>
            </w:r>
          </w:p>
        </w:tc>
        <w:tc>
          <w:tcPr>
            <w:tcW w:w="2140"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spacing w:val="-3"/>
                <w:sz w:val="18"/>
                <w:szCs w:val="18"/>
              </w:rPr>
            </w:pPr>
            <w:r w:rsidRPr="00C30A25">
              <w:rPr>
                <w:rFonts w:ascii="Bookman Old Style" w:hAnsi="Bookman Old Style"/>
                <w:spacing w:val="-3"/>
                <w:sz w:val="18"/>
                <w:szCs w:val="18"/>
              </w:rPr>
              <w:t>0,00011200</w:t>
            </w:r>
          </w:p>
        </w:tc>
      </w:tr>
    </w:tbl>
    <w:p w:rsidR="00C30A25" w:rsidRDefault="00C30A25" w:rsidP="00764EA2">
      <w:pPr>
        <w:pStyle w:val="Prrafodelista"/>
        <w:ind w:left="0"/>
        <w:jc w:val="both"/>
        <w:rPr>
          <w:rFonts w:ascii="Bookman Old Style" w:hAnsi="Bookman Old Style"/>
          <w:i/>
          <w:sz w:val="24"/>
          <w:szCs w:val="24"/>
          <w:highlight w:val="yellow"/>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C30A25" w:rsidRPr="00C30A25" w:rsidTr="00C30A25">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A25" w:rsidRPr="00C30A25" w:rsidRDefault="00C30A25" w:rsidP="00C30A25">
            <w:pPr>
              <w:ind w:left="0"/>
              <w:jc w:val="center"/>
              <w:rPr>
                <w:rFonts w:ascii="Bookman Old Style" w:hAnsi="Bookman Old Style"/>
                <w:b/>
                <w:spacing w:val="-3"/>
                <w:sz w:val="18"/>
                <w:szCs w:val="18"/>
              </w:rPr>
            </w:pPr>
            <w:r w:rsidRPr="00C30A25">
              <w:rPr>
                <w:rFonts w:ascii="Bookman Old Style" w:hAnsi="Bookman Old Style"/>
                <w:b/>
                <w:spacing w:val="-3"/>
                <w:sz w:val="18"/>
                <w:szCs w:val="18"/>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b/>
                <w:spacing w:val="-3"/>
                <w:sz w:val="18"/>
                <w:szCs w:val="18"/>
              </w:rPr>
            </w:pPr>
            <w:r w:rsidRPr="00C30A25">
              <w:rPr>
                <w:rFonts w:ascii="Bookman Old Style" w:hAnsi="Bookman Old Style"/>
                <w:b/>
                <w:spacing w:val="-3"/>
                <w:sz w:val="18"/>
                <w:szCs w:val="18"/>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b/>
                <w:spacing w:val="-3"/>
                <w:sz w:val="18"/>
                <w:szCs w:val="18"/>
              </w:rPr>
            </w:pPr>
            <w:r w:rsidRPr="00C30A25">
              <w:rPr>
                <w:rFonts w:ascii="Bookman Old Style" w:hAnsi="Bookman Old Style"/>
                <w:b/>
                <w:spacing w:val="-3"/>
                <w:sz w:val="18"/>
                <w:szCs w:val="18"/>
              </w:rPr>
              <w:t>Total Base</w:t>
            </w:r>
          </w:p>
        </w:tc>
      </w:tr>
      <w:tr w:rsidR="00C30A25" w:rsidRPr="00C30A25" w:rsidTr="00C30A25">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C30A25" w:rsidRPr="00C30A25" w:rsidRDefault="00C30A25" w:rsidP="00C30A25">
            <w:pPr>
              <w:ind w:left="0"/>
              <w:jc w:val="right"/>
              <w:rPr>
                <w:rFonts w:ascii="Bookman Old Style" w:hAnsi="Bookman Old Style"/>
                <w:spacing w:val="-3"/>
              </w:rPr>
            </w:pPr>
            <w:r w:rsidRPr="00C30A25">
              <w:rPr>
                <w:rFonts w:ascii="Bookman Old Style" w:hAnsi="Bookman Old Style"/>
                <w:spacing w:val="-3"/>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spacing w:val="-3"/>
              </w:rPr>
            </w:pPr>
            <w:r w:rsidRPr="00C30A25">
              <w:rPr>
                <w:rFonts w:ascii="Bookman Old Style" w:hAnsi="Bookman Old Style"/>
                <w:spacing w:val="-3"/>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C30A25" w:rsidRPr="00C30A25" w:rsidRDefault="00C30A25" w:rsidP="00C30A25">
            <w:pPr>
              <w:ind w:left="0"/>
              <w:rPr>
                <w:rFonts w:ascii="Bookman Old Style" w:hAnsi="Bookman Old Style"/>
                <w:spacing w:val="-3"/>
              </w:rPr>
            </w:pPr>
            <w:r w:rsidRPr="00C30A25">
              <w:rPr>
                <w:rFonts w:ascii="Bookman Old Style" w:hAnsi="Bookman Old Style"/>
                <w:spacing w:val="-3"/>
              </w:rPr>
              <w:t>2.221.274.700.005</w:t>
            </w:r>
          </w:p>
        </w:tc>
      </w:tr>
    </w:tbl>
    <w:p w:rsidR="00764EA2" w:rsidRDefault="00764EA2" w:rsidP="00764EA2">
      <w:pPr>
        <w:pStyle w:val="Prrafodelista"/>
        <w:ind w:left="0"/>
        <w:jc w:val="both"/>
        <w:rPr>
          <w:rFonts w:ascii="Bookman Old Style" w:hAnsi="Bookman Old Style"/>
          <w:i/>
          <w:sz w:val="24"/>
          <w:szCs w:val="24"/>
          <w:highlight w:val="yellow"/>
        </w:rPr>
      </w:pPr>
    </w:p>
    <w:p w:rsidR="00C30A25" w:rsidRDefault="00C30A25" w:rsidP="00C30A25">
      <w:pPr>
        <w:pStyle w:val="Prrafodelista"/>
        <w:ind w:left="0"/>
        <w:jc w:val="both"/>
        <w:rPr>
          <w:rFonts w:ascii="Bookman Old Style" w:hAnsi="Bookman Old Style"/>
          <w:spacing w:val="-3"/>
          <w:sz w:val="24"/>
          <w:szCs w:val="24"/>
          <w:lang w:val="es-ES"/>
        </w:rPr>
      </w:pPr>
      <w:r w:rsidRPr="00C30A25">
        <w:rPr>
          <w:rFonts w:ascii="Bookman Old Style" w:hAnsi="Bookman Old Style"/>
          <w:spacing w:val="-3"/>
          <w:sz w:val="24"/>
          <w:szCs w:val="24"/>
          <w:lang w:val="es-ES"/>
        </w:rPr>
        <w:t>La contribución que le corresponde pagar a cada entidad del subsector regulado fue liquidada mediante Resolución administrativa N° 139 del 23 de noviembre de 2018 con base en los factores expuestos, los cuales están explícitos en el documento CREG 105 de 2018, publicado como anexo de la citada resolución.</w:t>
      </w:r>
    </w:p>
    <w:p w:rsidR="00C30A25" w:rsidRDefault="00C30A25" w:rsidP="00C30A25">
      <w:pPr>
        <w:pStyle w:val="Prrafodelista"/>
        <w:ind w:left="0"/>
        <w:jc w:val="both"/>
        <w:rPr>
          <w:rFonts w:ascii="Bookman Old Style" w:hAnsi="Bookman Old Style"/>
          <w:spacing w:val="-3"/>
          <w:sz w:val="24"/>
          <w:szCs w:val="24"/>
          <w:lang w:val="es-ES"/>
        </w:rPr>
      </w:pPr>
    </w:p>
    <w:p w:rsidR="00B313E3" w:rsidRPr="00D14371" w:rsidRDefault="00B313E3" w:rsidP="00B313E3">
      <w:pPr>
        <w:ind w:left="0"/>
        <w:jc w:val="both"/>
        <w:rPr>
          <w:rFonts w:ascii="Bookman Old Style" w:hAnsi="Bookman Old Style"/>
          <w:spacing w:val="-3"/>
        </w:rPr>
      </w:pPr>
      <w:r w:rsidRPr="00D14371">
        <w:rPr>
          <w:rFonts w:ascii="Bookman Old Style" w:hAnsi="Bookman Old Style"/>
          <w:spacing w:val="-3"/>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B313E3" w:rsidRPr="00D14371" w:rsidRDefault="00B313E3" w:rsidP="00B313E3">
      <w:pPr>
        <w:jc w:val="both"/>
        <w:rPr>
          <w:rFonts w:ascii="Bookman Old Style" w:hAnsi="Bookman Old Style"/>
          <w:spacing w:val="-3"/>
        </w:rPr>
      </w:pPr>
    </w:p>
    <w:p w:rsidR="00B313E3" w:rsidRPr="00D14371" w:rsidRDefault="00B313E3" w:rsidP="00B313E3">
      <w:pPr>
        <w:jc w:val="both"/>
        <w:rPr>
          <w:rFonts w:ascii="Bookman Old Style" w:hAnsi="Bookman Old Style"/>
          <w:i/>
          <w:spacing w:val="-3"/>
        </w:rPr>
      </w:pPr>
      <w:r w:rsidRPr="00D14371">
        <w:rPr>
          <w:rFonts w:ascii="Bookman Old Style" w:hAnsi="Bookman Old Style"/>
          <w:i/>
          <w:spacing w:val="-3"/>
        </w:rPr>
        <w:t xml:space="preserve">ARTÍCULO 5. El monto total de la contribución que deben pagar las entidades sujetas a regulación de la Comisión de Regulación de Energía y Gas, en el año 2018, es del 1% del valor de los gastos de funcionamiento y </w:t>
      </w:r>
      <w:r w:rsidRPr="00D14371">
        <w:rPr>
          <w:rFonts w:ascii="Bookman Old Style" w:hAnsi="Bookman Old Style"/>
          <w:i/>
          <w:spacing w:val="-3"/>
          <w:u w:val="single"/>
        </w:rPr>
        <w:t>costos de la entidad sujeta a regulación</w:t>
      </w:r>
      <w:r w:rsidRPr="00D14371">
        <w:rPr>
          <w:rFonts w:ascii="Bookman Old Style" w:hAnsi="Bookman Old Style"/>
          <w:i/>
          <w:spacing w:val="-3"/>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p>
    <w:p w:rsidR="00B313E3" w:rsidRDefault="00B313E3" w:rsidP="00C30A25">
      <w:pPr>
        <w:pStyle w:val="Prrafodelista"/>
        <w:ind w:left="0"/>
        <w:jc w:val="both"/>
        <w:rPr>
          <w:rFonts w:ascii="Bookman Old Style" w:hAnsi="Bookman Old Style"/>
          <w:spacing w:val="-3"/>
          <w:sz w:val="24"/>
          <w:szCs w:val="24"/>
          <w:lang w:val="es-ES"/>
        </w:rPr>
      </w:pPr>
    </w:p>
    <w:p w:rsidR="00C30A25" w:rsidRPr="00C30A25" w:rsidRDefault="00C30A25" w:rsidP="00C30A25">
      <w:pPr>
        <w:pStyle w:val="Prrafodelista"/>
        <w:ind w:left="0"/>
        <w:jc w:val="both"/>
        <w:rPr>
          <w:rFonts w:ascii="Bookman Old Style" w:hAnsi="Bookman Old Style"/>
          <w:spacing w:val="-3"/>
          <w:sz w:val="24"/>
          <w:szCs w:val="24"/>
          <w:lang w:val="es-ES"/>
        </w:rPr>
      </w:pPr>
      <w:r>
        <w:rPr>
          <w:rFonts w:ascii="Bookman Old Style" w:hAnsi="Bookman Old Style"/>
          <w:spacing w:val="-3"/>
          <w:sz w:val="24"/>
          <w:szCs w:val="24"/>
          <w:lang w:val="es-ES"/>
        </w:rPr>
        <w:t>Por los motivos anteriormente expuestos, no se observan circunstancias de derecho que ameriten el cambio de la decisión planteada inicialmente por la administración, razón por la cual se procederá a confirmar la decisión adoptada mediante resolución 139 de 2018.</w:t>
      </w:r>
    </w:p>
    <w:p w:rsidR="00C30A25" w:rsidRPr="003301B8" w:rsidRDefault="00C30A25" w:rsidP="00764EA2">
      <w:pPr>
        <w:pStyle w:val="Prrafodelista"/>
        <w:ind w:left="0"/>
        <w:jc w:val="both"/>
        <w:rPr>
          <w:rFonts w:ascii="Bookman Old Style" w:hAnsi="Bookman Old Style"/>
          <w:i/>
          <w:sz w:val="24"/>
          <w:szCs w:val="24"/>
          <w:highlight w:val="yellow"/>
        </w:rPr>
      </w:pPr>
    </w:p>
    <w:p w:rsidR="006E75CD" w:rsidRDefault="006E75CD" w:rsidP="00000F83">
      <w:pPr>
        <w:ind w:left="0"/>
        <w:jc w:val="both"/>
        <w:rPr>
          <w:rFonts w:ascii="Bookman Old Style" w:hAnsi="Bookman Old Style"/>
        </w:rPr>
      </w:pPr>
      <w:bookmarkStart w:id="0" w:name="_GoBack"/>
      <w:bookmarkEnd w:id="0"/>
    </w:p>
    <w:p w:rsidR="00000F83" w:rsidRDefault="00000F83" w:rsidP="00000F83">
      <w:pPr>
        <w:ind w:left="0"/>
        <w:jc w:val="both"/>
        <w:rPr>
          <w:rFonts w:ascii="Bookman Old Style" w:hAnsi="Bookman Old Style"/>
        </w:rPr>
      </w:pPr>
      <w:r w:rsidRPr="00000F83">
        <w:rPr>
          <w:rFonts w:ascii="Bookman Old Style" w:hAnsi="Bookman Old Style"/>
        </w:rPr>
        <w:t>La Comisión, en la sesión CREG 960 del 2</w:t>
      </w:r>
      <w:r w:rsidR="006E75CD">
        <w:rPr>
          <w:rFonts w:ascii="Bookman Old Style" w:hAnsi="Bookman Old Style"/>
        </w:rPr>
        <w:t>7</w:t>
      </w:r>
      <w:r w:rsidRPr="00000F83">
        <w:rPr>
          <w:rFonts w:ascii="Bookman Old Style" w:hAnsi="Bookman Old Style"/>
        </w:rPr>
        <w:t xml:space="preserve"> </w:t>
      </w:r>
      <w:r>
        <w:rPr>
          <w:rFonts w:ascii="Bookman Old Style" w:hAnsi="Bookman Old Style"/>
        </w:rPr>
        <w:t xml:space="preserve">de noviembre de 2019, aprobó la </w:t>
      </w:r>
      <w:r w:rsidRPr="00000F83">
        <w:rPr>
          <w:rFonts w:ascii="Bookman Old Style" w:hAnsi="Bookman Old Style"/>
        </w:rPr>
        <w:t>presente resolución</w:t>
      </w:r>
      <w:r>
        <w:rPr>
          <w:rFonts w:ascii="Bookman Old Style" w:hAnsi="Bookman Old Style"/>
        </w:rPr>
        <w:t>.</w:t>
      </w:r>
    </w:p>
    <w:p w:rsidR="00000F83" w:rsidRDefault="00000F83" w:rsidP="00841159">
      <w:pPr>
        <w:ind w:left="0"/>
        <w:rPr>
          <w:rFonts w:ascii="Bookman Old Style" w:hAnsi="Bookman Old Style"/>
        </w:rPr>
      </w:pPr>
    </w:p>
    <w:p w:rsidR="00841159" w:rsidRDefault="00841159" w:rsidP="00841159">
      <w:pPr>
        <w:ind w:left="0"/>
        <w:rPr>
          <w:rFonts w:ascii="Bookman Old Style" w:hAnsi="Bookman Old Style"/>
          <w:spacing w:val="-3"/>
        </w:rPr>
      </w:pPr>
      <w:r w:rsidRPr="00B3569D">
        <w:rPr>
          <w:rFonts w:ascii="Bookman Old Style" w:hAnsi="Bookman Old Style"/>
          <w:spacing w:val="-3"/>
        </w:rPr>
        <w:t>Por las razones expuestas, la Comisión de Regulación de Energía y Gas</w:t>
      </w:r>
      <w:r w:rsidR="00220E4F">
        <w:rPr>
          <w:rFonts w:ascii="Bookman Old Style" w:hAnsi="Bookman Old Style"/>
          <w:spacing w:val="-3"/>
        </w:rPr>
        <w:t>,</w:t>
      </w:r>
      <w:r w:rsidRPr="00B3569D">
        <w:rPr>
          <w:rFonts w:ascii="Bookman Old Style" w:hAnsi="Bookman Old Style"/>
          <w:spacing w:val="-3"/>
        </w:rPr>
        <w:t xml:space="preserve"> </w:t>
      </w:r>
      <w:r w:rsidR="00220E4F">
        <w:rPr>
          <w:rFonts w:ascii="Bookman Old Style" w:hAnsi="Bookman Old Style"/>
          <w:spacing w:val="-3"/>
        </w:rPr>
        <w:t>CREG</w:t>
      </w:r>
      <w:r w:rsidRPr="00B3569D">
        <w:rPr>
          <w:rFonts w:ascii="Bookman Old Style" w:hAnsi="Bookman Old Style"/>
          <w:spacing w:val="-3"/>
        </w:rPr>
        <w:t>,</w:t>
      </w:r>
    </w:p>
    <w:p w:rsidR="00220E4F" w:rsidRPr="00B3569D" w:rsidRDefault="00220E4F" w:rsidP="00841159">
      <w:pPr>
        <w:ind w:left="0"/>
        <w:rPr>
          <w:rFonts w:ascii="Bookman Old Style" w:hAnsi="Bookman Old Style"/>
          <w:lang w:val="es-CO"/>
        </w:rPr>
      </w:pPr>
    </w:p>
    <w:p w:rsidR="00841159" w:rsidRPr="00B3569D" w:rsidRDefault="00841159" w:rsidP="00841159">
      <w:pPr>
        <w:tabs>
          <w:tab w:val="center" w:pos="4512"/>
        </w:tabs>
        <w:suppressAutoHyphens/>
        <w:ind w:left="0"/>
        <w:jc w:val="both"/>
        <w:rPr>
          <w:rFonts w:ascii="Bookman Old Style" w:hAnsi="Bookman Old Style"/>
          <w:b/>
          <w:spacing w:val="-3"/>
        </w:rPr>
      </w:pPr>
    </w:p>
    <w:p w:rsidR="00841159" w:rsidRPr="003301B8" w:rsidRDefault="00841159" w:rsidP="00841159">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841159" w:rsidRPr="003301B8" w:rsidRDefault="00841159" w:rsidP="00841159">
      <w:pPr>
        <w:ind w:left="0"/>
        <w:jc w:val="both"/>
        <w:rPr>
          <w:rFonts w:ascii="Bookman Old Style" w:hAnsi="Bookman Old Style"/>
          <w:b/>
        </w:rPr>
      </w:pPr>
    </w:p>
    <w:p w:rsidR="00841159" w:rsidRPr="003301B8" w:rsidRDefault="00841159" w:rsidP="00841159">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sidR="00C30A25">
        <w:rPr>
          <w:rFonts w:ascii="Bookman Old Style" w:hAnsi="Bookman Old Style"/>
          <w:b/>
        </w:rPr>
        <w:t>CONFIRMAR</w:t>
      </w:r>
      <w:r w:rsidRPr="003301B8">
        <w:rPr>
          <w:rFonts w:ascii="Bookman Old Style" w:hAnsi="Bookman Old Style"/>
          <w:b/>
        </w:rPr>
        <w:t xml:space="preserve"> </w:t>
      </w:r>
      <w:r w:rsidR="00E95E95" w:rsidRPr="00E95E95">
        <w:rPr>
          <w:rFonts w:ascii="Bookman Old Style" w:hAnsi="Bookman Old Style"/>
        </w:rPr>
        <w:t>e</w:t>
      </w:r>
      <w:r w:rsidRPr="00E95E95">
        <w:rPr>
          <w:rFonts w:ascii="Bookman Old Style" w:hAnsi="Bookman Old Style"/>
        </w:rPr>
        <w:t>l</w:t>
      </w:r>
      <w:r w:rsidRPr="003301B8">
        <w:rPr>
          <w:rFonts w:ascii="Bookman Old Style" w:hAnsi="Bookman Old Style"/>
        </w:rPr>
        <w:t xml:space="preserve"> artículo primero de la </w:t>
      </w:r>
      <w:r w:rsidR="00E95E95">
        <w:rPr>
          <w:rFonts w:ascii="Bookman Old Style" w:hAnsi="Bookman Old Style"/>
        </w:rPr>
        <w:t>R</w:t>
      </w:r>
      <w:r w:rsidRPr="003301B8">
        <w:rPr>
          <w:rFonts w:ascii="Bookman Old Style" w:hAnsi="Bookman Old Style"/>
        </w:rPr>
        <w:t>esolución CREG</w:t>
      </w:r>
      <w:r w:rsidR="00E95E95">
        <w:rPr>
          <w:rFonts w:ascii="Bookman Old Style" w:hAnsi="Bookman Old Style"/>
        </w:rPr>
        <w:t xml:space="preserve"> </w:t>
      </w:r>
      <w:r>
        <w:rPr>
          <w:rFonts w:ascii="Bookman Old Style" w:hAnsi="Bookman Old Style"/>
        </w:rPr>
        <w:t>139 de 2018</w:t>
      </w:r>
      <w:r w:rsidRPr="003301B8">
        <w:rPr>
          <w:rFonts w:ascii="Bookman Old Style" w:hAnsi="Bookman Old Style"/>
        </w:rPr>
        <w:t>, en la cual se señala la base gra</w:t>
      </w:r>
      <w:r w:rsidR="007E34BC">
        <w:rPr>
          <w:rFonts w:ascii="Bookman Old Style" w:hAnsi="Bookman Old Style"/>
        </w:rPr>
        <w:t>vable y el valor a pagar por la</w:t>
      </w:r>
      <w:r w:rsidRPr="003301B8">
        <w:rPr>
          <w:rFonts w:ascii="Bookman Old Style" w:hAnsi="Bookman Old Style"/>
        </w:rPr>
        <w:t xml:space="preserve"> </w:t>
      </w:r>
      <w:r w:rsidR="009D02FF">
        <w:rPr>
          <w:rFonts w:ascii="Bookman Old Style" w:hAnsi="Bookman Old Style"/>
        </w:rPr>
        <w:t>EMPRESA DE ENERGÍA DEL QUINDÍO S.A. E.S.P</w:t>
      </w:r>
      <w:r w:rsidR="00D53866">
        <w:rPr>
          <w:rFonts w:ascii="Bookman Old Style" w:hAnsi="Bookman Old Style" w:cs="Arial"/>
        </w:rPr>
        <w:t>.</w:t>
      </w:r>
      <w:r w:rsidRPr="003301B8">
        <w:rPr>
          <w:rFonts w:ascii="Bookman Old Style" w:hAnsi="Bookman Old Style"/>
          <w:bCs/>
        </w:rPr>
        <w:t xml:space="preserve">, </w:t>
      </w:r>
      <w:r w:rsidRPr="003301B8">
        <w:rPr>
          <w:rFonts w:ascii="Bookman Old Style" w:hAnsi="Bookman Old Style"/>
        </w:rPr>
        <w:t>con fundamento en las razones expuestas en la parte motiva de este proveído.</w:t>
      </w:r>
    </w:p>
    <w:p w:rsidR="00841159" w:rsidRPr="003301B8" w:rsidRDefault="00841159" w:rsidP="00841159">
      <w:pPr>
        <w:ind w:left="0"/>
        <w:jc w:val="both"/>
        <w:rPr>
          <w:rFonts w:ascii="Bookman Old Style" w:hAnsi="Bookman Old Style"/>
          <w:bCs/>
        </w:rPr>
      </w:pPr>
    </w:p>
    <w:p w:rsidR="00841159" w:rsidRPr="003301B8" w:rsidRDefault="00841159" w:rsidP="00841159">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 xml:space="preserve">a quien corresponda el contenido de la presente resolución para que efectué los ajustes contables necesarios y se </w:t>
      </w:r>
      <w:r w:rsidR="007D3BCF">
        <w:rPr>
          <w:rFonts w:ascii="Bookman Old Style" w:hAnsi="Bookman Old Style"/>
        </w:rPr>
        <w:t>realice el cobro de la resolución 139 de 2018</w:t>
      </w:r>
      <w:r w:rsidRPr="003301B8">
        <w:rPr>
          <w:rFonts w:ascii="Bookman Old Style" w:hAnsi="Bookman Old Style"/>
        </w:rPr>
        <w:t>.</w:t>
      </w:r>
    </w:p>
    <w:p w:rsidR="00841159" w:rsidRPr="003301B8" w:rsidRDefault="00841159" w:rsidP="00841159">
      <w:pPr>
        <w:ind w:left="0"/>
        <w:jc w:val="both"/>
        <w:rPr>
          <w:rFonts w:ascii="Bookman Old Style" w:hAnsi="Bookman Old Style" w:cs="Arial"/>
          <w:color w:val="000000"/>
        </w:rPr>
      </w:pPr>
    </w:p>
    <w:p w:rsidR="00841159" w:rsidRPr="003301B8" w:rsidRDefault="00841159" w:rsidP="00841159">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sidR="00637B98">
        <w:rPr>
          <w:rFonts w:ascii="Bookman Old Style" w:hAnsi="Bookman Old Style"/>
        </w:rPr>
        <w:t xml:space="preserve"> </w:t>
      </w:r>
      <w:r w:rsidR="009D02FF">
        <w:rPr>
          <w:rFonts w:ascii="Bookman Old Style" w:hAnsi="Bookman Old Style"/>
        </w:rPr>
        <w:t>EMPRESA DE ENERGÍA DEL QUINDÍO S.A. E.S.P</w:t>
      </w:r>
      <w:r w:rsidR="00D53866">
        <w:rPr>
          <w:rFonts w:ascii="Bookman Old Style" w:hAnsi="Bookman Old Style" w:cs="Arial"/>
        </w:rPr>
        <w:t>.</w:t>
      </w:r>
      <w:r w:rsidRPr="003301B8">
        <w:rPr>
          <w:rFonts w:ascii="Bookman Old Style" w:hAnsi="Bookman Old Style"/>
          <w:bCs/>
        </w:rPr>
        <w:t xml:space="preserve">, </w:t>
      </w:r>
      <w:r w:rsidRPr="003301B8">
        <w:rPr>
          <w:rFonts w:ascii="Bookman Old Style" w:hAnsi="Bookman Old Style" w:cs="Arial"/>
        </w:rPr>
        <w:t xml:space="preserve">el contenido de la presente resolución, conforme con lo establecido en los artículos 67 y ss del Código de Procedimiento Administrativo y de lo Contencioso Administrativo. </w:t>
      </w:r>
    </w:p>
    <w:p w:rsidR="00841159" w:rsidRPr="003301B8" w:rsidRDefault="00841159" w:rsidP="00841159">
      <w:pPr>
        <w:ind w:left="170"/>
        <w:jc w:val="both"/>
        <w:rPr>
          <w:rFonts w:ascii="Bookman Old Style" w:hAnsi="Bookman Old Style" w:cs="Arial"/>
        </w:rPr>
      </w:pPr>
    </w:p>
    <w:p w:rsidR="00841159" w:rsidRPr="003301B8" w:rsidRDefault="00841159" w:rsidP="00841159">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center"/>
        <w:rPr>
          <w:rFonts w:ascii="Bookman Old Style" w:hAnsi="Bookman Old Style" w:cs="Arial"/>
          <w:b/>
        </w:rPr>
      </w:pPr>
      <w:r w:rsidRPr="003301B8">
        <w:rPr>
          <w:rFonts w:ascii="Bookman Old Style" w:hAnsi="Bookman Old Style" w:cs="Arial"/>
          <w:b/>
        </w:rPr>
        <w:t>NOTIFÍQUESE Y CÚMPLASE</w:t>
      </w:r>
    </w:p>
    <w:p w:rsidR="00841159" w:rsidRPr="003301B8" w:rsidRDefault="00841159" w:rsidP="00841159">
      <w:pPr>
        <w:ind w:left="0"/>
        <w:jc w:val="center"/>
        <w:rPr>
          <w:rFonts w:ascii="Bookman Old Style" w:hAnsi="Bookman Old Style" w:cs="Arial"/>
          <w:b/>
        </w:rPr>
      </w:pPr>
    </w:p>
    <w:p w:rsidR="00841159" w:rsidRPr="003301B8" w:rsidRDefault="00841159" w:rsidP="00841159">
      <w:pPr>
        <w:ind w:left="0"/>
        <w:rPr>
          <w:rFonts w:ascii="Bookman Old Style" w:hAnsi="Bookman Old Style" w:cs="Arial"/>
        </w:rPr>
      </w:pPr>
    </w:p>
    <w:p w:rsidR="00841159" w:rsidRDefault="00841159" w:rsidP="00841159">
      <w:pPr>
        <w:ind w:left="0"/>
        <w:rPr>
          <w:rFonts w:ascii="Bookman Old Style" w:hAnsi="Bookman Old Style" w:cs="Arial"/>
        </w:rPr>
      </w:pPr>
      <w:r w:rsidRPr="003301B8">
        <w:rPr>
          <w:rFonts w:ascii="Bookman Old Style" w:hAnsi="Bookman Old Style" w:cs="Arial"/>
        </w:rPr>
        <w:t xml:space="preserve">Dada en Bogotá D.C, a </w:t>
      </w:r>
    </w:p>
    <w:p w:rsidR="006E75CD" w:rsidRDefault="006E75CD" w:rsidP="00841159">
      <w:pPr>
        <w:ind w:left="0"/>
        <w:rPr>
          <w:rFonts w:ascii="Bookman Old Style" w:hAnsi="Bookman Old Style" w:cs="Arial"/>
        </w:rPr>
      </w:pPr>
    </w:p>
    <w:p w:rsidR="006E75CD" w:rsidRDefault="006E75CD" w:rsidP="00841159">
      <w:pPr>
        <w:ind w:left="0"/>
        <w:rPr>
          <w:rFonts w:ascii="Bookman Old Style" w:hAnsi="Bookman Old Style" w:cs="Arial"/>
        </w:rPr>
      </w:pPr>
    </w:p>
    <w:p w:rsidR="006E75CD" w:rsidRPr="003301B8" w:rsidRDefault="006E75CD" w:rsidP="00841159">
      <w:pPr>
        <w:ind w:left="0"/>
        <w:rPr>
          <w:rFonts w:ascii="Bookman Old Style" w:hAnsi="Bookman Old Style" w:cs="Arial"/>
        </w:rPr>
      </w:pPr>
    </w:p>
    <w:p w:rsidR="00841159" w:rsidRPr="003301B8" w:rsidRDefault="00841159" w:rsidP="00841159">
      <w:pPr>
        <w:ind w:left="0"/>
        <w:jc w:val="both"/>
        <w:rPr>
          <w:rFonts w:ascii="Bookman Old Style" w:hAnsi="Bookman Old Style" w:cs="Arial"/>
          <w:b/>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6E75CD" w:rsidRPr="00B64D62" w:rsidTr="00F26248">
        <w:trPr>
          <w:tblCellSpacing w:w="0" w:type="dxa"/>
        </w:trPr>
        <w:tc>
          <w:tcPr>
            <w:tcW w:w="5104" w:type="dxa"/>
            <w:shd w:val="clear" w:color="auto" w:fill="FFFFFF"/>
            <w:hideMark/>
          </w:tcPr>
          <w:p w:rsidR="006E75CD" w:rsidRPr="006E75CD" w:rsidRDefault="006E75CD" w:rsidP="00F26248">
            <w:pPr>
              <w:ind w:left="0"/>
              <w:jc w:val="center"/>
              <w:rPr>
                <w:rFonts w:ascii="Bookman Old Style" w:hAnsi="Bookman Old Style" w:cs="Arial"/>
                <w:b/>
                <w:lang w:val="es-CO" w:eastAsia="es-CO"/>
              </w:rPr>
            </w:pPr>
            <w:r w:rsidRPr="006E75CD">
              <w:rPr>
                <w:rFonts w:ascii="Bookman Old Style" w:hAnsi="Bookman Old Style"/>
                <w:b/>
              </w:rPr>
              <w:t>DIEGO MESA PUYO</w:t>
            </w:r>
          </w:p>
        </w:tc>
        <w:tc>
          <w:tcPr>
            <w:tcW w:w="4536" w:type="dxa"/>
            <w:shd w:val="clear" w:color="auto" w:fill="FFFFFF"/>
            <w:hideMark/>
          </w:tcPr>
          <w:p w:rsidR="006E75CD" w:rsidRPr="006E75CD" w:rsidRDefault="006E75CD" w:rsidP="00F26248">
            <w:pPr>
              <w:ind w:left="142"/>
              <w:jc w:val="center"/>
              <w:rPr>
                <w:rFonts w:ascii="Bookman Old Style" w:hAnsi="Bookman Old Style" w:cs="Arial"/>
                <w:lang w:val="es-CO" w:eastAsia="es-CO"/>
              </w:rPr>
            </w:pPr>
            <w:r w:rsidRPr="006E75CD">
              <w:rPr>
                <w:rFonts w:ascii="Bookman Old Style" w:hAnsi="Bookman Old Style" w:cs="Arial"/>
                <w:b/>
                <w:bCs/>
                <w:lang w:val="es-CO" w:eastAsia="es-CO"/>
              </w:rPr>
              <w:t>CHRISTIAN JARAMILLO HERRERA</w:t>
            </w:r>
          </w:p>
        </w:tc>
      </w:tr>
      <w:tr w:rsidR="006E75CD" w:rsidRPr="00B64D62" w:rsidTr="00F26248">
        <w:trPr>
          <w:tblCellSpacing w:w="0" w:type="dxa"/>
        </w:trPr>
        <w:tc>
          <w:tcPr>
            <w:tcW w:w="5104" w:type="dxa"/>
            <w:shd w:val="clear" w:color="auto" w:fill="FFFFFF"/>
            <w:hideMark/>
          </w:tcPr>
          <w:p w:rsidR="006E75CD" w:rsidRPr="006E75CD" w:rsidRDefault="006E75CD" w:rsidP="00F26248">
            <w:pPr>
              <w:ind w:left="0"/>
              <w:jc w:val="center"/>
              <w:rPr>
                <w:rFonts w:ascii="Bookman Old Style" w:hAnsi="Bookman Old Style" w:cs="Arial"/>
                <w:lang w:val="es-CO" w:eastAsia="es-CO"/>
              </w:rPr>
            </w:pPr>
            <w:r w:rsidRPr="006E75CD">
              <w:rPr>
                <w:rFonts w:ascii="Bookman Old Style" w:hAnsi="Bookman Old Style"/>
              </w:rPr>
              <w:t>Viceministro de Energía, delegado de la Ministra de Minas y Energía</w:t>
            </w:r>
          </w:p>
        </w:tc>
        <w:tc>
          <w:tcPr>
            <w:tcW w:w="4536" w:type="dxa"/>
            <w:shd w:val="clear" w:color="auto" w:fill="FFFFFF"/>
            <w:hideMark/>
          </w:tcPr>
          <w:p w:rsidR="006E75CD" w:rsidRPr="006E75CD" w:rsidRDefault="006E75CD" w:rsidP="00F26248">
            <w:pPr>
              <w:ind w:left="142"/>
              <w:jc w:val="center"/>
              <w:rPr>
                <w:rFonts w:ascii="Bookman Old Style" w:hAnsi="Bookman Old Style" w:cs="Arial"/>
                <w:lang w:val="es-CO" w:eastAsia="es-CO"/>
              </w:rPr>
            </w:pPr>
            <w:r w:rsidRPr="006E75CD">
              <w:rPr>
                <w:rFonts w:ascii="Bookman Old Style" w:hAnsi="Bookman Old Style" w:cs="Arial"/>
                <w:lang w:val="es-CO" w:eastAsia="es-CO"/>
              </w:rPr>
              <w:t>Director Ejecutivo</w:t>
            </w:r>
          </w:p>
        </w:tc>
      </w:tr>
      <w:tr w:rsidR="006E75CD" w:rsidRPr="00B64D62" w:rsidTr="00F26248">
        <w:trPr>
          <w:tblCellSpacing w:w="0" w:type="dxa"/>
        </w:trPr>
        <w:tc>
          <w:tcPr>
            <w:tcW w:w="5104" w:type="dxa"/>
            <w:shd w:val="clear" w:color="auto" w:fill="FFFFFF"/>
            <w:hideMark/>
          </w:tcPr>
          <w:p w:rsidR="006E75CD" w:rsidRPr="006E75CD" w:rsidRDefault="006E75CD" w:rsidP="00F26248">
            <w:pPr>
              <w:ind w:left="0"/>
              <w:jc w:val="center"/>
              <w:rPr>
                <w:rFonts w:ascii="Bookman Old Style" w:hAnsi="Bookman Old Style" w:cs="Arial"/>
                <w:lang w:val="es-CO" w:eastAsia="es-CO"/>
              </w:rPr>
            </w:pPr>
            <w:r w:rsidRPr="006E75CD">
              <w:rPr>
                <w:rFonts w:ascii="Bookman Old Style" w:hAnsi="Bookman Old Style" w:cs="Arial"/>
                <w:lang w:val="es-CO" w:eastAsia="es-CO"/>
              </w:rPr>
              <w:t>Presidente</w:t>
            </w:r>
          </w:p>
        </w:tc>
        <w:tc>
          <w:tcPr>
            <w:tcW w:w="4536" w:type="dxa"/>
            <w:shd w:val="clear" w:color="auto" w:fill="FFFFFF"/>
            <w:hideMark/>
          </w:tcPr>
          <w:p w:rsidR="006E75CD" w:rsidRPr="006E75CD" w:rsidRDefault="006E75CD" w:rsidP="00F26248">
            <w:pPr>
              <w:ind w:left="142"/>
              <w:rPr>
                <w:rFonts w:ascii="Bookman Old Style" w:hAnsi="Bookman Old Style" w:cs="Arial"/>
                <w:lang w:val="es-CO" w:eastAsia="es-CO"/>
              </w:rPr>
            </w:pPr>
            <w:r w:rsidRPr="006E75CD">
              <w:rPr>
                <w:rFonts w:ascii="Bookman Old Style" w:hAnsi="Bookman Old Style" w:cs="Arial"/>
                <w:noProof/>
                <w:lang w:val="es-CO" w:eastAsia="es-CO"/>
              </w:rPr>
              <w:drawing>
                <wp:inline distT="0" distB="0" distL="0" distR="0" wp14:anchorId="40F1049D" wp14:editId="794AD8D8">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41159" w:rsidRDefault="00841159" w:rsidP="00841159">
      <w:pPr>
        <w:rPr>
          <w:rFonts w:ascii="Bookman Old Style" w:hAnsi="Bookman Old Style" w:cs="Arial"/>
          <w:szCs w:val="20"/>
        </w:rPr>
      </w:pPr>
    </w:p>
    <w:sectPr w:rsidR="00841159" w:rsidSect="00337231">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B2" w:rsidRDefault="000158B2" w:rsidP="00841159">
      <w:r>
        <w:separator/>
      </w:r>
    </w:p>
  </w:endnote>
  <w:endnote w:type="continuationSeparator" w:id="0">
    <w:p w:rsidR="000158B2" w:rsidRDefault="000158B2" w:rsidP="0084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B2" w:rsidRDefault="000158B2" w:rsidP="00841159">
      <w:r>
        <w:separator/>
      </w:r>
    </w:p>
  </w:footnote>
  <w:footnote w:type="continuationSeparator" w:id="0">
    <w:p w:rsidR="000158B2" w:rsidRDefault="000158B2" w:rsidP="008411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DE1BF2" w:rsidP="00951F79">
    <w:pPr>
      <w:pStyle w:val="Ttulo1"/>
      <w:ind w:right="6"/>
      <w:jc w:val="left"/>
      <w:rPr>
        <w:rFonts w:ascii="Bookman Old Style" w:hAnsi="Bookman Old Style" w:cs="Arial"/>
        <w:b w:val="0"/>
        <w:sz w:val="22"/>
        <w:szCs w:val="22"/>
      </w:rPr>
    </w:pPr>
  </w:p>
  <w:p w:rsidR="00227116" w:rsidRPr="00951F79" w:rsidRDefault="008965B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E1BF2">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E1BF2">
      <w:fldChar w:fldCharType="begin"/>
    </w:r>
    <w:r w:rsidR="00DE1BF2">
      <w:instrText xml:space="preserve"> NUMPAGES  \* MERGEFORMAT </w:instrText>
    </w:r>
    <w:r w:rsidR="00DE1BF2">
      <w:fldChar w:fldCharType="separate"/>
    </w:r>
    <w:r w:rsidR="00DE1BF2" w:rsidRPr="00DE1BF2">
      <w:rPr>
        <w:rFonts w:ascii="Bookman Old Style" w:hAnsi="Bookman Old Style" w:cs="Arial"/>
        <w:b w:val="0"/>
        <w:noProof/>
        <w:sz w:val="22"/>
        <w:szCs w:val="22"/>
      </w:rPr>
      <w:t>6</w:t>
    </w:r>
    <w:r w:rsidR="00DE1BF2">
      <w:rPr>
        <w:rFonts w:ascii="Bookman Old Style" w:hAnsi="Bookman Old Style" w:cs="Arial"/>
        <w:b w:val="0"/>
        <w:noProof/>
        <w:sz w:val="22"/>
        <w:szCs w:val="22"/>
      </w:rPr>
      <w:fldChar w:fldCharType="end"/>
    </w:r>
  </w:p>
  <w:p w:rsidR="00227116" w:rsidRDefault="008965B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5694C77" wp14:editId="03A729EB">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48144"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E75CD" w:rsidRPr="006E75CD" w:rsidRDefault="006E75CD" w:rsidP="006E75CD">
    <w:pPr>
      <w:ind w:left="227" w:right="-142"/>
      <w:jc w:val="both"/>
      <w:rPr>
        <w:rFonts w:ascii="Bookman Old Style" w:hAnsi="Bookman Old Style"/>
        <w:sz w:val="22"/>
        <w:szCs w:val="22"/>
      </w:rPr>
    </w:pPr>
    <w:r w:rsidRPr="006E75CD">
      <w:rPr>
        <w:rFonts w:ascii="Bookman Old Style" w:hAnsi="Bookman Old Style"/>
        <w:sz w:val="22"/>
        <w:szCs w:val="22"/>
      </w:rPr>
      <w:t>Por medio de la cual se resuelve el recurso de reposición interpuesto por EMPRESA DE ENERGÍA DEL QUINDÍO S.A. E.S.P. en contra de la Resolución CREG 139 de 2018</w:t>
    </w:r>
  </w:p>
  <w:p w:rsidR="00227116" w:rsidRPr="00CB5DD0" w:rsidRDefault="00DE1BF2"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8965B0"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DE1BF2">
    <w:pPr>
      <w:pStyle w:val="Encabezado"/>
      <w:jc w:val="center"/>
      <w:rPr>
        <w:rFonts w:ascii="Arial" w:hAnsi="Arial" w:cs="Arial"/>
        <w:spacing w:val="20"/>
        <w:sz w:val="20"/>
      </w:rPr>
    </w:pPr>
  </w:p>
  <w:p w:rsidR="00227116" w:rsidRDefault="008965B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EFFCC70" wp14:editId="7652BF63">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45BA"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59"/>
    <w:rsid w:val="00000F83"/>
    <w:rsid w:val="0001566D"/>
    <w:rsid w:val="000158B2"/>
    <w:rsid w:val="000475A0"/>
    <w:rsid w:val="00060E32"/>
    <w:rsid w:val="001B7B4F"/>
    <w:rsid w:val="00220E4F"/>
    <w:rsid w:val="00232AE6"/>
    <w:rsid w:val="00251214"/>
    <w:rsid w:val="0030631D"/>
    <w:rsid w:val="00364105"/>
    <w:rsid w:val="003C6F78"/>
    <w:rsid w:val="004226D5"/>
    <w:rsid w:val="00432DCA"/>
    <w:rsid w:val="004455FA"/>
    <w:rsid w:val="004D7E7B"/>
    <w:rsid w:val="00562CFF"/>
    <w:rsid w:val="006338E7"/>
    <w:rsid w:val="00637B98"/>
    <w:rsid w:val="006872DA"/>
    <w:rsid w:val="00696D41"/>
    <w:rsid w:val="006E75CD"/>
    <w:rsid w:val="00764EA2"/>
    <w:rsid w:val="007D3BCF"/>
    <w:rsid w:val="007E34BC"/>
    <w:rsid w:val="008330DB"/>
    <w:rsid w:val="00841159"/>
    <w:rsid w:val="008965B0"/>
    <w:rsid w:val="0091271E"/>
    <w:rsid w:val="009D02FF"/>
    <w:rsid w:val="00B24086"/>
    <w:rsid w:val="00B313E3"/>
    <w:rsid w:val="00BF4610"/>
    <w:rsid w:val="00C30A25"/>
    <w:rsid w:val="00CC5B1F"/>
    <w:rsid w:val="00D53866"/>
    <w:rsid w:val="00DE1BF2"/>
    <w:rsid w:val="00E44A58"/>
    <w:rsid w:val="00E95E95"/>
    <w:rsid w:val="00EC2B79"/>
    <w:rsid w:val="00F66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471D69C-7FBF-407B-B43C-9E7B506E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5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1159"/>
    <w:pPr>
      <w:keepNext/>
      <w:jc w:val="center"/>
      <w:outlineLvl w:val="0"/>
    </w:pPr>
    <w:rPr>
      <w:rFonts w:ascii="CG Times" w:hAnsi="CG Times"/>
      <w:b/>
      <w:szCs w:val="20"/>
      <w:lang w:val="es-CO"/>
    </w:rPr>
  </w:style>
  <w:style w:type="paragraph" w:styleId="Ttulo3">
    <w:name w:val="heading 3"/>
    <w:basedOn w:val="Normal"/>
    <w:next w:val="Normal"/>
    <w:link w:val="Ttulo3Car"/>
    <w:qFormat/>
    <w:rsid w:val="0084115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84115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84115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115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841159"/>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841159"/>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84115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841159"/>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841159"/>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841159"/>
    <w:pPr>
      <w:ind w:left="708"/>
    </w:pPr>
    <w:rPr>
      <w:sz w:val="20"/>
      <w:szCs w:val="20"/>
      <w:lang w:val="es-CO"/>
    </w:rPr>
  </w:style>
  <w:style w:type="character" w:customStyle="1" w:styleId="PrrafodelistaCar">
    <w:name w:val="Párrafo de lista Car"/>
    <w:basedOn w:val="Fuentedeprrafopredeter"/>
    <w:link w:val="Prrafodelista"/>
    <w:uiPriority w:val="34"/>
    <w:rsid w:val="00841159"/>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41159"/>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841159"/>
    <w:rPr>
      <w:sz w:val="20"/>
      <w:szCs w:val="20"/>
    </w:rPr>
  </w:style>
  <w:style w:type="character" w:customStyle="1" w:styleId="TextonotapieCar">
    <w:name w:val="Texto nota pie Car"/>
    <w:basedOn w:val="Fuentedeprrafopredeter"/>
    <w:link w:val="Textonotapie"/>
    <w:uiPriority w:val="99"/>
    <w:semiHidden/>
    <w:rsid w:val="0084115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841159"/>
    <w:rPr>
      <w:vertAlign w:val="superscript"/>
    </w:rPr>
  </w:style>
  <w:style w:type="character" w:customStyle="1" w:styleId="CharStyle25">
    <w:name w:val="Char Style 25"/>
    <w:basedOn w:val="Fuentedeprrafopredeter"/>
    <w:link w:val="Style24"/>
    <w:uiPriority w:val="99"/>
    <w:rsid w:val="00841159"/>
    <w:rPr>
      <w:rFonts w:ascii="Arial" w:hAnsi="Arial" w:cs="Arial"/>
      <w:sz w:val="17"/>
      <w:szCs w:val="17"/>
      <w:shd w:val="clear" w:color="auto" w:fill="FFFFFF"/>
    </w:rPr>
  </w:style>
  <w:style w:type="paragraph" w:customStyle="1" w:styleId="Style24">
    <w:name w:val="Style 24"/>
    <w:basedOn w:val="Normal"/>
    <w:link w:val="CharStyle25"/>
    <w:uiPriority w:val="99"/>
    <w:rsid w:val="00841159"/>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2">
    <w:name w:val="Char Style 12"/>
    <w:basedOn w:val="Fuentedeprrafopredeter"/>
    <w:link w:val="Style11"/>
    <w:uiPriority w:val="99"/>
    <w:rsid w:val="00841159"/>
    <w:rPr>
      <w:rFonts w:ascii="Arial" w:hAnsi="Arial" w:cs="Arial"/>
      <w:sz w:val="19"/>
      <w:szCs w:val="19"/>
      <w:shd w:val="clear" w:color="auto" w:fill="FFFFFF"/>
    </w:rPr>
  </w:style>
  <w:style w:type="paragraph" w:customStyle="1" w:styleId="Style11">
    <w:name w:val="Style 11"/>
    <w:basedOn w:val="Normal"/>
    <w:link w:val="CharStyle12"/>
    <w:uiPriority w:val="99"/>
    <w:rsid w:val="00841159"/>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13">
    <w:name w:val="Char Style 13"/>
    <w:basedOn w:val="Fuentedeprrafopredeter"/>
    <w:link w:val="Style12"/>
    <w:uiPriority w:val="99"/>
    <w:rsid w:val="00841159"/>
    <w:rPr>
      <w:rFonts w:ascii="Arial" w:hAnsi="Arial" w:cs="Arial"/>
      <w:sz w:val="20"/>
      <w:szCs w:val="20"/>
      <w:shd w:val="clear" w:color="auto" w:fill="FFFFFF"/>
    </w:rPr>
  </w:style>
  <w:style w:type="character" w:customStyle="1" w:styleId="CharStyle16">
    <w:name w:val="Char Style 16"/>
    <w:basedOn w:val="Fuentedeprrafopredeter"/>
    <w:link w:val="Style15"/>
    <w:uiPriority w:val="99"/>
    <w:rsid w:val="00841159"/>
    <w:rPr>
      <w:rFonts w:ascii="Arial" w:hAnsi="Arial" w:cs="Arial"/>
      <w:i/>
      <w:iCs/>
      <w:sz w:val="20"/>
      <w:szCs w:val="20"/>
      <w:shd w:val="clear" w:color="auto" w:fill="FFFFFF"/>
    </w:rPr>
  </w:style>
  <w:style w:type="character" w:customStyle="1" w:styleId="CharStyle30">
    <w:name w:val="Char Style 30"/>
    <w:basedOn w:val="Fuentedeprrafopredeter"/>
    <w:link w:val="Style29"/>
    <w:uiPriority w:val="99"/>
    <w:rsid w:val="00841159"/>
    <w:rPr>
      <w:rFonts w:ascii="Arial" w:hAnsi="Arial" w:cs="Arial"/>
      <w:i/>
      <w:iCs/>
      <w:spacing w:val="20"/>
      <w:sz w:val="15"/>
      <w:szCs w:val="15"/>
      <w:shd w:val="clear" w:color="auto" w:fill="FFFFFF"/>
    </w:rPr>
  </w:style>
  <w:style w:type="paragraph" w:customStyle="1" w:styleId="Style12">
    <w:name w:val="Style 12"/>
    <w:basedOn w:val="Normal"/>
    <w:link w:val="CharStyle13"/>
    <w:uiPriority w:val="99"/>
    <w:rsid w:val="00841159"/>
    <w:pPr>
      <w:widowControl w:val="0"/>
      <w:shd w:val="clear" w:color="auto" w:fill="FFFFFF"/>
      <w:spacing w:after="720" w:line="240" w:lineRule="atLeast"/>
      <w:ind w:left="0"/>
      <w:jc w:val="both"/>
    </w:pPr>
    <w:rPr>
      <w:rFonts w:ascii="Arial" w:eastAsiaTheme="minorHAnsi" w:hAnsi="Arial" w:cs="Arial"/>
      <w:sz w:val="20"/>
      <w:szCs w:val="20"/>
      <w:lang w:val="es-CO" w:eastAsia="en-US"/>
    </w:rPr>
  </w:style>
  <w:style w:type="paragraph" w:customStyle="1" w:styleId="Style15">
    <w:name w:val="Style 15"/>
    <w:basedOn w:val="Normal"/>
    <w:link w:val="CharStyle16"/>
    <w:uiPriority w:val="99"/>
    <w:rsid w:val="00841159"/>
    <w:pPr>
      <w:widowControl w:val="0"/>
      <w:shd w:val="clear" w:color="auto" w:fill="FFFFFF"/>
      <w:spacing w:after="420" w:line="240" w:lineRule="exact"/>
      <w:ind w:left="0"/>
      <w:jc w:val="both"/>
    </w:pPr>
    <w:rPr>
      <w:rFonts w:ascii="Arial" w:eastAsiaTheme="minorHAnsi" w:hAnsi="Arial" w:cs="Arial"/>
      <w:i/>
      <w:iCs/>
      <w:sz w:val="20"/>
      <w:szCs w:val="20"/>
      <w:lang w:val="es-CO" w:eastAsia="en-US"/>
    </w:rPr>
  </w:style>
  <w:style w:type="paragraph" w:customStyle="1" w:styleId="Style29">
    <w:name w:val="Style 29"/>
    <w:basedOn w:val="Normal"/>
    <w:link w:val="CharStyle30"/>
    <w:uiPriority w:val="99"/>
    <w:rsid w:val="00841159"/>
    <w:pPr>
      <w:widowControl w:val="0"/>
      <w:shd w:val="clear" w:color="auto" w:fill="FFFFFF"/>
      <w:spacing w:before="180" w:after="180" w:line="240" w:lineRule="atLeast"/>
      <w:ind w:left="0"/>
      <w:jc w:val="both"/>
    </w:pPr>
    <w:rPr>
      <w:rFonts w:ascii="Arial" w:eastAsiaTheme="minorHAnsi" w:hAnsi="Arial" w:cs="Arial"/>
      <w:i/>
      <w:iCs/>
      <w:spacing w:val="20"/>
      <w:sz w:val="15"/>
      <w:szCs w:val="15"/>
      <w:lang w:val="es-CO" w:eastAsia="en-US"/>
    </w:rPr>
  </w:style>
  <w:style w:type="character" w:customStyle="1" w:styleId="CharStyle15">
    <w:name w:val="Char Style 15"/>
    <w:basedOn w:val="Fuentedeprrafopredeter"/>
    <w:link w:val="Style14"/>
    <w:uiPriority w:val="99"/>
    <w:rsid w:val="00841159"/>
    <w:rPr>
      <w:rFonts w:ascii="Arial" w:hAnsi="Arial" w:cs="Arial"/>
      <w:sz w:val="20"/>
      <w:szCs w:val="20"/>
      <w:shd w:val="clear" w:color="auto" w:fill="FFFFFF"/>
    </w:rPr>
  </w:style>
  <w:style w:type="character" w:customStyle="1" w:styleId="CharStyle22">
    <w:name w:val="Char Style 22"/>
    <w:basedOn w:val="CharStyle15"/>
    <w:uiPriority w:val="99"/>
    <w:rsid w:val="00841159"/>
    <w:rPr>
      <w:rFonts w:ascii="Arial" w:hAnsi="Arial" w:cs="Arial"/>
      <w:sz w:val="16"/>
      <w:szCs w:val="16"/>
      <w:shd w:val="clear" w:color="auto" w:fill="FFFFFF"/>
    </w:rPr>
  </w:style>
  <w:style w:type="character" w:customStyle="1" w:styleId="CharStyle23">
    <w:name w:val="Char Style 23"/>
    <w:basedOn w:val="CharStyle15"/>
    <w:uiPriority w:val="99"/>
    <w:rsid w:val="00841159"/>
    <w:rPr>
      <w:rFonts w:ascii="Arial" w:hAnsi="Arial" w:cs="Arial"/>
      <w:spacing w:val="20"/>
      <w:sz w:val="16"/>
      <w:szCs w:val="16"/>
      <w:shd w:val="clear" w:color="auto" w:fill="FFFFFF"/>
    </w:rPr>
  </w:style>
  <w:style w:type="paragraph" w:customStyle="1" w:styleId="Style14">
    <w:name w:val="Style 14"/>
    <w:basedOn w:val="Normal"/>
    <w:link w:val="CharStyle15"/>
    <w:uiPriority w:val="99"/>
    <w:rsid w:val="00841159"/>
    <w:pPr>
      <w:widowControl w:val="0"/>
      <w:shd w:val="clear" w:color="auto" w:fill="FFFFFF"/>
      <w:spacing w:before="1020" w:line="509" w:lineRule="exact"/>
      <w:ind w:left="0"/>
    </w:pPr>
    <w:rPr>
      <w:rFonts w:ascii="Arial" w:eastAsiaTheme="minorHAnsi" w:hAnsi="Arial" w:cs="Arial"/>
      <w:sz w:val="20"/>
      <w:szCs w:val="20"/>
      <w:lang w:val="es-CO" w:eastAsia="en-US"/>
    </w:rPr>
  </w:style>
  <w:style w:type="character" w:customStyle="1" w:styleId="CharStyle36">
    <w:name w:val="Char Style 36"/>
    <w:basedOn w:val="CharStyle15"/>
    <w:uiPriority w:val="99"/>
    <w:rsid w:val="00841159"/>
    <w:rPr>
      <w:rFonts w:ascii="Arial" w:hAnsi="Arial" w:cs="Arial"/>
      <w:b/>
      <w:bCs/>
      <w:sz w:val="18"/>
      <w:szCs w:val="18"/>
      <w:u w:val="none"/>
      <w:shd w:val="clear" w:color="auto" w:fill="FFFFFF"/>
    </w:rPr>
  </w:style>
  <w:style w:type="character" w:customStyle="1" w:styleId="CharStyle3">
    <w:name w:val="Char Style 3"/>
    <w:basedOn w:val="Fuentedeprrafopredeter"/>
    <w:link w:val="Style2"/>
    <w:uiPriority w:val="99"/>
    <w:rsid w:val="00BF4610"/>
    <w:rPr>
      <w:rFonts w:ascii="Arial" w:hAnsi="Arial" w:cs="Arial"/>
      <w:sz w:val="19"/>
      <w:szCs w:val="19"/>
      <w:shd w:val="clear" w:color="auto" w:fill="FFFFFF"/>
    </w:rPr>
  </w:style>
  <w:style w:type="character" w:customStyle="1" w:styleId="CharStyle26">
    <w:name w:val="Char Style 26"/>
    <w:basedOn w:val="CharStyle3"/>
    <w:uiPriority w:val="99"/>
    <w:rsid w:val="00BF4610"/>
    <w:rPr>
      <w:rFonts w:ascii="Arial" w:hAnsi="Arial" w:cs="Arial"/>
      <w:sz w:val="13"/>
      <w:szCs w:val="13"/>
      <w:shd w:val="clear" w:color="auto" w:fill="FFFFFF"/>
    </w:rPr>
  </w:style>
  <w:style w:type="paragraph" w:customStyle="1" w:styleId="Style2">
    <w:name w:val="Style 2"/>
    <w:basedOn w:val="Normal"/>
    <w:link w:val="CharStyle3"/>
    <w:uiPriority w:val="99"/>
    <w:rsid w:val="00BF4610"/>
    <w:pPr>
      <w:widowControl w:val="0"/>
      <w:shd w:val="clear" w:color="auto" w:fill="FFFFFF"/>
      <w:spacing w:line="778" w:lineRule="exact"/>
      <w:ind w:left="0" w:hanging="360"/>
    </w:pPr>
    <w:rPr>
      <w:rFonts w:ascii="Arial" w:eastAsiaTheme="minorHAnsi" w:hAnsi="Arial" w:cs="Arial"/>
      <w:sz w:val="19"/>
      <w:szCs w:val="19"/>
      <w:lang w:val="es-CO" w:eastAsia="en-US"/>
    </w:rPr>
  </w:style>
  <w:style w:type="character" w:customStyle="1" w:styleId="CharStyle9">
    <w:name w:val="Char Style 9"/>
    <w:basedOn w:val="Fuentedeprrafopredeter"/>
    <w:link w:val="Style8"/>
    <w:uiPriority w:val="99"/>
    <w:rsid w:val="00764EA2"/>
    <w:rPr>
      <w:rFonts w:ascii="Arial" w:hAnsi="Arial" w:cs="Arial"/>
      <w:shd w:val="clear" w:color="auto" w:fill="FFFFFF"/>
    </w:rPr>
  </w:style>
  <w:style w:type="paragraph" w:customStyle="1" w:styleId="Style8">
    <w:name w:val="Style 8"/>
    <w:basedOn w:val="Normal"/>
    <w:link w:val="CharStyle9"/>
    <w:uiPriority w:val="99"/>
    <w:rsid w:val="00764EA2"/>
    <w:pPr>
      <w:widowControl w:val="0"/>
      <w:shd w:val="clear" w:color="auto" w:fill="FFFFFF"/>
      <w:spacing w:before="660" w:line="240" w:lineRule="atLeast"/>
      <w:ind w:left="0"/>
    </w:pPr>
    <w:rPr>
      <w:rFonts w:ascii="Arial" w:eastAsiaTheme="minorHAnsi" w:hAnsi="Arial" w:cs="Arial"/>
      <w:sz w:val="22"/>
      <w:szCs w:val="22"/>
      <w:lang w:val="es-CO" w:eastAsia="en-US"/>
    </w:rPr>
  </w:style>
  <w:style w:type="character" w:customStyle="1" w:styleId="CharStyle39">
    <w:name w:val="Char Style 39"/>
    <w:basedOn w:val="CharStyle9"/>
    <w:uiPriority w:val="99"/>
    <w:rsid w:val="00764EA2"/>
    <w:rPr>
      <w:rFonts w:ascii="Arial" w:hAnsi="Arial" w:cs="Arial"/>
      <w:u w:val="single"/>
      <w:shd w:val="clear" w:color="auto" w:fill="FFFFFF"/>
    </w:rPr>
  </w:style>
  <w:style w:type="character" w:customStyle="1" w:styleId="CharStyle41">
    <w:name w:val="Char Style 41"/>
    <w:basedOn w:val="Fuentedeprrafopredeter"/>
    <w:link w:val="Style40"/>
    <w:uiPriority w:val="99"/>
    <w:rsid w:val="00764EA2"/>
    <w:rPr>
      <w:rFonts w:ascii="Arial" w:hAnsi="Arial" w:cs="Arial"/>
      <w:i/>
      <w:iCs/>
      <w:shd w:val="clear" w:color="auto" w:fill="FFFFFF"/>
    </w:rPr>
  </w:style>
  <w:style w:type="character" w:customStyle="1" w:styleId="CharStyle42">
    <w:name w:val="Char Style 42"/>
    <w:basedOn w:val="CharStyle41"/>
    <w:uiPriority w:val="99"/>
    <w:rsid w:val="00764EA2"/>
    <w:rPr>
      <w:rFonts w:ascii="Arial" w:hAnsi="Arial" w:cs="Arial"/>
      <w:i w:val="0"/>
      <w:iCs w:val="0"/>
      <w:shd w:val="clear" w:color="auto" w:fill="FFFFFF"/>
    </w:rPr>
  </w:style>
  <w:style w:type="character" w:customStyle="1" w:styleId="CharStyle43">
    <w:name w:val="Char Style 43"/>
    <w:basedOn w:val="CharStyle41"/>
    <w:uiPriority w:val="99"/>
    <w:rsid w:val="00764EA2"/>
    <w:rPr>
      <w:rFonts w:ascii="Arial" w:hAnsi="Arial" w:cs="Arial"/>
      <w:i/>
      <w:iCs/>
      <w:u w:val="single"/>
      <w:shd w:val="clear" w:color="auto" w:fill="FFFFFF"/>
    </w:rPr>
  </w:style>
  <w:style w:type="paragraph" w:customStyle="1" w:styleId="Style40">
    <w:name w:val="Style 40"/>
    <w:basedOn w:val="Normal"/>
    <w:link w:val="CharStyle41"/>
    <w:uiPriority w:val="99"/>
    <w:rsid w:val="00764EA2"/>
    <w:pPr>
      <w:widowControl w:val="0"/>
      <w:shd w:val="clear" w:color="auto" w:fill="FFFFFF"/>
      <w:spacing w:before="240" w:after="240" w:line="274" w:lineRule="exact"/>
      <w:ind w:left="0"/>
      <w:jc w:val="both"/>
    </w:pPr>
    <w:rPr>
      <w:rFonts w:ascii="Arial" w:eastAsiaTheme="minorHAnsi" w:hAnsi="Arial" w:cs="Arial"/>
      <w:i/>
      <w:iCs/>
      <w:sz w:val="22"/>
      <w:szCs w:val="22"/>
      <w:lang w:val="es-CO" w:eastAsia="en-US"/>
    </w:rPr>
  </w:style>
  <w:style w:type="paragraph" w:styleId="Piedepgina">
    <w:name w:val="footer"/>
    <w:basedOn w:val="Normal"/>
    <w:link w:val="PiedepginaCar"/>
    <w:uiPriority w:val="99"/>
    <w:unhideWhenUsed/>
    <w:rsid w:val="00E95E95"/>
    <w:pPr>
      <w:tabs>
        <w:tab w:val="center" w:pos="4419"/>
        <w:tab w:val="right" w:pos="8838"/>
      </w:tabs>
    </w:pPr>
  </w:style>
  <w:style w:type="character" w:customStyle="1" w:styleId="PiedepginaCar">
    <w:name w:val="Pie de página Car"/>
    <w:basedOn w:val="Fuentedeprrafopredeter"/>
    <w:link w:val="Piedepgina"/>
    <w:uiPriority w:val="99"/>
    <w:rsid w:val="00E95E9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662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622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243808244">
      <w:bodyDiv w:val="1"/>
      <w:marLeft w:val="0"/>
      <w:marRight w:val="0"/>
      <w:marTop w:val="0"/>
      <w:marBottom w:val="0"/>
      <w:divBdr>
        <w:top w:val="none" w:sz="0" w:space="0" w:color="auto"/>
        <w:left w:val="none" w:sz="0" w:space="0" w:color="auto"/>
        <w:bottom w:val="none" w:sz="0" w:space="0" w:color="auto"/>
        <w:right w:val="none" w:sz="0" w:space="0" w:color="auto"/>
      </w:divBdr>
    </w:div>
    <w:div w:id="427628349">
      <w:bodyDiv w:val="1"/>
      <w:marLeft w:val="0"/>
      <w:marRight w:val="0"/>
      <w:marTop w:val="0"/>
      <w:marBottom w:val="0"/>
      <w:divBdr>
        <w:top w:val="none" w:sz="0" w:space="0" w:color="auto"/>
        <w:left w:val="none" w:sz="0" w:space="0" w:color="auto"/>
        <w:bottom w:val="none" w:sz="0" w:space="0" w:color="auto"/>
        <w:right w:val="none" w:sz="0" w:space="0" w:color="auto"/>
      </w:divBdr>
    </w:div>
    <w:div w:id="1696685758">
      <w:bodyDiv w:val="1"/>
      <w:marLeft w:val="0"/>
      <w:marRight w:val="0"/>
      <w:marTop w:val="0"/>
      <w:marBottom w:val="0"/>
      <w:divBdr>
        <w:top w:val="none" w:sz="0" w:space="0" w:color="auto"/>
        <w:left w:val="none" w:sz="0" w:space="0" w:color="auto"/>
        <w:bottom w:val="none" w:sz="0" w:space="0" w:color="auto"/>
        <w:right w:val="none" w:sz="0" w:space="0" w:color="auto"/>
      </w:divBdr>
    </w:div>
    <w:div w:id="19363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2040</Words>
  <Characters>11224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2019-12-02T17:02:00Z</cp:lastPrinted>
  <dcterms:created xsi:type="dcterms:W3CDTF">2019-12-13T16:42:00Z</dcterms:created>
  <dcterms:modified xsi:type="dcterms:W3CDTF">2019-12-13T16:42:00Z</dcterms:modified>
</cp:coreProperties>
</file>