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EE674D"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384"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143629">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establecen los Índices de Referencia de la Discontinuidad de </w:t>
      </w:r>
      <w:r w:rsidR="00A85B4B">
        <w:rPr>
          <w:rFonts w:ascii="Bookman Old Style" w:hAnsi="Bookman Old Style"/>
          <w:szCs w:val="24"/>
        </w:rPr>
        <w:t>la Empresa Municipal de Energía Eléctrica</w:t>
      </w:r>
      <w:r w:rsidR="00B162A5">
        <w:rPr>
          <w:rFonts w:ascii="Bookman Old Style" w:hAnsi="Bookman Old Style" w:cs="Arial"/>
          <w:szCs w:val="24"/>
        </w:rPr>
        <w:t xml:space="preserve"> S.A. E.S.P.</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los Decretos 1524 y 2253 de 1994.</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dentro de la regulación de calidad del servicio se establece un esquema de incentivos y compensaciones que se aplicará a los Operadores de Red con base en su desempeño trimestral;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E433F6" w:rsidRPr="000058F4" w:rsidRDefault="00E433F6" w:rsidP="00E433F6">
      <w:pPr>
        <w:ind w:left="0"/>
        <w:jc w:val="both"/>
        <w:rPr>
          <w:rFonts w:ascii="Bookman Old Style" w:hAnsi="Bookman Old Style"/>
        </w:rPr>
      </w:pPr>
      <w:r w:rsidRPr="000058F4">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w:t>
      </w:r>
      <w:r w:rsidR="00A85B4B">
        <w:rPr>
          <w:rFonts w:ascii="Bookman Old Style" w:hAnsi="Bookman Old Style"/>
        </w:rPr>
        <w:t>l 11.2.3 de la Resolución CREG</w:t>
      </w:r>
      <w:r w:rsidRPr="000058F4">
        <w:rPr>
          <w:rFonts w:ascii="Bookman Old Style" w:hAnsi="Bookman Old Style"/>
        </w:rPr>
        <w:t xml:space="preserve"> 097 de 2008, se estableció que la CREG calculará el IRAD a partir de la información histórica de interrupciones y demás datos consignados por los Operadores de Red en el Sistema Único de Información, SUI, para los años 2006 y 2007;</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las circulares CREG 123 de 2008, 047 y 050 de 2009, la CREG solicitó a los Operadores de Red información complementaria necesaria para el cálculo del IRAD;</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A17E0C" w:rsidRPr="000058F4">
        <w:rPr>
          <w:rFonts w:ascii="Bookman Old Style" w:hAnsi="Bookman Old Style"/>
        </w:rPr>
        <w:t>la</w:t>
      </w:r>
      <w:r w:rsidR="00A85B4B">
        <w:rPr>
          <w:rFonts w:ascii="Bookman Old Style" w:hAnsi="Bookman Old Style"/>
        </w:rPr>
        <w:t xml:space="preserve"> </w:t>
      </w:r>
      <w:r w:rsidR="000B5996" w:rsidRPr="000B5996">
        <w:rPr>
          <w:rFonts w:ascii="Bookman Old Style" w:hAnsi="Bookman Old Style"/>
        </w:rPr>
        <w:t>Empresa Municipal de Energía Eléctrica</w:t>
      </w:r>
      <w:r w:rsidR="000B5996" w:rsidRPr="000B5996">
        <w:rPr>
          <w:rFonts w:ascii="Bookman Old Style" w:hAnsi="Bookman Old Style" w:cs="Arial"/>
        </w:rPr>
        <w:t xml:space="preserve"> S.A. E.S.P.</w:t>
      </w:r>
      <w:r w:rsidR="00761656">
        <w:rPr>
          <w:rFonts w:ascii="Bookman Old Style" w:hAnsi="Bookman Old Style" w:cs="Arial"/>
        </w:rPr>
        <w:t xml:space="preserve"> no </w:t>
      </w:r>
      <w:r w:rsidRPr="000058F4">
        <w:rPr>
          <w:rFonts w:ascii="Bookman Old Style" w:hAnsi="Bookman Old Style"/>
        </w:rPr>
        <w:t>dio re</w:t>
      </w:r>
      <w:r w:rsidR="00DD7C59">
        <w:rPr>
          <w:rFonts w:ascii="Bookman Old Style" w:hAnsi="Bookman Old Style"/>
        </w:rPr>
        <w:t>s</w:t>
      </w:r>
      <w:r w:rsidRPr="000058F4">
        <w:rPr>
          <w:rFonts w:ascii="Bookman Old Style" w:hAnsi="Bookman Old Style"/>
        </w:rPr>
        <w:t>puesta a la circular CREG 123 de 2008;</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0B5996">
        <w:rPr>
          <w:rFonts w:ascii="Bookman Old Style" w:hAnsi="Bookman Old Style"/>
        </w:rPr>
        <w:t xml:space="preserve"> </w:t>
      </w:r>
      <w:r w:rsidR="000B5996" w:rsidRPr="000B5996">
        <w:rPr>
          <w:rFonts w:ascii="Bookman Old Style" w:hAnsi="Bookman Old Style"/>
        </w:rPr>
        <w:t>Empresa Municipal de Energía Eléctrica</w:t>
      </w:r>
      <w:r w:rsidR="000B5996" w:rsidRPr="000B5996">
        <w:rPr>
          <w:rFonts w:ascii="Bookman Old Style" w:hAnsi="Bookman Old Style" w:cs="Arial"/>
        </w:rPr>
        <w:t xml:space="preserve"> S.A. E.S.P.</w:t>
      </w:r>
      <w:r w:rsidR="000B5996">
        <w:rPr>
          <w:rFonts w:ascii="Bookman Old Style" w:hAnsi="Bookman Old Style" w:cs="Arial"/>
        </w:rPr>
        <w:t xml:space="preserve"> no</w:t>
      </w:r>
      <w:r w:rsidR="00BB0715">
        <w:rPr>
          <w:rFonts w:ascii="Bookman Old Style" w:hAnsi="Bookman Old Style" w:cs="Arial"/>
        </w:rPr>
        <w:t xml:space="preserve"> </w:t>
      </w:r>
      <w:r w:rsidR="00AA7405">
        <w:rPr>
          <w:rFonts w:ascii="Bookman Old Style" w:hAnsi="Bookman Old Style"/>
        </w:rPr>
        <w:t>dio</w:t>
      </w:r>
      <w:r w:rsidR="00BB0715" w:rsidRPr="00D34DBB">
        <w:rPr>
          <w:rFonts w:ascii="Bookman Old Style" w:hAnsi="Bookman Old Style"/>
        </w:rPr>
        <w:t xml:space="preserve"> resp</w:t>
      </w:r>
      <w:r w:rsidR="00AA7405">
        <w:rPr>
          <w:rFonts w:ascii="Bookman Old Style" w:hAnsi="Bookman Old Style"/>
        </w:rPr>
        <w:t>uesta</w:t>
      </w:r>
      <w:r w:rsidR="00BB0715" w:rsidRPr="00D34DBB">
        <w:rPr>
          <w:rFonts w:ascii="Bookman Old Style" w:hAnsi="Bookman Old Style"/>
        </w:rPr>
        <w:t xml:space="preserve"> a la circular CREG 047 de 2009</w:t>
      </w:r>
      <w:r w:rsidR="004B6CE9" w:rsidRPr="006801B5">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0B5996">
        <w:rPr>
          <w:rFonts w:ascii="Bookman Old Style" w:hAnsi="Bookman Old Style"/>
        </w:rPr>
        <w:t xml:space="preserve"> </w:t>
      </w:r>
      <w:r w:rsidR="000B5996" w:rsidRPr="000B5996">
        <w:rPr>
          <w:rFonts w:ascii="Bookman Old Style" w:hAnsi="Bookman Old Style"/>
        </w:rPr>
        <w:t>Empresa Municipal de Energía Eléctrica</w:t>
      </w:r>
      <w:r w:rsidR="000B5996" w:rsidRPr="000B5996">
        <w:rPr>
          <w:rFonts w:ascii="Bookman Old Style" w:hAnsi="Bookman Old Style" w:cs="Arial"/>
        </w:rPr>
        <w:t xml:space="preserve"> S.A. E.S.P.</w:t>
      </w:r>
      <w:r w:rsidR="004B6CE9">
        <w:rPr>
          <w:rFonts w:ascii="Bookman Old Style" w:hAnsi="Bookman Old Style"/>
        </w:rPr>
        <w:t xml:space="preserve"> </w:t>
      </w:r>
      <w:r w:rsidRPr="000058F4">
        <w:rPr>
          <w:rFonts w:ascii="Bookman Old Style" w:hAnsi="Bookman Old Style"/>
        </w:rPr>
        <w:t>dio re</w:t>
      </w:r>
      <w:r w:rsidR="00DD7C59">
        <w:rPr>
          <w:rFonts w:ascii="Bookman Old Style" w:hAnsi="Bookman Old Style"/>
        </w:rPr>
        <w:t>s</w:t>
      </w:r>
      <w:r w:rsidRPr="000058F4">
        <w:rPr>
          <w:rFonts w:ascii="Bookman Old Style" w:hAnsi="Bookman Old Style"/>
        </w:rPr>
        <w:t>puesta a la circular CREG 050 de 2009</w:t>
      </w:r>
      <w:r w:rsidR="00AA7405">
        <w:rPr>
          <w:rFonts w:ascii="Bookman Old Style" w:hAnsi="Bookman Old Style"/>
        </w:rPr>
        <w:t xml:space="preserve"> me</w:t>
      </w:r>
      <w:r w:rsidR="000A5B9E">
        <w:rPr>
          <w:rFonts w:ascii="Bookman Old Style" w:hAnsi="Bookman Old Style"/>
        </w:rPr>
        <w:t>diante radicado CREG E-2010-002403</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0A5B9E" w:rsidRPr="000058F4" w:rsidRDefault="000A5B9E" w:rsidP="000A5B9E">
      <w:pPr>
        <w:ind w:left="0"/>
        <w:jc w:val="both"/>
        <w:rPr>
          <w:rFonts w:ascii="Bookman Old Style" w:hAnsi="Bookman Old Style"/>
        </w:rPr>
      </w:pPr>
      <w:r w:rsidRPr="00B04DAE">
        <w:rPr>
          <w:rFonts w:ascii="Bookman Old Style" w:hAnsi="Bookman Old Style"/>
        </w:rPr>
        <w:t xml:space="preserve">Que las empresas comercializadoras: </w:t>
      </w:r>
      <w:r w:rsidRPr="00B04DAE">
        <w:rPr>
          <w:rFonts w:ascii="Bookman Old Style" w:hAnsi="Bookman Old Style"/>
          <w:lang w:val="es-CO"/>
        </w:rPr>
        <w:t xml:space="preserve">Empresa de </w:t>
      </w:r>
      <w:r>
        <w:rPr>
          <w:rFonts w:ascii="Bookman Old Style" w:hAnsi="Bookman Old Style"/>
          <w:lang w:val="es-CO"/>
        </w:rPr>
        <w:t>Energía del Pacífico S.A. E.S.P. y</w:t>
      </w:r>
      <w:r w:rsidRPr="00B04DAE">
        <w:rPr>
          <w:rFonts w:ascii="Bookman Old Style" w:hAnsi="Bookman Old Style"/>
        </w:rPr>
        <w:t xml:space="preserve"> Empresa de Energía de Cundinamarca S.A. E.S.P</w:t>
      </w:r>
      <w:r>
        <w:rPr>
          <w:rFonts w:ascii="Bookman Old Style" w:hAnsi="Bookman Old Style"/>
        </w:rPr>
        <w:t xml:space="preserve"> </w:t>
      </w:r>
      <w:r w:rsidRPr="00B04DAE">
        <w:rPr>
          <w:rFonts w:ascii="Bookman Old Style" w:hAnsi="Bookman Old Style"/>
        </w:rPr>
        <w:t>dieron respuesta a la Circular CREG 050 de 2009 sobre el mercado de</w:t>
      </w:r>
      <w:r w:rsidRPr="000058F4">
        <w:rPr>
          <w:rFonts w:ascii="Bookman Old Style" w:hAnsi="Bookman Old Style"/>
        </w:rPr>
        <w:t xml:space="preserve"> comercialización de la</w:t>
      </w:r>
      <w:r>
        <w:rPr>
          <w:rFonts w:ascii="Bookman Old Style" w:hAnsi="Bookman Old Style"/>
        </w:rPr>
        <w:t xml:space="preserve"> </w:t>
      </w:r>
      <w:r w:rsidRPr="000A5B9E">
        <w:rPr>
          <w:rFonts w:ascii="Bookman Old Style" w:hAnsi="Bookman Old Style"/>
        </w:rPr>
        <w:t>Empresa Municipal de Energía Eléctrica</w:t>
      </w:r>
      <w:r w:rsidRPr="000A5B9E">
        <w:rPr>
          <w:rFonts w:ascii="Bookman Old Style" w:hAnsi="Bookman Old Style" w:cs="Arial"/>
        </w:rPr>
        <w:t xml:space="preserve"> S.A. E.S.P.</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auto del día 3 de marzo de 2010 se inició de oficio una actuación administrativa con el objeto de definir los Índices de Referencia Agrupados de la Discontinuidad IRAD</w:t>
      </w:r>
      <w:r w:rsidRPr="000058F4">
        <w:rPr>
          <w:rFonts w:ascii="Bookman Old Style" w:hAnsi="Bookman Old Style"/>
          <w:vertAlign w:val="subscript"/>
        </w:rPr>
        <w:t>n,p</w:t>
      </w:r>
      <w:r w:rsidRPr="000058F4">
        <w:rPr>
          <w:rFonts w:ascii="Bookman Old Style" w:hAnsi="Bookman Old Style"/>
        </w:rPr>
        <w:t>, los Índices de Referencia Agrupados de la Discontinuidad para el año k, IRADK</w:t>
      </w:r>
      <w:r w:rsidRPr="000058F4">
        <w:rPr>
          <w:rFonts w:ascii="Bookman Old Style" w:hAnsi="Bookman Old Style"/>
          <w:vertAlign w:val="subscript"/>
        </w:rPr>
        <w:t>n,p,k</w:t>
      </w:r>
      <w:r w:rsidRPr="000058F4">
        <w:rPr>
          <w:rFonts w:ascii="Bookman Old Style" w:hAnsi="Bookman Old Style"/>
        </w:rPr>
        <w:t>, y los Promedios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para el SDL operado por </w:t>
      </w:r>
      <w:r w:rsidR="00E00AAF" w:rsidRPr="000058F4">
        <w:rPr>
          <w:rFonts w:ascii="Bookman Old Style" w:hAnsi="Bookman Old Style"/>
        </w:rPr>
        <w:t>la</w:t>
      </w:r>
      <w:r w:rsidR="000A5B9E">
        <w:rPr>
          <w:rFonts w:ascii="Bookman Old Style" w:hAnsi="Bookman Old Style"/>
        </w:rPr>
        <w:t xml:space="preserve"> </w:t>
      </w:r>
      <w:r w:rsidR="000A5B9E" w:rsidRPr="000A5B9E">
        <w:rPr>
          <w:rFonts w:ascii="Bookman Old Style" w:hAnsi="Bookman Old Style"/>
        </w:rPr>
        <w:t>Empresa Municipal de Energía Eléctrica</w:t>
      </w:r>
      <w:r w:rsidR="000A5B9E" w:rsidRPr="000A5B9E">
        <w:rPr>
          <w:rFonts w:ascii="Bookman Old Style" w:hAnsi="Bookman Old Style" w:cs="Arial"/>
        </w:rPr>
        <w:t xml:space="preserve">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la publicación de un extracto del texto de la actuación,</w:t>
      </w:r>
      <w:r w:rsidRPr="000058F4">
        <w:t xml:space="preserve"> </w:t>
      </w:r>
      <w:r w:rsidRPr="000058F4">
        <w:rPr>
          <w:rFonts w:ascii="Bookman Old Style" w:hAnsi="Bookman Old Style"/>
        </w:rPr>
        <w:t>en cumplimiento de lo dispuesto por el Artículo 15 del Código Contencioso Administrativo, se llevó a cabo el día 10 de marzo de 2010 en el diario La República;</w:t>
      </w:r>
    </w:p>
    <w:p w:rsidR="00E433F6" w:rsidRPr="000058F4" w:rsidRDefault="00E433F6" w:rsidP="00E433F6">
      <w:pPr>
        <w:ind w:left="0"/>
        <w:jc w:val="both"/>
        <w:rPr>
          <w:rFonts w:ascii="Bookman Old Style" w:hAnsi="Bookman Old Style"/>
        </w:rPr>
      </w:pPr>
    </w:p>
    <w:p w:rsidR="005A6994" w:rsidRDefault="00E433F6" w:rsidP="005A6994">
      <w:pPr>
        <w:ind w:left="0"/>
        <w:jc w:val="both"/>
        <w:rPr>
          <w:rFonts w:ascii="Bookman Old Style" w:hAnsi="Bookman Old Style"/>
        </w:rPr>
      </w:pPr>
      <w:r w:rsidRPr="000058F4">
        <w:rPr>
          <w:rFonts w:ascii="Bookman Old Style" w:hAnsi="Bookman Old Style"/>
        </w:rPr>
        <w:t xml:space="preserve">Que mediante auto del día 27 de abril de 2010 se decretaron pruebas y que éstas fueron remitidas al expediente de la actuación </w:t>
      </w:r>
      <w:r w:rsidR="001A7196" w:rsidRPr="000058F4">
        <w:rPr>
          <w:rFonts w:ascii="Bookman Old Style" w:hAnsi="Bookman Old Style"/>
        </w:rPr>
        <w:t xml:space="preserve">administrativa </w:t>
      </w:r>
      <w:r w:rsidRPr="000058F4">
        <w:rPr>
          <w:rFonts w:ascii="Bookman Old Style" w:hAnsi="Bookman Old Style"/>
        </w:rPr>
        <w:t>a través de memoriales con radicados I-2010-0013</w:t>
      </w:r>
      <w:r w:rsidR="00645CB6">
        <w:rPr>
          <w:rFonts w:ascii="Bookman Old Style" w:hAnsi="Bookman Old Style"/>
        </w:rPr>
        <w:t>5</w:t>
      </w:r>
      <w:r w:rsidR="008531E3">
        <w:rPr>
          <w:rFonts w:ascii="Bookman Old Style" w:hAnsi="Bookman Old Style"/>
        </w:rPr>
        <w:t>2</w:t>
      </w:r>
      <w:r w:rsidRPr="000058F4">
        <w:rPr>
          <w:rFonts w:ascii="Bookman Old Style" w:hAnsi="Bookman Old Style"/>
        </w:rPr>
        <w:t>, I-2010-0</w:t>
      </w:r>
      <w:r w:rsidR="00991DE5">
        <w:rPr>
          <w:rFonts w:ascii="Bookman Old Style" w:hAnsi="Bookman Old Style"/>
        </w:rPr>
        <w:t>015</w:t>
      </w:r>
      <w:r w:rsidR="008531E3">
        <w:rPr>
          <w:rFonts w:ascii="Bookman Old Style" w:hAnsi="Bookman Old Style"/>
        </w:rPr>
        <w:t>16</w:t>
      </w:r>
      <w:r w:rsidRPr="000058F4">
        <w:rPr>
          <w:rFonts w:ascii="Bookman Old Style" w:hAnsi="Bookman Old Style"/>
        </w:rPr>
        <w:t xml:space="preserve"> e I-2010-001</w:t>
      </w:r>
      <w:r w:rsidR="00645CB6">
        <w:rPr>
          <w:rFonts w:ascii="Bookman Old Style" w:hAnsi="Bookman Old Style"/>
        </w:rPr>
        <w:t>70</w:t>
      </w:r>
      <w:r w:rsidR="008E79B9">
        <w:rPr>
          <w:rFonts w:ascii="Bookman Old Style" w:hAnsi="Bookman Old Style"/>
        </w:rPr>
        <w:t>4</w:t>
      </w:r>
      <w:r w:rsidRPr="000058F4">
        <w:rPr>
          <w:rFonts w:ascii="Bookman Old Style" w:hAnsi="Bookman Old Style"/>
        </w:rPr>
        <w:t xml:space="preserve">, los cuales contienen la información consultada en el SUI y </w:t>
      </w:r>
      <w:r w:rsidR="000658B0">
        <w:rPr>
          <w:rFonts w:ascii="Bookman Old Style" w:hAnsi="Bookman Old Style"/>
        </w:rPr>
        <w:t>la información consultada sobre las</w:t>
      </w:r>
      <w:r w:rsidRPr="000058F4">
        <w:rPr>
          <w:rFonts w:ascii="Bookman Old Style" w:hAnsi="Bookman Old Style"/>
        </w:rPr>
        <w:t xml:space="preserve"> circulares CREG </w:t>
      </w:r>
      <w:r w:rsidR="00A95565" w:rsidRPr="000058F4">
        <w:rPr>
          <w:rFonts w:ascii="Bookman Old Style" w:hAnsi="Bookman Old Style"/>
        </w:rPr>
        <w:t>047</w:t>
      </w:r>
      <w:r w:rsidRPr="000058F4">
        <w:rPr>
          <w:rFonts w:ascii="Bookman Old Style" w:hAnsi="Bookman Old Style"/>
        </w:rPr>
        <w:t xml:space="preserve"> y 050 de 2009,</w:t>
      </w:r>
      <w:r w:rsidR="005A6994" w:rsidRPr="005A6994">
        <w:rPr>
          <w:rFonts w:ascii="Bookman Old Style" w:hAnsi="Bookman Old Style"/>
        </w:rPr>
        <w:t xml:space="preserve"> siendo ésta la información oficial disponible para el cálculo de los índices de referencia</w:t>
      </w:r>
      <w:r w:rsidR="002D7BCF">
        <w:rPr>
          <w:rFonts w:ascii="Bookman Old Style" w:hAnsi="Bookman Old Style"/>
        </w:rPr>
        <w:t>;</w:t>
      </w:r>
    </w:p>
    <w:p w:rsidR="00FC4E3D" w:rsidRDefault="00FC4E3D" w:rsidP="005A6994">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días 25, 26 y 27 de marzo de 2010 se consultó la información de las bases de datos comercial y de calidad del SUI, reportada por los Operadores de Red durante los años 2006 y 2007;</w:t>
      </w:r>
    </w:p>
    <w:p w:rsidR="00E433F6" w:rsidRPr="000058F4"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t>Que aplicada la metodología contenida en la</w:t>
      </w:r>
      <w:r w:rsidR="004A1EC8">
        <w:rPr>
          <w:rFonts w:ascii="Bookman Old Style" w:hAnsi="Bookman Old Style"/>
        </w:rPr>
        <w:t>s resoluciones</w:t>
      </w:r>
      <w:r w:rsidRPr="000058F4">
        <w:rPr>
          <w:rFonts w:ascii="Bookman Old Style" w:hAnsi="Bookman Old Style"/>
        </w:rPr>
        <w:t xml:space="preserve"> CREG 097 de 2008</w:t>
      </w:r>
      <w:r w:rsidR="004A1EC8">
        <w:rPr>
          <w:rFonts w:ascii="Bookman Old Style" w:hAnsi="Bookman Old Style"/>
        </w:rPr>
        <w:t xml:space="preserve"> y CREG 166 de 2010</w:t>
      </w:r>
      <w:r w:rsidRPr="000058F4">
        <w:rPr>
          <w:rFonts w:ascii="Bookman Old Style" w:hAnsi="Bookman Old Style"/>
        </w:rPr>
        <w:t xml:space="preserve">, se calcularon los Índices de Referencia de la </w:t>
      </w:r>
      <w:r w:rsidRPr="000058F4">
        <w:rPr>
          <w:rFonts w:ascii="Bookman Old Style" w:hAnsi="Bookman Old Style"/>
        </w:rPr>
        <w:lastRenderedPageBreak/>
        <w:t xml:space="preserve">Discontinuidad para el SDL operado por </w:t>
      </w:r>
      <w:r w:rsidR="00670BC4" w:rsidRPr="000058F4">
        <w:rPr>
          <w:rFonts w:ascii="Bookman Old Style" w:hAnsi="Bookman Old Style"/>
        </w:rPr>
        <w:t>la</w:t>
      </w:r>
      <w:r w:rsidR="008531E3">
        <w:rPr>
          <w:rFonts w:ascii="Bookman Old Style" w:hAnsi="Bookman Old Style"/>
        </w:rPr>
        <w:t xml:space="preserve"> </w:t>
      </w:r>
      <w:r w:rsidR="008531E3" w:rsidRPr="008531E3">
        <w:rPr>
          <w:rFonts w:ascii="Bookman Old Style" w:hAnsi="Bookman Old Style"/>
        </w:rPr>
        <w:t>Empresa Municipal de Energía Eléctrica</w:t>
      </w:r>
      <w:r w:rsidR="008531E3" w:rsidRPr="008531E3">
        <w:rPr>
          <w:rFonts w:ascii="Bookman Old Style" w:hAnsi="Bookman Old Style" w:cs="Arial"/>
        </w:rPr>
        <w:t xml:space="preserve"> S.A. E.S.P.</w:t>
      </w:r>
      <w:r w:rsidRPr="000058F4">
        <w:rPr>
          <w:rFonts w:ascii="Bookman Old Style" w:hAnsi="Bookman Old Style"/>
        </w:rPr>
        <w:t>;</w:t>
      </w:r>
    </w:p>
    <w:p w:rsidR="00723E40" w:rsidRPr="000058F4" w:rsidRDefault="00723E40" w:rsidP="00E433F6">
      <w:pPr>
        <w:ind w:left="0"/>
        <w:jc w:val="both"/>
        <w:rPr>
          <w:rFonts w:ascii="Bookman Old Style" w:hAnsi="Bookman Old Style"/>
        </w:rPr>
      </w:pPr>
    </w:p>
    <w:p w:rsidR="00723E40" w:rsidRPr="00D34DBB" w:rsidRDefault="00723E40" w:rsidP="00723E40">
      <w:pPr>
        <w:ind w:left="0"/>
        <w:jc w:val="both"/>
        <w:rPr>
          <w:rFonts w:ascii="Bookman Old Style" w:hAnsi="Bookman Old Style"/>
        </w:rPr>
      </w:pPr>
      <w:r>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w:t>
      </w:r>
      <w:r w:rsidR="00B23461">
        <w:rPr>
          <w:rFonts w:ascii="Bookman Old Style" w:hAnsi="Bookman Old Style"/>
        </w:rPr>
        <w:t>tencia en los mercados y</w:t>
      </w:r>
      <w:r>
        <w:rPr>
          <w:rFonts w:ascii="Bookman Old Style" w:hAnsi="Bookman Old Style"/>
        </w:rPr>
        <w:t xml:space="preserve"> no</w:t>
      </w:r>
      <w:r w:rsidR="00B23461">
        <w:rPr>
          <w:rFonts w:ascii="Bookman Old Style" w:hAnsi="Bookman Old Style"/>
        </w:rPr>
        <w:t xml:space="preserve"> se</w:t>
      </w:r>
      <w:r>
        <w:rPr>
          <w:rFonts w:ascii="Bookman Old Style" w:hAnsi="Bookman Old Style"/>
        </w:rPr>
        <w:t xml:space="preserve"> requiere informar a la Superinte</w:t>
      </w:r>
      <w:r w:rsidR="00C8065C">
        <w:rPr>
          <w:rFonts w:ascii="Bookman Old Style" w:hAnsi="Bookman Old Style"/>
        </w:rPr>
        <w:t>ndencia de Industria y Comercio</w:t>
      </w:r>
      <w:r>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143629">
        <w:rPr>
          <w:rFonts w:ascii="Bookman Old Style" w:hAnsi="Bookman Old Style"/>
        </w:rPr>
        <w:t>4</w:t>
      </w:r>
      <w:r w:rsidR="00735126">
        <w:rPr>
          <w:rFonts w:ascii="Bookman Old Style" w:hAnsi="Bookman Old Style"/>
        </w:rPr>
        <w:t>83</w:t>
      </w:r>
      <w:r w:rsidR="00FC4E3D">
        <w:rPr>
          <w:rFonts w:ascii="Bookman Old Style" w:hAnsi="Bookman Old Style"/>
        </w:rPr>
        <w:t xml:space="preserve"> </w:t>
      </w:r>
      <w:r w:rsidRPr="000058F4">
        <w:rPr>
          <w:rFonts w:ascii="Bookman Old Style" w:hAnsi="Bookman Old Style"/>
        </w:rPr>
        <w:t xml:space="preserve">del </w:t>
      </w:r>
      <w:r w:rsidR="00735126">
        <w:rPr>
          <w:rFonts w:ascii="Bookman Old Style" w:hAnsi="Bookman Old Style"/>
        </w:rPr>
        <w:t>7</w:t>
      </w:r>
      <w:r w:rsidRPr="000058F4">
        <w:rPr>
          <w:rFonts w:ascii="Bookman Old Style" w:hAnsi="Bookman Old Style"/>
        </w:rPr>
        <w:t xml:space="preserve"> de </w:t>
      </w:r>
      <w:r w:rsidR="00735126">
        <w:rPr>
          <w:rFonts w:ascii="Bookman Old Style" w:hAnsi="Bookman Old Style"/>
        </w:rPr>
        <w:t>abril</w:t>
      </w:r>
      <w:r w:rsidR="00FC4E3D">
        <w:rPr>
          <w:rFonts w:ascii="Bookman Old Style" w:hAnsi="Bookman Old Style"/>
        </w:rPr>
        <w:t xml:space="preserve"> </w:t>
      </w:r>
      <w:r w:rsidRPr="000058F4">
        <w:rPr>
          <w:rFonts w:ascii="Bookman Old Style" w:hAnsi="Bookman Old Style"/>
        </w:rPr>
        <w:t>de 201</w:t>
      </w:r>
      <w:r w:rsidR="00FC4E3D">
        <w:rPr>
          <w:rFonts w:ascii="Bookman Old Style" w:hAnsi="Bookman Old Style"/>
        </w:rPr>
        <w:t>1</w:t>
      </w:r>
      <w:r w:rsidRPr="000058F4">
        <w:rPr>
          <w:rFonts w:ascii="Bookman Old Style" w:hAnsi="Bookman Old Style"/>
        </w:rPr>
        <w:t xml:space="preserve">, aprobó los Índices de Referencia de la Discontinuidad para el SDL operado por </w:t>
      </w:r>
      <w:r w:rsidR="00670BC4" w:rsidRPr="000058F4">
        <w:rPr>
          <w:rFonts w:ascii="Bookman Old Style" w:hAnsi="Bookman Old Style"/>
        </w:rPr>
        <w:t>la</w:t>
      </w:r>
      <w:r w:rsidR="00FC4E3D">
        <w:rPr>
          <w:rFonts w:ascii="Bookman Old Style" w:hAnsi="Bookman Old Style"/>
        </w:rPr>
        <w:t xml:space="preserve"> </w:t>
      </w:r>
      <w:r w:rsidR="008531E3" w:rsidRPr="008531E3">
        <w:rPr>
          <w:rFonts w:ascii="Bookman Old Style" w:hAnsi="Bookman Old Style"/>
        </w:rPr>
        <w:t>Empresa Municipal de Energía Eléctrica</w:t>
      </w:r>
      <w:r w:rsidR="008531E3" w:rsidRPr="008531E3">
        <w:rPr>
          <w:rFonts w:ascii="Bookman Old Style" w:hAnsi="Bookman Old Style" w:cs="Arial"/>
        </w:rPr>
        <w:t xml:space="preserve">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0E6937" w:rsidRPr="000058F4" w:rsidRDefault="000E6937" w:rsidP="00E433F6">
      <w:pPr>
        <w:ind w:left="0"/>
        <w:jc w:val="both"/>
        <w:rPr>
          <w:rFonts w:ascii="Bookman Old Style" w:hAnsi="Bookman Old Style"/>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0E6937" w:rsidRPr="000058F4" w:rsidRDefault="000E6937" w:rsidP="00E433F6">
      <w:pPr>
        <w:jc w:val="center"/>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IRAD</w:t>
      </w:r>
      <w:r w:rsidRPr="000058F4">
        <w:rPr>
          <w:rFonts w:ascii="Bookman Old Style" w:hAnsi="Bookman Old Style"/>
          <w:b/>
          <w:vertAlign w:val="subscript"/>
        </w:rPr>
        <w:t>n,p</w:t>
      </w:r>
      <w:r w:rsidRPr="000058F4">
        <w:rPr>
          <w:rFonts w:ascii="Bookman Old Style" w:hAnsi="Bookman Old Style"/>
        </w:rPr>
        <w:t>. El Índice de Referencia Agrupado de la Discontinuidad. IRAD</w:t>
      </w:r>
      <w:r w:rsidRPr="000058F4">
        <w:rPr>
          <w:rFonts w:ascii="Bookman Old Style" w:hAnsi="Bookman Old Style"/>
          <w:vertAlign w:val="subscript"/>
        </w:rPr>
        <w:t>n,p</w:t>
      </w:r>
      <w:r w:rsidRPr="000058F4">
        <w:rPr>
          <w:rFonts w:ascii="Bookman Old Style" w:hAnsi="Bookman Old Style"/>
        </w:rPr>
        <w:t xml:space="preserve">, para el SDL operado por </w:t>
      </w:r>
      <w:r w:rsidR="00670BC4" w:rsidRPr="000058F4">
        <w:rPr>
          <w:rFonts w:ascii="Bookman Old Style" w:hAnsi="Bookman Old Style"/>
        </w:rPr>
        <w:t>la</w:t>
      </w:r>
      <w:r w:rsidR="008F4F9A">
        <w:rPr>
          <w:rFonts w:ascii="Bookman Old Style" w:hAnsi="Bookman Old Style"/>
        </w:rPr>
        <w:t xml:space="preserve"> </w:t>
      </w:r>
      <w:r w:rsidR="008F4F9A" w:rsidRPr="008F4F9A">
        <w:rPr>
          <w:rFonts w:ascii="Bookman Old Style" w:hAnsi="Bookman Old Style"/>
        </w:rPr>
        <w:t>Empresa Municipal de Energía Eléctrica</w:t>
      </w:r>
      <w:r w:rsidR="008F4F9A" w:rsidRPr="008F4F9A">
        <w:rPr>
          <w:rFonts w:ascii="Bookman Old Style" w:hAnsi="Bookman Old Style" w:cs="Arial"/>
        </w:rPr>
        <w:t xml:space="preserve"> S.A. E.S.P.</w:t>
      </w:r>
      <w:r w:rsidRPr="000058F4">
        <w:rPr>
          <w:rFonts w:ascii="Bookman Old Style" w:hAnsi="Bookman Old Style"/>
        </w:rPr>
        <w:t xml:space="preserve"> es el siguiente:</w:t>
      </w:r>
    </w:p>
    <w:p w:rsidR="000E6937" w:rsidRDefault="000E6937" w:rsidP="000E6937">
      <w:pPr>
        <w:widowControl w:val="0"/>
        <w:adjustRightInd w:val="0"/>
        <w:ind w:left="1361"/>
        <w:jc w:val="both"/>
        <w:textAlignment w:val="baseline"/>
        <w:rPr>
          <w:rFonts w:ascii="Bookman Old Style" w:hAnsi="Bookman Old Style"/>
        </w:rPr>
      </w:pPr>
    </w:p>
    <w:p w:rsidR="00735126" w:rsidRPr="000058F4" w:rsidRDefault="00735126" w:rsidP="000E6937">
      <w:pPr>
        <w:widowControl w:val="0"/>
        <w:adjustRightInd w:val="0"/>
        <w:ind w:left="1361"/>
        <w:jc w:val="both"/>
        <w:textAlignment w:val="baseline"/>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C0577A" w:rsidP="004A1EC8">
      <w:pPr>
        <w:keepNext/>
        <w:ind w:left="0"/>
        <w:jc w:val="center"/>
        <w:rPr>
          <w:rFonts w:ascii="Bookman Old Style" w:hAnsi="Bookman Old Style"/>
        </w:rPr>
      </w:pPr>
      <w:r w:rsidRPr="00C0577A">
        <w:rPr>
          <w:noProof/>
          <w:lang w:val="es-CO" w:eastAsia="es-CO"/>
        </w:rPr>
        <w:drawing>
          <wp:inline distT="0" distB="0" distL="0" distR="0">
            <wp:extent cx="2247900" cy="962025"/>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4790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fldSimple w:instr=" SEQ Tabla \* ARABIC ">
        <w:r w:rsidR="00C50228">
          <w:rPr>
            <w:noProof/>
          </w:rPr>
          <w:t>1</w:t>
        </w:r>
      </w:fldSimple>
      <w:r w:rsidRPr="000058F4">
        <w:t xml:space="preserve">. </w:t>
      </w:r>
      <w:r w:rsidRPr="000058F4">
        <w:rPr>
          <w:b w:val="0"/>
        </w:rPr>
        <w:t>IRAD por trimestre para el nivel de tensión 1.</w:t>
      </w:r>
    </w:p>
    <w:p w:rsidR="00E433F6" w:rsidRDefault="00E433F6" w:rsidP="00E433F6"/>
    <w:p w:rsidR="00735126" w:rsidRPr="000058F4" w:rsidRDefault="00735126" w:rsidP="00E433F6"/>
    <w:p w:rsidR="00E433F6" w:rsidRPr="000058F4" w:rsidRDefault="00C0577A" w:rsidP="004A1EC8">
      <w:pPr>
        <w:pStyle w:val="Epgrafe"/>
        <w:keepNext/>
        <w:widowControl/>
        <w:adjustRightInd/>
        <w:spacing w:before="0" w:after="0" w:line="240" w:lineRule="auto"/>
        <w:textAlignment w:val="auto"/>
      </w:pPr>
      <w:r w:rsidRPr="00C0577A">
        <w:rPr>
          <w:noProof/>
          <w:lang w:val="es-CO" w:eastAsia="es-CO"/>
        </w:rPr>
        <w:drawing>
          <wp:inline distT="0" distB="0" distL="0" distR="0">
            <wp:extent cx="2305050" cy="962025"/>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0505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fldSimple w:instr=" SEQ Tabla \* ARABIC ">
        <w:r w:rsidR="00C50228">
          <w:rPr>
            <w:noProof/>
          </w:rPr>
          <w:t>2</w:t>
        </w:r>
      </w:fldSimple>
      <w:r w:rsidRPr="000058F4">
        <w:t xml:space="preserve">. </w:t>
      </w:r>
      <w:r w:rsidRPr="000058F4">
        <w:rPr>
          <w:b w:val="0"/>
        </w:rPr>
        <w:t>IRAD por trimestre para el nivel de tensión 2 y 3 agregado.</w:t>
      </w:r>
    </w:p>
    <w:p w:rsidR="000E6937" w:rsidRDefault="000E6937" w:rsidP="00E433F6">
      <w:pPr>
        <w:ind w:left="0"/>
        <w:rPr>
          <w:rFonts w:ascii="Bookman Old Style" w:hAnsi="Bookman Old Style"/>
        </w:rPr>
      </w:pPr>
    </w:p>
    <w:p w:rsidR="00735126" w:rsidRPr="000058F4" w:rsidRDefault="00735126"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para el año k, IRADK</w:t>
      </w:r>
      <w:r w:rsidRPr="000058F4">
        <w:rPr>
          <w:rFonts w:ascii="Bookman Old Style" w:hAnsi="Bookman Old Style"/>
          <w:b/>
          <w:vertAlign w:val="subscript"/>
        </w:rPr>
        <w:t>n,p,k</w:t>
      </w:r>
      <w:r w:rsidRPr="000058F4">
        <w:rPr>
          <w:rFonts w:ascii="Bookman Old Style" w:hAnsi="Bookman Old Style"/>
        </w:rPr>
        <w:t>. El Índice de Referencia Agrupado de la Discontinuidad para el año k, IRADK</w:t>
      </w:r>
      <w:r w:rsidRPr="000058F4">
        <w:rPr>
          <w:rFonts w:ascii="Bookman Old Style" w:hAnsi="Bookman Old Style"/>
          <w:vertAlign w:val="subscript"/>
        </w:rPr>
        <w:t>n,p,k</w:t>
      </w:r>
      <w:r w:rsidRPr="000058F4">
        <w:rPr>
          <w:rFonts w:ascii="Bookman Old Style" w:hAnsi="Bookman Old Style"/>
        </w:rPr>
        <w:t xml:space="preserve"> del SDL operado por </w:t>
      </w:r>
      <w:r w:rsidR="00670BC4" w:rsidRPr="000058F4">
        <w:rPr>
          <w:rFonts w:ascii="Bookman Old Style" w:hAnsi="Bookman Old Style"/>
        </w:rPr>
        <w:t>la</w:t>
      </w:r>
      <w:r w:rsidR="008F4F9A">
        <w:rPr>
          <w:rFonts w:ascii="Bookman Old Style" w:hAnsi="Bookman Old Style"/>
        </w:rPr>
        <w:t xml:space="preserve"> </w:t>
      </w:r>
      <w:r w:rsidR="008F4F9A" w:rsidRPr="008F4F9A">
        <w:rPr>
          <w:rFonts w:ascii="Bookman Old Style" w:hAnsi="Bookman Old Style"/>
        </w:rPr>
        <w:t>Empresa Municipal de Energía Eléctrica</w:t>
      </w:r>
      <w:r w:rsidR="008F4F9A" w:rsidRPr="008F4F9A">
        <w:rPr>
          <w:rFonts w:ascii="Bookman Old Style" w:hAnsi="Bookman Old Style" w:cs="Arial"/>
        </w:rPr>
        <w:t xml:space="preserve"> S.A. E.S.P.</w:t>
      </w:r>
      <w:r w:rsidR="00FC4E3D">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C0577A" w:rsidP="004A1EC8">
      <w:pPr>
        <w:keepNext/>
        <w:widowControl w:val="0"/>
        <w:adjustRightInd w:val="0"/>
        <w:ind w:left="0"/>
        <w:jc w:val="center"/>
        <w:textAlignment w:val="baseline"/>
        <w:rPr>
          <w:rFonts w:ascii="Bookman Old Style" w:hAnsi="Bookman Old Style"/>
        </w:rPr>
      </w:pPr>
      <w:r w:rsidRPr="00C0577A">
        <w:rPr>
          <w:noProof/>
          <w:lang w:val="es-CO" w:eastAsia="es-CO"/>
        </w:rPr>
        <w:lastRenderedPageBreak/>
        <w:drawing>
          <wp:inline distT="0" distB="0" distL="0" distR="0">
            <wp:extent cx="3162300" cy="1724025"/>
            <wp:effectExtent l="1905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16230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fldSimple w:instr=" SEQ Tabla \* ARABIC ">
        <w:r w:rsidR="00C50228">
          <w:rPr>
            <w:noProof/>
          </w:rPr>
          <w:t>3</w:t>
        </w:r>
      </w:fldSimple>
      <w:r w:rsidRPr="000058F4">
        <w:t xml:space="preserve">. </w:t>
      </w:r>
      <w:r w:rsidRPr="000058F4">
        <w:rPr>
          <w:b w:val="0"/>
        </w:rPr>
        <w:t>IRADK</w:t>
      </w:r>
      <w:r w:rsidRPr="000058F4">
        <w:t xml:space="preserve"> </w:t>
      </w:r>
      <w:r w:rsidRPr="000058F4">
        <w:rPr>
          <w:b w:val="0"/>
        </w:rPr>
        <w:t>para el nivel de tensión 1.</w:t>
      </w:r>
    </w:p>
    <w:p w:rsidR="00E433F6" w:rsidRPr="000058F4" w:rsidRDefault="00E433F6" w:rsidP="00E433F6"/>
    <w:p w:rsidR="00E433F6" w:rsidRPr="000058F4" w:rsidRDefault="00C0577A" w:rsidP="004A1EC8">
      <w:pPr>
        <w:keepNext/>
        <w:ind w:left="0"/>
        <w:jc w:val="center"/>
      </w:pPr>
      <w:r w:rsidRPr="00C0577A">
        <w:rPr>
          <w:noProof/>
          <w:lang w:val="es-CO" w:eastAsia="es-CO"/>
        </w:rPr>
        <w:drawing>
          <wp:inline distT="0" distB="0" distL="0" distR="0">
            <wp:extent cx="3219450" cy="1724025"/>
            <wp:effectExtent l="1905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21945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fldSimple w:instr=" SEQ Tabla \* ARABIC ">
        <w:r w:rsidR="00C50228">
          <w:rPr>
            <w:noProof/>
          </w:rPr>
          <w:t>4</w:t>
        </w:r>
      </w:fldSimple>
      <w:r w:rsidRPr="000058F4">
        <w:t xml:space="preserve">. </w:t>
      </w:r>
      <w:r w:rsidRPr="000058F4">
        <w:rPr>
          <w:b w:val="0"/>
        </w:rPr>
        <w:t>IRADK</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Promedio de los Índices de Referencia de la Discontinuidad por Grupo de Calidad IRGP</w:t>
      </w:r>
      <w:r w:rsidRPr="000058F4">
        <w:rPr>
          <w:rFonts w:ascii="Bookman Old Style" w:hAnsi="Bookman Old Style"/>
          <w:b/>
          <w:vertAlign w:val="subscript"/>
        </w:rPr>
        <w:t>n,q,p</w:t>
      </w:r>
      <w:r w:rsidRPr="000058F4">
        <w:rPr>
          <w:rFonts w:ascii="Bookman Old Style" w:hAnsi="Bookman Old Style"/>
          <w:b/>
        </w:rPr>
        <w:t>.</w:t>
      </w:r>
      <w:r w:rsidRPr="000058F4">
        <w:rPr>
          <w:rFonts w:ascii="Bookman Old Style" w:hAnsi="Bookman Old Style"/>
        </w:rPr>
        <w:t xml:space="preserve"> El Promedio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del SDL operado por </w:t>
      </w:r>
      <w:r w:rsidR="00670BC4" w:rsidRPr="000058F4">
        <w:rPr>
          <w:rFonts w:ascii="Bookman Old Style" w:hAnsi="Bookman Old Style"/>
        </w:rPr>
        <w:t>la</w:t>
      </w:r>
      <w:r w:rsidR="00FC4E3D">
        <w:rPr>
          <w:rFonts w:ascii="Bookman Old Style" w:hAnsi="Bookman Old Style"/>
        </w:rPr>
        <w:t xml:space="preserve"> </w:t>
      </w:r>
      <w:r w:rsidR="008F4F9A" w:rsidRPr="008F4F9A">
        <w:rPr>
          <w:rFonts w:ascii="Bookman Old Style" w:hAnsi="Bookman Old Style"/>
        </w:rPr>
        <w:t>Empresa Municipal de Energía Eléctrica</w:t>
      </w:r>
      <w:r w:rsidR="008F4F9A" w:rsidRPr="008F4F9A">
        <w:rPr>
          <w:rFonts w:ascii="Bookman Old Style" w:hAnsi="Bookman Old Style" w:cs="Arial"/>
        </w:rPr>
        <w:t xml:space="preserve"> S.A. E.S.P.</w:t>
      </w:r>
      <w:r w:rsidR="008F4F9A">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C0577A" w:rsidP="00EC6D45">
      <w:pPr>
        <w:keepNext/>
        <w:widowControl w:val="0"/>
        <w:adjustRightInd w:val="0"/>
        <w:ind w:left="0"/>
        <w:jc w:val="center"/>
        <w:textAlignment w:val="baseline"/>
        <w:rPr>
          <w:rFonts w:ascii="Bookman Old Style" w:hAnsi="Bookman Old Style"/>
        </w:rPr>
      </w:pPr>
      <w:r w:rsidRPr="00C0577A">
        <w:rPr>
          <w:noProof/>
          <w:lang w:val="es-CO" w:eastAsia="es-CO"/>
        </w:rPr>
        <w:drawing>
          <wp:inline distT="0" distB="0" distL="0" distR="0">
            <wp:extent cx="3162300" cy="3248025"/>
            <wp:effectExtent l="1905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16230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fldSimple w:instr=" SEQ Tabla \* ARABIC ">
        <w:r w:rsidR="00C50228">
          <w:rPr>
            <w:noProof/>
          </w:rPr>
          <w:t>5</w:t>
        </w:r>
      </w:fldSimple>
      <w:r w:rsidRPr="000058F4">
        <w:t xml:space="preserve">. </w:t>
      </w:r>
      <w:r w:rsidRPr="000058F4">
        <w:rPr>
          <w:b w:val="0"/>
        </w:rPr>
        <w:t>IRGP</w:t>
      </w:r>
      <w:r w:rsidRPr="000058F4">
        <w:t xml:space="preserve"> </w:t>
      </w:r>
      <w:r w:rsidRPr="000058F4">
        <w:rPr>
          <w:b w:val="0"/>
        </w:rPr>
        <w:t>para el nivel de tensión 1.</w:t>
      </w:r>
    </w:p>
    <w:p w:rsidR="00E433F6" w:rsidRPr="000058F4" w:rsidRDefault="00E433F6" w:rsidP="00E433F6">
      <w:pPr>
        <w:ind w:left="0"/>
      </w:pPr>
    </w:p>
    <w:p w:rsidR="00E433F6" w:rsidRPr="000058F4" w:rsidRDefault="00C0577A" w:rsidP="004A1EC8">
      <w:pPr>
        <w:keepNext/>
        <w:ind w:left="0"/>
        <w:jc w:val="center"/>
        <w:rPr>
          <w:rFonts w:ascii="Bookman Old Style" w:hAnsi="Bookman Old Style"/>
        </w:rPr>
      </w:pPr>
      <w:r w:rsidRPr="00C0577A">
        <w:rPr>
          <w:noProof/>
          <w:lang w:val="es-CO" w:eastAsia="es-CO"/>
        </w:rPr>
        <w:lastRenderedPageBreak/>
        <w:drawing>
          <wp:inline distT="0" distB="0" distL="0" distR="0">
            <wp:extent cx="3219450" cy="3248025"/>
            <wp:effectExtent l="1905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21945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fldSimple w:instr=" SEQ Tabla \* ARABIC ">
        <w:r w:rsidR="00C50228">
          <w:rPr>
            <w:noProof/>
          </w:rPr>
          <w:t>6</w:t>
        </w:r>
      </w:fldSimple>
      <w:r w:rsidRPr="000058F4">
        <w:t xml:space="preserve">. </w:t>
      </w:r>
      <w:r w:rsidRPr="000058F4">
        <w:rPr>
          <w:b w:val="0"/>
        </w:rPr>
        <w:t>IRGP</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b/>
        </w:rPr>
      </w:pPr>
    </w:p>
    <w:p w:rsidR="00E433F6" w:rsidRPr="000058F4" w:rsidRDefault="00E433F6" w:rsidP="00E433F6">
      <w:pPr>
        <w:widowControl w:val="0"/>
        <w:numPr>
          <w:ilvl w:val="0"/>
          <w:numId w:val="16"/>
        </w:numPr>
        <w:adjustRightInd w:val="0"/>
        <w:jc w:val="both"/>
        <w:textAlignment w:val="baseline"/>
        <w:rPr>
          <w:rFonts w:ascii="Bookman Old Style" w:hAnsi="Bookman Old Style"/>
          <w:b/>
        </w:rPr>
      </w:pPr>
      <w:r w:rsidRPr="000058F4">
        <w:rPr>
          <w:rFonts w:ascii="Bookman Old Style" w:hAnsi="Bookman Old Style"/>
          <w:b/>
          <w:bCs/>
        </w:rPr>
        <w:t>Vigencia.</w:t>
      </w:r>
      <w:r w:rsidRPr="000058F4">
        <w:rPr>
          <w:rFonts w:ascii="Bookman Old Style" w:hAnsi="Bookman Old Style"/>
        </w:rPr>
        <w:t xml:space="preserve"> Los valores aprobados en esta Resolución estarán vigentes desde la fecha en que quede en firme.</w:t>
      </w:r>
    </w:p>
    <w:p w:rsidR="00E433F6" w:rsidRPr="000058F4" w:rsidRDefault="00E433F6" w:rsidP="00E433F6">
      <w:pPr>
        <w:ind w:left="-142"/>
        <w:rPr>
          <w:rFonts w:ascii="Bookman Old Style" w:hAnsi="Bookman Old Style"/>
          <w:b/>
          <w:sz w:val="32"/>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bCs/>
        </w:rPr>
        <w:t xml:space="preserve">Recursos. </w:t>
      </w:r>
      <w:r w:rsidRPr="000058F4">
        <w:rPr>
          <w:rFonts w:ascii="Bookman Old Style" w:hAnsi="Bookman Old Style"/>
        </w:rPr>
        <w:t xml:space="preserve">La presente Resolución deberá notificarse a </w:t>
      </w:r>
      <w:r w:rsidR="00670BC4" w:rsidRPr="000058F4">
        <w:rPr>
          <w:rFonts w:ascii="Bookman Old Style" w:hAnsi="Bookman Old Style"/>
        </w:rPr>
        <w:t>la</w:t>
      </w:r>
      <w:r w:rsidR="008F4F9A">
        <w:rPr>
          <w:rFonts w:ascii="Bookman Old Style" w:hAnsi="Bookman Old Style"/>
        </w:rPr>
        <w:t xml:space="preserve"> </w:t>
      </w:r>
      <w:r w:rsidR="008F4F9A" w:rsidRPr="008F4F9A">
        <w:rPr>
          <w:rFonts w:ascii="Bookman Old Style" w:hAnsi="Bookman Old Style"/>
        </w:rPr>
        <w:t>Empresa Municipal de Energía Eléctrica</w:t>
      </w:r>
      <w:r w:rsidR="008F4F9A" w:rsidRPr="008F4F9A">
        <w:rPr>
          <w:rFonts w:ascii="Bookman Old Style" w:hAnsi="Bookman Old Style" w:cs="Arial"/>
        </w:rPr>
        <w:t xml:space="preserve"> S.A. E.S.P.</w:t>
      </w:r>
      <w:r w:rsidR="00FC4E3D">
        <w:rPr>
          <w:rFonts w:ascii="Bookman Old Style" w:hAnsi="Bookman Old Style"/>
        </w:rPr>
        <w:t xml:space="preserve"> </w:t>
      </w:r>
      <w:r w:rsidR="001C7022">
        <w:rPr>
          <w:rFonts w:ascii="Bookman Old Style" w:hAnsi="Bookman Old Style" w:cs="Arial"/>
        </w:rPr>
        <w:t xml:space="preserve">y publicarse en el </w:t>
      </w:r>
      <w:r w:rsidR="00B07506" w:rsidRPr="00B07506">
        <w:rPr>
          <w:rFonts w:ascii="Bookman Old Style" w:hAnsi="Bookman Old Style" w:cs="Arial"/>
          <w:i/>
        </w:rPr>
        <w:t>D</w:t>
      </w:r>
      <w:r w:rsidR="001C7022" w:rsidRPr="00B07506">
        <w:rPr>
          <w:rFonts w:ascii="Bookman Old Style" w:hAnsi="Bookman Old Style" w:cs="Arial"/>
          <w:i/>
        </w:rPr>
        <w:t xml:space="preserve">iario </w:t>
      </w:r>
      <w:r w:rsidR="00B07506" w:rsidRPr="00B07506">
        <w:rPr>
          <w:rFonts w:ascii="Bookman Old Style" w:hAnsi="Bookman Old Style" w:cs="Arial"/>
          <w:i/>
        </w:rPr>
        <w:t>O</w:t>
      </w:r>
      <w:r w:rsidR="001C7022" w:rsidRPr="00B07506">
        <w:rPr>
          <w:rFonts w:ascii="Bookman Old Style" w:hAnsi="Bookman Old Style" w:cs="Arial"/>
          <w:i/>
        </w:rPr>
        <w:t>ficial</w:t>
      </w:r>
      <w:r w:rsidR="001C7022">
        <w:rPr>
          <w:rFonts w:ascii="Bookman Old Style" w:hAnsi="Bookman Old Style" w:cs="Arial"/>
        </w:rPr>
        <w:t>.</w:t>
      </w:r>
      <w:r w:rsidR="000658B0">
        <w:rPr>
          <w:rFonts w:ascii="Bookman Old Style" w:hAnsi="Bookman Old Style" w:cs="Arial"/>
        </w:rPr>
        <w:t xml:space="preserve"> </w:t>
      </w:r>
      <w:r w:rsidRPr="000058F4">
        <w:rPr>
          <w:rFonts w:ascii="Bookman Old Style" w:hAnsi="Bookman Old Style"/>
        </w:rPr>
        <w:t>Contra lo dispuesto en este acto procede el recurso de reposición, el cual se podrá interponer ante la Dirección Ejecutiva de la CREG dentro de los cinco (5) días hábiles siguientes a la fecha de su notificación.</w:t>
      </w: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C2" w:rsidRDefault="00EC16C2">
      <w:r>
        <w:separator/>
      </w:r>
    </w:p>
  </w:endnote>
  <w:endnote w:type="continuationSeparator" w:id="0">
    <w:p w:rsidR="00EC16C2" w:rsidRDefault="00EC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C2" w:rsidRDefault="00EC16C2">
      <w:r>
        <w:separator/>
      </w:r>
    </w:p>
  </w:footnote>
  <w:footnote w:type="continuationSeparator" w:id="0">
    <w:p w:rsidR="00EC16C2" w:rsidRDefault="00EC1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7845E1"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7845E1" w:rsidRPr="00654384">
      <w:rPr>
        <w:rFonts w:ascii="Bookman Old Style" w:hAnsi="Bookman Old Style" w:cs="Arial"/>
        <w:b w:val="0"/>
        <w:sz w:val="22"/>
        <w:szCs w:val="22"/>
      </w:rPr>
      <w:fldChar w:fldCharType="separate"/>
    </w:r>
    <w:r w:rsidR="00EE674D">
      <w:rPr>
        <w:rFonts w:ascii="Bookman Old Style" w:hAnsi="Bookman Old Style" w:cs="Arial"/>
        <w:b w:val="0"/>
        <w:noProof/>
        <w:sz w:val="22"/>
        <w:szCs w:val="22"/>
      </w:rPr>
      <w:t>5</w:t>
    </w:r>
    <w:r w:rsidR="007845E1"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E674D" w:rsidRPr="00EE674D">
        <w:rPr>
          <w:rFonts w:ascii="Bookman Old Style" w:hAnsi="Bookman Old Style" w:cs="Arial"/>
          <w:b w:val="0"/>
          <w:noProof/>
          <w:sz w:val="22"/>
          <w:szCs w:val="22"/>
        </w:rPr>
        <w:t>5</w:t>
      </w:r>
    </w:fldSimple>
  </w:p>
  <w:p w:rsidR="00634693" w:rsidRDefault="00EE674D"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34693" w:rsidRPr="00CB5DD0" w:rsidRDefault="00DF375A" w:rsidP="00DF375A">
    <w:pPr>
      <w:pBdr>
        <w:bottom w:val="single" w:sz="4" w:space="1" w:color="auto"/>
      </w:pBdr>
      <w:ind w:left="142" w:right="148"/>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sidR="00A17E0C">
      <w:rPr>
        <w:rFonts w:ascii="Bookman Old Style" w:hAnsi="Bookman Old Style" w:cs="Arial"/>
        <w:spacing w:val="-3"/>
        <w:sz w:val="22"/>
        <w:szCs w:val="22"/>
        <w:lang w:val="es-ES_tradnl"/>
      </w:rPr>
      <w:t>la</w:t>
    </w:r>
    <w:r w:rsidR="00100F33">
      <w:rPr>
        <w:rFonts w:ascii="Bookman Old Style" w:hAnsi="Bookman Old Style" w:cs="Arial"/>
        <w:spacing w:val="-3"/>
        <w:sz w:val="22"/>
        <w:szCs w:val="22"/>
        <w:lang w:val="es-ES_tradnl"/>
      </w:rPr>
      <w:t xml:space="preserve"> </w:t>
    </w:r>
    <w:r w:rsidR="008531E3" w:rsidRPr="008531E3">
      <w:rPr>
        <w:rFonts w:ascii="Bookman Old Style" w:hAnsi="Bookman Old Style" w:cs="Arial"/>
        <w:spacing w:val="-3"/>
        <w:sz w:val="22"/>
        <w:lang w:val="es-ES_tradnl"/>
      </w:rPr>
      <w:t>Empresa Municipal de Energía Eléctrica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EE674D"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63657"/>
    <w:rsid w:val="000658B0"/>
    <w:rsid w:val="00076680"/>
    <w:rsid w:val="0007691B"/>
    <w:rsid w:val="0008073E"/>
    <w:rsid w:val="00081F53"/>
    <w:rsid w:val="00091CDB"/>
    <w:rsid w:val="000A19AC"/>
    <w:rsid w:val="000A5B9E"/>
    <w:rsid w:val="000B5996"/>
    <w:rsid w:val="000D26F8"/>
    <w:rsid w:val="000E6937"/>
    <w:rsid w:val="000F1EE3"/>
    <w:rsid w:val="00100F33"/>
    <w:rsid w:val="0010128A"/>
    <w:rsid w:val="00133081"/>
    <w:rsid w:val="001405C6"/>
    <w:rsid w:val="00141013"/>
    <w:rsid w:val="00143629"/>
    <w:rsid w:val="001710FF"/>
    <w:rsid w:val="001715E0"/>
    <w:rsid w:val="00192CBF"/>
    <w:rsid w:val="00192FF1"/>
    <w:rsid w:val="001A5F1B"/>
    <w:rsid w:val="001A7196"/>
    <w:rsid w:val="001B1C22"/>
    <w:rsid w:val="001B34C6"/>
    <w:rsid w:val="001C098B"/>
    <w:rsid w:val="001C5E02"/>
    <w:rsid w:val="001C7022"/>
    <w:rsid w:val="001D7832"/>
    <w:rsid w:val="00211D34"/>
    <w:rsid w:val="00214F04"/>
    <w:rsid w:val="002520A5"/>
    <w:rsid w:val="00266CD6"/>
    <w:rsid w:val="0028277C"/>
    <w:rsid w:val="002B11E2"/>
    <w:rsid w:val="002B24B8"/>
    <w:rsid w:val="002C78A3"/>
    <w:rsid w:val="002D3AE9"/>
    <w:rsid w:val="002D7BCF"/>
    <w:rsid w:val="002E27FA"/>
    <w:rsid w:val="002F0734"/>
    <w:rsid w:val="002F46E7"/>
    <w:rsid w:val="00304B6E"/>
    <w:rsid w:val="003101DA"/>
    <w:rsid w:val="00314757"/>
    <w:rsid w:val="003211CE"/>
    <w:rsid w:val="003428D1"/>
    <w:rsid w:val="0035403A"/>
    <w:rsid w:val="0035549C"/>
    <w:rsid w:val="0036394B"/>
    <w:rsid w:val="003709B5"/>
    <w:rsid w:val="00370BD1"/>
    <w:rsid w:val="003759C2"/>
    <w:rsid w:val="00397365"/>
    <w:rsid w:val="003A31F6"/>
    <w:rsid w:val="003B6B6E"/>
    <w:rsid w:val="003C3447"/>
    <w:rsid w:val="003D076C"/>
    <w:rsid w:val="003E5019"/>
    <w:rsid w:val="003E63C6"/>
    <w:rsid w:val="00415BAB"/>
    <w:rsid w:val="00415ED2"/>
    <w:rsid w:val="0042068C"/>
    <w:rsid w:val="0043189C"/>
    <w:rsid w:val="004408E5"/>
    <w:rsid w:val="0047122B"/>
    <w:rsid w:val="00473B7A"/>
    <w:rsid w:val="0048139F"/>
    <w:rsid w:val="00483942"/>
    <w:rsid w:val="00485F87"/>
    <w:rsid w:val="004932B1"/>
    <w:rsid w:val="004960E9"/>
    <w:rsid w:val="004A1EC8"/>
    <w:rsid w:val="004A2E88"/>
    <w:rsid w:val="004A5305"/>
    <w:rsid w:val="004B6CE9"/>
    <w:rsid w:val="004D1D3A"/>
    <w:rsid w:val="004D53CD"/>
    <w:rsid w:val="004D7634"/>
    <w:rsid w:val="00503E41"/>
    <w:rsid w:val="005300D3"/>
    <w:rsid w:val="00535285"/>
    <w:rsid w:val="00544F82"/>
    <w:rsid w:val="00571353"/>
    <w:rsid w:val="00585D3A"/>
    <w:rsid w:val="00593C4F"/>
    <w:rsid w:val="005946A8"/>
    <w:rsid w:val="005A4407"/>
    <w:rsid w:val="005A59EF"/>
    <w:rsid w:val="005A6994"/>
    <w:rsid w:val="005E04BC"/>
    <w:rsid w:val="00601E4A"/>
    <w:rsid w:val="0061647C"/>
    <w:rsid w:val="00625DC6"/>
    <w:rsid w:val="00627105"/>
    <w:rsid w:val="00634693"/>
    <w:rsid w:val="00635C1B"/>
    <w:rsid w:val="0064398F"/>
    <w:rsid w:val="00645CB6"/>
    <w:rsid w:val="00646F87"/>
    <w:rsid w:val="00651821"/>
    <w:rsid w:val="00654384"/>
    <w:rsid w:val="00666CE7"/>
    <w:rsid w:val="006675CD"/>
    <w:rsid w:val="00670BC4"/>
    <w:rsid w:val="00684D9B"/>
    <w:rsid w:val="0069382C"/>
    <w:rsid w:val="00697556"/>
    <w:rsid w:val="006B4C2B"/>
    <w:rsid w:val="006B6D47"/>
    <w:rsid w:val="006C0DD6"/>
    <w:rsid w:val="006F6D95"/>
    <w:rsid w:val="00706F13"/>
    <w:rsid w:val="007072E8"/>
    <w:rsid w:val="007104E9"/>
    <w:rsid w:val="0071618D"/>
    <w:rsid w:val="00723E40"/>
    <w:rsid w:val="00725FA4"/>
    <w:rsid w:val="00735126"/>
    <w:rsid w:val="00740446"/>
    <w:rsid w:val="007438A9"/>
    <w:rsid w:val="0074491E"/>
    <w:rsid w:val="0074794B"/>
    <w:rsid w:val="00755584"/>
    <w:rsid w:val="00761656"/>
    <w:rsid w:val="00775964"/>
    <w:rsid w:val="007845E1"/>
    <w:rsid w:val="00795BFB"/>
    <w:rsid w:val="00797BD0"/>
    <w:rsid w:val="007A1915"/>
    <w:rsid w:val="007B2760"/>
    <w:rsid w:val="007C5B9C"/>
    <w:rsid w:val="007D428F"/>
    <w:rsid w:val="007E453B"/>
    <w:rsid w:val="007E65B5"/>
    <w:rsid w:val="008012A9"/>
    <w:rsid w:val="00806C01"/>
    <w:rsid w:val="00811BEF"/>
    <w:rsid w:val="008148CC"/>
    <w:rsid w:val="00816EAA"/>
    <w:rsid w:val="008211A4"/>
    <w:rsid w:val="00821345"/>
    <w:rsid w:val="00845514"/>
    <w:rsid w:val="008531E3"/>
    <w:rsid w:val="00873150"/>
    <w:rsid w:val="0087657D"/>
    <w:rsid w:val="008775D5"/>
    <w:rsid w:val="008807D5"/>
    <w:rsid w:val="00880832"/>
    <w:rsid w:val="00886EE1"/>
    <w:rsid w:val="0088727D"/>
    <w:rsid w:val="00897C75"/>
    <w:rsid w:val="008C1130"/>
    <w:rsid w:val="008D18E6"/>
    <w:rsid w:val="008D7A9B"/>
    <w:rsid w:val="008E76AC"/>
    <w:rsid w:val="008E79B9"/>
    <w:rsid w:val="008F21F6"/>
    <w:rsid w:val="008F4F9A"/>
    <w:rsid w:val="0093246C"/>
    <w:rsid w:val="00951F79"/>
    <w:rsid w:val="00974AB5"/>
    <w:rsid w:val="00974C38"/>
    <w:rsid w:val="0098706D"/>
    <w:rsid w:val="00991DE5"/>
    <w:rsid w:val="009935FB"/>
    <w:rsid w:val="009C14F9"/>
    <w:rsid w:val="009C3EF0"/>
    <w:rsid w:val="009F4A54"/>
    <w:rsid w:val="009F4BEC"/>
    <w:rsid w:val="00A17C23"/>
    <w:rsid w:val="00A17E0C"/>
    <w:rsid w:val="00A25FD7"/>
    <w:rsid w:val="00A33C22"/>
    <w:rsid w:val="00A43AFF"/>
    <w:rsid w:val="00A621D6"/>
    <w:rsid w:val="00A64866"/>
    <w:rsid w:val="00A703A8"/>
    <w:rsid w:val="00A7793A"/>
    <w:rsid w:val="00A77D85"/>
    <w:rsid w:val="00A85B4B"/>
    <w:rsid w:val="00A95565"/>
    <w:rsid w:val="00AA0080"/>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6BCA"/>
    <w:rsid w:val="00B66DCE"/>
    <w:rsid w:val="00B72766"/>
    <w:rsid w:val="00B86F7B"/>
    <w:rsid w:val="00B87806"/>
    <w:rsid w:val="00B87EC9"/>
    <w:rsid w:val="00BB0715"/>
    <w:rsid w:val="00BC38FD"/>
    <w:rsid w:val="00BD7B34"/>
    <w:rsid w:val="00C034CB"/>
    <w:rsid w:val="00C04F7A"/>
    <w:rsid w:val="00C051A8"/>
    <w:rsid w:val="00C054BC"/>
    <w:rsid w:val="00C0577A"/>
    <w:rsid w:val="00C1014F"/>
    <w:rsid w:val="00C17897"/>
    <w:rsid w:val="00C22A01"/>
    <w:rsid w:val="00C34904"/>
    <w:rsid w:val="00C34EAF"/>
    <w:rsid w:val="00C409D5"/>
    <w:rsid w:val="00C466B5"/>
    <w:rsid w:val="00C50228"/>
    <w:rsid w:val="00C6234B"/>
    <w:rsid w:val="00C63EAE"/>
    <w:rsid w:val="00C746E7"/>
    <w:rsid w:val="00C7629F"/>
    <w:rsid w:val="00C8065C"/>
    <w:rsid w:val="00C8661B"/>
    <w:rsid w:val="00CA139A"/>
    <w:rsid w:val="00CA2899"/>
    <w:rsid w:val="00CA77FB"/>
    <w:rsid w:val="00CB379B"/>
    <w:rsid w:val="00CB5DD0"/>
    <w:rsid w:val="00CC51D4"/>
    <w:rsid w:val="00CC65DA"/>
    <w:rsid w:val="00CF21B9"/>
    <w:rsid w:val="00CF6BF9"/>
    <w:rsid w:val="00D03800"/>
    <w:rsid w:val="00D065D3"/>
    <w:rsid w:val="00D14C94"/>
    <w:rsid w:val="00D159D8"/>
    <w:rsid w:val="00D342A6"/>
    <w:rsid w:val="00D34DBB"/>
    <w:rsid w:val="00D464BF"/>
    <w:rsid w:val="00D53E26"/>
    <w:rsid w:val="00D5698E"/>
    <w:rsid w:val="00D670AA"/>
    <w:rsid w:val="00D7616D"/>
    <w:rsid w:val="00D84DFF"/>
    <w:rsid w:val="00D922E9"/>
    <w:rsid w:val="00DB451C"/>
    <w:rsid w:val="00DB51C7"/>
    <w:rsid w:val="00DD4F0E"/>
    <w:rsid w:val="00DD7C59"/>
    <w:rsid w:val="00DF0ACF"/>
    <w:rsid w:val="00DF375A"/>
    <w:rsid w:val="00E00AAF"/>
    <w:rsid w:val="00E05E0A"/>
    <w:rsid w:val="00E27B4D"/>
    <w:rsid w:val="00E37FB9"/>
    <w:rsid w:val="00E433F6"/>
    <w:rsid w:val="00E534CF"/>
    <w:rsid w:val="00E81CB4"/>
    <w:rsid w:val="00E8585B"/>
    <w:rsid w:val="00E93051"/>
    <w:rsid w:val="00E94997"/>
    <w:rsid w:val="00EA3F15"/>
    <w:rsid w:val="00EA40C9"/>
    <w:rsid w:val="00EA7847"/>
    <w:rsid w:val="00EC16C2"/>
    <w:rsid w:val="00EC6D45"/>
    <w:rsid w:val="00EE2E6E"/>
    <w:rsid w:val="00EE674D"/>
    <w:rsid w:val="00EF0538"/>
    <w:rsid w:val="00EF5C39"/>
    <w:rsid w:val="00F0759E"/>
    <w:rsid w:val="00F12BA5"/>
    <w:rsid w:val="00F43023"/>
    <w:rsid w:val="00F45935"/>
    <w:rsid w:val="00F821A3"/>
    <w:rsid w:val="00F86847"/>
    <w:rsid w:val="00F9314A"/>
    <w:rsid w:val="00FB29AB"/>
    <w:rsid w:val="00FC4E3D"/>
    <w:rsid w:val="00FC58EF"/>
    <w:rsid w:val="00FD33DF"/>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AC549-C4EA-4216-B7B0-4A4A6366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2011-04-07T19:21:00Z</cp:lastPrinted>
  <dcterms:created xsi:type="dcterms:W3CDTF">2011-04-26T16:43:00Z</dcterms:created>
  <dcterms:modified xsi:type="dcterms:W3CDTF">2011-04-26T16:43:00Z</dcterms:modified>
</cp:coreProperties>
</file>