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0058F4" w:rsidRDefault="00550070"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60288" fillcolor="#0c9">
            <v:imagedata r:id="rId9" o:title=""/>
          </v:shape>
          <o:OLEObject Type="Embed" ProgID="PBrush" ShapeID="_x0000_s1027" DrawAspect="Content" ObjectID="_1365323867" r:id="rId10"/>
        </w:pict>
      </w:r>
    </w:p>
    <w:p w:rsidR="00E433F6" w:rsidRPr="000058F4"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0058F4" w:rsidRDefault="00E433F6" w:rsidP="00E433F6">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E433F6" w:rsidRPr="000058F4" w:rsidRDefault="00E433F6" w:rsidP="00E433F6">
      <w:pPr>
        <w:pStyle w:val="Ttulo4"/>
        <w:tabs>
          <w:tab w:val="left" w:pos="0"/>
          <w:tab w:val="right" w:pos="9356"/>
        </w:tabs>
        <w:ind w:left="0"/>
        <w:rPr>
          <w:rFonts w:ascii="Bookman Old Style" w:hAnsi="Bookman Old Style"/>
          <w:b w:val="0"/>
          <w:bCs/>
          <w:sz w:val="24"/>
          <w:szCs w:val="24"/>
        </w:rPr>
      </w:pPr>
    </w:p>
    <w:p w:rsidR="00E433F6" w:rsidRPr="000058F4" w:rsidRDefault="00E433F6" w:rsidP="00E433F6">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sidR="002E0422">
        <w:rPr>
          <w:rFonts w:ascii="Bookman Old Style" w:hAnsi="Bookman Old Style"/>
          <w:sz w:val="24"/>
          <w:szCs w:val="24"/>
        </w:rPr>
        <w:t>1</w:t>
      </w:r>
    </w:p>
    <w:p w:rsidR="00E433F6" w:rsidRPr="000058F4"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0058F4" w:rsidRDefault="00E433F6" w:rsidP="00E433F6">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E433F6" w:rsidRPr="000058F4" w:rsidRDefault="00E433F6" w:rsidP="00E433F6">
      <w:pPr>
        <w:tabs>
          <w:tab w:val="left" w:pos="0"/>
          <w:tab w:val="right" w:pos="9356"/>
        </w:tabs>
        <w:ind w:left="0"/>
        <w:jc w:val="center"/>
        <w:rPr>
          <w:rFonts w:ascii="Bookman Old Style" w:hAnsi="Bookman Old Style"/>
          <w:lang w:val="es-ES_tradnl"/>
        </w:rPr>
      </w:pPr>
    </w:p>
    <w:p w:rsidR="00E433F6" w:rsidRDefault="00E433F6" w:rsidP="00E433F6">
      <w:pPr>
        <w:ind w:left="0"/>
        <w:rPr>
          <w:rFonts w:ascii="Bookman Old Style" w:hAnsi="Bookman Old Style"/>
          <w:bCs/>
          <w:lang w:val="es-CO"/>
        </w:rPr>
      </w:pPr>
    </w:p>
    <w:p w:rsidR="00AA5A4E" w:rsidRDefault="00AA5A4E" w:rsidP="00E433F6">
      <w:pPr>
        <w:ind w:left="0"/>
        <w:rPr>
          <w:rFonts w:ascii="Bookman Old Style" w:hAnsi="Bookman Old Style"/>
          <w:bCs/>
          <w:lang w:val="es-CO"/>
        </w:rPr>
      </w:pPr>
    </w:p>
    <w:p w:rsidR="00AA5A4E" w:rsidRPr="000058F4" w:rsidRDefault="00AA5A4E" w:rsidP="00E433F6">
      <w:pPr>
        <w:ind w:left="0"/>
        <w:rPr>
          <w:rFonts w:ascii="Bookman Old Style" w:hAnsi="Bookman Old Style"/>
          <w:bCs/>
          <w:lang w:val="es-CO"/>
        </w:rPr>
      </w:pPr>
    </w:p>
    <w:p w:rsidR="007355B1" w:rsidRPr="007355B1" w:rsidRDefault="007355B1" w:rsidP="007355B1">
      <w:pPr>
        <w:ind w:left="0"/>
        <w:jc w:val="center"/>
        <w:rPr>
          <w:rFonts w:ascii="Bookman Old Style" w:hAnsi="Bookman Old Style"/>
          <w:spacing w:val="-3"/>
        </w:rPr>
      </w:pPr>
      <w:r w:rsidRPr="007355B1">
        <w:rPr>
          <w:rFonts w:ascii="Bookman Old Style" w:hAnsi="Bookman Old Style"/>
          <w:spacing w:val="-3"/>
        </w:rPr>
        <w:t>Por la cual se establecen los Índices de Referencia de la Discontinuidad de Empresas Municipales de Cartago  S.A. E.S.P.</w:t>
      </w:r>
    </w:p>
    <w:p w:rsidR="007355B1" w:rsidRDefault="007355B1" w:rsidP="007355B1">
      <w:pPr>
        <w:ind w:left="0"/>
        <w:jc w:val="center"/>
        <w:rPr>
          <w:rFonts w:ascii="Bookman Old Style" w:hAnsi="Bookman Old Style"/>
          <w:spacing w:val="-3"/>
        </w:rPr>
      </w:pPr>
    </w:p>
    <w:p w:rsidR="00AA5A4E" w:rsidRPr="007355B1" w:rsidRDefault="00AA5A4E" w:rsidP="007355B1">
      <w:pPr>
        <w:ind w:left="0"/>
        <w:jc w:val="center"/>
        <w:rPr>
          <w:rFonts w:ascii="Bookman Old Style" w:hAnsi="Bookman Old Style"/>
          <w:spacing w:val="-3"/>
        </w:rPr>
      </w:pPr>
    </w:p>
    <w:p w:rsidR="007355B1" w:rsidRPr="007355B1" w:rsidRDefault="007355B1" w:rsidP="007355B1">
      <w:pPr>
        <w:ind w:left="0"/>
        <w:jc w:val="center"/>
        <w:rPr>
          <w:rFonts w:ascii="Bookman Old Style" w:hAnsi="Bookman Old Style"/>
          <w:b/>
          <w:spacing w:val="-3"/>
        </w:rPr>
      </w:pPr>
      <w:r w:rsidRPr="007355B1">
        <w:rPr>
          <w:rFonts w:ascii="Bookman Old Style" w:hAnsi="Bookman Old Style"/>
          <w:b/>
          <w:spacing w:val="-3"/>
        </w:rPr>
        <w:t>LA COMISIÓN DE REGULACIÓN DE  ENERGÍA Y GAS</w:t>
      </w:r>
    </w:p>
    <w:p w:rsidR="007355B1" w:rsidRPr="007355B1" w:rsidRDefault="007355B1" w:rsidP="007355B1">
      <w:pPr>
        <w:ind w:left="0"/>
        <w:jc w:val="center"/>
        <w:rPr>
          <w:rFonts w:ascii="Bookman Old Style" w:hAnsi="Bookman Old Style"/>
          <w:b/>
          <w:spacing w:val="-3"/>
        </w:rPr>
      </w:pPr>
    </w:p>
    <w:p w:rsidR="007355B1" w:rsidRPr="007355B1" w:rsidRDefault="007355B1" w:rsidP="007355B1">
      <w:pPr>
        <w:ind w:left="0"/>
        <w:jc w:val="center"/>
        <w:rPr>
          <w:rFonts w:ascii="Bookman Old Style" w:hAnsi="Bookman Old Style"/>
          <w:spacing w:val="-3"/>
        </w:rPr>
      </w:pPr>
    </w:p>
    <w:p w:rsidR="007355B1" w:rsidRPr="007355B1" w:rsidRDefault="007355B1" w:rsidP="007355B1">
      <w:pPr>
        <w:ind w:left="0"/>
        <w:jc w:val="center"/>
        <w:rPr>
          <w:rFonts w:ascii="Bookman Old Style" w:hAnsi="Bookman Old Style"/>
          <w:b/>
          <w:spacing w:val="-3"/>
          <w:lang w:val="es-CO"/>
        </w:rPr>
      </w:pPr>
      <w:r w:rsidRPr="007355B1">
        <w:rPr>
          <w:rFonts w:ascii="Bookman Old Style" w:hAnsi="Bookman Old Style"/>
          <w:spacing w:val="-3"/>
          <w:lang w:val="es-CO"/>
        </w:rPr>
        <w:t>En ejercicio de sus atribuciones constitucionales y legales, en especial las conferidas por las Leyes 142 y 143 de 1994, y en desarrollo de los Decretos 1524 y 2253 de 1994.</w:t>
      </w:r>
    </w:p>
    <w:p w:rsidR="007355B1" w:rsidRPr="007355B1" w:rsidRDefault="007355B1" w:rsidP="007355B1">
      <w:pPr>
        <w:ind w:left="0"/>
        <w:jc w:val="center"/>
        <w:rPr>
          <w:rFonts w:ascii="Bookman Old Style" w:hAnsi="Bookman Old Style"/>
          <w:spacing w:val="-3"/>
        </w:rPr>
      </w:pPr>
    </w:p>
    <w:p w:rsidR="007355B1" w:rsidRDefault="007355B1" w:rsidP="007355B1">
      <w:pPr>
        <w:ind w:left="0"/>
        <w:jc w:val="center"/>
        <w:rPr>
          <w:rFonts w:ascii="Bookman Old Style" w:hAnsi="Bookman Old Style"/>
          <w:spacing w:val="-3"/>
        </w:rPr>
      </w:pPr>
    </w:p>
    <w:p w:rsidR="00AA5A4E" w:rsidRPr="007355B1" w:rsidRDefault="00AA5A4E" w:rsidP="007355B1">
      <w:pPr>
        <w:ind w:left="0"/>
        <w:jc w:val="center"/>
        <w:rPr>
          <w:rFonts w:ascii="Bookman Old Style" w:hAnsi="Bookman Old Style"/>
          <w:spacing w:val="-3"/>
        </w:rPr>
      </w:pPr>
    </w:p>
    <w:p w:rsidR="007355B1" w:rsidRPr="007355B1" w:rsidRDefault="007355B1" w:rsidP="007355B1">
      <w:pPr>
        <w:ind w:left="0"/>
        <w:jc w:val="center"/>
        <w:rPr>
          <w:rFonts w:ascii="Bookman Old Style" w:hAnsi="Bookman Old Style"/>
          <w:b/>
          <w:spacing w:val="-3"/>
        </w:rPr>
      </w:pPr>
      <w:r w:rsidRPr="007355B1">
        <w:rPr>
          <w:rFonts w:ascii="Bookman Old Style" w:hAnsi="Bookman Old Style"/>
          <w:b/>
          <w:spacing w:val="-3"/>
        </w:rPr>
        <w:t>C O N S I D E R A N D O:</w:t>
      </w:r>
    </w:p>
    <w:p w:rsidR="007355B1" w:rsidRDefault="007355B1" w:rsidP="007355B1">
      <w:pPr>
        <w:ind w:left="0"/>
        <w:jc w:val="both"/>
        <w:rPr>
          <w:rFonts w:ascii="Bookman Old Style" w:hAnsi="Bookman Old Style"/>
          <w:b/>
          <w:spacing w:val="-3"/>
        </w:rPr>
      </w:pPr>
    </w:p>
    <w:p w:rsidR="00AA5A4E" w:rsidRPr="007355B1" w:rsidRDefault="00AA5A4E" w:rsidP="007355B1">
      <w:pPr>
        <w:ind w:left="0"/>
        <w:jc w:val="both"/>
        <w:rPr>
          <w:rFonts w:ascii="Bookman Old Style" w:hAnsi="Bookman Old Style"/>
          <w:b/>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de acuerdo con lo previsto en el Artículo 23, literal d), y 41 de la Ley 143 de 1994, es función de la Comisión de Regulación de Energía y Gas fijar las tarifas por el acceso y uso de las redes eléctricas;</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mediante la Resolución CREG 097 de 2008, la Comisión aprobó los principios generales y la metodología para el establecimiento de los Cargos por Uso de los Sistemas de Transmisión Regional (STR) y de Distribución Local (SDL);</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en el numeral 11.2 del capítulo 11 del anexo general de la Resolución CREG 097 de 2008 se estableció la metodología de evaluación de la calidad del servicio en el Sistema de Distribución Local;</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dentro de la regulación de calidad del servicio se establece un esquema de incentivos y compensaciones que se aplicará a los Operadores de Red con base en su desempeño trimestral;</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lastRenderedPageBreak/>
        <w:t>Que la compensación que deberán pagar los Operadores de Red se determinará con base en la comparación del Índice Trimestral de la Discontinuidad por Transformador, ITT, y el Promedio de los Índices de Referencia de la Discontinuidad por Grupo de Calidad, IRGP, de cada empresa;</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en el numeral 11.2.3 de la Resolución CREG 097 de 2008, se estableció que la CREG calculará el IRAD a partir de la información histórica de interrupciones y demás datos consignados por los Operadores de Red en el Sistema Único de Información, SUI, para los años 2006 y 2007;</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mediante las circulares CREG 123 de 2008, 047 y 050 de 2009, la CREG solicitó a los Operadores de Red información complementaria necesaria para el cálculo del IRAD;</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Empresas Municipales de Cartago  S.A. E.S.P. dio respuesta a la circular CREG 123 de 2008 mediante radicado CREG E-2010-001548;</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Empresas Municipales de Cartago  S.A. E.S.P. dio respuesta a la circular CREG 047 de 2009 cargando la información en el aplicativo CREG diseñado para tal fin;</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Empresas Municipales de Cartago  S.A. E.S.P. no dio respuesta a la circular CREG 050 de 2009</w:t>
      </w:r>
      <w:r w:rsidRPr="007355B1" w:rsidDel="00C744DE">
        <w:rPr>
          <w:rFonts w:ascii="Bookman Old Style" w:hAnsi="Bookman Old Style"/>
          <w:spacing w:val="-3"/>
        </w:rPr>
        <w:t>;</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lang w:val="es-CO"/>
        </w:rPr>
      </w:pPr>
      <w:r w:rsidRPr="007355B1">
        <w:rPr>
          <w:rFonts w:ascii="Bookman Old Style" w:hAnsi="Bookman Old Style"/>
          <w:spacing w:val="-3"/>
          <w:lang w:val="es-CO"/>
        </w:rPr>
        <w:t xml:space="preserve">Que las empresas comercializadoras: Comercializar </w:t>
      </w:r>
      <w:r w:rsidRPr="007355B1">
        <w:rPr>
          <w:rFonts w:ascii="Bookman Old Style" w:hAnsi="Bookman Old Style"/>
          <w:spacing w:val="-3"/>
        </w:rPr>
        <w:t xml:space="preserve">S.A. E.S.P., Dicel S.A. E.S.P., Empresa Públicas de Medellín S.A. E.S.P., Empresa de Energía de Cundinamarca S.A. E.S.P., Emgesa S.A. E.S.P., Enertotal S.A. E.S.P., EPSA S.A. E.S.P. e Isagen S.A. E.S.P. </w:t>
      </w:r>
      <w:r w:rsidRPr="007355B1">
        <w:rPr>
          <w:rFonts w:ascii="Bookman Old Style" w:hAnsi="Bookman Old Style"/>
          <w:spacing w:val="-3"/>
          <w:lang w:val="es-CO"/>
        </w:rPr>
        <w:t xml:space="preserve"> reportaron información respecto del mercado de comercialización de </w:t>
      </w:r>
      <w:r w:rsidRPr="007355B1">
        <w:rPr>
          <w:rFonts w:ascii="Bookman Old Style" w:hAnsi="Bookman Old Style"/>
          <w:spacing w:val="-3"/>
        </w:rPr>
        <w:t>Empresas Municipales de Cartago  S.A. E.S.P.</w:t>
      </w:r>
      <w:r w:rsidRPr="007355B1">
        <w:rPr>
          <w:rFonts w:ascii="Bookman Old Style" w:hAnsi="Bookman Old Style"/>
          <w:spacing w:val="-3"/>
          <w:lang w:val="es-CO"/>
        </w:rPr>
        <w:t>.</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mediante auto del día 3 de marzo de 2010 se inició de oficio una actuación administrativa con el objeto de definir los Índices de Referencia Agrupados de la Discontinuidad IRAD</w:t>
      </w:r>
      <w:r w:rsidRPr="007355B1">
        <w:rPr>
          <w:rFonts w:ascii="Bookman Old Style" w:hAnsi="Bookman Old Style"/>
          <w:spacing w:val="-3"/>
          <w:vertAlign w:val="subscript"/>
        </w:rPr>
        <w:t>n,p</w:t>
      </w:r>
      <w:r w:rsidRPr="007355B1">
        <w:rPr>
          <w:rFonts w:ascii="Bookman Old Style" w:hAnsi="Bookman Old Style"/>
          <w:spacing w:val="-3"/>
        </w:rPr>
        <w:t>, los Índices de Referencia Agrupados de la Discontinuidad para el año k, IRADK</w:t>
      </w:r>
      <w:r w:rsidRPr="007355B1">
        <w:rPr>
          <w:rFonts w:ascii="Bookman Old Style" w:hAnsi="Bookman Old Style"/>
          <w:spacing w:val="-3"/>
          <w:vertAlign w:val="subscript"/>
        </w:rPr>
        <w:t>n,p,k</w:t>
      </w:r>
      <w:r w:rsidRPr="007355B1">
        <w:rPr>
          <w:rFonts w:ascii="Bookman Old Style" w:hAnsi="Bookman Old Style"/>
          <w:spacing w:val="-3"/>
        </w:rPr>
        <w:t>, y los Promedios de los Índices de Referencia de la Discontinuidad por Grupo de Calidad IRGP</w:t>
      </w:r>
      <w:r w:rsidRPr="007355B1">
        <w:rPr>
          <w:rFonts w:ascii="Bookman Old Style" w:hAnsi="Bookman Old Style"/>
          <w:spacing w:val="-3"/>
          <w:vertAlign w:val="subscript"/>
        </w:rPr>
        <w:t>n,q,p</w:t>
      </w:r>
      <w:r w:rsidRPr="007355B1">
        <w:rPr>
          <w:rFonts w:ascii="Bookman Old Style" w:hAnsi="Bookman Old Style"/>
          <w:spacing w:val="-3"/>
        </w:rPr>
        <w:t xml:space="preserve"> para el SDL operado por Empresas Municipales de Cartago  S.A. E.S.P.;</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la publicación de un extracto del texto de la actuación, en cumplimiento de lo dispuesto por el Artículo 15 del Código Contencioso Administrativo, se llevó a cabo el día 10 de marzo de 2010 en el diario La República;</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mediante auto del día 27 de abril de 2010 se decretaron pruebas y que éstas fueron remitidas al expediente de la actuación administrativa a través de memoriales con radicados I-2010-001325, I-2010-001491 e I-2010-001677, los cuales contienen la información consultada en el SUI y la información consultada sobre las circulares CREG 047 y 050 de 2009, siendo ésta la información oficial disponible para el cálculo de los índices de referencia;</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los días 25, 26 y 27 de marzo de 2010 se consultó la información de las bases de datos comercial y de calidad del SUI, reportada por los Operadores de Red durante los años 2006 y 2007;</w:t>
      </w: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lastRenderedPageBreak/>
        <w:t>Que aplicada la metodología contenida en las resoluciones CREG 097 de 2008 y CREG 166 de 2010, se calcularon los Índices de Referencia de la Discontinuidad para el SDL operado por Empresas Municipales de Cartago  S.A. E.S.P.;</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Que 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competencia en los mercados y no se requiere informar a la Superintendencia de Industria y Comercio;</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r w:rsidRPr="007355B1">
        <w:rPr>
          <w:rFonts w:ascii="Bookman Old Style" w:hAnsi="Bookman Old Style"/>
          <w:spacing w:val="-3"/>
        </w:rPr>
        <w:t xml:space="preserve">Que la Comisión, en sesión No. </w:t>
      </w:r>
      <w:r w:rsidR="002E0422">
        <w:rPr>
          <w:rFonts w:ascii="Bookman Old Style" w:hAnsi="Bookman Old Style"/>
          <w:spacing w:val="-3"/>
        </w:rPr>
        <w:t>4</w:t>
      </w:r>
      <w:r w:rsidR="00AA5A4E">
        <w:rPr>
          <w:rFonts w:ascii="Bookman Old Style" w:hAnsi="Bookman Old Style"/>
          <w:spacing w:val="-3"/>
        </w:rPr>
        <w:t>83</w:t>
      </w:r>
      <w:r w:rsidRPr="007355B1">
        <w:rPr>
          <w:rFonts w:ascii="Bookman Old Style" w:hAnsi="Bookman Old Style"/>
          <w:spacing w:val="-3"/>
        </w:rPr>
        <w:t xml:space="preserve"> del </w:t>
      </w:r>
      <w:r w:rsidR="00AA5A4E">
        <w:rPr>
          <w:rFonts w:ascii="Bookman Old Style" w:hAnsi="Bookman Old Style"/>
          <w:spacing w:val="-3"/>
        </w:rPr>
        <w:t>7</w:t>
      </w:r>
      <w:r w:rsidRPr="007355B1">
        <w:rPr>
          <w:rFonts w:ascii="Bookman Old Style" w:hAnsi="Bookman Old Style"/>
          <w:spacing w:val="-3"/>
        </w:rPr>
        <w:t xml:space="preserve"> de </w:t>
      </w:r>
      <w:r w:rsidR="00AA5A4E">
        <w:rPr>
          <w:rFonts w:ascii="Bookman Old Style" w:hAnsi="Bookman Old Style"/>
          <w:spacing w:val="-3"/>
        </w:rPr>
        <w:t>abril</w:t>
      </w:r>
      <w:r w:rsidRPr="007355B1">
        <w:rPr>
          <w:rFonts w:ascii="Bookman Old Style" w:hAnsi="Bookman Old Style"/>
          <w:spacing w:val="-3"/>
        </w:rPr>
        <w:t xml:space="preserve"> de 2011, aprobó los Índices de Referencia de la Discontinuidad para el SDL operado por Empresas Municipales de Cartago  S.A. E.S.P.;</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center"/>
        <w:rPr>
          <w:rFonts w:ascii="Bookman Old Style" w:hAnsi="Bookman Old Style"/>
          <w:spacing w:val="-3"/>
        </w:rPr>
      </w:pPr>
      <w:r w:rsidRPr="007355B1">
        <w:rPr>
          <w:rFonts w:ascii="Bookman Old Style" w:hAnsi="Bookman Old Style"/>
          <w:b/>
          <w:spacing w:val="-3"/>
        </w:rPr>
        <w:t>R E S U E L V E:</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p>
    <w:p w:rsidR="007355B1" w:rsidRDefault="007355B1" w:rsidP="007355B1">
      <w:pPr>
        <w:numPr>
          <w:ilvl w:val="0"/>
          <w:numId w:val="16"/>
        </w:numPr>
        <w:jc w:val="both"/>
        <w:rPr>
          <w:rFonts w:ascii="Bookman Old Style" w:hAnsi="Bookman Old Style"/>
          <w:spacing w:val="-3"/>
        </w:rPr>
      </w:pPr>
      <w:r w:rsidRPr="007355B1">
        <w:rPr>
          <w:rFonts w:ascii="Bookman Old Style" w:hAnsi="Bookman Old Style"/>
          <w:b/>
          <w:spacing w:val="-3"/>
        </w:rPr>
        <w:t>Índice de Referencia Agrupado de la Discontinuidad, IRAD</w:t>
      </w:r>
      <w:r w:rsidRPr="007355B1">
        <w:rPr>
          <w:rFonts w:ascii="Bookman Old Style" w:hAnsi="Bookman Old Style"/>
          <w:b/>
          <w:spacing w:val="-3"/>
          <w:vertAlign w:val="subscript"/>
        </w:rPr>
        <w:t>n,p</w:t>
      </w:r>
      <w:r w:rsidRPr="007355B1">
        <w:rPr>
          <w:rFonts w:ascii="Bookman Old Style" w:hAnsi="Bookman Old Style"/>
          <w:spacing w:val="-3"/>
        </w:rPr>
        <w:t>. El Índice de Referencia Agrupado de la Discontinuidad. IRAD</w:t>
      </w:r>
      <w:r w:rsidRPr="007355B1">
        <w:rPr>
          <w:rFonts w:ascii="Bookman Old Style" w:hAnsi="Bookman Old Style"/>
          <w:spacing w:val="-3"/>
          <w:vertAlign w:val="subscript"/>
        </w:rPr>
        <w:t>n,p</w:t>
      </w:r>
      <w:r w:rsidRPr="007355B1">
        <w:rPr>
          <w:rFonts w:ascii="Bookman Old Style" w:hAnsi="Bookman Old Style"/>
          <w:spacing w:val="-3"/>
        </w:rPr>
        <w:t>, para el SDL operado por Empresas Municipales de Cartago  S.A. E.S.P. es el siguiente:</w:t>
      </w:r>
    </w:p>
    <w:p w:rsidR="00AA5A4E" w:rsidRPr="007355B1" w:rsidRDefault="00AA5A4E" w:rsidP="00AA5A4E">
      <w:pPr>
        <w:ind w:left="1361"/>
        <w:jc w:val="both"/>
        <w:rPr>
          <w:rFonts w:ascii="Bookman Old Style" w:hAnsi="Bookman Old Style"/>
          <w:spacing w:val="-3"/>
        </w:rPr>
      </w:pP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center"/>
        <w:rPr>
          <w:rFonts w:ascii="Bookman Old Style" w:hAnsi="Bookman Old Style"/>
          <w:spacing w:val="-3"/>
        </w:rPr>
      </w:pPr>
      <w:r w:rsidRPr="007355B1">
        <w:rPr>
          <w:rFonts w:ascii="Bookman Old Style" w:hAnsi="Bookman Old Style"/>
          <w:noProof/>
          <w:spacing w:val="-3"/>
          <w:lang w:val="es-CO" w:eastAsia="es-CO"/>
        </w:rPr>
        <w:drawing>
          <wp:inline distT="0" distB="0" distL="0" distR="0" wp14:anchorId="49BD825B" wp14:editId="063EB51A">
            <wp:extent cx="2247900" cy="962025"/>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962025"/>
                    </a:xfrm>
                    <a:prstGeom prst="rect">
                      <a:avLst/>
                    </a:prstGeom>
                    <a:noFill/>
                    <a:ln>
                      <a:noFill/>
                    </a:ln>
                  </pic:spPr>
                </pic:pic>
              </a:graphicData>
            </a:graphic>
          </wp:inline>
        </w:drawing>
      </w:r>
    </w:p>
    <w:p w:rsidR="007355B1" w:rsidRPr="007355B1" w:rsidRDefault="007355B1" w:rsidP="007355B1">
      <w:pPr>
        <w:ind w:left="0"/>
        <w:jc w:val="center"/>
        <w:rPr>
          <w:rFonts w:ascii="Bookman Old Style" w:hAnsi="Bookman Old Style"/>
          <w:spacing w:val="-3"/>
        </w:rPr>
      </w:pPr>
    </w:p>
    <w:p w:rsidR="007355B1" w:rsidRPr="007355B1" w:rsidRDefault="007355B1" w:rsidP="007355B1">
      <w:pPr>
        <w:ind w:left="0"/>
        <w:jc w:val="center"/>
        <w:rPr>
          <w:rFonts w:ascii="Bookman Old Style" w:hAnsi="Bookman Old Style"/>
          <w:bCs/>
          <w:spacing w:val="-3"/>
        </w:rPr>
      </w:pPr>
      <w:r w:rsidRPr="007355B1">
        <w:rPr>
          <w:rFonts w:ascii="Bookman Old Style" w:hAnsi="Bookman Old Style"/>
          <w:b/>
          <w:bCs/>
          <w:spacing w:val="-3"/>
        </w:rPr>
        <w:t xml:space="preserve">Tabla </w:t>
      </w:r>
      <w:r w:rsidRPr="007355B1">
        <w:rPr>
          <w:rFonts w:ascii="Bookman Old Style" w:hAnsi="Bookman Old Style"/>
          <w:b/>
          <w:bCs/>
          <w:spacing w:val="-3"/>
        </w:rPr>
        <w:fldChar w:fldCharType="begin"/>
      </w:r>
      <w:r w:rsidRPr="007355B1">
        <w:rPr>
          <w:rFonts w:ascii="Bookman Old Style" w:hAnsi="Bookman Old Style"/>
          <w:b/>
          <w:bCs/>
          <w:spacing w:val="-3"/>
        </w:rPr>
        <w:instrText xml:space="preserve"> SEQ Tabla \* ARABIC </w:instrText>
      </w:r>
      <w:r w:rsidRPr="007355B1">
        <w:rPr>
          <w:rFonts w:ascii="Bookman Old Style" w:hAnsi="Bookman Old Style"/>
          <w:b/>
          <w:bCs/>
          <w:spacing w:val="-3"/>
        </w:rPr>
        <w:fldChar w:fldCharType="separate"/>
      </w:r>
      <w:r w:rsidR="00D45364">
        <w:rPr>
          <w:rFonts w:ascii="Bookman Old Style" w:hAnsi="Bookman Old Style"/>
          <w:b/>
          <w:bCs/>
          <w:noProof/>
          <w:spacing w:val="-3"/>
        </w:rPr>
        <w:t>1</w:t>
      </w:r>
      <w:r w:rsidRPr="007355B1">
        <w:rPr>
          <w:rFonts w:ascii="Bookman Old Style" w:hAnsi="Bookman Old Style"/>
          <w:spacing w:val="-3"/>
        </w:rPr>
        <w:fldChar w:fldCharType="end"/>
      </w:r>
      <w:r w:rsidRPr="007355B1">
        <w:rPr>
          <w:rFonts w:ascii="Bookman Old Style" w:hAnsi="Bookman Old Style"/>
          <w:b/>
          <w:bCs/>
          <w:spacing w:val="-3"/>
        </w:rPr>
        <w:t xml:space="preserve">. </w:t>
      </w:r>
      <w:r w:rsidRPr="007355B1">
        <w:rPr>
          <w:rFonts w:ascii="Bookman Old Style" w:hAnsi="Bookman Old Style"/>
          <w:bCs/>
          <w:spacing w:val="-3"/>
        </w:rPr>
        <w:t>IRAD por trimestre para el nivel de tensión 1.</w:t>
      </w:r>
    </w:p>
    <w:p w:rsidR="007355B1" w:rsidRPr="007355B1" w:rsidRDefault="007355B1" w:rsidP="007355B1">
      <w:pPr>
        <w:ind w:left="0"/>
        <w:jc w:val="center"/>
        <w:rPr>
          <w:rFonts w:ascii="Bookman Old Style" w:hAnsi="Bookman Old Style"/>
          <w:spacing w:val="-3"/>
        </w:rPr>
      </w:pPr>
    </w:p>
    <w:p w:rsidR="007355B1" w:rsidRPr="007355B1" w:rsidRDefault="007355B1" w:rsidP="007355B1">
      <w:pPr>
        <w:ind w:left="0"/>
        <w:jc w:val="center"/>
        <w:rPr>
          <w:rFonts w:ascii="Bookman Old Style" w:hAnsi="Bookman Old Style"/>
          <w:spacing w:val="-3"/>
        </w:rPr>
      </w:pPr>
      <w:r w:rsidRPr="007355B1">
        <w:rPr>
          <w:rFonts w:ascii="Bookman Old Style" w:hAnsi="Bookman Old Style"/>
          <w:noProof/>
          <w:spacing w:val="-3"/>
          <w:lang w:val="es-CO" w:eastAsia="es-CO"/>
        </w:rPr>
        <w:drawing>
          <wp:inline distT="0" distB="0" distL="0" distR="0" wp14:anchorId="758E1802" wp14:editId="673BF44B">
            <wp:extent cx="2305050" cy="962025"/>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a:ln>
                      <a:noFill/>
                    </a:ln>
                  </pic:spPr>
                </pic:pic>
              </a:graphicData>
            </a:graphic>
          </wp:inline>
        </w:drawing>
      </w:r>
    </w:p>
    <w:p w:rsidR="007355B1" w:rsidRPr="007355B1" w:rsidRDefault="007355B1" w:rsidP="007355B1">
      <w:pPr>
        <w:ind w:left="0"/>
        <w:jc w:val="center"/>
        <w:rPr>
          <w:rFonts w:ascii="Bookman Old Style" w:hAnsi="Bookman Old Style"/>
          <w:b/>
          <w:bCs/>
          <w:spacing w:val="-3"/>
        </w:rPr>
      </w:pPr>
    </w:p>
    <w:p w:rsidR="007355B1" w:rsidRPr="007355B1" w:rsidRDefault="007355B1" w:rsidP="007355B1">
      <w:pPr>
        <w:ind w:left="0"/>
        <w:jc w:val="center"/>
        <w:rPr>
          <w:rFonts w:ascii="Bookman Old Style" w:hAnsi="Bookman Old Style"/>
          <w:bCs/>
          <w:spacing w:val="-3"/>
        </w:rPr>
      </w:pPr>
      <w:r w:rsidRPr="007355B1">
        <w:rPr>
          <w:rFonts w:ascii="Bookman Old Style" w:hAnsi="Bookman Old Style"/>
          <w:b/>
          <w:bCs/>
          <w:spacing w:val="-3"/>
        </w:rPr>
        <w:t xml:space="preserve">Tabla </w:t>
      </w:r>
      <w:r w:rsidRPr="007355B1">
        <w:rPr>
          <w:rFonts w:ascii="Bookman Old Style" w:hAnsi="Bookman Old Style"/>
          <w:b/>
          <w:bCs/>
          <w:spacing w:val="-3"/>
        </w:rPr>
        <w:fldChar w:fldCharType="begin"/>
      </w:r>
      <w:r w:rsidRPr="007355B1">
        <w:rPr>
          <w:rFonts w:ascii="Bookman Old Style" w:hAnsi="Bookman Old Style"/>
          <w:b/>
          <w:bCs/>
          <w:spacing w:val="-3"/>
        </w:rPr>
        <w:instrText xml:space="preserve"> SEQ Tabla \* ARABIC </w:instrText>
      </w:r>
      <w:r w:rsidRPr="007355B1">
        <w:rPr>
          <w:rFonts w:ascii="Bookman Old Style" w:hAnsi="Bookman Old Style"/>
          <w:b/>
          <w:bCs/>
          <w:spacing w:val="-3"/>
        </w:rPr>
        <w:fldChar w:fldCharType="separate"/>
      </w:r>
      <w:r w:rsidR="00D45364">
        <w:rPr>
          <w:rFonts w:ascii="Bookman Old Style" w:hAnsi="Bookman Old Style"/>
          <w:b/>
          <w:bCs/>
          <w:noProof/>
          <w:spacing w:val="-3"/>
        </w:rPr>
        <w:t>2</w:t>
      </w:r>
      <w:r w:rsidRPr="007355B1">
        <w:rPr>
          <w:rFonts w:ascii="Bookman Old Style" w:hAnsi="Bookman Old Style"/>
          <w:spacing w:val="-3"/>
        </w:rPr>
        <w:fldChar w:fldCharType="end"/>
      </w:r>
      <w:r w:rsidRPr="007355B1">
        <w:rPr>
          <w:rFonts w:ascii="Bookman Old Style" w:hAnsi="Bookman Old Style"/>
          <w:b/>
          <w:bCs/>
          <w:spacing w:val="-3"/>
        </w:rPr>
        <w:t xml:space="preserve">. </w:t>
      </w:r>
      <w:r w:rsidRPr="007355B1">
        <w:rPr>
          <w:rFonts w:ascii="Bookman Old Style" w:hAnsi="Bookman Old Style"/>
          <w:bCs/>
          <w:spacing w:val="-3"/>
        </w:rPr>
        <w:t>IRAD por trimestre para el nivel de tensión 2 y 3 agregado.</w:t>
      </w:r>
    </w:p>
    <w:p w:rsidR="007355B1" w:rsidRDefault="007355B1" w:rsidP="007355B1">
      <w:pPr>
        <w:ind w:left="0"/>
        <w:jc w:val="both"/>
        <w:rPr>
          <w:rFonts w:ascii="Bookman Old Style" w:hAnsi="Bookman Old Style"/>
          <w:spacing w:val="-3"/>
        </w:rPr>
      </w:pPr>
    </w:p>
    <w:p w:rsidR="00AA5A4E" w:rsidRPr="007355B1" w:rsidRDefault="00AA5A4E" w:rsidP="007355B1">
      <w:pPr>
        <w:ind w:left="0"/>
        <w:jc w:val="both"/>
        <w:rPr>
          <w:rFonts w:ascii="Bookman Old Style" w:hAnsi="Bookman Old Style"/>
          <w:spacing w:val="-3"/>
        </w:rPr>
      </w:pPr>
    </w:p>
    <w:p w:rsidR="007355B1" w:rsidRPr="007355B1" w:rsidRDefault="007355B1" w:rsidP="007355B1">
      <w:pPr>
        <w:numPr>
          <w:ilvl w:val="0"/>
          <w:numId w:val="16"/>
        </w:numPr>
        <w:jc w:val="both"/>
        <w:rPr>
          <w:rFonts w:ascii="Bookman Old Style" w:hAnsi="Bookman Old Style"/>
          <w:spacing w:val="-3"/>
        </w:rPr>
      </w:pPr>
      <w:r w:rsidRPr="007355B1">
        <w:rPr>
          <w:rFonts w:ascii="Bookman Old Style" w:hAnsi="Bookman Old Style"/>
          <w:b/>
          <w:spacing w:val="-3"/>
        </w:rPr>
        <w:t>Índice de Referencia Agrupado de la Discontinuidad para el año k, IRADK</w:t>
      </w:r>
      <w:r w:rsidRPr="007355B1">
        <w:rPr>
          <w:rFonts w:ascii="Bookman Old Style" w:hAnsi="Bookman Old Style"/>
          <w:b/>
          <w:spacing w:val="-3"/>
          <w:vertAlign w:val="subscript"/>
        </w:rPr>
        <w:t>n,p,k</w:t>
      </w:r>
      <w:r w:rsidRPr="007355B1">
        <w:rPr>
          <w:rFonts w:ascii="Bookman Old Style" w:hAnsi="Bookman Old Style"/>
          <w:spacing w:val="-3"/>
        </w:rPr>
        <w:t>. El Índice de Referencia Agrupado de la Discontinuidad para el año k, IRADK</w:t>
      </w:r>
      <w:r w:rsidRPr="007355B1">
        <w:rPr>
          <w:rFonts w:ascii="Bookman Old Style" w:hAnsi="Bookman Old Style"/>
          <w:spacing w:val="-3"/>
          <w:vertAlign w:val="subscript"/>
        </w:rPr>
        <w:t>n,p,k</w:t>
      </w:r>
      <w:r w:rsidRPr="007355B1">
        <w:rPr>
          <w:rFonts w:ascii="Bookman Old Style" w:hAnsi="Bookman Old Style"/>
          <w:spacing w:val="-3"/>
        </w:rPr>
        <w:t xml:space="preserve"> del SDL operado por Empresas Municipales de Cartago  S.A. E.S.P. es el siguiente:</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center"/>
        <w:rPr>
          <w:rFonts w:ascii="Bookman Old Style" w:hAnsi="Bookman Old Style"/>
          <w:spacing w:val="-3"/>
        </w:rPr>
      </w:pPr>
      <w:r w:rsidRPr="007355B1">
        <w:rPr>
          <w:rFonts w:ascii="Bookman Old Style" w:hAnsi="Bookman Old Style"/>
          <w:noProof/>
          <w:spacing w:val="-3"/>
          <w:lang w:val="es-CO" w:eastAsia="es-CO"/>
        </w:rPr>
        <w:lastRenderedPageBreak/>
        <w:drawing>
          <wp:inline distT="0" distB="0" distL="0" distR="0" wp14:anchorId="2C9CCE3E" wp14:editId="16A0E323">
            <wp:extent cx="3162300" cy="1724025"/>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2300" cy="1724025"/>
                    </a:xfrm>
                    <a:prstGeom prst="rect">
                      <a:avLst/>
                    </a:prstGeom>
                    <a:noFill/>
                    <a:ln>
                      <a:noFill/>
                    </a:ln>
                  </pic:spPr>
                </pic:pic>
              </a:graphicData>
            </a:graphic>
          </wp:inline>
        </w:drawing>
      </w:r>
    </w:p>
    <w:p w:rsidR="007355B1" w:rsidRPr="007355B1" w:rsidRDefault="007355B1" w:rsidP="007355B1">
      <w:pPr>
        <w:ind w:left="0"/>
        <w:jc w:val="center"/>
        <w:rPr>
          <w:rFonts w:ascii="Bookman Old Style" w:hAnsi="Bookman Old Style"/>
          <w:spacing w:val="-3"/>
        </w:rPr>
      </w:pPr>
    </w:p>
    <w:p w:rsidR="007355B1" w:rsidRPr="007355B1" w:rsidRDefault="007355B1" w:rsidP="007355B1">
      <w:pPr>
        <w:ind w:left="0"/>
        <w:jc w:val="center"/>
        <w:rPr>
          <w:rFonts w:ascii="Bookman Old Style" w:hAnsi="Bookman Old Style"/>
          <w:bCs/>
          <w:spacing w:val="-3"/>
        </w:rPr>
      </w:pPr>
      <w:r w:rsidRPr="007355B1">
        <w:rPr>
          <w:rFonts w:ascii="Bookman Old Style" w:hAnsi="Bookman Old Style"/>
          <w:b/>
          <w:bCs/>
          <w:spacing w:val="-3"/>
        </w:rPr>
        <w:t xml:space="preserve">Tabla </w:t>
      </w:r>
      <w:r w:rsidRPr="007355B1">
        <w:rPr>
          <w:rFonts w:ascii="Bookman Old Style" w:hAnsi="Bookman Old Style"/>
          <w:b/>
          <w:bCs/>
          <w:spacing w:val="-3"/>
        </w:rPr>
        <w:fldChar w:fldCharType="begin"/>
      </w:r>
      <w:r w:rsidRPr="007355B1">
        <w:rPr>
          <w:rFonts w:ascii="Bookman Old Style" w:hAnsi="Bookman Old Style"/>
          <w:b/>
          <w:bCs/>
          <w:spacing w:val="-3"/>
        </w:rPr>
        <w:instrText xml:space="preserve"> SEQ Tabla \* ARABIC </w:instrText>
      </w:r>
      <w:r w:rsidRPr="007355B1">
        <w:rPr>
          <w:rFonts w:ascii="Bookman Old Style" w:hAnsi="Bookman Old Style"/>
          <w:b/>
          <w:bCs/>
          <w:spacing w:val="-3"/>
        </w:rPr>
        <w:fldChar w:fldCharType="separate"/>
      </w:r>
      <w:r w:rsidR="00D45364">
        <w:rPr>
          <w:rFonts w:ascii="Bookman Old Style" w:hAnsi="Bookman Old Style"/>
          <w:b/>
          <w:bCs/>
          <w:noProof/>
          <w:spacing w:val="-3"/>
        </w:rPr>
        <w:t>3</w:t>
      </w:r>
      <w:r w:rsidRPr="007355B1">
        <w:rPr>
          <w:rFonts w:ascii="Bookman Old Style" w:hAnsi="Bookman Old Style"/>
          <w:spacing w:val="-3"/>
        </w:rPr>
        <w:fldChar w:fldCharType="end"/>
      </w:r>
      <w:r w:rsidRPr="007355B1">
        <w:rPr>
          <w:rFonts w:ascii="Bookman Old Style" w:hAnsi="Bookman Old Style"/>
          <w:b/>
          <w:bCs/>
          <w:spacing w:val="-3"/>
        </w:rPr>
        <w:t xml:space="preserve">. </w:t>
      </w:r>
      <w:r w:rsidRPr="007355B1">
        <w:rPr>
          <w:rFonts w:ascii="Bookman Old Style" w:hAnsi="Bookman Old Style"/>
          <w:bCs/>
          <w:spacing w:val="-3"/>
        </w:rPr>
        <w:t>IRADK</w:t>
      </w:r>
      <w:r w:rsidRPr="007355B1">
        <w:rPr>
          <w:rFonts w:ascii="Bookman Old Style" w:hAnsi="Bookman Old Style"/>
          <w:b/>
          <w:bCs/>
          <w:spacing w:val="-3"/>
        </w:rPr>
        <w:t xml:space="preserve"> </w:t>
      </w:r>
      <w:r w:rsidRPr="007355B1">
        <w:rPr>
          <w:rFonts w:ascii="Bookman Old Style" w:hAnsi="Bookman Old Style"/>
          <w:bCs/>
          <w:spacing w:val="-3"/>
        </w:rPr>
        <w:t>para el nivel de tensión 1.</w:t>
      </w:r>
    </w:p>
    <w:p w:rsidR="007355B1" w:rsidRPr="007355B1" w:rsidRDefault="007355B1" w:rsidP="007355B1">
      <w:pPr>
        <w:ind w:left="0"/>
        <w:jc w:val="center"/>
        <w:rPr>
          <w:rFonts w:ascii="Bookman Old Style" w:hAnsi="Bookman Old Style"/>
          <w:spacing w:val="-3"/>
        </w:rPr>
      </w:pPr>
    </w:p>
    <w:p w:rsidR="007355B1" w:rsidRPr="007355B1" w:rsidRDefault="007355B1" w:rsidP="007355B1">
      <w:pPr>
        <w:ind w:left="0"/>
        <w:jc w:val="center"/>
        <w:rPr>
          <w:rFonts w:ascii="Bookman Old Style" w:hAnsi="Bookman Old Style"/>
          <w:spacing w:val="-3"/>
        </w:rPr>
      </w:pPr>
      <w:r w:rsidRPr="007355B1">
        <w:rPr>
          <w:rFonts w:ascii="Bookman Old Style" w:hAnsi="Bookman Old Style"/>
          <w:noProof/>
          <w:spacing w:val="-3"/>
          <w:lang w:val="es-CO" w:eastAsia="es-CO"/>
        </w:rPr>
        <w:drawing>
          <wp:inline distT="0" distB="0" distL="0" distR="0" wp14:anchorId="02F57D17" wp14:editId="1ECC80AC">
            <wp:extent cx="3219450" cy="1724025"/>
            <wp:effectExtent l="0" t="0" r="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9450" cy="1724025"/>
                    </a:xfrm>
                    <a:prstGeom prst="rect">
                      <a:avLst/>
                    </a:prstGeom>
                    <a:noFill/>
                    <a:ln>
                      <a:noFill/>
                    </a:ln>
                  </pic:spPr>
                </pic:pic>
              </a:graphicData>
            </a:graphic>
          </wp:inline>
        </w:drawing>
      </w:r>
    </w:p>
    <w:p w:rsidR="007355B1" w:rsidRPr="007355B1" w:rsidRDefault="007355B1" w:rsidP="007355B1">
      <w:pPr>
        <w:ind w:left="0"/>
        <w:jc w:val="center"/>
        <w:rPr>
          <w:rFonts w:ascii="Bookman Old Style" w:hAnsi="Bookman Old Style"/>
          <w:spacing w:val="-3"/>
        </w:rPr>
      </w:pPr>
    </w:p>
    <w:p w:rsidR="007355B1" w:rsidRPr="007355B1" w:rsidRDefault="007355B1" w:rsidP="007355B1">
      <w:pPr>
        <w:ind w:left="0"/>
        <w:jc w:val="center"/>
        <w:rPr>
          <w:rFonts w:ascii="Bookman Old Style" w:hAnsi="Bookman Old Style"/>
          <w:b/>
          <w:bCs/>
          <w:spacing w:val="-3"/>
        </w:rPr>
      </w:pPr>
      <w:r w:rsidRPr="007355B1">
        <w:rPr>
          <w:rFonts w:ascii="Bookman Old Style" w:hAnsi="Bookman Old Style"/>
          <w:b/>
          <w:bCs/>
          <w:spacing w:val="-3"/>
        </w:rPr>
        <w:t xml:space="preserve">Tabla </w:t>
      </w:r>
      <w:r w:rsidRPr="007355B1">
        <w:rPr>
          <w:rFonts w:ascii="Bookman Old Style" w:hAnsi="Bookman Old Style"/>
          <w:b/>
          <w:bCs/>
          <w:spacing w:val="-3"/>
        </w:rPr>
        <w:fldChar w:fldCharType="begin"/>
      </w:r>
      <w:r w:rsidRPr="007355B1">
        <w:rPr>
          <w:rFonts w:ascii="Bookman Old Style" w:hAnsi="Bookman Old Style"/>
          <w:b/>
          <w:bCs/>
          <w:spacing w:val="-3"/>
        </w:rPr>
        <w:instrText xml:space="preserve"> SEQ Tabla \* ARABIC </w:instrText>
      </w:r>
      <w:r w:rsidRPr="007355B1">
        <w:rPr>
          <w:rFonts w:ascii="Bookman Old Style" w:hAnsi="Bookman Old Style"/>
          <w:b/>
          <w:bCs/>
          <w:spacing w:val="-3"/>
        </w:rPr>
        <w:fldChar w:fldCharType="separate"/>
      </w:r>
      <w:r w:rsidR="00D45364">
        <w:rPr>
          <w:rFonts w:ascii="Bookman Old Style" w:hAnsi="Bookman Old Style"/>
          <w:b/>
          <w:bCs/>
          <w:noProof/>
          <w:spacing w:val="-3"/>
        </w:rPr>
        <w:t>4</w:t>
      </w:r>
      <w:r w:rsidRPr="007355B1">
        <w:rPr>
          <w:rFonts w:ascii="Bookman Old Style" w:hAnsi="Bookman Old Style"/>
          <w:spacing w:val="-3"/>
        </w:rPr>
        <w:fldChar w:fldCharType="end"/>
      </w:r>
      <w:r w:rsidRPr="007355B1">
        <w:rPr>
          <w:rFonts w:ascii="Bookman Old Style" w:hAnsi="Bookman Old Style"/>
          <w:b/>
          <w:bCs/>
          <w:spacing w:val="-3"/>
        </w:rPr>
        <w:t xml:space="preserve">. </w:t>
      </w:r>
      <w:r w:rsidRPr="007355B1">
        <w:rPr>
          <w:rFonts w:ascii="Bookman Old Style" w:hAnsi="Bookman Old Style"/>
          <w:bCs/>
          <w:spacing w:val="-3"/>
        </w:rPr>
        <w:t>IRADK</w:t>
      </w:r>
      <w:r w:rsidRPr="007355B1">
        <w:rPr>
          <w:rFonts w:ascii="Bookman Old Style" w:hAnsi="Bookman Old Style"/>
          <w:b/>
          <w:bCs/>
          <w:spacing w:val="-3"/>
        </w:rPr>
        <w:t xml:space="preserve"> </w:t>
      </w:r>
      <w:r w:rsidRPr="007355B1">
        <w:rPr>
          <w:rFonts w:ascii="Bookman Old Style" w:hAnsi="Bookman Old Style"/>
          <w:bCs/>
          <w:spacing w:val="-3"/>
        </w:rPr>
        <w:t>para el nivel de tensión 2 y 3 agregado.</w:t>
      </w:r>
    </w:p>
    <w:p w:rsidR="007355B1" w:rsidRPr="007355B1" w:rsidRDefault="007355B1" w:rsidP="007355B1">
      <w:pPr>
        <w:ind w:left="0"/>
        <w:jc w:val="both"/>
        <w:rPr>
          <w:rFonts w:ascii="Bookman Old Style" w:hAnsi="Bookman Old Style"/>
          <w:spacing w:val="-3"/>
        </w:rPr>
      </w:pPr>
    </w:p>
    <w:p w:rsidR="007355B1" w:rsidRPr="007355B1" w:rsidRDefault="007355B1" w:rsidP="007355B1">
      <w:pPr>
        <w:numPr>
          <w:ilvl w:val="0"/>
          <w:numId w:val="16"/>
        </w:numPr>
        <w:jc w:val="both"/>
        <w:rPr>
          <w:rFonts w:ascii="Bookman Old Style" w:hAnsi="Bookman Old Style"/>
          <w:spacing w:val="-3"/>
        </w:rPr>
      </w:pPr>
      <w:r w:rsidRPr="007355B1">
        <w:rPr>
          <w:rFonts w:ascii="Bookman Old Style" w:hAnsi="Bookman Old Style"/>
          <w:b/>
          <w:spacing w:val="-3"/>
        </w:rPr>
        <w:t>Promedio de los Índices de Referencia de la Discontinuidad por Grupo de Calidad IRGP</w:t>
      </w:r>
      <w:r w:rsidRPr="007355B1">
        <w:rPr>
          <w:rFonts w:ascii="Bookman Old Style" w:hAnsi="Bookman Old Style"/>
          <w:b/>
          <w:spacing w:val="-3"/>
          <w:vertAlign w:val="subscript"/>
        </w:rPr>
        <w:t>n,q,p</w:t>
      </w:r>
      <w:r w:rsidRPr="007355B1">
        <w:rPr>
          <w:rFonts w:ascii="Bookman Old Style" w:hAnsi="Bookman Old Style"/>
          <w:b/>
          <w:spacing w:val="-3"/>
        </w:rPr>
        <w:t>.</w:t>
      </w:r>
      <w:r w:rsidRPr="007355B1">
        <w:rPr>
          <w:rFonts w:ascii="Bookman Old Style" w:hAnsi="Bookman Old Style"/>
          <w:spacing w:val="-3"/>
        </w:rPr>
        <w:t xml:space="preserve"> El Promedio de los Índices de Referencia de la Discontinuidad por Grupo de Calidad IRGP</w:t>
      </w:r>
      <w:r w:rsidRPr="007355B1">
        <w:rPr>
          <w:rFonts w:ascii="Bookman Old Style" w:hAnsi="Bookman Old Style"/>
          <w:spacing w:val="-3"/>
          <w:vertAlign w:val="subscript"/>
        </w:rPr>
        <w:t>n,q,p</w:t>
      </w:r>
      <w:r w:rsidRPr="007355B1">
        <w:rPr>
          <w:rFonts w:ascii="Bookman Old Style" w:hAnsi="Bookman Old Style"/>
          <w:spacing w:val="-3"/>
        </w:rPr>
        <w:t xml:space="preserve"> del SDL operado por Empresas Municipales de Cartago  S.A. E.S.P. es el siguiente:</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center"/>
        <w:rPr>
          <w:rFonts w:ascii="Bookman Old Style" w:hAnsi="Bookman Old Style"/>
          <w:spacing w:val="-3"/>
        </w:rPr>
      </w:pPr>
      <w:r w:rsidRPr="007355B1">
        <w:rPr>
          <w:rFonts w:ascii="Bookman Old Style" w:hAnsi="Bookman Old Style"/>
          <w:noProof/>
          <w:spacing w:val="-3"/>
          <w:lang w:val="es-CO" w:eastAsia="es-CO"/>
        </w:rPr>
        <w:drawing>
          <wp:inline distT="0" distB="0" distL="0" distR="0" wp14:anchorId="044CF82E" wp14:editId="17D9C0F9">
            <wp:extent cx="3162300" cy="3248025"/>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2300" cy="3248025"/>
                    </a:xfrm>
                    <a:prstGeom prst="rect">
                      <a:avLst/>
                    </a:prstGeom>
                    <a:noFill/>
                    <a:ln>
                      <a:noFill/>
                    </a:ln>
                  </pic:spPr>
                </pic:pic>
              </a:graphicData>
            </a:graphic>
          </wp:inline>
        </w:drawing>
      </w:r>
    </w:p>
    <w:p w:rsidR="007355B1" w:rsidRPr="007355B1" w:rsidRDefault="007355B1" w:rsidP="007355B1">
      <w:pPr>
        <w:ind w:left="0"/>
        <w:jc w:val="center"/>
        <w:rPr>
          <w:rFonts w:ascii="Bookman Old Style" w:hAnsi="Bookman Old Style"/>
          <w:spacing w:val="-3"/>
        </w:rPr>
      </w:pPr>
    </w:p>
    <w:p w:rsidR="007355B1" w:rsidRPr="007355B1" w:rsidRDefault="007355B1" w:rsidP="007355B1">
      <w:pPr>
        <w:ind w:left="0"/>
        <w:jc w:val="center"/>
        <w:rPr>
          <w:rFonts w:ascii="Bookman Old Style" w:hAnsi="Bookman Old Style"/>
          <w:bCs/>
          <w:spacing w:val="-3"/>
        </w:rPr>
      </w:pPr>
      <w:r w:rsidRPr="007355B1">
        <w:rPr>
          <w:rFonts w:ascii="Bookman Old Style" w:hAnsi="Bookman Old Style"/>
          <w:b/>
          <w:bCs/>
          <w:spacing w:val="-3"/>
        </w:rPr>
        <w:t xml:space="preserve">Tabla </w:t>
      </w:r>
      <w:r w:rsidRPr="007355B1">
        <w:rPr>
          <w:rFonts w:ascii="Bookman Old Style" w:hAnsi="Bookman Old Style"/>
          <w:b/>
          <w:bCs/>
          <w:spacing w:val="-3"/>
        </w:rPr>
        <w:fldChar w:fldCharType="begin"/>
      </w:r>
      <w:r w:rsidRPr="007355B1">
        <w:rPr>
          <w:rFonts w:ascii="Bookman Old Style" w:hAnsi="Bookman Old Style"/>
          <w:b/>
          <w:bCs/>
          <w:spacing w:val="-3"/>
        </w:rPr>
        <w:instrText xml:space="preserve"> SEQ Tabla \* ARABIC </w:instrText>
      </w:r>
      <w:r w:rsidRPr="007355B1">
        <w:rPr>
          <w:rFonts w:ascii="Bookman Old Style" w:hAnsi="Bookman Old Style"/>
          <w:b/>
          <w:bCs/>
          <w:spacing w:val="-3"/>
        </w:rPr>
        <w:fldChar w:fldCharType="separate"/>
      </w:r>
      <w:r w:rsidR="00D45364">
        <w:rPr>
          <w:rFonts w:ascii="Bookman Old Style" w:hAnsi="Bookman Old Style"/>
          <w:b/>
          <w:bCs/>
          <w:noProof/>
          <w:spacing w:val="-3"/>
        </w:rPr>
        <w:t>5</w:t>
      </w:r>
      <w:r w:rsidRPr="007355B1">
        <w:rPr>
          <w:rFonts w:ascii="Bookman Old Style" w:hAnsi="Bookman Old Style"/>
          <w:spacing w:val="-3"/>
        </w:rPr>
        <w:fldChar w:fldCharType="end"/>
      </w:r>
      <w:r w:rsidRPr="007355B1">
        <w:rPr>
          <w:rFonts w:ascii="Bookman Old Style" w:hAnsi="Bookman Old Style"/>
          <w:b/>
          <w:bCs/>
          <w:spacing w:val="-3"/>
        </w:rPr>
        <w:t xml:space="preserve">. </w:t>
      </w:r>
      <w:r w:rsidRPr="007355B1">
        <w:rPr>
          <w:rFonts w:ascii="Bookman Old Style" w:hAnsi="Bookman Old Style"/>
          <w:bCs/>
          <w:spacing w:val="-3"/>
        </w:rPr>
        <w:t>IRGP</w:t>
      </w:r>
      <w:r w:rsidRPr="007355B1">
        <w:rPr>
          <w:rFonts w:ascii="Bookman Old Style" w:hAnsi="Bookman Old Style"/>
          <w:b/>
          <w:bCs/>
          <w:spacing w:val="-3"/>
        </w:rPr>
        <w:t xml:space="preserve"> </w:t>
      </w:r>
      <w:r w:rsidRPr="007355B1">
        <w:rPr>
          <w:rFonts w:ascii="Bookman Old Style" w:hAnsi="Bookman Old Style"/>
          <w:bCs/>
          <w:spacing w:val="-3"/>
        </w:rPr>
        <w:t>para el nivel de tensión 1.</w:t>
      </w:r>
    </w:p>
    <w:p w:rsidR="007355B1" w:rsidRPr="007355B1" w:rsidRDefault="007355B1" w:rsidP="007355B1">
      <w:pPr>
        <w:ind w:left="0"/>
        <w:jc w:val="both"/>
        <w:rPr>
          <w:rFonts w:ascii="Bookman Old Style" w:hAnsi="Bookman Old Style"/>
          <w:spacing w:val="-3"/>
        </w:rPr>
      </w:pPr>
    </w:p>
    <w:p w:rsidR="007355B1" w:rsidRPr="007355B1" w:rsidRDefault="007355B1" w:rsidP="007355B1">
      <w:pPr>
        <w:ind w:left="0"/>
        <w:jc w:val="center"/>
        <w:rPr>
          <w:rFonts w:ascii="Bookman Old Style" w:hAnsi="Bookman Old Style"/>
          <w:spacing w:val="-3"/>
        </w:rPr>
      </w:pPr>
      <w:r w:rsidRPr="007355B1">
        <w:rPr>
          <w:rFonts w:ascii="Bookman Old Style" w:hAnsi="Bookman Old Style"/>
          <w:noProof/>
          <w:spacing w:val="-3"/>
          <w:lang w:val="es-CO" w:eastAsia="es-CO"/>
        </w:rPr>
        <w:lastRenderedPageBreak/>
        <w:drawing>
          <wp:inline distT="0" distB="0" distL="0" distR="0" wp14:anchorId="17CCD625" wp14:editId="283FFA12">
            <wp:extent cx="3219450" cy="3248025"/>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9450" cy="3248025"/>
                    </a:xfrm>
                    <a:prstGeom prst="rect">
                      <a:avLst/>
                    </a:prstGeom>
                    <a:noFill/>
                    <a:ln>
                      <a:noFill/>
                    </a:ln>
                  </pic:spPr>
                </pic:pic>
              </a:graphicData>
            </a:graphic>
          </wp:inline>
        </w:drawing>
      </w:r>
    </w:p>
    <w:p w:rsidR="007355B1" w:rsidRPr="007355B1" w:rsidRDefault="007355B1" w:rsidP="007355B1">
      <w:pPr>
        <w:ind w:left="0"/>
        <w:jc w:val="center"/>
        <w:rPr>
          <w:rFonts w:ascii="Bookman Old Style" w:hAnsi="Bookman Old Style"/>
          <w:spacing w:val="-3"/>
        </w:rPr>
      </w:pPr>
    </w:p>
    <w:p w:rsidR="007355B1" w:rsidRPr="007355B1" w:rsidRDefault="007355B1" w:rsidP="007355B1">
      <w:pPr>
        <w:ind w:left="0"/>
        <w:jc w:val="center"/>
        <w:rPr>
          <w:rFonts w:ascii="Bookman Old Style" w:hAnsi="Bookman Old Style"/>
          <w:b/>
          <w:bCs/>
          <w:spacing w:val="-3"/>
        </w:rPr>
      </w:pPr>
      <w:r w:rsidRPr="007355B1">
        <w:rPr>
          <w:rFonts w:ascii="Bookman Old Style" w:hAnsi="Bookman Old Style"/>
          <w:b/>
          <w:bCs/>
          <w:spacing w:val="-3"/>
        </w:rPr>
        <w:t xml:space="preserve">Tabla </w:t>
      </w:r>
      <w:r w:rsidRPr="007355B1">
        <w:rPr>
          <w:rFonts w:ascii="Bookman Old Style" w:hAnsi="Bookman Old Style"/>
          <w:b/>
          <w:bCs/>
          <w:spacing w:val="-3"/>
        </w:rPr>
        <w:fldChar w:fldCharType="begin"/>
      </w:r>
      <w:r w:rsidRPr="007355B1">
        <w:rPr>
          <w:rFonts w:ascii="Bookman Old Style" w:hAnsi="Bookman Old Style"/>
          <w:b/>
          <w:bCs/>
          <w:spacing w:val="-3"/>
        </w:rPr>
        <w:instrText xml:space="preserve"> SEQ Tabla \* ARABIC </w:instrText>
      </w:r>
      <w:r w:rsidRPr="007355B1">
        <w:rPr>
          <w:rFonts w:ascii="Bookman Old Style" w:hAnsi="Bookman Old Style"/>
          <w:b/>
          <w:bCs/>
          <w:spacing w:val="-3"/>
        </w:rPr>
        <w:fldChar w:fldCharType="separate"/>
      </w:r>
      <w:r w:rsidR="00D45364">
        <w:rPr>
          <w:rFonts w:ascii="Bookman Old Style" w:hAnsi="Bookman Old Style"/>
          <w:b/>
          <w:bCs/>
          <w:noProof/>
          <w:spacing w:val="-3"/>
        </w:rPr>
        <w:t>6</w:t>
      </w:r>
      <w:r w:rsidRPr="007355B1">
        <w:rPr>
          <w:rFonts w:ascii="Bookman Old Style" w:hAnsi="Bookman Old Style"/>
          <w:spacing w:val="-3"/>
        </w:rPr>
        <w:fldChar w:fldCharType="end"/>
      </w:r>
      <w:r w:rsidRPr="007355B1">
        <w:rPr>
          <w:rFonts w:ascii="Bookman Old Style" w:hAnsi="Bookman Old Style"/>
          <w:b/>
          <w:bCs/>
          <w:spacing w:val="-3"/>
        </w:rPr>
        <w:t xml:space="preserve">. </w:t>
      </w:r>
      <w:r w:rsidRPr="007355B1">
        <w:rPr>
          <w:rFonts w:ascii="Bookman Old Style" w:hAnsi="Bookman Old Style"/>
          <w:bCs/>
          <w:spacing w:val="-3"/>
        </w:rPr>
        <w:t>IRGP</w:t>
      </w:r>
      <w:r w:rsidRPr="007355B1">
        <w:rPr>
          <w:rFonts w:ascii="Bookman Old Style" w:hAnsi="Bookman Old Style"/>
          <w:b/>
          <w:bCs/>
          <w:spacing w:val="-3"/>
        </w:rPr>
        <w:t xml:space="preserve"> </w:t>
      </w:r>
      <w:r w:rsidRPr="007355B1">
        <w:rPr>
          <w:rFonts w:ascii="Bookman Old Style" w:hAnsi="Bookman Old Style"/>
          <w:bCs/>
          <w:spacing w:val="-3"/>
        </w:rPr>
        <w:t>para el nivel de tensión 2 y 3 agregado.</w:t>
      </w:r>
    </w:p>
    <w:p w:rsidR="007355B1" w:rsidRPr="007355B1" w:rsidRDefault="007355B1" w:rsidP="007355B1">
      <w:pPr>
        <w:ind w:left="0"/>
        <w:jc w:val="both"/>
        <w:rPr>
          <w:rFonts w:ascii="Bookman Old Style" w:hAnsi="Bookman Old Style"/>
          <w:b/>
          <w:spacing w:val="-3"/>
        </w:rPr>
      </w:pPr>
    </w:p>
    <w:p w:rsidR="007355B1" w:rsidRPr="007355B1" w:rsidRDefault="007355B1" w:rsidP="007355B1">
      <w:pPr>
        <w:numPr>
          <w:ilvl w:val="0"/>
          <w:numId w:val="16"/>
        </w:numPr>
        <w:jc w:val="both"/>
        <w:rPr>
          <w:rFonts w:ascii="Bookman Old Style" w:hAnsi="Bookman Old Style"/>
          <w:b/>
          <w:spacing w:val="-3"/>
        </w:rPr>
      </w:pPr>
      <w:r w:rsidRPr="007355B1">
        <w:rPr>
          <w:rFonts w:ascii="Bookman Old Style" w:hAnsi="Bookman Old Style"/>
          <w:b/>
          <w:bCs/>
          <w:spacing w:val="-3"/>
        </w:rPr>
        <w:t>Vigencia.</w:t>
      </w:r>
      <w:r w:rsidRPr="007355B1">
        <w:rPr>
          <w:rFonts w:ascii="Bookman Old Style" w:hAnsi="Bookman Old Style"/>
          <w:spacing w:val="-3"/>
        </w:rPr>
        <w:t xml:space="preserve"> Los valores aprobados en esta Resolución estarán vigentes desde la fecha en que quede en firme.</w:t>
      </w:r>
    </w:p>
    <w:p w:rsidR="007355B1" w:rsidRPr="007355B1" w:rsidRDefault="007355B1" w:rsidP="007355B1">
      <w:pPr>
        <w:ind w:left="0"/>
        <w:jc w:val="both"/>
        <w:rPr>
          <w:rFonts w:ascii="Bookman Old Style" w:hAnsi="Bookman Old Style"/>
          <w:b/>
          <w:spacing w:val="-3"/>
        </w:rPr>
      </w:pPr>
    </w:p>
    <w:p w:rsidR="007355B1" w:rsidRPr="007355B1" w:rsidRDefault="007355B1" w:rsidP="007355B1">
      <w:pPr>
        <w:numPr>
          <w:ilvl w:val="0"/>
          <w:numId w:val="16"/>
        </w:numPr>
        <w:jc w:val="both"/>
        <w:rPr>
          <w:rFonts w:ascii="Bookman Old Style" w:hAnsi="Bookman Old Style"/>
          <w:spacing w:val="-3"/>
        </w:rPr>
      </w:pPr>
      <w:r w:rsidRPr="007355B1">
        <w:rPr>
          <w:rFonts w:ascii="Bookman Old Style" w:hAnsi="Bookman Old Style"/>
          <w:b/>
          <w:bCs/>
          <w:spacing w:val="-3"/>
        </w:rPr>
        <w:t xml:space="preserve">Recursos. </w:t>
      </w:r>
      <w:r w:rsidRPr="007355B1">
        <w:rPr>
          <w:rFonts w:ascii="Bookman Old Style" w:hAnsi="Bookman Old Style"/>
          <w:spacing w:val="-3"/>
        </w:rPr>
        <w:t xml:space="preserve">La presente Resolución deberá notificarse a Empresas Municipales de Cartago  S.A. E.S.P. y publicarse en el </w:t>
      </w:r>
      <w:r w:rsidRPr="007355B1">
        <w:rPr>
          <w:rFonts w:ascii="Bookman Old Style" w:hAnsi="Bookman Old Style"/>
          <w:i/>
          <w:spacing w:val="-3"/>
        </w:rPr>
        <w:t>Diario Oficial</w:t>
      </w:r>
      <w:r w:rsidRPr="007355B1">
        <w:rPr>
          <w:rFonts w:ascii="Bookman Old Style" w:hAnsi="Bookman Old Style"/>
          <w:spacing w:val="-3"/>
        </w:rPr>
        <w:t>. Contra lo dispuesto en este acto procede el recurso de reposición, el cual se podrá interponer ante la Dirección Ejecutiva de la CREG dentro de los cinco (5) días hábiles siguientes a la fecha de su notificación.</w:t>
      </w:r>
    </w:p>
    <w:p w:rsidR="007355B1" w:rsidRPr="007355B1" w:rsidRDefault="007355B1" w:rsidP="007355B1">
      <w:pPr>
        <w:ind w:left="0"/>
        <w:jc w:val="both"/>
        <w:rPr>
          <w:rFonts w:ascii="Bookman Old Style" w:hAnsi="Bookman Old Style"/>
          <w:spacing w:val="-3"/>
        </w:rPr>
      </w:pPr>
    </w:p>
    <w:p w:rsidR="00E433F6" w:rsidRPr="000058F4" w:rsidRDefault="00E433F6" w:rsidP="00E433F6">
      <w:pPr>
        <w:ind w:left="0"/>
        <w:rPr>
          <w:rFonts w:ascii="Bookman Old Style" w:hAnsi="Bookman Old Style"/>
        </w:rPr>
      </w:pPr>
    </w:p>
    <w:p w:rsidR="00E433F6" w:rsidRPr="000058F4" w:rsidRDefault="00E433F6" w:rsidP="00E433F6">
      <w:pPr>
        <w:ind w:left="0"/>
        <w:jc w:val="center"/>
        <w:rPr>
          <w:rFonts w:ascii="Bookman Old Style" w:hAnsi="Bookman Old Style"/>
          <w:b/>
        </w:rPr>
      </w:pPr>
      <w:r w:rsidRPr="000058F4">
        <w:rPr>
          <w:rFonts w:ascii="Bookman Old Style" w:hAnsi="Bookman Old Style"/>
          <w:b/>
        </w:rPr>
        <w:t>NOTIFÍQUESE</w:t>
      </w:r>
      <w:r w:rsidR="001C7022">
        <w:rPr>
          <w:rFonts w:ascii="Bookman Old Style" w:hAnsi="Bookman Old Style"/>
          <w:b/>
        </w:rPr>
        <w:t>, PUBLÍQUESE</w:t>
      </w:r>
      <w:r w:rsidRPr="000058F4">
        <w:rPr>
          <w:rFonts w:ascii="Bookman Old Style" w:hAnsi="Bookman Old Style"/>
          <w:b/>
        </w:rPr>
        <w:t xml:space="preserve"> Y CÚMPLASE</w:t>
      </w:r>
    </w:p>
    <w:p w:rsidR="00E433F6" w:rsidRPr="000058F4" w:rsidRDefault="00E433F6" w:rsidP="00E433F6">
      <w:pPr>
        <w:ind w:left="0"/>
        <w:rPr>
          <w:rFonts w:ascii="Bookman Old Style" w:hAnsi="Bookman Old Style"/>
        </w:rPr>
      </w:pPr>
    </w:p>
    <w:p w:rsidR="000E6937" w:rsidRPr="000058F4" w:rsidRDefault="000E6937" w:rsidP="00E433F6">
      <w:pPr>
        <w:ind w:left="0"/>
        <w:rPr>
          <w:rFonts w:ascii="Bookman Old Style" w:hAnsi="Bookman Old Style"/>
        </w:rPr>
      </w:pPr>
    </w:p>
    <w:p w:rsidR="00E433F6" w:rsidRPr="000058F4" w:rsidRDefault="00E433F6" w:rsidP="00E433F6">
      <w:pPr>
        <w:ind w:left="0"/>
        <w:rPr>
          <w:rFonts w:ascii="Bookman Old Style" w:hAnsi="Bookman Old Style"/>
        </w:rPr>
      </w:pPr>
      <w:r w:rsidRPr="000058F4">
        <w:rPr>
          <w:rFonts w:ascii="Bookman Old Style" w:hAnsi="Bookman Old Style"/>
        </w:rPr>
        <w:t>Dada en Bogotá. D. C., a los</w:t>
      </w:r>
    </w:p>
    <w:p w:rsidR="00E433F6" w:rsidRDefault="00E433F6"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Pr="000058F4" w:rsidRDefault="002D7BCF" w:rsidP="00E433F6">
      <w:pPr>
        <w:rPr>
          <w:rFonts w:ascii="Bookman Old Style" w:hAnsi="Bookman Old Style"/>
        </w:rPr>
      </w:pPr>
    </w:p>
    <w:tbl>
      <w:tblPr>
        <w:tblW w:w="0" w:type="auto"/>
        <w:tblInd w:w="-142" w:type="dxa"/>
        <w:tblLayout w:type="fixed"/>
        <w:tblCellMar>
          <w:left w:w="0" w:type="dxa"/>
          <w:right w:w="0" w:type="dxa"/>
        </w:tblCellMar>
        <w:tblLook w:val="0000" w:firstRow="0" w:lastRow="0" w:firstColumn="0" w:lastColumn="0" w:noHBand="0" w:noVBand="0"/>
      </w:tblPr>
      <w:tblGrid>
        <w:gridCol w:w="5104"/>
        <w:gridCol w:w="4394"/>
      </w:tblGrid>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TOMÁS GONZÁLEZ ESTRADA</w:t>
            </w:r>
          </w:p>
        </w:tc>
        <w:tc>
          <w:tcPr>
            <w:tcW w:w="439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JAVIER AUGUSTO DÍAZ VELASCO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Viceministro de Minas y Energía</w:t>
            </w:r>
            <w:r w:rsidRPr="000377B0">
              <w:rPr>
                <w:rFonts w:ascii="Bookman Old Style" w:hAnsi="Bookman Old Style" w:cs="Arial"/>
                <w:szCs w:val="22"/>
              </w:rPr>
              <w:br/>
              <w:t>Delegado del Ministro de Minas y Energía</w:t>
            </w:r>
          </w:p>
        </w:tc>
        <w:tc>
          <w:tcPr>
            <w:tcW w:w="439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Director Ejecutivo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Presidente</w:t>
            </w:r>
          </w:p>
        </w:tc>
        <w:tc>
          <w:tcPr>
            <w:tcW w:w="4394" w:type="dxa"/>
          </w:tcPr>
          <w:p w:rsidR="002D7BCF" w:rsidRPr="000377B0" w:rsidRDefault="002D7BCF" w:rsidP="007E6AB5">
            <w:pPr>
              <w:snapToGrid w:val="0"/>
              <w:rPr>
                <w:rFonts w:ascii="Bookman Old Style" w:hAnsi="Bookman Old Style" w:cs="Arial"/>
                <w:szCs w:val="22"/>
              </w:rPr>
            </w:pPr>
          </w:p>
        </w:tc>
      </w:tr>
    </w:tbl>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sectPr w:rsidR="00E433F6" w:rsidRPr="000058F4"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F6F" w:rsidRDefault="00CC3F6F">
      <w:r>
        <w:separator/>
      </w:r>
    </w:p>
  </w:endnote>
  <w:endnote w:type="continuationSeparator" w:id="0">
    <w:p w:rsidR="00CC3F6F" w:rsidRDefault="00CC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F6F" w:rsidRDefault="00CC3F6F">
      <w:r>
        <w:separator/>
      </w:r>
    </w:p>
  </w:footnote>
  <w:footnote w:type="continuationSeparator" w:id="0">
    <w:p w:rsidR="00CC3F6F" w:rsidRDefault="00CC3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951F79">
    <w:pPr>
      <w:pStyle w:val="Ttulo1"/>
      <w:ind w:right="6"/>
      <w:jc w:val="left"/>
      <w:rPr>
        <w:rFonts w:ascii="Bookman Old Style" w:hAnsi="Bookman Old Style" w:cs="Arial"/>
        <w:b w:val="0"/>
        <w:sz w:val="22"/>
        <w:szCs w:val="22"/>
      </w:rPr>
    </w:pPr>
  </w:p>
  <w:p w:rsidR="00634693" w:rsidRPr="00951F79" w:rsidRDefault="0063469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7845E1"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7845E1" w:rsidRPr="00654384">
      <w:rPr>
        <w:rFonts w:ascii="Bookman Old Style" w:hAnsi="Bookman Old Style" w:cs="Arial"/>
        <w:b w:val="0"/>
        <w:sz w:val="22"/>
        <w:szCs w:val="22"/>
      </w:rPr>
      <w:fldChar w:fldCharType="separate"/>
    </w:r>
    <w:r w:rsidR="00550070">
      <w:rPr>
        <w:rFonts w:ascii="Bookman Old Style" w:hAnsi="Bookman Old Style" w:cs="Arial"/>
        <w:b w:val="0"/>
        <w:noProof/>
        <w:sz w:val="22"/>
        <w:szCs w:val="22"/>
      </w:rPr>
      <w:t>5</w:t>
    </w:r>
    <w:r w:rsidR="007845E1"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550070" w:rsidRPr="00550070">
        <w:rPr>
          <w:rFonts w:ascii="Bookman Old Style" w:hAnsi="Bookman Old Style" w:cs="Arial"/>
          <w:b w:val="0"/>
          <w:noProof/>
          <w:sz w:val="22"/>
          <w:szCs w:val="22"/>
        </w:rPr>
        <w:t>5</w:t>
      </w:r>
    </w:fldSimple>
  </w:p>
  <w:p w:rsidR="00634693" w:rsidRDefault="00F342B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33A9DB4" wp14:editId="3AC0E7DD">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34693" w:rsidRPr="00CB5DD0" w:rsidRDefault="00DF375A" w:rsidP="00DF375A">
    <w:pPr>
      <w:pBdr>
        <w:bottom w:val="single" w:sz="4" w:space="1" w:color="auto"/>
      </w:pBdr>
      <w:ind w:left="142" w:right="148"/>
      <w:rPr>
        <w:b/>
      </w:rPr>
    </w:pPr>
    <w:r w:rsidRPr="00DF375A">
      <w:rPr>
        <w:rFonts w:ascii="Bookman Old Style" w:hAnsi="Bookman Old Style" w:cs="Arial"/>
        <w:spacing w:val="-3"/>
        <w:sz w:val="22"/>
        <w:szCs w:val="22"/>
        <w:lang w:val="es-ES_tradnl"/>
      </w:rPr>
      <w:t>Por la cual se establece</w:t>
    </w:r>
    <w:r>
      <w:rPr>
        <w:rFonts w:ascii="Bookman Old Style" w:hAnsi="Bookman Old Style" w:cs="Arial"/>
        <w:spacing w:val="-3"/>
        <w:sz w:val="22"/>
        <w:szCs w:val="22"/>
        <w:lang w:val="es-ES_tradnl"/>
      </w:rPr>
      <w:t>n</w:t>
    </w:r>
    <w:r w:rsidRPr="00DF375A">
      <w:rPr>
        <w:rFonts w:ascii="Bookman Old Style" w:hAnsi="Bookman Old Style" w:cs="Arial"/>
        <w:spacing w:val="-3"/>
        <w:sz w:val="22"/>
        <w:szCs w:val="22"/>
        <w:lang w:val="es-ES_tradnl"/>
      </w:rPr>
      <w:t xml:space="preserve"> los Índices de Referencia de la Discontinuidad </w:t>
    </w:r>
    <w:r w:rsidR="008258A1">
      <w:rPr>
        <w:rFonts w:ascii="Bookman Old Style" w:hAnsi="Bookman Old Style" w:cs="Arial"/>
        <w:spacing w:val="-3"/>
        <w:sz w:val="22"/>
        <w:szCs w:val="22"/>
        <w:lang w:val="es-ES_tradnl"/>
      </w:rPr>
      <w:t>de Empresas Municipales de Cartago S.A. E.S.P.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34693" w:rsidRDefault="00634693">
    <w:pPr>
      <w:pStyle w:val="Encabezado"/>
      <w:jc w:val="center"/>
      <w:rPr>
        <w:rFonts w:ascii="Arial" w:hAnsi="Arial" w:cs="Arial"/>
        <w:spacing w:val="20"/>
        <w:sz w:val="20"/>
      </w:rPr>
    </w:pPr>
  </w:p>
  <w:p w:rsidR="00634693" w:rsidRDefault="00F342B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8">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4"/>
  </w:num>
  <w:num w:numId="5">
    <w:abstractNumId w:val="10"/>
  </w:num>
  <w:num w:numId="6">
    <w:abstractNumId w:val="2"/>
  </w:num>
  <w:num w:numId="7">
    <w:abstractNumId w:val="1"/>
  </w:num>
  <w:num w:numId="8">
    <w:abstractNumId w:val="12"/>
  </w:num>
  <w:num w:numId="9">
    <w:abstractNumId w:val="11"/>
  </w:num>
  <w:num w:numId="10">
    <w:abstractNumId w:val="8"/>
  </w:num>
  <w:num w:numId="11">
    <w:abstractNumId w:val="15"/>
  </w:num>
  <w:num w:numId="12">
    <w:abstractNumId w:val="13"/>
  </w:num>
  <w:num w:numId="13">
    <w:abstractNumId w:val="5"/>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8F4"/>
    <w:rsid w:val="00006AE2"/>
    <w:rsid w:val="000076A1"/>
    <w:rsid w:val="00012259"/>
    <w:rsid w:val="00025383"/>
    <w:rsid w:val="00063657"/>
    <w:rsid w:val="000658B0"/>
    <w:rsid w:val="00076680"/>
    <w:rsid w:val="0007691B"/>
    <w:rsid w:val="0008073E"/>
    <w:rsid w:val="00081F53"/>
    <w:rsid w:val="00091CDB"/>
    <w:rsid w:val="000A19AC"/>
    <w:rsid w:val="000A5B9E"/>
    <w:rsid w:val="000B5996"/>
    <w:rsid w:val="000D26F8"/>
    <w:rsid w:val="000E6937"/>
    <w:rsid w:val="000F0B28"/>
    <w:rsid w:val="000F1EE3"/>
    <w:rsid w:val="00100F33"/>
    <w:rsid w:val="0010128A"/>
    <w:rsid w:val="00133081"/>
    <w:rsid w:val="001405C6"/>
    <w:rsid w:val="00141013"/>
    <w:rsid w:val="00144CD3"/>
    <w:rsid w:val="001710FF"/>
    <w:rsid w:val="001715E0"/>
    <w:rsid w:val="00192CBF"/>
    <w:rsid w:val="00192FF1"/>
    <w:rsid w:val="001A5F1B"/>
    <w:rsid w:val="001A7196"/>
    <w:rsid w:val="001B1C22"/>
    <w:rsid w:val="001B34C6"/>
    <w:rsid w:val="001C098B"/>
    <w:rsid w:val="001C5E02"/>
    <w:rsid w:val="001C7022"/>
    <w:rsid w:val="001D7832"/>
    <w:rsid w:val="001E6CFF"/>
    <w:rsid w:val="00211D34"/>
    <w:rsid w:val="00214F04"/>
    <w:rsid w:val="002520A5"/>
    <w:rsid w:val="00266CD6"/>
    <w:rsid w:val="0028277C"/>
    <w:rsid w:val="002B11E2"/>
    <w:rsid w:val="002B24B8"/>
    <w:rsid w:val="002C78A3"/>
    <w:rsid w:val="002D3AE9"/>
    <w:rsid w:val="002D7BCF"/>
    <w:rsid w:val="002E0422"/>
    <w:rsid w:val="002E27FA"/>
    <w:rsid w:val="002F0734"/>
    <w:rsid w:val="002F46E7"/>
    <w:rsid w:val="00304B6E"/>
    <w:rsid w:val="003101DA"/>
    <w:rsid w:val="00314757"/>
    <w:rsid w:val="003211CE"/>
    <w:rsid w:val="003428D1"/>
    <w:rsid w:val="0035403A"/>
    <w:rsid w:val="0035549C"/>
    <w:rsid w:val="0036394B"/>
    <w:rsid w:val="003709B5"/>
    <w:rsid w:val="00370BD1"/>
    <w:rsid w:val="003759C2"/>
    <w:rsid w:val="00397365"/>
    <w:rsid w:val="003A31F6"/>
    <w:rsid w:val="003B6B6E"/>
    <w:rsid w:val="003C3447"/>
    <w:rsid w:val="003D076C"/>
    <w:rsid w:val="003E5019"/>
    <w:rsid w:val="003E63C6"/>
    <w:rsid w:val="00415BAB"/>
    <w:rsid w:val="00415ED2"/>
    <w:rsid w:val="0042068C"/>
    <w:rsid w:val="0043189C"/>
    <w:rsid w:val="004408E5"/>
    <w:rsid w:val="0047122B"/>
    <w:rsid w:val="00473B7A"/>
    <w:rsid w:val="0048139F"/>
    <w:rsid w:val="00483942"/>
    <w:rsid w:val="00485F87"/>
    <w:rsid w:val="00486AA2"/>
    <w:rsid w:val="004932B1"/>
    <w:rsid w:val="004960E9"/>
    <w:rsid w:val="004A1EC8"/>
    <w:rsid w:val="004A2E88"/>
    <w:rsid w:val="004A5305"/>
    <w:rsid w:val="004B6CE9"/>
    <w:rsid w:val="004D1D3A"/>
    <w:rsid w:val="004D53CD"/>
    <w:rsid w:val="004D7634"/>
    <w:rsid w:val="00503E41"/>
    <w:rsid w:val="005300D3"/>
    <w:rsid w:val="00535285"/>
    <w:rsid w:val="00544F82"/>
    <w:rsid w:val="00550070"/>
    <w:rsid w:val="00571353"/>
    <w:rsid w:val="00585D3A"/>
    <w:rsid w:val="00593C4F"/>
    <w:rsid w:val="005946A8"/>
    <w:rsid w:val="005A4407"/>
    <w:rsid w:val="005A59EF"/>
    <w:rsid w:val="005A6994"/>
    <w:rsid w:val="005E04BC"/>
    <w:rsid w:val="00601E4A"/>
    <w:rsid w:val="0061647C"/>
    <w:rsid w:val="00625DC6"/>
    <w:rsid w:val="00627105"/>
    <w:rsid w:val="00634693"/>
    <w:rsid w:val="00635C1B"/>
    <w:rsid w:val="0064398F"/>
    <w:rsid w:val="00645CB6"/>
    <w:rsid w:val="00646F87"/>
    <w:rsid w:val="00651821"/>
    <w:rsid w:val="00654384"/>
    <w:rsid w:val="00666CE7"/>
    <w:rsid w:val="006675CD"/>
    <w:rsid w:val="00670BC4"/>
    <w:rsid w:val="00684D9B"/>
    <w:rsid w:val="0069382C"/>
    <w:rsid w:val="00697556"/>
    <w:rsid w:val="006B4C2B"/>
    <w:rsid w:val="006B6D47"/>
    <w:rsid w:val="006C0DD6"/>
    <w:rsid w:val="006F6D95"/>
    <w:rsid w:val="00706F13"/>
    <w:rsid w:val="007072E8"/>
    <w:rsid w:val="007104E9"/>
    <w:rsid w:val="0071618D"/>
    <w:rsid w:val="00723E40"/>
    <w:rsid w:val="00725FA4"/>
    <w:rsid w:val="007355B1"/>
    <w:rsid w:val="00740446"/>
    <w:rsid w:val="007438A9"/>
    <w:rsid w:val="0074491E"/>
    <w:rsid w:val="0074794B"/>
    <w:rsid w:val="00755584"/>
    <w:rsid w:val="00761656"/>
    <w:rsid w:val="00775964"/>
    <w:rsid w:val="007845E1"/>
    <w:rsid w:val="00795BFB"/>
    <w:rsid w:val="00797BD0"/>
    <w:rsid w:val="007A1915"/>
    <w:rsid w:val="007B2760"/>
    <w:rsid w:val="007C5B9C"/>
    <w:rsid w:val="007D428F"/>
    <w:rsid w:val="007E453B"/>
    <w:rsid w:val="007E65B5"/>
    <w:rsid w:val="008012A9"/>
    <w:rsid w:val="00806C01"/>
    <w:rsid w:val="00811BEF"/>
    <w:rsid w:val="008148CC"/>
    <w:rsid w:val="00816EAA"/>
    <w:rsid w:val="008211A4"/>
    <w:rsid w:val="00821345"/>
    <w:rsid w:val="008258A1"/>
    <w:rsid w:val="00845514"/>
    <w:rsid w:val="008531E3"/>
    <w:rsid w:val="00873150"/>
    <w:rsid w:val="0087657D"/>
    <w:rsid w:val="008775D5"/>
    <w:rsid w:val="008807D5"/>
    <w:rsid w:val="00880832"/>
    <w:rsid w:val="00886EE1"/>
    <w:rsid w:val="0088727D"/>
    <w:rsid w:val="00897C75"/>
    <w:rsid w:val="008C1130"/>
    <w:rsid w:val="008D18E6"/>
    <w:rsid w:val="008D7A9B"/>
    <w:rsid w:val="008E76AC"/>
    <w:rsid w:val="008F21F6"/>
    <w:rsid w:val="008F4F9A"/>
    <w:rsid w:val="0093246C"/>
    <w:rsid w:val="00951F79"/>
    <w:rsid w:val="00974AB5"/>
    <w:rsid w:val="00974C38"/>
    <w:rsid w:val="0098706D"/>
    <w:rsid w:val="00991DE5"/>
    <w:rsid w:val="009935FB"/>
    <w:rsid w:val="009C14F9"/>
    <w:rsid w:val="009C3EF0"/>
    <w:rsid w:val="009F4A54"/>
    <w:rsid w:val="009F4BEC"/>
    <w:rsid w:val="00A17C23"/>
    <w:rsid w:val="00A17E0C"/>
    <w:rsid w:val="00A25FD7"/>
    <w:rsid w:val="00A33C22"/>
    <w:rsid w:val="00A43AFF"/>
    <w:rsid w:val="00A621D6"/>
    <w:rsid w:val="00A64866"/>
    <w:rsid w:val="00A703A8"/>
    <w:rsid w:val="00A7793A"/>
    <w:rsid w:val="00A77D85"/>
    <w:rsid w:val="00A85B4B"/>
    <w:rsid w:val="00A95565"/>
    <w:rsid w:val="00AA0080"/>
    <w:rsid w:val="00AA363D"/>
    <w:rsid w:val="00AA5A4E"/>
    <w:rsid w:val="00AA7405"/>
    <w:rsid w:val="00AB666A"/>
    <w:rsid w:val="00AB6CA7"/>
    <w:rsid w:val="00AD01E4"/>
    <w:rsid w:val="00AD0858"/>
    <w:rsid w:val="00AE0B57"/>
    <w:rsid w:val="00AE7340"/>
    <w:rsid w:val="00AF145B"/>
    <w:rsid w:val="00AF1BBD"/>
    <w:rsid w:val="00AF37E2"/>
    <w:rsid w:val="00B04DAE"/>
    <w:rsid w:val="00B07506"/>
    <w:rsid w:val="00B10207"/>
    <w:rsid w:val="00B11959"/>
    <w:rsid w:val="00B12755"/>
    <w:rsid w:val="00B141E7"/>
    <w:rsid w:val="00B162A5"/>
    <w:rsid w:val="00B23461"/>
    <w:rsid w:val="00B23D09"/>
    <w:rsid w:val="00B351B4"/>
    <w:rsid w:val="00B40B8F"/>
    <w:rsid w:val="00B46BCA"/>
    <w:rsid w:val="00B66DCE"/>
    <w:rsid w:val="00B72766"/>
    <w:rsid w:val="00B86F7B"/>
    <w:rsid w:val="00B87806"/>
    <w:rsid w:val="00B87EC9"/>
    <w:rsid w:val="00BB0715"/>
    <w:rsid w:val="00BC38FD"/>
    <w:rsid w:val="00BD7B34"/>
    <w:rsid w:val="00C034CB"/>
    <w:rsid w:val="00C04F7A"/>
    <w:rsid w:val="00C051A8"/>
    <w:rsid w:val="00C054BC"/>
    <w:rsid w:val="00C0577A"/>
    <w:rsid w:val="00C1014F"/>
    <w:rsid w:val="00C17897"/>
    <w:rsid w:val="00C22A01"/>
    <w:rsid w:val="00C34904"/>
    <w:rsid w:val="00C34EAF"/>
    <w:rsid w:val="00C409D5"/>
    <w:rsid w:val="00C466B5"/>
    <w:rsid w:val="00C6234B"/>
    <w:rsid w:val="00C63EAE"/>
    <w:rsid w:val="00C746E7"/>
    <w:rsid w:val="00C7629F"/>
    <w:rsid w:val="00C8065C"/>
    <w:rsid w:val="00C8661B"/>
    <w:rsid w:val="00CA139A"/>
    <w:rsid w:val="00CA2899"/>
    <w:rsid w:val="00CA77FB"/>
    <w:rsid w:val="00CB379B"/>
    <w:rsid w:val="00CB5DD0"/>
    <w:rsid w:val="00CB7BD9"/>
    <w:rsid w:val="00CC3F6F"/>
    <w:rsid w:val="00CC51D4"/>
    <w:rsid w:val="00CC65DA"/>
    <w:rsid w:val="00CF21B9"/>
    <w:rsid w:val="00CF6BF9"/>
    <w:rsid w:val="00D03800"/>
    <w:rsid w:val="00D065D3"/>
    <w:rsid w:val="00D14C94"/>
    <w:rsid w:val="00D159D8"/>
    <w:rsid w:val="00D342A6"/>
    <w:rsid w:val="00D34DBB"/>
    <w:rsid w:val="00D45364"/>
    <w:rsid w:val="00D464BF"/>
    <w:rsid w:val="00D53E26"/>
    <w:rsid w:val="00D5698E"/>
    <w:rsid w:val="00D670AA"/>
    <w:rsid w:val="00D7616D"/>
    <w:rsid w:val="00D84DFF"/>
    <w:rsid w:val="00D922E9"/>
    <w:rsid w:val="00DB451C"/>
    <w:rsid w:val="00DB51C7"/>
    <w:rsid w:val="00DD4F0E"/>
    <w:rsid w:val="00DD7C59"/>
    <w:rsid w:val="00DF0ACF"/>
    <w:rsid w:val="00DF375A"/>
    <w:rsid w:val="00E00AAF"/>
    <w:rsid w:val="00E05E0A"/>
    <w:rsid w:val="00E27B4D"/>
    <w:rsid w:val="00E37FB9"/>
    <w:rsid w:val="00E433F6"/>
    <w:rsid w:val="00E534CF"/>
    <w:rsid w:val="00E81CB4"/>
    <w:rsid w:val="00E8585B"/>
    <w:rsid w:val="00E93051"/>
    <w:rsid w:val="00E94997"/>
    <w:rsid w:val="00EA3F15"/>
    <w:rsid w:val="00EA40C9"/>
    <w:rsid w:val="00EA7847"/>
    <w:rsid w:val="00EC16C2"/>
    <w:rsid w:val="00EC6D45"/>
    <w:rsid w:val="00EE2E6E"/>
    <w:rsid w:val="00EF0538"/>
    <w:rsid w:val="00EF5C39"/>
    <w:rsid w:val="00F0759E"/>
    <w:rsid w:val="00F12BA5"/>
    <w:rsid w:val="00F342B4"/>
    <w:rsid w:val="00F43023"/>
    <w:rsid w:val="00F45935"/>
    <w:rsid w:val="00F6312E"/>
    <w:rsid w:val="00F821A3"/>
    <w:rsid w:val="00F86847"/>
    <w:rsid w:val="00F9314A"/>
    <w:rsid w:val="00FB29AB"/>
    <w:rsid w:val="00FC4E3D"/>
    <w:rsid w:val="00FC58EF"/>
    <w:rsid w:val="00FD33DF"/>
    <w:rsid w:val="00FE39D7"/>
    <w:rsid w:val="00FE4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2CE4A-947D-46CE-8B0C-CF34D584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1119</Words>
  <Characters>6158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2011-04-07T20:31:00Z</cp:lastPrinted>
  <dcterms:created xsi:type="dcterms:W3CDTF">2011-04-26T16:51:00Z</dcterms:created>
  <dcterms:modified xsi:type="dcterms:W3CDTF">2011-04-26T16:51:00Z</dcterms:modified>
</cp:coreProperties>
</file>