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55E0" w14:textId="36911C3C" w:rsidR="00625DC6" w:rsidRPr="00E060BE" w:rsidRDefault="004054E5"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39192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695564022" r:id="rId12"/>
        </w:object>
      </w:r>
    </w:p>
    <w:p w14:paraId="5879349C" w14:textId="77777777" w:rsidR="00DF2CD7" w:rsidRPr="001A11B2" w:rsidRDefault="00DF2CD7" w:rsidP="00DF2CD7">
      <w:pPr>
        <w:pStyle w:val="Ttulo4"/>
        <w:tabs>
          <w:tab w:val="left" w:pos="0"/>
          <w:tab w:val="right" w:pos="9356"/>
        </w:tabs>
        <w:ind w:left="0"/>
        <w:rPr>
          <w:rFonts w:ascii="Bookman Old Style" w:hAnsi="Bookman Old Style"/>
          <w:b w:val="0"/>
          <w:bCs/>
          <w:noProof/>
          <w:sz w:val="24"/>
          <w:szCs w:val="24"/>
          <w:lang w:val="es-ES"/>
        </w:rPr>
      </w:pPr>
      <w:r w:rsidRPr="001A11B2">
        <w:rPr>
          <w:rFonts w:ascii="Bookman Old Style" w:hAnsi="Bookman Old Style"/>
          <w:b w:val="0"/>
          <w:bCs/>
          <w:sz w:val="24"/>
          <w:szCs w:val="24"/>
        </w:rPr>
        <w:t>Ministerio de Minas y Energía</w:t>
      </w:r>
    </w:p>
    <w:p w14:paraId="19BAB380" w14:textId="77777777" w:rsidR="00DF2CD7" w:rsidRPr="001A11B2" w:rsidRDefault="00DF2CD7" w:rsidP="00DF2CD7">
      <w:pPr>
        <w:pStyle w:val="Ttulo3"/>
        <w:tabs>
          <w:tab w:val="left" w:pos="0"/>
          <w:tab w:val="right" w:pos="9356"/>
        </w:tabs>
        <w:ind w:left="0"/>
        <w:rPr>
          <w:rFonts w:ascii="Bookman Old Style" w:hAnsi="Bookman Old Style" w:cs="Arial"/>
          <w:spacing w:val="20"/>
          <w:szCs w:val="24"/>
        </w:rPr>
      </w:pPr>
    </w:p>
    <w:p w14:paraId="2A8500CE" w14:textId="77777777" w:rsidR="00DF2CD7" w:rsidRPr="001A11B2" w:rsidRDefault="00DF2CD7" w:rsidP="00DF2CD7">
      <w:pPr>
        <w:pStyle w:val="Ttulo3"/>
        <w:ind w:left="0"/>
        <w:rPr>
          <w:rFonts w:ascii="Bookman Old Style" w:hAnsi="Bookman Old Style"/>
        </w:rPr>
      </w:pPr>
      <w:r w:rsidRPr="001A11B2">
        <w:rPr>
          <w:rFonts w:ascii="Bookman Old Style" w:hAnsi="Bookman Old Style"/>
        </w:rPr>
        <w:t>COMISIÓN DE REGULACIÓN DE ENERGÍA Y GAS</w:t>
      </w:r>
    </w:p>
    <w:p w14:paraId="082D9466" w14:textId="77777777" w:rsidR="00DF2CD7" w:rsidRPr="001A11B2" w:rsidRDefault="00DF2CD7" w:rsidP="00DF2CD7">
      <w:pPr>
        <w:pStyle w:val="Ttulo5"/>
        <w:tabs>
          <w:tab w:val="left" w:pos="0"/>
          <w:tab w:val="right" w:pos="9356"/>
        </w:tabs>
        <w:ind w:left="0"/>
        <w:rPr>
          <w:rFonts w:ascii="Bookman Old Style" w:hAnsi="Bookman Old Style"/>
          <w:sz w:val="24"/>
          <w:szCs w:val="24"/>
        </w:rPr>
      </w:pPr>
    </w:p>
    <w:p w14:paraId="57A2B8F6" w14:textId="6989B886" w:rsidR="00DF2CD7" w:rsidRPr="001A11B2" w:rsidRDefault="00DF2CD7" w:rsidP="00DF2CD7">
      <w:pPr>
        <w:pStyle w:val="Ttulo5"/>
        <w:tabs>
          <w:tab w:val="left" w:pos="0"/>
          <w:tab w:val="right" w:pos="9356"/>
        </w:tabs>
        <w:ind w:left="0"/>
        <w:rPr>
          <w:rFonts w:ascii="Bookman Old Style" w:hAnsi="Bookman Old Style"/>
          <w:sz w:val="24"/>
          <w:szCs w:val="24"/>
        </w:rPr>
      </w:pPr>
      <w:r w:rsidRPr="001A11B2">
        <w:rPr>
          <w:rFonts w:ascii="Bookman Old Style" w:hAnsi="Bookman Old Style"/>
          <w:sz w:val="24"/>
          <w:szCs w:val="24"/>
        </w:rPr>
        <w:t>RESOLUCIÓ</w:t>
      </w:r>
      <w:r w:rsidR="00D53D9C">
        <w:rPr>
          <w:rFonts w:ascii="Bookman Old Style" w:hAnsi="Bookman Old Style"/>
          <w:sz w:val="24"/>
          <w:szCs w:val="24"/>
        </w:rPr>
        <w:t xml:space="preserve">N No.   </w:t>
      </w:r>
      <w:r w:rsidR="00397D94" w:rsidRPr="00397D94">
        <w:rPr>
          <w:rFonts w:ascii="Bookman Old Style" w:hAnsi="Bookman Old Style"/>
          <w:sz w:val="32"/>
          <w:szCs w:val="32"/>
        </w:rPr>
        <w:t>177</w:t>
      </w:r>
      <w:r w:rsidR="00D53D9C">
        <w:rPr>
          <w:rFonts w:ascii="Bookman Old Style" w:hAnsi="Bookman Old Style"/>
          <w:sz w:val="24"/>
          <w:szCs w:val="24"/>
        </w:rPr>
        <w:t xml:space="preserve">      DE 20</w:t>
      </w:r>
      <w:r w:rsidR="00FE5690">
        <w:rPr>
          <w:rFonts w:ascii="Bookman Old Style" w:hAnsi="Bookman Old Style"/>
          <w:sz w:val="24"/>
          <w:szCs w:val="24"/>
        </w:rPr>
        <w:t>21</w:t>
      </w:r>
    </w:p>
    <w:p w14:paraId="189EA025" w14:textId="77777777" w:rsidR="00DF2CD7" w:rsidRPr="001A11B2" w:rsidRDefault="00DF2CD7" w:rsidP="00DF2CD7">
      <w:pPr>
        <w:tabs>
          <w:tab w:val="left" w:pos="0"/>
          <w:tab w:val="right" w:pos="9356"/>
        </w:tabs>
        <w:ind w:left="0"/>
        <w:jc w:val="center"/>
        <w:rPr>
          <w:rFonts w:ascii="Bookman Old Style" w:hAnsi="Bookman Old Style" w:cs="Arial"/>
          <w:b/>
          <w:snapToGrid w:val="0"/>
          <w:color w:val="000000"/>
          <w:lang w:val="es-ES_tradnl"/>
        </w:rPr>
      </w:pPr>
    </w:p>
    <w:p w14:paraId="187258B3" w14:textId="77777777" w:rsidR="00DF2CD7" w:rsidRPr="001A11B2" w:rsidRDefault="00DF2CD7" w:rsidP="00397D94">
      <w:pPr>
        <w:tabs>
          <w:tab w:val="left" w:pos="0"/>
          <w:tab w:val="right" w:pos="9356"/>
        </w:tabs>
        <w:ind w:left="0"/>
        <w:jc w:val="center"/>
        <w:rPr>
          <w:rFonts w:ascii="Bookman Old Style" w:hAnsi="Bookman Old Style" w:cs="Arial"/>
          <w:b/>
          <w:snapToGrid w:val="0"/>
          <w:color w:val="000000"/>
          <w:lang w:val="es-ES_tradnl"/>
        </w:rPr>
      </w:pPr>
    </w:p>
    <w:p w14:paraId="75C199C6" w14:textId="670DC005" w:rsidR="00DF2CD7" w:rsidRPr="001A11B2" w:rsidRDefault="00DF2CD7" w:rsidP="00DF2CD7">
      <w:pPr>
        <w:pStyle w:val="Ttulo3"/>
        <w:ind w:left="0"/>
      </w:pPr>
      <w:r w:rsidRPr="00397D94">
        <w:rPr>
          <w:rFonts w:ascii="Bookman Old Style" w:hAnsi="Bookman Old Style"/>
          <w:szCs w:val="24"/>
        </w:rPr>
        <w:t xml:space="preserve">( </w:t>
      </w:r>
      <w:r w:rsidRPr="00397D94">
        <w:rPr>
          <w:rFonts w:ascii="Bookman Old Style" w:hAnsi="Bookman Old Style"/>
          <w:sz w:val="32"/>
          <w:szCs w:val="32"/>
        </w:rPr>
        <w:t xml:space="preserve">    </w:t>
      </w:r>
      <w:r w:rsidR="00397D94" w:rsidRPr="00397D94">
        <w:rPr>
          <w:rFonts w:ascii="Bookman Old Style" w:hAnsi="Bookman Old Style"/>
          <w:sz w:val="32"/>
          <w:szCs w:val="32"/>
        </w:rPr>
        <w:t>08 OCT. 2021</w:t>
      </w:r>
      <w:r w:rsidRPr="001A11B2">
        <w:t xml:space="preserve">      )</w:t>
      </w:r>
    </w:p>
    <w:p w14:paraId="1F353D76" w14:textId="77777777" w:rsidR="00DF2CD7" w:rsidRPr="001A11B2" w:rsidRDefault="00DF2CD7" w:rsidP="00DF2CD7">
      <w:pPr>
        <w:tabs>
          <w:tab w:val="left" w:pos="0"/>
          <w:tab w:val="right" w:pos="9356"/>
        </w:tabs>
        <w:ind w:left="0"/>
        <w:jc w:val="center"/>
        <w:rPr>
          <w:rFonts w:ascii="Bookman Old Style" w:hAnsi="Bookman Old Style"/>
          <w:lang w:val="es-ES_tradnl"/>
        </w:rPr>
      </w:pPr>
    </w:p>
    <w:p w14:paraId="5883AD82" w14:textId="77777777" w:rsidR="00DF2CD7" w:rsidRPr="001A11B2" w:rsidRDefault="00DF2CD7" w:rsidP="00DF2CD7">
      <w:pPr>
        <w:ind w:left="0"/>
        <w:jc w:val="center"/>
        <w:rPr>
          <w:rFonts w:ascii="Bookman Old Style" w:hAnsi="Bookman Old Style" w:cs="Arial"/>
        </w:rPr>
      </w:pPr>
    </w:p>
    <w:p w14:paraId="42231CA6" w14:textId="0682E3AE" w:rsidR="006B2722" w:rsidRPr="00E865BD" w:rsidRDefault="00062C20" w:rsidP="006B2722">
      <w:pPr>
        <w:pStyle w:val="Prrafodelista"/>
        <w:tabs>
          <w:tab w:val="left" w:pos="0"/>
        </w:tabs>
        <w:ind w:left="0" w:right="47"/>
        <w:jc w:val="center"/>
        <w:rPr>
          <w:rFonts w:ascii="Bookman Old Style" w:hAnsi="Bookman Old Style"/>
          <w:sz w:val="24"/>
          <w:szCs w:val="24"/>
        </w:rPr>
      </w:pPr>
      <w:r>
        <w:rPr>
          <w:rFonts w:ascii="Bookman Old Style" w:hAnsi="Bookman Old Style" w:cs="Arial"/>
          <w:sz w:val="24"/>
          <w:szCs w:val="24"/>
        </w:rPr>
        <w:t>Por la cual se definen las c</w:t>
      </w:r>
      <w:r w:rsidR="006B2722" w:rsidRPr="00E865BD">
        <w:rPr>
          <w:rFonts w:ascii="Bookman Old Style" w:hAnsi="Bookman Old Style" w:cs="Arial"/>
          <w:sz w:val="24"/>
          <w:szCs w:val="24"/>
        </w:rPr>
        <w:t>ondiciones de competencia que debe</w:t>
      </w:r>
      <w:r w:rsidR="0078173B">
        <w:rPr>
          <w:rFonts w:ascii="Bookman Old Style" w:hAnsi="Bookman Old Style" w:cs="Arial"/>
          <w:sz w:val="24"/>
          <w:szCs w:val="24"/>
        </w:rPr>
        <w:t xml:space="preserve"> </w:t>
      </w:r>
      <w:r w:rsidR="006B2722" w:rsidRPr="00E865BD">
        <w:rPr>
          <w:rFonts w:ascii="Bookman Old Style" w:hAnsi="Bookman Old Style" w:cs="Arial"/>
          <w:sz w:val="24"/>
          <w:szCs w:val="24"/>
        </w:rPr>
        <w:t>cumplir el mecanismo de contratación de largo plazo del Ministerio de Minas y Energía</w:t>
      </w:r>
      <w:r w:rsidR="00B55E33">
        <w:rPr>
          <w:rFonts w:ascii="Bookman Old Style" w:hAnsi="Bookman Old Style" w:cs="Arial"/>
          <w:sz w:val="24"/>
          <w:szCs w:val="24"/>
        </w:rPr>
        <w:t>.</w:t>
      </w:r>
    </w:p>
    <w:p w14:paraId="580EF354" w14:textId="77777777" w:rsidR="00045D3D" w:rsidRPr="00C435C3" w:rsidRDefault="00045D3D" w:rsidP="00045D3D">
      <w:pPr>
        <w:ind w:left="0"/>
        <w:jc w:val="center"/>
        <w:rPr>
          <w:rFonts w:ascii="Bookman Old Style" w:hAnsi="Bookman Old Style"/>
        </w:rPr>
      </w:pPr>
    </w:p>
    <w:p w14:paraId="5099D45A" w14:textId="77777777" w:rsidR="00045D3D" w:rsidRPr="00C435C3" w:rsidRDefault="00045D3D" w:rsidP="00045D3D">
      <w:pPr>
        <w:ind w:right="51"/>
        <w:rPr>
          <w:rFonts w:ascii="Bookman Old Style" w:hAnsi="Bookman Old Style"/>
        </w:rPr>
      </w:pPr>
    </w:p>
    <w:p w14:paraId="38745DAF"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633AC602" w14:textId="77777777" w:rsidR="00045D3D" w:rsidRPr="00C435C3" w:rsidRDefault="00045D3D" w:rsidP="00045D3D">
      <w:pPr>
        <w:ind w:left="0" w:right="51"/>
        <w:rPr>
          <w:rFonts w:ascii="Bookman Old Style" w:hAnsi="Bookman Old Style"/>
        </w:rPr>
      </w:pPr>
    </w:p>
    <w:p w14:paraId="60CB26D9" w14:textId="77777777" w:rsidR="00045D3D" w:rsidRPr="00C435C3" w:rsidRDefault="00045D3D" w:rsidP="00045D3D">
      <w:pPr>
        <w:ind w:left="0" w:right="51"/>
        <w:rPr>
          <w:rFonts w:ascii="Bookman Old Style" w:hAnsi="Bookman Old Style"/>
        </w:rPr>
      </w:pPr>
    </w:p>
    <w:p w14:paraId="6C9E30CA" w14:textId="61B146F5" w:rsidR="00045D3D"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002352B9">
        <w:rPr>
          <w:rFonts w:ascii="Bookman Old Style" w:hAnsi="Bookman Old Style"/>
          <w:b w:val="0"/>
        </w:rPr>
        <w:t>l</w:t>
      </w:r>
      <w:r w:rsidRPr="00C435C3">
        <w:rPr>
          <w:rFonts w:ascii="Bookman Old Style" w:hAnsi="Bookman Old Style"/>
          <w:b w:val="0"/>
        </w:rPr>
        <w:t xml:space="preserve">eyes 142 y 143 de 1994, y en desarrollo de los </w:t>
      </w:r>
      <w:r w:rsidR="002352B9">
        <w:rPr>
          <w:rFonts w:ascii="Bookman Old Style" w:hAnsi="Bookman Old Style"/>
          <w:b w:val="0"/>
        </w:rPr>
        <w:t>d</w:t>
      </w:r>
      <w:r w:rsidRPr="00C435C3">
        <w:rPr>
          <w:rFonts w:ascii="Bookman Old Style" w:hAnsi="Bookman Old Style"/>
          <w:b w:val="0"/>
        </w:rPr>
        <w:t xml:space="preserve">ecretos 1524 </w:t>
      </w:r>
      <w:r w:rsidR="00785E91" w:rsidRPr="00785E91">
        <w:rPr>
          <w:rFonts w:ascii="Bookman Old Style" w:hAnsi="Bookman Old Style"/>
          <w:b w:val="0"/>
        </w:rPr>
        <w:t>y 2253 de 1</w:t>
      </w:r>
      <w:r w:rsidR="00B23DC3">
        <w:rPr>
          <w:rFonts w:ascii="Bookman Old Style" w:hAnsi="Bookman Old Style"/>
          <w:b w:val="0"/>
        </w:rPr>
        <w:t>994,</w:t>
      </w:r>
      <w:r w:rsidR="00785E91" w:rsidRPr="00785E91">
        <w:rPr>
          <w:rFonts w:ascii="Bookman Old Style" w:hAnsi="Bookman Old Style"/>
          <w:b w:val="0"/>
        </w:rPr>
        <w:t xml:space="preserve"> el Decreto 1260 de 2013</w:t>
      </w:r>
      <w:r w:rsidR="003821E5">
        <w:rPr>
          <w:rFonts w:ascii="Bookman Old Style" w:hAnsi="Bookman Old Style"/>
          <w:b w:val="0"/>
        </w:rPr>
        <w:t xml:space="preserve"> y el Decreto 0570 de 2018</w:t>
      </w:r>
      <w:r w:rsidR="008236CE">
        <w:rPr>
          <w:rFonts w:ascii="Bookman Old Style" w:hAnsi="Bookman Old Style"/>
          <w:b w:val="0"/>
        </w:rPr>
        <w:t>,</w:t>
      </w:r>
      <w:r w:rsidR="00B64F87">
        <w:rPr>
          <w:rFonts w:ascii="Bookman Old Style" w:hAnsi="Bookman Old Style"/>
          <w:b w:val="0"/>
        </w:rPr>
        <w:t xml:space="preserve"> y la</w:t>
      </w:r>
      <w:r w:rsidR="000567E6">
        <w:rPr>
          <w:rFonts w:ascii="Bookman Old Style" w:hAnsi="Bookman Old Style"/>
          <w:b w:val="0"/>
        </w:rPr>
        <w:t>s</w:t>
      </w:r>
      <w:r w:rsidR="00B64F87">
        <w:rPr>
          <w:rFonts w:ascii="Bookman Old Style" w:hAnsi="Bookman Old Style"/>
          <w:b w:val="0"/>
        </w:rPr>
        <w:t xml:space="preserve"> </w:t>
      </w:r>
      <w:r w:rsidR="000567E6">
        <w:rPr>
          <w:rFonts w:ascii="Bookman Old Style" w:hAnsi="Bookman Old Style"/>
          <w:b w:val="0"/>
        </w:rPr>
        <w:t>r</w:t>
      </w:r>
      <w:r w:rsidR="00B64F87">
        <w:rPr>
          <w:rFonts w:ascii="Bookman Old Style" w:hAnsi="Bookman Old Style"/>
          <w:b w:val="0"/>
        </w:rPr>
        <w:t>esoluci</w:t>
      </w:r>
      <w:r w:rsidR="000567E6">
        <w:rPr>
          <w:rFonts w:ascii="Bookman Old Style" w:hAnsi="Bookman Old Style"/>
          <w:b w:val="0"/>
        </w:rPr>
        <w:t xml:space="preserve">ones </w:t>
      </w:r>
      <w:r w:rsidR="00B64F87">
        <w:rPr>
          <w:rFonts w:ascii="Bookman Old Style" w:hAnsi="Bookman Old Style"/>
          <w:b w:val="0"/>
        </w:rPr>
        <w:t xml:space="preserve">40590 de </w:t>
      </w:r>
      <w:r w:rsidR="006E505D">
        <w:rPr>
          <w:rFonts w:ascii="Bookman Old Style" w:hAnsi="Bookman Old Style"/>
          <w:b w:val="0"/>
        </w:rPr>
        <w:t>2019</w:t>
      </w:r>
      <w:r w:rsidR="006035A5">
        <w:rPr>
          <w:rFonts w:ascii="Bookman Old Style" w:hAnsi="Bookman Old Style"/>
          <w:b w:val="0"/>
        </w:rPr>
        <w:t xml:space="preserve"> </w:t>
      </w:r>
      <w:r w:rsidR="000567E6">
        <w:rPr>
          <w:rFonts w:ascii="Bookman Old Style" w:hAnsi="Bookman Old Style"/>
          <w:b w:val="0"/>
        </w:rPr>
        <w:t xml:space="preserve">y </w:t>
      </w:r>
      <w:r w:rsidR="006035A5">
        <w:rPr>
          <w:rFonts w:ascii="Bookman Old Style" w:hAnsi="Bookman Old Style"/>
          <w:b w:val="0"/>
        </w:rPr>
        <w:t>40179 de 2021</w:t>
      </w:r>
      <w:r w:rsidR="006E505D">
        <w:rPr>
          <w:rFonts w:ascii="Bookman Old Style" w:hAnsi="Bookman Old Style"/>
          <w:b w:val="0"/>
        </w:rPr>
        <w:t xml:space="preserve"> del Ministerio de Minas y Energía</w:t>
      </w:r>
      <w:r w:rsidR="003821E5">
        <w:rPr>
          <w:rFonts w:ascii="Bookman Old Style" w:hAnsi="Bookman Old Style"/>
          <w:b w:val="0"/>
        </w:rPr>
        <w:t xml:space="preserve">. </w:t>
      </w:r>
    </w:p>
    <w:p w14:paraId="2BB34E4E" w14:textId="77777777" w:rsidR="003821E5" w:rsidRPr="00C435C3" w:rsidRDefault="003821E5" w:rsidP="00045D3D">
      <w:pPr>
        <w:pStyle w:val="Textoindependiente3"/>
        <w:ind w:left="0"/>
        <w:rPr>
          <w:rFonts w:ascii="Bookman Old Style" w:hAnsi="Bookman Old Style"/>
          <w:b w:val="0"/>
        </w:rPr>
      </w:pPr>
    </w:p>
    <w:p w14:paraId="46755BFB" w14:textId="77777777" w:rsidR="00045D3D" w:rsidRDefault="00045D3D" w:rsidP="00045D3D">
      <w:pPr>
        <w:ind w:right="51"/>
        <w:rPr>
          <w:rFonts w:ascii="Bookman Old Style" w:hAnsi="Bookman Old Style"/>
        </w:rPr>
      </w:pPr>
    </w:p>
    <w:p w14:paraId="1F5695FC"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w:t>
      </w:r>
      <w:r w:rsidR="00785E91">
        <w:rPr>
          <w:rFonts w:ascii="Bookman Old Style" w:hAnsi="Bookman Old Style"/>
          <w:b/>
        </w:rPr>
        <w:t xml:space="preserve"> </w:t>
      </w:r>
      <w:r>
        <w:rPr>
          <w:rFonts w:ascii="Bookman Old Style" w:hAnsi="Bookman Old Style"/>
          <w:b/>
        </w:rPr>
        <w:t xml:space="preserve"> Q U E</w:t>
      </w:r>
      <w:r w:rsidRPr="00C435C3">
        <w:rPr>
          <w:rFonts w:ascii="Bookman Old Style" w:hAnsi="Bookman Old Style"/>
          <w:b/>
        </w:rPr>
        <w:t>:</w:t>
      </w:r>
    </w:p>
    <w:p w14:paraId="57C4AA4E" w14:textId="77777777" w:rsidR="00045D3D" w:rsidRPr="00C435C3" w:rsidRDefault="00045D3D" w:rsidP="00045D3D">
      <w:pPr>
        <w:ind w:right="51"/>
        <w:jc w:val="center"/>
        <w:rPr>
          <w:rFonts w:ascii="Bookman Old Style" w:hAnsi="Bookman Old Style"/>
          <w:b/>
        </w:rPr>
      </w:pPr>
    </w:p>
    <w:p w14:paraId="2EC6504C" w14:textId="26EAF074" w:rsidR="00785E91" w:rsidRPr="000B73A9" w:rsidRDefault="007A4A18" w:rsidP="00785E91">
      <w:pPr>
        <w:ind w:left="0"/>
        <w:jc w:val="both"/>
        <w:rPr>
          <w:rFonts w:ascii="Bookman Old Style" w:hAnsi="Bookman Old Style" w:cs="Arial"/>
          <w:szCs w:val="20"/>
          <w:lang w:val="es-CO"/>
        </w:rPr>
      </w:pPr>
      <w:r>
        <w:rPr>
          <w:rFonts w:ascii="Bookman Old Style" w:hAnsi="Bookman Old Style" w:cs="Arial"/>
          <w:szCs w:val="20"/>
          <w:lang w:val="es-CO"/>
        </w:rPr>
        <w:t>E</w:t>
      </w:r>
      <w:r w:rsidR="00785E91" w:rsidRPr="000B73A9">
        <w:rPr>
          <w:rFonts w:ascii="Bookman Old Style" w:hAnsi="Bookman Old Style" w:cs="Arial"/>
          <w:szCs w:val="20"/>
          <w:lang w:val="es-CO"/>
        </w:rPr>
        <w:t xml:space="preserve">l artículo 365 de la </w:t>
      </w:r>
      <w:r>
        <w:rPr>
          <w:rFonts w:ascii="Bookman Old Style" w:hAnsi="Bookman Old Style" w:cs="Arial"/>
          <w:szCs w:val="20"/>
          <w:lang w:val="es-CO"/>
        </w:rPr>
        <w:t xml:space="preserve">Constitución </w:t>
      </w:r>
      <w:r w:rsidR="00785E91" w:rsidRPr="000B73A9">
        <w:rPr>
          <w:rFonts w:ascii="Bookman Old Style" w:hAnsi="Bookman Old Style" w:cs="Arial"/>
          <w:szCs w:val="20"/>
          <w:lang w:val="es-CO"/>
        </w:rPr>
        <w:t xml:space="preserve">Política </w:t>
      </w:r>
      <w:r w:rsidR="00DA4FDA">
        <w:rPr>
          <w:rFonts w:ascii="Bookman Old Style" w:hAnsi="Bookman Old Style" w:cs="Arial"/>
          <w:szCs w:val="20"/>
          <w:lang w:val="es-CO"/>
        </w:rPr>
        <w:t xml:space="preserve">señala que </w:t>
      </w:r>
      <w:r w:rsidR="00785E91" w:rsidRPr="000B73A9">
        <w:rPr>
          <w:rFonts w:ascii="Bookman Old Style" w:hAnsi="Bookman Old Style" w:cs="Arial"/>
          <w:szCs w:val="20"/>
          <w:lang w:val="es-CO"/>
        </w:rPr>
        <w:t>los servicios públicos son inherentes a la finalidad social del Estado</w:t>
      </w:r>
      <w:r w:rsidR="008236CE">
        <w:rPr>
          <w:rFonts w:ascii="Bookman Old Style" w:hAnsi="Bookman Old Style" w:cs="Arial"/>
          <w:szCs w:val="20"/>
          <w:lang w:val="es-CO"/>
        </w:rPr>
        <w:t>,</w:t>
      </w:r>
      <w:r w:rsidR="00785E91" w:rsidRPr="000B73A9">
        <w:rPr>
          <w:rFonts w:ascii="Bookman Old Style" w:hAnsi="Bookman Old Style" w:cs="Arial"/>
          <w:szCs w:val="20"/>
          <w:lang w:val="es-CO"/>
        </w:rPr>
        <w:t xml:space="preserve"> y es deber de éste asegurar su prestación eficiente a todos los habitantes del territorio nacional. Así mismo</w:t>
      </w:r>
      <w:r w:rsidR="008236CE">
        <w:rPr>
          <w:rFonts w:ascii="Bookman Old Style" w:hAnsi="Bookman Old Style" w:cs="Arial"/>
          <w:szCs w:val="20"/>
          <w:lang w:val="es-CO"/>
        </w:rPr>
        <w:t>,</w:t>
      </w:r>
      <w:r w:rsidR="00785E91" w:rsidRPr="000B73A9">
        <w:rPr>
          <w:rFonts w:ascii="Bookman Old Style" w:hAnsi="Bookman Old Style" w:cs="Arial"/>
          <w:szCs w:val="20"/>
          <w:lang w:val="es-CO"/>
        </w:rPr>
        <w:t xml:space="preserve"> el artículo 370 asigna al Presidente de la República la función de señalar, con sujeción a la ley, las políticas generales de administración y control de eficiencia de los servicios públicos domiciliarios.</w:t>
      </w:r>
    </w:p>
    <w:p w14:paraId="090344E9" w14:textId="77777777" w:rsidR="00785E91" w:rsidRPr="000B73A9" w:rsidRDefault="00785E91" w:rsidP="00785E91">
      <w:pPr>
        <w:ind w:left="0"/>
        <w:jc w:val="both"/>
        <w:rPr>
          <w:rFonts w:ascii="Bookman Old Style" w:hAnsi="Bookman Old Style" w:cs="Arial"/>
          <w:szCs w:val="20"/>
          <w:lang w:val="es-CO"/>
        </w:rPr>
      </w:pPr>
    </w:p>
    <w:p w14:paraId="5D775531" w14:textId="7F57BEBD" w:rsidR="00785E91" w:rsidRPr="000B73A9" w:rsidRDefault="003A5E88" w:rsidP="001B5441">
      <w:pPr>
        <w:ind w:left="0"/>
        <w:jc w:val="both"/>
        <w:rPr>
          <w:rFonts w:ascii="Bookman Old Style" w:hAnsi="Bookman Old Style" w:cs="Arial"/>
          <w:szCs w:val="20"/>
          <w:lang w:val="es-CO"/>
        </w:rPr>
      </w:pPr>
      <w:r>
        <w:rPr>
          <w:rFonts w:ascii="Bookman Old Style" w:hAnsi="Bookman Old Style" w:cs="Arial"/>
          <w:szCs w:val="20"/>
          <w:lang w:val="es-CO"/>
        </w:rPr>
        <w:t>E</w:t>
      </w:r>
      <w:r w:rsidRPr="000B73A9">
        <w:rPr>
          <w:rFonts w:ascii="Bookman Old Style" w:hAnsi="Bookman Old Style" w:cs="Arial"/>
          <w:szCs w:val="20"/>
          <w:lang w:val="es-CO"/>
        </w:rPr>
        <w:t>l artículo 3 de la Ley 142 de 1994</w:t>
      </w:r>
      <w:r w:rsidR="00E327D5">
        <w:rPr>
          <w:rFonts w:ascii="Bookman Old Style" w:hAnsi="Bookman Old Style" w:cs="Arial"/>
          <w:szCs w:val="20"/>
          <w:lang w:val="es-CO"/>
        </w:rPr>
        <w:t xml:space="preserve"> establece</w:t>
      </w:r>
      <w:r w:rsidR="00591E3D">
        <w:rPr>
          <w:rFonts w:ascii="Bookman Old Style" w:hAnsi="Bookman Old Style" w:cs="Arial"/>
          <w:szCs w:val="20"/>
          <w:lang w:val="es-CO"/>
        </w:rPr>
        <w:t xml:space="preserve"> que la regulación de los</w:t>
      </w:r>
      <w:r w:rsidRPr="000B73A9">
        <w:rPr>
          <w:rFonts w:ascii="Bookman Old Style" w:hAnsi="Bookman Old Style" w:cs="Arial"/>
          <w:szCs w:val="20"/>
          <w:lang w:val="es-CO"/>
        </w:rPr>
        <w:t xml:space="preserve"> servicios públicos domiciliarios </w:t>
      </w:r>
      <w:r w:rsidR="001C2418">
        <w:rPr>
          <w:rFonts w:ascii="Bookman Old Style" w:hAnsi="Bookman Old Style" w:cs="Arial"/>
          <w:szCs w:val="20"/>
          <w:lang w:val="es-CO"/>
        </w:rPr>
        <w:t xml:space="preserve">es una forma de intervención del Estado en la economía. </w:t>
      </w:r>
      <w:r w:rsidR="003F521F">
        <w:rPr>
          <w:rFonts w:ascii="Bookman Old Style" w:hAnsi="Bookman Old Style" w:cs="Arial"/>
          <w:szCs w:val="20"/>
          <w:lang w:val="es-CO"/>
        </w:rPr>
        <w:t>La función de regulación está orientada</w:t>
      </w:r>
      <w:r w:rsidR="008236CE">
        <w:rPr>
          <w:rFonts w:ascii="Bookman Old Style" w:hAnsi="Bookman Old Style" w:cs="Arial"/>
          <w:szCs w:val="20"/>
          <w:lang w:val="es-CO"/>
        </w:rPr>
        <w:t>,</w:t>
      </w:r>
      <w:r w:rsidR="003F521F">
        <w:rPr>
          <w:rFonts w:ascii="Bookman Old Style" w:hAnsi="Bookman Old Style" w:cs="Arial"/>
          <w:szCs w:val="20"/>
          <w:lang w:val="es-CO"/>
        </w:rPr>
        <w:t xml:space="preserve"> no solo a corregir </w:t>
      </w:r>
      <w:r w:rsidR="00CC43A0">
        <w:rPr>
          <w:rFonts w:ascii="Bookman Old Style" w:hAnsi="Bookman Old Style" w:cs="Arial"/>
          <w:szCs w:val="20"/>
          <w:lang w:val="es-CO"/>
        </w:rPr>
        <w:t>fallas del mercado</w:t>
      </w:r>
      <w:r w:rsidR="008236CE">
        <w:rPr>
          <w:rFonts w:ascii="Bookman Old Style" w:hAnsi="Bookman Old Style" w:cs="Arial"/>
          <w:szCs w:val="20"/>
          <w:lang w:val="es-CO"/>
        </w:rPr>
        <w:t>,</w:t>
      </w:r>
      <w:r w:rsidR="00CC43A0">
        <w:rPr>
          <w:rFonts w:ascii="Bookman Old Style" w:hAnsi="Bookman Old Style" w:cs="Arial"/>
          <w:szCs w:val="20"/>
          <w:lang w:val="es-CO"/>
        </w:rPr>
        <w:t xml:space="preserve"> sino a desarrollar los fines esenciales de los servicios públicos. De igual forma, señala que dentro de los fines que persigue la intervención del Estado en la prestación de los servicios </w:t>
      </w:r>
      <w:r w:rsidR="00A356DA">
        <w:rPr>
          <w:rFonts w:ascii="Bookman Old Style" w:hAnsi="Bookman Old Style" w:cs="Arial"/>
          <w:szCs w:val="20"/>
          <w:lang w:val="es-CO"/>
        </w:rPr>
        <w:t>públicos domiciliarios se encuentran</w:t>
      </w:r>
      <w:r>
        <w:rPr>
          <w:rFonts w:ascii="Bookman Old Style" w:hAnsi="Bookman Old Style" w:cs="Arial"/>
          <w:szCs w:val="20"/>
          <w:lang w:val="es-CO"/>
        </w:rPr>
        <w:t>:</w:t>
      </w:r>
      <w:r w:rsidRPr="000B73A9">
        <w:rPr>
          <w:rFonts w:ascii="Bookman Old Style" w:hAnsi="Bookman Old Style" w:cs="Arial"/>
          <w:szCs w:val="20"/>
          <w:lang w:val="es-CO"/>
        </w:rPr>
        <w:t xml:space="preserve"> la prestación eficiente, continua e ininterrumpida, la libre competencia</w:t>
      </w:r>
      <w:r w:rsidR="00EE0C09">
        <w:rPr>
          <w:rFonts w:ascii="Bookman Old Style" w:hAnsi="Bookman Old Style" w:cs="Arial"/>
          <w:szCs w:val="20"/>
          <w:lang w:val="es-CO"/>
        </w:rPr>
        <w:t xml:space="preserve"> y</w:t>
      </w:r>
      <w:r w:rsidRPr="000B73A9">
        <w:rPr>
          <w:rFonts w:ascii="Bookman Old Style" w:hAnsi="Bookman Old Style" w:cs="Arial"/>
          <w:szCs w:val="20"/>
          <w:lang w:val="es-CO"/>
        </w:rPr>
        <w:t xml:space="preserve"> la no utilización abusiva de la posición dominante. </w:t>
      </w:r>
    </w:p>
    <w:p w14:paraId="460C1BA2" w14:textId="77777777" w:rsidR="00785E91" w:rsidRPr="000B73A9" w:rsidRDefault="00785E91" w:rsidP="00785E91">
      <w:pPr>
        <w:ind w:left="0"/>
        <w:jc w:val="both"/>
        <w:rPr>
          <w:rFonts w:ascii="Bookman Old Style" w:hAnsi="Bookman Old Style" w:cs="Arial"/>
          <w:szCs w:val="20"/>
          <w:lang w:val="es-CO"/>
        </w:rPr>
      </w:pPr>
    </w:p>
    <w:p w14:paraId="3BEB5123" w14:textId="1E3102EF" w:rsidR="00785E91" w:rsidRDefault="00785E91" w:rsidP="00785E91">
      <w:pPr>
        <w:ind w:left="0"/>
        <w:jc w:val="both"/>
        <w:rPr>
          <w:rFonts w:ascii="Bookman Old Style" w:hAnsi="Bookman Old Style" w:cs="Arial"/>
          <w:szCs w:val="20"/>
          <w:lang w:val="es-CO"/>
        </w:rPr>
      </w:pPr>
      <w:r w:rsidRPr="000B73A9">
        <w:rPr>
          <w:rFonts w:ascii="Bookman Old Style" w:hAnsi="Bookman Old Style" w:cs="Arial"/>
          <w:szCs w:val="20"/>
          <w:lang w:val="es-CO"/>
        </w:rPr>
        <w:t>La Ley 142 de 1994</w:t>
      </w:r>
      <w:r w:rsidR="008236CE">
        <w:rPr>
          <w:rFonts w:ascii="Bookman Old Style" w:hAnsi="Bookman Old Style" w:cs="Arial"/>
          <w:szCs w:val="20"/>
          <w:lang w:val="es-CO"/>
        </w:rPr>
        <w:t>,</w:t>
      </w:r>
      <w:r w:rsidRPr="000B73A9">
        <w:rPr>
          <w:rFonts w:ascii="Bookman Old Style" w:hAnsi="Bookman Old Style" w:cs="Arial"/>
          <w:szCs w:val="20"/>
          <w:lang w:val="es-CO"/>
        </w:rPr>
        <w:t xml:space="preserve"> en su artículo 74.1</w:t>
      </w:r>
      <w:r w:rsidR="008236CE">
        <w:rPr>
          <w:rFonts w:ascii="Bookman Old Style" w:hAnsi="Bookman Old Style" w:cs="Arial"/>
          <w:szCs w:val="20"/>
          <w:lang w:val="es-CO"/>
        </w:rPr>
        <w:t>,</w:t>
      </w:r>
      <w:r w:rsidRPr="000B73A9">
        <w:rPr>
          <w:rFonts w:ascii="Bookman Old Style" w:hAnsi="Bookman Old Style" w:cs="Arial"/>
          <w:szCs w:val="20"/>
          <w:lang w:val="es-CO"/>
        </w:rPr>
        <w:t xml:space="preserve"> establece que es función de la C</w:t>
      </w:r>
      <w:r w:rsidR="00410E0C">
        <w:rPr>
          <w:rFonts w:ascii="Bookman Old Style" w:hAnsi="Bookman Old Style" w:cs="Arial"/>
          <w:szCs w:val="20"/>
          <w:lang w:val="es-CO"/>
        </w:rPr>
        <w:t>omisión de Regulación de Energía y Gas (C</w:t>
      </w:r>
      <w:r w:rsidRPr="000B73A9">
        <w:rPr>
          <w:rFonts w:ascii="Bookman Old Style" w:hAnsi="Bookman Old Style" w:cs="Arial"/>
          <w:szCs w:val="20"/>
          <w:lang w:val="es-CO"/>
        </w:rPr>
        <w:t>REG</w:t>
      </w:r>
      <w:r w:rsidR="00410E0C">
        <w:rPr>
          <w:rFonts w:ascii="Bookman Old Style" w:hAnsi="Bookman Old Style" w:cs="Arial"/>
          <w:szCs w:val="20"/>
          <w:lang w:val="es-CO"/>
        </w:rPr>
        <w:t>)</w:t>
      </w:r>
      <w:r w:rsidRPr="000B73A9">
        <w:rPr>
          <w:rFonts w:ascii="Bookman Old Style" w:hAnsi="Bookman Old Style" w:cs="Arial"/>
          <w:szCs w:val="20"/>
          <w:lang w:val="es-CO"/>
        </w:rPr>
        <w:t xml:space="preserve"> regular el ejercicio de las actividades del sector de energía para asegurar la disponibilidad de una oferta energética eficiente, propiciar la competencia, adoptar medidas para impedir abusos de posición dominante y buscar la liberación gradual de los mercados hacia la libre competencia. Además, la Comisión podrá adoptar reglas de comportamiento diferencial, según la posición de las empresas en el mercado.</w:t>
      </w:r>
    </w:p>
    <w:p w14:paraId="4D9476DE" w14:textId="77777777" w:rsidR="003D4B0F" w:rsidRDefault="003D4B0F" w:rsidP="00785E91">
      <w:pPr>
        <w:ind w:left="0"/>
        <w:jc w:val="both"/>
        <w:rPr>
          <w:rFonts w:ascii="Bookman Old Style" w:hAnsi="Bookman Old Style" w:cs="Arial"/>
          <w:szCs w:val="20"/>
          <w:lang w:val="es-CO"/>
        </w:rPr>
      </w:pPr>
    </w:p>
    <w:p w14:paraId="53A1039B" w14:textId="1338DFA3" w:rsidR="003D4B0F" w:rsidRPr="000B73A9" w:rsidRDefault="003D4B0F" w:rsidP="003D4B0F">
      <w:pPr>
        <w:ind w:left="0"/>
        <w:jc w:val="both"/>
        <w:rPr>
          <w:rFonts w:ascii="Bookman Old Style" w:hAnsi="Bookman Old Style" w:cs="Arial"/>
          <w:szCs w:val="20"/>
          <w:lang w:val="es-CO"/>
        </w:rPr>
      </w:pPr>
      <w:r w:rsidRPr="000B73A9">
        <w:rPr>
          <w:rFonts w:ascii="Bookman Old Style" w:hAnsi="Bookman Old Style" w:cs="Arial"/>
          <w:szCs w:val="20"/>
          <w:lang w:val="es-CO"/>
        </w:rPr>
        <w:lastRenderedPageBreak/>
        <w:t>E</w:t>
      </w:r>
      <w:r>
        <w:rPr>
          <w:rFonts w:ascii="Bookman Old Style" w:hAnsi="Bookman Old Style" w:cs="Arial"/>
          <w:szCs w:val="20"/>
          <w:lang w:val="es-CO"/>
        </w:rPr>
        <w:t>n este mismo sentido, e</w:t>
      </w:r>
      <w:r w:rsidRPr="000B73A9">
        <w:rPr>
          <w:rFonts w:ascii="Bookman Old Style" w:hAnsi="Bookman Old Style" w:cs="Arial"/>
          <w:szCs w:val="20"/>
          <w:lang w:val="es-CO"/>
        </w:rPr>
        <w:t>l artículo 23 de la Ley 143 de 1994 define</w:t>
      </w:r>
      <w:r w:rsidR="008236CE">
        <w:rPr>
          <w:rFonts w:ascii="Bookman Old Style" w:hAnsi="Bookman Old Style" w:cs="Arial"/>
          <w:szCs w:val="20"/>
          <w:lang w:val="es-CO"/>
        </w:rPr>
        <w:t>,</w:t>
      </w:r>
      <w:r w:rsidRPr="000B73A9">
        <w:rPr>
          <w:rFonts w:ascii="Bookman Old Style" w:hAnsi="Bookman Old Style" w:cs="Arial"/>
          <w:szCs w:val="20"/>
          <w:lang w:val="es-CO"/>
        </w:rPr>
        <w:t xml:space="preserve"> dentro de las funciones de la CREG</w:t>
      </w:r>
      <w:r w:rsidR="008236CE">
        <w:rPr>
          <w:rFonts w:ascii="Bookman Old Style" w:hAnsi="Bookman Old Style" w:cs="Arial"/>
          <w:szCs w:val="20"/>
          <w:lang w:val="es-CO"/>
        </w:rPr>
        <w:t>,</w:t>
      </w:r>
      <w:r w:rsidRPr="000B73A9">
        <w:rPr>
          <w:rFonts w:ascii="Bookman Old Style" w:hAnsi="Bookman Old Style" w:cs="Arial"/>
          <w:szCs w:val="20"/>
          <w:lang w:val="es-CO"/>
        </w:rPr>
        <w:t xml:space="preserve"> la de establecer condiciones para una oferta energética eficiente, capaz de abastecer la demanda bajo criterios sociales, económicos, ambientales y de viabilidad financiera, promover y preservar la competencia. </w:t>
      </w:r>
    </w:p>
    <w:p w14:paraId="420135DE" w14:textId="77777777" w:rsidR="00785E91" w:rsidRPr="000B73A9" w:rsidRDefault="00785E91" w:rsidP="00E542D6">
      <w:pPr>
        <w:ind w:left="0" w:right="284"/>
        <w:jc w:val="both"/>
        <w:rPr>
          <w:rFonts w:ascii="Bookman Old Style" w:eastAsia="Calibri" w:hAnsi="Bookman Old Style" w:cs="Arial"/>
          <w:i/>
          <w:sz w:val="22"/>
          <w:szCs w:val="22"/>
          <w:lang w:val="es-ES_tradnl" w:eastAsia="en-US"/>
        </w:rPr>
      </w:pPr>
    </w:p>
    <w:p w14:paraId="445DB7A0" w14:textId="07E81994" w:rsidR="00785E91" w:rsidRDefault="00785E91" w:rsidP="00785E91">
      <w:pPr>
        <w:ind w:left="0"/>
        <w:jc w:val="both"/>
        <w:rPr>
          <w:rFonts w:ascii="Bookman Old Style" w:hAnsi="Bookman Old Style" w:cs="Arial"/>
          <w:szCs w:val="20"/>
          <w:lang w:val="es-CO"/>
        </w:rPr>
      </w:pPr>
      <w:r w:rsidRPr="000B73A9">
        <w:rPr>
          <w:rFonts w:ascii="Bookman Old Style" w:hAnsi="Bookman Old Style" w:cs="Arial"/>
          <w:szCs w:val="20"/>
          <w:lang w:val="es-CO"/>
        </w:rPr>
        <w:t>El artículo 6 de la Ley 143 de 1994 señaló que las actividades relacionadas con el servicio de electricidad se regirían</w:t>
      </w:r>
      <w:r w:rsidR="008236CE">
        <w:rPr>
          <w:rFonts w:ascii="Bookman Old Style" w:hAnsi="Bookman Old Style" w:cs="Arial"/>
          <w:szCs w:val="20"/>
          <w:lang w:val="es-CO"/>
        </w:rPr>
        <w:t>,</w:t>
      </w:r>
      <w:r w:rsidRPr="000B73A9">
        <w:rPr>
          <w:rFonts w:ascii="Bookman Old Style" w:hAnsi="Bookman Old Style" w:cs="Arial"/>
          <w:szCs w:val="20"/>
          <w:lang w:val="es-CO"/>
        </w:rPr>
        <w:t xml:space="preserve"> entre otros principios, por el de adaptabilidad. Este principio conduce a la incorporación de los avances de la ciencia y de la tecnología que aporten mayor calidad y eficiencia en la prestación del servicio al menor costo económico.</w:t>
      </w:r>
    </w:p>
    <w:p w14:paraId="66264916" w14:textId="6E2A006E" w:rsidR="00785E91" w:rsidRPr="000B73A9" w:rsidRDefault="00785E91" w:rsidP="00785E91">
      <w:pPr>
        <w:ind w:left="0"/>
        <w:jc w:val="both"/>
        <w:rPr>
          <w:rFonts w:ascii="Bookman Old Style" w:hAnsi="Bookman Old Style" w:cs="Arial"/>
          <w:szCs w:val="20"/>
          <w:lang w:val="es-CO"/>
        </w:rPr>
      </w:pPr>
    </w:p>
    <w:p w14:paraId="65CEBC5D" w14:textId="5C5F689B" w:rsidR="00785E91" w:rsidRDefault="00785E91" w:rsidP="00785E91">
      <w:pPr>
        <w:ind w:left="0"/>
        <w:jc w:val="both"/>
        <w:rPr>
          <w:rFonts w:ascii="Bookman Old Style" w:hAnsi="Bookman Old Style" w:cs="Arial"/>
        </w:rPr>
      </w:pPr>
      <w:r w:rsidRPr="000B73A9">
        <w:rPr>
          <w:rFonts w:ascii="Bookman Old Style" w:hAnsi="Bookman Old Style" w:cs="Arial"/>
        </w:rPr>
        <w:t>Conforme a lo dispuesto en la Ley 142 y 143 de 1994, la CREG cuenta con la facultad de establecer medidas regulatorias de carácter general frente a la definición de nuevos mecanismos para la comercialización de energía eléctrica que permitan la gestión de riesgo de ingresos para los agentes del mercado en diferentes horizontes de tiempo, siempre y cuando permita la formación de precios eficientes a afectos de ser trasladado</w:t>
      </w:r>
      <w:r w:rsidR="008236CE">
        <w:rPr>
          <w:rFonts w:ascii="Bookman Old Style" w:hAnsi="Bookman Old Style" w:cs="Arial"/>
        </w:rPr>
        <w:t>s</w:t>
      </w:r>
      <w:r w:rsidRPr="000B73A9">
        <w:rPr>
          <w:rFonts w:ascii="Bookman Old Style" w:hAnsi="Bookman Old Style" w:cs="Arial"/>
        </w:rPr>
        <w:t xml:space="preserve"> a los usuarios finales.</w:t>
      </w:r>
    </w:p>
    <w:p w14:paraId="514E273D" w14:textId="77777777" w:rsidR="009965E0" w:rsidRDefault="009965E0" w:rsidP="00785E91">
      <w:pPr>
        <w:ind w:left="0"/>
        <w:jc w:val="both"/>
        <w:rPr>
          <w:rFonts w:ascii="Bookman Old Style" w:hAnsi="Bookman Old Style" w:cs="Arial"/>
        </w:rPr>
      </w:pPr>
    </w:p>
    <w:p w14:paraId="437FB987" w14:textId="7B1AE19C" w:rsidR="00410E0C" w:rsidRPr="004E7CE7" w:rsidRDefault="00415905" w:rsidP="00785E91">
      <w:pPr>
        <w:ind w:left="0"/>
        <w:jc w:val="both"/>
        <w:rPr>
          <w:rFonts w:ascii="Bookman Old Style" w:hAnsi="Bookman Old Style" w:cs="Arial"/>
          <w:lang w:val="es-ES_tradnl"/>
        </w:rPr>
      </w:pPr>
      <w:r w:rsidRPr="004E7CE7">
        <w:rPr>
          <w:rFonts w:ascii="Bookman Old Style" w:hAnsi="Bookman Old Style" w:cs="Arial"/>
          <w:lang w:val="es-ES_tradnl"/>
        </w:rPr>
        <w:t>El Gobierno Nacional expidió el Decreto 0570 de 2018, en donde se establecen los lineamientos de política pública para la contratación a largo plazo de proyectos de generación de energía eléctrica. En el mencionado decreto se delega a la CREG como la entidad encargada de definir el esquema para trasladar los costos eficientes de compra resultantes de la aplicación del mecanismo.</w:t>
      </w:r>
    </w:p>
    <w:p w14:paraId="15FD4936" w14:textId="77777777" w:rsidR="00415905" w:rsidRPr="008A5268" w:rsidRDefault="00415905" w:rsidP="00785E91">
      <w:pPr>
        <w:ind w:left="0"/>
        <w:jc w:val="both"/>
        <w:rPr>
          <w:rFonts w:ascii="Bookman Old Style" w:hAnsi="Bookman Old Style" w:cs="Arial"/>
          <w:sz w:val="32"/>
          <w:lang w:val="es-ES_tradnl"/>
        </w:rPr>
      </w:pPr>
    </w:p>
    <w:p w14:paraId="6CCA137D" w14:textId="0B688749" w:rsidR="00192F7A" w:rsidRDefault="00192F7A" w:rsidP="00192F7A">
      <w:pPr>
        <w:ind w:left="0"/>
        <w:jc w:val="both"/>
        <w:rPr>
          <w:rFonts w:ascii="Bookman Old Style" w:hAnsi="Bookman Old Style" w:cs="Arial"/>
          <w:lang w:val="es-ES_tradnl"/>
        </w:rPr>
      </w:pPr>
      <w:r>
        <w:rPr>
          <w:rFonts w:ascii="Bookman Old Style" w:hAnsi="Bookman Old Style" w:cs="Arial"/>
          <w:lang w:val="es-ES_tradnl"/>
        </w:rPr>
        <w:t>E</w:t>
      </w:r>
      <w:r w:rsidRPr="005C7414">
        <w:rPr>
          <w:rFonts w:ascii="Bookman Old Style" w:hAnsi="Bookman Old Style" w:cs="Arial"/>
          <w:lang w:val="es-ES_tradnl"/>
        </w:rPr>
        <w:t>l Ministerio de Minas y Energía expidió la Resolución 40590 de 2019</w:t>
      </w:r>
      <w:r w:rsidR="008236CE">
        <w:rPr>
          <w:rFonts w:ascii="Bookman Old Style" w:hAnsi="Bookman Old Style" w:cs="Arial"/>
          <w:lang w:val="es-ES_tradnl"/>
        </w:rPr>
        <w:t>,</w:t>
      </w:r>
      <w:r w:rsidRPr="005C7414">
        <w:rPr>
          <w:rFonts w:ascii="Bookman Old Style" w:hAnsi="Bookman Old Style" w:cs="Arial"/>
          <w:lang w:val="es-ES_tradnl"/>
        </w:rPr>
        <w:t xml:space="preserve"> mediante la </w:t>
      </w:r>
      <w:r>
        <w:rPr>
          <w:rFonts w:ascii="Bookman Old Style" w:hAnsi="Bookman Old Style" w:cs="Arial"/>
          <w:lang w:val="es-ES_tradnl"/>
        </w:rPr>
        <w:t>cual estableció</w:t>
      </w:r>
      <w:r w:rsidRPr="005C7414">
        <w:rPr>
          <w:rFonts w:ascii="Bookman Old Style" w:hAnsi="Bookman Old Style" w:cs="Arial"/>
          <w:lang w:val="es-ES_tradnl"/>
        </w:rPr>
        <w:t xml:space="preserve"> un nuevo mecanismo de subasta para la compraventa de contratos de energía de largo plazo</w:t>
      </w:r>
      <w:r w:rsidR="008236CE">
        <w:rPr>
          <w:rFonts w:ascii="Bookman Old Style" w:hAnsi="Bookman Old Style" w:cs="Arial"/>
          <w:lang w:val="es-ES_tradnl"/>
        </w:rPr>
        <w:t>,</w:t>
      </w:r>
      <w:r w:rsidRPr="005C7414">
        <w:rPr>
          <w:rFonts w:ascii="Bookman Old Style" w:hAnsi="Bookman Old Style" w:cs="Arial"/>
          <w:lang w:val="es-ES_tradnl"/>
        </w:rPr>
        <w:t xml:space="preserve"> </w:t>
      </w:r>
      <w:r>
        <w:rPr>
          <w:rFonts w:ascii="Bookman Old Style" w:hAnsi="Bookman Old Style" w:cs="Arial"/>
          <w:lang w:val="es-ES_tradnl"/>
        </w:rPr>
        <w:t>y derogó</w:t>
      </w:r>
      <w:r w:rsidRPr="005C7414">
        <w:rPr>
          <w:rFonts w:ascii="Bookman Old Style" w:hAnsi="Bookman Old Style" w:cs="Arial"/>
          <w:lang w:val="es-ES_tradnl"/>
        </w:rPr>
        <w:t xml:space="preserve"> la Resolución 40791 de 2018</w:t>
      </w:r>
      <w:r w:rsidR="008236CE">
        <w:rPr>
          <w:rFonts w:ascii="Bookman Old Style" w:hAnsi="Bookman Old Style" w:cs="Arial"/>
          <w:lang w:val="es-ES_tradnl"/>
        </w:rPr>
        <w:t>,</w:t>
      </w:r>
      <w:r w:rsidRPr="005C7414">
        <w:rPr>
          <w:rFonts w:ascii="Bookman Old Style" w:hAnsi="Bookman Old Style" w:cs="Arial"/>
          <w:lang w:val="es-ES_tradnl"/>
        </w:rPr>
        <w:t xml:space="preserve"> así como sus modificaciones.</w:t>
      </w:r>
      <w:r>
        <w:rPr>
          <w:rFonts w:ascii="Bookman Old Style" w:hAnsi="Bookman Old Style" w:cs="Arial"/>
          <w:lang w:val="es-ES_tradnl"/>
        </w:rPr>
        <w:t xml:space="preserve">  La Resolución 40590 de 2019 fue modificada por la Resolución 40678 de 2019</w:t>
      </w:r>
      <w:r w:rsidR="0078785F">
        <w:rPr>
          <w:rFonts w:ascii="Bookman Old Style" w:hAnsi="Bookman Old Style" w:cs="Arial"/>
          <w:lang w:val="es-ES_tradnl"/>
        </w:rPr>
        <w:t xml:space="preserve"> y por la </w:t>
      </w:r>
      <w:r w:rsidR="00054F79">
        <w:rPr>
          <w:rFonts w:ascii="Bookman Old Style" w:hAnsi="Bookman Old Style" w:cs="Arial"/>
          <w:lang w:val="es-ES_tradnl"/>
        </w:rPr>
        <w:t>Resolución 40141 de 2021</w:t>
      </w:r>
      <w:r w:rsidR="00D44AFB">
        <w:rPr>
          <w:rFonts w:ascii="Bookman Old Style" w:hAnsi="Bookman Old Style" w:cs="Arial"/>
          <w:lang w:val="es-ES_tradnl"/>
        </w:rPr>
        <w:t>.</w:t>
      </w:r>
    </w:p>
    <w:p w14:paraId="44461DED" w14:textId="77777777" w:rsidR="00410E0C" w:rsidRPr="00766E80" w:rsidRDefault="00410E0C" w:rsidP="00785E91">
      <w:pPr>
        <w:ind w:left="0"/>
        <w:jc w:val="both"/>
        <w:rPr>
          <w:rFonts w:ascii="Bookman Old Style" w:hAnsi="Bookman Old Style" w:cs="Arial"/>
          <w:lang w:val="es-ES_tradnl"/>
        </w:rPr>
      </w:pPr>
    </w:p>
    <w:p w14:paraId="35F19EAA" w14:textId="63039900" w:rsidR="00AF0338" w:rsidRDefault="00BB7A98" w:rsidP="00AF0338">
      <w:pPr>
        <w:ind w:left="0"/>
        <w:jc w:val="both"/>
        <w:rPr>
          <w:rFonts w:ascii="Bookman Old Style" w:hAnsi="Bookman Old Style" w:cs="Arial"/>
          <w:lang w:val="es-ES_tradnl"/>
        </w:rPr>
      </w:pPr>
      <w:r>
        <w:rPr>
          <w:rFonts w:ascii="Bookman Old Style" w:hAnsi="Bookman Old Style" w:cs="Arial"/>
          <w:lang w:val="es-ES_tradnl"/>
        </w:rPr>
        <w:t>Mediante l</w:t>
      </w:r>
      <w:r w:rsidR="00AF0338" w:rsidRPr="00611D2F">
        <w:rPr>
          <w:rFonts w:ascii="Bookman Old Style" w:hAnsi="Bookman Old Style" w:cs="Arial"/>
          <w:lang w:val="es-ES_tradnl"/>
        </w:rPr>
        <w:t>a Resolución 4</w:t>
      </w:r>
      <w:r w:rsidR="00AF0338">
        <w:rPr>
          <w:rFonts w:ascii="Bookman Old Style" w:hAnsi="Bookman Old Style" w:cs="Arial"/>
          <w:lang w:val="es-ES_tradnl"/>
        </w:rPr>
        <w:t>0141</w:t>
      </w:r>
      <w:r w:rsidR="00AF0338" w:rsidRPr="00611D2F">
        <w:rPr>
          <w:rFonts w:ascii="Bookman Old Style" w:hAnsi="Bookman Old Style" w:cs="Arial"/>
          <w:lang w:val="es-ES_tradnl"/>
        </w:rPr>
        <w:t xml:space="preserve"> </w:t>
      </w:r>
      <w:r w:rsidR="00AF0338">
        <w:rPr>
          <w:rFonts w:ascii="Bookman Old Style" w:hAnsi="Bookman Old Style" w:cs="Arial"/>
          <w:lang w:val="es-ES_tradnl"/>
        </w:rPr>
        <w:t xml:space="preserve">del </w:t>
      </w:r>
      <w:r w:rsidR="00DE4C60">
        <w:rPr>
          <w:rFonts w:ascii="Bookman Old Style" w:hAnsi="Bookman Old Style" w:cs="Arial"/>
          <w:lang w:val="es-ES_tradnl"/>
        </w:rPr>
        <w:t>7</w:t>
      </w:r>
      <w:r w:rsidR="00AF0338" w:rsidRPr="00611D2F">
        <w:rPr>
          <w:rFonts w:ascii="Bookman Old Style" w:hAnsi="Bookman Old Style" w:cs="Arial"/>
          <w:lang w:val="es-ES_tradnl"/>
        </w:rPr>
        <w:t xml:space="preserve"> de</w:t>
      </w:r>
      <w:r w:rsidR="00AF0338">
        <w:rPr>
          <w:rFonts w:ascii="Bookman Old Style" w:hAnsi="Bookman Old Style" w:cs="Arial"/>
          <w:lang w:val="es-ES_tradnl"/>
        </w:rPr>
        <w:t xml:space="preserve"> mayo</w:t>
      </w:r>
      <w:r w:rsidR="00AF0338" w:rsidRPr="00611D2F">
        <w:rPr>
          <w:rFonts w:ascii="Bookman Old Style" w:hAnsi="Bookman Old Style" w:cs="Arial"/>
          <w:lang w:val="es-ES_tradnl"/>
        </w:rPr>
        <w:t xml:space="preserve"> de 20</w:t>
      </w:r>
      <w:r w:rsidR="00AF0338">
        <w:rPr>
          <w:rFonts w:ascii="Bookman Old Style" w:hAnsi="Bookman Old Style" w:cs="Arial"/>
          <w:lang w:val="es-ES_tradnl"/>
        </w:rPr>
        <w:t>21</w:t>
      </w:r>
      <w:r>
        <w:rPr>
          <w:rFonts w:ascii="Bookman Old Style" w:hAnsi="Bookman Old Style" w:cs="Arial"/>
          <w:lang w:val="es-ES_tradnl"/>
        </w:rPr>
        <w:t xml:space="preserve"> del Ministerio de Minas y Energía</w:t>
      </w:r>
      <w:r w:rsidR="006868B3">
        <w:rPr>
          <w:rFonts w:ascii="Bookman Old Style" w:hAnsi="Bookman Old Style" w:cs="Arial"/>
          <w:lang w:val="es-ES_tradnl"/>
        </w:rPr>
        <w:t xml:space="preserve"> </w:t>
      </w:r>
      <w:r w:rsidR="00AF0338">
        <w:rPr>
          <w:rFonts w:ascii="Bookman Old Style" w:hAnsi="Bookman Old Style" w:cs="Arial"/>
          <w:lang w:val="es-ES_tradnl"/>
        </w:rPr>
        <w:t>se design</w:t>
      </w:r>
      <w:r>
        <w:rPr>
          <w:rFonts w:ascii="Bookman Old Style" w:hAnsi="Bookman Old Style" w:cs="Arial"/>
          <w:lang w:val="es-ES_tradnl"/>
        </w:rPr>
        <w:t>ó</w:t>
      </w:r>
      <w:r w:rsidR="00AF0338">
        <w:rPr>
          <w:rFonts w:ascii="Bookman Old Style" w:hAnsi="Bookman Old Style" w:cs="Arial"/>
          <w:lang w:val="es-ES_tradnl"/>
        </w:rPr>
        <w:t xml:space="preserve"> a el </w:t>
      </w:r>
      <w:r w:rsidR="00AF0338" w:rsidRPr="001C1ABC">
        <w:rPr>
          <w:rFonts w:ascii="Bookman Old Style" w:hAnsi="Bookman Old Style" w:cs="Arial"/>
          <w:lang w:val="es-ES_tradnl"/>
        </w:rPr>
        <w:t xml:space="preserve">Administrador </w:t>
      </w:r>
      <w:r>
        <w:rPr>
          <w:rFonts w:ascii="Bookman Old Style" w:hAnsi="Bookman Old Style" w:cs="Arial"/>
          <w:lang w:val="es-ES_tradnl"/>
        </w:rPr>
        <w:t>d</w:t>
      </w:r>
      <w:r w:rsidR="00AF0338" w:rsidRPr="001C1ABC">
        <w:rPr>
          <w:rFonts w:ascii="Bookman Old Style" w:hAnsi="Bookman Old Style" w:cs="Arial"/>
          <w:lang w:val="es-ES_tradnl"/>
        </w:rPr>
        <w:t xml:space="preserve">e Intercambios Comerciales </w:t>
      </w:r>
      <w:r w:rsidR="00AF0338">
        <w:rPr>
          <w:rFonts w:ascii="Bookman Old Style" w:hAnsi="Bookman Old Style" w:cs="Arial"/>
          <w:lang w:val="es-ES_tradnl"/>
        </w:rPr>
        <w:t>– ASIC - como administrador de la subasta de contratación de largo plazo de energía eléctrica a desarrollarse en el 2021</w:t>
      </w:r>
      <w:r w:rsidR="00AF0338" w:rsidRPr="00611D2F">
        <w:rPr>
          <w:rFonts w:ascii="Bookman Old Style" w:hAnsi="Bookman Old Style" w:cs="Arial"/>
          <w:lang w:val="es-ES_tradnl"/>
        </w:rPr>
        <w:t>.</w:t>
      </w:r>
      <w:r w:rsidR="00895B99">
        <w:rPr>
          <w:rFonts w:ascii="Bookman Old Style" w:hAnsi="Bookman Old Style" w:cs="Arial"/>
          <w:lang w:val="es-ES_tradnl"/>
        </w:rPr>
        <w:t xml:space="preserve"> En el artículo </w:t>
      </w:r>
      <w:r w:rsidR="00AD3782">
        <w:rPr>
          <w:rFonts w:ascii="Bookman Old Style" w:hAnsi="Bookman Old Style" w:cs="Arial"/>
          <w:lang w:val="es-ES_tradnl"/>
        </w:rPr>
        <w:t>5 de la precitada resolución se modificó el artículo 19 de la Resolución 40590 de 2019, en la cual se establece lo siguiente:</w:t>
      </w:r>
    </w:p>
    <w:p w14:paraId="70435296" w14:textId="77777777" w:rsidR="00AD3782" w:rsidRDefault="00AD3782" w:rsidP="00AF0338">
      <w:pPr>
        <w:ind w:left="0"/>
        <w:jc w:val="both"/>
        <w:rPr>
          <w:rFonts w:ascii="Bookman Old Style" w:hAnsi="Bookman Old Style" w:cs="Arial"/>
          <w:lang w:val="es-ES_tradnl"/>
        </w:rPr>
      </w:pPr>
    </w:p>
    <w:p w14:paraId="41193796" w14:textId="42C6408A" w:rsidR="00AD3782" w:rsidRPr="00261709" w:rsidRDefault="00261709" w:rsidP="008236CE">
      <w:pPr>
        <w:ind w:left="284"/>
        <w:jc w:val="both"/>
        <w:rPr>
          <w:rFonts w:ascii="Bookman Old Style" w:hAnsi="Bookman Old Style" w:cs="Arial"/>
          <w:i/>
          <w:iCs/>
          <w:lang w:val="es-ES_tradnl"/>
        </w:rPr>
      </w:pPr>
      <w:r>
        <w:rPr>
          <w:rFonts w:ascii="Bookman Old Style" w:hAnsi="Bookman Old Style" w:cs="Arial"/>
          <w:i/>
          <w:iCs/>
          <w:lang w:val="es-ES_tradnl"/>
        </w:rPr>
        <w:t>“</w:t>
      </w:r>
      <w:r w:rsidR="00086945">
        <w:rPr>
          <w:rFonts w:ascii="Bookman Old Style" w:hAnsi="Bookman Old Style" w:cs="Arial"/>
          <w:i/>
          <w:iCs/>
          <w:lang w:val="es-ES_tradnl"/>
        </w:rPr>
        <w:t>Artículo 19 – Condiciones de competencia. La CREG, mediante resoluci</w:t>
      </w:r>
      <w:r w:rsidR="00086945" w:rsidRPr="00261709">
        <w:rPr>
          <w:rFonts w:ascii="Bookman Old Style" w:hAnsi="Bookman Old Style" w:cs="Arial"/>
          <w:i/>
          <w:iCs/>
          <w:lang w:val="es-ES_tradnl"/>
        </w:rPr>
        <w:t xml:space="preserve">ón, determinará las condiciones de competencia </w:t>
      </w:r>
      <w:r w:rsidR="00085F75" w:rsidRPr="00261709">
        <w:rPr>
          <w:rFonts w:ascii="Bookman Old Style" w:hAnsi="Bookman Old Style" w:cs="Arial"/>
          <w:i/>
          <w:iCs/>
          <w:lang w:val="es-ES_tradnl"/>
        </w:rPr>
        <w:t>que garanticen un proceso de asignación eficiente, así como la forma y el momento en que dichas condiciones deber ser verificadas. Esta resol</w:t>
      </w:r>
      <w:r w:rsidR="00363A18" w:rsidRPr="00261709">
        <w:rPr>
          <w:rFonts w:ascii="Bookman Old Style" w:hAnsi="Bookman Old Style" w:cs="Arial"/>
          <w:i/>
          <w:iCs/>
          <w:lang w:val="es-ES_tradnl"/>
        </w:rPr>
        <w:t>ución deberá estar en firme antes de la fecha de radica</w:t>
      </w:r>
      <w:r w:rsidR="00BC2133" w:rsidRPr="00261709">
        <w:rPr>
          <w:rFonts w:ascii="Bookman Old Style" w:hAnsi="Bookman Old Style" w:cs="Arial"/>
          <w:i/>
          <w:iCs/>
          <w:lang w:val="es-ES_tradnl"/>
        </w:rPr>
        <w:t>c</w:t>
      </w:r>
      <w:r w:rsidR="00363A18" w:rsidRPr="00261709">
        <w:rPr>
          <w:rFonts w:ascii="Bookman Old Style" w:hAnsi="Bookman Old Style" w:cs="Arial"/>
          <w:i/>
          <w:iCs/>
          <w:lang w:val="es-ES_tradnl"/>
        </w:rPr>
        <w:t>ión de la información requerid</w:t>
      </w:r>
      <w:r w:rsidR="00BC2133" w:rsidRPr="00261709">
        <w:rPr>
          <w:rFonts w:ascii="Bookman Old Style" w:hAnsi="Bookman Old Style" w:cs="Arial"/>
          <w:i/>
          <w:iCs/>
          <w:lang w:val="es-ES_tradnl"/>
        </w:rPr>
        <w:t>a</w:t>
      </w:r>
      <w:r w:rsidR="00363A18" w:rsidRPr="00261709">
        <w:rPr>
          <w:rFonts w:ascii="Bookman Old Style" w:hAnsi="Bookman Old Style" w:cs="Arial"/>
          <w:i/>
          <w:iCs/>
          <w:lang w:val="es-ES_tradnl"/>
        </w:rPr>
        <w:t xml:space="preserve"> para la precalificación de los participantes en la Subasta. </w:t>
      </w:r>
    </w:p>
    <w:p w14:paraId="1160C19E" w14:textId="77777777" w:rsidR="00AF0338" w:rsidRPr="00261709" w:rsidRDefault="00AF0338" w:rsidP="008236CE">
      <w:pPr>
        <w:ind w:left="284"/>
        <w:jc w:val="both"/>
        <w:rPr>
          <w:rFonts w:ascii="Bookman Old Style" w:hAnsi="Bookman Old Style" w:cs="Arial"/>
          <w:i/>
          <w:iCs/>
          <w:lang w:val="es-ES_tradnl"/>
        </w:rPr>
      </w:pPr>
    </w:p>
    <w:p w14:paraId="3CC1D358" w14:textId="4E97C534" w:rsidR="00BC2133" w:rsidRPr="00261709" w:rsidRDefault="00BC2133" w:rsidP="008236CE">
      <w:pPr>
        <w:ind w:left="284"/>
        <w:jc w:val="both"/>
        <w:rPr>
          <w:rFonts w:ascii="Bookman Old Style" w:hAnsi="Bookman Old Style" w:cs="Arial"/>
          <w:i/>
          <w:iCs/>
          <w:lang w:val="es-ES_tradnl"/>
        </w:rPr>
      </w:pPr>
      <w:r w:rsidRPr="00261709">
        <w:rPr>
          <w:rFonts w:ascii="Bookman Old Style" w:hAnsi="Bookman Old Style" w:cs="Arial"/>
          <w:i/>
          <w:iCs/>
          <w:lang w:val="es-ES_tradnl"/>
        </w:rPr>
        <w:t>E</w:t>
      </w:r>
      <w:r w:rsidR="000C70BC" w:rsidRPr="00261709">
        <w:rPr>
          <w:rFonts w:ascii="Bookman Old Style" w:hAnsi="Bookman Old Style" w:cs="Arial"/>
          <w:i/>
          <w:iCs/>
          <w:lang w:val="es-ES_tradnl"/>
        </w:rPr>
        <w:t xml:space="preserve">l Subastador verificará el cumplimiento de las condiciones de competencia definidas </w:t>
      </w:r>
      <w:r w:rsidR="00172946" w:rsidRPr="00261709">
        <w:rPr>
          <w:rFonts w:ascii="Bookman Old Style" w:hAnsi="Bookman Old Style" w:cs="Arial"/>
          <w:i/>
          <w:iCs/>
          <w:lang w:val="es-ES_tradnl"/>
        </w:rPr>
        <w:t>por la CREG y en caso</w:t>
      </w:r>
      <w:r w:rsidR="00271A69" w:rsidRPr="00261709">
        <w:rPr>
          <w:rFonts w:ascii="Bookman Old Style" w:hAnsi="Bookman Old Style" w:cs="Arial"/>
          <w:i/>
          <w:iCs/>
          <w:lang w:val="es-ES_tradnl"/>
        </w:rPr>
        <w:t xml:space="preserve"> de que no haya cumplimiento de las mismas, la Subasta y sus resultados de asignación</w:t>
      </w:r>
      <w:r w:rsidR="00DB1238" w:rsidRPr="00261709">
        <w:rPr>
          <w:rFonts w:ascii="Bookman Old Style" w:hAnsi="Bookman Old Style" w:cs="Arial"/>
          <w:i/>
          <w:iCs/>
          <w:lang w:val="es-ES_tradnl"/>
        </w:rPr>
        <w:t xml:space="preserve"> </w:t>
      </w:r>
      <w:r w:rsidR="00261709" w:rsidRPr="00261709">
        <w:rPr>
          <w:rFonts w:ascii="Bookman Old Style" w:hAnsi="Bookman Old Style" w:cs="Arial"/>
          <w:i/>
          <w:iCs/>
          <w:lang w:val="es-ES_tradnl"/>
        </w:rPr>
        <w:t>no producirán efecto jurídico alguno”</w:t>
      </w:r>
    </w:p>
    <w:p w14:paraId="0BC17D4E" w14:textId="77777777" w:rsidR="00BC2133" w:rsidRDefault="00BC2133" w:rsidP="00AF0338">
      <w:pPr>
        <w:ind w:left="0"/>
        <w:jc w:val="both"/>
        <w:rPr>
          <w:rFonts w:ascii="Bookman Old Style" w:hAnsi="Bookman Old Style" w:cs="Arial"/>
          <w:lang w:val="es-ES_tradnl"/>
        </w:rPr>
      </w:pPr>
    </w:p>
    <w:p w14:paraId="47F0866A" w14:textId="6BDD8386" w:rsidR="00AF0338" w:rsidRPr="00175A8B" w:rsidRDefault="00AF0338" w:rsidP="00AF0338">
      <w:pPr>
        <w:ind w:left="0"/>
        <w:jc w:val="both"/>
        <w:rPr>
          <w:rFonts w:ascii="Bookman Old Style" w:hAnsi="Bookman Old Style" w:cs="Arial"/>
          <w:lang w:val="es-ES_tradnl"/>
        </w:rPr>
      </w:pPr>
      <w:r>
        <w:rPr>
          <w:rFonts w:ascii="Bookman Old Style" w:hAnsi="Bookman Old Style" w:cs="Arial"/>
          <w:lang w:val="es-ES_tradnl"/>
        </w:rPr>
        <w:t xml:space="preserve">Mediante la Resolución 4 0179 del 9 de junio de 2021 del Ministerio de Minas y Energía, </w:t>
      </w:r>
      <w:r w:rsidR="00271E1C">
        <w:rPr>
          <w:rFonts w:ascii="Bookman Old Style" w:hAnsi="Bookman Old Style" w:cs="Arial"/>
          <w:lang w:val="es-ES_tradnl"/>
        </w:rPr>
        <w:t xml:space="preserve">se </w:t>
      </w:r>
      <w:r>
        <w:rPr>
          <w:rFonts w:ascii="Bookman Old Style" w:hAnsi="Bookman Old Style" w:cs="Arial"/>
          <w:lang w:val="es-ES_tradnl"/>
        </w:rPr>
        <w:t xml:space="preserve">convoca a la subasta de contratación de largo plazo para proyectos de generación de energía eléctrica y </w:t>
      </w:r>
      <w:r w:rsidRPr="00175A8B">
        <w:rPr>
          <w:rFonts w:ascii="Bookman Old Style" w:hAnsi="Bookman Old Style" w:cs="Arial"/>
          <w:lang w:val="es-ES_tradnl"/>
        </w:rPr>
        <w:t xml:space="preserve">se definen los parámetros de su aplicación. </w:t>
      </w:r>
    </w:p>
    <w:p w14:paraId="34D2F44A" w14:textId="7393C009" w:rsidR="00375A0F" w:rsidRDefault="00375A0F" w:rsidP="00375A0F">
      <w:pPr>
        <w:ind w:left="0"/>
        <w:jc w:val="both"/>
        <w:rPr>
          <w:rFonts w:ascii="Bookman Old Style" w:hAnsi="Bookman Old Style" w:cs="Arial"/>
          <w:lang w:val="es-ES_tradnl"/>
        </w:rPr>
      </w:pPr>
      <w:r>
        <w:rPr>
          <w:rFonts w:ascii="Bookman Old Style" w:hAnsi="Bookman Old Style" w:cs="Arial"/>
          <w:lang w:val="es-ES_tradnl"/>
        </w:rPr>
        <w:lastRenderedPageBreak/>
        <w:t>Teniendo en cuenta que el artículo 19 de la Resolución 4 0590 de 2019 determinó que la CREG debe establecer indicadores de competencia que estén acordes con el mecanismo y producto de la subasta a desarrollarse conforme a la Resolución 4 0179 de 2021, que permitan entender que el proceso de interacción de oferta y demanda fue eficiente, mediante la presente resolución se definen las condiciones de competencia a aplicarse</w:t>
      </w:r>
      <w:r w:rsidRPr="00E12C46">
        <w:rPr>
          <w:rFonts w:ascii="Bookman Old Style" w:hAnsi="Bookman Old Style" w:cs="Arial"/>
          <w:lang w:val="es-ES_tradnl"/>
        </w:rPr>
        <w:t>.</w:t>
      </w:r>
      <w:r>
        <w:rPr>
          <w:rFonts w:ascii="Bookman Old Style" w:hAnsi="Bookman Old Style" w:cs="Arial"/>
          <w:lang w:val="es-ES_tradnl"/>
        </w:rPr>
        <w:t xml:space="preserve"> </w:t>
      </w:r>
    </w:p>
    <w:p w14:paraId="109378B5" w14:textId="77777777" w:rsidR="00AF0338" w:rsidRDefault="00AF0338" w:rsidP="002C5547">
      <w:pPr>
        <w:ind w:left="0"/>
        <w:jc w:val="both"/>
        <w:rPr>
          <w:rFonts w:ascii="Bookman Old Style" w:hAnsi="Bookman Old Style" w:cs="Arial"/>
          <w:lang w:val="es-ES_tradnl"/>
        </w:rPr>
      </w:pPr>
    </w:p>
    <w:p w14:paraId="2F337E2D" w14:textId="0C881FC9" w:rsidR="00AA74B3" w:rsidRDefault="00B43A67" w:rsidP="002C5547">
      <w:pPr>
        <w:ind w:left="0"/>
        <w:jc w:val="both"/>
        <w:rPr>
          <w:rFonts w:ascii="Bookman Old Style" w:hAnsi="Bookman Old Style" w:cs="Arial"/>
          <w:lang w:val="es-ES_tradnl"/>
        </w:rPr>
      </w:pPr>
      <w:r>
        <w:rPr>
          <w:rFonts w:ascii="Bookman Old Style" w:hAnsi="Bookman Old Style" w:cs="Arial"/>
          <w:lang w:val="es-ES_tradnl"/>
        </w:rPr>
        <w:t>L</w:t>
      </w:r>
      <w:r w:rsidR="00384278">
        <w:rPr>
          <w:rFonts w:ascii="Bookman Old Style" w:hAnsi="Bookman Old Style" w:cs="Arial"/>
          <w:lang w:val="es-ES_tradnl"/>
        </w:rPr>
        <w:t xml:space="preserve">a Resolución </w:t>
      </w:r>
      <w:r w:rsidR="00442209">
        <w:rPr>
          <w:rFonts w:ascii="Bookman Old Style" w:hAnsi="Bookman Old Style" w:cs="Arial"/>
          <w:lang w:val="es-ES_tradnl"/>
        </w:rPr>
        <w:t xml:space="preserve">CREG </w:t>
      </w:r>
      <w:r w:rsidR="00384278">
        <w:rPr>
          <w:rFonts w:ascii="Bookman Old Style" w:hAnsi="Bookman Old Style" w:cs="Arial"/>
          <w:lang w:val="es-ES_tradnl"/>
        </w:rPr>
        <w:t xml:space="preserve">094 de 2021 </w:t>
      </w:r>
      <w:r w:rsidR="00193C3B">
        <w:rPr>
          <w:rFonts w:ascii="Bookman Old Style" w:hAnsi="Bookman Old Style" w:cs="Arial"/>
          <w:lang w:val="es-ES_tradnl"/>
        </w:rPr>
        <w:t>orden</w:t>
      </w:r>
      <w:r w:rsidR="00FE3084">
        <w:rPr>
          <w:rFonts w:ascii="Bookman Old Style" w:hAnsi="Bookman Old Style" w:cs="Arial"/>
          <w:lang w:val="es-ES_tradnl"/>
        </w:rPr>
        <w:t>ó hacer público un proyecto de resolución en donde se establece</w:t>
      </w:r>
      <w:r w:rsidR="00ED4BCF">
        <w:rPr>
          <w:rFonts w:ascii="Bookman Old Style" w:hAnsi="Bookman Old Style" w:cs="Arial"/>
          <w:lang w:val="es-ES_tradnl"/>
        </w:rPr>
        <w:t>n las “condiciones de competencia que debe cump</w:t>
      </w:r>
      <w:r w:rsidR="00471485">
        <w:rPr>
          <w:rFonts w:ascii="Bookman Old Style" w:hAnsi="Bookman Old Style" w:cs="Arial"/>
          <w:lang w:val="es-ES_tradnl"/>
        </w:rPr>
        <w:t>lir el mecanismo de contratación de largo plazo del Ministerio de Minas y Energía”</w:t>
      </w:r>
      <w:r w:rsidR="000D749C">
        <w:rPr>
          <w:rFonts w:ascii="Bookman Old Style" w:hAnsi="Bookman Old Style" w:cs="Arial"/>
          <w:lang w:val="es-ES_tradnl"/>
        </w:rPr>
        <w:t>.</w:t>
      </w:r>
    </w:p>
    <w:p w14:paraId="6F9AC495" w14:textId="77777777" w:rsidR="00AA74B3" w:rsidRDefault="00AA74B3" w:rsidP="002C5547">
      <w:pPr>
        <w:ind w:left="0"/>
        <w:jc w:val="both"/>
        <w:rPr>
          <w:rFonts w:ascii="Bookman Old Style" w:hAnsi="Bookman Old Style" w:cs="Arial"/>
          <w:lang w:val="es-ES_tradnl"/>
        </w:rPr>
      </w:pPr>
    </w:p>
    <w:p w14:paraId="48B7CB81" w14:textId="44469EDA" w:rsidR="00141A64" w:rsidRDefault="00AA74B3" w:rsidP="00141A64">
      <w:pPr>
        <w:ind w:left="0"/>
        <w:jc w:val="both"/>
        <w:rPr>
          <w:rFonts w:ascii="Bookman Old Style" w:hAnsi="Bookman Old Style" w:cs="Arial"/>
          <w:lang w:val="es-ES_tradnl"/>
        </w:rPr>
      </w:pPr>
      <w:r>
        <w:rPr>
          <w:rFonts w:ascii="Bookman Old Style" w:hAnsi="Bookman Old Style" w:cs="Arial"/>
          <w:lang w:val="es-ES_tradnl"/>
        </w:rPr>
        <w:t>Durante el p</w:t>
      </w:r>
      <w:r w:rsidR="008236CE">
        <w:rPr>
          <w:rFonts w:ascii="Bookman Old Style" w:hAnsi="Bookman Old Style" w:cs="Arial"/>
          <w:lang w:val="es-ES_tradnl"/>
        </w:rPr>
        <w:t>eríodo</w:t>
      </w:r>
      <w:r>
        <w:rPr>
          <w:rFonts w:ascii="Bookman Old Style" w:hAnsi="Bookman Old Style" w:cs="Arial"/>
          <w:lang w:val="es-ES_tradnl"/>
        </w:rPr>
        <w:t xml:space="preserve"> de consulta </w:t>
      </w:r>
      <w:r w:rsidR="00AD3C3B">
        <w:rPr>
          <w:rFonts w:ascii="Bookman Old Style" w:hAnsi="Bookman Old Style" w:cs="Arial"/>
          <w:lang w:val="es-ES_tradnl"/>
        </w:rPr>
        <w:t xml:space="preserve">de la Resolución CREG </w:t>
      </w:r>
      <w:r w:rsidR="00505DC5">
        <w:rPr>
          <w:rFonts w:ascii="Bookman Old Style" w:hAnsi="Bookman Old Style" w:cs="Arial"/>
          <w:lang w:val="es-ES_tradnl"/>
        </w:rPr>
        <w:t>094</w:t>
      </w:r>
      <w:r w:rsidR="00AD3C3B">
        <w:rPr>
          <w:rFonts w:ascii="Bookman Old Style" w:hAnsi="Bookman Old Style" w:cs="Arial"/>
          <w:lang w:val="es-ES_tradnl"/>
        </w:rPr>
        <w:t xml:space="preserve"> de 20</w:t>
      </w:r>
      <w:r w:rsidR="00505DC5">
        <w:rPr>
          <w:rFonts w:ascii="Bookman Old Style" w:hAnsi="Bookman Old Style" w:cs="Arial"/>
          <w:lang w:val="es-ES_tradnl"/>
        </w:rPr>
        <w:t xml:space="preserve">21 se radicaron en la CREG los siguientes comentarios: </w:t>
      </w:r>
      <w:r w:rsidR="00141A64">
        <w:rPr>
          <w:rFonts w:ascii="Bookman Old Style" w:hAnsi="Bookman Old Style" w:cs="Arial"/>
          <w:lang w:val="es-ES_tradnl"/>
        </w:rPr>
        <w:t>Cedenar</w:t>
      </w:r>
      <w:r w:rsidR="00141A64" w:rsidRPr="00245F5D">
        <w:rPr>
          <w:rFonts w:ascii="Bookman Old Style" w:hAnsi="Bookman Old Style" w:cs="Arial"/>
          <w:lang w:val="es-ES_tradnl"/>
        </w:rPr>
        <w:t>, radicado E-20</w:t>
      </w:r>
      <w:r w:rsidR="00141A64">
        <w:rPr>
          <w:rFonts w:ascii="Bookman Old Style" w:hAnsi="Bookman Old Style" w:cs="Arial"/>
          <w:lang w:val="es-ES_tradnl"/>
        </w:rPr>
        <w:t>2</w:t>
      </w:r>
      <w:r w:rsidR="00141A64" w:rsidRPr="00245F5D">
        <w:rPr>
          <w:rFonts w:ascii="Bookman Old Style" w:hAnsi="Bookman Old Style" w:cs="Arial"/>
          <w:lang w:val="es-ES_tradnl"/>
        </w:rPr>
        <w:t>1-0</w:t>
      </w:r>
      <w:r w:rsidR="00141A64">
        <w:rPr>
          <w:rFonts w:ascii="Bookman Old Style" w:hAnsi="Bookman Old Style" w:cs="Arial"/>
          <w:lang w:val="es-ES_tradnl"/>
        </w:rPr>
        <w:t>0</w:t>
      </w:r>
      <w:r w:rsidR="00141A64" w:rsidRPr="00245F5D">
        <w:rPr>
          <w:rFonts w:ascii="Bookman Old Style" w:hAnsi="Bookman Old Style" w:cs="Arial"/>
          <w:lang w:val="es-ES_tradnl"/>
        </w:rPr>
        <w:t>9</w:t>
      </w:r>
      <w:r w:rsidR="00141A64">
        <w:rPr>
          <w:rFonts w:ascii="Bookman Old Style" w:hAnsi="Bookman Old Style" w:cs="Arial"/>
          <w:lang w:val="es-ES_tradnl"/>
        </w:rPr>
        <w:t>89</w:t>
      </w:r>
      <w:r w:rsidR="008A425C">
        <w:rPr>
          <w:rFonts w:ascii="Bookman Old Style" w:hAnsi="Bookman Old Style" w:cs="Arial"/>
          <w:lang w:val="es-ES_tradnl"/>
        </w:rPr>
        <w:t>4</w:t>
      </w:r>
      <w:r w:rsidR="00141A64" w:rsidRPr="00245F5D">
        <w:rPr>
          <w:rFonts w:ascii="Bookman Old Style" w:hAnsi="Bookman Old Style" w:cs="Arial"/>
          <w:lang w:val="es-ES_tradnl"/>
        </w:rPr>
        <w:t>,</w:t>
      </w:r>
      <w:r w:rsidR="00141A64">
        <w:rPr>
          <w:rFonts w:ascii="Bookman Old Style" w:hAnsi="Bookman Old Style" w:cs="Arial"/>
          <w:lang w:val="es-ES_tradnl"/>
        </w:rPr>
        <w:t xml:space="preserve"> </w:t>
      </w:r>
      <w:r w:rsidR="00141A64" w:rsidRPr="00245F5D">
        <w:rPr>
          <w:rFonts w:ascii="Bookman Old Style" w:hAnsi="Bookman Old Style" w:cs="Arial"/>
          <w:lang w:val="es-ES_tradnl"/>
        </w:rPr>
        <w:t>Acolgen, radicado E-20</w:t>
      </w:r>
      <w:r w:rsidR="00141A64">
        <w:rPr>
          <w:rFonts w:ascii="Bookman Old Style" w:hAnsi="Bookman Old Style" w:cs="Arial"/>
          <w:lang w:val="es-ES_tradnl"/>
        </w:rPr>
        <w:t>2</w:t>
      </w:r>
      <w:r w:rsidR="00141A64" w:rsidRPr="00245F5D">
        <w:rPr>
          <w:rFonts w:ascii="Bookman Old Style" w:hAnsi="Bookman Old Style" w:cs="Arial"/>
          <w:lang w:val="es-ES_tradnl"/>
        </w:rPr>
        <w:t>1-00</w:t>
      </w:r>
      <w:r w:rsidR="00141A64">
        <w:rPr>
          <w:rFonts w:ascii="Bookman Old Style" w:hAnsi="Bookman Old Style" w:cs="Arial"/>
          <w:lang w:val="es-ES_tradnl"/>
        </w:rPr>
        <w:t>99</w:t>
      </w:r>
      <w:r w:rsidR="00CD42FB">
        <w:rPr>
          <w:rFonts w:ascii="Bookman Old Style" w:hAnsi="Bookman Old Style" w:cs="Arial"/>
          <w:lang w:val="es-ES_tradnl"/>
        </w:rPr>
        <w:t>00</w:t>
      </w:r>
      <w:r w:rsidR="00141A64" w:rsidRPr="00245F5D">
        <w:rPr>
          <w:rFonts w:ascii="Bookman Old Style" w:hAnsi="Bookman Old Style" w:cs="Arial"/>
          <w:lang w:val="es-ES_tradnl"/>
        </w:rPr>
        <w:t xml:space="preserve">, </w:t>
      </w:r>
      <w:r w:rsidR="00141A64">
        <w:rPr>
          <w:rFonts w:ascii="Bookman Old Style" w:hAnsi="Bookman Old Style" w:cs="Arial"/>
          <w:lang w:val="es-ES_tradnl"/>
        </w:rPr>
        <w:t>Asocodis</w:t>
      </w:r>
      <w:r w:rsidR="00141A64" w:rsidRPr="00245F5D">
        <w:rPr>
          <w:rFonts w:ascii="Bookman Old Style" w:hAnsi="Bookman Old Style" w:cs="Arial"/>
          <w:lang w:val="es-ES_tradnl"/>
        </w:rPr>
        <w:t>, radicado E-20</w:t>
      </w:r>
      <w:r w:rsidR="00141A64">
        <w:rPr>
          <w:rFonts w:ascii="Bookman Old Style" w:hAnsi="Bookman Old Style" w:cs="Arial"/>
          <w:lang w:val="es-ES_tradnl"/>
        </w:rPr>
        <w:t>2</w:t>
      </w:r>
      <w:r w:rsidR="00141A64" w:rsidRPr="00245F5D">
        <w:rPr>
          <w:rFonts w:ascii="Bookman Old Style" w:hAnsi="Bookman Old Style" w:cs="Arial"/>
          <w:lang w:val="es-ES_tradnl"/>
        </w:rPr>
        <w:t>1-00</w:t>
      </w:r>
      <w:r w:rsidR="00141A64">
        <w:rPr>
          <w:rFonts w:ascii="Bookman Old Style" w:hAnsi="Bookman Old Style" w:cs="Arial"/>
          <w:lang w:val="es-ES_tradnl"/>
        </w:rPr>
        <w:t>9</w:t>
      </w:r>
      <w:r w:rsidR="00141A64" w:rsidRPr="00245F5D">
        <w:rPr>
          <w:rFonts w:ascii="Bookman Old Style" w:hAnsi="Bookman Old Style" w:cs="Arial"/>
          <w:lang w:val="es-ES_tradnl"/>
        </w:rPr>
        <w:t>9</w:t>
      </w:r>
      <w:r w:rsidR="00141A64">
        <w:rPr>
          <w:rFonts w:ascii="Bookman Old Style" w:hAnsi="Bookman Old Style" w:cs="Arial"/>
          <w:lang w:val="es-ES_tradnl"/>
        </w:rPr>
        <w:t>0</w:t>
      </w:r>
      <w:r w:rsidR="00CD42FB">
        <w:rPr>
          <w:rFonts w:ascii="Bookman Old Style" w:hAnsi="Bookman Old Style" w:cs="Arial"/>
          <w:lang w:val="es-ES_tradnl"/>
        </w:rPr>
        <w:t>4</w:t>
      </w:r>
      <w:r w:rsidR="00141A64">
        <w:rPr>
          <w:rFonts w:ascii="Bookman Old Style" w:hAnsi="Bookman Old Style" w:cs="Arial"/>
          <w:lang w:val="es-ES_tradnl"/>
        </w:rPr>
        <w:t>.</w:t>
      </w:r>
    </w:p>
    <w:p w14:paraId="6D933E32" w14:textId="77777777" w:rsidR="007A63B3" w:rsidRDefault="007A63B3" w:rsidP="002C5547">
      <w:pPr>
        <w:ind w:left="0"/>
        <w:jc w:val="both"/>
        <w:rPr>
          <w:rFonts w:ascii="Bookman Old Style" w:hAnsi="Bookman Old Style" w:cs="Arial"/>
          <w:lang w:val="es-ES_tradnl"/>
        </w:rPr>
      </w:pPr>
    </w:p>
    <w:p w14:paraId="467DF1FC" w14:textId="6448DE98" w:rsidR="00680C3A" w:rsidRDefault="00680C3A" w:rsidP="00680C3A">
      <w:pPr>
        <w:ind w:left="0"/>
        <w:jc w:val="both"/>
        <w:rPr>
          <w:rFonts w:ascii="Bookman Old Style" w:hAnsi="Bookman Old Style" w:cs="Arial"/>
          <w:lang w:val="es-ES_tradnl"/>
        </w:rPr>
      </w:pPr>
      <w:r>
        <w:rPr>
          <w:rFonts w:ascii="Bookman Old Style" w:hAnsi="Bookman Old Style" w:cs="Arial"/>
          <w:lang w:val="es-ES_tradnl"/>
        </w:rPr>
        <w:t xml:space="preserve">Con base en lo anterior, la Comisión de Regulación de Energía y Gas, en su </w:t>
      </w:r>
      <w:r w:rsidRPr="00442209">
        <w:rPr>
          <w:rFonts w:ascii="Bookman Old Style" w:hAnsi="Bookman Old Style" w:cs="Arial"/>
          <w:lang w:val="es-ES_tradnl"/>
        </w:rPr>
        <w:t>Sesión 1123 del 14 de septiembre de 202</w:t>
      </w:r>
      <w:r w:rsidRPr="007A683A">
        <w:rPr>
          <w:rFonts w:ascii="Bookman Old Style" w:hAnsi="Bookman Old Style" w:cs="Arial"/>
          <w:lang w:val="es-ES_tradnl"/>
        </w:rPr>
        <w:t>1</w:t>
      </w:r>
      <w:r w:rsidR="008236CE">
        <w:rPr>
          <w:rFonts w:ascii="Bookman Old Style" w:hAnsi="Bookman Old Style" w:cs="Arial"/>
          <w:lang w:val="es-ES_tradnl"/>
        </w:rPr>
        <w:t>,</w:t>
      </w:r>
      <w:r>
        <w:rPr>
          <w:rFonts w:ascii="Bookman Old Style" w:hAnsi="Bookman Old Style" w:cs="Arial"/>
          <w:lang w:val="es-ES_tradnl"/>
        </w:rPr>
        <w:t xml:space="preserve"> acordó aprobar esta Resolución para su envío a la </w:t>
      </w:r>
      <w:r w:rsidRPr="00763C5F">
        <w:rPr>
          <w:rFonts w:ascii="Bookman Old Style" w:hAnsi="Bookman Old Style" w:cs="Arial"/>
          <w:lang w:val="es-ES_tradnl"/>
        </w:rPr>
        <w:t>Superintendencia de Industria y Comercio, SIC</w:t>
      </w:r>
      <w:r>
        <w:rPr>
          <w:rFonts w:ascii="Bookman Old Style" w:hAnsi="Bookman Old Style" w:cs="Arial"/>
          <w:lang w:val="es-ES_tradnl"/>
        </w:rPr>
        <w:t>.</w:t>
      </w:r>
    </w:p>
    <w:p w14:paraId="231A6413" w14:textId="77777777" w:rsidR="00680C3A" w:rsidRDefault="00680C3A" w:rsidP="007A63B3">
      <w:pPr>
        <w:ind w:left="0"/>
        <w:jc w:val="both"/>
        <w:rPr>
          <w:rFonts w:ascii="Bookman Old Style" w:hAnsi="Bookman Old Style" w:cs="Arial"/>
          <w:lang w:val="es-ES_tradnl"/>
        </w:rPr>
      </w:pPr>
    </w:p>
    <w:p w14:paraId="00ADB908" w14:textId="47C128F1" w:rsidR="007A63B3" w:rsidRPr="007B25B7" w:rsidRDefault="00B7259E" w:rsidP="007A63B3">
      <w:pPr>
        <w:ind w:left="0"/>
        <w:jc w:val="both"/>
        <w:rPr>
          <w:rFonts w:ascii="Bookman Old Style" w:hAnsi="Bookman Old Style" w:cs="Arial"/>
          <w:i/>
          <w:iCs/>
          <w:lang w:val="es-ES_tradnl"/>
        </w:rPr>
      </w:pPr>
      <w:r w:rsidRPr="00397D94">
        <w:rPr>
          <w:rFonts w:ascii="Bookman Old Style" w:hAnsi="Bookman Old Style" w:cs="Arial"/>
          <w:lang w:val="es-ES_tradnl"/>
        </w:rPr>
        <w:t>L</w:t>
      </w:r>
      <w:r w:rsidR="007A63B3" w:rsidRPr="00397D94">
        <w:rPr>
          <w:rFonts w:ascii="Bookman Old Style" w:hAnsi="Bookman Old Style" w:cs="Arial"/>
          <w:lang w:val="es-ES_tradnl"/>
        </w:rPr>
        <w:t xml:space="preserve">a </w:t>
      </w:r>
      <w:r w:rsidR="007A63B3" w:rsidRPr="00A370E1">
        <w:rPr>
          <w:rFonts w:ascii="Bookman Old Style" w:hAnsi="Bookman Old Style" w:cs="Arial"/>
          <w:lang w:val="es-ES_tradnl"/>
        </w:rPr>
        <w:t xml:space="preserve">Comisión </w:t>
      </w:r>
      <w:r w:rsidR="00782A9D" w:rsidRPr="00A370E1">
        <w:rPr>
          <w:rFonts w:ascii="Bookman Old Style" w:hAnsi="Bookman Old Style" w:cs="Arial"/>
          <w:lang w:val="es-ES_tradnl"/>
        </w:rPr>
        <w:t xml:space="preserve">informó </w:t>
      </w:r>
      <w:r w:rsidR="007A63B3" w:rsidRPr="00A370E1">
        <w:rPr>
          <w:rFonts w:ascii="Bookman Old Style" w:hAnsi="Bookman Old Style" w:cs="Arial"/>
          <w:lang w:val="es-ES_tradnl"/>
        </w:rPr>
        <w:t>a la Superintendencia de Industria y Comercio, SIC, del presente acto</w:t>
      </w:r>
      <w:r w:rsidR="008236CE">
        <w:rPr>
          <w:rFonts w:ascii="Bookman Old Style" w:hAnsi="Bookman Old Style" w:cs="Arial"/>
          <w:lang w:val="es-ES_tradnl"/>
        </w:rPr>
        <w:t>,</w:t>
      </w:r>
      <w:r w:rsidR="007A63B3" w:rsidRPr="00A370E1">
        <w:rPr>
          <w:rFonts w:ascii="Bookman Old Style" w:hAnsi="Bookman Old Style" w:cs="Arial"/>
          <w:lang w:val="es-ES_tradnl"/>
        </w:rPr>
        <w:t xml:space="preserve"> en cumplimiento de la instrucción impartida por esta entidad con ocasión </w:t>
      </w:r>
      <w:r w:rsidR="008236CE">
        <w:rPr>
          <w:rFonts w:ascii="Bookman Old Style" w:hAnsi="Bookman Old Style" w:cs="Arial"/>
          <w:lang w:val="es-ES_tradnl"/>
        </w:rPr>
        <w:t>de</w:t>
      </w:r>
      <w:r w:rsidR="007A63B3" w:rsidRPr="00A370E1">
        <w:rPr>
          <w:rFonts w:ascii="Bookman Old Style" w:hAnsi="Bookman Old Style" w:cs="Arial"/>
          <w:lang w:val="es-ES_tradnl"/>
        </w:rPr>
        <w:t>l concepto de abogacía sobre la competencia con radicado número 21-143069-1-0, el cual fue remitido por el Ministerio de Minas y Energía y radicado en la Comisión bajo la referencia CREG E-2021-006875.</w:t>
      </w:r>
      <w:r w:rsidR="007A63B3">
        <w:rPr>
          <w:rFonts w:ascii="Bookman Old Style" w:hAnsi="Bookman Old Style" w:cs="Arial"/>
          <w:lang w:val="es-ES_tradnl"/>
        </w:rPr>
        <w:t xml:space="preserve"> </w:t>
      </w:r>
    </w:p>
    <w:p w14:paraId="11262141" w14:textId="447F04A1" w:rsidR="00505DC5" w:rsidRDefault="00505DC5" w:rsidP="002C5547">
      <w:pPr>
        <w:ind w:left="0"/>
        <w:jc w:val="both"/>
        <w:rPr>
          <w:rFonts w:ascii="Bookman Old Style" w:hAnsi="Bookman Old Style" w:cs="Arial"/>
          <w:lang w:val="es-ES_tradnl"/>
        </w:rPr>
      </w:pPr>
    </w:p>
    <w:p w14:paraId="38C51D5F" w14:textId="6004550E" w:rsidR="00782A9D" w:rsidRDefault="00782A9D" w:rsidP="00782A9D">
      <w:pPr>
        <w:ind w:left="0"/>
        <w:jc w:val="both"/>
        <w:rPr>
          <w:rFonts w:ascii="Bookman Old Style" w:hAnsi="Bookman Old Style" w:cs="Arial"/>
          <w:lang w:val="es-CO"/>
        </w:rPr>
      </w:pPr>
      <w:r>
        <w:rPr>
          <w:rFonts w:ascii="Bookman Old Style" w:hAnsi="Bookman Old Style" w:cs="Arial"/>
          <w:lang w:val="es-ES_tradnl"/>
        </w:rPr>
        <w:t>Mediante radicado E-2021-011613, esta Comisión recibió el concepto de abogacía de la competencia emitido por la Superintendencia de Industria y Comercio, en el cual formuló la recomendación de “</w:t>
      </w:r>
      <w:r>
        <w:rPr>
          <w:rFonts w:ascii="Bookman Old Style" w:hAnsi="Bookman Old Style" w:cs="Arial"/>
          <w:b/>
          <w:i/>
          <w:lang w:val="es-CO"/>
        </w:rPr>
        <w:t>e</w:t>
      </w:r>
      <w:r w:rsidRPr="001A4F41">
        <w:rPr>
          <w:rFonts w:ascii="Bookman Old Style" w:hAnsi="Bookman Old Style" w:cs="Arial"/>
          <w:b/>
          <w:i/>
          <w:lang w:val="es-CO"/>
        </w:rPr>
        <w:t xml:space="preserve">valuar </w:t>
      </w:r>
      <w:r w:rsidRPr="001A4F41">
        <w:rPr>
          <w:rFonts w:ascii="Bookman Old Style" w:hAnsi="Bookman Old Style" w:cs="Arial"/>
          <w:i/>
          <w:lang w:val="es-CO"/>
        </w:rPr>
        <w:t>y justificar la pertinencia (o no) de contar con un indicador que promueva la competencia en el proceso de subasta de contratos de largo plazo con FNCER desde el lado de la demanda, esto es, desde el lado de los comercializadores</w:t>
      </w:r>
      <w:r>
        <w:rPr>
          <w:rFonts w:ascii="Bookman Old Style" w:hAnsi="Bookman Old Style" w:cs="Arial"/>
          <w:i/>
          <w:lang w:val="es-CO"/>
        </w:rPr>
        <w:t xml:space="preserve"> (…)</w:t>
      </w:r>
      <w:r>
        <w:rPr>
          <w:rFonts w:ascii="Bookman Old Style" w:hAnsi="Bookman Old Style" w:cs="Arial"/>
          <w:lang w:val="es-CO"/>
        </w:rPr>
        <w:t>”.</w:t>
      </w:r>
    </w:p>
    <w:p w14:paraId="7D048B0B" w14:textId="77777777" w:rsidR="00782A9D" w:rsidRDefault="00782A9D" w:rsidP="00782A9D">
      <w:pPr>
        <w:ind w:left="0"/>
        <w:jc w:val="both"/>
        <w:rPr>
          <w:rFonts w:ascii="Bookman Old Style" w:hAnsi="Bookman Old Style" w:cs="Arial"/>
          <w:lang w:val="es-CO"/>
        </w:rPr>
      </w:pPr>
    </w:p>
    <w:p w14:paraId="3257146A" w14:textId="584C859C" w:rsidR="00782A9D" w:rsidRDefault="00782A9D" w:rsidP="00782A9D">
      <w:pPr>
        <w:ind w:left="0"/>
        <w:jc w:val="both"/>
        <w:rPr>
          <w:rFonts w:ascii="Bookman Old Style" w:hAnsi="Bookman Old Style" w:cs="Arial"/>
          <w:lang w:val="es-CO"/>
        </w:rPr>
      </w:pPr>
      <w:r>
        <w:rPr>
          <w:rFonts w:ascii="Bookman Old Style" w:hAnsi="Bookman Old Style" w:cs="Arial"/>
          <w:lang w:val="es-CO"/>
        </w:rPr>
        <w:t>Frente a la recomendación formulada por parte de la autoridad de competencia, en primer lugar, esta Comisión reitera lo señalado en el documento soporte de la Resolución CREG 094 de 2021, donde se establece que “</w:t>
      </w:r>
      <w:r w:rsidRPr="00E02451">
        <w:rPr>
          <w:rFonts w:ascii="Bookman Old Style" w:hAnsi="Bookman Old Style" w:cs="Arial"/>
          <w:i/>
          <w:iCs/>
          <w:lang w:val="es-CO"/>
        </w:rPr>
        <w:t>para los compradores, ya se encuentren en situación de control o no con algún oferente, no hay incentivos para pujar por un precio diferente a su valor de reserva para el producto</w:t>
      </w:r>
      <w:r>
        <w:rPr>
          <w:rFonts w:ascii="Bookman Old Style" w:hAnsi="Bookman Old Style" w:cs="Arial"/>
          <w:lang w:val="es-CO"/>
        </w:rPr>
        <w:t>”, pues sus</w:t>
      </w:r>
      <w:r w:rsidRPr="00865E39">
        <w:rPr>
          <w:rFonts w:ascii="Bookman Old Style" w:hAnsi="Bookman Old Style" w:cs="Arial"/>
          <w:lang w:val="es-CO"/>
        </w:rPr>
        <w:t xml:space="preserve"> incentivos son iguales a los que </w:t>
      </w:r>
      <w:r>
        <w:rPr>
          <w:rFonts w:ascii="Bookman Old Style" w:hAnsi="Bookman Old Style" w:cs="Arial"/>
          <w:lang w:val="es-CO"/>
        </w:rPr>
        <w:t>tendría</w:t>
      </w:r>
      <w:r w:rsidR="005547D6">
        <w:rPr>
          <w:rFonts w:ascii="Bookman Old Style" w:hAnsi="Bookman Old Style" w:cs="Arial"/>
          <w:lang w:val="es-CO"/>
        </w:rPr>
        <w:t>n</w:t>
      </w:r>
      <w:r w:rsidRPr="00865E39">
        <w:rPr>
          <w:rFonts w:ascii="Bookman Old Style" w:hAnsi="Bookman Old Style" w:cs="Arial"/>
          <w:lang w:val="es-CO"/>
        </w:rPr>
        <w:t xml:space="preserve"> en una subasta de precio marginal</w:t>
      </w:r>
      <w:r w:rsidR="008236CE">
        <w:rPr>
          <w:rFonts w:ascii="Bookman Old Style" w:hAnsi="Bookman Old Style" w:cs="Arial"/>
          <w:lang w:val="es-CO"/>
        </w:rPr>
        <w:t>,</w:t>
      </w:r>
      <w:r>
        <w:rPr>
          <w:rFonts w:ascii="Bookman Old Style" w:hAnsi="Bookman Old Style" w:cs="Arial"/>
          <w:lang w:val="es-CO"/>
        </w:rPr>
        <w:t xml:space="preserve"> al percibir</w:t>
      </w:r>
      <w:r w:rsidRPr="00865E39">
        <w:rPr>
          <w:rFonts w:ascii="Bookman Old Style" w:hAnsi="Bookman Old Style" w:cs="Arial"/>
          <w:lang w:val="es-CO"/>
        </w:rPr>
        <w:t xml:space="preserve"> el precio promedio ponderado de las ofertas de venta que resultaron en mérito. </w:t>
      </w:r>
    </w:p>
    <w:p w14:paraId="51B7043E" w14:textId="77777777" w:rsidR="00782A9D" w:rsidRDefault="00782A9D" w:rsidP="00782A9D">
      <w:pPr>
        <w:ind w:left="0"/>
        <w:jc w:val="both"/>
        <w:rPr>
          <w:rFonts w:ascii="Bookman Old Style" w:hAnsi="Bookman Old Style" w:cs="Arial"/>
          <w:lang w:val="es-CO"/>
        </w:rPr>
      </w:pPr>
    </w:p>
    <w:p w14:paraId="752AA147" w14:textId="6E5FA4B8" w:rsidR="00782A9D" w:rsidRDefault="00782A9D" w:rsidP="00782A9D">
      <w:pPr>
        <w:ind w:left="0"/>
        <w:jc w:val="both"/>
        <w:rPr>
          <w:rFonts w:ascii="Bookman Old Style" w:hAnsi="Bookman Old Style" w:cs="Arial"/>
          <w:lang w:val="es-CO"/>
        </w:rPr>
      </w:pPr>
      <w:r>
        <w:rPr>
          <w:rFonts w:ascii="Bookman Old Style" w:hAnsi="Bookman Old Style" w:cs="Arial"/>
          <w:lang w:val="es-CO"/>
        </w:rPr>
        <w:t>De otra parte, según lo dispuesto en el artículo 296 de la Ley 1955 de 2019 (Plan Nacional de Desarrollo), reglamentado por la Resolución 40060 de 2021 del Ministerio de Minas y Energía, los comercializador</w:t>
      </w:r>
      <w:r w:rsidR="005547D6">
        <w:rPr>
          <w:rFonts w:ascii="Bookman Old Style" w:hAnsi="Bookman Old Style" w:cs="Arial"/>
          <w:lang w:val="es-CO"/>
        </w:rPr>
        <w:t>e</w:t>
      </w:r>
      <w:r>
        <w:rPr>
          <w:rFonts w:ascii="Bookman Old Style" w:hAnsi="Bookman Old Style" w:cs="Arial"/>
          <w:lang w:val="es-CO"/>
        </w:rPr>
        <w:t xml:space="preserve">s están obligados </w:t>
      </w:r>
      <w:r w:rsidRPr="009A6A9F">
        <w:rPr>
          <w:rFonts w:ascii="Bookman Old Style" w:hAnsi="Bookman Old Style" w:cs="Arial"/>
          <w:lang w:val="es-CO"/>
        </w:rPr>
        <w:t>a que el diez por ciento (10%) de las compras anuales de energía destinadas a atender usuarios finales, provengan de Fuentes No Convencionales de Energía Renovable, a través de contratos de largo plazo</w:t>
      </w:r>
      <w:r>
        <w:rPr>
          <w:rFonts w:ascii="Bookman Old Style" w:hAnsi="Bookman Old Style" w:cs="Arial"/>
          <w:lang w:val="es-CO"/>
        </w:rPr>
        <w:t>.</w:t>
      </w:r>
    </w:p>
    <w:p w14:paraId="7F7A0A10" w14:textId="77777777" w:rsidR="00782A9D" w:rsidRDefault="00782A9D" w:rsidP="00782A9D">
      <w:pPr>
        <w:ind w:left="0"/>
        <w:jc w:val="both"/>
        <w:rPr>
          <w:rFonts w:ascii="Bookman Old Style" w:hAnsi="Bookman Old Style" w:cs="Arial"/>
          <w:lang w:val="es-CO"/>
        </w:rPr>
      </w:pPr>
    </w:p>
    <w:p w14:paraId="07E10FF6" w14:textId="145BD963" w:rsidR="00782A9D" w:rsidRDefault="008236CE" w:rsidP="00782A9D">
      <w:pPr>
        <w:ind w:left="0"/>
        <w:jc w:val="both"/>
        <w:rPr>
          <w:rFonts w:ascii="Bookman Old Style" w:hAnsi="Bookman Old Style" w:cs="Arial"/>
          <w:lang w:val="es-CO"/>
        </w:rPr>
      </w:pPr>
      <w:r>
        <w:rPr>
          <w:rFonts w:ascii="Bookman Old Style" w:hAnsi="Bookman Old Style" w:cs="Arial"/>
          <w:lang w:val="es-CO"/>
        </w:rPr>
        <w:t xml:space="preserve">Así </w:t>
      </w:r>
      <w:r w:rsidR="00782A9D">
        <w:rPr>
          <w:rFonts w:ascii="Bookman Old Style" w:hAnsi="Bookman Old Style" w:cs="Arial"/>
          <w:lang w:val="es-CO"/>
        </w:rPr>
        <w:t xml:space="preserve">mismo, la Resolución CREG 130 de 2019 establece el límite del 10% a las compras entre agentes integrados (artículo 18), exceptuando de dicha </w:t>
      </w:r>
      <w:r w:rsidR="005547D6">
        <w:rPr>
          <w:rFonts w:ascii="Bookman Old Style" w:hAnsi="Bookman Old Style" w:cs="Arial"/>
          <w:lang w:val="es-CO"/>
        </w:rPr>
        <w:t>regla</w:t>
      </w:r>
      <w:r w:rsidR="00782A9D">
        <w:rPr>
          <w:rFonts w:ascii="Bookman Old Style" w:hAnsi="Bookman Old Style" w:cs="Arial"/>
          <w:lang w:val="es-CO"/>
        </w:rPr>
        <w:t xml:space="preserve"> </w:t>
      </w:r>
      <w:r w:rsidR="00782A9D">
        <w:rPr>
          <w:rFonts w:ascii="Bookman Old Style" w:hAnsi="Bookman Old Style" w:cs="Arial"/>
          <w:lang w:val="es-CO"/>
        </w:rPr>
        <w:lastRenderedPageBreak/>
        <w:t>aquellas</w:t>
      </w:r>
      <w:r w:rsidR="00B06AFC">
        <w:rPr>
          <w:rFonts w:ascii="Bookman Old Style" w:hAnsi="Bookman Old Style" w:cs="Arial"/>
          <w:lang w:val="es-CO"/>
        </w:rPr>
        <w:t xml:space="preserve"> compras</w:t>
      </w:r>
      <w:r w:rsidR="00782A9D">
        <w:rPr>
          <w:rFonts w:ascii="Bookman Old Style" w:hAnsi="Bookman Old Style" w:cs="Arial"/>
          <w:lang w:val="es-CO"/>
        </w:rPr>
        <w:t xml:space="preserve"> que se realicen a través de las subastas definidas e implementadas mediante la Resolución 40590 de 2019 del Ministerio de Minas y Energía (artículo 21).</w:t>
      </w:r>
    </w:p>
    <w:p w14:paraId="602E057D" w14:textId="77777777" w:rsidR="00782A9D" w:rsidRDefault="00782A9D" w:rsidP="00782A9D">
      <w:pPr>
        <w:ind w:left="0"/>
        <w:jc w:val="both"/>
        <w:rPr>
          <w:rFonts w:ascii="Bookman Old Style" w:hAnsi="Bookman Old Style" w:cs="Arial"/>
          <w:lang w:val="es-CO"/>
        </w:rPr>
      </w:pPr>
    </w:p>
    <w:p w14:paraId="6095844B" w14:textId="77777777" w:rsidR="00782A9D" w:rsidRPr="00FF48D7" w:rsidRDefault="00782A9D" w:rsidP="00782A9D">
      <w:pPr>
        <w:ind w:left="0"/>
        <w:jc w:val="both"/>
        <w:rPr>
          <w:rFonts w:ascii="Bookman Old Style" w:hAnsi="Bookman Old Style" w:cs="Arial"/>
          <w:lang w:val="es-CO"/>
        </w:rPr>
      </w:pPr>
      <w:r>
        <w:rPr>
          <w:rFonts w:ascii="Bookman Old Style" w:hAnsi="Bookman Old Style" w:cs="Arial"/>
          <w:lang w:val="es-CO"/>
        </w:rPr>
        <w:t>Estas disposiciones regulatorias y de política pública llevaron a que en la subasta de 2019 se contara con una pluralidad de comercializadores calificados (23), de los cuales 22 resultaron con contratos adjudicados en el mecanismo de subasta.</w:t>
      </w:r>
    </w:p>
    <w:p w14:paraId="6301230F" w14:textId="77777777" w:rsidR="00782A9D" w:rsidRDefault="00782A9D" w:rsidP="00782A9D">
      <w:pPr>
        <w:ind w:left="0"/>
        <w:jc w:val="both"/>
        <w:rPr>
          <w:rFonts w:ascii="Bookman Old Style" w:hAnsi="Bookman Old Style" w:cs="Arial"/>
          <w:lang w:val="es-ES_tradnl"/>
        </w:rPr>
      </w:pPr>
    </w:p>
    <w:p w14:paraId="3DAAF348" w14:textId="77777777" w:rsidR="00782A9D" w:rsidRDefault="00782A9D" w:rsidP="00782A9D">
      <w:pPr>
        <w:ind w:left="0"/>
        <w:jc w:val="both"/>
        <w:rPr>
          <w:rFonts w:ascii="Bookman Old Style" w:hAnsi="Bookman Old Style" w:cs="Arial"/>
          <w:lang w:val="es-ES_tradnl"/>
        </w:rPr>
      </w:pPr>
      <w:r>
        <w:rPr>
          <w:rFonts w:ascii="Bookman Old Style" w:hAnsi="Bookman Old Style" w:cs="Arial"/>
          <w:lang w:val="es-ES_tradnl"/>
        </w:rPr>
        <w:t xml:space="preserve">Por todo lo anterior, </w:t>
      </w:r>
      <w:r>
        <w:rPr>
          <w:rFonts w:ascii="Bookman Old Style" w:hAnsi="Bookman Old Style" w:cs="Arial"/>
          <w:lang w:val="es-CO"/>
        </w:rPr>
        <w:t>esta Comisión no encuentra pertinente la imposición de un indicador de competencia que limite la participación de la demanda en la subasta convocada mediante Resolución 40179 de 2021 del Ministerio de Minas y Energía. En tal sentido, no resulta necesaria una intervención regulatoria adicional que afecte las condiciones de competencia de la subasta.</w:t>
      </w:r>
    </w:p>
    <w:p w14:paraId="6243DC28" w14:textId="77777777" w:rsidR="00782A9D" w:rsidRDefault="00782A9D" w:rsidP="00782A9D">
      <w:pPr>
        <w:ind w:left="0"/>
        <w:jc w:val="both"/>
        <w:rPr>
          <w:rFonts w:ascii="Bookman Old Style" w:hAnsi="Bookman Old Style" w:cs="Arial"/>
          <w:lang w:val="es-ES_tradnl"/>
        </w:rPr>
      </w:pPr>
    </w:p>
    <w:p w14:paraId="3BF6683E" w14:textId="2397715A" w:rsidR="004F1141" w:rsidRDefault="004F1141" w:rsidP="004F1141">
      <w:pPr>
        <w:ind w:left="0"/>
        <w:jc w:val="both"/>
        <w:rPr>
          <w:rFonts w:ascii="Bookman Old Style" w:hAnsi="Bookman Old Style" w:cs="Arial"/>
          <w:lang w:val="es-ES_tradnl"/>
        </w:rPr>
      </w:pPr>
      <w:r>
        <w:rPr>
          <w:rFonts w:ascii="Bookman Old Style" w:hAnsi="Bookman Old Style" w:cs="Arial"/>
          <w:lang w:val="es-ES_tradnl"/>
        </w:rPr>
        <w:t xml:space="preserve">Con base en lo anterior, la Comisión de Regulación de Energía y Gas, en su </w:t>
      </w:r>
      <w:r w:rsidRPr="00442209">
        <w:rPr>
          <w:rFonts w:ascii="Bookman Old Style" w:hAnsi="Bookman Old Style" w:cs="Arial"/>
          <w:lang w:val="es-ES_tradnl"/>
        </w:rPr>
        <w:t xml:space="preserve">Sesión </w:t>
      </w:r>
      <w:r w:rsidR="007A683A" w:rsidRPr="00442209">
        <w:rPr>
          <w:rFonts w:ascii="Bookman Old Style" w:hAnsi="Bookman Old Style" w:cs="Arial"/>
          <w:lang w:val="es-ES_tradnl"/>
        </w:rPr>
        <w:t>112</w:t>
      </w:r>
      <w:r w:rsidR="00680C3A">
        <w:rPr>
          <w:rFonts w:ascii="Bookman Old Style" w:hAnsi="Bookman Old Style" w:cs="Arial"/>
          <w:lang w:val="es-ES_tradnl"/>
        </w:rPr>
        <w:t>8</w:t>
      </w:r>
      <w:r w:rsidRPr="00442209">
        <w:rPr>
          <w:rFonts w:ascii="Bookman Old Style" w:hAnsi="Bookman Old Style" w:cs="Arial"/>
          <w:lang w:val="es-ES_tradnl"/>
        </w:rPr>
        <w:t xml:space="preserve"> del </w:t>
      </w:r>
      <w:r w:rsidR="00680C3A">
        <w:rPr>
          <w:rFonts w:ascii="Bookman Old Style" w:hAnsi="Bookman Old Style" w:cs="Arial"/>
          <w:lang w:val="es-ES_tradnl"/>
        </w:rPr>
        <w:t>08</w:t>
      </w:r>
      <w:r w:rsidR="00680C3A" w:rsidRPr="00442209">
        <w:rPr>
          <w:rFonts w:ascii="Bookman Old Style" w:hAnsi="Bookman Old Style" w:cs="Arial"/>
          <w:lang w:val="es-ES_tradnl"/>
        </w:rPr>
        <w:t xml:space="preserve"> </w:t>
      </w:r>
      <w:r w:rsidRPr="00442209">
        <w:rPr>
          <w:rFonts w:ascii="Bookman Old Style" w:hAnsi="Bookman Old Style" w:cs="Arial"/>
          <w:lang w:val="es-ES_tradnl"/>
        </w:rPr>
        <w:t xml:space="preserve">de </w:t>
      </w:r>
      <w:r w:rsidR="00680C3A">
        <w:rPr>
          <w:rFonts w:ascii="Bookman Old Style" w:hAnsi="Bookman Old Style" w:cs="Arial"/>
          <w:lang w:val="es-ES_tradnl"/>
        </w:rPr>
        <w:t>octu</w:t>
      </w:r>
      <w:r w:rsidR="00680C3A" w:rsidRPr="00442209">
        <w:rPr>
          <w:rFonts w:ascii="Bookman Old Style" w:hAnsi="Bookman Old Style" w:cs="Arial"/>
          <w:lang w:val="es-ES_tradnl"/>
        </w:rPr>
        <w:t xml:space="preserve">bre </w:t>
      </w:r>
      <w:r w:rsidRPr="00442209">
        <w:rPr>
          <w:rFonts w:ascii="Bookman Old Style" w:hAnsi="Bookman Old Style" w:cs="Arial"/>
          <w:lang w:val="es-ES_tradnl"/>
        </w:rPr>
        <w:t>de 202</w:t>
      </w:r>
      <w:r w:rsidRPr="007A683A">
        <w:rPr>
          <w:rFonts w:ascii="Bookman Old Style" w:hAnsi="Bookman Old Style" w:cs="Arial"/>
          <w:lang w:val="es-ES_tradnl"/>
        </w:rPr>
        <w:t>1</w:t>
      </w:r>
      <w:r w:rsidR="008236CE">
        <w:rPr>
          <w:rFonts w:ascii="Bookman Old Style" w:hAnsi="Bookman Old Style" w:cs="Arial"/>
          <w:lang w:val="es-ES_tradnl"/>
        </w:rPr>
        <w:t>,</w:t>
      </w:r>
      <w:r>
        <w:rPr>
          <w:rFonts w:ascii="Bookman Old Style" w:hAnsi="Bookman Old Style" w:cs="Arial"/>
          <w:lang w:val="es-ES_tradnl"/>
        </w:rPr>
        <w:t xml:space="preserve"> acordó expedir esta Resolución.</w:t>
      </w:r>
      <w:r w:rsidR="00680C3A" w:rsidRPr="00680C3A">
        <w:rPr>
          <w:rFonts w:ascii="Bookman Old Style" w:hAnsi="Bookman Old Style" w:cs="Arial"/>
          <w:lang w:val="es-ES_tradnl"/>
        </w:rPr>
        <w:t xml:space="preserve"> </w:t>
      </w:r>
      <w:r w:rsidR="00680C3A">
        <w:rPr>
          <w:rFonts w:ascii="Bookman Old Style" w:hAnsi="Bookman Old Style" w:cs="Arial"/>
          <w:lang w:val="es-ES_tradnl"/>
        </w:rPr>
        <w:t xml:space="preserve">La respuesta a los comentarios recibidos y los análisis de la CREG que sustentan las decisiones que aquí se adoptan, se presenta en el documento CREG </w:t>
      </w:r>
      <w:r w:rsidR="00397D94">
        <w:rPr>
          <w:rFonts w:ascii="Bookman Old Style" w:hAnsi="Bookman Old Style" w:cs="Arial"/>
          <w:lang w:val="es-ES_tradnl"/>
        </w:rPr>
        <w:t>143</w:t>
      </w:r>
      <w:r w:rsidR="00680C3A">
        <w:rPr>
          <w:rFonts w:ascii="Bookman Old Style" w:hAnsi="Bookman Old Style" w:cs="Arial"/>
          <w:lang w:val="es-ES_tradnl"/>
        </w:rPr>
        <w:t xml:space="preserve"> que acompaña esta resolución</w:t>
      </w:r>
    </w:p>
    <w:p w14:paraId="4C4E0B29" w14:textId="77777777" w:rsidR="00045D3D" w:rsidRDefault="00045D3D" w:rsidP="00045D3D">
      <w:pPr>
        <w:suppressAutoHyphens/>
        <w:jc w:val="center"/>
        <w:rPr>
          <w:rFonts w:ascii="Bookman Old Style" w:hAnsi="Bookman Old Style"/>
          <w:b/>
          <w:spacing w:val="-3"/>
        </w:rPr>
      </w:pPr>
    </w:p>
    <w:p w14:paraId="690EF590"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7DEF9510" w14:textId="77777777" w:rsidR="00045D3D" w:rsidRDefault="00045D3D" w:rsidP="00045D3D">
      <w:pPr>
        <w:jc w:val="center"/>
        <w:rPr>
          <w:rFonts w:ascii="Bookman Old Style" w:hAnsi="Bookman Old Style"/>
        </w:rPr>
      </w:pPr>
    </w:p>
    <w:p w14:paraId="00D34F20" w14:textId="05F5525E" w:rsidR="00045D3D" w:rsidRPr="00441572" w:rsidRDefault="00FF07E5" w:rsidP="00441572">
      <w:pPr>
        <w:pStyle w:val="Prrafodelista"/>
        <w:numPr>
          <w:ilvl w:val="0"/>
          <w:numId w:val="33"/>
        </w:numPr>
        <w:tabs>
          <w:tab w:val="left" w:pos="0"/>
        </w:tabs>
        <w:ind w:left="0" w:firstLine="0"/>
        <w:jc w:val="both"/>
        <w:rPr>
          <w:rFonts w:ascii="Bookman Old Style" w:hAnsi="Bookman Old Style"/>
        </w:rPr>
      </w:pPr>
      <w:r w:rsidRPr="00882C61">
        <w:rPr>
          <w:rFonts w:ascii="Bookman Old Style" w:hAnsi="Bookman Old Style" w:cs="Arial"/>
          <w:b/>
          <w:sz w:val="24"/>
          <w:szCs w:val="24"/>
          <w:lang w:val="es-ES_tradnl"/>
        </w:rPr>
        <w:t>Objeto</w:t>
      </w:r>
      <w:r w:rsidRPr="00882C61">
        <w:rPr>
          <w:rFonts w:ascii="Bookman Old Style" w:hAnsi="Bookman Old Style" w:cs="Arial"/>
          <w:sz w:val="24"/>
          <w:szCs w:val="24"/>
          <w:lang w:val="es-ES_tradnl"/>
        </w:rPr>
        <w:t xml:space="preserve">. </w:t>
      </w:r>
      <w:r w:rsidR="00441572" w:rsidRPr="00441572">
        <w:rPr>
          <w:rFonts w:ascii="Bookman Old Style" w:hAnsi="Bookman Old Style" w:cs="Arial"/>
          <w:sz w:val="24"/>
          <w:szCs w:val="24"/>
          <w:lang w:val="es-ES_tradnl"/>
        </w:rPr>
        <w:t>En cumplimiento de lo señalado en el artículo 19 de la Resolución 4</w:t>
      </w:r>
      <w:r w:rsidR="00336E51">
        <w:rPr>
          <w:rFonts w:ascii="Bookman Old Style" w:hAnsi="Bookman Old Style" w:cs="Arial"/>
          <w:sz w:val="24"/>
          <w:szCs w:val="24"/>
          <w:lang w:val="es-ES_tradnl"/>
        </w:rPr>
        <w:t xml:space="preserve"> </w:t>
      </w:r>
      <w:r w:rsidR="00441572" w:rsidRPr="00441572">
        <w:rPr>
          <w:rFonts w:ascii="Bookman Old Style" w:hAnsi="Bookman Old Style" w:cs="Arial"/>
          <w:sz w:val="24"/>
          <w:szCs w:val="24"/>
          <w:lang w:val="es-ES_tradnl"/>
        </w:rPr>
        <w:t>0590 de 2019</w:t>
      </w:r>
      <w:r w:rsidR="007075EC">
        <w:rPr>
          <w:rFonts w:ascii="Bookman Old Style" w:hAnsi="Bookman Old Style" w:cs="Arial"/>
          <w:sz w:val="24"/>
          <w:szCs w:val="24"/>
          <w:lang w:val="es-ES_tradnl"/>
        </w:rPr>
        <w:t>, modificada por la</w:t>
      </w:r>
      <w:r w:rsidR="00336E51">
        <w:rPr>
          <w:rFonts w:ascii="Bookman Old Style" w:hAnsi="Bookman Old Style" w:cs="Arial"/>
          <w:sz w:val="24"/>
          <w:szCs w:val="24"/>
          <w:lang w:val="es-ES_tradnl"/>
        </w:rPr>
        <w:t>s resoluciones</w:t>
      </w:r>
      <w:r w:rsidR="007075EC">
        <w:rPr>
          <w:rFonts w:ascii="Bookman Old Style" w:hAnsi="Bookman Old Style" w:cs="Arial"/>
          <w:sz w:val="24"/>
          <w:szCs w:val="24"/>
          <w:lang w:val="es-ES_tradnl"/>
        </w:rPr>
        <w:t xml:space="preserve"> </w:t>
      </w:r>
      <w:r w:rsidR="007873B7">
        <w:rPr>
          <w:rFonts w:ascii="Bookman Old Style" w:hAnsi="Bookman Old Style" w:cs="Arial"/>
          <w:sz w:val="24"/>
          <w:szCs w:val="24"/>
          <w:lang w:val="es-ES_tradnl"/>
        </w:rPr>
        <w:t xml:space="preserve">4 0678 de 2019 y </w:t>
      </w:r>
      <w:r w:rsidR="007075EC">
        <w:rPr>
          <w:rFonts w:ascii="Bookman Old Style" w:hAnsi="Bookman Old Style" w:cs="Arial"/>
          <w:sz w:val="24"/>
          <w:szCs w:val="24"/>
          <w:lang w:val="es-ES_tradnl"/>
        </w:rPr>
        <w:t>40141 de 2021</w:t>
      </w:r>
      <w:r w:rsidR="00441572" w:rsidRPr="00441572">
        <w:rPr>
          <w:rFonts w:ascii="Bookman Old Style" w:hAnsi="Bookman Old Style" w:cs="Arial"/>
          <w:sz w:val="24"/>
          <w:szCs w:val="24"/>
          <w:lang w:val="es-ES_tradnl"/>
        </w:rPr>
        <w:t xml:space="preserve"> del Ministerio de Minas y Energía</w:t>
      </w:r>
      <w:r w:rsidR="008236CE">
        <w:rPr>
          <w:rFonts w:ascii="Bookman Old Style" w:hAnsi="Bookman Old Style" w:cs="Arial"/>
          <w:sz w:val="24"/>
          <w:szCs w:val="24"/>
          <w:lang w:val="es-ES_tradnl"/>
        </w:rPr>
        <w:t>,</w:t>
      </w:r>
      <w:r w:rsidR="0023595A">
        <w:rPr>
          <w:rFonts w:ascii="Bookman Old Style" w:hAnsi="Bookman Old Style" w:cs="Arial"/>
          <w:sz w:val="24"/>
          <w:szCs w:val="24"/>
          <w:lang w:val="es-ES_tradnl"/>
        </w:rPr>
        <w:t xml:space="preserve"> y </w:t>
      </w:r>
      <w:r w:rsidR="005A266F">
        <w:rPr>
          <w:rFonts w:ascii="Bookman Old Style" w:hAnsi="Bookman Old Style" w:cs="Arial"/>
          <w:sz w:val="24"/>
          <w:szCs w:val="24"/>
          <w:lang w:val="es-ES_tradnl"/>
        </w:rPr>
        <w:t xml:space="preserve">la </w:t>
      </w:r>
      <w:r w:rsidR="00F147C2">
        <w:rPr>
          <w:rFonts w:ascii="Bookman Old Style" w:hAnsi="Bookman Old Style" w:cs="Arial"/>
          <w:sz w:val="24"/>
          <w:szCs w:val="24"/>
          <w:lang w:val="es-ES_tradnl"/>
        </w:rPr>
        <w:t xml:space="preserve">convocatoria a la </w:t>
      </w:r>
      <w:r w:rsidR="005A266F">
        <w:rPr>
          <w:rFonts w:ascii="Bookman Old Style" w:hAnsi="Bookman Old Style" w:cs="Arial"/>
          <w:sz w:val="24"/>
          <w:szCs w:val="24"/>
          <w:lang w:val="es-ES_tradnl"/>
        </w:rPr>
        <w:t xml:space="preserve">subasta </w:t>
      </w:r>
      <w:r w:rsidR="00F147C2">
        <w:rPr>
          <w:rFonts w:ascii="Bookman Old Style" w:hAnsi="Bookman Old Style" w:cs="Arial"/>
          <w:sz w:val="24"/>
          <w:szCs w:val="24"/>
          <w:lang w:val="es-ES_tradnl"/>
        </w:rPr>
        <w:t xml:space="preserve">prevista en </w:t>
      </w:r>
      <w:r w:rsidR="005A266F">
        <w:rPr>
          <w:rFonts w:ascii="Bookman Old Style" w:hAnsi="Bookman Old Style" w:cs="Arial"/>
          <w:sz w:val="24"/>
          <w:szCs w:val="24"/>
          <w:lang w:val="es-ES_tradnl"/>
        </w:rPr>
        <w:t>la Resolución 40179 de 2021 del Ministerio de Minas y Energía</w:t>
      </w:r>
      <w:r w:rsidR="00441572" w:rsidRPr="00441572">
        <w:rPr>
          <w:rFonts w:ascii="Bookman Old Style" w:hAnsi="Bookman Old Style" w:cs="Arial"/>
          <w:sz w:val="24"/>
          <w:szCs w:val="24"/>
          <w:lang w:val="es-ES_tradnl"/>
        </w:rPr>
        <w:t>, en esta resolución se definen las condiciones de competencia que garantizan un proceso de asignación eficiente en la subasta de contratos de largo plazo.</w:t>
      </w:r>
    </w:p>
    <w:p w14:paraId="05B7366E" w14:textId="77777777" w:rsidR="00441572" w:rsidRPr="00C435C3" w:rsidRDefault="00441572" w:rsidP="00441572">
      <w:pPr>
        <w:pStyle w:val="Prrafodelista"/>
        <w:tabs>
          <w:tab w:val="left" w:pos="0"/>
        </w:tabs>
        <w:ind w:left="0"/>
        <w:jc w:val="both"/>
        <w:rPr>
          <w:rFonts w:ascii="Bookman Old Style" w:hAnsi="Bookman Old Style"/>
        </w:rPr>
      </w:pPr>
    </w:p>
    <w:p w14:paraId="3C46669C" w14:textId="2F658623" w:rsidR="00CA4180" w:rsidRDefault="00E74A13" w:rsidP="00CA4180">
      <w:pPr>
        <w:pStyle w:val="Prrafodelista"/>
        <w:numPr>
          <w:ilvl w:val="0"/>
          <w:numId w:val="33"/>
        </w:numPr>
        <w:tabs>
          <w:tab w:val="left" w:pos="0"/>
          <w:tab w:val="left" w:pos="284"/>
        </w:tabs>
        <w:ind w:left="0" w:firstLine="0"/>
        <w:jc w:val="both"/>
        <w:rPr>
          <w:rFonts w:ascii="Bookman Old Style" w:hAnsi="Bookman Old Style"/>
        </w:rPr>
      </w:pPr>
      <w:r w:rsidRPr="009B443C">
        <w:rPr>
          <w:rFonts w:ascii="Bookman Old Style" w:hAnsi="Bookman Old Style"/>
          <w:b/>
          <w:sz w:val="24"/>
          <w:szCs w:val="24"/>
        </w:rPr>
        <w:t>Condiciones de competencia.</w:t>
      </w:r>
      <w:r w:rsidR="00FF07E5" w:rsidRPr="009B443C">
        <w:rPr>
          <w:rFonts w:ascii="Bookman Old Style" w:hAnsi="Bookman Old Style"/>
          <w:b/>
          <w:sz w:val="24"/>
          <w:szCs w:val="24"/>
        </w:rPr>
        <w:t xml:space="preserve"> </w:t>
      </w:r>
      <w:r w:rsidR="00CA4180" w:rsidRPr="009B135D">
        <w:rPr>
          <w:rFonts w:ascii="Bookman Old Style" w:hAnsi="Bookman Old Style"/>
          <w:sz w:val="24"/>
          <w:szCs w:val="24"/>
        </w:rPr>
        <w:t>La única condición de competencia que se deberá evaluar en la aplicación del mecanismo de subasta de contratos de largo plazo establecido en la Resolución 4</w:t>
      </w:r>
      <w:r w:rsidR="00F01EEE">
        <w:rPr>
          <w:rFonts w:ascii="Bookman Old Style" w:hAnsi="Bookman Old Style"/>
          <w:sz w:val="24"/>
          <w:szCs w:val="24"/>
        </w:rPr>
        <w:t xml:space="preserve"> </w:t>
      </w:r>
      <w:r w:rsidR="00CA4180" w:rsidRPr="009B135D">
        <w:rPr>
          <w:rFonts w:ascii="Bookman Old Style" w:hAnsi="Bookman Old Style"/>
          <w:sz w:val="24"/>
          <w:szCs w:val="24"/>
        </w:rPr>
        <w:t>0590 de 2019</w:t>
      </w:r>
      <w:r w:rsidR="007E2F12">
        <w:rPr>
          <w:rFonts w:ascii="Bookman Old Style" w:hAnsi="Bookman Old Style"/>
          <w:sz w:val="24"/>
          <w:szCs w:val="24"/>
        </w:rPr>
        <w:t xml:space="preserve"> </w:t>
      </w:r>
      <w:r w:rsidR="00BD0A5A">
        <w:rPr>
          <w:rFonts w:ascii="Bookman Old Style" w:hAnsi="Bookman Old Style" w:cs="Arial"/>
          <w:sz w:val="24"/>
          <w:szCs w:val="24"/>
          <w:lang w:val="es-ES_tradnl"/>
        </w:rPr>
        <w:t>modificada por las resoluciones 4 0678 de 2019 y 4</w:t>
      </w:r>
      <w:r w:rsidR="00D3732E">
        <w:rPr>
          <w:rFonts w:ascii="Bookman Old Style" w:hAnsi="Bookman Old Style" w:cs="Arial"/>
          <w:sz w:val="24"/>
          <w:szCs w:val="24"/>
          <w:lang w:val="es-ES_tradnl"/>
        </w:rPr>
        <w:t xml:space="preserve"> </w:t>
      </w:r>
      <w:r w:rsidR="00BD0A5A">
        <w:rPr>
          <w:rFonts w:ascii="Bookman Old Style" w:hAnsi="Bookman Old Style" w:cs="Arial"/>
          <w:sz w:val="24"/>
          <w:szCs w:val="24"/>
          <w:lang w:val="es-ES_tradnl"/>
        </w:rPr>
        <w:t>0141 de 2021</w:t>
      </w:r>
      <w:r w:rsidR="00BD0A5A" w:rsidRPr="00441572">
        <w:rPr>
          <w:rFonts w:ascii="Bookman Old Style" w:hAnsi="Bookman Old Style" w:cs="Arial"/>
          <w:sz w:val="24"/>
          <w:szCs w:val="24"/>
          <w:lang w:val="es-ES_tradnl"/>
        </w:rPr>
        <w:t xml:space="preserve"> del Ministerio de Minas y Energía</w:t>
      </w:r>
      <w:r w:rsidR="008236CE">
        <w:rPr>
          <w:rFonts w:ascii="Bookman Old Style" w:hAnsi="Bookman Old Style" w:cs="Arial"/>
          <w:sz w:val="24"/>
          <w:szCs w:val="24"/>
          <w:lang w:val="es-ES_tradnl"/>
        </w:rPr>
        <w:t>,</w:t>
      </w:r>
      <w:r w:rsidR="002151C3">
        <w:rPr>
          <w:rFonts w:ascii="Bookman Old Style" w:hAnsi="Bookman Old Style" w:cs="Arial"/>
          <w:sz w:val="24"/>
          <w:szCs w:val="24"/>
          <w:lang w:val="es-ES_tradnl"/>
        </w:rPr>
        <w:t xml:space="preserve"> y la subasta convocada mediante la Resolución 40179 de 2021 del Ministerio de Minas y Energía</w:t>
      </w:r>
      <w:r w:rsidR="00097E89">
        <w:rPr>
          <w:rFonts w:ascii="Bookman Old Style" w:hAnsi="Bookman Old Style" w:cs="Arial"/>
          <w:sz w:val="24"/>
          <w:szCs w:val="24"/>
          <w:lang w:val="es-ES_tradnl"/>
        </w:rPr>
        <w:t>,</w:t>
      </w:r>
      <w:r w:rsidR="00BD0A5A">
        <w:rPr>
          <w:rFonts w:ascii="Bookman Old Style" w:hAnsi="Bookman Old Style"/>
          <w:sz w:val="24"/>
          <w:szCs w:val="24"/>
        </w:rPr>
        <w:t xml:space="preserve"> </w:t>
      </w:r>
      <w:r w:rsidR="00CA4180">
        <w:rPr>
          <w:rFonts w:ascii="Bookman Old Style" w:hAnsi="Bookman Old Style"/>
          <w:sz w:val="24"/>
          <w:szCs w:val="24"/>
        </w:rPr>
        <w:t>es que ningún vendedor en la subasta tenga una participación en la oferta de energía máxima diaria garantizada superior al cuarenta por ciento (40%).</w:t>
      </w:r>
    </w:p>
    <w:p w14:paraId="73DB39F9" w14:textId="77777777" w:rsidR="00CA4180" w:rsidRDefault="00CA4180" w:rsidP="00CA4180">
      <w:pPr>
        <w:tabs>
          <w:tab w:val="left" w:pos="284"/>
        </w:tabs>
        <w:ind w:left="0"/>
        <w:jc w:val="both"/>
        <w:rPr>
          <w:rFonts w:ascii="Bookman Old Style" w:hAnsi="Bookman Old Style"/>
        </w:rPr>
      </w:pPr>
    </w:p>
    <w:p w14:paraId="3C4BF45A" w14:textId="77777777" w:rsidR="00CA4180" w:rsidRPr="003410C8" w:rsidRDefault="00CA4180" w:rsidP="00CA4180">
      <w:pPr>
        <w:tabs>
          <w:tab w:val="left" w:pos="284"/>
        </w:tabs>
        <w:ind w:left="0"/>
        <w:jc w:val="both"/>
        <w:rPr>
          <w:rFonts w:ascii="Bookman Old Style" w:hAnsi="Bookman Old Style"/>
          <w:szCs w:val="20"/>
          <w:lang w:val="es-CO"/>
        </w:rPr>
      </w:pPr>
      <w:r>
        <w:rPr>
          <w:rFonts w:ascii="Bookman Old Style" w:hAnsi="Bookman Old Style"/>
          <w:szCs w:val="20"/>
          <w:lang w:val="es-CO"/>
        </w:rPr>
        <w:t>Para el cálculo de la participación en la oferta de energía máxima diaria garantizada de cada vendedor</w:t>
      </w:r>
      <w:r>
        <w:rPr>
          <w:rFonts w:ascii="Bookman Old Style" w:hAnsi="Bookman Old Style"/>
        </w:rPr>
        <w:t xml:space="preserve"> deberán llevarse a cabo los siguientes pasos:</w:t>
      </w:r>
    </w:p>
    <w:p w14:paraId="48E9F3F1" w14:textId="77777777" w:rsidR="00CA4180" w:rsidRPr="003410C8" w:rsidRDefault="00CA4180" w:rsidP="00CA4180">
      <w:pPr>
        <w:tabs>
          <w:tab w:val="left" w:pos="284"/>
        </w:tabs>
        <w:ind w:left="0"/>
        <w:jc w:val="both"/>
        <w:rPr>
          <w:rFonts w:ascii="Bookman Old Style" w:hAnsi="Bookman Old Style"/>
          <w:szCs w:val="20"/>
          <w:lang w:val="es-CO"/>
        </w:rPr>
      </w:pPr>
    </w:p>
    <w:p w14:paraId="524036D2" w14:textId="64D7CA13" w:rsidR="00CA4180" w:rsidRPr="00D22DA3" w:rsidRDefault="00CA4180" w:rsidP="00CA4180">
      <w:pPr>
        <w:tabs>
          <w:tab w:val="left" w:pos="284"/>
        </w:tabs>
        <w:ind w:left="0"/>
        <w:jc w:val="both"/>
        <w:rPr>
          <w:rFonts w:ascii="Bookman Old Style" w:hAnsi="Bookman Old Style"/>
          <w:lang w:val="es-CO"/>
        </w:rPr>
      </w:pPr>
      <w:r w:rsidRPr="005D62A4">
        <w:rPr>
          <w:rFonts w:ascii="Bookman Old Style" w:hAnsi="Bookman Old Style"/>
        </w:rPr>
        <w:t xml:space="preserve">Paso1. </w:t>
      </w:r>
      <w:r>
        <w:rPr>
          <w:rFonts w:ascii="Bookman Old Style" w:hAnsi="Bookman Old Style"/>
        </w:rPr>
        <w:t xml:space="preserve">Se identifican los vendedores en la subasta como aquellos </w:t>
      </w:r>
      <w:r w:rsidRPr="00D22DA3">
        <w:rPr>
          <w:rFonts w:ascii="Bookman Old Style" w:hAnsi="Bookman Old Style"/>
          <w:lang w:val="es-CO"/>
        </w:rPr>
        <w:t>que han cumplido con los requisitos de precalificación</w:t>
      </w:r>
      <w:r w:rsidR="008236CE">
        <w:rPr>
          <w:rFonts w:ascii="Bookman Old Style" w:hAnsi="Bookman Old Style"/>
          <w:lang w:val="es-CO"/>
        </w:rPr>
        <w:t>,</w:t>
      </w:r>
      <w:r w:rsidRPr="00D22DA3">
        <w:rPr>
          <w:rFonts w:ascii="Bookman Old Style" w:hAnsi="Bookman Old Style"/>
          <w:lang w:val="es-CO"/>
        </w:rPr>
        <w:t xml:space="preserve"> y </w:t>
      </w:r>
      <w:r>
        <w:rPr>
          <w:rFonts w:ascii="Bookman Old Style" w:hAnsi="Bookman Old Style"/>
          <w:lang w:val="es-CO"/>
        </w:rPr>
        <w:t>cuya garantía de seriedad de la oferta, de la que trata el artículo 33 de la Resolución 4</w:t>
      </w:r>
      <w:r w:rsidR="00F01EEE">
        <w:rPr>
          <w:rFonts w:ascii="Bookman Old Style" w:hAnsi="Bookman Old Style"/>
          <w:lang w:val="es-CO"/>
        </w:rPr>
        <w:t xml:space="preserve"> </w:t>
      </w:r>
      <w:r>
        <w:rPr>
          <w:rFonts w:ascii="Bookman Old Style" w:hAnsi="Bookman Old Style"/>
          <w:lang w:val="es-CO"/>
        </w:rPr>
        <w:t xml:space="preserve">0590 de 2019 del Ministerio de Minas y Energía, ha sido aceptada en las condiciones definidas por </w:t>
      </w:r>
      <w:r w:rsidR="002615F1">
        <w:rPr>
          <w:rFonts w:ascii="Bookman Old Style" w:hAnsi="Bookman Old Style"/>
          <w:lang w:val="es-CO"/>
        </w:rPr>
        <w:t>el subastador</w:t>
      </w:r>
      <w:r>
        <w:rPr>
          <w:rFonts w:ascii="Bookman Old Style" w:hAnsi="Bookman Old Style"/>
          <w:lang w:val="es-CO"/>
        </w:rPr>
        <w:t xml:space="preserve"> </w:t>
      </w:r>
      <w:r w:rsidR="00D84AB9">
        <w:rPr>
          <w:rFonts w:ascii="Bookman Old Style" w:hAnsi="Bookman Old Style"/>
          <w:lang w:val="es-CO"/>
        </w:rPr>
        <w:t xml:space="preserve">en </w:t>
      </w:r>
      <w:r>
        <w:rPr>
          <w:rFonts w:ascii="Bookman Old Style" w:hAnsi="Bookman Old Style"/>
          <w:lang w:val="es-CO"/>
        </w:rPr>
        <w:t>el pliego de términos y condiciones específicas</w:t>
      </w:r>
      <w:r w:rsidRPr="00D22DA3">
        <w:rPr>
          <w:rFonts w:ascii="Bookman Old Style" w:hAnsi="Bookman Old Style"/>
          <w:lang w:val="es-CO"/>
        </w:rPr>
        <w:t>.</w:t>
      </w:r>
    </w:p>
    <w:p w14:paraId="04840111" w14:textId="77777777" w:rsidR="00CA4180" w:rsidRPr="00D22DA3" w:rsidRDefault="00CA4180" w:rsidP="00CA4180">
      <w:pPr>
        <w:tabs>
          <w:tab w:val="left" w:pos="284"/>
        </w:tabs>
        <w:jc w:val="both"/>
        <w:rPr>
          <w:rFonts w:ascii="Bookman Old Style" w:hAnsi="Bookman Old Style"/>
          <w:szCs w:val="20"/>
          <w:lang w:val="es-CO"/>
        </w:rPr>
      </w:pPr>
    </w:p>
    <w:p w14:paraId="5729966E" w14:textId="1297EC55" w:rsidR="00CA4180" w:rsidRDefault="00CA4180" w:rsidP="00CA4180">
      <w:pPr>
        <w:tabs>
          <w:tab w:val="left" w:pos="284"/>
        </w:tabs>
        <w:ind w:left="0"/>
        <w:jc w:val="both"/>
        <w:rPr>
          <w:rFonts w:ascii="Bookman Old Style" w:hAnsi="Bookman Old Style"/>
          <w:szCs w:val="20"/>
          <w:lang w:val="es-CO"/>
        </w:rPr>
      </w:pPr>
      <w:r w:rsidRPr="003410C8">
        <w:rPr>
          <w:rFonts w:ascii="Bookman Old Style" w:hAnsi="Bookman Old Style"/>
        </w:rPr>
        <w:t xml:space="preserve">Paso </w:t>
      </w:r>
      <w:r>
        <w:rPr>
          <w:rFonts w:ascii="Bookman Old Style" w:hAnsi="Bookman Old Style"/>
        </w:rPr>
        <w:t>2</w:t>
      </w:r>
      <w:r w:rsidRPr="003410C8">
        <w:rPr>
          <w:rFonts w:ascii="Bookman Old Style" w:hAnsi="Bookman Old Style"/>
        </w:rPr>
        <w:t xml:space="preserve">. </w:t>
      </w:r>
      <w:r w:rsidRPr="00A56AB3">
        <w:rPr>
          <w:rFonts w:ascii="Bookman Old Style" w:hAnsi="Bookman Old Style"/>
          <w:szCs w:val="20"/>
          <w:lang w:val="es-CO"/>
        </w:rPr>
        <w:t>Para cada vendedor</w:t>
      </w:r>
      <w:r>
        <w:rPr>
          <w:rFonts w:ascii="Bookman Old Style" w:hAnsi="Bookman Old Style"/>
          <w:szCs w:val="20"/>
          <w:lang w:val="es-CO"/>
        </w:rPr>
        <w:t xml:space="preserve"> identificado en el Paso 1,</w:t>
      </w:r>
      <w:r w:rsidRPr="00A56AB3">
        <w:rPr>
          <w:rFonts w:ascii="Bookman Old Style" w:hAnsi="Bookman Old Style"/>
          <w:szCs w:val="20"/>
          <w:lang w:val="es-CO"/>
        </w:rPr>
        <w:t xml:space="preserve"> </w:t>
      </w:r>
      <w:r>
        <w:rPr>
          <w:rFonts w:ascii="Bookman Old Style" w:hAnsi="Bookman Old Style"/>
          <w:szCs w:val="20"/>
          <w:lang w:val="es-CO"/>
        </w:rPr>
        <w:t xml:space="preserve">se determina </w:t>
      </w:r>
      <w:r w:rsidRPr="00A56AB3">
        <w:rPr>
          <w:rFonts w:ascii="Bookman Old Style" w:hAnsi="Bookman Old Style"/>
          <w:szCs w:val="20"/>
          <w:lang w:val="es-CO"/>
        </w:rPr>
        <w:t>la cantidad máxima de energía disponible</w:t>
      </w:r>
      <w:r>
        <w:rPr>
          <w:rFonts w:ascii="Bookman Old Style" w:hAnsi="Bookman Old Style"/>
          <w:szCs w:val="20"/>
          <w:lang w:val="es-CO"/>
        </w:rPr>
        <w:t xml:space="preserve"> a vender expresada en kilovatios hora día (kWh-día). Esta corresponde a la energía</w:t>
      </w:r>
      <w:r w:rsidRPr="00A56AB3">
        <w:rPr>
          <w:rFonts w:ascii="Bookman Old Style" w:hAnsi="Bookman Old Style"/>
          <w:szCs w:val="20"/>
          <w:lang w:val="es-CO"/>
        </w:rPr>
        <w:t xml:space="preserve"> disponible</w:t>
      </w:r>
      <w:r>
        <w:rPr>
          <w:rFonts w:ascii="Bookman Old Style" w:hAnsi="Bookman Old Style"/>
          <w:szCs w:val="20"/>
          <w:lang w:val="es-CO"/>
        </w:rPr>
        <w:t xml:space="preserve"> a vender </w:t>
      </w:r>
      <w:r w:rsidR="004822DB">
        <w:rPr>
          <w:rFonts w:ascii="Bookman Old Style" w:hAnsi="Bookman Old Style"/>
          <w:szCs w:val="20"/>
          <w:lang w:val="es-CO"/>
        </w:rPr>
        <w:t>presentada</w:t>
      </w:r>
      <w:r>
        <w:rPr>
          <w:rFonts w:ascii="Bookman Old Style" w:hAnsi="Bookman Old Style"/>
          <w:szCs w:val="20"/>
          <w:lang w:val="es-CO"/>
        </w:rPr>
        <w:t xml:space="preserve"> por cada </w:t>
      </w:r>
      <w:r>
        <w:rPr>
          <w:rFonts w:ascii="Bookman Old Style" w:hAnsi="Bookman Old Style"/>
          <w:szCs w:val="20"/>
          <w:lang w:val="es-CO"/>
        </w:rPr>
        <w:lastRenderedPageBreak/>
        <w:t xml:space="preserve">vendedor, de acuerdo con los pliegos de términos y condiciones específicas definidos por </w:t>
      </w:r>
      <w:r w:rsidR="00166B7E">
        <w:rPr>
          <w:rFonts w:ascii="Bookman Old Style" w:hAnsi="Bookman Old Style"/>
          <w:szCs w:val="20"/>
          <w:lang w:val="es-CO"/>
        </w:rPr>
        <w:t>el subastador</w:t>
      </w:r>
      <w:r>
        <w:rPr>
          <w:rFonts w:ascii="Bookman Old Style" w:hAnsi="Bookman Old Style"/>
          <w:szCs w:val="20"/>
          <w:lang w:val="es-CO"/>
        </w:rPr>
        <w:t>.</w:t>
      </w:r>
    </w:p>
    <w:p w14:paraId="717CEF12" w14:textId="77777777" w:rsidR="00CA4180" w:rsidRPr="0070411D" w:rsidRDefault="00CA4180" w:rsidP="00CA4180">
      <w:pPr>
        <w:tabs>
          <w:tab w:val="left" w:pos="284"/>
        </w:tabs>
        <w:jc w:val="both"/>
        <w:rPr>
          <w:rFonts w:ascii="Bookman Old Style" w:hAnsi="Bookman Old Style"/>
          <w:lang w:val="es-CO"/>
        </w:rPr>
      </w:pPr>
    </w:p>
    <w:p w14:paraId="60EC8211" w14:textId="7C3C36F0" w:rsidR="00CA4180" w:rsidRDefault="00CA4180" w:rsidP="00CA4180">
      <w:pPr>
        <w:tabs>
          <w:tab w:val="left" w:pos="284"/>
        </w:tabs>
        <w:ind w:left="0"/>
        <w:jc w:val="both"/>
        <w:rPr>
          <w:rFonts w:ascii="Bookman Old Style" w:hAnsi="Bookman Old Style"/>
          <w:szCs w:val="20"/>
          <w:lang w:val="es-CO"/>
        </w:rPr>
      </w:pPr>
      <w:r w:rsidRPr="009B135D">
        <w:rPr>
          <w:rFonts w:ascii="Bookman Old Style" w:hAnsi="Bookman Old Style"/>
        </w:rPr>
        <w:t xml:space="preserve">Paso 3. </w:t>
      </w:r>
      <w:r w:rsidRPr="003410C8">
        <w:rPr>
          <w:rFonts w:ascii="Bookman Old Style" w:hAnsi="Bookman Old Style"/>
          <w:szCs w:val="20"/>
          <w:lang w:val="es-CO"/>
        </w:rPr>
        <w:t>Se identifican los vendedores con un mismo controlante</w:t>
      </w:r>
      <w:r w:rsidR="008236CE">
        <w:rPr>
          <w:rFonts w:ascii="Bookman Old Style" w:hAnsi="Bookman Old Style"/>
          <w:szCs w:val="20"/>
          <w:lang w:val="es-CO"/>
        </w:rPr>
        <w:t>,</w:t>
      </w:r>
      <w:r w:rsidRPr="003410C8">
        <w:rPr>
          <w:rFonts w:ascii="Bookman Old Style" w:hAnsi="Bookman Old Style"/>
          <w:szCs w:val="20"/>
          <w:lang w:val="es-CO"/>
        </w:rPr>
        <w:t xml:space="preserve"> o entre los que exista situación de control. Todos los vendedores que tengan un mismo controlante</w:t>
      </w:r>
      <w:r w:rsidR="008236CE">
        <w:rPr>
          <w:rFonts w:ascii="Bookman Old Style" w:hAnsi="Bookman Old Style"/>
          <w:szCs w:val="20"/>
          <w:lang w:val="es-CO"/>
        </w:rPr>
        <w:t>,</w:t>
      </w:r>
      <w:r w:rsidRPr="003410C8">
        <w:rPr>
          <w:rFonts w:ascii="Bookman Old Style" w:hAnsi="Bookman Old Style"/>
          <w:szCs w:val="20"/>
          <w:lang w:val="es-CO"/>
        </w:rPr>
        <w:t xml:space="preserve"> o entre los que exista una situación de control</w:t>
      </w:r>
      <w:r w:rsidR="008236CE">
        <w:rPr>
          <w:rFonts w:ascii="Bookman Old Style" w:hAnsi="Bookman Old Style"/>
          <w:szCs w:val="20"/>
          <w:lang w:val="es-CO"/>
        </w:rPr>
        <w:t>,</w:t>
      </w:r>
      <w:r w:rsidRPr="003410C8">
        <w:rPr>
          <w:rFonts w:ascii="Bookman Old Style" w:hAnsi="Bookman Old Style"/>
          <w:szCs w:val="20"/>
          <w:lang w:val="es-CO"/>
        </w:rPr>
        <w:t xml:space="preserve"> serán </w:t>
      </w:r>
      <w:r>
        <w:rPr>
          <w:rFonts w:ascii="Bookman Old Style" w:hAnsi="Bookman Old Style"/>
          <w:szCs w:val="20"/>
          <w:lang w:val="es-CO"/>
        </w:rPr>
        <w:t xml:space="preserve">tenidos en cuenta para la determinación de la energía máxima disponible a vender </w:t>
      </w:r>
      <w:r w:rsidRPr="003410C8">
        <w:rPr>
          <w:rFonts w:ascii="Bookman Old Style" w:hAnsi="Bookman Old Style"/>
          <w:szCs w:val="20"/>
          <w:lang w:val="es-CO"/>
        </w:rPr>
        <w:t>como un (1) solo vendedor.</w:t>
      </w:r>
      <w:r>
        <w:rPr>
          <w:rFonts w:ascii="Bookman Old Style" w:hAnsi="Bookman Old Style"/>
          <w:szCs w:val="20"/>
          <w:lang w:val="es-CO"/>
        </w:rPr>
        <w:t xml:space="preserve"> </w:t>
      </w:r>
      <w:r w:rsidR="002F6589" w:rsidRPr="00A370E1">
        <w:rPr>
          <w:rFonts w:ascii="Bookman Old Style" w:hAnsi="Bookman Old Style"/>
          <w:szCs w:val="20"/>
          <w:lang w:val="es-CO"/>
        </w:rPr>
        <w:t>Para ello</w:t>
      </w:r>
      <w:r w:rsidR="00686CE8" w:rsidRPr="00A370E1">
        <w:rPr>
          <w:rFonts w:ascii="Bookman Old Style" w:hAnsi="Bookman Old Style"/>
          <w:szCs w:val="20"/>
          <w:lang w:val="es-CO"/>
        </w:rPr>
        <w:t xml:space="preserve">, será considerada la información entregada en el Formato No. 3 del Anexo 1 </w:t>
      </w:r>
      <w:r w:rsidR="00686CE8" w:rsidRPr="00A370E1">
        <w:rPr>
          <w:rFonts w:ascii="Bookman Old Style" w:hAnsi="Bookman Old Style"/>
          <w:lang w:val="es-CO"/>
        </w:rPr>
        <w:t>definid</w:t>
      </w:r>
      <w:r w:rsidR="001B78F3" w:rsidRPr="00A370E1">
        <w:rPr>
          <w:rFonts w:ascii="Bookman Old Style" w:hAnsi="Bookman Old Style"/>
          <w:lang w:val="es-CO"/>
        </w:rPr>
        <w:t>o</w:t>
      </w:r>
      <w:r w:rsidR="00686CE8" w:rsidRPr="00A370E1">
        <w:rPr>
          <w:rFonts w:ascii="Bookman Old Style" w:hAnsi="Bookman Old Style"/>
          <w:lang w:val="es-CO"/>
        </w:rPr>
        <w:t xml:space="preserve"> por el </w:t>
      </w:r>
      <w:r w:rsidR="00B47FFD" w:rsidRPr="00A370E1">
        <w:rPr>
          <w:rFonts w:ascii="Bookman Old Style" w:hAnsi="Bookman Old Style"/>
          <w:lang w:val="es-CO"/>
        </w:rPr>
        <w:t xml:space="preserve">ASIC como </w:t>
      </w:r>
      <w:r w:rsidR="00686CE8" w:rsidRPr="00A370E1">
        <w:rPr>
          <w:rFonts w:ascii="Bookman Old Style" w:hAnsi="Bookman Old Style"/>
          <w:lang w:val="es-CO"/>
        </w:rPr>
        <w:t xml:space="preserve">subastador en el pliego </w:t>
      </w:r>
      <w:r w:rsidR="002B1C17" w:rsidRPr="00A370E1">
        <w:rPr>
          <w:rFonts w:ascii="Bookman Old Style" w:hAnsi="Bookman Old Style"/>
          <w:lang w:val="es-CO"/>
        </w:rPr>
        <w:t>de</w:t>
      </w:r>
      <w:r w:rsidR="00686CE8" w:rsidRPr="00A370E1">
        <w:rPr>
          <w:rFonts w:ascii="Bookman Old Style" w:hAnsi="Bookman Old Style"/>
          <w:lang w:val="es-CO"/>
        </w:rPr>
        <w:t xml:space="preserve"> condiciones </w:t>
      </w:r>
      <w:r w:rsidR="006A1790" w:rsidRPr="00A370E1">
        <w:rPr>
          <w:rFonts w:ascii="Bookman Old Style" w:hAnsi="Bookman Old Style"/>
          <w:lang w:val="es-CO"/>
        </w:rPr>
        <w:t>de la subasta</w:t>
      </w:r>
      <w:r w:rsidR="00686CE8" w:rsidRPr="00A370E1">
        <w:rPr>
          <w:rFonts w:ascii="Bookman Old Style" w:hAnsi="Bookman Old Style"/>
          <w:lang w:val="es-CO"/>
        </w:rPr>
        <w:t>.</w:t>
      </w:r>
    </w:p>
    <w:p w14:paraId="6C46C22E" w14:textId="77777777" w:rsidR="00CA4180" w:rsidRDefault="00CA4180" w:rsidP="00CA4180">
      <w:pPr>
        <w:tabs>
          <w:tab w:val="left" w:pos="284"/>
        </w:tabs>
        <w:ind w:left="0"/>
        <w:jc w:val="both"/>
        <w:rPr>
          <w:rFonts w:ascii="Bookman Old Style" w:hAnsi="Bookman Old Style"/>
          <w:szCs w:val="20"/>
          <w:lang w:val="es-CO"/>
        </w:rPr>
      </w:pPr>
    </w:p>
    <w:p w14:paraId="71945026" w14:textId="061658B9" w:rsidR="00CA4180" w:rsidRPr="009B135D" w:rsidRDefault="00CA4180" w:rsidP="00CA4180">
      <w:pPr>
        <w:tabs>
          <w:tab w:val="left" w:pos="284"/>
        </w:tabs>
        <w:ind w:left="0"/>
        <w:jc w:val="both"/>
        <w:rPr>
          <w:rFonts w:ascii="Bookman Old Style" w:hAnsi="Bookman Old Style"/>
        </w:rPr>
      </w:pPr>
      <w:r>
        <w:rPr>
          <w:rFonts w:ascii="Bookman Old Style" w:hAnsi="Bookman Old Style"/>
          <w:szCs w:val="20"/>
          <w:lang w:val="es-CO"/>
        </w:rPr>
        <w:t>Paso 4. La energía máxima disponible a vender para los vendedores del Paso 3 será la suma de las cantidades máximas de energía disponible a vender de los vendedores con un mismo controlante</w:t>
      </w:r>
      <w:r w:rsidR="008236CE">
        <w:rPr>
          <w:rFonts w:ascii="Bookman Old Style" w:hAnsi="Bookman Old Style"/>
          <w:szCs w:val="20"/>
          <w:lang w:val="es-CO"/>
        </w:rPr>
        <w:t>,</w:t>
      </w:r>
      <w:r>
        <w:rPr>
          <w:rFonts w:ascii="Bookman Old Style" w:hAnsi="Bookman Old Style"/>
          <w:szCs w:val="20"/>
          <w:lang w:val="es-CO"/>
        </w:rPr>
        <w:t xml:space="preserve"> o entre quienes exista situación de control. Para aquellos vendedores que no tienen el mismo controlante</w:t>
      </w:r>
      <w:r w:rsidR="008236CE">
        <w:rPr>
          <w:rFonts w:ascii="Bookman Old Style" w:hAnsi="Bookman Old Style"/>
          <w:szCs w:val="20"/>
          <w:lang w:val="es-CO"/>
        </w:rPr>
        <w:t>,</w:t>
      </w:r>
      <w:r>
        <w:rPr>
          <w:rFonts w:ascii="Bookman Old Style" w:hAnsi="Bookman Old Style"/>
          <w:szCs w:val="20"/>
          <w:lang w:val="es-CO"/>
        </w:rPr>
        <w:t xml:space="preserve"> o que no están en situación de control con otros vendedores, la energía máxima disponible a vender será la identificada en el Paso 2.</w:t>
      </w:r>
    </w:p>
    <w:p w14:paraId="61D3C24E" w14:textId="77777777" w:rsidR="00CA4180" w:rsidRDefault="00CA4180" w:rsidP="00CA4180">
      <w:pPr>
        <w:tabs>
          <w:tab w:val="left" w:pos="284"/>
        </w:tabs>
        <w:ind w:left="0"/>
        <w:jc w:val="both"/>
        <w:rPr>
          <w:rFonts w:ascii="Bookman Old Style" w:hAnsi="Bookman Old Style"/>
        </w:rPr>
      </w:pPr>
    </w:p>
    <w:p w14:paraId="13D217F6" w14:textId="77777777" w:rsidR="00CA4180" w:rsidRPr="003410C8" w:rsidRDefault="00CA4180" w:rsidP="00CA4180">
      <w:pPr>
        <w:tabs>
          <w:tab w:val="left" w:pos="284"/>
        </w:tabs>
        <w:ind w:left="0"/>
        <w:jc w:val="both"/>
        <w:rPr>
          <w:rFonts w:ascii="Bookman Old Style" w:hAnsi="Bookman Old Style"/>
        </w:rPr>
      </w:pPr>
      <w:r>
        <w:rPr>
          <w:rFonts w:ascii="Bookman Old Style" w:hAnsi="Bookman Old Style"/>
        </w:rPr>
        <w:t>Paso 5. Se calcula la participación</w:t>
      </w:r>
      <w:r w:rsidRPr="003410C8">
        <w:rPr>
          <w:rFonts w:ascii="Bookman Old Style" w:hAnsi="Bookman Old Style"/>
        </w:rPr>
        <w:t xml:space="preserve"> </w:t>
      </w:r>
      <w:r>
        <w:rPr>
          <w:rFonts w:ascii="Bookman Old Style" w:hAnsi="Bookman Old Style"/>
        </w:rPr>
        <w:t xml:space="preserve">en la oferta de energía máxima diaria garantizada </w:t>
      </w:r>
      <w:r w:rsidRPr="003410C8">
        <w:rPr>
          <w:rFonts w:ascii="Bookman Old Style" w:hAnsi="Bookman Old Style"/>
        </w:rPr>
        <w:t xml:space="preserve">de </w:t>
      </w:r>
      <w:r>
        <w:rPr>
          <w:rFonts w:ascii="Bookman Old Style" w:hAnsi="Bookman Old Style"/>
        </w:rPr>
        <w:t>cada</w:t>
      </w:r>
      <w:r w:rsidRPr="003410C8">
        <w:rPr>
          <w:rFonts w:ascii="Bookman Old Style" w:hAnsi="Bookman Old Style"/>
        </w:rPr>
        <w:t xml:space="preserve"> vendedor</w:t>
      </w:r>
      <w:r>
        <w:rPr>
          <w:rFonts w:ascii="Bookman Old Style" w:hAnsi="Bookman Old Style"/>
        </w:rPr>
        <w:t>, a</w:t>
      </w:r>
      <w:r w:rsidRPr="003410C8">
        <w:rPr>
          <w:rFonts w:ascii="Bookman Old Style" w:hAnsi="Bookman Old Style"/>
        </w:rPr>
        <w:t xml:space="preserve"> partir de la siguiente expresión:</w:t>
      </w:r>
    </w:p>
    <w:p w14:paraId="7DEDE1E0" w14:textId="77777777" w:rsidR="00CA4180" w:rsidRPr="003410C8" w:rsidRDefault="00CA4180" w:rsidP="00CA4180">
      <w:pPr>
        <w:pStyle w:val="Prrafodelista"/>
        <w:tabs>
          <w:tab w:val="left" w:pos="284"/>
        </w:tabs>
        <w:ind w:left="720"/>
        <w:jc w:val="both"/>
        <w:rPr>
          <w:rFonts w:ascii="Bookman Old Style" w:hAnsi="Bookman Old Style"/>
          <w:sz w:val="24"/>
        </w:rPr>
      </w:pPr>
    </w:p>
    <w:p w14:paraId="29FF4058" w14:textId="77777777" w:rsidR="00CA4180" w:rsidRPr="003410C8" w:rsidRDefault="00CA4180" w:rsidP="00CA4180">
      <w:pPr>
        <w:tabs>
          <w:tab w:val="left" w:pos="284"/>
        </w:tabs>
        <w:ind w:left="0"/>
        <w:jc w:val="both"/>
        <w:rPr>
          <w:rFonts w:ascii="Bookman Old Style" w:hAnsi="Bookman Old Style"/>
          <w:szCs w:val="20"/>
          <w:lang w:val="es-CO"/>
        </w:rPr>
      </w:pPr>
      <m:oMathPara>
        <m:oMath>
          <m:r>
            <w:rPr>
              <w:rFonts w:ascii="Cambria Math" w:hAnsi="Cambria Math"/>
              <w:szCs w:val="20"/>
              <w:lang w:val="es-CO"/>
            </w:rPr>
            <m:t>P</m:t>
          </m:r>
          <m:sSub>
            <m:sSubPr>
              <m:ctrlPr>
                <w:rPr>
                  <w:rFonts w:ascii="Cambria Math" w:hAnsi="Cambria Math"/>
                  <w:i/>
                  <w:szCs w:val="20"/>
                  <w:lang w:val="es-CO"/>
                </w:rPr>
              </m:ctrlPr>
            </m:sSubPr>
            <m:e>
              <m:r>
                <w:rPr>
                  <w:rFonts w:ascii="Cambria Math" w:hAnsi="Cambria Math"/>
                  <w:szCs w:val="20"/>
                  <w:lang w:val="es-CO"/>
                </w:rPr>
                <m:t>EMD</m:t>
              </m:r>
            </m:e>
            <m:sub>
              <m:r>
                <w:rPr>
                  <w:rFonts w:ascii="Cambria Math" w:hAnsi="Cambria Math"/>
                  <w:szCs w:val="20"/>
                  <w:lang w:val="es-CO"/>
                </w:rPr>
                <m:t>i</m:t>
              </m:r>
            </m:sub>
          </m:sSub>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E</m:t>
              </m:r>
              <m:sSub>
                <m:sSubPr>
                  <m:ctrlPr>
                    <w:rPr>
                      <w:rFonts w:ascii="Cambria Math" w:hAnsi="Cambria Math"/>
                      <w:i/>
                      <w:szCs w:val="20"/>
                      <w:lang w:val="es-CO"/>
                    </w:rPr>
                  </m:ctrlPr>
                </m:sSubPr>
                <m:e>
                  <m:r>
                    <w:rPr>
                      <w:rFonts w:ascii="Cambria Math" w:hAnsi="Cambria Math"/>
                      <w:szCs w:val="20"/>
                      <w:lang w:val="es-CO"/>
                    </w:rPr>
                    <m:t>A</m:t>
                  </m:r>
                </m:e>
                <m:sub>
                  <m:r>
                    <w:rPr>
                      <w:rFonts w:ascii="Cambria Math" w:hAnsi="Cambria Math"/>
                      <w:szCs w:val="20"/>
                      <w:lang w:val="es-CO"/>
                    </w:rPr>
                    <m:t>i</m:t>
                  </m:r>
                </m:sub>
              </m:sSub>
            </m:num>
            <m:den>
              <m:nary>
                <m:naryPr>
                  <m:chr m:val="∑"/>
                  <m:limLoc m:val="undOvr"/>
                  <m:supHide m:val="1"/>
                  <m:ctrlPr>
                    <w:rPr>
                      <w:rFonts w:ascii="Cambria Math" w:hAnsi="Cambria Math"/>
                      <w:i/>
                      <w:szCs w:val="20"/>
                      <w:lang w:val="es-CO"/>
                    </w:rPr>
                  </m:ctrlPr>
                </m:naryPr>
                <m:sub>
                  <m:r>
                    <w:rPr>
                      <w:rFonts w:ascii="Cambria Math" w:hAnsi="Cambria Math"/>
                      <w:szCs w:val="20"/>
                      <w:lang w:val="es-CO"/>
                    </w:rPr>
                    <m:t>j</m:t>
                  </m:r>
                </m:sub>
                <m:sup/>
                <m:e>
                  <m:r>
                    <w:rPr>
                      <w:rFonts w:ascii="Cambria Math" w:hAnsi="Cambria Math"/>
                      <w:szCs w:val="20"/>
                      <w:lang w:val="es-CO"/>
                    </w:rPr>
                    <m:t>E</m:t>
                  </m:r>
                  <m:sSub>
                    <m:sSubPr>
                      <m:ctrlPr>
                        <w:rPr>
                          <w:rFonts w:ascii="Cambria Math" w:hAnsi="Cambria Math"/>
                          <w:i/>
                          <w:szCs w:val="20"/>
                          <w:lang w:val="es-CO"/>
                        </w:rPr>
                      </m:ctrlPr>
                    </m:sSubPr>
                    <m:e>
                      <m:r>
                        <w:rPr>
                          <w:rFonts w:ascii="Cambria Math" w:hAnsi="Cambria Math"/>
                          <w:szCs w:val="20"/>
                          <w:lang w:val="es-CO"/>
                        </w:rPr>
                        <m:t>A</m:t>
                      </m:r>
                    </m:e>
                    <m:sub>
                      <m:r>
                        <w:rPr>
                          <w:rFonts w:ascii="Cambria Math" w:hAnsi="Cambria Math"/>
                          <w:szCs w:val="20"/>
                          <w:lang w:val="es-CO"/>
                        </w:rPr>
                        <m:t>j</m:t>
                      </m:r>
                    </m:sub>
                  </m:sSub>
                </m:e>
              </m:nary>
            </m:den>
          </m:f>
          <m:r>
            <w:rPr>
              <w:rFonts w:ascii="Cambria Math" w:hAnsi="Cambria Math"/>
              <w:szCs w:val="20"/>
              <w:lang w:val="es-CO"/>
            </w:rPr>
            <m:t>*100%</m:t>
          </m:r>
        </m:oMath>
      </m:oMathPara>
    </w:p>
    <w:p w14:paraId="40542E16" w14:textId="77777777" w:rsidR="00CA4180" w:rsidRPr="003410C8" w:rsidRDefault="00CA4180" w:rsidP="00CA4180">
      <w:pPr>
        <w:tabs>
          <w:tab w:val="left" w:pos="284"/>
        </w:tabs>
        <w:ind w:left="0"/>
        <w:jc w:val="both"/>
        <w:rPr>
          <w:rFonts w:ascii="Bookman Old Style" w:hAnsi="Bookman Old Style"/>
          <w:szCs w:val="20"/>
          <w:lang w:val="es-CO"/>
        </w:rPr>
      </w:pPr>
    </w:p>
    <w:p w14:paraId="7878CBB8" w14:textId="77777777" w:rsidR="00CA4180" w:rsidRPr="003410C8" w:rsidRDefault="00CA4180" w:rsidP="00CA4180">
      <w:pPr>
        <w:tabs>
          <w:tab w:val="left" w:pos="284"/>
        </w:tabs>
        <w:ind w:left="0"/>
        <w:jc w:val="both"/>
        <w:rPr>
          <w:rFonts w:ascii="Bookman Old Style" w:hAnsi="Bookman Old Style"/>
          <w:szCs w:val="20"/>
          <w:lang w:val="es-CO"/>
        </w:rPr>
      </w:pPr>
      <w:r w:rsidRPr="003410C8">
        <w:rPr>
          <w:rFonts w:ascii="Bookman Old Style" w:hAnsi="Bookman Old Style"/>
          <w:szCs w:val="20"/>
          <w:lang w:val="es-CO"/>
        </w:rPr>
        <w:t>Donde:</w:t>
      </w:r>
    </w:p>
    <w:p w14:paraId="4D2C47DB" w14:textId="77777777" w:rsidR="00CA4180" w:rsidRPr="003410C8" w:rsidRDefault="00CA4180" w:rsidP="00CA4180">
      <w:pPr>
        <w:tabs>
          <w:tab w:val="left" w:pos="284"/>
        </w:tabs>
        <w:ind w:left="0"/>
        <w:jc w:val="both"/>
        <w:rPr>
          <w:rFonts w:ascii="Bookman Old Style" w:hAnsi="Bookman Old Style"/>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7"/>
      </w:tblGrid>
      <w:tr w:rsidR="00CA4180" w:rsidRPr="003410C8" w14:paraId="5BE00483" w14:textId="77777777" w:rsidTr="00C31AD8">
        <w:tc>
          <w:tcPr>
            <w:tcW w:w="1129" w:type="dxa"/>
          </w:tcPr>
          <w:p w14:paraId="36CD79B2" w14:textId="77777777" w:rsidR="00CA4180" w:rsidRPr="003410C8" w:rsidRDefault="00CA4180" w:rsidP="00C31AD8">
            <w:pPr>
              <w:tabs>
                <w:tab w:val="left" w:pos="284"/>
              </w:tabs>
              <w:ind w:left="0"/>
              <w:jc w:val="both"/>
              <w:rPr>
                <w:rFonts w:ascii="Bookman Old Style" w:hAnsi="Bookman Old Style"/>
                <w:szCs w:val="20"/>
                <w:lang w:val="es-CO"/>
              </w:rPr>
            </w:pPr>
            <m:oMath>
              <m:r>
                <w:rPr>
                  <w:rFonts w:ascii="Cambria Math" w:hAnsi="Cambria Math"/>
                  <w:szCs w:val="20"/>
                  <w:lang w:val="es-CO"/>
                </w:rPr>
                <m:t>PEM</m:t>
              </m:r>
              <m:sSub>
                <m:sSubPr>
                  <m:ctrlPr>
                    <w:rPr>
                      <w:rFonts w:ascii="Cambria Math" w:hAnsi="Cambria Math"/>
                      <w:i/>
                      <w:szCs w:val="20"/>
                      <w:lang w:val="es-CO"/>
                    </w:rPr>
                  </m:ctrlPr>
                </m:sSubPr>
                <m:e>
                  <m:r>
                    <w:rPr>
                      <w:rFonts w:ascii="Cambria Math" w:hAnsi="Cambria Math"/>
                      <w:szCs w:val="20"/>
                      <w:lang w:val="es-CO"/>
                    </w:rPr>
                    <m:t>D</m:t>
                  </m:r>
                </m:e>
                <m:sub>
                  <m:r>
                    <w:rPr>
                      <w:rFonts w:ascii="Cambria Math" w:hAnsi="Cambria Math"/>
                      <w:szCs w:val="20"/>
                      <w:lang w:val="es-CO"/>
                    </w:rPr>
                    <m:t>i</m:t>
                  </m:r>
                </m:sub>
              </m:sSub>
            </m:oMath>
            <w:r w:rsidRPr="003410C8">
              <w:rPr>
                <w:rFonts w:ascii="Bookman Old Style" w:hAnsi="Bookman Old Style"/>
                <w:szCs w:val="20"/>
                <w:lang w:val="es-CO"/>
              </w:rPr>
              <w:t>:</w:t>
            </w:r>
          </w:p>
        </w:tc>
        <w:tc>
          <w:tcPr>
            <w:tcW w:w="8217" w:type="dxa"/>
          </w:tcPr>
          <w:p w14:paraId="03C2730A" w14:textId="77777777" w:rsidR="00CA4180" w:rsidRDefault="00CA4180" w:rsidP="00C31AD8">
            <w:pPr>
              <w:tabs>
                <w:tab w:val="left" w:pos="284"/>
              </w:tabs>
              <w:ind w:left="0"/>
              <w:jc w:val="both"/>
              <w:rPr>
                <w:rFonts w:ascii="Bookman Old Style" w:hAnsi="Bookman Old Style"/>
                <w:szCs w:val="20"/>
                <w:lang w:val="es-CO"/>
              </w:rPr>
            </w:pPr>
            <w:r w:rsidRPr="003410C8">
              <w:rPr>
                <w:rFonts w:ascii="Bookman Old Style" w:hAnsi="Bookman Old Style"/>
                <w:szCs w:val="20"/>
                <w:lang w:val="es-CO"/>
              </w:rPr>
              <w:t>Participación en la oferta de</w:t>
            </w:r>
            <w:r>
              <w:rPr>
                <w:rFonts w:ascii="Bookman Old Style" w:hAnsi="Bookman Old Style"/>
                <w:szCs w:val="20"/>
                <w:lang w:val="es-CO"/>
              </w:rPr>
              <w:t xml:space="preserve"> energía máxima</w:t>
            </w:r>
            <w:r w:rsidRPr="003410C8">
              <w:rPr>
                <w:rFonts w:ascii="Bookman Old Style" w:hAnsi="Bookman Old Style"/>
                <w:szCs w:val="20"/>
                <w:lang w:val="es-CO"/>
              </w:rPr>
              <w:t xml:space="preserve"> </w:t>
            </w:r>
            <w:r>
              <w:rPr>
                <w:rFonts w:ascii="Bookman Old Style" w:hAnsi="Bookman Old Style"/>
                <w:szCs w:val="20"/>
                <w:lang w:val="es-CO"/>
              </w:rPr>
              <w:t xml:space="preserve">diaria garantizada del </w:t>
            </w:r>
            <w:r w:rsidRPr="003410C8">
              <w:rPr>
                <w:rFonts w:ascii="Bookman Old Style" w:hAnsi="Bookman Old Style"/>
                <w:szCs w:val="20"/>
                <w:lang w:val="es-CO"/>
              </w:rPr>
              <w:t xml:space="preserve">vendedor </w:t>
            </w:r>
            <w:r w:rsidRPr="003410C8">
              <w:rPr>
                <w:rFonts w:ascii="Bookman Old Style" w:hAnsi="Bookman Old Style"/>
                <w:i/>
                <w:szCs w:val="20"/>
                <w:lang w:val="es-CO"/>
              </w:rPr>
              <w:t>i</w:t>
            </w:r>
            <w:r w:rsidRPr="003410C8">
              <w:rPr>
                <w:rFonts w:ascii="Bookman Old Style" w:hAnsi="Bookman Old Style"/>
                <w:szCs w:val="20"/>
                <w:lang w:val="es-CO"/>
              </w:rPr>
              <w:t>.</w:t>
            </w:r>
            <w:r>
              <w:rPr>
                <w:rFonts w:ascii="Bookman Old Style" w:hAnsi="Bookman Old Style"/>
                <w:szCs w:val="20"/>
                <w:lang w:val="es-CO"/>
              </w:rPr>
              <w:t xml:space="preserve"> La participación en la oferta de energía máxima diaria garantizada de cada vendedor toma valores positivos hasta un máximo de cien por ciento (100%). </w:t>
            </w:r>
          </w:p>
          <w:p w14:paraId="55C40426" w14:textId="77777777" w:rsidR="00CA4180" w:rsidRPr="003410C8" w:rsidRDefault="00CA4180" w:rsidP="00C31AD8">
            <w:pPr>
              <w:tabs>
                <w:tab w:val="left" w:pos="284"/>
              </w:tabs>
              <w:ind w:left="0"/>
              <w:jc w:val="both"/>
              <w:rPr>
                <w:rFonts w:ascii="Bookman Old Style" w:hAnsi="Bookman Old Style"/>
                <w:szCs w:val="20"/>
                <w:lang w:val="es-CO"/>
              </w:rPr>
            </w:pPr>
          </w:p>
        </w:tc>
      </w:tr>
      <w:tr w:rsidR="00CA4180" w:rsidRPr="003410C8" w14:paraId="7495C9AD" w14:textId="77777777" w:rsidTr="00C31AD8">
        <w:tc>
          <w:tcPr>
            <w:tcW w:w="1129" w:type="dxa"/>
          </w:tcPr>
          <w:p w14:paraId="3C1A0635" w14:textId="77777777" w:rsidR="00CA4180" w:rsidRDefault="00CA4180" w:rsidP="00C31AD8">
            <w:pPr>
              <w:tabs>
                <w:tab w:val="left" w:pos="284"/>
              </w:tabs>
              <w:ind w:left="0"/>
              <w:jc w:val="both"/>
              <w:rPr>
                <w:szCs w:val="20"/>
                <w:lang w:val="es-CO"/>
              </w:rPr>
            </w:pPr>
          </w:p>
          <w:p w14:paraId="4D6CF951" w14:textId="77777777" w:rsidR="00CA4180" w:rsidRPr="003E4421" w:rsidRDefault="00CA4180" w:rsidP="00C31AD8">
            <w:pPr>
              <w:tabs>
                <w:tab w:val="left" w:pos="284"/>
              </w:tabs>
              <w:ind w:left="0"/>
              <w:jc w:val="both"/>
              <w:rPr>
                <w:rFonts w:ascii="Bookman Old Style" w:hAnsi="Bookman Old Style"/>
                <w:szCs w:val="20"/>
                <w:lang w:val="es-CO"/>
              </w:rPr>
            </w:pPr>
            <m:oMath>
              <m:r>
                <w:rPr>
                  <w:rFonts w:ascii="Cambria Math" w:hAnsi="Cambria Math"/>
                  <w:szCs w:val="20"/>
                  <w:lang w:val="es-CO"/>
                </w:rPr>
                <m:t>E</m:t>
              </m:r>
              <m:sSub>
                <m:sSubPr>
                  <m:ctrlPr>
                    <w:rPr>
                      <w:rFonts w:ascii="Cambria Math" w:hAnsi="Cambria Math"/>
                      <w:i/>
                      <w:szCs w:val="20"/>
                      <w:lang w:val="es-CO"/>
                    </w:rPr>
                  </m:ctrlPr>
                </m:sSubPr>
                <m:e>
                  <m:r>
                    <w:rPr>
                      <w:rFonts w:ascii="Cambria Math" w:hAnsi="Cambria Math"/>
                      <w:szCs w:val="20"/>
                      <w:lang w:val="es-CO"/>
                    </w:rPr>
                    <m:t>A</m:t>
                  </m:r>
                </m:e>
                <m:sub>
                  <m:r>
                    <w:rPr>
                      <w:rFonts w:ascii="Cambria Math" w:hAnsi="Cambria Math"/>
                      <w:szCs w:val="20"/>
                      <w:lang w:val="es-CO"/>
                    </w:rPr>
                    <m:t>i</m:t>
                  </m:r>
                </m:sub>
              </m:sSub>
            </m:oMath>
            <w:r w:rsidRPr="003E4421">
              <w:rPr>
                <w:rFonts w:ascii="Bookman Old Style" w:hAnsi="Bookman Old Style"/>
                <w:szCs w:val="20"/>
                <w:lang w:val="es-CO"/>
              </w:rPr>
              <w:t>:</w:t>
            </w:r>
          </w:p>
        </w:tc>
        <w:tc>
          <w:tcPr>
            <w:tcW w:w="8217" w:type="dxa"/>
          </w:tcPr>
          <w:p w14:paraId="68A57F00" w14:textId="77777777" w:rsidR="00CA4180" w:rsidRDefault="00CA4180" w:rsidP="00C31AD8">
            <w:pPr>
              <w:tabs>
                <w:tab w:val="left" w:pos="284"/>
              </w:tabs>
              <w:ind w:left="0"/>
              <w:jc w:val="both"/>
              <w:rPr>
                <w:rFonts w:ascii="Bookman Old Style" w:hAnsi="Bookman Old Style"/>
                <w:szCs w:val="20"/>
                <w:lang w:val="es-CO"/>
              </w:rPr>
            </w:pPr>
            <w:r w:rsidRPr="003E4421">
              <w:rPr>
                <w:rFonts w:ascii="Bookman Old Style" w:hAnsi="Bookman Old Style"/>
                <w:szCs w:val="20"/>
                <w:lang w:val="es-CO"/>
              </w:rPr>
              <w:t xml:space="preserve">Cantidad máxima de energía disponible a vender </w:t>
            </w:r>
            <w:r>
              <w:rPr>
                <w:rFonts w:ascii="Bookman Old Style" w:hAnsi="Bookman Old Style"/>
                <w:szCs w:val="20"/>
                <w:lang w:val="es-CO"/>
              </w:rPr>
              <w:t>de</w:t>
            </w:r>
            <w:r w:rsidRPr="003E4421">
              <w:rPr>
                <w:rFonts w:ascii="Bookman Old Style" w:hAnsi="Bookman Old Style"/>
                <w:szCs w:val="20"/>
                <w:lang w:val="es-CO"/>
              </w:rPr>
              <w:t xml:space="preserve">l vendedor </w:t>
            </w:r>
            <w:r w:rsidRPr="003E4421">
              <w:rPr>
                <w:rFonts w:ascii="Bookman Old Style" w:hAnsi="Bookman Old Style"/>
                <w:i/>
                <w:szCs w:val="20"/>
                <w:lang w:val="es-CO"/>
              </w:rPr>
              <w:t>i</w:t>
            </w:r>
            <w:r w:rsidRPr="003E4421">
              <w:rPr>
                <w:rFonts w:ascii="Bookman Old Style" w:hAnsi="Bookman Old Style"/>
                <w:szCs w:val="20"/>
                <w:lang w:val="es-CO"/>
              </w:rPr>
              <w:t xml:space="preserve"> </w:t>
            </w:r>
            <w:r>
              <w:rPr>
                <w:rFonts w:ascii="Bookman Old Style" w:hAnsi="Bookman Old Style"/>
                <w:szCs w:val="20"/>
                <w:lang w:val="es-CO"/>
              </w:rPr>
              <w:t>determinada en el Paso 4,</w:t>
            </w:r>
            <w:r w:rsidRPr="003E4421">
              <w:rPr>
                <w:rFonts w:ascii="Bookman Old Style" w:hAnsi="Bookman Old Style"/>
                <w:szCs w:val="20"/>
                <w:lang w:val="es-CO"/>
              </w:rPr>
              <w:t xml:space="preserve"> expresada en kilovatios hora-día (kWh-día)</w:t>
            </w:r>
            <w:r>
              <w:rPr>
                <w:rFonts w:ascii="Bookman Old Style" w:hAnsi="Bookman Old Style"/>
                <w:szCs w:val="20"/>
                <w:lang w:val="es-CO"/>
              </w:rPr>
              <w:t>.</w:t>
            </w:r>
          </w:p>
          <w:p w14:paraId="30061664" w14:textId="77777777" w:rsidR="00CA4180" w:rsidRPr="003E4421" w:rsidRDefault="00CA4180" w:rsidP="00C31AD8">
            <w:pPr>
              <w:tabs>
                <w:tab w:val="left" w:pos="284"/>
              </w:tabs>
              <w:ind w:left="0"/>
              <w:jc w:val="both"/>
              <w:rPr>
                <w:rFonts w:ascii="Bookman Old Style" w:hAnsi="Bookman Old Style"/>
                <w:szCs w:val="20"/>
                <w:lang w:val="es-CO"/>
              </w:rPr>
            </w:pPr>
          </w:p>
        </w:tc>
      </w:tr>
      <w:tr w:rsidR="00CA4180" w:rsidRPr="003410C8" w14:paraId="4096DBCB" w14:textId="77777777" w:rsidTr="00C31AD8">
        <w:trPr>
          <w:trHeight w:val="76"/>
        </w:trPr>
        <w:tc>
          <w:tcPr>
            <w:tcW w:w="1129" w:type="dxa"/>
          </w:tcPr>
          <w:p w14:paraId="3166D966" w14:textId="77777777" w:rsidR="00CA4180" w:rsidRPr="003410C8" w:rsidRDefault="004054E5" w:rsidP="00C31AD8">
            <w:pPr>
              <w:tabs>
                <w:tab w:val="left" w:pos="284"/>
              </w:tabs>
              <w:ind w:left="0"/>
              <w:jc w:val="both"/>
              <w:rPr>
                <w:rFonts w:ascii="Bookman Old Style" w:hAnsi="Bookman Old Style"/>
                <w:szCs w:val="20"/>
                <w:lang w:val="es-CO"/>
              </w:rPr>
            </w:pPr>
            <m:oMath>
              <m:nary>
                <m:naryPr>
                  <m:chr m:val="∑"/>
                  <m:limLoc m:val="undOvr"/>
                  <m:supHide m:val="1"/>
                  <m:ctrlPr>
                    <w:rPr>
                      <w:rFonts w:ascii="Cambria Math" w:hAnsi="Cambria Math"/>
                      <w:i/>
                      <w:szCs w:val="20"/>
                      <w:lang w:val="es-CO"/>
                    </w:rPr>
                  </m:ctrlPr>
                </m:naryPr>
                <m:sub>
                  <m:r>
                    <w:rPr>
                      <w:rFonts w:ascii="Cambria Math" w:hAnsi="Cambria Math"/>
                      <w:szCs w:val="20"/>
                      <w:lang w:val="es-CO"/>
                    </w:rPr>
                    <m:t>j</m:t>
                  </m:r>
                </m:sub>
                <m:sup/>
                <m:e>
                  <m:r>
                    <w:rPr>
                      <w:rFonts w:ascii="Cambria Math" w:hAnsi="Cambria Math"/>
                      <w:szCs w:val="20"/>
                      <w:lang w:val="es-CO"/>
                    </w:rPr>
                    <m:t>E</m:t>
                  </m:r>
                  <m:sSub>
                    <m:sSubPr>
                      <m:ctrlPr>
                        <w:rPr>
                          <w:rFonts w:ascii="Cambria Math" w:hAnsi="Cambria Math"/>
                          <w:i/>
                          <w:szCs w:val="20"/>
                          <w:lang w:val="es-CO"/>
                        </w:rPr>
                      </m:ctrlPr>
                    </m:sSubPr>
                    <m:e>
                      <m:r>
                        <w:rPr>
                          <w:rFonts w:ascii="Cambria Math" w:hAnsi="Cambria Math"/>
                          <w:szCs w:val="20"/>
                          <w:lang w:val="es-CO"/>
                        </w:rPr>
                        <m:t>A</m:t>
                      </m:r>
                    </m:e>
                    <m:sub>
                      <m:r>
                        <w:rPr>
                          <w:rFonts w:ascii="Cambria Math" w:hAnsi="Cambria Math"/>
                          <w:szCs w:val="20"/>
                          <w:lang w:val="es-CO"/>
                        </w:rPr>
                        <m:t>j</m:t>
                      </m:r>
                    </m:sub>
                  </m:sSub>
                </m:e>
              </m:nary>
            </m:oMath>
            <w:r w:rsidR="00CA4180" w:rsidRPr="003410C8">
              <w:rPr>
                <w:rFonts w:ascii="Bookman Old Style" w:hAnsi="Bookman Old Style"/>
                <w:szCs w:val="20"/>
                <w:lang w:val="es-CO"/>
              </w:rPr>
              <w:t>:</w:t>
            </w:r>
          </w:p>
        </w:tc>
        <w:tc>
          <w:tcPr>
            <w:tcW w:w="8217" w:type="dxa"/>
          </w:tcPr>
          <w:p w14:paraId="51AEF918" w14:textId="449CFDFB" w:rsidR="00CA4180" w:rsidRPr="003410C8" w:rsidRDefault="00CA4180" w:rsidP="00C31AD8">
            <w:pPr>
              <w:tabs>
                <w:tab w:val="left" w:pos="284"/>
              </w:tabs>
              <w:ind w:left="0"/>
              <w:jc w:val="both"/>
              <w:rPr>
                <w:rFonts w:ascii="Bookman Old Style" w:hAnsi="Bookman Old Style"/>
                <w:szCs w:val="20"/>
                <w:lang w:val="es-CO"/>
              </w:rPr>
            </w:pPr>
            <w:r w:rsidRPr="003410C8">
              <w:rPr>
                <w:rFonts w:ascii="Bookman Old Style" w:hAnsi="Bookman Old Style"/>
                <w:szCs w:val="20"/>
                <w:lang w:val="es-CO"/>
              </w:rPr>
              <w:t>Sumatoria de la</w:t>
            </w:r>
            <w:r>
              <w:rPr>
                <w:rFonts w:ascii="Bookman Old Style" w:hAnsi="Bookman Old Style"/>
                <w:szCs w:val="20"/>
                <w:lang w:val="es-CO"/>
              </w:rPr>
              <w:t xml:space="preserve">s cantidades máximas de energía disponibles a vender informadas por los </w:t>
            </w:r>
            <w:r>
              <w:rPr>
                <w:rFonts w:ascii="Bookman Old Style" w:hAnsi="Bookman Old Style"/>
                <w:i/>
                <w:szCs w:val="20"/>
                <w:lang w:val="es-CO"/>
              </w:rPr>
              <w:t>j</w:t>
            </w:r>
            <w:r>
              <w:rPr>
                <w:rFonts w:ascii="Bookman Old Style" w:hAnsi="Bookman Old Style"/>
                <w:szCs w:val="20"/>
                <w:lang w:val="es-CO"/>
              </w:rPr>
              <w:t xml:space="preserve"> vendedores identificadas en el Paso 4.</w:t>
            </w:r>
          </w:p>
        </w:tc>
      </w:tr>
    </w:tbl>
    <w:p w14:paraId="767ADEEC" w14:textId="77777777" w:rsidR="00CA4180" w:rsidRDefault="00CA4180" w:rsidP="00CA4180">
      <w:pPr>
        <w:tabs>
          <w:tab w:val="left" w:pos="284"/>
        </w:tabs>
        <w:ind w:left="0"/>
        <w:jc w:val="both"/>
        <w:rPr>
          <w:rFonts w:ascii="Bookman Old Style" w:hAnsi="Bookman Old Style"/>
          <w:szCs w:val="20"/>
          <w:lang w:val="es-CO"/>
        </w:rPr>
      </w:pPr>
    </w:p>
    <w:p w14:paraId="62C6FE51" w14:textId="77777777" w:rsidR="00CA4180" w:rsidRPr="00045037" w:rsidRDefault="00CA4180" w:rsidP="00CA4180">
      <w:pPr>
        <w:tabs>
          <w:tab w:val="left" w:pos="284"/>
        </w:tabs>
        <w:ind w:left="0"/>
        <w:jc w:val="both"/>
        <w:rPr>
          <w:rFonts w:ascii="Bookman Old Style" w:hAnsi="Bookman Old Style"/>
        </w:rPr>
      </w:pPr>
      <w:r w:rsidRPr="00045037">
        <w:rPr>
          <w:rFonts w:ascii="Bookman Old Style" w:hAnsi="Bookman Old Style"/>
        </w:rPr>
        <w:t xml:space="preserve">Paso </w:t>
      </w:r>
      <w:r>
        <w:rPr>
          <w:rFonts w:ascii="Bookman Old Style" w:hAnsi="Bookman Old Style"/>
        </w:rPr>
        <w:t>6</w:t>
      </w:r>
      <w:r w:rsidRPr="00045037">
        <w:rPr>
          <w:rFonts w:ascii="Bookman Old Style" w:hAnsi="Bookman Old Style"/>
        </w:rPr>
        <w:t>. A partir de las participaciones en la oferta</w:t>
      </w:r>
      <w:r>
        <w:rPr>
          <w:rFonts w:ascii="Bookman Old Style" w:hAnsi="Bookman Old Style"/>
        </w:rPr>
        <w:t xml:space="preserve"> de energía máxima diaria garantizada</w:t>
      </w:r>
      <w:r w:rsidRPr="00045037">
        <w:rPr>
          <w:rFonts w:ascii="Bookman Old Style" w:hAnsi="Bookman Old Style"/>
        </w:rPr>
        <w:t xml:space="preserve"> </w:t>
      </w:r>
      <m:oMath>
        <m:r>
          <w:rPr>
            <w:rFonts w:ascii="Cambria Math" w:hAnsi="Cambria Math"/>
          </w:rPr>
          <m:t>(P</m:t>
        </m:r>
        <m:sSub>
          <m:sSubPr>
            <m:ctrlPr>
              <w:rPr>
                <w:rFonts w:ascii="Cambria Math" w:hAnsi="Cambria Math"/>
              </w:rPr>
            </m:ctrlPr>
          </m:sSubPr>
          <m:e>
            <m:r>
              <w:rPr>
                <w:rFonts w:ascii="Cambria Math" w:hAnsi="Cambria Math"/>
              </w:rPr>
              <m:t>EMD</m:t>
            </m:r>
          </m:e>
          <m:sub>
            <m:r>
              <w:rPr>
                <w:rFonts w:ascii="Cambria Math" w:hAnsi="Cambria Math"/>
              </w:rPr>
              <m:t>i</m:t>
            </m:r>
          </m:sub>
        </m:sSub>
      </m:oMath>
      <w:r>
        <w:rPr>
          <w:rFonts w:ascii="Bookman Old Style" w:hAnsi="Bookman Old Style"/>
        </w:rPr>
        <w:t>)</w:t>
      </w:r>
      <w:r w:rsidRPr="00045037">
        <w:rPr>
          <w:rFonts w:ascii="Bookman Old Style" w:hAnsi="Bookman Old Style"/>
        </w:rPr>
        <w:t xml:space="preserve"> calculadas en el </w:t>
      </w:r>
      <w:r>
        <w:rPr>
          <w:rFonts w:ascii="Bookman Old Style" w:hAnsi="Bookman Old Style"/>
        </w:rPr>
        <w:t>P</w:t>
      </w:r>
      <w:r w:rsidRPr="00045037">
        <w:rPr>
          <w:rFonts w:ascii="Bookman Old Style" w:hAnsi="Bookman Old Style"/>
        </w:rPr>
        <w:t xml:space="preserve">aso </w:t>
      </w:r>
      <w:r>
        <w:rPr>
          <w:rFonts w:ascii="Bookman Old Style" w:hAnsi="Bookman Old Style"/>
        </w:rPr>
        <w:t>5</w:t>
      </w:r>
      <w:r w:rsidRPr="00045037">
        <w:rPr>
          <w:rFonts w:ascii="Bookman Old Style" w:hAnsi="Bookman Old Style"/>
        </w:rPr>
        <w:t xml:space="preserve">, se </w:t>
      </w:r>
      <w:r>
        <w:rPr>
          <w:rFonts w:ascii="Bookman Old Style" w:hAnsi="Bookman Old Style"/>
        </w:rPr>
        <w:t xml:space="preserve">verifica que ningún vendedor </w:t>
      </w:r>
      <w:r w:rsidRPr="00045037">
        <w:rPr>
          <w:rFonts w:ascii="Bookman Old Style" w:hAnsi="Bookman Old Style"/>
        </w:rPr>
        <w:t xml:space="preserve">tenga una participación </w:t>
      </w:r>
      <w:r>
        <w:rPr>
          <w:rFonts w:ascii="Bookman Old Style" w:hAnsi="Bookman Old Style"/>
        </w:rPr>
        <w:t>superior al 40%.</w:t>
      </w:r>
    </w:p>
    <w:p w14:paraId="07174990" w14:textId="77777777" w:rsidR="00CA4180" w:rsidRDefault="00CA4180" w:rsidP="00CA4180">
      <w:pPr>
        <w:tabs>
          <w:tab w:val="left" w:pos="284"/>
        </w:tabs>
        <w:ind w:left="0"/>
        <w:jc w:val="both"/>
        <w:rPr>
          <w:rFonts w:ascii="Bookman Old Style" w:hAnsi="Bookman Old Style"/>
          <w:szCs w:val="20"/>
          <w:lang w:val="es-CO"/>
        </w:rPr>
      </w:pPr>
    </w:p>
    <w:p w14:paraId="236DCE83" w14:textId="65FFCF27" w:rsidR="00CA4180" w:rsidRDefault="00CA4180" w:rsidP="00CA4180">
      <w:pPr>
        <w:tabs>
          <w:tab w:val="left" w:pos="284"/>
        </w:tabs>
        <w:ind w:left="0"/>
        <w:jc w:val="both"/>
        <w:rPr>
          <w:rFonts w:ascii="Bookman Old Style" w:hAnsi="Bookman Old Style"/>
          <w:szCs w:val="20"/>
          <w:lang w:val="es-CO"/>
        </w:rPr>
      </w:pPr>
      <w:r>
        <w:rPr>
          <w:rFonts w:ascii="Bookman Old Style" w:hAnsi="Bookman Old Style"/>
          <w:szCs w:val="20"/>
          <w:lang w:val="es-CO"/>
        </w:rPr>
        <w:t>Se entenderá como cumplida la condición de competencia</w:t>
      </w:r>
      <w:r w:rsidRPr="003410C8">
        <w:rPr>
          <w:rFonts w:ascii="Bookman Old Style" w:hAnsi="Bookman Old Style"/>
          <w:szCs w:val="20"/>
          <w:lang w:val="es-CO"/>
        </w:rPr>
        <w:t xml:space="preserve"> si</w:t>
      </w:r>
      <w:r w:rsidR="008236CE">
        <w:rPr>
          <w:rFonts w:ascii="Bookman Old Style" w:hAnsi="Bookman Old Style"/>
          <w:szCs w:val="20"/>
          <w:lang w:val="es-CO"/>
        </w:rPr>
        <w:t>,</w:t>
      </w:r>
      <w:r w:rsidRPr="003410C8">
        <w:rPr>
          <w:rFonts w:ascii="Bookman Old Style" w:hAnsi="Bookman Old Style"/>
          <w:szCs w:val="20"/>
          <w:lang w:val="es-CO"/>
        </w:rPr>
        <w:t xml:space="preserve"> después de surtido el proceso descrito anteriormente</w:t>
      </w:r>
      <w:r w:rsidR="008236CE">
        <w:rPr>
          <w:rFonts w:ascii="Bookman Old Style" w:hAnsi="Bookman Old Style"/>
          <w:szCs w:val="20"/>
          <w:lang w:val="es-CO"/>
        </w:rPr>
        <w:t>,</w:t>
      </w:r>
      <w:r w:rsidRPr="003410C8">
        <w:rPr>
          <w:rFonts w:ascii="Bookman Old Style" w:hAnsi="Bookman Old Style"/>
          <w:szCs w:val="20"/>
          <w:lang w:val="es-CO"/>
        </w:rPr>
        <w:t xml:space="preserve"> se encuentra que </w:t>
      </w:r>
      <w:r>
        <w:rPr>
          <w:rFonts w:ascii="Bookman Old Style" w:hAnsi="Bookman Old Style"/>
          <w:szCs w:val="20"/>
          <w:lang w:val="es-CO"/>
        </w:rPr>
        <w:t xml:space="preserve">la participación en la oferta de cada uno de los </w:t>
      </w:r>
      <w:r>
        <w:rPr>
          <w:rFonts w:ascii="Bookman Old Style" w:hAnsi="Bookman Old Style"/>
          <w:i/>
          <w:szCs w:val="20"/>
          <w:lang w:val="es-CO"/>
        </w:rPr>
        <w:t>j</w:t>
      </w:r>
      <w:r>
        <w:rPr>
          <w:rFonts w:ascii="Bookman Old Style" w:hAnsi="Bookman Old Style"/>
          <w:szCs w:val="20"/>
          <w:lang w:val="es-CO"/>
        </w:rPr>
        <w:t xml:space="preserve"> vendedores es menor o igual a cuarenta por ciento (40%).</w:t>
      </w:r>
    </w:p>
    <w:p w14:paraId="37CAF8F1" w14:textId="46985015" w:rsidR="006C2A67" w:rsidRPr="003410C8" w:rsidRDefault="006C2A67" w:rsidP="00CA4180">
      <w:pPr>
        <w:pStyle w:val="Prrafodelista"/>
        <w:tabs>
          <w:tab w:val="left" w:pos="0"/>
          <w:tab w:val="left" w:pos="284"/>
        </w:tabs>
        <w:ind w:left="0"/>
        <w:jc w:val="both"/>
        <w:rPr>
          <w:rFonts w:ascii="Bookman Old Style" w:hAnsi="Bookman Old Style"/>
        </w:rPr>
      </w:pPr>
    </w:p>
    <w:p w14:paraId="77C46353" w14:textId="29D6530A" w:rsidR="007E6697" w:rsidRPr="00A65FAE" w:rsidRDefault="006C2A67" w:rsidP="007E6697">
      <w:pPr>
        <w:pStyle w:val="Prrafodelista"/>
        <w:numPr>
          <w:ilvl w:val="0"/>
          <w:numId w:val="33"/>
        </w:numPr>
        <w:tabs>
          <w:tab w:val="left" w:pos="0"/>
          <w:tab w:val="left" w:pos="284"/>
        </w:tabs>
        <w:ind w:left="0" w:firstLine="0"/>
        <w:jc w:val="both"/>
        <w:rPr>
          <w:rFonts w:ascii="Bookman Old Style" w:hAnsi="Bookman Old Style"/>
        </w:rPr>
      </w:pPr>
      <w:r w:rsidRPr="003410C8">
        <w:rPr>
          <w:rFonts w:ascii="Bookman Old Style" w:hAnsi="Bookman Old Style"/>
          <w:b/>
          <w:sz w:val="24"/>
          <w:szCs w:val="24"/>
        </w:rPr>
        <w:t xml:space="preserve"> </w:t>
      </w:r>
      <w:r w:rsidR="007E6697" w:rsidRPr="003410C8">
        <w:rPr>
          <w:rFonts w:ascii="Bookman Old Style" w:hAnsi="Bookman Old Style"/>
          <w:b/>
          <w:sz w:val="24"/>
          <w:szCs w:val="24"/>
        </w:rPr>
        <w:t xml:space="preserve">Requerimientos de información para </w:t>
      </w:r>
      <w:r w:rsidR="007E6697">
        <w:rPr>
          <w:rFonts w:ascii="Bookman Old Style" w:hAnsi="Bookman Old Style"/>
          <w:b/>
          <w:sz w:val="24"/>
          <w:szCs w:val="24"/>
        </w:rPr>
        <w:t>el cálculo del indicador de competencia</w:t>
      </w:r>
      <w:r w:rsidR="007E6697" w:rsidRPr="003410C8">
        <w:rPr>
          <w:rFonts w:ascii="Bookman Old Style" w:hAnsi="Bookman Old Style"/>
          <w:b/>
          <w:sz w:val="24"/>
          <w:szCs w:val="24"/>
        </w:rPr>
        <w:t xml:space="preserve"> del mecanismo para la contratación de largo plazo. </w:t>
      </w:r>
      <w:r w:rsidR="007E6697">
        <w:rPr>
          <w:rFonts w:ascii="Bookman Old Style" w:hAnsi="Bookman Old Style"/>
          <w:sz w:val="24"/>
          <w:szCs w:val="24"/>
        </w:rPr>
        <w:t>Quienes estén interesados en participar en la subasta como</w:t>
      </w:r>
      <w:r w:rsidR="007E6697" w:rsidRPr="003410C8">
        <w:rPr>
          <w:rFonts w:ascii="Bookman Old Style" w:hAnsi="Bookman Old Style"/>
          <w:sz w:val="24"/>
          <w:szCs w:val="24"/>
        </w:rPr>
        <w:t xml:space="preserve"> vendedores deberán entregar a</w:t>
      </w:r>
      <w:r w:rsidR="007E6697">
        <w:rPr>
          <w:rFonts w:ascii="Bookman Old Style" w:hAnsi="Bookman Old Style"/>
          <w:sz w:val="24"/>
          <w:szCs w:val="24"/>
        </w:rPr>
        <w:t>l subastador</w:t>
      </w:r>
      <w:r w:rsidR="007E6697" w:rsidRPr="003410C8">
        <w:rPr>
          <w:rFonts w:ascii="Bookman Old Style" w:hAnsi="Bookman Old Style"/>
          <w:sz w:val="24"/>
          <w:szCs w:val="24"/>
        </w:rPr>
        <w:t xml:space="preserve">, en su calidad de administrador de la subasta, una declaración juramentada suscrita por el representante legal con información exacta, veraz, </w:t>
      </w:r>
      <w:r w:rsidR="007E6697" w:rsidRPr="003410C8">
        <w:rPr>
          <w:rFonts w:ascii="Bookman Old Style" w:hAnsi="Bookman Old Style"/>
          <w:sz w:val="24"/>
          <w:szCs w:val="24"/>
        </w:rPr>
        <w:lastRenderedPageBreak/>
        <w:t>oportuna y verificable sobre los vínculos económicos existentes con otros vendedores</w:t>
      </w:r>
      <w:r w:rsidR="007E6697">
        <w:rPr>
          <w:rFonts w:ascii="Bookman Old Style" w:hAnsi="Bookman Old Style"/>
          <w:sz w:val="24"/>
          <w:szCs w:val="24"/>
        </w:rPr>
        <w:t xml:space="preserve"> </w:t>
      </w:r>
      <w:r w:rsidR="007E6697" w:rsidRPr="003410C8">
        <w:rPr>
          <w:rFonts w:ascii="Bookman Old Style" w:hAnsi="Bookman Old Style"/>
          <w:sz w:val="24"/>
          <w:szCs w:val="24"/>
        </w:rPr>
        <w:t xml:space="preserve">que pudiesen participar en la subasta, así como las relaciones de control en las que se encuentran, con el fin de contar con los insumos que permitan medir adecuadamente </w:t>
      </w:r>
      <w:r w:rsidR="007E6697">
        <w:rPr>
          <w:rFonts w:ascii="Bookman Old Style" w:hAnsi="Bookman Old Style"/>
          <w:sz w:val="24"/>
          <w:szCs w:val="24"/>
        </w:rPr>
        <w:t>el indicador de competencia.</w:t>
      </w:r>
    </w:p>
    <w:p w14:paraId="442369AD" w14:textId="77777777" w:rsidR="007E6697" w:rsidRDefault="007E6697" w:rsidP="007E6697">
      <w:pPr>
        <w:pStyle w:val="Prrafodelista"/>
        <w:tabs>
          <w:tab w:val="left" w:pos="0"/>
          <w:tab w:val="left" w:pos="284"/>
        </w:tabs>
        <w:ind w:left="0"/>
        <w:jc w:val="both"/>
        <w:rPr>
          <w:rFonts w:ascii="Bookman Old Style" w:hAnsi="Bookman Old Style"/>
          <w:b/>
          <w:sz w:val="24"/>
          <w:szCs w:val="24"/>
        </w:rPr>
      </w:pPr>
    </w:p>
    <w:p w14:paraId="1D99FBE0" w14:textId="77777777" w:rsidR="007E6697" w:rsidRPr="00A65FAE" w:rsidRDefault="007E6697" w:rsidP="007E6697">
      <w:pPr>
        <w:pStyle w:val="Prrafodelista"/>
        <w:tabs>
          <w:tab w:val="left" w:pos="0"/>
          <w:tab w:val="left" w:pos="284"/>
        </w:tabs>
        <w:ind w:left="0"/>
        <w:jc w:val="both"/>
        <w:rPr>
          <w:rFonts w:ascii="Bookman Old Style" w:hAnsi="Bookman Old Style"/>
        </w:rPr>
      </w:pPr>
      <w:r w:rsidRPr="00A65FAE">
        <w:rPr>
          <w:rFonts w:ascii="Bookman Old Style" w:hAnsi="Bookman Old Style"/>
          <w:sz w:val="24"/>
          <w:szCs w:val="24"/>
        </w:rPr>
        <w:t>Se entiende situación de control de acuerdo con lo dispuesto en el numeral 4 del artículo 45 del Decreto 2153 de 1992.</w:t>
      </w:r>
      <w:r>
        <w:rPr>
          <w:rFonts w:ascii="Bookman Old Style" w:hAnsi="Bookman Old Style"/>
          <w:sz w:val="24"/>
          <w:szCs w:val="24"/>
        </w:rPr>
        <w:t xml:space="preserve"> Es la posibilidad de influenciar directa o indirectamente la política empresarial, la iniciación o terminación de la actividad de la empresa o la disposición de los bienes o </w:t>
      </w:r>
      <w:r w:rsidRPr="00E93887">
        <w:rPr>
          <w:rFonts w:ascii="Bookman Old Style" w:hAnsi="Bookman Old Style"/>
          <w:sz w:val="24"/>
          <w:szCs w:val="24"/>
        </w:rPr>
        <w:t>derechos esenciales para el desarrollo de la misma. Así mismo, hay situación de control entre la matriz y sus subordinadas (filiales y subsidiarias) en los términos seña</w:t>
      </w:r>
      <w:r>
        <w:rPr>
          <w:rFonts w:ascii="Bookman Old Style" w:hAnsi="Bookman Old Style"/>
          <w:sz w:val="24"/>
          <w:szCs w:val="24"/>
        </w:rPr>
        <w:t>lados en los artículos 260 y 261 del Código de Comercio, así como aquellos que lo modifiquen.</w:t>
      </w:r>
    </w:p>
    <w:p w14:paraId="376074AD" w14:textId="77777777" w:rsidR="007E6697" w:rsidRDefault="007E6697" w:rsidP="007E6697">
      <w:pPr>
        <w:pStyle w:val="Prrafodelista"/>
        <w:tabs>
          <w:tab w:val="left" w:pos="0"/>
          <w:tab w:val="left" w:pos="284"/>
        </w:tabs>
        <w:ind w:left="0"/>
        <w:jc w:val="both"/>
        <w:rPr>
          <w:rFonts w:ascii="Bookman Old Style" w:hAnsi="Bookman Old Style"/>
          <w:b/>
          <w:sz w:val="24"/>
          <w:szCs w:val="24"/>
        </w:rPr>
      </w:pPr>
    </w:p>
    <w:p w14:paraId="0A68E273" w14:textId="4CFE401D" w:rsidR="007E6697" w:rsidRPr="00785738" w:rsidRDefault="007E6697" w:rsidP="007E6697">
      <w:pPr>
        <w:pStyle w:val="Prrafodelista"/>
        <w:tabs>
          <w:tab w:val="left" w:pos="0"/>
          <w:tab w:val="left" w:pos="284"/>
        </w:tabs>
        <w:ind w:left="0"/>
        <w:jc w:val="both"/>
        <w:rPr>
          <w:rFonts w:ascii="Bookman Old Style" w:hAnsi="Bookman Old Style"/>
        </w:rPr>
      </w:pPr>
      <w:r w:rsidRPr="005C6A11">
        <w:rPr>
          <w:rFonts w:ascii="Bookman Old Style" w:hAnsi="Bookman Old Style"/>
          <w:sz w:val="24"/>
          <w:szCs w:val="24"/>
        </w:rPr>
        <w:t xml:space="preserve">Esta declaración deberá ser remitida </w:t>
      </w:r>
      <w:r>
        <w:rPr>
          <w:rFonts w:ascii="Bookman Old Style" w:hAnsi="Bookman Old Style"/>
          <w:sz w:val="24"/>
          <w:szCs w:val="24"/>
        </w:rPr>
        <w:t>al subastador</w:t>
      </w:r>
      <w:r w:rsidRPr="005C6A11">
        <w:rPr>
          <w:rFonts w:ascii="Bookman Old Style" w:hAnsi="Bookman Old Style"/>
          <w:sz w:val="24"/>
          <w:szCs w:val="24"/>
        </w:rPr>
        <w:t xml:space="preserve"> en el término </w:t>
      </w:r>
      <w:r>
        <w:rPr>
          <w:rFonts w:ascii="Bookman Old Style" w:hAnsi="Bookman Old Style"/>
          <w:sz w:val="24"/>
          <w:szCs w:val="24"/>
        </w:rPr>
        <w:t xml:space="preserve">y condiciones definidas en los pliegos de términos y condiciones específicas de la subasta. </w:t>
      </w:r>
    </w:p>
    <w:p w14:paraId="74C401D5" w14:textId="77777777" w:rsidR="007E6697" w:rsidRPr="006C2A67" w:rsidRDefault="007E6697" w:rsidP="007E6697">
      <w:pPr>
        <w:pStyle w:val="Prrafodelista"/>
        <w:tabs>
          <w:tab w:val="left" w:pos="0"/>
          <w:tab w:val="left" w:pos="284"/>
        </w:tabs>
        <w:ind w:left="0"/>
        <w:jc w:val="both"/>
        <w:rPr>
          <w:rFonts w:ascii="Bookman Old Style" w:hAnsi="Bookman Old Style"/>
          <w:sz w:val="24"/>
          <w:szCs w:val="24"/>
        </w:rPr>
      </w:pPr>
    </w:p>
    <w:p w14:paraId="1E874117" w14:textId="495E717F" w:rsidR="007E6697" w:rsidRDefault="007E6697" w:rsidP="007E6697">
      <w:pPr>
        <w:pStyle w:val="Prrafodelista"/>
        <w:numPr>
          <w:ilvl w:val="0"/>
          <w:numId w:val="33"/>
        </w:numPr>
        <w:tabs>
          <w:tab w:val="left" w:pos="0"/>
          <w:tab w:val="left" w:pos="284"/>
        </w:tabs>
        <w:ind w:left="0" w:firstLine="0"/>
        <w:jc w:val="both"/>
        <w:rPr>
          <w:rFonts w:ascii="Bookman Old Style" w:hAnsi="Bookman Old Style"/>
          <w:sz w:val="24"/>
          <w:szCs w:val="24"/>
        </w:rPr>
      </w:pPr>
      <w:r w:rsidRPr="00347E90">
        <w:rPr>
          <w:rFonts w:ascii="Bookman Old Style" w:hAnsi="Bookman Old Style"/>
          <w:b/>
          <w:sz w:val="24"/>
          <w:szCs w:val="24"/>
        </w:rPr>
        <w:t>Evaluación de</w:t>
      </w:r>
      <w:r>
        <w:rPr>
          <w:rFonts w:ascii="Bookman Old Style" w:hAnsi="Bookman Old Style"/>
          <w:b/>
          <w:sz w:val="24"/>
          <w:szCs w:val="24"/>
        </w:rPr>
        <w:t>l cumplimiento del indicador de competencia</w:t>
      </w:r>
      <w:r w:rsidRPr="00347E90">
        <w:rPr>
          <w:rFonts w:ascii="Bookman Old Style" w:hAnsi="Bookman Old Style"/>
          <w:b/>
          <w:sz w:val="24"/>
          <w:szCs w:val="24"/>
        </w:rPr>
        <w:t>.</w:t>
      </w:r>
      <w:r>
        <w:rPr>
          <w:rFonts w:ascii="Bookman Old Style" w:hAnsi="Bookman Old Style"/>
          <w:b/>
          <w:sz w:val="24"/>
          <w:szCs w:val="24"/>
        </w:rPr>
        <w:t xml:space="preserve"> </w:t>
      </w:r>
      <w:r>
        <w:rPr>
          <w:rFonts w:ascii="Bookman Old Style" w:hAnsi="Bookman Old Style"/>
          <w:sz w:val="24"/>
          <w:szCs w:val="24"/>
        </w:rPr>
        <w:t>El auditor independiente, del que trata el Anexo de la Resolución 4</w:t>
      </w:r>
      <w:r w:rsidR="008A01E1">
        <w:rPr>
          <w:rFonts w:ascii="Bookman Old Style" w:hAnsi="Bookman Old Style"/>
          <w:sz w:val="24"/>
          <w:szCs w:val="24"/>
        </w:rPr>
        <w:t xml:space="preserve"> </w:t>
      </w:r>
      <w:r>
        <w:rPr>
          <w:rFonts w:ascii="Bookman Old Style" w:hAnsi="Bookman Old Style"/>
          <w:sz w:val="24"/>
          <w:szCs w:val="24"/>
        </w:rPr>
        <w:t>0590 de 2019 del Ministerio de Minas y Energía</w:t>
      </w:r>
      <w:r w:rsidR="00CC091A">
        <w:rPr>
          <w:rFonts w:ascii="Bookman Old Style" w:hAnsi="Bookman Old Style"/>
          <w:sz w:val="24"/>
          <w:szCs w:val="24"/>
        </w:rPr>
        <w:t>,</w:t>
      </w:r>
      <w:r>
        <w:rPr>
          <w:rFonts w:ascii="Bookman Old Style" w:hAnsi="Bookman Old Style"/>
          <w:sz w:val="24"/>
          <w:szCs w:val="24"/>
        </w:rPr>
        <w:t xml:space="preserve"> deberá evaluar el indicador de competencia establecido en esta resolución.</w:t>
      </w:r>
    </w:p>
    <w:p w14:paraId="45D8DACF" w14:textId="77777777" w:rsidR="007E6697" w:rsidRDefault="007E6697" w:rsidP="007E6697">
      <w:pPr>
        <w:tabs>
          <w:tab w:val="left" w:pos="0"/>
          <w:tab w:val="left" w:pos="284"/>
        </w:tabs>
        <w:ind w:left="0"/>
        <w:jc w:val="both"/>
        <w:rPr>
          <w:rFonts w:ascii="Bookman Old Style" w:hAnsi="Bookman Old Style"/>
        </w:rPr>
      </w:pPr>
    </w:p>
    <w:p w14:paraId="2B4F0DAB" w14:textId="263DB547" w:rsidR="007E6697" w:rsidRPr="003410C8" w:rsidRDefault="007E6697" w:rsidP="007E6697">
      <w:pPr>
        <w:tabs>
          <w:tab w:val="left" w:pos="0"/>
          <w:tab w:val="left" w:pos="284"/>
        </w:tabs>
        <w:ind w:left="0"/>
        <w:jc w:val="both"/>
        <w:rPr>
          <w:rFonts w:ascii="Bookman Old Style" w:hAnsi="Bookman Old Style"/>
        </w:rPr>
      </w:pPr>
      <w:r w:rsidRPr="007C0C8B">
        <w:rPr>
          <w:rFonts w:ascii="Bookman Old Style" w:hAnsi="Bookman Old Style"/>
        </w:rPr>
        <w:t>El informe al que hace referencia</w:t>
      </w:r>
      <w:r>
        <w:rPr>
          <w:rFonts w:ascii="Bookman Old Style" w:hAnsi="Bookman Old Style"/>
        </w:rPr>
        <w:t xml:space="preserve"> el</w:t>
      </w:r>
      <w:r w:rsidRPr="007C0C8B">
        <w:rPr>
          <w:rFonts w:ascii="Bookman Old Style" w:hAnsi="Bookman Old Style"/>
        </w:rPr>
        <w:t xml:space="preserve"> </w:t>
      </w:r>
      <w:r>
        <w:rPr>
          <w:rFonts w:ascii="Bookman Old Style" w:hAnsi="Bookman Old Style"/>
        </w:rPr>
        <w:t xml:space="preserve">literal </w:t>
      </w:r>
      <w:r w:rsidR="000E3CED">
        <w:rPr>
          <w:rFonts w:ascii="Bookman Old Style" w:hAnsi="Bookman Old Style"/>
        </w:rPr>
        <w:t>f</w:t>
      </w:r>
      <w:r>
        <w:rPr>
          <w:rFonts w:ascii="Bookman Old Style" w:hAnsi="Bookman Old Style"/>
        </w:rPr>
        <w:t xml:space="preserve">, </w:t>
      </w:r>
      <w:r w:rsidRPr="007C0C8B">
        <w:rPr>
          <w:rFonts w:ascii="Bookman Old Style" w:hAnsi="Bookman Old Style"/>
        </w:rPr>
        <w:t xml:space="preserve">numeral 2 </w:t>
      </w:r>
      <w:r>
        <w:rPr>
          <w:rFonts w:ascii="Bookman Old Style" w:hAnsi="Bookman Old Style"/>
        </w:rPr>
        <w:t xml:space="preserve">del </w:t>
      </w:r>
      <w:r w:rsidRPr="007C0C8B">
        <w:rPr>
          <w:rFonts w:ascii="Bookman Old Style" w:hAnsi="Bookman Old Style"/>
        </w:rPr>
        <w:t xml:space="preserve">Anexo de la Resolución </w:t>
      </w:r>
      <w:r>
        <w:rPr>
          <w:rFonts w:ascii="Bookman Old Style" w:hAnsi="Bookman Old Style"/>
        </w:rPr>
        <w:t>4</w:t>
      </w:r>
      <w:r w:rsidR="000C4C35">
        <w:rPr>
          <w:rFonts w:ascii="Bookman Old Style" w:hAnsi="Bookman Old Style"/>
        </w:rPr>
        <w:t xml:space="preserve"> </w:t>
      </w:r>
      <w:r>
        <w:rPr>
          <w:rFonts w:ascii="Bookman Old Style" w:hAnsi="Bookman Old Style"/>
        </w:rPr>
        <w:t>0590</w:t>
      </w:r>
      <w:r w:rsidRPr="007C0C8B">
        <w:rPr>
          <w:rFonts w:ascii="Bookman Old Style" w:hAnsi="Bookman Old Style"/>
        </w:rPr>
        <w:t xml:space="preserve"> de 2019</w:t>
      </w:r>
      <w:r w:rsidRPr="003410C8">
        <w:rPr>
          <w:rFonts w:ascii="Bookman Old Style" w:hAnsi="Bookman Old Style"/>
        </w:rPr>
        <w:t xml:space="preserve"> del Ministerio de Minas y Energía</w:t>
      </w:r>
      <w:r w:rsidR="00CC091A">
        <w:rPr>
          <w:rFonts w:ascii="Bookman Old Style" w:hAnsi="Bookman Old Style"/>
        </w:rPr>
        <w:t>,</w:t>
      </w:r>
      <w:r>
        <w:rPr>
          <w:rFonts w:ascii="Bookman Old Style" w:hAnsi="Bookman Old Style"/>
        </w:rPr>
        <w:t xml:space="preserve"> </w:t>
      </w:r>
      <w:r w:rsidRPr="003410C8">
        <w:rPr>
          <w:rFonts w:ascii="Bookman Old Style" w:hAnsi="Bookman Old Style"/>
        </w:rPr>
        <w:t>deberá contener lo siguiente:</w:t>
      </w:r>
    </w:p>
    <w:p w14:paraId="12CC2421" w14:textId="77777777" w:rsidR="007E6697" w:rsidRPr="003410C8" w:rsidRDefault="007E6697" w:rsidP="007E6697">
      <w:pPr>
        <w:tabs>
          <w:tab w:val="left" w:pos="0"/>
          <w:tab w:val="left" w:pos="284"/>
        </w:tabs>
        <w:ind w:left="0"/>
        <w:jc w:val="both"/>
        <w:rPr>
          <w:rFonts w:ascii="Bookman Old Style" w:hAnsi="Bookman Old Style"/>
        </w:rPr>
      </w:pPr>
    </w:p>
    <w:p w14:paraId="3C92B2A5" w14:textId="77777777" w:rsidR="007E6697" w:rsidRPr="006C2A67" w:rsidRDefault="007E6697" w:rsidP="007E6697">
      <w:pPr>
        <w:pStyle w:val="Prrafodelista"/>
        <w:numPr>
          <w:ilvl w:val="0"/>
          <w:numId w:val="43"/>
        </w:numPr>
        <w:tabs>
          <w:tab w:val="left" w:pos="0"/>
          <w:tab w:val="left" w:pos="284"/>
        </w:tabs>
        <w:jc w:val="both"/>
        <w:rPr>
          <w:rFonts w:ascii="Bookman Old Style" w:hAnsi="Bookman Old Style"/>
          <w:b/>
          <w:sz w:val="24"/>
          <w:szCs w:val="24"/>
        </w:rPr>
      </w:pPr>
      <w:r>
        <w:rPr>
          <w:rFonts w:ascii="Bookman Old Style" w:hAnsi="Bookman Old Style"/>
          <w:sz w:val="24"/>
          <w:szCs w:val="24"/>
        </w:rPr>
        <w:t xml:space="preserve">Resultado del cálculo de la participación de </w:t>
      </w:r>
      <w:r w:rsidRPr="00E93887">
        <w:rPr>
          <w:rFonts w:ascii="Bookman Old Style" w:hAnsi="Bookman Old Style"/>
          <w:sz w:val="24"/>
          <w:szCs w:val="24"/>
        </w:rPr>
        <w:t xml:space="preserve">la energía </w:t>
      </w:r>
      <w:r w:rsidRPr="00FD40CE">
        <w:rPr>
          <w:rFonts w:ascii="Bookman Old Style" w:hAnsi="Bookman Old Style"/>
          <w:sz w:val="24"/>
          <w:szCs w:val="24"/>
        </w:rPr>
        <w:t>máxima</w:t>
      </w:r>
      <w:r w:rsidRPr="00E93887">
        <w:rPr>
          <w:rFonts w:ascii="Bookman Old Style" w:hAnsi="Bookman Old Style"/>
          <w:sz w:val="24"/>
          <w:szCs w:val="24"/>
        </w:rPr>
        <w:t xml:space="preserve"> diaria</w:t>
      </w:r>
      <w:r>
        <w:rPr>
          <w:rFonts w:ascii="Bookman Old Style" w:hAnsi="Bookman Old Style"/>
          <w:sz w:val="24"/>
          <w:szCs w:val="24"/>
        </w:rPr>
        <w:t xml:space="preserve"> garantizada de cada uno de los vendedores identificados de acuerdo con lo establecido en el artículo 2 de la presente resolución</w:t>
      </w:r>
      <w:r w:rsidRPr="006C2A67">
        <w:rPr>
          <w:rFonts w:ascii="Bookman Old Style" w:hAnsi="Bookman Old Style"/>
          <w:sz w:val="24"/>
          <w:szCs w:val="24"/>
        </w:rPr>
        <w:t>.</w:t>
      </w:r>
    </w:p>
    <w:p w14:paraId="62DC47AB" w14:textId="77777777" w:rsidR="007E6697" w:rsidRPr="006C2A67" w:rsidRDefault="007E6697" w:rsidP="007E6697">
      <w:pPr>
        <w:pStyle w:val="Prrafodelista"/>
        <w:numPr>
          <w:ilvl w:val="0"/>
          <w:numId w:val="43"/>
        </w:numPr>
        <w:tabs>
          <w:tab w:val="left" w:pos="0"/>
          <w:tab w:val="left" w:pos="284"/>
        </w:tabs>
        <w:jc w:val="both"/>
        <w:rPr>
          <w:rFonts w:ascii="Bookman Old Style" w:hAnsi="Bookman Old Style"/>
          <w:b/>
          <w:sz w:val="24"/>
          <w:szCs w:val="24"/>
        </w:rPr>
      </w:pPr>
      <w:r>
        <w:rPr>
          <w:rFonts w:ascii="Bookman Old Style" w:hAnsi="Bookman Old Style"/>
          <w:sz w:val="24"/>
          <w:szCs w:val="24"/>
        </w:rPr>
        <w:t>Determinar si la participación de la energía máxima diaria garantizada de cada uno de los vendedores identificados fue menor o igual al cuarenta por ciento (40%).</w:t>
      </w:r>
    </w:p>
    <w:p w14:paraId="37B66242" w14:textId="77777777" w:rsidR="007E6697" w:rsidRPr="00AD1538" w:rsidRDefault="007E6697" w:rsidP="007E6697">
      <w:pPr>
        <w:tabs>
          <w:tab w:val="left" w:pos="0"/>
          <w:tab w:val="left" w:pos="284"/>
        </w:tabs>
        <w:ind w:left="360"/>
        <w:jc w:val="both"/>
        <w:rPr>
          <w:rFonts w:ascii="Bookman Old Style" w:hAnsi="Bookman Old Style"/>
          <w:b/>
        </w:rPr>
      </w:pPr>
    </w:p>
    <w:p w14:paraId="6AE45078" w14:textId="604B5307" w:rsidR="007E6697" w:rsidRPr="003410C8" w:rsidRDefault="007E6697" w:rsidP="007E6697">
      <w:pPr>
        <w:tabs>
          <w:tab w:val="left" w:pos="0"/>
          <w:tab w:val="left" w:pos="284"/>
        </w:tabs>
        <w:ind w:left="0"/>
        <w:jc w:val="both"/>
        <w:rPr>
          <w:rFonts w:ascii="Bookman Old Style" w:hAnsi="Bookman Old Style"/>
          <w:b/>
        </w:rPr>
      </w:pPr>
      <w:r w:rsidRPr="003410C8">
        <w:rPr>
          <w:rFonts w:ascii="Bookman Old Style" w:hAnsi="Bookman Old Style"/>
        </w:rPr>
        <w:t xml:space="preserve">El auditor deberá remitir una copia del informe </w:t>
      </w:r>
      <w:r>
        <w:rPr>
          <w:rFonts w:ascii="Bookman Old Style" w:hAnsi="Bookman Old Style"/>
        </w:rPr>
        <w:t xml:space="preserve">con los resultados explícitos de los numerales 1 y 2 del presente artículo </w:t>
      </w:r>
      <w:r w:rsidRPr="003410C8">
        <w:rPr>
          <w:rFonts w:ascii="Bookman Old Style" w:hAnsi="Bookman Old Style"/>
        </w:rPr>
        <w:t>a la Superintendencia de Se</w:t>
      </w:r>
      <w:r>
        <w:rPr>
          <w:rFonts w:ascii="Bookman Old Style" w:hAnsi="Bookman Old Style"/>
        </w:rPr>
        <w:t xml:space="preserve">rvicios Públicos Domiciliarios, </w:t>
      </w:r>
      <w:r w:rsidRPr="003410C8">
        <w:rPr>
          <w:rFonts w:ascii="Bookman Old Style" w:hAnsi="Bookman Old Style"/>
        </w:rPr>
        <w:t>SSPD</w:t>
      </w:r>
      <w:r>
        <w:rPr>
          <w:rFonts w:ascii="Bookman Old Style" w:hAnsi="Bookman Old Style"/>
        </w:rPr>
        <w:t>,</w:t>
      </w:r>
      <w:r w:rsidRPr="003410C8">
        <w:rPr>
          <w:rFonts w:ascii="Bookman Old Style" w:hAnsi="Bookman Old Style"/>
        </w:rPr>
        <w:t xml:space="preserve"> y a la CREG</w:t>
      </w:r>
      <w:r w:rsidR="00CC091A">
        <w:rPr>
          <w:rFonts w:ascii="Bookman Old Style" w:hAnsi="Bookman Old Style"/>
        </w:rPr>
        <w:t>,</w:t>
      </w:r>
      <w:r w:rsidRPr="003410C8">
        <w:rPr>
          <w:rFonts w:ascii="Bookman Old Style" w:hAnsi="Bookman Old Style"/>
        </w:rPr>
        <w:t xml:space="preserve"> a más tardar </w:t>
      </w:r>
      <w:r w:rsidR="00CC091A">
        <w:rPr>
          <w:rFonts w:ascii="Bookman Old Style" w:hAnsi="Bookman Old Style"/>
        </w:rPr>
        <w:t xml:space="preserve">dentro de los </w:t>
      </w:r>
      <w:r w:rsidRPr="003410C8">
        <w:rPr>
          <w:rFonts w:ascii="Bookman Old Style" w:hAnsi="Bookman Old Style"/>
        </w:rPr>
        <w:t xml:space="preserve">cinco (5) días </w:t>
      </w:r>
      <w:r w:rsidRPr="006C2A67">
        <w:rPr>
          <w:rFonts w:ascii="Bookman Old Style" w:hAnsi="Bookman Old Style"/>
        </w:rPr>
        <w:t>hábiles</w:t>
      </w:r>
      <w:r w:rsidR="00CC091A">
        <w:rPr>
          <w:rFonts w:ascii="Bookman Old Style" w:hAnsi="Bookman Old Style"/>
        </w:rPr>
        <w:t xml:space="preserve"> siguientes</w:t>
      </w:r>
      <w:r>
        <w:rPr>
          <w:rFonts w:ascii="Bookman Old Style" w:hAnsi="Bookman Old Style"/>
        </w:rPr>
        <w:t>,</w:t>
      </w:r>
      <w:r w:rsidRPr="006C2A67">
        <w:rPr>
          <w:rFonts w:ascii="Bookman Old Style" w:hAnsi="Bookman Old Style"/>
        </w:rPr>
        <w:t xml:space="preserve"> </w:t>
      </w:r>
      <w:r w:rsidR="00CC091A">
        <w:rPr>
          <w:rFonts w:ascii="Bookman Old Style" w:hAnsi="Bookman Old Style"/>
        </w:rPr>
        <w:t xml:space="preserve">contados </w:t>
      </w:r>
      <w:r>
        <w:rPr>
          <w:rFonts w:ascii="Bookman Old Style" w:hAnsi="Bookman Old Style"/>
        </w:rPr>
        <w:t>a partir de la</w:t>
      </w:r>
      <w:r w:rsidRPr="006C2A67">
        <w:rPr>
          <w:rFonts w:ascii="Bookman Old Style" w:hAnsi="Bookman Old Style"/>
        </w:rPr>
        <w:t xml:space="preserve"> </w:t>
      </w:r>
      <w:r>
        <w:rPr>
          <w:rFonts w:ascii="Bookman Old Style" w:hAnsi="Bookman Old Style"/>
        </w:rPr>
        <w:t xml:space="preserve">fecha definida por </w:t>
      </w:r>
      <w:r w:rsidR="009432A0">
        <w:rPr>
          <w:rFonts w:ascii="Bookman Old Style" w:hAnsi="Bookman Old Style"/>
        </w:rPr>
        <w:t>el subastador</w:t>
      </w:r>
      <w:r>
        <w:rPr>
          <w:rFonts w:ascii="Bookman Old Style" w:hAnsi="Bookman Old Style"/>
        </w:rPr>
        <w:t xml:space="preserve"> para la validación de los indicadores de competencia establecida en los pliegos de términos y condiciones específicas.</w:t>
      </w:r>
    </w:p>
    <w:p w14:paraId="53F00B45" w14:textId="77777777" w:rsidR="007E6697" w:rsidRPr="007C0C8B" w:rsidRDefault="007E6697" w:rsidP="007E6697">
      <w:pPr>
        <w:pStyle w:val="Prrafodelista"/>
        <w:tabs>
          <w:tab w:val="left" w:pos="0"/>
          <w:tab w:val="left" w:pos="284"/>
        </w:tabs>
        <w:ind w:left="0"/>
        <w:jc w:val="both"/>
        <w:rPr>
          <w:rFonts w:ascii="Bookman Old Style" w:hAnsi="Bookman Old Style"/>
          <w:sz w:val="24"/>
        </w:rPr>
      </w:pPr>
    </w:p>
    <w:p w14:paraId="3AED43B0" w14:textId="6C625EB6" w:rsidR="007E6697" w:rsidRPr="00DA0451" w:rsidRDefault="007E6697" w:rsidP="007E6697">
      <w:pPr>
        <w:pStyle w:val="Prrafodelista"/>
        <w:numPr>
          <w:ilvl w:val="0"/>
          <w:numId w:val="33"/>
        </w:numPr>
        <w:tabs>
          <w:tab w:val="left" w:pos="0"/>
          <w:tab w:val="left" w:pos="284"/>
        </w:tabs>
        <w:ind w:left="0" w:firstLine="0"/>
        <w:jc w:val="both"/>
        <w:rPr>
          <w:rFonts w:ascii="Bookman Old Style" w:hAnsi="Bookman Old Style"/>
          <w:b/>
          <w:sz w:val="24"/>
          <w:szCs w:val="24"/>
        </w:rPr>
      </w:pPr>
      <w:r w:rsidRPr="00CB1407">
        <w:rPr>
          <w:rFonts w:ascii="Bookman Old Style" w:hAnsi="Bookman Old Style"/>
          <w:b/>
          <w:sz w:val="24"/>
          <w:szCs w:val="24"/>
        </w:rPr>
        <w:t>Vigencia.</w:t>
      </w:r>
      <w:r w:rsidRPr="00CB1407">
        <w:rPr>
          <w:rFonts w:ascii="Bookman Old Style" w:hAnsi="Bookman Old Style"/>
          <w:sz w:val="24"/>
          <w:szCs w:val="24"/>
        </w:rPr>
        <w:t xml:space="preserve"> </w:t>
      </w:r>
      <w:r w:rsidRPr="009C612F">
        <w:rPr>
          <w:rFonts w:ascii="Bookman Old Style" w:hAnsi="Bookman Old Style"/>
          <w:sz w:val="24"/>
          <w:szCs w:val="24"/>
        </w:rPr>
        <w:t xml:space="preserve">La presente resolución </w:t>
      </w:r>
      <w:r w:rsidRPr="00CB1407">
        <w:rPr>
          <w:rFonts w:ascii="Bookman Old Style" w:hAnsi="Bookman Old Style"/>
          <w:sz w:val="24"/>
          <w:szCs w:val="24"/>
        </w:rPr>
        <w:t>rige a partir de su publicación en el Diario</w:t>
      </w:r>
      <w:r w:rsidRPr="00CB1407">
        <w:rPr>
          <w:rFonts w:ascii="Bookman Old Style" w:hAnsi="Bookman Old Style"/>
          <w:i/>
          <w:sz w:val="24"/>
          <w:szCs w:val="24"/>
        </w:rPr>
        <w:t xml:space="preserve"> Oficial</w:t>
      </w:r>
      <w:r w:rsidR="00852F73">
        <w:rPr>
          <w:rFonts w:ascii="Bookman Old Style" w:hAnsi="Bookman Old Style"/>
          <w:iCs/>
          <w:sz w:val="24"/>
          <w:szCs w:val="24"/>
        </w:rPr>
        <w:t xml:space="preserve"> y deroga todas las disposiciones que le sean contrarias</w:t>
      </w:r>
      <w:r w:rsidRPr="00CB1407">
        <w:rPr>
          <w:rFonts w:ascii="Bookman Old Style" w:hAnsi="Bookman Old Style"/>
          <w:sz w:val="24"/>
          <w:szCs w:val="24"/>
        </w:rPr>
        <w:t>.</w:t>
      </w:r>
    </w:p>
    <w:p w14:paraId="10B8A1A4" w14:textId="77777777" w:rsidR="006C2A67" w:rsidRDefault="006C2A67" w:rsidP="00045D3D">
      <w:pPr>
        <w:jc w:val="center"/>
        <w:rPr>
          <w:rFonts w:ascii="Bookman Old Style" w:hAnsi="Bookman Old Style"/>
          <w:b/>
        </w:rPr>
      </w:pPr>
    </w:p>
    <w:p w14:paraId="161DD1FE" w14:textId="77777777" w:rsidR="00045D3D" w:rsidRPr="00C435C3" w:rsidRDefault="00045D3D" w:rsidP="00045D3D">
      <w:pPr>
        <w:jc w:val="center"/>
        <w:rPr>
          <w:rFonts w:ascii="Bookman Old Style" w:hAnsi="Bookman Old Style"/>
          <w:b/>
        </w:rPr>
      </w:pPr>
      <w:r w:rsidRPr="00C435C3">
        <w:rPr>
          <w:rFonts w:ascii="Bookman Old Style" w:hAnsi="Bookman Old Style"/>
          <w:b/>
        </w:rPr>
        <w:t>PU</w:t>
      </w:r>
      <w:r w:rsidR="00CA03C8">
        <w:rPr>
          <w:rFonts w:ascii="Bookman Old Style" w:hAnsi="Bookman Old Style"/>
          <w:b/>
        </w:rPr>
        <w:t>B</w:t>
      </w:r>
      <w:r w:rsidRPr="00C435C3">
        <w:rPr>
          <w:rFonts w:ascii="Bookman Old Style" w:hAnsi="Bookman Old Style"/>
          <w:b/>
        </w:rPr>
        <w:t>LÍQUESE Y CÚMPLASE</w:t>
      </w:r>
    </w:p>
    <w:p w14:paraId="28453841" w14:textId="3B3F19C9" w:rsidR="00FF07E5" w:rsidRPr="00397D94" w:rsidRDefault="00BC4568" w:rsidP="00045D3D">
      <w:pPr>
        <w:ind w:left="0"/>
        <w:rPr>
          <w:rFonts w:ascii="Bookman Old Style" w:hAnsi="Bookman Old Style"/>
          <w:b/>
          <w:bCs/>
        </w:rPr>
      </w:pPr>
      <w:r w:rsidRPr="00740EC0">
        <w:rPr>
          <w:rFonts w:ascii="Bookman Old Style" w:hAnsi="Bookman Old Style"/>
        </w:rPr>
        <w:t>Dada en Bogotá D.C</w:t>
      </w:r>
      <w:r w:rsidRPr="00397D94">
        <w:rPr>
          <w:rFonts w:ascii="Bookman Old Style" w:hAnsi="Bookman Old Style"/>
          <w:b/>
          <w:bCs/>
        </w:rPr>
        <w:t xml:space="preserve">., </w:t>
      </w:r>
      <w:r w:rsidR="00397D94" w:rsidRPr="00397D94">
        <w:rPr>
          <w:rFonts w:ascii="Bookman Old Style" w:hAnsi="Bookman Old Style"/>
          <w:b/>
          <w:bCs/>
        </w:rPr>
        <w:t>08 OCT. 2021</w:t>
      </w:r>
    </w:p>
    <w:p w14:paraId="201A48A9" w14:textId="77777777" w:rsidR="0024662D" w:rsidRPr="00740EC0" w:rsidRDefault="0024662D" w:rsidP="00045D3D">
      <w:pPr>
        <w:ind w:left="0"/>
        <w:rPr>
          <w:rFonts w:ascii="Bookman Old Style" w:hAnsi="Bookman Old Style"/>
        </w:rPr>
      </w:pPr>
    </w:p>
    <w:p w14:paraId="028BD7C7" w14:textId="44BD1D1E" w:rsidR="00FF07E5" w:rsidRDefault="00FF07E5" w:rsidP="00045D3D">
      <w:pPr>
        <w:ind w:left="0"/>
        <w:rPr>
          <w:rFonts w:ascii="Bookman Old Style" w:hAnsi="Bookman Old Style"/>
          <w:highlight w:val="yellow"/>
        </w:rPr>
      </w:pPr>
    </w:p>
    <w:p w14:paraId="2612DF1E" w14:textId="77777777" w:rsidR="00CC091A" w:rsidRPr="00D66008" w:rsidRDefault="00CC091A" w:rsidP="00045D3D">
      <w:pPr>
        <w:ind w:left="0"/>
        <w:rPr>
          <w:rFonts w:ascii="Bookman Old Style" w:hAnsi="Bookman Old Style"/>
          <w:highlight w:val="yellow"/>
        </w:rPr>
      </w:pPr>
    </w:p>
    <w:p w14:paraId="49E1AFAE" w14:textId="77777777" w:rsidR="00246929" w:rsidRPr="00D66008" w:rsidRDefault="00246929" w:rsidP="00246929">
      <w:pPr>
        <w:ind w:left="0"/>
        <w:rPr>
          <w:rFonts w:ascii="Bookman Old Style" w:hAnsi="Bookman Old Style"/>
          <w:highlight w:val="yellow"/>
        </w:rPr>
      </w:pPr>
    </w:p>
    <w:tbl>
      <w:tblPr>
        <w:tblW w:w="9635" w:type="dxa"/>
        <w:jc w:val="center"/>
        <w:tblCellSpacing w:w="0" w:type="dxa"/>
        <w:tblCellMar>
          <w:left w:w="0" w:type="dxa"/>
          <w:right w:w="0" w:type="dxa"/>
        </w:tblCellMar>
        <w:tblLook w:val="04A0" w:firstRow="1" w:lastRow="0" w:firstColumn="1" w:lastColumn="0" w:noHBand="0" w:noVBand="1"/>
      </w:tblPr>
      <w:tblGrid>
        <w:gridCol w:w="4963"/>
        <w:gridCol w:w="4672"/>
      </w:tblGrid>
      <w:tr w:rsidR="00D64F32" w:rsidRPr="00D66008" w14:paraId="55894671" w14:textId="77777777" w:rsidTr="00175A8B">
        <w:trPr>
          <w:trHeight w:val="279"/>
          <w:tblCellSpacing w:w="0" w:type="dxa"/>
          <w:jc w:val="center"/>
        </w:trPr>
        <w:tc>
          <w:tcPr>
            <w:tcW w:w="4963" w:type="dxa"/>
          </w:tcPr>
          <w:p w14:paraId="06085857" w14:textId="7C874B67" w:rsidR="00D64F32" w:rsidRPr="00D66008" w:rsidRDefault="00D66008" w:rsidP="00175A8B">
            <w:pPr>
              <w:jc w:val="center"/>
              <w:rPr>
                <w:rFonts w:ascii="Bookman Old Style" w:hAnsi="Bookman Old Style"/>
                <w:b/>
              </w:rPr>
            </w:pPr>
            <w:r w:rsidRPr="00D66008">
              <w:rPr>
                <w:rFonts w:ascii="Bookman Old Style" w:hAnsi="Bookman Old Style"/>
                <w:b/>
              </w:rPr>
              <w:t>DIEGO MESA PUYO</w:t>
            </w:r>
          </w:p>
        </w:tc>
        <w:tc>
          <w:tcPr>
            <w:tcW w:w="4672" w:type="dxa"/>
          </w:tcPr>
          <w:p w14:paraId="0931C618" w14:textId="6B872622" w:rsidR="00D64F32" w:rsidRPr="00D66008" w:rsidRDefault="00D66008" w:rsidP="00175A8B">
            <w:pPr>
              <w:ind w:left="0"/>
              <w:jc w:val="center"/>
              <w:rPr>
                <w:rFonts w:ascii="Bookman Old Style" w:hAnsi="Bookman Old Style"/>
                <w:b/>
              </w:rPr>
            </w:pPr>
            <w:r w:rsidRPr="00D66008">
              <w:rPr>
                <w:rFonts w:ascii="Bookman Old Style" w:hAnsi="Bookman Old Style"/>
                <w:b/>
              </w:rPr>
              <w:t>JORGE ALBERTO VALENCIA MARIN</w:t>
            </w:r>
          </w:p>
        </w:tc>
      </w:tr>
      <w:tr w:rsidR="00D64F32" w:rsidRPr="00D66008" w14:paraId="0076014E" w14:textId="77777777" w:rsidTr="00175A8B">
        <w:trPr>
          <w:trHeight w:val="279"/>
          <w:tblCellSpacing w:w="0" w:type="dxa"/>
          <w:jc w:val="center"/>
        </w:trPr>
        <w:tc>
          <w:tcPr>
            <w:tcW w:w="4963" w:type="dxa"/>
            <w:hideMark/>
          </w:tcPr>
          <w:p w14:paraId="0E602EB5" w14:textId="7C076CB4" w:rsidR="00D64F32" w:rsidRPr="00D66008" w:rsidRDefault="00D66008" w:rsidP="00175A8B">
            <w:pPr>
              <w:jc w:val="center"/>
              <w:rPr>
                <w:rFonts w:ascii="Bookman Old Style" w:hAnsi="Bookman Old Style"/>
              </w:rPr>
            </w:pPr>
            <w:r w:rsidRPr="00D66008">
              <w:rPr>
                <w:rFonts w:ascii="Bookman Old Style" w:hAnsi="Bookman Old Style"/>
              </w:rPr>
              <w:t xml:space="preserve">Ministro de Minas y </w:t>
            </w:r>
            <w:r w:rsidR="00D64F32" w:rsidRPr="00D66008">
              <w:rPr>
                <w:rFonts w:ascii="Bookman Old Style" w:hAnsi="Bookman Old Style"/>
              </w:rPr>
              <w:t>Energía</w:t>
            </w:r>
          </w:p>
        </w:tc>
        <w:tc>
          <w:tcPr>
            <w:tcW w:w="4672" w:type="dxa"/>
            <w:hideMark/>
          </w:tcPr>
          <w:p w14:paraId="1AEC90A6" w14:textId="671CAB5E" w:rsidR="00D64F32" w:rsidRPr="00D66008" w:rsidRDefault="00D64F32" w:rsidP="00175A8B">
            <w:pPr>
              <w:ind w:left="2" w:firstLine="565"/>
              <w:jc w:val="center"/>
              <w:rPr>
                <w:rFonts w:ascii="Bookman Old Style" w:hAnsi="Bookman Old Style"/>
              </w:rPr>
            </w:pPr>
            <w:r w:rsidRPr="00D66008">
              <w:rPr>
                <w:rFonts w:ascii="Bookman Old Style" w:hAnsi="Bookman Old Style"/>
              </w:rPr>
              <w:t>Director Ejecutiv</w:t>
            </w:r>
            <w:r w:rsidR="00D66008" w:rsidRPr="00D66008">
              <w:rPr>
                <w:rFonts w:ascii="Bookman Old Style" w:hAnsi="Bookman Old Style"/>
              </w:rPr>
              <w:t>o</w:t>
            </w:r>
          </w:p>
        </w:tc>
      </w:tr>
      <w:tr w:rsidR="00D64F32" w:rsidRPr="00D66008" w14:paraId="23BA69DD" w14:textId="77777777" w:rsidTr="00175A8B">
        <w:trPr>
          <w:trHeight w:val="290"/>
          <w:tblCellSpacing w:w="0" w:type="dxa"/>
          <w:jc w:val="center"/>
        </w:trPr>
        <w:tc>
          <w:tcPr>
            <w:tcW w:w="4963" w:type="dxa"/>
            <w:hideMark/>
          </w:tcPr>
          <w:p w14:paraId="4A1CCE60" w14:textId="77777777" w:rsidR="00D64F32" w:rsidRPr="00D66008" w:rsidRDefault="00D64F32" w:rsidP="00175A8B">
            <w:pPr>
              <w:jc w:val="center"/>
              <w:rPr>
                <w:rFonts w:ascii="Bookman Old Style" w:hAnsi="Bookman Old Style"/>
              </w:rPr>
            </w:pPr>
            <w:r w:rsidRPr="00D66008">
              <w:rPr>
                <w:rFonts w:ascii="Bookman Old Style" w:hAnsi="Bookman Old Style"/>
              </w:rPr>
              <w:t>Presidente</w:t>
            </w:r>
          </w:p>
        </w:tc>
        <w:tc>
          <w:tcPr>
            <w:tcW w:w="4672" w:type="dxa"/>
          </w:tcPr>
          <w:p w14:paraId="4E2605D4" w14:textId="77777777" w:rsidR="00D64F32" w:rsidRPr="00D66008" w:rsidRDefault="00D64F32" w:rsidP="00175A8B">
            <w:pPr>
              <w:jc w:val="center"/>
              <w:rPr>
                <w:rFonts w:ascii="Bookman Old Style" w:hAnsi="Bookman Old Style"/>
              </w:rPr>
            </w:pPr>
          </w:p>
        </w:tc>
      </w:tr>
    </w:tbl>
    <w:p w14:paraId="5D3443C7" w14:textId="77777777" w:rsidR="00E060BE" w:rsidRPr="00E060BE" w:rsidRDefault="00E060BE" w:rsidP="00CC091A">
      <w:pPr>
        <w:ind w:left="0"/>
        <w:rPr>
          <w:rFonts w:ascii="Bookman Old Style" w:hAnsi="Bookman Old Style" w:cs="Arial"/>
        </w:rPr>
      </w:pPr>
    </w:p>
    <w:sectPr w:rsidR="00E060BE" w:rsidRPr="00E060BE"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26BE" w14:textId="77777777" w:rsidR="00463B7C" w:rsidRDefault="00463B7C">
      <w:r>
        <w:separator/>
      </w:r>
    </w:p>
  </w:endnote>
  <w:endnote w:type="continuationSeparator" w:id="0">
    <w:p w14:paraId="32276BA2" w14:textId="77777777" w:rsidR="00463B7C" w:rsidRDefault="00463B7C">
      <w:r>
        <w:continuationSeparator/>
      </w:r>
    </w:p>
  </w:endnote>
  <w:endnote w:type="continuationNotice" w:id="1">
    <w:p w14:paraId="4A337C86" w14:textId="77777777" w:rsidR="00463B7C" w:rsidRDefault="00463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C132" w14:textId="77777777" w:rsidR="00463B7C" w:rsidRDefault="00463B7C">
      <w:r>
        <w:separator/>
      </w:r>
    </w:p>
  </w:footnote>
  <w:footnote w:type="continuationSeparator" w:id="0">
    <w:p w14:paraId="5BC82501" w14:textId="77777777" w:rsidR="00463B7C" w:rsidRDefault="00463B7C">
      <w:r>
        <w:continuationSeparator/>
      </w:r>
    </w:p>
  </w:footnote>
  <w:footnote w:type="continuationNotice" w:id="1">
    <w:p w14:paraId="4E34C7AE" w14:textId="77777777" w:rsidR="00463B7C" w:rsidRDefault="00463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DA78" w14:textId="77777777" w:rsidR="00144DFF" w:rsidRDefault="00144DFF" w:rsidP="00951F79">
    <w:pPr>
      <w:pStyle w:val="Ttulo1"/>
      <w:ind w:right="6"/>
      <w:jc w:val="left"/>
      <w:rPr>
        <w:rFonts w:ascii="Bookman Old Style" w:hAnsi="Bookman Old Style" w:cs="Arial"/>
        <w:b w:val="0"/>
        <w:sz w:val="22"/>
        <w:szCs w:val="22"/>
      </w:rPr>
    </w:pPr>
  </w:p>
  <w:p w14:paraId="189FF980" w14:textId="712ABA25" w:rsidR="00144DFF" w:rsidRPr="00951F79" w:rsidRDefault="00144DF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397D94">
      <w:rPr>
        <w:rFonts w:ascii="Bookman Old Style" w:hAnsi="Bookman Old Style" w:cs="Arial"/>
        <w:bCs/>
        <w:szCs w:val="24"/>
      </w:rPr>
      <w:t xml:space="preserve"> </w:t>
    </w:r>
    <w:r w:rsidR="00397D94" w:rsidRPr="00397D94">
      <w:rPr>
        <w:rFonts w:ascii="Bookman Old Style" w:hAnsi="Bookman Old Style" w:cs="Arial"/>
        <w:bCs/>
        <w:szCs w:val="24"/>
      </w:rPr>
      <w:t>177</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397D94" w:rsidRPr="00397D94">
      <w:rPr>
        <w:rFonts w:ascii="Bookman Old Style" w:hAnsi="Bookman Old Style" w:cs="Arial"/>
        <w:bCs/>
        <w:szCs w:val="24"/>
        <w:u w:val="single"/>
      </w:rPr>
      <w:t>08 OCT. 2021</w:t>
    </w:r>
    <w:r w:rsidR="00397D94">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158CF">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054E5">
      <w:fldChar w:fldCharType="begin"/>
    </w:r>
    <w:r w:rsidR="004054E5">
      <w:instrText xml:space="preserve"> NUMPAGES  \* MERGEFORMAT </w:instrText>
    </w:r>
    <w:r w:rsidR="004054E5">
      <w:fldChar w:fldCharType="separate"/>
    </w:r>
    <w:r w:rsidR="008158CF" w:rsidRPr="008158CF">
      <w:rPr>
        <w:rFonts w:ascii="Bookman Old Style" w:hAnsi="Bookman Old Style" w:cs="Arial"/>
        <w:b w:val="0"/>
        <w:noProof/>
        <w:sz w:val="22"/>
        <w:szCs w:val="22"/>
      </w:rPr>
      <w:t>12</w:t>
    </w:r>
    <w:r w:rsidR="004054E5">
      <w:rPr>
        <w:rFonts w:ascii="Bookman Old Style" w:hAnsi="Bookman Old Style" w:cs="Arial"/>
        <w:b w:val="0"/>
        <w:noProof/>
        <w:sz w:val="22"/>
        <w:szCs w:val="22"/>
      </w:rPr>
      <w:fldChar w:fldCharType="end"/>
    </w:r>
  </w:p>
  <w:p w14:paraId="4C33570D" w14:textId="77777777" w:rsidR="00144DFF" w:rsidRDefault="00144DFF"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47040D31" wp14:editId="017ADD02">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984B0"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689F665C" w14:textId="6D936FE9" w:rsidR="00144DFF" w:rsidRPr="00442209" w:rsidRDefault="00144DFF" w:rsidP="003F7032">
    <w:pPr>
      <w:ind w:left="0"/>
      <w:jc w:val="both"/>
      <w:rPr>
        <w:rFonts w:ascii="Bookman Old Style" w:hAnsi="Bookman Old Style"/>
        <w:iCs/>
      </w:rPr>
    </w:pPr>
    <w:r w:rsidRPr="001A11B2">
      <w:rPr>
        <w:rFonts w:ascii="Bookman Old Style" w:hAnsi="Bookman Old Style" w:cs="Arial"/>
      </w:rPr>
      <w:t xml:space="preserve">Por la cual se </w:t>
    </w:r>
    <w:r w:rsidR="00062C20">
      <w:rPr>
        <w:rFonts w:ascii="Bookman Old Style" w:hAnsi="Bookman Old Style" w:cs="Arial"/>
      </w:rPr>
      <w:t xml:space="preserve">definen las </w:t>
    </w:r>
    <w:r w:rsidR="00062C20">
      <w:rPr>
        <w:rFonts w:ascii="Bookman Old Style" w:hAnsi="Bookman Old Style" w:cs="Arial"/>
        <w:iCs/>
        <w:szCs w:val="20"/>
        <w:lang w:val="es-CO"/>
      </w:rPr>
      <w:t>c</w:t>
    </w:r>
    <w:r w:rsidRPr="00442209">
      <w:rPr>
        <w:rFonts w:ascii="Bookman Old Style" w:hAnsi="Bookman Old Style" w:cs="Arial"/>
        <w:iCs/>
        <w:szCs w:val="20"/>
        <w:lang w:val="es-CO"/>
      </w:rPr>
      <w:t>ondiciones de competencia que debe cumplir el mecanismo de contratación de largo plazo del Ministerio de Minas y Energía</w:t>
    </w:r>
  </w:p>
  <w:p w14:paraId="7196FD5A" w14:textId="0AEBF3E6" w:rsidR="00A37703" w:rsidRPr="00133C2E" w:rsidRDefault="00A37703" w:rsidP="003F7032">
    <w:pPr>
      <w:ind w:left="0"/>
      <w:jc w:val="both"/>
      <w:rPr>
        <w:rFonts w:ascii="Bookman Old Style" w:hAnsi="Bookman Old Style"/>
        <w:i/>
      </w:rPr>
    </w:pPr>
    <w:r>
      <w:rPr>
        <w:rFonts w:ascii="Bookman Old Style" w:hAnsi="Bookman Old Style"/>
        <w:i/>
      </w:rP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8EAF" w14:textId="77777777" w:rsidR="00144DFF" w:rsidRDefault="00144DF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11DBE2B" w14:textId="77777777" w:rsidR="00144DFF" w:rsidRDefault="00144DFF">
    <w:pPr>
      <w:pStyle w:val="Encabezado"/>
      <w:jc w:val="center"/>
      <w:rPr>
        <w:rFonts w:ascii="Arial" w:hAnsi="Arial" w:cs="Arial"/>
        <w:spacing w:val="20"/>
        <w:sz w:val="20"/>
      </w:rPr>
    </w:pPr>
  </w:p>
  <w:p w14:paraId="7D15555A" w14:textId="77777777" w:rsidR="00144DFF" w:rsidRDefault="00144DF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7D3EC9" wp14:editId="1CDE938B">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F29F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2801E2"/>
    <w:multiLevelType w:val="hybridMultilevel"/>
    <w:tmpl w:val="DBD61922"/>
    <w:lvl w:ilvl="0" w:tplc="240A000F">
      <w:start w:val="1"/>
      <w:numFmt w:val="decimal"/>
      <w:lvlText w:val="%1."/>
      <w:lvlJc w:val="left"/>
      <w:pPr>
        <w:ind w:left="1287" w:hanging="360"/>
      </w:pPr>
    </w:lvl>
    <w:lvl w:ilvl="1" w:tplc="240A0019">
      <w:start w:val="1"/>
      <w:numFmt w:val="lowerLetter"/>
      <w:lvlText w:val="%2."/>
      <w:lvlJc w:val="left"/>
      <w:pPr>
        <w:ind w:left="2007" w:hanging="360"/>
      </w:pPr>
    </w:lvl>
    <w:lvl w:ilvl="2" w:tplc="240A001B">
      <w:start w:val="1"/>
      <w:numFmt w:val="lowerRoman"/>
      <w:lvlText w:val="%3."/>
      <w:lvlJc w:val="right"/>
      <w:pPr>
        <w:ind w:left="2727" w:hanging="180"/>
      </w:pPr>
    </w:lvl>
    <w:lvl w:ilvl="3" w:tplc="240A000F">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A4E167B"/>
    <w:multiLevelType w:val="hybridMultilevel"/>
    <w:tmpl w:val="C9F430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F34E68"/>
    <w:multiLevelType w:val="hybridMultilevel"/>
    <w:tmpl w:val="AB9E58D8"/>
    <w:lvl w:ilvl="0" w:tplc="2990F024">
      <w:start w:val="1"/>
      <w:numFmt w:val="decimal"/>
      <w:lvlText w:val="Artículo %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B704D3"/>
    <w:multiLevelType w:val="hybridMultilevel"/>
    <w:tmpl w:val="BAC227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9F1C7E"/>
    <w:multiLevelType w:val="hybridMultilevel"/>
    <w:tmpl w:val="AB9E58D8"/>
    <w:lvl w:ilvl="0" w:tplc="2990F024">
      <w:start w:val="1"/>
      <w:numFmt w:val="decimal"/>
      <w:lvlText w:val="Artículo %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543BDE"/>
    <w:multiLevelType w:val="hybridMultilevel"/>
    <w:tmpl w:val="88C69FD6"/>
    <w:lvl w:ilvl="0" w:tplc="7EC2704A">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36397C"/>
    <w:multiLevelType w:val="hybridMultilevel"/>
    <w:tmpl w:val="4510CA24"/>
    <w:lvl w:ilvl="0" w:tplc="240A0017">
      <w:start w:val="1"/>
      <w:numFmt w:val="lowerLetter"/>
      <w:lvlText w:val="%1)"/>
      <w:lvlJc w:val="left"/>
      <w:pPr>
        <w:ind w:left="1522" w:hanging="360"/>
      </w:pPr>
      <w:rPr>
        <w:rFonts w:hint="default"/>
      </w:rPr>
    </w:lvl>
    <w:lvl w:ilvl="1" w:tplc="240A0003" w:tentative="1">
      <w:start w:val="1"/>
      <w:numFmt w:val="bullet"/>
      <w:lvlText w:val="o"/>
      <w:lvlJc w:val="left"/>
      <w:pPr>
        <w:ind w:left="2242" w:hanging="360"/>
      </w:pPr>
      <w:rPr>
        <w:rFonts w:ascii="Courier New" w:hAnsi="Courier New" w:cs="Courier New" w:hint="default"/>
      </w:rPr>
    </w:lvl>
    <w:lvl w:ilvl="2" w:tplc="240A0005" w:tentative="1">
      <w:start w:val="1"/>
      <w:numFmt w:val="bullet"/>
      <w:lvlText w:val=""/>
      <w:lvlJc w:val="left"/>
      <w:pPr>
        <w:ind w:left="2962" w:hanging="360"/>
      </w:pPr>
      <w:rPr>
        <w:rFonts w:ascii="Wingdings" w:hAnsi="Wingdings" w:hint="default"/>
      </w:rPr>
    </w:lvl>
    <w:lvl w:ilvl="3" w:tplc="240A0001" w:tentative="1">
      <w:start w:val="1"/>
      <w:numFmt w:val="bullet"/>
      <w:lvlText w:val=""/>
      <w:lvlJc w:val="left"/>
      <w:pPr>
        <w:ind w:left="3682" w:hanging="360"/>
      </w:pPr>
      <w:rPr>
        <w:rFonts w:ascii="Symbol" w:hAnsi="Symbol" w:hint="default"/>
      </w:rPr>
    </w:lvl>
    <w:lvl w:ilvl="4" w:tplc="240A0003" w:tentative="1">
      <w:start w:val="1"/>
      <w:numFmt w:val="bullet"/>
      <w:lvlText w:val="o"/>
      <w:lvlJc w:val="left"/>
      <w:pPr>
        <w:ind w:left="4402" w:hanging="360"/>
      </w:pPr>
      <w:rPr>
        <w:rFonts w:ascii="Courier New" w:hAnsi="Courier New" w:cs="Courier New" w:hint="default"/>
      </w:rPr>
    </w:lvl>
    <w:lvl w:ilvl="5" w:tplc="240A0005" w:tentative="1">
      <w:start w:val="1"/>
      <w:numFmt w:val="bullet"/>
      <w:lvlText w:val=""/>
      <w:lvlJc w:val="left"/>
      <w:pPr>
        <w:ind w:left="5122" w:hanging="360"/>
      </w:pPr>
      <w:rPr>
        <w:rFonts w:ascii="Wingdings" w:hAnsi="Wingdings" w:hint="default"/>
      </w:rPr>
    </w:lvl>
    <w:lvl w:ilvl="6" w:tplc="240A0001" w:tentative="1">
      <w:start w:val="1"/>
      <w:numFmt w:val="bullet"/>
      <w:lvlText w:val=""/>
      <w:lvlJc w:val="left"/>
      <w:pPr>
        <w:ind w:left="5842" w:hanging="360"/>
      </w:pPr>
      <w:rPr>
        <w:rFonts w:ascii="Symbol" w:hAnsi="Symbol" w:hint="default"/>
      </w:rPr>
    </w:lvl>
    <w:lvl w:ilvl="7" w:tplc="240A0003" w:tentative="1">
      <w:start w:val="1"/>
      <w:numFmt w:val="bullet"/>
      <w:lvlText w:val="o"/>
      <w:lvlJc w:val="left"/>
      <w:pPr>
        <w:ind w:left="6562" w:hanging="360"/>
      </w:pPr>
      <w:rPr>
        <w:rFonts w:ascii="Courier New" w:hAnsi="Courier New" w:cs="Courier New" w:hint="default"/>
      </w:rPr>
    </w:lvl>
    <w:lvl w:ilvl="8" w:tplc="240A0005" w:tentative="1">
      <w:start w:val="1"/>
      <w:numFmt w:val="bullet"/>
      <w:lvlText w:val=""/>
      <w:lvlJc w:val="left"/>
      <w:pPr>
        <w:ind w:left="7282" w:hanging="360"/>
      </w:pPr>
      <w:rPr>
        <w:rFonts w:ascii="Wingdings" w:hAnsi="Wingdings" w:hint="default"/>
      </w:rPr>
    </w:lvl>
  </w:abstractNum>
  <w:abstractNum w:abstractNumId="13" w15:restartNumberingAfterBreak="0">
    <w:nsid w:val="24D95FE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F3645B"/>
    <w:multiLevelType w:val="hybridMultilevel"/>
    <w:tmpl w:val="1694859A"/>
    <w:lvl w:ilvl="0" w:tplc="C40C8C5C">
      <w:numFmt w:val="bullet"/>
      <w:lvlText w:val=""/>
      <w:lvlJc w:val="left"/>
      <w:pPr>
        <w:ind w:left="645" w:hanging="360"/>
      </w:pPr>
      <w:rPr>
        <w:rFonts w:ascii="Symbol" w:eastAsia="Times New Roman" w:hAnsi="Symbol" w:cs="Times New Roman" w:hint="default"/>
      </w:rPr>
    </w:lvl>
    <w:lvl w:ilvl="1" w:tplc="240A0003" w:tentative="1">
      <w:start w:val="1"/>
      <w:numFmt w:val="bullet"/>
      <w:lvlText w:val="o"/>
      <w:lvlJc w:val="left"/>
      <w:pPr>
        <w:ind w:left="1365" w:hanging="360"/>
      </w:pPr>
      <w:rPr>
        <w:rFonts w:ascii="Courier New" w:hAnsi="Courier New" w:cs="Courier New" w:hint="default"/>
      </w:rPr>
    </w:lvl>
    <w:lvl w:ilvl="2" w:tplc="240A0005" w:tentative="1">
      <w:start w:val="1"/>
      <w:numFmt w:val="bullet"/>
      <w:lvlText w:val=""/>
      <w:lvlJc w:val="left"/>
      <w:pPr>
        <w:ind w:left="2085" w:hanging="360"/>
      </w:pPr>
      <w:rPr>
        <w:rFonts w:ascii="Wingdings" w:hAnsi="Wingdings" w:hint="default"/>
      </w:rPr>
    </w:lvl>
    <w:lvl w:ilvl="3" w:tplc="240A0001" w:tentative="1">
      <w:start w:val="1"/>
      <w:numFmt w:val="bullet"/>
      <w:lvlText w:val=""/>
      <w:lvlJc w:val="left"/>
      <w:pPr>
        <w:ind w:left="2805" w:hanging="360"/>
      </w:pPr>
      <w:rPr>
        <w:rFonts w:ascii="Symbol" w:hAnsi="Symbol" w:hint="default"/>
      </w:rPr>
    </w:lvl>
    <w:lvl w:ilvl="4" w:tplc="240A0003" w:tentative="1">
      <w:start w:val="1"/>
      <w:numFmt w:val="bullet"/>
      <w:lvlText w:val="o"/>
      <w:lvlJc w:val="left"/>
      <w:pPr>
        <w:ind w:left="3525" w:hanging="360"/>
      </w:pPr>
      <w:rPr>
        <w:rFonts w:ascii="Courier New" w:hAnsi="Courier New" w:cs="Courier New" w:hint="default"/>
      </w:rPr>
    </w:lvl>
    <w:lvl w:ilvl="5" w:tplc="240A0005" w:tentative="1">
      <w:start w:val="1"/>
      <w:numFmt w:val="bullet"/>
      <w:lvlText w:val=""/>
      <w:lvlJc w:val="left"/>
      <w:pPr>
        <w:ind w:left="4245" w:hanging="360"/>
      </w:pPr>
      <w:rPr>
        <w:rFonts w:ascii="Wingdings" w:hAnsi="Wingdings" w:hint="default"/>
      </w:rPr>
    </w:lvl>
    <w:lvl w:ilvl="6" w:tplc="240A0001" w:tentative="1">
      <w:start w:val="1"/>
      <w:numFmt w:val="bullet"/>
      <w:lvlText w:val=""/>
      <w:lvlJc w:val="left"/>
      <w:pPr>
        <w:ind w:left="4965" w:hanging="360"/>
      </w:pPr>
      <w:rPr>
        <w:rFonts w:ascii="Symbol" w:hAnsi="Symbol" w:hint="default"/>
      </w:rPr>
    </w:lvl>
    <w:lvl w:ilvl="7" w:tplc="240A0003" w:tentative="1">
      <w:start w:val="1"/>
      <w:numFmt w:val="bullet"/>
      <w:lvlText w:val="o"/>
      <w:lvlJc w:val="left"/>
      <w:pPr>
        <w:ind w:left="5685" w:hanging="360"/>
      </w:pPr>
      <w:rPr>
        <w:rFonts w:ascii="Courier New" w:hAnsi="Courier New" w:cs="Courier New" w:hint="default"/>
      </w:rPr>
    </w:lvl>
    <w:lvl w:ilvl="8" w:tplc="240A0005" w:tentative="1">
      <w:start w:val="1"/>
      <w:numFmt w:val="bullet"/>
      <w:lvlText w:val=""/>
      <w:lvlJc w:val="left"/>
      <w:pPr>
        <w:ind w:left="6405" w:hanging="360"/>
      </w:pPr>
      <w:rPr>
        <w:rFonts w:ascii="Wingdings" w:hAnsi="Wingdings" w:hint="default"/>
      </w:rPr>
    </w:lvl>
  </w:abstractNum>
  <w:abstractNum w:abstractNumId="17" w15:restartNumberingAfterBreak="0">
    <w:nsid w:val="299161C9"/>
    <w:multiLevelType w:val="hybridMultilevel"/>
    <w:tmpl w:val="E5C09086"/>
    <w:lvl w:ilvl="0" w:tplc="CB0AE6F4">
      <w:start w:val="1"/>
      <w:numFmt w:val="decimal"/>
      <w:lvlText w:val="%1."/>
      <w:lvlJc w:val="left"/>
      <w:pPr>
        <w:ind w:left="1800" w:hanging="360"/>
      </w:pPr>
      <w:rPr>
        <w:rFonts w:hint="default"/>
        <w:b/>
      </w:r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8" w15:restartNumberingAfterBreak="0">
    <w:nsid w:val="2BEE0B56"/>
    <w:multiLevelType w:val="multilevel"/>
    <w:tmpl w:val="7F7AFB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63922"/>
    <w:multiLevelType w:val="hybridMultilevel"/>
    <w:tmpl w:val="23327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6" w15:restartNumberingAfterBreak="0">
    <w:nsid w:val="4A2F3B3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D56427"/>
    <w:multiLevelType w:val="hybridMultilevel"/>
    <w:tmpl w:val="DC10F046"/>
    <w:lvl w:ilvl="0" w:tplc="240A0019">
      <w:start w:val="1"/>
      <w:numFmt w:val="lowerLetter"/>
      <w:lvlText w:val="%1."/>
      <w:lvlJc w:val="left"/>
      <w:pPr>
        <w:ind w:left="1647" w:hanging="360"/>
      </w:pPr>
    </w:lvl>
    <w:lvl w:ilvl="1" w:tplc="3C5A937A">
      <w:start w:val="1"/>
      <w:numFmt w:val="decimal"/>
      <w:lvlText w:val="%2."/>
      <w:lvlJc w:val="left"/>
      <w:pPr>
        <w:ind w:left="2407" w:hanging="400"/>
      </w:pPr>
      <w:rPr>
        <w:rFonts w:hint="default"/>
        <w:b/>
      </w:r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2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559E657D"/>
    <w:multiLevelType w:val="hybridMultilevel"/>
    <w:tmpl w:val="C61803D6"/>
    <w:lvl w:ilvl="0" w:tplc="9ED4A45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1F1FB5"/>
    <w:multiLevelType w:val="hybridMultilevel"/>
    <w:tmpl w:val="46C2CFBA"/>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31" w15:restartNumberingAfterBreak="0">
    <w:nsid w:val="5AAC48EB"/>
    <w:multiLevelType w:val="hybridMultilevel"/>
    <w:tmpl w:val="8430B1EE"/>
    <w:lvl w:ilvl="0" w:tplc="6A640600">
      <w:start w:val="1"/>
      <w:numFmt w:val="decimal"/>
      <w:pStyle w:val="Numeracin"/>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F4B150F"/>
    <w:multiLevelType w:val="hybridMultilevel"/>
    <w:tmpl w:val="562099D2"/>
    <w:lvl w:ilvl="0" w:tplc="820C94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54562F2"/>
    <w:multiLevelType w:val="hybridMultilevel"/>
    <w:tmpl w:val="4C1C4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8" w15:restartNumberingAfterBreak="0">
    <w:nsid w:val="6E185A88"/>
    <w:multiLevelType w:val="multilevel"/>
    <w:tmpl w:val="87C28E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F23FCF"/>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41"/>
  </w:num>
  <w:num w:numId="4">
    <w:abstractNumId w:val="14"/>
  </w:num>
  <w:num w:numId="5">
    <w:abstractNumId w:val="32"/>
  </w:num>
  <w:num w:numId="6">
    <w:abstractNumId w:val="5"/>
  </w:num>
  <w:num w:numId="7">
    <w:abstractNumId w:val="4"/>
  </w:num>
  <w:num w:numId="8">
    <w:abstractNumId w:val="35"/>
  </w:num>
  <w:num w:numId="9">
    <w:abstractNumId w:val="33"/>
  </w:num>
  <w:num w:numId="10">
    <w:abstractNumId w:val="24"/>
  </w:num>
  <w:num w:numId="11">
    <w:abstractNumId w:val="42"/>
  </w:num>
  <w:num w:numId="12">
    <w:abstractNumId w:val="39"/>
  </w:num>
  <w:num w:numId="13">
    <w:abstractNumId w:val="21"/>
  </w:num>
  <w:num w:numId="14">
    <w:abstractNumId w:val="3"/>
  </w:num>
  <w:num w:numId="15">
    <w:abstractNumId w:val="25"/>
  </w:num>
  <w:num w:numId="16">
    <w:abstractNumId w:val="1"/>
  </w:num>
  <w:num w:numId="17">
    <w:abstractNumId w:val="20"/>
  </w:num>
  <w:num w:numId="18">
    <w:abstractNumId w:val="0"/>
  </w:num>
  <w:num w:numId="19">
    <w:abstractNumId w:val="37"/>
  </w:num>
  <w:num w:numId="20">
    <w:abstractNumId w:val="28"/>
  </w:num>
  <w:num w:numId="21">
    <w:abstractNumId w:val="15"/>
  </w:num>
  <w:num w:numId="22">
    <w:abstractNumId w:val="19"/>
  </w:num>
  <w:num w:numId="23">
    <w:abstractNumId w:val="31"/>
  </w:num>
  <w:num w:numId="24">
    <w:abstractNumId w:val="2"/>
  </w:num>
  <w:num w:numId="25">
    <w:abstractNumId w:val="27"/>
  </w:num>
  <w:num w:numId="26">
    <w:abstractNumId w:val="30"/>
  </w:num>
  <w:num w:numId="27">
    <w:abstractNumId w:val="40"/>
  </w:num>
  <w:num w:numId="28">
    <w:abstractNumId w:val="26"/>
  </w:num>
  <w:num w:numId="29">
    <w:abstractNumId w:val="13"/>
  </w:num>
  <w:num w:numId="30">
    <w:abstractNumId w:val="31"/>
    <w:lvlOverride w:ilvl="0">
      <w:startOverride w:val="1"/>
    </w:lvlOverride>
  </w:num>
  <w:num w:numId="31">
    <w:abstractNumId w:val="31"/>
    <w:lvlOverride w:ilvl="0">
      <w:startOverride w:val="1"/>
    </w:lvlOverride>
  </w:num>
  <w:num w:numId="32">
    <w:abstractNumId w:val="10"/>
  </w:num>
  <w:num w:numId="33">
    <w:abstractNumId w:val="7"/>
  </w:num>
  <w:num w:numId="34">
    <w:abstractNumId w:val="18"/>
  </w:num>
  <w:num w:numId="35">
    <w:abstractNumId w:val="6"/>
  </w:num>
  <w:num w:numId="36">
    <w:abstractNumId w:val="12"/>
  </w:num>
  <w:num w:numId="37">
    <w:abstractNumId w:val="9"/>
  </w:num>
  <w:num w:numId="38">
    <w:abstractNumId w:val="38"/>
  </w:num>
  <w:num w:numId="39">
    <w:abstractNumId w:val="11"/>
  </w:num>
  <w:num w:numId="40">
    <w:abstractNumId w:val="34"/>
  </w:num>
  <w:num w:numId="41">
    <w:abstractNumId w:val="17"/>
  </w:num>
  <w:num w:numId="42">
    <w:abstractNumId w:val="22"/>
  </w:num>
  <w:num w:numId="43">
    <w:abstractNumId w:val="29"/>
  </w:num>
  <w:num w:numId="44">
    <w:abstractNumId w:val="1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07F"/>
    <w:rsid w:val="00006AE2"/>
    <w:rsid w:val="000076A1"/>
    <w:rsid w:val="00012259"/>
    <w:rsid w:val="0001333F"/>
    <w:rsid w:val="00013F15"/>
    <w:rsid w:val="00020BC9"/>
    <w:rsid w:val="00021561"/>
    <w:rsid w:val="00025383"/>
    <w:rsid w:val="00025A21"/>
    <w:rsid w:val="0003231F"/>
    <w:rsid w:val="00045037"/>
    <w:rsid w:val="00045D3D"/>
    <w:rsid w:val="00052B43"/>
    <w:rsid w:val="00054F79"/>
    <w:rsid w:val="00055837"/>
    <w:rsid w:val="000567E6"/>
    <w:rsid w:val="00062C20"/>
    <w:rsid w:val="00063657"/>
    <w:rsid w:val="000675D6"/>
    <w:rsid w:val="00067C79"/>
    <w:rsid w:val="00076680"/>
    <w:rsid w:val="00076A1D"/>
    <w:rsid w:val="0008073E"/>
    <w:rsid w:val="00085F75"/>
    <w:rsid w:val="00086945"/>
    <w:rsid w:val="00091CDB"/>
    <w:rsid w:val="00097220"/>
    <w:rsid w:val="00097E89"/>
    <w:rsid w:val="000A19AC"/>
    <w:rsid w:val="000B2EC9"/>
    <w:rsid w:val="000C1FB2"/>
    <w:rsid w:val="000C4C35"/>
    <w:rsid w:val="000C70BC"/>
    <w:rsid w:val="000D26F8"/>
    <w:rsid w:val="000D3E51"/>
    <w:rsid w:val="000D749C"/>
    <w:rsid w:val="000D77C9"/>
    <w:rsid w:val="000E3CED"/>
    <w:rsid w:val="000E5285"/>
    <w:rsid w:val="000F0550"/>
    <w:rsid w:val="000F6847"/>
    <w:rsid w:val="00101C89"/>
    <w:rsid w:val="001029C7"/>
    <w:rsid w:val="00106654"/>
    <w:rsid w:val="00132F3B"/>
    <w:rsid w:val="00133C2E"/>
    <w:rsid w:val="0013526C"/>
    <w:rsid w:val="001405C6"/>
    <w:rsid w:val="00141013"/>
    <w:rsid w:val="00141A64"/>
    <w:rsid w:val="00144DFF"/>
    <w:rsid w:val="0014651F"/>
    <w:rsid w:val="00166B7E"/>
    <w:rsid w:val="00172946"/>
    <w:rsid w:val="00177292"/>
    <w:rsid w:val="00184A6E"/>
    <w:rsid w:val="00192CBF"/>
    <w:rsid w:val="00192F7A"/>
    <w:rsid w:val="00192FF1"/>
    <w:rsid w:val="00193C3B"/>
    <w:rsid w:val="001A170F"/>
    <w:rsid w:val="001A4478"/>
    <w:rsid w:val="001A5F1B"/>
    <w:rsid w:val="001B1C22"/>
    <w:rsid w:val="001B34C6"/>
    <w:rsid w:val="001B5441"/>
    <w:rsid w:val="001B78F3"/>
    <w:rsid w:val="001C2418"/>
    <w:rsid w:val="001C35E4"/>
    <w:rsid w:val="001C670F"/>
    <w:rsid w:val="001D7832"/>
    <w:rsid w:val="001E0BF0"/>
    <w:rsid w:val="001E3149"/>
    <w:rsid w:val="001F1DF8"/>
    <w:rsid w:val="00200B03"/>
    <w:rsid w:val="00210DC1"/>
    <w:rsid w:val="00211D34"/>
    <w:rsid w:val="00214F04"/>
    <w:rsid w:val="002151C3"/>
    <w:rsid w:val="002161CB"/>
    <w:rsid w:val="00224D33"/>
    <w:rsid w:val="00227820"/>
    <w:rsid w:val="002352B9"/>
    <w:rsid w:val="0023595A"/>
    <w:rsid w:val="00242C6F"/>
    <w:rsid w:val="0024662D"/>
    <w:rsid w:val="00246929"/>
    <w:rsid w:val="002539C5"/>
    <w:rsid w:val="00254494"/>
    <w:rsid w:val="002615F1"/>
    <w:rsid w:val="00261709"/>
    <w:rsid w:val="00266CD6"/>
    <w:rsid w:val="002673AC"/>
    <w:rsid w:val="002710F5"/>
    <w:rsid w:val="00271A69"/>
    <w:rsid w:val="00271E1C"/>
    <w:rsid w:val="002734A8"/>
    <w:rsid w:val="00275DAB"/>
    <w:rsid w:val="00276563"/>
    <w:rsid w:val="002766AD"/>
    <w:rsid w:val="00282A84"/>
    <w:rsid w:val="002903C0"/>
    <w:rsid w:val="002A782A"/>
    <w:rsid w:val="002B11E2"/>
    <w:rsid w:val="002B1C17"/>
    <w:rsid w:val="002B24B8"/>
    <w:rsid w:val="002C110D"/>
    <w:rsid w:val="002C5547"/>
    <w:rsid w:val="002D0E6E"/>
    <w:rsid w:val="002D2A5E"/>
    <w:rsid w:val="002D3AE9"/>
    <w:rsid w:val="002D4510"/>
    <w:rsid w:val="002D7250"/>
    <w:rsid w:val="002E41B4"/>
    <w:rsid w:val="002F0734"/>
    <w:rsid w:val="002F46E7"/>
    <w:rsid w:val="002F6589"/>
    <w:rsid w:val="00300AE2"/>
    <w:rsid w:val="00301719"/>
    <w:rsid w:val="00307C05"/>
    <w:rsid w:val="003101DA"/>
    <w:rsid w:val="003111C3"/>
    <w:rsid w:val="00312CDA"/>
    <w:rsid w:val="00313FF1"/>
    <w:rsid w:val="00314757"/>
    <w:rsid w:val="003163BC"/>
    <w:rsid w:val="003211CE"/>
    <w:rsid w:val="00324836"/>
    <w:rsid w:val="003337D0"/>
    <w:rsid w:val="00336E51"/>
    <w:rsid w:val="0033793C"/>
    <w:rsid w:val="00344DD9"/>
    <w:rsid w:val="00345D60"/>
    <w:rsid w:val="00347E90"/>
    <w:rsid w:val="0035403A"/>
    <w:rsid w:val="00355B56"/>
    <w:rsid w:val="0036394B"/>
    <w:rsid w:val="00363A18"/>
    <w:rsid w:val="00366DB6"/>
    <w:rsid w:val="00370799"/>
    <w:rsid w:val="003709B5"/>
    <w:rsid w:val="003759C2"/>
    <w:rsid w:val="00375A0F"/>
    <w:rsid w:val="003811F8"/>
    <w:rsid w:val="003821E5"/>
    <w:rsid w:val="00384278"/>
    <w:rsid w:val="0038723F"/>
    <w:rsid w:val="00397365"/>
    <w:rsid w:val="00397D94"/>
    <w:rsid w:val="003A31F6"/>
    <w:rsid w:val="003A5E88"/>
    <w:rsid w:val="003B1C9C"/>
    <w:rsid w:val="003C3447"/>
    <w:rsid w:val="003C63F4"/>
    <w:rsid w:val="003D076C"/>
    <w:rsid w:val="003D4B0F"/>
    <w:rsid w:val="003E0BA8"/>
    <w:rsid w:val="003E78B5"/>
    <w:rsid w:val="003F2A98"/>
    <w:rsid w:val="003F521F"/>
    <w:rsid w:val="003F7032"/>
    <w:rsid w:val="004054E5"/>
    <w:rsid w:val="00410E0C"/>
    <w:rsid w:val="00415905"/>
    <w:rsid w:val="00415BAB"/>
    <w:rsid w:val="00415ED2"/>
    <w:rsid w:val="00417768"/>
    <w:rsid w:val="0042068C"/>
    <w:rsid w:val="004252FF"/>
    <w:rsid w:val="0043182D"/>
    <w:rsid w:val="00432C1E"/>
    <w:rsid w:val="0043706C"/>
    <w:rsid w:val="00441572"/>
    <w:rsid w:val="00442209"/>
    <w:rsid w:val="0044318E"/>
    <w:rsid w:val="00443B35"/>
    <w:rsid w:val="0044646D"/>
    <w:rsid w:val="00451B33"/>
    <w:rsid w:val="004616DC"/>
    <w:rsid w:val="00463B7C"/>
    <w:rsid w:val="004656BD"/>
    <w:rsid w:val="0047122B"/>
    <w:rsid w:val="00471485"/>
    <w:rsid w:val="00473B7A"/>
    <w:rsid w:val="004822DB"/>
    <w:rsid w:val="00485E6F"/>
    <w:rsid w:val="004960E9"/>
    <w:rsid w:val="004A2E88"/>
    <w:rsid w:val="004A5305"/>
    <w:rsid w:val="004B112D"/>
    <w:rsid w:val="004C4D7D"/>
    <w:rsid w:val="004D2890"/>
    <w:rsid w:val="004D7634"/>
    <w:rsid w:val="004E611A"/>
    <w:rsid w:val="004E7CE7"/>
    <w:rsid w:val="004F1141"/>
    <w:rsid w:val="004F6460"/>
    <w:rsid w:val="00505DC5"/>
    <w:rsid w:val="00510208"/>
    <w:rsid w:val="005140CB"/>
    <w:rsid w:val="005300D3"/>
    <w:rsid w:val="00533FAD"/>
    <w:rsid w:val="00542A10"/>
    <w:rsid w:val="00544F82"/>
    <w:rsid w:val="005509D2"/>
    <w:rsid w:val="00552DAB"/>
    <w:rsid w:val="005547D6"/>
    <w:rsid w:val="00560208"/>
    <w:rsid w:val="00590172"/>
    <w:rsid w:val="00591E3D"/>
    <w:rsid w:val="00593C4F"/>
    <w:rsid w:val="005946A8"/>
    <w:rsid w:val="005A266F"/>
    <w:rsid w:val="005A4407"/>
    <w:rsid w:val="005A59EF"/>
    <w:rsid w:val="005A6182"/>
    <w:rsid w:val="005B1C7E"/>
    <w:rsid w:val="005B28E8"/>
    <w:rsid w:val="005B662D"/>
    <w:rsid w:val="005C0254"/>
    <w:rsid w:val="005C67AE"/>
    <w:rsid w:val="005C6976"/>
    <w:rsid w:val="005D3884"/>
    <w:rsid w:val="005D62A4"/>
    <w:rsid w:val="005F6F41"/>
    <w:rsid w:val="00600460"/>
    <w:rsid w:val="00602F23"/>
    <w:rsid w:val="006035A5"/>
    <w:rsid w:val="00603B97"/>
    <w:rsid w:val="006075FA"/>
    <w:rsid w:val="006215CC"/>
    <w:rsid w:val="00625DC6"/>
    <w:rsid w:val="0064002E"/>
    <w:rsid w:val="00640B15"/>
    <w:rsid w:val="0064391D"/>
    <w:rsid w:val="00651821"/>
    <w:rsid w:val="00654384"/>
    <w:rsid w:val="00654EB9"/>
    <w:rsid w:val="006675CD"/>
    <w:rsid w:val="00680C3A"/>
    <w:rsid w:val="006820C8"/>
    <w:rsid w:val="00683BDF"/>
    <w:rsid w:val="00684D9B"/>
    <w:rsid w:val="0068510A"/>
    <w:rsid w:val="006868B3"/>
    <w:rsid w:val="00686CE8"/>
    <w:rsid w:val="00697556"/>
    <w:rsid w:val="006A1790"/>
    <w:rsid w:val="006A51FB"/>
    <w:rsid w:val="006B2722"/>
    <w:rsid w:val="006B4647"/>
    <w:rsid w:val="006B4C2B"/>
    <w:rsid w:val="006B6194"/>
    <w:rsid w:val="006B6D47"/>
    <w:rsid w:val="006C2A67"/>
    <w:rsid w:val="006C5AFE"/>
    <w:rsid w:val="006D0E96"/>
    <w:rsid w:val="006E505D"/>
    <w:rsid w:val="006E6A60"/>
    <w:rsid w:val="006F2EC8"/>
    <w:rsid w:val="006F6D95"/>
    <w:rsid w:val="006F747D"/>
    <w:rsid w:val="00706F13"/>
    <w:rsid w:val="007072E8"/>
    <w:rsid w:val="007075EC"/>
    <w:rsid w:val="0071618D"/>
    <w:rsid w:val="00725FA4"/>
    <w:rsid w:val="00740446"/>
    <w:rsid w:val="00740EC0"/>
    <w:rsid w:val="007438A9"/>
    <w:rsid w:val="0074491E"/>
    <w:rsid w:val="007519F8"/>
    <w:rsid w:val="0076247A"/>
    <w:rsid w:val="00766E80"/>
    <w:rsid w:val="00772168"/>
    <w:rsid w:val="00775964"/>
    <w:rsid w:val="007765FE"/>
    <w:rsid w:val="00780288"/>
    <w:rsid w:val="0078173B"/>
    <w:rsid w:val="00782A9D"/>
    <w:rsid w:val="007857C1"/>
    <w:rsid w:val="00785E91"/>
    <w:rsid w:val="00786BF6"/>
    <w:rsid w:val="007873B7"/>
    <w:rsid w:val="0078785F"/>
    <w:rsid w:val="007879FE"/>
    <w:rsid w:val="00794E2E"/>
    <w:rsid w:val="00795BFB"/>
    <w:rsid w:val="007A0004"/>
    <w:rsid w:val="007A4A18"/>
    <w:rsid w:val="007A63B3"/>
    <w:rsid w:val="007A683A"/>
    <w:rsid w:val="007B2760"/>
    <w:rsid w:val="007B5DB4"/>
    <w:rsid w:val="007D69FA"/>
    <w:rsid w:val="007E2F12"/>
    <w:rsid w:val="007E421F"/>
    <w:rsid w:val="007E6697"/>
    <w:rsid w:val="00806C01"/>
    <w:rsid w:val="008074C9"/>
    <w:rsid w:val="00812264"/>
    <w:rsid w:val="00813BE7"/>
    <w:rsid w:val="008148CC"/>
    <w:rsid w:val="008158CF"/>
    <w:rsid w:val="008211A4"/>
    <w:rsid w:val="008227CB"/>
    <w:rsid w:val="008232E5"/>
    <w:rsid w:val="008236CE"/>
    <w:rsid w:val="0084693A"/>
    <w:rsid w:val="0085180C"/>
    <w:rsid w:val="00852F73"/>
    <w:rsid w:val="00856B1B"/>
    <w:rsid w:val="008624F5"/>
    <w:rsid w:val="0086253B"/>
    <w:rsid w:val="00873150"/>
    <w:rsid w:val="0087657D"/>
    <w:rsid w:val="008807D5"/>
    <w:rsid w:val="00880832"/>
    <w:rsid w:val="00882C61"/>
    <w:rsid w:val="00885879"/>
    <w:rsid w:val="00886EE1"/>
    <w:rsid w:val="0088727D"/>
    <w:rsid w:val="00895B99"/>
    <w:rsid w:val="00897C75"/>
    <w:rsid w:val="008A01E1"/>
    <w:rsid w:val="008A2232"/>
    <w:rsid w:val="008A425C"/>
    <w:rsid w:val="008A5268"/>
    <w:rsid w:val="008A7A76"/>
    <w:rsid w:val="008B0D21"/>
    <w:rsid w:val="008B2E33"/>
    <w:rsid w:val="008C1130"/>
    <w:rsid w:val="008C71D2"/>
    <w:rsid w:val="008D18E6"/>
    <w:rsid w:val="008D1CE1"/>
    <w:rsid w:val="008D7A9B"/>
    <w:rsid w:val="008E0060"/>
    <w:rsid w:val="008E360C"/>
    <w:rsid w:val="008E7091"/>
    <w:rsid w:val="008E76AC"/>
    <w:rsid w:val="008F21F6"/>
    <w:rsid w:val="00903588"/>
    <w:rsid w:val="00921870"/>
    <w:rsid w:val="0092230D"/>
    <w:rsid w:val="009325BB"/>
    <w:rsid w:val="0093354F"/>
    <w:rsid w:val="009432A0"/>
    <w:rsid w:val="00951F79"/>
    <w:rsid w:val="00957D56"/>
    <w:rsid w:val="009711E2"/>
    <w:rsid w:val="00974AB5"/>
    <w:rsid w:val="00977E0D"/>
    <w:rsid w:val="00983FBC"/>
    <w:rsid w:val="009852F3"/>
    <w:rsid w:val="0098706D"/>
    <w:rsid w:val="00991C29"/>
    <w:rsid w:val="009935FB"/>
    <w:rsid w:val="009965E0"/>
    <w:rsid w:val="009A0267"/>
    <w:rsid w:val="009A5340"/>
    <w:rsid w:val="009B0595"/>
    <w:rsid w:val="009B2F67"/>
    <w:rsid w:val="009B443C"/>
    <w:rsid w:val="009C2787"/>
    <w:rsid w:val="009F4A54"/>
    <w:rsid w:val="009F4BEC"/>
    <w:rsid w:val="009F5874"/>
    <w:rsid w:val="00A01468"/>
    <w:rsid w:val="00A1149B"/>
    <w:rsid w:val="00A179DD"/>
    <w:rsid w:val="00A25CDB"/>
    <w:rsid w:val="00A25FD7"/>
    <w:rsid w:val="00A27C31"/>
    <w:rsid w:val="00A356DA"/>
    <w:rsid w:val="00A370E1"/>
    <w:rsid w:val="00A37703"/>
    <w:rsid w:val="00A43AFF"/>
    <w:rsid w:val="00A46188"/>
    <w:rsid w:val="00A71FDB"/>
    <w:rsid w:val="00A7793A"/>
    <w:rsid w:val="00A83099"/>
    <w:rsid w:val="00A96F6C"/>
    <w:rsid w:val="00A97B5E"/>
    <w:rsid w:val="00AA0674"/>
    <w:rsid w:val="00AA4892"/>
    <w:rsid w:val="00AA4CC7"/>
    <w:rsid w:val="00AA53D8"/>
    <w:rsid w:val="00AA5E8E"/>
    <w:rsid w:val="00AA74B3"/>
    <w:rsid w:val="00AA7940"/>
    <w:rsid w:val="00AB2BAD"/>
    <w:rsid w:val="00AB5F80"/>
    <w:rsid w:val="00AB6CA7"/>
    <w:rsid w:val="00AC5E07"/>
    <w:rsid w:val="00AC7E8C"/>
    <w:rsid w:val="00AD01E4"/>
    <w:rsid w:val="00AD0858"/>
    <w:rsid w:val="00AD1538"/>
    <w:rsid w:val="00AD3782"/>
    <w:rsid w:val="00AD3C3B"/>
    <w:rsid w:val="00AE0040"/>
    <w:rsid w:val="00AE02E3"/>
    <w:rsid w:val="00AE7340"/>
    <w:rsid w:val="00AF0338"/>
    <w:rsid w:val="00AF1BBD"/>
    <w:rsid w:val="00B06AFC"/>
    <w:rsid w:val="00B10207"/>
    <w:rsid w:val="00B141E7"/>
    <w:rsid w:val="00B209A5"/>
    <w:rsid w:val="00B20D8E"/>
    <w:rsid w:val="00B21011"/>
    <w:rsid w:val="00B212CC"/>
    <w:rsid w:val="00B23DC3"/>
    <w:rsid w:val="00B34CED"/>
    <w:rsid w:val="00B351B4"/>
    <w:rsid w:val="00B368C1"/>
    <w:rsid w:val="00B43A67"/>
    <w:rsid w:val="00B45CD8"/>
    <w:rsid w:val="00B46BCA"/>
    <w:rsid w:val="00B478AA"/>
    <w:rsid w:val="00B47FFD"/>
    <w:rsid w:val="00B55E33"/>
    <w:rsid w:val="00B567F8"/>
    <w:rsid w:val="00B64F87"/>
    <w:rsid w:val="00B6562C"/>
    <w:rsid w:val="00B67906"/>
    <w:rsid w:val="00B7259E"/>
    <w:rsid w:val="00B77B5E"/>
    <w:rsid w:val="00B84F72"/>
    <w:rsid w:val="00B87806"/>
    <w:rsid w:val="00B87EC9"/>
    <w:rsid w:val="00B94B5C"/>
    <w:rsid w:val="00BA571D"/>
    <w:rsid w:val="00BB673D"/>
    <w:rsid w:val="00BB7A98"/>
    <w:rsid w:val="00BC2133"/>
    <w:rsid w:val="00BC38FD"/>
    <w:rsid w:val="00BC4568"/>
    <w:rsid w:val="00BC606A"/>
    <w:rsid w:val="00BD0A5A"/>
    <w:rsid w:val="00BD5AC3"/>
    <w:rsid w:val="00BD7A67"/>
    <w:rsid w:val="00BE237F"/>
    <w:rsid w:val="00BE7ED7"/>
    <w:rsid w:val="00C034CB"/>
    <w:rsid w:val="00C04BED"/>
    <w:rsid w:val="00C051A8"/>
    <w:rsid w:val="00C054BC"/>
    <w:rsid w:val="00C0681D"/>
    <w:rsid w:val="00C077BB"/>
    <w:rsid w:val="00C17897"/>
    <w:rsid w:val="00C2093A"/>
    <w:rsid w:val="00C409D5"/>
    <w:rsid w:val="00C41252"/>
    <w:rsid w:val="00C435C3"/>
    <w:rsid w:val="00C4486D"/>
    <w:rsid w:val="00C44E5F"/>
    <w:rsid w:val="00C51B7C"/>
    <w:rsid w:val="00C56158"/>
    <w:rsid w:val="00C6234B"/>
    <w:rsid w:val="00C63EAE"/>
    <w:rsid w:val="00C73260"/>
    <w:rsid w:val="00C7629F"/>
    <w:rsid w:val="00C8661B"/>
    <w:rsid w:val="00CA03C8"/>
    <w:rsid w:val="00CA0DF3"/>
    <w:rsid w:val="00CA139A"/>
    <w:rsid w:val="00CA2899"/>
    <w:rsid w:val="00CA3A3D"/>
    <w:rsid w:val="00CA3AA6"/>
    <w:rsid w:val="00CA4180"/>
    <w:rsid w:val="00CA4926"/>
    <w:rsid w:val="00CA4B2F"/>
    <w:rsid w:val="00CA6EC3"/>
    <w:rsid w:val="00CA77FB"/>
    <w:rsid w:val="00CB1407"/>
    <w:rsid w:val="00CB379B"/>
    <w:rsid w:val="00CB5A21"/>
    <w:rsid w:val="00CB5DD0"/>
    <w:rsid w:val="00CC091A"/>
    <w:rsid w:val="00CC2007"/>
    <w:rsid w:val="00CC43A0"/>
    <w:rsid w:val="00CC51D4"/>
    <w:rsid w:val="00CC58DE"/>
    <w:rsid w:val="00CC65DA"/>
    <w:rsid w:val="00CC670D"/>
    <w:rsid w:val="00CD42FB"/>
    <w:rsid w:val="00CF21B9"/>
    <w:rsid w:val="00CF3BE2"/>
    <w:rsid w:val="00CF6BF9"/>
    <w:rsid w:val="00D03800"/>
    <w:rsid w:val="00D065D3"/>
    <w:rsid w:val="00D11479"/>
    <w:rsid w:val="00D14C94"/>
    <w:rsid w:val="00D22DA3"/>
    <w:rsid w:val="00D30F99"/>
    <w:rsid w:val="00D32274"/>
    <w:rsid w:val="00D342A6"/>
    <w:rsid w:val="00D3586C"/>
    <w:rsid w:val="00D3732E"/>
    <w:rsid w:val="00D44AFB"/>
    <w:rsid w:val="00D45CA6"/>
    <w:rsid w:val="00D464BF"/>
    <w:rsid w:val="00D53D9C"/>
    <w:rsid w:val="00D53E26"/>
    <w:rsid w:val="00D57FD9"/>
    <w:rsid w:val="00D64F32"/>
    <w:rsid w:val="00D66008"/>
    <w:rsid w:val="00D66884"/>
    <w:rsid w:val="00D84AB9"/>
    <w:rsid w:val="00D86966"/>
    <w:rsid w:val="00DA0451"/>
    <w:rsid w:val="00DA4FDA"/>
    <w:rsid w:val="00DA7176"/>
    <w:rsid w:val="00DA7A32"/>
    <w:rsid w:val="00DB1238"/>
    <w:rsid w:val="00DB182C"/>
    <w:rsid w:val="00DC59BC"/>
    <w:rsid w:val="00DC6851"/>
    <w:rsid w:val="00DD4F0E"/>
    <w:rsid w:val="00DE0EAF"/>
    <w:rsid w:val="00DE4234"/>
    <w:rsid w:val="00DE4C60"/>
    <w:rsid w:val="00DF0BF0"/>
    <w:rsid w:val="00DF2CD7"/>
    <w:rsid w:val="00DF3CA2"/>
    <w:rsid w:val="00DF3E24"/>
    <w:rsid w:val="00E01463"/>
    <w:rsid w:val="00E05E0A"/>
    <w:rsid w:val="00E060BE"/>
    <w:rsid w:val="00E12C46"/>
    <w:rsid w:val="00E215FE"/>
    <w:rsid w:val="00E32450"/>
    <w:rsid w:val="00E327D5"/>
    <w:rsid w:val="00E36FA2"/>
    <w:rsid w:val="00E534CF"/>
    <w:rsid w:val="00E542D6"/>
    <w:rsid w:val="00E56DE1"/>
    <w:rsid w:val="00E61615"/>
    <w:rsid w:val="00E636F6"/>
    <w:rsid w:val="00E6370A"/>
    <w:rsid w:val="00E71E8D"/>
    <w:rsid w:val="00E74A13"/>
    <w:rsid w:val="00E81CB4"/>
    <w:rsid w:val="00E81D9C"/>
    <w:rsid w:val="00E8271A"/>
    <w:rsid w:val="00E8585B"/>
    <w:rsid w:val="00E865BD"/>
    <w:rsid w:val="00E87F41"/>
    <w:rsid w:val="00E9108C"/>
    <w:rsid w:val="00E91CAE"/>
    <w:rsid w:val="00E9584F"/>
    <w:rsid w:val="00EA2F07"/>
    <w:rsid w:val="00EA3F15"/>
    <w:rsid w:val="00EA7481"/>
    <w:rsid w:val="00EA7847"/>
    <w:rsid w:val="00EB064A"/>
    <w:rsid w:val="00EB464F"/>
    <w:rsid w:val="00EB4C2F"/>
    <w:rsid w:val="00ED4BCF"/>
    <w:rsid w:val="00EE0C09"/>
    <w:rsid w:val="00EE1824"/>
    <w:rsid w:val="00EE2E6E"/>
    <w:rsid w:val="00F01EEE"/>
    <w:rsid w:val="00F03EF9"/>
    <w:rsid w:val="00F0759E"/>
    <w:rsid w:val="00F13CB1"/>
    <w:rsid w:val="00F147C2"/>
    <w:rsid w:val="00F16A43"/>
    <w:rsid w:val="00F17FAC"/>
    <w:rsid w:val="00F2765F"/>
    <w:rsid w:val="00F40AAB"/>
    <w:rsid w:val="00F46780"/>
    <w:rsid w:val="00F77D2D"/>
    <w:rsid w:val="00F821A3"/>
    <w:rsid w:val="00F9314A"/>
    <w:rsid w:val="00F940B2"/>
    <w:rsid w:val="00F974D6"/>
    <w:rsid w:val="00FA117B"/>
    <w:rsid w:val="00FC58EF"/>
    <w:rsid w:val="00FD0865"/>
    <w:rsid w:val="00FD30B8"/>
    <w:rsid w:val="00FD33DF"/>
    <w:rsid w:val="00FD41AF"/>
    <w:rsid w:val="00FE009A"/>
    <w:rsid w:val="00FE0DD8"/>
    <w:rsid w:val="00FE3084"/>
    <w:rsid w:val="00FE39D7"/>
    <w:rsid w:val="00FE440E"/>
    <w:rsid w:val="00FE5690"/>
    <w:rsid w:val="00FF07E5"/>
    <w:rsid w:val="00FF67B8"/>
    <w:rsid w:val="00FF7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004464C"/>
  <w15:chartTrackingRefBased/>
  <w15:docId w15:val="{58EB9C1C-D554-40B0-B54C-325747AD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qFormat/>
    <w:rsid w:val="001405C6"/>
    <w:pPr>
      <w:ind w:left="708"/>
    </w:pPr>
    <w:rPr>
      <w:sz w:val="20"/>
      <w:szCs w:val="20"/>
      <w:lang w:val="es-CO"/>
    </w:rPr>
  </w:style>
  <w:style w:type="character" w:customStyle="1" w:styleId="PrrafodelistaCar">
    <w:name w:val="Párrafo de lista Car"/>
    <w:aliases w:val="Párrafo de lista1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785E91"/>
    <w:rPr>
      <w:vertAlign w:val="superscript"/>
    </w:rPr>
  </w:style>
  <w:style w:type="paragraph" w:styleId="Textonotapie">
    <w:name w:val="footnote text"/>
    <w:basedOn w:val="Normal"/>
    <w:link w:val="TextonotapieCar"/>
    <w:uiPriority w:val="99"/>
    <w:semiHidden/>
    <w:rsid w:val="00785E91"/>
    <w:pPr>
      <w:ind w:left="0"/>
      <w:jc w:val="both"/>
    </w:pPr>
    <w:rPr>
      <w:rFonts w:ascii="CG Times (W1)" w:hAnsi="CG Times (W1)"/>
      <w:sz w:val="20"/>
      <w:szCs w:val="20"/>
      <w:lang w:val="es-ES_tradnl"/>
    </w:rPr>
  </w:style>
  <w:style w:type="character" w:customStyle="1" w:styleId="TextonotapieCar">
    <w:name w:val="Texto nota pie Car"/>
    <w:link w:val="Textonotapie"/>
    <w:uiPriority w:val="99"/>
    <w:semiHidden/>
    <w:rsid w:val="00785E91"/>
    <w:rPr>
      <w:rFonts w:ascii="CG Times (W1)" w:hAnsi="CG Times (W1)"/>
      <w:lang w:val="es-ES_tradnl" w:eastAsia="es-ES"/>
    </w:rPr>
  </w:style>
  <w:style w:type="paragraph" w:customStyle="1" w:styleId="Numeracin">
    <w:name w:val="Numeración"/>
    <w:basedOn w:val="Prrafodelista"/>
    <w:link w:val="NumeracinCar"/>
    <w:qFormat/>
    <w:rsid w:val="00FF07E5"/>
    <w:pPr>
      <w:numPr>
        <w:numId w:val="23"/>
      </w:numPr>
      <w:tabs>
        <w:tab w:val="left" w:pos="284"/>
      </w:tabs>
      <w:spacing w:before="120" w:after="120"/>
      <w:ind w:left="924" w:hanging="357"/>
      <w:jc w:val="both"/>
    </w:pPr>
    <w:rPr>
      <w:rFonts w:ascii="Bookman Old Style" w:hAnsi="Bookman Old Style"/>
      <w:sz w:val="24"/>
    </w:rPr>
  </w:style>
  <w:style w:type="character" w:customStyle="1" w:styleId="NumeracinCar">
    <w:name w:val="Numeración Car"/>
    <w:link w:val="Numeracin"/>
    <w:rsid w:val="00FF07E5"/>
    <w:rPr>
      <w:rFonts w:ascii="Bookman Old Style" w:hAnsi="Bookman Old Style"/>
      <w:sz w:val="24"/>
      <w:lang w:eastAsia="es-ES"/>
    </w:rPr>
  </w:style>
  <w:style w:type="character" w:styleId="Refdecomentario">
    <w:name w:val="annotation reference"/>
    <w:uiPriority w:val="99"/>
    <w:semiHidden/>
    <w:unhideWhenUsed/>
    <w:rsid w:val="00560208"/>
    <w:rPr>
      <w:sz w:val="16"/>
      <w:szCs w:val="16"/>
    </w:rPr>
  </w:style>
  <w:style w:type="paragraph" w:styleId="Textocomentario">
    <w:name w:val="annotation text"/>
    <w:basedOn w:val="Normal"/>
    <w:link w:val="TextocomentarioCar"/>
    <w:uiPriority w:val="99"/>
    <w:unhideWhenUsed/>
    <w:rsid w:val="00560208"/>
    <w:rPr>
      <w:sz w:val="20"/>
      <w:szCs w:val="20"/>
    </w:rPr>
  </w:style>
  <w:style w:type="character" w:customStyle="1" w:styleId="TextocomentarioCar">
    <w:name w:val="Texto comentario Car"/>
    <w:link w:val="Textocomentario"/>
    <w:uiPriority w:val="99"/>
    <w:rsid w:val="00560208"/>
    <w:rPr>
      <w:lang w:val="es-ES" w:eastAsia="es-ES"/>
    </w:rPr>
  </w:style>
  <w:style w:type="character" w:styleId="Textodelmarcadordeposicin">
    <w:name w:val="Placeholder Text"/>
    <w:basedOn w:val="Fuentedeprrafopredeter"/>
    <w:uiPriority w:val="99"/>
    <w:semiHidden/>
    <w:rsid w:val="00D66884"/>
    <w:rPr>
      <w:color w:val="808080"/>
    </w:rPr>
  </w:style>
  <w:style w:type="character" w:styleId="Hipervnculo">
    <w:name w:val="Hyperlink"/>
    <w:basedOn w:val="Fuentedeprrafopredeter"/>
    <w:uiPriority w:val="99"/>
    <w:unhideWhenUsed/>
    <w:rsid w:val="003D4B0F"/>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FA117B"/>
    <w:rPr>
      <w:b/>
      <w:bCs/>
    </w:rPr>
  </w:style>
  <w:style w:type="character" w:customStyle="1" w:styleId="AsuntodelcomentarioCar">
    <w:name w:val="Asunto del comentario Car"/>
    <w:basedOn w:val="TextocomentarioCar"/>
    <w:link w:val="Asuntodelcomentario"/>
    <w:uiPriority w:val="99"/>
    <w:semiHidden/>
    <w:rsid w:val="00FA117B"/>
    <w:rPr>
      <w:b/>
      <w:bCs/>
      <w:lang w:val="es-ES" w:eastAsia="es-ES"/>
    </w:rPr>
  </w:style>
  <w:style w:type="paragraph" w:styleId="NormalWeb">
    <w:name w:val="Normal (Web)"/>
    <w:basedOn w:val="Normal"/>
    <w:uiPriority w:val="99"/>
    <w:semiHidden/>
    <w:unhideWhenUsed/>
    <w:rsid w:val="00D22DA3"/>
    <w:pPr>
      <w:spacing w:before="100" w:beforeAutospacing="1" w:after="100" w:afterAutospacing="1"/>
      <w:ind w:left="0"/>
    </w:pPr>
    <w:rPr>
      <w:lang w:val="es-CO" w:eastAsia="es-CO"/>
    </w:rPr>
  </w:style>
  <w:style w:type="character" w:customStyle="1" w:styleId="normaltextrun">
    <w:name w:val="normaltextrun"/>
    <w:basedOn w:val="Fuentedeprrafopredeter"/>
    <w:rsid w:val="006075FA"/>
  </w:style>
  <w:style w:type="character" w:customStyle="1" w:styleId="eop">
    <w:name w:val="eop"/>
    <w:basedOn w:val="Fuentedeprrafopredeter"/>
    <w:rsid w:val="0060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1197">
      <w:bodyDiv w:val="1"/>
      <w:marLeft w:val="0"/>
      <w:marRight w:val="0"/>
      <w:marTop w:val="0"/>
      <w:marBottom w:val="0"/>
      <w:divBdr>
        <w:top w:val="none" w:sz="0" w:space="0" w:color="auto"/>
        <w:left w:val="none" w:sz="0" w:space="0" w:color="auto"/>
        <w:bottom w:val="none" w:sz="0" w:space="0" w:color="auto"/>
        <w:right w:val="none" w:sz="0" w:space="0" w:color="auto"/>
      </w:divBdr>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6" ma:contentTypeDescription="Crear nuevo documento." ma:contentTypeScope="" ma:versionID="ad9f67129c7c1b57f3e379657ef6ee3d">
  <xsd:schema xmlns:xsd="http://www.w3.org/2001/XMLSchema" xmlns:xs="http://www.w3.org/2001/XMLSchema" xmlns:p="http://schemas.microsoft.com/office/2006/metadata/properties" xmlns:ns2="dc013113-1dca-4df1-85dc-f9b02cbd6c8a" targetNamespace="http://schemas.microsoft.com/office/2006/metadata/properties" ma:root="true" ma:fieldsID="a45fadda117c48f7ecaf60d7c5d56dc1" ns2:_="">
    <xsd:import namespace="dc013113-1dca-4df1-85dc-f9b02cbd6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013A3-4164-42EC-AEF2-FE0FAC6B6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96F78-FAD4-4207-8385-566E5C1D9F07}">
  <ds:schemaRefs>
    <ds:schemaRef ds:uri="http://schemas.openxmlformats.org/officeDocument/2006/bibliography"/>
  </ds:schemaRefs>
</ds:datastoreItem>
</file>

<file path=customXml/itemProps3.xml><?xml version="1.0" encoding="utf-8"?>
<ds:datastoreItem xmlns:ds="http://schemas.openxmlformats.org/officeDocument/2006/customXml" ds:itemID="{965D3AFF-8360-4CCC-97C6-4D4BA0EF2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E54D05-0C80-4D12-B169-789F1F67E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2533</Words>
  <Characters>13936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2021-10-11T14:35:00Z</cp:lastPrinted>
  <dcterms:created xsi:type="dcterms:W3CDTF">2021-10-12T22:14:00Z</dcterms:created>
  <dcterms:modified xsi:type="dcterms:W3CDTF">2021-10-12T22:14:00Z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0x010100F9DDBF8EA4AC10409E5DD136B884FF26</vt:lpwstr>
  </property>
</Properties>
</file>