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8FBC" w14:textId="77777777" w:rsidR="00625DC6" w:rsidRPr="00576D9E" w:rsidRDefault="00000000" w:rsidP="005B0C05">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2F06E376">
          <v:shape id="_x0000_s2050" type="#_x0000_t75" style="position:absolute;left:0;text-align:left;margin-left:207.3pt;margin-top:-57.85pt;width:52.5pt;height:48.75pt;z-index:251658240" fillcolor="#0c9">
            <v:imagedata r:id="rId11" o:title=""/>
          </v:shape>
          <o:OLEObject Type="Embed" ProgID="PBrush" ShapeID="_x0000_s2050" DrawAspect="Content" ObjectID="_1740211277" r:id="rId12"/>
        </w:object>
      </w:r>
    </w:p>
    <w:p w14:paraId="5AAEC2D0" w14:textId="77777777" w:rsidR="00CA77FB" w:rsidRPr="00576D9E" w:rsidRDefault="00CA77FB" w:rsidP="005E20D0">
      <w:pPr>
        <w:pStyle w:val="Ttulo4"/>
        <w:tabs>
          <w:tab w:val="left" w:pos="0"/>
          <w:tab w:val="right" w:pos="9356"/>
        </w:tabs>
        <w:ind w:left="0"/>
        <w:rPr>
          <w:rFonts w:ascii="Bookman Old Style" w:hAnsi="Bookman Old Style"/>
          <w:b w:val="0"/>
          <w:bCs/>
          <w:noProof/>
          <w:sz w:val="24"/>
          <w:szCs w:val="24"/>
          <w:lang w:val="es-ES"/>
        </w:rPr>
      </w:pPr>
      <w:r w:rsidRPr="00576D9E">
        <w:rPr>
          <w:rFonts w:ascii="Bookman Old Style" w:hAnsi="Bookman Old Style"/>
          <w:b w:val="0"/>
          <w:bCs/>
          <w:sz w:val="24"/>
          <w:szCs w:val="24"/>
        </w:rPr>
        <w:t>Ministerio de Minas y Energía</w:t>
      </w:r>
    </w:p>
    <w:p w14:paraId="7D748325" w14:textId="77777777" w:rsidR="00CA77FB" w:rsidRPr="00576D9E" w:rsidRDefault="00CA77FB" w:rsidP="00896383">
      <w:pPr>
        <w:ind w:left="0"/>
      </w:pPr>
    </w:p>
    <w:p w14:paraId="79D82916" w14:textId="77777777" w:rsidR="00CA77FB" w:rsidRPr="00576D9E" w:rsidRDefault="00CA77FB" w:rsidP="00012259">
      <w:pPr>
        <w:pStyle w:val="Ttulo3"/>
        <w:tabs>
          <w:tab w:val="left" w:pos="0"/>
          <w:tab w:val="right" w:pos="9356"/>
        </w:tabs>
        <w:ind w:left="0"/>
        <w:rPr>
          <w:rFonts w:ascii="Bookman Old Style" w:hAnsi="Bookman Old Style" w:cs="Arial"/>
          <w:spacing w:val="20"/>
          <w:szCs w:val="24"/>
        </w:rPr>
      </w:pPr>
      <w:r w:rsidRPr="00576D9E">
        <w:rPr>
          <w:rFonts w:ascii="Bookman Old Style" w:hAnsi="Bookman Old Style" w:cs="Arial"/>
          <w:spacing w:val="20"/>
          <w:szCs w:val="24"/>
        </w:rPr>
        <w:t>COMISIÓN DE REGULACIÓN DE ENERGÍA Y GAS</w:t>
      </w:r>
    </w:p>
    <w:p w14:paraId="74AD1A90" w14:textId="77777777" w:rsidR="00CA77FB" w:rsidRPr="00576D9E" w:rsidRDefault="00CA77FB" w:rsidP="00012259">
      <w:pPr>
        <w:pStyle w:val="Ttulo5"/>
        <w:tabs>
          <w:tab w:val="left" w:pos="0"/>
          <w:tab w:val="right" w:pos="9356"/>
        </w:tabs>
        <w:ind w:left="0"/>
        <w:rPr>
          <w:rFonts w:ascii="Bookman Old Style" w:hAnsi="Bookman Old Style"/>
          <w:sz w:val="24"/>
          <w:szCs w:val="24"/>
        </w:rPr>
      </w:pPr>
    </w:p>
    <w:p w14:paraId="2FE103F8" w14:textId="77777777" w:rsidR="00CA77FB" w:rsidRPr="00576D9E" w:rsidRDefault="00CA77FB" w:rsidP="00012259">
      <w:pPr>
        <w:pStyle w:val="Ttulo5"/>
        <w:tabs>
          <w:tab w:val="left" w:pos="0"/>
          <w:tab w:val="right" w:pos="9356"/>
        </w:tabs>
        <w:ind w:left="0"/>
        <w:rPr>
          <w:rFonts w:ascii="Bookman Old Style" w:hAnsi="Bookman Old Style"/>
          <w:sz w:val="24"/>
          <w:szCs w:val="24"/>
        </w:rPr>
      </w:pPr>
    </w:p>
    <w:p w14:paraId="25F4B2B3" w14:textId="2650398A" w:rsidR="004D3CB9" w:rsidRDefault="004D3CB9" w:rsidP="004D3CB9">
      <w:pPr>
        <w:tabs>
          <w:tab w:val="left" w:pos="0"/>
          <w:tab w:val="right" w:pos="9356"/>
        </w:tabs>
        <w:ind w:left="0"/>
        <w:contextualSpacing/>
        <w:jc w:val="center"/>
        <w:rPr>
          <w:rFonts w:ascii="Bookman Old Style" w:hAnsi="Bookman Old Style"/>
          <w:b/>
          <w:spacing w:val="20"/>
          <w:sz w:val="28"/>
          <w:szCs w:val="28"/>
        </w:rPr>
      </w:pPr>
      <w:r w:rsidRPr="0099732F">
        <w:rPr>
          <w:rFonts w:ascii="Bookman Old Style" w:hAnsi="Bookman Old Style"/>
          <w:b/>
          <w:spacing w:val="20"/>
          <w:sz w:val="28"/>
          <w:szCs w:val="28"/>
        </w:rPr>
        <w:t>RESOLUCIÓN No.</w:t>
      </w:r>
      <w:r w:rsidR="00F2589C">
        <w:rPr>
          <w:rFonts w:ascii="Bookman Old Style" w:hAnsi="Bookman Old Style"/>
          <w:b/>
          <w:bCs/>
          <w:spacing w:val="20"/>
          <w:sz w:val="32"/>
          <w:szCs w:val="32"/>
        </w:rPr>
        <w:t>501</w:t>
      </w:r>
      <w:r w:rsidR="00837A36">
        <w:rPr>
          <w:rFonts w:ascii="Bookman Old Style" w:hAnsi="Bookman Old Style"/>
          <w:b/>
          <w:bCs/>
          <w:spacing w:val="20"/>
          <w:sz w:val="32"/>
          <w:szCs w:val="32"/>
        </w:rPr>
        <w:t xml:space="preserve"> 002</w:t>
      </w:r>
      <w:r w:rsidR="007F7E77">
        <w:rPr>
          <w:rFonts w:ascii="Bookman Old Style" w:hAnsi="Bookman Old Style"/>
          <w:b/>
          <w:bCs/>
          <w:spacing w:val="20"/>
          <w:sz w:val="28"/>
          <w:szCs w:val="28"/>
        </w:rPr>
        <w:t xml:space="preserve"> DE 202</w:t>
      </w:r>
      <w:r w:rsidR="00D30DF2">
        <w:rPr>
          <w:rFonts w:ascii="Bookman Old Style" w:hAnsi="Bookman Old Style"/>
          <w:b/>
          <w:bCs/>
          <w:spacing w:val="20"/>
          <w:sz w:val="28"/>
          <w:szCs w:val="28"/>
        </w:rPr>
        <w:t>3</w:t>
      </w:r>
      <w:r w:rsidRPr="0099732F">
        <w:rPr>
          <w:rFonts w:ascii="Bookman Old Style" w:hAnsi="Bookman Old Style"/>
          <w:b/>
          <w:spacing w:val="20"/>
          <w:sz w:val="28"/>
          <w:szCs w:val="28"/>
        </w:rPr>
        <w:t xml:space="preserve"> </w:t>
      </w:r>
    </w:p>
    <w:p w14:paraId="660F7E9D" w14:textId="77777777" w:rsidR="007F7E77" w:rsidRPr="0099732F" w:rsidRDefault="007F7E77" w:rsidP="004D3CB9">
      <w:pPr>
        <w:tabs>
          <w:tab w:val="left" w:pos="0"/>
          <w:tab w:val="right" w:pos="9356"/>
        </w:tabs>
        <w:ind w:left="0"/>
        <w:contextualSpacing/>
        <w:jc w:val="center"/>
        <w:rPr>
          <w:rFonts w:ascii="Bookman Old Style" w:hAnsi="Bookman Old Style" w:cs="Arial"/>
          <w:b/>
          <w:snapToGrid w:val="0"/>
          <w:color w:val="000000"/>
          <w:sz w:val="28"/>
          <w:szCs w:val="28"/>
          <w:lang w:val="es-ES_tradnl"/>
        </w:rPr>
      </w:pPr>
    </w:p>
    <w:p w14:paraId="37784077" w14:textId="09D9D1F8" w:rsidR="004D3CB9" w:rsidRPr="0099732F" w:rsidRDefault="004D3CB9" w:rsidP="004D3CB9">
      <w:pPr>
        <w:ind w:left="0"/>
        <w:contextualSpacing/>
        <w:jc w:val="center"/>
        <w:rPr>
          <w:rFonts w:ascii="Bookman Old Style" w:hAnsi="Bookman Old Style"/>
          <w:sz w:val="28"/>
          <w:szCs w:val="28"/>
        </w:rPr>
      </w:pPr>
      <w:r w:rsidRPr="005C277E">
        <w:rPr>
          <w:rFonts w:ascii="Bookman Old Style" w:hAnsi="Bookman Old Style"/>
          <w:sz w:val="28"/>
          <w:szCs w:val="28"/>
        </w:rPr>
        <w:t>(</w:t>
      </w:r>
      <w:r w:rsidR="00837A36" w:rsidRPr="00837A36">
        <w:rPr>
          <w:rFonts w:ascii="Bookman Old Style" w:hAnsi="Bookman Old Style"/>
          <w:b/>
          <w:bCs/>
          <w:sz w:val="28"/>
          <w:szCs w:val="28"/>
        </w:rPr>
        <w:t xml:space="preserve">23 ENE. </w:t>
      </w:r>
      <w:r w:rsidRPr="005C277E">
        <w:rPr>
          <w:rFonts w:ascii="Bookman Old Style" w:hAnsi="Bookman Old Style"/>
          <w:b/>
          <w:sz w:val="32"/>
          <w:szCs w:val="32"/>
        </w:rPr>
        <w:t>202</w:t>
      </w:r>
      <w:r w:rsidR="00837A36">
        <w:rPr>
          <w:rFonts w:ascii="Bookman Old Style" w:hAnsi="Bookman Old Style"/>
          <w:b/>
          <w:sz w:val="32"/>
          <w:szCs w:val="32"/>
        </w:rPr>
        <w:t>3</w:t>
      </w:r>
      <w:r w:rsidRPr="005C277E">
        <w:rPr>
          <w:rFonts w:ascii="Bookman Old Style" w:hAnsi="Bookman Old Style"/>
          <w:sz w:val="28"/>
          <w:szCs w:val="28"/>
        </w:rPr>
        <w:t>)</w:t>
      </w:r>
    </w:p>
    <w:p w14:paraId="1B4DDAFE" w14:textId="77777777" w:rsidR="004D3CB9" w:rsidRPr="004D3CB9" w:rsidRDefault="004D3CB9" w:rsidP="004D3CB9">
      <w:pPr>
        <w:tabs>
          <w:tab w:val="left" w:pos="0"/>
          <w:tab w:val="right" w:pos="9356"/>
        </w:tabs>
        <w:ind w:left="0"/>
        <w:contextualSpacing/>
        <w:jc w:val="center"/>
        <w:rPr>
          <w:rFonts w:ascii="Bookman Old Style" w:hAnsi="Bookman Old Style"/>
          <w:lang w:val="es-ES_tradnl"/>
        </w:rPr>
      </w:pPr>
    </w:p>
    <w:p w14:paraId="14D6F9E0" w14:textId="77777777" w:rsidR="004D3CB9" w:rsidRPr="004D3CB9" w:rsidRDefault="004D3CB9" w:rsidP="004D3CB9">
      <w:pPr>
        <w:ind w:left="0"/>
        <w:contextualSpacing/>
        <w:jc w:val="both"/>
        <w:rPr>
          <w:rFonts w:ascii="Bookman Old Style" w:hAnsi="Bookman Old Style"/>
        </w:rPr>
      </w:pPr>
    </w:p>
    <w:p w14:paraId="3AF5E201" w14:textId="1E8E7C58" w:rsidR="00E01463" w:rsidRPr="00F21C25" w:rsidRDefault="00F21C25" w:rsidP="00F21C25">
      <w:pPr>
        <w:ind w:left="0"/>
        <w:jc w:val="center"/>
        <w:rPr>
          <w:rFonts w:ascii="Bookman Old Style" w:hAnsi="Bookman Old Style" w:cs="Arial"/>
        </w:rPr>
      </w:pPr>
      <w:r w:rsidRPr="00477655">
        <w:rPr>
          <w:rFonts w:ascii="Bookman Old Style" w:hAnsi="Bookman Old Style" w:cs="Arial"/>
        </w:rPr>
        <w:t>Por la cual se</w:t>
      </w:r>
      <w:r w:rsidR="00E400A6">
        <w:rPr>
          <w:rFonts w:ascii="Bookman Old Style" w:hAnsi="Bookman Old Style" w:cs="Arial"/>
        </w:rPr>
        <w:t xml:space="preserve"> decide la solicitud de Revocatoria Directa con</w:t>
      </w:r>
      <w:r w:rsidR="00DE763E">
        <w:rPr>
          <w:rFonts w:ascii="Bookman Old Style" w:hAnsi="Bookman Old Style" w:cs="Arial"/>
        </w:rPr>
        <w:t xml:space="preserve">tra la </w:t>
      </w:r>
      <w:r w:rsidR="00A360FE">
        <w:rPr>
          <w:rFonts w:ascii="Bookman Old Style" w:hAnsi="Bookman Old Style" w:cs="Arial"/>
        </w:rPr>
        <w:t>R</w:t>
      </w:r>
      <w:r w:rsidR="00DE763E">
        <w:rPr>
          <w:rFonts w:ascii="Bookman Old Style" w:hAnsi="Bookman Old Style" w:cs="Arial"/>
        </w:rPr>
        <w:t xml:space="preserve">esolución CREG 101 028 </w:t>
      </w:r>
      <w:r w:rsidR="001A37C6">
        <w:rPr>
          <w:rFonts w:ascii="Bookman Old Style" w:hAnsi="Bookman Old Style" w:cs="Arial"/>
        </w:rPr>
        <w:t>de</w:t>
      </w:r>
      <w:r w:rsidR="00DE763E">
        <w:rPr>
          <w:rFonts w:ascii="Bookman Old Style" w:hAnsi="Bookman Old Style" w:cs="Arial"/>
        </w:rPr>
        <w:t xml:space="preserve"> 2022</w:t>
      </w:r>
      <w:r w:rsidR="00D00B90">
        <w:rPr>
          <w:rFonts w:ascii="Bookman Old Style" w:hAnsi="Bookman Old Style" w:cs="Arial"/>
        </w:rPr>
        <w:t xml:space="preserve"> </w:t>
      </w:r>
      <w:r w:rsidR="00CC6750">
        <w:rPr>
          <w:rFonts w:ascii="Bookman Old Style" w:hAnsi="Bookman Old Style" w:cs="Arial"/>
        </w:rPr>
        <w:t>“</w:t>
      </w:r>
      <w:r w:rsidR="00D00B90" w:rsidRPr="00477655">
        <w:rPr>
          <w:rFonts w:ascii="Bookman Old Style" w:hAnsi="Bookman Old Style" w:cs="Arial"/>
        </w:rPr>
        <w:t xml:space="preserve">Por la cual se hacen modificaciones a las Resoluciones CREG 024 </w:t>
      </w:r>
      <w:r w:rsidR="00D00B90">
        <w:rPr>
          <w:rFonts w:ascii="Bookman Old Style" w:hAnsi="Bookman Old Style" w:cs="Arial"/>
        </w:rPr>
        <w:t>y</w:t>
      </w:r>
      <w:r w:rsidR="00D00B90" w:rsidRPr="00477655">
        <w:rPr>
          <w:rFonts w:ascii="Bookman Old Style" w:hAnsi="Bookman Old Style" w:cs="Arial"/>
        </w:rPr>
        <w:t xml:space="preserve"> 025 de 1995, </w:t>
      </w:r>
      <w:r w:rsidR="00D00B90">
        <w:rPr>
          <w:rFonts w:ascii="Bookman Old Style" w:hAnsi="Bookman Old Style" w:cs="Arial"/>
        </w:rPr>
        <w:t xml:space="preserve">y </w:t>
      </w:r>
      <w:r w:rsidR="00D00B90" w:rsidRPr="00477655">
        <w:rPr>
          <w:rFonts w:ascii="Bookman Old Style" w:hAnsi="Bookman Old Style" w:cs="Arial"/>
        </w:rPr>
        <w:t>CREG 062 de 2000 y se establecen otras disposiciones</w:t>
      </w:r>
      <w:r w:rsidR="00CC6750">
        <w:rPr>
          <w:rFonts w:ascii="Bookman Old Style" w:hAnsi="Bookman Old Style" w:cs="Arial"/>
        </w:rPr>
        <w:t>”</w:t>
      </w:r>
      <w:r w:rsidR="0051546B" w:rsidRPr="00477655">
        <w:rPr>
          <w:rFonts w:ascii="Bookman Old Style" w:hAnsi="Bookman Old Style" w:cs="Arial"/>
        </w:rPr>
        <w:t>.</w:t>
      </w:r>
    </w:p>
    <w:p w14:paraId="05EC1124" w14:textId="77777777" w:rsidR="00860320" w:rsidRDefault="00860320" w:rsidP="0069340F">
      <w:pPr>
        <w:ind w:left="0"/>
        <w:jc w:val="center"/>
        <w:rPr>
          <w:rFonts w:ascii="Bookman Old Style" w:hAnsi="Bookman Old Style"/>
          <w:b/>
        </w:rPr>
      </w:pPr>
    </w:p>
    <w:p w14:paraId="4C5A3E36" w14:textId="77777777" w:rsidR="00B25C2A" w:rsidRDefault="00B25C2A" w:rsidP="0069340F">
      <w:pPr>
        <w:ind w:left="0"/>
        <w:jc w:val="center"/>
        <w:rPr>
          <w:rFonts w:ascii="Bookman Old Style" w:hAnsi="Bookman Old Style"/>
          <w:b/>
        </w:rPr>
      </w:pPr>
    </w:p>
    <w:p w14:paraId="3D1176EF" w14:textId="77777777" w:rsidR="00E01463" w:rsidRPr="00576D9E" w:rsidRDefault="00E01463" w:rsidP="0069340F">
      <w:pPr>
        <w:ind w:left="0"/>
        <w:jc w:val="center"/>
        <w:rPr>
          <w:rFonts w:ascii="Bookman Old Style" w:hAnsi="Bookman Old Style"/>
          <w:b/>
        </w:rPr>
      </w:pPr>
      <w:r w:rsidRPr="00576D9E">
        <w:rPr>
          <w:rFonts w:ascii="Bookman Old Style" w:hAnsi="Bookman Old Style"/>
          <w:b/>
        </w:rPr>
        <w:t>LA COMISIÓN DE REGULACIÓN DE ENERGÍA Y GAS</w:t>
      </w:r>
    </w:p>
    <w:p w14:paraId="620C7614" w14:textId="77777777" w:rsidR="00E01463" w:rsidRPr="00AC7344" w:rsidRDefault="00E01463" w:rsidP="00DE6FA2">
      <w:pPr>
        <w:ind w:left="0"/>
        <w:jc w:val="center"/>
        <w:rPr>
          <w:rFonts w:ascii="Bookman Old Style" w:hAnsi="Bookman Old Style"/>
          <w:b/>
        </w:rPr>
      </w:pPr>
    </w:p>
    <w:p w14:paraId="131AD381" w14:textId="77777777" w:rsidR="00E01463" w:rsidRPr="00DE6FA2" w:rsidRDefault="00E01463" w:rsidP="00DE6FA2">
      <w:pPr>
        <w:ind w:left="0"/>
        <w:jc w:val="center"/>
        <w:rPr>
          <w:rFonts w:ascii="Bookman Old Style" w:hAnsi="Bookman Old Style"/>
          <w:b/>
        </w:rPr>
      </w:pPr>
    </w:p>
    <w:p w14:paraId="0730C778" w14:textId="77777777" w:rsidR="0044703C" w:rsidRPr="00576D9E" w:rsidRDefault="0044703C" w:rsidP="0044703C">
      <w:pPr>
        <w:ind w:left="0"/>
        <w:jc w:val="center"/>
        <w:rPr>
          <w:rFonts w:ascii="Bookman Old Style" w:hAnsi="Bookman Old Style"/>
          <w:b/>
        </w:rPr>
      </w:pPr>
      <w:r w:rsidRPr="00576D9E">
        <w:rPr>
          <w:rFonts w:ascii="Bookman Old Style" w:hAnsi="Bookman Old Style"/>
        </w:rPr>
        <w:t>En ejercicio de sus atribuciones constitucionales y legales, en especial las conferidas por las Leyes 142 y 143 de 1994, y en desarrollo de los Decretos 1524, 2253 de 1994 y 1260 de 2013.</w:t>
      </w:r>
    </w:p>
    <w:p w14:paraId="756104A2" w14:textId="77777777" w:rsidR="00E01463" w:rsidRPr="00576D9E" w:rsidRDefault="00E01463" w:rsidP="00E01463">
      <w:pPr>
        <w:tabs>
          <w:tab w:val="left" w:pos="624"/>
        </w:tabs>
        <w:ind w:left="0"/>
        <w:jc w:val="both"/>
        <w:rPr>
          <w:rFonts w:ascii="Bookman Old Style" w:hAnsi="Bookman Old Style" w:cs="Arial"/>
        </w:rPr>
      </w:pPr>
    </w:p>
    <w:p w14:paraId="41CE81AA" w14:textId="77777777" w:rsidR="00860320" w:rsidRPr="00576D9E" w:rsidRDefault="00860320" w:rsidP="00E01463">
      <w:pPr>
        <w:ind w:left="0"/>
        <w:jc w:val="both"/>
        <w:rPr>
          <w:rFonts w:ascii="Bookman Old Style" w:hAnsi="Bookman Old Style" w:cs="Arial"/>
        </w:rPr>
      </w:pPr>
    </w:p>
    <w:p w14:paraId="2A513A6A" w14:textId="77777777" w:rsidR="00E01463" w:rsidRPr="00576D9E" w:rsidRDefault="00E01463" w:rsidP="00E01463">
      <w:pPr>
        <w:pStyle w:val="TableHeading"/>
        <w:suppressLineNumbers w:val="0"/>
        <w:rPr>
          <w:rFonts w:ascii="Bookman Old Style" w:hAnsi="Bookman Old Style" w:cs="Arial"/>
          <w:bCs w:val="0"/>
          <w:sz w:val="24"/>
        </w:rPr>
      </w:pPr>
      <w:r w:rsidRPr="00576D9E">
        <w:rPr>
          <w:rFonts w:ascii="Bookman Old Style" w:hAnsi="Bookman Old Style" w:cs="Arial"/>
          <w:bCs w:val="0"/>
          <w:sz w:val="24"/>
        </w:rPr>
        <w:t xml:space="preserve">C O N S I D E R A N D O  </w:t>
      </w:r>
      <w:r w:rsidR="00405FB5">
        <w:rPr>
          <w:rFonts w:ascii="Bookman Old Style" w:hAnsi="Bookman Old Style" w:cs="Arial"/>
          <w:bCs w:val="0"/>
          <w:sz w:val="24"/>
        </w:rPr>
        <w:t xml:space="preserve"> </w:t>
      </w:r>
      <w:r w:rsidRPr="00576D9E">
        <w:rPr>
          <w:rFonts w:ascii="Bookman Old Style" w:hAnsi="Bookman Old Style" w:cs="Arial"/>
          <w:bCs w:val="0"/>
          <w:sz w:val="24"/>
        </w:rPr>
        <w:t>Q U E:</w:t>
      </w:r>
    </w:p>
    <w:p w14:paraId="2B568793" w14:textId="2564F32D" w:rsidR="0044703C" w:rsidRPr="00576D9E" w:rsidRDefault="0044703C" w:rsidP="0044703C">
      <w:pPr>
        <w:ind w:left="0"/>
        <w:jc w:val="both"/>
        <w:rPr>
          <w:rFonts w:ascii="Bookman Old Style" w:hAnsi="Bookman Old Style" w:cs="Arial"/>
        </w:rPr>
      </w:pPr>
    </w:p>
    <w:p w14:paraId="319BD0AB" w14:textId="77777777" w:rsidR="0044703C" w:rsidRPr="00576D9E" w:rsidRDefault="0044703C" w:rsidP="0044703C">
      <w:pPr>
        <w:ind w:left="0"/>
        <w:jc w:val="both"/>
        <w:rPr>
          <w:rFonts w:ascii="Bookman Old Style" w:hAnsi="Bookman Old Style" w:cs="Arial"/>
        </w:rPr>
      </w:pPr>
    </w:p>
    <w:p w14:paraId="0341BCD4" w14:textId="57868579" w:rsidR="0044703C" w:rsidRDefault="009D28B3" w:rsidP="00C565B7">
      <w:pPr>
        <w:pStyle w:val="Vietaletra"/>
        <w:numPr>
          <w:ilvl w:val="0"/>
          <w:numId w:val="0"/>
        </w:numPr>
        <w:suppressAutoHyphens w:val="0"/>
        <w:overflowPunct/>
        <w:autoSpaceDE/>
        <w:textAlignment w:val="auto"/>
        <w:rPr>
          <w:rFonts w:ascii="Bookman Old Style" w:hAnsi="Bookman Old Style" w:cs="Arial"/>
          <w:bCs/>
          <w:szCs w:val="24"/>
          <w:lang w:val="es-CO" w:eastAsia="es-ES"/>
        </w:rPr>
      </w:pPr>
      <w:r>
        <w:rPr>
          <w:rFonts w:ascii="Bookman Old Style" w:hAnsi="Bookman Old Style" w:cs="Arial"/>
          <w:bCs/>
          <w:szCs w:val="24"/>
          <w:lang w:val="es-CO" w:eastAsia="es-ES"/>
        </w:rPr>
        <w:t>L</w:t>
      </w:r>
      <w:r w:rsidR="00A778DE">
        <w:rPr>
          <w:rFonts w:ascii="Bookman Old Style" w:hAnsi="Bookman Old Style" w:cs="Arial"/>
          <w:bCs/>
          <w:szCs w:val="24"/>
          <w:lang w:val="es-CO" w:eastAsia="es-ES"/>
        </w:rPr>
        <w:t xml:space="preserve">a </w:t>
      </w:r>
      <w:r w:rsidR="0044703C" w:rsidRPr="00576D9E">
        <w:rPr>
          <w:rFonts w:ascii="Bookman Old Style" w:hAnsi="Bookman Old Style" w:cs="Arial"/>
          <w:bCs/>
          <w:szCs w:val="24"/>
          <w:lang w:val="es-CO" w:eastAsia="es-ES"/>
        </w:rPr>
        <w:t xml:space="preserve">Resolución </w:t>
      </w:r>
      <w:r>
        <w:rPr>
          <w:rFonts w:ascii="Bookman Old Style" w:hAnsi="Bookman Old Style" w:cs="Arial"/>
          <w:bCs/>
          <w:szCs w:val="24"/>
          <w:lang w:val="es-CO" w:eastAsia="es-ES"/>
        </w:rPr>
        <w:t xml:space="preserve">CREG </w:t>
      </w:r>
      <w:r w:rsidR="0044703C">
        <w:rPr>
          <w:rFonts w:ascii="Bookman Old Style" w:hAnsi="Bookman Old Style" w:cs="Arial"/>
          <w:bCs/>
          <w:szCs w:val="24"/>
          <w:lang w:val="es-CO" w:eastAsia="es-ES"/>
        </w:rPr>
        <w:t>025</w:t>
      </w:r>
      <w:r w:rsidR="0044703C" w:rsidRPr="00576D9E">
        <w:rPr>
          <w:rFonts w:ascii="Bookman Old Style" w:hAnsi="Bookman Old Style" w:cs="Arial"/>
          <w:bCs/>
          <w:szCs w:val="24"/>
          <w:lang w:val="es-CO" w:eastAsia="es-ES"/>
        </w:rPr>
        <w:t xml:space="preserve"> de </w:t>
      </w:r>
      <w:r w:rsidR="0044703C">
        <w:rPr>
          <w:rFonts w:ascii="Bookman Old Style" w:hAnsi="Bookman Old Style" w:cs="Arial"/>
          <w:bCs/>
          <w:szCs w:val="24"/>
          <w:lang w:val="es-CO" w:eastAsia="es-ES"/>
        </w:rPr>
        <w:t xml:space="preserve">1995 </w:t>
      </w:r>
      <w:r w:rsidR="0044703C" w:rsidRPr="003001B6">
        <w:rPr>
          <w:rFonts w:ascii="Bookman Old Style" w:hAnsi="Bookman Old Style" w:cs="Arial"/>
          <w:bCs/>
          <w:szCs w:val="24"/>
          <w:lang w:val="es-CO" w:eastAsia="es-ES"/>
        </w:rPr>
        <w:t>establec</w:t>
      </w:r>
      <w:r w:rsidR="0044703C">
        <w:rPr>
          <w:rFonts w:ascii="Bookman Old Style" w:hAnsi="Bookman Old Style" w:cs="Arial"/>
          <w:bCs/>
          <w:szCs w:val="24"/>
          <w:lang w:val="es-CO" w:eastAsia="es-ES"/>
        </w:rPr>
        <w:t>ió</w:t>
      </w:r>
      <w:r w:rsidR="0044703C" w:rsidRPr="003001B6">
        <w:rPr>
          <w:rFonts w:ascii="Bookman Old Style" w:hAnsi="Bookman Old Style" w:cs="Arial"/>
          <w:bCs/>
          <w:szCs w:val="24"/>
          <w:lang w:val="es-CO" w:eastAsia="es-ES"/>
        </w:rPr>
        <w:t xml:space="preserve"> el Código de Redes, como parte del Reglamento de Operación del Sistema Interconectado Nacional</w:t>
      </w:r>
      <w:r w:rsidR="00FE1EE6">
        <w:rPr>
          <w:rFonts w:ascii="Bookman Old Style" w:hAnsi="Bookman Old Style" w:cs="Arial"/>
          <w:bCs/>
          <w:szCs w:val="24"/>
          <w:lang w:val="es-CO" w:eastAsia="es-ES"/>
        </w:rPr>
        <w:t>,</w:t>
      </w:r>
      <w:r w:rsidR="009F4437">
        <w:rPr>
          <w:rFonts w:ascii="Bookman Old Style" w:hAnsi="Bookman Old Style" w:cs="Arial"/>
          <w:bCs/>
          <w:szCs w:val="24"/>
          <w:lang w:val="es-CO" w:eastAsia="es-ES"/>
        </w:rPr>
        <w:t xml:space="preserve"> que contiene los reglamentos de Código de Planeamiento, Código de Conexión, Código de Medida y Código de Operación.</w:t>
      </w:r>
    </w:p>
    <w:p w14:paraId="0BF5B6EF" w14:textId="77777777" w:rsidR="00C565B7" w:rsidRPr="00C565B7" w:rsidRDefault="00C565B7" w:rsidP="00C565B7">
      <w:pPr>
        <w:ind w:left="0"/>
        <w:rPr>
          <w:lang w:val="es-CO"/>
        </w:rPr>
      </w:pPr>
    </w:p>
    <w:p w14:paraId="1DD3E9B9" w14:textId="70B116A0" w:rsidR="006E6A17" w:rsidRDefault="009D28B3" w:rsidP="00A778DE">
      <w:pPr>
        <w:ind w:left="0"/>
        <w:jc w:val="both"/>
        <w:rPr>
          <w:rFonts w:ascii="Bookman Old Style" w:hAnsi="Bookman Old Style"/>
          <w:lang w:val="es-CO"/>
        </w:rPr>
      </w:pPr>
      <w:r>
        <w:rPr>
          <w:rFonts w:ascii="Bookman Old Style" w:hAnsi="Bookman Old Style"/>
          <w:lang w:val="es-CO"/>
        </w:rPr>
        <w:t>L</w:t>
      </w:r>
      <w:r w:rsidR="00A778DE" w:rsidRPr="00A778DE">
        <w:rPr>
          <w:rFonts w:ascii="Bookman Old Style" w:hAnsi="Bookman Old Style"/>
          <w:lang w:val="es-CO"/>
        </w:rPr>
        <w:t>a</w:t>
      </w:r>
      <w:r w:rsidR="00A778DE">
        <w:rPr>
          <w:rFonts w:ascii="Bookman Old Style" w:hAnsi="Bookman Old Style"/>
          <w:lang w:val="es-CO"/>
        </w:rPr>
        <w:t xml:space="preserve"> Resolución CREG 062 de 2000 </w:t>
      </w:r>
      <w:r>
        <w:rPr>
          <w:rFonts w:ascii="Bookman Old Style" w:hAnsi="Bookman Old Style"/>
          <w:lang w:val="es-CO"/>
        </w:rPr>
        <w:t xml:space="preserve">definió </w:t>
      </w:r>
      <w:r w:rsidR="00A778DE">
        <w:rPr>
          <w:rFonts w:ascii="Bookman Old Style" w:hAnsi="Bookman Old Style"/>
          <w:lang w:val="es-CO"/>
        </w:rPr>
        <w:t xml:space="preserve">las bases metodológicas para la identificación y clasificación de las restricciones y de las generaciones de seguridad en el Sistema Interconectado Nacional (SIN), y los criterios generales y procedimientos para la evaluación y definición de </w:t>
      </w:r>
      <w:proofErr w:type="gramStart"/>
      <w:r w:rsidR="00A778DE">
        <w:rPr>
          <w:rFonts w:ascii="Bookman Old Style" w:hAnsi="Bookman Old Style"/>
          <w:lang w:val="es-CO"/>
        </w:rPr>
        <w:t>las mismas</w:t>
      </w:r>
      <w:proofErr w:type="gramEnd"/>
      <w:r w:rsidR="00A778DE">
        <w:rPr>
          <w:rFonts w:ascii="Bookman Old Style" w:hAnsi="Bookman Old Style"/>
          <w:lang w:val="es-CO"/>
        </w:rPr>
        <w:t>, como parte del Reglamento de Operación del SIN.</w:t>
      </w:r>
    </w:p>
    <w:p w14:paraId="54BDE7FE" w14:textId="27423C37" w:rsidR="00DF3CB0" w:rsidRDefault="00DF3CB0" w:rsidP="00A778DE">
      <w:pPr>
        <w:ind w:left="0"/>
        <w:jc w:val="both"/>
        <w:rPr>
          <w:rFonts w:ascii="Bookman Old Style" w:hAnsi="Bookman Old Style"/>
          <w:lang w:val="es-CO"/>
        </w:rPr>
      </w:pPr>
    </w:p>
    <w:p w14:paraId="330CE399" w14:textId="0B985611" w:rsidR="00DF3CB0" w:rsidRPr="00A778DE" w:rsidRDefault="00DF3CB0" w:rsidP="00A778DE">
      <w:pPr>
        <w:ind w:left="0"/>
        <w:jc w:val="both"/>
        <w:rPr>
          <w:rFonts w:ascii="Bookman Old Style" w:hAnsi="Bookman Old Style"/>
          <w:lang w:val="es-CO"/>
        </w:rPr>
      </w:pPr>
      <w:r>
        <w:rPr>
          <w:rFonts w:ascii="Bookman Old Style" w:hAnsi="Bookman Old Style"/>
          <w:lang w:val="es-CO"/>
        </w:rPr>
        <w:t>La Resolución CREG 063 de 2000 establece los criterios para la asignación entre los agentes del SIN de los costos asociados con las generaciones de seguridad y otras disposiciones en materia de reconciliaciones, como parte del Reglament</w:t>
      </w:r>
      <w:r w:rsidR="000838BF">
        <w:rPr>
          <w:rFonts w:ascii="Bookman Old Style" w:hAnsi="Bookman Old Style"/>
          <w:lang w:val="es-CO"/>
        </w:rPr>
        <w:t>o</w:t>
      </w:r>
      <w:r>
        <w:rPr>
          <w:rFonts w:ascii="Bookman Old Style" w:hAnsi="Bookman Old Style"/>
          <w:lang w:val="es-CO"/>
        </w:rPr>
        <w:t xml:space="preserve"> de Operación del SIN.</w:t>
      </w:r>
    </w:p>
    <w:p w14:paraId="65BA20E4" w14:textId="77777777" w:rsidR="006E6A17" w:rsidRPr="00A778DE" w:rsidRDefault="006E6A17" w:rsidP="0044703C">
      <w:pPr>
        <w:ind w:left="0"/>
        <w:rPr>
          <w:rFonts w:ascii="Bookman Old Style" w:hAnsi="Bookman Old Style"/>
          <w:lang w:val="es-CO"/>
        </w:rPr>
      </w:pPr>
    </w:p>
    <w:p w14:paraId="308CBDFF" w14:textId="28B139D2" w:rsidR="00DF48BA" w:rsidRDefault="00FE1EE6" w:rsidP="00A778DE">
      <w:pPr>
        <w:ind w:left="0"/>
        <w:jc w:val="both"/>
        <w:rPr>
          <w:rFonts w:ascii="Bookman Old Style" w:hAnsi="Bookman Old Style"/>
          <w:lang w:val="es-CO"/>
        </w:rPr>
      </w:pPr>
      <w:r>
        <w:rPr>
          <w:rFonts w:ascii="Bookman Old Style" w:hAnsi="Bookman Old Style"/>
          <w:lang w:val="es-CO"/>
        </w:rPr>
        <w:t>L</w:t>
      </w:r>
      <w:r w:rsidR="00DF48BA">
        <w:rPr>
          <w:rFonts w:ascii="Bookman Old Style" w:hAnsi="Bookman Old Style"/>
          <w:lang w:val="es-CO"/>
        </w:rPr>
        <w:t xml:space="preserve">a Resolución CREG 034 de </w:t>
      </w:r>
      <w:r w:rsidR="00A11648">
        <w:rPr>
          <w:rFonts w:ascii="Bookman Old Style" w:hAnsi="Bookman Old Style"/>
          <w:lang w:val="es-CO"/>
        </w:rPr>
        <w:t>2001</w:t>
      </w:r>
      <w:r w:rsidR="00DF48BA">
        <w:rPr>
          <w:rFonts w:ascii="Bookman Old Style" w:hAnsi="Bookman Old Style"/>
          <w:lang w:val="es-CO"/>
        </w:rPr>
        <w:t xml:space="preserve"> reglament</w:t>
      </w:r>
      <w:r w:rsidR="009D28B3">
        <w:rPr>
          <w:rFonts w:ascii="Bookman Old Style" w:hAnsi="Bookman Old Style"/>
          <w:lang w:val="es-CO"/>
        </w:rPr>
        <w:t>ó</w:t>
      </w:r>
      <w:r w:rsidR="00DF48BA">
        <w:rPr>
          <w:rFonts w:ascii="Bookman Old Style" w:hAnsi="Bookman Old Style"/>
          <w:lang w:val="es-CO"/>
        </w:rPr>
        <w:t xml:space="preserve"> la metodología de remuneración de las plantas de generación que generan por reconciliación positiva y reconciliación negativa.</w:t>
      </w:r>
    </w:p>
    <w:p w14:paraId="22619A15" w14:textId="77777777" w:rsidR="00C565B7" w:rsidRDefault="00C565B7" w:rsidP="00A778DE">
      <w:pPr>
        <w:ind w:left="0"/>
        <w:jc w:val="both"/>
        <w:rPr>
          <w:rFonts w:ascii="Bookman Old Style" w:hAnsi="Bookman Old Style"/>
          <w:lang w:val="es-CO"/>
        </w:rPr>
      </w:pPr>
    </w:p>
    <w:p w14:paraId="1560E52F" w14:textId="1CD8531C" w:rsidR="00C565B7" w:rsidRDefault="009D28B3" w:rsidP="00A778DE">
      <w:pPr>
        <w:ind w:left="0"/>
        <w:jc w:val="both"/>
        <w:rPr>
          <w:rFonts w:ascii="Bookman Old Style" w:hAnsi="Bookman Old Style"/>
          <w:lang w:val="es-CO"/>
        </w:rPr>
      </w:pPr>
      <w:r>
        <w:rPr>
          <w:rFonts w:ascii="Bookman Old Style" w:hAnsi="Bookman Old Style"/>
          <w:lang w:val="es-CO"/>
        </w:rPr>
        <w:t>L</w:t>
      </w:r>
      <w:r w:rsidR="00C565B7">
        <w:rPr>
          <w:rFonts w:ascii="Bookman Old Style" w:hAnsi="Bookman Old Style"/>
          <w:lang w:val="es-CO"/>
        </w:rPr>
        <w:t xml:space="preserve">a Resolución CREG 051 de 2009 modificó el esquema de oferta de precios, </w:t>
      </w:r>
      <w:r w:rsidR="00FC6266">
        <w:rPr>
          <w:rFonts w:ascii="Bookman Old Style" w:hAnsi="Bookman Old Style"/>
          <w:lang w:val="es-CO"/>
        </w:rPr>
        <w:t xml:space="preserve">los costos de arranque-parada, </w:t>
      </w:r>
      <w:r w:rsidR="00C565B7">
        <w:rPr>
          <w:rFonts w:ascii="Bookman Old Style" w:hAnsi="Bookman Old Style"/>
          <w:lang w:val="es-CO"/>
        </w:rPr>
        <w:t>el despacho idea</w:t>
      </w:r>
      <w:r w:rsidR="00FC6266">
        <w:rPr>
          <w:rFonts w:ascii="Bookman Old Style" w:hAnsi="Bookman Old Style"/>
          <w:lang w:val="es-CO"/>
        </w:rPr>
        <w:t>l</w:t>
      </w:r>
      <w:r w:rsidR="00C565B7">
        <w:rPr>
          <w:rFonts w:ascii="Bookman Old Style" w:hAnsi="Bookman Old Style"/>
          <w:lang w:val="es-CO"/>
        </w:rPr>
        <w:t>, el despacho económico</w:t>
      </w:r>
      <w:r w:rsidR="00FC6266">
        <w:rPr>
          <w:rFonts w:ascii="Bookman Old Style" w:hAnsi="Bookman Old Style"/>
          <w:lang w:val="es-CO"/>
        </w:rPr>
        <w:t xml:space="preserve"> </w:t>
      </w:r>
      <w:r w:rsidR="00C565B7">
        <w:rPr>
          <w:rFonts w:ascii="Bookman Old Style" w:hAnsi="Bookman Old Style"/>
          <w:lang w:val="es-CO"/>
        </w:rPr>
        <w:t xml:space="preserve">y las reglas </w:t>
      </w:r>
      <w:r w:rsidR="00FC6266">
        <w:rPr>
          <w:rFonts w:ascii="Bookman Old Style" w:hAnsi="Bookman Old Style"/>
          <w:lang w:val="es-CO"/>
        </w:rPr>
        <w:t xml:space="preserve">para </w:t>
      </w:r>
      <w:r w:rsidR="00C565B7">
        <w:rPr>
          <w:rFonts w:ascii="Bookman Old Style" w:hAnsi="Bookman Old Style"/>
          <w:lang w:val="es-CO"/>
        </w:rPr>
        <w:t xml:space="preserve">determinar el precio </w:t>
      </w:r>
      <w:r w:rsidR="00FC6266">
        <w:rPr>
          <w:rFonts w:ascii="Bookman Old Style" w:hAnsi="Bookman Old Style"/>
          <w:lang w:val="es-CO"/>
        </w:rPr>
        <w:t>de la bolsa.</w:t>
      </w:r>
      <w:r w:rsidR="00C565B7">
        <w:rPr>
          <w:rFonts w:ascii="Bookman Old Style" w:hAnsi="Bookman Old Style"/>
          <w:lang w:val="es-CO"/>
        </w:rPr>
        <w:t xml:space="preserve"> </w:t>
      </w:r>
    </w:p>
    <w:p w14:paraId="0CA3E607" w14:textId="22F27530" w:rsidR="00A11648" w:rsidRDefault="009D28B3" w:rsidP="00A778DE">
      <w:pPr>
        <w:ind w:left="0"/>
        <w:jc w:val="both"/>
        <w:rPr>
          <w:rFonts w:ascii="Bookman Old Style" w:hAnsi="Bookman Old Style"/>
          <w:lang w:val="es-CO"/>
        </w:rPr>
      </w:pPr>
      <w:r>
        <w:rPr>
          <w:rFonts w:ascii="Bookman Old Style" w:hAnsi="Bookman Old Style"/>
          <w:lang w:val="es-CO"/>
        </w:rPr>
        <w:lastRenderedPageBreak/>
        <w:t>L</w:t>
      </w:r>
      <w:r w:rsidR="00A11648">
        <w:rPr>
          <w:rFonts w:ascii="Bookman Old Style" w:hAnsi="Bookman Old Style"/>
          <w:lang w:val="es-CO"/>
        </w:rPr>
        <w:t>a Resolución CREG 076 de 2009 modific</w:t>
      </w:r>
      <w:r>
        <w:rPr>
          <w:rFonts w:ascii="Bookman Old Style" w:hAnsi="Bookman Old Style"/>
          <w:lang w:val="es-CO"/>
        </w:rPr>
        <w:t>ó</w:t>
      </w:r>
      <w:r w:rsidR="00A11648">
        <w:rPr>
          <w:rFonts w:ascii="Bookman Old Style" w:hAnsi="Bookman Old Style"/>
          <w:lang w:val="es-CO"/>
        </w:rPr>
        <w:t xml:space="preserve"> y aclar</w:t>
      </w:r>
      <w:r>
        <w:rPr>
          <w:rFonts w:ascii="Bookman Old Style" w:hAnsi="Bookman Old Style"/>
          <w:lang w:val="es-CO"/>
        </w:rPr>
        <w:t>ó</w:t>
      </w:r>
      <w:r w:rsidR="00A11648">
        <w:rPr>
          <w:rFonts w:ascii="Bookman Old Style" w:hAnsi="Bookman Old Style"/>
          <w:lang w:val="es-CO"/>
        </w:rPr>
        <w:t xml:space="preserve"> las reglas contenidas en la Resolución CREG 051 de 2009.</w:t>
      </w:r>
    </w:p>
    <w:p w14:paraId="750AF772" w14:textId="328CDA54" w:rsidR="001416AD" w:rsidRDefault="001416AD" w:rsidP="00A778DE">
      <w:pPr>
        <w:ind w:left="0"/>
        <w:jc w:val="both"/>
        <w:rPr>
          <w:rFonts w:ascii="Bookman Old Style" w:hAnsi="Bookman Old Style"/>
          <w:lang w:val="es-CO"/>
        </w:rPr>
      </w:pPr>
    </w:p>
    <w:p w14:paraId="60A09611" w14:textId="4705D268" w:rsidR="00CA64C5" w:rsidRDefault="00850938" w:rsidP="00A778DE">
      <w:pPr>
        <w:ind w:left="0"/>
        <w:jc w:val="both"/>
        <w:rPr>
          <w:rFonts w:ascii="Bookman Old Style" w:hAnsi="Bookman Old Style"/>
          <w:lang w:val="es-CO"/>
        </w:rPr>
      </w:pPr>
      <w:r>
        <w:rPr>
          <w:rFonts w:ascii="Bookman Old Style" w:hAnsi="Bookman Old Style"/>
          <w:lang w:val="es-CO"/>
        </w:rPr>
        <w:t xml:space="preserve">A partir </w:t>
      </w:r>
      <w:r w:rsidR="00882F20">
        <w:rPr>
          <w:rFonts w:ascii="Bookman Old Style" w:hAnsi="Bookman Old Style"/>
          <w:lang w:val="es-CO"/>
        </w:rPr>
        <w:t xml:space="preserve">de los análisis realizados </w:t>
      </w:r>
      <w:r w:rsidR="00BB3007">
        <w:rPr>
          <w:rFonts w:ascii="Bookman Old Style" w:hAnsi="Bookman Old Style"/>
          <w:lang w:val="es-CO"/>
        </w:rPr>
        <w:t>al valor de la componente</w:t>
      </w:r>
      <w:r w:rsidR="00882F20">
        <w:rPr>
          <w:rFonts w:ascii="Bookman Old Style" w:hAnsi="Bookman Old Style"/>
          <w:lang w:val="es-CO"/>
        </w:rPr>
        <w:t xml:space="preserve"> de las restricciones en </w:t>
      </w:r>
      <w:r w:rsidR="00BB3007">
        <w:rPr>
          <w:rFonts w:ascii="Bookman Old Style" w:hAnsi="Bookman Old Style"/>
          <w:lang w:val="es-CO"/>
        </w:rPr>
        <w:t xml:space="preserve">el costo unitario de </w:t>
      </w:r>
      <w:r w:rsidR="00882F20">
        <w:rPr>
          <w:rFonts w:ascii="Bookman Old Style" w:hAnsi="Bookman Old Style"/>
          <w:lang w:val="es-CO"/>
        </w:rPr>
        <w:t xml:space="preserve">la tarifa al usuario final, </w:t>
      </w:r>
      <w:r w:rsidR="00C85BB9">
        <w:rPr>
          <w:rFonts w:ascii="Bookman Old Style" w:hAnsi="Bookman Old Style"/>
          <w:lang w:val="es-CO"/>
        </w:rPr>
        <w:t xml:space="preserve">se identificó la necesidad de establecer medidas </w:t>
      </w:r>
      <w:r w:rsidR="00722882">
        <w:rPr>
          <w:rFonts w:ascii="Bookman Old Style" w:hAnsi="Bookman Old Style"/>
          <w:lang w:val="es-CO"/>
        </w:rPr>
        <w:t>particulares sobre</w:t>
      </w:r>
      <w:r w:rsidR="00BB3007">
        <w:rPr>
          <w:rFonts w:ascii="Bookman Old Style" w:hAnsi="Bookman Old Style"/>
          <w:lang w:val="es-CO"/>
        </w:rPr>
        <w:t xml:space="preserve"> varios</w:t>
      </w:r>
      <w:r w:rsidR="002A5A6F">
        <w:rPr>
          <w:rFonts w:ascii="Bookman Old Style" w:hAnsi="Bookman Old Style"/>
          <w:lang w:val="es-CO"/>
        </w:rPr>
        <w:t xml:space="preserve"> aspectos que inciden </w:t>
      </w:r>
      <w:r w:rsidR="00CF7DC7">
        <w:rPr>
          <w:rFonts w:ascii="Bookman Old Style" w:hAnsi="Bookman Old Style"/>
          <w:lang w:val="es-CO"/>
        </w:rPr>
        <w:t xml:space="preserve">en </w:t>
      </w:r>
      <w:r w:rsidR="00E07BFB">
        <w:rPr>
          <w:rFonts w:ascii="Bookman Old Style" w:hAnsi="Bookman Old Style"/>
          <w:lang w:val="es-CO"/>
        </w:rPr>
        <w:t>el costo de las restricciones</w:t>
      </w:r>
      <w:r w:rsidR="00CF7DC7">
        <w:rPr>
          <w:rFonts w:ascii="Bookman Old Style" w:hAnsi="Bookman Old Style"/>
          <w:lang w:val="es-CO"/>
        </w:rPr>
        <w:t>, a saber: disponibilidad de activos</w:t>
      </w:r>
      <w:r w:rsidR="009176AB">
        <w:rPr>
          <w:rFonts w:ascii="Bookman Old Style" w:hAnsi="Bookman Old Style"/>
          <w:lang w:val="es-CO"/>
        </w:rPr>
        <w:t xml:space="preserve"> de transporte,</w:t>
      </w:r>
      <w:r w:rsidR="00FB664A">
        <w:rPr>
          <w:rFonts w:ascii="Bookman Old Style" w:hAnsi="Bookman Old Style"/>
          <w:lang w:val="es-CO"/>
        </w:rPr>
        <w:t xml:space="preserve"> reporte de co</w:t>
      </w:r>
      <w:r w:rsidR="00DC1EAF">
        <w:rPr>
          <w:rFonts w:ascii="Bookman Old Style" w:hAnsi="Bookman Old Style"/>
          <w:lang w:val="es-CO"/>
        </w:rPr>
        <w:t xml:space="preserve">stos de combustibles, pruebas </w:t>
      </w:r>
      <w:r w:rsidR="00E07BFB">
        <w:rPr>
          <w:rFonts w:ascii="Bookman Old Style" w:hAnsi="Bookman Old Style"/>
          <w:lang w:val="es-CO"/>
        </w:rPr>
        <w:t>de generación</w:t>
      </w:r>
      <w:r w:rsidR="00DC1EAF">
        <w:rPr>
          <w:rFonts w:ascii="Bookman Old Style" w:hAnsi="Bookman Old Style"/>
          <w:lang w:val="es-CO"/>
        </w:rPr>
        <w:t>,</w:t>
      </w:r>
      <w:r w:rsidR="009176AB">
        <w:rPr>
          <w:rFonts w:ascii="Bookman Old Style" w:hAnsi="Bookman Old Style"/>
          <w:lang w:val="es-CO"/>
        </w:rPr>
        <w:t xml:space="preserve"> reglas operativas, </w:t>
      </w:r>
      <w:r w:rsidR="00E07BFB">
        <w:rPr>
          <w:rFonts w:ascii="Bookman Old Style" w:hAnsi="Bookman Old Style"/>
          <w:lang w:val="es-CO"/>
        </w:rPr>
        <w:t xml:space="preserve">desviaciones </w:t>
      </w:r>
      <w:r w:rsidR="009176AB">
        <w:rPr>
          <w:rFonts w:ascii="Bookman Old Style" w:hAnsi="Bookman Old Style"/>
          <w:lang w:val="es-CO"/>
        </w:rPr>
        <w:t xml:space="preserve">en la demanda, </w:t>
      </w:r>
      <w:r w:rsidR="005E297C">
        <w:rPr>
          <w:rFonts w:ascii="Bookman Old Style" w:hAnsi="Bookman Old Style"/>
          <w:lang w:val="es-CO"/>
        </w:rPr>
        <w:t>y características de las plantas de generación.</w:t>
      </w:r>
    </w:p>
    <w:p w14:paraId="1CA07CC0" w14:textId="53DE9902" w:rsidR="00137FB7" w:rsidRDefault="00137FB7" w:rsidP="00A778DE">
      <w:pPr>
        <w:ind w:left="0"/>
        <w:jc w:val="both"/>
        <w:rPr>
          <w:rFonts w:ascii="Bookman Old Style" w:hAnsi="Bookman Old Style"/>
          <w:lang w:val="es-CO"/>
        </w:rPr>
      </w:pPr>
    </w:p>
    <w:p w14:paraId="1DA0B19A" w14:textId="7BDC3964" w:rsidR="00137FB7" w:rsidRDefault="00137FB7" w:rsidP="00A778DE">
      <w:pPr>
        <w:ind w:left="0"/>
        <w:jc w:val="both"/>
        <w:rPr>
          <w:rFonts w:ascii="Bookman Old Style" w:hAnsi="Bookman Old Style"/>
          <w:lang w:val="es-CO"/>
        </w:rPr>
      </w:pPr>
      <w:r>
        <w:rPr>
          <w:rFonts w:ascii="Bookman Old Style" w:hAnsi="Bookman Old Style"/>
          <w:lang w:val="es-CO"/>
        </w:rPr>
        <w:t>Las propuestas sobre las medidas</w:t>
      </w:r>
      <w:r w:rsidR="00A609E6">
        <w:rPr>
          <w:rFonts w:ascii="Bookman Old Style" w:hAnsi="Bookman Old Style"/>
          <w:lang w:val="es-CO"/>
        </w:rPr>
        <w:t xml:space="preserve"> </w:t>
      </w:r>
      <w:r w:rsidR="00E07BFB">
        <w:rPr>
          <w:rFonts w:ascii="Bookman Old Style" w:hAnsi="Bookman Old Style"/>
          <w:lang w:val="es-CO"/>
        </w:rPr>
        <w:t>anteriores</w:t>
      </w:r>
      <w:r w:rsidR="00A609E6">
        <w:rPr>
          <w:rFonts w:ascii="Bookman Old Style" w:hAnsi="Bookman Old Style"/>
          <w:lang w:val="es-CO"/>
        </w:rPr>
        <w:t xml:space="preserve"> se publicaron para comentarios con las Resoluciones CREG 034 </w:t>
      </w:r>
      <w:r w:rsidR="00C13EE9">
        <w:rPr>
          <w:rFonts w:ascii="Bookman Old Style" w:hAnsi="Bookman Old Style"/>
          <w:lang w:val="es-CO"/>
        </w:rPr>
        <w:t>de 2019</w:t>
      </w:r>
      <w:r w:rsidR="00BE27E7">
        <w:rPr>
          <w:rFonts w:ascii="Bookman Old Style" w:hAnsi="Bookman Old Style"/>
          <w:lang w:val="es-CO"/>
        </w:rPr>
        <w:t>,</w:t>
      </w:r>
      <w:r w:rsidR="00C13EE9">
        <w:rPr>
          <w:rFonts w:ascii="Bookman Old Style" w:hAnsi="Bookman Old Style"/>
          <w:lang w:val="es-CO"/>
        </w:rPr>
        <w:t xml:space="preserve"> “</w:t>
      </w:r>
      <w:r w:rsidR="00C13EE9" w:rsidRPr="0087159E">
        <w:rPr>
          <w:rFonts w:ascii="Bookman Old Style" w:hAnsi="Bookman Old Style"/>
          <w:i/>
          <w:iCs/>
          <w:lang w:val="es-CO"/>
        </w:rPr>
        <w:t xml:space="preserve">Por </w:t>
      </w:r>
      <w:r w:rsidR="00E07BFB">
        <w:rPr>
          <w:rFonts w:ascii="Bookman Old Style" w:hAnsi="Bookman Old Style"/>
          <w:i/>
          <w:iCs/>
          <w:lang w:val="es-CO"/>
        </w:rPr>
        <w:t xml:space="preserve">medio de cual </w:t>
      </w:r>
      <w:r w:rsidR="00A116E1" w:rsidRPr="0087159E">
        <w:rPr>
          <w:rFonts w:ascii="Bookman Old Style" w:hAnsi="Bookman Old Style"/>
          <w:i/>
          <w:iCs/>
          <w:lang w:val="es-CO"/>
        </w:rPr>
        <w:t xml:space="preserve">se </w:t>
      </w:r>
      <w:r w:rsidR="00E07BFB">
        <w:rPr>
          <w:rFonts w:ascii="Bookman Old Style" w:hAnsi="Bookman Old Style"/>
          <w:i/>
          <w:iCs/>
          <w:lang w:val="es-CO"/>
        </w:rPr>
        <w:t>hacen</w:t>
      </w:r>
      <w:r w:rsidR="00E07BFB" w:rsidRPr="0087159E">
        <w:rPr>
          <w:rFonts w:ascii="Bookman Old Style" w:hAnsi="Bookman Old Style"/>
          <w:i/>
          <w:iCs/>
          <w:lang w:val="es-CO"/>
        </w:rPr>
        <w:t xml:space="preserve"> </w:t>
      </w:r>
      <w:r w:rsidR="00A116E1" w:rsidRPr="0087159E">
        <w:rPr>
          <w:rFonts w:ascii="Bookman Old Style" w:hAnsi="Bookman Old Style"/>
          <w:i/>
          <w:iCs/>
          <w:lang w:val="es-CO"/>
        </w:rPr>
        <w:t>modificaciones a las Resoluciones CREG 025 de 1995, CREG 121 de 1998, CREG 062 de 2000 y CREG 034 de 2001</w:t>
      </w:r>
      <w:r w:rsidR="008F04DB" w:rsidRPr="0087159E">
        <w:rPr>
          <w:rFonts w:ascii="Bookman Old Style" w:hAnsi="Bookman Old Style"/>
          <w:i/>
          <w:iCs/>
          <w:lang w:val="es-CO"/>
        </w:rPr>
        <w:t xml:space="preserve"> y se establecen otr</w:t>
      </w:r>
      <w:r w:rsidR="00BE27E7" w:rsidRPr="0087159E">
        <w:rPr>
          <w:rFonts w:ascii="Bookman Old Style" w:hAnsi="Bookman Old Style"/>
          <w:i/>
          <w:iCs/>
          <w:lang w:val="es-CO"/>
        </w:rPr>
        <w:t>a</w:t>
      </w:r>
      <w:r w:rsidR="008F04DB" w:rsidRPr="0087159E">
        <w:rPr>
          <w:rFonts w:ascii="Bookman Old Style" w:hAnsi="Bookman Old Style"/>
          <w:i/>
          <w:iCs/>
          <w:lang w:val="es-CO"/>
        </w:rPr>
        <w:t>s disposiciones</w:t>
      </w:r>
      <w:r w:rsidR="008F04DB">
        <w:rPr>
          <w:rFonts w:ascii="Bookman Old Style" w:hAnsi="Bookman Old Style"/>
          <w:lang w:val="es-CO"/>
        </w:rPr>
        <w:t>” y CREG 100 de 2019,</w:t>
      </w:r>
      <w:r w:rsidR="00BE27E7">
        <w:rPr>
          <w:rFonts w:ascii="Bookman Old Style" w:hAnsi="Bookman Old Style"/>
          <w:lang w:val="es-CO"/>
        </w:rPr>
        <w:t xml:space="preserve"> “</w:t>
      </w:r>
      <w:r w:rsidR="00BE27E7" w:rsidRPr="0087159E">
        <w:rPr>
          <w:rFonts w:ascii="Bookman Old Style" w:hAnsi="Bookman Old Style"/>
          <w:i/>
          <w:iCs/>
          <w:lang w:val="es-CO"/>
        </w:rPr>
        <w:t>Por medio de la cual se hacen modificaciones a l</w:t>
      </w:r>
      <w:r w:rsidR="00FF6D70" w:rsidRPr="0087159E">
        <w:rPr>
          <w:rFonts w:ascii="Bookman Old Style" w:hAnsi="Bookman Old Style"/>
          <w:i/>
          <w:iCs/>
          <w:lang w:val="es-CO"/>
        </w:rPr>
        <w:t xml:space="preserve">as Resoluciones CREG 025 de 1995 y CREG 063 de 2000 y se establecen </w:t>
      </w:r>
      <w:r w:rsidR="0087159E" w:rsidRPr="0087159E">
        <w:rPr>
          <w:rFonts w:ascii="Bookman Old Style" w:hAnsi="Bookman Old Style"/>
          <w:i/>
          <w:iCs/>
          <w:lang w:val="es-CO"/>
        </w:rPr>
        <w:t>otras disposiciones</w:t>
      </w:r>
      <w:r w:rsidR="0087159E">
        <w:rPr>
          <w:rFonts w:ascii="Bookman Old Style" w:hAnsi="Bookman Old Style"/>
          <w:lang w:val="es-CO"/>
        </w:rPr>
        <w:t>”.</w:t>
      </w:r>
    </w:p>
    <w:p w14:paraId="4C9AF1CE" w14:textId="6F3B54A8" w:rsidR="00781D0A" w:rsidRDefault="00781D0A" w:rsidP="00A778DE">
      <w:pPr>
        <w:ind w:left="0"/>
        <w:jc w:val="both"/>
        <w:rPr>
          <w:rFonts w:ascii="Bookman Old Style" w:hAnsi="Bookman Old Style"/>
          <w:lang w:val="es-CO"/>
        </w:rPr>
      </w:pPr>
    </w:p>
    <w:p w14:paraId="4793298D" w14:textId="2C95855A" w:rsidR="00BD4A09" w:rsidRDefault="00BD4A09" w:rsidP="00A778DE">
      <w:pPr>
        <w:ind w:left="0"/>
        <w:jc w:val="both"/>
        <w:rPr>
          <w:rFonts w:ascii="Bookman Old Style" w:hAnsi="Bookman Old Style"/>
          <w:lang w:val="es-CO"/>
        </w:rPr>
      </w:pPr>
      <w:r>
        <w:rPr>
          <w:rFonts w:ascii="Bookman Old Style" w:hAnsi="Bookman Old Style"/>
          <w:lang w:val="es-CO"/>
        </w:rPr>
        <w:t xml:space="preserve">En los plazos establecidos para la consulta se recibieron comentarios de agentes </w:t>
      </w:r>
      <w:r w:rsidR="00247F8D">
        <w:rPr>
          <w:rFonts w:ascii="Bookman Old Style" w:hAnsi="Bookman Old Style"/>
          <w:lang w:val="es-CO"/>
        </w:rPr>
        <w:t>y terceros interesados sobre las propuestas publicadas en las Resoluciones CREG 034 y CREG 100 de 2019.</w:t>
      </w:r>
    </w:p>
    <w:p w14:paraId="720645A2" w14:textId="77777777" w:rsidR="00BD4A09" w:rsidRDefault="00BD4A09" w:rsidP="00A778DE">
      <w:pPr>
        <w:ind w:left="0"/>
        <w:jc w:val="both"/>
        <w:rPr>
          <w:rFonts w:ascii="Bookman Old Style" w:hAnsi="Bookman Old Style"/>
          <w:lang w:val="es-CO"/>
        </w:rPr>
      </w:pPr>
    </w:p>
    <w:p w14:paraId="522BB5A7" w14:textId="6C27C976" w:rsidR="00781D0A" w:rsidRDefault="00781D0A" w:rsidP="00A778DE">
      <w:pPr>
        <w:ind w:left="0"/>
        <w:jc w:val="both"/>
        <w:rPr>
          <w:rFonts w:ascii="Bookman Old Style" w:hAnsi="Bookman Old Style"/>
          <w:lang w:val="es-CO"/>
        </w:rPr>
      </w:pPr>
      <w:r>
        <w:rPr>
          <w:rFonts w:ascii="Bookman Old Style" w:hAnsi="Bookman Old Style"/>
          <w:lang w:val="es-CO"/>
        </w:rPr>
        <w:t xml:space="preserve">De las reglas </w:t>
      </w:r>
      <w:r w:rsidR="00951FCA">
        <w:rPr>
          <w:rFonts w:ascii="Bookman Old Style" w:hAnsi="Bookman Old Style"/>
          <w:lang w:val="es-CO"/>
        </w:rPr>
        <w:t>particulares</w:t>
      </w:r>
      <w:r w:rsidR="00835322">
        <w:rPr>
          <w:rFonts w:ascii="Bookman Old Style" w:hAnsi="Bookman Old Style"/>
          <w:lang w:val="es-CO"/>
        </w:rPr>
        <w:t xml:space="preserve"> </w:t>
      </w:r>
      <w:r>
        <w:rPr>
          <w:rFonts w:ascii="Bookman Old Style" w:hAnsi="Bookman Old Style"/>
          <w:lang w:val="es-CO"/>
        </w:rPr>
        <w:t>propuestas</w:t>
      </w:r>
      <w:r w:rsidR="008A1ADE">
        <w:rPr>
          <w:rFonts w:ascii="Bookman Old Style" w:hAnsi="Bookman Old Style"/>
          <w:lang w:val="es-CO"/>
        </w:rPr>
        <w:t xml:space="preserve"> y por su mayor impacto</w:t>
      </w:r>
      <w:r w:rsidR="00C44E2F">
        <w:rPr>
          <w:rFonts w:ascii="Bookman Old Style" w:hAnsi="Bookman Old Style"/>
          <w:lang w:val="es-CO"/>
        </w:rPr>
        <w:t xml:space="preserve">, la Comisión consideró conveniente </w:t>
      </w:r>
      <w:r w:rsidR="008A1ADE">
        <w:rPr>
          <w:rFonts w:ascii="Bookman Old Style" w:hAnsi="Bookman Old Style"/>
          <w:lang w:val="es-CO"/>
        </w:rPr>
        <w:t>establecer en primer lugar</w:t>
      </w:r>
      <w:r w:rsidR="00C44E2F">
        <w:rPr>
          <w:rFonts w:ascii="Bookman Old Style" w:hAnsi="Bookman Old Style"/>
          <w:lang w:val="es-CO"/>
        </w:rPr>
        <w:t xml:space="preserve"> las normas refer</w:t>
      </w:r>
      <w:r w:rsidR="00202FDE">
        <w:rPr>
          <w:rFonts w:ascii="Bookman Old Style" w:hAnsi="Bookman Old Style"/>
          <w:lang w:val="es-CO"/>
        </w:rPr>
        <w:t xml:space="preserve">entes a </w:t>
      </w:r>
      <w:r w:rsidR="00C41F98">
        <w:rPr>
          <w:rFonts w:ascii="Bookman Old Style" w:hAnsi="Bookman Old Style"/>
          <w:lang w:val="es-CO"/>
        </w:rPr>
        <w:t>los costos remunerados</w:t>
      </w:r>
      <w:r w:rsidR="007742B4">
        <w:rPr>
          <w:rFonts w:ascii="Bookman Old Style" w:hAnsi="Bookman Old Style"/>
          <w:lang w:val="es-CO"/>
        </w:rPr>
        <w:t xml:space="preserve"> de suministro y transporte de combustibles, y </w:t>
      </w:r>
      <w:r w:rsidR="008A1ADE">
        <w:rPr>
          <w:rFonts w:ascii="Bookman Old Style" w:hAnsi="Bookman Old Style"/>
          <w:lang w:val="es-CO"/>
        </w:rPr>
        <w:t xml:space="preserve">a </w:t>
      </w:r>
      <w:r w:rsidR="007742B4">
        <w:rPr>
          <w:rFonts w:ascii="Bookman Old Style" w:hAnsi="Bookman Old Style"/>
          <w:lang w:val="es-CO"/>
        </w:rPr>
        <w:t>la</w:t>
      </w:r>
      <w:r w:rsidR="00491DC1">
        <w:rPr>
          <w:rFonts w:ascii="Bookman Old Style" w:hAnsi="Bookman Old Style"/>
          <w:lang w:val="es-CO"/>
        </w:rPr>
        <w:t>s</w:t>
      </w:r>
      <w:r w:rsidR="007742B4">
        <w:rPr>
          <w:rFonts w:ascii="Bookman Old Style" w:hAnsi="Bookman Old Style"/>
          <w:lang w:val="es-CO"/>
        </w:rPr>
        <w:t xml:space="preserve"> pruebas por unidades</w:t>
      </w:r>
      <w:r w:rsidR="008A1ADE">
        <w:rPr>
          <w:rFonts w:ascii="Bookman Old Style" w:hAnsi="Bookman Old Style"/>
          <w:lang w:val="es-CO"/>
        </w:rPr>
        <w:t>,</w:t>
      </w:r>
      <w:r w:rsidR="007742B4">
        <w:rPr>
          <w:rFonts w:ascii="Bookman Old Style" w:hAnsi="Bookman Old Style"/>
          <w:lang w:val="es-CO"/>
        </w:rPr>
        <w:t xml:space="preserve"> para l</w:t>
      </w:r>
      <w:r w:rsidR="00491DC1">
        <w:rPr>
          <w:rFonts w:ascii="Bookman Old Style" w:hAnsi="Bookman Old Style"/>
          <w:lang w:val="es-CO"/>
        </w:rPr>
        <w:t>o</w:t>
      </w:r>
      <w:r w:rsidR="007742B4">
        <w:rPr>
          <w:rFonts w:ascii="Bookman Old Style" w:hAnsi="Bookman Old Style"/>
          <w:lang w:val="es-CO"/>
        </w:rPr>
        <w:t xml:space="preserve"> cual expidió la Resoluci</w:t>
      </w:r>
      <w:r w:rsidR="00545FC2">
        <w:rPr>
          <w:rFonts w:ascii="Bookman Old Style" w:hAnsi="Bookman Old Style"/>
          <w:lang w:val="es-CO"/>
        </w:rPr>
        <w:t xml:space="preserve">ones </w:t>
      </w:r>
      <w:r w:rsidR="007742B4">
        <w:rPr>
          <w:rFonts w:ascii="Bookman Old Style" w:hAnsi="Bookman Old Style"/>
          <w:lang w:val="es-CO"/>
        </w:rPr>
        <w:t>CREG 044 de 2020 “</w:t>
      </w:r>
      <w:r w:rsidR="006C33C7" w:rsidRPr="00C41F98">
        <w:rPr>
          <w:rFonts w:ascii="Bookman Old Style" w:hAnsi="Bookman Old Style"/>
          <w:i/>
          <w:iCs/>
          <w:lang w:val="es-CO"/>
        </w:rPr>
        <w:t xml:space="preserve">Por medio de la cual se hacen modificaciones a las Resoluciones CREG 024 de 1995, CREG 121 de 1998 y CREG </w:t>
      </w:r>
      <w:r w:rsidR="00704019" w:rsidRPr="00C41F98">
        <w:rPr>
          <w:rFonts w:ascii="Bookman Old Style" w:hAnsi="Bookman Old Style"/>
          <w:i/>
          <w:iCs/>
          <w:lang w:val="es-CO"/>
        </w:rPr>
        <w:t>034 de 2001 y se establecen otras disposiciones</w:t>
      </w:r>
      <w:r w:rsidR="00704019">
        <w:rPr>
          <w:rFonts w:ascii="Bookman Old Style" w:hAnsi="Bookman Old Style"/>
          <w:lang w:val="es-CO"/>
        </w:rPr>
        <w:t xml:space="preserve">” y </w:t>
      </w:r>
      <w:r w:rsidR="00C41F98">
        <w:rPr>
          <w:rFonts w:ascii="Bookman Old Style" w:hAnsi="Bookman Old Style"/>
          <w:lang w:val="es-CO"/>
        </w:rPr>
        <w:t xml:space="preserve">CREG 207 de 2020 </w:t>
      </w:r>
      <w:r w:rsidR="00CA57C2">
        <w:rPr>
          <w:rFonts w:ascii="Bookman Old Style" w:hAnsi="Bookman Old Style"/>
          <w:lang w:val="es-CO"/>
        </w:rPr>
        <w:t>“</w:t>
      </w:r>
      <w:r w:rsidR="00CA57C2" w:rsidRPr="005E10F9">
        <w:rPr>
          <w:rFonts w:ascii="Bookman Old Style" w:hAnsi="Bookman Old Style"/>
          <w:i/>
          <w:iCs/>
          <w:lang w:val="es-CO"/>
        </w:rPr>
        <w:t xml:space="preserve">Por la cual se define el esquema de auditoría </w:t>
      </w:r>
      <w:r w:rsidR="00DE3128" w:rsidRPr="005E10F9">
        <w:rPr>
          <w:rFonts w:ascii="Bookman Old Style" w:hAnsi="Bookman Old Style"/>
          <w:i/>
          <w:iCs/>
          <w:lang w:val="es-CO"/>
        </w:rPr>
        <w:t xml:space="preserve">sobre la información reportada de los costos de suministro y transporte de combustible declarados </w:t>
      </w:r>
      <w:r w:rsidR="005E10F9" w:rsidRPr="005E10F9">
        <w:rPr>
          <w:rFonts w:ascii="Bookman Old Style" w:hAnsi="Bookman Old Style"/>
          <w:i/>
          <w:iCs/>
          <w:lang w:val="es-CO"/>
        </w:rPr>
        <w:t>por los agentes generadores</w:t>
      </w:r>
      <w:r w:rsidR="005E10F9">
        <w:rPr>
          <w:rFonts w:ascii="Bookman Old Style" w:hAnsi="Bookman Old Style"/>
          <w:lang w:val="es-CO"/>
        </w:rPr>
        <w:t>”.</w:t>
      </w:r>
    </w:p>
    <w:p w14:paraId="3A0B6ABB" w14:textId="630A5555" w:rsidR="00842B6B" w:rsidRDefault="00842B6B" w:rsidP="00A778DE">
      <w:pPr>
        <w:ind w:left="0"/>
        <w:jc w:val="both"/>
        <w:rPr>
          <w:rFonts w:ascii="Bookman Old Style" w:hAnsi="Bookman Old Style"/>
          <w:lang w:val="es-CO"/>
        </w:rPr>
      </w:pPr>
    </w:p>
    <w:p w14:paraId="1E789012" w14:textId="73B550DF" w:rsidR="00842B6B" w:rsidRDefault="00842B6B" w:rsidP="00A778DE">
      <w:pPr>
        <w:ind w:left="0"/>
        <w:jc w:val="both"/>
        <w:rPr>
          <w:rFonts w:ascii="Bookman Old Style" w:hAnsi="Bookman Old Style"/>
          <w:lang w:val="es-CO"/>
        </w:rPr>
      </w:pPr>
      <w:r>
        <w:rPr>
          <w:rFonts w:ascii="Bookman Old Style" w:hAnsi="Bookman Old Style"/>
          <w:lang w:val="es-CO"/>
        </w:rPr>
        <w:t xml:space="preserve">Para </w:t>
      </w:r>
      <w:r w:rsidR="008A1ADE">
        <w:rPr>
          <w:rFonts w:ascii="Bookman Old Style" w:hAnsi="Bookman Old Style"/>
          <w:lang w:val="es-CO"/>
        </w:rPr>
        <w:t>avanzar en</w:t>
      </w:r>
      <w:r>
        <w:rPr>
          <w:rFonts w:ascii="Bookman Old Style" w:hAnsi="Bookman Old Style"/>
          <w:lang w:val="es-CO"/>
        </w:rPr>
        <w:t xml:space="preserve"> la implementación de las </w:t>
      </w:r>
      <w:r w:rsidR="008A1ADE">
        <w:rPr>
          <w:rFonts w:ascii="Bookman Old Style" w:hAnsi="Bookman Old Style"/>
          <w:lang w:val="es-CO"/>
        </w:rPr>
        <w:t xml:space="preserve">otras </w:t>
      </w:r>
      <w:r>
        <w:rPr>
          <w:rFonts w:ascii="Bookman Old Style" w:hAnsi="Bookman Old Style"/>
          <w:lang w:val="es-CO"/>
        </w:rPr>
        <w:t xml:space="preserve">medidas </w:t>
      </w:r>
      <w:r w:rsidR="008A1ADE">
        <w:rPr>
          <w:rFonts w:ascii="Bookman Old Style" w:hAnsi="Bookman Old Style"/>
          <w:lang w:val="es-CO"/>
        </w:rPr>
        <w:t>particulares sobre el costo de las restricciones del sistema previamente consultadas</w:t>
      </w:r>
      <w:r>
        <w:rPr>
          <w:rFonts w:ascii="Bookman Old Style" w:hAnsi="Bookman Old Style"/>
          <w:lang w:val="es-CO"/>
        </w:rPr>
        <w:t xml:space="preserve">, la CREG </w:t>
      </w:r>
      <w:r w:rsidR="008A1ADE">
        <w:rPr>
          <w:rFonts w:ascii="Bookman Old Style" w:hAnsi="Bookman Old Style"/>
          <w:lang w:val="es-CO"/>
        </w:rPr>
        <w:t xml:space="preserve">ha encontrado </w:t>
      </w:r>
      <w:r w:rsidR="00B46026">
        <w:rPr>
          <w:rFonts w:ascii="Bookman Old Style" w:hAnsi="Bookman Old Style"/>
          <w:lang w:val="es-CO"/>
        </w:rPr>
        <w:t xml:space="preserve">conveniente dar aplicación a </w:t>
      </w:r>
      <w:r w:rsidR="007F1CEB">
        <w:rPr>
          <w:rFonts w:ascii="Bookman Old Style" w:hAnsi="Bookman Old Style"/>
          <w:lang w:val="es-CO"/>
        </w:rPr>
        <w:t>las regla</w:t>
      </w:r>
      <w:r w:rsidR="00E267AA">
        <w:rPr>
          <w:rFonts w:ascii="Bookman Old Style" w:hAnsi="Bookman Old Style"/>
          <w:lang w:val="es-CO"/>
        </w:rPr>
        <w:t>s</w:t>
      </w:r>
      <w:r w:rsidR="007F1CEB">
        <w:rPr>
          <w:rFonts w:ascii="Bookman Old Style" w:hAnsi="Bookman Old Style"/>
          <w:lang w:val="es-CO"/>
        </w:rPr>
        <w:t xml:space="preserve"> referentes a las </w:t>
      </w:r>
      <w:r w:rsidR="00170AD7">
        <w:rPr>
          <w:rFonts w:ascii="Bookman Old Style" w:hAnsi="Bookman Old Style"/>
          <w:lang w:val="es-CO"/>
        </w:rPr>
        <w:t>característ</w:t>
      </w:r>
      <w:r w:rsidR="00604D99">
        <w:rPr>
          <w:rFonts w:ascii="Bookman Old Style" w:hAnsi="Bookman Old Style"/>
          <w:lang w:val="es-CO"/>
        </w:rPr>
        <w:t xml:space="preserve">icas de </w:t>
      </w:r>
      <w:r w:rsidR="008A1ADE">
        <w:rPr>
          <w:rFonts w:ascii="Bookman Old Style" w:hAnsi="Bookman Old Style"/>
          <w:lang w:val="es-CO"/>
        </w:rPr>
        <w:t xml:space="preserve">los arreglos de unidades de </w:t>
      </w:r>
      <w:r w:rsidR="00604D99">
        <w:rPr>
          <w:rFonts w:ascii="Bookman Old Style" w:hAnsi="Bookman Old Style"/>
          <w:lang w:val="es-CO"/>
        </w:rPr>
        <w:t>las plantas térmicas (</w:t>
      </w:r>
      <w:r w:rsidR="008A1ADE">
        <w:rPr>
          <w:rFonts w:ascii="Bookman Old Style" w:hAnsi="Bookman Old Style"/>
          <w:lang w:val="es-CO"/>
        </w:rPr>
        <w:t xml:space="preserve">o </w:t>
      </w:r>
      <w:r w:rsidR="007F1CEB">
        <w:rPr>
          <w:rFonts w:ascii="Bookman Old Style" w:hAnsi="Bookman Old Style"/>
          <w:lang w:val="es-CO"/>
        </w:rPr>
        <w:t>configuraciones</w:t>
      </w:r>
      <w:r w:rsidR="00604D99">
        <w:rPr>
          <w:rFonts w:ascii="Bookman Old Style" w:hAnsi="Bookman Old Style"/>
          <w:lang w:val="es-CO"/>
        </w:rPr>
        <w:t>)</w:t>
      </w:r>
      <w:r w:rsidR="00D80A02">
        <w:rPr>
          <w:rFonts w:ascii="Bookman Old Style" w:hAnsi="Bookman Old Style"/>
          <w:lang w:val="es-CO"/>
        </w:rPr>
        <w:t xml:space="preserve"> de ciclo combinado</w:t>
      </w:r>
      <w:r w:rsidR="00604D99">
        <w:rPr>
          <w:rFonts w:ascii="Bookman Old Style" w:hAnsi="Bookman Old Style"/>
          <w:lang w:val="es-CO"/>
        </w:rPr>
        <w:t>.</w:t>
      </w:r>
      <w:r w:rsidR="00E267AA">
        <w:rPr>
          <w:rFonts w:ascii="Bookman Old Style" w:hAnsi="Bookman Old Style"/>
          <w:lang w:val="es-CO"/>
        </w:rPr>
        <w:t xml:space="preserve"> </w:t>
      </w:r>
      <w:r w:rsidR="008A1ADE">
        <w:rPr>
          <w:rFonts w:ascii="Bookman Old Style" w:hAnsi="Bookman Old Style"/>
          <w:lang w:val="es-CO"/>
        </w:rPr>
        <w:t>Las medidas</w:t>
      </w:r>
      <w:r w:rsidR="00E267AA">
        <w:rPr>
          <w:rFonts w:ascii="Bookman Old Style" w:hAnsi="Bookman Old Style"/>
          <w:lang w:val="es-CO"/>
        </w:rPr>
        <w:t xml:space="preserve"> </w:t>
      </w:r>
      <w:r w:rsidR="008A1ADE">
        <w:rPr>
          <w:rFonts w:ascii="Bookman Old Style" w:hAnsi="Bookman Old Style"/>
          <w:lang w:val="es-CO"/>
        </w:rPr>
        <w:t xml:space="preserve">relacionadas con </w:t>
      </w:r>
      <w:r w:rsidR="00E267AA">
        <w:rPr>
          <w:rFonts w:ascii="Bookman Old Style" w:hAnsi="Bookman Old Style"/>
          <w:lang w:val="es-CO"/>
        </w:rPr>
        <w:t>desviaciones de demanda y</w:t>
      </w:r>
      <w:r w:rsidR="00BC09EE">
        <w:rPr>
          <w:rFonts w:ascii="Bookman Old Style" w:hAnsi="Bookman Old Style"/>
          <w:lang w:val="es-CO"/>
        </w:rPr>
        <w:t xml:space="preserve"> disponibilidad de los activos de transporte continúan </w:t>
      </w:r>
      <w:r w:rsidR="006E52CE">
        <w:rPr>
          <w:rFonts w:ascii="Bookman Old Style" w:hAnsi="Bookman Old Style"/>
          <w:lang w:val="es-CO"/>
        </w:rPr>
        <w:t xml:space="preserve">siendo sujeto de </w:t>
      </w:r>
      <w:r w:rsidR="00BC09EE">
        <w:rPr>
          <w:rFonts w:ascii="Bookman Old Style" w:hAnsi="Bookman Old Style"/>
          <w:lang w:val="es-CO"/>
        </w:rPr>
        <w:t>análisis</w:t>
      </w:r>
      <w:r w:rsidR="007B4E78">
        <w:rPr>
          <w:rFonts w:ascii="Bookman Old Style" w:hAnsi="Bookman Old Style"/>
          <w:lang w:val="es-CO"/>
        </w:rPr>
        <w:t>, y la Comisión se pronunciará sobre estas oportunamente en resolución independiente.</w:t>
      </w:r>
    </w:p>
    <w:p w14:paraId="4E3FBDF0" w14:textId="7E66923A" w:rsidR="00855AE9" w:rsidRDefault="00855AE9" w:rsidP="00A778DE">
      <w:pPr>
        <w:ind w:left="0"/>
        <w:jc w:val="both"/>
        <w:rPr>
          <w:rFonts w:ascii="Bookman Old Style" w:hAnsi="Bookman Old Style"/>
          <w:lang w:val="es-CO"/>
        </w:rPr>
      </w:pPr>
    </w:p>
    <w:p w14:paraId="4004A671" w14:textId="237D3CE6" w:rsidR="00855AE9" w:rsidRDefault="006E52CE" w:rsidP="00A778DE">
      <w:pPr>
        <w:ind w:left="0"/>
        <w:jc w:val="both"/>
        <w:rPr>
          <w:rFonts w:ascii="Bookman Old Style" w:hAnsi="Bookman Old Style"/>
          <w:lang w:val="es-CO"/>
        </w:rPr>
      </w:pPr>
      <w:r>
        <w:rPr>
          <w:rFonts w:ascii="Bookman Old Style" w:hAnsi="Bookman Old Style"/>
          <w:lang w:val="es-CO"/>
        </w:rPr>
        <w:t>L</w:t>
      </w:r>
      <w:r w:rsidR="0015003B">
        <w:rPr>
          <w:rFonts w:ascii="Bookman Old Style" w:hAnsi="Bookman Old Style"/>
          <w:lang w:val="es-CO"/>
        </w:rPr>
        <w:t xml:space="preserve">a Comisión encontró conveniente </w:t>
      </w:r>
      <w:r>
        <w:rPr>
          <w:rFonts w:ascii="Bookman Old Style" w:hAnsi="Bookman Old Style"/>
          <w:lang w:val="es-CO"/>
        </w:rPr>
        <w:t xml:space="preserve">adicionar </w:t>
      </w:r>
      <w:r w:rsidR="0015003B">
        <w:rPr>
          <w:rFonts w:ascii="Bookman Old Style" w:hAnsi="Bookman Old Style"/>
          <w:lang w:val="es-CO"/>
        </w:rPr>
        <w:t xml:space="preserve">una </w:t>
      </w:r>
      <w:r w:rsidR="001106EA">
        <w:rPr>
          <w:rFonts w:ascii="Bookman Old Style" w:hAnsi="Bookman Old Style"/>
          <w:lang w:val="es-CO"/>
        </w:rPr>
        <w:t xml:space="preserve">medida </w:t>
      </w:r>
      <w:r w:rsidR="0015003B">
        <w:rPr>
          <w:rFonts w:ascii="Bookman Old Style" w:hAnsi="Bookman Old Style"/>
          <w:lang w:val="es-CO"/>
        </w:rPr>
        <w:t xml:space="preserve">transitoria </w:t>
      </w:r>
      <w:r>
        <w:rPr>
          <w:rFonts w:ascii="Bookman Old Style" w:hAnsi="Bookman Old Style"/>
          <w:lang w:val="es-CO"/>
        </w:rPr>
        <w:t xml:space="preserve">a las reglas consultadas para las configuraciones de las plantas térmicas, </w:t>
      </w:r>
      <w:r w:rsidR="0015003B">
        <w:rPr>
          <w:rFonts w:ascii="Bookman Old Style" w:hAnsi="Bookman Old Style"/>
          <w:lang w:val="es-CO"/>
        </w:rPr>
        <w:t xml:space="preserve">que </w:t>
      </w:r>
      <w:r>
        <w:rPr>
          <w:rFonts w:ascii="Bookman Old Style" w:hAnsi="Bookman Old Style"/>
          <w:lang w:val="es-CO"/>
        </w:rPr>
        <w:t>tenga</w:t>
      </w:r>
      <w:r w:rsidR="0015003B">
        <w:rPr>
          <w:rFonts w:ascii="Bookman Old Style" w:hAnsi="Bookman Old Style"/>
          <w:lang w:val="es-CO"/>
        </w:rPr>
        <w:t xml:space="preserve"> aplicación </w:t>
      </w:r>
      <w:r>
        <w:rPr>
          <w:rFonts w:ascii="Bookman Old Style" w:hAnsi="Bookman Old Style"/>
          <w:lang w:val="es-CO"/>
        </w:rPr>
        <w:t>inmediata en</w:t>
      </w:r>
      <w:r w:rsidR="00382779">
        <w:rPr>
          <w:rFonts w:ascii="Bookman Old Style" w:hAnsi="Bookman Old Style"/>
          <w:lang w:val="es-CO"/>
        </w:rPr>
        <w:t xml:space="preserve"> la selección de la configuración</w:t>
      </w:r>
      <w:r w:rsidR="00ED664E">
        <w:rPr>
          <w:rFonts w:ascii="Bookman Old Style" w:hAnsi="Bookman Old Style"/>
          <w:lang w:val="es-CO"/>
        </w:rPr>
        <w:t xml:space="preserve"> </w:t>
      </w:r>
      <w:r>
        <w:rPr>
          <w:rFonts w:ascii="Bookman Old Style" w:hAnsi="Bookman Old Style"/>
          <w:lang w:val="es-CO"/>
        </w:rPr>
        <w:t>utilizada para el despacho de energía del SIN</w:t>
      </w:r>
      <w:r w:rsidR="00ED664E">
        <w:rPr>
          <w:rFonts w:ascii="Bookman Old Style" w:hAnsi="Bookman Old Style"/>
          <w:lang w:val="es-CO"/>
        </w:rPr>
        <w:t>.</w:t>
      </w:r>
      <w:r>
        <w:rPr>
          <w:rFonts w:ascii="Bookman Old Style" w:hAnsi="Bookman Old Style"/>
          <w:lang w:val="es-CO"/>
        </w:rPr>
        <w:t xml:space="preserve"> Esto </w:t>
      </w:r>
      <w:r w:rsidR="001106EA">
        <w:rPr>
          <w:rFonts w:ascii="Bookman Old Style" w:hAnsi="Bookman Old Style"/>
          <w:lang w:val="es-CO"/>
        </w:rPr>
        <w:t xml:space="preserve">con el fin de obtener un impacto favorable en las tarifas de energía, mitigando el efecto de alzas en las mismas y de potenciales efectos inflacionarios </w:t>
      </w:r>
      <w:r w:rsidR="003A4705">
        <w:rPr>
          <w:rFonts w:ascii="Bookman Old Style" w:hAnsi="Bookman Old Style"/>
          <w:lang w:val="es-CO"/>
        </w:rPr>
        <w:t xml:space="preserve">actuales </w:t>
      </w:r>
      <w:r w:rsidR="001106EA">
        <w:rPr>
          <w:rFonts w:ascii="Bookman Old Style" w:hAnsi="Bookman Old Style"/>
          <w:lang w:val="es-CO"/>
        </w:rPr>
        <w:t>que afect</w:t>
      </w:r>
      <w:r w:rsidR="008C24FA">
        <w:rPr>
          <w:rFonts w:ascii="Bookman Old Style" w:hAnsi="Bookman Old Style"/>
          <w:lang w:val="es-CO"/>
        </w:rPr>
        <w:t>a</w:t>
      </w:r>
      <w:r w:rsidR="001106EA">
        <w:rPr>
          <w:rFonts w:ascii="Bookman Old Style" w:hAnsi="Bookman Old Style"/>
          <w:lang w:val="es-CO"/>
        </w:rPr>
        <w:t>n la capacidad de pago de los usuarios del servicio de energía eléctrica.</w:t>
      </w:r>
    </w:p>
    <w:p w14:paraId="13D9359B" w14:textId="0EEA45A4" w:rsidR="00B42785" w:rsidRDefault="00B42785" w:rsidP="00A778DE">
      <w:pPr>
        <w:ind w:left="0"/>
        <w:jc w:val="both"/>
        <w:rPr>
          <w:rFonts w:ascii="Bookman Old Style" w:hAnsi="Bookman Old Style"/>
          <w:lang w:val="es-CO"/>
        </w:rPr>
      </w:pPr>
    </w:p>
    <w:p w14:paraId="61B4FCA4" w14:textId="17313A1C" w:rsidR="63AFD719" w:rsidRDefault="63AFD719" w:rsidP="7709DDC3">
      <w:pPr>
        <w:ind w:left="0"/>
        <w:jc w:val="both"/>
        <w:rPr>
          <w:rFonts w:ascii="Bookman Old Style" w:hAnsi="Bookman Old Style"/>
          <w:lang w:val="es-CO"/>
        </w:rPr>
      </w:pPr>
      <w:r w:rsidRPr="7709DDC3">
        <w:rPr>
          <w:rFonts w:ascii="Bookman Old Style" w:hAnsi="Bookman Old Style"/>
          <w:lang w:val="es-CO"/>
        </w:rPr>
        <w:lastRenderedPageBreak/>
        <w:t xml:space="preserve">Mediante </w:t>
      </w:r>
      <w:r w:rsidRPr="48D7941C">
        <w:rPr>
          <w:rFonts w:ascii="Bookman Old Style" w:hAnsi="Bookman Old Style"/>
          <w:lang w:val="es-CO"/>
        </w:rPr>
        <w:t>Resolución CREG</w:t>
      </w:r>
      <w:r w:rsidRPr="1BF0D3C0">
        <w:rPr>
          <w:rFonts w:ascii="Bookman Old Style" w:hAnsi="Bookman Old Style"/>
          <w:lang w:val="es-CO"/>
        </w:rPr>
        <w:t xml:space="preserve"> </w:t>
      </w:r>
      <w:r w:rsidRPr="3F42E9C7">
        <w:rPr>
          <w:rFonts w:ascii="Bookman Old Style" w:hAnsi="Bookman Old Style"/>
          <w:lang w:val="es-CO"/>
        </w:rPr>
        <w:t xml:space="preserve">701 </w:t>
      </w:r>
      <w:r w:rsidRPr="65CC0918">
        <w:rPr>
          <w:rFonts w:ascii="Bookman Old Style" w:hAnsi="Bookman Old Style"/>
          <w:lang w:val="es-CO"/>
        </w:rPr>
        <w:t xml:space="preserve">018 </w:t>
      </w:r>
      <w:r w:rsidRPr="73146135">
        <w:rPr>
          <w:rFonts w:ascii="Bookman Old Style" w:hAnsi="Bookman Old Style"/>
          <w:lang w:val="es-CO"/>
        </w:rPr>
        <w:t>de</w:t>
      </w:r>
      <w:r w:rsidRPr="65CC0918">
        <w:rPr>
          <w:rFonts w:ascii="Bookman Old Style" w:hAnsi="Bookman Old Style"/>
          <w:lang w:val="es-CO"/>
        </w:rPr>
        <w:t xml:space="preserve"> 2022</w:t>
      </w:r>
      <w:r w:rsidRPr="73146135">
        <w:rPr>
          <w:rFonts w:ascii="Bookman Old Style" w:hAnsi="Bookman Old Style"/>
          <w:lang w:val="es-CO"/>
        </w:rPr>
        <w:t xml:space="preserve"> se sometió a </w:t>
      </w:r>
      <w:r w:rsidRPr="1666773D">
        <w:rPr>
          <w:rFonts w:ascii="Bookman Old Style" w:hAnsi="Bookman Old Style"/>
          <w:lang w:val="es-CO"/>
        </w:rPr>
        <w:t>consulta</w:t>
      </w:r>
      <w:r w:rsidRPr="329950CC">
        <w:rPr>
          <w:rFonts w:ascii="Bookman Old Style" w:hAnsi="Bookman Old Style"/>
          <w:lang w:val="es-CO"/>
        </w:rPr>
        <w:t xml:space="preserve"> el </w:t>
      </w:r>
      <w:r w:rsidRPr="23F3C649">
        <w:rPr>
          <w:rFonts w:ascii="Bookman Old Style" w:hAnsi="Bookman Old Style"/>
          <w:lang w:val="es-CO"/>
        </w:rPr>
        <w:t>proyecto</w:t>
      </w:r>
      <w:r w:rsidR="70724F25" w:rsidRPr="325459DD">
        <w:rPr>
          <w:rFonts w:ascii="Bookman Old Style" w:hAnsi="Bookman Old Style"/>
          <w:lang w:val="es-CO"/>
        </w:rPr>
        <w:t xml:space="preserve"> de </w:t>
      </w:r>
      <w:r w:rsidR="70724F25" w:rsidRPr="78B38EFC">
        <w:rPr>
          <w:rFonts w:ascii="Bookman Old Style" w:hAnsi="Bookman Old Style"/>
          <w:lang w:val="es-CO"/>
        </w:rPr>
        <w:t xml:space="preserve">resolución </w:t>
      </w:r>
      <w:r w:rsidR="55EE1EC2" w:rsidRPr="7964E01E">
        <w:rPr>
          <w:rFonts w:ascii="Bookman Old Style" w:hAnsi="Bookman Old Style"/>
          <w:lang w:val="es-CO"/>
        </w:rPr>
        <w:t>sobre el presente acto administrativo</w:t>
      </w:r>
      <w:r w:rsidR="0CA5276A" w:rsidRPr="7964E01E">
        <w:rPr>
          <w:rFonts w:ascii="Bookman Old Style" w:hAnsi="Bookman Old Style"/>
          <w:lang w:val="es-CO"/>
        </w:rPr>
        <w:t xml:space="preserve"> </w:t>
      </w:r>
      <w:r w:rsidR="70724F25" w:rsidRPr="78B38EFC">
        <w:rPr>
          <w:rFonts w:ascii="Bookman Old Style" w:hAnsi="Bookman Old Style"/>
          <w:lang w:val="es-CO"/>
        </w:rPr>
        <w:t xml:space="preserve">durante </w:t>
      </w:r>
      <w:r w:rsidR="70724F25" w:rsidRPr="77E04A74">
        <w:rPr>
          <w:rFonts w:ascii="Bookman Old Style" w:hAnsi="Bookman Old Style"/>
          <w:lang w:val="es-CO"/>
        </w:rPr>
        <w:t xml:space="preserve">el término de </w:t>
      </w:r>
      <w:r w:rsidR="70724F25" w:rsidRPr="0640DE09">
        <w:rPr>
          <w:rFonts w:ascii="Bookman Old Style" w:hAnsi="Bookman Old Style"/>
          <w:lang w:val="es-CO"/>
        </w:rPr>
        <w:t>1 día</w:t>
      </w:r>
      <w:r w:rsidR="00E6036F">
        <w:rPr>
          <w:rFonts w:ascii="Bookman Old Style" w:hAnsi="Bookman Old Style"/>
          <w:lang w:val="es-CO"/>
        </w:rPr>
        <w:t>,</w:t>
      </w:r>
      <w:r w:rsidR="70724F25" w:rsidRPr="0640DE09">
        <w:rPr>
          <w:rFonts w:ascii="Bookman Old Style" w:hAnsi="Bookman Old Style"/>
          <w:lang w:val="es-CO"/>
        </w:rPr>
        <w:t xml:space="preserve"> </w:t>
      </w:r>
      <w:r w:rsidR="70724F25" w:rsidRPr="109723CB">
        <w:rPr>
          <w:rFonts w:ascii="Bookman Old Style" w:hAnsi="Bookman Old Style"/>
          <w:lang w:val="es-CO"/>
        </w:rPr>
        <w:t>toda vez que</w:t>
      </w:r>
      <w:r w:rsidR="70724F25" w:rsidRPr="5A725923">
        <w:rPr>
          <w:rFonts w:ascii="Bookman Old Style" w:hAnsi="Bookman Old Style"/>
          <w:lang w:val="es-CO"/>
        </w:rPr>
        <w:t xml:space="preserve"> en rigor se</w:t>
      </w:r>
      <w:r w:rsidR="70724F25" w:rsidRPr="64C89EE5">
        <w:rPr>
          <w:rFonts w:ascii="Bookman Old Style" w:hAnsi="Bookman Old Style"/>
          <w:lang w:val="es-CO"/>
        </w:rPr>
        <w:t xml:space="preserve"> consultaban </w:t>
      </w:r>
      <w:r w:rsidR="661C4691" w:rsidRPr="5B003FC9">
        <w:rPr>
          <w:rFonts w:ascii="Bookman Old Style" w:hAnsi="Bookman Old Style"/>
          <w:lang w:val="es-CO"/>
        </w:rPr>
        <w:t xml:space="preserve">2 </w:t>
      </w:r>
      <w:r w:rsidR="661C4691" w:rsidRPr="50E5CD2F">
        <w:rPr>
          <w:rFonts w:ascii="Bookman Old Style" w:hAnsi="Bookman Old Style"/>
          <w:lang w:val="es-CO"/>
        </w:rPr>
        <w:t>artículos</w:t>
      </w:r>
      <w:r w:rsidR="002F7E8C">
        <w:rPr>
          <w:rFonts w:ascii="Bookman Old Style" w:hAnsi="Bookman Old Style"/>
          <w:lang w:val="es-CO"/>
        </w:rPr>
        <w:t>,</w:t>
      </w:r>
      <w:r w:rsidR="661C4691" w:rsidRPr="50E5CD2F">
        <w:rPr>
          <w:rFonts w:ascii="Bookman Old Style" w:hAnsi="Bookman Old Style"/>
          <w:lang w:val="es-CO"/>
        </w:rPr>
        <w:t xml:space="preserve"> </w:t>
      </w:r>
      <w:r w:rsidR="3BE766FE" w:rsidRPr="50E5CD2F">
        <w:rPr>
          <w:rFonts w:ascii="Bookman Old Style" w:hAnsi="Bookman Old Style"/>
          <w:lang w:val="es-CO"/>
        </w:rPr>
        <w:t>ya</w:t>
      </w:r>
      <w:r w:rsidR="70724F25" w:rsidRPr="595A1DAC">
        <w:rPr>
          <w:rFonts w:ascii="Bookman Old Style" w:hAnsi="Bookman Old Style"/>
          <w:lang w:val="es-CO"/>
        </w:rPr>
        <w:t xml:space="preserve"> que</w:t>
      </w:r>
      <w:r w:rsidR="6A977158" w:rsidRPr="25E26E71">
        <w:rPr>
          <w:rFonts w:ascii="Bookman Old Style" w:hAnsi="Bookman Old Style"/>
          <w:lang w:val="es-CO"/>
        </w:rPr>
        <w:t xml:space="preserve"> </w:t>
      </w:r>
      <w:r w:rsidR="532B2654" w:rsidRPr="6F78ACDA">
        <w:rPr>
          <w:rFonts w:ascii="Bookman Old Style" w:hAnsi="Bookman Old Style"/>
          <w:lang w:val="es-CO"/>
        </w:rPr>
        <w:t xml:space="preserve">los demás fueron </w:t>
      </w:r>
      <w:r w:rsidR="532B2654" w:rsidRPr="27BC4555">
        <w:rPr>
          <w:rFonts w:ascii="Bookman Old Style" w:hAnsi="Bookman Old Style"/>
          <w:lang w:val="es-CO"/>
        </w:rPr>
        <w:t xml:space="preserve">consultados </w:t>
      </w:r>
      <w:r w:rsidR="00E6036F">
        <w:rPr>
          <w:rFonts w:ascii="Bookman Old Style" w:hAnsi="Bookman Old Style"/>
          <w:lang w:val="es-CO"/>
        </w:rPr>
        <w:t>previamente</w:t>
      </w:r>
      <w:r w:rsidR="532B2654" w:rsidRPr="5E7FCF1E">
        <w:rPr>
          <w:rFonts w:ascii="Bookman Old Style" w:hAnsi="Bookman Old Style"/>
          <w:lang w:val="es-CO"/>
        </w:rPr>
        <w:t xml:space="preserve"> mediante </w:t>
      </w:r>
      <w:r w:rsidR="532B2654" w:rsidRPr="3D4C86EA">
        <w:rPr>
          <w:rFonts w:ascii="Bookman Old Style" w:hAnsi="Bookman Old Style"/>
          <w:lang w:val="es-CO"/>
        </w:rPr>
        <w:t xml:space="preserve">Resoluciones </w:t>
      </w:r>
      <w:r w:rsidR="00E6036F">
        <w:rPr>
          <w:rFonts w:ascii="Bookman Old Style" w:hAnsi="Bookman Old Style"/>
          <w:lang w:val="es-CO"/>
        </w:rPr>
        <w:t xml:space="preserve">CREG </w:t>
      </w:r>
      <w:r w:rsidR="006329D5">
        <w:rPr>
          <w:rFonts w:ascii="Bookman Old Style" w:hAnsi="Bookman Old Style"/>
          <w:lang w:val="es-CO"/>
        </w:rPr>
        <w:t>0</w:t>
      </w:r>
      <w:r w:rsidR="532B2654" w:rsidRPr="6877FF25">
        <w:rPr>
          <w:rFonts w:ascii="Bookman Old Style" w:hAnsi="Bookman Old Style"/>
          <w:lang w:val="es-CO"/>
        </w:rPr>
        <w:t>34</w:t>
      </w:r>
      <w:r w:rsidR="532B2654" w:rsidRPr="3D4C86EA">
        <w:rPr>
          <w:rFonts w:ascii="Bookman Old Style" w:hAnsi="Bookman Old Style"/>
          <w:lang w:val="es-CO"/>
        </w:rPr>
        <w:t xml:space="preserve"> y </w:t>
      </w:r>
      <w:r w:rsidR="532B2654" w:rsidRPr="12963D7C">
        <w:rPr>
          <w:rFonts w:ascii="Bookman Old Style" w:hAnsi="Bookman Old Style"/>
          <w:lang w:val="es-CO"/>
        </w:rPr>
        <w:t>100</w:t>
      </w:r>
      <w:r w:rsidR="00E6036F">
        <w:rPr>
          <w:rFonts w:ascii="Bookman Old Style" w:hAnsi="Bookman Old Style"/>
          <w:lang w:val="es-CO"/>
        </w:rPr>
        <w:t xml:space="preserve"> de 2019</w:t>
      </w:r>
      <w:r w:rsidR="7C8C7F91" w:rsidRPr="4D41FA73">
        <w:rPr>
          <w:rFonts w:ascii="Bookman Old Style" w:hAnsi="Bookman Old Style"/>
          <w:lang w:val="es-CO"/>
        </w:rPr>
        <w:t>.</w:t>
      </w:r>
      <w:r w:rsidR="7C8C7F91" w:rsidRPr="5A8A5290">
        <w:rPr>
          <w:rFonts w:ascii="Bookman Old Style" w:hAnsi="Bookman Old Style"/>
          <w:lang w:val="es-CO"/>
        </w:rPr>
        <w:t xml:space="preserve"> El listado de comentarios </w:t>
      </w:r>
      <w:r w:rsidR="492FBF1B" w:rsidRPr="659FEFB9">
        <w:rPr>
          <w:rFonts w:ascii="Bookman Old Style" w:hAnsi="Bookman Old Style"/>
          <w:lang w:val="es-CO"/>
        </w:rPr>
        <w:t>formulados</w:t>
      </w:r>
      <w:r w:rsidR="7C8C7F91" w:rsidRPr="448094A6">
        <w:rPr>
          <w:rFonts w:ascii="Bookman Old Style" w:hAnsi="Bookman Old Style"/>
          <w:lang w:val="es-CO"/>
        </w:rPr>
        <w:t xml:space="preserve"> por las </w:t>
      </w:r>
      <w:r w:rsidR="00E4741B">
        <w:rPr>
          <w:rFonts w:ascii="Bookman Old Style" w:hAnsi="Bookman Old Style"/>
          <w:lang w:val="es-CO"/>
        </w:rPr>
        <w:t>e</w:t>
      </w:r>
      <w:r w:rsidR="00E4741B" w:rsidRPr="448094A6">
        <w:rPr>
          <w:rFonts w:ascii="Bookman Old Style" w:hAnsi="Bookman Old Style"/>
          <w:lang w:val="es-CO"/>
        </w:rPr>
        <w:t>mpresas,</w:t>
      </w:r>
      <w:r w:rsidR="7C8C7F91" w:rsidRPr="448094A6">
        <w:rPr>
          <w:rFonts w:ascii="Bookman Old Style" w:hAnsi="Bookman Old Style"/>
          <w:lang w:val="es-CO"/>
        </w:rPr>
        <w:t xml:space="preserve"> así como su</w:t>
      </w:r>
      <w:r w:rsidR="7C8C7F91" w:rsidRPr="4A8504F6">
        <w:rPr>
          <w:rFonts w:ascii="Bookman Old Style" w:hAnsi="Bookman Old Style"/>
          <w:lang w:val="es-CO"/>
        </w:rPr>
        <w:t xml:space="preserve"> análisis, se encuentran en </w:t>
      </w:r>
      <w:r w:rsidR="7C8C7F91" w:rsidRPr="79FDB686">
        <w:rPr>
          <w:rFonts w:ascii="Bookman Old Style" w:hAnsi="Bookman Old Style"/>
          <w:lang w:val="es-CO"/>
        </w:rPr>
        <w:t xml:space="preserve">el documento soporte </w:t>
      </w:r>
      <w:r w:rsidR="007F7E77">
        <w:rPr>
          <w:rFonts w:ascii="Bookman Old Style" w:hAnsi="Bookman Old Style"/>
          <w:lang w:val="es-CO"/>
        </w:rPr>
        <w:t>documento CREG 101 02</w:t>
      </w:r>
      <w:r w:rsidR="00804798">
        <w:rPr>
          <w:rFonts w:ascii="Bookman Old Style" w:hAnsi="Bookman Old Style"/>
          <w:lang w:val="es-CO"/>
        </w:rPr>
        <w:t>8</w:t>
      </w:r>
      <w:r w:rsidR="007F7E77">
        <w:rPr>
          <w:rFonts w:ascii="Bookman Old Style" w:hAnsi="Bookman Old Style"/>
          <w:lang w:val="es-CO"/>
        </w:rPr>
        <w:t xml:space="preserve"> de 2022</w:t>
      </w:r>
      <w:r w:rsidR="008C68E8">
        <w:rPr>
          <w:rFonts w:ascii="Bookman Old Style" w:hAnsi="Bookman Old Style"/>
          <w:lang w:val="es-CO"/>
        </w:rPr>
        <w:t>.</w:t>
      </w:r>
    </w:p>
    <w:p w14:paraId="13706575" w14:textId="5D6B481A" w:rsidR="180B95EA" w:rsidRDefault="180B95EA" w:rsidP="180B95EA">
      <w:pPr>
        <w:ind w:left="0"/>
        <w:jc w:val="both"/>
        <w:rPr>
          <w:rFonts w:ascii="Bookman Old Style" w:hAnsi="Bookman Old Style"/>
          <w:lang w:val="es-CO"/>
        </w:rPr>
      </w:pPr>
    </w:p>
    <w:p w14:paraId="1E254A86" w14:textId="7D3697D6" w:rsidR="6C2DC787" w:rsidRDefault="6C2DC787" w:rsidP="180B95EA">
      <w:pPr>
        <w:ind w:left="0"/>
        <w:jc w:val="both"/>
        <w:rPr>
          <w:rFonts w:ascii="Bookman Old Style" w:hAnsi="Bookman Old Style"/>
          <w:lang w:val="es-CO"/>
        </w:rPr>
      </w:pPr>
      <w:r w:rsidRPr="1F3FA3A6">
        <w:rPr>
          <w:rFonts w:ascii="Bookman Old Style" w:hAnsi="Bookman Old Style"/>
          <w:lang w:val="es-CO"/>
        </w:rPr>
        <w:t>Como resultado del diligenciamiento del formulario sobre prácticas restrictivas de la competencia, en cumplimiento de lo establecido en el Decreto 1074</w:t>
      </w:r>
      <w:r w:rsidRPr="31DDD2E0">
        <w:rPr>
          <w:rFonts w:ascii="Bookman Old Style" w:hAnsi="Bookman Old Style"/>
          <w:lang w:val="es-CO"/>
        </w:rPr>
        <w:t xml:space="preserve"> de 2015, </w:t>
      </w:r>
      <w:r w:rsidR="73711EC0" w:rsidRPr="31DDD2E0">
        <w:rPr>
          <w:rFonts w:ascii="Bookman Old Style" w:hAnsi="Bookman Old Style"/>
          <w:lang w:val="es-CO"/>
        </w:rPr>
        <w:t xml:space="preserve">se concluyó que esta norma </w:t>
      </w:r>
      <w:r w:rsidR="73711EC0" w:rsidRPr="2742962F">
        <w:rPr>
          <w:rFonts w:ascii="Bookman Old Style" w:hAnsi="Bookman Old Style"/>
          <w:lang w:val="es-CO"/>
        </w:rPr>
        <w:t xml:space="preserve">no es </w:t>
      </w:r>
      <w:r w:rsidR="73711EC0" w:rsidRPr="0EA08E1D">
        <w:rPr>
          <w:rFonts w:ascii="Bookman Old Style" w:hAnsi="Bookman Old Style"/>
          <w:lang w:val="es-CO"/>
        </w:rPr>
        <w:t>restrictiva</w:t>
      </w:r>
      <w:r w:rsidR="73711EC0" w:rsidRPr="656A535F">
        <w:rPr>
          <w:rFonts w:ascii="Bookman Old Style" w:hAnsi="Bookman Old Style"/>
          <w:lang w:val="es-CO"/>
        </w:rPr>
        <w:t xml:space="preserve"> de la competencia. Por lo anterior, no se </w:t>
      </w:r>
      <w:r w:rsidR="73711EC0" w:rsidRPr="21B839AC">
        <w:rPr>
          <w:rFonts w:ascii="Bookman Old Style" w:hAnsi="Bookman Old Style"/>
          <w:lang w:val="es-CO"/>
        </w:rPr>
        <w:t>informó</w:t>
      </w:r>
      <w:r w:rsidR="73711EC0" w:rsidRPr="450A4FB3">
        <w:rPr>
          <w:rFonts w:ascii="Bookman Old Style" w:hAnsi="Bookman Old Style"/>
          <w:lang w:val="es-CO"/>
        </w:rPr>
        <w:t xml:space="preserve"> a la </w:t>
      </w:r>
      <w:r w:rsidR="1EA53C7C" w:rsidRPr="5DF11BE3">
        <w:rPr>
          <w:rFonts w:ascii="Bookman Old Style" w:hAnsi="Bookman Old Style"/>
          <w:lang w:val="es-CO"/>
        </w:rPr>
        <w:t xml:space="preserve">abogacía de </w:t>
      </w:r>
      <w:r w:rsidR="1EA53C7C" w:rsidRPr="482C54E8">
        <w:rPr>
          <w:rFonts w:ascii="Bookman Old Style" w:hAnsi="Bookman Old Style"/>
          <w:lang w:val="es-CO"/>
        </w:rPr>
        <w:t xml:space="preserve">la </w:t>
      </w:r>
      <w:r w:rsidR="7F85194A" w:rsidRPr="1CDFD05B">
        <w:rPr>
          <w:rFonts w:ascii="Bookman Old Style" w:hAnsi="Bookman Old Style"/>
          <w:lang w:val="es-CO"/>
        </w:rPr>
        <w:t>Competencia</w:t>
      </w:r>
      <w:r w:rsidR="1EA53C7C" w:rsidRPr="568CE87C">
        <w:rPr>
          <w:rFonts w:ascii="Bookman Old Style" w:hAnsi="Bookman Old Style"/>
          <w:lang w:val="es-CO"/>
        </w:rPr>
        <w:t xml:space="preserve"> de la</w:t>
      </w:r>
      <w:r w:rsidR="73711EC0" w:rsidRPr="3A9F05DC">
        <w:rPr>
          <w:rFonts w:ascii="Bookman Old Style" w:hAnsi="Bookman Old Style"/>
          <w:lang w:val="es-CO"/>
        </w:rPr>
        <w:t xml:space="preserve"> </w:t>
      </w:r>
      <w:r w:rsidR="5544BA2B" w:rsidRPr="473248D0">
        <w:rPr>
          <w:rFonts w:ascii="Bookman Old Style" w:hAnsi="Bookman Old Style"/>
          <w:lang w:val="es-CO"/>
        </w:rPr>
        <w:t>Superintendencia</w:t>
      </w:r>
      <w:r w:rsidR="73711EC0" w:rsidRPr="5CEDE481">
        <w:rPr>
          <w:rFonts w:ascii="Bookman Old Style" w:hAnsi="Bookman Old Style"/>
          <w:lang w:val="es-CO"/>
        </w:rPr>
        <w:t xml:space="preserve"> de Industria y Comercio</w:t>
      </w:r>
      <w:r w:rsidR="7A70A716" w:rsidRPr="46F8F7DB">
        <w:rPr>
          <w:rFonts w:ascii="Bookman Old Style" w:hAnsi="Bookman Old Style"/>
          <w:lang w:val="es-CO"/>
        </w:rPr>
        <w:t>.</w:t>
      </w:r>
    </w:p>
    <w:p w14:paraId="617FF9FF" w14:textId="6E83DE7B" w:rsidR="46F8F7DB" w:rsidRDefault="46F8F7DB" w:rsidP="46F8F7DB">
      <w:pPr>
        <w:ind w:left="0"/>
        <w:jc w:val="both"/>
        <w:rPr>
          <w:rFonts w:ascii="Bookman Old Style" w:hAnsi="Bookman Old Style"/>
          <w:lang w:val="es-CO"/>
        </w:rPr>
      </w:pPr>
    </w:p>
    <w:p w14:paraId="6C5C3F4F" w14:textId="765D52A1" w:rsidR="7A70A716" w:rsidRDefault="7A70A716" w:rsidP="46F8F7DB">
      <w:pPr>
        <w:ind w:left="0"/>
        <w:jc w:val="both"/>
        <w:rPr>
          <w:rFonts w:ascii="Bookman Old Style" w:hAnsi="Bookman Old Style"/>
          <w:lang w:val="es-CO"/>
        </w:rPr>
      </w:pPr>
      <w:r w:rsidRPr="46F8F7DB">
        <w:rPr>
          <w:rFonts w:ascii="Bookman Old Style" w:hAnsi="Bookman Old Style"/>
          <w:lang w:val="es-CO"/>
        </w:rPr>
        <w:t xml:space="preserve"> </w:t>
      </w:r>
      <w:r w:rsidR="00EE3819">
        <w:rPr>
          <w:rFonts w:ascii="Bookman Old Style" w:hAnsi="Bookman Old Style"/>
          <w:lang w:val="es-CO"/>
        </w:rPr>
        <w:t>L</w:t>
      </w:r>
      <w:r w:rsidRPr="46F8F7DB">
        <w:rPr>
          <w:rFonts w:ascii="Bookman Old Style" w:hAnsi="Bookman Old Style"/>
          <w:lang w:val="es-CO"/>
        </w:rPr>
        <w:t>a Comisión de Regulación de Energía</w:t>
      </w:r>
      <w:r w:rsidRPr="781D53DD">
        <w:rPr>
          <w:rFonts w:ascii="Bookman Old Style" w:hAnsi="Bookman Old Style"/>
          <w:lang w:val="es-CO"/>
        </w:rPr>
        <w:t xml:space="preserve"> y Gas</w:t>
      </w:r>
      <w:r w:rsidR="533EEEAB" w:rsidRPr="3E0058AA">
        <w:rPr>
          <w:rFonts w:ascii="Bookman Old Style" w:hAnsi="Bookman Old Style"/>
          <w:lang w:val="es-CO"/>
        </w:rPr>
        <w:t xml:space="preserve"> en su sesión</w:t>
      </w:r>
      <w:r w:rsidR="533EEEAB" w:rsidRPr="73E2E060">
        <w:rPr>
          <w:rFonts w:ascii="Bookman Old Style" w:hAnsi="Bookman Old Style"/>
          <w:lang w:val="es-CO"/>
        </w:rPr>
        <w:t xml:space="preserve"> 1194 de </w:t>
      </w:r>
      <w:r w:rsidR="533EEEAB" w:rsidRPr="25073C63">
        <w:rPr>
          <w:rFonts w:ascii="Bookman Old Style" w:hAnsi="Bookman Old Style"/>
          <w:lang w:val="es-CO"/>
        </w:rPr>
        <w:t xml:space="preserve">16 </w:t>
      </w:r>
      <w:r w:rsidR="533EEEAB" w:rsidRPr="5382DCB4">
        <w:rPr>
          <w:rFonts w:ascii="Bookman Old Style" w:hAnsi="Bookman Old Style"/>
          <w:lang w:val="es-CO"/>
        </w:rPr>
        <w:t xml:space="preserve">de septiembre </w:t>
      </w:r>
      <w:r w:rsidR="533EEEAB" w:rsidRPr="21AFE77F">
        <w:rPr>
          <w:rFonts w:ascii="Bookman Old Style" w:hAnsi="Bookman Old Style"/>
          <w:lang w:val="es-CO"/>
        </w:rPr>
        <w:t xml:space="preserve">de </w:t>
      </w:r>
      <w:r w:rsidR="533EEEAB" w:rsidRPr="315513F2">
        <w:rPr>
          <w:rFonts w:ascii="Bookman Old Style" w:hAnsi="Bookman Old Style"/>
          <w:lang w:val="es-CO"/>
        </w:rPr>
        <w:t>2022</w:t>
      </w:r>
      <w:r w:rsidR="533EEEAB" w:rsidRPr="3F97EC9D">
        <w:rPr>
          <w:rFonts w:ascii="Bookman Old Style" w:hAnsi="Bookman Old Style"/>
          <w:lang w:val="es-CO"/>
        </w:rPr>
        <w:t xml:space="preserve">, acordó </w:t>
      </w:r>
      <w:r w:rsidR="533EEEAB" w:rsidRPr="62EA02A4">
        <w:rPr>
          <w:rFonts w:ascii="Bookman Old Style" w:hAnsi="Bookman Old Style"/>
          <w:lang w:val="es-CO"/>
        </w:rPr>
        <w:t xml:space="preserve">expedir </w:t>
      </w:r>
      <w:proofErr w:type="gramStart"/>
      <w:r w:rsidR="533EEEAB" w:rsidRPr="62EA02A4">
        <w:rPr>
          <w:rFonts w:ascii="Bookman Old Style" w:hAnsi="Bookman Old Style"/>
          <w:lang w:val="es-CO"/>
        </w:rPr>
        <w:t xml:space="preserve">la </w:t>
      </w:r>
      <w:r w:rsidR="533EEEAB" w:rsidRPr="1F37E8F1">
        <w:rPr>
          <w:rFonts w:ascii="Bookman Old Style" w:hAnsi="Bookman Old Style"/>
          <w:lang w:val="es-CO"/>
        </w:rPr>
        <w:t xml:space="preserve"> </w:t>
      </w:r>
      <w:r w:rsidR="00BC279B">
        <w:rPr>
          <w:rFonts w:ascii="Bookman Old Style" w:hAnsi="Bookman Old Style"/>
          <w:lang w:val="es-CO"/>
        </w:rPr>
        <w:t>R</w:t>
      </w:r>
      <w:r w:rsidR="533EEEAB" w:rsidRPr="371B7DBF">
        <w:rPr>
          <w:rFonts w:ascii="Bookman Old Style" w:hAnsi="Bookman Old Style"/>
          <w:lang w:val="es-CO"/>
        </w:rPr>
        <w:t>esolución</w:t>
      </w:r>
      <w:proofErr w:type="gramEnd"/>
      <w:r w:rsidR="00EE3819">
        <w:rPr>
          <w:rFonts w:ascii="Bookman Old Style" w:hAnsi="Bookman Old Style"/>
          <w:lang w:val="es-CO"/>
        </w:rPr>
        <w:t xml:space="preserve"> CREG</w:t>
      </w:r>
      <w:r w:rsidR="00081ACC">
        <w:rPr>
          <w:rFonts w:ascii="Bookman Old Style" w:hAnsi="Bookman Old Style"/>
          <w:lang w:val="es-CO"/>
        </w:rPr>
        <w:t xml:space="preserve"> 101028.</w:t>
      </w:r>
    </w:p>
    <w:p w14:paraId="49A50538" w14:textId="7E35AA36" w:rsidR="00081ACC" w:rsidRDefault="00081ACC" w:rsidP="46F8F7DB">
      <w:pPr>
        <w:ind w:left="0"/>
        <w:jc w:val="both"/>
        <w:rPr>
          <w:rFonts w:ascii="Bookman Old Style" w:hAnsi="Bookman Old Style"/>
          <w:lang w:val="es-CO"/>
        </w:rPr>
      </w:pPr>
    </w:p>
    <w:p w14:paraId="6BCFC729" w14:textId="7537ECC9" w:rsidR="00081ACC" w:rsidRDefault="00081ACC" w:rsidP="46F8F7DB">
      <w:pPr>
        <w:ind w:left="0"/>
        <w:jc w:val="both"/>
        <w:rPr>
          <w:rFonts w:ascii="Bookman Old Style" w:hAnsi="Bookman Old Style"/>
          <w:lang w:val="es-CO"/>
        </w:rPr>
      </w:pPr>
      <w:r>
        <w:rPr>
          <w:rFonts w:ascii="Bookman Old Style" w:hAnsi="Bookman Old Style"/>
          <w:lang w:val="es-CO"/>
        </w:rPr>
        <w:t>Que la Empresa T</w:t>
      </w:r>
      <w:r w:rsidR="001E7B19">
        <w:rPr>
          <w:rFonts w:ascii="Bookman Old Style" w:hAnsi="Bookman Old Style"/>
          <w:lang w:val="es-CO"/>
        </w:rPr>
        <w:t>EBSA</w:t>
      </w:r>
      <w:r w:rsidR="00821CC5">
        <w:rPr>
          <w:rFonts w:ascii="Bookman Old Style" w:hAnsi="Bookman Old Style"/>
          <w:lang w:val="es-CO"/>
        </w:rPr>
        <w:t xml:space="preserve"> S. ESP</w:t>
      </w:r>
      <w:r w:rsidR="001E7B19">
        <w:rPr>
          <w:rFonts w:ascii="Bookman Old Style" w:hAnsi="Bookman Old Style"/>
          <w:lang w:val="es-CO"/>
        </w:rPr>
        <w:t xml:space="preserve"> mediante escrito E-</w:t>
      </w:r>
      <w:r w:rsidR="00507DBA">
        <w:rPr>
          <w:rFonts w:ascii="Bookman Old Style" w:hAnsi="Bookman Old Style"/>
          <w:lang w:val="es-CO"/>
        </w:rPr>
        <w:t>2022-014</w:t>
      </w:r>
      <w:r w:rsidR="000716BE">
        <w:rPr>
          <w:rFonts w:ascii="Bookman Old Style" w:hAnsi="Bookman Old Style"/>
          <w:lang w:val="es-CO"/>
        </w:rPr>
        <w:t>394</w:t>
      </w:r>
      <w:r w:rsidR="00DE099E">
        <w:rPr>
          <w:rFonts w:ascii="Bookman Old Style" w:hAnsi="Bookman Old Style"/>
          <w:lang w:val="es-CO"/>
        </w:rPr>
        <w:t xml:space="preserve"> de 24 de noviembre de 2022</w:t>
      </w:r>
      <w:r w:rsidR="000716BE">
        <w:rPr>
          <w:rFonts w:ascii="Bookman Old Style" w:hAnsi="Bookman Old Style"/>
          <w:lang w:val="es-CO"/>
        </w:rPr>
        <w:t xml:space="preserve"> solicita la revocatoria directa de la </w:t>
      </w:r>
      <w:proofErr w:type="gramStart"/>
      <w:r w:rsidR="000716BE">
        <w:rPr>
          <w:rFonts w:ascii="Bookman Old Style" w:hAnsi="Bookman Old Style"/>
          <w:lang w:val="es-CO"/>
        </w:rPr>
        <w:t>Resolución  CREG</w:t>
      </w:r>
      <w:proofErr w:type="gramEnd"/>
      <w:r w:rsidR="00AA7723">
        <w:rPr>
          <w:rFonts w:ascii="Bookman Old Style" w:hAnsi="Bookman Old Style"/>
          <w:lang w:val="es-CO"/>
        </w:rPr>
        <w:t xml:space="preserve"> 101028 </w:t>
      </w:r>
      <w:r w:rsidR="00AD0A16">
        <w:rPr>
          <w:rFonts w:ascii="Bookman Old Style" w:hAnsi="Bookman Old Style"/>
          <w:lang w:val="es-CO"/>
        </w:rPr>
        <w:t>de 16 de septiembre de 2022</w:t>
      </w:r>
    </w:p>
    <w:p w14:paraId="4FFABBE7" w14:textId="4DF7159C" w:rsidR="00AF527F" w:rsidRPr="00A56805" w:rsidRDefault="00AF527F" w:rsidP="46F8F7DB">
      <w:pPr>
        <w:ind w:left="0"/>
        <w:jc w:val="both"/>
        <w:rPr>
          <w:rFonts w:ascii="Bookman Old Style" w:hAnsi="Bookman Old Style"/>
          <w:b/>
          <w:bCs/>
          <w:lang w:val="es-CO"/>
        </w:rPr>
      </w:pPr>
    </w:p>
    <w:p w14:paraId="1B04E448" w14:textId="559CCB62" w:rsidR="00AF527F" w:rsidRPr="00A56805" w:rsidRDefault="00EE1E41" w:rsidP="46F8F7DB">
      <w:pPr>
        <w:ind w:left="0"/>
        <w:jc w:val="both"/>
        <w:rPr>
          <w:rFonts w:ascii="Bookman Old Style" w:hAnsi="Bookman Old Style"/>
          <w:b/>
          <w:bCs/>
          <w:lang w:val="es-CO"/>
        </w:rPr>
      </w:pPr>
      <w:r>
        <w:rPr>
          <w:rFonts w:ascii="Bookman Old Style" w:hAnsi="Bookman Old Style"/>
          <w:b/>
          <w:bCs/>
          <w:lang w:val="es-CO"/>
        </w:rPr>
        <w:t xml:space="preserve">I </w:t>
      </w:r>
      <w:r w:rsidR="0066383A" w:rsidRPr="0066383A">
        <w:rPr>
          <w:rFonts w:ascii="Bookman Old Style" w:hAnsi="Bookman Old Style"/>
          <w:b/>
          <w:bCs/>
          <w:lang w:val="es-CO"/>
        </w:rPr>
        <w:t>Fundamentos</w:t>
      </w:r>
      <w:r w:rsidR="005D1F3C" w:rsidRPr="00A56805">
        <w:rPr>
          <w:rFonts w:ascii="Bookman Old Style" w:hAnsi="Bookman Old Style"/>
          <w:b/>
          <w:bCs/>
          <w:lang w:val="es-CO"/>
        </w:rPr>
        <w:t xml:space="preserve"> de la solicitud de Revocatoria Directa</w:t>
      </w:r>
    </w:p>
    <w:p w14:paraId="328A29C7" w14:textId="14FECD81" w:rsidR="3BFE1FBB" w:rsidRDefault="3BFE1FBB" w:rsidP="3BFE1FBB">
      <w:pPr>
        <w:ind w:left="0"/>
        <w:jc w:val="both"/>
        <w:rPr>
          <w:rFonts w:ascii="Bookman Old Style" w:hAnsi="Bookman Old Style"/>
          <w:lang w:val="es-CO"/>
        </w:rPr>
      </w:pPr>
    </w:p>
    <w:p w14:paraId="70E95E1E" w14:textId="187484B7" w:rsidR="007B2BC8" w:rsidRDefault="00F63B5E" w:rsidP="00566E31">
      <w:pPr>
        <w:ind w:left="0"/>
        <w:rPr>
          <w:rFonts w:ascii="Bookman Old Style" w:hAnsi="Bookman Old Style"/>
          <w:b/>
        </w:rPr>
      </w:pPr>
      <w:r>
        <w:rPr>
          <w:rFonts w:ascii="Bookman Old Style" w:hAnsi="Bookman Old Style"/>
          <w:b/>
        </w:rPr>
        <w:t>1.</w:t>
      </w:r>
      <w:r w:rsidR="00566E31" w:rsidRPr="00A56805">
        <w:rPr>
          <w:rFonts w:ascii="Bookman Old Style" w:hAnsi="Bookman Old Style"/>
          <w:b/>
        </w:rPr>
        <w:t>Manifiesta oposición a la Constitución Política y a la</w:t>
      </w:r>
      <w:r w:rsidR="006A545F">
        <w:rPr>
          <w:rFonts w:ascii="Bookman Old Style" w:hAnsi="Bookman Old Style"/>
          <w:b/>
        </w:rPr>
        <w:t xml:space="preserve"> </w:t>
      </w:r>
      <w:r w:rsidR="00566E31" w:rsidRPr="00A56805">
        <w:rPr>
          <w:rFonts w:ascii="Bookman Old Style" w:hAnsi="Bookman Old Style"/>
          <w:b/>
        </w:rPr>
        <w:t>Ley.</w:t>
      </w:r>
    </w:p>
    <w:p w14:paraId="2AFA290E" w14:textId="42187DAB" w:rsidR="006A545F" w:rsidRDefault="006A545F" w:rsidP="00566E31">
      <w:pPr>
        <w:ind w:left="0"/>
        <w:rPr>
          <w:rFonts w:ascii="Bookman Old Style" w:hAnsi="Bookman Old Style"/>
          <w:b/>
        </w:rPr>
      </w:pPr>
    </w:p>
    <w:p w14:paraId="129BBC47" w14:textId="4F863255" w:rsidR="00D87D26" w:rsidRDefault="00F81BD5" w:rsidP="0012258C">
      <w:pPr>
        <w:ind w:left="0"/>
        <w:jc w:val="both"/>
        <w:rPr>
          <w:rFonts w:ascii="Bookman Old Style" w:hAnsi="Bookman Old Style"/>
          <w:lang w:val="es-CO"/>
        </w:rPr>
      </w:pPr>
      <w:r w:rsidRPr="00A56805">
        <w:rPr>
          <w:rFonts w:ascii="Bookman Old Style" w:hAnsi="Bookman Old Style"/>
          <w:lang w:val="es-CO"/>
        </w:rPr>
        <w:t xml:space="preserve">Argumenta el </w:t>
      </w:r>
      <w:r w:rsidR="00CD477D">
        <w:rPr>
          <w:rFonts w:ascii="Bookman Old Style" w:hAnsi="Bookman Old Style"/>
          <w:lang w:val="es-CO"/>
        </w:rPr>
        <w:t>representante legal</w:t>
      </w:r>
      <w:r w:rsidRPr="00A56805">
        <w:rPr>
          <w:rFonts w:ascii="Bookman Old Style" w:hAnsi="Bookman Old Style"/>
          <w:lang w:val="es-CO"/>
        </w:rPr>
        <w:t xml:space="preserve"> de la Empresa peticionaria </w:t>
      </w:r>
      <w:r w:rsidR="005B42EC">
        <w:rPr>
          <w:rFonts w:ascii="Bookman Old Style" w:hAnsi="Bookman Old Style"/>
          <w:lang w:val="es-CO"/>
        </w:rPr>
        <w:t>“que</w:t>
      </w:r>
      <w:r w:rsidR="00D87D26" w:rsidRPr="00A56805">
        <w:rPr>
          <w:rFonts w:ascii="Bookman Old Style" w:hAnsi="Bookman Old Style"/>
          <w:lang w:val="es-CO"/>
        </w:rPr>
        <w:t xml:space="preserve"> </w:t>
      </w:r>
      <w:r w:rsidR="005963F9">
        <w:rPr>
          <w:rFonts w:ascii="Bookman Old Style" w:hAnsi="Bookman Old Style"/>
          <w:lang w:val="es-CO"/>
        </w:rPr>
        <w:t>l</w:t>
      </w:r>
      <w:r w:rsidR="00D87D26" w:rsidRPr="00A56805">
        <w:rPr>
          <w:rFonts w:ascii="Bookman Old Style" w:hAnsi="Bookman Old Style"/>
          <w:lang w:val="es-CO"/>
        </w:rPr>
        <w:t xml:space="preserve">a Resolución CREG 101 028 es una norma que atenta contra el </w:t>
      </w:r>
      <w:r w:rsidR="005B42EC">
        <w:rPr>
          <w:rFonts w:ascii="Bookman Old Style" w:hAnsi="Bookman Old Style"/>
          <w:lang w:val="es-CO"/>
        </w:rPr>
        <w:t>r</w:t>
      </w:r>
      <w:r w:rsidR="00D87D26" w:rsidRPr="00A56805">
        <w:rPr>
          <w:rFonts w:ascii="Bookman Old Style" w:hAnsi="Bookman Old Style"/>
          <w:lang w:val="es-CO"/>
        </w:rPr>
        <w:t xml:space="preserve">égimen </w:t>
      </w:r>
      <w:r w:rsidR="005B42EC">
        <w:rPr>
          <w:rFonts w:ascii="Bookman Old Style" w:hAnsi="Bookman Old Style"/>
          <w:lang w:val="es-CO"/>
        </w:rPr>
        <w:t>e</w:t>
      </w:r>
      <w:r w:rsidR="00D87D26" w:rsidRPr="00A56805">
        <w:rPr>
          <w:rFonts w:ascii="Bookman Old Style" w:hAnsi="Bookman Old Style"/>
          <w:lang w:val="es-CO"/>
        </w:rPr>
        <w:t xml:space="preserve">special de </w:t>
      </w:r>
      <w:r w:rsidR="005B42EC">
        <w:rPr>
          <w:rFonts w:ascii="Bookman Old Style" w:hAnsi="Bookman Old Style"/>
          <w:lang w:val="es-CO"/>
        </w:rPr>
        <w:t>l</w:t>
      </w:r>
      <w:r w:rsidR="00D87D26" w:rsidRPr="00A56805">
        <w:rPr>
          <w:rFonts w:ascii="Bookman Old Style" w:hAnsi="Bookman Old Style"/>
          <w:lang w:val="es-CO"/>
        </w:rPr>
        <w:t xml:space="preserve">ibre </w:t>
      </w:r>
      <w:r w:rsidR="005B42EC">
        <w:rPr>
          <w:rFonts w:ascii="Bookman Old Style" w:hAnsi="Bookman Old Style"/>
          <w:lang w:val="es-CO"/>
        </w:rPr>
        <w:t>c</w:t>
      </w:r>
      <w:r w:rsidR="00D87D26" w:rsidRPr="00A56805">
        <w:rPr>
          <w:rFonts w:ascii="Bookman Old Style" w:hAnsi="Bookman Old Style"/>
          <w:lang w:val="es-CO"/>
        </w:rPr>
        <w:t>ompetencia establecido en el artículo 333 de la Constitución Política</w:t>
      </w:r>
      <w:r w:rsidR="00EE35D4">
        <w:rPr>
          <w:rFonts w:ascii="Bookman Old Style" w:hAnsi="Bookman Old Style"/>
          <w:lang w:val="es-CO"/>
        </w:rPr>
        <w:t>.</w:t>
      </w:r>
      <w:r w:rsidR="0012258C" w:rsidRPr="00A56805">
        <w:rPr>
          <w:rFonts w:ascii="Bookman Old Style" w:hAnsi="Bookman Old Style"/>
          <w:lang w:val="es-CO"/>
        </w:rPr>
        <w:t xml:space="preserve"> En este caso, se ha presentado una situación completamente contraria a</w:t>
      </w:r>
      <w:r w:rsidR="00112CCE">
        <w:rPr>
          <w:rFonts w:ascii="Bookman Old Style" w:hAnsi="Bookman Old Style"/>
          <w:lang w:val="es-CO"/>
        </w:rPr>
        <w:t xml:space="preserve"> </w:t>
      </w:r>
      <w:r w:rsidR="0012258C" w:rsidRPr="00A56805">
        <w:rPr>
          <w:rFonts w:ascii="Bookman Old Style" w:hAnsi="Bookman Old Style"/>
          <w:lang w:val="es-CO"/>
        </w:rPr>
        <w:t>la admitida por la norma, pues existe una limitación de la competencia y</w:t>
      </w:r>
      <w:r w:rsidR="00112CCE">
        <w:rPr>
          <w:rFonts w:ascii="Bookman Old Style" w:hAnsi="Bookman Old Style"/>
          <w:lang w:val="es-CO"/>
        </w:rPr>
        <w:t xml:space="preserve"> </w:t>
      </w:r>
      <w:r w:rsidR="0012258C" w:rsidRPr="00A56805">
        <w:rPr>
          <w:rFonts w:ascii="Bookman Old Style" w:hAnsi="Bookman Old Style"/>
          <w:lang w:val="es-CO"/>
        </w:rPr>
        <w:t>discriminación tecnológica, interviniendo de manera indirecta en la</w:t>
      </w:r>
      <w:r w:rsidR="00112CCE">
        <w:rPr>
          <w:rFonts w:ascii="Bookman Old Style" w:hAnsi="Bookman Old Style"/>
          <w:lang w:val="es-CO"/>
        </w:rPr>
        <w:t xml:space="preserve"> </w:t>
      </w:r>
      <w:r w:rsidR="0012258C" w:rsidRPr="00A56805">
        <w:rPr>
          <w:rFonts w:ascii="Bookman Old Style" w:hAnsi="Bookman Old Style"/>
          <w:lang w:val="es-CO"/>
        </w:rPr>
        <w:t>operación de las compañías, tal como es posible evidenciarlo en los</w:t>
      </w:r>
      <w:r w:rsidR="00112CCE">
        <w:rPr>
          <w:rFonts w:ascii="Bookman Old Style" w:hAnsi="Bookman Old Style"/>
          <w:lang w:val="es-CO"/>
        </w:rPr>
        <w:t xml:space="preserve"> </w:t>
      </w:r>
      <w:r w:rsidR="0012258C" w:rsidRPr="00A56805">
        <w:rPr>
          <w:rFonts w:ascii="Bookman Old Style" w:hAnsi="Bookman Old Style"/>
          <w:lang w:val="es-CO"/>
        </w:rPr>
        <w:t>considerandos de la Resolución CREG 101 028</w:t>
      </w:r>
      <w:r w:rsidR="00AF7683">
        <w:rPr>
          <w:rFonts w:ascii="Bookman Old Style" w:hAnsi="Bookman Old Style"/>
          <w:lang w:val="es-CO"/>
        </w:rPr>
        <w:t>.</w:t>
      </w:r>
    </w:p>
    <w:p w14:paraId="71242D59" w14:textId="3D93E6DD" w:rsidR="00AF7683" w:rsidRDefault="00AF7683" w:rsidP="0012258C">
      <w:pPr>
        <w:ind w:left="0"/>
        <w:jc w:val="both"/>
        <w:rPr>
          <w:rFonts w:ascii="Bookman Old Style" w:hAnsi="Bookman Old Style"/>
          <w:lang w:val="es-CO"/>
        </w:rPr>
      </w:pPr>
    </w:p>
    <w:p w14:paraId="5037BEC7" w14:textId="43154733" w:rsidR="00AF7683" w:rsidRPr="00A56805" w:rsidRDefault="00AF7683" w:rsidP="00A56805">
      <w:pPr>
        <w:ind w:left="0"/>
        <w:jc w:val="both"/>
        <w:rPr>
          <w:rFonts w:ascii="Bookman Old Style" w:hAnsi="Bookman Old Style"/>
          <w:lang w:val="es-CO"/>
        </w:rPr>
      </w:pPr>
      <w:r w:rsidRPr="00A56805">
        <w:rPr>
          <w:rFonts w:ascii="Bookman Old Style" w:hAnsi="Bookman Old Style"/>
          <w:lang w:val="es-CO"/>
        </w:rPr>
        <w:t>La norma en cuestión dirige sus esfuerzos al agente generador con plantas</w:t>
      </w:r>
      <w:r w:rsidR="00916C08">
        <w:rPr>
          <w:rFonts w:ascii="Bookman Old Style" w:hAnsi="Bookman Old Style"/>
          <w:lang w:val="es-CO"/>
        </w:rPr>
        <w:t xml:space="preserve"> </w:t>
      </w:r>
      <w:r w:rsidRPr="00A56805">
        <w:rPr>
          <w:rFonts w:ascii="Bookman Old Style" w:hAnsi="Bookman Old Style"/>
          <w:lang w:val="es-CO"/>
        </w:rPr>
        <w:t>de ciclo combinado, con el agravante de que no considera, si este es</w:t>
      </w:r>
      <w:r>
        <w:rPr>
          <w:rFonts w:ascii="Bookman Old Style" w:hAnsi="Bookman Old Style"/>
          <w:lang w:val="es-CO"/>
        </w:rPr>
        <w:t xml:space="preserve"> </w:t>
      </w:r>
      <w:r w:rsidRPr="00A56805">
        <w:rPr>
          <w:rFonts w:ascii="Bookman Old Style" w:hAnsi="Bookman Old Style"/>
          <w:lang w:val="es-CO"/>
        </w:rPr>
        <w:t>elegible para prestar el servicio de generación de seguridad o no,</w:t>
      </w:r>
      <w:r>
        <w:rPr>
          <w:rFonts w:ascii="Bookman Old Style" w:hAnsi="Bookman Old Style"/>
          <w:lang w:val="es-CO"/>
        </w:rPr>
        <w:t xml:space="preserve"> </w:t>
      </w:r>
      <w:r w:rsidRPr="00A56805">
        <w:rPr>
          <w:rFonts w:ascii="Bookman Old Style" w:hAnsi="Bookman Old Style"/>
          <w:lang w:val="es-CO"/>
        </w:rPr>
        <w:t>afectando las decisiones tanto del agente como del mercado; es decir,</w:t>
      </w:r>
      <w:r>
        <w:rPr>
          <w:rFonts w:ascii="Bookman Old Style" w:hAnsi="Bookman Old Style"/>
          <w:lang w:val="es-CO"/>
        </w:rPr>
        <w:t xml:space="preserve"> </w:t>
      </w:r>
      <w:r w:rsidRPr="00A56805">
        <w:rPr>
          <w:rFonts w:ascii="Bookman Old Style" w:hAnsi="Bookman Old Style"/>
          <w:lang w:val="es-CO"/>
        </w:rPr>
        <w:t>la CREG no hace esfuerzos por evaluar, i) el impacto que se genera al</w:t>
      </w:r>
      <w:r>
        <w:rPr>
          <w:rFonts w:ascii="Bookman Old Style" w:hAnsi="Bookman Old Style"/>
          <w:lang w:val="es-CO"/>
        </w:rPr>
        <w:t xml:space="preserve"> </w:t>
      </w:r>
      <w:r w:rsidRPr="00A56805">
        <w:rPr>
          <w:rFonts w:ascii="Bookman Old Style" w:hAnsi="Bookman Old Style"/>
          <w:lang w:val="es-CO"/>
        </w:rPr>
        <w:t>tomar una de las opciones de configuraciones que tiene la planta en las</w:t>
      </w:r>
      <w:r>
        <w:rPr>
          <w:rFonts w:ascii="Bookman Old Style" w:hAnsi="Bookman Old Style"/>
          <w:lang w:val="es-CO"/>
        </w:rPr>
        <w:t xml:space="preserve"> </w:t>
      </w:r>
      <w:r w:rsidRPr="00A56805">
        <w:rPr>
          <w:rFonts w:ascii="Bookman Old Style" w:hAnsi="Bookman Old Style"/>
          <w:lang w:val="es-CO"/>
        </w:rPr>
        <w:t>transacciones de compra/venta en bolsa del generador y su contraparte;</w:t>
      </w:r>
      <w:r>
        <w:rPr>
          <w:rFonts w:ascii="Bookman Old Style" w:hAnsi="Bookman Old Style"/>
          <w:lang w:val="es-CO"/>
        </w:rPr>
        <w:t xml:space="preserve"> </w:t>
      </w:r>
      <w:r w:rsidRPr="00A56805">
        <w:rPr>
          <w:rFonts w:ascii="Bookman Old Style" w:hAnsi="Bookman Old Style"/>
          <w:lang w:val="es-CO"/>
        </w:rPr>
        <w:t>ii) el impacto en las mayores o menores compras de energía para cubrir</w:t>
      </w:r>
      <w:r>
        <w:rPr>
          <w:rFonts w:ascii="Bookman Old Style" w:hAnsi="Bookman Old Style"/>
          <w:lang w:val="es-CO"/>
        </w:rPr>
        <w:t xml:space="preserve"> </w:t>
      </w:r>
      <w:r w:rsidRPr="00A56805">
        <w:rPr>
          <w:rFonts w:ascii="Bookman Old Style" w:hAnsi="Bookman Old Style"/>
          <w:lang w:val="es-CO"/>
        </w:rPr>
        <w:t>los contratos; ni iii) los efectos en la atención de las Obligaciones de</w:t>
      </w:r>
      <w:r>
        <w:rPr>
          <w:rFonts w:ascii="Bookman Old Style" w:hAnsi="Bookman Old Style"/>
          <w:lang w:val="es-CO"/>
        </w:rPr>
        <w:t xml:space="preserve"> </w:t>
      </w:r>
      <w:r w:rsidRPr="00A56805">
        <w:rPr>
          <w:rFonts w:ascii="Bookman Old Style" w:hAnsi="Bookman Old Style"/>
          <w:lang w:val="es-CO"/>
        </w:rPr>
        <w:t>Energía Firme (en adelante, las “OEF”) asignadas, ya que el CND puede</w:t>
      </w:r>
      <w:r>
        <w:rPr>
          <w:rFonts w:ascii="Bookman Old Style" w:hAnsi="Bookman Old Style"/>
          <w:lang w:val="es-CO"/>
        </w:rPr>
        <w:t xml:space="preserve"> </w:t>
      </w:r>
      <w:r w:rsidRPr="00A56805">
        <w:rPr>
          <w:rFonts w:ascii="Bookman Old Style" w:hAnsi="Bookman Old Style"/>
          <w:lang w:val="es-CO"/>
        </w:rPr>
        <w:t>decidir que se genere en una configuración que haga más costosa la</w:t>
      </w:r>
    </w:p>
    <w:p w14:paraId="6E0C8573" w14:textId="646E3A82" w:rsidR="00AF7683" w:rsidRPr="00A56805" w:rsidRDefault="00AF7683" w:rsidP="00A56805">
      <w:pPr>
        <w:ind w:left="0"/>
        <w:jc w:val="both"/>
        <w:rPr>
          <w:rFonts w:ascii="Bookman Old Style" w:hAnsi="Bookman Old Style"/>
          <w:lang w:val="es-CO"/>
        </w:rPr>
      </w:pPr>
      <w:r w:rsidRPr="00A56805">
        <w:rPr>
          <w:rFonts w:ascii="Bookman Old Style" w:hAnsi="Bookman Old Style"/>
          <w:lang w:val="es-CO"/>
        </w:rPr>
        <w:t>operación del generador cuando el precio de bolsa supere el precio de</w:t>
      </w:r>
      <w:r w:rsidRPr="00AF7683">
        <w:rPr>
          <w:rFonts w:ascii="Bookman Old Style" w:hAnsi="Bookman Old Style"/>
          <w:lang w:val="es-CO"/>
        </w:rPr>
        <w:t xml:space="preserve"> </w:t>
      </w:r>
      <w:r w:rsidRPr="00A56805">
        <w:rPr>
          <w:rFonts w:ascii="Bookman Old Style" w:hAnsi="Bookman Old Style" w:cs="CenturyGothic"/>
          <w:lang w:val="es-CO" w:eastAsia="es-CO"/>
        </w:rPr>
        <w:t>escasez.</w:t>
      </w:r>
    </w:p>
    <w:p w14:paraId="6A1C68D4" w14:textId="03667939" w:rsidR="00F81BD5" w:rsidRDefault="00F81BD5" w:rsidP="00566E31">
      <w:pPr>
        <w:ind w:left="0"/>
        <w:rPr>
          <w:rFonts w:ascii="Bookman Old Style" w:hAnsi="Bookman Old Style"/>
          <w:b/>
        </w:rPr>
      </w:pPr>
    </w:p>
    <w:p w14:paraId="5ADF6021" w14:textId="6BABB549" w:rsidR="007303F8" w:rsidRPr="00A56805" w:rsidRDefault="007303F8" w:rsidP="00A56805">
      <w:pPr>
        <w:ind w:left="0"/>
        <w:jc w:val="both"/>
        <w:rPr>
          <w:rFonts w:ascii="Bookman Old Style" w:hAnsi="Bookman Old Style"/>
          <w:lang w:val="es-CO"/>
        </w:rPr>
      </w:pPr>
      <w:r w:rsidRPr="00A56805">
        <w:rPr>
          <w:rFonts w:ascii="Bookman Old Style" w:hAnsi="Bookman Old Style"/>
          <w:lang w:val="es-CO"/>
        </w:rPr>
        <w:t>Además de esto, la Resolución CREG 101 028 está obviando que las</w:t>
      </w:r>
      <w:r>
        <w:rPr>
          <w:rFonts w:ascii="Bookman Old Style" w:hAnsi="Bookman Old Style"/>
          <w:lang w:val="es-CO"/>
        </w:rPr>
        <w:t xml:space="preserve"> </w:t>
      </w:r>
      <w:r w:rsidRPr="00A56805">
        <w:rPr>
          <w:rFonts w:ascii="Bookman Old Style" w:hAnsi="Bookman Old Style"/>
          <w:lang w:val="es-CO"/>
        </w:rPr>
        <w:t>restricciones tienen su origen, evolución y necesidad creciente desde</w:t>
      </w:r>
      <w:r w:rsidR="000558DE">
        <w:rPr>
          <w:rFonts w:ascii="Bookman Old Style" w:hAnsi="Bookman Old Style"/>
          <w:lang w:val="es-CO"/>
        </w:rPr>
        <w:t xml:space="preserve"> </w:t>
      </w:r>
      <w:r w:rsidRPr="00A56805">
        <w:rPr>
          <w:rFonts w:ascii="Bookman Old Style" w:hAnsi="Bookman Old Style"/>
          <w:lang w:val="es-CO"/>
        </w:rPr>
        <w:t>terceros agentes o situaciones del mercado, totalmente ajenas a los</w:t>
      </w:r>
      <w:r w:rsidR="000558DE">
        <w:rPr>
          <w:rFonts w:ascii="Bookman Old Style" w:hAnsi="Bookman Old Style"/>
          <w:lang w:val="es-CO"/>
        </w:rPr>
        <w:t xml:space="preserve"> </w:t>
      </w:r>
      <w:r w:rsidRPr="00A56805">
        <w:rPr>
          <w:rFonts w:ascii="Bookman Old Style" w:hAnsi="Bookman Old Style"/>
          <w:lang w:val="es-CO"/>
        </w:rPr>
        <w:t>generadores térmicos. Esto, toda vez que como es bien conocido, el</w:t>
      </w:r>
      <w:r w:rsidR="000558DE">
        <w:rPr>
          <w:rFonts w:ascii="Bookman Old Style" w:hAnsi="Bookman Old Style"/>
          <w:lang w:val="es-CO"/>
        </w:rPr>
        <w:t xml:space="preserve"> </w:t>
      </w:r>
      <w:r w:rsidRPr="00A56805">
        <w:rPr>
          <w:rFonts w:ascii="Bookman Old Style" w:hAnsi="Bookman Old Style"/>
          <w:lang w:val="es-CO"/>
        </w:rPr>
        <w:t xml:space="preserve">papel del generador es ser un agente </w:t>
      </w:r>
      <w:r w:rsidRPr="00A56805">
        <w:rPr>
          <w:rFonts w:ascii="Bookman Old Style" w:hAnsi="Bookman Old Style"/>
          <w:lang w:val="es-CO"/>
        </w:rPr>
        <w:lastRenderedPageBreak/>
        <w:t>pasivo en el origen o causa de las</w:t>
      </w:r>
      <w:r w:rsidR="000558DE">
        <w:rPr>
          <w:rFonts w:ascii="Bookman Old Style" w:hAnsi="Bookman Old Style"/>
          <w:lang w:val="es-CO"/>
        </w:rPr>
        <w:t xml:space="preserve"> </w:t>
      </w:r>
      <w:r w:rsidRPr="00A56805">
        <w:rPr>
          <w:rFonts w:ascii="Bookman Old Style" w:hAnsi="Bookman Old Style"/>
          <w:lang w:val="es-CO"/>
        </w:rPr>
        <w:t>restricciones, y su rol es el producir la energía determinada por el CND para</w:t>
      </w:r>
      <w:r w:rsidR="000558DE">
        <w:rPr>
          <w:rFonts w:ascii="Bookman Old Style" w:hAnsi="Bookman Old Style"/>
          <w:lang w:val="es-CO"/>
        </w:rPr>
        <w:t xml:space="preserve"> </w:t>
      </w:r>
      <w:r w:rsidRPr="00A56805">
        <w:rPr>
          <w:rFonts w:ascii="Bookman Old Style" w:hAnsi="Bookman Old Style"/>
          <w:lang w:val="es-CO"/>
        </w:rPr>
        <w:t>atender las necesidades del sistema representado por el operador, quien</w:t>
      </w:r>
      <w:r w:rsidR="000558DE">
        <w:rPr>
          <w:rFonts w:ascii="Bookman Old Style" w:hAnsi="Bookman Old Style"/>
          <w:lang w:val="es-CO"/>
        </w:rPr>
        <w:t xml:space="preserve"> </w:t>
      </w:r>
      <w:r w:rsidRPr="00A56805">
        <w:rPr>
          <w:rFonts w:ascii="Bookman Old Style" w:hAnsi="Bookman Old Style"/>
          <w:lang w:val="es-CO"/>
        </w:rPr>
        <w:t>es el encargado de evaluar la cantidad y lugar específico de generación</w:t>
      </w:r>
      <w:r w:rsidR="000558DE">
        <w:rPr>
          <w:rFonts w:ascii="Bookman Old Style" w:hAnsi="Bookman Old Style"/>
          <w:lang w:val="es-CO"/>
        </w:rPr>
        <w:t xml:space="preserve"> </w:t>
      </w:r>
      <w:r w:rsidRPr="00A56805">
        <w:rPr>
          <w:rFonts w:ascii="Bookman Old Style" w:hAnsi="Bookman Old Style"/>
          <w:lang w:val="es-CO"/>
        </w:rPr>
        <w:t>requerida acorde con las variables analizadas, entre ellos el</w:t>
      </w:r>
      <w:r w:rsidR="004C1E04">
        <w:rPr>
          <w:rFonts w:ascii="Bookman Old Style" w:hAnsi="Bookman Old Style"/>
          <w:lang w:val="es-CO"/>
        </w:rPr>
        <w:t xml:space="preserve"> </w:t>
      </w:r>
      <w:r w:rsidRPr="00A56805">
        <w:rPr>
          <w:rFonts w:ascii="Bookman Old Style" w:hAnsi="Bookman Old Style"/>
          <w:lang w:val="es-CO"/>
        </w:rPr>
        <w:t>comportamiento de la demanda, sin que tenga la posibilidad de evitar o</w:t>
      </w:r>
    </w:p>
    <w:p w14:paraId="4677BF4F" w14:textId="5F6640E2" w:rsidR="007303F8" w:rsidRDefault="007303F8" w:rsidP="007303F8">
      <w:pPr>
        <w:ind w:left="0"/>
        <w:jc w:val="both"/>
        <w:rPr>
          <w:rFonts w:ascii="Bookman Old Style" w:hAnsi="Bookman Old Style"/>
          <w:lang w:val="es-CO"/>
        </w:rPr>
      </w:pPr>
      <w:r w:rsidRPr="00A56805">
        <w:rPr>
          <w:rFonts w:ascii="Bookman Old Style" w:hAnsi="Bookman Old Style"/>
          <w:lang w:val="es-CO"/>
        </w:rPr>
        <w:t>provocar las restricciones.</w:t>
      </w:r>
    </w:p>
    <w:p w14:paraId="70D4141C" w14:textId="77777777" w:rsidR="007303F8" w:rsidRPr="00A56805" w:rsidRDefault="007303F8" w:rsidP="00A56805">
      <w:pPr>
        <w:ind w:left="0"/>
        <w:jc w:val="both"/>
        <w:rPr>
          <w:rFonts w:ascii="Bookman Old Style" w:hAnsi="Bookman Old Style"/>
          <w:lang w:val="es-CO"/>
        </w:rPr>
      </w:pPr>
    </w:p>
    <w:p w14:paraId="0D4544CB" w14:textId="64D32D12" w:rsidR="007303F8" w:rsidRDefault="007303F8" w:rsidP="00E10347">
      <w:pPr>
        <w:ind w:left="0"/>
        <w:jc w:val="both"/>
        <w:rPr>
          <w:rFonts w:ascii="Bookman Old Style" w:hAnsi="Bookman Old Style"/>
          <w:lang w:val="es-CO"/>
        </w:rPr>
      </w:pPr>
      <w:r w:rsidRPr="00A56805">
        <w:rPr>
          <w:rFonts w:ascii="Bookman Old Style" w:hAnsi="Bookman Old Style"/>
          <w:lang w:val="es-CO"/>
        </w:rPr>
        <w:t>Así mismo, la Resolución CREG 101 028 desconoce que la congestión que</w:t>
      </w:r>
      <w:r w:rsidR="000558DE">
        <w:rPr>
          <w:rFonts w:ascii="Bookman Old Style" w:hAnsi="Bookman Old Style"/>
          <w:lang w:val="es-CO"/>
        </w:rPr>
        <w:t xml:space="preserve"> </w:t>
      </w:r>
      <w:r w:rsidRPr="00A56805">
        <w:rPr>
          <w:rFonts w:ascii="Bookman Old Style" w:hAnsi="Bookman Old Style"/>
          <w:lang w:val="es-CO"/>
        </w:rPr>
        <w:t>se ha generado en el sistema es el resultado del exceso de demanda</w:t>
      </w:r>
      <w:r w:rsidR="000558DE">
        <w:rPr>
          <w:rFonts w:ascii="Bookman Old Style" w:hAnsi="Bookman Old Style"/>
          <w:lang w:val="es-CO"/>
        </w:rPr>
        <w:t xml:space="preserve"> </w:t>
      </w:r>
      <w:r w:rsidRPr="00A56805">
        <w:rPr>
          <w:rFonts w:ascii="Bookman Old Style" w:hAnsi="Bookman Old Style"/>
          <w:lang w:val="es-CO"/>
        </w:rPr>
        <w:t>debido a límites en la oferta, ya sea por falta de planeación, articulación</w:t>
      </w:r>
      <w:r w:rsidR="000558DE">
        <w:rPr>
          <w:rFonts w:ascii="Bookman Old Style" w:hAnsi="Bookman Old Style"/>
          <w:lang w:val="es-CO"/>
        </w:rPr>
        <w:t xml:space="preserve"> </w:t>
      </w:r>
      <w:r w:rsidRPr="00A56805">
        <w:rPr>
          <w:rFonts w:ascii="Bookman Old Style" w:hAnsi="Bookman Old Style"/>
          <w:lang w:val="es-CO"/>
        </w:rPr>
        <w:t>y coordinación por parte de las entidades estatales, lo cual ha generado</w:t>
      </w:r>
      <w:r w:rsidR="000558DE">
        <w:rPr>
          <w:rFonts w:ascii="Bookman Old Style" w:hAnsi="Bookman Old Style"/>
          <w:lang w:val="es-CO"/>
        </w:rPr>
        <w:t xml:space="preserve"> </w:t>
      </w:r>
      <w:r w:rsidRPr="00A56805">
        <w:rPr>
          <w:rFonts w:ascii="Bookman Old Style" w:hAnsi="Bookman Old Style"/>
          <w:lang w:val="es-CO"/>
        </w:rPr>
        <w:t>que exista una falla en el mercado, consistente en las limitaciones del</w:t>
      </w:r>
      <w:r w:rsidR="000558DE">
        <w:rPr>
          <w:rFonts w:ascii="Bookman Old Style" w:hAnsi="Bookman Old Style"/>
          <w:lang w:val="es-CO"/>
        </w:rPr>
        <w:t xml:space="preserve"> </w:t>
      </w:r>
      <w:r w:rsidRPr="00A56805">
        <w:rPr>
          <w:rFonts w:ascii="Bookman Old Style" w:hAnsi="Bookman Old Style"/>
          <w:lang w:val="es-CO"/>
        </w:rPr>
        <w:t>Sistema de Transmisión Nacional y el Sistema de Transmisión Regional,</w:t>
      </w:r>
      <w:r w:rsidR="000558DE">
        <w:rPr>
          <w:rFonts w:ascii="Bookman Old Style" w:hAnsi="Bookman Old Style"/>
          <w:lang w:val="es-CO"/>
        </w:rPr>
        <w:t xml:space="preserve"> </w:t>
      </w:r>
      <w:r w:rsidRPr="00A56805">
        <w:rPr>
          <w:rFonts w:ascii="Bookman Old Style" w:hAnsi="Bookman Old Style"/>
          <w:lang w:val="es-CO"/>
        </w:rPr>
        <w:t>conforme al cual no existe suficiente capacidad para transportar energía</w:t>
      </w:r>
      <w:r w:rsidR="000558DE">
        <w:rPr>
          <w:rFonts w:ascii="Bookman Old Style" w:hAnsi="Bookman Old Style"/>
          <w:lang w:val="es-CO"/>
        </w:rPr>
        <w:t xml:space="preserve"> </w:t>
      </w:r>
      <w:r w:rsidRPr="00A56805">
        <w:rPr>
          <w:rFonts w:ascii="Bookman Old Style" w:hAnsi="Bookman Old Style"/>
          <w:lang w:val="es-CO"/>
        </w:rPr>
        <w:t>de manera libre a lo largo del SIN, lo que hace necesario que parte de la</w:t>
      </w:r>
      <w:r w:rsidR="00E10347">
        <w:rPr>
          <w:rFonts w:ascii="Bookman Old Style" w:hAnsi="Bookman Old Style"/>
          <w:lang w:val="es-CO"/>
        </w:rPr>
        <w:t xml:space="preserve"> </w:t>
      </w:r>
      <w:r w:rsidR="00E10347" w:rsidRPr="00A56805">
        <w:rPr>
          <w:rFonts w:ascii="Bookman Old Style" w:hAnsi="Bookman Old Style"/>
          <w:lang w:val="es-CO"/>
        </w:rPr>
        <w:t>demanda de alguna región, sea proveída por plantas de generación específicas; que para el caso particular de la demanda del área Caribe</w:t>
      </w:r>
      <w:r w:rsidR="00E10347">
        <w:rPr>
          <w:rFonts w:ascii="Bookman Old Style" w:hAnsi="Bookman Old Style"/>
          <w:lang w:val="es-CO"/>
        </w:rPr>
        <w:t xml:space="preserve"> </w:t>
      </w:r>
      <w:r w:rsidR="00E10347" w:rsidRPr="00A56805">
        <w:rPr>
          <w:rFonts w:ascii="Bookman Old Style" w:hAnsi="Bookman Old Style"/>
          <w:lang w:val="es-CO"/>
        </w:rPr>
        <w:t>debe ser parcialmente atendida por plantas de generación ubicadas en la Costa Caribe.</w:t>
      </w:r>
    </w:p>
    <w:p w14:paraId="1475091F" w14:textId="04584C1B" w:rsidR="000F1683" w:rsidRDefault="000F1683" w:rsidP="00E10347">
      <w:pPr>
        <w:ind w:left="0"/>
        <w:jc w:val="both"/>
        <w:rPr>
          <w:rFonts w:ascii="Bookman Old Style" w:hAnsi="Bookman Old Style"/>
          <w:lang w:val="es-CO"/>
        </w:rPr>
      </w:pPr>
    </w:p>
    <w:p w14:paraId="0765C88D" w14:textId="0EF1CEAB" w:rsidR="000F1683" w:rsidRDefault="000F1683" w:rsidP="000F1683">
      <w:pPr>
        <w:ind w:left="0"/>
        <w:jc w:val="both"/>
        <w:rPr>
          <w:rFonts w:ascii="Bookman Old Style" w:hAnsi="Bookman Old Style"/>
          <w:lang w:val="es-CO"/>
        </w:rPr>
      </w:pPr>
      <w:r w:rsidRPr="000F1683">
        <w:rPr>
          <w:rFonts w:ascii="Bookman Old Style" w:hAnsi="Bookman Old Style"/>
          <w:lang w:val="es-CO"/>
        </w:rPr>
        <w:t>La norma donde el operador determinaría en el proceso de optimización</w:t>
      </w:r>
      <w:r>
        <w:rPr>
          <w:rFonts w:ascii="Bookman Old Style" w:hAnsi="Bookman Old Style"/>
          <w:lang w:val="es-CO"/>
        </w:rPr>
        <w:t xml:space="preserve"> </w:t>
      </w:r>
      <w:r w:rsidRPr="000F1683">
        <w:rPr>
          <w:rFonts w:ascii="Bookman Old Style" w:hAnsi="Bookman Old Style"/>
          <w:lang w:val="es-CO"/>
        </w:rPr>
        <w:t>la configuración que debe operar la planta, no considera la premisa que</w:t>
      </w:r>
      <w:r>
        <w:rPr>
          <w:rFonts w:ascii="Bookman Old Style" w:hAnsi="Bookman Old Style"/>
          <w:lang w:val="es-CO"/>
        </w:rPr>
        <w:t xml:space="preserve"> </w:t>
      </w:r>
      <w:r w:rsidRPr="000F1683">
        <w:rPr>
          <w:rFonts w:ascii="Bookman Old Style" w:hAnsi="Bookman Old Style"/>
          <w:lang w:val="es-CO"/>
        </w:rPr>
        <w:t>el mercado de generación es un mercado de ofertas de precios en el que</w:t>
      </w:r>
      <w:r>
        <w:rPr>
          <w:rFonts w:ascii="Bookman Old Style" w:hAnsi="Bookman Old Style"/>
          <w:lang w:val="es-CO"/>
        </w:rPr>
        <w:t xml:space="preserve"> </w:t>
      </w:r>
      <w:r w:rsidRPr="000F1683">
        <w:rPr>
          <w:rFonts w:ascii="Bookman Old Style" w:hAnsi="Bookman Old Style"/>
          <w:lang w:val="es-CO"/>
        </w:rPr>
        <w:t>el generador está dispuesto a entregar su energía al precio definido por</w:t>
      </w:r>
      <w:r>
        <w:rPr>
          <w:rFonts w:ascii="Bookman Old Style" w:hAnsi="Bookman Old Style"/>
          <w:lang w:val="es-CO"/>
        </w:rPr>
        <w:t xml:space="preserve"> </w:t>
      </w:r>
      <w:r w:rsidRPr="000F1683">
        <w:rPr>
          <w:rFonts w:ascii="Bookman Old Style" w:hAnsi="Bookman Old Style"/>
          <w:lang w:val="es-CO"/>
        </w:rPr>
        <w:t>éste, y si como resultado de lo anterior, en el proceso de optimización</w:t>
      </w:r>
      <w:r>
        <w:rPr>
          <w:rFonts w:ascii="Bookman Old Style" w:hAnsi="Bookman Old Style"/>
          <w:lang w:val="es-CO"/>
        </w:rPr>
        <w:t xml:space="preserve"> r</w:t>
      </w:r>
      <w:r w:rsidRPr="000F1683">
        <w:rPr>
          <w:rFonts w:ascii="Bookman Old Style" w:hAnsi="Bookman Old Style"/>
          <w:lang w:val="es-CO"/>
        </w:rPr>
        <w:t>esulta una oferta competitiva, de una configuración de menor valor que</w:t>
      </w:r>
      <w:r>
        <w:rPr>
          <w:rFonts w:ascii="Bookman Old Style" w:hAnsi="Bookman Old Style"/>
          <w:lang w:val="es-CO"/>
        </w:rPr>
        <w:t xml:space="preserve"> </w:t>
      </w:r>
      <w:r w:rsidRPr="000F1683">
        <w:rPr>
          <w:rFonts w:ascii="Bookman Old Style" w:hAnsi="Bookman Old Style"/>
          <w:lang w:val="es-CO"/>
        </w:rPr>
        <w:t>otras posibles configuraciones, el generador eventualmente no podría</w:t>
      </w:r>
      <w:r>
        <w:rPr>
          <w:rFonts w:ascii="Bookman Old Style" w:hAnsi="Bookman Old Style"/>
          <w:lang w:val="es-CO"/>
        </w:rPr>
        <w:t xml:space="preserve"> </w:t>
      </w:r>
      <w:r w:rsidRPr="000F1683">
        <w:rPr>
          <w:rFonts w:ascii="Bookman Old Style" w:hAnsi="Bookman Old Style"/>
          <w:lang w:val="es-CO"/>
        </w:rPr>
        <w:t>recuperar los riesgos e incertidumbres que ha reflejado en su oferta</w:t>
      </w:r>
      <w:r>
        <w:rPr>
          <w:rFonts w:ascii="Bookman Old Style" w:hAnsi="Bookman Old Style"/>
          <w:lang w:val="es-CO"/>
        </w:rPr>
        <w:t xml:space="preserve"> </w:t>
      </w:r>
      <w:r w:rsidRPr="000F1683">
        <w:rPr>
          <w:rFonts w:ascii="Bookman Old Style" w:hAnsi="Bookman Old Style"/>
          <w:lang w:val="es-CO"/>
        </w:rPr>
        <w:t>habiendo otra que también cubre la seguridad pero no es tomada por el</w:t>
      </w:r>
      <w:r>
        <w:rPr>
          <w:rFonts w:ascii="Bookman Old Style" w:hAnsi="Bookman Old Style"/>
          <w:lang w:val="es-CO"/>
        </w:rPr>
        <w:t xml:space="preserve"> </w:t>
      </w:r>
      <w:r w:rsidRPr="000F1683">
        <w:rPr>
          <w:rFonts w:ascii="Bookman Old Style" w:hAnsi="Bookman Old Style"/>
          <w:lang w:val="es-CO"/>
        </w:rPr>
        <w:t>operador, lo que hace inocuo la limitación de la remuneración de</w:t>
      </w:r>
      <w:r>
        <w:rPr>
          <w:rFonts w:ascii="Bookman Old Style" w:hAnsi="Bookman Old Style"/>
          <w:lang w:val="es-CO"/>
        </w:rPr>
        <w:t xml:space="preserve"> </w:t>
      </w:r>
      <w:r w:rsidRPr="000F1683">
        <w:rPr>
          <w:rFonts w:ascii="Bookman Old Style" w:hAnsi="Bookman Old Style"/>
          <w:lang w:val="es-CO"/>
        </w:rPr>
        <w:t>generaciones de seguridad, y carece de sentido mantener todos los</w:t>
      </w:r>
      <w:r>
        <w:rPr>
          <w:rFonts w:ascii="Bookman Old Style" w:hAnsi="Bookman Old Style"/>
          <w:lang w:val="es-CO"/>
        </w:rPr>
        <w:t xml:space="preserve"> </w:t>
      </w:r>
      <w:r w:rsidRPr="000F1683">
        <w:rPr>
          <w:rFonts w:ascii="Bookman Old Style" w:hAnsi="Bookman Old Style"/>
          <w:lang w:val="es-CO"/>
        </w:rPr>
        <w:t>procesos de auditorías asociados a las generaciones de seguridad, dado</w:t>
      </w:r>
      <w:r>
        <w:rPr>
          <w:rFonts w:ascii="Bookman Old Style" w:hAnsi="Bookman Old Style"/>
          <w:lang w:val="es-CO"/>
        </w:rPr>
        <w:t xml:space="preserve"> </w:t>
      </w:r>
      <w:r w:rsidRPr="000F1683">
        <w:rPr>
          <w:rFonts w:ascii="Bookman Old Style" w:hAnsi="Bookman Old Style"/>
          <w:lang w:val="es-CO"/>
        </w:rPr>
        <w:t>que es el operador el que está escogiendo de una gama de alternativas</w:t>
      </w:r>
      <w:r>
        <w:rPr>
          <w:rFonts w:ascii="Bookman Old Style" w:hAnsi="Bookman Old Style"/>
          <w:lang w:val="es-CO"/>
        </w:rPr>
        <w:t xml:space="preserve"> </w:t>
      </w:r>
      <w:r w:rsidRPr="000F1683">
        <w:rPr>
          <w:rFonts w:ascii="Bookman Old Style" w:hAnsi="Bookman Old Style"/>
          <w:lang w:val="es-CO"/>
        </w:rPr>
        <w:t>y limitando la libertad de ofertas.</w:t>
      </w:r>
    </w:p>
    <w:p w14:paraId="6D922360" w14:textId="77777777" w:rsidR="000F1683" w:rsidRPr="000F1683" w:rsidRDefault="000F1683" w:rsidP="000F1683">
      <w:pPr>
        <w:ind w:left="0"/>
        <w:jc w:val="both"/>
        <w:rPr>
          <w:rFonts w:ascii="Bookman Old Style" w:hAnsi="Bookman Old Style"/>
          <w:lang w:val="es-CO"/>
        </w:rPr>
      </w:pPr>
    </w:p>
    <w:p w14:paraId="4A6C499A" w14:textId="4BE7F97C" w:rsidR="000F1683" w:rsidRDefault="000F1683" w:rsidP="000F1683">
      <w:pPr>
        <w:ind w:left="0"/>
        <w:jc w:val="both"/>
        <w:rPr>
          <w:rFonts w:ascii="Bookman Old Style" w:hAnsi="Bookman Old Style"/>
          <w:lang w:val="es-CO"/>
        </w:rPr>
      </w:pPr>
      <w:r w:rsidRPr="000F1683">
        <w:rPr>
          <w:rFonts w:ascii="Bookman Old Style" w:hAnsi="Bookman Old Style"/>
          <w:lang w:val="es-CO"/>
        </w:rPr>
        <w:t>Así las cosas, es evidente que con la expedición de la Resolución CREG</w:t>
      </w:r>
      <w:r>
        <w:rPr>
          <w:rFonts w:ascii="Bookman Old Style" w:hAnsi="Bookman Old Style"/>
          <w:lang w:val="es-CO"/>
        </w:rPr>
        <w:t xml:space="preserve"> </w:t>
      </w:r>
      <w:r w:rsidRPr="000F1683">
        <w:rPr>
          <w:rFonts w:ascii="Bookman Old Style" w:hAnsi="Bookman Old Style"/>
          <w:lang w:val="es-CO"/>
        </w:rPr>
        <w:t>101 028 se discrimina a las plantas térmicas que utilizan el ciclo</w:t>
      </w:r>
      <w:r>
        <w:rPr>
          <w:rFonts w:ascii="Bookman Old Style" w:hAnsi="Bookman Old Style"/>
          <w:lang w:val="es-CO"/>
        </w:rPr>
        <w:t xml:space="preserve"> </w:t>
      </w:r>
      <w:r w:rsidRPr="000F1683">
        <w:rPr>
          <w:rFonts w:ascii="Bookman Old Style" w:hAnsi="Bookman Old Style"/>
          <w:lang w:val="es-CO"/>
        </w:rPr>
        <w:t>combinado, al centralizar la decisión de operación en el CND, afectando</w:t>
      </w:r>
      <w:r>
        <w:rPr>
          <w:rFonts w:ascii="Bookman Old Style" w:hAnsi="Bookman Old Style"/>
          <w:lang w:val="es-CO"/>
        </w:rPr>
        <w:t xml:space="preserve"> </w:t>
      </w:r>
      <w:r w:rsidRPr="000F1683">
        <w:rPr>
          <w:rFonts w:ascii="Bookman Old Style" w:hAnsi="Bookman Old Style"/>
          <w:lang w:val="es-CO"/>
        </w:rPr>
        <w:t>así su participación libre, espontánea y bajo sus propios riesgos e</w:t>
      </w:r>
      <w:r>
        <w:rPr>
          <w:rFonts w:ascii="Bookman Old Style" w:hAnsi="Bookman Old Style"/>
          <w:lang w:val="es-CO"/>
        </w:rPr>
        <w:t xml:space="preserve"> </w:t>
      </w:r>
      <w:r w:rsidRPr="000F1683">
        <w:rPr>
          <w:rFonts w:ascii="Bookman Old Style" w:hAnsi="Bookman Old Style"/>
          <w:lang w:val="es-CO"/>
        </w:rPr>
        <w:t>incertidumbres; contrario a la libertad operativa y comercial que ofrece la</w:t>
      </w:r>
      <w:r>
        <w:rPr>
          <w:rFonts w:ascii="Bookman Old Style" w:hAnsi="Bookman Old Style"/>
          <w:lang w:val="es-CO"/>
        </w:rPr>
        <w:t xml:space="preserve"> </w:t>
      </w:r>
      <w:r w:rsidRPr="000F1683">
        <w:rPr>
          <w:rFonts w:ascii="Bookman Old Style" w:hAnsi="Bookman Old Style"/>
          <w:lang w:val="es-CO"/>
        </w:rPr>
        <w:t>bolsa de energía a las demás tecnologías sin incidencia del CND, donde</w:t>
      </w:r>
      <w:r>
        <w:rPr>
          <w:rFonts w:ascii="Bookman Old Style" w:hAnsi="Bookman Old Style"/>
          <w:lang w:val="es-CO"/>
        </w:rPr>
        <w:t xml:space="preserve"> </w:t>
      </w:r>
      <w:r w:rsidRPr="000F1683">
        <w:rPr>
          <w:rFonts w:ascii="Bookman Old Style" w:hAnsi="Bookman Old Style"/>
          <w:lang w:val="es-CO"/>
        </w:rPr>
        <w:t>en un mercado en competencia éstas, es decir las tecnologías que no se</w:t>
      </w:r>
      <w:r>
        <w:rPr>
          <w:rFonts w:ascii="Bookman Old Style" w:hAnsi="Bookman Old Style"/>
          <w:lang w:val="es-CO"/>
        </w:rPr>
        <w:t xml:space="preserve"> </w:t>
      </w:r>
      <w:r w:rsidRPr="000F1683">
        <w:rPr>
          <w:rFonts w:ascii="Bookman Old Style" w:hAnsi="Bookman Old Style"/>
          <w:lang w:val="es-CO"/>
        </w:rPr>
        <w:t>ven afectadas obtendrían una flagrante ventaja, causando potenciales</w:t>
      </w:r>
      <w:r>
        <w:rPr>
          <w:rFonts w:ascii="Bookman Old Style" w:hAnsi="Bookman Old Style"/>
          <w:lang w:val="es-CO"/>
        </w:rPr>
        <w:t xml:space="preserve"> </w:t>
      </w:r>
      <w:r w:rsidRPr="000F1683">
        <w:rPr>
          <w:rFonts w:ascii="Bookman Old Style" w:hAnsi="Bookman Old Style"/>
          <w:lang w:val="es-CO"/>
        </w:rPr>
        <w:t>pérdidas al agente generador, por el hecho de tener ciclos combinados</w:t>
      </w:r>
      <w:r>
        <w:rPr>
          <w:rFonts w:ascii="Bookman Old Style" w:hAnsi="Bookman Old Style"/>
          <w:lang w:val="es-CO"/>
        </w:rPr>
        <w:t xml:space="preserve"> </w:t>
      </w:r>
      <w:r w:rsidRPr="000F1683">
        <w:rPr>
          <w:rFonts w:ascii="Bookman Old Style" w:hAnsi="Bookman Old Style"/>
          <w:lang w:val="es-CO"/>
        </w:rPr>
        <w:t>la cual, de hecho, resulta ser la tecnología más eficiente. Precisamente no</w:t>
      </w:r>
      <w:r>
        <w:rPr>
          <w:rFonts w:ascii="Bookman Old Style" w:hAnsi="Bookman Old Style"/>
          <w:lang w:val="es-CO"/>
        </w:rPr>
        <w:t xml:space="preserve"> </w:t>
      </w:r>
      <w:r w:rsidRPr="000F1683">
        <w:rPr>
          <w:rFonts w:ascii="Bookman Old Style" w:hAnsi="Bookman Old Style"/>
          <w:lang w:val="es-CO"/>
        </w:rPr>
        <w:t>se observa en la reglamentación ajuste alguno de las liquidaciones de las</w:t>
      </w:r>
      <w:r>
        <w:rPr>
          <w:rFonts w:ascii="Bookman Old Style" w:hAnsi="Bookman Old Style"/>
          <w:lang w:val="es-CO"/>
        </w:rPr>
        <w:t xml:space="preserve"> </w:t>
      </w:r>
      <w:r w:rsidRPr="000F1683">
        <w:rPr>
          <w:rFonts w:ascii="Bookman Old Style" w:hAnsi="Bookman Old Style"/>
          <w:lang w:val="es-CO"/>
        </w:rPr>
        <w:t>transacciones en bolsa que podrían verse afectadas para el generador,</w:t>
      </w:r>
      <w:r w:rsidR="00070117">
        <w:rPr>
          <w:rFonts w:ascii="Bookman Old Style" w:hAnsi="Bookman Old Style"/>
          <w:lang w:val="es-CO"/>
        </w:rPr>
        <w:t xml:space="preserve"> </w:t>
      </w:r>
      <w:r w:rsidRPr="000F1683">
        <w:rPr>
          <w:rFonts w:ascii="Bookman Old Style" w:hAnsi="Bookman Old Style"/>
          <w:lang w:val="es-CO"/>
        </w:rPr>
        <w:t>quien se vería obligado a escoger la configuración que resulte más</w:t>
      </w:r>
      <w:r w:rsidR="00951AAC">
        <w:rPr>
          <w:rFonts w:ascii="Bookman Old Style" w:hAnsi="Bookman Old Style"/>
          <w:lang w:val="es-CO"/>
        </w:rPr>
        <w:t xml:space="preserve"> </w:t>
      </w:r>
      <w:r w:rsidRPr="000F1683">
        <w:rPr>
          <w:rFonts w:ascii="Bookman Old Style" w:hAnsi="Bookman Old Style"/>
          <w:lang w:val="es-CO"/>
        </w:rPr>
        <w:t>eficiente en costos, sin importar el impacto que esto podría tener en el</w:t>
      </w:r>
      <w:r w:rsidR="00951AAC">
        <w:rPr>
          <w:rFonts w:ascii="Bookman Old Style" w:hAnsi="Bookman Old Style"/>
          <w:lang w:val="es-CO"/>
        </w:rPr>
        <w:t xml:space="preserve"> </w:t>
      </w:r>
      <w:r w:rsidRPr="000F1683">
        <w:rPr>
          <w:rFonts w:ascii="Bookman Old Style" w:hAnsi="Bookman Old Style"/>
          <w:lang w:val="es-CO"/>
        </w:rPr>
        <w:t>desarrollo de sus actividades y en la operación del gasoducto por cuenta</w:t>
      </w:r>
      <w:r w:rsidR="00951AAC">
        <w:rPr>
          <w:rFonts w:ascii="Bookman Old Style" w:hAnsi="Bookman Old Style"/>
          <w:lang w:val="es-CO"/>
        </w:rPr>
        <w:t xml:space="preserve"> </w:t>
      </w:r>
      <w:r w:rsidRPr="000F1683">
        <w:rPr>
          <w:rFonts w:ascii="Bookman Old Style" w:hAnsi="Bookman Old Style"/>
          <w:lang w:val="es-CO"/>
        </w:rPr>
        <w:t>de las potenciales, abruptas y recurrentes variaciones al consumo de gas</w:t>
      </w:r>
      <w:r w:rsidR="00951AAC">
        <w:rPr>
          <w:rFonts w:ascii="Bookman Old Style" w:hAnsi="Bookman Old Style"/>
          <w:lang w:val="es-CO"/>
        </w:rPr>
        <w:t xml:space="preserve"> </w:t>
      </w:r>
      <w:r w:rsidRPr="000F1683">
        <w:rPr>
          <w:rFonts w:ascii="Bookman Old Style" w:hAnsi="Bookman Old Style"/>
          <w:lang w:val="es-CO"/>
        </w:rPr>
        <w:t>que incidirían la estabilidad de la presión, con la consecuente afectación</w:t>
      </w:r>
      <w:r w:rsidR="00951AAC">
        <w:rPr>
          <w:rFonts w:ascii="Bookman Old Style" w:hAnsi="Bookman Old Style"/>
          <w:lang w:val="es-CO"/>
        </w:rPr>
        <w:t xml:space="preserve"> </w:t>
      </w:r>
      <w:r w:rsidRPr="000F1683">
        <w:rPr>
          <w:rFonts w:ascii="Bookman Old Style" w:hAnsi="Bookman Old Style"/>
          <w:lang w:val="es-CO"/>
        </w:rPr>
        <w:t>de otros usuarios</w:t>
      </w:r>
      <w:r w:rsidR="00E60DE9">
        <w:rPr>
          <w:rFonts w:ascii="Bookman Old Style" w:hAnsi="Bookman Old Style"/>
          <w:lang w:val="es-CO"/>
        </w:rPr>
        <w:t>”</w:t>
      </w:r>
      <w:r w:rsidR="006A6E65">
        <w:rPr>
          <w:rFonts w:ascii="Bookman Old Style" w:hAnsi="Bookman Old Style"/>
          <w:lang w:val="es-CO"/>
        </w:rPr>
        <w:t>.</w:t>
      </w:r>
    </w:p>
    <w:p w14:paraId="52D3643E" w14:textId="70E385FD" w:rsidR="000F4514" w:rsidRPr="008E646B" w:rsidRDefault="00F35A5B" w:rsidP="000F1683">
      <w:pPr>
        <w:ind w:left="0"/>
        <w:jc w:val="both"/>
        <w:rPr>
          <w:rFonts w:ascii="Bookman Old Style" w:hAnsi="Bookman Old Style"/>
          <w:b/>
          <w:bCs/>
          <w:lang w:val="es-CO"/>
        </w:rPr>
      </w:pPr>
      <w:r w:rsidRPr="008E646B">
        <w:rPr>
          <w:rFonts w:ascii="Bookman Old Style" w:hAnsi="Bookman Old Style"/>
          <w:b/>
          <w:bCs/>
          <w:lang w:val="es-CO"/>
        </w:rPr>
        <w:lastRenderedPageBreak/>
        <w:t>Vulneración a la Ley 142 y 143</w:t>
      </w:r>
      <w:r w:rsidR="00951AAC" w:rsidRPr="008E646B">
        <w:rPr>
          <w:rFonts w:ascii="Bookman Old Style" w:hAnsi="Bookman Old Style"/>
          <w:b/>
          <w:bCs/>
          <w:lang w:val="es-CO"/>
        </w:rPr>
        <w:t xml:space="preserve"> de 1994</w:t>
      </w:r>
    </w:p>
    <w:p w14:paraId="639831BF" w14:textId="467EC086" w:rsidR="007139B7" w:rsidRDefault="007139B7" w:rsidP="000F1683">
      <w:pPr>
        <w:ind w:left="0"/>
        <w:jc w:val="both"/>
        <w:rPr>
          <w:rFonts w:ascii="Bookman Old Style" w:hAnsi="Bookman Old Style"/>
          <w:lang w:val="es-CO"/>
        </w:rPr>
      </w:pPr>
    </w:p>
    <w:p w14:paraId="2B2E3D73" w14:textId="61E5E4D8" w:rsidR="007139B7" w:rsidRPr="007139B7" w:rsidRDefault="00E60DE9" w:rsidP="007139B7">
      <w:pPr>
        <w:ind w:left="0"/>
        <w:jc w:val="both"/>
        <w:rPr>
          <w:rFonts w:ascii="Bookman Old Style" w:hAnsi="Bookman Old Style"/>
          <w:lang w:val="es-CO"/>
        </w:rPr>
      </w:pPr>
      <w:r>
        <w:rPr>
          <w:rFonts w:ascii="Bookman Old Style" w:hAnsi="Bookman Old Style"/>
          <w:lang w:val="es-CO"/>
        </w:rPr>
        <w:t>“</w:t>
      </w:r>
      <w:r w:rsidR="007139B7">
        <w:rPr>
          <w:rFonts w:ascii="Bookman Old Style" w:hAnsi="Bookman Old Style"/>
          <w:lang w:val="es-CO"/>
        </w:rPr>
        <w:t>L</w:t>
      </w:r>
      <w:r w:rsidR="007139B7" w:rsidRPr="007139B7">
        <w:rPr>
          <w:rFonts w:ascii="Bookman Old Style" w:hAnsi="Bookman Old Style"/>
          <w:lang w:val="es-CO"/>
        </w:rPr>
        <w:t>a norma del asunto</w:t>
      </w:r>
      <w:r w:rsidR="007139B7">
        <w:rPr>
          <w:rFonts w:ascii="Bookman Old Style" w:hAnsi="Bookman Old Style"/>
          <w:lang w:val="es-CO"/>
        </w:rPr>
        <w:t xml:space="preserve"> </w:t>
      </w:r>
      <w:r w:rsidR="007139B7" w:rsidRPr="007139B7">
        <w:rPr>
          <w:rFonts w:ascii="Bookman Old Style" w:hAnsi="Bookman Old Style"/>
          <w:lang w:val="es-CO"/>
        </w:rPr>
        <w:t>está dando un trato diferenciado a los generadores térmicos que utilizan</w:t>
      </w:r>
      <w:r w:rsidR="007139B7">
        <w:rPr>
          <w:rFonts w:ascii="Bookman Old Style" w:hAnsi="Bookman Old Style"/>
          <w:lang w:val="es-CO"/>
        </w:rPr>
        <w:t xml:space="preserve"> </w:t>
      </w:r>
      <w:r w:rsidR="007139B7" w:rsidRPr="007139B7">
        <w:rPr>
          <w:rFonts w:ascii="Bookman Old Style" w:hAnsi="Bookman Old Style"/>
          <w:lang w:val="es-CO"/>
        </w:rPr>
        <w:t>para su generación plantas de ciclo combinado, que no se encuentra</w:t>
      </w:r>
    </w:p>
    <w:p w14:paraId="07ACBA5C" w14:textId="7C0C5731" w:rsidR="007139B7" w:rsidRDefault="007139B7" w:rsidP="007139B7">
      <w:pPr>
        <w:ind w:left="0"/>
        <w:jc w:val="both"/>
        <w:rPr>
          <w:rFonts w:ascii="Bookman Old Style" w:hAnsi="Bookman Old Style"/>
          <w:lang w:val="es-CO"/>
        </w:rPr>
      </w:pPr>
      <w:r w:rsidRPr="007139B7">
        <w:rPr>
          <w:rFonts w:ascii="Bookman Old Style" w:hAnsi="Bookman Old Style"/>
          <w:lang w:val="es-CO"/>
        </w:rPr>
        <w:t>debidamente justificado. Esto, toda vez que lo que se busca es que los</w:t>
      </w:r>
      <w:r>
        <w:rPr>
          <w:rFonts w:ascii="Bookman Old Style" w:hAnsi="Bookman Old Style"/>
          <w:lang w:val="es-CO"/>
        </w:rPr>
        <w:t xml:space="preserve"> </w:t>
      </w:r>
      <w:r w:rsidRPr="007139B7">
        <w:rPr>
          <w:rFonts w:ascii="Bookman Old Style" w:hAnsi="Bookman Old Style"/>
          <w:lang w:val="es-CO"/>
        </w:rPr>
        <w:t>operadores de este tipo de plantas reporten de manera individualizada la</w:t>
      </w:r>
      <w:r>
        <w:rPr>
          <w:rFonts w:ascii="Bookman Old Style" w:hAnsi="Bookman Old Style"/>
          <w:lang w:val="es-CO"/>
        </w:rPr>
        <w:t xml:space="preserve"> </w:t>
      </w:r>
      <w:r w:rsidRPr="007139B7">
        <w:rPr>
          <w:rFonts w:ascii="Bookman Old Style" w:hAnsi="Bookman Old Style"/>
          <w:lang w:val="es-CO"/>
        </w:rPr>
        <w:t>información aplicable para cada una de las configuraciones posibles</w:t>
      </w:r>
      <w:r w:rsidR="00E60DE9">
        <w:rPr>
          <w:rFonts w:ascii="Bookman Old Style" w:hAnsi="Bookman Old Style"/>
          <w:lang w:val="es-CO"/>
        </w:rPr>
        <w:t>”</w:t>
      </w:r>
      <w:r w:rsidR="000E6983">
        <w:rPr>
          <w:rFonts w:ascii="Bookman Old Style" w:hAnsi="Bookman Old Style"/>
          <w:lang w:val="es-CO"/>
        </w:rPr>
        <w:t>.</w:t>
      </w:r>
    </w:p>
    <w:p w14:paraId="28A66C47" w14:textId="1200F840" w:rsidR="000E6983" w:rsidRDefault="000E6983" w:rsidP="007139B7">
      <w:pPr>
        <w:ind w:left="0"/>
        <w:jc w:val="both"/>
        <w:rPr>
          <w:rFonts w:ascii="Bookman Old Style" w:hAnsi="Bookman Old Style"/>
          <w:lang w:val="es-CO"/>
        </w:rPr>
      </w:pPr>
    </w:p>
    <w:p w14:paraId="4EE21275" w14:textId="4E45B343" w:rsidR="000E6983" w:rsidRDefault="000E6983" w:rsidP="000E6983">
      <w:pPr>
        <w:ind w:left="0"/>
        <w:jc w:val="both"/>
        <w:rPr>
          <w:rFonts w:ascii="Bookman Old Style" w:hAnsi="Bookman Old Style"/>
          <w:b/>
          <w:bCs/>
          <w:lang w:val="es-CO"/>
        </w:rPr>
      </w:pPr>
      <w:r w:rsidRPr="000E6983">
        <w:rPr>
          <w:rFonts w:ascii="Bookman Old Style" w:hAnsi="Bookman Old Style"/>
          <w:b/>
          <w:bCs/>
          <w:lang w:val="es-CO"/>
        </w:rPr>
        <w:t>Confianza legítima en la adjudicación de obligaciones de</w:t>
      </w:r>
      <w:r w:rsidR="00EB6B9E">
        <w:rPr>
          <w:rFonts w:ascii="Bookman Old Style" w:hAnsi="Bookman Old Style"/>
          <w:b/>
          <w:bCs/>
          <w:lang w:val="es-CO"/>
        </w:rPr>
        <w:t xml:space="preserve"> </w:t>
      </w:r>
      <w:r w:rsidRPr="000E6983">
        <w:rPr>
          <w:rFonts w:ascii="Bookman Old Style" w:hAnsi="Bookman Old Style"/>
          <w:b/>
          <w:bCs/>
          <w:lang w:val="es-CO"/>
        </w:rPr>
        <w:t>energía en firme y desconocimiento de los actos propios.</w:t>
      </w:r>
    </w:p>
    <w:p w14:paraId="78A79C5B" w14:textId="77777777" w:rsidR="000E6983" w:rsidRPr="000E6983" w:rsidRDefault="000E6983" w:rsidP="000E6983">
      <w:pPr>
        <w:ind w:left="0"/>
        <w:jc w:val="both"/>
        <w:rPr>
          <w:rFonts w:ascii="Bookman Old Style" w:hAnsi="Bookman Old Style"/>
          <w:b/>
          <w:bCs/>
          <w:lang w:val="es-CO"/>
        </w:rPr>
      </w:pPr>
    </w:p>
    <w:p w14:paraId="51E038F0" w14:textId="0011F5AF" w:rsidR="000E6983" w:rsidRDefault="00E60DE9" w:rsidP="000E6983">
      <w:pPr>
        <w:ind w:left="0"/>
        <w:jc w:val="both"/>
        <w:rPr>
          <w:rFonts w:ascii="Bookman Old Style" w:hAnsi="Bookman Old Style"/>
          <w:lang w:val="es-CO"/>
        </w:rPr>
      </w:pPr>
      <w:r>
        <w:rPr>
          <w:rFonts w:ascii="Bookman Old Style" w:hAnsi="Bookman Old Style"/>
          <w:lang w:val="es-CO"/>
        </w:rPr>
        <w:t>“</w:t>
      </w:r>
      <w:r w:rsidR="000E6983" w:rsidRPr="000E6983">
        <w:rPr>
          <w:rFonts w:ascii="Bookman Old Style" w:hAnsi="Bookman Old Style"/>
          <w:lang w:val="es-CO"/>
        </w:rPr>
        <w:t>Se llama la atención respecto a que la Resolución CREG 101 028</w:t>
      </w:r>
      <w:r w:rsidR="000E6983">
        <w:rPr>
          <w:rFonts w:ascii="Bookman Old Style" w:hAnsi="Bookman Old Style"/>
          <w:lang w:val="es-CO"/>
        </w:rPr>
        <w:t xml:space="preserve"> </w:t>
      </w:r>
      <w:r w:rsidR="000E6983" w:rsidRPr="000E6983">
        <w:rPr>
          <w:rFonts w:ascii="Bookman Old Style" w:hAnsi="Bookman Old Style"/>
          <w:lang w:val="es-CO"/>
        </w:rPr>
        <w:t>contradice los propios actos del Estado, al haber promovido en el mes de</w:t>
      </w:r>
      <w:r w:rsidR="000E6983">
        <w:rPr>
          <w:rFonts w:ascii="Bookman Old Style" w:hAnsi="Bookman Old Style"/>
          <w:lang w:val="es-CO"/>
        </w:rPr>
        <w:t xml:space="preserve"> </w:t>
      </w:r>
      <w:r w:rsidR="000E6983" w:rsidRPr="000E6983">
        <w:rPr>
          <w:rFonts w:ascii="Bookman Old Style" w:hAnsi="Bookman Old Style"/>
          <w:lang w:val="es-CO"/>
        </w:rPr>
        <w:t>febrero del 2019 la subasta para la asignación de OEF, en la cual se</w:t>
      </w:r>
      <w:r w:rsidR="000E6983">
        <w:rPr>
          <w:rFonts w:ascii="Bookman Old Style" w:hAnsi="Bookman Old Style"/>
          <w:lang w:val="es-CO"/>
        </w:rPr>
        <w:t xml:space="preserve"> </w:t>
      </w:r>
      <w:r w:rsidR="000E6983" w:rsidRPr="000E6983">
        <w:rPr>
          <w:rFonts w:ascii="Bookman Old Style" w:hAnsi="Bookman Old Style"/>
          <w:lang w:val="es-CO"/>
        </w:rPr>
        <w:t>adjudicaron OEF a plantas de ciclo combinado e, incluso, a un proyecto</w:t>
      </w:r>
      <w:r w:rsidR="000E6983">
        <w:rPr>
          <w:rFonts w:ascii="Bookman Old Style" w:hAnsi="Bookman Old Style"/>
          <w:lang w:val="es-CO"/>
        </w:rPr>
        <w:t xml:space="preserve"> </w:t>
      </w:r>
      <w:r w:rsidR="000E6983" w:rsidRPr="000E6983">
        <w:rPr>
          <w:rFonts w:ascii="Bookman Old Style" w:hAnsi="Bookman Old Style"/>
          <w:lang w:val="es-CO"/>
        </w:rPr>
        <w:t>de reconversión a cierre de ciclo. Se trata entonces de un actuar contrario</w:t>
      </w:r>
      <w:r w:rsidR="000E6983">
        <w:rPr>
          <w:rFonts w:ascii="Bookman Old Style" w:hAnsi="Bookman Old Style"/>
          <w:lang w:val="es-CO"/>
        </w:rPr>
        <w:t xml:space="preserve"> </w:t>
      </w:r>
      <w:r w:rsidR="000E6983" w:rsidRPr="000E6983">
        <w:rPr>
          <w:rFonts w:ascii="Bookman Old Style" w:hAnsi="Bookman Old Style"/>
          <w:lang w:val="es-CO"/>
        </w:rPr>
        <w:t>a la confianza legítima en los actos de la administración, lo que además</w:t>
      </w:r>
      <w:r w:rsidR="000E6983">
        <w:rPr>
          <w:rFonts w:ascii="Bookman Old Style" w:hAnsi="Bookman Old Style"/>
          <w:lang w:val="es-CO"/>
        </w:rPr>
        <w:t xml:space="preserve"> </w:t>
      </w:r>
      <w:r w:rsidR="000E6983" w:rsidRPr="000E6983">
        <w:rPr>
          <w:rFonts w:ascii="Bookman Old Style" w:hAnsi="Bookman Old Style"/>
          <w:lang w:val="es-CO"/>
        </w:rPr>
        <w:t>de cuestionable desde un punto de vista de señales dadas al mercado,</w:t>
      </w:r>
      <w:r w:rsidR="000E6983">
        <w:rPr>
          <w:rFonts w:ascii="Bookman Old Style" w:hAnsi="Bookman Old Style"/>
          <w:lang w:val="es-CO"/>
        </w:rPr>
        <w:t xml:space="preserve"> </w:t>
      </w:r>
      <w:r w:rsidR="000E6983" w:rsidRPr="000E6983">
        <w:rPr>
          <w:rFonts w:ascii="Bookman Old Style" w:hAnsi="Bookman Old Style"/>
          <w:lang w:val="es-CO"/>
        </w:rPr>
        <w:t>puede ser jurídicamente censurado y generar el derecho a reparaciones</w:t>
      </w:r>
      <w:r w:rsidR="006A7E0C">
        <w:rPr>
          <w:rFonts w:ascii="Bookman Old Style" w:hAnsi="Bookman Old Style"/>
          <w:lang w:val="es-CO"/>
        </w:rPr>
        <w:t xml:space="preserve"> </w:t>
      </w:r>
      <w:r w:rsidR="000E6983" w:rsidRPr="000E6983">
        <w:rPr>
          <w:rFonts w:ascii="Bookman Old Style" w:hAnsi="Bookman Old Style"/>
          <w:lang w:val="es-CO"/>
        </w:rPr>
        <w:t>económicas.</w:t>
      </w:r>
    </w:p>
    <w:p w14:paraId="3BC98803" w14:textId="77777777" w:rsidR="006A7E0C" w:rsidRPr="000E6983" w:rsidRDefault="006A7E0C" w:rsidP="000E6983">
      <w:pPr>
        <w:ind w:left="0"/>
        <w:jc w:val="both"/>
        <w:rPr>
          <w:rFonts w:ascii="Bookman Old Style" w:hAnsi="Bookman Old Style"/>
          <w:lang w:val="es-CO"/>
        </w:rPr>
      </w:pPr>
    </w:p>
    <w:p w14:paraId="041050EE" w14:textId="47E17920" w:rsidR="000E6983" w:rsidRPr="000E6983" w:rsidRDefault="000E6983" w:rsidP="000E6983">
      <w:pPr>
        <w:ind w:left="0"/>
        <w:jc w:val="both"/>
        <w:rPr>
          <w:rFonts w:ascii="Bookman Old Style" w:hAnsi="Bookman Old Style"/>
          <w:lang w:val="es-CO"/>
        </w:rPr>
      </w:pPr>
      <w:r w:rsidRPr="000E6983">
        <w:rPr>
          <w:rFonts w:ascii="Bookman Old Style" w:hAnsi="Bookman Old Style"/>
          <w:lang w:val="es-CO"/>
        </w:rPr>
        <w:t>Precisamente, el principio de confianza legítima ha sido reiteradamente</w:t>
      </w:r>
      <w:r w:rsidR="006A7E0C">
        <w:rPr>
          <w:rFonts w:ascii="Bookman Old Style" w:hAnsi="Bookman Old Style"/>
          <w:lang w:val="es-CO"/>
        </w:rPr>
        <w:t xml:space="preserve"> </w:t>
      </w:r>
      <w:r w:rsidRPr="000E6983">
        <w:rPr>
          <w:rFonts w:ascii="Bookman Old Style" w:hAnsi="Bookman Old Style"/>
          <w:lang w:val="es-CO"/>
        </w:rPr>
        <w:t>reconocido tanto por la jurisprudencia de la Corte Constitucional como</w:t>
      </w:r>
      <w:r w:rsidR="006A7E0C">
        <w:rPr>
          <w:rFonts w:ascii="Bookman Old Style" w:hAnsi="Bookman Old Style"/>
          <w:lang w:val="es-CO"/>
        </w:rPr>
        <w:t xml:space="preserve"> </w:t>
      </w:r>
      <w:r w:rsidRPr="000E6983">
        <w:rPr>
          <w:rFonts w:ascii="Bookman Old Style" w:hAnsi="Bookman Old Style"/>
          <w:lang w:val="es-CO"/>
        </w:rPr>
        <w:t>del Consejo de Estado, indicándose que implica "</w:t>
      </w:r>
      <w:r w:rsidRPr="000E6983">
        <w:rPr>
          <w:rFonts w:ascii="Bookman Old Style" w:hAnsi="Bookman Old Style"/>
          <w:i/>
          <w:iCs/>
          <w:lang w:val="es-CO"/>
        </w:rPr>
        <w:t>que el ciudadano debe</w:t>
      </w:r>
      <w:r w:rsidR="006A7E0C">
        <w:rPr>
          <w:rFonts w:ascii="Bookman Old Style" w:hAnsi="Bookman Old Style"/>
          <w:lang w:val="es-CO"/>
        </w:rPr>
        <w:t xml:space="preserve"> </w:t>
      </w:r>
      <w:r w:rsidRPr="000E6983">
        <w:rPr>
          <w:rFonts w:ascii="Bookman Old Style" w:hAnsi="Bookman Old Style"/>
          <w:i/>
          <w:iCs/>
          <w:lang w:val="es-CO"/>
        </w:rPr>
        <w:t>poder</w:t>
      </w:r>
      <w:r w:rsidR="006A7E0C">
        <w:rPr>
          <w:rFonts w:ascii="Bookman Old Style" w:hAnsi="Bookman Old Style"/>
          <w:i/>
          <w:iCs/>
          <w:lang w:val="es-CO"/>
        </w:rPr>
        <w:t xml:space="preserve"> </w:t>
      </w:r>
      <w:r w:rsidRPr="000E6983">
        <w:rPr>
          <w:rFonts w:ascii="Bookman Old Style" w:hAnsi="Bookman Old Style"/>
          <w:i/>
          <w:iCs/>
          <w:lang w:val="es-CO"/>
        </w:rPr>
        <w:t>evolucionar en un medio jurídico estable y previsible, en cual pueda</w:t>
      </w:r>
      <w:r w:rsidR="006A7E0C">
        <w:rPr>
          <w:rFonts w:ascii="Bookman Old Style" w:hAnsi="Bookman Old Style"/>
          <w:lang w:val="es-CO"/>
        </w:rPr>
        <w:t xml:space="preserve"> </w:t>
      </w:r>
      <w:r w:rsidRPr="000E6983">
        <w:rPr>
          <w:rFonts w:ascii="Bookman Old Style" w:hAnsi="Bookman Old Style"/>
          <w:i/>
          <w:iCs/>
          <w:lang w:val="es-CO"/>
        </w:rPr>
        <w:t xml:space="preserve">confiar", </w:t>
      </w:r>
      <w:r w:rsidRPr="000E6983">
        <w:rPr>
          <w:rFonts w:ascii="Bookman Old Style" w:hAnsi="Bookman Old Style"/>
          <w:lang w:val="es-CO"/>
        </w:rPr>
        <w:t>sumado al que la confianza legítima, previene a las autoridades</w:t>
      </w:r>
      <w:r w:rsidR="006A7E0C">
        <w:rPr>
          <w:rFonts w:ascii="Bookman Old Style" w:hAnsi="Bookman Old Style"/>
          <w:lang w:val="es-CO"/>
        </w:rPr>
        <w:t xml:space="preserve"> </w:t>
      </w:r>
      <w:r w:rsidRPr="000E6983">
        <w:rPr>
          <w:rFonts w:ascii="Bookman Old Style" w:hAnsi="Bookman Old Style"/>
          <w:lang w:val="es-CO"/>
        </w:rPr>
        <w:t xml:space="preserve">y a los particulares a </w:t>
      </w:r>
      <w:r w:rsidRPr="000E6983">
        <w:rPr>
          <w:rFonts w:ascii="Bookman Old Style" w:hAnsi="Bookman Old Style"/>
          <w:i/>
          <w:iCs/>
          <w:lang w:val="es-CO"/>
        </w:rPr>
        <w:t>"mantener una coherencia en sus actuaciones, un</w:t>
      </w:r>
      <w:r w:rsidR="006A7E0C">
        <w:rPr>
          <w:rFonts w:ascii="Bookman Old Style" w:hAnsi="Bookman Old Style"/>
          <w:lang w:val="es-CO"/>
        </w:rPr>
        <w:t xml:space="preserve"> </w:t>
      </w:r>
      <w:r w:rsidRPr="000E6983">
        <w:rPr>
          <w:rFonts w:ascii="Bookman Old Style" w:hAnsi="Bookman Old Style"/>
          <w:i/>
          <w:iCs/>
          <w:lang w:val="es-CO"/>
        </w:rPr>
        <w:t>respeto por los compromisos a los que se han obligado y una garantía de</w:t>
      </w:r>
      <w:r w:rsidR="006A7E0C">
        <w:rPr>
          <w:rFonts w:ascii="Bookman Old Style" w:hAnsi="Bookman Old Style"/>
          <w:lang w:val="es-CO"/>
        </w:rPr>
        <w:t xml:space="preserve"> </w:t>
      </w:r>
      <w:r w:rsidRPr="000E6983">
        <w:rPr>
          <w:rFonts w:ascii="Bookman Old Style" w:hAnsi="Bookman Old Style"/>
          <w:i/>
          <w:iCs/>
          <w:lang w:val="es-CO"/>
        </w:rPr>
        <w:t>estabilidad y durabilidad de la situación que objetivamente permita</w:t>
      </w:r>
      <w:r w:rsidR="0002154C">
        <w:rPr>
          <w:rFonts w:ascii="Bookman Old Style" w:hAnsi="Bookman Old Style"/>
          <w:i/>
          <w:iCs/>
          <w:lang w:val="es-CO"/>
        </w:rPr>
        <w:t xml:space="preserve"> </w:t>
      </w:r>
      <w:r w:rsidRPr="000E6983">
        <w:rPr>
          <w:rFonts w:ascii="Bookman Old Style" w:hAnsi="Bookman Old Style"/>
          <w:i/>
          <w:iCs/>
          <w:lang w:val="es-CO"/>
        </w:rPr>
        <w:t>esperar el cumplimiento de las reglas propias del tráfico jurídico</w:t>
      </w:r>
      <w:r w:rsidRPr="000E6983">
        <w:rPr>
          <w:rFonts w:ascii="Bookman Old Style" w:hAnsi="Bookman Old Style"/>
          <w:lang w:val="es-CO"/>
        </w:rPr>
        <w:t>".</w:t>
      </w:r>
    </w:p>
    <w:p w14:paraId="3A964052" w14:textId="77777777" w:rsidR="00160764" w:rsidRDefault="00160764" w:rsidP="000E6983">
      <w:pPr>
        <w:ind w:left="0"/>
        <w:jc w:val="both"/>
        <w:rPr>
          <w:rFonts w:ascii="Bookman Old Style" w:hAnsi="Bookman Old Style"/>
          <w:lang w:val="es-CO"/>
        </w:rPr>
      </w:pPr>
    </w:p>
    <w:p w14:paraId="48FD9619" w14:textId="088FC3E6" w:rsidR="000E6983" w:rsidRPr="000E6983" w:rsidRDefault="000E6983" w:rsidP="000E6983">
      <w:pPr>
        <w:ind w:left="0"/>
        <w:jc w:val="both"/>
        <w:rPr>
          <w:rFonts w:ascii="Bookman Old Style" w:hAnsi="Bookman Old Style"/>
          <w:lang w:val="es-CO"/>
        </w:rPr>
      </w:pPr>
      <w:r w:rsidRPr="000E6983">
        <w:rPr>
          <w:rFonts w:ascii="Bookman Old Style" w:hAnsi="Bookman Old Style"/>
          <w:lang w:val="es-CO"/>
        </w:rPr>
        <w:t>Resulta entonces censurable, haber asignado OEF a generadores</w:t>
      </w:r>
      <w:r w:rsidR="00160764">
        <w:rPr>
          <w:rFonts w:ascii="Bookman Old Style" w:hAnsi="Bookman Old Style"/>
          <w:lang w:val="es-CO"/>
        </w:rPr>
        <w:t xml:space="preserve"> </w:t>
      </w:r>
      <w:r w:rsidRPr="000E6983">
        <w:rPr>
          <w:rFonts w:ascii="Bookman Old Style" w:hAnsi="Bookman Old Style"/>
          <w:lang w:val="es-CO"/>
        </w:rPr>
        <w:t>térmicos con ciclos combinados bajo unas condiciones regulatorias</w:t>
      </w:r>
      <w:r w:rsidR="00160764">
        <w:rPr>
          <w:rFonts w:ascii="Bookman Old Style" w:hAnsi="Bookman Old Style"/>
          <w:lang w:val="es-CO"/>
        </w:rPr>
        <w:t xml:space="preserve"> </w:t>
      </w:r>
      <w:r w:rsidRPr="000E6983">
        <w:rPr>
          <w:rFonts w:ascii="Bookman Old Style" w:hAnsi="Bookman Old Style"/>
          <w:lang w:val="es-CO"/>
        </w:rPr>
        <w:t>determinadas, para ahora cambiarlas, sin tener en cuenta el impacto que</w:t>
      </w:r>
      <w:r w:rsidR="00160764">
        <w:rPr>
          <w:rFonts w:ascii="Bookman Old Style" w:hAnsi="Bookman Old Style"/>
          <w:lang w:val="es-CO"/>
        </w:rPr>
        <w:t xml:space="preserve"> </w:t>
      </w:r>
      <w:r w:rsidRPr="000E6983">
        <w:rPr>
          <w:rFonts w:ascii="Bookman Old Style" w:hAnsi="Bookman Old Style"/>
          <w:lang w:val="es-CO"/>
        </w:rPr>
        <w:t>esto puede generar para todos los agentes de la cadena.</w:t>
      </w:r>
    </w:p>
    <w:p w14:paraId="0A181A5E" w14:textId="77777777" w:rsidR="00160764" w:rsidRDefault="00160764" w:rsidP="000E6983">
      <w:pPr>
        <w:ind w:left="0"/>
        <w:jc w:val="both"/>
        <w:rPr>
          <w:rFonts w:ascii="Bookman Old Style" w:hAnsi="Bookman Old Style"/>
          <w:lang w:val="es-CO"/>
        </w:rPr>
      </w:pPr>
    </w:p>
    <w:p w14:paraId="437418A5" w14:textId="60CF41B1" w:rsidR="000E6983" w:rsidRPr="000E6983" w:rsidRDefault="000E6983" w:rsidP="000E6983">
      <w:pPr>
        <w:ind w:left="0"/>
        <w:jc w:val="both"/>
        <w:rPr>
          <w:rFonts w:ascii="Bookman Old Style" w:hAnsi="Bookman Old Style"/>
          <w:lang w:val="es-CO"/>
        </w:rPr>
      </w:pPr>
      <w:r w:rsidRPr="000E6983">
        <w:rPr>
          <w:rFonts w:ascii="Bookman Old Style" w:hAnsi="Bookman Old Style"/>
          <w:lang w:val="es-CO"/>
        </w:rPr>
        <w:t>Similar situación se da con los contratos de suministro y transporte antes</w:t>
      </w:r>
    </w:p>
    <w:p w14:paraId="0B08C64F" w14:textId="52E2DFF1" w:rsidR="00545589" w:rsidRDefault="000E6983" w:rsidP="002D3101">
      <w:pPr>
        <w:ind w:left="0"/>
        <w:jc w:val="both"/>
        <w:rPr>
          <w:rFonts w:ascii="Bookman Old Style" w:hAnsi="Bookman Old Style"/>
          <w:lang w:val="es-CO"/>
        </w:rPr>
      </w:pPr>
      <w:r w:rsidRPr="000E6983">
        <w:rPr>
          <w:rFonts w:ascii="Bookman Old Style" w:hAnsi="Bookman Old Style"/>
          <w:lang w:val="es-CO"/>
        </w:rPr>
        <w:t>mencionados, los cuales fueron suscritos y negociados por los</w:t>
      </w:r>
      <w:r w:rsidR="00160764">
        <w:rPr>
          <w:rFonts w:ascii="Bookman Old Style" w:hAnsi="Bookman Old Style"/>
          <w:lang w:val="es-CO"/>
        </w:rPr>
        <w:t xml:space="preserve"> </w:t>
      </w:r>
      <w:r w:rsidRPr="000E6983">
        <w:rPr>
          <w:rFonts w:ascii="Bookman Old Style" w:hAnsi="Bookman Old Style"/>
          <w:lang w:val="es-CO"/>
        </w:rPr>
        <w:t>generadores bajo el presupuesto de que habría una estabilidad en la</w:t>
      </w:r>
      <w:r w:rsidR="00160764">
        <w:rPr>
          <w:rFonts w:ascii="Bookman Old Style" w:hAnsi="Bookman Old Style"/>
          <w:lang w:val="es-CO"/>
        </w:rPr>
        <w:t xml:space="preserve"> </w:t>
      </w:r>
      <w:r w:rsidRPr="000E6983">
        <w:rPr>
          <w:rFonts w:ascii="Bookman Old Style" w:hAnsi="Bookman Old Style"/>
          <w:lang w:val="es-CO"/>
        </w:rPr>
        <w:t>regulación emitida por la CREG; incluso, se llama la atención respecto a</w:t>
      </w:r>
      <w:r w:rsidR="00160764">
        <w:rPr>
          <w:rFonts w:ascii="Bookman Old Style" w:hAnsi="Bookman Old Style"/>
          <w:lang w:val="es-CO"/>
        </w:rPr>
        <w:t xml:space="preserve"> </w:t>
      </w:r>
      <w:r w:rsidRPr="000E6983">
        <w:rPr>
          <w:rFonts w:ascii="Bookman Old Style" w:hAnsi="Bookman Old Style"/>
          <w:lang w:val="es-CO"/>
        </w:rPr>
        <w:t>que fue la misma regulación de la Comisión la que previó la suscripción</w:t>
      </w:r>
      <w:r w:rsidR="00160764">
        <w:rPr>
          <w:rFonts w:ascii="Bookman Old Style" w:hAnsi="Bookman Old Style"/>
          <w:lang w:val="es-CO"/>
        </w:rPr>
        <w:t xml:space="preserve"> </w:t>
      </w:r>
      <w:r w:rsidRPr="000E6983">
        <w:rPr>
          <w:rFonts w:ascii="Bookman Old Style" w:hAnsi="Bookman Old Style"/>
          <w:lang w:val="es-CO"/>
        </w:rPr>
        <w:t>de estos contratos de suministro en firme. Sin embargo, es claro que la</w:t>
      </w:r>
      <w:r w:rsidR="00160764">
        <w:rPr>
          <w:rFonts w:ascii="Bookman Old Style" w:hAnsi="Bookman Old Style"/>
          <w:lang w:val="es-CO"/>
        </w:rPr>
        <w:t xml:space="preserve"> </w:t>
      </w:r>
      <w:r w:rsidRPr="000E6983">
        <w:rPr>
          <w:rFonts w:ascii="Bookman Old Style" w:hAnsi="Bookman Old Style"/>
          <w:lang w:val="es-CO"/>
        </w:rPr>
        <w:t>propuesta normativa en cuestión rompe con la confianza legítima que se</w:t>
      </w:r>
      <w:r w:rsidR="002D3101">
        <w:rPr>
          <w:rFonts w:ascii="Bookman Old Style" w:hAnsi="Bookman Old Style"/>
          <w:lang w:val="es-CO"/>
        </w:rPr>
        <w:t xml:space="preserve"> </w:t>
      </w:r>
      <w:r w:rsidR="002D3101" w:rsidRPr="002D3101">
        <w:rPr>
          <w:rFonts w:ascii="Bookman Old Style" w:hAnsi="Bookman Old Style"/>
          <w:lang w:val="es-CO"/>
        </w:rPr>
        <w:t>tenía en esa estabilidad, resulta incoherente y, para el caso particular de</w:t>
      </w:r>
      <w:r w:rsidR="002D3101">
        <w:rPr>
          <w:rFonts w:ascii="Bookman Old Style" w:hAnsi="Bookman Old Style"/>
          <w:lang w:val="es-CO"/>
        </w:rPr>
        <w:t xml:space="preserve"> </w:t>
      </w:r>
      <w:r w:rsidR="002D3101" w:rsidRPr="002D3101">
        <w:rPr>
          <w:rFonts w:ascii="Bookman Old Style" w:hAnsi="Bookman Old Style"/>
          <w:lang w:val="es-CO"/>
        </w:rPr>
        <w:t>dichos contratos, puede generar la imposición de multas por terminación</w:t>
      </w:r>
      <w:r w:rsidR="002D3101">
        <w:rPr>
          <w:rFonts w:ascii="Bookman Old Style" w:hAnsi="Bookman Old Style"/>
          <w:lang w:val="es-CO"/>
        </w:rPr>
        <w:t xml:space="preserve"> </w:t>
      </w:r>
      <w:r w:rsidR="002D3101" w:rsidRPr="002D3101">
        <w:rPr>
          <w:rFonts w:ascii="Bookman Old Style" w:hAnsi="Bookman Old Style"/>
          <w:lang w:val="es-CO"/>
        </w:rPr>
        <w:t>anticipada o incumplimientos, las cuales serían un daño antijurídico</w:t>
      </w:r>
      <w:r w:rsidR="002D3101">
        <w:rPr>
          <w:rFonts w:ascii="Bookman Old Style" w:hAnsi="Bookman Old Style"/>
          <w:lang w:val="es-CO"/>
        </w:rPr>
        <w:t xml:space="preserve"> </w:t>
      </w:r>
      <w:r w:rsidR="002D3101" w:rsidRPr="002D3101">
        <w:rPr>
          <w:rFonts w:ascii="Bookman Old Style" w:hAnsi="Bookman Old Style"/>
          <w:lang w:val="es-CO"/>
        </w:rPr>
        <w:t>susceptible de reclamo en los términos del artículo 90 Constitucional</w:t>
      </w:r>
      <w:r w:rsidR="00E60DE9">
        <w:rPr>
          <w:rFonts w:ascii="Bookman Old Style" w:hAnsi="Bookman Old Style"/>
          <w:lang w:val="es-CO"/>
        </w:rPr>
        <w:t>”</w:t>
      </w:r>
      <w:r w:rsidR="002D3101" w:rsidRPr="002D3101">
        <w:rPr>
          <w:rFonts w:ascii="Bookman Old Style" w:hAnsi="Bookman Old Style"/>
          <w:lang w:val="es-CO"/>
        </w:rPr>
        <w:t>.</w:t>
      </w:r>
    </w:p>
    <w:p w14:paraId="1BA579A4" w14:textId="3DAB364F" w:rsidR="006A6E65" w:rsidRDefault="006A6E65" w:rsidP="000F1683">
      <w:pPr>
        <w:ind w:left="0"/>
        <w:jc w:val="both"/>
        <w:rPr>
          <w:rFonts w:ascii="Bookman Old Style" w:hAnsi="Bookman Old Style"/>
          <w:lang w:val="es-CO"/>
        </w:rPr>
      </w:pPr>
    </w:p>
    <w:p w14:paraId="625AC8DB" w14:textId="27673584" w:rsidR="000A2251" w:rsidRPr="000A2251" w:rsidRDefault="000A2251" w:rsidP="000A2251">
      <w:pPr>
        <w:ind w:left="0"/>
        <w:jc w:val="both"/>
        <w:rPr>
          <w:rFonts w:ascii="Bookman Old Style" w:hAnsi="Bookman Old Style"/>
          <w:b/>
          <w:bCs/>
          <w:lang w:val="es-CO"/>
        </w:rPr>
      </w:pPr>
      <w:r w:rsidRPr="000A2251">
        <w:rPr>
          <w:rFonts w:ascii="Bookman Old Style" w:hAnsi="Bookman Old Style"/>
          <w:b/>
          <w:bCs/>
          <w:lang w:val="es-CO"/>
        </w:rPr>
        <w:lastRenderedPageBreak/>
        <w:t>Vulnera la protección de los usuarios, al violar las normas</w:t>
      </w:r>
      <w:r w:rsidR="00B21629">
        <w:rPr>
          <w:rFonts w:ascii="Bookman Old Style" w:hAnsi="Bookman Old Style"/>
          <w:b/>
          <w:bCs/>
          <w:lang w:val="es-CO"/>
        </w:rPr>
        <w:t xml:space="preserve"> </w:t>
      </w:r>
      <w:r w:rsidRPr="000A2251">
        <w:rPr>
          <w:rFonts w:ascii="Bookman Old Style" w:hAnsi="Bookman Old Style"/>
          <w:b/>
          <w:bCs/>
          <w:lang w:val="es-CO"/>
        </w:rPr>
        <w:t>de procedimiento.</w:t>
      </w:r>
    </w:p>
    <w:p w14:paraId="697E1D22" w14:textId="77777777" w:rsidR="000A2251" w:rsidRDefault="000A2251" w:rsidP="000A2251">
      <w:pPr>
        <w:ind w:left="0"/>
        <w:jc w:val="both"/>
        <w:rPr>
          <w:rFonts w:ascii="Bookman Old Style" w:hAnsi="Bookman Old Style"/>
          <w:lang w:val="es-CO"/>
        </w:rPr>
      </w:pPr>
    </w:p>
    <w:p w14:paraId="5373ADE3" w14:textId="3A852A9A" w:rsidR="000A2251" w:rsidRDefault="00E60DE9" w:rsidP="00984108">
      <w:pPr>
        <w:ind w:left="0"/>
        <w:jc w:val="both"/>
        <w:rPr>
          <w:rFonts w:ascii="Bookman Old Style" w:hAnsi="Bookman Old Style"/>
          <w:lang w:val="es-CO"/>
        </w:rPr>
      </w:pPr>
      <w:r>
        <w:rPr>
          <w:rFonts w:ascii="Bookman Old Style" w:hAnsi="Bookman Old Style"/>
          <w:lang w:val="es-CO"/>
        </w:rPr>
        <w:t>“</w:t>
      </w:r>
      <w:r w:rsidR="000A2251" w:rsidRPr="000A2251">
        <w:rPr>
          <w:rFonts w:ascii="Bookman Old Style" w:hAnsi="Bookman Old Style"/>
          <w:lang w:val="es-CO"/>
        </w:rPr>
        <w:t>A diferencia de las resoluciones que impactan la tarifa al usuario final, la</w:t>
      </w:r>
      <w:r>
        <w:rPr>
          <w:rFonts w:ascii="Bookman Old Style" w:hAnsi="Bookman Old Style"/>
          <w:lang w:val="es-CO"/>
        </w:rPr>
        <w:t xml:space="preserve"> </w:t>
      </w:r>
      <w:r w:rsidR="000A2251" w:rsidRPr="000A2251">
        <w:rPr>
          <w:rFonts w:ascii="Bookman Old Style" w:hAnsi="Bookman Old Style"/>
          <w:lang w:val="es-CO"/>
        </w:rPr>
        <w:t>Resolución CREG 101 028, no ha sido informada, previa consulta, a la</w:t>
      </w:r>
      <w:r w:rsidR="008E6F6D">
        <w:rPr>
          <w:rFonts w:ascii="Bookman Old Style" w:hAnsi="Bookman Old Style"/>
          <w:lang w:val="es-CO"/>
        </w:rPr>
        <w:t xml:space="preserve"> </w:t>
      </w:r>
      <w:r w:rsidR="000A2251" w:rsidRPr="000A2251">
        <w:rPr>
          <w:rFonts w:ascii="Bookman Old Style" w:hAnsi="Bookman Old Style"/>
          <w:lang w:val="es-CO"/>
        </w:rPr>
        <w:t>Superintendencia de Industria y Comercio para el ejercicio de la</w:t>
      </w:r>
      <w:r w:rsidR="00984108">
        <w:rPr>
          <w:rFonts w:ascii="Bookman Old Style" w:hAnsi="Bookman Old Style"/>
          <w:lang w:val="es-CO"/>
        </w:rPr>
        <w:t xml:space="preserve"> </w:t>
      </w:r>
      <w:r w:rsidR="000A2251" w:rsidRPr="000A2251">
        <w:rPr>
          <w:rFonts w:ascii="Bookman Old Style" w:hAnsi="Bookman Old Style"/>
          <w:lang w:val="es-CO"/>
        </w:rPr>
        <w:t>Abogacía de la Competencia, con fundamento en las disposiciones del</w:t>
      </w:r>
      <w:r w:rsidR="00984108">
        <w:rPr>
          <w:rFonts w:ascii="Bookman Old Style" w:hAnsi="Bookman Old Style"/>
          <w:lang w:val="es-CO"/>
        </w:rPr>
        <w:t xml:space="preserve"> </w:t>
      </w:r>
      <w:r w:rsidR="000A2251" w:rsidRPr="000A2251">
        <w:rPr>
          <w:rFonts w:ascii="Bookman Old Style" w:hAnsi="Bookman Old Style"/>
          <w:lang w:val="es-CO"/>
        </w:rPr>
        <w:t>Decreto 1074 de 2015, Artículo 2.2.2.30.5.3 Lo anterior, ha sido desarrollado</w:t>
      </w:r>
      <w:r w:rsidR="00984108">
        <w:rPr>
          <w:rFonts w:ascii="Bookman Old Style" w:hAnsi="Bookman Old Style"/>
          <w:lang w:val="es-CO"/>
        </w:rPr>
        <w:t xml:space="preserve"> </w:t>
      </w:r>
      <w:r w:rsidR="000A2251" w:rsidRPr="000A2251">
        <w:rPr>
          <w:rFonts w:ascii="Bookman Old Style" w:hAnsi="Bookman Old Style"/>
          <w:lang w:val="es-CO"/>
        </w:rPr>
        <w:t>por la doctrina</w:t>
      </w:r>
      <w:r w:rsidR="00E52188">
        <w:rPr>
          <w:rFonts w:ascii="Bookman Old Style" w:hAnsi="Bookman Old Style"/>
          <w:lang w:val="es-CO"/>
        </w:rPr>
        <w:t>”</w:t>
      </w:r>
      <w:r w:rsidR="007C7FF4">
        <w:rPr>
          <w:rFonts w:ascii="Bookman Old Style" w:hAnsi="Bookman Old Style"/>
          <w:lang w:val="es-CO"/>
        </w:rPr>
        <w:t>.</w:t>
      </w:r>
    </w:p>
    <w:p w14:paraId="4066CB10" w14:textId="3759A327" w:rsidR="007C7FF4" w:rsidRDefault="007C7FF4" w:rsidP="000A2251">
      <w:pPr>
        <w:ind w:left="0"/>
        <w:jc w:val="both"/>
        <w:rPr>
          <w:rFonts w:ascii="Bookman Old Style" w:hAnsi="Bookman Old Style"/>
          <w:lang w:val="es-CO"/>
        </w:rPr>
      </w:pPr>
    </w:p>
    <w:p w14:paraId="2DAA33D3" w14:textId="36D469AD" w:rsidR="00FB6329" w:rsidRPr="00FB6329" w:rsidRDefault="00FB6329" w:rsidP="00FB6329">
      <w:pPr>
        <w:ind w:left="0"/>
        <w:jc w:val="both"/>
        <w:rPr>
          <w:rFonts w:ascii="Bookman Old Style" w:hAnsi="Bookman Old Style"/>
          <w:b/>
          <w:bCs/>
          <w:lang w:val="es-CO"/>
        </w:rPr>
      </w:pPr>
      <w:r w:rsidRPr="00FB6329">
        <w:rPr>
          <w:rFonts w:ascii="Bookman Old Style" w:hAnsi="Bookman Old Style"/>
          <w:b/>
          <w:bCs/>
          <w:lang w:val="es-CO"/>
        </w:rPr>
        <w:t>La Resolución no tiene en cuenta los criterios</w:t>
      </w:r>
      <w:r w:rsidR="00EE6B85">
        <w:rPr>
          <w:rFonts w:ascii="Bookman Old Style" w:hAnsi="Bookman Old Style"/>
          <w:b/>
          <w:bCs/>
          <w:lang w:val="es-CO"/>
        </w:rPr>
        <w:t xml:space="preserve"> </w:t>
      </w:r>
      <w:r w:rsidRPr="00FB6329">
        <w:rPr>
          <w:rFonts w:ascii="Bookman Old Style" w:hAnsi="Bookman Old Style"/>
          <w:b/>
          <w:bCs/>
          <w:lang w:val="es-CO"/>
        </w:rPr>
        <w:t>para definir el régimen tarifario.</w:t>
      </w:r>
    </w:p>
    <w:p w14:paraId="1B06289E" w14:textId="77777777" w:rsidR="00FB6329" w:rsidRDefault="00FB6329" w:rsidP="00FB6329">
      <w:pPr>
        <w:ind w:left="0"/>
        <w:jc w:val="both"/>
        <w:rPr>
          <w:rFonts w:ascii="Bookman Old Style" w:hAnsi="Bookman Old Style"/>
          <w:lang w:val="es-CO"/>
        </w:rPr>
      </w:pPr>
    </w:p>
    <w:p w14:paraId="7310A2BB" w14:textId="468FDB50" w:rsidR="00FB6329" w:rsidRDefault="00E60DE9" w:rsidP="00FB6329">
      <w:pPr>
        <w:ind w:left="0"/>
        <w:jc w:val="both"/>
        <w:rPr>
          <w:rFonts w:ascii="Bookman Old Style" w:hAnsi="Bookman Old Style"/>
          <w:lang w:val="es-CO"/>
        </w:rPr>
      </w:pPr>
      <w:r>
        <w:rPr>
          <w:rFonts w:ascii="Bookman Old Style" w:hAnsi="Bookman Old Style"/>
          <w:lang w:val="es-CO"/>
        </w:rPr>
        <w:t>“</w:t>
      </w:r>
      <w:r w:rsidR="00FB6329" w:rsidRPr="00FB6329">
        <w:rPr>
          <w:rFonts w:ascii="Bookman Old Style" w:hAnsi="Bookman Old Style"/>
          <w:lang w:val="es-CO"/>
        </w:rPr>
        <w:t>El artículo 87 de la Ley 142 de 1994 contempla una serie de criterios</w:t>
      </w:r>
      <w:r w:rsidR="00C44EF6">
        <w:rPr>
          <w:rFonts w:ascii="Bookman Old Style" w:hAnsi="Bookman Old Style"/>
          <w:lang w:val="es-CO"/>
        </w:rPr>
        <w:t xml:space="preserve"> </w:t>
      </w:r>
      <w:r w:rsidR="00FB6329" w:rsidRPr="00FB6329">
        <w:rPr>
          <w:rFonts w:ascii="Bookman Old Style" w:hAnsi="Bookman Old Style"/>
          <w:lang w:val="es-CO"/>
        </w:rPr>
        <w:t>económicos a partir de los cuales se orientará el régimen tarifario, y los</w:t>
      </w:r>
      <w:r w:rsidR="00A64AE3">
        <w:rPr>
          <w:rFonts w:ascii="Bookman Old Style" w:hAnsi="Bookman Old Style"/>
          <w:lang w:val="es-CO"/>
        </w:rPr>
        <w:t xml:space="preserve"> </w:t>
      </w:r>
      <w:r w:rsidR="00FB6329" w:rsidRPr="00FB6329">
        <w:rPr>
          <w:rFonts w:ascii="Bookman Old Style" w:hAnsi="Bookman Old Style"/>
          <w:lang w:val="es-CO"/>
        </w:rPr>
        <w:t>cuales deben ser tenidos en cuenta por la CREG al momento de</w:t>
      </w:r>
      <w:r w:rsidR="00FB6329">
        <w:rPr>
          <w:rFonts w:ascii="Bookman Old Style" w:hAnsi="Bookman Old Style"/>
          <w:lang w:val="es-CO"/>
        </w:rPr>
        <w:t xml:space="preserve"> </w:t>
      </w:r>
      <w:r w:rsidR="00FB6329" w:rsidRPr="00FB6329">
        <w:rPr>
          <w:rFonts w:ascii="Bookman Old Style" w:hAnsi="Bookman Old Style"/>
          <w:lang w:val="es-CO"/>
        </w:rPr>
        <w:t>establecer modificaciones al régimen actual. En ese sentido, la norma no</w:t>
      </w:r>
      <w:r w:rsidR="00FB6329">
        <w:rPr>
          <w:rFonts w:ascii="Bookman Old Style" w:hAnsi="Bookman Old Style"/>
          <w:lang w:val="es-CO"/>
        </w:rPr>
        <w:t xml:space="preserve"> </w:t>
      </w:r>
      <w:r w:rsidR="00FB6329" w:rsidRPr="00FB6329">
        <w:rPr>
          <w:rFonts w:ascii="Bookman Old Style" w:hAnsi="Bookman Old Style"/>
          <w:lang w:val="es-CO"/>
        </w:rPr>
        <w:t>tiene en cuenta los siguientes criterios:</w:t>
      </w:r>
    </w:p>
    <w:p w14:paraId="48D43266" w14:textId="77777777" w:rsidR="00FB6329" w:rsidRPr="00FB6329" w:rsidRDefault="00FB6329" w:rsidP="00FB6329">
      <w:pPr>
        <w:ind w:left="0"/>
        <w:jc w:val="both"/>
        <w:rPr>
          <w:rFonts w:ascii="Bookman Old Style" w:hAnsi="Bookman Old Style"/>
          <w:lang w:val="es-CO"/>
        </w:rPr>
      </w:pPr>
    </w:p>
    <w:p w14:paraId="16A25E5F" w14:textId="693ED857" w:rsidR="00FB6329" w:rsidRDefault="00FB6329" w:rsidP="00FB6329">
      <w:pPr>
        <w:ind w:left="0"/>
        <w:jc w:val="both"/>
        <w:rPr>
          <w:rFonts w:ascii="Bookman Old Style" w:hAnsi="Bookman Old Style"/>
          <w:lang w:val="es-CO"/>
        </w:rPr>
      </w:pPr>
      <w:r w:rsidRPr="00FB6329">
        <w:rPr>
          <w:rFonts w:ascii="Bookman Old Style" w:hAnsi="Bookman Old Style"/>
          <w:lang w:val="es-CO"/>
        </w:rPr>
        <w:t>a. Eficiencia económica, el cual establece que el régimen tarifario deberá</w:t>
      </w:r>
      <w:r>
        <w:rPr>
          <w:rFonts w:ascii="Bookman Old Style" w:hAnsi="Bookman Old Style"/>
          <w:lang w:val="es-CO"/>
        </w:rPr>
        <w:t xml:space="preserve"> </w:t>
      </w:r>
      <w:r w:rsidRPr="00FB6329">
        <w:rPr>
          <w:rFonts w:ascii="Bookman Old Style" w:hAnsi="Bookman Old Style"/>
          <w:lang w:val="es-CO"/>
        </w:rPr>
        <w:t>procurar que las tarifas se aproximen a lo que serían los precios de un</w:t>
      </w:r>
      <w:r>
        <w:rPr>
          <w:rFonts w:ascii="Bookman Old Style" w:hAnsi="Bookman Old Style"/>
          <w:lang w:val="es-CO"/>
        </w:rPr>
        <w:t xml:space="preserve"> </w:t>
      </w:r>
      <w:r w:rsidRPr="00FB6329">
        <w:rPr>
          <w:rFonts w:ascii="Bookman Old Style" w:hAnsi="Bookman Old Style"/>
          <w:lang w:val="es-CO"/>
        </w:rPr>
        <w:t>mercado competitivo, teniendo en cuenta no sólo los costos sino también</w:t>
      </w:r>
      <w:r>
        <w:rPr>
          <w:rFonts w:ascii="Bookman Old Style" w:hAnsi="Bookman Old Style"/>
          <w:lang w:val="es-CO"/>
        </w:rPr>
        <w:t xml:space="preserve"> </w:t>
      </w:r>
      <w:r w:rsidRPr="00FB6329">
        <w:rPr>
          <w:rFonts w:ascii="Bookman Old Style" w:hAnsi="Bookman Old Style"/>
          <w:lang w:val="es-CO"/>
        </w:rPr>
        <w:t>los aumentos de productividad esperados.</w:t>
      </w:r>
    </w:p>
    <w:p w14:paraId="2AFE6DF4" w14:textId="77777777" w:rsidR="00FB6329" w:rsidRPr="00FB6329" w:rsidRDefault="00FB6329" w:rsidP="00FB6329">
      <w:pPr>
        <w:ind w:left="0"/>
        <w:jc w:val="both"/>
        <w:rPr>
          <w:rFonts w:ascii="Bookman Old Style" w:hAnsi="Bookman Old Style"/>
          <w:lang w:val="es-CO"/>
        </w:rPr>
      </w:pPr>
    </w:p>
    <w:p w14:paraId="79A79075" w14:textId="226BA648" w:rsidR="00FB6329" w:rsidRDefault="00FB6329" w:rsidP="00FB6329">
      <w:pPr>
        <w:ind w:left="0"/>
        <w:jc w:val="both"/>
        <w:rPr>
          <w:rFonts w:ascii="Bookman Old Style" w:hAnsi="Bookman Old Style"/>
          <w:lang w:val="es-CO"/>
        </w:rPr>
      </w:pPr>
      <w:r w:rsidRPr="00FB6329">
        <w:rPr>
          <w:rFonts w:ascii="Bookman Old Style" w:hAnsi="Bookman Old Style"/>
          <w:lang w:val="es-CO"/>
        </w:rPr>
        <w:t>En ese sentido, al establecer que será el CND el encargado de seleccionar</w:t>
      </w:r>
      <w:r>
        <w:rPr>
          <w:rFonts w:ascii="Bookman Old Style" w:hAnsi="Bookman Old Style"/>
          <w:lang w:val="es-CO"/>
        </w:rPr>
        <w:t xml:space="preserve"> </w:t>
      </w:r>
      <w:r w:rsidRPr="00FB6329">
        <w:rPr>
          <w:rFonts w:ascii="Bookman Old Style" w:hAnsi="Bookman Old Style"/>
          <w:lang w:val="es-CO"/>
        </w:rPr>
        <w:t>la configuración de las plantas de ciclo combinado a partir de las cuales</w:t>
      </w:r>
      <w:r>
        <w:rPr>
          <w:rFonts w:ascii="Bookman Old Style" w:hAnsi="Bookman Old Style"/>
          <w:lang w:val="es-CO"/>
        </w:rPr>
        <w:t xml:space="preserve"> </w:t>
      </w:r>
      <w:r w:rsidRPr="00FB6329">
        <w:rPr>
          <w:rFonts w:ascii="Bookman Old Style" w:hAnsi="Bookman Old Style"/>
          <w:lang w:val="es-CO"/>
        </w:rPr>
        <w:t>se minimicen los costos para los usuarios, claramente no está teniendo en</w:t>
      </w:r>
      <w:r>
        <w:rPr>
          <w:rFonts w:ascii="Bookman Old Style" w:hAnsi="Bookman Old Style"/>
          <w:lang w:val="es-CO"/>
        </w:rPr>
        <w:t xml:space="preserve"> </w:t>
      </w:r>
      <w:r w:rsidRPr="00FB6329">
        <w:rPr>
          <w:rFonts w:ascii="Bookman Old Style" w:hAnsi="Bookman Old Style"/>
          <w:lang w:val="es-CO"/>
        </w:rPr>
        <w:t>cuenta que este tipo de plantas, es decir las de ciclo combinado, son</w:t>
      </w:r>
      <w:r>
        <w:rPr>
          <w:rFonts w:ascii="Bookman Old Style" w:hAnsi="Bookman Old Style"/>
          <w:lang w:val="es-CO"/>
        </w:rPr>
        <w:t xml:space="preserve"> </w:t>
      </w:r>
      <w:r w:rsidRPr="00FB6329">
        <w:rPr>
          <w:rFonts w:ascii="Bookman Old Style" w:hAnsi="Bookman Old Style"/>
          <w:lang w:val="es-CO"/>
        </w:rPr>
        <w:t>plantas que en cada una de sus configuraciones tienen costos, riesgos e</w:t>
      </w:r>
      <w:r>
        <w:rPr>
          <w:rFonts w:ascii="Bookman Old Style" w:hAnsi="Bookman Old Style"/>
          <w:lang w:val="es-CO"/>
        </w:rPr>
        <w:t xml:space="preserve"> </w:t>
      </w:r>
      <w:r w:rsidRPr="00FB6329">
        <w:rPr>
          <w:rFonts w:ascii="Bookman Old Style" w:hAnsi="Bookman Old Style"/>
          <w:lang w:val="es-CO"/>
        </w:rPr>
        <w:t>incertidumbres diferentes, así como rendimientos de generación</w:t>
      </w:r>
      <w:r>
        <w:rPr>
          <w:rFonts w:ascii="Bookman Old Style" w:hAnsi="Bookman Old Style"/>
          <w:lang w:val="es-CO"/>
        </w:rPr>
        <w:t xml:space="preserve"> </w:t>
      </w:r>
      <w:r w:rsidRPr="00FB6329">
        <w:rPr>
          <w:rFonts w:ascii="Bookman Old Style" w:hAnsi="Bookman Old Style"/>
          <w:lang w:val="es-CO"/>
        </w:rPr>
        <w:t>diferentes y efectos en los sistemas de gas también diferentes, por lo cual</w:t>
      </w:r>
      <w:r>
        <w:rPr>
          <w:rFonts w:ascii="Bookman Old Style" w:hAnsi="Bookman Old Style"/>
          <w:lang w:val="es-CO"/>
        </w:rPr>
        <w:t xml:space="preserve"> </w:t>
      </w:r>
      <w:r w:rsidRPr="00FB6329">
        <w:rPr>
          <w:rFonts w:ascii="Bookman Old Style" w:hAnsi="Bookman Old Style"/>
          <w:lang w:val="es-CO"/>
        </w:rPr>
        <w:t>las tarifas deberían tener en cuenta no sólo una optimización de los costos,</w:t>
      </w:r>
      <w:r>
        <w:rPr>
          <w:rFonts w:ascii="Bookman Old Style" w:hAnsi="Bookman Old Style"/>
          <w:lang w:val="es-CO"/>
        </w:rPr>
        <w:t xml:space="preserve"> </w:t>
      </w:r>
      <w:r w:rsidRPr="00FB6329">
        <w:rPr>
          <w:rFonts w:ascii="Bookman Old Style" w:hAnsi="Bookman Old Style"/>
          <w:lang w:val="es-CO"/>
        </w:rPr>
        <w:t>sino también la generación necesaria para garantizar la adecuada</w:t>
      </w:r>
      <w:r>
        <w:rPr>
          <w:rFonts w:ascii="Bookman Old Style" w:hAnsi="Bookman Old Style"/>
          <w:lang w:val="es-CO"/>
        </w:rPr>
        <w:t xml:space="preserve"> </w:t>
      </w:r>
      <w:r w:rsidRPr="00FB6329">
        <w:rPr>
          <w:rFonts w:ascii="Bookman Old Style" w:hAnsi="Bookman Old Style"/>
          <w:lang w:val="es-CO"/>
        </w:rPr>
        <w:t>prestación del servicio y los efectos colaterales.</w:t>
      </w:r>
    </w:p>
    <w:p w14:paraId="16D6EAA8" w14:textId="77777777" w:rsidR="00CB6ADE" w:rsidRPr="00FB6329" w:rsidRDefault="00CB6ADE" w:rsidP="00FB6329">
      <w:pPr>
        <w:ind w:left="0"/>
        <w:jc w:val="both"/>
        <w:rPr>
          <w:rFonts w:ascii="Bookman Old Style" w:hAnsi="Bookman Old Style"/>
          <w:lang w:val="es-CO"/>
        </w:rPr>
      </w:pPr>
    </w:p>
    <w:p w14:paraId="3CFC3F5A" w14:textId="6B144E09" w:rsidR="003E363F" w:rsidRDefault="00FB6329" w:rsidP="003E363F">
      <w:pPr>
        <w:ind w:left="0"/>
        <w:jc w:val="both"/>
        <w:rPr>
          <w:rFonts w:ascii="Bookman Old Style" w:hAnsi="Bookman Old Style"/>
          <w:lang w:val="es-CO"/>
        </w:rPr>
      </w:pPr>
      <w:r w:rsidRPr="00FB6329">
        <w:rPr>
          <w:rFonts w:ascii="Bookman Old Style" w:hAnsi="Bookman Old Style"/>
          <w:lang w:val="es-CO"/>
        </w:rPr>
        <w:t>b. Suficiencia financiera, el cual dispone que las fórmulas de tarifas deberán</w:t>
      </w:r>
      <w:r w:rsidR="00052036">
        <w:rPr>
          <w:rFonts w:ascii="Bookman Old Style" w:hAnsi="Bookman Old Style"/>
          <w:lang w:val="es-CO"/>
        </w:rPr>
        <w:t xml:space="preserve"> </w:t>
      </w:r>
      <w:r w:rsidRPr="00FB6329">
        <w:rPr>
          <w:rFonts w:ascii="Bookman Old Style" w:hAnsi="Bookman Old Style"/>
          <w:lang w:val="es-CO"/>
        </w:rPr>
        <w:t>garantizar la recuperación de los costos y gastos propios de operació</w:t>
      </w:r>
      <w:r w:rsidR="00CB6ADE">
        <w:rPr>
          <w:rFonts w:ascii="Bookman Old Style" w:hAnsi="Bookman Old Style"/>
          <w:lang w:val="es-CO"/>
        </w:rPr>
        <w:t>n</w:t>
      </w:r>
      <w:r w:rsidR="003E363F" w:rsidRPr="003E363F">
        <w:rPr>
          <w:rFonts w:ascii="Bookman Old Style" w:hAnsi="Bookman Old Style"/>
          <w:lang w:val="es-CO"/>
        </w:rPr>
        <w:t xml:space="preserve"> de</w:t>
      </w:r>
      <w:r w:rsidR="00045CC1">
        <w:rPr>
          <w:rFonts w:ascii="Bookman Old Style" w:hAnsi="Bookman Old Style"/>
          <w:lang w:val="es-CO"/>
        </w:rPr>
        <w:t xml:space="preserve"> </w:t>
      </w:r>
      <w:r w:rsidR="003E363F" w:rsidRPr="003E363F">
        <w:rPr>
          <w:rFonts w:ascii="Bookman Old Style" w:hAnsi="Bookman Old Style"/>
          <w:lang w:val="es-CO"/>
        </w:rPr>
        <w:t>quienes desarrollen las actividades que garantizan la prestación del</w:t>
      </w:r>
      <w:r w:rsidR="00045CC1">
        <w:rPr>
          <w:rFonts w:ascii="Bookman Old Style" w:hAnsi="Bookman Old Style"/>
          <w:lang w:val="es-CO"/>
        </w:rPr>
        <w:t xml:space="preserve"> </w:t>
      </w:r>
      <w:r w:rsidR="003E363F" w:rsidRPr="003E363F">
        <w:rPr>
          <w:rFonts w:ascii="Bookman Old Style" w:hAnsi="Bookman Old Style"/>
          <w:lang w:val="es-CO"/>
        </w:rPr>
        <w:t>servicio, incluyendo además una remuneración para los accionistas.</w:t>
      </w:r>
    </w:p>
    <w:p w14:paraId="61DF1F75" w14:textId="580EF799" w:rsidR="00D80317" w:rsidRDefault="00D80317" w:rsidP="003E363F">
      <w:pPr>
        <w:ind w:left="0"/>
        <w:jc w:val="both"/>
        <w:rPr>
          <w:rFonts w:ascii="Bookman Old Style" w:hAnsi="Bookman Old Style"/>
          <w:lang w:val="es-CO"/>
        </w:rPr>
      </w:pPr>
    </w:p>
    <w:p w14:paraId="6E209155" w14:textId="3A3AF3DB" w:rsidR="00D80317" w:rsidRDefault="00D80317" w:rsidP="00D80317">
      <w:pPr>
        <w:ind w:left="0"/>
        <w:jc w:val="both"/>
        <w:rPr>
          <w:rFonts w:ascii="Bookman Old Style" w:hAnsi="Bookman Old Style"/>
          <w:lang w:val="es-CO"/>
        </w:rPr>
      </w:pPr>
      <w:r w:rsidRPr="00D80317">
        <w:rPr>
          <w:rFonts w:ascii="Bookman Old Style" w:hAnsi="Bookman Old Style"/>
          <w:lang w:val="es-CO"/>
        </w:rPr>
        <w:t>En ese sentido, buscar una disminución de las tarifas aplicables al servicio</w:t>
      </w:r>
      <w:r w:rsidR="004337F8">
        <w:rPr>
          <w:rFonts w:ascii="Bookman Old Style" w:hAnsi="Bookman Old Style"/>
          <w:lang w:val="es-CO"/>
        </w:rPr>
        <w:t xml:space="preserve"> </w:t>
      </w:r>
      <w:r w:rsidRPr="00D80317">
        <w:rPr>
          <w:rFonts w:ascii="Bookman Old Style" w:hAnsi="Bookman Old Style"/>
          <w:lang w:val="es-CO"/>
        </w:rPr>
        <w:t>a partir del uso de las configuraciones que minimicen el despacho</w:t>
      </w:r>
      <w:r>
        <w:rPr>
          <w:rFonts w:ascii="Bookman Old Style" w:hAnsi="Bookman Old Style"/>
          <w:lang w:val="es-CO"/>
        </w:rPr>
        <w:t xml:space="preserve"> </w:t>
      </w:r>
      <w:r w:rsidRPr="00D80317">
        <w:rPr>
          <w:rFonts w:ascii="Bookman Old Style" w:hAnsi="Bookman Old Style"/>
          <w:lang w:val="es-CO"/>
        </w:rPr>
        <w:t>eventualmente podría derivar en algún alivio en el costo de la energía en</w:t>
      </w:r>
      <w:r>
        <w:rPr>
          <w:rFonts w:ascii="Bookman Old Style" w:hAnsi="Bookman Old Style"/>
          <w:lang w:val="es-CO"/>
        </w:rPr>
        <w:t xml:space="preserve"> </w:t>
      </w:r>
      <w:r w:rsidRPr="00D80317">
        <w:rPr>
          <w:rFonts w:ascii="Bookman Old Style" w:hAnsi="Bookman Old Style"/>
          <w:lang w:val="es-CO"/>
        </w:rPr>
        <w:t>favor de los usuarios finales, a costa de perjudicar UNICAMENTE a las</w:t>
      </w:r>
      <w:r>
        <w:rPr>
          <w:rFonts w:ascii="Bookman Old Style" w:hAnsi="Bookman Old Style"/>
          <w:lang w:val="es-CO"/>
        </w:rPr>
        <w:t xml:space="preserve"> </w:t>
      </w:r>
      <w:r w:rsidRPr="00D80317">
        <w:rPr>
          <w:rFonts w:ascii="Bookman Old Style" w:hAnsi="Bookman Old Style"/>
          <w:lang w:val="es-CO"/>
        </w:rPr>
        <w:t>generadoras térmicas que tienen plantas de ciclo combinado, toda vez</w:t>
      </w:r>
      <w:r>
        <w:rPr>
          <w:rFonts w:ascii="Bookman Old Style" w:hAnsi="Bookman Old Style"/>
          <w:lang w:val="es-CO"/>
        </w:rPr>
        <w:t xml:space="preserve"> </w:t>
      </w:r>
      <w:r w:rsidRPr="00D80317">
        <w:rPr>
          <w:rFonts w:ascii="Bookman Old Style" w:hAnsi="Bookman Old Style"/>
          <w:lang w:val="es-CO"/>
        </w:rPr>
        <w:t>que al usarse la configuración con el menor costo aplicable se puede</w:t>
      </w:r>
      <w:r>
        <w:rPr>
          <w:rFonts w:ascii="Bookman Old Style" w:hAnsi="Bookman Old Style"/>
          <w:lang w:val="es-CO"/>
        </w:rPr>
        <w:t xml:space="preserve"> </w:t>
      </w:r>
      <w:r w:rsidRPr="00D80317">
        <w:rPr>
          <w:rFonts w:ascii="Bookman Old Style" w:hAnsi="Bookman Old Style"/>
          <w:lang w:val="es-CO"/>
        </w:rPr>
        <w:t>causar una disminución injustificada de ingresos para estas compañías,</w:t>
      </w:r>
      <w:r>
        <w:rPr>
          <w:rFonts w:ascii="Bookman Old Style" w:hAnsi="Bookman Old Style"/>
          <w:lang w:val="es-CO"/>
        </w:rPr>
        <w:t xml:space="preserve"> </w:t>
      </w:r>
      <w:r w:rsidRPr="00D80317">
        <w:rPr>
          <w:rFonts w:ascii="Bookman Old Style" w:hAnsi="Bookman Old Style"/>
          <w:lang w:val="es-CO"/>
        </w:rPr>
        <w:t>impactando así en sus finanzas.</w:t>
      </w:r>
    </w:p>
    <w:p w14:paraId="60AFB23E" w14:textId="77777777" w:rsidR="00D80317" w:rsidRPr="00D80317" w:rsidRDefault="00D80317" w:rsidP="00D80317">
      <w:pPr>
        <w:ind w:left="0"/>
        <w:jc w:val="both"/>
        <w:rPr>
          <w:rFonts w:ascii="Bookman Old Style" w:hAnsi="Bookman Old Style"/>
          <w:lang w:val="es-CO"/>
        </w:rPr>
      </w:pPr>
    </w:p>
    <w:p w14:paraId="7FA9A3C3" w14:textId="77777777" w:rsidR="00F52471" w:rsidRDefault="00F52471" w:rsidP="00D80317">
      <w:pPr>
        <w:ind w:left="0"/>
        <w:jc w:val="both"/>
        <w:rPr>
          <w:rFonts w:ascii="Bookman Old Style" w:hAnsi="Bookman Old Style"/>
          <w:lang w:val="es-CO"/>
        </w:rPr>
      </w:pPr>
    </w:p>
    <w:p w14:paraId="513D9839" w14:textId="02C5F737" w:rsidR="00D80317" w:rsidRPr="003E363F" w:rsidRDefault="00D80317" w:rsidP="00D80317">
      <w:pPr>
        <w:ind w:left="0"/>
        <w:jc w:val="both"/>
        <w:rPr>
          <w:rFonts w:ascii="Bookman Old Style" w:hAnsi="Bookman Old Style"/>
          <w:lang w:val="es-CO"/>
        </w:rPr>
      </w:pPr>
      <w:r w:rsidRPr="00D80317">
        <w:rPr>
          <w:rFonts w:ascii="Bookman Old Style" w:hAnsi="Bookman Old Style"/>
          <w:lang w:val="es-CO"/>
        </w:rPr>
        <w:lastRenderedPageBreak/>
        <w:t>Adicionalmente, es importante tener en cuenta que el artículo 87.7 de la</w:t>
      </w:r>
      <w:r>
        <w:rPr>
          <w:rFonts w:ascii="Bookman Old Style" w:hAnsi="Bookman Old Style"/>
          <w:lang w:val="es-CO"/>
        </w:rPr>
        <w:t xml:space="preserve"> </w:t>
      </w:r>
      <w:r w:rsidRPr="00D80317">
        <w:rPr>
          <w:rFonts w:ascii="Bookman Old Style" w:hAnsi="Bookman Old Style"/>
          <w:lang w:val="es-CO"/>
        </w:rPr>
        <w:t>Ley 142 de 1994 dispone que en caso de contradicción entre los criterios</w:t>
      </w:r>
      <w:r w:rsidR="00613BDC">
        <w:rPr>
          <w:rFonts w:ascii="Bookman Old Style" w:hAnsi="Bookman Old Style"/>
          <w:lang w:val="es-CO"/>
        </w:rPr>
        <w:t xml:space="preserve"> </w:t>
      </w:r>
      <w:r w:rsidRPr="00D80317">
        <w:rPr>
          <w:rFonts w:ascii="Bookman Old Style" w:hAnsi="Bookman Old Style"/>
          <w:lang w:val="es-CO"/>
        </w:rPr>
        <w:t>previamente esbozados se deberá resolver tomando en cuenta que para</w:t>
      </w:r>
      <w:r w:rsidR="00613BDC">
        <w:rPr>
          <w:rFonts w:ascii="Bookman Old Style" w:hAnsi="Bookman Old Style"/>
          <w:lang w:val="es-CO"/>
        </w:rPr>
        <w:t xml:space="preserve"> </w:t>
      </w:r>
      <w:r w:rsidRPr="00D80317">
        <w:rPr>
          <w:rFonts w:ascii="Bookman Old Style" w:hAnsi="Bookman Old Style"/>
          <w:lang w:val="es-CO"/>
        </w:rPr>
        <w:t>que una empresa sea eficiente, las tarifas que se consideren eficientes</w:t>
      </w:r>
      <w:r w:rsidR="00613BDC">
        <w:rPr>
          <w:rFonts w:ascii="Bookman Old Style" w:hAnsi="Bookman Old Style"/>
          <w:lang w:val="es-CO"/>
        </w:rPr>
        <w:t xml:space="preserve"> </w:t>
      </w:r>
      <w:r w:rsidRPr="00D80317">
        <w:rPr>
          <w:rFonts w:ascii="Bookman Old Style" w:hAnsi="Bookman Old Style"/>
          <w:lang w:val="es-CO"/>
        </w:rPr>
        <w:t>deberán ser definidas con base al criterio de suficiencia financiera</w:t>
      </w:r>
      <w:r w:rsidR="00E60DE9">
        <w:rPr>
          <w:rFonts w:ascii="Bookman Old Style" w:hAnsi="Bookman Old Style"/>
          <w:lang w:val="es-CO"/>
        </w:rPr>
        <w:t>”</w:t>
      </w:r>
      <w:r w:rsidRPr="00D80317">
        <w:rPr>
          <w:rFonts w:ascii="Bookman Old Style" w:hAnsi="Bookman Old Style"/>
          <w:lang w:val="es-CO"/>
        </w:rPr>
        <w:t>.</w:t>
      </w:r>
    </w:p>
    <w:p w14:paraId="04D4E650" w14:textId="3417430D" w:rsidR="007C7FF4" w:rsidRDefault="007C7FF4" w:rsidP="00FB6329">
      <w:pPr>
        <w:ind w:left="0"/>
        <w:jc w:val="both"/>
        <w:rPr>
          <w:rFonts w:ascii="Bookman Old Style" w:hAnsi="Bookman Old Style"/>
          <w:lang w:val="es-CO"/>
        </w:rPr>
      </w:pPr>
    </w:p>
    <w:p w14:paraId="66505E09" w14:textId="7BEAFCEC" w:rsidR="006A6E65" w:rsidRPr="00A56805" w:rsidRDefault="006A6E65" w:rsidP="000F1683">
      <w:pPr>
        <w:ind w:left="0"/>
        <w:jc w:val="both"/>
        <w:rPr>
          <w:rFonts w:ascii="Bookman Old Style" w:hAnsi="Bookman Old Style"/>
          <w:b/>
          <w:bCs/>
          <w:lang w:val="es-CO"/>
        </w:rPr>
      </w:pPr>
      <w:r w:rsidRPr="00A56805">
        <w:rPr>
          <w:rFonts w:ascii="Bookman Old Style" w:hAnsi="Bookman Old Style"/>
          <w:b/>
          <w:bCs/>
          <w:lang w:val="es-CO"/>
        </w:rPr>
        <w:t>Agravio injustificado</w:t>
      </w:r>
    </w:p>
    <w:p w14:paraId="4C154533" w14:textId="3C0C6C54" w:rsidR="00BC0A54" w:rsidRDefault="00BC0A54" w:rsidP="000F1683">
      <w:pPr>
        <w:ind w:left="0"/>
        <w:jc w:val="both"/>
        <w:rPr>
          <w:rFonts w:ascii="Bookman Old Style" w:hAnsi="Bookman Old Style"/>
          <w:lang w:val="es-CO"/>
        </w:rPr>
      </w:pPr>
    </w:p>
    <w:p w14:paraId="71DFCB2C" w14:textId="5A331041" w:rsidR="00BC0A54" w:rsidRDefault="00057C41" w:rsidP="00A56805">
      <w:pPr>
        <w:autoSpaceDE w:val="0"/>
        <w:autoSpaceDN w:val="0"/>
        <w:adjustRightInd w:val="0"/>
        <w:ind w:left="0"/>
        <w:jc w:val="both"/>
        <w:rPr>
          <w:rFonts w:ascii="Bookman Old Style" w:hAnsi="Bookman Old Style" w:cs="CenturyGothic"/>
          <w:color w:val="000000"/>
          <w:lang w:val="es-CO" w:eastAsia="es-CO"/>
        </w:rPr>
      </w:pPr>
      <w:r>
        <w:rPr>
          <w:rFonts w:ascii="Bookman Old Style" w:hAnsi="Bookman Old Style" w:cs="CenturyGothic"/>
          <w:color w:val="000000"/>
          <w:lang w:val="es-CO" w:eastAsia="es-CO"/>
        </w:rPr>
        <w:t>“</w:t>
      </w:r>
      <w:r w:rsidR="00BC0A54" w:rsidRPr="00A56805">
        <w:rPr>
          <w:rFonts w:ascii="Bookman Old Style" w:hAnsi="Bookman Old Style" w:cs="CenturyGothic"/>
          <w:color w:val="000000"/>
          <w:lang w:val="es-CO" w:eastAsia="es-CO"/>
        </w:rPr>
        <w:t>De otra parte, la Resolución CREG 101 028 puede afectar igualmente el</w:t>
      </w:r>
      <w:r w:rsidR="00B141FA">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mercado de gas natural. La generación de energía eléctrica tiene una</w:t>
      </w:r>
      <w:r w:rsidR="00B141FA">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relación directa con el mercado mayorista de gas natural, y</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particularmente el ciclo combinado de TEBSA por ser el mayor consumidor</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de gas en Colombia, puesto que este combustible representa una opción</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viable y eficiente para la generación térmica. La planeación de la</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COE_20220148</w:t>
      </w:r>
      <w:r w:rsidR="0070422D">
        <w:rPr>
          <w:rFonts w:ascii="Bookman Old Style" w:hAnsi="Bookman Old Style" w:cs="CenturyGothic"/>
          <w:color w:val="000000"/>
          <w:lang w:val="es-CO" w:eastAsia="es-CO"/>
        </w:rPr>
        <w:t>5</w:t>
      </w:r>
      <w:r w:rsidR="005B42EC">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adquisición de este insumo parte de la base que existe un ingreso</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regulado en las actividades aguas</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abajo, en esencia el precio de escasez</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y el precio de las reconciliaciones. En esa medida, bajo un esquema de</w:t>
      </w:r>
      <w:r w:rsidR="00786978" w:rsidRPr="00A56805">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ingresos regulados, el incentivo de los competidores en el mercado es</w:t>
      </w:r>
      <w:r w:rsidR="00786978">
        <w:rPr>
          <w:rFonts w:ascii="Bookman Old Style" w:hAnsi="Bookman Old Style" w:cs="CenturyGothic"/>
          <w:color w:val="000000"/>
          <w:lang w:val="es-CO" w:eastAsia="es-CO"/>
        </w:rPr>
        <w:t xml:space="preserve"> </w:t>
      </w:r>
      <w:r w:rsidR="00BC0A54" w:rsidRPr="00A56805">
        <w:rPr>
          <w:rFonts w:ascii="Bookman Old Style" w:hAnsi="Bookman Old Style" w:cs="CenturyGothic"/>
          <w:color w:val="000000"/>
          <w:lang w:val="es-CO" w:eastAsia="es-CO"/>
        </w:rPr>
        <w:t>reducir sus costos y ser más eficientes en la prestación del servicio para</w:t>
      </w:r>
      <w:r w:rsidR="00786978" w:rsidRPr="00A56805">
        <w:rPr>
          <w:rFonts w:ascii="Bookman Old Style" w:hAnsi="Bookman Old Style" w:cs="CenturyGothic"/>
          <w:color w:val="000000"/>
          <w:lang w:val="es-CO" w:eastAsia="es-CO"/>
        </w:rPr>
        <w:t xml:space="preserve"> a</w:t>
      </w:r>
      <w:r w:rsidR="00BC0A54" w:rsidRPr="00A56805">
        <w:rPr>
          <w:rFonts w:ascii="Bookman Old Style" w:hAnsi="Bookman Old Style" w:cs="CenturyGothic"/>
          <w:color w:val="000000"/>
          <w:lang w:val="es-CO" w:eastAsia="es-CO"/>
        </w:rPr>
        <w:t>umentar su competitividad.</w:t>
      </w:r>
    </w:p>
    <w:p w14:paraId="035FAD33" w14:textId="77777777" w:rsidR="00493343" w:rsidRPr="00A56805" w:rsidRDefault="00493343" w:rsidP="00A56805">
      <w:pPr>
        <w:autoSpaceDE w:val="0"/>
        <w:autoSpaceDN w:val="0"/>
        <w:adjustRightInd w:val="0"/>
        <w:ind w:left="0"/>
        <w:jc w:val="both"/>
        <w:rPr>
          <w:rFonts w:ascii="Bookman Old Style" w:hAnsi="Bookman Old Style" w:cs="CenturyGothic"/>
          <w:color w:val="000000"/>
          <w:lang w:val="es-CO" w:eastAsia="es-CO"/>
        </w:rPr>
      </w:pPr>
    </w:p>
    <w:p w14:paraId="03C5A9A1" w14:textId="50A0A608" w:rsidR="00BC0A54" w:rsidRPr="00A56805" w:rsidRDefault="00BC0A54" w:rsidP="00A56805">
      <w:pPr>
        <w:autoSpaceDE w:val="0"/>
        <w:autoSpaceDN w:val="0"/>
        <w:adjustRightInd w:val="0"/>
        <w:ind w:left="0"/>
        <w:jc w:val="both"/>
        <w:rPr>
          <w:rFonts w:ascii="Bookman Old Style" w:hAnsi="Bookman Old Style" w:cs="CenturyGothic"/>
          <w:color w:val="000000"/>
          <w:lang w:val="es-CO" w:eastAsia="es-CO"/>
        </w:rPr>
      </w:pPr>
      <w:r w:rsidRPr="00A56805">
        <w:rPr>
          <w:rFonts w:ascii="Bookman Old Style" w:hAnsi="Bookman Old Style" w:cs="CenturyGothic"/>
          <w:color w:val="000000"/>
          <w:lang w:val="es-CO" w:eastAsia="es-CO"/>
        </w:rPr>
        <w:t>No obstante, la Resolución CREG 101 028 no evalúa el impacto que tendrá</w:t>
      </w:r>
      <w:r w:rsidR="00786978" w:rsidRPr="00A56805">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sobre las diferentes variables de operación en el sector del gas natural,</w:t>
      </w:r>
      <w:r w:rsidR="00786978" w:rsidRPr="00A56805">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tales como, los efectos en la presión del sistema de transporte de gas</w:t>
      </w:r>
      <w:r w:rsidR="00786978" w:rsidRPr="00A56805">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natural, según la determinación de configuración que haga el operador</w:t>
      </w:r>
      <w:r w:rsidR="00786978">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en el CND, ya sea en el despacho o redespacho de la planta de</w:t>
      </w:r>
      <w:r w:rsidR="00786978" w:rsidRPr="00A56805">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generación de ciclo combinado en este caso para TEBSA, por cuenta de</w:t>
      </w:r>
      <w:r w:rsidR="00786978" w:rsidRPr="00A56805">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la mayor probabilidad de entradas y salidas de unidades de generación</w:t>
      </w:r>
      <w:r w:rsidR="00786978">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a gas que hacen parte de este ciclo combinado.</w:t>
      </w:r>
    </w:p>
    <w:p w14:paraId="16766E16" w14:textId="77777777" w:rsidR="00786978" w:rsidRPr="00A56805" w:rsidRDefault="00786978" w:rsidP="00A56805">
      <w:pPr>
        <w:autoSpaceDE w:val="0"/>
        <w:autoSpaceDN w:val="0"/>
        <w:adjustRightInd w:val="0"/>
        <w:ind w:left="0"/>
        <w:jc w:val="both"/>
        <w:rPr>
          <w:rFonts w:ascii="Bookman Old Style" w:hAnsi="Bookman Old Style" w:cs="CenturyGothic"/>
          <w:color w:val="000000"/>
          <w:lang w:val="es-CO" w:eastAsia="es-CO"/>
        </w:rPr>
      </w:pPr>
    </w:p>
    <w:p w14:paraId="572CD2A7" w14:textId="747C34B4" w:rsidR="00BC0A54" w:rsidRDefault="00BC0A54" w:rsidP="00110F21">
      <w:pPr>
        <w:autoSpaceDE w:val="0"/>
        <w:autoSpaceDN w:val="0"/>
        <w:adjustRightInd w:val="0"/>
        <w:ind w:left="0"/>
        <w:jc w:val="both"/>
        <w:rPr>
          <w:rFonts w:ascii="Bookman Old Style" w:hAnsi="Bookman Old Style" w:cs="CenturyGothic"/>
          <w:color w:val="000000"/>
          <w:lang w:val="es-CO" w:eastAsia="es-CO"/>
        </w:rPr>
      </w:pPr>
      <w:r w:rsidRPr="00A56805">
        <w:rPr>
          <w:rFonts w:ascii="Bookman Old Style" w:hAnsi="Bookman Old Style" w:cs="CenturyGothic"/>
          <w:color w:val="000000"/>
          <w:lang w:val="es-CO" w:eastAsia="es-CO"/>
        </w:rPr>
        <w:t>En tal sentido, es necesario considerar lo establecido por la regulación</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vigente expedida por la CREG, y en particular, la Resolución CREG 185 de</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2020 que señala que cualquier afectación a un consumidor de gas</w:t>
      </w:r>
      <w:r w:rsidR="00110F2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imputable a un remitente por la operación de sus unidades sin considerar</w:t>
      </w:r>
      <w:r w:rsidR="00110F2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el impacto de esto en el gasoducto, debe ser compensado por los</w:t>
      </w:r>
      <w:r w:rsidR="00110F2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remitentes que tengan variaciones de salidas negativas, caso en el cual,</w:t>
      </w:r>
      <w:r w:rsidR="00110F2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el transportador está facultado para cobrar el valor correspondiente de</w:t>
      </w:r>
      <w:r w:rsidR="00110F2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las compensaciones, de la forma como se señala en los numerales 3 y 4</w:t>
      </w:r>
      <w:r w:rsidR="00110F2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del artículo 36 de la mencionada Resolución CREG 185 de 2020.</w:t>
      </w:r>
    </w:p>
    <w:p w14:paraId="0FA76615" w14:textId="77777777" w:rsidR="00110F21" w:rsidRPr="00A56805" w:rsidRDefault="00110F21" w:rsidP="00A56805">
      <w:pPr>
        <w:autoSpaceDE w:val="0"/>
        <w:autoSpaceDN w:val="0"/>
        <w:adjustRightInd w:val="0"/>
        <w:ind w:left="0"/>
        <w:jc w:val="both"/>
        <w:rPr>
          <w:rFonts w:ascii="Bookman Old Style" w:hAnsi="Bookman Old Style" w:cs="CenturyGothic"/>
          <w:color w:val="000000"/>
          <w:lang w:val="es-CO" w:eastAsia="es-CO"/>
        </w:rPr>
      </w:pPr>
    </w:p>
    <w:p w14:paraId="32AA8B47" w14:textId="5EC9AA86" w:rsidR="00BC0A54" w:rsidRDefault="00BC0A54" w:rsidP="000A1174">
      <w:pPr>
        <w:autoSpaceDE w:val="0"/>
        <w:autoSpaceDN w:val="0"/>
        <w:adjustRightInd w:val="0"/>
        <w:ind w:left="0"/>
        <w:jc w:val="both"/>
        <w:rPr>
          <w:rFonts w:ascii="Bookman Old Style" w:hAnsi="Bookman Old Style" w:cs="CenturyGothic"/>
          <w:color w:val="000000"/>
          <w:lang w:val="es-CO" w:eastAsia="es-CO"/>
        </w:rPr>
      </w:pPr>
      <w:r w:rsidRPr="00A56805">
        <w:rPr>
          <w:rFonts w:ascii="Bookman Old Style" w:hAnsi="Bookman Old Style" w:cs="CenturyGothic"/>
          <w:color w:val="000000"/>
          <w:lang w:val="es-CO" w:eastAsia="es-CO"/>
        </w:rPr>
        <w:t>Para que una norma como la Resolución CREG 101 02</w:t>
      </w:r>
      <w:r w:rsidR="00E85829">
        <w:rPr>
          <w:rFonts w:ascii="Bookman Old Style" w:hAnsi="Bookman Old Style" w:cs="CenturyGothic"/>
          <w:color w:val="000000"/>
          <w:lang w:val="es-CO" w:eastAsia="es-CO"/>
        </w:rPr>
        <w:t>8</w:t>
      </w:r>
      <w:r w:rsidRPr="00A56805">
        <w:rPr>
          <w:rFonts w:ascii="Bookman Old Style" w:hAnsi="Bookman Old Style" w:cs="CenturyGothic"/>
          <w:color w:val="000000"/>
          <w:lang w:val="es-CO" w:eastAsia="es-CO"/>
        </w:rPr>
        <w:t xml:space="preserve"> pueda estar</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vigente, la CREG deberá, entre otras, establecer mediante resolución los</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responsables de los impactos en los sistemas de gas natural que se verían</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afectados por las decisiones del CND, responsabilidad que no puede</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recaer sobre el agente que no está eligiendo la configuración de</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operación, como está en estos momentos, toda vez que según la</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regulación vigente (Resolución CREG 185 de 2020) del sector gas</w:t>
      </w:r>
      <w:r w:rsidR="00D34077">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expedida por la CREG, tal decisión sin considerar el impacto de esto en el</w:t>
      </w:r>
      <w:r w:rsidR="000A1174">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gasoducto, podría afectar uno o varios consumidores de gas que sería</w:t>
      </w:r>
      <w:r w:rsidR="009C243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imputable a la planta TEBSA por la operación de sus unidades por parte</w:t>
      </w:r>
      <w:r w:rsidR="009C2431">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de un tercero.</w:t>
      </w:r>
    </w:p>
    <w:p w14:paraId="4AD27E78" w14:textId="77777777" w:rsidR="00D34077" w:rsidRPr="00A56805" w:rsidRDefault="00D34077" w:rsidP="00A56805">
      <w:pPr>
        <w:autoSpaceDE w:val="0"/>
        <w:autoSpaceDN w:val="0"/>
        <w:adjustRightInd w:val="0"/>
        <w:ind w:left="0"/>
        <w:jc w:val="both"/>
        <w:rPr>
          <w:rFonts w:ascii="Bookman Old Style" w:hAnsi="Bookman Old Style" w:cs="CenturyGothic"/>
          <w:color w:val="000000"/>
          <w:lang w:val="es-CO" w:eastAsia="es-CO"/>
        </w:rPr>
      </w:pPr>
    </w:p>
    <w:p w14:paraId="22F5F85C" w14:textId="5C5EB16F" w:rsidR="00F47BFE" w:rsidRPr="008B6224" w:rsidRDefault="00BC0A54" w:rsidP="00F47BFE">
      <w:pPr>
        <w:autoSpaceDE w:val="0"/>
        <w:autoSpaceDN w:val="0"/>
        <w:adjustRightInd w:val="0"/>
        <w:ind w:left="0"/>
        <w:jc w:val="both"/>
        <w:rPr>
          <w:rFonts w:ascii="Bookman Old Style" w:hAnsi="Bookman Old Style" w:cs="CenturyGothic"/>
          <w:color w:val="000000"/>
          <w:lang w:val="es-CO" w:eastAsia="es-CO"/>
        </w:rPr>
      </w:pPr>
      <w:r w:rsidRPr="00A56805">
        <w:rPr>
          <w:rFonts w:ascii="Bookman Old Style" w:hAnsi="Bookman Old Style" w:cs="CenturyGothic"/>
          <w:color w:val="000000"/>
          <w:lang w:val="es-CO" w:eastAsia="es-CO"/>
        </w:rPr>
        <w:t>De esta forma, consideramos que la Resolución CREG 101 028 debe ser</w:t>
      </w:r>
      <w:r w:rsidR="00D909B3">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revocada toda vez que, además de las otras razones expuestas para su</w:t>
      </w:r>
      <w:r w:rsidR="008766CB">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 xml:space="preserve">revocatoria, no </w:t>
      </w:r>
      <w:r w:rsidRPr="00A56805">
        <w:rPr>
          <w:rFonts w:ascii="Bookman Old Style" w:hAnsi="Bookman Old Style" w:cs="CenturyGothic"/>
          <w:color w:val="000000"/>
          <w:lang w:val="es-CO" w:eastAsia="es-CO"/>
        </w:rPr>
        <w:lastRenderedPageBreak/>
        <w:t>establece quién asume la responsabilidad por las</w:t>
      </w:r>
      <w:r w:rsidR="008766CB">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decisiones tomadas por el CND. De acuerdo con lo establecido en la</w:t>
      </w:r>
      <w:r w:rsidR="008766CB">
        <w:rPr>
          <w:rFonts w:ascii="Bookman Old Style" w:hAnsi="Bookman Old Style" w:cs="CenturyGothic"/>
          <w:color w:val="000000"/>
          <w:lang w:val="es-CO" w:eastAsia="es-CO"/>
        </w:rPr>
        <w:t xml:space="preserve"> </w:t>
      </w:r>
      <w:r w:rsidRPr="00A56805">
        <w:rPr>
          <w:rFonts w:ascii="Bookman Old Style" w:hAnsi="Bookman Old Style" w:cs="CenturyGothic"/>
          <w:color w:val="000000"/>
          <w:lang w:val="es-CO" w:eastAsia="es-CO"/>
        </w:rPr>
        <w:t>regulación actual, esta responsabilidad debería ser asumida por XM S.A.COE_202201485</w:t>
      </w:r>
      <w:r w:rsidR="008B6224">
        <w:rPr>
          <w:rFonts w:ascii="Bookman Old Style" w:hAnsi="Bookman Old Style" w:cs="CenturyGothic"/>
          <w:color w:val="000000"/>
          <w:lang w:val="es-CO" w:eastAsia="es-CO"/>
        </w:rPr>
        <w:t>.</w:t>
      </w:r>
      <w:r w:rsidR="0047597F">
        <w:rPr>
          <w:rFonts w:ascii="Bookman Old Style" w:hAnsi="Bookman Old Style" w:cs="CenturyGothic"/>
          <w:color w:val="000000"/>
          <w:lang w:val="es-CO" w:eastAsia="es-CO"/>
        </w:rPr>
        <w:t>S</w:t>
      </w:r>
      <w:r w:rsidR="008B6224" w:rsidRPr="008B6224">
        <w:rPr>
          <w:rFonts w:ascii="Bookman Old Style" w:hAnsi="Bookman Old Style" w:cs="CenturyGothic"/>
          <w:color w:val="000000"/>
          <w:lang w:val="es-CO" w:eastAsia="es-CO"/>
        </w:rPr>
        <w:t>e puede concluir que el dañ</w:t>
      </w:r>
      <w:r w:rsidR="007040A5">
        <w:rPr>
          <w:rFonts w:ascii="Bookman Old Style" w:hAnsi="Bookman Old Style" w:cs="CenturyGothic"/>
          <w:color w:val="000000"/>
          <w:lang w:val="es-CO" w:eastAsia="es-CO"/>
        </w:rPr>
        <w:t>o</w:t>
      </w:r>
      <w:r w:rsidR="00F47BFE" w:rsidRPr="00F47BFE">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por fatiga es el mecanismo subyacente que gobierna el gasto de vida de</w:t>
      </w:r>
      <w:r w:rsidR="0070422D">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los componentes CCGT sometidos a los ciclos. Este daño aumenta los</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costos efectivos de ciclar una planta CCGT, debido a un aumento en los</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gastos de mantenimiento y efectos de interrupción forzosa, tales como: el</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costo de reemplazo energía y capacidad mientras la planta está parada,</w:t>
      </w:r>
      <w:r w:rsidR="00BF2D1D">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gastos asociados a la toma de decisiones operativas del operador del</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sistema CND o internamente gastos asociados a la toma de decisiones</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operativas, en la actualidad tienen como consecuencias que conducen</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a operaciones subóptimas, antieconómicas en el despacho y, en última</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instancia, a mayores costos operativos tanto para el sistema como para el</w:t>
      </w:r>
      <w:r w:rsidR="0047597F">
        <w:rPr>
          <w:rFonts w:ascii="Bookman Old Style" w:hAnsi="Bookman Old Style" w:cs="CenturyGothic"/>
          <w:color w:val="000000"/>
          <w:lang w:val="es-CO" w:eastAsia="es-CO"/>
        </w:rPr>
        <w:t xml:space="preserve"> </w:t>
      </w:r>
      <w:r w:rsidR="00F47BFE" w:rsidRPr="008B6224">
        <w:rPr>
          <w:rFonts w:ascii="Bookman Old Style" w:hAnsi="Bookman Old Style" w:cs="CenturyGothic"/>
          <w:color w:val="000000"/>
          <w:lang w:val="es-CO" w:eastAsia="es-CO"/>
        </w:rPr>
        <w:t>ciclo combinado.</w:t>
      </w:r>
    </w:p>
    <w:p w14:paraId="1187ABA0" w14:textId="77777777" w:rsidR="00C848D7" w:rsidRDefault="00C848D7" w:rsidP="0048016B">
      <w:pPr>
        <w:autoSpaceDE w:val="0"/>
        <w:autoSpaceDN w:val="0"/>
        <w:adjustRightInd w:val="0"/>
        <w:ind w:left="0"/>
        <w:rPr>
          <w:rFonts w:ascii="Bookman Old Style" w:hAnsi="Bookman Old Style" w:cs="CenturyGothic"/>
          <w:color w:val="000000"/>
          <w:lang w:val="es-CO" w:eastAsia="es-CO"/>
        </w:rPr>
      </w:pPr>
    </w:p>
    <w:p w14:paraId="3CA44DBF" w14:textId="1EEBDF69" w:rsidR="008B6224" w:rsidRDefault="008B6224" w:rsidP="00E55FBE">
      <w:pPr>
        <w:autoSpaceDE w:val="0"/>
        <w:autoSpaceDN w:val="0"/>
        <w:adjustRightInd w:val="0"/>
        <w:ind w:left="0"/>
        <w:jc w:val="both"/>
        <w:rPr>
          <w:rFonts w:ascii="Bookman Old Style" w:hAnsi="Bookman Old Style" w:cs="CenturyGothic"/>
          <w:color w:val="000000"/>
          <w:lang w:val="es-CO" w:eastAsia="es-CO"/>
        </w:rPr>
      </w:pPr>
      <w:r w:rsidRPr="008B6224">
        <w:rPr>
          <w:rFonts w:ascii="Bookman Old Style" w:hAnsi="Bookman Old Style" w:cs="CenturyGothic"/>
          <w:color w:val="000000"/>
          <w:lang w:val="es-CO" w:eastAsia="es-CO"/>
        </w:rPr>
        <w:t xml:space="preserve">Se requiere que los análisis de la CREG observen </w:t>
      </w:r>
      <w:r w:rsidR="00C848D7">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 xml:space="preserve">estos efectos para </w:t>
      </w:r>
      <w:r w:rsidR="00C848D7">
        <w:rPr>
          <w:rFonts w:ascii="Bookman Old Style" w:hAnsi="Bookman Old Style" w:cs="CenturyGothic"/>
          <w:color w:val="000000"/>
          <w:lang w:val="es-CO" w:eastAsia="es-CO"/>
        </w:rPr>
        <w:t>que</w:t>
      </w:r>
      <w:r w:rsidR="00E55FBE">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valúen los sobrecostos para el sistema que serán revelados por CND en</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el de</w:t>
      </w:r>
      <w:r w:rsidR="0075655E">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optimización del despacho evaluando adecuadamente</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estos daños por fatiga y sus sobrecostos, donde la mejor forma es a través</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de la inclusión de los costos de arranques en el proceso de optimización:</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(i) optimizar el modo de operación de los ciclos combinados; y (ii) la</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inclusión metodológica de trasformación de costos en el sistema en un</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factor de decisión del modelo optimización, cuyo costo al final de cuentas</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permite considera el modo de operación y su impacto en la vida útil</w:t>
      </w:r>
      <w:r w:rsidR="00BF2D1D">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remanente de los componentes críticos de la planta.</w:t>
      </w:r>
    </w:p>
    <w:p w14:paraId="1B1236F0" w14:textId="77777777" w:rsidR="008766CB" w:rsidRPr="008B6224" w:rsidRDefault="008766CB" w:rsidP="0048016B">
      <w:pPr>
        <w:autoSpaceDE w:val="0"/>
        <w:autoSpaceDN w:val="0"/>
        <w:adjustRightInd w:val="0"/>
        <w:ind w:left="0"/>
        <w:rPr>
          <w:rFonts w:ascii="Bookman Old Style" w:hAnsi="Bookman Old Style" w:cs="CenturyGothic"/>
          <w:color w:val="000000"/>
          <w:lang w:val="es-CO" w:eastAsia="es-CO"/>
        </w:rPr>
      </w:pPr>
    </w:p>
    <w:p w14:paraId="5765A2BD" w14:textId="483B15CD" w:rsidR="008B6224" w:rsidRDefault="008B6224" w:rsidP="00FB3CB0">
      <w:pPr>
        <w:autoSpaceDE w:val="0"/>
        <w:autoSpaceDN w:val="0"/>
        <w:adjustRightInd w:val="0"/>
        <w:ind w:left="0"/>
        <w:jc w:val="both"/>
        <w:rPr>
          <w:rFonts w:ascii="Bookman Old Style" w:hAnsi="Bookman Old Style" w:cs="CenturyGothic"/>
          <w:color w:val="000000"/>
          <w:lang w:val="es-CO" w:eastAsia="es-CO"/>
        </w:rPr>
      </w:pPr>
      <w:r w:rsidRPr="008B6224">
        <w:rPr>
          <w:rFonts w:ascii="Bookman Old Style" w:hAnsi="Bookman Old Style" w:cs="CenturyGothic"/>
          <w:color w:val="000000"/>
          <w:lang w:val="es-CO" w:eastAsia="es-CO"/>
        </w:rPr>
        <w:t>La regulación actual no considera dichos costos y efectos nocivos en la</w:t>
      </w:r>
      <w:r w:rsidR="006E33C9">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confiabilidad del sistema, de tal forma que los efectos que se tendrán</w:t>
      </w:r>
      <w:r w:rsidR="006E33C9">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sobre las maquinas, se trasladarán directamente a la seguridad,</w:t>
      </w:r>
      <w:r w:rsidR="006E33C9">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confiabilidad y economía del sistema. Lo anterior, debido a que las</w:t>
      </w:r>
      <w:r w:rsidR="006E33C9">
        <w:rPr>
          <w:rFonts w:ascii="Bookman Old Style" w:hAnsi="Bookman Old Style" w:cs="CenturyGothic"/>
          <w:color w:val="000000"/>
          <w:lang w:val="es-CO" w:eastAsia="es-CO"/>
        </w:rPr>
        <w:t xml:space="preserve"> </w:t>
      </w:r>
      <w:r w:rsidRPr="008B6224">
        <w:rPr>
          <w:rFonts w:ascii="Bookman Old Style" w:hAnsi="Bookman Old Style" w:cs="CenturyGothic"/>
          <w:color w:val="000000"/>
          <w:lang w:val="es-CO" w:eastAsia="es-CO"/>
        </w:rPr>
        <w:t>diferentes variables operativas para la atención segura, confiable y</w:t>
      </w:r>
      <w:r w:rsidR="00DC0BD3">
        <w:rPr>
          <w:rFonts w:ascii="Bookman Old Style" w:hAnsi="Bookman Old Style" w:cs="CenturyGothic"/>
          <w:color w:val="000000"/>
          <w:lang w:val="es-CO" w:eastAsia="es-CO"/>
        </w:rPr>
        <w:t xml:space="preserve"> </w:t>
      </w:r>
      <w:r w:rsidR="00DC0BD3" w:rsidRPr="00DC0BD3">
        <w:rPr>
          <w:rFonts w:ascii="Bookman Old Style" w:hAnsi="Bookman Old Style" w:cs="CenturyGothic"/>
          <w:color w:val="000000"/>
          <w:lang w:val="es-CO" w:eastAsia="es-CO"/>
        </w:rPr>
        <w:t>económica de la demanda con</w:t>
      </w:r>
      <w:r w:rsidR="006E33C9">
        <w:rPr>
          <w:rFonts w:ascii="Bookman Old Style" w:hAnsi="Bookman Old Style" w:cs="CenturyGothic"/>
          <w:color w:val="000000"/>
          <w:lang w:val="es-CO" w:eastAsia="es-CO"/>
        </w:rPr>
        <w:t xml:space="preserve"> </w:t>
      </w:r>
      <w:r w:rsidR="00DC0BD3" w:rsidRPr="00DC0BD3">
        <w:rPr>
          <w:rFonts w:ascii="Bookman Old Style" w:hAnsi="Bookman Old Style" w:cs="CenturyGothic"/>
          <w:color w:val="000000"/>
          <w:lang w:val="es-CO" w:eastAsia="es-CO"/>
        </w:rPr>
        <w:t>alta incertidumbre no pudiesen contar</w:t>
      </w:r>
      <w:r w:rsidR="006E33C9">
        <w:rPr>
          <w:rFonts w:ascii="Bookman Old Style" w:hAnsi="Bookman Old Style" w:cs="CenturyGothic"/>
          <w:color w:val="000000"/>
          <w:lang w:val="es-CO" w:eastAsia="es-CO"/>
        </w:rPr>
        <w:t xml:space="preserve"> </w:t>
      </w:r>
      <w:r w:rsidR="00DC0BD3" w:rsidRPr="00DC0BD3">
        <w:rPr>
          <w:rFonts w:ascii="Bookman Old Style" w:hAnsi="Bookman Old Style" w:cs="CenturyGothic"/>
          <w:color w:val="000000"/>
          <w:lang w:val="es-CO" w:eastAsia="es-CO"/>
        </w:rPr>
        <w:t>con la fortaleza y flexibilidad que les brindarían los ciclos combinados,</w:t>
      </w:r>
      <w:r w:rsidR="006E33C9">
        <w:rPr>
          <w:rFonts w:ascii="Bookman Old Style" w:hAnsi="Bookman Old Style" w:cs="CenturyGothic"/>
          <w:color w:val="000000"/>
          <w:lang w:val="es-CO" w:eastAsia="es-CO"/>
        </w:rPr>
        <w:t xml:space="preserve"> </w:t>
      </w:r>
      <w:r w:rsidR="00DC0BD3" w:rsidRPr="00DC0BD3">
        <w:rPr>
          <w:rFonts w:ascii="Bookman Old Style" w:hAnsi="Bookman Old Style" w:cs="CenturyGothic"/>
          <w:color w:val="000000"/>
          <w:lang w:val="es-CO" w:eastAsia="es-CO"/>
        </w:rPr>
        <w:t>toda vez que el proceso de optimización es incompleto y desconoce el</w:t>
      </w:r>
      <w:r w:rsidR="006E33C9">
        <w:rPr>
          <w:rFonts w:ascii="Bookman Old Style" w:hAnsi="Bookman Old Style" w:cs="CenturyGothic"/>
          <w:color w:val="000000"/>
          <w:lang w:val="es-CO" w:eastAsia="es-CO"/>
        </w:rPr>
        <w:t xml:space="preserve"> </w:t>
      </w:r>
      <w:r w:rsidR="00DC0BD3" w:rsidRPr="00DC0BD3">
        <w:rPr>
          <w:rFonts w:ascii="Bookman Old Style" w:hAnsi="Bookman Old Style" w:cs="CenturyGothic"/>
          <w:color w:val="000000"/>
          <w:lang w:val="es-CO" w:eastAsia="es-CO"/>
        </w:rPr>
        <w:t>esquema de operación óptimo, el cual debe incluir las variables</w:t>
      </w:r>
      <w:r w:rsidR="006E33C9">
        <w:rPr>
          <w:rFonts w:ascii="Bookman Old Style" w:hAnsi="Bookman Old Style" w:cs="CenturyGothic"/>
          <w:color w:val="000000"/>
          <w:lang w:val="es-CO" w:eastAsia="es-CO"/>
        </w:rPr>
        <w:t xml:space="preserve"> </w:t>
      </w:r>
      <w:r w:rsidR="00DC0BD3" w:rsidRPr="00DC0BD3">
        <w:rPr>
          <w:rFonts w:ascii="Bookman Old Style" w:hAnsi="Bookman Old Style" w:cs="CenturyGothic"/>
          <w:color w:val="000000"/>
          <w:lang w:val="es-CO" w:eastAsia="es-CO"/>
        </w:rPr>
        <w:t xml:space="preserve">particulares de estas unidades, tales como, la ejecución de los </w:t>
      </w:r>
      <w:proofErr w:type="spellStart"/>
      <w:r w:rsidR="00DC0BD3" w:rsidRPr="00DC0BD3">
        <w:rPr>
          <w:rFonts w:ascii="Bookman Old Style" w:hAnsi="Bookman Old Style" w:cs="CenturyGothic"/>
          <w:color w:val="000000"/>
          <w:lang w:val="es-CO" w:eastAsia="es-CO"/>
        </w:rPr>
        <w:t>contratosde</w:t>
      </w:r>
      <w:proofErr w:type="spellEnd"/>
      <w:r w:rsidR="00DC0BD3" w:rsidRPr="00DC0BD3">
        <w:rPr>
          <w:rFonts w:ascii="Bookman Old Style" w:hAnsi="Bookman Old Style" w:cs="CenturyGothic"/>
          <w:color w:val="000000"/>
          <w:lang w:val="es-CO" w:eastAsia="es-CO"/>
        </w:rPr>
        <w:t xml:space="preserve"> gas, al igual que los sobrecostos operativos del </w:t>
      </w:r>
      <w:proofErr w:type="spellStart"/>
      <w:r w:rsidR="00DC0BD3" w:rsidRPr="00DC0BD3">
        <w:rPr>
          <w:rFonts w:ascii="Bookman Old Style" w:hAnsi="Bookman Old Style" w:cs="CenturyGothic"/>
          <w:color w:val="000000"/>
          <w:lang w:val="es-CO" w:eastAsia="es-CO"/>
        </w:rPr>
        <w:t>Ciclaje</w:t>
      </w:r>
      <w:proofErr w:type="spellEnd"/>
      <w:r w:rsidR="00DC0BD3" w:rsidRPr="00DC0BD3">
        <w:rPr>
          <w:rFonts w:ascii="Bookman Old Style" w:hAnsi="Bookman Old Style" w:cs="CenturyGothic"/>
          <w:color w:val="000000"/>
          <w:lang w:val="es-CO" w:eastAsia="es-CO"/>
        </w:rPr>
        <w:t>.</w:t>
      </w:r>
    </w:p>
    <w:p w14:paraId="4461F948" w14:textId="0DFF78B8" w:rsidR="0055629E" w:rsidRDefault="0055629E" w:rsidP="00DC0BD3">
      <w:pPr>
        <w:autoSpaceDE w:val="0"/>
        <w:autoSpaceDN w:val="0"/>
        <w:adjustRightInd w:val="0"/>
        <w:ind w:left="0"/>
        <w:jc w:val="both"/>
        <w:rPr>
          <w:rFonts w:ascii="Bookman Old Style" w:hAnsi="Bookman Old Style" w:cs="CenturyGothic"/>
          <w:color w:val="000000"/>
          <w:lang w:val="es-CO" w:eastAsia="es-CO"/>
        </w:rPr>
      </w:pPr>
    </w:p>
    <w:p w14:paraId="46B8F1D5" w14:textId="2B3C83C4" w:rsidR="0055629E" w:rsidRDefault="0055629E" w:rsidP="00A56805">
      <w:pPr>
        <w:autoSpaceDE w:val="0"/>
        <w:autoSpaceDN w:val="0"/>
        <w:adjustRightInd w:val="0"/>
        <w:ind w:left="0"/>
        <w:jc w:val="both"/>
        <w:rPr>
          <w:rFonts w:ascii="Bookman Old Style" w:hAnsi="Bookman Old Style" w:cs="CenturyGothic"/>
          <w:lang w:val="es-CO" w:eastAsia="es-CO"/>
        </w:rPr>
      </w:pPr>
      <w:r w:rsidRPr="00A56805">
        <w:rPr>
          <w:rFonts w:ascii="Bookman Old Style" w:hAnsi="Bookman Old Style" w:cs="CenturyGothic"/>
          <w:lang w:val="es-CO" w:eastAsia="es-CO"/>
        </w:rPr>
        <w:t>Adicional a lo anterior, el periodo de transición de la Resolución CREG 101</w:t>
      </w:r>
      <w:r w:rsidR="000A1174">
        <w:rPr>
          <w:rFonts w:ascii="Bookman Old Style" w:hAnsi="Bookman Old Style" w:cs="CenturyGothic"/>
          <w:lang w:val="es-CO" w:eastAsia="es-CO"/>
        </w:rPr>
        <w:t xml:space="preserve"> </w:t>
      </w:r>
      <w:r w:rsidRPr="00A56805">
        <w:rPr>
          <w:rFonts w:ascii="Bookman Old Style" w:hAnsi="Bookman Old Style" w:cs="CenturyGothic"/>
          <w:lang w:val="es-CO" w:eastAsia="es-CO"/>
        </w:rPr>
        <w:t>028 subvalora la incertidumbre que se gesta con su expedición, al estar</w:t>
      </w:r>
      <w:r w:rsidR="008766CB">
        <w:rPr>
          <w:rFonts w:ascii="Bookman Old Style" w:hAnsi="Bookman Old Style" w:cs="CenturyGothic"/>
          <w:lang w:val="es-CO" w:eastAsia="es-CO"/>
        </w:rPr>
        <w:t xml:space="preserve"> </w:t>
      </w:r>
      <w:r w:rsidRPr="00A56805">
        <w:rPr>
          <w:rFonts w:ascii="Bookman Old Style" w:hAnsi="Bookman Old Style" w:cs="CenturyGothic"/>
          <w:lang w:val="es-CO" w:eastAsia="es-CO"/>
        </w:rPr>
        <w:t>siendo ignorados los costos del ciclo de fatiga, pues al tomar decisiones</w:t>
      </w:r>
      <w:r w:rsidR="008766CB">
        <w:rPr>
          <w:rFonts w:ascii="Bookman Old Style" w:hAnsi="Bookman Old Style" w:cs="CenturyGothic"/>
          <w:lang w:val="es-CO" w:eastAsia="es-CO"/>
        </w:rPr>
        <w:t xml:space="preserve"> </w:t>
      </w:r>
      <w:r w:rsidRPr="00A56805">
        <w:rPr>
          <w:rFonts w:ascii="Bookman Old Style" w:hAnsi="Bookman Old Style" w:cs="CenturyGothic"/>
          <w:lang w:val="es-CO" w:eastAsia="es-CO"/>
        </w:rPr>
        <w:t>operativas se generará un costo subóptimo en el proceso de optimización,</w:t>
      </w:r>
      <w:r w:rsidR="008766CB">
        <w:rPr>
          <w:rFonts w:ascii="Bookman Old Style" w:hAnsi="Bookman Old Style" w:cs="CenturyGothic"/>
          <w:lang w:val="es-CO" w:eastAsia="es-CO"/>
        </w:rPr>
        <w:t xml:space="preserve"> </w:t>
      </w:r>
      <w:r w:rsidRPr="00A56805">
        <w:rPr>
          <w:rFonts w:ascii="Bookman Old Style" w:hAnsi="Bookman Old Style" w:cs="CenturyGothic"/>
          <w:lang w:val="es-CO" w:eastAsia="es-CO"/>
        </w:rPr>
        <w:t>comprometiendo la fiabilidad y seguridad energética del sistema y área</w:t>
      </w:r>
      <w:r w:rsidR="008766CB">
        <w:rPr>
          <w:rFonts w:ascii="Bookman Old Style" w:hAnsi="Bookman Old Style" w:cs="CenturyGothic"/>
          <w:lang w:val="es-CO" w:eastAsia="es-CO"/>
        </w:rPr>
        <w:t xml:space="preserve"> </w:t>
      </w:r>
      <w:r w:rsidRPr="00A56805">
        <w:rPr>
          <w:rFonts w:ascii="Bookman Old Style" w:hAnsi="Bookman Old Style" w:cs="CenturyGothic"/>
          <w:lang w:val="es-CO" w:eastAsia="es-CO"/>
        </w:rPr>
        <w:t>caribe, el cual se incrementará con la penetración significativa de fuentes</w:t>
      </w:r>
      <w:r w:rsidR="008766CB">
        <w:rPr>
          <w:rFonts w:ascii="Bookman Old Style" w:hAnsi="Bookman Old Style" w:cs="CenturyGothic"/>
          <w:lang w:val="es-CO" w:eastAsia="es-CO"/>
        </w:rPr>
        <w:t xml:space="preserve"> </w:t>
      </w:r>
      <w:r w:rsidRPr="00A56805">
        <w:rPr>
          <w:rFonts w:ascii="Bookman Old Style" w:hAnsi="Bookman Old Style" w:cs="CenturyGothic"/>
          <w:lang w:val="es-CO" w:eastAsia="es-CO"/>
        </w:rPr>
        <w:t>renovables intermitentes.</w:t>
      </w:r>
    </w:p>
    <w:p w14:paraId="02F9D673" w14:textId="77777777" w:rsidR="008766CB" w:rsidRPr="00A56805" w:rsidRDefault="008766CB" w:rsidP="00A56805">
      <w:pPr>
        <w:autoSpaceDE w:val="0"/>
        <w:autoSpaceDN w:val="0"/>
        <w:adjustRightInd w:val="0"/>
        <w:ind w:left="0"/>
        <w:jc w:val="both"/>
        <w:rPr>
          <w:rFonts w:ascii="Bookman Old Style" w:hAnsi="Bookman Old Style" w:cs="CenturyGothic"/>
          <w:lang w:val="es-CO" w:eastAsia="es-CO"/>
        </w:rPr>
      </w:pPr>
    </w:p>
    <w:p w14:paraId="402252F8" w14:textId="77777777" w:rsidR="0055629E" w:rsidRPr="00A56805" w:rsidRDefault="0055629E" w:rsidP="00A56805">
      <w:pPr>
        <w:autoSpaceDE w:val="0"/>
        <w:autoSpaceDN w:val="0"/>
        <w:adjustRightInd w:val="0"/>
        <w:ind w:left="0"/>
        <w:jc w:val="both"/>
        <w:rPr>
          <w:rFonts w:ascii="Bookman Old Style" w:hAnsi="Bookman Old Style" w:cs="CenturyGothic"/>
          <w:lang w:val="es-CO" w:eastAsia="es-CO"/>
        </w:rPr>
      </w:pPr>
      <w:r w:rsidRPr="00A56805">
        <w:rPr>
          <w:rFonts w:ascii="Bookman Old Style" w:hAnsi="Bookman Old Style" w:cs="CenturyGothic"/>
          <w:lang w:val="es-CO" w:eastAsia="es-CO"/>
        </w:rPr>
        <w:t>Lo anterior, causará un sobrecosto derivado del incremento de arranques</w:t>
      </w:r>
    </w:p>
    <w:p w14:paraId="7FD5BEB8" w14:textId="77777777" w:rsidR="0055629E" w:rsidRPr="00A56805" w:rsidRDefault="0055629E" w:rsidP="00A56805">
      <w:pPr>
        <w:autoSpaceDE w:val="0"/>
        <w:autoSpaceDN w:val="0"/>
        <w:adjustRightInd w:val="0"/>
        <w:ind w:left="0"/>
        <w:jc w:val="both"/>
        <w:rPr>
          <w:rFonts w:ascii="Bookman Old Style" w:hAnsi="Bookman Old Style" w:cs="CenturyGothic"/>
          <w:lang w:val="es-CO" w:eastAsia="es-CO"/>
        </w:rPr>
      </w:pPr>
      <w:r w:rsidRPr="00A56805">
        <w:rPr>
          <w:rFonts w:ascii="Bookman Old Style" w:hAnsi="Bookman Old Style" w:cs="CenturyGothic"/>
          <w:lang w:val="es-CO" w:eastAsia="es-CO"/>
        </w:rPr>
        <w:t>y paradas tanto para el sistema por requerir/prescindir de unidades, como</w:t>
      </w:r>
    </w:p>
    <w:p w14:paraId="460295C0" w14:textId="77777777" w:rsidR="0055629E" w:rsidRPr="00A56805" w:rsidRDefault="0055629E" w:rsidP="00A56805">
      <w:pPr>
        <w:autoSpaceDE w:val="0"/>
        <w:autoSpaceDN w:val="0"/>
        <w:adjustRightInd w:val="0"/>
        <w:ind w:left="0"/>
        <w:jc w:val="both"/>
        <w:rPr>
          <w:rFonts w:ascii="Bookman Old Style" w:hAnsi="Bookman Old Style" w:cs="CenturyGothic"/>
          <w:lang w:val="es-CO" w:eastAsia="es-CO"/>
        </w:rPr>
      </w:pPr>
      <w:r w:rsidRPr="00A56805">
        <w:rPr>
          <w:rFonts w:ascii="Bookman Old Style" w:hAnsi="Bookman Old Style" w:cs="CenturyGothic"/>
          <w:lang w:val="es-CO" w:eastAsia="es-CO"/>
        </w:rPr>
        <w:t>para los agentes debido al esquema de remuneración actual que no</w:t>
      </w:r>
    </w:p>
    <w:p w14:paraId="411C9BFE" w14:textId="2C504339" w:rsidR="004D471E" w:rsidRPr="00626DDC" w:rsidRDefault="0055629E" w:rsidP="00A4129E">
      <w:pPr>
        <w:autoSpaceDE w:val="0"/>
        <w:autoSpaceDN w:val="0"/>
        <w:adjustRightInd w:val="0"/>
        <w:ind w:left="0"/>
        <w:jc w:val="both"/>
        <w:rPr>
          <w:rFonts w:ascii="Bookman Old Style" w:hAnsi="Bookman Old Style" w:cs="CenturyGothic"/>
          <w:color w:val="000000"/>
          <w:lang w:val="es-CO" w:eastAsia="es-CO"/>
        </w:rPr>
      </w:pPr>
      <w:r w:rsidRPr="00A56805">
        <w:rPr>
          <w:rFonts w:ascii="Bookman Old Style" w:hAnsi="Bookman Old Style" w:cs="CenturyGothic"/>
          <w:lang w:val="es-CO" w:eastAsia="es-CO"/>
        </w:rPr>
        <w:t>cubre la totalidad de los costos asociados a arranques y paradas</w:t>
      </w:r>
      <w:r w:rsidR="004D471E">
        <w:rPr>
          <w:rFonts w:ascii="Bookman Old Style" w:hAnsi="Bookman Old Style" w:cs="CenturyGothic"/>
          <w:lang w:val="es-CO" w:eastAsia="es-CO"/>
        </w:rPr>
        <w:t>…</w:t>
      </w:r>
      <w:r w:rsidR="00E52188">
        <w:rPr>
          <w:rFonts w:ascii="Bookman Old Style" w:hAnsi="Bookman Old Style" w:cs="CenturyGothic"/>
          <w:lang w:val="es-CO" w:eastAsia="es-CO"/>
        </w:rPr>
        <w:t>”</w:t>
      </w:r>
    </w:p>
    <w:p w14:paraId="18BB9B92" w14:textId="0868FB69" w:rsidR="00DC0BD3" w:rsidRDefault="00DC0BD3" w:rsidP="00A56805">
      <w:pPr>
        <w:autoSpaceDE w:val="0"/>
        <w:autoSpaceDN w:val="0"/>
        <w:adjustRightInd w:val="0"/>
        <w:ind w:left="0"/>
        <w:jc w:val="both"/>
        <w:rPr>
          <w:rFonts w:ascii="Bookman Old Style" w:hAnsi="Bookman Old Style" w:cs="CenturyGothic"/>
          <w:color w:val="000000"/>
          <w:lang w:val="es-CO" w:eastAsia="es-CO"/>
        </w:rPr>
      </w:pPr>
    </w:p>
    <w:p w14:paraId="3E81921C" w14:textId="77777777" w:rsidR="00F52471" w:rsidRPr="00A56805" w:rsidRDefault="00F52471" w:rsidP="00A56805">
      <w:pPr>
        <w:autoSpaceDE w:val="0"/>
        <w:autoSpaceDN w:val="0"/>
        <w:adjustRightInd w:val="0"/>
        <w:ind w:left="0"/>
        <w:jc w:val="both"/>
        <w:rPr>
          <w:rFonts w:ascii="Bookman Old Style" w:hAnsi="Bookman Old Style" w:cs="CenturyGothic"/>
          <w:color w:val="000000"/>
          <w:lang w:val="es-CO" w:eastAsia="es-CO"/>
        </w:rPr>
      </w:pPr>
    </w:p>
    <w:p w14:paraId="51A1A9CF" w14:textId="1175FC48" w:rsidR="0085405D" w:rsidRPr="003C41EB" w:rsidRDefault="00EE1E41" w:rsidP="00BB62BF">
      <w:pPr>
        <w:ind w:left="0"/>
        <w:jc w:val="center"/>
        <w:rPr>
          <w:rFonts w:ascii="Bookman Old Style" w:hAnsi="Bookman Old Style" w:cs="CenturyGothic"/>
          <w:b/>
          <w:bCs/>
          <w:lang w:val="es-CO" w:eastAsia="es-CO"/>
        </w:rPr>
      </w:pPr>
      <w:r w:rsidRPr="003C41EB">
        <w:rPr>
          <w:rFonts w:ascii="Bookman Old Style" w:hAnsi="Bookman Old Style"/>
          <w:b/>
          <w:bCs/>
          <w:lang w:val="es-CO"/>
        </w:rPr>
        <w:lastRenderedPageBreak/>
        <w:t xml:space="preserve">II </w:t>
      </w:r>
      <w:r w:rsidRPr="003C41EB">
        <w:rPr>
          <w:rFonts w:ascii="Bookman Old Style" w:hAnsi="Bookman Old Style" w:cs="CenturyGothic"/>
          <w:b/>
          <w:bCs/>
          <w:lang w:val="es-CO" w:eastAsia="es-CO"/>
        </w:rPr>
        <w:t>Anál</w:t>
      </w:r>
      <w:r w:rsidR="0085405D" w:rsidRPr="003C41EB">
        <w:rPr>
          <w:rFonts w:ascii="Bookman Old Style" w:hAnsi="Bookman Old Style" w:cs="CenturyGothic"/>
          <w:b/>
          <w:bCs/>
          <w:lang w:val="es-CO" w:eastAsia="es-CO"/>
        </w:rPr>
        <w:t>isis del Recurso</w:t>
      </w:r>
    </w:p>
    <w:p w14:paraId="5DE923A0" w14:textId="77777777" w:rsidR="003C41EB" w:rsidRDefault="003C41EB" w:rsidP="003C41EB">
      <w:pPr>
        <w:ind w:left="0"/>
        <w:jc w:val="both"/>
        <w:rPr>
          <w:rFonts w:ascii="Bookman Old Style" w:hAnsi="Bookman Old Style" w:cs="CenturyGothic"/>
          <w:lang w:val="es-CO" w:eastAsia="es-CO"/>
        </w:rPr>
      </w:pPr>
    </w:p>
    <w:p w14:paraId="6D5F277B" w14:textId="054FB541" w:rsidR="0085405D" w:rsidRDefault="0085405D">
      <w:pPr>
        <w:ind w:left="0"/>
        <w:jc w:val="both"/>
        <w:rPr>
          <w:rFonts w:ascii="Bookman Old Style" w:hAnsi="Bookman Old Style" w:cs="CenturyGothic"/>
          <w:lang w:val="es-CO" w:eastAsia="es-CO"/>
        </w:rPr>
      </w:pPr>
      <w:r>
        <w:rPr>
          <w:rFonts w:ascii="Bookman Old Style" w:hAnsi="Bookman Old Style" w:cs="CenturyGothic"/>
          <w:lang w:val="es-CO" w:eastAsia="es-CO"/>
        </w:rPr>
        <w:t xml:space="preserve">En primer </w:t>
      </w:r>
      <w:r w:rsidR="00365493">
        <w:rPr>
          <w:rFonts w:ascii="Bookman Old Style" w:hAnsi="Bookman Old Style" w:cs="CenturyGothic"/>
          <w:lang w:val="es-CO" w:eastAsia="es-CO"/>
        </w:rPr>
        <w:t>término,</w:t>
      </w:r>
      <w:r>
        <w:rPr>
          <w:rFonts w:ascii="Bookman Old Style" w:hAnsi="Bookman Old Style" w:cs="CenturyGothic"/>
          <w:lang w:val="es-CO" w:eastAsia="es-CO"/>
        </w:rPr>
        <w:t xml:space="preserve"> se resalta lo dispuesto en el artículo 93 del Código de Procedimiento Administrativo y de lo Contencioso Administrativo, el cual dispo</w:t>
      </w:r>
      <w:r w:rsidR="00963256">
        <w:rPr>
          <w:rFonts w:ascii="Bookman Old Style" w:hAnsi="Bookman Old Style" w:cs="CenturyGothic"/>
          <w:lang w:val="es-CO" w:eastAsia="es-CO"/>
        </w:rPr>
        <w:t>ne:</w:t>
      </w:r>
    </w:p>
    <w:p w14:paraId="0011D6FB" w14:textId="6AF3354C" w:rsidR="00963256" w:rsidRDefault="00963256">
      <w:pPr>
        <w:ind w:left="0"/>
        <w:jc w:val="both"/>
        <w:rPr>
          <w:rFonts w:ascii="Bookman Old Style" w:hAnsi="Bookman Old Style" w:cs="CenturyGothic"/>
          <w:lang w:val="es-CO" w:eastAsia="es-CO"/>
        </w:rPr>
      </w:pPr>
    </w:p>
    <w:p w14:paraId="3F42F5C1" w14:textId="54DE5EF9" w:rsidR="007F3044" w:rsidRDefault="007F3044" w:rsidP="007F3044">
      <w:pPr>
        <w:ind w:left="0"/>
        <w:jc w:val="both"/>
        <w:rPr>
          <w:rFonts w:ascii="Bookman Old Style" w:hAnsi="Bookman Old Style" w:cs="CenturyGothic"/>
          <w:lang w:val="es-CO" w:eastAsia="es-CO"/>
        </w:rPr>
      </w:pPr>
      <w:bookmarkStart w:id="0" w:name="93"/>
      <w:r w:rsidRPr="007F3044">
        <w:rPr>
          <w:rFonts w:ascii="Bookman Old Style" w:hAnsi="Bookman Old Style" w:cs="CenturyGothic"/>
          <w:b/>
          <w:bCs/>
          <w:lang w:val="es-CO" w:eastAsia="es-CO"/>
        </w:rPr>
        <w:t>ARTÍCULO 93. CAUSALES DE REVOCACIÓN.</w:t>
      </w:r>
      <w:bookmarkEnd w:id="0"/>
      <w:r w:rsidRPr="007F3044">
        <w:rPr>
          <w:rFonts w:ascii="Bookman Old Style" w:hAnsi="Bookman Old Style" w:cs="CenturyGothic"/>
          <w:lang w:val="es-CO" w:eastAsia="es-CO"/>
        </w:rPr>
        <w:t> Los actos administrativos deberán ser revocados por las mismas autoridades que los hayan expedido o por sus inmediatos superiores jerárquicos o funcionales, de oficio o a solicitud de parte, en cualquiera de los siguientes casos:</w:t>
      </w:r>
    </w:p>
    <w:p w14:paraId="71EE6C9E" w14:textId="77777777" w:rsidR="00BF7FF3" w:rsidRPr="007F3044" w:rsidRDefault="00BF7FF3" w:rsidP="007F3044">
      <w:pPr>
        <w:ind w:left="0"/>
        <w:jc w:val="both"/>
        <w:rPr>
          <w:rFonts w:ascii="Bookman Old Style" w:hAnsi="Bookman Old Style" w:cs="CenturyGothic"/>
          <w:lang w:val="es-CO" w:eastAsia="es-CO"/>
        </w:rPr>
      </w:pPr>
    </w:p>
    <w:p w14:paraId="06DABBCB" w14:textId="77777777" w:rsidR="007F3044" w:rsidRPr="007F3044" w:rsidRDefault="007F3044" w:rsidP="007F3044">
      <w:pPr>
        <w:ind w:left="0"/>
        <w:jc w:val="both"/>
        <w:rPr>
          <w:rFonts w:ascii="Bookman Old Style" w:hAnsi="Bookman Old Style" w:cs="CenturyGothic"/>
          <w:lang w:val="es-CO" w:eastAsia="es-CO"/>
        </w:rPr>
      </w:pPr>
      <w:r w:rsidRPr="007F3044">
        <w:rPr>
          <w:rFonts w:ascii="Bookman Old Style" w:hAnsi="Bookman Old Style" w:cs="CenturyGothic"/>
          <w:lang w:val="es-CO" w:eastAsia="es-CO"/>
        </w:rPr>
        <w:t>1. Cuando sea manifiesta su oposición a la Constitución Política o a la ley.</w:t>
      </w:r>
    </w:p>
    <w:p w14:paraId="10630396" w14:textId="77777777" w:rsidR="007F3044" w:rsidRPr="007F3044" w:rsidRDefault="007F3044" w:rsidP="007F3044">
      <w:pPr>
        <w:ind w:left="0"/>
        <w:jc w:val="both"/>
        <w:rPr>
          <w:rFonts w:ascii="Bookman Old Style" w:hAnsi="Bookman Old Style" w:cs="CenturyGothic"/>
          <w:lang w:val="es-CO" w:eastAsia="es-CO"/>
        </w:rPr>
      </w:pPr>
      <w:r w:rsidRPr="007F3044">
        <w:rPr>
          <w:rFonts w:ascii="Bookman Old Style" w:hAnsi="Bookman Old Style" w:cs="CenturyGothic"/>
          <w:lang w:val="es-CO" w:eastAsia="es-CO"/>
        </w:rPr>
        <w:t>2. Cuando no estén conformes con el interés público o social, o atenten contra él.</w:t>
      </w:r>
    </w:p>
    <w:p w14:paraId="418D44BE" w14:textId="784A56E8" w:rsidR="007F3044" w:rsidRDefault="007F3044" w:rsidP="007F3044">
      <w:pPr>
        <w:ind w:left="0"/>
        <w:jc w:val="both"/>
        <w:rPr>
          <w:rFonts w:ascii="Bookman Old Style" w:hAnsi="Bookman Old Style" w:cs="CenturyGothic"/>
          <w:lang w:val="es-CO" w:eastAsia="es-CO"/>
        </w:rPr>
      </w:pPr>
      <w:r w:rsidRPr="007F3044">
        <w:rPr>
          <w:rFonts w:ascii="Bookman Old Style" w:hAnsi="Bookman Old Style" w:cs="CenturyGothic"/>
          <w:lang w:val="es-CO" w:eastAsia="es-CO"/>
        </w:rPr>
        <w:t>3. Cuando con ellos se cause agravio injustificado a una persona.</w:t>
      </w:r>
    </w:p>
    <w:p w14:paraId="56F4FFDC" w14:textId="6C354A4D" w:rsidR="007F3044" w:rsidRDefault="007F3044" w:rsidP="007F3044">
      <w:pPr>
        <w:ind w:left="0"/>
        <w:jc w:val="both"/>
        <w:rPr>
          <w:rFonts w:ascii="Bookman Old Style" w:hAnsi="Bookman Old Style" w:cs="CenturyGothic"/>
          <w:lang w:val="es-CO" w:eastAsia="es-CO"/>
        </w:rPr>
      </w:pPr>
    </w:p>
    <w:p w14:paraId="5370661B" w14:textId="4BE34739" w:rsidR="007F3044" w:rsidRDefault="007F3044" w:rsidP="007F3044">
      <w:pPr>
        <w:ind w:left="0"/>
        <w:jc w:val="both"/>
        <w:rPr>
          <w:rFonts w:ascii="Bookman Old Style" w:hAnsi="Bookman Old Style" w:cs="CenturyGothic"/>
          <w:lang w:val="es-CO" w:eastAsia="es-CO"/>
        </w:rPr>
      </w:pPr>
      <w:r>
        <w:rPr>
          <w:rFonts w:ascii="Bookman Old Style" w:hAnsi="Bookman Old Style" w:cs="CenturyGothic"/>
          <w:lang w:val="es-CO" w:eastAsia="es-CO"/>
        </w:rPr>
        <w:t xml:space="preserve">En este orden de </w:t>
      </w:r>
      <w:r w:rsidR="00C357B8">
        <w:rPr>
          <w:rFonts w:ascii="Bookman Old Style" w:hAnsi="Bookman Old Style" w:cs="CenturyGothic"/>
          <w:lang w:val="es-CO" w:eastAsia="es-CO"/>
        </w:rPr>
        <w:t>ideas</w:t>
      </w:r>
      <w:r>
        <w:rPr>
          <w:rFonts w:ascii="Bookman Old Style" w:hAnsi="Bookman Old Style" w:cs="CenturyGothic"/>
          <w:lang w:val="es-CO" w:eastAsia="es-CO"/>
        </w:rPr>
        <w:t>,</w:t>
      </w:r>
      <w:r w:rsidR="00C9033C">
        <w:rPr>
          <w:rFonts w:ascii="Bookman Old Style" w:hAnsi="Bookman Old Style" w:cs="CenturyGothic"/>
          <w:lang w:val="es-CO" w:eastAsia="es-CO"/>
        </w:rPr>
        <w:t xml:space="preserve"> solo</w:t>
      </w:r>
      <w:r>
        <w:rPr>
          <w:rFonts w:ascii="Bookman Old Style" w:hAnsi="Bookman Old Style" w:cs="CenturyGothic"/>
          <w:lang w:val="es-CO" w:eastAsia="es-CO"/>
        </w:rPr>
        <w:t xml:space="preserve"> se </w:t>
      </w:r>
      <w:r w:rsidR="00D8659E">
        <w:rPr>
          <w:rFonts w:ascii="Bookman Old Style" w:hAnsi="Bookman Old Style" w:cs="CenturyGothic"/>
          <w:lang w:val="es-CO" w:eastAsia="es-CO"/>
        </w:rPr>
        <w:t>entrará</w:t>
      </w:r>
      <w:r>
        <w:rPr>
          <w:rFonts w:ascii="Bookman Old Style" w:hAnsi="Bookman Old Style" w:cs="CenturyGothic"/>
          <w:lang w:val="es-CO" w:eastAsia="es-CO"/>
        </w:rPr>
        <w:t xml:space="preserve"> </w:t>
      </w:r>
      <w:r w:rsidR="00384C6B">
        <w:rPr>
          <w:rFonts w:ascii="Bookman Old Style" w:hAnsi="Bookman Old Style" w:cs="CenturyGothic"/>
          <w:lang w:val="es-CO" w:eastAsia="es-CO"/>
        </w:rPr>
        <w:t xml:space="preserve">a </w:t>
      </w:r>
      <w:r>
        <w:rPr>
          <w:rFonts w:ascii="Bookman Old Style" w:hAnsi="Bookman Old Style" w:cs="CenturyGothic"/>
          <w:lang w:val="es-CO" w:eastAsia="es-CO"/>
        </w:rPr>
        <w:t>resolver</w:t>
      </w:r>
      <w:r w:rsidR="00BF7FF3">
        <w:rPr>
          <w:rFonts w:ascii="Bookman Old Style" w:hAnsi="Bookman Old Style" w:cs="CenturyGothic"/>
          <w:lang w:val="es-CO" w:eastAsia="es-CO"/>
        </w:rPr>
        <w:t xml:space="preserve"> los argumentos presentados por el </w:t>
      </w:r>
      <w:r w:rsidR="00231906">
        <w:rPr>
          <w:rFonts w:ascii="Bookman Old Style" w:hAnsi="Bookman Old Style" w:cs="CenturyGothic"/>
          <w:lang w:val="es-CO" w:eastAsia="es-CO"/>
        </w:rPr>
        <w:t>representante legal de TEBSA</w:t>
      </w:r>
      <w:r w:rsidR="00C9033C">
        <w:rPr>
          <w:rFonts w:ascii="Bookman Old Style" w:hAnsi="Bookman Old Style" w:cs="CenturyGothic"/>
          <w:lang w:val="es-CO" w:eastAsia="es-CO"/>
        </w:rPr>
        <w:t xml:space="preserve"> que se encuentren clasificados dentro de los casos dispuestos por el Código de Procedimiento Administrativo y de lo Contencioso Administrativo</w:t>
      </w:r>
      <w:r w:rsidR="00B81C8E">
        <w:rPr>
          <w:rFonts w:ascii="Bookman Old Style" w:hAnsi="Bookman Old Style" w:cs="CenturyGothic"/>
          <w:lang w:val="es-CO" w:eastAsia="es-CO"/>
        </w:rPr>
        <w:t>.</w:t>
      </w:r>
    </w:p>
    <w:p w14:paraId="459AE004" w14:textId="388FF01D" w:rsidR="00BF1236" w:rsidRDefault="00BF1236" w:rsidP="007F3044">
      <w:pPr>
        <w:ind w:left="0"/>
        <w:jc w:val="both"/>
        <w:rPr>
          <w:rFonts w:ascii="Bookman Old Style" w:hAnsi="Bookman Old Style" w:cs="CenturyGothic"/>
          <w:lang w:val="es-CO" w:eastAsia="es-CO"/>
        </w:rPr>
      </w:pPr>
    </w:p>
    <w:p w14:paraId="10359FF6" w14:textId="77777777" w:rsidR="00BF1236" w:rsidRPr="00BF1236" w:rsidRDefault="00BF1236" w:rsidP="005F3C54">
      <w:pPr>
        <w:ind w:left="0"/>
        <w:jc w:val="both"/>
        <w:rPr>
          <w:rFonts w:ascii="Bookman Old Style" w:hAnsi="Bookman Old Style" w:cs="CenturyGothic"/>
          <w:lang w:eastAsia="es-CO"/>
        </w:rPr>
      </w:pPr>
      <w:r w:rsidRPr="00BF1236">
        <w:rPr>
          <w:rFonts w:ascii="Bookman Old Style" w:hAnsi="Bookman Old Style" w:cs="CenturyGothic"/>
          <w:lang w:eastAsia="es-CO"/>
        </w:rPr>
        <w:t xml:space="preserve">La jurisprudencia del Honorable Consejo de Estado ha definido la institución de la revocatoria directa como una de las modalidades de desaparición de los actos administrativos, mediante la cual la administración decide de oficio, o a petición de parte, retirar del ordenamiento jurídico un acto administrativo anterior. </w:t>
      </w:r>
    </w:p>
    <w:p w14:paraId="1455B8A1" w14:textId="77777777" w:rsidR="00064336" w:rsidRDefault="00064336" w:rsidP="00064336">
      <w:pPr>
        <w:ind w:left="0"/>
        <w:rPr>
          <w:rFonts w:ascii="Bookman Old Style" w:hAnsi="Bookman Old Style" w:cs="CenturyGothic"/>
          <w:lang w:eastAsia="es-CO"/>
        </w:rPr>
      </w:pPr>
    </w:p>
    <w:p w14:paraId="74466825" w14:textId="6B5A737A" w:rsidR="00BF1236" w:rsidRPr="00BF1236" w:rsidRDefault="00BF1236" w:rsidP="005F3C54">
      <w:pPr>
        <w:ind w:left="0"/>
        <w:jc w:val="both"/>
        <w:rPr>
          <w:rFonts w:ascii="Bookman Old Style" w:hAnsi="Bookman Old Style" w:cs="CenturyGothic"/>
          <w:lang w:eastAsia="es-CO"/>
        </w:rPr>
      </w:pPr>
      <w:r w:rsidRPr="00BF1236">
        <w:rPr>
          <w:rFonts w:ascii="Bookman Old Style" w:hAnsi="Bookman Old Style" w:cs="CenturyGothic"/>
          <w:lang w:eastAsia="es-CO"/>
        </w:rPr>
        <w:t xml:space="preserve">Dentro del ámbito del Derecho Administrativo representa una de las formas de autotutela, en la medida en que proviene de la misma administración, como consecuencia del </w:t>
      </w:r>
      <w:r w:rsidR="00026A6B" w:rsidRPr="00BF1236">
        <w:rPr>
          <w:rFonts w:ascii="Bookman Old Style" w:hAnsi="Bookman Old Style" w:cs="CenturyGothic"/>
          <w:lang w:eastAsia="es-CO"/>
        </w:rPr>
        <w:t>ex</w:t>
      </w:r>
      <w:r w:rsidR="00026A6B">
        <w:rPr>
          <w:rFonts w:ascii="Bookman Old Style" w:hAnsi="Bookman Old Style" w:cs="CenturyGothic"/>
          <w:lang w:eastAsia="es-CO"/>
        </w:rPr>
        <w:t>a</w:t>
      </w:r>
      <w:r w:rsidR="00026A6B" w:rsidRPr="00BF1236">
        <w:rPr>
          <w:rFonts w:ascii="Bookman Old Style" w:hAnsi="Bookman Old Style" w:cs="CenturyGothic"/>
          <w:lang w:eastAsia="es-CO"/>
        </w:rPr>
        <w:t>men</w:t>
      </w:r>
      <w:r w:rsidRPr="00BF1236">
        <w:rPr>
          <w:rFonts w:ascii="Bookman Old Style" w:hAnsi="Bookman Old Style" w:cs="CenturyGothic"/>
          <w:lang w:eastAsia="es-CO"/>
        </w:rPr>
        <w:t xml:space="preserve"> de sus propias decisiones, en sede administrativa. </w:t>
      </w:r>
    </w:p>
    <w:p w14:paraId="2808F4E2" w14:textId="77777777" w:rsidR="007215BF" w:rsidRDefault="007215BF" w:rsidP="004C1E04">
      <w:pPr>
        <w:ind w:left="0"/>
        <w:jc w:val="both"/>
        <w:rPr>
          <w:rFonts w:ascii="Bookman Old Style" w:hAnsi="Bookman Old Style" w:cs="CenturyGothic"/>
          <w:lang w:eastAsia="es-CO"/>
        </w:rPr>
      </w:pPr>
    </w:p>
    <w:p w14:paraId="4C165418" w14:textId="6C418144" w:rsidR="00BF1236" w:rsidRPr="00BF1236" w:rsidRDefault="00BF1236" w:rsidP="005F3C54">
      <w:pPr>
        <w:ind w:left="0"/>
        <w:jc w:val="both"/>
        <w:rPr>
          <w:rFonts w:ascii="Bookman Old Style" w:hAnsi="Bookman Old Style" w:cs="CenturyGothic"/>
          <w:lang w:eastAsia="es-CO"/>
        </w:rPr>
      </w:pPr>
      <w:r w:rsidRPr="00BF1236">
        <w:rPr>
          <w:rFonts w:ascii="Bookman Old Style" w:hAnsi="Bookman Old Style" w:cs="CenturyGothic"/>
          <w:lang w:eastAsia="es-CO"/>
        </w:rPr>
        <w:t xml:space="preserve">Sin embargo, no es posible concebir tal institución jurídica sin un marco legal determinante de los motivos que dan lugar a la aplicación de la figura, pues lo contrario conllevaría a una inseguridad jurídica e inestabilidad del ordenamiento. </w:t>
      </w:r>
    </w:p>
    <w:p w14:paraId="04FB61EE" w14:textId="43590A3C" w:rsidR="00BF1236" w:rsidRDefault="00BF1236" w:rsidP="007F3044">
      <w:pPr>
        <w:ind w:left="0"/>
        <w:jc w:val="both"/>
        <w:rPr>
          <w:rFonts w:ascii="Bookman Old Style" w:hAnsi="Bookman Old Style" w:cs="CenturyGothic"/>
          <w:lang w:eastAsia="es-CO"/>
        </w:rPr>
      </w:pPr>
    </w:p>
    <w:p w14:paraId="2C7DC2CB" w14:textId="77777777" w:rsidR="006F4A5D" w:rsidRDefault="006F4A5D" w:rsidP="006F4A5D">
      <w:pPr>
        <w:ind w:left="0"/>
        <w:jc w:val="both"/>
        <w:rPr>
          <w:rFonts w:ascii="Bookman Old Style" w:hAnsi="Bookman Old Style" w:cs="Arial"/>
        </w:rPr>
      </w:pPr>
      <w:r>
        <w:rPr>
          <w:rFonts w:ascii="Bookman Old Style" w:hAnsi="Bookman Old Style" w:cs="Arial"/>
        </w:rPr>
        <w:t>En tal contexto,</w:t>
      </w:r>
      <w:r w:rsidRPr="00FE0ED5">
        <w:rPr>
          <w:rFonts w:ascii="Bookman Old Style" w:hAnsi="Bookman Old Style" w:cs="Arial"/>
        </w:rPr>
        <w:t xml:space="preserve"> </w:t>
      </w:r>
      <w:r>
        <w:rPr>
          <w:rFonts w:ascii="Bookman Old Style" w:hAnsi="Bookman Old Style" w:cs="Arial"/>
        </w:rPr>
        <w:t>a partir de la naturaleza del acto administrativo, es decir,</w:t>
      </w:r>
      <w:r w:rsidRPr="00FE0ED5">
        <w:rPr>
          <w:rFonts w:ascii="Bookman Old Style" w:hAnsi="Bookman Old Style" w:cs="Arial"/>
        </w:rPr>
        <w:t xml:space="preserve"> un acto de carácter general y abstracto frente al cual no procede recurso alguno, cualquier persona </w:t>
      </w:r>
      <w:r>
        <w:rPr>
          <w:rFonts w:ascii="Bookman Old Style" w:hAnsi="Bookman Old Style" w:cs="Arial"/>
        </w:rPr>
        <w:t xml:space="preserve">se encuentra </w:t>
      </w:r>
      <w:r w:rsidRPr="00FE0ED5">
        <w:rPr>
          <w:rFonts w:ascii="Bookman Old Style" w:hAnsi="Bookman Old Style" w:cs="Arial"/>
        </w:rPr>
        <w:t xml:space="preserve">habilitada para solicitar su revocatoria </w:t>
      </w:r>
      <w:r>
        <w:rPr>
          <w:rFonts w:ascii="Bookman Old Style" w:hAnsi="Bookman Old Style" w:cs="Arial"/>
        </w:rPr>
        <w:t xml:space="preserve">cuando </w:t>
      </w:r>
      <w:r w:rsidRPr="00FE0ED5">
        <w:rPr>
          <w:rFonts w:ascii="Bookman Old Style" w:hAnsi="Bookman Old Style" w:cs="Arial"/>
        </w:rPr>
        <w:t>consider</w:t>
      </w:r>
      <w:r>
        <w:rPr>
          <w:rFonts w:ascii="Bookman Old Style" w:hAnsi="Bookman Old Style" w:cs="Arial"/>
        </w:rPr>
        <w:t>e</w:t>
      </w:r>
      <w:r w:rsidRPr="00FE0ED5">
        <w:rPr>
          <w:rFonts w:ascii="Bookman Old Style" w:hAnsi="Bookman Old Style" w:cs="Arial"/>
        </w:rPr>
        <w:t xml:space="preserve"> que se presenta alguna de las causales establecidas en el mencionado artículo 93 del CPACA</w:t>
      </w:r>
      <w:r>
        <w:rPr>
          <w:rFonts w:ascii="Bookman Old Style" w:hAnsi="Bookman Old Style" w:cs="Arial"/>
        </w:rPr>
        <w:t xml:space="preserve">, por lo cual la petición </w:t>
      </w:r>
      <w:r w:rsidRPr="00FE0ED5">
        <w:rPr>
          <w:rFonts w:ascii="Bookman Old Style" w:hAnsi="Bookman Old Style" w:cs="Arial"/>
        </w:rPr>
        <w:t>presentada es procedente.</w:t>
      </w:r>
    </w:p>
    <w:p w14:paraId="49EA670E" w14:textId="7DAD5BE1" w:rsidR="006F4A5D" w:rsidRDefault="006F4A5D" w:rsidP="007F3044">
      <w:pPr>
        <w:ind w:left="0"/>
        <w:jc w:val="both"/>
        <w:rPr>
          <w:rFonts w:ascii="Bookman Old Style" w:hAnsi="Bookman Old Style" w:cs="CenturyGothic"/>
          <w:lang w:eastAsia="es-CO"/>
        </w:rPr>
      </w:pPr>
    </w:p>
    <w:p w14:paraId="7EAAD027" w14:textId="64484103" w:rsidR="004A2E8C" w:rsidRDefault="004A2E8C" w:rsidP="007F3044">
      <w:pPr>
        <w:ind w:left="0"/>
        <w:jc w:val="both"/>
        <w:rPr>
          <w:rFonts w:ascii="Bookman Old Style" w:hAnsi="Bookman Old Style" w:cs="CenturyGothic"/>
          <w:lang w:eastAsia="es-CO"/>
        </w:rPr>
      </w:pPr>
      <w:r>
        <w:rPr>
          <w:rFonts w:ascii="Bookman Old Style" w:hAnsi="Bookman Old Style" w:cs="CenturyGothic"/>
          <w:lang w:eastAsia="es-CO"/>
        </w:rPr>
        <w:t>En este sentido y</w:t>
      </w:r>
      <w:r w:rsidR="00D73BBD">
        <w:rPr>
          <w:rFonts w:ascii="Bookman Old Style" w:hAnsi="Bookman Old Style" w:cs="CenturyGothic"/>
          <w:lang w:eastAsia="es-CO"/>
        </w:rPr>
        <w:t>,</w:t>
      </w:r>
      <w:r>
        <w:rPr>
          <w:rFonts w:ascii="Bookman Old Style" w:hAnsi="Bookman Old Style" w:cs="CenturyGothic"/>
          <w:lang w:eastAsia="es-CO"/>
        </w:rPr>
        <w:t xml:space="preserve"> previa estas consideraciones</w:t>
      </w:r>
      <w:r w:rsidR="00D73BBD">
        <w:rPr>
          <w:rFonts w:ascii="Bookman Old Style" w:hAnsi="Bookman Old Style" w:cs="CenturyGothic"/>
          <w:lang w:eastAsia="es-CO"/>
        </w:rPr>
        <w:t>,</w:t>
      </w:r>
      <w:r w:rsidR="009928F4">
        <w:rPr>
          <w:rFonts w:ascii="Bookman Old Style" w:hAnsi="Bookman Old Style" w:cs="CenturyGothic"/>
          <w:lang w:eastAsia="es-CO"/>
        </w:rPr>
        <w:t xml:space="preserve"> se procederá a resolver la revocatoria directa.</w:t>
      </w:r>
    </w:p>
    <w:p w14:paraId="3CCA2FD4" w14:textId="77777777" w:rsidR="00093E8B" w:rsidRDefault="00093E8B" w:rsidP="007F3044">
      <w:pPr>
        <w:ind w:left="0"/>
        <w:jc w:val="both"/>
        <w:rPr>
          <w:rFonts w:ascii="Bookman Old Style" w:hAnsi="Bookman Old Style" w:cs="CenturyGothic"/>
          <w:lang w:eastAsia="es-CO"/>
        </w:rPr>
      </w:pPr>
    </w:p>
    <w:p w14:paraId="1032A238" w14:textId="4EA9464C" w:rsidR="00093E8B" w:rsidRPr="0048016B" w:rsidRDefault="00093E8B" w:rsidP="005A6DFF">
      <w:pPr>
        <w:ind w:left="0"/>
        <w:jc w:val="center"/>
        <w:rPr>
          <w:rFonts w:ascii="Bookman Old Style" w:hAnsi="Bookman Old Style" w:cs="CenturyGothic"/>
          <w:b/>
          <w:bCs/>
          <w:lang w:eastAsia="es-CO"/>
        </w:rPr>
      </w:pPr>
      <w:r w:rsidRPr="0048016B">
        <w:rPr>
          <w:rFonts w:ascii="Bookman Old Style" w:hAnsi="Bookman Old Style" w:cs="CenturyGothic"/>
          <w:b/>
          <w:bCs/>
          <w:lang w:eastAsia="es-CO"/>
        </w:rPr>
        <w:t>CONSIDERACIONES GENERAL</w:t>
      </w:r>
      <w:r w:rsidR="00791AC2" w:rsidRPr="0048016B">
        <w:rPr>
          <w:rFonts w:ascii="Bookman Old Style" w:hAnsi="Bookman Old Style" w:cs="CenturyGothic"/>
          <w:b/>
          <w:bCs/>
          <w:lang w:eastAsia="es-CO"/>
        </w:rPr>
        <w:t>ES</w:t>
      </w:r>
    </w:p>
    <w:p w14:paraId="2BBF83B3" w14:textId="77777777" w:rsidR="00791AC2" w:rsidRDefault="00791AC2" w:rsidP="007F3044">
      <w:pPr>
        <w:ind w:left="0"/>
        <w:jc w:val="both"/>
        <w:rPr>
          <w:rFonts w:ascii="Bookman Old Style" w:hAnsi="Bookman Old Style" w:cs="CenturyGothic"/>
          <w:lang w:eastAsia="es-CO"/>
        </w:rPr>
      </w:pPr>
    </w:p>
    <w:p w14:paraId="02B2E5FD" w14:textId="693040C7" w:rsidR="00791AC2" w:rsidRDefault="00791AC2" w:rsidP="007F3044">
      <w:pPr>
        <w:ind w:left="0"/>
        <w:jc w:val="both"/>
        <w:rPr>
          <w:rFonts w:ascii="Bookman Old Style" w:hAnsi="Bookman Old Style" w:cs="CenturyGothic"/>
          <w:lang w:eastAsia="es-CO"/>
        </w:rPr>
      </w:pPr>
      <w:r>
        <w:rPr>
          <w:rFonts w:ascii="Bookman Old Style" w:hAnsi="Bookman Old Style" w:cs="CenturyGothic"/>
          <w:lang w:eastAsia="es-CO"/>
        </w:rPr>
        <w:t>En primer lugar</w:t>
      </w:r>
      <w:r w:rsidR="00D73BBD">
        <w:rPr>
          <w:rFonts w:ascii="Bookman Old Style" w:hAnsi="Bookman Old Style" w:cs="CenturyGothic"/>
          <w:lang w:eastAsia="es-CO"/>
        </w:rPr>
        <w:t>,</w:t>
      </w:r>
      <w:r>
        <w:rPr>
          <w:rFonts w:ascii="Bookman Old Style" w:hAnsi="Bookman Old Style" w:cs="CenturyGothic"/>
          <w:lang w:eastAsia="es-CO"/>
        </w:rPr>
        <w:t xml:space="preserve"> la Comisión realiza unas consideraciones generales del entendimiento regulatori</w:t>
      </w:r>
      <w:r w:rsidR="00CA3A59">
        <w:rPr>
          <w:rFonts w:ascii="Bookman Old Style" w:hAnsi="Bookman Old Style" w:cs="CenturyGothic"/>
          <w:lang w:eastAsia="es-CO"/>
        </w:rPr>
        <w:t>o</w:t>
      </w:r>
      <w:r>
        <w:rPr>
          <w:rFonts w:ascii="Bookman Old Style" w:hAnsi="Bookman Old Style" w:cs="CenturyGothic"/>
          <w:lang w:eastAsia="es-CO"/>
        </w:rPr>
        <w:t xml:space="preserve"> sobre restricciones y</w:t>
      </w:r>
      <w:r w:rsidR="003A47F7">
        <w:rPr>
          <w:rFonts w:ascii="Bookman Old Style" w:hAnsi="Bookman Old Style" w:cs="CenturyGothic"/>
          <w:lang w:eastAsia="es-CO"/>
        </w:rPr>
        <w:t xml:space="preserve"> configuraciones.</w:t>
      </w:r>
    </w:p>
    <w:p w14:paraId="2AA97D9E" w14:textId="77777777" w:rsidR="003A47F7" w:rsidRDefault="003A47F7" w:rsidP="007F3044">
      <w:pPr>
        <w:ind w:left="0"/>
        <w:jc w:val="both"/>
        <w:rPr>
          <w:rFonts w:ascii="Bookman Old Style" w:hAnsi="Bookman Old Style" w:cs="CenturyGothic"/>
          <w:lang w:eastAsia="es-CO"/>
        </w:rPr>
      </w:pPr>
    </w:p>
    <w:p w14:paraId="3ACBA4B8" w14:textId="77777777" w:rsidR="00FD01CD" w:rsidRPr="0048016B" w:rsidRDefault="00FD01CD" w:rsidP="00FD01CD">
      <w:pPr>
        <w:pStyle w:val="Ttulo1"/>
        <w:numPr>
          <w:ilvl w:val="0"/>
          <w:numId w:val="38"/>
        </w:numPr>
        <w:ind w:left="720"/>
        <w:rPr>
          <w:rFonts w:ascii="Bookman Old Style" w:hAnsi="Bookman Old Style" w:cs="Arial"/>
        </w:rPr>
      </w:pPr>
      <w:r w:rsidRPr="0048016B">
        <w:rPr>
          <w:rFonts w:ascii="Bookman Old Style" w:hAnsi="Bookman Old Style" w:cs="Arial"/>
        </w:rPr>
        <w:lastRenderedPageBreak/>
        <w:t>Mercado de Energía Mayorista (MEM)</w:t>
      </w:r>
    </w:p>
    <w:p w14:paraId="317AF1EC" w14:textId="77777777" w:rsidR="00FD01CD" w:rsidRPr="0048016B" w:rsidRDefault="00FD01CD" w:rsidP="00FD01CD">
      <w:pPr>
        <w:jc w:val="both"/>
        <w:rPr>
          <w:rFonts w:ascii="Bookman Old Style" w:hAnsi="Bookman Old Style" w:cs="Arial"/>
        </w:rPr>
      </w:pPr>
    </w:p>
    <w:p w14:paraId="549FC4B9"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En Colombia el Mercado de Energía Mayorista es el mercado de grandes bloques de energía, en donde participan los compradores (generalmente comercializadores) y los vendedores (generalmente generadores). De acuerdo con las Resoluciones CREG 024 y 025 de 1995, y CREG 071 de 2006, los generadores derivan sus ingresos de la participación en el mercado, en los diferentes escenarios de transacción, y prestando servicios adicionales para los cuales la regulación ha definido esquemas, de mercado o administrados, para su remuneración. Los conceptos que se liquidan en el mercado, y de los cuales derivan su ingreso los generadores son: </w:t>
      </w:r>
    </w:p>
    <w:p w14:paraId="104ACCD2" w14:textId="77777777" w:rsidR="00FD01CD" w:rsidRPr="0048016B" w:rsidRDefault="00FD01CD" w:rsidP="00FD01CD">
      <w:pPr>
        <w:spacing w:line="276" w:lineRule="auto"/>
        <w:jc w:val="both"/>
        <w:rPr>
          <w:rFonts w:ascii="Bookman Old Style" w:hAnsi="Bookman Old Style" w:cs="Arial"/>
        </w:rPr>
      </w:pPr>
    </w:p>
    <w:p w14:paraId="20A03F13" w14:textId="77777777" w:rsidR="00FD01CD" w:rsidRPr="0048016B" w:rsidRDefault="00FD01CD" w:rsidP="00FD01CD">
      <w:pPr>
        <w:pStyle w:val="Prrafodelista"/>
        <w:numPr>
          <w:ilvl w:val="0"/>
          <w:numId w:val="37"/>
        </w:numPr>
        <w:spacing w:line="276" w:lineRule="auto"/>
        <w:contextualSpacing/>
        <w:jc w:val="both"/>
        <w:rPr>
          <w:rFonts w:ascii="Bookman Old Style" w:hAnsi="Bookman Old Style" w:cs="Arial"/>
          <w:sz w:val="24"/>
          <w:szCs w:val="24"/>
        </w:rPr>
      </w:pPr>
      <w:r w:rsidRPr="0048016B">
        <w:rPr>
          <w:rFonts w:ascii="Bookman Old Style" w:hAnsi="Bookman Old Style" w:cs="Arial"/>
          <w:b/>
          <w:bCs/>
          <w:sz w:val="24"/>
          <w:szCs w:val="24"/>
        </w:rPr>
        <w:t>Esquemas de mercado</w:t>
      </w:r>
      <w:r w:rsidRPr="0048016B">
        <w:rPr>
          <w:rFonts w:ascii="Bookman Old Style" w:hAnsi="Bookman Old Style" w:cs="Arial"/>
          <w:sz w:val="24"/>
          <w:szCs w:val="24"/>
        </w:rPr>
        <w:t>: compra y venta de energía en contratos de largo plazo, o en la Bolsa de Energía.</w:t>
      </w:r>
    </w:p>
    <w:p w14:paraId="3EA08AE1" w14:textId="77777777" w:rsidR="00FD01CD" w:rsidRPr="0048016B" w:rsidRDefault="00FD01CD" w:rsidP="00FD01CD">
      <w:pPr>
        <w:pStyle w:val="Prrafodelista"/>
        <w:numPr>
          <w:ilvl w:val="0"/>
          <w:numId w:val="37"/>
        </w:numPr>
        <w:spacing w:line="276" w:lineRule="auto"/>
        <w:contextualSpacing/>
        <w:jc w:val="both"/>
        <w:rPr>
          <w:rFonts w:ascii="Bookman Old Style" w:hAnsi="Bookman Old Style" w:cs="Arial"/>
          <w:sz w:val="24"/>
          <w:szCs w:val="24"/>
        </w:rPr>
      </w:pPr>
      <w:r w:rsidRPr="0048016B">
        <w:rPr>
          <w:rFonts w:ascii="Bookman Old Style" w:hAnsi="Bookman Old Style" w:cs="Arial"/>
          <w:b/>
          <w:bCs/>
          <w:sz w:val="24"/>
          <w:szCs w:val="24"/>
        </w:rPr>
        <w:t>Remuneración por confiabilidad</w:t>
      </w:r>
      <w:r w:rsidRPr="0048016B">
        <w:rPr>
          <w:rFonts w:ascii="Bookman Old Style" w:hAnsi="Bookman Old Style" w:cs="Arial"/>
          <w:sz w:val="24"/>
          <w:szCs w:val="24"/>
        </w:rPr>
        <w:t>: participan en las subastas o los esquemas de asignación administrados del Cargo por Confiabilidad, y reciben una remuneración en función de las obligaciones de energía firme que adquieren.</w:t>
      </w:r>
    </w:p>
    <w:p w14:paraId="2FFC9E73" w14:textId="77777777" w:rsidR="00FD01CD" w:rsidRPr="0048016B" w:rsidRDefault="00FD01CD" w:rsidP="00FD01CD">
      <w:pPr>
        <w:pStyle w:val="Prrafodelista"/>
        <w:numPr>
          <w:ilvl w:val="0"/>
          <w:numId w:val="37"/>
        </w:numPr>
        <w:spacing w:line="276" w:lineRule="auto"/>
        <w:contextualSpacing/>
        <w:jc w:val="both"/>
        <w:rPr>
          <w:rFonts w:ascii="Bookman Old Style" w:hAnsi="Bookman Old Style" w:cs="Arial"/>
          <w:sz w:val="24"/>
          <w:szCs w:val="24"/>
        </w:rPr>
      </w:pPr>
      <w:r w:rsidRPr="0048016B">
        <w:rPr>
          <w:rFonts w:ascii="Bookman Old Style" w:hAnsi="Bookman Old Style" w:cs="Arial"/>
          <w:b/>
          <w:bCs/>
          <w:sz w:val="24"/>
          <w:szCs w:val="24"/>
        </w:rPr>
        <w:t>Generación de seguridad fuera de mérito</w:t>
      </w:r>
      <w:r w:rsidRPr="0048016B">
        <w:rPr>
          <w:rFonts w:ascii="Bookman Old Style" w:hAnsi="Bookman Old Style" w:cs="Arial"/>
          <w:sz w:val="24"/>
          <w:szCs w:val="24"/>
        </w:rPr>
        <w:t>: si como consecuencia de su participación en el mercado de la Bolsa de Energía, las plantas no salen despachadas, por no tener precio competitivo en una o varias horas del día, el Operador del Sistema los puede programar, para cubrir la generación de seguridad requerida para la atención de la demanda, dado que no es posible transportar la energía desde plantas competitivas por limitaciones eléctricas y operativas de la red.</w:t>
      </w:r>
    </w:p>
    <w:p w14:paraId="09576AE9" w14:textId="77777777" w:rsidR="00FD01CD" w:rsidRPr="0048016B" w:rsidRDefault="00FD01CD" w:rsidP="00FD01CD">
      <w:pPr>
        <w:spacing w:line="276" w:lineRule="auto"/>
        <w:jc w:val="both"/>
        <w:rPr>
          <w:rFonts w:ascii="Bookman Old Style" w:hAnsi="Bookman Old Style" w:cs="Arial"/>
        </w:rPr>
      </w:pPr>
    </w:p>
    <w:p w14:paraId="03540451" w14:textId="77777777" w:rsidR="00FD01CD" w:rsidRPr="008A527F" w:rsidRDefault="00FD01CD" w:rsidP="0048016B">
      <w:pPr>
        <w:ind w:left="0"/>
        <w:jc w:val="both"/>
        <w:rPr>
          <w:rFonts w:ascii="Bookman Old Style" w:hAnsi="Bookman Old Style" w:cs="Arial"/>
          <w:b/>
          <w:bCs/>
        </w:rPr>
      </w:pPr>
      <w:r w:rsidRPr="008A527F">
        <w:rPr>
          <w:rFonts w:ascii="Bookman Old Style" w:hAnsi="Bookman Old Style" w:cs="Arial"/>
          <w:b/>
          <w:bCs/>
        </w:rPr>
        <w:t>Mercados de Energía y Confiabilidad</w:t>
      </w:r>
    </w:p>
    <w:p w14:paraId="4936389E" w14:textId="77777777" w:rsidR="00FD01CD" w:rsidRPr="0048016B" w:rsidRDefault="00FD01CD" w:rsidP="0048016B">
      <w:pPr>
        <w:ind w:left="0"/>
        <w:jc w:val="both"/>
        <w:rPr>
          <w:rFonts w:ascii="Bookman Old Style" w:hAnsi="Bookman Old Style" w:cs="Arial"/>
        </w:rPr>
      </w:pPr>
    </w:p>
    <w:p w14:paraId="4026F126"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Las características de cada uno de los tipos de mercado son los siguientes:</w:t>
      </w:r>
    </w:p>
    <w:p w14:paraId="30FE10ED" w14:textId="77777777" w:rsidR="00FD01CD" w:rsidRPr="0048016B" w:rsidRDefault="00FD01CD" w:rsidP="0048016B">
      <w:pPr>
        <w:ind w:left="0"/>
        <w:jc w:val="both"/>
        <w:rPr>
          <w:rFonts w:ascii="Bookman Old Style" w:hAnsi="Bookman Old Style" w:cs="Arial"/>
        </w:rPr>
      </w:pPr>
    </w:p>
    <w:p w14:paraId="1DDC30F0" w14:textId="744F6B28" w:rsidR="00FD01CD" w:rsidRPr="0048016B" w:rsidRDefault="00FD01CD" w:rsidP="00AF23F4">
      <w:pPr>
        <w:ind w:left="0"/>
        <w:jc w:val="center"/>
        <w:rPr>
          <w:rFonts w:ascii="Bookman Old Style" w:hAnsi="Bookman Old Style" w:cs="Arial"/>
        </w:rPr>
      </w:pPr>
      <w:r w:rsidRPr="008A09B6">
        <w:rPr>
          <w:rFonts w:ascii="Bookman Old Style" w:hAnsi="Bookman Old Style" w:cs="Arial"/>
          <w:b/>
          <w:bCs/>
        </w:rPr>
        <w:t>Bolsa de energía</w:t>
      </w:r>
      <w:r w:rsidRPr="0048016B">
        <w:rPr>
          <w:rFonts w:ascii="Bookman Old Style" w:hAnsi="Bookman Old Style" w:cs="Arial"/>
        </w:rPr>
        <w:t>.</w:t>
      </w:r>
    </w:p>
    <w:p w14:paraId="234E1CB0" w14:textId="77777777" w:rsidR="00FD01CD" w:rsidRPr="0048016B" w:rsidRDefault="00FD01CD" w:rsidP="0048016B">
      <w:pPr>
        <w:ind w:left="0"/>
        <w:jc w:val="both"/>
        <w:rPr>
          <w:rFonts w:ascii="Bookman Old Style" w:hAnsi="Bookman Old Style" w:cs="Arial"/>
        </w:rPr>
      </w:pPr>
    </w:p>
    <w:p w14:paraId="06AF59F1" w14:textId="4037980C"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Es el mecanismo de compra y venta de energía entre agentes que participan en el mercado, en un horizonte de corto plazo (1 día). Para participar en este mercado, los agentes generadores deben declarar la energía disponible que tienen para el día siguiente, y ofertar el precio al cual están dispuestos a vender dicha energía. Con esta información de los generadores, el Operador del Sistema realiza el despacho de generación, de tal forma que se atienda la demanda de todo el Sistema Interconectado Nacional. Para la declaración de los generadores de la cantidad de energía disponible para el despacho, los agentes deben tener en cuenta el estado en que se encuentran sus plantas de generación, y el insumo (combustible, viento, sol, agua, entre otros) necesario para que, en caso de ser despachados, puedan cumplir con dicho despacho. Es decir, en el caso de las plantas hidráulicas, deben tener agua suficiente para generar lo que declaran disponible, y en el caso de las plantas térmicas, que se cuenta con el suministro del combustible en la planta, bien sea: carbón, gas o </w:t>
      </w:r>
      <w:r w:rsidR="00A31A67" w:rsidRPr="0048016B">
        <w:rPr>
          <w:rFonts w:ascii="Bookman Old Style" w:hAnsi="Bookman Old Style" w:cs="Arial"/>
        </w:rPr>
        <w:t>diésel</w:t>
      </w:r>
      <w:r w:rsidRPr="0048016B">
        <w:rPr>
          <w:rFonts w:ascii="Bookman Old Style" w:hAnsi="Bookman Old Style" w:cs="Arial"/>
        </w:rPr>
        <w:t>, según como opere la planta.</w:t>
      </w:r>
    </w:p>
    <w:p w14:paraId="56B30665" w14:textId="0FC9C9DC" w:rsidR="00FD01CD" w:rsidRPr="0048016B" w:rsidRDefault="00FD01CD" w:rsidP="0048016B">
      <w:pPr>
        <w:ind w:left="0"/>
        <w:jc w:val="both"/>
        <w:rPr>
          <w:rFonts w:ascii="Bookman Old Style" w:hAnsi="Bookman Old Style" w:cs="Arial"/>
        </w:rPr>
      </w:pPr>
      <w:r w:rsidRPr="0048016B">
        <w:rPr>
          <w:rFonts w:ascii="Bookman Old Style" w:hAnsi="Bookman Old Style" w:cs="Arial"/>
        </w:rPr>
        <w:lastRenderedPageBreak/>
        <w:t>Con los precio</w:t>
      </w:r>
      <w:r w:rsidR="00713528">
        <w:rPr>
          <w:rFonts w:ascii="Bookman Old Style" w:hAnsi="Bookman Old Style" w:cs="Arial"/>
        </w:rPr>
        <w:t>s</w:t>
      </w:r>
      <w:r w:rsidRPr="0048016B">
        <w:rPr>
          <w:rFonts w:ascii="Bookman Old Style" w:hAnsi="Bookman Old Style" w:cs="Arial"/>
        </w:rPr>
        <w:t xml:space="preserve"> y cantidades disponibles de cada planta de generación, el despacho de energía selecciona las plantas más económicas para atender la demanda en cada hora del día, lo que se denomina generación en mérito. El precio de la energía en cada hora corresponde a la oferta de la última planta requerida para atender la demanda, lo que se denomina la planta marginal. El precio de la energía es el que se paga a cada generador que quedó en el despacho.</w:t>
      </w:r>
    </w:p>
    <w:p w14:paraId="2D093074" w14:textId="77777777" w:rsidR="00FD01CD" w:rsidRPr="0048016B" w:rsidRDefault="00FD01CD" w:rsidP="0048016B">
      <w:pPr>
        <w:ind w:left="0"/>
        <w:jc w:val="both"/>
        <w:rPr>
          <w:rFonts w:ascii="Bookman Old Style" w:hAnsi="Bookman Old Style" w:cs="Arial"/>
        </w:rPr>
      </w:pPr>
    </w:p>
    <w:p w14:paraId="54948ADC"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Por tanto, los generadores, para asegurar el suministro de combustibles, deben realizar la contratación de dicho insumo, para poder contar con él para declararse disponible para el Sistema y participar en el mercado de la Bolsa de Energía.</w:t>
      </w:r>
    </w:p>
    <w:p w14:paraId="61A00704" w14:textId="77777777" w:rsidR="00FD01CD" w:rsidRPr="0048016B" w:rsidRDefault="00FD01CD" w:rsidP="0048016B">
      <w:pPr>
        <w:ind w:left="0"/>
        <w:jc w:val="both"/>
        <w:rPr>
          <w:rFonts w:ascii="Bookman Old Style" w:hAnsi="Bookman Old Style" w:cs="Arial"/>
        </w:rPr>
      </w:pPr>
    </w:p>
    <w:p w14:paraId="533A1046" w14:textId="40D289A7" w:rsidR="00FD01CD" w:rsidRPr="00B30F34" w:rsidRDefault="00FD01CD" w:rsidP="00C45E3F">
      <w:pPr>
        <w:ind w:left="0"/>
        <w:jc w:val="center"/>
        <w:rPr>
          <w:rFonts w:ascii="Bookman Old Style" w:hAnsi="Bookman Old Style" w:cs="Arial"/>
          <w:b/>
          <w:bCs/>
        </w:rPr>
      </w:pPr>
      <w:r w:rsidRPr="00B30F34">
        <w:rPr>
          <w:rFonts w:ascii="Bookman Old Style" w:hAnsi="Bookman Old Style" w:cs="Arial"/>
          <w:b/>
          <w:bCs/>
        </w:rPr>
        <w:t>Contratos de energía</w:t>
      </w:r>
    </w:p>
    <w:p w14:paraId="758F35E0" w14:textId="77777777" w:rsidR="00FD01CD" w:rsidRPr="0048016B" w:rsidRDefault="00FD01CD" w:rsidP="00FD01CD">
      <w:pPr>
        <w:jc w:val="both"/>
        <w:rPr>
          <w:rFonts w:ascii="Bookman Old Style" w:hAnsi="Bookman Old Style" w:cs="Arial"/>
        </w:rPr>
      </w:pPr>
    </w:p>
    <w:p w14:paraId="1212DA86"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Mediante la venta en contratos, el generador le asegura el comprador el precio de la energía, la cual puede ser generada en sus propias plantas, o ser comprada en el mercado diario por parte del generador para honrar el contrato, según le sea más económico. Los contratos no aseguran entrega física, y son instrumentos de cobertura de precios, tanto para los compradores como para los vendedores.</w:t>
      </w:r>
    </w:p>
    <w:p w14:paraId="7855FBCD" w14:textId="77777777" w:rsidR="00FD01CD" w:rsidRPr="0048016B" w:rsidRDefault="00FD01CD" w:rsidP="0048016B">
      <w:pPr>
        <w:ind w:left="0"/>
        <w:jc w:val="both"/>
        <w:rPr>
          <w:rFonts w:ascii="Bookman Old Style" w:hAnsi="Bookman Old Style" w:cs="Arial"/>
        </w:rPr>
      </w:pPr>
    </w:p>
    <w:p w14:paraId="15A9DF5C" w14:textId="77777777" w:rsidR="00FD01CD" w:rsidRPr="0048016B" w:rsidRDefault="00FD01CD" w:rsidP="00FD01CD">
      <w:pPr>
        <w:pStyle w:val="Ttulo3"/>
        <w:rPr>
          <w:rFonts w:ascii="Bookman Old Style" w:hAnsi="Bookman Old Style" w:cs="Arial"/>
        </w:rPr>
      </w:pPr>
      <w:r w:rsidRPr="0048016B">
        <w:rPr>
          <w:rFonts w:ascii="Bookman Old Style" w:hAnsi="Bookman Old Style" w:cs="Arial"/>
        </w:rPr>
        <w:t>Cargo por confiabilidad</w:t>
      </w:r>
    </w:p>
    <w:p w14:paraId="30EA97E0" w14:textId="77777777" w:rsidR="00FD01CD" w:rsidRPr="0048016B" w:rsidRDefault="00FD01CD" w:rsidP="00FD01CD">
      <w:pPr>
        <w:jc w:val="both"/>
        <w:rPr>
          <w:rFonts w:ascii="Bookman Old Style" w:hAnsi="Bookman Old Style" w:cs="Arial"/>
        </w:rPr>
      </w:pPr>
    </w:p>
    <w:p w14:paraId="32D142D8"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Corresponde al mercado de la confiabilidad, en donde los generadores participan voluntariamente ofreciendo el servicio de tener una energía disponible para el Sistema, con el fin de asegurar que se va a contar con la energía suficiente para atender la demanda de energía en todo momento, aún en condiciones críticas en el sistema, generalmente asociadas con bajos aportes hidrológicos. Para participar en este mercado, los agentes generadores deben contar con: i) el activo de generación; y, ii) los contratos que aseguren el suministro del combustible en la planta para generar en el momento en que el sistema los requiera.</w:t>
      </w:r>
    </w:p>
    <w:p w14:paraId="20FE2379" w14:textId="77777777" w:rsidR="00FD01CD" w:rsidRPr="0048016B" w:rsidRDefault="00FD01CD" w:rsidP="0048016B">
      <w:pPr>
        <w:ind w:left="0"/>
        <w:jc w:val="both"/>
        <w:rPr>
          <w:rFonts w:ascii="Bookman Old Style" w:hAnsi="Bookman Old Style" w:cs="Arial"/>
        </w:rPr>
      </w:pPr>
    </w:p>
    <w:p w14:paraId="50A3ABFA"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La remuneración del Cargo por Confiabilidad se obtiene a partir de las asignaciones de Obligaciones de Energía Firme, las cuales se realizan en uno de los siguientes mecanismos: i) Participando en una subasta de sobre cerrado, en donde quienes quieren participar declaran la energía firme con la que están dispuestos a comprometerse, y entregan el precio al cual dispuesto a prestar el servicio de confiabilidad; y ii) Mediante la asignación de obligaciones por mecanismo administrado, en donde, conforme la energía firme declarada por los agentes generadores, se asignan las obligaciones hasta cubrir la demanda, en proporción a la energía firme declarada por todos los generadores existentes del sistema. Una vez asignadas las obligaciones, diariamente se verifica que la planta esté disponible para el Sistema, para lo cual debe contar con el combustible necesario para cumplir con dichas obligaciones. Si no se declara disponible para el despacho diario, pierde el derecho a recibir la remuneración del Cargo por Confiabilidad para el día en que no está disponible.</w:t>
      </w:r>
    </w:p>
    <w:p w14:paraId="3209798D" w14:textId="2898A078" w:rsidR="00FD01CD" w:rsidRDefault="00FD01CD" w:rsidP="0048016B">
      <w:pPr>
        <w:ind w:left="0"/>
        <w:jc w:val="both"/>
        <w:rPr>
          <w:rFonts w:ascii="Bookman Old Style" w:hAnsi="Bookman Old Style" w:cs="Arial"/>
        </w:rPr>
      </w:pPr>
    </w:p>
    <w:p w14:paraId="0250DD16" w14:textId="77777777" w:rsidR="00837A36" w:rsidRPr="0048016B" w:rsidRDefault="00837A36" w:rsidP="0048016B">
      <w:pPr>
        <w:ind w:left="0"/>
        <w:jc w:val="both"/>
        <w:rPr>
          <w:rFonts w:ascii="Bookman Old Style" w:hAnsi="Bookman Old Style" w:cs="Arial"/>
        </w:rPr>
      </w:pPr>
    </w:p>
    <w:p w14:paraId="3088E6FF"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lastRenderedPageBreak/>
        <w:t>De acuerdo con lo anterior, podemos destacar que, para participar en la bolsa de energía y recibir remuneración del Cargo por Confiabilidad, el agente generador debe cumplir con dos requisitos fundamentales: i) contar con un activo de generación; y, ii) contar con el suministro del combustible para poder asegurar las cantidades que se compromete con la declaración.</w:t>
      </w:r>
    </w:p>
    <w:p w14:paraId="0F129723" w14:textId="77777777" w:rsidR="00FD01CD" w:rsidRPr="0048016B" w:rsidRDefault="00FD01CD" w:rsidP="0048016B">
      <w:pPr>
        <w:ind w:left="0"/>
        <w:jc w:val="both"/>
        <w:rPr>
          <w:rFonts w:ascii="Bookman Old Style" w:hAnsi="Bookman Old Style" w:cs="Arial"/>
        </w:rPr>
      </w:pPr>
    </w:p>
    <w:p w14:paraId="573CCCAA"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Por tanto, la remuneración del servicio de Confiabilidad, que resulta de las subastas realizadas para asignación de obligaciones de energía firme, y que es aceptada por las plantas de generación existentes en el momento de presentar su energía firme disponible para la asignación administrada, ya considera los costos en que incurren los agentes para declararse disponibles para cumplir con las obligaciones de energía firme que adquieren en dicho mercado de confiabilidad.</w:t>
      </w:r>
    </w:p>
    <w:p w14:paraId="52848361" w14:textId="77777777" w:rsidR="00FD01CD" w:rsidRPr="0048016B" w:rsidRDefault="00FD01CD" w:rsidP="0048016B">
      <w:pPr>
        <w:ind w:left="0"/>
        <w:jc w:val="both"/>
        <w:rPr>
          <w:rFonts w:ascii="Bookman Old Style" w:hAnsi="Bookman Old Style" w:cs="Arial"/>
        </w:rPr>
      </w:pPr>
    </w:p>
    <w:p w14:paraId="40B0F01D"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Las condiciones en que los agentes generadores contratan sus insumos (combustibles), no son definidas por la Comisión. La única condición que establece la regulación, como requisito para acceder al Cargo por Confiabilidad, es que el agente generador debe demostrar que el mecanismo de contratación que utilice para los insumos, le garanticen la disponibilidad de </w:t>
      </w:r>
      <w:proofErr w:type="gramStart"/>
      <w:r w:rsidRPr="0048016B">
        <w:rPr>
          <w:rFonts w:ascii="Bookman Old Style" w:hAnsi="Bookman Old Style" w:cs="Arial"/>
        </w:rPr>
        <w:t>los mismos</w:t>
      </w:r>
      <w:proofErr w:type="gramEnd"/>
      <w:r w:rsidRPr="0048016B">
        <w:rPr>
          <w:rFonts w:ascii="Bookman Old Style" w:hAnsi="Bookman Old Style" w:cs="Arial"/>
        </w:rPr>
        <w:t xml:space="preserve"> en el momento en que la planta sea llamada a cumplir con las obligaciones de energía firme</w:t>
      </w:r>
      <w:r w:rsidRPr="0048016B">
        <w:rPr>
          <w:rFonts w:ascii="Bookman Old Style" w:hAnsi="Bookman Old Style"/>
        </w:rPr>
        <w:footnoteReference w:id="2"/>
      </w:r>
      <w:r w:rsidRPr="0048016B">
        <w:rPr>
          <w:rFonts w:ascii="Bookman Old Style" w:hAnsi="Bookman Old Style" w:cs="Arial"/>
        </w:rPr>
        <w:t>.</w:t>
      </w:r>
    </w:p>
    <w:p w14:paraId="5EF85423" w14:textId="77777777" w:rsidR="00FD01CD" w:rsidRPr="0048016B" w:rsidRDefault="00FD01CD" w:rsidP="0048016B">
      <w:pPr>
        <w:ind w:left="0"/>
        <w:jc w:val="both"/>
        <w:rPr>
          <w:rFonts w:ascii="Bookman Old Style" w:hAnsi="Bookman Old Style" w:cs="Arial"/>
        </w:rPr>
      </w:pPr>
    </w:p>
    <w:p w14:paraId="77C0A71E" w14:textId="77777777" w:rsidR="00FD01CD" w:rsidRPr="00E406C0" w:rsidRDefault="00FD01CD" w:rsidP="00241E44">
      <w:pPr>
        <w:ind w:left="0"/>
        <w:jc w:val="center"/>
        <w:rPr>
          <w:rFonts w:ascii="Bookman Old Style" w:hAnsi="Bookman Old Style" w:cs="Arial"/>
          <w:b/>
          <w:bCs/>
        </w:rPr>
      </w:pPr>
      <w:r w:rsidRPr="00E406C0">
        <w:rPr>
          <w:rFonts w:ascii="Bookman Old Style" w:hAnsi="Bookman Old Style" w:cs="Arial"/>
          <w:b/>
          <w:bCs/>
        </w:rPr>
        <w:t>Restricciones</w:t>
      </w:r>
    </w:p>
    <w:p w14:paraId="34D81306" w14:textId="77777777" w:rsidR="00FD01CD" w:rsidRPr="0048016B" w:rsidRDefault="00FD01CD" w:rsidP="0048016B">
      <w:pPr>
        <w:ind w:left="0"/>
        <w:jc w:val="both"/>
        <w:rPr>
          <w:rFonts w:ascii="Bookman Old Style" w:hAnsi="Bookman Old Style" w:cs="Arial"/>
        </w:rPr>
      </w:pPr>
    </w:p>
    <w:p w14:paraId="605EA106"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Otra de las fuentes de ingreso de los generadores, es el que está asociado con la generación de seguridad fuera de mérito, para cubrir los requerimientos de generación del Sistema para prestación del servicio cuando se presentan restricciones, eléctricas u operativas, en la red de transporte de energía. </w:t>
      </w:r>
    </w:p>
    <w:p w14:paraId="295446D6" w14:textId="77777777" w:rsidR="00FD01CD" w:rsidRPr="0048016B" w:rsidRDefault="00FD01CD" w:rsidP="0048016B">
      <w:pPr>
        <w:ind w:left="0"/>
        <w:jc w:val="both"/>
        <w:rPr>
          <w:rFonts w:ascii="Bookman Old Style" w:hAnsi="Bookman Old Style" w:cs="Arial"/>
        </w:rPr>
      </w:pPr>
    </w:p>
    <w:p w14:paraId="212E498C"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De esta forma, cuando las capacidades de las redes no son suficientes para transportar la energía de las plantas más económicas para atender la demanda, se dice que las generaciones de seguridad se asocian a restricciones eléctricas. Cuando dicha generación se requiere para mantener condiciones operativas del Sistema, tales como voltaje, frecuencia, estabilidad, entre otros, se dice que la misma está asociada con restricciones operativas. </w:t>
      </w:r>
    </w:p>
    <w:p w14:paraId="07C8567B" w14:textId="77777777" w:rsidR="00FD01CD" w:rsidRPr="0048016B" w:rsidRDefault="00FD01CD" w:rsidP="0048016B">
      <w:pPr>
        <w:ind w:left="0"/>
        <w:jc w:val="both"/>
        <w:rPr>
          <w:rFonts w:ascii="Bookman Old Style" w:hAnsi="Bookman Old Style" w:cs="Arial"/>
        </w:rPr>
      </w:pPr>
    </w:p>
    <w:p w14:paraId="2BAA5F43" w14:textId="733E3F06" w:rsidR="00FD01CD" w:rsidRDefault="00FD01CD" w:rsidP="0048016B">
      <w:pPr>
        <w:ind w:left="0"/>
        <w:jc w:val="both"/>
        <w:rPr>
          <w:rFonts w:ascii="Bookman Old Style" w:hAnsi="Bookman Old Style" w:cs="Arial"/>
        </w:rPr>
      </w:pPr>
      <w:r w:rsidRPr="0048016B">
        <w:rPr>
          <w:rFonts w:ascii="Bookman Old Style" w:hAnsi="Bookman Old Style" w:cs="Arial"/>
        </w:rPr>
        <w:t xml:space="preserve">Ahora bien, cuando, como producto del proceso de despacho en el mercado de la Bolsa de Energía (explicado antes en este documento), la generación requerida para aliviar las restricciones del Sistema no se alcanza con plantas que se despachan en mérito (las de menor precio de oferta), se recurre a programar otras plantas que, habiéndose declarado disponibles para el despacho de la Bolsa, no alcanzaron a ser programadas para generar, por haber ofertado un </w:t>
      </w:r>
      <w:r w:rsidRPr="0048016B">
        <w:rPr>
          <w:rFonts w:ascii="Bookman Old Style" w:hAnsi="Bookman Old Style" w:cs="Arial"/>
        </w:rPr>
        <w:lastRenderedPageBreak/>
        <w:t xml:space="preserve">precio alto en ese momento. Por eso, dicha generación se denomina Generación de Seguridad Fuera de Mérito. </w:t>
      </w:r>
    </w:p>
    <w:p w14:paraId="3604C590" w14:textId="77777777" w:rsidR="00837A36" w:rsidRPr="0048016B" w:rsidRDefault="00837A36" w:rsidP="0048016B">
      <w:pPr>
        <w:ind w:left="0"/>
        <w:jc w:val="both"/>
        <w:rPr>
          <w:rFonts w:ascii="Bookman Old Style" w:hAnsi="Bookman Old Style" w:cs="Arial"/>
        </w:rPr>
      </w:pPr>
    </w:p>
    <w:p w14:paraId="47E25B61"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La Generación de Seguridad fuera de mérito no se establece antes del despacho, si no que se programa después de que se conocen las condiciones de despacho de los generadores, como producto de la competencia en el mercado de corto plazo, al establecer cuál de la generación de seguridad que requiere el Sistema, no ha sido despachada en mérito. Para ilustrar esto, es importante considerar que, cuando hay abundancia de recurso hídrico, normalmente las plantas que resultan en mérito son las hidráulicas, que se ubican, en general, en lugares por fuera de la región Caribe. Por tanto, para atender la demanda en dicha región, se hace necesario programar generación más costosa en ese momento, como generación de seguridad fuera de mérito. Sin embargo, cuando se presenta escasez del recurso hídrico, y la generación en mérito corresponde a plantas termoeléctricas, que buena parte de ellas se ubican en la región Caribe, la generación de seguridad requerida en dicha región se programa en mérito, y en cambio de esto, se requiere llevar energía a otras regiones del país, llegando incluso a programarse generación de seguridad fuera de mérito con plantas de generación hidráulicas. Por tanto, la remuneración como seguridad fuera de mérito de una generación, es una condición que resulta de las condiciones del despacho diario, y no es una condición garantizada para ningún agente en particular.</w:t>
      </w:r>
    </w:p>
    <w:p w14:paraId="51D861F8" w14:textId="77777777" w:rsidR="00FD01CD" w:rsidRPr="0048016B" w:rsidRDefault="00FD01CD" w:rsidP="0048016B">
      <w:pPr>
        <w:ind w:left="0"/>
        <w:jc w:val="both"/>
        <w:rPr>
          <w:rFonts w:ascii="Bookman Old Style" w:hAnsi="Bookman Old Style" w:cs="Arial"/>
        </w:rPr>
      </w:pPr>
    </w:p>
    <w:p w14:paraId="753336BD" w14:textId="7AC00F87"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Adicionalmente, como bien se analiza en el documento soporte de la </w:t>
      </w:r>
      <w:r w:rsidR="00313ABF">
        <w:rPr>
          <w:rFonts w:ascii="Bookman Old Style" w:hAnsi="Bookman Old Style" w:cs="Arial"/>
        </w:rPr>
        <w:t>R</w:t>
      </w:r>
      <w:r w:rsidRPr="0048016B">
        <w:rPr>
          <w:rFonts w:ascii="Bookman Old Style" w:hAnsi="Bookman Old Style" w:cs="Arial"/>
        </w:rPr>
        <w:t>esolución CREG 034 de 2001, la generación de seguridad fuera de mérito corresponde en muchas ocasiones a situaciones en las cuales no se presenta competencia para atender la demanda, dada la situación eléctrica del área, y por esta razón es que en dicha resolución, se definió que su remuneración corresponde al menor valor entre la oferta que hizo el agente a la Bolsa de Energía (que es el precio al cual está dispuesto a vender la energía el generador), y los costos variables de la producción de la energía, de acuerdo con lo definido por dicha Resolución CREG 034 de 2001.</w:t>
      </w:r>
    </w:p>
    <w:p w14:paraId="48C7F416" w14:textId="77777777" w:rsidR="00FD01CD" w:rsidRPr="0048016B" w:rsidRDefault="00FD01CD" w:rsidP="0048016B">
      <w:pPr>
        <w:ind w:left="0"/>
        <w:jc w:val="both"/>
        <w:rPr>
          <w:rFonts w:ascii="Bookman Old Style" w:hAnsi="Bookman Old Style" w:cs="Arial"/>
        </w:rPr>
      </w:pPr>
    </w:p>
    <w:p w14:paraId="39EBBA8C" w14:textId="701C03F2" w:rsidR="00FD01CD" w:rsidRDefault="00FD01CD" w:rsidP="0048016B">
      <w:pPr>
        <w:ind w:left="0"/>
        <w:jc w:val="both"/>
        <w:rPr>
          <w:rFonts w:ascii="Bookman Old Style" w:hAnsi="Bookman Old Style" w:cs="Arial"/>
        </w:rPr>
      </w:pPr>
      <w:r w:rsidRPr="0048016B">
        <w:rPr>
          <w:rFonts w:ascii="Bookman Old Style" w:hAnsi="Bookman Old Style" w:cs="Arial"/>
        </w:rPr>
        <w:t xml:space="preserve">En cuanto al cálculo de los costos variables de producción de energía, según la </w:t>
      </w:r>
      <w:r w:rsidR="00535192">
        <w:rPr>
          <w:rFonts w:ascii="Bookman Old Style" w:hAnsi="Bookman Old Style" w:cs="Arial"/>
        </w:rPr>
        <w:t>R</w:t>
      </w:r>
      <w:r w:rsidRPr="0048016B">
        <w:rPr>
          <w:rFonts w:ascii="Bookman Old Style" w:hAnsi="Bookman Old Style" w:cs="Arial"/>
        </w:rPr>
        <w:t>esolución CREG 034 de 2001, modificada por la Resolución CREG 044 de 2020, los mismos corresponden a los costos de los contratos de suministro de combustible y transporte del combustible, costos de operación y mantenimiento, costos de arranque-parada</w:t>
      </w:r>
      <w:r w:rsidRPr="0048016B">
        <w:rPr>
          <w:rFonts w:ascii="Bookman Old Style" w:hAnsi="Bookman Old Style"/>
        </w:rPr>
        <w:footnoteReference w:id="3"/>
      </w:r>
      <w:r w:rsidRPr="0048016B">
        <w:rPr>
          <w:rFonts w:ascii="Bookman Old Style" w:hAnsi="Bookman Old Style" w:cs="Arial"/>
        </w:rPr>
        <w:t>, y los otros costos de mercado (Costos Cargo por Confiabilidad, Fondo Zonas No Interconectadas, Aporte ambientales, regulación secundaria de frecuencia). En cuanto a los costos de combustible, corresponde a los costos variables en que incurre el agente para entregar la energía requerida por seguridad.</w:t>
      </w:r>
    </w:p>
    <w:p w14:paraId="7DD0448F" w14:textId="77777777" w:rsidR="00837A36" w:rsidRPr="0048016B" w:rsidRDefault="00837A36" w:rsidP="0048016B">
      <w:pPr>
        <w:ind w:left="0"/>
        <w:jc w:val="both"/>
        <w:rPr>
          <w:rFonts w:ascii="Bookman Old Style" w:hAnsi="Bookman Old Style" w:cs="Arial"/>
        </w:rPr>
      </w:pPr>
    </w:p>
    <w:p w14:paraId="23605C6F" w14:textId="77777777" w:rsidR="00FD01CD" w:rsidRPr="0048016B" w:rsidRDefault="00FD01CD" w:rsidP="0048016B">
      <w:pPr>
        <w:ind w:left="0"/>
        <w:jc w:val="both"/>
        <w:rPr>
          <w:rFonts w:ascii="Bookman Old Style" w:hAnsi="Bookman Old Style" w:cs="Arial"/>
        </w:rPr>
      </w:pPr>
    </w:p>
    <w:p w14:paraId="6335AB65" w14:textId="77777777" w:rsidR="00FD01CD" w:rsidRPr="004E69B7" w:rsidRDefault="00FD01CD" w:rsidP="00FE6C27">
      <w:pPr>
        <w:ind w:left="0"/>
        <w:jc w:val="center"/>
        <w:rPr>
          <w:rFonts w:ascii="Bookman Old Style" w:hAnsi="Bookman Old Style" w:cs="Arial"/>
          <w:b/>
          <w:bCs/>
        </w:rPr>
      </w:pPr>
      <w:r w:rsidRPr="004E69B7">
        <w:rPr>
          <w:rFonts w:ascii="Bookman Old Style" w:hAnsi="Bookman Old Style" w:cs="Arial"/>
          <w:b/>
          <w:bCs/>
        </w:rPr>
        <w:lastRenderedPageBreak/>
        <w:t>Configuraciones</w:t>
      </w:r>
    </w:p>
    <w:p w14:paraId="1CFD2952" w14:textId="77777777" w:rsidR="00FD01CD" w:rsidRPr="0048016B" w:rsidRDefault="00FD01CD" w:rsidP="0048016B">
      <w:pPr>
        <w:ind w:left="0"/>
        <w:jc w:val="both"/>
        <w:rPr>
          <w:rFonts w:ascii="Bookman Old Style" w:hAnsi="Bookman Old Style" w:cs="Arial"/>
        </w:rPr>
      </w:pPr>
    </w:p>
    <w:p w14:paraId="3726EA48" w14:textId="55976899" w:rsidR="00FD01CD" w:rsidRPr="0048016B" w:rsidRDefault="00FD01CD" w:rsidP="0048016B">
      <w:pPr>
        <w:ind w:left="0"/>
        <w:jc w:val="both"/>
        <w:rPr>
          <w:rFonts w:ascii="Bookman Old Style" w:hAnsi="Bookman Old Style" w:cs="Arial"/>
        </w:rPr>
      </w:pPr>
      <w:r w:rsidRPr="0048016B">
        <w:rPr>
          <w:rFonts w:ascii="Bookman Old Style" w:hAnsi="Bookman Old Style" w:cs="Arial"/>
        </w:rPr>
        <w:t>Tal como se señala en documento D-101-029 de 2022, soporte de la Resolución CREG 101 02</w:t>
      </w:r>
      <w:r w:rsidR="004945F0">
        <w:rPr>
          <w:rFonts w:ascii="Bookman Old Style" w:hAnsi="Bookman Old Style" w:cs="Arial"/>
        </w:rPr>
        <w:t>8</w:t>
      </w:r>
      <w:r w:rsidRPr="0048016B">
        <w:rPr>
          <w:rFonts w:ascii="Bookman Old Style" w:hAnsi="Bookman Old Style" w:cs="Arial"/>
        </w:rPr>
        <w:t xml:space="preserve"> de 2022, las plantas de ciclo combinado se caracterizan por contar con diferentes configuraciones con las cuales se puede operar. </w:t>
      </w:r>
    </w:p>
    <w:p w14:paraId="6AF6AE89" w14:textId="77777777" w:rsidR="00FD01CD" w:rsidRPr="0048016B" w:rsidRDefault="00FD01CD" w:rsidP="0048016B">
      <w:pPr>
        <w:ind w:left="0"/>
        <w:jc w:val="both"/>
        <w:rPr>
          <w:rFonts w:ascii="Bookman Old Style" w:hAnsi="Bookman Old Style" w:cs="Arial"/>
        </w:rPr>
      </w:pPr>
    </w:p>
    <w:p w14:paraId="1492AA92" w14:textId="2A02BD73"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Las plantas de ciclo combinado son aquellas en donde se genera electricidad mediante la utilización conjunta de un </w:t>
      </w:r>
      <w:proofErr w:type="spellStart"/>
      <w:r w:rsidRPr="0048016B">
        <w:rPr>
          <w:rFonts w:ascii="Bookman Old Style" w:hAnsi="Bookman Old Style" w:cs="Arial"/>
        </w:rPr>
        <w:t>turbogrupo</w:t>
      </w:r>
      <w:proofErr w:type="spellEnd"/>
      <w:r w:rsidRPr="0048016B">
        <w:rPr>
          <w:rFonts w:ascii="Bookman Old Style" w:hAnsi="Bookman Old Style" w:cs="Arial"/>
        </w:rPr>
        <w:t xml:space="preserve"> de gas y un </w:t>
      </w:r>
      <w:proofErr w:type="spellStart"/>
      <w:r w:rsidRPr="0048016B">
        <w:rPr>
          <w:rFonts w:ascii="Bookman Old Style" w:hAnsi="Bookman Old Style" w:cs="Arial"/>
        </w:rPr>
        <w:t>turbogrupo</w:t>
      </w:r>
      <w:proofErr w:type="spellEnd"/>
      <w:r w:rsidRPr="0048016B">
        <w:rPr>
          <w:rFonts w:ascii="Bookman Old Style" w:hAnsi="Bookman Old Style" w:cs="Arial"/>
        </w:rPr>
        <w:t xml:space="preserve"> de vapor. Dependiendo del número de unidades se pueden combinar de diferentes formas, siendo que dichas combinaciones que se han denominado configuraciones. Un ejemplo de un ciclo combinado se presenta en la </w:t>
      </w:r>
      <w:r w:rsidRPr="0048016B">
        <w:rPr>
          <w:rFonts w:ascii="Bookman Old Style" w:hAnsi="Bookman Old Style" w:cs="Arial"/>
        </w:rPr>
        <w:fldChar w:fldCharType="begin"/>
      </w:r>
      <w:r w:rsidRPr="0048016B">
        <w:rPr>
          <w:rFonts w:ascii="Bookman Old Style" w:hAnsi="Bookman Old Style" w:cs="Arial"/>
        </w:rPr>
        <w:instrText xml:space="preserve"> REF _Ref30663461 \h  \* MERGEFORMAT </w:instrText>
      </w:r>
      <w:r w:rsidRPr="0048016B">
        <w:rPr>
          <w:rFonts w:ascii="Bookman Old Style" w:hAnsi="Bookman Old Style" w:cs="Arial"/>
        </w:rPr>
      </w:r>
      <w:r w:rsidRPr="0048016B">
        <w:rPr>
          <w:rFonts w:ascii="Bookman Old Style" w:hAnsi="Bookman Old Style" w:cs="Arial"/>
        </w:rPr>
        <w:fldChar w:fldCharType="separate"/>
      </w:r>
      <w:r w:rsidR="00837A36" w:rsidRPr="00837A36">
        <w:rPr>
          <w:rFonts w:ascii="Bookman Old Style" w:hAnsi="Bookman Old Style" w:cs="Arial"/>
        </w:rPr>
        <w:t>Ilustración 1</w:t>
      </w:r>
      <w:r w:rsidRPr="0048016B">
        <w:rPr>
          <w:rFonts w:ascii="Bookman Old Style" w:hAnsi="Bookman Old Style" w:cs="Arial"/>
        </w:rPr>
        <w:fldChar w:fldCharType="end"/>
      </w:r>
      <w:r w:rsidRPr="0048016B">
        <w:rPr>
          <w:rFonts w:ascii="Bookman Old Style" w:hAnsi="Bookman Old Style" w:cs="Arial"/>
        </w:rPr>
        <w:t>.</w:t>
      </w:r>
    </w:p>
    <w:p w14:paraId="59A64C9F" w14:textId="77777777" w:rsidR="00FD01CD" w:rsidRPr="0048016B" w:rsidRDefault="00FD01CD" w:rsidP="0048016B">
      <w:pPr>
        <w:ind w:left="0"/>
        <w:jc w:val="both"/>
        <w:rPr>
          <w:rFonts w:ascii="Bookman Old Style" w:hAnsi="Bookman Old Style" w:cs="Arial"/>
        </w:rPr>
      </w:pPr>
    </w:p>
    <w:p w14:paraId="5BD668B2" w14:textId="77777777" w:rsidR="00FD01CD" w:rsidRDefault="00FD01CD" w:rsidP="00FD01CD"/>
    <w:p w14:paraId="4B7B54F2" w14:textId="77777777" w:rsidR="00FD01CD" w:rsidRDefault="00FD01CD" w:rsidP="00FD01CD">
      <w:pPr>
        <w:jc w:val="center"/>
      </w:pPr>
      <w:r w:rsidRPr="00302E5D">
        <w:rPr>
          <w:noProof/>
          <w:lang w:eastAsia="es-CO"/>
        </w:rPr>
        <w:drawing>
          <wp:inline distT="0" distB="0" distL="0" distR="0" wp14:anchorId="1126794B" wp14:editId="0C07EDD1">
            <wp:extent cx="3390900"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1962150"/>
                    </a:xfrm>
                    <a:prstGeom prst="rect">
                      <a:avLst/>
                    </a:prstGeom>
                    <a:noFill/>
                    <a:ln>
                      <a:noFill/>
                    </a:ln>
                  </pic:spPr>
                </pic:pic>
              </a:graphicData>
            </a:graphic>
          </wp:inline>
        </w:drawing>
      </w:r>
    </w:p>
    <w:p w14:paraId="5576B16A" w14:textId="77777777" w:rsidR="00FD01CD" w:rsidRDefault="00FD01CD" w:rsidP="00FD01CD">
      <w:pPr>
        <w:jc w:val="center"/>
      </w:pPr>
    </w:p>
    <w:p w14:paraId="4580FFC2" w14:textId="6C0B5401" w:rsidR="00FD01CD" w:rsidRPr="004C7789" w:rsidRDefault="00FD01CD" w:rsidP="00FD01CD">
      <w:pPr>
        <w:pStyle w:val="Descripcin"/>
      </w:pPr>
      <w:bookmarkStart w:id="1" w:name="_Ref30663461"/>
      <w:bookmarkStart w:id="2" w:name="_Toc6908727"/>
      <w:bookmarkStart w:id="3" w:name="_Toc113907842"/>
      <w:r w:rsidRPr="004C7789">
        <w:t xml:space="preserve">Ilustración </w:t>
      </w:r>
      <w:r w:rsidRPr="004C7789">
        <w:fldChar w:fldCharType="begin"/>
      </w:r>
      <w:r w:rsidRPr="004C7789">
        <w:instrText xml:space="preserve"> SEQ Ilustración \* ARABIC </w:instrText>
      </w:r>
      <w:r w:rsidRPr="004C7789">
        <w:fldChar w:fldCharType="separate"/>
      </w:r>
      <w:r w:rsidR="00837A36">
        <w:rPr>
          <w:noProof/>
        </w:rPr>
        <w:t>1</w:t>
      </w:r>
      <w:r w:rsidRPr="004C7789">
        <w:fldChar w:fldCharType="end"/>
      </w:r>
      <w:bookmarkEnd w:id="1"/>
      <w:r w:rsidRPr="004C7789">
        <w:t xml:space="preserve">. </w:t>
      </w:r>
      <w:r>
        <w:t>Ejemplo de configuración de planta térmica ciclo combinado</w:t>
      </w:r>
      <w:bookmarkEnd w:id="2"/>
      <w:bookmarkEnd w:id="3"/>
    </w:p>
    <w:p w14:paraId="00E07D90"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Para el despacho económico el tipo de configuración con que operan las plantas de generación es un dato relevante porque cada configuración tiene un mínimo y un máximo técnico.</w:t>
      </w:r>
    </w:p>
    <w:p w14:paraId="3F3DA6C0" w14:textId="77777777" w:rsidR="00FD01CD" w:rsidRPr="0048016B" w:rsidRDefault="00FD01CD" w:rsidP="0048016B">
      <w:pPr>
        <w:ind w:left="0"/>
        <w:jc w:val="both"/>
        <w:rPr>
          <w:rFonts w:ascii="Bookman Old Style" w:hAnsi="Bookman Old Style" w:cs="Arial"/>
        </w:rPr>
      </w:pPr>
    </w:p>
    <w:p w14:paraId="3B32D863"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Sin embargo, en las plantas térmicas de ciclo combinado que tienen diferentes grupos de turbo-generación (turbinas a gas y turbinas a vapor) y servicios comunes, pueden existir diferentes configuraciones posibles para el día de operación. En la actualidad en el sistema interconectado nacional se dispone de las siguientes plantas de ciclo combinado que tienen el número de configuraciones que se presentan en la tabla 1.</w:t>
      </w:r>
    </w:p>
    <w:p w14:paraId="28A41B98" w14:textId="77777777" w:rsidR="00FD01CD" w:rsidRDefault="00FD01CD" w:rsidP="00FD01CD">
      <w:pPr>
        <w:spacing w:line="276" w:lineRule="auto"/>
        <w:jc w:val="both"/>
        <w:rPr>
          <w:rFonts w:ascii="Arial" w:hAnsi="Arial" w:cs="Arial"/>
        </w:rPr>
      </w:pPr>
    </w:p>
    <w:tbl>
      <w:tblPr>
        <w:tblStyle w:val="Tablaconcuadrcula4-nfasis6"/>
        <w:tblW w:w="4678" w:type="dxa"/>
        <w:jc w:val="center"/>
        <w:tblLook w:val="04A0" w:firstRow="1" w:lastRow="0" w:firstColumn="1" w:lastColumn="0" w:noHBand="0" w:noVBand="1"/>
      </w:tblPr>
      <w:tblGrid>
        <w:gridCol w:w="2170"/>
        <w:gridCol w:w="2637"/>
      </w:tblGrid>
      <w:tr w:rsidR="009248E1" w14:paraId="3401063F" w14:textId="77777777" w:rsidTr="001047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3AC35097" w14:textId="77777777" w:rsidR="00FD01CD" w:rsidRPr="00811527" w:rsidRDefault="00FD01CD" w:rsidP="00104784">
            <w:pPr>
              <w:jc w:val="center"/>
              <w:rPr>
                <w:rFonts w:ascii="Arial" w:hAnsi="Arial" w:cs="Arial"/>
              </w:rPr>
            </w:pPr>
            <w:r w:rsidRPr="00811527">
              <w:rPr>
                <w:rFonts w:ascii="Arial" w:hAnsi="Arial" w:cs="Arial"/>
              </w:rPr>
              <w:t>Planta</w:t>
            </w:r>
          </w:p>
        </w:tc>
        <w:tc>
          <w:tcPr>
            <w:tcW w:w="1701" w:type="dxa"/>
          </w:tcPr>
          <w:p w14:paraId="71F7776F" w14:textId="77777777" w:rsidR="00FD01CD" w:rsidRPr="00811527" w:rsidRDefault="00FD01CD" w:rsidP="0010478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11527">
              <w:rPr>
                <w:rFonts w:ascii="Arial" w:hAnsi="Arial" w:cs="Arial"/>
              </w:rPr>
              <w:t>Numero de configuraciones</w:t>
            </w:r>
          </w:p>
        </w:tc>
      </w:tr>
      <w:tr w:rsidR="009248E1" w14:paraId="0D9B9777" w14:textId="77777777" w:rsidTr="00104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52B38ECE" w14:textId="77777777" w:rsidR="00FD01CD" w:rsidRPr="00811527" w:rsidRDefault="00FD01CD" w:rsidP="00104784">
            <w:pPr>
              <w:jc w:val="center"/>
              <w:rPr>
                <w:rFonts w:ascii="Arial" w:hAnsi="Arial" w:cs="Arial"/>
                <w:b w:val="0"/>
              </w:rPr>
            </w:pPr>
            <w:r w:rsidRPr="00811527">
              <w:rPr>
                <w:rFonts w:ascii="Arial" w:hAnsi="Arial" w:cs="Arial"/>
                <w:b w:val="0"/>
              </w:rPr>
              <w:t>Flores 1</w:t>
            </w:r>
          </w:p>
        </w:tc>
        <w:tc>
          <w:tcPr>
            <w:tcW w:w="1701" w:type="dxa"/>
          </w:tcPr>
          <w:p w14:paraId="4D7A5CD6" w14:textId="77777777" w:rsidR="00FD01CD" w:rsidRPr="00811527" w:rsidRDefault="00FD01CD" w:rsidP="001047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1527">
              <w:rPr>
                <w:rFonts w:ascii="Arial" w:hAnsi="Arial" w:cs="Arial"/>
              </w:rPr>
              <w:t>3</w:t>
            </w:r>
          </w:p>
        </w:tc>
      </w:tr>
      <w:tr w:rsidR="009248E1" w14:paraId="5F07634D" w14:textId="77777777" w:rsidTr="00104784">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7501390A" w14:textId="77777777" w:rsidR="00FD01CD" w:rsidRPr="00811527" w:rsidRDefault="00FD01CD" w:rsidP="00104784">
            <w:pPr>
              <w:jc w:val="center"/>
              <w:rPr>
                <w:rFonts w:ascii="Arial" w:hAnsi="Arial" w:cs="Arial"/>
                <w:b w:val="0"/>
              </w:rPr>
            </w:pPr>
            <w:r w:rsidRPr="00811527">
              <w:rPr>
                <w:rFonts w:ascii="Arial" w:hAnsi="Arial" w:cs="Arial"/>
                <w:b w:val="0"/>
              </w:rPr>
              <w:t>Flores 4</w:t>
            </w:r>
          </w:p>
        </w:tc>
        <w:tc>
          <w:tcPr>
            <w:tcW w:w="1701" w:type="dxa"/>
          </w:tcPr>
          <w:p w14:paraId="4AF6234D" w14:textId="77777777" w:rsidR="00FD01CD" w:rsidRPr="00811527" w:rsidRDefault="00FD01CD" w:rsidP="001047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1527">
              <w:rPr>
                <w:rFonts w:ascii="Arial" w:hAnsi="Arial" w:cs="Arial"/>
              </w:rPr>
              <w:t>11</w:t>
            </w:r>
          </w:p>
        </w:tc>
      </w:tr>
      <w:tr w:rsidR="009248E1" w14:paraId="0F06246A" w14:textId="77777777" w:rsidTr="00104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43761C5A" w14:textId="77777777" w:rsidR="00FD01CD" w:rsidRPr="00811527" w:rsidRDefault="00FD01CD" w:rsidP="00104784">
            <w:pPr>
              <w:jc w:val="center"/>
              <w:rPr>
                <w:rFonts w:ascii="Arial" w:hAnsi="Arial" w:cs="Arial"/>
                <w:b w:val="0"/>
              </w:rPr>
            </w:pPr>
            <w:r w:rsidRPr="00811527">
              <w:rPr>
                <w:rFonts w:ascii="Arial" w:hAnsi="Arial" w:cs="Arial"/>
                <w:b w:val="0"/>
              </w:rPr>
              <w:t>Termocentro</w:t>
            </w:r>
          </w:p>
        </w:tc>
        <w:tc>
          <w:tcPr>
            <w:tcW w:w="1701" w:type="dxa"/>
          </w:tcPr>
          <w:p w14:paraId="252A8E3A" w14:textId="77777777" w:rsidR="00FD01CD" w:rsidRPr="00811527" w:rsidRDefault="00FD01CD" w:rsidP="001047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1527">
              <w:rPr>
                <w:rFonts w:ascii="Arial" w:hAnsi="Arial" w:cs="Arial"/>
              </w:rPr>
              <w:t>10</w:t>
            </w:r>
          </w:p>
        </w:tc>
      </w:tr>
      <w:tr w:rsidR="009248E1" w14:paraId="179DB1E9" w14:textId="77777777" w:rsidTr="00104784">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2AB3B663" w14:textId="77777777" w:rsidR="00FD01CD" w:rsidRPr="00811527" w:rsidRDefault="00FD01CD" w:rsidP="00104784">
            <w:pPr>
              <w:jc w:val="center"/>
              <w:rPr>
                <w:rFonts w:ascii="Arial" w:hAnsi="Arial" w:cs="Arial"/>
                <w:b w:val="0"/>
              </w:rPr>
            </w:pPr>
            <w:proofErr w:type="spellStart"/>
            <w:r w:rsidRPr="00811527">
              <w:rPr>
                <w:rFonts w:ascii="Arial" w:hAnsi="Arial" w:cs="Arial"/>
                <w:b w:val="0"/>
              </w:rPr>
              <w:t>Termoemcali</w:t>
            </w:r>
            <w:proofErr w:type="spellEnd"/>
          </w:p>
        </w:tc>
        <w:tc>
          <w:tcPr>
            <w:tcW w:w="1701" w:type="dxa"/>
          </w:tcPr>
          <w:p w14:paraId="4B68AFFB" w14:textId="77777777" w:rsidR="00FD01CD" w:rsidRPr="00811527" w:rsidRDefault="00FD01CD" w:rsidP="001047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1527">
              <w:rPr>
                <w:rFonts w:ascii="Arial" w:hAnsi="Arial" w:cs="Arial"/>
              </w:rPr>
              <w:t>2</w:t>
            </w:r>
          </w:p>
        </w:tc>
      </w:tr>
      <w:tr w:rsidR="009248E1" w14:paraId="2BCA2E7B" w14:textId="77777777" w:rsidTr="00104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0C489923" w14:textId="77777777" w:rsidR="00FD01CD" w:rsidRPr="00811527" w:rsidRDefault="00FD01CD" w:rsidP="00104784">
            <w:pPr>
              <w:jc w:val="center"/>
              <w:rPr>
                <w:rFonts w:ascii="Arial" w:hAnsi="Arial" w:cs="Arial"/>
                <w:b w:val="0"/>
              </w:rPr>
            </w:pPr>
            <w:r w:rsidRPr="00811527">
              <w:rPr>
                <w:rFonts w:ascii="Arial" w:hAnsi="Arial" w:cs="Arial"/>
                <w:b w:val="0"/>
              </w:rPr>
              <w:t>Termosierra</w:t>
            </w:r>
          </w:p>
        </w:tc>
        <w:tc>
          <w:tcPr>
            <w:tcW w:w="1701" w:type="dxa"/>
          </w:tcPr>
          <w:p w14:paraId="58277FEC" w14:textId="77777777" w:rsidR="00FD01CD" w:rsidRPr="00811527" w:rsidRDefault="00FD01CD" w:rsidP="001047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1527">
              <w:rPr>
                <w:rFonts w:ascii="Arial" w:hAnsi="Arial" w:cs="Arial"/>
              </w:rPr>
              <w:t>13</w:t>
            </w:r>
          </w:p>
        </w:tc>
      </w:tr>
      <w:tr w:rsidR="009248E1" w14:paraId="7F0A7BF4" w14:textId="77777777" w:rsidTr="00104784">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458DBFF4" w14:textId="77777777" w:rsidR="00FD01CD" w:rsidRPr="00811527" w:rsidRDefault="00FD01CD" w:rsidP="00104784">
            <w:pPr>
              <w:jc w:val="center"/>
              <w:rPr>
                <w:rFonts w:ascii="Arial" w:hAnsi="Arial" w:cs="Arial"/>
                <w:b w:val="0"/>
              </w:rPr>
            </w:pPr>
            <w:r w:rsidRPr="00811527">
              <w:rPr>
                <w:rFonts w:ascii="Arial" w:hAnsi="Arial" w:cs="Arial"/>
                <w:b w:val="0"/>
              </w:rPr>
              <w:t>Termovalle</w:t>
            </w:r>
          </w:p>
        </w:tc>
        <w:tc>
          <w:tcPr>
            <w:tcW w:w="1701" w:type="dxa"/>
          </w:tcPr>
          <w:p w14:paraId="6A09C3E3" w14:textId="77777777" w:rsidR="00FD01CD" w:rsidRPr="00811527" w:rsidRDefault="00FD01CD" w:rsidP="0010478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1527">
              <w:rPr>
                <w:rFonts w:ascii="Arial" w:hAnsi="Arial" w:cs="Arial"/>
              </w:rPr>
              <w:t>8</w:t>
            </w:r>
          </w:p>
        </w:tc>
      </w:tr>
      <w:tr w:rsidR="009248E1" w14:paraId="7FFDC303" w14:textId="77777777" w:rsidTr="00104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66CABF71" w14:textId="77777777" w:rsidR="00FD01CD" w:rsidRPr="00811527" w:rsidRDefault="00FD01CD" w:rsidP="00104784">
            <w:pPr>
              <w:jc w:val="center"/>
              <w:rPr>
                <w:rFonts w:ascii="Arial" w:hAnsi="Arial" w:cs="Arial"/>
                <w:b w:val="0"/>
              </w:rPr>
            </w:pPr>
            <w:proofErr w:type="spellStart"/>
            <w:r w:rsidRPr="00811527">
              <w:rPr>
                <w:rFonts w:ascii="Arial" w:hAnsi="Arial" w:cs="Arial"/>
                <w:b w:val="0"/>
              </w:rPr>
              <w:t>Tebsa</w:t>
            </w:r>
            <w:proofErr w:type="spellEnd"/>
          </w:p>
        </w:tc>
        <w:tc>
          <w:tcPr>
            <w:tcW w:w="1701" w:type="dxa"/>
          </w:tcPr>
          <w:p w14:paraId="0B1F3D0D" w14:textId="77777777" w:rsidR="00FD01CD" w:rsidRPr="00811527" w:rsidRDefault="00FD01CD" w:rsidP="0010478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1527">
              <w:rPr>
                <w:rFonts w:ascii="Arial" w:hAnsi="Arial" w:cs="Arial"/>
              </w:rPr>
              <w:t>48</w:t>
            </w:r>
          </w:p>
        </w:tc>
      </w:tr>
    </w:tbl>
    <w:p w14:paraId="6CCE0FD9" w14:textId="77777777" w:rsidR="00FD01CD" w:rsidRDefault="00FD01CD" w:rsidP="00FD01CD"/>
    <w:p w14:paraId="3842F57D" w14:textId="441EDA7C" w:rsidR="00FD01CD" w:rsidRPr="004C7789" w:rsidRDefault="00FD01CD" w:rsidP="00FD01CD">
      <w:pPr>
        <w:pStyle w:val="Descripcin"/>
      </w:pPr>
      <w:bookmarkStart w:id="4" w:name="_Toc6908728"/>
      <w:bookmarkStart w:id="5" w:name="_Toc33023680"/>
      <w:bookmarkStart w:id="6" w:name="_Toc113907830"/>
      <w:r>
        <w:t xml:space="preserve">Tabla </w:t>
      </w:r>
      <w:r>
        <w:fldChar w:fldCharType="begin"/>
      </w:r>
      <w:r>
        <w:instrText xml:space="preserve"> SEQ Tabla \* ARABIC </w:instrText>
      </w:r>
      <w:r>
        <w:fldChar w:fldCharType="separate"/>
      </w:r>
      <w:r w:rsidR="00837A36">
        <w:rPr>
          <w:noProof/>
        </w:rPr>
        <w:t>1</w:t>
      </w:r>
      <w:r>
        <w:fldChar w:fldCharType="end"/>
      </w:r>
      <w:r w:rsidRPr="004C7789">
        <w:t xml:space="preserve">. </w:t>
      </w:r>
      <w:r>
        <w:t>Configuraciones plantas térmicas ciclo combinado</w:t>
      </w:r>
      <w:bookmarkEnd w:id="4"/>
      <w:bookmarkEnd w:id="5"/>
      <w:bookmarkEnd w:id="6"/>
    </w:p>
    <w:p w14:paraId="09E7C088"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lastRenderedPageBreak/>
        <w:t>En el caso de las plantas térmicas, las configuraciones posibles tienen precios y costos de arranque-parada diferentes. Además, las configuraciones son excluyentes.</w:t>
      </w:r>
    </w:p>
    <w:p w14:paraId="1AD1DEC6" w14:textId="77777777" w:rsidR="00FD01CD" w:rsidRPr="0048016B" w:rsidRDefault="00FD01CD" w:rsidP="0048016B">
      <w:pPr>
        <w:ind w:left="0"/>
        <w:jc w:val="both"/>
        <w:rPr>
          <w:rFonts w:ascii="Bookman Old Style" w:hAnsi="Bookman Old Style" w:cs="Arial"/>
        </w:rPr>
      </w:pPr>
    </w:p>
    <w:p w14:paraId="005C22B5"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Para la operación diaria, teniendo en cuenta la eficiencia del sistema, puede ser conveniente una configuración diferente a la ofertada por el agente. El problema se presenta, cuando a partir de las reglas actuales, el agente declara una sola configuración, pero la planta puede tener más configuraciones disponibles, dentro de las cuales, algunas podrían ser más eficientes para el sistema, dado que, por ejemplo, para el sistema en una determinada condición es más conveniente tener la configuración de mayor mínimo técnico, y en otras condiciones es más conveniente la configuración de menor mínimo técnico.</w:t>
      </w:r>
    </w:p>
    <w:p w14:paraId="69AC25E2" w14:textId="77777777" w:rsidR="00FD01CD" w:rsidRPr="0048016B" w:rsidRDefault="00FD01CD" w:rsidP="0048016B">
      <w:pPr>
        <w:ind w:left="0"/>
        <w:jc w:val="both"/>
        <w:rPr>
          <w:rFonts w:ascii="Bookman Old Style" w:hAnsi="Bookman Old Style" w:cs="Arial"/>
        </w:rPr>
      </w:pPr>
    </w:p>
    <w:p w14:paraId="0C364EC9"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La anterior situación, se hace más relevante en el caso del despacho de plantas de ciclo combinado para atender restricciones, en donde se puede dar el caso de tener que operar una configuración con mínimo técnico alto, siendo que para atender la condición de la red se puede hacer con una configuración con mínimo técnico menor. Lo que hace más costoso la operación del sistema y los costos de las restricciones son mayores.</w:t>
      </w:r>
    </w:p>
    <w:p w14:paraId="1A79244D" w14:textId="77777777" w:rsidR="00FD01CD" w:rsidRPr="0048016B" w:rsidRDefault="00FD01CD" w:rsidP="0048016B">
      <w:pPr>
        <w:ind w:left="0"/>
        <w:jc w:val="both"/>
        <w:rPr>
          <w:rFonts w:ascii="Bookman Old Style" w:hAnsi="Bookman Old Style" w:cs="Arial"/>
        </w:rPr>
      </w:pPr>
    </w:p>
    <w:p w14:paraId="42A1BB27" w14:textId="77777777" w:rsidR="00FD01CD" w:rsidRPr="00A60A9E" w:rsidRDefault="00FD01CD" w:rsidP="00AF23F4">
      <w:pPr>
        <w:ind w:left="0"/>
        <w:jc w:val="center"/>
        <w:rPr>
          <w:rFonts w:ascii="Bookman Old Style" w:hAnsi="Bookman Old Style" w:cs="Arial"/>
          <w:b/>
          <w:bCs/>
        </w:rPr>
      </w:pPr>
      <w:r w:rsidRPr="00A60A9E">
        <w:rPr>
          <w:rFonts w:ascii="Bookman Old Style" w:hAnsi="Bookman Old Style" w:cs="Arial"/>
          <w:b/>
          <w:bCs/>
        </w:rPr>
        <w:t>Precios de Arranque – Parada</w:t>
      </w:r>
    </w:p>
    <w:p w14:paraId="51959F5C" w14:textId="77777777" w:rsidR="00FD01CD" w:rsidRPr="0048016B" w:rsidRDefault="00FD01CD" w:rsidP="0048016B">
      <w:pPr>
        <w:ind w:left="0"/>
        <w:jc w:val="both"/>
        <w:rPr>
          <w:rFonts w:ascii="Bookman Old Style" w:hAnsi="Bookman Old Style" w:cs="Arial"/>
        </w:rPr>
      </w:pPr>
    </w:p>
    <w:p w14:paraId="740F5E3E"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Para considerar los precios de arranque – parada de las plantas térmicas, la reglamentación considera lo siguiente:</w:t>
      </w:r>
    </w:p>
    <w:p w14:paraId="0C9F57DA" w14:textId="77777777" w:rsidR="00FD01CD" w:rsidRPr="0048016B" w:rsidRDefault="00FD01CD" w:rsidP="0048016B">
      <w:pPr>
        <w:ind w:left="0"/>
        <w:jc w:val="both"/>
        <w:rPr>
          <w:rFonts w:ascii="Bookman Old Style" w:hAnsi="Bookman Old Style" w:cs="Arial"/>
        </w:rPr>
      </w:pPr>
    </w:p>
    <w:p w14:paraId="57FA0C41"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Período de transición. Corresponde al período de 5 meses previsto en la Resolución CREG 101 028 de 2022 para adelantar en el proceso de despacho los ajustes previstos, cual finaliza en febrero de 2023. </w:t>
      </w:r>
    </w:p>
    <w:p w14:paraId="2EB4ED16" w14:textId="77777777" w:rsidR="00FD01CD" w:rsidRPr="0048016B" w:rsidRDefault="00FD01CD" w:rsidP="0048016B">
      <w:pPr>
        <w:ind w:left="0"/>
        <w:jc w:val="both"/>
        <w:rPr>
          <w:rFonts w:ascii="Bookman Old Style" w:hAnsi="Bookman Old Style" w:cs="Arial"/>
        </w:rPr>
      </w:pPr>
    </w:p>
    <w:p w14:paraId="6DF825CD"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Para dicho período los costos de arranque – parada se siguen manejando en la misma forma en que se ha venido haciendo, es decir, los agentes ofertan cada trimestre el precio de arranque – parada por tipo de combustible y configuración.</w:t>
      </w:r>
    </w:p>
    <w:p w14:paraId="63CF2E3E" w14:textId="77777777" w:rsidR="00FD01CD" w:rsidRPr="0048016B" w:rsidRDefault="00FD01CD" w:rsidP="0048016B">
      <w:pPr>
        <w:ind w:left="0"/>
        <w:jc w:val="both"/>
        <w:rPr>
          <w:rFonts w:ascii="Bookman Old Style" w:hAnsi="Bookman Old Style" w:cs="Arial"/>
        </w:rPr>
      </w:pPr>
    </w:p>
    <w:p w14:paraId="1E2DFBA2"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El cambio que se tiene previsto en la transición es que los agentes con plantas de ciclo combinado ofertarán diariamente la disponibilidad y precios de energía de cada configuración disponible registrada en cumplimiento de los acuerdos del C.N.O. Luego, para adelantar el despacho para atender las necesidades del sistema, el Centro Nacional de Despacho (CND) seleccionará la configuración de la planta de ciclo combinado con mayor disponibilidad de generación y el menor mínimo técnico que cumpla con los requerimientos eléctrico y operativos del área.</w:t>
      </w:r>
    </w:p>
    <w:p w14:paraId="651B3A09" w14:textId="77777777" w:rsidR="00FD01CD" w:rsidRPr="0048016B" w:rsidRDefault="00FD01CD" w:rsidP="0048016B">
      <w:pPr>
        <w:ind w:left="0"/>
        <w:jc w:val="both"/>
        <w:rPr>
          <w:rFonts w:ascii="Bookman Old Style" w:hAnsi="Bookman Old Style" w:cs="Arial"/>
        </w:rPr>
      </w:pPr>
    </w:p>
    <w:p w14:paraId="608E5059" w14:textId="5861B175" w:rsidR="00FD01CD" w:rsidRPr="0048016B" w:rsidRDefault="00FD01CD" w:rsidP="0048016B">
      <w:pPr>
        <w:ind w:left="0"/>
        <w:jc w:val="both"/>
        <w:rPr>
          <w:rFonts w:ascii="Bookman Old Style" w:hAnsi="Bookman Old Style" w:cs="Arial"/>
        </w:rPr>
      </w:pPr>
      <w:r w:rsidRPr="0048016B">
        <w:rPr>
          <w:rFonts w:ascii="Bookman Old Style" w:hAnsi="Bookman Old Style" w:cs="Arial"/>
        </w:rPr>
        <w:t>Es decir, la configuración que entra al proceso de despacho del sistema cuenta con los precios de arranque – parada, precios de energía y disponibilidad entregados por el agente. Por lo tanto, pasamos de un proceso en el cual el agente selecciona la configuración que declara al sistema, a otro proceso en donde se selecciona la configuración más conveniente para el sistema.</w:t>
      </w:r>
    </w:p>
    <w:p w14:paraId="4EAD4172" w14:textId="77777777" w:rsidR="00FD01CD" w:rsidRPr="0048016B" w:rsidRDefault="00FD01CD" w:rsidP="0048016B">
      <w:pPr>
        <w:ind w:left="0"/>
        <w:jc w:val="both"/>
        <w:rPr>
          <w:rFonts w:ascii="Bookman Old Style" w:hAnsi="Bookman Old Style" w:cs="Arial"/>
        </w:rPr>
      </w:pPr>
    </w:p>
    <w:p w14:paraId="67B48775"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lastRenderedPageBreak/>
        <w:t>Período definitivo. Es el período a partir del cual se tienen implementadas las modificaciones al despacho prevista en la Resolución CREG 101 028 de 2022.</w:t>
      </w:r>
    </w:p>
    <w:p w14:paraId="13BD7391" w14:textId="77777777" w:rsidR="00FD01CD" w:rsidRPr="0048016B" w:rsidRDefault="00FD01CD" w:rsidP="0048016B">
      <w:pPr>
        <w:ind w:left="0"/>
        <w:jc w:val="both"/>
        <w:rPr>
          <w:rFonts w:ascii="Bookman Old Style" w:hAnsi="Bookman Old Style" w:cs="Arial"/>
        </w:rPr>
      </w:pPr>
    </w:p>
    <w:p w14:paraId="66072FE8" w14:textId="689915D4" w:rsidR="00FD01CD" w:rsidRPr="0048016B" w:rsidRDefault="00FD01CD" w:rsidP="0048016B">
      <w:pPr>
        <w:ind w:left="0"/>
        <w:jc w:val="both"/>
        <w:rPr>
          <w:rFonts w:ascii="Bookman Old Style" w:hAnsi="Bookman Old Style" w:cs="Arial"/>
        </w:rPr>
      </w:pPr>
      <w:r w:rsidRPr="0048016B">
        <w:rPr>
          <w:rFonts w:ascii="Bookman Old Style" w:hAnsi="Bookman Old Style" w:cs="Arial"/>
        </w:rPr>
        <w:t>Para este período los precios de arranque – parada se van a ofertar trimestralmente con mayor detalle, de tal forma que el agente con plantas de ciclo combinado deberá reportar los precios de arranque – parada por tipo de combustible, unidad de generación y estado térmico: frio, tibio y caliente. Esto último dado que son diferentes los costos de operación de una maquina cuando inicia su operación desde un estado: fr</w:t>
      </w:r>
      <w:r w:rsidR="00C6514C">
        <w:rPr>
          <w:rFonts w:ascii="Bookman Old Style" w:hAnsi="Bookman Old Style" w:cs="Arial"/>
        </w:rPr>
        <w:t>í</w:t>
      </w:r>
      <w:r w:rsidRPr="0048016B">
        <w:rPr>
          <w:rFonts w:ascii="Bookman Old Style" w:hAnsi="Bookman Old Style" w:cs="Arial"/>
        </w:rPr>
        <w:t>o, tibio o caliente. Tal como se explica en el documento CREG 101 029 de 2022.</w:t>
      </w:r>
    </w:p>
    <w:p w14:paraId="3CC5B3E5" w14:textId="77777777" w:rsidR="00FD01CD" w:rsidRPr="0048016B" w:rsidRDefault="00FD01CD" w:rsidP="0048016B">
      <w:pPr>
        <w:ind w:left="0"/>
        <w:jc w:val="both"/>
        <w:rPr>
          <w:rFonts w:ascii="Bookman Old Style" w:hAnsi="Bookman Old Style" w:cs="Arial"/>
        </w:rPr>
      </w:pPr>
    </w:p>
    <w:p w14:paraId="07931F27"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Adicionalmente, los agentes con plantas de ciclo combinado deberán declarar la disponibilidad las unidades que la conforman, siendo que la disponibilidad de la configuración no podrá ser mayor a la disponibilidad de las unidades que la conforman. Por otra parte, se continúa con la oferta de precios de energía por configuración.</w:t>
      </w:r>
    </w:p>
    <w:p w14:paraId="321ECF2B" w14:textId="77777777" w:rsidR="00FD01CD" w:rsidRPr="0048016B" w:rsidRDefault="00FD01CD" w:rsidP="0048016B">
      <w:pPr>
        <w:ind w:left="0"/>
        <w:jc w:val="both"/>
        <w:rPr>
          <w:rFonts w:ascii="Bookman Old Style" w:hAnsi="Bookman Old Style" w:cs="Arial"/>
        </w:rPr>
      </w:pPr>
    </w:p>
    <w:p w14:paraId="62FE80B5"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Con la información desagregada de los precios de arranque – parada por unidad y estado, y la disponibilidad por unidades y los precios de las configuraciones, se adelanta el proceso de despacho para atender las necesidades del sistema, para que sea mediante el proceso de despacho la selección de la configuración que optimiza la operación del sistema. Mediante dicho proceso, se remuneran las unidades de generación de la(s) configuración(es) de las plantas de ciclo combinado que se vaya(n) requiriendo.</w:t>
      </w:r>
    </w:p>
    <w:p w14:paraId="589C82A8" w14:textId="77777777" w:rsidR="00FD01CD" w:rsidRPr="0048016B" w:rsidRDefault="00FD01CD" w:rsidP="0048016B">
      <w:pPr>
        <w:ind w:left="0"/>
        <w:jc w:val="both"/>
        <w:rPr>
          <w:rFonts w:ascii="Bookman Old Style" w:hAnsi="Bookman Old Style" w:cs="Arial"/>
        </w:rPr>
      </w:pPr>
    </w:p>
    <w:p w14:paraId="074D5E3F"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Por lo tanto, pasamos de un proceso en el cual el agente selecciona la configuración que declara al sistema, a otro proceso en donde se selecciona(n) la(s) configuración(es) más conveniente(s) para el sistema a través del proceso de optimización.</w:t>
      </w:r>
    </w:p>
    <w:p w14:paraId="3E2549FD" w14:textId="77777777" w:rsidR="00FD01CD" w:rsidRPr="0048016B" w:rsidRDefault="00FD01CD" w:rsidP="0048016B">
      <w:pPr>
        <w:ind w:left="0"/>
        <w:jc w:val="both"/>
        <w:rPr>
          <w:rFonts w:ascii="Bookman Old Style" w:hAnsi="Bookman Old Style" w:cs="Arial"/>
        </w:rPr>
      </w:pPr>
    </w:p>
    <w:p w14:paraId="3794441B" w14:textId="77777777" w:rsidR="00FD01CD" w:rsidRPr="0048016B" w:rsidRDefault="00FD01CD" w:rsidP="0048016B">
      <w:pPr>
        <w:ind w:left="0"/>
        <w:jc w:val="both"/>
        <w:rPr>
          <w:rFonts w:ascii="Bookman Old Style" w:hAnsi="Bookman Old Style" w:cs="Arial"/>
        </w:rPr>
      </w:pPr>
      <w:r w:rsidRPr="0048016B">
        <w:rPr>
          <w:rFonts w:ascii="Bookman Old Style" w:hAnsi="Bookman Old Style" w:cs="Arial"/>
        </w:rPr>
        <w:t>Finalmente, lo que nos muestra las anteriores reglas es que se tienen previstas las metodologías para que se remuneren los precios de arranque – parada de las plantas de ciclo combinado, siempre buscado la operación optima del sistema.</w:t>
      </w:r>
    </w:p>
    <w:p w14:paraId="4E058771" w14:textId="77777777" w:rsidR="00FD01CD" w:rsidRPr="0048016B" w:rsidRDefault="00FD01CD" w:rsidP="0048016B">
      <w:pPr>
        <w:ind w:left="0"/>
        <w:jc w:val="both"/>
        <w:rPr>
          <w:rFonts w:ascii="Bookman Old Style" w:hAnsi="Bookman Old Style" w:cs="Arial"/>
        </w:rPr>
      </w:pPr>
    </w:p>
    <w:p w14:paraId="4529C667" w14:textId="7FACDC85" w:rsidR="00FD01CD" w:rsidRPr="0048016B" w:rsidRDefault="1D5AA661" w:rsidP="00AF0D12">
      <w:pPr>
        <w:pStyle w:val="Ttulo1"/>
        <w:numPr>
          <w:ilvl w:val="0"/>
          <w:numId w:val="38"/>
        </w:numPr>
        <w:spacing w:line="259" w:lineRule="auto"/>
        <w:rPr>
          <w:rFonts w:ascii="Bookman Old Style" w:hAnsi="Bookman Old Style" w:cs="Arial"/>
        </w:rPr>
      </w:pPr>
      <w:r w:rsidRPr="4562BAA3">
        <w:rPr>
          <w:rFonts w:ascii="Bookman Old Style" w:hAnsi="Bookman Old Style" w:cs="Arial"/>
        </w:rPr>
        <w:t>Mercado de Gas Natural</w:t>
      </w:r>
    </w:p>
    <w:p w14:paraId="6EAD3AC7" w14:textId="77777777" w:rsidR="00FD01CD" w:rsidRPr="0048016B" w:rsidRDefault="00FD01CD" w:rsidP="0048016B">
      <w:pPr>
        <w:spacing w:line="276" w:lineRule="auto"/>
        <w:ind w:left="0"/>
        <w:jc w:val="both"/>
        <w:rPr>
          <w:rFonts w:ascii="Bookman Old Style" w:hAnsi="Bookman Old Style" w:cs="Arial"/>
        </w:rPr>
      </w:pPr>
    </w:p>
    <w:p w14:paraId="1C1391B2" w14:textId="124A5A8D" w:rsidR="1D5AA661" w:rsidRDefault="1D5AA661" w:rsidP="4562BAA3">
      <w:pPr>
        <w:ind w:left="0"/>
        <w:jc w:val="both"/>
        <w:rPr>
          <w:rFonts w:ascii="Bookman Old Style" w:eastAsia="Bookman Old Style" w:hAnsi="Bookman Old Style" w:cs="Bookman Old Style"/>
        </w:rPr>
      </w:pPr>
      <w:r w:rsidRPr="4562BAA3">
        <w:rPr>
          <w:rFonts w:ascii="Bookman Old Style" w:hAnsi="Bookman Old Style" w:cs="Arial"/>
        </w:rPr>
        <w:t xml:space="preserve">En  cuanto al mercado de gas natural, el cual se tiene reglamentado por las Resoluciones </w:t>
      </w:r>
      <w:r w:rsidR="0C5557AC" w:rsidRPr="4562BAA3">
        <w:rPr>
          <w:rFonts w:ascii="Bookman Old Style" w:hAnsi="Bookman Old Style" w:cs="Arial"/>
        </w:rPr>
        <w:t>CREG 071 de 1999 “</w:t>
      </w:r>
      <w:r w:rsidR="0C5557AC" w:rsidRPr="00AF0D12">
        <w:rPr>
          <w:rFonts w:ascii="Bookman Old Style" w:eastAsia="Bookman Old Style" w:hAnsi="Bookman Old Style" w:cs="Bookman Old Style"/>
          <w:i/>
          <w:iCs/>
        </w:rPr>
        <w:t xml:space="preserve">Por la cual se establece el Reglamento </w:t>
      </w:r>
      <w:r w:rsidR="7E693340" w:rsidRPr="4562BAA3">
        <w:rPr>
          <w:rFonts w:ascii="Bookman Old Style" w:eastAsia="Bookman Old Style" w:hAnsi="Bookman Old Style" w:cs="Bookman Old Style"/>
          <w:i/>
          <w:iCs/>
        </w:rPr>
        <w:t>Único</w:t>
      </w:r>
      <w:r w:rsidR="0C5557AC" w:rsidRPr="00AF0D12">
        <w:rPr>
          <w:rFonts w:ascii="Bookman Old Style" w:eastAsia="Bookman Old Style" w:hAnsi="Bookman Old Style" w:cs="Bookman Old Style"/>
          <w:i/>
          <w:iCs/>
        </w:rPr>
        <w:t xml:space="preserve"> de Transporte de Gas Natural- (RUT)</w:t>
      </w:r>
      <w:r w:rsidR="0C5557AC" w:rsidRPr="4562BAA3">
        <w:rPr>
          <w:rFonts w:ascii="Arial" w:eastAsia="Arial" w:hAnsi="Arial" w:cs="Arial"/>
          <w:color w:val="666666"/>
        </w:rPr>
        <w:t xml:space="preserve">”, </w:t>
      </w:r>
      <w:r w:rsidRPr="4562BAA3">
        <w:rPr>
          <w:rFonts w:ascii="Bookman Old Style" w:hAnsi="Bookman Old Style" w:cs="Arial"/>
        </w:rPr>
        <w:t>CREG 185 de 2020 “</w:t>
      </w:r>
      <w:r w:rsidR="0E62B650" w:rsidRPr="00AF0D12">
        <w:rPr>
          <w:rFonts w:ascii="Bookman Old Style" w:eastAsia="Bookman Old Style" w:hAnsi="Bookman Old Style" w:cs="Bookman Old Style"/>
          <w:i/>
          <w:iCs/>
        </w:rPr>
        <w:t>Por la cual se establecen disposiciones sobre la comercialización de capacidad de transporte en el mercado mayorista de gas natural</w:t>
      </w:r>
      <w:r w:rsidR="0E62B650" w:rsidRPr="4562BAA3">
        <w:rPr>
          <w:rFonts w:ascii="Bookman Old Style" w:eastAsia="Bookman Old Style" w:hAnsi="Bookman Old Style" w:cs="Bookman Old Style"/>
        </w:rPr>
        <w:t xml:space="preserve">” y </w:t>
      </w:r>
      <w:r w:rsidR="5314195D" w:rsidRPr="4562BAA3">
        <w:rPr>
          <w:rFonts w:ascii="Bookman Old Style" w:eastAsia="Bookman Old Style" w:hAnsi="Bookman Old Style" w:cs="Bookman Old Style"/>
        </w:rPr>
        <w:t>CREG 186 de 2020 “</w:t>
      </w:r>
      <w:r w:rsidR="5314195D" w:rsidRPr="00AF0D12">
        <w:rPr>
          <w:rFonts w:ascii="Bookman Old Style" w:eastAsia="Bookman Old Style" w:hAnsi="Bookman Old Style" w:cs="Bookman Old Style"/>
          <w:i/>
          <w:iCs/>
        </w:rPr>
        <w:t>Por la cual se reglamentan aspectos comerciales del suministro del mercado mayorista de gas natural</w:t>
      </w:r>
      <w:r w:rsidR="5314195D" w:rsidRPr="4562BAA3">
        <w:rPr>
          <w:rFonts w:ascii="Bookman Old Style" w:eastAsia="Bookman Old Style" w:hAnsi="Bookman Old Style" w:cs="Bookman Old Style"/>
        </w:rPr>
        <w:t xml:space="preserve">”, </w:t>
      </w:r>
      <w:r w:rsidR="3709844A" w:rsidRPr="4562BAA3">
        <w:rPr>
          <w:rFonts w:ascii="Bookman Old Style" w:eastAsia="Bookman Old Style" w:hAnsi="Bookman Old Style" w:cs="Bookman Old Style"/>
        </w:rPr>
        <w:t>y su interacción con el mercado de generación</w:t>
      </w:r>
      <w:r w:rsidR="4C5B1F5B" w:rsidRPr="4562BAA3">
        <w:rPr>
          <w:rFonts w:ascii="Bookman Old Style" w:eastAsia="Bookman Old Style" w:hAnsi="Bookman Old Style" w:cs="Bookman Old Style"/>
        </w:rPr>
        <w:t xml:space="preserve"> destacamos lo siguiente</w:t>
      </w:r>
      <w:r w:rsidR="3709844A" w:rsidRPr="4562BAA3">
        <w:rPr>
          <w:rFonts w:ascii="Bookman Old Style" w:eastAsia="Bookman Old Style" w:hAnsi="Bookman Old Style" w:cs="Bookman Old Style"/>
        </w:rPr>
        <w:t>:</w:t>
      </w:r>
    </w:p>
    <w:p w14:paraId="49808BF1" w14:textId="77777777" w:rsidR="00C619F3" w:rsidRDefault="00C619F3" w:rsidP="4562BAA3">
      <w:pPr>
        <w:ind w:left="0"/>
        <w:jc w:val="both"/>
        <w:rPr>
          <w:rFonts w:ascii="Bookman Old Style" w:eastAsia="Bookman Old Style" w:hAnsi="Bookman Old Style" w:cs="Bookman Old Style"/>
        </w:rPr>
      </w:pPr>
    </w:p>
    <w:p w14:paraId="4189661D" w14:textId="2F131EA2" w:rsidR="3709844A" w:rsidRDefault="3709844A" w:rsidP="00AF0D12">
      <w:pPr>
        <w:pStyle w:val="Prrafodelista"/>
        <w:numPr>
          <w:ilvl w:val="0"/>
          <w:numId w:val="41"/>
        </w:numPr>
        <w:jc w:val="both"/>
        <w:rPr>
          <w:rFonts w:ascii="Bookman Old Style" w:eastAsia="Bookman Old Style" w:hAnsi="Bookman Old Style" w:cs="Bookman Old Style"/>
        </w:rPr>
      </w:pPr>
      <w:r w:rsidRPr="4562BAA3">
        <w:rPr>
          <w:rFonts w:ascii="Bookman Old Style" w:eastAsia="Bookman Old Style" w:hAnsi="Bookman Old Style" w:cs="Bookman Old Style"/>
          <w:sz w:val="24"/>
          <w:szCs w:val="24"/>
          <w:lang w:val="es-ES"/>
        </w:rPr>
        <w:t>El proceso de nominación del gas (suministro y transporte) se adelanta</w:t>
      </w:r>
      <w:r w:rsidR="0BD5EE9D" w:rsidRPr="4562BAA3">
        <w:rPr>
          <w:rFonts w:ascii="Bookman Old Style" w:eastAsia="Bookman Old Style" w:hAnsi="Bookman Old Style" w:cs="Bookman Old Style"/>
          <w:sz w:val="24"/>
          <w:szCs w:val="24"/>
          <w:lang w:val="es-ES"/>
        </w:rPr>
        <w:t xml:space="preserve"> el agente </w:t>
      </w:r>
      <w:r w:rsidR="1840E3E1" w:rsidRPr="4562BAA3">
        <w:rPr>
          <w:rFonts w:ascii="Bookman Old Style" w:eastAsia="Bookman Old Style" w:hAnsi="Bookman Old Style" w:cs="Bookman Old Style"/>
          <w:sz w:val="24"/>
          <w:szCs w:val="24"/>
          <w:lang w:val="es-ES"/>
        </w:rPr>
        <w:t>en horario</w:t>
      </w:r>
      <w:r w:rsidR="2FA62CFC" w:rsidRPr="4562BAA3">
        <w:rPr>
          <w:rFonts w:ascii="Bookman Old Style" w:eastAsia="Bookman Old Style" w:hAnsi="Bookman Old Style" w:cs="Bookman Old Style"/>
          <w:sz w:val="24"/>
          <w:szCs w:val="24"/>
          <w:lang w:val="es-ES"/>
        </w:rPr>
        <w:t>s</w:t>
      </w:r>
      <w:r w:rsidRPr="4562BAA3">
        <w:rPr>
          <w:rFonts w:ascii="Bookman Old Style" w:eastAsia="Bookman Old Style" w:hAnsi="Bookman Old Style" w:cs="Bookman Old Style"/>
          <w:sz w:val="24"/>
          <w:szCs w:val="24"/>
          <w:lang w:val="es-ES"/>
        </w:rPr>
        <w:t xml:space="preserve"> posterior</w:t>
      </w:r>
      <w:r w:rsidR="74017998" w:rsidRPr="4562BAA3">
        <w:rPr>
          <w:rFonts w:ascii="Bookman Old Style" w:eastAsia="Bookman Old Style" w:hAnsi="Bookman Old Style" w:cs="Bookman Old Style"/>
          <w:sz w:val="24"/>
          <w:szCs w:val="24"/>
          <w:lang w:val="es-ES"/>
        </w:rPr>
        <w:t>es</w:t>
      </w:r>
      <w:r w:rsidRPr="4562BAA3">
        <w:rPr>
          <w:rFonts w:ascii="Bookman Old Style" w:eastAsia="Bookman Old Style" w:hAnsi="Bookman Old Style" w:cs="Bookman Old Style"/>
          <w:sz w:val="24"/>
          <w:szCs w:val="24"/>
          <w:lang w:val="es-ES"/>
        </w:rPr>
        <w:t xml:space="preserve"> a</w:t>
      </w:r>
      <w:r w:rsidR="4DF76ED9" w:rsidRPr="4562BAA3">
        <w:rPr>
          <w:rFonts w:ascii="Bookman Old Style" w:eastAsia="Bookman Old Style" w:hAnsi="Bookman Old Style" w:cs="Bookman Old Style"/>
          <w:sz w:val="24"/>
          <w:szCs w:val="24"/>
          <w:lang w:val="es-ES"/>
        </w:rPr>
        <w:t xml:space="preserve"> </w:t>
      </w:r>
      <w:r w:rsidR="5A0F8999" w:rsidRPr="4562BAA3">
        <w:rPr>
          <w:rFonts w:ascii="Bookman Old Style" w:eastAsia="Bookman Old Style" w:hAnsi="Bookman Old Style" w:cs="Bookman Old Style"/>
          <w:sz w:val="24"/>
          <w:szCs w:val="24"/>
          <w:lang w:val="es-ES"/>
        </w:rPr>
        <w:t>la p</w:t>
      </w:r>
      <w:r w:rsidR="4DF76ED9" w:rsidRPr="4562BAA3">
        <w:rPr>
          <w:rFonts w:ascii="Bookman Old Style" w:eastAsia="Bookman Old Style" w:hAnsi="Bookman Old Style" w:cs="Bookman Old Style"/>
          <w:sz w:val="24"/>
          <w:szCs w:val="24"/>
          <w:lang w:val="es-ES"/>
        </w:rPr>
        <w:t>ublica</w:t>
      </w:r>
      <w:r w:rsidR="4473115F" w:rsidRPr="4562BAA3">
        <w:rPr>
          <w:rFonts w:ascii="Bookman Old Style" w:eastAsia="Bookman Old Style" w:hAnsi="Bookman Old Style" w:cs="Bookman Old Style"/>
          <w:sz w:val="24"/>
          <w:szCs w:val="24"/>
          <w:lang w:val="es-ES"/>
        </w:rPr>
        <w:t xml:space="preserve">ción </w:t>
      </w:r>
      <w:r w:rsidR="4DF76ED9" w:rsidRPr="4562BAA3">
        <w:rPr>
          <w:rFonts w:ascii="Bookman Old Style" w:eastAsia="Bookman Old Style" w:hAnsi="Bookman Old Style" w:cs="Bookman Old Style"/>
          <w:sz w:val="24"/>
          <w:szCs w:val="24"/>
          <w:lang w:val="es-ES"/>
        </w:rPr>
        <w:t xml:space="preserve">por el CND </w:t>
      </w:r>
      <w:r w:rsidR="49D30C42" w:rsidRPr="4562BAA3">
        <w:rPr>
          <w:rFonts w:ascii="Bookman Old Style" w:eastAsia="Bookman Old Style" w:hAnsi="Bookman Old Style" w:cs="Bookman Old Style"/>
          <w:sz w:val="24"/>
          <w:szCs w:val="24"/>
          <w:lang w:val="es-ES"/>
        </w:rPr>
        <w:t>d</w:t>
      </w:r>
      <w:r w:rsidR="4DF76ED9" w:rsidRPr="4562BAA3">
        <w:rPr>
          <w:rFonts w:ascii="Bookman Old Style" w:eastAsia="Bookman Old Style" w:hAnsi="Bookman Old Style" w:cs="Bookman Old Style"/>
          <w:sz w:val="24"/>
          <w:szCs w:val="24"/>
          <w:lang w:val="es-ES"/>
        </w:rPr>
        <w:t xml:space="preserve">el programa de generación para cada una de las plantas térmicas que participan </w:t>
      </w:r>
      <w:r w:rsidR="62547B25" w:rsidRPr="4562BAA3">
        <w:rPr>
          <w:rFonts w:ascii="Bookman Old Style" w:eastAsia="Bookman Old Style" w:hAnsi="Bookman Old Style" w:cs="Bookman Old Style"/>
          <w:sz w:val="24"/>
          <w:szCs w:val="24"/>
          <w:lang w:val="es-ES"/>
        </w:rPr>
        <w:t>en</w:t>
      </w:r>
      <w:r w:rsidR="4BF8F57D" w:rsidRPr="4562BAA3">
        <w:rPr>
          <w:rFonts w:ascii="Bookman Old Style" w:eastAsia="Bookman Old Style" w:hAnsi="Bookman Old Style" w:cs="Bookman Old Style"/>
          <w:sz w:val="24"/>
          <w:szCs w:val="24"/>
          <w:lang w:val="es-ES"/>
        </w:rPr>
        <w:t xml:space="preserve"> el</w:t>
      </w:r>
      <w:r w:rsidR="62547B25" w:rsidRPr="4562BAA3">
        <w:rPr>
          <w:rFonts w:ascii="Bookman Old Style" w:eastAsia="Bookman Old Style" w:hAnsi="Bookman Old Style" w:cs="Bookman Old Style"/>
          <w:sz w:val="24"/>
          <w:szCs w:val="24"/>
          <w:lang w:val="es-ES"/>
        </w:rPr>
        <w:t xml:space="preserve"> despacho</w:t>
      </w:r>
      <w:r w:rsidRPr="4562BAA3">
        <w:rPr>
          <w:rFonts w:ascii="Bookman Old Style" w:eastAsia="Bookman Old Style" w:hAnsi="Bookman Old Style" w:cs="Bookman Old Style"/>
          <w:sz w:val="24"/>
          <w:szCs w:val="24"/>
          <w:lang w:val="es-ES"/>
        </w:rPr>
        <w:t>.</w:t>
      </w:r>
    </w:p>
    <w:p w14:paraId="0FCD87A1" w14:textId="0B87C8EF" w:rsidR="4562BAA3" w:rsidRDefault="4562BAA3" w:rsidP="00AF0D12">
      <w:pPr>
        <w:ind w:left="0"/>
        <w:jc w:val="both"/>
        <w:rPr>
          <w:rFonts w:ascii="Bookman Old Style" w:eastAsia="Bookman Old Style" w:hAnsi="Bookman Old Style" w:cs="Bookman Old Style"/>
        </w:rPr>
      </w:pPr>
    </w:p>
    <w:p w14:paraId="27514E41" w14:textId="09FD6AEE" w:rsidR="4DA23960" w:rsidRDefault="4DA23960" w:rsidP="00AF0D12">
      <w:pPr>
        <w:pStyle w:val="Prrafodelista"/>
        <w:numPr>
          <w:ilvl w:val="0"/>
          <w:numId w:val="41"/>
        </w:numPr>
        <w:jc w:val="both"/>
        <w:rPr>
          <w:rFonts w:ascii="Bookman Old Style" w:eastAsia="Bookman Old Style" w:hAnsi="Bookman Old Style" w:cs="Bookman Old Style"/>
        </w:rPr>
      </w:pPr>
      <w:r w:rsidRPr="4562BAA3">
        <w:rPr>
          <w:rFonts w:ascii="Bookman Old Style" w:eastAsia="Bookman Old Style" w:hAnsi="Bookman Old Style" w:cs="Bookman Old Style"/>
          <w:sz w:val="24"/>
          <w:szCs w:val="24"/>
          <w:lang w:val="es-ES"/>
        </w:rPr>
        <w:lastRenderedPageBreak/>
        <w:t xml:space="preserve">Existen </w:t>
      </w:r>
      <w:r w:rsidR="6A8F49A9" w:rsidRPr="4562BAA3">
        <w:rPr>
          <w:rFonts w:ascii="Bookman Old Style" w:eastAsia="Bookman Old Style" w:hAnsi="Bookman Old Style" w:cs="Bookman Old Style"/>
          <w:sz w:val="24"/>
          <w:szCs w:val="24"/>
          <w:lang w:val="es-ES"/>
        </w:rPr>
        <w:t xml:space="preserve">consideraciones </w:t>
      </w:r>
      <w:r w:rsidRPr="4562BAA3">
        <w:rPr>
          <w:rFonts w:ascii="Bookman Old Style" w:eastAsia="Bookman Old Style" w:hAnsi="Bookman Old Style" w:cs="Bookman Old Style"/>
          <w:sz w:val="24"/>
          <w:szCs w:val="24"/>
          <w:lang w:val="es-ES"/>
        </w:rPr>
        <w:t xml:space="preserve">operativas y </w:t>
      </w:r>
      <w:r w:rsidR="3E5FBF91" w:rsidRPr="4562BAA3">
        <w:rPr>
          <w:rFonts w:ascii="Bookman Old Style" w:eastAsia="Bookman Old Style" w:hAnsi="Bookman Old Style" w:cs="Bookman Old Style"/>
          <w:sz w:val="24"/>
          <w:szCs w:val="24"/>
          <w:lang w:val="es-ES"/>
        </w:rPr>
        <w:t xml:space="preserve">tiempos </w:t>
      </w:r>
      <w:r w:rsidRPr="4562BAA3">
        <w:rPr>
          <w:rFonts w:ascii="Bookman Old Style" w:eastAsia="Bookman Old Style" w:hAnsi="Bookman Old Style" w:cs="Bookman Old Style"/>
          <w:sz w:val="24"/>
          <w:szCs w:val="24"/>
          <w:lang w:val="es-ES"/>
        </w:rPr>
        <w:t>para ate</w:t>
      </w:r>
      <w:r w:rsidR="0CCED512" w:rsidRPr="4562BAA3">
        <w:rPr>
          <w:rFonts w:ascii="Bookman Old Style" w:eastAsia="Bookman Old Style" w:hAnsi="Bookman Old Style" w:cs="Bookman Old Style"/>
          <w:sz w:val="24"/>
          <w:szCs w:val="24"/>
          <w:lang w:val="es-ES"/>
        </w:rPr>
        <w:t xml:space="preserve">nder los redespachos y </w:t>
      </w:r>
      <w:r w:rsidR="55CC0A95" w:rsidRPr="4562BAA3">
        <w:rPr>
          <w:rFonts w:ascii="Bookman Old Style" w:eastAsia="Bookman Old Style" w:hAnsi="Bookman Old Style" w:cs="Bookman Old Style"/>
          <w:sz w:val="24"/>
          <w:szCs w:val="24"/>
          <w:lang w:val="es-ES"/>
        </w:rPr>
        <w:t xml:space="preserve">autorizaciones que </w:t>
      </w:r>
      <w:r w:rsidR="267051D8" w:rsidRPr="4562BAA3">
        <w:rPr>
          <w:rFonts w:ascii="Bookman Old Style" w:eastAsia="Bookman Old Style" w:hAnsi="Bookman Old Style" w:cs="Bookman Old Style"/>
          <w:sz w:val="24"/>
          <w:szCs w:val="24"/>
          <w:lang w:val="es-ES"/>
        </w:rPr>
        <w:t xml:space="preserve">presenten los generadores térmicos originados por requerimientos del CND, </w:t>
      </w:r>
      <w:r w:rsidR="5E22E80E" w:rsidRPr="4562BAA3">
        <w:rPr>
          <w:rFonts w:ascii="Bookman Old Style" w:eastAsia="Bookman Old Style" w:hAnsi="Bookman Old Style" w:cs="Bookman Old Style"/>
          <w:sz w:val="24"/>
          <w:szCs w:val="24"/>
          <w:lang w:val="es-ES"/>
        </w:rPr>
        <w:t xml:space="preserve">con </w:t>
      </w:r>
      <w:r w:rsidR="0A1094F2" w:rsidRPr="4562BAA3">
        <w:rPr>
          <w:rFonts w:ascii="Bookman Old Style" w:eastAsia="Bookman Old Style" w:hAnsi="Bookman Old Style" w:cs="Bookman Old Style"/>
          <w:sz w:val="24"/>
          <w:szCs w:val="24"/>
          <w:lang w:val="es-ES"/>
        </w:rPr>
        <w:t xml:space="preserve">sujeción a </w:t>
      </w:r>
      <w:r w:rsidR="5E22E80E" w:rsidRPr="4562BAA3">
        <w:rPr>
          <w:rFonts w:ascii="Bookman Old Style" w:eastAsia="Bookman Old Style" w:hAnsi="Bookman Old Style" w:cs="Bookman Old Style"/>
          <w:sz w:val="24"/>
          <w:szCs w:val="24"/>
          <w:lang w:val="es-ES"/>
        </w:rPr>
        <w:t xml:space="preserve">las disponibilidades de </w:t>
      </w:r>
      <w:r w:rsidR="485BB0DF" w:rsidRPr="4562BAA3">
        <w:rPr>
          <w:rFonts w:ascii="Bookman Old Style" w:eastAsia="Bookman Old Style" w:hAnsi="Bookman Old Style" w:cs="Bookman Old Style"/>
          <w:sz w:val="24"/>
          <w:szCs w:val="24"/>
          <w:lang w:val="es-ES"/>
        </w:rPr>
        <w:t xml:space="preserve">las </w:t>
      </w:r>
      <w:r w:rsidR="5E22E80E" w:rsidRPr="4562BAA3">
        <w:rPr>
          <w:rFonts w:ascii="Bookman Old Style" w:eastAsia="Bookman Old Style" w:hAnsi="Bookman Old Style" w:cs="Bookman Old Style"/>
          <w:sz w:val="24"/>
          <w:szCs w:val="24"/>
          <w:lang w:val="es-ES"/>
        </w:rPr>
        <w:t>plantas térmicas declaradas por los agentes</w:t>
      </w:r>
      <w:r w:rsidR="4DE8BED9" w:rsidRPr="4562BAA3">
        <w:rPr>
          <w:rFonts w:ascii="Bookman Old Style" w:eastAsia="Bookman Old Style" w:hAnsi="Bookman Old Style" w:cs="Bookman Old Style"/>
          <w:sz w:val="24"/>
          <w:szCs w:val="24"/>
          <w:lang w:val="es-ES"/>
        </w:rPr>
        <w:t xml:space="preserve"> y a las necesidades del sistema eléctrico</w:t>
      </w:r>
      <w:r w:rsidR="3D265A98" w:rsidRPr="4562BAA3">
        <w:rPr>
          <w:rFonts w:ascii="Bookman Old Style" w:eastAsia="Bookman Old Style" w:hAnsi="Bookman Old Style" w:cs="Bookman Old Style"/>
          <w:sz w:val="24"/>
          <w:szCs w:val="24"/>
          <w:lang w:val="es-ES"/>
        </w:rPr>
        <w:t>.</w:t>
      </w:r>
    </w:p>
    <w:p w14:paraId="3C82C90B" w14:textId="56AD2C55" w:rsidR="4562BAA3" w:rsidRDefault="4562BAA3" w:rsidP="00AF0D12">
      <w:pPr>
        <w:ind w:left="0"/>
        <w:jc w:val="both"/>
        <w:rPr>
          <w:rFonts w:ascii="Bookman Old Style" w:eastAsia="Bookman Old Style" w:hAnsi="Bookman Old Style" w:cs="Bookman Old Style"/>
        </w:rPr>
      </w:pPr>
    </w:p>
    <w:p w14:paraId="70A5BFFB" w14:textId="2C15C21B" w:rsidR="7B59F488" w:rsidRDefault="7B59F488" w:rsidP="00AF0D12">
      <w:pPr>
        <w:pStyle w:val="Prrafodelista"/>
        <w:numPr>
          <w:ilvl w:val="0"/>
          <w:numId w:val="41"/>
        </w:numPr>
        <w:jc w:val="both"/>
        <w:rPr>
          <w:rFonts w:ascii="Bookman Old Style" w:eastAsia="Bookman Old Style" w:hAnsi="Bookman Old Style" w:cs="Bookman Old Style"/>
        </w:rPr>
      </w:pPr>
      <w:r w:rsidRPr="4562BAA3">
        <w:rPr>
          <w:rFonts w:ascii="Bookman Old Style" w:eastAsia="Bookman Old Style" w:hAnsi="Bookman Old Style" w:cs="Bookman Old Style"/>
          <w:sz w:val="24"/>
          <w:szCs w:val="24"/>
          <w:lang w:val="es-ES"/>
        </w:rPr>
        <w:t xml:space="preserve">Se disponen </w:t>
      </w:r>
      <w:r w:rsidR="7D1A0EB8" w:rsidRPr="4562BAA3">
        <w:rPr>
          <w:rFonts w:ascii="Bookman Old Style" w:eastAsia="Bookman Old Style" w:hAnsi="Bookman Old Style" w:cs="Bookman Old Style"/>
          <w:sz w:val="24"/>
          <w:szCs w:val="24"/>
          <w:lang w:val="es-ES"/>
        </w:rPr>
        <w:t xml:space="preserve">de </w:t>
      </w:r>
      <w:r w:rsidRPr="4562BAA3">
        <w:rPr>
          <w:rFonts w:ascii="Bookman Old Style" w:eastAsia="Bookman Old Style" w:hAnsi="Bookman Old Style" w:cs="Bookman Old Style"/>
          <w:sz w:val="24"/>
          <w:szCs w:val="24"/>
          <w:lang w:val="es-ES"/>
        </w:rPr>
        <w:t xml:space="preserve">reglas para </w:t>
      </w:r>
      <w:r w:rsidR="15F8116A" w:rsidRPr="4562BAA3">
        <w:rPr>
          <w:rFonts w:ascii="Bookman Old Style" w:eastAsia="Bookman Old Style" w:hAnsi="Bookman Old Style" w:cs="Bookman Old Style"/>
          <w:sz w:val="24"/>
          <w:szCs w:val="24"/>
          <w:lang w:val="es-ES"/>
        </w:rPr>
        <w:t xml:space="preserve">compensar </w:t>
      </w:r>
      <w:r w:rsidR="1D32E9EA" w:rsidRPr="4562BAA3">
        <w:rPr>
          <w:rFonts w:ascii="Bookman Old Style" w:eastAsia="Bookman Old Style" w:hAnsi="Bookman Old Style" w:cs="Bookman Old Style"/>
          <w:sz w:val="24"/>
          <w:szCs w:val="24"/>
          <w:lang w:val="es-ES"/>
        </w:rPr>
        <w:t xml:space="preserve">a los afectados por </w:t>
      </w:r>
      <w:r w:rsidR="15F8116A" w:rsidRPr="4562BAA3">
        <w:rPr>
          <w:rFonts w:ascii="Bookman Old Style" w:eastAsia="Bookman Old Style" w:hAnsi="Bookman Old Style" w:cs="Bookman Old Style"/>
          <w:sz w:val="24"/>
          <w:szCs w:val="24"/>
          <w:lang w:val="es-ES"/>
        </w:rPr>
        <w:t xml:space="preserve">las desviaciones con respecto a las nominaciones </w:t>
      </w:r>
      <w:r w:rsidR="0C2B1670" w:rsidRPr="4562BAA3">
        <w:rPr>
          <w:rFonts w:ascii="Bookman Old Style" w:eastAsia="Bookman Old Style" w:hAnsi="Bookman Old Style" w:cs="Bookman Old Style"/>
          <w:sz w:val="24"/>
          <w:szCs w:val="24"/>
          <w:lang w:val="es-ES"/>
        </w:rPr>
        <w:t xml:space="preserve">programadas por </w:t>
      </w:r>
      <w:r w:rsidR="15F8116A" w:rsidRPr="4562BAA3">
        <w:rPr>
          <w:rFonts w:ascii="Bookman Old Style" w:eastAsia="Bookman Old Style" w:hAnsi="Bookman Old Style" w:cs="Bookman Old Style"/>
          <w:sz w:val="24"/>
          <w:szCs w:val="24"/>
          <w:lang w:val="es-ES"/>
        </w:rPr>
        <w:t>los remitentes</w:t>
      </w:r>
      <w:r w:rsidR="143F2816" w:rsidRPr="4562BAA3">
        <w:rPr>
          <w:rFonts w:ascii="Bookman Old Style" w:eastAsia="Bookman Old Style" w:hAnsi="Bookman Old Style" w:cs="Bookman Old Style"/>
          <w:sz w:val="24"/>
          <w:szCs w:val="24"/>
          <w:lang w:val="es-ES"/>
        </w:rPr>
        <w:t>.</w:t>
      </w:r>
      <w:r w:rsidR="15F8116A" w:rsidRPr="4562BAA3">
        <w:rPr>
          <w:rFonts w:ascii="Bookman Old Style" w:eastAsia="Bookman Old Style" w:hAnsi="Bookman Old Style" w:cs="Bookman Old Style"/>
          <w:sz w:val="24"/>
          <w:szCs w:val="24"/>
          <w:lang w:val="es-ES"/>
        </w:rPr>
        <w:t xml:space="preserve"> </w:t>
      </w:r>
    </w:p>
    <w:p w14:paraId="37EB8EF2" w14:textId="212EAB52" w:rsidR="4562BAA3" w:rsidRDefault="4562BAA3" w:rsidP="4562BAA3">
      <w:pPr>
        <w:ind w:left="0"/>
        <w:jc w:val="both"/>
        <w:rPr>
          <w:rFonts w:ascii="Bookman Old Style" w:hAnsi="Bookman Old Style" w:cs="Arial"/>
        </w:rPr>
      </w:pPr>
    </w:p>
    <w:p w14:paraId="3845F2CF" w14:textId="1A6900DC" w:rsidR="7C6304FA" w:rsidRDefault="7C6304FA" w:rsidP="4562BAA3">
      <w:pPr>
        <w:ind w:left="0"/>
        <w:jc w:val="both"/>
        <w:rPr>
          <w:rFonts w:ascii="Bookman Old Style" w:hAnsi="Bookman Old Style" w:cs="Arial"/>
        </w:rPr>
      </w:pPr>
      <w:r w:rsidRPr="4562BAA3">
        <w:rPr>
          <w:rFonts w:ascii="Bookman Old Style" w:hAnsi="Bookman Old Style" w:cs="Arial"/>
        </w:rPr>
        <w:t>Con respecto</w:t>
      </w:r>
      <w:r w:rsidR="20082E4E" w:rsidRPr="4562BAA3">
        <w:rPr>
          <w:rFonts w:ascii="Bookman Old Style" w:hAnsi="Bookman Old Style" w:cs="Arial"/>
        </w:rPr>
        <w:t xml:space="preserve"> a las anteriores reglas, la Resolución CREG 101 028 de 2022 no </w:t>
      </w:r>
      <w:r w:rsidR="3DECC6D9" w:rsidRPr="4562BAA3">
        <w:rPr>
          <w:rFonts w:ascii="Bookman Old Style" w:hAnsi="Bookman Old Style" w:cs="Arial"/>
        </w:rPr>
        <w:t xml:space="preserve">tiene </w:t>
      </w:r>
      <w:r w:rsidR="1B1D80C3" w:rsidRPr="4562BAA3">
        <w:rPr>
          <w:rFonts w:ascii="Bookman Old Style" w:hAnsi="Bookman Old Style" w:cs="Arial"/>
        </w:rPr>
        <w:t>modificación</w:t>
      </w:r>
      <w:r w:rsidR="3DECC6D9" w:rsidRPr="4562BAA3">
        <w:rPr>
          <w:rFonts w:ascii="Bookman Old Style" w:hAnsi="Bookman Old Style" w:cs="Arial"/>
        </w:rPr>
        <w:t xml:space="preserve"> sobre ninguno de los procesos anteriores</w:t>
      </w:r>
      <w:r w:rsidR="02569BD4" w:rsidRPr="4562BAA3">
        <w:rPr>
          <w:rFonts w:ascii="Bookman Old Style" w:hAnsi="Bookman Old Style" w:cs="Arial"/>
        </w:rPr>
        <w:t xml:space="preserve">. </w:t>
      </w:r>
      <w:proofErr w:type="gramStart"/>
      <w:r w:rsidR="1D1CE1EA" w:rsidRPr="4562BAA3">
        <w:rPr>
          <w:rFonts w:ascii="Bookman Old Style" w:hAnsi="Bookman Old Style" w:cs="Arial"/>
        </w:rPr>
        <w:t>Siendo</w:t>
      </w:r>
      <w:proofErr w:type="gramEnd"/>
      <w:r w:rsidR="1D1CE1EA" w:rsidRPr="4562BAA3">
        <w:rPr>
          <w:rFonts w:ascii="Bookman Old Style" w:hAnsi="Bookman Old Style" w:cs="Arial"/>
        </w:rPr>
        <w:t xml:space="preserve"> así las cosas</w:t>
      </w:r>
      <w:r w:rsidR="2F3BF81D" w:rsidRPr="4562BAA3">
        <w:rPr>
          <w:rFonts w:ascii="Bookman Old Style" w:hAnsi="Bookman Old Style" w:cs="Arial"/>
        </w:rPr>
        <w:t>, e</w:t>
      </w:r>
      <w:r w:rsidR="02569BD4" w:rsidRPr="4562BAA3">
        <w:rPr>
          <w:rFonts w:ascii="Bookman Old Style" w:hAnsi="Bookman Old Style" w:cs="Arial"/>
        </w:rPr>
        <w:t xml:space="preserve">l hecho de </w:t>
      </w:r>
      <w:r w:rsidR="64728EA7" w:rsidRPr="4562BAA3">
        <w:rPr>
          <w:rFonts w:ascii="Bookman Old Style" w:hAnsi="Bookman Old Style" w:cs="Arial"/>
        </w:rPr>
        <w:t>que,</w:t>
      </w:r>
      <w:r w:rsidR="02569BD4" w:rsidRPr="4562BAA3">
        <w:rPr>
          <w:rFonts w:ascii="Bookman Old Style" w:hAnsi="Bookman Old Style" w:cs="Arial"/>
        </w:rPr>
        <w:t xml:space="preserve"> para el caso de las plantas térmicas de ciclo combin</w:t>
      </w:r>
      <w:r w:rsidR="5828B050" w:rsidRPr="4562BAA3">
        <w:rPr>
          <w:rFonts w:ascii="Bookman Old Style" w:hAnsi="Bookman Old Style" w:cs="Arial"/>
        </w:rPr>
        <w:t>a</w:t>
      </w:r>
      <w:r w:rsidR="02569BD4" w:rsidRPr="4562BAA3">
        <w:rPr>
          <w:rFonts w:ascii="Bookman Old Style" w:hAnsi="Bookman Old Style" w:cs="Arial"/>
        </w:rPr>
        <w:t xml:space="preserve">do, la selección </w:t>
      </w:r>
      <w:r w:rsidR="4A701F12" w:rsidRPr="4562BAA3">
        <w:rPr>
          <w:rFonts w:ascii="Bookman Old Style" w:hAnsi="Bookman Old Style" w:cs="Arial"/>
        </w:rPr>
        <w:t xml:space="preserve">de la configuración </w:t>
      </w:r>
      <w:r w:rsidR="02569BD4" w:rsidRPr="4562BAA3">
        <w:rPr>
          <w:rFonts w:ascii="Bookman Old Style" w:hAnsi="Bookman Old Style" w:cs="Arial"/>
        </w:rPr>
        <w:t>se haga en el proceso del despacho eléctrico</w:t>
      </w:r>
      <w:r w:rsidR="49378D6B" w:rsidRPr="4562BAA3">
        <w:rPr>
          <w:rFonts w:ascii="Bookman Old Style" w:hAnsi="Bookman Old Style" w:cs="Arial"/>
        </w:rPr>
        <w:t xml:space="preserve"> adelant</w:t>
      </w:r>
      <w:r w:rsidR="1C2AC816" w:rsidRPr="4562BAA3">
        <w:rPr>
          <w:rFonts w:ascii="Bookman Old Style" w:hAnsi="Bookman Old Style" w:cs="Arial"/>
        </w:rPr>
        <w:t>a</w:t>
      </w:r>
      <w:r w:rsidR="232877FB" w:rsidRPr="4562BAA3">
        <w:rPr>
          <w:rFonts w:ascii="Bookman Old Style" w:hAnsi="Bookman Old Style" w:cs="Arial"/>
        </w:rPr>
        <w:t>do por</w:t>
      </w:r>
      <w:r w:rsidR="49378D6B" w:rsidRPr="4562BAA3">
        <w:rPr>
          <w:rFonts w:ascii="Bookman Old Style" w:hAnsi="Bookman Old Style" w:cs="Arial"/>
        </w:rPr>
        <w:t xml:space="preserve"> el CND, no </w:t>
      </w:r>
      <w:r w:rsidR="17C8D2D2" w:rsidRPr="4562BAA3">
        <w:rPr>
          <w:rFonts w:ascii="Bookman Old Style" w:hAnsi="Bookman Old Style" w:cs="Arial"/>
        </w:rPr>
        <w:t>afecta</w:t>
      </w:r>
      <w:r w:rsidR="49378D6B" w:rsidRPr="4562BAA3">
        <w:rPr>
          <w:rFonts w:ascii="Bookman Old Style" w:hAnsi="Bookman Old Style" w:cs="Arial"/>
        </w:rPr>
        <w:t xml:space="preserve"> ninguno de los procesos señalados</w:t>
      </w:r>
      <w:r w:rsidR="01FF4E54" w:rsidRPr="4562BAA3">
        <w:rPr>
          <w:rFonts w:ascii="Bookman Old Style" w:hAnsi="Bookman Old Style" w:cs="Arial"/>
        </w:rPr>
        <w:t>, ni cambia la responsabilidad por la nominación y su cumpli</w:t>
      </w:r>
      <w:r w:rsidR="165C5AA0" w:rsidRPr="4562BAA3">
        <w:rPr>
          <w:rFonts w:ascii="Bookman Old Style" w:hAnsi="Bookman Old Style" w:cs="Arial"/>
        </w:rPr>
        <w:t>miento</w:t>
      </w:r>
      <w:r w:rsidR="49378D6B" w:rsidRPr="4562BAA3">
        <w:rPr>
          <w:rFonts w:ascii="Bookman Old Style" w:hAnsi="Bookman Old Style" w:cs="Arial"/>
        </w:rPr>
        <w:t>.</w:t>
      </w:r>
      <w:r w:rsidR="01132DCF" w:rsidRPr="4562BAA3">
        <w:rPr>
          <w:rFonts w:ascii="Bookman Old Style" w:hAnsi="Bookman Old Style" w:cs="Arial"/>
        </w:rPr>
        <w:t xml:space="preserve"> </w:t>
      </w:r>
      <w:r w:rsidR="6F7DB158" w:rsidRPr="4562BAA3">
        <w:rPr>
          <w:rFonts w:ascii="Bookman Old Style" w:hAnsi="Bookman Old Style" w:cs="Arial"/>
        </w:rPr>
        <w:t xml:space="preserve">Es decir, la situación del </w:t>
      </w:r>
      <w:r w:rsidR="28A9E96E" w:rsidRPr="4562BAA3">
        <w:rPr>
          <w:rFonts w:ascii="Bookman Old Style" w:hAnsi="Bookman Old Style" w:cs="Arial"/>
        </w:rPr>
        <w:t xml:space="preserve">agente </w:t>
      </w:r>
      <w:r w:rsidR="6F7DB158" w:rsidRPr="4562BAA3">
        <w:rPr>
          <w:rFonts w:ascii="Bookman Old Style" w:hAnsi="Bookman Old Style" w:cs="Arial"/>
        </w:rPr>
        <w:t xml:space="preserve">generador frente al mercado de gas natural sigue siendo la misma. </w:t>
      </w:r>
    </w:p>
    <w:p w14:paraId="56873B4E" w14:textId="32EA02D5" w:rsidR="4562BAA3" w:rsidRDefault="4562BAA3" w:rsidP="4562BAA3">
      <w:pPr>
        <w:ind w:left="0"/>
        <w:jc w:val="both"/>
        <w:rPr>
          <w:rFonts w:ascii="Bookman Old Style" w:hAnsi="Bookman Old Style" w:cs="Arial"/>
        </w:rPr>
      </w:pPr>
    </w:p>
    <w:p w14:paraId="06B4CA93" w14:textId="00BF3E43" w:rsidR="00FD01CD" w:rsidRPr="0048016B" w:rsidRDefault="00FD01CD" w:rsidP="0048016B">
      <w:pPr>
        <w:ind w:left="0"/>
        <w:jc w:val="both"/>
        <w:rPr>
          <w:rFonts w:ascii="Bookman Old Style" w:hAnsi="Bookman Old Style" w:cs="Arial"/>
        </w:rPr>
      </w:pPr>
      <w:r w:rsidRPr="0048016B">
        <w:rPr>
          <w:rFonts w:ascii="Bookman Old Style" w:hAnsi="Bookman Old Style" w:cs="Arial"/>
        </w:rPr>
        <w:t xml:space="preserve">La Comisión entra a </w:t>
      </w:r>
      <w:r w:rsidR="00260252" w:rsidRPr="0048016B">
        <w:rPr>
          <w:rFonts w:ascii="Bookman Old Style" w:hAnsi="Bookman Old Style" w:cs="Arial"/>
        </w:rPr>
        <w:t>analizar las razones de inconformidad frente a la norma</w:t>
      </w:r>
      <w:r w:rsidR="00FA2802" w:rsidRPr="0048016B">
        <w:rPr>
          <w:rFonts w:ascii="Bookman Old Style" w:hAnsi="Bookman Old Style" w:cs="Arial"/>
        </w:rPr>
        <w:t xml:space="preserve"> expuestas por el representante legal.</w:t>
      </w:r>
    </w:p>
    <w:p w14:paraId="0F508738" w14:textId="77777777" w:rsidR="007F3044" w:rsidRDefault="007F3044">
      <w:pPr>
        <w:ind w:left="0"/>
        <w:jc w:val="both"/>
        <w:rPr>
          <w:rFonts w:ascii="Bookman Old Style" w:hAnsi="Bookman Old Style" w:cs="CenturyGothic"/>
          <w:lang w:val="es-CO" w:eastAsia="es-CO"/>
        </w:rPr>
      </w:pPr>
    </w:p>
    <w:p w14:paraId="0566D69E" w14:textId="2568C825" w:rsidR="007A0FA6" w:rsidRPr="00805D87" w:rsidRDefault="004067AB" w:rsidP="0048016B">
      <w:pPr>
        <w:pStyle w:val="Prrafodelista"/>
        <w:ind w:left="720"/>
        <w:jc w:val="both"/>
        <w:rPr>
          <w:rFonts w:ascii="Bookman Old Style" w:hAnsi="Bookman Old Style" w:cs="CenturyGothic"/>
          <w:sz w:val="24"/>
          <w:szCs w:val="24"/>
          <w:lang w:eastAsia="es-CO"/>
        </w:rPr>
      </w:pPr>
      <w:r>
        <w:rPr>
          <w:rFonts w:ascii="Bookman Old Style" w:hAnsi="Bookman Old Style" w:cs="CenturyGothic"/>
          <w:b/>
          <w:bCs/>
          <w:sz w:val="24"/>
          <w:szCs w:val="24"/>
          <w:lang w:eastAsia="es-CO"/>
        </w:rPr>
        <w:t xml:space="preserve">1. </w:t>
      </w:r>
      <w:r w:rsidR="007A0FA6" w:rsidRPr="00805D87">
        <w:rPr>
          <w:rFonts w:ascii="Bookman Old Style" w:hAnsi="Bookman Old Style" w:cs="CenturyGothic"/>
          <w:b/>
          <w:bCs/>
          <w:sz w:val="24"/>
          <w:szCs w:val="24"/>
          <w:lang w:eastAsia="es-CO"/>
        </w:rPr>
        <w:t>Manifiesta oposición a la Constitución Política y a la Ley.</w:t>
      </w:r>
    </w:p>
    <w:p w14:paraId="37D79CB5" w14:textId="52DEF0E7" w:rsidR="007A0FA6" w:rsidRDefault="007A0FA6" w:rsidP="007A0FA6">
      <w:pPr>
        <w:ind w:left="0"/>
        <w:jc w:val="both"/>
        <w:rPr>
          <w:rFonts w:ascii="Bookman Old Style" w:hAnsi="Bookman Old Style" w:cs="CenturyGothic"/>
          <w:lang w:eastAsia="es-CO"/>
        </w:rPr>
      </w:pPr>
    </w:p>
    <w:p w14:paraId="4DCCBF22" w14:textId="6E7A0823" w:rsidR="007A0FA6" w:rsidRDefault="007A0FA6" w:rsidP="007A0FA6">
      <w:pPr>
        <w:ind w:left="0"/>
        <w:jc w:val="both"/>
        <w:rPr>
          <w:rFonts w:ascii="Bookman Old Style" w:hAnsi="Bookman Old Style" w:cs="CenturyGothic"/>
          <w:lang w:eastAsia="es-CO"/>
        </w:rPr>
      </w:pPr>
      <w:r>
        <w:rPr>
          <w:rFonts w:ascii="Bookman Old Style" w:hAnsi="Bookman Old Style" w:cs="CenturyGothic"/>
          <w:lang w:eastAsia="es-CO"/>
        </w:rPr>
        <w:t>Es de resaltar que la Resolución CREG 101</w:t>
      </w:r>
      <w:r w:rsidR="00FA4C86">
        <w:rPr>
          <w:rFonts w:ascii="Bookman Old Style" w:hAnsi="Bookman Old Style" w:cs="CenturyGothic"/>
          <w:lang w:eastAsia="es-CO"/>
        </w:rPr>
        <w:t xml:space="preserve"> </w:t>
      </w:r>
      <w:r w:rsidR="000F04C6">
        <w:rPr>
          <w:rFonts w:ascii="Bookman Old Style" w:hAnsi="Bookman Old Style" w:cs="CenturyGothic"/>
          <w:lang w:eastAsia="es-CO"/>
        </w:rPr>
        <w:t>028 de 2022, se expidió con respeto a la Constitución Política y dentro del marco de las competencias legales de la Comisión de Regulación de Energía y Gas</w:t>
      </w:r>
      <w:r w:rsidR="001448AA">
        <w:rPr>
          <w:rFonts w:ascii="Bookman Old Style" w:hAnsi="Bookman Old Style" w:cs="CenturyGothic"/>
          <w:lang w:eastAsia="es-CO"/>
        </w:rPr>
        <w:t xml:space="preserve"> fincadas en las leyes 142 y 143 de 1994.</w:t>
      </w:r>
    </w:p>
    <w:p w14:paraId="7E89710B" w14:textId="796270F8" w:rsidR="007D4BA2" w:rsidRDefault="007D4BA2" w:rsidP="007A0FA6">
      <w:pPr>
        <w:ind w:left="0"/>
        <w:jc w:val="both"/>
        <w:rPr>
          <w:rFonts w:ascii="Bookman Old Style" w:hAnsi="Bookman Old Style" w:cs="CenturyGothic"/>
          <w:lang w:eastAsia="es-CO"/>
        </w:rPr>
      </w:pPr>
    </w:p>
    <w:p w14:paraId="5094DEB7" w14:textId="44462CF9" w:rsidR="00EF19C9" w:rsidRDefault="00EF19C9" w:rsidP="007A0FA6">
      <w:pPr>
        <w:ind w:left="0"/>
        <w:jc w:val="both"/>
        <w:rPr>
          <w:rFonts w:ascii="Bookman Old Style" w:hAnsi="Bookman Old Style" w:cs="CenturyGothic"/>
          <w:lang w:eastAsia="es-CO"/>
        </w:rPr>
      </w:pPr>
      <w:r>
        <w:rPr>
          <w:rFonts w:ascii="Bookman Old Style" w:hAnsi="Bookman Old Style" w:cs="CenturyGothic"/>
          <w:lang w:eastAsia="es-CO"/>
        </w:rPr>
        <w:t xml:space="preserve">Manifiesta el peticionario que con la expedición de la resolución CREG  </w:t>
      </w:r>
      <w:r w:rsidR="00CA7AC2">
        <w:rPr>
          <w:rFonts w:ascii="Bookman Old Style" w:hAnsi="Bookman Old Style" w:cs="CenturyGothic"/>
          <w:lang w:eastAsia="es-CO"/>
        </w:rPr>
        <w:t>1</w:t>
      </w:r>
      <w:r>
        <w:rPr>
          <w:rFonts w:ascii="Bookman Old Style" w:hAnsi="Bookman Old Style" w:cs="CenturyGothic"/>
          <w:lang w:eastAsia="es-CO"/>
        </w:rPr>
        <w:t>01</w:t>
      </w:r>
      <w:r w:rsidR="00000A50">
        <w:rPr>
          <w:rFonts w:ascii="Bookman Old Style" w:hAnsi="Bookman Old Style" w:cs="CenturyGothic"/>
          <w:lang w:eastAsia="es-CO"/>
        </w:rPr>
        <w:t xml:space="preserve"> </w:t>
      </w:r>
      <w:r w:rsidR="00CA7AC2">
        <w:rPr>
          <w:rFonts w:ascii="Bookman Old Style" w:hAnsi="Bookman Old Style" w:cs="CenturyGothic"/>
          <w:lang w:eastAsia="es-CO"/>
        </w:rPr>
        <w:t>0</w:t>
      </w:r>
      <w:r>
        <w:rPr>
          <w:rFonts w:ascii="Bookman Old Style" w:hAnsi="Bookman Old Style" w:cs="CenturyGothic"/>
          <w:lang w:eastAsia="es-CO"/>
        </w:rPr>
        <w:t>28 de 2022 se vulneró</w:t>
      </w:r>
      <w:r w:rsidR="00B16F29">
        <w:rPr>
          <w:rFonts w:ascii="Bookman Old Style" w:hAnsi="Bookman Old Style" w:cs="CenturyGothic"/>
          <w:lang w:eastAsia="es-CO"/>
        </w:rPr>
        <w:t xml:space="preserve"> el régimen de la libre competencia.</w:t>
      </w:r>
    </w:p>
    <w:p w14:paraId="2C9C937C" w14:textId="24E4F430" w:rsidR="00B16F29" w:rsidRDefault="00B16F29" w:rsidP="007A0FA6">
      <w:pPr>
        <w:ind w:left="0"/>
        <w:jc w:val="both"/>
        <w:rPr>
          <w:rFonts w:ascii="Bookman Old Style" w:hAnsi="Bookman Old Style" w:cs="CenturyGothic"/>
          <w:lang w:eastAsia="es-CO"/>
        </w:rPr>
      </w:pPr>
    </w:p>
    <w:p w14:paraId="737F4CB4" w14:textId="77777777" w:rsidR="00122668" w:rsidRDefault="00122668" w:rsidP="00122668">
      <w:pPr>
        <w:ind w:left="0"/>
        <w:jc w:val="both"/>
        <w:rPr>
          <w:rFonts w:ascii="Bookman Old Style" w:hAnsi="Bookman Old Style" w:cs="Arial"/>
          <w:szCs w:val="20"/>
          <w:lang w:val="es-ES_tradnl"/>
        </w:rPr>
      </w:pPr>
      <w:r w:rsidRPr="001F0320">
        <w:rPr>
          <w:rFonts w:ascii="Bookman Old Style" w:hAnsi="Bookman Old Style" w:cs="Arial"/>
          <w:szCs w:val="20"/>
          <w:lang w:val="es-ES_tradnl"/>
        </w:rPr>
        <w:t>Al respecto, resulta pertinente señalar que, el derecho a la libre competencia económica garantiza en esencia a los agentes de un mercado, la posibilidad de concurrir al mismo, en disputa con los demás, con el fin de ofrecer y vender bienes o servicios, y de establecer y mantener una clientela. Dicho principio no es absoluto, sino que</w:t>
      </w:r>
      <w:r>
        <w:rPr>
          <w:rFonts w:ascii="Bookman Old Style" w:hAnsi="Bookman Old Style" w:cs="Arial"/>
          <w:szCs w:val="20"/>
          <w:lang w:val="es-ES_tradnl"/>
        </w:rPr>
        <w:t>,</w:t>
      </w:r>
      <w:r w:rsidRPr="001F0320">
        <w:rPr>
          <w:rFonts w:ascii="Bookman Old Style" w:hAnsi="Bookman Old Style" w:cs="Arial"/>
          <w:szCs w:val="20"/>
          <w:lang w:val="es-ES_tradnl"/>
        </w:rPr>
        <w:t xml:space="preserve"> como lo establece el propio artículo 333 de la Constitución Política, es un derecho de todos, que supone responsabilidades.</w:t>
      </w:r>
    </w:p>
    <w:p w14:paraId="7E788E14" w14:textId="77777777" w:rsidR="00B16F29" w:rsidRPr="00A56805" w:rsidRDefault="00B16F29" w:rsidP="00A56805">
      <w:pPr>
        <w:ind w:left="0"/>
        <w:jc w:val="both"/>
        <w:rPr>
          <w:rFonts w:ascii="Bookman Old Style" w:hAnsi="Bookman Old Style" w:cs="CenturyGothic"/>
          <w:lang w:val="es-ES_tradnl" w:eastAsia="es-CO"/>
        </w:rPr>
      </w:pPr>
    </w:p>
    <w:p w14:paraId="461A3E35" w14:textId="55196F0B" w:rsidR="003F7907" w:rsidRPr="000B0FCD" w:rsidRDefault="003F7907" w:rsidP="00C9049F">
      <w:pPr>
        <w:ind w:left="0"/>
        <w:jc w:val="both"/>
        <w:rPr>
          <w:rFonts w:ascii="Bookman Old Style" w:hAnsi="Bookman Old Style" w:cs="Arial"/>
          <w:szCs w:val="20"/>
          <w:lang w:val="es-ES_tradnl"/>
        </w:rPr>
      </w:pPr>
      <w:r w:rsidRPr="000B0FCD">
        <w:rPr>
          <w:rFonts w:ascii="Bookman Old Style" w:hAnsi="Bookman Old Style" w:cs="Arial"/>
          <w:szCs w:val="20"/>
          <w:lang w:val="es-ES_tradnl"/>
        </w:rPr>
        <w:t xml:space="preserve">No se puede desconocer que la Constitución Política al disponer la estructuración del Estado dentro del principio del Estado Social de Derecho implica que las actividades que se desarrollen en el marco de la economía de </w:t>
      </w:r>
      <w:r w:rsidR="0039371A" w:rsidRPr="000B0FCD">
        <w:rPr>
          <w:rFonts w:ascii="Bookman Old Style" w:hAnsi="Bookman Old Style" w:cs="Arial"/>
          <w:szCs w:val="20"/>
          <w:lang w:val="es-ES_tradnl"/>
        </w:rPr>
        <w:t>mercado</w:t>
      </w:r>
      <w:r w:rsidRPr="000B0FCD">
        <w:rPr>
          <w:rFonts w:ascii="Bookman Old Style" w:hAnsi="Bookman Old Style" w:cs="Arial"/>
          <w:szCs w:val="20"/>
          <w:lang w:val="es-ES_tradnl"/>
        </w:rPr>
        <w:t xml:space="preserve"> deben atender a la finalidad social del Estado, una de ellas es contar con unos servicios públicos domiciliarios, cuya remuneración, refleje costos eficientes.</w:t>
      </w:r>
    </w:p>
    <w:p w14:paraId="09864B9C" w14:textId="77777777" w:rsidR="001714C6" w:rsidRDefault="001714C6" w:rsidP="00A56805">
      <w:pPr>
        <w:ind w:left="0" w:right="-93"/>
        <w:jc w:val="both"/>
        <w:rPr>
          <w:rFonts w:ascii="Bookman Old Style" w:hAnsi="Bookman Old Style" w:cs="Arial"/>
          <w:szCs w:val="20"/>
          <w:lang w:val="es-ES_tradnl"/>
        </w:rPr>
      </w:pPr>
    </w:p>
    <w:p w14:paraId="77D14A0C" w14:textId="245FC7F2" w:rsidR="003F7907" w:rsidRPr="00CE6379" w:rsidRDefault="003F7907" w:rsidP="00A56805">
      <w:pPr>
        <w:ind w:left="0" w:right="-93"/>
        <w:jc w:val="both"/>
        <w:rPr>
          <w:rFonts w:ascii="Arial" w:eastAsia="Calibri" w:hAnsi="Arial" w:cs="Arial"/>
        </w:rPr>
      </w:pPr>
      <w:r w:rsidRPr="000B0FCD">
        <w:rPr>
          <w:rFonts w:ascii="Bookman Old Style" w:hAnsi="Bookman Old Style" w:cs="Arial"/>
          <w:szCs w:val="20"/>
          <w:lang w:val="es-ES_tradnl"/>
        </w:rPr>
        <w:t xml:space="preserve">De esta manera, los mecanismos regulatorios deben garantizar el equilibrio entre la libertad económica (incentivo económico), la promoción de intereses colectivos concretos y la prestación de servicios públicos, es decir, la regulación ha de </w:t>
      </w:r>
      <w:r w:rsidRPr="000B0FCD">
        <w:rPr>
          <w:rFonts w:ascii="Bookman Old Style" w:hAnsi="Bookman Old Style" w:cs="Arial"/>
          <w:szCs w:val="20"/>
          <w:lang w:val="es-ES_tradnl"/>
        </w:rPr>
        <w:lastRenderedPageBreak/>
        <w:t>propender por hacer compatibles los intereses privados, que actúan como motor de la actividad económica, con la satisfacción de las necesidades colectivas</w:t>
      </w:r>
      <w:r w:rsidRPr="00CE6379">
        <w:rPr>
          <w:rFonts w:ascii="Arial" w:eastAsia="Calibri" w:hAnsi="Arial" w:cs="Arial"/>
          <w:vertAlign w:val="superscript"/>
        </w:rPr>
        <w:footnoteReference w:id="4"/>
      </w:r>
      <w:r w:rsidRPr="00CE6379">
        <w:rPr>
          <w:rFonts w:ascii="Arial" w:eastAsia="Calibri" w:hAnsi="Arial" w:cs="Arial"/>
        </w:rPr>
        <w:t>.</w:t>
      </w:r>
    </w:p>
    <w:p w14:paraId="7DFCE437" w14:textId="77777777" w:rsidR="000B0FCD" w:rsidRDefault="000B0FCD" w:rsidP="000B0FCD">
      <w:pPr>
        <w:ind w:left="0" w:right="-93"/>
        <w:jc w:val="both"/>
        <w:rPr>
          <w:rFonts w:ascii="Arial" w:hAnsi="Arial" w:cs="Arial"/>
        </w:rPr>
      </w:pPr>
    </w:p>
    <w:p w14:paraId="3312A38C" w14:textId="7C4BAB70" w:rsidR="003F7907" w:rsidRPr="000B0FCD" w:rsidRDefault="003F7907" w:rsidP="000B0FCD">
      <w:pPr>
        <w:ind w:left="0" w:right="-93"/>
        <w:jc w:val="both"/>
        <w:rPr>
          <w:rFonts w:ascii="Bookman Old Style" w:hAnsi="Bookman Old Style" w:cs="Arial"/>
          <w:szCs w:val="20"/>
          <w:lang w:val="es-ES_tradnl"/>
        </w:rPr>
      </w:pPr>
      <w:r w:rsidRPr="000B0FCD">
        <w:rPr>
          <w:rFonts w:ascii="Bookman Old Style" w:hAnsi="Bookman Old Style" w:cs="Arial"/>
          <w:szCs w:val="20"/>
          <w:lang w:val="es-ES_tradnl"/>
        </w:rPr>
        <w:t>Al respecto, la Corte Constitucional ha expresado que el poder del Estado de intervenir los servicios públicos conlleva en sí mismo la facultad de restringir las libertades económicas de quienes participan en su prestación la cual se desprende de la libertad de configuración que tiene el legislador en materia económica. Así mismo manifestó que la intervención y definición de los límites a las libertades económicas no tiene que darse directamente a través de la ley, sino que corresponde a esta determinar los fines, instrumentos y facultades de la intervención a través de la regulación. Estas limitaciones, recuerda la Corte, se deben enmarcar en los parámetros definidos por la ley y orientarse a la consecución de los fines constitucionalmente legítimos. (Corte Constitucional, Sentencia C-186 de 2011).</w:t>
      </w:r>
    </w:p>
    <w:p w14:paraId="4ABEE846" w14:textId="77777777" w:rsidR="000B0FCD" w:rsidRDefault="000B0FCD" w:rsidP="00A56805">
      <w:pPr>
        <w:ind w:left="0"/>
        <w:jc w:val="both"/>
        <w:rPr>
          <w:rFonts w:ascii="Arial" w:hAnsi="Arial" w:cs="Arial"/>
        </w:rPr>
      </w:pPr>
    </w:p>
    <w:p w14:paraId="6D190EFE" w14:textId="5EE322E7" w:rsidR="003F7907" w:rsidRPr="00CE6379" w:rsidRDefault="003F7907" w:rsidP="00A56805">
      <w:pPr>
        <w:ind w:left="0"/>
        <w:jc w:val="both"/>
        <w:rPr>
          <w:rFonts w:ascii="Arial" w:hAnsi="Arial" w:cs="Arial"/>
        </w:rPr>
      </w:pPr>
      <w:r w:rsidRPr="00CE6379">
        <w:rPr>
          <w:rFonts w:ascii="Arial" w:hAnsi="Arial" w:cs="Arial"/>
        </w:rPr>
        <w:t xml:space="preserve">Ha dicho </w:t>
      </w:r>
      <w:r>
        <w:rPr>
          <w:rFonts w:ascii="Arial" w:hAnsi="Arial" w:cs="Arial"/>
        </w:rPr>
        <w:t>la Corte Constitucional</w:t>
      </w:r>
      <w:r w:rsidRPr="00CE6379">
        <w:rPr>
          <w:rFonts w:ascii="Arial" w:hAnsi="Arial" w:cs="Arial"/>
        </w:rPr>
        <w:t>:</w:t>
      </w:r>
    </w:p>
    <w:p w14:paraId="68442971" w14:textId="77777777" w:rsidR="003F7907" w:rsidRDefault="003F7907" w:rsidP="00A56805">
      <w:pPr>
        <w:ind w:left="0" w:right="191"/>
        <w:jc w:val="both"/>
        <w:rPr>
          <w:rFonts w:ascii="Arial" w:hAnsi="Arial" w:cs="Arial"/>
        </w:rPr>
      </w:pPr>
    </w:p>
    <w:p w14:paraId="75611E02" w14:textId="23D2EA84" w:rsidR="003F7907" w:rsidRPr="00DE0A24" w:rsidRDefault="003A153B" w:rsidP="00DE0A24">
      <w:pPr>
        <w:ind w:left="0" w:right="-93"/>
        <w:jc w:val="both"/>
        <w:rPr>
          <w:rFonts w:ascii="Bookman Old Style" w:hAnsi="Bookman Old Style" w:cs="Arial"/>
          <w:i/>
          <w:iCs/>
          <w:szCs w:val="20"/>
          <w:lang w:val="es-ES_tradnl"/>
        </w:rPr>
      </w:pPr>
      <w:r>
        <w:rPr>
          <w:rFonts w:ascii="Arial" w:hAnsi="Arial" w:cs="Arial"/>
          <w:i/>
          <w:iCs/>
        </w:rPr>
        <w:t>“</w:t>
      </w:r>
      <w:r w:rsidR="003F7907" w:rsidRPr="00DE0A24">
        <w:rPr>
          <w:rFonts w:ascii="Bookman Old Style" w:hAnsi="Bookman Old Style" w:cs="Arial"/>
          <w:i/>
          <w:iCs/>
          <w:szCs w:val="20"/>
          <w:lang w:val="es-ES_tradnl"/>
        </w:rPr>
        <w:t xml:space="preserve">Los órganos de regulación han de ejercer sus competencias con miras a alcanzar los fines que justifican su existencia en un mercado inscrito dentro de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w:t>
      </w:r>
      <w:proofErr w:type="gramStart"/>
      <w:r w:rsidR="003F7907" w:rsidRPr="00DE0A24">
        <w:rPr>
          <w:rFonts w:ascii="Bookman Old Style" w:hAnsi="Bookman Old Style" w:cs="Arial"/>
          <w:i/>
          <w:iCs/>
          <w:szCs w:val="20"/>
          <w:lang w:val="es-ES_tradnl"/>
        </w:rPr>
        <w:t>en razón de</w:t>
      </w:r>
      <w:proofErr w:type="gramEnd"/>
      <w:r w:rsidR="003F7907" w:rsidRPr="00DE0A24">
        <w:rPr>
          <w:rFonts w:ascii="Bookman Old Style" w:hAnsi="Bookman Old Style" w:cs="Arial"/>
          <w:i/>
          <w:iCs/>
          <w:szCs w:val="20"/>
          <w:lang w:val="es-ES_tradnl"/>
        </w:rPr>
        <w:t xml:space="preserve"> su acceso especial al proceso de toma de decisiones públicas tanto en el órgano legislativo como en los órganos administrativos clásicos</w:t>
      </w:r>
      <w:r w:rsidRPr="00DE0A24">
        <w:rPr>
          <w:rFonts w:ascii="Bookman Old Style" w:hAnsi="Bookman Old Style" w:cs="Arial"/>
          <w:i/>
          <w:iCs/>
          <w:szCs w:val="20"/>
          <w:lang w:val="es-ES_tradnl"/>
        </w:rPr>
        <w:t>”</w:t>
      </w:r>
      <w:r w:rsidR="003F7907" w:rsidRPr="00DE0A24">
        <w:rPr>
          <w:rFonts w:ascii="Bookman Old Style" w:hAnsi="Bookman Old Style" w:cs="Arial"/>
          <w:i/>
          <w:iCs/>
          <w:szCs w:val="20"/>
          <w:lang w:val="es-ES_tradnl"/>
        </w:rPr>
        <w:t xml:space="preserve">. </w:t>
      </w:r>
    </w:p>
    <w:p w14:paraId="4A29B401" w14:textId="13FE8B7B" w:rsidR="00AB41CD" w:rsidRPr="00DE0A24" w:rsidRDefault="00AB41CD" w:rsidP="00DE0A24">
      <w:pPr>
        <w:ind w:left="0" w:right="-93"/>
        <w:jc w:val="both"/>
        <w:rPr>
          <w:rFonts w:ascii="Bookman Old Style" w:hAnsi="Bookman Old Style" w:cs="Arial"/>
          <w:i/>
          <w:iCs/>
          <w:szCs w:val="20"/>
          <w:lang w:val="es-ES_tradnl"/>
        </w:rPr>
      </w:pPr>
    </w:p>
    <w:p w14:paraId="4B4570D1" w14:textId="2E46D519" w:rsidR="00F45DCB" w:rsidRPr="005F3C54" w:rsidRDefault="00F45DCB" w:rsidP="005F3C54">
      <w:pPr>
        <w:ind w:left="0" w:right="191"/>
        <w:jc w:val="both"/>
        <w:rPr>
          <w:rFonts w:ascii="Bookman Old Style" w:hAnsi="Bookman Old Style" w:cs="Arial"/>
          <w:b/>
          <w:bCs/>
          <w:szCs w:val="20"/>
          <w:lang w:val="es-ES_tradnl"/>
        </w:rPr>
      </w:pPr>
      <w:r w:rsidRPr="005F3C54">
        <w:rPr>
          <w:rFonts w:ascii="Bookman Old Style" w:hAnsi="Bookman Old Style" w:cs="Arial"/>
          <w:b/>
          <w:bCs/>
          <w:szCs w:val="20"/>
          <w:lang w:val="es-ES_tradnl"/>
        </w:rPr>
        <w:t>Principio de Igualdad</w:t>
      </w:r>
    </w:p>
    <w:p w14:paraId="79270070" w14:textId="499F8E6E" w:rsidR="00963256" w:rsidRDefault="00963256" w:rsidP="007A0FA6">
      <w:pPr>
        <w:ind w:left="0"/>
        <w:jc w:val="both"/>
        <w:rPr>
          <w:rFonts w:ascii="Bookman Old Style" w:hAnsi="Bookman Old Style" w:cs="CenturyGothic"/>
          <w:lang w:val="es-ES_tradnl" w:eastAsia="es-CO"/>
        </w:rPr>
      </w:pPr>
    </w:p>
    <w:p w14:paraId="0840B96B" w14:textId="56DFABE1" w:rsidR="00C9049F" w:rsidRPr="00DE0A24" w:rsidRDefault="0035743A" w:rsidP="00DE0A24">
      <w:pPr>
        <w:ind w:left="0" w:right="-93"/>
        <w:jc w:val="both"/>
        <w:rPr>
          <w:rFonts w:ascii="Bookman Old Style" w:hAnsi="Bookman Old Style" w:cs="Arial"/>
          <w:szCs w:val="20"/>
          <w:lang w:val="es-ES_tradnl"/>
        </w:rPr>
      </w:pPr>
      <w:r>
        <w:rPr>
          <w:rFonts w:ascii="Bookman Old Style" w:hAnsi="Bookman Old Style" w:cs="Arial"/>
          <w:szCs w:val="20"/>
          <w:lang w:val="es-ES_tradnl"/>
        </w:rPr>
        <w:t>Ahora bien</w:t>
      </w:r>
      <w:r w:rsidR="00112F06">
        <w:rPr>
          <w:rFonts w:ascii="Bookman Old Style" w:hAnsi="Bookman Old Style" w:cs="Arial"/>
          <w:szCs w:val="20"/>
          <w:lang w:val="es-ES_tradnl"/>
        </w:rPr>
        <w:t>, con relación a la presunta vulneración al derecho fundamental a la igualda</w:t>
      </w:r>
      <w:r w:rsidR="00162080">
        <w:rPr>
          <w:rFonts w:ascii="Bookman Old Style" w:hAnsi="Bookman Old Style" w:cs="Arial"/>
          <w:szCs w:val="20"/>
          <w:lang w:val="es-ES_tradnl"/>
        </w:rPr>
        <w:t>d</w:t>
      </w:r>
      <w:r w:rsidR="00112F06">
        <w:rPr>
          <w:rFonts w:ascii="Bookman Old Style" w:hAnsi="Bookman Old Style" w:cs="Arial"/>
          <w:szCs w:val="20"/>
          <w:lang w:val="es-ES_tradnl"/>
        </w:rPr>
        <w:t xml:space="preserve">, </w:t>
      </w:r>
      <w:r w:rsidR="00D301CE">
        <w:rPr>
          <w:rFonts w:ascii="Bookman Old Style" w:hAnsi="Bookman Old Style" w:cs="Arial"/>
          <w:szCs w:val="20"/>
          <w:lang w:val="es-ES_tradnl"/>
        </w:rPr>
        <w:t>no</w:t>
      </w:r>
      <w:r w:rsidR="00C9049F" w:rsidRPr="00DE0A24">
        <w:rPr>
          <w:rFonts w:ascii="Bookman Old Style" w:hAnsi="Bookman Old Style" w:cs="Arial"/>
          <w:szCs w:val="20"/>
          <w:lang w:val="es-ES_tradnl"/>
        </w:rPr>
        <w:t xml:space="preserve"> existe</w:t>
      </w:r>
      <w:r w:rsidR="00162080">
        <w:rPr>
          <w:rFonts w:ascii="Bookman Old Style" w:hAnsi="Bookman Old Style" w:cs="Arial"/>
          <w:szCs w:val="20"/>
          <w:lang w:val="es-ES_tradnl"/>
        </w:rPr>
        <w:t xml:space="preserve"> dicha</w:t>
      </w:r>
      <w:r w:rsidR="00837A36">
        <w:rPr>
          <w:rFonts w:ascii="Bookman Old Style" w:hAnsi="Bookman Old Style" w:cs="Arial"/>
          <w:szCs w:val="20"/>
          <w:lang w:val="es-ES_tradnl"/>
        </w:rPr>
        <w:t xml:space="preserve"> </w:t>
      </w:r>
      <w:r w:rsidR="00D301CE">
        <w:rPr>
          <w:rFonts w:ascii="Bookman Old Style" w:hAnsi="Bookman Old Style" w:cs="Arial"/>
          <w:szCs w:val="20"/>
          <w:lang w:val="es-ES_tradnl"/>
        </w:rPr>
        <w:t>tal vulneración</w:t>
      </w:r>
      <w:r w:rsidR="00C9049F" w:rsidRPr="00DE0A24">
        <w:rPr>
          <w:rFonts w:ascii="Bookman Old Style" w:hAnsi="Bookman Old Style" w:cs="Arial"/>
          <w:szCs w:val="20"/>
          <w:lang w:val="es-ES_tradnl"/>
        </w:rPr>
        <w:t>. Desde Aristóteles se predica la igualdad como el trato igual entre iguales y desigual entre desiguales.</w:t>
      </w:r>
    </w:p>
    <w:p w14:paraId="3615FB8A" w14:textId="77777777" w:rsidR="00C9049F" w:rsidRPr="00DE0A24" w:rsidRDefault="00C9049F" w:rsidP="00DE0A24">
      <w:pPr>
        <w:ind w:left="0" w:right="-93"/>
        <w:jc w:val="both"/>
        <w:rPr>
          <w:rFonts w:ascii="Bookman Old Style" w:hAnsi="Bookman Old Style" w:cs="Arial"/>
          <w:szCs w:val="20"/>
          <w:lang w:val="es-ES_tradnl"/>
        </w:rPr>
      </w:pPr>
    </w:p>
    <w:p w14:paraId="045FA36B" w14:textId="1899946C" w:rsidR="00C9049F" w:rsidRPr="00DE0A24" w:rsidRDefault="00C9049F" w:rsidP="00DE0A24">
      <w:pPr>
        <w:ind w:left="0" w:right="-93"/>
        <w:jc w:val="both"/>
        <w:rPr>
          <w:rFonts w:ascii="Bookman Old Style" w:hAnsi="Bookman Old Style" w:cs="Arial"/>
          <w:szCs w:val="20"/>
          <w:lang w:val="es-ES_tradnl"/>
        </w:rPr>
      </w:pPr>
      <w:r w:rsidRPr="00DE0A24">
        <w:rPr>
          <w:rFonts w:ascii="Bookman Old Style" w:hAnsi="Bookman Old Style" w:cs="Arial"/>
          <w:szCs w:val="20"/>
          <w:lang w:val="es-ES_tradnl"/>
        </w:rPr>
        <w:t>La igualdad en este sentido no puede predicarse de la actividad de generación de energía eléctrica, si no de la actividad de generación con la misma tecnología. Para predicarse la vulneración al derecho a la igualdad, se tienen que comparar iguales entre iguales, es decir generadores con ciclo combinado.</w:t>
      </w:r>
      <w:r w:rsidR="0082340D" w:rsidRPr="00DE0A24">
        <w:rPr>
          <w:rFonts w:ascii="Bookman Old Style" w:hAnsi="Bookman Old Style" w:cs="Arial"/>
          <w:szCs w:val="20"/>
          <w:lang w:val="es-ES_tradnl"/>
        </w:rPr>
        <w:t xml:space="preserve"> En este sentido TEBSA está compitiendo con agentes que tiene</w:t>
      </w:r>
      <w:r w:rsidR="00CA7C2B" w:rsidRPr="00DE0A24">
        <w:rPr>
          <w:rFonts w:ascii="Bookman Old Style" w:hAnsi="Bookman Old Style" w:cs="Arial"/>
          <w:szCs w:val="20"/>
          <w:lang w:val="es-ES_tradnl"/>
        </w:rPr>
        <w:t xml:space="preserve"> sus mismas características técnicas.</w:t>
      </w:r>
    </w:p>
    <w:p w14:paraId="56B5BEAC" w14:textId="783F1C64" w:rsidR="00F81C73" w:rsidRPr="00DE0A24" w:rsidRDefault="00F81C73" w:rsidP="00DE0A24">
      <w:pPr>
        <w:ind w:left="0" w:right="-93"/>
        <w:jc w:val="both"/>
        <w:rPr>
          <w:rFonts w:ascii="Bookman Old Style" w:hAnsi="Bookman Old Style" w:cs="Arial"/>
          <w:szCs w:val="20"/>
          <w:lang w:val="es-ES_tradnl"/>
        </w:rPr>
      </w:pPr>
    </w:p>
    <w:p w14:paraId="620E15EA" w14:textId="324C3A96" w:rsidR="00C9049F" w:rsidRPr="00DE0A24" w:rsidRDefault="00C9049F" w:rsidP="00DE0A24">
      <w:pPr>
        <w:ind w:left="0" w:right="-93"/>
        <w:jc w:val="both"/>
        <w:rPr>
          <w:rFonts w:ascii="Bookman Old Style" w:hAnsi="Bookman Old Style" w:cs="Arial"/>
          <w:szCs w:val="20"/>
          <w:lang w:val="es-ES_tradnl"/>
        </w:rPr>
      </w:pPr>
      <w:r w:rsidRPr="00DE0A24">
        <w:rPr>
          <w:rFonts w:ascii="Bookman Old Style" w:hAnsi="Bookman Old Style" w:cs="Arial"/>
          <w:szCs w:val="20"/>
          <w:lang w:val="es-ES_tradnl"/>
        </w:rPr>
        <w:t>Así las cosas</w:t>
      </w:r>
      <w:r w:rsidR="00773C8B">
        <w:rPr>
          <w:rFonts w:ascii="Bookman Old Style" w:hAnsi="Bookman Old Style" w:cs="Arial"/>
          <w:szCs w:val="20"/>
          <w:lang w:val="es-ES_tradnl"/>
        </w:rPr>
        <w:t>,</w:t>
      </w:r>
      <w:r w:rsidRPr="00DE0A24">
        <w:rPr>
          <w:rFonts w:ascii="Bookman Old Style" w:hAnsi="Bookman Old Style" w:cs="Arial"/>
          <w:szCs w:val="20"/>
          <w:lang w:val="es-ES_tradnl"/>
        </w:rPr>
        <w:t xml:space="preserve"> el establecer que el agente generador con ciclo combinado, disponga de una configuración </w:t>
      </w:r>
      <w:r w:rsidR="00773C8B" w:rsidRPr="00DE0A24">
        <w:rPr>
          <w:rFonts w:ascii="Bookman Old Style" w:hAnsi="Bookman Old Style" w:cs="Arial"/>
          <w:szCs w:val="20"/>
          <w:lang w:val="es-ES_tradnl"/>
        </w:rPr>
        <w:t>más</w:t>
      </w:r>
      <w:r w:rsidRPr="00DE0A24">
        <w:rPr>
          <w:rFonts w:ascii="Bookman Old Style" w:hAnsi="Bookman Old Style" w:cs="Arial"/>
          <w:szCs w:val="20"/>
          <w:lang w:val="es-ES_tradnl"/>
        </w:rPr>
        <w:t xml:space="preserve"> eficiente para el sistema, no busca que su suficiencia financiera se afecte, si no que esa formación </w:t>
      </w:r>
      <w:r w:rsidR="00773C8B" w:rsidRPr="00DE0A24">
        <w:rPr>
          <w:rFonts w:ascii="Bookman Old Style" w:hAnsi="Bookman Old Style" w:cs="Arial"/>
          <w:szCs w:val="20"/>
          <w:lang w:val="es-ES_tradnl"/>
        </w:rPr>
        <w:t>más</w:t>
      </w:r>
      <w:r w:rsidRPr="00DE0A24">
        <w:rPr>
          <w:rFonts w:ascii="Bookman Old Style" w:hAnsi="Bookman Old Style" w:cs="Arial"/>
          <w:szCs w:val="20"/>
          <w:lang w:val="es-ES_tradnl"/>
        </w:rPr>
        <w:t xml:space="preserve"> eficiente en el precio redunde </w:t>
      </w:r>
      <w:r w:rsidRPr="00DE0A24">
        <w:rPr>
          <w:rFonts w:ascii="Bookman Old Style" w:hAnsi="Bookman Old Style" w:cs="Arial"/>
          <w:szCs w:val="20"/>
          <w:lang w:val="es-ES_tradnl"/>
        </w:rPr>
        <w:lastRenderedPageBreak/>
        <w:t>en un beneficio para el usuario final frente al cual la CREG tiene mandato constitucional y legal para su protección.</w:t>
      </w:r>
    </w:p>
    <w:p w14:paraId="516B918A" w14:textId="77777777" w:rsidR="00C9049F" w:rsidRPr="00DE0A24" w:rsidRDefault="00C9049F" w:rsidP="00DE0A24">
      <w:pPr>
        <w:ind w:left="0" w:right="-93"/>
        <w:jc w:val="both"/>
        <w:rPr>
          <w:rFonts w:ascii="Bookman Old Style" w:hAnsi="Bookman Old Style" w:cs="Arial"/>
          <w:szCs w:val="20"/>
          <w:lang w:val="es-ES_tradnl"/>
        </w:rPr>
      </w:pPr>
    </w:p>
    <w:p w14:paraId="26BB4BAD" w14:textId="317063EF" w:rsidR="00C9049F" w:rsidRPr="00DE0A24" w:rsidRDefault="00C9049F" w:rsidP="00DE0A24">
      <w:pPr>
        <w:ind w:left="0" w:right="-93"/>
        <w:jc w:val="both"/>
        <w:rPr>
          <w:rFonts w:ascii="Bookman Old Style" w:hAnsi="Bookman Old Style" w:cs="Arial"/>
          <w:szCs w:val="20"/>
          <w:lang w:val="es-ES_tradnl"/>
        </w:rPr>
      </w:pPr>
      <w:r w:rsidRPr="00DE0A24">
        <w:rPr>
          <w:rFonts w:ascii="Bookman Old Style" w:hAnsi="Bookman Old Style" w:cs="Arial"/>
          <w:szCs w:val="20"/>
          <w:lang w:val="es-ES_tradnl"/>
        </w:rPr>
        <w:t xml:space="preserve">Por lo anterior, llama la atención que el agente se oponga a una generación </w:t>
      </w:r>
      <w:r w:rsidR="00773C8B" w:rsidRPr="00DE0A24">
        <w:rPr>
          <w:rFonts w:ascii="Bookman Old Style" w:hAnsi="Bookman Old Style" w:cs="Arial"/>
          <w:szCs w:val="20"/>
          <w:lang w:val="es-ES_tradnl"/>
        </w:rPr>
        <w:t>más</w:t>
      </w:r>
      <w:r w:rsidRPr="00DE0A24">
        <w:rPr>
          <w:rFonts w:ascii="Bookman Old Style" w:hAnsi="Bookman Old Style" w:cs="Arial"/>
          <w:szCs w:val="20"/>
          <w:lang w:val="es-ES_tradnl"/>
        </w:rPr>
        <w:t xml:space="preserve"> eficiente en beneficio del usuario.</w:t>
      </w:r>
    </w:p>
    <w:p w14:paraId="0927F159" w14:textId="1A13F8E7" w:rsidR="003A153B" w:rsidRPr="00DE0A24" w:rsidRDefault="003A153B" w:rsidP="00DE0A24">
      <w:pPr>
        <w:ind w:left="0" w:right="-93"/>
        <w:jc w:val="both"/>
        <w:rPr>
          <w:rFonts w:ascii="Bookman Old Style" w:hAnsi="Bookman Old Style" w:cs="Arial"/>
          <w:szCs w:val="20"/>
          <w:lang w:val="es-ES_tradnl"/>
        </w:rPr>
      </w:pPr>
    </w:p>
    <w:p w14:paraId="180FEAD0" w14:textId="091E07F0" w:rsidR="00D472CF" w:rsidRPr="00DE0A24" w:rsidRDefault="7AC44ED5" w:rsidP="48CCD98B">
      <w:pPr>
        <w:ind w:left="0" w:right="-93"/>
        <w:jc w:val="both"/>
        <w:rPr>
          <w:rFonts w:ascii="Bookman Old Style" w:hAnsi="Bookman Old Style" w:cs="Arial"/>
        </w:rPr>
      </w:pPr>
      <w:r w:rsidRPr="48CCD98B">
        <w:rPr>
          <w:rFonts w:ascii="Bookman Old Style" w:hAnsi="Bookman Old Style" w:cs="Arial"/>
        </w:rPr>
        <w:t xml:space="preserve">Referente a la afirmación </w:t>
      </w:r>
      <w:r w:rsidR="07468695" w:rsidRPr="48CCD98B">
        <w:rPr>
          <w:rFonts w:ascii="Bookman Old Style" w:hAnsi="Bookman Old Style" w:cs="Arial"/>
        </w:rPr>
        <w:t>que la</w:t>
      </w:r>
      <w:r w:rsidRPr="48CCD98B">
        <w:rPr>
          <w:rFonts w:ascii="Bookman Old Style" w:hAnsi="Bookman Old Style" w:cs="Arial"/>
        </w:rPr>
        <w:t xml:space="preserve"> Resolución no tiene en cuenta los criterios</w:t>
      </w:r>
      <w:r w:rsidR="39DC7035" w:rsidRPr="48CCD98B">
        <w:rPr>
          <w:rFonts w:ascii="Bookman Old Style" w:hAnsi="Bookman Old Style" w:cs="Arial"/>
        </w:rPr>
        <w:t xml:space="preserve"> </w:t>
      </w:r>
      <w:r w:rsidRPr="48CCD98B">
        <w:rPr>
          <w:rFonts w:ascii="Bookman Old Style" w:hAnsi="Bookman Old Style" w:cs="Arial"/>
        </w:rPr>
        <w:t>para definir el régimen tarifario</w:t>
      </w:r>
      <w:r w:rsidR="16CB64EE" w:rsidRPr="48CCD98B">
        <w:rPr>
          <w:rFonts w:ascii="Bookman Old Style" w:hAnsi="Bookman Old Style" w:cs="Arial"/>
        </w:rPr>
        <w:t>, entendemos que</w:t>
      </w:r>
      <w:r w:rsidR="48003A65" w:rsidRPr="48CCD98B">
        <w:rPr>
          <w:rFonts w:ascii="Bookman Old Style" w:hAnsi="Bookman Old Style" w:cs="Arial"/>
        </w:rPr>
        <w:t xml:space="preserve"> tal afirmación la hace el Representante Legal de </w:t>
      </w:r>
      <w:proofErr w:type="spellStart"/>
      <w:r w:rsidR="48003A65" w:rsidRPr="48CCD98B">
        <w:rPr>
          <w:rFonts w:ascii="Bookman Old Style" w:hAnsi="Bookman Old Style" w:cs="Arial"/>
        </w:rPr>
        <w:t>Tebsa</w:t>
      </w:r>
      <w:proofErr w:type="spellEnd"/>
      <w:r w:rsidR="48003A65" w:rsidRPr="48CCD98B">
        <w:rPr>
          <w:rFonts w:ascii="Bookman Old Style" w:hAnsi="Bookman Old Style" w:cs="Arial"/>
        </w:rPr>
        <w:t>, dentro</w:t>
      </w:r>
      <w:r w:rsidR="74D98A87" w:rsidRPr="48CCD98B">
        <w:rPr>
          <w:rFonts w:ascii="Bookman Old Style" w:hAnsi="Bookman Old Style" w:cs="Arial"/>
        </w:rPr>
        <w:t xml:space="preserve"> de la causal 1 del artículo 93</w:t>
      </w:r>
      <w:r w:rsidR="65F311F1" w:rsidRPr="48CCD98B">
        <w:rPr>
          <w:rFonts w:ascii="Bookman Old Style" w:hAnsi="Bookman Old Style" w:cs="Arial"/>
        </w:rPr>
        <w:t xml:space="preserve"> por una presunta vulneración a la ley</w:t>
      </w:r>
      <w:r w:rsidR="74D98A87" w:rsidRPr="48CCD98B">
        <w:rPr>
          <w:rFonts w:ascii="Bookman Old Style" w:hAnsi="Bookman Old Style" w:cs="Arial"/>
        </w:rPr>
        <w:t xml:space="preserve"> y en consecuencia procedemos a darle respuesta.</w:t>
      </w:r>
    </w:p>
    <w:p w14:paraId="0B406DE5" w14:textId="35AFEF93" w:rsidR="003A153B" w:rsidRPr="00A56805" w:rsidRDefault="003A153B" w:rsidP="007A0FA6">
      <w:pPr>
        <w:ind w:left="0"/>
        <w:jc w:val="both"/>
        <w:rPr>
          <w:rFonts w:ascii="Arial" w:hAnsi="Arial" w:cs="Arial"/>
        </w:rPr>
      </w:pPr>
    </w:p>
    <w:p w14:paraId="36AB8F5C" w14:textId="77777777" w:rsidR="001D2B37" w:rsidRPr="00FB6329" w:rsidRDefault="001D2B37" w:rsidP="001D2B37">
      <w:pPr>
        <w:ind w:left="0"/>
        <w:jc w:val="both"/>
        <w:rPr>
          <w:rFonts w:ascii="Bookman Old Style" w:hAnsi="Bookman Old Style"/>
          <w:b/>
          <w:bCs/>
          <w:lang w:val="es-CO"/>
        </w:rPr>
      </w:pPr>
      <w:r w:rsidRPr="00FB6329">
        <w:rPr>
          <w:rFonts w:ascii="Bookman Old Style" w:hAnsi="Bookman Old Style"/>
          <w:b/>
          <w:bCs/>
          <w:lang w:val="es-CO"/>
        </w:rPr>
        <w:t>La Resolución no tiene en cuenta los criterios</w:t>
      </w:r>
      <w:r>
        <w:rPr>
          <w:rFonts w:ascii="Bookman Old Style" w:hAnsi="Bookman Old Style"/>
          <w:b/>
          <w:bCs/>
          <w:lang w:val="es-CO"/>
        </w:rPr>
        <w:t xml:space="preserve"> </w:t>
      </w:r>
      <w:r w:rsidRPr="00FB6329">
        <w:rPr>
          <w:rFonts w:ascii="Bookman Old Style" w:hAnsi="Bookman Old Style"/>
          <w:b/>
          <w:bCs/>
          <w:lang w:val="es-CO"/>
        </w:rPr>
        <w:t>para definir el régimen tarifario.</w:t>
      </w:r>
    </w:p>
    <w:p w14:paraId="75BE74CE" w14:textId="77777777" w:rsidR="00471892" w:rsidRPr="001D2B37" w:rsidRDefault="00471892" w:rsidP="00471892">
      <w:pPr>
        <w:ind w:left="0"/>
        <w:jc w:val="both"/>
        <w:rPr>
          <w:rFonts w:ascii="Bookman Old Style" w:hAnsi="Bookman Old Style" w:cs="Arial"/>
          <w:lang w:val="es-CO"/>
        </w:rPr>
      </w:pPr>
    </w:p>
    <w:p w14:paraId="2693E9CA" w14:textId="77777777" w:rsidR="00471892" w:rsidRPr="00CB6DF3" w:rsidRDefault="00471892" w:rsidP="00471892">
      <w:pPr>
        <w:ind w:left="0"/>
        <w:jc w:val="both"/>
        <w:rPr>
          <w:rFonts w:ascii="Bookman Old Style" w:hAnsi="Bookman Old Style" w:cs="Arial"/>
        </w:rPr>
      </w:pPr>
      <w:r w:rsidRPr="00CB6DF3">
        <w:rPr>
          <w:rFonts w:ascii="Bookman Old Style" w:hAnsi="Bookman Old Style" w:cs="Arial"/>
        </w:rPr>
        <w:t>El peticionario cita el artículo 87.4 de la Ley 142 de 1994 y el artículo 44 de la Ley 143 de 1994, destacando que cuando el artículo 87.4 fue objeto de revisión por la Corte Constitucional en la Sentencia C-150 de 2003, se precisó sobre la necesidad de que la remuneración de costos e inversiones deben garantizar la prestación y mejoramiento del servicio en el largo plazo, siendo contrario a la Constitución Política exigir al prestador del servicio privado su sacrificio a través de la participación en un mercado que le impida la recuperación de dichos costos e inversiones.</w:t>
      </w:r>
    </w:p>
    <w:p w14:paraId="137CB40A" w14:textId="77777777" w:rsidR="00471892" w:rsidRPr="00CB6DF3" w:rsidRDefault="00471892" w:rsidP="00471892">
      <w:pPr>
        <w:ind w:left="0"/>
        <w:jc w:val="both"/>
        <w:rPr>
          <w:rFonts w:ascii="Bookman Old Style" w:hAnsi="Bookman Old Style" w:cs="Arial"/>
        </w:rPr>
      </w:pPr>
    </w:p>
    <w:p w14:paraId="496D05FC" w14:textId="1C46DA03" w:rsidR="00471892" w:rsidRPr="007B1059" w:rsidRDefault="00471892" w:rsidP="007B1059">
      <w:pPr>
        <w:ind w:left="0"/>
        <w:jc w:val="both"/>
        <w:rPr>
          <w:rFonts w:ascii="Bookman Old Style" w:hAnsi="Bookman Old Style"/>
          <w:lang w:val="es-CO"/>
        </w:rPr>
      </w:pPr>
      <w:r w:rsidRPr="00CB6DF3">
        <w:rPr>
          <w:rFonts w:ascii="Bookman Old Style" w:hAnsi="Bookman Old Style" w:cs="Arial"/>
        </w:rPr>
        <w:t xml:space="preserve">Finalmente, señala que el artículo 87.4 dispone que la remuneración a los distintos actores debe permitir utilizar las tecnologías y sistemas administrativos que garanticen la mejor calidad, continuidad y seguridad a sus usuarios, pero que, a pesar de ello, la Resolución CREG </w:t>
      </w:r>
      <w:r w:rsidR="00FF6E31" w:rsidRPr="00CB6DF3">
        <w:rPr>
          <w:rFonts w:ascii="Bookman Old Style" w:hAnsi="Bookman Old Style" w:cs="Arial"/>
        </w:rPr>
        <w:t>101</w:t>
      </w:r>
      <w:r w:rsidR="00941A24">
        <w:rPr>
          <w:rFonts w:ascii="Bookman Old Style" w:hAnsi="Bookman Old Style" w:cs="Arial"/>
        </w:rPr>
        <w:t xml:space="preserve"> </w:t>
      </w:r>
      <w:r w:rsidR="00FF6E31" w:rsidRPr="00CB6DF3">
        <w:rPr>
          <w:rFonts w:ascii="Bookman Old Style" w:hAnsi="Bookman Old Style" w:cs="Arial"/>
        </w:rPr>
        <w:t>028</w:t>
      </w:r>
      <w:r w:rsidRPr="00CB6DF3">
        <w:rPr>
          <w:rFonts w:ascii="Bookman Old Style" w:hAnsi="Bookman Old Style" w:cs="Arial"/>
        </w:rPr>
        <w:t xml:space="preserve"> no garantiza la suficiencia de la oferta eléctrica en la Costa Caribe</w:t>
      </w:r>
      <w:r w:rsidR="007B1059">
        <w:rPr>
          <w:rFonts w:ascii="Bookman Old Style" w:hAnsi="Bookman Old Style" w:cs="Arial"/>
        </w:rPr>
        <w:t xml:space="preserve">, </w:t>
      </w:r>
      <w:r w:rsidR="007B1059" w:rsidRPr="00D80317">
        <w:rPr>
          <w:rFonts w:ascii="Bookman Old Style" w:hAnsi="Bookman Old Style"/>
          <w:lang w:val="es-CO"/>
        </w:rPr>
        <w:t>buscar una disminución de las tarifas aplicables al servicio</w:t>
      </w:r>
      <w:r w:rsidR="007B1059">
        <w:rPr>
          <w:rFonts w:ascii="Bookman Old Style" w:hAnsi="Bookman Old Style"/>
          <w:lang w:val="es-CO"/>
        </w:rPr>
        <w:t xml:space="preserve"> </w:t>
      </w:r>
      <w:r w:rsidR="007B1059" w:rsidRPr="00D80317">
        <w:rPr>
          <w:rFonts w:ascii="Bookman Old Style" w:hAnsi="Bookman Old Style"/>
          <w:lang w:val="es-CO"/>
        </w:rPr>
        <w:t>a partir del uso de las configuraciones que minimicen el despacho</w:t>
      </w:r>
      <w:r w:rsidR="007B1059">
        <w:rPr>
          <w:rFonts w:ascii="Bookman Old Style" w:hAnsi="Bookman Old Style"/>
          <w:lang w:val="es-CO"/>
        </w:rPr>
        <w:t xml:space="preserve"> </w:t>
      </w:r>
      <w:r w:rsidR="007B1059" w:rsidRPr="00D80317">
        <w:rPr>
          <w:rFonts w:ascii="Bookman Old Style" w:hAnsi="Bookman Old Style"/>
          <w:lang w:val="es-CO"/>
        </w:rPr>
        <w:t>eventualmente podría derivar en algún alivio en el costo de la energía en</w:t>
      </w:r>
      <w:r w:rsidR="007B1059">
        <w:rPr>
          <w:rFonts w:ascii="Bookman Old Style" w:hAnsi="Bookman Old Style"/>
          <w:lang w:val="es-CO"/>
        </w:rPr>
        <w:t xml:space="preserve"> </w:t>
      </w:r>
      <w:r w:rsidR="007B1059" w:rsidRPr="00D80317">
        <w:rPr>
          <w:rFonts w:ascii="Bookman Old Style" w:hAnsi="Bookman Old Style"/>
          <w:lang w:val="es-CO"/>
        </w:rPr>
        <w:t xml:space="preserve">favor de los usuarios finales, a costa de perjudicar </w:t>
      </w:r>
      <w:r w:rsidR="00C85772">
        <w:rPr>
          <w:rFonts w:ascii="Bookman Old Style" w:hAnsi="Bookman Old Style"/>
          <w:lang w:val="es-CO"/>
        </w:rPr>
        <w:t>únicamente</w:t>
      </w:r>
      <w:r w:rsidR="007B1059" w:rsidRPr="00D80317">
        <w:rPr>
          <w:rFonts w:ascii="Bookman Old Style" w:hAnsi="Bookman Old Style"/>
          <w:lang w:val="es-CO"/>
        </w:rPr>
        <w:t xml:space="preserve"> a las</w:t>
      </w:r>
      <w:r w:rsidR="007B1059">
        <w:rPr>
          <w:rFonts w:ascii="Bookman Old Style" w:hAnsi="Bookman Old Style"/>
          <w:lang w:val="es-CO"/>
        </w:rPr>
        <w:t xml:space="preserve"> </w:t>
      </w:r>
      <w:r w:rsidR="007B1059" w:rsidRPr="00D80317">
        <w:rPr>
          <w:rFonts w:ascii="Bookman Old Style" w:hAnsi="Bookman Old Style"/>
          <w:lang w:val="es-CO"/>
        </w:rPr>
        <w:t>generadoras térmicas que tienen plantas de ciclo combinado, toda vez</w:t>
      </w:r>
      <w:r w:rsidR="007B1059">
        <w:rPr>
          <w:rFonts w:ascii="Bookman Old Style" w:hAnsi="Bookman Old Style"/>
          <w:lang w:val="es-CO"/>
        </w:rPr>
        <w:t xml:space="preserve"> </w:t>
      </w:r>
      <w:r w:rsidR="007B1059" w:rsidRPr="00D80317">
        <w:rPr>
          <w:rFonts w:ascii="Bookman Old Style" w:hAnsi="Bookman Old Style"/>
          <w:lang w:val="es-CO"/>
        </w:rPr>
        <w:t>que al usarse la configuración con el menor costo aplicable se puede</w:t>
      </w:r>
      <w:r w:rsidR="007B1059">
        <w:rPr>
          <w:rFonts w:ascii="Bookman Old Style" w:hAnsi="Bookman Old Style"/>
          <w:lang w:val="es-CO"/>
        </w:rPr>
        <w:t xml:space="preserve"> </w:t>
      </w:r>
      <w:r w:rsidR="007B1059" w:rsidRPr="00D80317">
        <w:rPr>
          <w:rFonts w:ascii="Bookman Old Style" w:hAnsi="Bookman Old Style"/>
          <w:lang w:val="es-CO"/>
        </w:rPr>
        <w:t>causar una disminución injustificada de ingresos para estas compañías,</w:t>
      </w:r>
      <w:r w:rsidR="007B1059">
        <w:rPr>
          <w:rFonts w:ascii="Bookman Old Style" w:hAnsi="Bookman Old Style"/>
          <w:lang w:val="es-CO"/>
        </w:rPr>
        <w:t xml:space="preserve"> </w:t>
      </w:r>
      <w:r w:rsidR="007B1059" w:rsidRPr="00D80317">
        <w:rPr>
          <w:rFonts w:ascii="Bookman Old Style" w:hAnsi="Bookman Old Style"/>
          <w:lang w:val="es-CO"/>
        </w:rPr>
        <w:t>impactando así en sus finanzas</w:t>
      </w:r>
    </w:p>
    <w:p w14:paraId="768B6072" w14:textId="77777777" w:rsidR="00471892" w:rsidRPr="00CB6DF3" w:rsidRDefault="00471892" w:rsidP="00471892">
      <w:pPr>
        <w:ind w:left="0"/>
        <w:jc w:val="both"/>
        <w:rPr>
          <w:rFonts w:ascii="Bookman Old Style" w:hAnsi="Bookman Old Style" w:cs="Arial"/>
        </w:rPr>
      </w:pPr>
    </w:p>
    <w:p w14:paraId="5BFFF5B1" w14:textId="77777777" w:rsidR="00471892" w:rsidRPr="00CB6DF3" w:rsidRDefault="00471892" w:rsidP="00471892">
      <w:pPr>
        <w:ind w:left="0"/>
        <w:jc w:val="both"/>
        <w:rPr>
          <w:rFonts w:ascii="Bookman Old Style" w:hAnsi="Bookman Old Style" w:cs="Arial"/>
        </w:rPr>
      </w:pPr>
      <w:r w:rsidRPr="00CB6DF3">
        <w:rPr>
          <w:rFonts w:ascii="Bookman Old Style" w:hAnsi="Bookman Old Style" w:cs="Arial"/>
        </w:rPr>
        <w:t xml:space="preserve">Al respecto, resulta pertinente precisar cuál es el alcance de los principios de eficiencia y sostenibilidad económica. </w:t>
      </w:r>
    </w:p>
    <w:p w14:paraId="05815FF2" w14:textId="77777777" w:rsidR="00471892" w:rsidRPr="00CB6DF3" w:rsidRDefault="00471892" w:rsidP="00471892">
      <w:pPr>
        <w:ind w:left="0"/>
        <w:jc w:val="both"/>
        <w:rPr>
          <w:rFonts w:ascii="Bookman Old Style" w:hAnsi="Bookman Old Style" w:cs="Arial"/>
        </w:rPr>
      </w:pPr>
    </w:p>
    <w:p w14:paraId="4F4A75D2" w14:textId="77777777" w:rsidR="00471892" w:rsidRPr="00CB6DF3" w:rsidRDefault="00471892" w:rsidP="00471892">
      <w:pPr>
        <w:ind w:left="0"/>
        <w:jc w:val="both"/>
        <w:rPr>
          <w:rFonts w:ascii="Bookman Old Style" w:hAnsi="Bookman Old Style" w:cs="Arial"/>
        </w:rPr>
      </w:pPr>
      <w:r w:rsidRPr="00CB6DF3">
        <w:rPr>
          <w:rFonts w:ascii="Bookman Old Style" w:hAnsi="Bookman Old Style" w:cs="Arial"/>
        </w:rPr>
        <w:t>El artículo 87.4 de la Ley 142 de 1994 señala que 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p>
    <w:p w14:paraId="7696C7E3" w14:textId="77777777" w:rsidR="00471892" w:rsidRPr="00CB6DF3" w:rsidRDefault="00471892" w:rsidP="00471892">
      <w:pPr>
        <w:ind w:left="0"/>
        <w:jc w:val="both"/>
        <w:rPr>
          <w:rFonts w:ascii="Bookman Old Style" w:hAnsi="Bookman Old Style" w:cs="Arial"/>
        </w:rPr>
      </w:pPr>
    </w:p>
    <w:p w14:paraId="117F3E10" w14:textId="77777777" w:rsidR="00471892" w:rsidRPr="00CB6DF3" w:rsidRDefault="00471892" w:rsidP="00471892">
      <w:pPr>
        <w:ind w:left="0"/>
        <w:jc w:val="both"/>
        <w:rPr>
          <w:rFonts w:ascii="Bookman Old Style" w:hAnsi="Bookman Old Style" w:cs="Arial"/>
        </w:rPr>
      </w:pPr>
      <w:r w:rsidRPr="00CB6DF3">
        <w:rPr>
          <w:rFonts w:ascii="Bookman Old Style" w:hAnsi="Bookman Old Style" w:cs="Arial"/>
        </w:rPr>
        <w:lastRenderedPageBreak/>
        <w:t>El Ley 143 de 1994, en su artículo 44 establece que “</w:t>
      </w:r>
      <w:r w:rsidRPr="00A56805">
        <w:rPr>
          <w:rFonts w:ascii="Bookman Old Style" w:hAnsi="Bookman Old Style" w:cs="Arial"/>
        </w:rPr>
        <w:t>Por suficiencia financiera se entiende que las empresas eficientes tendrán garantizada la recuperación de sus costos de inversión y sus gastos de administración, operación y mantenimiento, con el valor de las ventas de electricidad y el monto de los subsidios que reciban en compensación por atender a usuarios residenciales de menores ingresos.</w:t>
      </w:r>
      <w:r w:rsidRPr="00CB6DF3">
        <w:rPr>
          <w:rFonts w:ascii="Bookman Old Style" w:hAnsi="Bookman Old Style" w:cs="Arial"/>
        </w:rPr>
        <w:t>”</w:t>
      </w:r>
    </w:p>
    <w:p w14:paraId="597CA32F" w14:textId="77777777" w:rsidR="00471892" w:rsidRPr="00A56805" w:rsidRDefault="00471892" w:rsidP="00471892">
      <w:pPr>
        <w:ind w:left="0"/>
        <w:jc w:val="both"/>
        <w:rPr>
          <w:rFonts w:ascii="Bookman Old Style" w:hAnsi="Bookman Old Style" w:cs="Arial"/>
        </w:rPr>
      </w:pPr>
    </w:p>
    <w:p w14:paraId="1D8D24D5" w14:textId="77777777" w:rsidR="00471892" w:rsidRPr="00A56805" w:rsidRDefault="00471892" w:rsidP="00471892">
      <w:pPr>
        <w:ind w:left="0"/>
        <w:jc w:val="both"/>
        <w:rPr>
          <w:rFonts w:ascii="Bookman Old Style" w:hAnsi="Bookman Old Style" w:cs="Arial"/>
        </w:rPr>
      </w:pPr>
      <w:r w:rsidRPr="00A56805">
        <w:rPr>
          <w:rFonts w:ascii="Bookman Old Style" w:hAnsi="Bookman Old Style" w:cs="Arial"/>
        </w:rPr>
        <w:t>Y el artículo 87.1 de la Ley 142 de 1994, dispuso que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w:t>
      </w:r>
    </w:p>
    <w:p w14:paraId="4ACAC24A" w14:textId="77777777" w:rsidR="00471892" w:rsidRPr="00CB6DF3" w:rsidRDefault="00471892" w:rsidP="00471892">
      <w:pPr>
        <w:ind w:left="0"/>
        <w:jc w:val="both"/>
        <w:rPr>
          <w:rFonts w:ascii="Bookman Old Style" w:hAnsi="Bookman Old Style" w:cs="Arial"/>
        </w:rPr>
      </w:pPr>
    </w:p>
    <w:p w14:paraId="43808F40" w14:textId="79B21C61" w:rsidR="00CB6DF3" w:rsidRDefault="00471892" w:rsidP="00CB6DF3">
      <w:pPr>
        <w:ind w:left="0"/>
        <w:jc w:val="both"/>
        <w:rPr>
          <w:rFonts w:ascii="Bookman Old Style" w:hAnsi="Bookman Old Style" w:cs="Arial"/>
        </w:rPr>
      </w:pPr>
      <w:r w:rsidRPr="009D262F">
        <w:rPr>
          <w:rFonts w:ascii="Bookman Old Style" w:hAnsi="Bookman Old Style" w:cs="Arial"/>
        </w:rPr>
        <w:t xml:space="preserve">Conforme lo anterior, </w:t>
      </w:r>
      <w:r w:rsidR="001869E4">
        <w:rPr>
          <w:rFonts w:ascii="Bookman Old Style" w:hAnsi="Bookman Old Style" w:cs="Arial"/>
        </w:rPr>
        <w:t>la Resolución,</w:t>
      </w:r>
      <w:r w:rsidR="00CB6DF3" w:rsidRPr="00A56805">
        <w:rPr>
          <w:rFonts w:ascii="Bookman Old Style" w:hAnsi="Bookman Old Style" w:cs="Arial"/>
        </w:rPr>
        <w:t xml:space="preserve"> no busca afectar financieramente a las empresas, al contrario, a partir de la prevalencia del interés general sobre el particular, se busca utilizar los recursos más económicos en pro del usuario, que entre otras es uno de los mandatos constitucionales y legales de la CREG.</w:t>
      </w:r>
    </w:p>
    <w:p w14:paraId="40F7BEE2" w14:textId="6D5B5840" w:rsidR="007E1345" w:rsidRDefault="007E1345" w:rsidP="00CB6DF3">
      <w:pPr>
        <w:ind w:left="0"/>
        <w:jc w:val="both"/>
        <w:rPr>
          <w:rFonts w:ascii="Bookman Old Style" w:hAnsi="Bookman Old Style" w:cs="Arial"/>
        </w:rPr>
      </w:pPr>
    </w:p>
    <w:p w14:paraId="6455827D" w14:textId="3FB6A0B1" w:rsidR="007E1345" w:rsidRDefault="007E1345" w:rsidP="00CB6DF3">
      <w:pPr>
        <w:ind w:left="0"/>
        <w:jc w:val="both"/>
        <w:rPr>
          <w:rFonts w:ascii="Bookman Old Style" w:hAnsi="Bookman Old Style" w:cs="Arial"/>
        </w:rPr>
      </w:pPr>
      <w:r>
        <w:rPr>
          <w:rFonts w:ascii="Bookman Old Style" w:hAnsi="Bookman Old Style" w:cs="Arial"/>
        </w:rPr>
        <w:t xml:space="preserve">Así mismo una presunta afectación económica debe probarse </w:t>
      </w:r>
      <w:r w:rsidR="00773C8B">
        <w:rPr>
          <w:rFonts w:ascii="Bookman Old Style" w:hAnsi="Bookman Old Style" w:cs="Arial"/>
        </w:rPr>
        <w:t>más</w:t>
      </w:r>
      <w:r>
        <w:rPr>
          <w:rFonts w:ascii="Bookman Old Style" w:hAnsi="Bookman Old Style" w:cs="Arial"/>
        </w:rPr>
        <w:t xml:space="preserve"> allá de la argumentación retórica, lo cual no se observa en la solicitud de revocatoria directa.</w:t>
      </w:r>
    </w:p>
    <w:p w14:paraId="1DBB87AB" w14:textId="7BE06F57" w:rsidR="003C40A8" w:rsidRDefault="003C40A8" w:rsidP="00CB6DF3">
      <w:pPr>
        <w:ind w:left="0"/>
        <w:jc w:val="both"/>
        <w:rPr>
          <w:rFonts w:ascii="Bookman Old Style" w:hAnsi="Bookman Old Style" w:cs="Arial"/>
        </w:rPr>
      </w:pPr>
    </w:p>
    <w:p w14:paraId="6C1C6366" w14:textId="3B4AEC21" w:rsidR="003C40A8" w:rsidRDefault="003C40A8" w:rsidP="00CB6DF3">
      <w:pPr>
        <w:ind w:left="0"/>
        <w:jc w:val="both"/>
        <w:rPr>
          <w:rFonts w:ascii="Bookman Old Style" w:hAnsi="Bookman Old Style" w:cs="Arial"/>
        </w:rPr>
      </w:pPr>
      <w:r w:rsidRPr="005F3C54">
        <w:rPr>
          <w:rFonts w:ascii="Bookman Old Style" w:hAnsi="Bookman Old Style" w:cs="Arial"/>
          <w:b/>
          <w:bCs/>
        </w:rPr>
        <w:t>Principio de confianza legítima</w:t>
      </w:r>
      <w:r w:rsidR="00F5520A">
        <w:rPr>
          <w:rFonts w:ascii="Bookman Old Style" w:hAnsi="Bookman Old Style" w:cs="Arial"/>
        </w:rPr>
        <w:t>.</w:t>
      </w:r>
    </w:p>
    <w:p w14:paraId="0374031F" w14:textId="28381E2E" w:rsidR="007E1345" w:rsidRDefault="007E1345" w:rsidP="00CB6DF3">
      <w:pPr>
        <w:ind w:left="0"/>
        <w:jc w:val="both"/>
        <w:rPr>
          <w:rFonts w:ascii="Bookman Old Style" w:hAnsi="Bookman Old Style" w:cs="Arial"/>
        </w:rPr>
      </w:pPr>
    </w:p>
    <w:p w14:paraId="03092DB1" w14:textId="3F8CC66D" w:rsidR="001464CD" w:rsidRDefault="008E039E" w:rsidP="001464CD">
      <w:pPr>
        <w:ind w:left="0"/>
        <w:jc w:val="both"/>
        <w:rPr>
          <w:rFonts w:ascii="Bookman Old Style" w:hAnsi="Bookman Old Style"/>
          <w:lang w:val="es-CO"/>
        </w:rPr>
      </w:pPr>
      <w:r>
        <w:rPr>
          <w:rFonts w:ascii="Bookman Old Style" w:hAnsi="Bookman Old Style" w:cs="Arial"/>
        </w:rPr>
        <w:t>Referente a la pre</w:t>
      </w:r>
      <w:r w:rsidR="00855622">
        <w:rPr>
          <w:rFonts w:ascii="Bookman Old Style" w:hAnsi="Bookman Old Style" w:cs="Arial"/>
        </w:rPr>
        <w:t>s</w:t>
      </w:r>
      <w:r>
        <w:rPr>
          <w:rFonts w:ascii="Bookman Old Style" w:hAnsi="Bookman Old Style" w:cs="Arial"/>
        </w:rPr>
        <w:t>unta vulneración al principio de confianza legítima argumentando por el peticionario</w:t>
      </w:r>
      <w:r w:rsidR="00C72BD7">
        <w:rPr>
          <w:rFonts w:ascii="Bookman Old Style" w:hAnsi="Bookman Old Style" w:cs="Arial"/>
        </w:rPr>
        <w:t xml:space="preserve">, según </w:t>
      </w:r>
      <w:r w:rsidR="002F320C">
        <w:rPr>
          <w:rFonts w:ascii="Bookman Old Style" w:hAnsi="Bookman Old Style" w:cs="Arial"/>
        </w:rPr>
        <w:t>él</w:t>
      </w:r>
      <w:r w:rsidR="00C72BD7">
        <w:rPr>
          <w:rFonts w:ascii="Bookman Old Style" w:hAnsi="Bookman Old Style" w:cs="Arial"/>
        </w:rPr>
        <w:t>, al haberse permitido que TEBSA</w:t>
      </w:r>
      <w:r w:rsidR="006A0F78">
        <w:rPr>
          <w:rFonts w:ascii="Bookman Old Style" w:hAnsi="Bookman Old Style" w:cs="Arial"/>
        </w:rPr>
        <w:t xml:space="preserve"> con una planta de ciclo combinado</w:t>
      </w:r>
      <w:r w:rsidR="00C72BD7">
        <w:rPr>
          <w:rFonts w:ascii="Bookman Old Style" w:hAnsi="Bookman Old Style" w:cs="Arial"/>
        </w:rPr>
        <w:t xml:space="preserve"> participar</w:t>
      </w:r>
      <w:r w:rsidR="006A0F78">
        <w:rPr>
          <w:rFonts w:ascii="Bookman Old Style" w:hAnsi="Bookman Old Style" w:cs="Arial"/>
        </w:rPr>
        <w:t xml:space="preserve"> en la subasta del cargo por confiabilidad </w:t>
      </w:r>
      <w:r w:rsidR="001464CD" w:rsidRPr="000E6983">
        <w:rPr>
          <w:rFonts w:ascii="Bookman Old Style" w:hAnsi="Bookman Old Style"/>
          <w:lang w:val="es-CO"/>
        </w:rPr>
        <w:t>haber asignado OEF a generadores</w:t>
      </w:r>
      <w:r w:rsidR="001464CD">
        <w:rPr>
          <w:rFonts w:ascii="Bookman Old Style" w:hAnsi="Bookman Old Style"/>
          <w:lang w:val="es-CO"/>
        </w:rPr>
        <w:t xml:space="preserve"> </w:t>
      </w:r>
      <w:r w:rsidR="001464CD" w:rsidRPr="000E6983">
        <w:rPr>
          <w:rFonts w:ascii="Bookman Old Style" w:hAnsi="Bookman Old Style"/>
          <w:lang w:val="es-CO"/>
        </w:rPr>
        <w:t>térmicos con ciclos combinados bajo unas condiciones regulatorias</w:t>
      </w:r>
      <w:r w:rsidR="001464CD">
        <w:rPr>
          <w:rFonts w:ascii="Bookman Old Style" w:hAnsi="Bookman Old Style"/>
          <w:lang w:val="es-CO"/>
        </w:rPr>
        <w:t xml:space="preserve"> </w:t>
      </w:r>
      <w:r w:rsidR="001464CD" w:rsidRPr="000E6983">
        <w:rPr>
          <w:rFonts w:ascii="Bookman Old Style" w:hAnsi="Bookman Old Style"/>
          <w:lang w:val="es-CO"/>
        </w:rPr>
        <w:t>determinadas, para ahora cambiarlas, sin tener en cuenta el impacto que</w:t>
      </w:r>
      <w:r w:rsidR="001464CD">
        <w:rPr>
          <w:rFonts w:ascii="Bookman Old Style" w:hAnsi="Bookman Old Style"/>
          <w:lang w:val="es-CO"/>
        </w:rPr>
        <w:t xml:space="preserve"> </w:t>
      </w:r>
      <w:r w:rsidR="001464CD" w:rsidRPr="000E6983">
        <w:rPr>
          <w:rFonts w:ascii="Bookman Old Style" w:hAnsi="Bookman Old Style"/>
          <w:lang w:val="es-CO"/>
        </w:rPr>
        <w:t>esto puede generar para todos los agentes de la cadena</w:t>
      </w:r>
      <w:r w:rsidR="00614C07">
        <w:rPr>
          <w:rFonts w:ascii="Bookman Old Style" w:hAnsi="Bookman Old Style"/>
          <w:lang w:val="es-CO"/>
        </w:rPr>
        <w:t>, afirmación que carece de validez y por lo tanto no puede ser aceptada, toda vez que la remuneración del cargo por confiabilidad permanece incólum</w:t>
      </w:r>
      <w:r w:rsidR="0086004A">
        <w:rPr>
          <w:rFonts w:ascii="Bookman Old Style" w:hAnsi="Bookman Old Style"/>
          <w:lang w:val="es-CO"/>
        </w:rPr>
        <w:t>e.</w:t>
      </w:r>
    </w:p>
    <w:p w14:paraId="09063883" w14:textId="4EB29C82" w:rsidR="0086004A" w:rsidRDefault="0086004A" w:rsidP="001464CD">
      <w:pPr>
        <w:ind w:left="0"/>
        <w:jc w:val="both"/>
        <w:rPr>
          <w:rFonts w:ascii="Bookman Old Style" w:hAnsi="Bookman Old Style"/>
          <w:lang w:val="es-CO"/>
        </w:rPr>
      </w:pPr>
    </w:p>
    <w:p w14:paraId="352AF36E" w14:textId="54FD1F2A" w:rsidR="0086004A" w:rsidRDefault="364D9A57" w:rsidP="001464CD">
      <w:pPr>
        <w:ind w:left="0"/>
        <w:jc w:val="both"/>
        <w:rPr>
          <w:rFonts w:ascii="Bookman Old Style" w:hAnsi="Bookman Old Style"/>
          <w:lang w:val="es-CO"/>
        </w:rPr>
      </w:pPr>
      <w:r w:rsidRPr="48CCD98B">
        <w:rPr>
          <w:rFonts w:ascii="Bookman Old Style" w:hAnsi="Bookman Old Style"/>
          <w:lang w:val="es-CO"/>
        </w:rPr>
        <w:t>El principio de la confianza legítima parte del principio constitucional de la buena fe</w:t>
      </w:r>
      <w:r w:rsidR="3B820E4A" w:rsidRPr="48CCD98B">
        <w:rPr>
          <w:rFonts w:ascii="Bookman Old Style" w:hAnsi="Bookman Old Style"/>
          <w:lang w:val="es-CO"/>
        </w:rPr>
        <w:t xml:space="preserve">, </w:t>
      </w:r>
      <w:r w:rsidR="1E0A3E07" w:rsidRPr="48CCD98B">
        <w:rPr>
          <w:rFonts w:ascii="Bookman Old Style" w:hAnsi="Bookman Old Style"/>
          <w:lang w:val="es-CO"/>
        </w:rPr>
        <w:t xml:space="preserve">al respecto la Corte Constitucional lo ha </w:t>
      </w:r>
      <w:r w:rsidR="3D9A29C9" w:rsidRPr="48CCD98B">
        <w:rPr>
          <w:rFonts w:ascii="Bookman Old Style" w:hAnsi="Bookman Old Style"/>
          <w:lang w:val="es-CO"/>
        </w:rPr>
        <w:t>entendido de</w:t>
      </w:r>
      <w:r w:rsidR="5C237B9C" w:rsidRPr="48CCD98B">
        <w:rPr>
          <w:rFonts w:ascii="Bookman Old Style" w:hAnsi="Bookman Old Style"/>
          <w:lang w:val="es-CO"/>
        </w:rPr>
        <w:t xml:space="preserve"> la siguiente manera:</w:t>
      </w:r>
      <w:r w:rsidR="7254D1F1" w:rsidRPr="48CCD98B">
        <w:rPr>
          <w:rFonts w:ascii="Bookman Old Style" w:hAnsi="Bookman Old Style"/>
          <w:lang w:val="es-CO"/>
        </w:rPr>
        <w:t xml:space="preserve"> (Sentencia</w:t>
      </w:r>
      <w:r w:rsidR="7BA82CC2" w:rsidRPr="48CCD98B">
        <w:rPr>
          <w:rFonts w:ascii="Bookman Old Style" w:hAnsi="Bookman Old Style"/>
          <w:lang w:val="es-CO"/>
        </w:rPr>
        <w:t xml:space="preserve"> SU 360 de 1999. M P </w:t>
      </w:r>
      <w:r w:rsidR="3C58A5F9" w:rsidRPr="48CCD98B">
        <w:rPr>
          <w:rFonts w:ascii="Bookman Old Style" w:hAnsi="Bookman Old Style"/>
          <w:lang w:val="es-CO"/>
        </w:rPr>
        <w:t>Alejandro Martínez Caballero</w:t>
      </w:r>
      <w:r w:rsidR="47665C2D" w:rsidRPr="48CCD98B">
        <w:rPr>
          <w:rFonts w:ascii="Bookman Old Style" w:hAnsi="Bookman Old Style"/>
          <w:lang w:val="es-CO"/>
        </w:rPr>
        <w:t>)</w:t>
      </w:r>
      <w:r w:rsidR="3C58A5F9" w:rsidRPr="48CCD98B">
        <w:rPr>
          <w:rFonts w:ascii="Bookman Old Style" w:hAnsi="Bookman Old Style"/>
          <w:lang w:val="es-CO"/>
        </w:rPr>
        <w:t>.</w:t>
      </w:r>
    </w:p>
    <w:p w14:paraId="006C13C9" w14:textId="4D3FB6F2" w:rsidR="007D15B4" w:rsidRDefault="007D15B4" w:rsidP="001464CD">
      <w:pPr>
        <w:ind w:left="0"/>
        <w:jc w:val="both"/>
        <w:rPr>
          <w:rFonts w:ascii="Bookman Old Style" w:hAnsi="Bookman Old Style"/>
          <w:lang w:val="es-CO"/>
        </w:rPr>
      </w:pPr>
    </w:p>
    <w:p w14:paraId="205A5336" w14:textId="6416DB8D" w:rsidR="007D15B4" w:rsidRDefault="005576D1" w:rsidP="001464CD">
      <w:pPr>
        <w:ind w:left="0"/>
        <w:jc w:val="both"/>
        <w:rPr>
          <w:rFonts w:ascii="Bookman Old Style" w:hAnsi="Bookman Old Style"/>
          <w:i/>
          <w:iCs/>
          <w:lang w:val="es-CO"/>
        </w:rPr>
      </w:pPr>
      <w:r>
        <w:rPr>
          <w:rFonts w:ascii="Bookman Old Style" w:hAnsi="Bookman Old Style"/>
          <w:i/>
          <w:iCs/>
          <w:lang w:val="es-CO"/>
        </w:rPr>
        <w:t>“</w:t>
      </w:r>
      <w:r w:rsidR="00844715" w:rsidRPr="005576D1">
        <w:rPr>
          <w:rFonts w:ascii="Bookman Old Style" w:hAnsi="Bookman Old Style"/>
          <w:i/>
          <w:iCs/>
          <w:lang w:val="es-CO"/>
        </w:rPr>
        <w:t>Este principio se aplica como mecanismo para conciliar el conflicto entre los intereses público y privado, cuando la administración ha creado expectativas favorables para el administrado y lo sorprende al eliminar súbitamente esas condiciones. Por lo tanto, la confianza que el administrado deposita en la estabilidad de la actuación de la administración, es digna de protección y debe respetarse</w:t>
      </w:r>
      <w:r w:rsidR="00A75B4B">
        <w:rPr>
          <w:rFonts w:ascii="Bookman Old Style" w:hAnsi="Bookman Old Style"/>
          <w:i/>
          <w:iCs/>
          <w:lang w:val="es-CO"/>
        </w:rPr>
        <w:t>”.</w:t>
      </w:r>
    </w:p>
    <w:p w14:paraId="5BF19227" w14:textId="5D80CB84" w:rsidR="00A75B4B" w:rsidRDefault="00A75B4B" w:rsidP="001464CD">
      <w:pPr>
        <w:ind w:left="0"/>
        <w:jc w:val="both"/>
        <w:rPr>
          <w:rFonts w:ascii="Bookman Old Style" w:hAnsi="Bookman Old Style"/>
          <w:i/>
          <w:iCs/>
          <w:lang w:val="es-CO"/>
        </w:rPr>
      </w:pPr>
    </w:p>
    <w:p w14:paraId="310C6FA1" w14:textId="41291DCF" w:rsidR="00A75B4B" w:rsidRPr="003F5015" w:rsidRDefault="479D1A7C" w:rsidP="48CCD98B">
      <w:pPr>
        <w:ind w:left="0"/>
        <w:jc w:val="both"/>
        <w:rPr>
          <w:rFonts w:ascii="Bookman Old Style" w:hAnsi="Bookman Old Style"/>
          <w:lang w:val="es-CO"/>
        </w:rPr>
      </w:pPr>
      <w:r w:rsidRPr="48CCD98B">
        <w:rPr>
          <w:rFonts w:ascii="Bookman Old Style" w:hAnsi="Bookman Old Style"/>
          <w:lang w:val="es-CO"/>
        </w:rPr>
        <w:t>T</w:t>
      </w:r>
      <w:r w:rsidR="00A9204A">
        <w:rPr>
          <w:rFonts w:ascii="Bookman Old Style" w:hAnsi="Bookman Old Style"/>
          <w:lang w:val="es-CO"/>
        </w:rPr>
        <w:t>EBSA</w:t>
      </w:r>
      <w:r w:rsidRPr="48CCD98B">
        <w:rPr>
          <w:rFonts w:ascii="Bookman Old Style" w:hAnsi="Bookman Old Style"/>
          <w:lang w:val="es-CO"/>
        </w:rPr>
        <w:t xml:space="preserve"> beneficiario del cargo por confiabilidad y tener a su cargo una Obligación de Energía Firme OEF, seguirá recibiendo tal </w:t>
      </w:r>
      <w:r w:rsidR="0BE7CA21" w:rsidRPr="48CCD98B">
        <w:rPr>
          <w:rFonts w:ascii="Bookman Old Style" w:hAnsi="Bookman Old Style"/>
          <w:lang w:val="es-CO"/>
        </w:rPr>
        <w:t>remuneración. La norma busca</w:t>
      </w:r>
      <w:r w:rsidR="59D061D1" w:rsidRPr="48CCD98B">
        <w:rPr>
          <w:rFonts w:ascii="Bookman Old Style" w:hAnsi="Bookman Old Style"/>
          <w:lang w:val="es-CO"/>
        </w:rPr>
        <w:t xml:space="preserve"> disponga de una configuración </w:t>
      </w:r>
      <w:r w:rsidR="01137E43" w:rsidRPr="48CCD98B">
        <w:rPr>
          <w:rFonts w:ascii="Bookman Old Style" w:hAnsi="Bookman Old Style"/>
          <w:lang w:val="es-CO"/>
        </w:rPr>
        <w:t>más</w:t>
      </w:r>
      <w:r w:rsidR="59D061D1" w:rsidRPr="48CCD98B">
        <w:rPr>
          <w:rFonts w:ascii="Bookman Old Style" w:hAnsi="Bookman Old Style"/>
          <w:lang w:val="es-CO"/>
        </w:rPr>
        <w:t xml:space="preserve"> eficiente para el sistema</w:t>
      </w:r>
      <w:r w:rsidR="5411965A" w:rsidRPr="48CCD98B">
        <w:rPr>
          <w:rFonts w:ascii="Bookman Old Style" w:hAnsi="Bookman Old Style"/>
          <w:lang w:val="es-CO"/>
        </w:rPr>
        <w:t xml:space="preserve">, lo que en ninguna </w:t>
      </w:r>
      <w:r w:rsidR="28B9C9C8" w:rsidRPr="48CCD98B">
        <w:rPr>
          <w:rFonts w:ascii="Bookman Old Style" w:hAnsi="Bookman Old Style"/>
          <w:lang w:val="es-CO"/>
        </w:rPr>
        <w:t>manera implica</w:t>
      </w:r>
      <w:r w:rsidR="5411965A" w:rsidRPr="48CCD98B">
        <w:rPr>
          <w:rFonts w:ascii="Bookman Old Style" w:hAnsi="Bookman Old Style"/>
          <w:lang w:val="es-CO"/>
        </w:rPr>
        <w:t xml:space="preserve"> que se le haya cambiado la reglas</w:t>
      </w:r>
      <w:r w:rsidR="4497DD5E" w:rsidRPr="48CCD98B">
        <w:rPr>
          <w:rFonts w:ascii="Bookman Old Style" w:hAnsi="Bookman Old Style"/>
          <w:lang w:val="es-CO"/>
        </w:rPr>
        <w:t xml:space="preserve"> conforme a las cuales </w:t>
      </w:r>
      <w:r w:rsidR="016FB4E9" w:rsidRPr="48CCD98B">
        <w:rPr>
          <w:rFonts w:ascii="Bookman Old Style" w:hAnsi="Bookman Old Style"/>
          <w:lang w:val="es-CO"/>
        </w:rPr>
        <w:t>participó</w:t>
      </w:r>
      <w:r w:rsidR="4497DD5E" w:rsidRPr="48CCD98B">
        <w:rPr>
          <w:rFonts w:ascii="Bookman Old Style" w:hAnsi="Bookman Old Style"/>
          <w:lang w:val="es-CO"/>
        </w:rPr>
        <w:t xml:space="preserve"> en la subasta de </w:t>
      </w:r>
      <w:r w:rsidR="016FB4E9" w:rsidRPr="48CCD98B">
        <w:rPr>
          <w:rFonts w:ascii="Bookman Old Style" w:hAnsi="Bookman Old Style"/>
          <w:lang w:val="es-CO"/>
        </w:rPr>
        <w:t xml:space="preserve">asignación de </w:t>
      </w:r>
      <w:r w:rsidR="1561B5AB" w:rsidRPr="003F5015">
        <w:rPr>
          <w:rFonts w:ascii="Bookman Old Style" w:hAnsi="Bookman Old Style"/>
          <w:lang w:val="es-CO"/>
        </w:rPr>
        <w:t>O</w:t>
      </w:r>
      <w:r w:rsidR="016FB4E9" w:rsidRPr="003F5015">
        <w:rPr>
          <w:rFonts w:ascii="Bookman Old Style" w:hAnsi="Bookman Old Style"/>
          <w:lang w:val="es-CO"/>
        </w:rPr>
        <w:t xml:space="preserve">bligaciones de </w:t>
      </w:r>
      <w:r w:rsidR="1561B5AB" w:rsidRPr="003F5015">
        <w:rPr>
          <w:rFonts w:ascii="Bookman Old Style" w:hAnsi="Bookman Old Style"/>
          <w:lang w:val="es-CO"/>
        </w:rPr>
        <w:t>E</w:t>
      </w:r>
      <w:r w:rsidR="016FB4E9" w:rsidRPr="003F5015">
        <w:rPr>
          <w:rFonts w:ascii="Bookman Old Style" w:hAnsi="Bookman Old Style"/>
          <w:lang w:val="es-CO"/>
        </w:rPr>
        <w:t xml:space="preserve">nergía </w:t>
      </w:r>
      <w:r w:rsidR="1561B5AB" w:rsidRPr="003F5015">
        <w:rPr>
          <w:rFonts w:ascii="Bookman Old Style" w:hAnsi="Bookman Old Style"/>
          <w:lang w:val="es-CO"/>
        </w:rPr>
        <w:t>F</w:t>
      </w:r>
      <w:r w:rsidR="016FB4E9" w:rsidRPr="003F5015">
        <w:rPr>
          <w:rFonts w:ascii="Bookman Old Style" w:hAnsi="Bookman Old Style"/>
          <w:lang w:val="es-CO"/>
        </w:rPr>
        <w:t>irme</w:t>
      </w:r>
      <w:r w:rsidR="64237AEC" w:rsidRPr="003F5015">
        <w:rPr>
          <w:rFonts w:ascii="Bookman Old Style" w:hAnsi="Bookman Old Style"/>
          <w:lang w:val="es-CO"/>
        </w:rPr>
        <w:t xml:space="preserve"> (OEF)</w:t>
      </w:r>
      <w:r w:rsidR="016FB4E9" w:rsidRPr="003F5015">
        <w:rPr>
          <w:rFonts w:ascii="Bookman Old Style" w:hAnsi="Bookman Old Style"/>
          <w:lang w:val="es-CO"/>
        </w:rPr>
        <w:t>.</w:t>
      </w:r>
      <w:r w:rsidR="3A6744B8" w:rsidRPr="003F5015">
        <w:rPr>
          <w:rFonts w:ascii="Bookman Old Style" w:hAnsi="Bookman Old Style"/>
          <w:lang w:val="es-CO"/>
        </w:rPr>
        <w:t xml:space="preserve"> En ese sentido, y dado que la remu</w:t>
      </w:r>
      <w:r w:rsidR="73A45159" w:rsidRPr="003F5015">
        <w:rPr>
          <w:rFonts w:ascii="Bookman Old Style" w:hAnsi="Bookman Old Style"/>
          <w:lang w:val="es-CO"/>
        </w:rPr>
        <w:t>ne</w:t>
      </w:r>
      <w:r w:rsidR="3A6744B8" w:rsidRPr="003F5015">
        <w:rPr>
          <w:rFonts w:ascii="Bookman Old Style" w:hAnsi="Bookman Old Style"/>
          <w:lang w:val="es-CO"/>
        </w:rPr>
        <w:t>ración del Cargo por Confiabilidad depende de la disponibilidad comercial de las plantas</w:t>
      </w:r>
      <w:r w:rsidR="648F8C4B" w:rsidRPr="003F5015">
        <w:rPr>
          <w:rFonts w:ascii="Bookman Old Style" w:hAnsi="Bookman Old Style"/>
          <w:lang w:val="es-CO"/>
        </w:rPr>
        <w:t xml:space="preserve">, la Resolución CREG 101 028 de 2022 establece </w:t>
      </w:r>
      <w:r w:rsidR="3F274B31" w:rsidRPr="003F5015">
        <w:rPr>
          <w:rFonts w:ascii="Bookman Old Style" w:hAnsi="Bookman Old Style"/>
          <w:lang w:val="es-CO"/>
        </w:rPr>
        <w:t>que,</w:t>
      </w:r>
      <w:r w:rsidR="648F8C4B" w:rsidRPr="003F5015">
        <w:rPr>
          <w:rFonts w:ascii="Bookman Old Style" w:hAnsi="Bookman Old Style"/>
          <w:lang w:val="es-CO"/>
        </w:rPr>
        <w:t xml:space="preserve"> para la disponibilidad </w:t>
      </w:r>
      <w:r w:rsidR="458DB185" w:rsidRPr="003F5015">
        <w:rPr>
          <w:rFonts w:ascii="Bookman Old Style" w:hAnsi="Bookman Old Style"/>
          <w:lang w:val="es-CO"/>
        </w:rPr>
        <w:t>comercial de las plantas de ciclo combin</w:t>
      </w:r>
      <w:r w:rsidR="2B8E541C" w:rsidRPr="003F5015">
        <w:rPr>
          <w:rFonts w:ascii="Bookman Old Style" w:hAnsi="Bookman Old Style"/>
          <w:lang w:val="es-CO"/>
        </w:rPr>
        <w:t>a</w:t>
      </w:r>
      <w:r w:rsidR="458DB185" w:rsidRPr="003F5015">
        <w:rPr>
          <w:rFonts w:ascii="Bookman Old Style" w:hAnsi="Bookman Old Style"/>
          <w:lang w:val="es-CO"/>
        </w:rPr>
        <w:t>do, se tomará como base la disponibilidad declarada de la configuración con mayor capacidad.</w:t>
      </w:r>
      <w:r w:rsidR="3A6744B8" w:rsidRPr="003F5015">
        <w:rPr>
          <w:rFonts w:ascii="Bookman Old Style" w:hAnsi="Bookman Old Style"/>
          <w:lang w:val="es-CO"/>
        </w:rPr>
        <w:t xml:space="preserve"> </w:t>
      </w:r>
    </w:p>
    <w:p w14:paraId="0BEA9C50" w14:textId="122A82D2" w:rsidR="007E1345" w:rsidRPr="001464CD" w:rsidRDefault="007E1345" w:rsidP="00A56805">
      <w:pPr>
        <w:ind w:left="0"/>
        <w:jc w:val="both"/>
        <w:rPr>
          <w:rFonts w:ascii="Bookman Old Style" w:hAnsi="Bookman Old Style" w:cs="Arial"/>
          <w:lang w:val="es-CO"/>
        </w:rPr>
      </w:pPr>
    </w:p>
    <w:p w14:paraId="4F9E42B6" w14:textId="52A3C954" w:rsidR="00471892" w:rsidRDefault="410FE98E" w:rsidP="001A4065">
      <w:pPr>
        <w:ind w:left="0"/>
        <w:jc w:val="both"/>
        <w:rPr>
          <w:rFonts w:ascii="Bookman Old Style" w:hAnsi="Bookman Old Style" w:cs="Arial"/>
        </w:rPr>
      </w:pPr>
      <w:r w:rsidRPr="48CCD98B">
        <w:rPr>
          <w:rFonts w:ascii="Bookman Old Style" w:hAnsi="Bookman Old Style" w:cs="Arial"/>
        </w:rPr>
        <w:t>Finalmente se argumenta que se vulneró las reglas en las que el acto administrativo debía fundarse toda vez que no se consultó a la Superintendencia de Industria y Comercio, al respecto se recuerda que conforme</w:t>
      </w:r>
      <w:r w:rsidR="59B6C246" w:rsidRPr="48CCD98B">
        <w:rPr>
          <w:rFonts w:ascii="Bookman Old Style" w:hAnsi="Bookman Old Style" w:cs="Arial"/>
        </w:rPr>
        <w:t xml:space="preserve"> al Decreto</w:t>
      </w:r>
      <w:r w:rsidR="71B993BE" w:rsidRPr="48CCD98B">
        <w:rPr>
          <w:rFonts w:ascii="Bookman Old Style" w:hAnsi="Bookman Old Style" w:cs="Arial"/>
        </w:rPr>
        <w:t xml:space="preserve"> 10</w:t>
      </w:r>
      <w:r w:rsidR="3914CE1B" w:rsidRPr="48CCD98B">
        <w:rPr>
          <w:rFonts w:ascii="Bookman Old Style" w:hAnsi="Bookman Old Style" w:cs="Arial"/>
        </w:rPr>
        <w:t>74 de 2015</w:t>
      </w:r>
      <w:r w:rsidR="71B993BE" w:rsidRPr="48CCD98B">
        <w:rPr>
          <w:rFonts w:ascii="Bookman Old Style" w:hAnsi="Bookman Old Style" w:cs="Arial"/>
        </w:rPr>
        <w:t xml:space="preserve"> </w:t>
      </w:r>
      <w:r w:rsidR="17B82986" w:rsidRPr="48CCD98B">
        <w:rPr>
          <w:rFonts w:ascii="Bookman Old Style" w:hAnsi="Bookman Old Style" w:cs="Arial"/>
        </w:rPr>
        <w:t>el proyecto de acto administrativo deberá informarse a la Superintendencia de Industria y Comercio, cuando una vez diligenciado el formulario</w:t>
      </w:r>
      <w:r w:rsidR="6B3927F6" w:rsidRPr="48CCD98B">
        <w:rPr>
          <w:rFonts w:ascii="Bookman Old Style" w:hAnsi="Bookman Old Style" w:cs="Arial"/>
        </w:rPr>
        <w:t xml:space="preserve"> diseñado</w:t>
      </w:r>
      <w:r w:rsidR="17B82986" w:rsidRPr="48CCD98B">
        <w:rPr>
          <w:rFonts w:ascii="Bookman Old Style" w:hAnsi="Bookman Old Style" w:cs="Arial"/>
        </w:rPr>
        <w:t xml:space="preserve"> por la -SIC-, </w:t>
      </w:r>
      <w:r w:rsidR="529E76A9" w:rsidRPr="48CCD98B">
        <w:rPr>
          <w:rFonts w:ascii="Bookman Old Style" w:hAnsi="Bookman Old Style" w:cs="Arial"/>
        </w:rPr>
        <w:t>alguna de las preguntas resulte</w:t>
      </w:r>
      <w:r w:rsidR="358AF964" w:rsidRPr="48CCD98B">
        <w:rPr>
          <w:rFonts w:ascii="Bookman Old Style" w:hAnsi="Bookman Old Style" w:cs="Arial"/>
        </w:rPr>
        <w:t xml:space="preserve"> afirmativas</w:t>
      </w:r>
      <w:r w:rsidR="0F0FBA44" w:rsidRPr="48CCD98B">
        <w:rPr>
          <w:rFonts w:ascii="Bookman Old Style" w:hAnsi="Bookman Old Style" w:cs="Arial"/>
        </w:rPr>
        <w:t>. Diligenc</w:t>
      </w:r>
      <w:r w:rsidR="3711FA9A" w:rsidRPr="48CCD98B">
        <w:rPr>
          <w:rFonts w:ascii="Bookman Old Style" w:hAnsi="Bookman Old Style" w:cs="Arial"/>
        </w:rPr>
        <w:t xml:space="preserve">iado el formulario que se </w:t>
      </w:r>
      <w:r w:rsidR="2160DCAF" w:rsidRPr="48CCD98B">
        <w:rPr>
          <w:rFonts w:ascii="Bookman Old Style" w:hAnsi="Bookman Old Style" w:cs="Arial"/>
        </w:rPr>
        <w:t>adjuntó al</w:t>
      </w:r>
      <w:r w:rsidR="3711FA9A" w:rsidRPr="48CCD98B">
        <w:rPr>
          <w:rFonts w:ascii="Bookman Old Style" w:hAnsi="Bookman Old Style" w:cs="Arial"/>
        </w:rPr>
        <w:t xml:space="preserve"> documento soporte de la Resolución CREG 101028, se puede corroborar que ninguna de las preguntas tuvo una respuesta afirmativa</w:t>
      </w:r>
      <w:r w:rsidR="403E947C" w:rsidRPr="48CCD98B">
        <w:rPr>
          <w:rFonts w:ascii="Bookman Old Style" w:hAnsi="Bookman Old Style" w:cs="Arial"/>
        </w:rPr>
        <w:t>.</w:t>
      </w:r>
    </w:p>
    <w:p w14:paraId="177DF997" w14:textId="56DCC73B" w:rsidR="00D555A8" w:rsidRDefault="00D555A8" w:rsidP="00913C03">
      <w:pPr>
        <w:ind w:left="0"/>
        <w:jc w:val="center"/>
        <w:rPr>
          <w:rFonts w:ascii="Bookman Old Style" w:hAnsi="Bookman Old Style" w:cs="Arial"/>
        </w:rPr>
      </w:pPr>
    </w:p>
    <w:p w14:paraId="6ED4172B" w14:textId="3BC27A88" w:rsidR="00D555A8" w:rsidRPr="002112BB" w:rsidRDefault="002112BB" w:rsidP="00913C03">
      <w:pPr>
        <w:pStyle w:val="Prrafodelista"/>
        <w:numPr>
          <w:ilvl w:val="0"/>
          <w:numId w:val="35"/>
        </w:numPr>
        <w:jc w:val="center"/>
        <w:rPr>
          <w:rFonts w:ascii="Bookman Old Style" w:hAnsi="Bookman Old Style" w:cs="Arial"/>
          <w:b/>
          <w:bCs/>
          <w:sz w:val="24"/>
          <w:szCs w:val="24"/>
        </w:rPr>
      </w:pPr>
      <w:r w:rsidRPr="002112BB">
        <w:rPr>
          <w:rFonts w:ascii="Bookman Old Style" w:hAnsi="Bookman Old Style" w:cs="Arial"/>
          <w:b/>
          <w:bCs/>
          <w:sz w:val="24"/>
          <w:szCs w:val="24"/>
        </w:rPr>
        <w:t xml:space="preserve">Vulneración al </w:t>
      </w:r>
      <w:r w:rsidR="003F5015" w:rsidRPr="002112BB">
        <w:rPr>
          <w:rFonts w:ascii="Bookman Old Style" w:hAnsi="Bookman Old Style" w:cs="Arial"/>
          <w:b/>
          <w:bCs/>
          <w:sz w:val="24"/>
          <w:szCs w:val="24"/>
        </w:rPr>
        <w:t>interés</w:t>
      </w:r>
      <w:r w:rsidRPr="002112BB">
        <w:rPr>
          <w:rFonts w:ascii="Bookman Old Style" w:hAnsi="Bookman Old Style" w:cs="Arial"/>
          <w:b/>
          <w:bCs/>
          <w:sz w:val="24"/>
          <w:szCs w:val="24"/>
        </w:rPr>
        <w:t xml:space="preserve"> general</w:t>
      </w:r>
    </w:p>
    <w:p w14:paraId="4A2E2B85" w14:textId="1A26E698" w:rsidR="002112BB" w:rsidRDefault="002112BB" w:rsidP="002112BB">
      <w:pPr>
        <w:jc w:val="both"/>
        <w:rPr>
          <w:rFonts w:ascii="Bookman Old Style" w:hAnsi="Bookman Old Style" w:cs="Arial"/>
        </w:rPr>
      </w:pPr>
    </w:p>
    <w:p w14:paraId="61691548" w14:textId="5548E77F" w:rsidR="002112BB" w:rsidRDefault="002112BB" w:rsidP="002112BB">
      <w:pPr>
        <w:ind w:left="0"/>
        <w:jc w:val="both"/>
        <w:rPr>
          <w:rFonts w:ascii="Bookman Old Style" w:hAnsi="Bookman Old Style" w:cs="Arial"/>
        </w:rPr>
      </w:pPr>
      <w:r>
        <w:rPr>
          <w:rFonts w:ascii="Bookman Old Style" w:hAnsi="Bookman Old Style" w:cs="Arial"/>
        </w:rPr>
        <w:t xml:space="preserve">Aunque no hay una mención específica </w:t>
      </w:r>
      <w:r w:rsidR="00B424AF">
        <w:rPr>
          <w:rFonts w:ascii="Bookman Old Style" w:hAnsi="Bookman Old Style" w:cs="Arial"/>
        </w:rPr>
        <w:t>por parte del peticionario, es importante señalar que re</w:t>
      </w:r>
      <w:r w:rsidR="005D1206">
        <w:rPr>
          <w:rFonts w:ascii="Bookman Old Style" w:hAnsi="Bookman Old Style" w:cs="Arial"/>
        </w:rPr>
        <w:t>alizado</w:t>
      </w:r>
      <w:r w:rsidR="00B35E8E">
        <w:rPr>
          <w:rFonts w:ascii="Bookman Old Style" w:hAnsi="Bookman Old Style" w:cs="Arial"/>
        </w:rPr>
        <w:t xml:space="preserve"> un análisis integral de la norma y consultado</w:t>
      </w:r>
      <w:r w:rsidR="009372EA">
        <w:rPr>
          <w:rFonts w:ascii="Bookman Old Style" w:hAnsi="Bookman Old Style" w:cs="Arial"/>
        </w:rPr>
        <w:t xml:space="preserve"> el Centro Nacional de Despacho, se encontró lo siguiente:</w:t>
      </w:r>
    </w:p>
    <w:p w14:paraId="78A1A451" w14:textId="77777777" w:rsidR="008C723B" w:rsidRDefault="008C723B" w:rsidP="002112BB">
      <w:pPr>
        <w:ind w:left="0"/>
        <w:jc w:val="both"/>
        <w:rPr>
          <w:rFonts w:ascii="Bookman Old Style" w:hAnsi="Bookman Old Style" w:cs="Arial"/>
        </w:rPr>
      </w:pPr>
    </w:p>
    <w:p w14:paraId="7FC519FA" w14:textId="77777777" w:rsidR="008C723B" w:rsidRPr="0048016B" w:rsidRDefault="008C723B" w:rsidP="0048016B">
      <w:pPr>
        <w:ind w:left="0"/>
        <w:jc w:val="both"/>
        <w:rPr>
          <w:rFonts w:ascii="Bookman Old Style" w:hAnsi="Bookman Old Style" w:cs="Arial"/>
        </w:rPr>
      </w:pPr>
      <w:r w:rsidRPr="0048016B">
        <w:rPr>
          <w:rFonts w:ascii="Bookman Old Style" w:hAnsi="Bookman Old Style" w:cs="Arial"/>
        </w:rPr>
        <w:t>Los resultados de la aplicación de la Resolución CREG 101 028 de 2022, corresponde a los análisis del operador del mercado, la empresa XM S.A. E.S.P., para el período comprendido entre el 27 de septiembre y el 4 de diciembre de 2022, es decir corresponde al período de transición.</w:t>
      </w:r>
    </w:p>
    <w:p w14:paraId="478276D1" w14:textId="77777777" w:rsidR="008C723B" w:rsidRPr="0048016B" w:rsidRDefault="008C723B" w:rsidP="008C723B">
      <w:pPr>
        <w:spacing w:line="276" w:lineRule="auto"/>
        <w:jc w:val="both"/>
        <w:rPr>
          <w:rFonts w:ascii="Bookman Old Style" w:hAnsi="Bookman Old Style" w:cs="Arial"/>
        </w:rPr>
      </w:pPr>
    </w:p>
    <w:p w14:paraId="73151873" w14:textId="77777777" w:rsidR="008C723B" w:rsidRPr="0048016B" w:rsidRDefault="008C723B" w:rsidP="008C723B">
      <w:pPr>
        <w:spacing w:line="276" w:lineRule="auto"/>
        <w:jc w:val="both"/>
        <w:rPr>
          <w:rFonts w:ascii="Bookman Old Style" w:hAnsi="Bookman Old Style" w:cs="Arial"/>
        </w:rPr>
      </w:pPr>
      <w:r w:rsidRPr="0048016B">
        <w:rPr>
          <w:rFonts w:ascii="Bookman Old Style" w:hAnsi="Bookman Old Style" w:cs="Arial"/>
        </w:rPr>
        <w:t>Del análisis destacamos lo siguiente:</w:t>
      </w:r>
    </w:p>
    <w:p w14:paraId="0B57DC88" w14:textId="77777777" w:rsidR="008C723B" w:rsidRPr="0048016B" w:rsidRDefault="008C723B" w:rsidP="008C723B">
      <w:pPr>
        <w:spacing w:line="276" w:lineRule="auto"/>
        <w:jc w:val="both"/>
        <w:rPr>
          <w:rFonts w:ascii="Bookman Old Style" w:hAnsi="Bookman Old Style" w:cs="Arial"/>
        </w:rPr>
      </w:pPr>
    </w:p>
    <w:p w14:paraId="44B3FE7C" w14:textId="77777777" w:rsidR="008C723B" w:rsidRPr="0048016B" w:rsidRDefault="008C723B" w:rsidP="008C723B">
      <w:pPr>
        <w:pStyle w:val="Prrafodelista"/>
        <w:numPr>
          <w:ilvl w:val="0"/>
          <w:numId w:val="40"/>
        </w:numPr>
        <w:spacing w:line="276" w:lineRule="auto"/>
        <w:contextualSpacing/>
        <w:jc w:val="both"/>
        <w:rPr>
          <w:rFonts w:ascii="Bookman Old Style" w:hAnsi="Bookman Old Style" w:cs="Arial"/>
          <w:sz w:val="24"/>
          <w:szCs w:val="24"/>
        </w:rPr>
      </w:pPr>
      <w:r w:rsidRPr="0048016B">
        <w:rPr>
          <w:rFonts w:ascii="Bookman Old Style" w:hAnsi="Bookman Old Style" w:cs="Arial"/>
          <w:i/>
          <w:iCs/>
          <w:sz w:val="24"/>
          <w:szCs w:val="24"/>
        </w:rPr>
        <w:t>Entre el 27 de septiembre y el 4 de diciembre de dejaron de programar en el despacho 188 GWh, que significa una reducción entre el 35% en generación de seguridad en TEBSA, la cual es programada en otros recursos del sistema más baratos (del interior del país en mérito o generadores de Caribe más baratos). Se supone que sin Res 101 028, TEBSA hubiera declarado para la operación la configuración con mayor disponibilidad y mayor mínimo técnico.</w:t>
      </w:r>
    </w:p>
    <w:p w14:paraId="4836B3E9" w14:textId="77777777" w:rsidR="008C723B" w:rsidRPr="0048016B" w:rsidRDefault="008C723B" w:rsidP="008C723B">
      <w:pPr>
        <w:spacing w:line="276" w:lineRule="auto"/>
        <w:ind w:left="360"/>
        <w:jc w:val="both"/>
        <w:rPr>
          <w:rFonts w:ascii="Bookman Old Style" w:hAnsi="Bookman Old Style" w:cs="Arial"/>
        </w:rPr>
      </w:pPr>
    </w:p>
    <w:p w14:paraId="75A0DBD1" w14:textId="5C3F6A1C" w:rsidR="008C723B" w:rsidRPr="0048016B" w:rsidRDefault="008C723B" w:rsidP="008C723B">
      <w:pPr>
        <w:pStyle w:val="Prrafodelista"/>
        <w:numPr>
          <w:ilvl w:val="0"/>
          <w:numId w:val="40"/>
        </w:numPr>
        <w:spacing w:line="276" w:lineRule="auto"/>
        <w:contextualSpacing/>
        <w:jc w:val="both"/>
        <w:rPr>
          <w:rFonts w:ascii="Bookman Old Style" w:hAnsi="Bookman Old Style" w:cs="Arial"/>
          <w:sz w:val="24"/>
          <w:szCs w:val="24"/>
        </w:rPr>
      </w:pPr>
      <w:r w:rsidRPr="0048016B">
        <w:rPr>
          <w:rFonts w:ascii="Bookman Old Style" w:hAnsi="Bookman Old Style" w:cs="Arial"/>
          <w:i/>
          <w:iCs/>
          <w:sz w:val="24"/>
          <w:szCs w:val="24"/>
        </w:rPr>
        <w:t xml:space="preserve">Entre el 27 de septiembre y el 4 de diciembre </w:t>
      </w:r>
      <w:r w:rsidR="005B3E1D">
        <w:rPr>
          <w:rFonts w:ascii="Bookman Old Style" w:hAnsi="Bookman Old Style" w:cs="Arial"/>
          <w:i/>
          <w:iCs/>
          <w:sz w:val="24"/>
          <w:szCs w:val="24"/>
        </w:rPr>
        <w:t>s</w:t>
      </w:r>
      <w:r w:rsidRPr="0048016B">
        <w:rPr>
          <w:rFonts w:ascii="Bookman Old Style" w:hAnsi="Bookman Old Style" w:cs="Arial"/>
          <w:i/>
          <w:iCs/>
          <w:sz w:val="24"/>
          <w:szCs w:val="24"/>
        </w:rPr>
        <w:t xml:space="preserve">e dejó de tener una generación real de 146 GWh en TEBSA, que significa una reducción entre el 25% en generación de seguridad en dicha planta. La generación real (392 GWh día) es superior a la programada (60 GWh día) por cambios que se </w:t>
      </w:r>
      <w:r w:rsidRPr="0048016B">
        <w:rPr>
          <w:rFonts w:ascii="Bookman Old Style" w:hAnsi="Bookman Old Style" w:cs="Arial"/>
          <w:i/>
          <w:iCs/>
          <w:sz w:val="24"/>
          <w:szCs w:val="24"/>
        </w:rPr>
        <w:lastRenderedPageBreak/>
        <w:t>presentan en el redespacho u operación en tiempo real, asociados a variaciones en la demanda o disponibilidad de activos de generación o transporte. Se supone que sin Res 101 028, TEBSA hubiera declarado para la operación la configuración con mayor disponibilidad y mayor mínimo técnico.</w:t>
      </w:r>
    </w:p>
    <w:p w14:paraId="371DC987" w14:textId="77777777" w:rsidR="008C723B" w:rsidRPr="0048016B" w:rsidRDefault="008C723B" w:rsidP="008C723B">
      <w:pPr>
        <w:spacing w:line="276" w:lineRule="auto"/>
        <w:jc w:val="both"/>
        <w:rPr>
          <w:rFonts w:ascii="Bookman Old Style" w:hAnsi="Bookman Old Style" w:cs="Arial"/>
        </w:rPr>
      </w:pPr>
    </w:p>
    <w:p w14:paraId="0CC90967" w14:textId="77777777" w:rsidR="008C723B" w:rsidRPr="0048016B" w:rsidRDefault="008C723B" w:rsidP="008C723B">
      <w:pPr>
        <w:pStyle w:val="Prrafodelista"/>
        <w:numPr>
          <w:ilvl w:val="0"/>
          <w:numId w:val="40"/>
        </w:numPr>
        <w:spacing w:line="276" w:lineRule="auto"/>
        <w:contextualSpacing/>
        <w:jc w:val="both"/>
        <w:rPr>
          <w:rFonts w:ascii="Bookman Old Style" w:hAnsi="Bookman Old Style" w:cs="Arial"/>
          <w:sz w:val="24"/>
          <w:szCs w:val="24"/>
        </w:rPr>
      </w:pPr>
      <w:r w:rsidRPr="0048016B">
        <w:rPr>
          <w:rFonts w:ascii="Bookman Old Style" w:hAnsi="Bookman Old Style" w:cs="Arial"/>
          <w:i/>
          <w:iCs/>
          <w:sz w:val="24"/>
          <w:szCs w:val="24"/>
        </w:rPr>
        <w:t>… En otras palabras, se está seleccionando una configuración que permitió reducir el despacho de la planta en un 32%, con afectación mínima al precio de oferta, gracias a poder seleccionar una configuración de menor mínimo técnico.</w:t>
      </w:r>
    </w:p>
    <w:p w14:paraId="177A613A" w14:textId="77777777" w:rsidR="008C723B" w:rsidRPr="0048016B" w:rsidRDefault="008C723B" w:rsidP="008C723B">
      <w:pPr>
        <w:spacing w:line="276" w:lineRule="auto"/>
        <w:jc w:val="both"/>
        <w:rPr>
          <w:rFonts w:ascii="Bookman Old Style" w:hAnsi="Bookman Old Style" w:cs="Arial"/>
        </w:rPr>
      </w:pPr>
    </w:p>
    <w:p w14:paraId="4CF0B95F" w14:textId="7D472FD6" w:rsidR="008C723B" w:rsidRPr="0048016B" w:rsidRDefault="7A5F0804" w:rsidP="00AE3307">
      <w:pPr>
        <w:ind w:left="0"/>
        <w:jc w:val="both"/>
        <w:rPr>
          <w:rFonts w:ascii="Bookman Old Style" w:hAnsi="Bookman Old Style" w:cs="Arial"/>
        </w:rPr>
      </w:pPr>
      <w:r w:rsidRPr="0048016B">
        <w:rPr>
          <w:rFonts w:ascii="Bookman Old Style" w:hAnsi="Bookman Old Style" w:cs="Arial"/>
        </w:rPr>
        <w:t>Tal como se identific</w:t>
      </w:r>
      <w:r w:rsidR="00355414">
        <w:rPr>
          <w:rFonts w:ascii="Bookman Old Style" w:hAnsi="Bookman Old Style" w:cs="Arial"/>
        </w:rPr>
        <w:t>ó</w:t>
      </w:r>
      <w:r w:rsidRPr="0048016B">
        <w:rPr>
          <w:rFonts w:ascii="Bookman Old Style" w:hAnsi="Bookman Old Style" w:cs="Arial"/>
        </w:rPr>
        <w:t xml:space="preserve"> en el documento soporte CREG 101 02</w:t>
      </w:r>
      <w:r w:rsidR="48BD831E" w:rsidRPr="48CCD98B">
        <w:rPr>
          <w:rFonts w:ascii="Bookman Old Style" w:hAnsi="Bookman Old Style" w:cs="Arial"/>
        </w:rPr>
        <w:t>8</w:t>
      </w:r>
      <w:r w:rsidRPr="0048016B">
        <w:rPr>
          <w:rFonts w:ascii="Bookman Old Style" w:hAnsi="Bookman Old Style" w:cs="Arial"/>
        </w:rPr>
        <w:t xml:space="preserve"> de 2022, </w:t>
      </w:r>
      <w:r w:rsidR="00595CDB">
        <w:rPr>
          <w:rFonts w:ascii="Bookman Old Style" w:hAnsi="Bookman Old Style" w:cs="Arial"/>
        </w:rPr>
        <w:t>la selección de ciclo</w:t>
      </w:r>
      <w:r w:rsidR="00602B57">
        <w:rPr>
          <w:rFonts w:ascii="Bookman Old Style" w:hAnsi="Bookman Old Style" w:cs="Arial"/>
        </w:rPr>
        <w:t xml:space="preserve"> por parte</w:t>
      </w:r>
      <w:r w:rsidRPr="0048016B">
        <w:rPr>
          <w:rFonts w:ascii="Bookman Old Style" w:hAnsi="Bookman Old Style" w:cs="Arial"/>
        </w:rPr>
        <w:t xml:space="preserve"> del agente es diferente al optimo del sistema, por lo que la conveniencia de que la selección de la configuración de las plantas del ciclo combinado por medio de las reglas de mercado tendría un efecto positivo en la disminución de los costos de operación y en los costos de la generación de seguridad del sistema. </w:t>
      </w:r>
    </w:p>
    <w:p w14:paraId="298BDC8E" w14:textId="77777777" w:rsidR="008C723B" w:rsidRPr="00382379" w:rsidRDefault="008C723B" w:rsidP="002112BB">
      <w:pPr>
        <w:ind w:left="0"/>
        <w:jc w:val="both"/>
        <w:rPr>
          <w:rFonts w:ascii="Bookman Old Style" w:hAnsi="Bookman Old Style" w:cs="Arial"/>
        </w:rPr>
      </w:pPr>
    </w:p>
    <w:p w14:paraId="68E5DA16" w14:textId="54EC6DDC" w:rsidR="00316BA2" w:rsidRPr="00382379" w:rsidRDefault="00316BA2" w:rsidP="002112BB">
      <w:pPr>
        <w:ind w:left="0"/>
        <w:jc w:val="both"/>
        <w:rPr>
          <w:rFonts w:ascii="Bookman Old Style" w:hAnsi="Bookman Old Style" w:cs="Arial"/>
        </w:rPr>
      </w:pPr>
    </w:p>
    <w:p w14:paraId="0D3F7208" w14:textId="26F2D168" w:rsidR="00316BA2" w:rsidRPr="00382379" w:rsidRDefault="25F48295" w:rsidP="002112BB">
      <w:pPr>
        <w:ind w:left="0"/>
        <w:jc w:val="both"/>
        <w:rPr>
          <w:rFonts w:ascii="Bookman Old Style" w:hAnsi="Bookman Old Style" w:cs="Arial"/>
        </w:rPr>
      </w:pPr>
      <w:r w:rsidRPr="48CCD98B">
        <w:rPr>
          <w:rFonts w:ascii="Bookman Old Style" w:hAnsi="Bookman Old Style" w:cs="Arial"/>
        </w:rPr>
        <w:t xml:space="preserve">De lo que se puede concluir que el </w:t>
      </w:r>
      <w:r w:rsidR="0BE52629" w:rsidRPr="48CCD98B">
        <w:rPr>
          <w:rFonts w:ascii="Bookman Old Style" w:hAnsi="Bookman Old Style" w:cs="Arial"/>
        </w:rPr>
        <w:t>interés</w:t>
      </w:r>
      <w:r w:rsidRPr="48CCD98B">
        <w:rPr>
          <w:rFonts w:ascii="Bookman Old Style" w:hAnsi="Bookman Old Style" w:cs="Arial"/>
        </w:rPr>
        <w:t xml:space="preserve"> general se encuentra plenamente </w:t>
      </w:r>
      <w:r w:rsidR="79B60A76" w:rsidRPr="48CCD98B">
        <w:rPr>
          <w:rFonts w:ascii="Bookman Old Style" w:hAnsi="Bookman Old Style" w:cs="Arial"/>
        </w:rPr>
        <w:t>protegido</w:t>
      </w:r>
      <w:r w:rsidRPr="48CCD98B">
        <w:rPr>
          <w:rFonts w:ascii="Bookman Old Style" w:hAnsi="Bookman Old Style" w:cs="Arial"/>
        </w:rPr>
        <w:t xml:space="preserve"> y garantizado con la Resolución CREG 10102</w:t>
      </w:r>
      <w:r w:rsidR="7C734629" w:rsidRPr="48CCD98B">
        <w:rPr>
          <w:rFonts w:ascii="Bookman Old Style" w:hAnsi="Bookman Old Style" w:cs="Arial"/>
        </w:rPr>
        <w:t>8</w:t>
      </w:r>
      <w:r w:rsidRPr="48CCD98B">
        <w:rPr>
          <w:rFonts w:ascii="Bookman Old Style" w:hAnsi="Bookman Old Style" w:cs="Arial"/>
        </w:rPr>
        <w:t xml:space="preserve"> </w:t>
      </w:r>
      <w:r w:rsidR="6078F762" w:rsidRPr="48CCD98B">
        <w:rPr>
          <w:rFonts w:ascii="Bookman Old Style" w:hAnsi="Bookman Old Style" w:cs="Arial"/>
        </w:rPr>
        <w:t>y ha implicado una protección eficiente</w:t>
      </w:r>
      <w:r w:rsidR="79B60A76" w:rsidRPr="48CCD98B">
        <w:rPr>
          <w:rFonts w:ascii="Bookman Old Style" w:hAnsi="Bookman Old Style" w:cs="Arial"/>
        </w:rPr>
        <w:t xml:space="preserve"> para el usuario</w:t>
      </w:r>
      <w:r w:rsidR="00A05A62">
        <w:rPr>
          <w:rFonts w:ascii="Bookman Old Style" w:hAnsi="Bookman Old Style" w:cs="Arial"/>
        </w:rPr>
        <w:t>.</w:t>
      </w:r>
    </w:p>
    <w:p w14:paraId="24D75A4E" w14:textId="74B01B6E" w:rsidR="00377B19" w:rsidRDefault="00377B19" w:rsidP="001A4065">
      <w:pPr>
        <w:ind w:left="0"/>
        <w:jc w:val="both"/>
        <w:rPr>
          <w:rFonts w:ascii="Bookman Old Style" w:hAnsi="Bookman Old Style" w:cs="Arial"/>
        </w:rPr>
      </w:pPr>
    </w:p>
    <w:p w14:paraId="23193489" w14:textId="76DF2DDD" w:rsidR="00377B19" w:rsidRPr="006B1028" w:rsidRDefault="005625BE" w:rsidP="00913C03">
      <w:pPr>
        <w:ind w:left="0"/>
        <w:jc w:val="center"/>
        <w:rPr>
          <w:rFonts w:ascii="Bookman Old Style" w:hAnsi="Bookman Old Style" w:cs="Arial"/>
          <w:b/>
          <w:bCs/>
        </w:rPr>
      </w:pPr>
      <w:r w:rsidRPr="006B1028">
        <w:rPr>
          <w:rFonts w:ascii="Bookman Old Style" w:hAnsi="Bookman Old Style" w:cs="Arial"/>
          <w:b/>
          <w:bCs/>
        </w:rPr>
        <w:t xml:space="preserve">3. </w:t>
      </w:r>
      <w:r w:rsidR="00377B19" w:rsidRPr="006B1028">
        <w:rPr>
          <w:rFonts w:ascii="Bookman Old Style" w:hAnsi="Bookman Old Style" w:cs="Arial"/>
          <w:b/>
          <w:bCs/>
        </w:rPr>
        <w:t xml:space="preserve">Agravio </w:t>
      </w:r>
      <w:r w:rsidR="00670F8F" w:rsidRPr="006B1028">
        <w:rPr>
          <w:rFonts w:ascii="Bookman Old Style" w:hAnsi="Bookman Old Style" w:cs="Arial"/>
          <w:b/>
          <w:bCs/>
        </w:rPr>
        <w:t>injustificado</w:t>
      </w:r>
    </w:p>
    <w:p w14:paraId="115E053B" w14:textId="77777777" w:rsidR="00FE29C6" w:rsidRPr="0048016B" w:rsidRDefault="00FE29C6" w:rsidP="005625BE">
      <w:pPr>
        <w:ind w:left="0"/>
        <w:jc w:val="both"/>
        <w:rPr>
          <w:rFonts w:ascii="Bookman Old Style" w:hAnsi="Bookman Old Style" w:cs="Arial"/>
          <w:b/>
          <w:bCs/>
        </w:rPr>
      </w:pPr>
    </w:p>
    <w:p w14:paraId="1760CC1D" w14:textId="13CA9CB4" w:rsidR="005625BE" w:rsidRPr="006B1028" w:rsidRDefault="005625BE" w:rsidP="0048016B">
      <w:pPr>
        <w:ind w:left="0"/>
        <w:jc w:val="both"/>
        <w:rPr>
          <w:rFonts w:ascii="Bookman Old Style" w:hAnsi="Bookman Old Style" w:cs="Arial"/>
        </w:rPr>
      </w:pPr>
      <w:r w:rsidRPr="006B1028">
        <w:rPr>
          <w:rFonts w:ascii="Bookman Old Style" w:hAnsi="Bookman Old Style" w:cs="Arial"/>
        </w:rPr>
        <w:t>En el caso de la planta de ciclo combinado denomina</w:t>
      </w:r>
      <w:r w:rsidR="00A10C96">
        <w:rPr>
          <w:rFonts w:ascii="Bookman Old Style" w:hAnsi="Bookman Old Style" w:cs="Arial"/>
        </w:rPr>
        <w:t>da</w:t>
      </w:r>
      <w:r w:rsidRPr="006B1028">
        <w:rPr>
          <w:rFonts w:ascii="Bookman Old Style" w:hAnsi="Bookman Old Style" w:cs="Arial"/>
        </w:rPr>
        <w:t xml:space="preserve"> TEBSA, conformada por 5 turbina a gas (GT) y 2 turbinas de vapor (ST), el número de configuraciones y sus respectivas capacidades máximas y mínimos técnicos</w:t>
      </w:r>
      <w:r w:rsidR="00F02017">
        <w:rPr>
          <w:rFonts w:ascii="Bookman Old Style" w:hAnsi="Bookman Old Style" w:cs="Arial"/>
        </w:rPr>
        <w:t xml:space="preserve"> </w:t>
      </w:r>
      <w:r w:rsidRPr="006B1028">
        <w:rPr>
          <w:rFonts w:ascii="Bookman Old Style" w:hAnsi="Bookman Old Style" w:cs="Arial"/>
        </w:rPr>
        <w:t>son los que se presenta en la tabla, de acuerdo con lo aprobado en el Consejo Nacional de Operación (C.N.O.).</w:t>
      </w:r>
    </w:p>
    <w:p w14:paraId="778332DF" w14:textId="77777777" w:rsidR="005625BE" w:rsidRPr="005625BE" w:rsidRDefault="005625BE" w:rsidP="005F3C54">
      <w:pPr>
        <w:pStyle w:val="Prrafodelista"/>
        <w:spacing w:line="276" w:lineRule="auto"/>
        <w:ind w:left="720"/>
        <w:jc w:val="both"/>
        <w:rPr>
          <w:rFonts w:ascii="Arial" w:hAnsi="Arial" w:cs="Arial"/>
        </w:rPr>
      </w:pPr>
    </w:p>
    <w:tbl>
      <w:tblPr>
        <w:tblW w:w="7540" w:type="dxa"/>
        <w:jc w:val="center"/>
        <w:tblCellMar>
          <w:top w:w="15" w:type="dxa"/>
          <w:left w:w="70" w:type="dxa"/>
          <w:bottom w:w="15" w:type="dxa"/>
          <w:right w:w="70" w:type="dxa"/>
        </w:tblCellMar>
        <w:tblLook w:val="04A0" w:firstRow="1" w:lastRow="0" w:firstColumn="1" w:lastColumn="0" w:noHBand="0" w:noVBand="1"/>
      </w:tblPr>
      <w:tblGrid>
        <w:gridCol w:w="1905"/>
        <w:gridCol w:w="1620"/>
        <w:gridCol w:w="1229"/>
        <w:gridCol w:w="1283"/>
        <w:gridCol w:w="941"/>
        <w:gridCol w:w="941"/>
        <w:gridCol w:w="886"/>
      </w:tblGrid>
      <w:tr w:rsidR="000014D9" w:rsidRPr="00177FFC" w14:paraId="589525A7" w14:textId="77777777" w:rsidTr="00104784">
        <w:trPr>
          <w:trHeight w:val="495"/>
          <w:jc w:val="center"/>
        </w:trPr>
        <w:tc>
          <w:tcPr>
            <w:tcW w:w="1841" w:type="dxa"/>
            <w:tcBorders>
              <w:top w:val="nil"/>
              <w:left w:val="nil"/>
              <w:bottom w:val="nil"/>
              <w:right w:val="nil"/>
            </w:tcBorders>
            <w:noWrap/>
            <w:vAlign w:val="bottom"/>
            <w:hideMark/>
          </w:tcPr>
          <w:p w14:paraId="7F439A02" w14:textId="77777777" w:rsidR="005625BE" w:rsidRPr="00177FFC" w:rsidRDefault="005625BE" w:rsidP="00104784">
            <w:pPr>
              <w:rPr>
                <w:sz w:val="14"/>
                <w:szCs w:val="14"/>
                <w:lang w:eastAsia="es-CO"/>
              </w:rPr>
            </w:pPr>
          </w:p>
        </w:tc>
        <w:tc>
          <w:tcPr>
            <w:tcW w:w="1620" w:type="dxa"/>
            <w:tcBorders>
              <w:top w:val="nil"/>
              <w:left w:val="nil"/>
              <w:bottom w:val="nil"/>
              <w:right w:val="nil"/>
            </w:tcBorders>
            <w:noWrap/>
            <w:vAlign w:val="bottom"/>
            <w:hideMark/>
          </w:tcPr>
          <w:p w14:paraId="5F782873" w14:textId="77777777" w:rsidR="005625BE" w:rsidRPr="00177FFC" w:rsidRDefault="005625BE" w:rsidP="00104784">
            <w:pPr>
              <w:jc w:val="center"/>
              <w:rPr>
                <w:sz w:val="14"/>
                <w:szCs w:val="14"/>
                <w:lang w:eastAsia="es-CO"/>
              </w:rPr>
            </w:pPr>
          </w:p>
        </w:tc>
        <w:tc>
          <w:tcPr>
            <w:tcW w:w="1835" w:type="dxa"/>
            <w:gridSpan w:val="2"/>
            <w:tcBorders>
              <w:top w:val="single" w:sz="8" w:space="0" w:color="auto"/>
              <w:left w:val="single" w:sz="8" w:space="0" w:color="auto"/>
              <w:bottom w:val="single" w:sz="8" w:space="0" w:color="auto"/>
              <w:right w:val="single" w:sz="4" w:space="0" w:color="auto"/>
            </w:tcBorders>
            <w:vAlign w:val="center"/>
            <w:hideMark/>
          </w:tcPr>
          <w:p w14:paraId="1FB4A902"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RANGO DE DISPONIBILIDAD</w:t>
            </w:r>
          </w:p>
        </w:tc>
        <w:tc>
          <w:tcPr>
            <w:tcW w:w="2244" w:type="dxa"/>
            <w:gridSpan w:val="3"/>
            <w:tcBorders>
              <w:top w:val="single" w:sz="8" w:space="0" w:color="auto"/>
              <w:left w:val="single" w:sz="4" w:space="0" w:color="auto"/>
              <w:bottom w:val="single" w:sz="8" w:space="0" w:color="auto"/>
              <w:right w:val="single" w:sz="4" w:space="0" w:color="auto"/>
            </w:tcBorders>
            <w:vAlign w:val="center"/>
            <w:hideMark/>
          </w:tcPr>
          <w:p w14:paraId="70C47469"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UNIDADES INDISPONIBLES</w:t>
            </w:r>
          </w:p>
        </w:tc>
      </w:tr>
      <w:tr w:rsidR="009248E1" w:rsidRPr="00177FFC" w14:paraId="48EA1582" w14:textId="77777777" w:rsidTr="00104784">
        <w:trPr>
          <w:trHeight w:val="540"/>
          <w:jc w:val="center"/>
        </w:trPr>
        <w:tc>
          <w:tcPr>
            <w:tcW w:w="1841" w:type="dxa"/>
            <w:tcBorders>
              <w:top w:val="single" w:sz="8" w:space="0" w:color="auto"/>
              <w:left w:val="single" w:sz="8" w:space="0" w:color="auto"/>
              <w:bottom w:val="nil"/>
              <w:right w:val="single" w:sz="4" w:space="0" w:color="auto"/>
            </w:tcBorders>
            <w:vAlign w:val="bottom"/>
            <w:hideMark/>
          </w:tcPr>
          <w:p w14:paraId="56615E95" w14:textId="77777777" w:rsidR="005625BE" w:rsidRPr="00177FFC" w:rsidRDefault="005625BE" w:rsidP="00104784">
            <w:pPr>
              <w:jc w:val="center"/>
              <w:rPr>
                <w:rFonts w:ascii="Arial" w:hAnsi="Arial" w:cs="Arial"/>
                <w:b/>
                <w:bCs/>
                <w:sz w:val="14"/>
                <w:szCs w:val="14"/>
                <w:lang w:eastAsia="es-CO"/>
              </w:rPr>
            </w:pPr>
            <w:bookmarkStart w:id="7" w:name="CONFIGURACIONES_PAP!B5:H53"/>
            <w:r w:rsidRPr="00177FFC">
              <w:rPr>
                <w:rFonts w:ascii="Arial" w:hAnsi="Arial" w:cs="Arial"/>
                <w:b/>
                <w:bCs/>
                <w:sz w:val="14"/>
                <w:szCs w:val="14"/>
                <w:lang w:eastAsia="es-CO"/>
              </w:rPr>
              <w:t>CONFIGURACIÓN ACUERDO CNO</w:t>
            </w:r>
            <w:bookmarkEnd w:id="7"/>
          </w:p>
        </w:tc>
        <w:tc>
          <w:tcPr>
            <w:tcW w:w="1620" w:type="dxa"/>
            <w:tcBorders>
              <w:top w:val="single" w:sz="8" w:space="0" w:color="auto"/>
              <w:left w:val="single" w:sz="4" w:space="0" w:color="auto"/>
              <w:bottom w:val="nil"/>
              <w:right w:val="single" w:sz="4" w:space="0" w:color="auto"/>
            </w:tcBorders>
            <w:vAlign w:val="center"/>
            <w:hideMark/>
          </w:tcPr>
          <w:p w14:paraId="70764EA5"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MÍNIMO TÉCNICO (MW)</w:t>
            </w:r>
          </w:p>
        </w:tc>
        <w:tc>
          <w:tcPr>
            <w:tcW w:w="874" w:type="dxa"/>
            <w:tcBorders>
              <w:top w:val="single" w:sz="8" w:space="0" w:color="auto"/>
              <w:left w:val="single" w:sz="4" w:space="0" w:color="auto"/>
              <w:bottom w:val="nil"/>
              <w:right w:val="single" w:sz="4" w:space="0" w:color="auto"/>
            </w:tcBorders>
            <w:noWrap/>
            <w:vAlign w:val="bottom"/>
            <w:hideMark/>
          </w:tcPr>
          <w:p w14:paraId="05B40BF4"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MÍNIMO</w:t>
            </w:r>
          </w:p>
        </w:tc>
        <w:tc>
          <w:tcPr>
            <w:tcW w:w="961" w:type="dxa"/>
            <w:tcBorders>
              <w:top w:val="single" w:sz="8" w:space="0" w:color="auto"/>
              <w:left w:val="single" w:sz="4" w:space="0" w:color="auto"/>
              <w:bottom w:val="nil"/>
              <w:right w:val="single" w:sz="4" w:space="0" w:color="auto"/>
            </w:tcBorders>
            <w:noWrap/>
            <w:vAlign w:val="bottom"/>
            <w:hideMark/>
          </w:tcPr>
          <w:p w14:paraId="673B346E"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MÁXIMO</w:t>
            </w:r>
          </w:p>
        </w:tc>
        <w:tc>
          <w:tcPr>
            <w:tcW w:w="931" w:type="dxa"/>
            <w:tcBorders>
              <w:top w:val="single" w:sz="8" w:space="0" w:color="auto"/>
              <w:left w:val="single" w:sz="4" w:space="0" w:color="auto"/>
              <w:bottom w:val="nil"/>
              <w:right w:val="single" w:sz="4" w:space="0" w:color="auto"/>
            </w:tcBorders>
            <w:noWrap/>
            <w:vAlign w:val="bottom"/>
            <w:hideMark/>
          </w:tcPr>
          <w:p w14:paraId="655740EB"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GT 110</w:t>
            </w:r>
          </w:p>
        </w:tc>
        <w:tc>
          <w:tcPr>
            <w:tcW w:w="931" w:type="dxa"/>
            <w:tcBorders>
              <w:top w:val="single" w:sz="8" w:space="0" w:color="auto"/>
              <w:left w:val="single" w:sz="4" w:space="0" w:color="auto"/>
              <w:bottom w:val="nil"/>
              <w:right w:val="single" w:sz="4" w:space="0" w:color="auto"/>
            </w:tcBorders>
            <w:noWrap/>
            <w:vAlign w:val="bottom"/>
            <w:hideMark/>
          </w:tcPr>
          <w:p w14:paraId="5F6252DB"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GT 220</w:t>
            </w:r>
          </w:p>
        </w:tc>
        <w:tc>
          <w:tcPr>
            <w:tcW w:w="382" w:type="dxa"/>
            <w:tcBorders>
              <w:top w:val="single" w:sz="8" w:space="0" w:color="auto"/>
              <w:left w:val="single" w:sz="4" w:space="0" w:color="auto"/>
              <w:bottom w:val="nil"/>
              <w:right w:val="single" w:sz="8" w:space="0" w:color="auto"/>
            </w:tcBorders>
            <w:noWrap/>
            <w:vAlign w:val="bottom"/>
            <w:hideMark/>
          </w:tcPr>
          <w:p w14:paraId="5A119371" w14:textId="77777777" w:rsidR="005625BE" w:rsidRPr="00177FFC" w:rsidRDefault="005625BE" w:rsidP="00104784">
            <w:pPr>
              <w:jc w:val="center"/>
              <w:rPr>
                <w:rFonts w:ascii="Arial" w:hAnsi="Arial" w:cs="Arial"/>
                <w:b/>
                <w:bCs/>
                <w:sz w:val="14"/>
                <w:szCs w:val="14"/>
                <w:lang w:eastAsia="es-CO"/>
              </w:rPr>
            </w:pPr>
            <w:r w:rsidRPr="00177FFC">
              <w:rPr>
                <w:rFonts w:ascii="Arial" w:hAnsi="Arial" w:cs="Arial"/>
                <w:b/>
                <w:bCs/>
                <w:sz w:val="14"/>
                <w:szCs w:val="14"/>
                <w:lang w:eastAsia="es-CO"/>
              </w:rPr>
              <w:t>ST</w:t>
            </w:r>
          </w:p>
        </w:tc>
      </w:tr>
      <w:tr w:rsidR="009248E1" w:rsidRPr="00177FFC" w14:paraId="630FC8B0"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429BE61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71D7D80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0884BA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07CC2DD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791</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3F07BD4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26F5B4F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3B2C00E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2498BF64"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7E8BDAD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658347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10E18D8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37FF34C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791</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5498B41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141FBF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5B6B5D1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04A17D41"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45B3850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3039BC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312</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0C7C4EF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17EEA84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791</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39BBB03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7064462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51E4695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38E747D7"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305DDB2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1BACF5E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392</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55637CF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64BE9AF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791</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7F4D257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4DA3379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0998BBA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28726C7B"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0C21B58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043D357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3B38C5A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0C03BD6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642</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068636E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65F4A92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760B608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3192ECAD"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28EA429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E091A6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7E46DE2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7FC6286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642</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70080EB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02A727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7775A77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4E0781FA"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5783822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7</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6B24BCC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312</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7B6BEBD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7644BD5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642</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462007F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55DEA7C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59D88D8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6AED0966"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2D25C19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8</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1C80775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76E913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37C560D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642</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2A21EA7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722D559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503A353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2C588620"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0FDE7DF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9</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593667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62CFA99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53AAF4E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642</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608322D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21DC0D1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11EED85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737A0901"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34E1C6A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10</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548DBC1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312</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5C76BC7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5229EF5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642</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2DCF8D9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0E786B9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3CC387F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r>
      <w:tr w:rsidR="009248E1" w:rsidRPr="00177FFC" w14:paraId="73E1E1EA"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34259FA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11</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226B248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365653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63E82FA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624</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5D797A4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1855CB3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2E62D94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265093AD"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0F95E2A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425090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1BD8C5D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662975B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624</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5F96777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2A72566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7F6A0B3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53EAF2CD"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0F27E33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lastRenderedPageBreak/>
              <w:t>13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84504D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283</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5AD7344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0CFD338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624</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68AF850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30906C5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2F98071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74490875"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0813948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7235922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333</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0C34A1D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5A3237A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624</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538F085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313FF4A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7D999EF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7B8EB59C"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4047946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15</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1515D99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2492DF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4C75AB8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530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594266D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636FF5D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5936E14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62A18764"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4F40D95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16</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DFF3E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7B9C5E9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38E6F01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530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E94DB8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7FB7711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3B7B248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42B20CCA"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798DFA4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17</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56C6B9C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283</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20D1CE4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2BE2479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530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22E22E2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5A103E2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3C2DC87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02E01A8E"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4D7A7DA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18</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6F32EA9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F5DD5C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1DDE2A8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530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6F132A1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4D43213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235DA82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0EF9B2C3"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17EC2A4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19</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1F6DB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02BFEF1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18447D1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530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167F50C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2D4B552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3E0DEDF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30421AB3"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125B365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20</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503F7BF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283</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2E82C76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6A29C2F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530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5F296F2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539AC4F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7383641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66B40F93"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06798C3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0004729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45AC100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74F0815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464</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499FAEC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0E016BB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678D969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3BB6B256"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6E316A8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8D133E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0CC21EC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0E23B91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464</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B80B0C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630A7AB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24128FB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12864E2C"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186F1DD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9D83E0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194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77D0A7F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1AC7F69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464</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44C96B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93EAE5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44B4155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51CCF02B"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6F0555C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24</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3AB9148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244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6955597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0A56A6B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464</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39477F7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06F109A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680B882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0407C952"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6B70578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25</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4FDB9D5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372F88F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35A54ED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436</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21CE0D9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78EBDC8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0B78FBB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6734375D"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3335D22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26</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32CB20C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35B4E4C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77BA985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436</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4C74065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1A2440C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7BD6C25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0594E23C"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63DEA30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6F21FBE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5CA4A2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3C8C781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436</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73E7D8B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207257A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5D9858E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650EDB92"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54DB6BF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28</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00C942D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4414F0D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72693D2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436</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4A5CEC6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69E6B57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52CD567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4BCEE8FE"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564DC2C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29</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0036DB7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538DFF0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097E96F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436</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5872C35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45BCEE9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7C1A1F1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57FABE03"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1FF5FD0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30</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3AF8CC7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234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75C8995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2BAE991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436</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6433A0C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2BAAFC0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59948D2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7B75ABBF"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7936C52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453764C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7921217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070CEA6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15886EA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2E0A716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61AC9F9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1813FFC6"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72458F4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32</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195AC8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16093B1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7B2DDA0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2911CFC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2B5CD6B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23A6FB8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4674D77F"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4CF3108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33</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23CEEE2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194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549239F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08C6614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3D8E51C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17E53F7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50C0030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4FA5D894"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6B38E5B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34</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00D212E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162ACA0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02965B2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5D337A8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1AF0C50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21C3A23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3F2B4A20" w14:textId="77777777" w:rsidTr="00104784">
        <w:trPr>
          <w:trHeight w:val="255"/>
          <w:jc w:val="center"/>
        </w:trPr>
        <w:tc>
          <w:tcPr>
            <w:tcW w:w="1841" w:type="dxa"/>
            <w:tcBorders>
              <w:top w:val="single" w:sz="4" w:space="0" w:color="auto"/>
              <w:left w:val="single" w:sz="8" w:space="0" w:color="auto"/>
              <w:bottom w:val="single" w:sz="4" w:space="0" w:color="auto"/>
              <w:right w:val="single" w:sz="4" w:space="0" w:color="auto"/>
            </w:tcBorders>
            <w:noWrap/>
            <w:vAlign w:val="bottom"/>
            <w:hideMark/>
          </w:tcPr>
          <w:p w14:paraId="08E33C4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35</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08C548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144</w:t>
            </w:r>
          </w:p>
        </w:tc>
        <w:tc>
          <w:tcPr>
            <w:tcW w:w="874" w:type="dxa"/>
            <w:tcBorders>
              <w:top w:val="single" w:sz="4" w:space="0" w:color="auto"/>
              <w:left w:val="single" w:sz="4" w:space="0" w:color="auto"/>
              <w:bottom w:val="single" w:sz="4" w:space="0" w:color="auto"/>
              <w:right w:val="single" w:sz="4" w:space="0" w:color="auto"/>
            </w:tcBorders>
            <w:noWrap/>
            <w:vAlign w:val="bottom"/>
            <w:hideMark/>
          </w:tcPr>
          <w:p w14:paraId="72926AC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4" w:space="0" w:color="auto"/>
              <w:right w:val="single" w:sz="4" w:space="0" w:color="auto"/>
            </w:tcBorders>
            <w:noWrap/>
            <w:vAlign w:val="bottom"/>
            <w:hideMark/>
          </w:tcPr>
          <w:p w14:paraId="7616F13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6930A95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4" w:space="0" w:color="auto"/>
              <w:right w:val="single" w:sz="4" w:space="0" w:color="auto"/>
            </w:tcBorders>
            <w:noWrap/>
            <w:vAlign w:val="bottom"/>
            <w:hideMark/>
          </w:tcPr>
          <w:p w14:paraId="0ADC564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4" w:space="0" w:color="auto"/>
              <w:right w:val="single" w:sz="8" w:space="0" w:color="auto"/>
            </w:tcBorders>
            <w:noWrap/>
            <w:vAlign w:val="bottom"/>
            <w:hideMark/>
          </w:tcPr>
          <w:p w14:paraId="41E6B11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5DE6CE4E"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579A267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36</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4FC3492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194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11DB0CE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1B8BC82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5C8B254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6122518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7C9EE3C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0B217F87" w14:textId="77777777" w:rsidTr="00104784">
        <w:trPr>
          <w:trHeight w:val="270"/>
          <w:jc w:val="center"/>
        </w:trPr>
        <w:tc>
          <w:tcPr>
            <w:tcW w:w="1841" w:type="dxa"/>
            <w:tcBorders>
              <w:top w:val="single" w:sz="8" w:space="0" w:color="auto"/>
              <w:left w:val="single" w:sz="8" w:space="0" w:color="auto"/>
              <w:bottom w:val="single" w:sz="8" w:space="0" w:color="auto"/>
              <w:right w:val="single" w:sz="4" w:space="0" w:color="auto"/>
            </w:tcBorders>
            <w:noWrap/>
            <w:vAlign w:val="bottom"/>
            <w:hideMark/>
          </w:tcPr>
          <w:p w14:paraId="0749007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37</w:t>
            </w:r>
          </w:p>
        </w:tc>
        <w:tc>
          <w:tcPr>
            <w:tcW w:w="1620" w:type="dxa"/>
            <w:tcBorders>
              <w:top w:val="single" w:sz="8" w:space="0" w:color="auto"/>
              <w:left w:val="single" w:sz="4" w:space="0" w:color="auto"/>
              <w:bottom w:val="single" w:sz="8" w:space="0" w:color="auto"/>
              <w:right w:val="single" w:sz="4" w:space="0" w:color="auto"/>
            </w:tcBorders>
            <w:noWrap/>
            <w:vAlign w:val="bottom"/>
            <w:hideMark/>
          </w:tcPr>
          <w:p w14:paraId="16A4ADF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8" w:space="0" w:color="auto"/>
              <w:right w:val="single" w:sz="4" w:space="0" w:color="auto"/>
            </w:tcBorders>
            <w:noWrap/>
            <w:vAlign w:val="bottom"/>
            <w:hideMark/>
          </w:tcPr>
          <w:p w14:paraId="46B31F3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8" w:space="0" w:color="auto"/>
              <w:right w:val="single" w:sz="4" w:space="0" w:color="auto"/>
            </w:tcBorders>
            <w:noWrap/>
            <w:vAlign w:val="bottom"/>
            <w:hideMark/>
          </w:tcPr>
          <w:p w14:paraId="60C27C0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319</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201D88C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281487B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8" w:space="0" w:color="auto"/>
              <w:right w:val="single" w:sz="8" w:space="0" w:color="auto"/>
            </w:tcBorders>
            <w:noWrap/>
            <w:vAlign w:val="bottom"/>
            <w:hideMark/>
          </w:tcPr>
          <w:p w14:paraId="36A7606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2EB805A7" w14:textId="77777777" w:rsidTr="00104784">
        <w:trPr>
          <w:trHeight w:val="270"/>
          <w:jc w:val="center"/>
        </w:trPr>
        <w:tc>
          <w:tcPr>
            <w:tcW w:w="1841" w:type="dxa"/>
            <w:tcBorders>
              <w:top w:val="single" w:sz="8" w:space="0" w:color="auto"/>
              <w:left w:val="single" w:sz="8" w:space="0" w:color="auto"/>
              <w:bottom w:val="single" w:sz="8" w:space="0" w:color="auto"/>
              <w:right w:val="single" w:sz="4" w:space="0" w:color="auto"/>
            </w:tcBorders>
            <w:noWrap/>
            <w:vAlign w:val="bottom"/>
            <w:hideMark/>
          </w:tcPr>
          <w:p w14:paraId="21B4144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38</w:t>
            </w:r>
          </w:p>
        </w:tc>
        <w:tc>
          <w:tcPr>
            <w:tcW w:w="1620" w:type="dxa"/>
            <w:tcBorders>
              <w:top w:val="single" w:sz="8" w:space="0" w:color="auto"/>
              <w:left w:val="single" w:sz="4" w:space="0" w:color="auto"/>
              <w:bottom w:val="single" w:sz="8" w:space="0" w:color="auto"/>
              <w:right w:val="single" w:sz="4" w:space="0" w:color="auto"/>
            </w:tcBorders>
            <w:noWrap/>
            <w:vAlign w:val="bottom"/>
            <w:hideMark/>
          </w:tcPr>
          <w:p w14:paraId="147ADAF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8" w:space="0" w:color="auto"/>
              <w:right w:val="single" w:sz="4" w:space="0" w:color="auto"/>
            </w:tcBorders>
            <w:noWrap/>
            <w:vAlign w:val="bottom"/>
            <w:hideMark/>
          </w:tcPr>
          <w:p w14:paraId="482EC9D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8" w:space="0" w:color="auto"/>
              <w:right w:val="single" w:sz="4" w:space="0" w:color="auto"/>
            </w:tcBorders>
            <w:noWrap/>
            <w:vAlign w:val="bottom"/>
            <w:hideMark/>
          </w:tcPr>
          <w:p w14:paraId="4600FE1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319</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2F21784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3210ECA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382" w:type="dxa"/>
            <w:tcBorders>
              <w:top w:val="single" w:sz="8" w:space="0" w:color="auto"/>
              <w:left w:val="single" w:sz="4" w:space="0" w:color="auto"/>
              <w:bottom w:val="single" w:sz="8" w:space="0" w:color="auto"/>
              <w:right w:val="single" w:sz="8" w:space="0" w:color="auto"/>
            </w:tcBorders>
            <w:noWrap/>
            <w:vAlign w:val="bottom"/>
            <w:hideMark/>
          </w:tcPr>
          <w:p w14:paraId="4E54865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7DC6996A" w14:textId="77777777" w:rsidTr="00104784">
        <w:trPr>
          <w:trHeight w:val="270"/>
          <w:jc w:val="center"/>
        </w:trPr>
        <w:tc>
          <w:tcPr>
            <w:tcW w:w="1841" w:type="dxa"/>
            <w:tcBorders>
              <w:top w:val="single" w:sz="8" w:space="0" w:color="auto"/>
              <w:left w:val="single" w:sz="8" w:space="0" w:color="auto"/>
              <w:bottom w:val="single" w:sz="8" w:space="0" w:color="auto"/>
              <w:right w:val="single" w:sz="4" w:space="0" w:color="auto"/>
            </w:tcBorders>
            <w:noWrap/>
            <w:vAlign w:val="bottom"/>
            <w:hideMark/>
          </w:tcPr>
          <w:p w14:paraId="47755DB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39</w:t>
            </w:r>
          </w:p>
        </w:tc>
        <w:tc>
          <w:tcPr>
            <w:tcW w:w="1620" w:type="dxa"/>
            <w:tcBorders>
              <w:top w:val="single" w:sz="8" w:space="0" w:color="auto"/>
              <w:left w:val="single" w:sz="4" w:space="0" w:color="auto"/>
              <w:bottom w:val="single" w:sz="8" w:space="0" w:color="auto"/>
              <w:right w:val="single" w:sz="4" w:space="0" w:color="auto"/>
            </w:tcBorders>
            <w:noWrap/>
            <w:vAlign w:val="bottom"/>
            <w:hideMark/>
          </w:tcPr>
          <w:p w14:paraId="7C98A2F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210</w:t>
            </w:r>
          </w:p>
        </w:tc>
        <w:tc>
          <w:tcPr>
            <w:tcW w:w="874" w:type="dxa"/>
            <w:tcBorders>
              <w:top w:val="single" w:sz="8" w:space="0" w:color="auto"/>
              <w:left w:val="single" w:sz="4" w:space="0" w:color="auto"/>
              <w:bottom w:val="single" w:sz="8" w:space="0" w:color="auto"/>
              <w:right w:val="single" w:sz="4" w:space="0" w:color="auto"/>
            </w:tcBorders>
            <w:noWrap/>
            <w:vAlign w:val="bottom"/>
            <w:hideMark/>
          </w:tcPr>
          <w:p w14:paraId="06B1097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8" w:space="0" w:color="auto"/>
              <w:right w:val="single" w:sz="4" w:space="0" w:color="auto"/>
            </w:tcBorders>
            <w:noWrap/>
            <w:vAlign w:val="bottom"/>
            <w:hideMark/>
          </w:tcPr>
          <w:p w14:paraId="50C5005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319</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30AB930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41334F1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w:t>
            </w:r>
          </w:p>
        </w:tc>
        <w:tc>
          <w:tcPr>
            <w:tcW w:w="382" w:type="dxa"/>
            <w:tcBorders>
              <w:top w:val="single" w:sz="8" w:space="0" w:color="auto"/>
              <w:left w:val="single" w:sz="4" w:space="0" w:color="auto"/>
              <w:bottom w:val="single" w:sz="8" w:space="0" w:color="auto"/>
              <w:right w:val="single" w:sz="8" w:space="0" w:color="auto"/>
            </w:tcBorders>
            <w:noWrap/>
            <w:vAlign w:val="bottom"/>
            <w:hideMark/>
          </w:tcPr>
          <w:p w14:paraId="686D713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r>
      <w:tr w:rsidR="009248E1" w:rsidRPr="00177FFC" w14:paraId="09F90731"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1EADFE5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40</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1402975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4274884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0B9CAA9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276</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14492F6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56AD813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594367F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37A58620"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319591B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41</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52039B5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6F6BBA4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12D6869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276</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4AF73E3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0A1B275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4EC005A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1BBF117B"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641744C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42</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6BB6673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4FA3DDB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5C7E6D4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276</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79324F6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1A1CCE6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5E2710DF"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6D2376EB"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0C0E66B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43</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1F8640F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7C76DAB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76B22F1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276</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2CC4983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0D0F2A6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19DA776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1152D9EC" w14:textId="77777777" w:rsidTr="00104784">
        <w:trPr>
          <w:trHeight w:val="255"/>
          <w:jc w:val="center"/>
        </w:trPr>
        <w:tc>
          <w:tcPr>
            <w:tcW w:w="1841" w:type="dxa"/>
            <w:tcBorders>
              <w:top w:val="single" w:sz="8" w:space="0" w:color="auto"/>
              <w:left w:val="single" w:sz="8" w:space="0" w:color="auto"/>
              <w:bottom w:val="single" w:sz="4" w:space="0" w:color="auto"/>
              <w:right w:val="single" w:sz="4" w:space="0" w:color="auto"/>
            </w:tcBorders>
            <w:noWrap/>
            <w:vAlign w:val="bottom"/>
            <w:hideMark/>
          </w:tcPr>
          <w:p w14:paraId="049600A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44</w:t>
            </w:r>
          </w:p>
        </w:tc>
        <w:tc>
          <w:tcPr>
            <w:tcW w:w="1620" w:type="dxa"/>
            <w:tcBorders>
              <w:top w:val="single" w:sz="8" w:space="0" w:color="auto"/>
              <w:left w:val="single" w:sz="4" w:space="0" w:color="auto"/>
              <w:bottom w:val="single" w:sz="4" w:space="0" w:color="auto"/>
              <w:right w:val="single" w:sz="4" w:space="0" w:color="auto"/>
            </w:tcBorders>
            <w:noWrap/>
            <w:vAlign w:val="bottom"/>
            <w:hideMark/>
          </w:tcPr>
          <w:p w14:paraId="09A47E2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4" w:space="0" w:color="auto"/>
              <w:right w:val="single" w:sz="4" w:space="0" w:color="auto"/>
            </w:tcBorders>
            <w:noWrap/>
            <w:vAlign w:val="bottom"/>
            <w:hideMark/>
          </w:tcPr>
          <w:p w14:paraId="06889CC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4" w:space="0" w:color="auto"/>
              <w:right w:val="single" w:sz="4" w:space="0" w:color="auto"/>
            </w:tcBorders>
            <w:noWrap/>
            <w:vAlign w:val="bottom"/>
            <w:hideMark/>
          </w:tcPr>
          <w:p w14:paraId="41F416E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276</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4C1F58C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8" w:space="0" w:color="auto"/>
              <w:left w:val="single" w:sz="4" w:space="0" w:color="auto"/>
              <w:bottom w:val="single" w:sz="4" w:space="0" w:color="auto"/>
              <w:right w:val="single" w:sz="4" w:space="0" w:color="auto"/>
            </w:tcBorders>
            <w:noWrap/>
            <w:vAlign w:val="bottom"/>
            <w:hideMark/>
          </w:tcPr>
          <w:p w14:paraId="699CF73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382" w:type="dxa"/>
            <w:tcBorders>
              <w:top w:val="single" w:sz="8" w:space="0" w:color="auto"/>
              <w:left w:val="single" w:sz="4" w:space="0" w:color="auto"/>
              <w:bottom w:val="single" w:sz="4" w:space="0" w:color="auto"/>
              <w:right w:val="single" w:sz="8" w:space="0" w:color="auto"/>
            </w:tcBorders>
            <w:noWrap/>
            <w:vAlign w:val="bottom"/>
            <w:hideMark/>
          </w:tcPr>
          <w:p w14:paraId="45C4288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285C507B" w14:textId="77777777" w:rsidTr="00104784">
        <w:trPr>
          <w:trHeight w:val="270"/>
          <w:jc w:val="center"/>
        </w:trPr>
        <w:tc>
          <w:tcPr>
            <w:tcW w:w="1841" w:type="dxa"/>
            <w:tcBorders>
              <w:top w:val="single" w:sz="4" w:space="0" w:color="auto"/>
              <w:left w:val="single" w:sz="8" w:space="0" w:color="auto"/>
              <w:bottom w:val="single" w:sz="8" w:space="0" w:color="auto"/>
              <w:right w:val="single" w:sz="4" w:space="0" w:color="auto"/>
            </w:tcBorders>
            <w:noWrap/>
            <w:vAlign w:val="bottom"/>
            <w:hideMark/>
          </w:tcPr>
          <w:p w14:paraId="327EEC48"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45</w:t>
            </w:r>
          </w:p>
        </w:tc>
        <w:tc>
          <w:tcPr>
            <w:tcW w:w="1620" w:type="dxa"/>
            <w:tcBorders>
              <w:top w:val="single" w:sz="4" w:space="0" w:color="auto"/>
              <w:left w:val="single" w:sz="4" w:space="0" w:color="auto"/>
              <w:bottom w:val="single" w:sz="8" w:space="0" w:color="auto"/>
              <w:right w:val="single" w:sz="4" w:space="0" w:color="auto"/>
            </w:tcBorders>
            <w:noWrap/>
            <w:vAlign w:val="bottom"/>
            <w:hideMark/>
          </w:tcPr>
          <w:p w14:paraId="4A3B4CD0"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144</w:t>
            </w:r>
          </w:p>
        </w:tc>
        <w:tc>
          <w:tcPr>
            <w:tcW w:w="874" w:type="dxa"/>
            <w:tcBorders>
              <w:top w:val="single" w:sz="4" w:space="0" w:color="auto"/>
              <w:left w:val="single" w:sz="4" w:space="0" w:color="auto"/>
              <w:bottom w:val="single" w:sz="8" w:space="0" w:color="auto"/>
              <w:right w:val="single" w:sz="4" w:space="0" w:color="auto"/>
            </w:tcBorders>
            <w:noWrap/>
            <w:vAlign w:val="bottom"/>
            <w:hideMark/>
          </w:tcPr>
          <w:p w14:paraId="5FFEAC6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48294B1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276</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73321FA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single" w:sz="4" w:space="0" w:color="auto"/>
              <w:left w:val="single" w:sz="4" w:space="0" w:color="auto"/>
              <w:bottom w:val="single" w:sz="8" w:space="0" w:color="auto"/>
              <w:right w:val="single" w:sz="4" w:space="0" w:color="auto"/>
            </w:tcBorders>
            <w:noWrap/>
            <w:vAlign w:val="bottom"/>
            <w:hideMark/>
          </w:tcPr>
          <w:p w14:paraId="64F5E86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382" w:type="dxa"/>
            <w:tcBorders>
              <w:top w:val="single" w:sz="4" w:space="0" w:color="auto"/>
              <w:left w:val="single" w:sz="4" w:space="0" w:color="auto"/>
              <w:bottom w:val="single" w:sz="8" w:space="0" w:color="auto"/>
              <w:right w:val="single" w:sz="8" w:space="0" w:color="auto"/>
            </w:tcBorders>
            <w:noWrap/>
            <w:vAlign w:val="bottom"/>
            <w:hideMark/>
          </w:tcPr>
          <w:p w14:paraId="48E2301B"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080CC1C7" w14:textId="77777777" w:rsidTr="00104784">
        <w:trPr>
          <w:trHeight w:val="270"/>
          <w:jc w:val="center"/>
        </w:trPr>
        <w:tc>
          <w:tcPr>
            <w:tcW w:w="1841" w:type="dxa"/>
            <w:tcBorders>
              <w:top w:val="single" w:sz="8" w:space="0" w:color="auto"/>
              <w:left w:val="single" w:sz="8" w:space="0" w:color="auto"/>
              <w:bottom w:val="single" w:sz="8" w:space="0" w:color="auto"/>
              <w:right w:val="single" w:sz="4" w:space="0" w:color="auto"/>
            </w:tcBorders>
            <w:noWrap/>
            <w:vAlign w:val="bottom"/>
            <w:hideMark/>
          </w:tcPr>
          <w:p w14:paraId="78883BE6"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46</w:t>
            </w:r>
          </w:p>
        </w:tc>
        <w:tc>
          <w:tcPr>
            <w:tcW w:w="1620" w:type="dxa"/>
            <w:tcBorders>
              <w:top w:val="single" w:sz="8" w:space="0" w:color="auto"/>
              <w:left w:val="single" w:sz="4" w:space="0" w:color="auto"/>
              <w:bottom w:val="single" w:sz="8" w:space="0" w:color="auto"/>
              <w:right w:val="single" w:sz="4" w:space="0" w:color="auto"/>
            </w:tcBorders>
            <w:noWrap/>
            <w:vAlign w:val="bottom"/>
            <w:hideMark/>
          </w:tcPr>
          <w:p w14:paraId="1D6ECFC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8" w:space="0" w:color="auto"/>
              <w:right w:val="single" w:sz="4" w:space="0" w:color="auto"/>
            </w:tcBorders>
            <w:noWrap/>
            <w:vAlign w:val="bottom"/>
            <w:hideMark/>
          </w:tcPr>
          <w:p w14:paraId="3F24F9D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8" w:space="0" w:color="auto"/>
              <w:right w:val="single" w:sz="4" w:space="0" w:color="auto"/>
            </w:tcBorders>
            <w:noWrap/>
            <w:vAlign w:val="bottom"/>
            <w:hideMark/>
          </w:tcPr>
          <w:p w14:paraId="0891F8C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182</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63011F23"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3D147AC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382" w:type="dxa"/>
            <w:tcBorders>
              <w:top w:val="single" w:sz="8" w:space="0" w:color="auto"/>
              <w:left w:val="single" w:sz="4" w:space="0" w:color="auto"/>
              <w:bottom w:val="single" w:sz="8" w:space="0" w:color="auto"/>
              <w:right w:val="single" w:sz="8" w:space="0" w:color="auto"/>
            </w:tcBorders>
            <w:noWrap/>
            <w:vAlign w:val="bottom"/>
            <w:hideMark/>
          </w:tcPr>
          <w:p w14:paraId="55B7D25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75D89DA3" w14:textId="77777777" w:rsidTr="00104784">
        <w:trPr>
          <w:trHeight w:val="270"/>
          <w:jc w:val="center"/>
        </w:trPr>
        <w:tc>
          <w:tcPr>
            <w:tcW w:w="1841" w:type="dxa"/>
            <w:tcBorders>
              <w:top w:val="single" w:sz="8" w:space="0" w:color="auto"/>
              <w:left w:val="single" w:sz="8" w:space="0" w:color="auto"/>
              <w:bottom w:val="single" w:sz="8" w:space="0" w:color="auto"/>
              <w:right w:val="single" w:sz="4" w:space="0" w:color="auto"/>
            </w:tcBorders>
            <w:noWrap/>
            <w:vAlign w:val="bottom"/>
            <w:hideMark/>
          </w:tcPr>
          <w:p w14:paraId="6C7299E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47</w:t>
            </w:r>
          </w:p>
        </w:tc>
        <w:tc>
          <w:tcPr>
            <w:tcW w:w="1620" w:type="dxa"/>
            <w:tcBorders>
              <w:top w:val="single" w:sz="8" w:space="0" w:color="auto"/>
              <w:left w:val="single" w:sz="4" w:space="0" w:color="auto"/>
              <w:bottom w:val="single" w:sz="8" w:space="0" w:color="auto"/>
              <w:right w:val="single" w:sz="4" w:space="0" w:color="auto"/>
            </w:tcBorders>
            <w:noWrap/>
            <w:vAlign w:val="bottom"/>
            <w:hideMark/>
          </w:tcPr>
          <w:p w14:paraId="03880081"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single" w:sz="8" w:space="0" w:color="auto"/>
              <w:left w:val="single" w:sz="4" w:space="0" w:color="auto"/>
              <w:bottom w:val="single" w:sz="8" w:space="0" w:color="auto"/>
              <w:right w:val="single" w:sz="4" w:space="0" w:color="auto"/>
            </w:tcBorders>
            <w:noWrap/>
            <w:vAlign w:val="bottom"/>
            <w:hideMark/>
          </w:tcPr>
          <w:p w14:paraId="1387FB74"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single" w:sz="8" w:space="0" w:color="auto"/>
              <w:left w:val="single" w:sz="4" w:space="0" w:color="auto"/>
              <w:bottom w:val="single" w:sz="8" w:space="0" w:color="auto"/>
              <w:right w:val="single" w:sz="4" w:space="0" w:color="auto"/>
            </w:tcBorders>
            <w:noWrap/>
            <w:vAlign w:val="bottom"/>
            <w:hideMark/>
          </w:tcPr>
          <w:p w14:paraId="62C65985"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182</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6E652EF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w:t>
            </w:r>
          </w:p>
        </w:tc>
        <w:tc>
          <w:tcPr>
            <w:tcW w:w="931" w:type="dxa"/>
            <w:tcBorders>
              <w:top w:val="single" w:sz="8" w:space="0" w:color="auto"/>
              <w:left w:val="single" w:sz="4" w:space="0" w:color="auto"/>
              <w:bottom w:val="single" w:sz="8" w:space="0" w:color="auto"/>
              <w:right w:val="single" w:sz="4" w:space="0" w:color="auto"/>
            </w:tcBorders>
            <w:noWrap/>
            <w:vAlign w:val="bottom"/>
            <w:hideMark/>
          </w:tcPr>
          <w:p w14:paraId="3AC87A6D"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c>
          <w:tcPr>
            <w:tcW w:w="382" w:type="dxa"/>
            <w:tcBorders>
              <w:top w:val="single" w:sz="8" w:space="0" w:color="auto"/>
              <w:left w:val="single" w:sz="4" w:space="0" w:color="auto"/>
              <w:bottom w:val="single" w:sz="8" w:space="0" w:color="auto"/>
              <w:right w:val="single" w:sz="8" w:space="0" w:color="auto"/>
            </w:tcBorders>
            <w:noWrap/>
            <w:vAlign w:val="bottom"/>
            <w:hideMark/>
          </w:tcPr>
          <w:p w14:paraId="380D6B42"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r w:rsidR="009248E1" w:rsidRPr="00177FFC" w14:paraId="2A515BCD" w14:textId="77777777" w:rsidTr="00104784">
        <w:trPr>
          <w:trHeight w:val="270"/>
          <w:jc w:val="center"/>
        </w:trPr>
        <w:tc>
          <w:tcPr>
            <w:tcW w:w="1841" w:type="dxa"/>
            <w:tcBorders>
              <w:top w:val="nil"/>
              <w:left w:val="single" w:sz="8" w:space="0" w:color="auto"/>
              <w:bottom w:val="single" w:sz="8" w:space="0" w:color="auto"/>
              <w:right w:val="single" w:sz="4" w:space="0" w:color="auto"/>
            </w:tcBorders>
            <w:noWrap/>
            <w:vAlign w:val="bottom"/>
            <w:hideMark/>
          </w:tcPr>
          <w:p w14:paraId="12246E2E"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48</w:t>
            </w:r>
          </w:p>
        </w:tc>
        <w:tc>
          <w:tcPr>
            <w:tcW w:w="1620" w:type="dxa"/>
            <w:tcBorders>
              <w:top w:val="nil"/>
              <w:left w:val="single" w:sz="4" w:space="0" w:color="auto"/>
              <w:bottom w:val="single" w:sz="8" w:space="0" w:color="auto"/>
              <w:right w:val="single" w:sz="4" w:space="0" w:color="auto"/>
            </w:tcBorders>
            <w:noWrap/>
            <w:vAlign w:val="bottom"/>
            <w:hideMark/>
          </w:tcPr>
          <w:p w14:paraId="1AA386D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120</w:t>
            </w:r>
          </w:p>
        </w:tc>
        <w:tc>
          <w:tcPr>
            <w:tcW w:w="874" w:type="dxa"/>
            <w:tcBorders>
              <w:top w:val="nil"/>
              <w:left w:val="single" w:sz="4" w:space="0" w:color="auto"/>
              <w:bottom w:val="single" w:sz="8" w:space="0" w:color="auto"/>
              <w:right w:val="single" w:sz="4" w:space="0" w:color="auto"/>
            </w:tcBorders>
            <w:noWrap/>
            <w:vAlign w:val="bottom"/>
            <w:hideMark/>
          </w:tcPr>
          <w:p w14:paraId="0E78E5C9"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61" w:type="dxa"/>
            <w:tcBorders>
              <w:top w:val="nil"/>
              <w:left w:val="single" w:sz="4" w:space="0" w:color="auto"/>
              <w:bottom w:val="single" w:sz="8" w:space="0" w:color="auto"/>
              <w:right w:val="single" w:sz="4" w:space="0" w:color="auto"/>
            </w:tcBorders>
            <w:noWrap/>
            <w:vAlign w:val="bottom"/>
            <w:hideMark/>
          </w:tcPr>
          <w:p w14:paraId="4F141747"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182</w:t>
            </w:r>
          </w:p>
        </w:tc>
        <w:tc>
          <w:tcPr>
            <w:tcW w:w="931" w:type="dxa"/>
            <w:tcBorders>
              <w:top w:val="nil"/>
              <w:left w:val="single" w:sz="4" w:space="0" w:color="auto"/>
              <w:bottom w:val="single" w:sz="8" w:space="0" w:color="auto"/>
              <w:right w:val="single" w:sz="4" w:space="0" w:color="auto"/>
            </w:tcBorders>
            <w:noWrap/>
            <w:vAlign w:val="bottom"/>
            <w:hideMark/>
          </w:tcPr>
          <w:p w14:paraId="50CDCEA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0</w:t>
            </w:r>
          </w:p>
        </w:tc>
        <w:tc>
          <w:tcPr>
            <w:tcW w:w="931" w:type="dxa"/>
            <w:tcBorders>
              <w:top w:val="nil"/>
              <w:left w:val="single" w:sz="4" w:space="0" w:color="auto"/>
              <w:bottom w:val="single" w:sz="8" w:space="0" w:color="auto"/>
              <w:right w:val="single" w:sz="4" w:space="0" w:color="auto"/>
            </w:tcBorders>
            <w:noWrap/>
            <w:vAlign w:val="bottom"/>
            <w:hideMark/>
          </w:tcPr>
          <w:p w14:paraId="027E41BA"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3</w:t>
            </w:r>
          </w:p>
        </w:tc>
        <w:tc>
          <w:tcPr>
            <w:tcW w:w="382" w:type="dxa"/>
            <w:tcBorders>
              <w:top w:val="nil"/>
              <w:left w:val="single" w:sz="4" w:space="0" w:color="auto"/>
              <w:bottom w:val="single" w:sz="8" w:space="0" w:color="auto"/>
              <w:right w:val="single" w:sz="8" w:space="0" w:color="auto"/>
            </w:tcBorders>
            <w:noWrap/>
            <w:vAlign w:val="bottom"/>
            <w:hideMark/>
          </w:tcPr>
          <w:p w14:paraId="40AC3A9C" w14:textId="77777777" w:rsidR="005625BE" w:rsidRPr="00177FFC" w:rsidRDefault="005625BE" w:rsidP="00104784">
            <w:pPr>
              <w:jc w:val="center"/>
              <w:rPr>
                <w:rFonts w:ascii="Arial" w:hAnsi="Arial" w:cs="Arial"/>
                <w:sz w:val="14"/>
                <w:szCs w:val="14"/>
                <w:lang w:eastAsia="es-CO"/>
              </w:rPr>
            </w:pPr>
            <w:r w:rsidRPr="00177FFC">
              <w:rPr>
                <w:rFonts w:ascii="Arial" w:hAnsi="Arial" w:cs="Arial"/>
                <w:sz w:val="14"/>
                <w:szCs w:val="14"/>
                <w:lang w:eastAsia="es-CO"/>
              </w:rPr>
              <w:t>2</w:t>
            </w:r>
          </w:p>
        </w:tc>
      </w:tr>
    </w:tbl>
    <w:p w14:paraId="0E3B8BE3" w14:textId="77777777" w:rsidR="005625BE" w:rsidRPr="005625BE" w:rsidRDefault="005625BE" w:rsidP="0048016B">
      <w:pPr>
        <w:pStyle w:val="Prrafodelista"/>
        <w:spacing w:line="276" w:lineRule="auto"/>
        <w:ind w:left="720"/>
        <w:jc w:val="both"/>
        <w:rPr>
          <w:rFonts w:ascii="Arial" w:hAnsi="Arial" w:cs="Arial"/>
        </w:rPr>
      </w:pPr>
    </w:p>
    <w:p w14:paraId="1D7230B9" w14:textId="186D109B" w:rsidR="005625BE" w:rsidRDefault="140FC78F" w:rsidP="0048016B">
      <w:pPr>
        <w:pStyle w:val="Descripcin"/>
        <w:ind w:left="720"/>
        <w:jc w:val="left"/>
      </w:pPr>
      <w:r>
        <w:t xml:space="preserve">Tabla. Configuraciones a la planta de ciclo combinado </w:t>
      </w:r>
      <w:proofErr w:type="spellStart"/>
      <w:r>
        <w:t>Tebsa</w:t>
      </w:r>
      <w:proofErr w:type="spellEnd"/>
    </w:p>
    <w:p w14:paraId="40C3F7F5" w14:textId="77777777" w:rsidR="005625BE" w:rsidRPr="005625BE" w:rsidRDefault="005625BE" w:rsidP="0048016B">
      <w:pPr>
        <w:pStyle w:val="Prrafodelista"/>
        <w:ind w:left="720"/>
        <w:rPr>
          <w:lang w:val="es-ES_tradnl"/>
        </w:rPr>
      </w:pPr>
    </w:p>
    <w:p w14:paraId="390C482C" w14:textId="786B32D6" w:rsidR="005625BE" w:rsidRDefault="140FC78F" w:rsidP="0048016B">
      <w:pPr>
        <w:ind w:left="0"/>
        <w:jc w:val="both"/>
        <w:rPr>
          <w:rFonts w:ascii="Bookman Old Style" w:hAnsi="Bookman Old Style" w:cs="Arial"/>
        </w:rPr>
      </w:pPr>
      <w:r w:rsidRPr="0048016B">
        <w:rPr>
          <w:rFonts w:ascii="Bookman Old Style" w:hAnsi="Bookman Old Style" w:cs="Arial"/>
        </w:rPr>
        <w:t xml:space="preserve">De acuerdo con la tabla anterior, se puede ver que la planta de ciclo combinado </w:t>
      </w:r>
      <w:r w:rsidR="00594785">
        <w:rPr>
          <w:rFonts w:ascii="Bookman Old Style" w:hAnsi="Bookman Old Style" w:cs="Arial"/>
        </w:rPr>
        <w:t>TEBSA</w:t>
      </w:r>
      <w:r w:rsidRPr="0048016B">
        <w:rPr>
          <w:rFonts w:ascii="Bookman Old Style" w:hAnsi="Bookman Old Style" w:cs="Arial"/>
        </w:rPr>
        <w:t xml:space="preserve"> tiene 48 configuraciones posibles. En donde, por ejemplo, para la misma capacidad máxima de 791 MW tiene 4 mínimos técnicos, los cuales son en orden ascendente de 210, 234, 312 y 392 MW.</w:t>
      </w:r>
    </w:p>
    <w:p w14:paraId="438A32E1" w14:textId="77777777" w:rsidR="00837A36" w:rsidRPr="0048016B" w:rsidRDefault="00837A36" w:rsidP="0048016B">
      <w:pPr>
        <w:ind w:left="0"/>
        <w:jc w:val="both"/>
        <w:rPr>
          <w:rFonts w:ascii="Bookman Old Style" w:hAnsi="Bookman Old Style" w:cs="Arial"/>
        </w:rPr>
      </w:pPr>
    </w:p>
    <w:p w14:paraId="2739957B" w14:textId="77777777" w:rsidR="005625BE" w:rsidRPr="0048016B" w:rsidRDefault="005625BE" w:rsidP="0048016B">
      <w:pPr>
        <w:ind w:left="0"/>
        <w:jc w:val="both"/>
        <w:rPr>
          <w:rFonts w:ascii="Bookman Old Style" w:hAnsi="Bookman Old Style" w:cs="Arial"/>
        </w:rPr>
      </w:pPr>
    </w:p>
    <w:p w14:paraId="67284CD3" w14:textId="77777777" w:rsidR="005625BE" w:rsidRDefault="005625BE" w:rsidP="005625BE">
      <w:pPr>
        <w:ind w:left="0"/>
        <w:jc w:val="both"/>
        <w:rPr>
          <w:rFonts w:ascii="Bookman Old Style" w:hAnsi="Bookman Old Style" w:cs="Arial"/>
        </w:rPr>
      </w:pPr>
      <w:r w:rsidRPr="0048016B">
        <w:rPr>
          <w:rFonts w:ascii="Bookman Old Style" w:hAnsi="Bookman Old Style" w:cs="Arial"/>
        </w:rPr>
        <w:lastRenderedPageBreak/>
        <w:t xml:space="preserve">Así la cosas, si por ejemplo si el agente declara la configuración 4, con capacidad máxima de 791 MW y mínimo técnico de 392 MW, y el sistema requiere solamente por generación de seguridad 210 MW para el área eléctrica en donde se encuentra ubicada dicha planta, se estaría obligando por generación de seguridad a despachar 392 MW, dado que ese es el mínimo técnico de la configuración declarada, es decir, 182 MW adicionales de lo requerido. </w:t>
      </w:r>
    </w:p>
    <w:p w14:paraId="07F3AC2E" w14:textId="77777777" w:rsidR="008E3970" w:rsidRDefault="008E3970" w:rsidP="005625BE">
      <w:pPr>
        <w:ind w:left="0"/>
        <w:jc w:val="both"/>
        <w:rPr>
          <w:rFonts w:ascii="Bookman Old Style" w:hAnsi="Bookman Old Style" w:cs="Arial"/>
        </w:rPr>
      </w:pPr>
    </w:p>
    <w:p w14:paraId="217F1139" w14:textId="77606AD1" w:rsidR="008E3970" w:rsidRPr="0048016B" w:rsidRDefault="48ACAC36" w:rsidP="0048016B">
      <w:pPr>
        <w:ind w:left="0"/>
        <w:jc w:val="both"/>
        <w:rPr>
          <w:rFonts w:ascii="Bookman Old Style" w:hAnsi="Bookman Old Style" w:cs="Arial"/>
        </w:rPr>
      </w:pPr>
      <w:r w:rsidRPr="48CCD98B">
        <w:rPr>
          <w:rFonts w:ascii="Bookman Old Style" w:hAnsi="Bookman Old Style" w:cs="Arial"/>
        </w:rPr>
        <w:t xml:space="preserve">Por </w:t>
      </w:r>
      <w:r w:rsidR="222EF5BE" w:rsidRPr="48CCD98B">
        <w:rPr>
          <w:rFonts w:ascii="Bookman Old Style" w:hAnsi="Bookman Old Style" w:cs="Arial"/>
        </w:rPr>
        <w:t>consigui</w:t>
      </w:r>
      <w:r w:rsidR="56669063" w:rsidRPr="48CCD98B">
        <w:rPr>
          <w:rFonts w:ascii="Bookman Old Style" w:hAnsi="Bookman Old Style" w:cs="Arial"/>
        </w:rPr>
        <w:t>e</w:t>
      </w:r>
      <w:r w:rsidR="222EF5BE" w:rsidRPr="48CCD98B">
        <w:rPr>
          <w:rFonts w:ascii="Bookman Old Style" w:hAnsi="Bookman Old Style" w:cs="Arial"/>
        </w:rPr>
        <w:t>nte</w:t>
      </w:r>
      <w:r w:rsidRPr="48CCD98B">
        <w:rPr>
          <w:rFonts w:ascii="Bookman Old Style" w:hAnsi="Bookman Old Style" w:cs="Arial"/>
        </w:rPr>
        <w:t>,</w:t>
      </w:r>
      <w:r w:rsidR="004A6E19">
        <w:rPr>
          <w:rFonts w:ascii="Bookman Old Style" w:hAnsi="Bookman Old Style" w:cs="Arial"/>
        </w:rPr>
        <w:t xml:space="preserve"> </w:t>
      </w:r>
      <w:r w:rsidR="1880023C" w:rsidRPr="48CCD98B">
        <w:rPr>
          <w:rFonts w:ascii="Bookman Old Style" w:hAnsi="Bookman Old Style" w:cs="Arial"/>
        </w:rPr>
        <w:t xml:space="preserve">el hecho </w:t>
      </w:r>
      <w:r w:rsidR="52D56D39" w:rsidRPr="48CCD98B">
        <w:rPr>
          <w:rFonts w:ascii="Bookman Old Style" w:hAnsi="Bookman Old Style" w:cs="Arial"/>
        </w:rPr>
        <w:t xml:space="preserve">de </w:t>
      </w:r>
      <w:r w:rsidR="1880023C" w:rsidRPr="48CCD98B">
        <w:rPr>
          <w:rFonts w:ascii="Bookman Old Style" w:hAnsi="Bookman Old Style" w:cs="Arial"/>
        </w:rPr>
        <w:t>q</w:t>
      </w:r>
      <w:r w:rsidR="46782A61" w:rsidRPr="48CCD98B">
        <w:rPr>
          <w:rFonts w:ascii="Bookman Old Style" w:hAnsi="Bookman Old Style" w:cs="Arial"/>
        </w:rPr>
        <w:t>u</w:t>
      </w:r>
      <w:r w:rsidR="1880023C" w:rsidRPr="48CCD98B">
        <w:rPr>
          <w:rFonts w:ascii="Bookman Old Style" w:hAnsi="Bookman Old Style" w:cs="Arial"/>
        </w:rPr>
        <w:t xml:space="preserve">e el CND </w:t>
      </w:r>
      <w:r w:rsidR="46782A61" w:rsidRPr="48CCD98B">
        <w:rPr>
          <w:rFonts w:ascii="Bookman Old Style" w:hAnsi="Bookman Old Style" w:cs="Arial"/>
        </w:rPr>
        <w:t>solicite</w:t>
      </w:r>
      <w:r w:rsidR="1880023C" w:rsidRPr="48CCD98B">
        <w:rPr>
          <w:rFonts w:ascii="Bookman Old Style" w:hAnsi="Bookman Old Style" w:cs="Arial"/>
        </w:rPr>
        <w:t xml:space="preserve"> el despacho en una determinada configuración, </w:t>
      </w:r>
      <w:r w:rsidR="69DE6BBF" w:rsidRPr="48CCD98B">
        <w:rPr>
          <w:rFonts w:ascii="Bookman Old Style" w:hAnsi="Bookman Old Style" w:cs="Arial"/>
        </w:rPr>
        <w:t xml:space="preserve">para </w:t>
      </w:r>
      <w:r w:rsidR="17DFA0D6" w:rsidRPr="48CCD98B">
        <w:rPr>
          <w:rFonts w:ascii="Bookman Old Style" w:hAnsi="Bookman Old Style" w:cs="Arial"/>
        </w:rPr>
        <w:t xml:space="preserve">la planta es perfectamente posible que la realice sin que implique ninguna afectación económica </w:t>
      </w:r>
      <w:r w:rsidR="3B54955E" w:rsidRPr="48CCD98B">
        <w:rPr>
          <w:rFonts w:ascii="Bookman Old Style" w:hAnsi="Bookman Old Style" w:cs="Arial"/>
        </w:rPr>
        <w:t xml:space="preserve">u operativa, por lo </w:t>
      </w:r>
      <w:r w:rsidR="3E143DBE" w:rsidRPr="48CCD98B">
        <w:rPr>
          <w:rFonts w:ascii="Bookman Old Style" w:hAnsi="Bookman Old Style" w:cs="Arial"/>
        </w:rPr>
        <w:t>tanto,</w:t>
      </w:r>
      <w:r w:rsidR="3B54955E" w:rsidRPr="48CCD98B">
        <w:rPr>
          <w:rFonts w:ascii="Bookman Old Style" w:hAnsi="Bookman Old Style" w:cs="Arial"/>
        </w:rPr>
        <w:t xml:space="preserve"> no se acepta el argumento de que con la norma se le está causando un perjuicio a la empresa.</w:t>
      </w:r>
    </w:p>
    <w:p w14:paraId="10181CE3" w14:textId="77777777" w:rsidR="005625BE" w:rsidRPr="0048016B" w:rsidRDefault="005625BE" w:rsidP="0048016B">
      <w:pPr>
        <w:ind w:left="0"/>
        <w:jc w:val="both"/>
        <w:rPr>
          <w:rFonts w:ascii="Bookman Old Style" w:hAnsi="Bookman Old Style" w:cs="Arial"/>
        </w:rPr>
      </w:pPr>
    </w:p>
    <w:p w14:paraId="1C557ACA" w14:textId="73EFB25F" w:rsidR="004C14DD" w:rsidRDefault="00D85434">
      <w:pPr>
        <w:ind w:left="0"/>
        <w:jc w:val="both"/>
        <w:rPr>
          <w:rFonts w:ascii="Bookman Old Style" w:hAnsi="Bookman Old Style" w:cs="Arial"/>
        </w:rPr>
      </w:pPr>
      <w:r w:rsidRPr="0048016B">
        <w:rPr>
          <w:rFonts w:ascii="Bookman Old Style" w:hAnsi="Bookman Old Style" w:cs="Arial"/>
        </w:rPr>
        <w:t>Con relación a</w:t>
      </w:r>
      <w:r w:rsidR="004C14DD" w:rsidRPr="0048016B">
        <w:rPr>
          <w:rFonts w:ascii="Bookman Old Style" w:hAnsi="Bookman Old Style" w:cs="Arial"/>
        </w:rPr>
        <w:t xml:space="preserve">l presunto daño </w:t>
      </w:r>
      <w:r w:rsidR="004C14DD">
        <w:rPr>
          <w:rFonts w:ascii="Bookman Old Style" w:hAnsi="Bookman Old Style" w:cs="Arial"/>
        </w:rPr>
        <w:t xml:space="preserve"> </w:t>
      </w:r>
      <w:r w:rsidR="009208C8">
        <w:rPr>
          <w:rFonts w:ascii="Bookman Old Style" w:hAnsi="Bookman Old Style" w:cs="Arial"/>
        </w:rPr>
        <w:t xml:space="preserve">que </w:t>
      </w:r>
      <w:r w:rsidR="004C14DD" w:rsidRPr="0048016B">
        <w:rPr>
          <w:rFonts w:ascii="Bookman Old Style" w:hAnsi="Bookman Old Style" w:cs="Arial"/>
        </w:rPr>
        <w:t>aumenta los</w:t>
      </w:r>
      <w:r w:rsidR="009208C8">
        <w:rPr>
          <w:rFonts w:ascii="Bookman Old Style" w:hAnsi="Bookman Old Style" w:cs="Arial"/>
        </w:rPr>
        <w:t xml:space="preserve"> </w:t>
      </w:r>
      <w:r w:rsidR="004C14DD" w:rsidRPr="0048016B">
        <w:rPr>
          <w:rFonts w:ascii="Bookman Old Style" w:hAnsi="Bookman Old Style" w:cs="Arial"/>
        </w:rPr>
        <w:t>costos efectivos de ciclar una planta CCGT, debido a un aumento en los</w:t>
      </w:r>
      <w:r w:rsidR="009208C8">
        <w:rPr>
          <w:rFonts w:ascii="Bookman Old Style" w:hAnsi="Bookman Old Style" w:cs="Arial"/>
        </w:rPr>
        <w:t xml:space="preserve"> </w:t>
      </w:r>
      <w:r w:rsidR="004C14DD" w:rsidRPr="0048016B">
        <w:rPr>
          <w:rFonts w:ascii="Bookman Old Style" w:hAnsi="Bookman Old Style" w:cs="Arial"/>
        </w:rPr>
        <w:t>gastos de mantenimiento y efectos de interrupción forzosa, tales como: el</w:t>
      </w:r>
      <w:r w:rsidR="009208C8">
        <w:rPr>
          <w:rFonts w:ascii="Bookman Old Style" w:hAnsi="Bookman Old Style" w:cs="Arial"/>
        </w:rPr>
        <w:t xml:space="preserve"> </w:t>
      </w:r>
      <w:r w:rsidR="004C14DD" w:rsidRPr="0048016B">
        <w:rPr>
          <w:rFonts w:ascii="Bookman Old Style" w:hAnsi="Bookman Old Style" w:cs="Arial"/>
        </w:rPr>
        <w:t>costo de reemplazo energía y capacidad mientras la planta está parada,</w:t>
      </w:r>
      <w:r w:rsidR="009208C8">
        <w:rPr>
          <w:rFonts w:ascii="Bookman Old Style" w:hAnsi="Bookman Old Style" w:cs="Arial"/>
        </w:rPr>
        <w:t xml:space="preserve"> </w:t>
      </w:r>
      <w:r w:rsidR="004C14DD" w:rsidRPr="0048016B">
        <w:rPr>
          <w:rFonts w:ascii="Bookman Old Style" w:hAnsi="Bookman Old Style" w:cs="Arial"/>
        </w:rPr>
        <w:t>gastos asociados a la toma de decisiones operativas del operador del</w:t>
      </w:r>
      <w:r w:rsidR="009208C8">
        <w:rPr>
          <w:rFonts w:ascii="Bookman Old Style" w:hAnsi="Bookman Old Style" w:cs="Arial"/>
        </w:rPr>
        <w:t xml:space="preserve"> </w:t>
      </w:r>
      <w:r w:rsidR="004C14DD" w:rsidRPr="0048016B">
        <w:rPr>
          <w:rFonts w:ascii="Bookman Old Style" w:hAnsi="Bookman Old Style" w:cs="Arial"/>
        </w:rPr>
        <w:t>sistema CND o internamente gastos asociados a la toma de decisiones</w:t>
      </w:r>
      <w:r w:rsidR="009208C8">
        <w:rPr>
          <w:rFonts w:ascii="Bookman Old Style" w:hAnsi="Bookman Old Style" w:cs="Arial"/>
        </w:rPr>
        <w:t xml:space="preserve"> </w:t>
      </w:r>
      <w:r w:rsidR="004C14DD" w:rsidRPr="0048016B">
        <w:rPr>
          <w:rFonts w:ascii="Bookman Old Style" w:hAnsi="Bookman Old Style" w:cs="Arial"/>
        </w:rPr>
        <w:t>operativas, en la actualidad tienen como consecuencias que conducen</w:t>
      </w:r>
      <w:r w:rsidR="009208C8">
        <w:rPr>
          <w:rFonts w:ascii="Bookman Old Style" w:hAnsi="Bookman Old Style" w:cs="Arial"/>
        </w:rPr>
        <w:t xml:space="preserve"> </w:t>
      </w:r>
      <w:r w:rsidR="004C14DD" w:rsidRPr="0048016B">
        <w:rPr>
          <w:rFonts w:ascii="Bookman Old Style" w:hAnsi="Bookman Old Style" w:cs="Arial"/>
        </w:rPr>
        <w:t>a operaciones subóptimas, antieconómicas en el despacho y, en última</w:t>
      </w:r>
      <w:r w:rsidR="46F9B5A9" w:rsidRPr="4562BAA3">
        <w:rPr>
          <w:rFonts w:ascii="Bookman Old Style" w:hAnsi="Bookman Old Style" w:cs="Arial"/>
        </w:rPr>
        <w:t xml:space="preserve"> </w:t>
      </w:r>
      <w:r w:rsidR="004C14DD" w:rsidRPr="0048016B">
        <w:rPr>
          <w:rFonts w:ascii="Bookman Old Style" w:hAnsi="Bookman Old Style" w:cs="Arial"/>
        </w:rPr>
        <w:t>instancia, a mayores costos operativos tanto para el sistema como para el</w:t>
      </w:r>
      <w:r w:rsidR="00D54E8B">
        <w:rPr>
          <w:rFonts w:ascii="Bookman Old Style" w:hAnsi="Bookman Old Style" w:cs="Arial"/>
        </w:rPr>
        <w:t xml:space="preserve"> </w:t>
      </w:r>
      <w:r w:rsidR="04ED3C48" w:rsidRPr="0048016B">
        <w:rPr>
          <w:rFonts w:ascii="Bookman Old Style" w:hAnsi="Bookman Old Style" w:cs="Arial"/>
        </w:rPr>
        <w:t>ciclo combinado</w:t>
      </w:r>
      <w:r w:rsidR="7789F7FF" w:rsidRPr="48CCD98B">
        <w:rPr>
          <w:rFonts w:ascii="Bookman Old Style" w:hAnsi="Bookman Old Style" w:cs="Arial"/>
        </w:rPr>
        <w:t xml:space="preserve">, </w:t>
      </w:r>
      <w:r w:rsidR="7789F7FF" w:rsidRPr="0048016B">
        <w:rPr>
          <w:rFonts w:ascii="Bookman Old Style" w:hAnsi="Bookman Old Style" w:cs="Arial"/>
        </w:rPr>
        <w:t>la Comisión no acepta tal afirmación por cuanto</w:t>
      </w:r>
      <w:r w:rsidR="20E6E44B" w:rsidRPr="0048016B">
        <w:rPr>
          <w:rFonts w:ascii="Bookman Old Style" w:hAnsi="Bookman Old Style" w:cs="Arial"/>
        </w:rPr>
        <w:t xml:space="preserve"> como se mostró con los análisis y los resultados presentados por el Centro Naci</w:t>
      </w:r>
      <w:r w:rsidR="7810B8F1" w:rsidRPr="0048016B">
        <w:rPr>
          <w:rFonts w:ascii="Bookman Old Style" w:hAnsi="Bookman Old Style" w:cs="Arial"/>
        </w:rPr>
        <w:t>onal de Despacho (CND), seleccionar por medio de un pr</w:t>
      </w:r>
      <w:r w:rsidR="3DEF1E24" w:rsidRPr="0048016B">
        <w:rPr>
          <w:rFonts w:ascii="Bookman Old Style" w:hAnsi="Bookman Old Style" w:cs="Arial"/>
        </w:rPr>
        <w:t>o</w:t>
      </w:r>
      <w:r w:rsidR="7810B8F1" w:rsidRPr="0048016B">
        <w:rPr>
          <w:rFonts w:ascii="Bookman Old Style" w:hAnsi="Bookman Old Style" w:cs="Arial"/>
        </w:rPr>
        <w:t>cedimiento la configuración más conveniente para el sistema</w:t>
      </w:r>
      <w:r w:rsidR="16B271BE" w:rsidRPr="0048016B">
        <w:rPr>
          <w:rFonts w:ascii="Bookman Old Style" w:hAnsi="Bookman Old Style" w:cs="Arial"/>
        </w:rPr>
        <w:t>, y no que sea el agente quién seleccione la configuración de su conveniencia,</w:t>
      </w:r>
      <w:r w:rsidR="7810B8F1" w:rsidRPr="0048016B">
        <w:rPr>
          <w:rFonts w:ascii="Bookman Old Style" w:hAnsi="Bookman Old Style" w:cs="Arial"/>
        </w:rPr>
        <w:t xml:space="preserve"> es lo que per</w:t>
      </w:r>
      <w:r w:rsidR="2B19F4D6" w:rsidRPr="0048016B">
        <w:rPr>
          <w:rFonts w:ascii="Bookman Old Style" w:hAnsi="Bookman Old Style" w:cs="Arial"/>
        </w:rPr>
        <w:t>mite hacer una operación más optima, dado que permite utilizar los recursos más económicos dada las condiciones operativas.</w:t>
      </w:r>
      <w:r w:rsidR="3C176830" w:rsidRPr="0048016B">
        <w:rPr>
          <w:rFonts w:ascii="Bookman Old Style" w:hAnsi="Bookman Old Style" w:cs="Arial"/>
        </w:rPr>
        <w:t xml:space="preserve"> Además, los costos </w:t>
      </w:r>
      <w:r w:rsidR="6DE2393C" w:rsidRPr="0048016B">
        <w:rPr>
          <w:rFonts w:ascii="Bookman Old Style" w:hAnsi="Bookman Old Style" w:cs="Arial"/>
        </w:rPr>
        <w:t xml:space="preserve">el desgaste de los equipos </w:t>
      </w:r>
      <w:r w:rsidR="3C176830" w:rsidRPr="0048016B">
        <w:rPr>
          <w:rFonts w:ascii="Bookman Old Style" w:hAnsi="Bookman Old Style" w:cs="Arial"/>
        </w:rPr>
        <w:t>por arranque</w:t>
      </w:r>
      <w:r w:rsidR="50965F25" w:rsidRPr="0048016B">
        <w:rPr>
          <w:rFonts w:ascii="Bookman Old Style" w:hAnsi="Bookman Old Style" w:cs="Arial"/>
        </w:rPr>
        <w:t xml:space="preserve"> – </w:t>
      </w:r>
      <w:r w:rsidR="3C176830" w:rsidRPr="0048016B">
        <w:rPr>
          <w:rFonts w:ascii="Bookman Old Style" w:hAnsi="Bookman Old Style" w:cs="Arial"/>
        </w:rPr>
        <w:t>par</w:t>
      </w:r>
      <w:r w:rsidR="75F638B7" w:rsidRPr="0048016B">
        <w:rPr>
          <w:rFonts w:ascii="Bookman Old Style" w:hAnsi="Bookman Old Style" w:cs="Arial"/>
        </w:rPr>
        <w:t xml:space="preserve">ada </w:t>
      </w:r>
      <w:r w:rsidR="7448CFA0" w:rsidRPr="0048016B">
        <w:rPr>
          <w:rFonts w:ascii="Bookman Old Style" w:hAnsi="Bookman Old Style" w:cs="Arial"/>
        </w:rPr>
        <w:t xml:space="preserve">de las unidades </w:t>
      </w:r>
      <w:r w:rsidR="16F68EAD" w:rsidRPr="0048016B">
        <w:rPr>
          <w:rFonts w:ascii="Bookman Old Style" w:hAnsi="Bookman Old Style" w:cs="Arial"/>
        </w:rPr>
        <w:t>son reconocid</w:t>
      </w:r>
      <w:r w:rsidR="7B923C1B" w:rsidRPr="0048016B">
        <w:rPr>
          <w:rFonts w:ascii="Bookman Old Style" w:hAnsi="Bookman Old Style" w:cs="Arial"/>
        </w:rPr>
        <w:t>os, a par</w:t>
      </w:r>
      <w:r w:rsidR="47524793" w:rsidRPr="0048016B">
        <w:rPr>
          <w:rFonts w:ascii="Bookman Old Style" w:hAnsi="Bookman Old Style" w:cs="Arial"/>
        </w:rPr>
        <w:t xml:space="preserve">tir de los valores declarados por los agentes, </w:t>
      </w:r>
      <w:r w:rsidR="7B923C1B" w:rsidRPr="0048016B">
        <w:rPr>
          <w:rFonts w:ascii="Bookman Old Style" w:hAnsi="Bookman Old Style" w:cs="Arial"/>
        </w:rPr>
        <w:t>tal como se explicó anteriormente</w:t>
      </w:r>
      <w:r w:rsidR="0048016B">
        <w:rPr>
          <w:rFonts w:ascii="Bookman Old Style" w:hAnsi="Bookman Old Style" w:cs="Arial"/>
        </w:rPr>
        <w:t>.</w:t>
      </w:r>
    </w:p>
    <w:p w14:paraId="4A877A73" w14:textId="77777777" w:rsidR="009248E1" w:rsidRDefault="009248E1">
      <w:pPr>
        <w:ind w:left="0"/>
        <w:jc w:val="both"/>
        <w:rPr>
          <w:rFonts w:ascii="Bookman Old Style" w:hAnsi="Bookman Old Style" w:cs="Arial"/>
        </w:rPr>
      </w:pPr>
    </w:p>
    <w:p w14:paraId="552C2D0B" w14:textId="4D9ADC60" w:rsidR="3B7E4BE5" w:rsidRDefault="3B7E4BE5" w:rsidP="0048016B">
      <w:pPr>
        <w:spacing w:line="259" w:lineRule="auto"/>
        <w:ind w:left="0"/>
        <w:jc w:val="both"/>
        <w:rPr>
          <w:rFonts w:ascii="Bookman Old Style" w:hAnsi="Bookman Old Style" w:cs="Arial"/>
        </w:rPr>
      </w:pPr>
      <w:r w:rsidRPr="48CCD98B">
        <w:rPr>
          <w:rFonts w:ascii="Bookman Old Style" w:hAnsi="Bookman Old Style" w:cs="Arial"/>
        </w:rPr>
        <w:t>Ahor</w:t>
      </w:r>
      <w:r w:rsidR="684340E7" w:rsidRPr="48CCD98B">
        <w:rPr>
          <w:rFonts w:ascii="Bookman Old Style" w:hAnsi="Bookman Old Style" w:cs="Arial"/>
        </w:rPr>
        <w:t>a</w:t>
      </w:r>
      <w:r w:rsidRPr="48CCD98B">
        <w:rPr>
          <w:rFonts w:ascii="Bookman Old Style" w:hAnsi="Bookman Old Style" w:cs="Arial"/>
        </w:rPr>
        <w:t xml:space="preserve"> bien, es relevante desta</w:t>
      </w:r>
      <w:r w:rsidR="4E418C17" w:rsidRPr="48CCD98B">
        <w:rPr>
          <w:rFonts w:ascii="Bookman Old Style" w:hAnsi="Bookman Old Style" w:cs="Arial"/>
        </w:rPr>
        <w:t>ca</w:t>
      </w:r>
      <w:r w:rsidRPr="48CCD98B">
        <w:rPr>
          <w:rFonts w:ascii="Bookman Old Style" w:hAnsi="Bookman Old Style" w:cs="Arial"/>
        </w:rPr>
        <w:t xml:space="preserve">r que cuando un agente que representa una </w:t>
      </w:r>
      <w:r w:rsidR="2FE4F0F6" w:rsidRPr="48CCD98B">
        <w:rPr>
          <w:rFonts w:ascii="Bookman Old Style" w:hAnsi="Bookman Old Style" w:cs="Arial"/>
        </w:rPr>
        <w:t xml:space="preserve">planta </w:t>
      </w:r>
      <w:r w:rsidR="20AEA22A" w:rsidRPr="48CCD98B">
        <w:rPr>
          <w:rFonts w:ascii="Bookman Old Style" w:hAnsi="Bookman Old Style" w:cs="Arial"/>
        </w:rPr>
        <w:t>térmica</w:t>
      </w:r>
      <w:r w:rsidR="2FE4F0F6" w:rsidRPr="48CCD98B">
        <w:rPr>
          <w:rFonts w:ascii="Bookman Old Style" w:hAnsi="Bookman Old Style" w:cs="Arial"/>
        </w:rPr>
        <w:t xml:space="preserve"> </w:t>
      </w:r>
      <w:r w:rsidRPr="48CCD98B">
        <w:rPr>
          <w:rFonts w:ascii="Bookman Old Style" w:hAnsi="Bookman Old Style" w:cs="Arial"/>
        </w:rPr>
        <w:t>se declara disponible para el despacho eléctrico, es porque cu</w:t>
      </w:r>
      <w:r w:rsidR="00B21076">
        <w:rPr>
          <w:rFonts w:ascii="Bookman Old Style" w:hAnsi="Bookman Old Style" w:cs="Arial"/>
        </w:rPr>
        <w:t>e</w:t>
      </w:r>
      <w:r w:rsidRPr="48CCD98B">
        <w:rPr>
          <w:rFonts w:ascii="Bookman Old Style" w:hAnsi="Bookman Old Style" w:cs="Arial"/>
        </w:rPr>
        <w:t>nt</w:t>
      </w:r>
      <w:r w:rsidR="007B6D5B">
        <w:rPr>
          <w:rFonts w:ascii="Bookman Old Style" w:hAnsi="Bookman Old Style" w:cs="Arial"/>
        </w:rPr>
        <w:t>a</w:t>
      </w:r>
      <w:r w:rsidR="0731EB28" w:rsidRPr="48CCD98B">
        <w:rPr>
          <w:rFonts w:ascii="Bookman Old Style" w:hAnsi="Bookman Old Style" w:cs="Arial"/>
        </w:rPr>
        <w:t xml:space="preserve"> con la maquina y el combustible para operarlo, teniendo en cuenta las condiciones del despacho del sistema.</w:t>
      </w:r>
      <w:r w:rsidR="32EDB4D2" w:rsidRPr="48CCD98B">
        <w:rPr>
          <w:rFonts w:ascii="Bookman Old Style" w:hAnsi="Bookman Old Style" w:cs="Arial"/>
        </w:rPr>
        <w:t xml:space="preserve"> En ese sentido, </w:t>
      </w:r>
      <w:r w:rsidR="1108FB48" w:rsidRPr="48CCD98B">
        <w:rPr>
          <w:rFonts w:ascii="Bookman Old Style" w:hAnsi="Bookman Old Style" w:cs="Arial"/>
        </w:rPr>
        <w:t xml:space="preserve">es </w:t>
      </w:r>
      <w:r w:rsidR="78FB381D" w:rsidRPr="48CCD98B">
        <w:rPr>
          <w:rFonts w:ascii="Bookman Old Style" w:hAnsi="Bookman Old Style" w:cs="Arial"/>
        </w:rPr>
        <w:t>responsabilidad</w:t>
      </w:r>
      <w:r w:rsidR="1108FB48" w:rsidRPr="48CCD98B">
        <w:rPr>
          <w:rFonts w:ascii="Bookman Old Style" w:hAnsi="Bookman Old Style" w:cs="Arial"/>
        </w:rPr>
        <w:t xml:space="preserve"> del agente disponer de los contratos y acuerdos con los proveedores del </w:t>
      </w:r>
      <w:r w:rsidR="457C02C2" w:rsidRPr="48CCD98B">
        <w:rPr>
          <w:rFonts w:ascii="Bookman Old Style" w:hAnsi="Bookman Old Style" w:cs="Arial"/>
        </w:rPr>
        <w:t>combustible</w:t>
      </w:r>
      <w:r w:rsidR="1108FB48" w:rsidRPr="48CCD98B">
        <w:rPr>
          <w:rFonts w:ascii="Bookman Old Style" w:hAnsi="Bookman Old Style" w:cs="Arial"/>
        </w:rPr>
        <w:t xml:space="preserve"> para dar </w:t>
      </w:r>
      <w:r w:rsidR="0D5FCADF" w:rsidRPr="48CCD98B">
        <w:rPr>
          <w:rFonts w:ascii="Bookman Old Style" w:hAnsi="Bookman Old Style" w:cs="Arial"/>
        </w:rPr>
        <w:t xml:space="preserve">cumplimiento a las obligaciones que voluntariamente está </w:t>
      </w:r>
      <w:r w:rsidR="34617482" w:rsidRPr="48CCD98B">
        <w:rPr>
          <w:rFonts w:ascii="Bookman Old Style" w:hAnsi="Bookman Old Style" w:cs="Arial"/>
        </w:rPr>
        <w:t>asumiendo</w:t>
      </w:r>
      <w:r w:rsidR="0D5FCADF" w:rsidRPr="48CCD98B">
        <w:rPr>
          <w:rFonts w:ascii="Bookman Old Style" w:hAnsi="Bookman Old Style" w:cs="Arial"/>
        </w:rPr>
        <w:t xml:space="preserve"> </w:t>
      </w:r>
      <w:r w:rsidR="4B5BB175" w:rsidRPr="48CCD98B">
        <w:rPr>
          <w:rFonts w:ascii="Bookman Old Style" w:hAnsi="Bookman Old Style" w:cs="Arial"/>
        </w:rPr>
        <w:t xml:space="preserve">cuando se declara disponible para el </w:t>
      </w:r>
      <w:r w:rsidR="0D5FCADF" w:rsidRPr="48CCD98B">
        <w:rPr>
          <w:rFonts w:ascii="Bookman Old Style" w:hAnsi="Bookman Old Style" w:cs="Arial"/>
        </w:rPr>
        <w:t xml:space="preserve">despacho. </w:t>
      </w:r>
    </w:p>
    <w:p w14:paraId="5B5F070E" w14:textId="40ED0104" w:rsidR="00EA06C1" w:rsidRDefault="00EA06C1" w:rsidP="0048016B">
      <w:pPr>
        <w:spacing w:line="259" w:lineRule="auto"/>
        <w:ind w:left="0"/>
        <w:jc w:val="both"/>
        <w:rPr>
          <w:rFonts w:ascii="Bookman Old Style" w:hAnsi="Bookman Old Style" w:cs="Arial"/>
        </w:rPr>
      </w:pPr>
    </w:p>
    <w:p w14:paraId="5F4CC93F" w14:textId="7E0BE1D8" w:rsidR="00EA06C1" w:rsidRDefault="00EA06C1" w:rsidP="0048016B">
      <w:pPr>
        <w:spacing w:line="259" w:lineRule="auto"/>
        <w:ind w:left="0"/>
        <w:jc w:val="both"/>
        <w:rPr>
          <w:rFonts w:ascii="Bookman Old Style" w:hAnsi="Bookman Old Style" w:cs="Arial"/>
        </w:rPr>
      </w:pPr>
      <w:r>
        <w:rPr>
          <w:rFonts w:ascii="Bookman Old Style" w:hAnsi="Bookman Old Style" w:cs="Arial"/>
        </w:rPr>
        <w:t>Dicho lo anterior, no se encuentra que ninguna de las causales dispuestas en el artículo 93 del Código de Procedimiento Administrativo y de lo Contencioso Administrativo se han configurado</w:t>
      </w:r>
      <w:r w:rsidR="00567F20">
        <w:rPr>
          <w:rFonts w:ascii="Bookman Old Style" w:hAnsi="Bookman Old Style" w:cs="Arial"/>
        </w:rPr>
        <w:t>,</w:t>
      </w:r>
      <w:r>
        <w:rPr>
          <w:rFonts w:ascii="Bookman Old Style" w:hAnsi="Bookman Old Style" w:cs="Arial"/>
        </w:rPr>
        <w:t xml:space="preserve"> por lo que no procede</w:t>
      </w:r>
      <w:r w:rsidR="009536DB">
        <w:rPr>
          <w:rFonts w:ascii="Bookman Old Style" w:hAnsi="Bookman Old Style" w:cs="Arial"/>
        </w:rPr>
        <w:t xml:space="preserve"> la revocatoria de la norma.</w:t>
      </w:r>
    </w:p>
    <w:p w14:paraId="06AD6F84" w14:textId="4A910C59" w:rsidR="00103F74" w:rsidRDefault="002941C0" w:rsidP="0048016B">
      <w:pPr>
        <w:spacing w:line="259" w:lineRule="auto"/>
        <w:ind w:left="0"/>
        <w:jc w:val="both"/>
        <w:rPr>
          <w:rFonts w:ascii="Bookman Old Style" w:hAnsi="Bookman Old Style" w:cs="Arial"/>
        </w:rPr>
      </w:pPr>
      <w:r>
        <w:rPr>
          <w:rFonts w:ascii="Bookman Old Style" w:hAnsi="Bookman Old Style" w:cs="Arial"/>
        </w:rPr>
        <w:t>Con base en lo anterior, l</w:t>
      </w:r>
      <w:r w:rsidR="00103F74">
        <w:rPr>
          <w:rFonts w:ascii="Bookman Old Style" w:hAnsi="Bookman Old Style" w:cs="Arial"/>
        </w:rPr>
        <w:t xml:space="preserve">a Comisión de Regulación de Energía y Gas, en sesión 1236 </w:t>
      </w:r>
      <w:r w:rsidR="00D54E8B">
        <w:rPr>
          <w:rFonts w:ascii="Bookman Old Style" w:hAnsi="Bookman Old Style" w:cs="Arial"/>
        </w:rPr>
        <w:t>de 23</w:t>
      </w:r>
      <w:r w:rsidR="00D45134">
        <w:rPr>
          <w:rFonts w:ascii="Bookman Old Style" w:hAnsi="Bookman Old Style" w:cs="Arial"/>
        </w:rPr>
        <w:t xml:space="preserve"> de enero de 2023</w:t>
      </w:r>
      <w:r>
        <w:rPr>
          <w:rFonts w:ascii="Bookman Old Style" w:hAnsi="Bookman Old Style" w:cs="Arial"/>
        </w:rPr>
        <w:t xml:space="preserve">, acordó expedir esta </w:t>
      </w:r>
      <w:r w:rsidR="00232001">
        <w:rPr>
          <w:rFonts w:ascii="Bookman Old Style" w:hAnsi="Bookman Old Style" w:cs="Arial"/>
        </w:rPr>
        <w:t>r</w:t>
      </w:r>
      <w:r>
        <w:rPr>
          <w:rFonts w:ascii="Bookman Old Style" w:hAnsi="Bookman Old Style" w:cs="Arial"/>
        </w:rPr>
        <w:t>esolución</w:t>
      </w:r>
      <w:r w:rsidR="00D54E8B">
        <w:rPr>
          <w:rFonts w:ascii="Bookman Old Style" w:hAnsi="Bookman Old Style" w:cs="Arial"/>
        </w:rPr>
        <w:t>.</w:t>
      </w:r>
    </w:p>
    <w:p w14:paraId="39938700" w14:textId="6BAEEE94" w:rsidR="00837A36" w:rsidRDefault="00837A36" w:rsidP="0048016B">
      <w:pPr>
        <w:spacing w:line="259" w:lineRule="auto"/>
        <w:ind w:left="0"/>
        <w:jc w:val="both"/>
        <w:rPr>
          <w:rFonts w:ascii="Bookman Old Style" w:hAnsi="Bookman Old Style" w:cs="Arial"/>
        </w:rPr>
      </w:pPr>
    </w:p>
    <w:p w14:paraId="31038CF7" w14:textId="77777777" w:rsidR="00837A36" w:rsidRDefault="00837A36" w:rsidP="0048016B">
      <w:pPr>
        <w:spacing w:line="259" w:lineRule="auto"/>
        <w:ind w:left="0"/>
        <w:jc w:val="both"/>
        <w:rPr>
          <w:rFonts w:ascii="Bookman Old Style" w:hAnsi="Bookman Old Style" w:cs="Arial"/>
        </w:rPr>
      </w:pPr>
    </w:p>
    <w:p w14:paraId="2C6AA44B" w14:textId="77777777" w:rsidR="00A752E7" w:rsidRDefault="00A752E7" w:rsidP="001A4065">
      <w:pPr>
        <w:ind w:left="0"/>
        <w:jc w:val="both"/>
        <w:rPr>
          <w:rFonts w:ascii="Bookman Old Style" w:hAnsi="Bookman Old Style" w:cs="Arial"/>
        </w:rPr>
      </w:pPr>
    </w:p>
    <w:p w14:paraId="34151A3A" w14:textId="20EE190D" w:rsidR="00E01463" w:rsidRPr="00786978" w:rsidRDefault="00E01463" w:rsidP="007B2BC8">
      <w:pPr>
        <w:ind w:left="0"/>
        <w:jc w:val="center"/>
        <w:rPr>
          <w:rFonts w:ascii="Bookman Old Style" w:hAnsi="Bookman Old Style"/>
          <w:b/>
        </w:rPr>
      </w:pPr>
      <w:r w:rsidRPr="00786978">
        <w:rPr>
          <w:rFonts w:ascii="Bookman Old Style" w:hAnsi="Bookman Old Style"/>
          <w:b/>
        </w:rPr>
        <w:lastRenderedPageBreak/>
        <w:t>R E S U E L V E:</w:t>
      </w:r>
    </w:p>
    <w:p w14:paraId="6943C7A2" w14:textId="307D59DE" w:rsidR="00024674" w:rsidRDefault="00024674" w:rsidP="007B2BC8">
      <w:pPr>
        <w:ind w:left="0"/>
        <w:jc w:val="center"/>
        <w:rPr>
          <w:rFonts w:ascii="Bookman Old Style" w:hAnsi="Bookman Old Style"/>
          <w:b/>
        </w:rPr>
      </w:pPr>
    </w:p>
    <w:p w14:paraId="393511A8" w14:textId="77777777" w:rsidR="00024674" w:rsidRDefault="00024674" w:rsidP="00024674">
      <w:pPr>
        <w:ind w:left="0"/>
        <w:jc w:val="both"/>
        <w:rPr>
          <w:rFonts w:ascii="Bookman Old Style" w:hAnsi="Bookman Old Style" w:cs="Arial"/>
          <w:b/>
        </w:rPr>
      </w:pPr>
      <w:r w:rsidRPr="00E01CCD">
        <w:rPr>
          <w:rFonts w:ascii="Bookman Old Style" w:hAnsi="Bookman Old Style"/>
          <w:b/>
        </w:rPr>
        <w:t xml:space="preserve">ARTÍCULO </w:t>
      </w:r>
      <w:r>
        <w:rPr>
          <w:rFonts w:ascii="Bookman Old Style" w:hAnsi="Bookman Old Style"/>
          <w:b/>
        </w:rPr>
        <w:t>1</w:t>
      </w:r>
      <w:r w:rsidRPr="00E01CCD">
        <w:rPr>
          <w:rFonts w:ascii="Bookman Old Style" w:hAnsi="Bookman Old Style"/>
          <w:b/>
        </w:rPr>
        <w:t>.</w:t>
      </w:r>
      <w:r>
        <w:rPr>
          <w:rFonts w:ascii="Bookman Old Style" w:hAnsi="Bookman Old Style"/>
        </w:rPr>
        <w:t>-</w:t>
      </w:r>
      <w:r>
        <w:rPr>
          <w:rFonts w:ascii="Bookman Old Style" w:hAnsi="Bookman Old Style"/>
        </w:rPr>
        <w:tab/>
      </w:r>
      <w:r>
        <w:rPr>
          <w:rFonts w:ascii="Bookman Old Style" w:hAnsi="Bookman Old Style" w:cs="Arial"/>
        </w:rPr>
        <w:t xml:space="preserve">No acceder a la solicitud de revocatoria directa interpuesta por el representante de la empresa </w:t>
      </w:r>
      <w:r w:rsidRPr="00B578BD">
        <w:rPr>
          <w:rFonts w:ascii="Bookman Old Style" w:hAnsi="Bookman Old Style" w:cs="Arial"/>
        </w:rPr>
        <w:t>TERMOBARRANQUILLA S.A. E.S.P</w:t>
      </w:r>
      <w:r>
        <w:rPr>
          <w:rFonts w:ascii="Bookman Old Style" w:hAnsi="Bookman Old Style" w:cs="Arial"/>
        </w:rPr>
        <w:t>,</w:t>
      </w:r>
      <w:r w:rsidRPr="00B578BD">
        <w:rPr>
          <w:rFonts w:ascii="Bookman Old Style" w:hAnsi="Bookman Old Style" w:cs="Arial"/>
        </w:rPr>
        <w:t xml:space="preserve"> </w:t>
      </w:r>
      <w:r>
        <w:rPr>
          <w:rFonts w:ascii="Bookman Old Style" w:hAnsi="Bookman Old Style" w:cs="Arial"/>
        </w:rPr>
        <w:t>por las razones expuestas en la parte motiva de este proveído.</w:t>
      </w:r>
      <w:r w:rsidRPr="00E01CCD">
        <w:rPr>
          <w:rFonts w:ascii="Bookman Old Style" w:hAnsi="Bookman Old Style" w:cs="Arial"/>
          <w:b/>
        </w:rPr>
        <w:t xml:space="preserve"> </w:t>
      </w:r>
    </w:p>
    <w:p w14:paraId="43F32A34" w14:textId="77777777" w:rsidR="00024674" w:rsidRDefault="00024674" w:rsidP="00024674">
      <w:pPr>
        <w:ind w:left="0"/>
        <w:jc w:val="both"/>
        <w:rPr>
          <w:rFonts w:ascii="Bookman Old Style" w:hAnsi="Bookman Old Style" w:cs="Arial"/>
          <w:b/>
        </w:rPr>
      </w:pPr>
    </w:p>
    <w:p w14:paraId="62A6F45D" w14:textId="210FC078" w:rsidR="00024674" w:rsidRDefault="00024674" w:rsidP="00024674">
      <w:pPr>
        <w:ind w:left="0"/>
        <w:jc w:val="both"/>
        <w:rPr>
          <w:rFonts w:ascii="Bookman Old Style" w:hAnsi="Bookman Old Style" w:cs="Arial"/>
          <w:b/>
        </w:rPr>
      </w:pPr>
      <w:r w:rsidRPr="00E01CCD">
        <w:rPr>
          <w:rFonts w:ascii="Bookman Old Style" w:hAnsi="Bookman Old Style"/>
          <w:b/>
        </w:rPr>
        <w:t xml:space="preserve">ARTÍCULO </w:t>
      </w:r>
      <w:r>
        <w:rPr>
          <w:rFonts w:ascii="Bookman Old Style" w:hAnsi="Bookman Old Style"/>
          <w:b/>
        </w:rPr>
        <w:t>2</w:t>
      </w:r>
      <w:r w:rsidRPr="00E01CCD">
        <w:rPr>
          <w:rFonts w:ascii="Bookman Old Style" w:hAnsi="Bookman Old Style"/>
          <w:b/>
        </w:rPr>
        <w:t>.</w:t>
      </w:r>
      <w:r>
        <w:rPr>
          <w:rFonts w:ascii="Bookman Old Style" w:hAnsi="Bookman Old Style"/>
        </w:rPr>
        <w:t>-</w:t>
      </w:r>
      <w:r>
        <w:rPr>
          <w:rFonts w:ascii="Bookman Old Style" w:hAnsi="Bookman Old Style"/>
        </w:rPr>
        <w:tab/>
      </w:r>
      <w:r>
        <w:rPr>
          <w:rFonts w:ascii="Bookman Old Style" w:hAnsi="Bookman Old Style" w:cs="Arial"/>
        </w:rPr>
        <w:t xml:space="preserve">No acceder a la solicitud subsidiaria de suspensión de la Resolución CREG </w:t>
      </w:r>
      <w:r w:rsidR="00767431">
        <w:rPr>
          <w:rFonts w:ascii="Bookman Old Style" w:hAnsi="Bookman Old Style" w:cs="Arial"/>
        </w:rPr>
        <w:t>101028</w:t>
      </w:r>
      <w:r>
        <w:rPr>
          <w:rFonts w:ascii="Bookman Old Style" w:hAnsi="Bookman Old Style" w:cs="Arial"/>
        </w:rPr>
        <w:t xml:space="preserve"> de 202</w:t>
      </w:r>
      <w:r w:rsidR="00767431">
        <w:rPr>
          <w:rFonts w:ascii="Bookman Old Style" w:hAnsi="Bookman Old Style" w:cs="Arial"/>
        </w:rPr>
        <w:t>2</w:t>
      </w:r>
      <w:r>
        <w:rPr>
          <w:rFonts w:ascii="Bookman Old Style" w:hAnsi="Bookman Old Style" w:cs="Arial"/>
        </w:rPr>
        <w:t xml:space="preserve">, interpuesta por el representante de la empresa </w:t>
      </w:r>
      <w:r w:rsidRPr="00B578BD">
        <w:rPr>
          <w:rFonts w:ascii="Bookman Old Style" w:hAnsi="Bookman Old Style" w:cs="Arial"/>
        </w:rPr>
        <w:t>TERMOBARRANQUILLA S.A. E.S.P</w:t>
      </w:r>
      <w:r>
        <w:rPr>
          <w:rFonts w:ascii="Bookman Old Style" w:hAnsi="Bookman Old Style" w:cs="Arial"/>
        </w:rPr>
        <w:t>,</w:t>
      </w:r>
      <w:r w:rsidRPr="00B578BD">
        <w:rPr>
          <w:rFonts w:ascii="Bookman Old Style" w:hAnsi="Bookman Old Style" w:cs="Arial"/>
        </w:rPr>
        <w:t xml:space="preserve"> </w:t>
      </w:r>
      <w:r>
        <w:rPr>
          <w:rFonts w:ascii="Bookman Old Style" w:hAnsi="Bookman Old Style" w:cs="Arial"/>
        </w:rPr>
        <w:t>por las razones expuestas en la parte motiva de este proveído.</w:t>
      </w:r>
      <w:r w:rsidRPr="00E01CCD">
        <w:rPr>
          <w:rFonts w:ascii="Bookman Old Style" w:hAnsi="Bookman Old Style" w:cs="Arial"/>
          <w:b/>
        </w:rPr>
        <w:t xml:space="preserve"> </w:t>
      </w:r>
    </w:p>
    <w:p w14:paraId="39F98E12" w14:textId="77777777" w:rsidR="00024674" w:rsidRPr="008D6B56" w:rsidRDefault="00024674" w:rsidP="00024674">
      <w:pPr>
        <w:ind w:left="0"/>
        <w:jc w:val="both"/>
        <w:rPr>
          <w:rFonts w:ascii="Bookman Old Style" w:hAnsi="Bookman Old Style" w:cs="Arial"/>
          <w:b/>
        </w:rPr>
      </w:pPr>
    </w:p>
    <w:p w14:paraId="35CC0CCD" w14:textId="6CA6F5B1" w:rsidR="00024674" w:rsidRPr="00E01CCD" w:rsidRDefault="00024674" w:rsidP="00024674">
      <w:pPr>
        <w:ind w:left="0"/>
        <w:jc w:val="both"/>
        <w:rPr>
          <w:rFonts w:ascii="Bookman Old Style" w:hAnsi="Bookman Old Style" w:cs="Arial"/>
        </w:rPr>
      </w:pPr>
      <w:r>
        <w:rPr>
          <w:rFonts w:ascii="Bookman Old Style" w:hAnsi="Bookman Old Style"/>
          <w:b/>
        </w:rPr>
        <w:t>ARTÍCULO 3</w:t>
      </w:r>
      <w:r w:rsidRPr="00E01CCD">
        <w:rPr>
          <w:rFonts w:ascii="Bookman Old Style" w:hAnsi="Bookman Old Style"/>
          <w:b/>
        </w:rPr>
        <w:t>.</w:t>
      </w:r>
      <w:r>
        <w:rPr>
          <w:rFonts w:ascii="Bookman Old Style" w:hAnsi="Bookman Old Style"/>
        </w:rPr>
        <w:t xml:space="preserve">- </w:t>
      </w:r>
      <w:r w:rsidRPr="00E01CCD">
        <w:rPr>
          <w:rFonts w:ascii="Bookman Old Style" w:hAnsi="Bookman Old Style" w:cs="Arial"/>
        </w:rPr>
        <w:t>N</w:t>
      </w:r>
      <w:r>
        <w:rPr>
          <w:rFonts w:ascii="Bookman Old Style" w:hAnsi="Bookman Old Style" w:cs="Arial"/>
        </w:rPr>
        <w:t xml:space="preserve">otificar al señor </w:t>
      </w:r>
      <w:r w:rsidRPr="00B578BD">
        <w:rPr>
          <w:rFonts w:ascii="Bookman Old Style" w:hAnsi="Bookman Old Style" w:cs="Arial"/>
        </w:rPr>
        <w:t>Luis Miguel Fer</w:t>
      </w:r>
      <w:r>
        <w:rPr>
          <w:rFonts w:ascii="Bookman Old Style" w:hAnsi="Bookman Old Style" w:cs="Arial"/>
        </w:rPr>
        <w:t>ná</w:t>
      </w:r>
      <w:r w:rsidRPr="00B578BD">
        <w:rPr>
          <w:rFonts w:ascii="Bookman Old Style" w:hAnsi="Bookman Old Style" w:cs="Arial"/>
        </w:rPr>
        <w:t xml:space="preserve">ndez </w:t>
      </w:r>
      <w:proofErr w:type="spellStart"/>
      <w:r w:rsidRPr="00B578BD">
        <w:rPr>
          <w:rFonts w:ascii="Bookman Old Style" w:hAnsi="Bookman Old Style" w:cs="Arial"/>
        </w:rPr>
        <w:t>Zaher</w:t>
      </w:r>
      <w:proofErr w:type="spellEnd"/>
      <w:r w:rsidRPr="00B578BD">
        <w:rPr>
          <w:rFonts w:ascii="Bookman Old Style" w:hAnsi="Bookman Old Style" w:cs="Arial"/>
        </w:rPr>
        <w:t xml:space="preserve"> </w:t>
      </w:r>
      <w:r>
        <w:rPr>
          <w:rFonts w:ascii="Bookman Old Style" w:hAnsi="Bookman Old Style" w:cs="Arial"/>
        </w:rPr>
        <w:t>en su calidad de representante legal de la empresa TERMOBARRANQUILLA S.A. E.S.P., o a quien haga sus veces, d</w:t>
      </w:r>
      <w:r w:rsidRPr="00E01CCD">
        <w:rPr>
          <w:rFonts w:ascii="Bookman Old Style" w:hAnsi="Bookman Old Style" w:cs="Arial"/>
        </w:rPr>
        <w:t xml:space="preserve">el contenido de </w:t>
      </w:r>
      <w:r>
        <w:rPr>
          <w:rFonts w:ascii="Bookman Old Style" w:hAnsi="Bookman Old Style" w:cs="Arial"/>
        </w:rPr>
        <w:t>la presente</w:t>
      </w:r>
      <w:r w:rsidRPr="00E01CCD">
        <w:rPr>
          <w:rFonts w:ascii="Bookman Old Style" w:hAnsi="Bookman Old Style" w:cs="Arial"/>
        </w:rPr>
        <w:t xml:space="preserve"> resolución</w:t>
      </w:r>
      <w:r>
        <w:rPr>
          <w:rFonts w:ascii="Bookman Old Style" w:hAnsi="Bookman Old Style" w:cs="Arial"/>
        </w:rPr>
        <w:t xml:space="preserve">, conforme con lo </w:t>
      </w:r>
      <w:r w:rsidR="0044345E">
        <w:rPr>
          <w:rFonts w:ascii="Bookman Old Style" w:hAnsi="Bookman Old Style" w:cs="Arial"/>
        </w:rPr>
        <w:t>dispuesto</w:t>
      </w:r>
      <w:r w:rsidRPr="0041263B">
        <w:rPr>
          <w:rFonts w:ascii="Bookman Old Style" w:hAnsi="Bookman Old Style" w:cs="Arial"/>
        </w:rPr>
        <w:t xml:space="preserve"> en los artículos 67 y 69 del Código de Procedimiento Administrativo y de lo Contencioso Administrativo.</w:t>
      </w:r>
      <w:r w:rsidRPr="00E01CCD">
        <w:rPr>
          <w:rFonts w:ascii="Bookman Old Style" w:hAnsi="Bookman Old Style" w:cs="Arial"/>
        </w:rPr>
        <w:t xml:space="preserve"> </w:t>
      </w:r>
    </w:p>
    <w:p w14:paraId="7013DA27" w14:textId="77777777" w:rsidR="00024674" w:rsidRPr="00E01CCD" w:rsidRDefault="00024674" w:rsidP="00024674">
      <w:pPr>
        <w:ind w:left="0"/>
        <w:jc w:val="both"/>
        <w:rPr>
          <w:rFonts w:ascii="Bookman Old Style" w:hAnsi="Bookman Old Style"/>
        </w:rPr>
      </w:pPr>
    </w:p>
    <w:p w14:paraId="44A50786" w14:textId="77777777" w:rsidR="00024674" w:rsidRPr="00E01CCD" w:rsidRDefault="00024674" w:rsidP="00024674">
      <w:pPr>
        <w:ind w:left="0"/>
        <w:jc w:val="both"/>
        <w:rPr>
          <w:rFonts w:ascii="Bookman Old Style" w:hAnsi="Bookman Old Style" w:cs="Arial"/>
        </w:rPr>
      </w:pPr>
      <w:r>
        <w:rPr>
          <w:rFonts w:ascii="Bookman Old Style" w:hAnsi="Bookman Old Style"/>
          <w:b/>
        </w:rPr>
        <w:t>ARTÍCULO 4.-</w:t>
      </w:r>
      <w:r>
        <w:rPr>
          <w:rFonts w:ascii="Bookman Old Style" w:hAnsi="Bookman Old Style"/>
          <w:b/>
        </w:rPr>
        <w:tab/>
      </w:r>
      <w:r>
        <w:rPr>
          <w:rFonts w:ascii="Bookman Old Style" w:hAnsi="Bookman Old Style" w:cs="Arial"/>
        </w:rPr>
        <w:t xml:space="preserve">Contra lo dispuesto en la presente resolución </w:t>
      </w:r>
      <w:r w:rsidRPr="00E01CCD">
        <w:rPr>
          <w:rFonts w:ascii="Bookman Old Style" w:hAnsi="Bookman Old Style" w:cs="Arial"/>
        </w:rPr>
        <w:t>no procede recurso alguno.</w:t>
      </w:r>
    </w:p>
    <w:p w14:paraId="53ED66D3" w14:textId="77777777" w:rsidR="00024674" w:rsidRPr="00576D9E" w:rsidRDefault="00024674" w:rsidP="007B2BC8">
      <w:pPr>
        <w:ind w:left="0"/>
        <w:jc w:val="center"/>
        <w:rPr>
          <w:rFonts w:ascii="Bookman Old Style" w:hAnsi="Bookman Old Style"/>
          <w:b/>
        </w:rPr>
      </w:pPr>
    </w:p>
    <w:p w14:paraId="2D940BBF" w14:textId="0CE76797" w:rsidR="007B2BC8" w:rsidRPr="00DE6FA2" w:rsidRDefault="007B2BC8" w:rsidP="000E412F">
      <w:pPr>
        <w:spacing w:before="120"/>
        <w:ind w:left="0"/>
        <w:jc w:val="both"/>
        <w:rPr>
          <w:rFonts w:ascii="Bookman Old Style" w:hAnsi="Bookman Old Style"/>
          <w:lang w:val="es-CO"/>
        </w:rPr>
      </w:pPr>
    </w:p>
    <w:p w14:paraId="75BA5F4D" w14:textId="43483806" w:rsidR="00E01463" w:rsidRDefault="00B74A24" w:rsidP="00A023FE">
      <w:pPr>
        <w:ind w:left="0"/>
        <w:jc w:val="center"/>
        <w:rPr>
          <w:rFonts w:ascii="Bookman Old Style" w:hAnsi="Bookman Old Style" w:cs="Arial"/>
          <w:b/>
        </w:rPr>
      </w:pPr>
      <w:r>
        <w:rPr>
          <w:rFonts w:ascii="Bookman Old Style" w:hAnsi="Bookman Old Style" w:cs="Arial"/>
          <w:b/>
        </w:rPr>
        <w:t xml:space="preserve">NOTIFIQUE </w:t>
      </w:r>
      <w:r w:rsidR="00E01463" w:rsidRPr="00576D9E">
        <w:rPr>
          <w:rFonts w:ascii="Bookman Old Style" w:hAnsi="Bookman Old Style" w:cs="Arial"/>
          <w:b/>
        </w:rPr>
        <w:t>PUBLÍQUESE Y CÚMPLASE</w:t>
      </w:r>
    </w:p>
    <w:p w14:paraId="0BA4A297" w14:textId="12010C00" w:rsidR="007347BA" w:rsidRDefault="007347BA" w:rsidP="00A023FE">
      <w:pPr>
        <w:ind w:left="0"/>
        <w:jc w:val="center"/>
        <w:rPr>
          <w:lang w:eastAsia="ar-SA"/>
        </w:rPr>
      </w:pPr>
    </w:p>
    <w:p w14:paraId="4D361180" w14:textId="151AC90F" w:rsidR="00F92FB1" w:rsidRPr="00C82402" w:rsidRDefault="00C82402" w:rsidP="00C82402">
      <w:pPr>
        <w:ind w:left="0"/>
        <w:rPr>
          <w:rFonts w:ascii="Bookman Old Style" w:hAnsi="Bookman Old Style"/>
          <w:lang w:eastAsia="ar-SA"/>
        </w:rPr>
      </w:pPr>
      <w:r w:rsidRPr="00910F55">
        <w:rPr>
          <w:rFonts w:ascii="Bookman Old Style" w:hAnsi="Bookman Old Style" w:cs="Arial"/>
        </w:rPr>
        <w:t>Dada en Bogotá, D.C</w:t>
      </w:r>
      <w:r>
        <w:rPr>
          <w:lang w:eastAsia="ar-SA"/>
        </w:rPr>
        <w:t>. a</w:t>
      </w:r>
      <w:r w:rsidR="00837A36">
        <w:rPr>
          <w:lang w:eastAsia="ar-SA"/>
        </w:rPr>
        <w:t xml:space="preserve"> los 23 días del mes de enero de 2023.</w:t>
      </w:r>
    </w:p>
    <w:p w14:paraId="374E013E" w14:textId="439C3025" w:rsidR="00F92FB1" w:rsidRDefault="00F92FB1" w:rsidP="00A023FE">
      <w:pPr>
        <w:ind w:left="0"/>
        <w:jc w:val="center"/>
        <w:rPr>
          <w:lang w:eastAsia="ar-SA"/>
        </w:rPr>
      </w:pPr>
    </w:p>
    <w:p w14:paraId="59EFD355" w14:textId="77777777" w:rsidR="00C82402" w:rsidRPr="00576D9E" w:rsidRDefault="00C82402" w:rsidP="00A023FE">
      <w:pPr>
        <w:ind w:left="0"/>
        <w:jc w:val="center"/>
        <w:rPr>
          <w:lang w:eastAsia="ar-SA"/>
        </w:rPr>
      </w:pPr>
    </w:p>
    <w:p w14:paraId="1E27221B" w14:textId="3F9FFDC5" w:rsidR="37C1C4C5" w:rsidRDefault="37C1C4C5" w:rsidP="37C1C4C5">
      <w:pPr>
        <w:ind w:left="0"/>
        <w:jc w:val="center"/>
        <w:rPr>
          <w:rFonts w:ascii="Bookman Old Style" w:hAnsi="Bookman Old Style" w:cs="Arial"/>
          <w:b/>
          <w:bCs/>
        </w:rPr>
      </w:pPr>
    </w:p>
    <w:p w14:paraId="77D746AE" w14:textId="77777777" w:rsidR="00837A36" w:rsidRDefault="00837A36" w:rsidP="37C1C4C5">
      <w:pPr>
        <w:ind w:left="0"/>
        <w:jc w:val="center"/>
        <w:rPr>
          <w:rFonts w:ascii="Bookman Old Style" w:hAnsi="Bookman Old Style" w:cs="Arial"/>
          <w:b/>
          <w:bCs/>
        </w:rPr>
      </w:pPr>
    </w:p>
    <w:p w14:paraId="1FB3E229" w14:textId="5A6E879F" w:rsidR="2DB39E1B" w:rsidRDefault="2DB39E1B" w:rsidP="2DB39E1B">
      <w:pPr>
        <w:ind w:left="0"/>
        <w:jc w:val="center"/>
        <w:rPr>
          <w:rFonts w:ascii="Bookman Old Style" w:hAnsi="Bookman Old Style" w:cs="Arial"/>
          <w:b/>
          <w:bCs/>
        </w:rPr>
      </w:pPr>
    </w:p>
    <w:tbl>
      <w:tblPr>
        <w:tblW w:w="9639" w:type="dxa"/>
        <w:tblLayout w:type="fixed"/>
        <w:tblLook w:val="06A0" w:firstRow="1" w:lastRow="0" w:firstColumn="1" w:lastColumn="0" w:noHBand="1" w:noVBand="1"/>
      </w:tblPr>
      <w:tblGrid>
        <w:gridCol w:w="4253"/>
        <w:gridCol w:w="5386"/>
      </w:tblGrid>
      <w:tr w:rsidR="2DB39E1B" w14:paraId="2195EEF6" w14:textId="77777777" w:rsidTr="00C82402">
        <w:tc>
          <w:tcPr>
            <w:tcW w:w="4253" w:type="dxa"/>
          </w:tcPr>
          <w:p w14:paraId="6CD650A7" w14:textId="0A234CDF" w:rsidR="2DB39E1B" w:rsidRDefault="00E629BE" w:rsidP="005F3C54">
            <w:pPr>
              <w:ind w:left="0" w:firstLine="28"/>
              <w:jc w:val="center"/>
              <w:rPr>
                <w:rFonts w:ascii="Bookman Old Style" w:eastAsia="Bookman Old Style" w:hAnsi="Bookman Old Style" w:cs="Bookman Old Style"/>
                <w:b/>
                <w:bCs/>
                <w:lang w:val="es"/>
              </w:rPr>
            </w:pPr>
            <w:r>
              <w:rPr>
                <w:rFonts w:ascii="Bookman Old Style" w:eastAsia="Bookman Old Style" w:hAnsi="Bookman Old Style" w:cs="Bookman Old Style"/>
                <w:b/>
                <w:bCs/>
                <w:lang w:val="es"/>
              </w:rPr>
              <w:t>CARLOS ADRIAN CORREA</w:t>
            </w:r>
            <w:r w:rsidR="00162B7B">
              <w:rPr>
                <w:rFonts w:ascii="Bookman Old Style" w:eastAsia="Bookman Old Style" w:hAnsi="Bookman Old Style" w:cs="Bookman Old Style"/>
                <w:b/>
                <w:bCs/>
                <w:lang w:val="es"/>
              </w:rPr>
              <w:t xml:space="preserve"> FLOREZ</w:t>
            </w:r>
          </w:p>
          <w:p w14:paraId="4877DD14" w14:textId="639919B3" w:rsidR="2DB39E1B" w:rsidRDefault="2DB39E1B" w:rsidP="005F3C54">
            <w:pPr>
              <w:ind w:left="0" w:firstLine="28"/>
              <w:jc w:val="center"/>
              <w:rPr>
                <w:rFonts w:ascii="Bookman Old Style" w:eastAsia="Bookman Old Style" w:hAnsi="Bookman Old Style" w:cs="Bookman Old Style"/>
                <w:lang w:val="es"/>
              </w:rPr>
            </w:pPr>
            <w:r w:rsidRPr="7F07D81E">
              <w:rPr>
                <w:rFonts w:ascii="Bookman Old Style" w:eastAsia="Bookman Old Style" w:hAnsi="Bookman Old Style" w:cs="Bookman Old Style"/>
                <w:lang w:val="es"/>
              </w:rPr>
              <w:t>Ministr</w:t>
            </w:r>
            <w:r w:rsidR="00162B7B">
              <w:rPr>
                <w:rFonts w:ascii="Bookman Old Style" w:eastAsia="Bookman Old Style" w:hAnsi="Bookman Old Style" w:cs="Bookman Old Style"/>
                <w:lang w:val="es"/>
              </w:rPr>
              <w:t>o</w:t>
            </w:r>
            <w:r w:rsidR="6A71BD14" w:rsidRPr="7F07D81E">
              <w:rPr>
                <w:rFonts w:ascii="Bookman Old Style" w:eastAsia="Bookman Old Style" w:hAnsi="Bookman Old Style" w:cs="Bookman Old Style"/>
                <w:lang w:val="es"/>
              </w:rPr>
              <w:t xml:space="preserve"> de</w:t>
            </w:r>
            <w:r w:rsidRPr="2DB39E1B">
              <w:rPr>
                <w:rFonts w:ascii="Bookman Old Style" w:eastAsia="Bookman Old Style" w:hAnsi="Bookman Old Style" w:cs="Bookman Old Style"/>
                <w:lang w:val="es"/>
              </w:rPr>
              <w:t xml:space="preserve"> Minas y Energí</w:t>
            </w:r>
            <w:r w:rsidR="00162B7B">
              <w:rPr>
                <w:rFonts w:ascii="Bookman Old Style" w:eastAsia="Bookman Old Style" w:hAnsi="Bookman Old Style" w:cs="Bookman Old Style"/>
                <w:lang w:val="es"/>
              </w:rPr>
              <w:t>a</w:t>
            </w:r>
            <w:r w:rsidR="00DE2274">
              <w:rPr>
                <w:rFonts w:ascii="Bookman Old Style" w:eastAsia="Bookman Old Style" w:hAnsi="Bookman Old Style" w:cs="Bookman Old Style"/>
                <w:lang w:val="es"/>
              </w:rPr>
              <w:t xml:space="preserve"> </w:t>
            </w:r>
            <w:r w:rsidR="00162B7B">
              <w:rPr>
                <w:rFonts w:ascii="Bookman Old Style" w:eastAsia="Bookman Old Style" w:hAnsi="Bookman Old Style" w:cs="Bookman Old Style"/>
                <w:lang w:val="es"/>
              </w:rPr>
              <w:t>(e)</w:t>
            </w:r>
          </w:p>
          <w:p w14:paraId="1088C141" w14:textId="4C43BD0C" w:rsidR="2DB39E1B" w:rsidRDefault="2DB39E1B" w:rsidP="005F3C54">
            <w:pPr>
              <w:ind w:left="0" w:firstLine="28"/>
              <w:jc w:val="center"/>
              <w:rPr>
                <w:rFonts w:ascii="Bookman Old Style" w:eastAsia="Bookman Old Style" w:hAnsi="Bookman Old Style" w:cs="Bookman Old Style"/>
                <w:lang w:val="es"/>
              </w:rPr>
            </w:pPr>
            <w:r w:rsidRPr="2DB39E1B">
              <w:rPr>
                <w:rFonts w:ascii="Bookman Old Style" w:eastAsia="Bookman Old Style" w:hAnsi="Bookman Old Style" w:cs="Bookman Old Style"/>
                <w:lang w:val="es"/>
              </w:rPr>
              <w:t>Presidente</w:t>
            </w:r>
          </w:p>
        </w:tc>
        <w:tc>
          <w:tcPr>
            <w:tcW w:w="5386" w:type="dxa"/>
          </w:tcPr>
          <w:p w14:paraId="5337DB0A" w14:textId="671F3CE5" w:rsidR="2DB39E1B" w:rsidRDefault="00DB6517" w:rsidP="005F3C54">
            <w:pPr>
              <w:ind w:left="0" w:firstLine="28"/>
              <w:jc w:val="center"/>
              <w:rPr>
                <w:rFonts w:ascii="Bookman Old Style" w:eastAsia="Bookman Old Style" w:hAnsi="Bookman Old Style" w:cs="Bookman Old Style"/>
                <w:b/>
                <w:bCs/>
                <w:lang w:val="es"/>
              </w:rPr>
            </w:pPr>
            <w:r>
              <w:rPr>
                <w:rFonts w:ascii="Bookman Old Style" w:eastAsia="Bookman Old Style" w:hAnsi="Bookman Old Style" w:cs="Bookman Old Style"/>
                <w:b/>
                <w:bCs/>
                <w:lang w:val="es"/>
              </w:rPr>
              <w:t>JOSE FERNANDO PRADA RIOS</w:t>
            </w:r>
          </w:p>
          <w:p w14:paraId="491374E8" w14:textId="781F126C" w:rsidR="2DB39E1B" w:rsidRDefault="2DB39E1B" w:rsidP="005F3C54">
            <w:pPr>
              <w:ind w:left="0" w:firstLine="28"/>
              <w:jc w:val="center"/>
              <w:rPr>
                <w:rFonts w:ascii="Bookman Old Style" w:eastAsia="Bookman Old Style" w:hAnsi="Bookman Old Style" w:cs="Bookman Old Style"/>
                <w:lang w:val="es"/>
              </w:rPr>
            </w:pPr>
            <w:r w:rsidRPr="2DB39E1B">
              <w:rPr>
                <w:rFonts w:ascii="Bookman Old Style" w:eastAsia="Bookman Old Style" w:hAnsi="Bookman Old Style" w:cs="Bookman Old Style"/>
                <w:lang w:val="es"/>
              </w:rPr>
              <w:t>Director Ejecutivo</w:t>
            </w:r>
          </w:p>
        </w:tc>
      </w:tr>
    </w:tbl>
    <w:p w14:paraId="035CC7CE" w14:textId="2D883449" w:rsidR="2DB39E1B" w:rsidRDefault="2DB39E1B" w:rsidP="2DB39E1B">
      <w:pPr>
        <w:ind w:left="0"/>
        <w:jc w:val="center"/>
        <w:rPr>
          <w:rFonts w:ascii="Bookman Old Style" w:hAnsi="Bookman Old Style" w:cs="Arial"/>
          <w:b/>
          <w:bCs/>
        </w:rPr>
      </w:pPr>
    </w:p>
    <w:p w14:paraId="3DBE676B" w14:textId="16F34503" w:rsidR="007800E7" w:rsidRDefault="007800E7" w:rsidP="009D6B50">
      <w:pPr>
        <w:ind w:left="0"/>
        <w:rPr>
          <w:rFonts w:ascii="Bookman Old Style" w:hAnsi="Bookman Old Style" w:cs="Arial"/>
        </w:rPr>
      </w:pPr>
    </w:p>
    <w:sectPr w:rsidR="007800E7" w:rsidSect="00554720">
      <w:headerReference w:type="default" r:id="rId14"/>
      <w:headerReference w:type="first" r:id="rId15"/>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A769F" w14:textId="77777777" w:rsidR="00D566DF" w:rsidRDefault="00D566DF">
      <w:r>
        <w:separator/>
      </w:r>
    </w:p>
  </w:endnote>
  <w:endnote w:type="continuationSeparator" w:id="0">
    <w:p w14:paraId="104BE752" w14:textId="77777777" w:rsidR="00D566DF" w:rsidRDefault="00D566DF">
      <w:r>
        <w:continuationSeparator/>
      </w:r>
    </w:p>
  </w:endnote>
  <w:endnote w:type="continuationNotice" w:id="1">
    <w:p w14:paraId="5743C5B8" w14:textId="77777777" w:rsidR="00D566DF" w:rsidRDefault="00D5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enturyGothic">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C67D" w14:textId="77777777" w:rsidR="00D566DF" w:rsidRDefault="00D566DF">
      <w:r>
        <w:separator/>
      </w:r>
    </w:p>
  </w:footnote>
  <w:footnote w:type="continuationSeparator" w:id="0">
    <w:p w14:paraId="71E6A294" w14:textId="77777777" w:rsidR="00D566DF" w:rsidRDefault="00D566DF">
      <w:r>
        <w:continuationSeparator/>
      </w:r>
    </w:p>
  </w:footnote>
  <w:footnote w:type="continuationNotice" w:id="1">
    <w:p w14:paraId="40149553" w14:textId="77777777" w:rsidR="00D566DF" w:rsidRDefault="00D566DF"/>
  </w:footnote>
  <w:footnote w:id="2">
    <w:p w14:paraId="273B2DEA" w14:textId="77777777" w:rsidR="00FD01CD" w:rsidRDefault="00FD01CD" w:rsidP="00FD01CD">
      <w:pPr>
        <w:pStyle w:val="Textonotapie"/>
      </w:pPr>
      <w:r>
        <w:rPr>
          <w:rStyle w:val="Refdenotaalpie"/>
        </w:rPr>
        <w:footnoteRef/>
      </w:r>
      <w:r>
        <w:t xml:space="preserve"> Sobre la disponibilidad de combustibles la regla general definida en el artículo 44 de la Resolución CREG 071 de 2006 es la siguiente: “</w:t>
      </w:r>
      <w:r w:rsidRPr="00CD74EB">
        <w:rPr>
          <w:i/>
          <w:iCs/>
        </w:rPr>
        <w:t>Los contratos de suministro de combustibles y transporte en firme de gas natural, así como los mecanismos adicionales que emplee el agente generador para sus plantas y/o unidades de generación térmica, deben garantizar el respaldo de las Obligaciones de Energía Firme de un agente generador. El esquema de atención de las necesidades de combustible de la planta y/o unidad de generación puede incluir contratos en firme de suministro y transporte; almacenamiento e inventarios, Contratos de Respaldo, contratos del mercado secundario de suministro y transporte de gas, según sea el caso</w:t>
      </w:r>
      <w:r>
        <w:t>”</w:t>
      </w:r>
      <w:r w:rsidRPr="0072481A">
        <w:t>.</w:t>
      </w:r>
    </w:p>
  </w:footnote>
  <w:footnote w:id="3">
    <w:p w14:paraId="245D2C52" w14:textId="77777777" w:rsidR="00FD01CD" w:rsidRDefault="00FD01CD" w:rsidP="00FD01CD">
      <w:pPr>
        <w:pStyle w:val="Textonotapie"/>
      </w:pPr>
      <w:r>
        <w:rPr>
          <w:rStyle w:val="Refdenotaalpie"/>
        </w:rPr>
        <w:footnoteRef/>
      </w:r>
      <w:r>
        <w:t xml:space="preserve"> Definido en la Resolución 034 de 2001, modificada por la Resolución CREG 044 de 2020, en los siguientes términos “</w:t>
      </w:r>
      <w:r w:rsidRPr="00AD6073">
        <w:rPr>
          <w:i/>
          <w:iCs/>
        </w:rPr>
        <w:t>Es el valor reconocido como Costo de Arranque-Parada asociado con la generación de seguridad fuera de mérito, que será igual al valor del Precio de Arranque-Parada ofertado por el agente generador de acuerdo con la configuración correspondiente a la Capacidad Efectiva Neta de conformidad con lo establecido en la Resolución CREG 051 de 2009</w:t>
      </w:r>
      <w:r>
        <w:t>.”</w:t>
      </w:r>
    </w:p>
  </w:footnote>
  <w:footnote w:id="4">
    <w:p w14:paraId="29C916C2" w14:textId="0FFDD9CF" w:rsidR="003F7907" w:rsidRPr="00A91EE1" w:rsidRDefault="003F7907" w:rsidP="003F7907">
      <w:pPr>
        <w:pStyle w:val="Textonotapie"/>
        <w:rPr>
          <w:rFonts w:cs="Arial"/>
          <w:sz w:val="16"/>
          <w:szCs w:val="16"/>
        </w:rPr>
      </w:pPr>
      <w:r w:rsidRPr="00A91EE1">
        <w:rPr>
          <w:rStyle w:val="Refdenotaalpie"/>
          <w:rFonts w:cs="Arial"/>
          <w:sz w:val="16"/>
          <w:szCs w:val="16"/>
        </w:rPr>
        <w:footnoteRef/>
      </w:r>
      <w:r w:rsidRPr="00A91EE1">
        <w:rPr>
          <w:rFonts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w:t>
      </w:r>
      <w:r w:rsidR="00C94D67">
        <w:rPr>
          <w:rFonts w:cs="Arial"/>
          <w:sz w:val="16"/>
          <w:szCs w:val="16"/>
        </w:rPr>
        <w:t>deben ser entendidas</w:t>
      </w:r>
      <w:r w:rsidR="008833C1">
        <w:rPr>
          <w:rFonts w:cs="Arial"/>
          <w:sz w:val="16"/>
          <w:szCs w:val="16"/>
        </w:rPr>
        <w:t xml:space="preserve"> </w:t>
      </w:r>
      <w:r w:rsidR="00837A36">
        <w:rPr>
          <w:rFonts w:cs="Arial"/>
          <w:sz w:val="16"/>
          <w:szCs w:val="16"/>
        </w:rPr>
        <w:t xml:space="preserve">conforme </w:t>
      </w:r>
      <w:r w:rsidR="00837A36" w:rsidRPr="00A91EE1">
        <w:rPr>
          <w:rFonts w:cs="Arial"/>
          <w:sz w:val="16"/>
          <w:szCs w:val="16"/>
        </w:rPr>
        <w:t>lo</w:t>
      </w:r>
      <w:r w:rsidR="008833C1">
        <w:rPr>
          <w:rFonts w:cs="Arial"/>
          <w:sz w:val="16"/>
          <w:szCs w:val="16"/>
        </w:rPr>
        <w:t xml:space="preserve"> ha </w:t>
      </w:r>
      <w:r w:rsidR="003877DD">
        <w:rPr>
          <w:rFonts w:cs="Arial"/>
          <w:sz w:val="16"/>
          <w:szCs w:val="16"/>
        </w:rPr>
        <w:t>analizado</w:t>
      </w:r>
      <w:r w:rsidR="008833C1">
        <w:rPr>
          <w:rFonts w:cs="Arial"/>
          <w:sz w:val="16"/>
          <w:szCs w:val="16"/>
        </w:rPr>
        <w:t xml:space="preserve"> la</w:t>
      </w:r>
      <w:r w:rsidRPr="00A91EE1">
        <w:rPr>
          <w:rFonts w:cs="Arial"/>
          <w:sz w:val="16"/>
          <w:szCs w:val="16"/>
        </w:rPr>
        <w:t xml:space="preserve"> Corte Constitucional en sentencia C-150 de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B7F2" w14:textId="3C5BCB72" w:rsidR="00E16555" w:rsidRPr="00951F79" w:rsidRDefault="00E1655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837A36">
      <w:rPr>
        <w:rFonts w:ascii="Bookman Old Style" w:hAnsi="Bookman Old Style" w:cs="Arial"/>
        <w:bCs/>
        <w:szCs w:val="24"/>
        <w:u w:val="single"/>
      </w:rPr>
      <w:t xml:space="preserve"> 501 </w:t>
    </w:r>
    <w:proofErr w:type="gramStart"/>
    <w:r w:rsidR="00837A36">
      <w:rPr>
        <w:rFonts w:ascii="Bookman Old Style" w:hAnsi="Bookman Old Style" w:cs="Arial"/>
        <w:bCs/>
        <w:szCs w:val="24"/>
        <w:u w:val="single"/>
      </w:rPr>
      <w:t xml:space="preserve">002  </w:t>
    </w:r>
    <w:r w:rsidRPr="00654384">
      <w:rPr>
        <w:rFonts w:ascii="Bookman Old Style" w:hAnsi="Bookman Old Style" w:cs="Arial"/>
        <w:b w:val="0"/>
        <w:sz w:val="22"/>
        <w:szCs w:val="22"/>
      </w:rPr>
      <w:tab/>
    </w:r>
    <w:proofErr w:type="gramEnd"/>
    <w:r w:rsidR="00837A36">
      <w:rPr>
        <w:rFonts w:ascii="Bookman Old Style" w:hAnsi="Bookman Old Style" w:cs="Arial"/>
        <w:b w:val="0"/>
        <w:sz w:val="22"/>
        <w:szCs w:val="22"/>
      </w:rPr>
      <w:tab/>
    </w:r>
    <w:r>
      <w:rPr>
        <w:rFonts w:ascii="Bookman Old Style" w:hAnsi="Bookman Old Style" w:cs="Arial"/>
        <w:b w:val="0"/>
        <w:sz w:val="22"/>
        <w:szCs w:val="22"/>
      </w:rPr>
      <w:t>DE</w:t>
    </w:r>
    <w:r w:rsidR="00837A36">
      <w:rPr>
        <w:rFonts w:ascii="Bookman Old Style" w:hAnsi="Bookman Old Style" w:cs="Arial"/>
        <w:b w:val="0"/>
        <w:sz w:val="22"/>
        <w:szCs w:val="22"/>
      </w:rPr>
      <w:t xml:space="preserve">   </w:t>
    </w:r>
    <w:r w:rsidR="00837A36">
      <w:rPr>
        <w:rFonts w:ascii="Bookman Old Style" w:hAnsi="Bookman Old Style" w:cs="Arial"/>
        <w:bCs/>
        <w:sz w:val="22"/>
        <w:szCs w:val="22"/>
        <w:u w:val="single"/>
      </w:rPr>
      <w:t xml:space="preserve">23 ENE.2023 </w:t>
    </w:r>
    <w:r w:rsidR="00837A36">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Pr="007817F3">
        <w:rPr>
          <w:rFonts w:ascii="Bookman Old Style" w:hAnsi="Bookman Old Style" w:cs="Arial"/>
          <w:b w:val="0"/>
          <w:noProof/>
          <w:sz w:val="22"/>
          <w:szCs w:val="22"/>
        </w:rPr>
        <w:t>37</w:t>
      </w:r>
    </w:fldSimple>
  </w:p>
  <w:p w14:paraId="67F27695" w14:textId="77777777" w:rsidR="00E16555" w:rsidRDefault="00E1655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41D4A932" wp14:editId="21EE35C2">
              <wp:simplePos x="0" y="0"/>
              <wp:positionH relativeFrom="column">
                <wp:posOffset>-165736</wp:posOffset>
              </wp:positionH>
              <wp:positionV relativeFrom="paragraph">
                <wp:posOffset>135254</wp:posOffset>
              </wp:positionV>
              <wp:extent cx="6257925" cy="9970135"/>
              <wp:effectExtent l="0" t="0" r="2857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99701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7E04" id="Rectangle 1" o:spid="_x0000_s1026" style="position:absolute;margin-left:-13.05pt;margin-top:10.65pt;width:492.75pt;height:7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" filled="f" strokeweight="1.5pt"/>
          </w:pict>
        </mc:Fallback>
      </mc:AlternateContent>
    </w:r>
  </w:p>
  <w:p w14:paraId="7261A1FE" w14:textId="1AD72F39" w:rsidR="008549B5" w:rsidRDefault="008549B5" w:rsidP="008549B5">
    <w:pPr>
      <w:ind w:left="0"/>
      <w:jc w:val="center"/>
      <w:rPr>
        <w:rFonts w:ascii="Bookman Old Style" w:hAnsi="Bookman Old Style" w:cs="Arial"/>
      </w:rPr>
    </w:pPr>
    <w:r w:rsidRPr="00477655">
      <w:rPr>
        <w:rFonts w:ascii="Bookman Old Style" w:hAnsi="Bookman Old Style" w:cs="Arial"/>
      </w:rPr>
      <w:t>Por la cual se</w:t>
    </w:r>
    <w:r>
      <w:rPr>
        <w:rFonts w:ascii="Bookman Old Style" w:hAnsi="Bookman Old Style" w:cs="Arial"/>
      </w:rPr>
      <w:t xml:space="preserve"> decide la solicitud de Revocatoria Directa contra la Resolución CREG 101 028 </w:t>
    </w:r>
    <w:r w:rsidR="00370044">
      <w:rPr>
        <w:rFonts w:ascii="Bookman Old Style" w:hAnsi="Bookman Old Style" w:cs="Arial"/>
      </w:rPr>
      <w:t>de</w:t>
    </w:r>
    <w:r>
      <w:rPr>
        <w:rFonts w:ascii="Bookman Old Style" w:hAnsi="Bookman Old Style" w:cs="Arial"/>
      </w:rPr>
      <w:t xml:space="preserve"> 2022 “</w:t>
    </w:r>
    <w:r w:rsidRPr="00477655">
      <w:rPr>
        <w:rFonts w:ascii="Bookman Old Style" w:hAnsi="Bookman Old Style" w:cs="Arial"/>
      </w:rPr>
      <w:t xml:space="preserve">Por la cual se hacen modificaciones a las Resoluciones CREG 024 </w:t>
    </w:r>
    <w:r>
      <w:rPr>
        <w:rFonts w:ascii="Bookman Old Style" w:hAnsi="Bookman Old Style" w:cs="Arial"/>
      </w:rPr>
      <w:t>y</w:t>
    </w:r>
    <w:r w:rsidRPr="00477655">
      <w:rPr>
        <w:rFonts w:ascii="Bookman Old Style" w:hAnsi="Bookman Old Style" w:cs="Arial"/>
      </w:rPr>
      <w:t xml:space="preserve"> 025 de 1995, </w:t>
    </w:r>
    <w:r>
      <w:rPr>
        <w:rFonts w:ascii="Bookman Old Style" w:hAnsi="Bookman Old Style" w:cs="Arial"/>
      </w:rPr>
      <w:t xml:space="preserve">y </w:t>
    </w:r>
    <w:r w:rsidRPr="00477655">
      <w:rPr>
        <w:rFonts w:ascii="Bookman Old Style" w:hAnsi="Bookman Old Style" w:cs="Arial"/>
      </w:rPr>
      <w:t>CREG 062 de 2000 y se establecen otras disposiciones</w:t>
    </w:r>
    <w:r>
      <w:rPr>
        <w:rFonts w:ascii="Bookman Old Style" w:hAnsi="Bookman Old Style" w:cs="Arial"/>
      </w:rPr>
      <w:t>”</w:t>
    </w:r>
    <w:r w:rsidRPr="00477655">
      <w:rPr>
        <w:rFonts w:ascii="Bookman Old Style" w:hAnsi="Bookman Old Style" w:cs="Arial"/>
      </w:rPr>
      <w:t>.</w:t>
    </w:r>
  </w:p>
  <w:p w14:paraId="4C3B602B" w14:textId="5868CE63" w:rsidR="009113E4" w:rsidRDefault="009113E4" w:rsidP="008549B5">
    <w:pPr>
      <w:ind w:left="0"/>
      <w:jc w:val="center"/>
      <w:rPr>
        <w:rFonts w:ascii="Bookman Old Style" w:hAnsi="Bookman Old Style" w:cs="Arial"/>
      </w:rPr>
    </w:pPr>
    <w:r>
      <w:rPr>
        <w:rFonts w:ascii="Bookman Old Style" w:hAnsi="Bookman Old Style" w:cs="Arial"/>
      </w:rPr>
      <w:t>_____________________________________________________________________________</w:t>
    </w:r>
  </w:p>
  <w:p w14:paraId="42A27A33" w14:textId="67394349" w:rsidR="00BA657E" w:rsidRPr="00F21C25" w:rsidRDefault="009113E4" w:rsidP="008549B5">
    <w:pPr>
      <w:ind w:left="0"/>
      <w:jc w:val="center"/>
      <w:rPr>
        <w:rFonts w:ascii="Bookman Old Style" w:hAnsi="Bookman Old Style" w:cs="Arial"/>
      </w:rPr>
    </w:pP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22E8" w14:textId="77777777" w:rsidR="00E16555" w:rsidRDefault="00E16555">
    <w:pPr>
      <w:pStyle w:val="Encabezado"/>
      <w:jc w:val="center"/>
      <w:rPr>
        <w:rFonts w:ascii="Arial" w:hAnsi="Arial" w:cs="Arial"/>
        <w:spacing w:val="20"/>
        <w:sz w:val="20"/>
      </w:rPr>
    </w:pPr>
  </w:p>
  <w:p w14:paraId="5AF90B00" w14:textId="77777777" w:rsidR="00E16555" w:rsidRDefault="00E1655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B6D217F" wp14:editId="64AADD1A">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65DC7"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4pt;height:25.5pt;visibility:visible" o:bullet="t">
        <v:imagedata r:id="rId1" o:title=""/>
      </v:shape>
    </w:pict>
  </w:numPicBullet>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48D4996"/>
    <w:multiLevelType w:val="hybridMultilevel"/>
    <w:tmpl w:val="0DF61196"/>
    <w:lvl w:ilvl="0" w:tplc="892E19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6947F9A"/>
    <w:multiLevelType w:val="hybridMultilevel"/>
    <w:tmpl w:val="31088C62"/>
    <w:lvl w:ilvl="0" w:tplc="26FCF612">
      <w:start w:val="1"/>
      <w:numFmt w:val="lowerRoman"/>
      <w:lvlText w:val="%1)"/>
      <w:lvlJc w:val="left"/>
      <w:pPr>
        <w:ind w:left="1080" w:hanging="72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27C5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75033"/>
    <w:multiLevelType w:val="hybridMultilevel"/>
    <w:tmpl w:val="D48ED8A6"/>
    <w:lvl w:ilvl="0" w:tplc="24AC511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07099A"/>
    <w:multiLevelType w:val="hybridMultilevel"/>
    <w:tmpl w:val="95C88BB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6" w15:restartNumberingAfterBreak="0">
    <w:nsid w:val="12642EBA"/>
    <w:multiLevelType w:val="hybridMultilevel"/>
    <w:tmpl w:val="AC920DB2"/>
    <w:lvl w:ilvl="0" w:tplc="F8021F14">
      <w:start w:val="1"/>
      <w:numFmt w:val="decimal"/>
      <w:lvlText w:val="Artículo %1."/>
      <w:lvlJc w:val="left"/>
      <w:pPr>
        <w:ind w:left="2345"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7" w15:restartNumberingAfterBreak="0">
    <w:nsid w:val="13F72E34"/>
    <w:multiLevelType w:val="hybridMultilevel"/>
    <w:tmpl w:val="578AAE02"/>
    <w:lvl w:ilvl="0" w:tplc="A1888D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D24E80"/>
    <w:multiLevelType w:val="hybridMultilevel"/>
    <w:tmpl w:val="95FC5776"/>
    <w:lvl w:ilvl="0" w:tplc="240A000F">
      <w:start w:val="1"/>
      <w:numFmt w:val="decimal"/>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9" w15:restartNumberingAfterBreak="0">
    <w:nsid w:val="17123BE6"/>
    <w:multiLevelType w:val="hybridMultilevel"/>
    <w:tmpl w:val="4B404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5B363A"/>
    <w:multiLevelType w:val="hybridMultilevel"/>
    <w:tmpl w:val="C1266C1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CF2351"/>
    <w:multiLevelType w:val="hybridMultilevel"/>
    <w:tmpl w:val="41D4EE62"/>
    <w:lvl w:ilvl="0" w:tplc="D9F88F3E">
      <w:start w:val="1"/>
      <w:numFmt w:val="lowerLetter"/>
      <w:lvlText w:val="%1)"/>
      <w:lvlJc w:val="left"/>
      <w:pPr>
        <w:ind w:left="226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FA2457"/>
    <w:multiLevelType w:val="hybridMultilevel"/>
    <w:tmpl w:val="886C05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900B77"/>
    <w:multiLevelType w:val="hybridMultilevel"/>
    <w:tmpl w:val="1142617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25ED1DEC"/>
    <w:multiLevelType w:val="hybridMultilevel"/>
    <w:tmpl w:val="33E6725A"/>
    <w:lvl w:ilvl="0" w:tplc="09BCCB1A">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D30EE8"/>
    <w:multiLevelType w:val="hybridMultilevel"/>
    <w:tmpl w:val="15166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E96137"/>
    <w:multiLevelType w:val="hybridMultilevel"/>
    <w:tmpl w:val="7F402762"/>
    <w:lvl w:ilvl="0" w:tplc="240A000F">
      <w:start w:val="1"/>
      <w:numFmt w:val="decimal"/>
      <w:lvlText w:val="%1."/>
      <w:lvlJc w:val="left"/>
      <w:pPr>
        <w:ind w:left="164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ACD33A3"/>
    <w:multiLevelType w:val="hybridMultilevel"/>
    <w:tmpl w:val="B376636A"/>
    <w:lvl w:ilvl="0" w:tplc="3656FC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E75F47"/>
    <w:multiLevelType w:val="hybridMultilevel"/>
    <w:tmpl w:val="D43C7F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931BF9"/>
    <w:multiLevelType w:val="hybridMultilevel"/>
    <w:tmpl w:val="0646F5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24540D3"/>
    <w:multiLevelType w:val="hybridMultilevel"/>
    <w:tmpl w:val="38DE187A"/>
    <w:lvl w:ilvl="0" w:tplc="B81816AA">
      <w:start w:val="1"/>
      <w:numFmt w:val="lowerRoman"/>
      <w:lvlText w:val="%1."/>
      <w:lvlJc w:val="right"/>
      <w:pPr>
        <w:ind w:left="1776" w:hanging="360"/>
      </w:pPr>
      <w:rPr>
        <w:rFonts w:hint="default"/>
      </w:rPr>
    </w:lvl>
    <w:lvl w:ilvl="1" w:tplc="240A0019" w:tentative="1">
      <w:start w:val="1"/>
      <w:numFmt w:val="lowerLetter"/>
      <w:lvlText w:val="%2."/>
      <w:lvlJc w:val="left"/>
      <w:pPr>
        <w:ind w:left="1929" w:hanging="360"/>
      </w:pPr>
    </w:lvl>
    <w:lvl w:ilvl="2" w:tplc="240A001B" w:tentative="1">
      <w:start w:val="1"/>
      <w:numFmt w:val="lowerRoman"/>
      <w:lvlText w:val="%3."/>
      <w:lvlJc w:val="right"/>
      <w:pPr>
        <w:ind w:left="2649" w:hanging="180"/>
      </w:pPr>
    </w:lvl>
    <w:lvl w:ilvl="3" w:tplc="240A000F" w:tentative="1">
      <w:start w:val="1"/>
      <w:numFmt w:val="decimal"/>
      <w:lvlText w:val="%4."/>
      <w:lvlJc w:val="left"/>
      <w:pPr>
        <w:ind w:left="3369" w:hanging="360"/>
      </w:pPr>
    </w:lvl>
    <w:lvl w:ilvl="4" w:tplc="240A0019" w:tentative="1">
      <w:start w:val="1"/>
      <w:numFmt w:val="lowerLetter"/>
      <w:lvlText w:val="%5."/>
      <w:lvlJc w:val="left"/>
      <w:pPr>
        <w:ind w:left="4089" w:hanging="360"/>
      </w:pPr>
    </w:lvl>
    <w:lvl w:ilvl="5" w:tplc="240A001B" w:tentative="1">
      <w:start w:val="1"/>
      <w:numFmt w:val="lowerRoman"/>
      <w:lvlText w:val="%6."/>
      <w:lvlJc w:val="right"/>
      <w:pPr>
        <w:ind w:left="4809" w:hanging="180"/>
      </w:pPr>
    </w:lvl>
    <w:lvl w:ilvl="6" w:tplc="240A000F" w:tentative="1">
      <w:start w:val="1"/>
      <w:numFmt w:val="decimal"/>
      <w:lvlText w:val="%7."/>
      <w:lvlJc w:val="left"/>
      <w:pPr>
        <w:ind w:left="5529" w:hanging="360"/>
      </w:pPr>
    </w:lvl>
    <w:lvl w:ilvl="7" w:tplc="240A0019" w:tentative="1">
      <w:start w:val="1"/>
      <w:numFmt w:val="lowerLetter"/>
      <w:lvlText w:val="%8."/>
      <w:lvlJc w:val="left"/>
      <w:pPr>
        <w:ind w:left="6249" w:hanging="360"/>
      </w:pPr>
    </w:lvl>
    <w:lvl w:ilvl="8" w:tplc="240A001B" w:tentative="1">
      <w:start w:val="1"/>
      <w:numFmt w:val="lowerRoman"/>
      <w:lvlText w:val="%9."/>
      <w:lvlJc w:val="right"/>
      <w:pPr>
        <w:ind w:left="6969" w:hanging="180"/>
      </w:pPr>
    </w:lvl>
  </w:abstractNum>
  <w:abstractNum w:abstractNumId="21" w15:restartNumberingAfterBreak="0">
    <w:nsid w:val="33F21459"/>
    <w:multiLevelType w:val="hybridMultilevel"/>
    <w:tmpl w:val="B22021CE"/>
    <w:lvl w:ilvl="0" w:tplc="2C0C517C">
      <w:start w:val="1"/>
      <w:numFmt w:val="bullet"/>
      <w:lvlText w:val=""/>
      <w:lvlJc w:val="left"/>
      <w:pPr>
        <w:tabs>
          <w:tab w:val="num" w:pos="720"/>
        </w:tabs>
        <w:ind w:left="720" w:hanging="360"/>
      </w:pPr>
      <w:rPr>
        <w:rFonts w:ascii="Symbol" w:hAnsi="Symbol" w:hint="default"/>
      </w:rPr>
    </w:lvl>
    <w:lvl w:ilvl="1" w:tplc="78E2D2E4" w:tentative="1">
      <w:start w:val="1"/>
      <w:numFmt w:val="bullet"/>
      <w:lvlText w:val=""/>
      <w:lvlJc w:val="left"/>
      <w:pPr>
        <w:tabs>
          <w:tab w:val="num" w:pos="1440"/>
        </w:tabs>
        <w:ind w:left="1440" w:hanging="360"/>
      </w:pPr>
      <w:rPr>
        <w:rFonts w:ascii="Symbol" w:hAnsi="Symbol" w:hint="default"/>
      </w:rPr>
    </w:lvl>
    <w:lvl w:ilvl="2" w:tplc="0C626B44" w:tentative="1">
      <w:start w:val="1"/>
      <w:numFmt w:val="bullet"/>
      <w:lvlText w:val=""/>
      <w:lvlJc w:val="left"/>
      <w:pPr>
        <w:tabs>
          <w:tab w:val="num" w:pos="2160"/>
        </w:tabs>
        <w:ind w:left="2160" w:hanging="360"/>
      </w:pPr>
      <w:rPr>
        <w:rFonts w:ascii="Symbol" w:hAnsi="Symbol" w:hint="default"/>
      </w:rPr>
    </w:lvl>
    <w:lvl w:ilvl="3" w:tplc="6B306B1E" w:tentative="1">
      <w:start w:val="1"/>
      <w:numFmt w:val="bullet"/>
      <w:lvlText w:val=""/>
      <w:lvlJc w:val="left"/>
      <w:pPr>
        <w:tabs>
          <w:tab w:val="num" w:pos="2880"/>
        </w:tabs>
        <w:ind w:left="2880" w:hanging="360"/>
      </w:pPr>
      <w:rPr>
        <w:rFonts w:ascii="Symbol" w:hAnsi="Symbol" w:hint="default"/>
      </w:rPr>
    </w:lvl>
    <w:lvl w:ilvl="4" w:tplc="BC744B40" w:tentative="1">
      <w:start w:val="1"/>
      <w:numFmt w:val="bullet"/>
      <w:lvlText w:val=""/>
      <w:lvlJc w:val="left"/>
      <w:pPr>
        <w:tabs>
          <w:tab w:val="num" w:pos="3600"/>
        </w:tabs>
        <w:ind w:left="3600" w:hanging="360"/>
      </w:pPr>
      <w:rPr>
        <w:rFonts w:ascii="Symbol" w:hAnsi="Symbol" w:hint="default"/>
      </w:rPr>
    </w:lvl>
    <w:lvl w:ilvl="5" w:tplc="302A4298" w:tentative="1">
      <w:start w:val="1"/>
      <w:numFmt w:val="bullet"/>
      <w:lvlText w:val=""/>
      <w:lvlJc w:val="left"/>
      <w:pPr>
        <w:tabs>
          <w:tab w:val="num" w:pos="4320"/>
        </w:tabs>
        <w:ind w:left="4320" w:hanging="360"/>
      </w:pPr>
      <w:rPr>
        <w:rFonts w:ascii="Symbol" w:hAnsi="Symbol" w:hint="default"/>
      </w:rPr>
    </w:lvl>
    <w:lvl w:ilvl="6" w:tplc="400A0EE0" w:tentative="1">
      <w:start w:val="1"/>
      <w:numFmt w:val="bullet"/>
      <w:lvlText w:val=""/>
      <w:lvlJc w:val="left"/>
      <w:pPr>
        <w:tabs>
          <w:tab w:val="num" w:pos="5040"/>
        </w:tabs>
        <w:ind w:left="5040" w:hanging="360"/>
      </w:pPr>
      <w:rPr>
        <w:rFonts w:ascii="Symbol" w:hAnsi="Symbol" w:hint="default"/>
      </w:rPr>
    </w:lvl>
    <w:lvl w:ilvl="7" w:tplc="F8EC3182" w:tentative="1">
      <w:start w:val="1"/>
      <w:numFmt w:val="bullet"/>
      <w:lvlText w:val=""/>
      <w:lvlJc w:val="left"/>
      <w:pPr>
        <w:tabs>
          <w:tab w:val="num" w:pos="5760"/>
        </w:tabs>
        <w:ind w:left="5760" w:hanging="360"/>
      </w:pPr>
      <w:rPr>
        <w:rFonts w:ascii="Symbol" w:hAnsi="Symbol" w:hint="default"/>
      </w:rPr>
    </w:lvl>
    <w:lvl w:ilvl="8" w:tplc="BC6872E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6ECBD3F"/>
    <w:multiLevelType w:val="hybridMultilevel"/>
    <w:tmpl w:val="FFFFFFFF"/>
    <w:lvl w:ilvl="0" w:tplc="2DEE7E8A">
      <w:start w:val="1"/>
      <w:numFmt w:val="decimal"/>
      <w:lvlText w:val="%1."/>
      <w:lvlJc w:val="left"/>
      <w:pPr>
        <w:ind w:left="720" w:hanging="360"/>
      </w:pPr>
    </w:lvl>
    <w:lvl w:ilvl="1" w:tplc="E004799C">
      <w:start w:val="1"/>
      <w:numFmt w:val="lowerLetter"/>
      <w:lvlText w:val="%2."/>
      <w:lvlJc w:val="left"/>
      <w:pPr>
        <w:ind w:left="1440" w:hanging="360"/>
      </w:pPr>
    </w:lvl>
    <w:lvl w:ilvl="2" w:tplc="C11A7828">
      <w:start w:val="1"/>
      <w:numFmt w:val="lowerRoman"/>
      <w:lvlText w:val="%3."/>
      <w:lvlJc w:val="right"/>
      <w:pPr>
        <w:ind w:left="2160" w:hanging="180"/>
      </w:pPr>
    </w:lvl>
    <w:lvl w:ilvl="3" w:tplc="F5E4C244">
      <w:start w:val="1"/>
      <w:numFmt w:val="decimal"/>
      <w:lvlText w:val="%4."/>
      <w:lvlJc w:val="left"/>
      <w:pPr>
        <w:ind w:left="2880" w:hanging="360"/>
      </w:pPr>
    </w:lvl>
    <w:lvl w:ilvl="4" w:tplc="3DF8BA94">
      <w:start w:val="1"/>
      <w:numFmt w:val="lowerLetter"/>
      <w:lvlText w:val="%5."/>
      <w:lvlJc w:val="left"/>
      <w:pPr>
        <w:ind w:left="3600" w:hanging="360"/>
      </w:pPr>
    </w:lvl>
    <w:lvl w:ilvl="5" w:tplc="69881264">
      <w:start w:val="1"/>
      <w:numFmt w:val="lowerRoman"/>
      <w:lvlText w:val="%6."/>
      <w:lvlJc w:val="right"/>
      <w:pPr>
        <w:ind w:left="4320" w:hanging="180"/>
      </w:pPr>
    </w:lvl>
    <w:lvl w:ilvl="6" w:tplc="E82A46FA">
      <w:start w:val="1"/>
      <w:numFmt w:val="decimal"/>
      <w:lvlText w:val="%7."/>
      <w:lvlJc w:val="left"/>
      <w:pPr>
        <w:ind w:left="5040" w:hanging="360"/>
      </w:pPr>
    </w:lvl>
    <w:lvl w:ilvl="7" w:tplc="4DF4FE02">
      <w:start w:val="1"/>
      <w:numFmt w:val="lowerLetter"/>
      <w:lvlText w:val="%8."/>
      <w:lvlJc w:val="left"/>
      <w:pPr>
        <w:ind w:left="5760" w:hanging="360"/>
      </w:pPr>
    </w:lvl>
    <w:lvl w:ilvl="8" w:tplc="3CB8DDAC">
      <w:start w:val="1"/>
      <w:numFmt w:val="lowerRoman"/>
      <w:lvlText w:val="%9."/>
      <w:lvlJc w:val="right"/>
      <w:pPr>
        <w:ind w:left="6480" w:hanging="180"/>
      </w:pPr>
    </w:lvl>
  </w:abstractNum>
  <w:abstractNum w:abstractNumId="23" w15:restartNumberingAfterBreak="0">
    <w:nsid w:val="3DA11B45"/>
    <w:multiLevelType w:val="hybridMultilevel"/>
    <w:tmpl w:val="93A247C2"/>
    <w:lvl w:ilvl="0" w:tplc="CCB6FB7C">
      <w:start w:val="1"/>
      <w:numFmt w:val="decimal"/>
      <w:lvlText w:val="%1."/>
      <w:lvlJc w:val="left"/>
      <w:pPr>
        <w:ind w:left="164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9C0BB0"/>
    <w:multiLevelType w:val="hybridMultilevel"/>
    <w:tmpl w:val="900EF3D6"/>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5" w15:restartNumberingAfterBreak="0">
    <w:nsid w:val="4786178C"/>
    <w:multiLevelType w:val="hybridMultilevel"/>
    <w:tmpl w:val="31223B00"/>
    <w:lvl w:ilvl="0" w:tplc="6138270E">
      <w:start w:val="1"/>
      <w:numFmt w:val="lowerRoman"/>
      <w:lvlText w:val="%1."/>
      <w:lvlJc w:val="right"/>
      <w:pPr>
        <w:ind w:left="1068"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DB20FF"/>
    <w:multiLevelType w:val="hybridMultilevel"/>
    <w:tmpl w:val="38DE187A"/>
    <w:lvl w:ilvl="0" w:tplc="B81816AA">
      <w:start w:val="1"/>
      <w:numFmt w:val="lowerRoman"/>
      <w:lvlText w:val="%1."/>
      <w:lvlJc w:val="right"/>
      <w:pPr>
        <w:ind w:left="1776" w:hanging="360"/>
      </w:pPr>
      <w:rPr>
        <w:rFonts w:hint="default"/>
      </w:rPr>
    </w:lvl>
    <w:lvl w:ilvl="1" w:tplc="240A0019" w:tentative="1">
      <w:start w:val="1"/>
      <w:numFmt w:val="lowerLetter"/>
      <w:lvlText w:val="%2."/>
      <w:lvlJc w:val="left"/>
      <w:pPr>
        <w:ind w:left="1929" w:hanging="360"/>
      </w:pPr>
    </w:lvl>
    <w:lvl w:ilvl="2" w:tplc="240A001B" w:tentative="1">
      <w:start w:val="1"/>
      <w:numFmt w:val="lowerRoman"/>
      <w:lvlText w:val="%3."/>
      <w:lvlJc w:val="right"/>
      <w:pPr>
        <w:ind w:left="2649" w:hanging="180"/>
      </w:pPr>
    </w:lvl>
    <w:lvl w:ilvl="3" w:tplc="240A000F" w:tentative="1">
      <w:start w:val="1"/>
      <w:numFmt w:val="decimal"/>
      <w:lvlText w:val="%4."/>
      <w:lvlJc w:val="left"/>
      <w:pPr>
        <w:ind w:left="3369" w:hanging="360"/>
      </w:pPr>
    </w:lvl>
    <w:lvl w:ilvl="4" w:tplc="240A0019" w:tentative="1">
      <w:start w:val="1"/>
      <w:numFmt w:val="lowerLetter"/>
      <w:lvlText w:val="%5."/>
      <w:lvlJc w:val="left"/>
      <w:pPr>
        <w:ind w:left="4089" w:hanging="360"/>
      </w:pPr>
    </w:lvl>
    <w:lvl w:ilvl="5" w:tplc="240A001B" w:tentative="1">
      <w:start w:val="1"/>
      <w:numFmt w:val="lowerRoman"/>
      <w:lvlText w:val="%6."/>
      <w:lvlJc w:val="right"/>
      <w:pPr>
        <w:ind w:left="4809" w:hanging="180"/>
      </w:pPr>
    </w:lvl>
    <w:lvl w:ilvl="6" w:tplc="240A000F" w:tentative="1">
      <w:start w:val="1"/>
      <w:numFmt w:val="decimal"/>
      <w:lvlText w:val="%7."/>
      <w:lvlJc w:val="left"/>
      <w:pPr>
        <w:ind w:left="5529" w:hanging="360"/>
      </w:pPr>
    </w:lvl>
    <w:lvl w:ilvl="7" w:tplc="240A0019" w:tentative="1">
      <w:start w:val="1"/>
      <w:numFmt w:val="lowerLetter"/>
      <w:lvlText w:val="%8."/>
      <w:lvlJc w:val="left"/>
      <w:pPr>
        <w:ind w:left="6249" w:hanging="360"/>
      </w:pPr>
    </w:lvl>
    <w:lvl w:ilvl="8" w:tplc="240A001B" w:tentative="1">
      <w:start w:val="1"/>
      <w:numFmt w:val="lowerRoman"/>
      <w:lvlText w:val="%9."/>
      <w:lvlJc w:val="right"/>
      <w:pPr>
        <w:ind w:left="6969" w:hanging="180"/>
      </w:pPr>
    </w:lvl>
  </w:abstractNum>
  <w:abstractNum w:abstractNumId="27" w15:restartNumberingAfterBreak="0">
    <w:nsid w:val="52390BEE"/>
    <w:multiLevelType w:val="hybridMultilevel"/>
    <w:tmpl w:val="0478AA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6109DD"/>
    <w:multiLevelType w:val="hybridMultilevel"/>
    <w:tmpl w:val="24A8BD20"/>
    <w:lvl w:ilvl="0" w:tplc="24624920">
      <w:start w:val="1"/>
      <w:numFmt w:val="decimal"/>
      <w:lvlText w:val="%1."/>
      <w:lvlJc w:val="left"/>
      <w:pPr>
        <w:ind w:left="164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6746261"/>
    <w:multiLevelType w:val="hybridMultilevel"/>
    <w:tmpl w:val="B9849750"/>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2D65B9"/>
    <w:multiLevelType w:val="hybridMultilevel"/>
    <w:tmpl w:val="86EA649A"/>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592E9AE7"/>
    <w:multiLevelType w:val="hybridMultilevel"/>
    <w:tmpl w:val="FFFFFFFF"/>
    <w:lvl w:ilvl="0" w:tplc="FE3E5602">
      <w:start w:val="1"/>
      <w:numFmt w:val="decimal"/>
      <w:lvlText w:val="%1."/>
      <w:lvlJc w:val="left"/>
      <w:pPr>
        <w:ind w:left="720" w:hanging="360"/>
      </w:pPr>
    </w:lvl>
    <w:lvl w:ilvl="1" w:tplc="19A29F40">
      <w:start w:val="1"/>
      <w:numFmt w:val="lowerLetter"/>
      <w:lvlText w:val="%2."/>
      <w:lvlJc w:val="left"/>
      <w:pPr>
        <w:ind w:left="1440" w:hanging="360"/>
      </w:pPr>
    </w:lvl>
    <w:lvl w:ilvl="2" w:tplc="EA7A0BC4">
      <w:start w:val="1"/>
      <w:numFmt w:val="lowerRoman"/>
      <w:lvlText w:val="%3."/>
      <w:lvlJc w:val="right"/>
      <w:pPr>
        <w:ind w:left="2160" w:hanging="180"/>
      </w:pPr>
    </w:lvl>
    <w:lvl w:ilvl="3" w:tplc="B2B40F5A">
      <w:start w:val="1"/>
      <w:numFmt w:val="decimal"/>
      <w:lvlText w:val="%4."/>
      <w:lvlJc w:val="left"/>
      <w:pPr>
        <w:ind w:left="2880" w:hanging="360"/>
      </w:pPr>
    </w:lvl>
    <w:lvl w:ilvl="4" w:tplc="769CBA70">
      <w:start w:val="1"/>
      <w:numFmt w:val="lowerLetter"/>
      <w:lvlText w:val="%5."/>
      <w:lvlJc w:val="left"/>
      <w:pPr>
        <w:ind w:left="3600" w:hanging="360"/>
      </w:pPr>
    </w:lvl>
    <w:lvl w:ilvl="5" w:tplc="0B8A31F6">
      <w:start w:val="1"/>
      <w:numFmt w:val="lowerRoman"/>
      <w:lvlText w:val="%6."/>
      <w:lvlJc w:val="right"/>
      <w:pPr>
        <w:ind w:left="4320" w:hanging="180"/>
      </w:pPr>
    </w:lvl>
    <w:lvl w:ilvl="6" w:tplc="2D72D67C">
      <w:start w:val="1"/>
      <w:numFmt w:val="decimal"/>
      <w:lvlText w:val="%7."/>
      <w:lvlJc w:val="left"/>
      <w:pPr>
        <w:ind w:left="5040" w:hanging="360"/>
      </w:pPr>
    </w:lvl>
    <w:lvl w:ilvl="7" w:tplc="D6622C96">
      <w:start w:val="1"/>
      <w:numFmt w:val="lowerLetter"/>
      <w:lvlText w:val="%8."/>
      <w:lvlJc w:val="left"/>
      <w:pPr>
        <w:ind w:left="5760" w:hanging="360"/>
      </w:pPr>
    </w:lvl>
    <w:lvl w:ilvl="8" w:tplc="ED5A17EE">
      <w:start w:val="1"/>
      <w:numFmt w:val="lowerRoman"/>
      <w:lvlText w:val="%9."/>
      <w:lvlJc w:val="right"/>
      <w:pPr>
        <w:ind w:left="6480" w:hanging="180"/>
      </w:pPr>
    </w:lvl>
  </w:abstractNum>
  <w:abstractNum w:abstractNumId="32" w15:restartNumberingAfterBreak="0">
    <w:nsid w:val="5A037731"/>
    <w:multiLevelType w:val="hybridMultilevel"/>
    <w:tmpl w:val="622CA7A4"/>
    <w:lvl w:ilvl="0" w:tplc="240A000F">
      <w:start w:val="1"/>
      <w:numFmt w:val="decimal"/>
      <w:lvlText w:val="%1."/>
      <w:lvlJc w:val="left"/>
      <w:pPr>
        <w:ind w:left="1221" w:hanging="360"/>
      </w:pPr>
    </w:lvl>
    <w:lvl w:ilvl="1" w:tplc="240A0019" w:tentative="1">
      <w:start w:val="1"/>
      <w:numFmt w:val="lowerLetter"/>
      <w:lvlText w:val="%2."/>
      <w:lvlJc w:val="left"/>
      <w:pPr>
        <w:ind w:left="1941" w:hanging="360"/>
      </w:pPr>
    </w:lvl>
    <w:lvl w:ilvl="2" w:tplc="240A001B" w:tentative="1">
      <w:start w:val="1"/>
      <w:numFmt w:val="lowerRoman"/>
      <w:lvlText w:val="%3."/>
      <w:lvlJc w:val="right"/>
      <w:pPr>
        <w:ind w:left="2661" w:hanging="180"/>
      </w:pPr>
    </w:lvl>
    <w:lvl w:ilvl="3" w:tplc="240A000F" w:tentative="1">
      <w:start w:val="1"/>
      <w:numFmt w:val="decimal"/>
      <w:lvlText w:val="%4."/>
      <w:lvlJc w:val="left"/>
      <w:pPr>
        <w:ind w:left="3381" w:hanging="360"/>
      </w:pPr>
    </w:lvl>
    <w:lvl w:ilvl="4" w:tplc="240A0019" w:tentative="1">
      <w:start w:val="1"/>
      <w:numFmt w:val="lowerLetter"/>
      <w:lvlText w:val="%5."/>
      <w:lvlJc w:val="left"/>
      <w:pPr>
        <w:ind w:left="4101" w:hanging="360"/>
      </w:pPr>
    </w:lvl>
    <w:lvl w:ilvl="5" w:tplc="240A001B" w:tentative="1">
      <w:start w:val="1"/>
      <w:numFmt w:val="lowerRoman"/>
      <w:lvlText w:val="%6."/>
      <w:lvlJc w:val="right"/>
      <w:pPr>
        <w:ind w:left="4821" w:hanging="180"/>
      </w:pPr>
    </w:lvl>
    <w:lvl w:ilvl="6" w:tplc="240A000F" w:tentative="1">
      <w:start w:val="1"/>
      <w:numFmt w:val="decimal"/>
      <w:lvlText w:val="%7."/>
      <w:lvlJc w:val="left"/>
      <w:pPr>
        <w:ind w:left="5541" w:hanging="360"/>
      </w:pPr>
    </w:lvl>
    <w:lvl w:ilvl="7" w:tplc="240A0019" w:tentative="1">
      <w:start w:val="1"/>
      <w:numFmt w:val="lowerLetter"/>
      <w:lvlText w:val="%8."/>
      <w:lvlJc w:val="left"/>
      <w:pPr>
        <w:ind w:left="6261" w:hanging="360"/>
      </w:pPr>
    </w:lvl>
    <w:lvl w:ilvl="8" w:tplc="240A001B" w:tentative="1">
      <w:start w:val="1"/>
      <w:numFmt w:val="lowerRoman"/>
      <w:lvlText w:val="%9."/>
      <w:lvlJc w:val="right"/>
      <w:pPr>
        <w:ind w:left="6981" w:hanging="180"/>
      </w:pPr>
    </w:lvl>
  </w:abstractNum>
  <w:abstractNum w:abstractNumId="33" w15:restartNumberingAfterBreak="0">
    <w:nsid w:val="5C21329B"/>
    <w:multiLevelType w:val="hybridMultilevel"/>
    <w:tmpl w:val="21C01F42"/>
    <w:lvl w:ilvl="0" w:tplc="A09AE4DA">
      <w:start w:val="1"/>
      <w:numFmt w:val="decimal"/>
      <w:lvlText w:val="%1."/>
      <w:lvlJc w:val="left"/>
      <w:pPr>
        <w:ind w:left="644" w:hanging="360"/>
      </w:pPr>
      <w:rPr>
        <w:rFonts w:hint="default"/>
        <w:b/>
        <w:bCs/>
        <w:sz w:val="24"/>
        <w:szCs w:val="24"/>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15:restartNumberingAfterBreak="0">
    <w:nsid w:val="5E036FD2"/>
    <w:multiLevelType w:val="hybridMultilevel"/>
    <w:tmpl w:val="23ACEC98"/>
    <w:lvl w:ilvl="0" w:tplc="0776BE00">
      <w:start w:val="1"/>
      <w:numFmt w:val="lowerRoman"/>
      <w:lvlText w:val="%1."/>
      <w:lvlJc w:val="righ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DA58C7"/>
    <w:multiLevelType w:val="hybridMultilevel"/>
    <w:tmpl w:val="38DE187A"/>
    <w:lvl w:ilvl="0" w:tplc="B81816AA">
      <w:start w:val="1"/>
      <w:numFmt w:val="lowerRoman"/>
      <w:lvlText w:val="%1."/>
      <w:lvlJc w:val="right"/>
      <w:pPr>
        <w:ind w:left="128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53B51D5"/>
    <w:multiLevelType w:val="hybridMultilevel"/>
    <w:tmpl w:val="5F2A621C"/>
    <w:lvl w:ilvl="0" w:tplc="9B5C8C74">
      <w:start w:val="1"/>
      <w:numFmt w:val="lowerRoman"/>
      <w:lvlText w:val="%1."/>
      <w:lvlJc w:val="right"/>
      <w:pPr>
        <w:ind w:left="2007"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7" w15:restartNumberingAfterBreak="0">
    <w:nsid w:val="65D206FA"/>
    <w:multiLevelType w:val="hybridMultilevel"/>
    <w:tmpl w:val="96A6DEB2"/>
    <w:lvl w:ilvl="0" w:tplc="2E4A5680">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227D90"/>
    <w:multiLevelType w:val="hybridMultilevel"/>
    <w:tmpl w:val="FFFFFFFF"/>
    <w:lvl w:ilvl="0" w:tplc="00C26314">
      <w:start w:val="1"/>
      <w:numFmt w:val="decimal"/>
      <w:lvlText w:val="%1."/>
      <w:lvlJc w:val="left"/>
      <w:pPr>
        <w:ind w:left="720" w:hanging="360"/>
      </w:pPr>
    </w:lvl>
    <w:lvl w:ilvl="1" w:tplc="6E089D1C">
      <w:start w:val="1"/>
      <w:numFmt w:val="lowerLetter"/>
      <w:lvlText w:val="%2."/>
      <w:lvlJc w:val="left"/>
      <w:pPr>
        <w:ind w:left="1440" w:hanging="360"/>
      </w:pPr>
    </w:lvl>
    <w:lvl w:ilvl="2" w:tplc="C9FA32DA">
      <w:start w:val="1"/>
      <w:numFmt w:val="lowerRoman"/>
      <w:lvlText w:val="%3."/>
      <w:lvlJc w:val="right"/>
      <w:pPr>
        <w:ind w:left="2160" w:hanging="180"/>
      </w:pPr>
    </w:lvl>
    <w:lvl w:ilvl="3" w:tplc="28F6C918">
      <w:start w:val="1"/>
      <w:numFmt w:val="decimal"/>
      <w:lvlText w:val="%4."/>
      <w:lvlJc w:val="left"/>
      <w:pPr>
        <w:ind w:left="2880" w:hanging="360"/>
      </w:pPr>
    </w:lvl>
    <w:lvl w:ilvl="4" w:tplc="3BF0E5C6">
      <w:start w:val="1"/>
      <w:numFmt w:val="lowerLetter"/>
      <w:lvlText w:val="%5."/>
      <w:lvlJc w:val="left"/>
      <w:pPr>
        <w:ind w:left="3600" w:hanging="360"/>
      </w:pPr>
    </w:lvl>
    <w:lvl w:ilvl="5" w:tplc="98E889C8">
      <w:start w:val="1"/>
      <w:numFmt w:val="lowerRoman"/>
      <w:lvlText w:val="%6."/>
      <w:lvlJc w:val="right"/>
      <w:pPr>
        <w:ind w:left="4320" w:hanging="180"/>
      </w:pPr>
    </w:lvl>
    <w:lvl w:ilvl="6" w:tplc="3632719E">
      <w:start w:val="1"/>
      <w:numFmt w:val="decimal"/>
      <w:lvlText w:val="%7."/>
      <w:lvlJc w:val="left"/>
      <w:pPr>
        <w:ind w:left="5040" w:hanging="360"/>
      </w:pPr>
    </w:lvl>
    <w:lvl w:ilvl="7" w:tplc="23C6D5A6">
      <w:start w:val="1"/>
      <w:numFmt w:val="lowerLetter"/>
      <w:lvlText w:val="%8."/>
      <w:lvlJc w:val="left"/>
      <w:pPr>
        <w:ind w:left="5760" w:hanging="360"/>
      </w:pPr>
    </w:lvl>
    <w:lvl w:ilvl="8" w:tplc="BDBECDB8">
      <w:start w:val="1"/>
      <w:numFmt w:val="lowerRoman"/>
      <w:lvlText w:val="%9."/>
      <w:lvlJc w:val="right"/>
      <w:pPr>
        <w:ind w:left="6480" w:hanging="180"/>
      </w:pPr>
    </w:lvl>
  </w:abstractNum>
  <w:abstractNum w:abstractNumId="39" w15:restartNumberingAfterBreak="0">
    <w:nsid w:val="6AEE700E"/>
    <w:multiLevelType w:val="hybridMultilevel"/>
    <w:tmpl w:val="5276E0C2"/>
    <w:lvl w:ilvl="0" w:tplc="C8CE0D5C">
      <w:start w:val="1"/>
      <w:numFmt w:val="lowerRoman"/>
      <w:lvlText w:val="%1."/>
      <w:lvlJc w:val="right"/>
      <w:pPr>
        <w:ind w:left="1287"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757A18"/>
    <w:multiLevelType w:val="hybridMultilevel"/>
    <w:tmpl w:val="70D0737C"/>
    <w:lvl w:ilvl="0" w:tplc="240A0019">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1" w15:restartNumberingAfterBreak="0">
    <w:nsid w:val="78F23897"/>
    <w:multiLevelType w:val="hybridMultilevel"/>
    <w:tmpl w:val="4C5A79FC"/>
    <w:lvl w:ilvl="0" w:tplc="240A0001">
      <w:start w:val="1"/>
      <w:numFmt w:val="bullet"/>
      <w:lvlText w:val=""/>
      <w:lvlJc w:val="left"/>
      <w:pPr>
        <w:ind w:left="1287" w:hanging="360"/>
      </w:pPr>
      <w:rPr>
        <w:rFonts w:ascii="Symbol" w:hAnsi="Symbol" w:hint="default"/>
      </w:rPr>
    </w:lvl>
    <w:lvl w:ilvl="1" w:tplc="240A0019">
      <w:start w:val="1"/>
      <w:numFmt w:val="lowerLetter"/>
      <w:lvlText w:val="%2."/>
      <w:lvlJc w:val="left"/>
      <w:pPr>
        <w:ind w:left="1440" w:hanging="360"/>
      </w:pPr>
    </w:lvl>
    <w:lvl w:ilvl="2" w:tplc="240A000F">
      <w:start w:val="1"/>
      <w:numFmt w:val="decimal"/>
      <w:lvlText w:val="%3."/>
      <w:lvlJc w:val="left"/>
      <w:pPr>
        <w:ind w:left="2160" w:hanging="180"/>
      </w:pPr>
    </w:lvl>
    <w:lvl w:ilvl="3" w:tplc="6764C462">
      <w:start w:val="18"/>
      <w:numFmt w:val="bullet"/>
      <w:lvlText w:val="-"/>
      <w:lvlJc w:val="left"/>
      <w:pPr>
        <w:ind w:left="2880" w:hanging="360"/>
      </w:pPr>
      <w:rPr>
        <w:rFonts w:ascii="Bookman Old Style" w:eastAsia="Times New Roman" w:hAnsi="Bookman Old Style" w:cs="Times New Roman"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C634162"/>
    <w:multiLevelType w:val="hybridMultilevel"/>
    <w:tmpl w:val="2D36E576"/>
    <w:lvl w:ilvl="0" w:tplc="9B463DA8">
      <w:start w:val="4"/>
      <w:numFmt w:val="lowerRoman"/>
      <w:lvlText w:val="%1."/>
      <w:lvlJc w:val="right"/>
      <w:pPr>
        <w:tabs>
          <w:tab w:val="num" w:pos="720"/>
        </w:tabs>
        <w:ind w:left="720" w:hanging="360"/>
      </w:pPr>
    </w:lvl>
    <w:lvl w:ilvl="1" w:tplc="A8E6F966" w:tentative="1">
      <w:start w:val="1"/>
      <w:numFmt w:val="lowerRoman"/>
      <w:lvlText w:val="%2."/>
      <w:lvlJc w:val="right"/>
      <w:pPr>
        <w:tabs>
          <w:tab w:val="num" w:pos="1440"/>
        </w:tabs>
        <w:ind w:left="1440" w:hanging="360"/>
      </w:pPr>
    </w:lvl>
    <w:lvl w:ilvl="2" w:tplc="820221D0" w:tentative="1">
      <w:start w:val="1"/>
      <w:numFmt w:val="lowerRoman"/>
      <w:lvlText w:val="%3."/>
      <w:lvlJc w:val="right"/>
      <w:pPr>
        <w:tabs>
          <w:tab w:val="num" w:pos="2160"/>
        </w:tabs>
        <w:ind w:left="2160" w:hanging="360"/>
      </w:pPr>
    </w:lvl>
    <w:lvl w:ilvl="3" w:tplc="B0BA5652" w:tentative="1">
      <w:start w:val="1"/>
      <w:numFmt w:val="lowerRoman"/>
      <w:lvlText w:val="%4."/>
      <w:lvlJc w:val="right"/>
      <w:pPr>
        <w:tabs>
          <w:tab w:val="num" w:pos="2880"/>
        </w:tabs>
        <w:ind w:left="2880" w:hanging="360"/>
      </w:pPr>
    </w:lvl>
    <w:lvl w:ilvl="4" w:tplc="0FE2B2D4" w:tentative="1">
      <w:start w:val="1"/>
      <w:numFmt w:val="lowerRoman"/>
      <w:lvlText w:val="%5."/>
      <w:lvlJc w:val="right"/>
      <w:pPr>
        <w:tabs>
          <w:tab w:val="num" w:pos="3600"/>
        </w:tabs>
        <w:ind w:left="3600" w:hanging="360"/>
      </w:pPr>
    </w:lvl>
    <w:lvl w:ilvl="5" w:tplc="0012175C" w:tentative="1">
      <w:start w:val="1"/>
      <w:numFmt w:val="lowerRoman"/>
      <w:lvlText w:val="%6."/>
      <w:lvlJc w:val="right"/>
      <w:pPr>
        <w:tabs>
          <w:tab w:val="num" w:pos="4320"/>
        </w:tabs>
        <w:ind w:left="4320" w:hanging="360"/>
      </w:pPr>
    </w:lvl>
    <w:lvl w:ilvl="6" w:tplc="65FCDCBE" w:tentative="1">
      <w:start w:val="1"/>
      <w:numFmt w:val="lowerRoman"/>
      <w:lvlText w:val="%7."/>
      <w:lvlJc w:val="right"/>
      <w:pPr>
        <w:tabs>
          <w:tab w:val="num" w:pos="5040"/>
        </w:tabs>
        <w:ind w:left="5040" w:hanging="360"/>
      </w:pPr>
    </w:lvl>
    <w:lvl w:ilvl="7" w:tplc="DE90E222" w:tentative="1">
      <w:start w:val="1"/>
      <w:numFmt w:val="lowerRoman"/>
      <w:lvlText w:val="%8."/>
      <w:lvlJc w:val="right"/>
      <w:pPr>
        <w:tabs>
          <w:tab w:val="num" w:pos="5760"/>
        </w:tabs>
        <w:ind w:left="5760" w:hanging="360"/>
      </w:pPr>
    </w:lvl>
    <w:lvl w:ilvl="8" w:tplc="EFBA3406" w:tentative="1">
      <w:start w:val="1"/>
      <w:numFmt w:val="lowerRoman"/>
      <w:lvlText w:val="%9."/>
      <w:lvlJc w:val="right"/>
      <w:pPr>
        <w:tabs>
          <w:tab w:val="num" w:pos="6480"/>
        </w:tabs>
        <w:ind w:left="6480" w:hanging="360"/>
      </w:pPr>
    </w:lvl>
  </w:abstractNum>
  <w:num w:numId="1" w16cid:durableId="922840429">
    <w:abstractNumId w:val="0"/>
  </w:num>
  <w:num w:numId="2" w16cid:durableId="506748334">
    <w:abstractNumId w:val="6"/>
  </w:num>
  <w:num w:numId="3" w16cid:durableId="658776738">
    <w:abstractNumId w:val="30"/>
  </w:num>
  <w:num w:numId="4" w16cid:durableId="2031486634">
    <w:abstractNumId w:val="29"/>
  </w:num>
  <w:num w:numId="5" w16cid:durableId="342828691">
    <w:abstractNumId w:val="25"/>
  </w:num>
  <w:num w:numId="6" w16cid:durableId="1601334631">
    <w:abstractNumId w:val="12"/>
  </w:num>
  <w:num w:numId="7" w16cid:durableId="2048334161">
    <w:abstractNumId w:val="42"/>
  </w:num>
  <w:num w:numId="8" w16cid:durableId="2143956659">
    <w:abstractNumId w:val="7"/>
  </w:num>
  <w:num w:numId="9" w16cid:durableId="1527672097">
    <w:abstractNumId w:val="13"/>
  </w:num>
  <w:num w:numId="10" w16cid:durableId="1209688442">
    <w:abstractNumId w:val="40"/>
  </w:num>
  <w:num w:numId="11" w16cid:durableId="2141341336">
    <w:abstractNumId w:val="24"/>
  </w:num>
  <w:num w:numId="12" w16cid:durableId="620965904">
    <w:abstractNumId w:val="8"/>
  </w:num>
  <w:num w:numId="13" w16cid:durableId="1411348883">
    <w:abstractNumId w:val="28"/>
  </w:num>
  <w:num w:numId="14" w16cid:durableId="1123117399">
    <w:abstractNumId w:val="39"/>
  </w:num>
  <w:num w:numId="15" w16cid:durableId="674458503">
    <w:abstractNumId w:val="21"/>
  </w:num>
  <w:num w:numId="16" w16cid:durableId="263996232">
    <w:abstractNumId w:val="4"/>
  </w:num>
  <w:num w:numId="17" w16cid:durableId="1434085167">
    <w:abstractNumId w:val="35"/>
  </w:num>
  <w:num w:numId="18" w16cid:durableId="233702569">
    <w:abstractNumId w:val="20"/>
  </w:num>
  <w:num w:numId="19" w16cid:durableId="39483527">
    <w:abstractNumId w:val="26"/>
  </w:num>
  <w:num w:numId="20" w16cid:durableId="487089507">
    <w:abstractNumId w:val="36"/>
  </w:num>
  <w:num w:numId="21" w16cid:durableId="1518078802">
    <w:abstractNumId w:val="2"/>
  </w:num>
  <w:num w:numId="22" w16cid:durableId="731080330">
    <w:abstractNumId w:val="16"/>
  </w:num>
  <w:num w:numId="23" w16cid:durableId="1135487940">
    <w:abstractNumId w:val="23"/>
  </w:num>
  <w:num w:numId="24" w16cid:durableId="847790375">
    <w:abstractNumId w:val="41"/>
  </w:num>
  <w:num w:numId="25" w16cid:durableId="1457986451">
    <w:abstractNumId w:val="5"/>
  </w:num>
  <w:num w:numId="26" w16cid:durableId="125008262">
    <w:abstractNumId w:val="33"/>
  </w:num>
  <w:num w:numId="27" w16cid:durableId="976296271">
    <w:abstractNumId w:val="1"/>
  </w:num>
  <w:num w:numId="28" w16cid:durableId="219707521">
    <w:abstractNumId w:val="32"/>
  </w:num>
  <w:num w:numId="29" w16cid:durableId="841776196">
    <w:abstractNumId w:val="14"/>
  </w:num>
  <w:num w:numId="30" w16cid:durableId="304744186">
    <w:abstractNumId w:val="34"/>
  </w:num>
  <w:num w:numId="31" w16cid:durableId="905528557">
    <w:abstractNumId w:val="19"/>
  </w:num>
  <w:num w:numId="32" w16cid:durableId="104160365">
    <w:abstractNumId w:val="15"/>
  </w:num>
  <w:num w:numId="33" w16cid:durableId="1370103708">
    <w:abstractNumId w:val="17"/>
  </w:num>
  <w:num w:numId="34" w16cid:durableId="1508792736">
    <w:abstractNumId w:val="11"/>
  </w:num>
  <w:num w:numId="35" w16cid:durableId="2079355176">
    <w:abstractNumId w:val="10"/>
  </w:num>
  <w:num w:numId="36" w16cid:durableId="900411731">
    <w:abstractNumId w:val="18"/>
  </w:num>
  <w:num w:numId="37" w16cid:durableId="979840633">
    <w:abstractNumId w:val="9"/>
  </w:num>
  <w:num w:numId="38" w16cid:durableId="188840588">
    <w:abstractNumId w:val="3"/>
  </w:num>
  <w:num w:numId="39" w16cid:durableId="828516282">
    <w:abstractNumId w:val="27"/>
  </w:num>
  <w:num w:numId="40" w16cid:durableId="1081026660">
    <w:abstractNumId w:val="37"/>
  </w:num>
  <w:num w:numId="41" w16cid:durableId="349717574">
    <w:abstractNumId w:val="31"/>
  </w:num>
  <w:num w:numId="42" w16cid:durableId="1960187362">
    <w:abstractNumId w:val="22"/>
  </w:num>
  <w:num w:numId="43" w16cid:durableId="1160656652">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6"/>
    <w:rsid w:val="0000040C"/>
    <w:rsid w:val="00000A50"/>
    <w:rsid w:val="000014D9"/>
    <w:rsid w:val="00001D6D"/>
    <w:rsid w:val="00002664"/>
    <w:rsid w:val="00003C64"/>
    <w:rsid w:val="00004B09"/>
    <w:rsid w:val="00005638"/>
    <w:rsid w:val="00006AE2"/>
    <w:rsid w:val="00006CAC"/>
    <w:rsid w:val="000076A1"/>
    <w:rsid w:val="00007749"/>
    <w:rsid w:val="00010440"/>
    <w:rsid w:val="00010EEA"/>
    <w:rsid w:val="00011280"/>
    <w:rsid w:val="000121CB"/>
    <w:rsid w:val="00012259"/>
    <w:rsid w:val="00012720"/>
    <w:rsid w:val="00012D32"/>
    <w:rsid w:val="00012D85"/>
    <w:rsid w:val="00013280"/>
    <w:rsid w:val="00013303"/>
    <w:rsid w:val="00013E12"/>
    <w:rsid w:val="0001406A"/>
    <w:rsid w:val="00014951"/>
    <w:rsid w:val="0001550B"/>
    <w:rsid w:val="000162DC"/>
    <w:rsid w:val="000164C5"/>
    <w:rsid w:val="00016E86"/>
    <w:rsid w:val="0002154C"/>
    <w:rsid w:val="000218BD"/>
    <w:rsid w:val="00022F7F"/>
    <w:rsid w:val="00023907"/>
    <w:rsid w:val="0002398A"/>
    <w:rsid w:val="00023EB1"/>
    <w:rsid w:val="0002401E"/>
    <w:rsid w:val="00024674"/>
    <w:rsid w:val="00024A14"/>
    <w:rsid w:val="00024FCE"/>
    <w:rsid w:val="00025383"/>
    <w:rsid w:val="00026A6B"/>
    <w:rsid w:val="00027CC5"/>
    <w:rsid w:val="00030AED"/>
    <w:rsid w:val="00031CCD"/>
    <w:rsid w:val="00032B3C"/>
    <w:rsid w:val="00033D79"/>
    <w:rsid w:val="00033FE7"/>
    <w:rsid w:val="000341EE"/>
    <w:rsid w:val="00035296"/>
    <w:rsid w:val="00035513"/>
    <w:rsid w:val="00040166"/>
    <w:rsid w:val="00042252"/>
    <w:rsid w:val="0004249B"/>
    <w:rsid w:val="00042861"/>
    <w:rsid w:val="000435EB"/>
    <w:rsid w:val="00043E7D"/>
    <w:rsid w:val="000440FF"/>
    <w:rsid w:val="000445E6"/>
    <w:rsid w:val="00044D8C"/>
    <w:rsid w:val="00044FD8"/>
    <w:rsid w:val="000453E2"/>
    <w:rsid w:val="00045CC1"/>
    <w:rsid w:val="00046799"/>
    <w:rsid w:val="0004729E"/>
    <w:rsid w:val="00052036"/>
    <w:rsid w:val="00052D0F"/>
    <w:rsid w:val="00053BBB"/>
    <w:rsid w:val="00053E70"/>
    <w:rsid w:val="00053F7C"/>
    <w:rsid w:val="000546B3"/>
    <w:rsid w:val="0005521B"/>
    <w:rsid w:val="000552DB"/>
    <w:rsid w:val="000558DE"/>
    <w:rsid w:val="0005595C"/>
    <w:rsid w:val="000579A1"/>
    <w:rsid w:val="00057C41"/>
    <w:rsid w:val="00061A0A"/>
    <w:rsid w:val="00062BB4"/>
    <w:rsid w:val="00062DFA"/>
    <w:rsid w:val="000635E8"/>
    <w:rsid w:val="00063657"/>
    <w:rsid w:val="00064336"/>
    <w:rsid w:val="00065DB0"/>
    <w:rsid w:val="000662D1"/>
    <w:rsid w:val="000665A3"/>
    <w:rsid w:val="00070117"/>
    <w:rsid w:val="0007143A"/>
    <w:rsid w:val="000716BE"/>
    <w:rsid w:val="00072CDB"/>
    <w:rsid w:val="0007318E"/>
    <w:rsid w:val="000731D5"/>
    <w:rsid w:val="00076680"/>
    <w:rsid w:val="00076A1D"/>
    <w:rsid w:val="0007724F"/>
    <w:rsid w:val="00077B41"/>
    <w:rsid w:val="0008073E"/>
    <w:rsid w:val="00081A5E"/>
    <w:rsid w:val="00081ACC"/>
    <w:rsid w:val="0008244E"/>
    <w:rsid w:val="00082F50"/>
    <w:rsid w:val="00083175"/>
    <w:rsid w:val="00083295"/>
    <w:rsid w:val="000838BF"/>
    <w:rsid w:val="00084245"/>
    <w:rsid w:val="00085618"/>
    <w:rsid w:val="00090071"/>
    <w:rsid w:val="0009117B"/>
    <w:rsid w:val="00091CDB"/>
    <w:rsid w:val="0009226D"/>
    <w:rsid w:val="00093E8B"/>
    <w:rsid w:val="0009404B"/>
    <w:rsid w:val="00096A01"/>
    <w:rsid w:val="00096B2F"/>
    <w:rsid w:val="000A01E0"/>
    <w:rsid w:val="000A0AF7"/>
    <w:rsid w:val="000A1174"/>
    <w:rsid w:val="000A19AC"/>
    <w:rsid w:val="000A2251"/>
    <w:rsid w:val="000A28D3"/>
    <w:rsid w:val="000A2CE7"/>
    <w:rsid w:val="000A3290"/>
    <w:rsid w:val="000A3A44"/>
    <w:rsid w:val="000A637A"/>
    <w:rsid w:val="000A6E0C"/>
    <w:rsid w:val="000A72C6"/>
    <w:rsid w:val="000B0D56"/>
    <w:rsid w:val="000B0FCD"/>
    <w:rsid w:val="000B1BAB"/>
    <w:rsid w:val="000B41F6"/>
    <w:rsid w:val="000B4E1C"/>
    <w:rsid w:val="000B5F73"/>
    <w:rsid w:val="000B74EC"/>
    <w:rsid w:val="000C0730"/>
    <w:rsid w:val="000C0E7E"/>
    <w:rsid w:val="000C0F61"/>
    <w:rsid w:val="000C1B10"/>
    <w:rsid w:val="000C1FDC"/>
    <w:rsid w:val="000C2FA7"/>
    <w:rsid w:val="000C3D4D"/>
    <w:rsid w:val="000C49F3"/>
    <w:rsid w:val="000C53EA"/>
    <w:rsid w:val="000C5561"/>
    <w:rsid w:val="000C6B1D"/>
    <w:rsid w:val="000C6B30"/>
    <w:rsid w:val="000D0357"/>
    <w:rsid w:val="000D1608"/>
    <w:rsid w:val="000D269E"/>
    <w:rsid w:val="000D26F8"/>
    <w:rsid w:val="000D286A"/>
    <w:rsid w:val="000D2DB2"/>
    <w:rsid w:val="000D40FF"/>
    <w:rsid w:val="000D42BF"/>
    <w:rsid w:val="000D453D"/>
    <w:rsid w:val="000D4773"/>
    <w:rsid w:val="000D47AE"/>
    <w:rsid w:val="000D7A06"/>
    <w:rsid w:val="000E1FF0"/>
    <w:rsid w:val="000E2F10"/>
    <w:rsid w:val="000E412F"/>
    <w:rsid w:val="000E501A"/>
    <w:rsid w:val="000E50A8"/>
    <w:rsid w:val="000E5438"/>
    <w:rsid w:val="000E65E5"/>
    <w:rsid w:val="000E6933"/>
    <w:rsid w:val="000E6983"/>
    <w:rsid w:val="000E6FB0"/>
    <w:rsid w:val="000E7025"/>
    <w:rsid w:val="000E71C5"/>
    <w:rsid w:val="000F04C6"/>
    <w:rsid w:val="000F0664"/>
    <w:rsid w:val="000F1281"/>
    <w:rsid w:val="000F1368"/>
    <w:rsid w:val="000F1683"/>
    <w:rsid w:val="000F1FAD"/>
    <w:rsid w:val="000F388B"/>
    <w:rsid w:val="000F3C90"/>
    <w:rsid w:val="000F432A"/>
    <w:rsid w:val="000F4514"/>
    <w:rsid w:val="000F4B6F"/>
    <w:rsid w:val="000F4DE4"/>
    <w:rsid w:val="000F5B99"/>
    <w:rsid w:val="0010182A"/>
    <w:rsid w:val="00102198"/>
    <w:rsid w:val="00103F74"/>
    <w:rsid w:val="00104AAE"/>
    <w:rsid w:val="00104FC9"/>
    <w:rsid w:val="00106F49"/>
    <w:rsid w:val="0010726D"/>
    <w:rsid w:val="001106EA"/>
    <w:rsid w:val="00110796"/>
    <w:rsid w:val="00110E4A"/>
    <w:rsid w:val="00110F21"/>
    <w:rsid w:val="00112BF9"/>
    <w:rsid w:val="00112CCE"/>
    <w:rsid w:val="00112F06"/>
    <w:rsid w:val="00115DC3"/>
    <w:rsid w:val="00121296"/>
    <w:rsid w:val="0012258C"/>
    <w:rsid w:val="00122668"/>
    <w:rsid w:val="0012307D"/>
    <w:rsid w:val="00123A58"/>
    <w:rsid w:val="00124B42"/>
    <w:rsid w:val="00126CBD"/>
    <w:rsid w:val="001273A6"/>
    <w:rsid w:val="0013146B"/>
    <w:rsid w:val="00131C40"/>
    <w:rsid w:val="00131D2F"/>
    <w:rsid w:val="001334AA"/>
    <w:rsid w:val="00133C0F"/>
    <w:rsid w:val="00134AA8"/>
    <w:rsid w:val="00134B39"/>
    <w:rsid w:val="001358BD"/>
    <w:rsid w:val="001358D7"/>
    <w:rsid w:val="00136B1F"/>
    <w:rsid w:val="00137FB7"/>
    <w:rsid w:val="001405C6"/>
    <w:rsid w:val="00140667"/>
    <w:rsid w:val="00140CE5"/>
    <w:rsid w:val="00141013"/>
    <w:rsid w:val="001416AD"/>
    <w:rsid w:val="00143302"/>
    <w:rsid w:val="001448AA"/>
    <w:rsid w:val="00144A39"/>
    <w:rsid w:val="00144D88"/>
    <w:rsid w:val="001464CD"/>
    <w:rsid w:val="00146B0A"/>
    <w:rsid w:val="00147227"/>
    <w:rsid w:val="0015003B"/>
    <w:rsid w:val="00150532"/>
    <w:rsid w:val="00150BED"/>
    <w:rsid w:val="001515B3"/>
    <w:rsid w:val="00151784"/>
    <w:rsid w:val="00151C40"/>
    <w:rsid w:val="00151E00"/>
    <w:rsid w:val="00151FE7"/>
    <w:rsid w:val="001520A0"/>
    <w:rsid w:val="001545EB"/>
    <w:rsid w:val="001558B5"/>
    <w:rsid w:val="001576D0"/>
    <w:rsid w:val="00157C72"/>
    <w:rsid w:val="00160343"/>
    <w:rsid w:val="00160764"/>
    <w:rsid w:val="00160A90"/>
    <w:rsid w:val="00160EC0"/>
    <w:rsid w:val="00162080"/>
    <w:rsid w:val="00162666"/>
    <w:rsid w:val="00162AA3"/>
    <w:rsid w:val="00162B7B"/>
    <w:rsid w:val="00162E81"/>
    <w:rsid w:val="00163F7D"/>
    <w:rsid w:val="00164215"/>
    <w:rsid w:val="00165451"/>
    <w:rsid w:val="001657CD"/>
    <w:rsid w:val="00167174"/>
    <w:rsid w:val="00170AD7"/>
    <w:rsid w:val="001714C6"/>
    <w:rsid w:val="00172BB8"/>
    <w:rsid w:val="00172EEE"/>
    <w:rsid w:val="00173F88"/>
    <w:rsid w:val="00174D6B"/>
    <w:rsid w:val="00174FFE"/>
    <w:rsid w:val="00175EF0"/>
    <w:rsid w:val="001767CB"/>
    <w:rsid w:val="00177F0B"/>
    <w:rsid w:val="00180E3F"/>
    <w:rsid w:val="001814D0"/>
    <w:rsid w:val="00183235"/>
    <w:rsid w:val="00183341"/>
    <w:rsid w:val="0018357A"/>
    <w:rsid w:val="00183BA0"/>
    <w:rsid w:val="00184F38"/>
    <w:rsid w:val="00185827"/>
    <w:rsid w:val="00186756"/>
    <w:rsid w:val="0018678E"/>
    <w:rsid w:val="001869E4"/>
    <w:rsid w:val="00186B2B"/>
    <w:rsid w:val="00187F0E"/>
    <w:rsid w:val="00192CBF"/>
    <w:rsid w:val="00192FF1"/>
    <w:rsid w:val="001946EB"/>
    <w:rsid w:val="001954F1"/>
    <w:rsid w:val="001A0068"/>
    <w:rsid w:val="001A10CD"/>
    <w:rsid w:val="001A15A5"/>
    <w:rsid w:val="001A2106"/>
    <w:rsid w:val="001A37C6"/>
    <w:rsid w:val="001A3D9E"/>
    <w:rsid w:val="001A3FD8"/>
    <w:rsid w:val="001A4065"/>
    <w:rsid w:val="001A5D68"/>
    <w:rsid w:val="001A5F1B"/>
    <w:rsid w:val="001A63EB"/>
    <w:rsid w:val="001A6404"/>
    <w:rsid w:val="001A6E19"/>
    <w:rsid w:val="001A79FF"/>
    <w:rsid w:val="001A7FCE"/>
    <w:rsid w:val="001B045D"/>
    <w:rsid w:val="001B066B"/>
    <w:rsid w:val="001B1C22"/>
    <w:rsid w:val="001B266B"/>
    <w:rsid w:val="001B34C6"/>
    <w:rsid w:val="001B3A43"/>
    <w:rsid w:val="001B480A"/>
    <w:rsid w:val="001B4C0B"/>
    <w:rsid w:val="001C0D31"/>
    <w:rsid w:val="001C1A79"/>
    <w:rsid w:val="001C2AE4"/>
    <w:rsid w:val="001C4100"/>
    <w:rsid w:val="001C4568"/>
    <w:rsid w:val="001C491C"/>
    <w:rsid w:val="001C551D"/>
    <w:rsid w:val="001C6289"/>
    <w:rsid w:val="001C6815"/>
    <w:rsid w:val="001C6D14"/>
    <w:rsid w:val="001C70CD"/>
    <w:rsid w:val="001D2B37"/>
    <w:rsid w:val="001D3048"/>
    <w:rsid w:val="001D40EF"/>
    <w:rsid w:val="001D4868"/>
    <w:rsid w:val="001D4DF0"/>
    <w:rsid w:val="001D4F86"/>
    <w:rsid w:val="001D5021"/>
    <w:rsid w:val="001D540A"/>
    <w:rsid w:val="001D6CF5"/>
    <w:rsid w:val="001D722C"/>
    <w:rsid w:val="001D7832"/>
    <w:rsid w:val="001E3295"/>
    <w:rsid w:val="001E3368"/>
    <w:rsid w:val="001E497C"/>
    <w:rsid w:val="001E5215"/>
    <w:rsid w:val="001E535E"/>
    <w:rsid w:val="001E65EB"/>
    <w:rsid w:val="001E7B19"/>
    <w:rsid w:val="001E7E33"/>
    <w:rsid w:val="001F0458"/>
    <w:rsid w:val="001F0466"/>
    <w:rsid w:val="001F1467"/>
    <w:rsid w:val="001F19B0"/>
    <w:rsid w:val="001F35A6"/>
    <w:rsid w:val="001F3E55"/>
    <w:rsid w:val="001F5AA1"/>
    <w:rsid w:val="001F612B"/>
    <w:rsid w:val="001F6677"/>
    <w:rsid w:val="001F6734"/>
    <w:rsid w:val="0020059C"/>
    <w:rsid w:val="00200C1A"/>
    <w:rsid w:val="002011B1"/>
    <w:rsid w:val="00202966"/>
    <w:rsid w:val="00202FDE"/>
    <w:rsid w:val="00204604"/>
    <w:rsid w:val="0020472B"/>
    <w:rsid w:val="00206FFF"/>
    <w:rsid w:val="0020718A"/>
    <w:rsid w:val="002078D3"/>
    <w:rsid w:val="0021119E"/>
    <w:rsid w:val="002112BB"/>
    <w:rsid w:val="002113BA"/>
    <w:rsid w:val="00211D34"/>
    <w:rsid w:val="002124B7"/>
    <w:rsid w:val="002132FC"/>
    <w:rsid w:val="002136FC"/>
    <w:rsid w:val="00214333"/>
    <w:rsid w:val="00214392"/>
    <w:rsid w:val="0021490F"/>
    <w:rsid w:val="00214F04"/>
    <w:rsid w:val="00216ECF"/>
    <w:rsid w:val="00217F7A"/>
    <w:rsid w:val="00221517"/>
    <w:rsid w:val="00221C02"/>
    <w:rsid w:val="002223AB"/>
    <w:rsid w:val="0022248D"/>
    <w:rsid w:val="002224DD"/>
    <w:rsid w:val="0022269F"/>
    <w:rsid w:val="00222B91"/>
    <w:rsid w:val="00224788"/>
    <w:rsid w:val="00225C6B"/>
    <w:rsid w:val="00226277"/>
    <w:rsid w:val="002317D5"/>
    <w:rsid w:val="00231906"/>
    <w:rsid w:val="00231D09"/>
    <w:rsid w:val="00232001"/>
    <w:rsid w:val="00232B3F"/>
    <w:rsid w:val="00234579"/>
    <w:rsid w:val="00234694"/>
    <w:rsid w:val="00235780"/>
    <w:rsid w:val="00235F1C"/>
    <w:rsid w:val="00235F40"/>
    <w:rsid w:val="0023628E"/>
    <w:rsid w:val="00240649"/>
    <w:rsid w:val="002415BD"/>
    <w:rsid w:val="00241E44"/>
    <w:rsid w:val="00242531"/>
    <w:rsid w:val="00244587"/>
    <w:rsid w:val="002447C4"/>
    <w:rsid w:val="00245C8B"/>
    <w:rsid w:val="00247F8D"/>
    <w:rsid w:val="002514B9"/>
    <w:rsid w:val="00251704"/>
    <w:rsid w:val="00253F55"/>
    <w:rsid w:val="002543F3"/>
    <w:rsid w:val="002561DB"/>
    <w:rsid w:val="00257232"/>
    <w:rsid w:val="0025765B"/>
    <w:rsid w:val="0025775B"/>
    <w:rsid w:val="00260252"/>
    <w:rsid w:val="00261123"/>
    <w:rsid w:val="002613F6"/>
    <w:rsid w:val="00262766"/>
    <w:rsid w:val="00262891"/>
    <w:rsid w:val="0026446B"/>
    <w:rsid w:val="00264D22"/>
    <w:rsid w:val="00265302"/>
    <w:rsid w:val="00266B9E"/>
    <w:rsid w:val="00266CD6"/>
    <w:rsid w:val="00266DE7"/>
    <w:rsid w:val="00266EA2"/>
    <w:rsid w:val="00271276"/>
    <w:rsid w:val="00272516"/>
    <w:rsid w:val="0027264C"/>
    <w:rsid w:val="00274508"/>
    <w:rsid w:val="002746B2"/>
    <w:rsid w:val="00275DAB"/>
    <w:rsid w:val="00276681"/>
    <w:rsid w:val="002779FA"/>
    <w:rsid w:val="00280F76"/>
    <w:rsid w:val="00281261"/>
    <w:rsid w:val="00281697"/>
    <w:rsid w:val="00281818"/>
    <w:rsid w:val="00282593"/>
    <w:rsid w:val="00284388"/>
    <w:rsid w:val="002853C5"/>
    <w:rsid w:val="00286B8C"/>
    <w:rsid w:val="00287AB4"/>
    <w:rsid w:val="00287BDB"/>
    <w:rsid w:val="002902EF"/>
    <w:rsid w:val="00290719"/>
    <w:rsid w:val="002941C0"/>
    <w:rsid w:val="002947E9"/>
    <w:rsid w:val="00296D25"/>
    <w:rsid w:val="00296F06"/>
    <w:rsid w:val="00297AF1"/>
    <w:rsid w:val="002A163B"/>
    <w:rsid w:val="002A2919"/>
    <w:rsid w:val="002A2945"/>
    <w:rsid w:val="002A29A6"/>
    <w:rsid w:val="002A34DD"/>
    <w:rsid w:val="002A3593"/>
    <w:rsid w:val="002A4E12"/>
    <w:rsid w:val="002A4EDB"/>
    <w:rsid w:val="002A5A6F"/>
    <w:rsid w:val="002A5D21"/>
    <w:rsid w:val="002A62C9"/>
    <w:rsid w:val="002A6971"/>
    <w:rsid w:val="002A782A"/>
    <w:rsid w:val="002B0AE2"/>
    <w:rsid w:val="002B11E2"/>
    <w:rsid w:val="002B1572"/>
    <w:rsid w:val="002B24B8"/>
    <w:rsid w:val="002B263E"/>
    <w:rsid w:val="002B372B"/>
    <w:rsid w:val="002B4044"/>
    <w:rsid w:val="002B4703"/>
    <w:rsid w:val="002B652A"/>
    <w:rsid w:val="002B68E7"/>
    <w:rsid w:val="002B729A"/>
    <w:rsid w:val="002B7DEE"/>
    <w:rsid w:val="002C0188"/>
    <w:rsid w:val="002C06F4"/>
    <w:rsid w:val="002C0E41"/>
    <w:rsid w:val="002C12C1"/>
    <w:rsid w:val="002C2681"/>
    <w:rsid w:val="002C3006"/>
    <w:rsid w:val="002C4F33"/>
    <w:rsid w:val="002C6C88"/>
    <w:rsid w:val="002C6DCC"/>
    <w:rsid w:val="002C6FA9"/>
    <w:rsid w:val="002D00FD"/>
    <w:rsid w:val="002D13E7"/>
    <w:rsid w:val="002D1414"/>
    <w:rsid w:val="002D1A67"/>
    <w:rsid w:val="002D3101"/>
    <w:rsid w:val="002D3788"/>
    <w:rsid w:val="002D3AE9"/>
    <w:rsid w:val="002D4510"/>
    <w:rsid w:val="002D7C5C"/>
    <w:rsid w:val="002E0F37"/>
    <w:rsid w:val="002E29E6"/>
    <w:rsid w:val="002E31DB"/>
    <w:rsid w:val="002E3D0B"/>
    <w:rsid w:val="002E548A"/>
    <w:rsid w:val="002E5EC9"/>
    <w:rsid w:val="002E714A"/>
    <w:rsid w:val="002F0350"/>
    <w:rsid w:val="002F0734"/>
    <w:rsid w:val="002F22B0"/>
    <w:rsid w:val="002F2388"/>
    <w:rsid w:val="002F2577"/>
    <w:rsid w:val="002F2C1C"/>
    <w:rsid w:val="002F3116"/>
    <w:rsid w:val="002F320C"/>
    <w:rsid w:val="002F3A2B"/>
    <w:rsid w:val="002F41C3"/>
    <w:rsid w:val="002F46E7"/>
    <w:rsid w:val="002F6646"/>
    <w:rsid w:val="002F677E"/>
    <w:rsid w:val="002F7E8C"/>
    <w:rsid w:val="003001B6"/>
    <w:rsid w:val="00300AAC"/>
    <w:rsid w:val="00304F39"/>
    <w:rsid w:val="00306D48"/>
    <w:rsid w:val="00307386"/>
    <w:rsid w:val="003101DA"/>
    <w:rsid w:val="00310EAA"/>
    <w:rsid w:val="003115FB"/>
    <w:rsid w:val="0031200C"/>
    <w:rsid w:val="00313299"/>
    <w:rsid w:val="00313ABF"/>
    <w:rsid w:val="00313D17"/>
    <w:rsid w:val="00314757"/>
    <w:rsid w:val="00314B12"/>
    <w:rsid w:val="00314B48"/>
    <w:rsid w:val="003151B0"/>
    <w:rsid w:val="00316BA2"/>
    <w:rsid w:val="00320123"/>
    <w:rsid w:val="00320509"/>
    <w:rsid w:val="003211CE"/>
    <w:rsid w:val="003235FF"/>
    <w:rsid w:val="00324C26"/>
    <w:rsid w:val="00325A07"/>
    <w:rsid w:val="00325CC1"/>
    <w:rsid w:val="00327381"/>
    <w:rsid w:val="0033279A"/>
    <w:rsid w:val="0033365E"/>
    <w:rsid w:val="003348CC"/>
    <w:rsid w:val="00334F5D"/>
    <w:rsid w:val="0033688A"/>
    <w:rsid w:val="00336C29"/>
    <w:rsid w:val="00336E5E"/>
    <w:rsid w:val="003421E9"/>
    <w:rsid w:val="0034267B"/>
    <w:rsid w:val="00342C18"/>
    <w:rsid w:val="00342E2F"/>
    <w:rsid w:val="00343D23"/>
    <w:rsid w:val="00343FD3"/>
    <w:rsid w:val="00344871"/>
    <w:rsid w:val="0034563F"/>
    <w:rsid w:val="00345658"/>
    <w:rsid w:val="00345D3F"/>
    <w:rsid w:val="00345D7E"/>
    <w:rsid w:val="00345F1B"/>
    <w:rsid w:val="0034673B"/>
    <w:rsid w:val="00346922"/>
    <w:rsid w:val="0034748C"/>
    <w:rsid w:val="00347FA3"/>
    <w:rsid w:val="00350C1A"/>
    <w:rsid w:val="00351862"/>
    <w:rsid w:val="003532CF"/>
    <w:rsid w:val="0035403A"/>
    <w:rsid w:val="00354308"/>
    <w:rsid w:val="003546AD"/>
    <w:rsid w:val="00354D0B"/>
    <w:rsid w:val="00355414"/>
    <w:rsid w:val="0035743A"/>
    <w:rsid w:val="00357B65"/>
    <w:rsid w:val="00360148"/>
    <w:rsid w:val="003607D7"/>
    <w:rsid w:val="00360F0E"/>
    <w:rsid w:val="00361094"/>
    <w:rsid w:val="00361947"/>
    <w:rsid w:val="00361BC9"/>
    <w:rsid w:val="00361F8E"/>
    <w:rsid w:val="00362553"/>
    <w:rsid w:val="0036394B"/>
    <w:rsid w:val="00363ECF"/>
    <w:rsid w:val="003640B0"/>
    <w:rsid w:val="00364348"/>
    <w:rsid w:val="003648A6"/>
    <w:rsid w:val="00365493"/>
    <w:rsid w:val="00365DA6"/>
    <w:rsid w:val="0036625B"/>
    <w:rsid w:val="00366632"/>
    <w:rsid w:val="00366E12"/>
    <w:rsid w:val="003671E5"/>
    <w:rsid w:val="00367BD7"/>
    <w:rsid w:val="00370044"/>
    <w:rsid w:val="003709B5"/>
    <w:rsid w:val="00370BA9"/>
    <w:rsid w:val="00371E59"/>
    <w:rsid w:val="0037248D"/>
    <w:rsid w:val="00372D0C"/>
    <w:rsid w:val="003759C2"/>
    <w:rsid w:val="0037791B"/>
    <w:rsid w:val="00377930"/>
    <w:rsid w:val="00377B19"/>
    <w:rsid w:val="003812C3"/>
    <w:rsid w:val="003813DE"/>
    <w:rsid w:val="00382379"/>
    <w:rsid w:val="00382779"/>
    <w:rsid w:val="00383900"/>
    <w:rsid w:val="00384C6B"/>
    <w:rsid w:val="003853C4"/>
    <w:rsid w:val="00386CB9"/>
    <w:rsid w:val="00386FFE"/>
    <w:rsid w:val="003877DD"/>
    <w:rsid w:val="003908F1"/>
    <w:rsid w:val="0039197F"/>
    <w:rsid w:val="00391F40"/>
    <w:rsid w:val="0039202D"/>
    <w:rsid w:val="003927D1"/>
    <w:rsid w:val="0039281B"/>
    <w:rsid w:val="003930C2"/>
    <w:rsid w:val="0039371A"/>
    <w:rsid w:val="00394852"/>
    <w:rsid w:val="00394EEB"/>
    <w:rsid w:val="00395C79"/>
    <w:rsid w:val="00395F7A"/>
    <w:rsid w:val="003967D6"/>
    <w:rsid w:val="00397365"/>
    <w:rsid w:val="003A1404"/>
    <w:rsid w:val="003A153B"/>
    <w:rsid w:val="003A31F6"/>
    <w:rsid w:val="003A345A"/>
    <w:rsid w:val="003A4705"/>
    <w:rsid w:val="003A47F7"/>
    <w:rsid w:val="003A4E2D"/>
    <w:rsid w:val="003A776A"/>
    <w:rsid w:val="003B1AD6"/>
    <w:rsid w:val="003B2987"/>
    <w:rsid w:val="003B3529"/>
    <w:rsid w:val="003B372D"/>
    <w:rsid w:val="003B3AEE"/>
    <w:rsid w:val="003B4CAB"/>
    <w:rsid w:val="003B575E"/>
    <w:rsid w:val="003B616F"/>
    <w:rsid w:val="003B6996"/>
    <w:rsid w:val="003C0B58"/>
    <w:rsid w:val="003C17AE"/>
    <w:rsid w:val="003C191F"/>
    <w:rsid w:val="003C2657"/>
    <w:rsid w:val="003C3447"/>
    <w:rsid w:val="003C40A8"/>
    <w:rsid w:val="003C41EB"/>
    <w:rsid w:val="003C453B"/>
    <w:rsid w:val="003C4EFE"/>
    <w:rsid w:val="003C5D33"/>
    <w:rsid w:val="003C67B6"/>
    <w:rsid w:val="003C734A"/>
    <w:rsid w:val="003D076C"/>
    <w:rsid w:val="003D0D16"/>
    <w:rsid w:val="003D1168"/>
    <w:rsid w:val="003D268B"/>
    <w:rsid w:val="003D2974"/>
    <w:rsid w:val="003D51D2"/>
    <w:rsid w:val="003D5288"/>
    <w:rsid w:val="003D6146"/>
    <w:rsid w:val="003E051D"/>
    <w:rsid w:val="003E0F49"/>
    <w:rsid w:val="003E153A"/>
    <w:rsid w:val="003E169C"/>
    <w:rsid w:val="003E363F"/>
    <w:rsid w:val="003E694B"/>
    <w:rsid w:val="003E78B5"/>
    <w:rsid w:val="003F0E0F"/>
    <w:rsid w:val="003F1D3A"/>
    <w:rsid w:val="003F4014"/>
    <w:rsid w:val="003F431C"/>
    <w:rsid w:val="003F5015"/>
    <w:rsid w:val="003F5A26"/>
    <w:rsid w:val="003F6AD6"/>
    <w:rsid w:val="003F779E"/>
    <w:rsid w:val="003F7907"/>
    <w:rsid w:val="00402678"/>
    <w:rsid w:val="004029EF"/>
    <w:rsid w:val="004037AC"/>
    <w:rsid w:val="00404683"/>
    <w:rsid w:val="00404AF3"/>
    <w:rsid w:val="00405601"/>
    <w:rsid w:val="00405ED4"/>
    <w:rsid w:val="00405FB5"/>
    <w:rsid w:val="0040622B"/>
    <w:rsid w:val="004067AB"/>
    <w:rsid w:val="00410619"/>
    <w:rsid w:val="0041192D"/>
    <w:rsid w:val="00412FFE"/>
    <w:rsid w:val="00413C4E"/>
    <w:rsid w:val="0041536C"/>
    <w:rsid w:val="00415A83"/>
    <w:rsid w:val="00415BAB"/>
    <w:rsid w:val="00415ED2"/>
    <w:rsid w:val="00416B85"/>
    <w:rsid w:val="00417B9B"/>
    <w:rsid w:val="0042068C"/>
    <w:rsid w:val="004223F8"/>
    <w:rsid w:val="004228DE"/>
    <w:rsid w:val="00425999"/>
    <w:rsid w:val="004259ED"/>
    <w:rsid w:val="0043021B"/>
    <w:rsid w:val="0043255E"/>
    <w:rsid w:val="00433649"/>
    <w:rsid w:val="004337F8"/>
    <w:rsid w:val="00433CB4"/>
    <w:rsid w:val="004345FE"/>
    <w:rsid w:val="00435A14"/>
    <w:rsid w:val="004364D3"/>
    <w:rsid w:val="00440547"/>
    <w:rsid w:val="00442011"/>
    <w:rsid w:val="00442DA7"/>
    <w:rsid w:val="00442F3C"/>
    <w:rsid w:val="004430DD"/>
    <w:rsid w:val="0044345E"/>
    <w:rsid w:val="00443612"/>
    <w:rsid w:val="004437FE"/>
    <w:rsid w:val="004445F8"/>
    <w:rsid w:val="00444B8E"/>
    <w:rsid w:val="004464A2"/>
    <w:rsid w:val="0044703C"/>
    <w:rsid w:val="00447B4B"/>
    <w:rsid w:val="004528DC"/>
    <w:rsid w:val="0045363D"/>
    <w:rsid w:val="00453AC7"/>
    <w:rsid w:val="00455E66"/>
    <w:rsid w:val="00457838"/>
    <w:rsid w:val="00457962"/>
    <w:rsid w:val="00457DB5"/>
    <w:rsid w:val="004604C4"/>
    <w:rsid w:val="00462B8C"/>
    <w:rsid w:val="004630BE"/>
    <w:rsid w:val="0046443C"/>
    <w:rsid w:val="00464758"/>
    <w:rsid w:val="0046519F"/>
    <w:rsid w:val="004657F5"/>
    <w:rsid w:val="00465B6F"/>
    <w:rsid w:val="004660AE"/>
    <w:rsid w:val="00470455"/>
    <w:rsid w:val="0047122B"/>
    <w:rsid w:val="00471892"/>
    <w:rsid w:val="004723DE"/>
    <w:rsid w:val="00472971"/>
    <w:rsid w:val="00472E42"/>
    <w:rsid w:val="00473B7A"/>
    <w:rsid w:val="00475814"/>
    <w:rsid w:val="0047597F"/>
    <w:rsid w:val="00475AB7"/>
    <w:rsid w:val="00476A7F"/>
    <w:rsid w:val="0047703C"/>
    <w:rsid w:val="00477655"/>
    <w:rsid w:val="0048016B"/>
    <w:rsid w:val="004814DB"/>
    <w:rsid w:val="004834B9"/>
    <w:rsid w:val="0048540D"/>
    <w:rsid w:val="00490298"/>
    <w:rsid w:val="004902BD"/>
    <w:rsid w:val="004919DB"/>
    <w:rsid w:val="00491B7F"/>
    <w:rsid w:val="00491DC1"/>
    <w:rsid w:val="00492735"/>
    <w:rsid w:val="00493343"/>
    <w:rsid w:val="004945F0"/>
    <w:rsid w:val="004960E9"/>
    <w:rsid w:val="00496421"/>
    <w:rsid w:val="004964CA"/>
    <w:rsid w:val="004A0A13"/>
    <w:rsid w:val="004A2E88"/>
    <w:rsid w:val="004A2E8C"/>
    <w:rsid w:val="004A3F84"/>
    <w:rsid w:val="004A5305"/>
    <w:rsid w:val="004A606D"/>
    <w:rsid w:val="004A6A94"/>
    <w:rsid w:val="004A6C95"/>
    <w:rsid w:val="004A6E19"/>
    <w:rsid w:val="004A770C"/>
    <w:rsid w:val="004A7A5C"/>
    <w:rsid w:val="004B0826"/>
    <w:rsid w:val="004B19ED"/>
    <w:rsid w:val="004B2BE4"/>
    <w:rsid w:val="004B36C1"/>
    <w:rsid w:val="004B4CF1"/>
    <w:rsid w:val="004B5E9A"/>
    <w:rsid w:val="004B6DFB"/>
    <w:rsid w:val="004B7AD2"/>
    <w:rsid w:val="004B7D6B"/>
    <w:rsid w:val="004C0AE3"/>
    <w:rsid w:val="004C0AF8"/>
    <w:rsid w:val="004C12EE"/>
    <w:rsid w:val="004C14DD"/>
    <w:rsid w:val="004C1E04"/>
    <w:rsid w:val="004C21C5"/>
    <w:rsid w:val="004C35E2"/>
    <w:rsid w:val="004C488E"/>
    <w:rsid w:val="004C491F"/>
    <w:rsid w:val="004C6594"/>
    <w:rsid w:val="004C7331"/>
    <w:rsid w:val="004D01B1"/>
    <w:rsid w:val="004D048C"/>
    <w:rsid w:val="004D0B97"/>
    <w:rsid w:val="004D1697"/>
    <w:rsid w:val="004D1A65"/>
    <w:rsid w:val="004D1F2A"/>
    <w:rsid w:val="004D204E"/>
    <w:rsid w:val="004D233C"/>
    <w:rsid w:val="004D3B91"/>
    <w:rsid w:val="004D3CB9"/>
    <w:rsid w:val="004D471E"/>
    <w:rsid w:val="004D57B0"/>
    <w:rsid w:val="004D67C2"/>
    <w:rsid w:val="004D69E6"/>
    <w:rsid w:val="004D6BAC"/>
    <w:rsid w:val="004D7634"/>
    <w:rsid w:val="004D7ECF"/>
    <w:rsid w:val="004E0CF2"/>
    <w:rsid w:val="004E113E"/>
    <w:rsid w:val="004E2D33"/>
    <w:rsid w:val="004E3064"/>
    <w:rsid w:val="004E5F4E"/>
    <w:rsid w:val="004E6431"/>
    <w:rsid w:val="004E69B7"/>
    <w:rsid w:val="004E7E35"/>
    <w:rsid w:val="004F061E"/>
    <w:rsid w:val="004F140B"/>
    <w:rsid w:val="004F2454"/>
    <w:rsid w:val="004F25F8"/>
    <w:rsid w:val="004F2EDE"/>
    <w:rsid w:val="004F3865"/>
    <w:rsid w:val="004F6A67"/>
    <w:rsid w:val="004F7B7D"/>
    <w:rsid w:val="004F7EDD"/>
    <w:rsid w:val="00500D81"/>
    <w:rsid w:val="00501604"/>
    <w:rsid w:val="00504A55"/>
    <w:rsid w:val="00506CA5"/>
    <w:rsid w:val="00507DBA"/>
    <w:rsid w:val="005119DE"/>
    <w:rsid w:val="00511BE8"/>
    <w:rsid w:val="00511BFC"/>
    <w:rsid w:val="0051546B"/>
    <w:rsid w:val="005156A9"/>
    <w:rsid w:val="00515F0E"/>
    <w:rsid w:val="00516129"/>
    <w:rsid w:val="005163AC"/>
    <w:rsid w:val="00516D98"/>
    <w:rsid w:val="00517ACB"/>
    <w:rsid w:val="00521426"/>
    <w:rsid w:val="005216F1"/>
    <w:rsid w:val="005218BC"/>
    <w:rsid w:val="005230F7"/>
    <w:rsid w:val="00524412"/>
    <w:rsid w:val="005247B0"/>
    <w:rsid w:val="00524CE8"/>
    <w:rsid w:val="005254EF"/>
    <w:rsid w:val="00525EA7"/>
    <w:rsid w:val="00526059"/>
    <w:rsid w:val="0052714C"/>
    <w:rsid w:val="00527947"/>
    <w:rsid w:val="0053001A"/>
    <w:rsid w:val="005300D3"/>
    <w:rsid w:val="00531367"/>
    <w:rsid w:val="0053245C"/>
    <w:rsid w:val="00533B1E"/>
    <w:rsid w:val="00533E72"/>
    <w:rsid w:val="00534935"/>
    <w:rsid w:val="005350D8"/>
    <w:rsid w:val="00535192"/>
    <w:rsid w:val="0053573C"/>
    <w:rsid w:val="005358D5"/>
    <w:rsid w:val="005359FA"/>
    <w:rsid w:val="00535BA7"/>
    <w:rsid w:val="005376C9"/>
    <w:rsid w:val="00537DB5"/>
    <w:rsid w:val="005406C3"/>
    <w:rsid w:val="00540F2F"/>
    <w:rsid w:val="00543177"/>
    <w:rsid w:val="0054402B"/>
    <w:rsid w:val="00544B06"/>
    <w:rsid w:val="00544F82"/>
    <w:rsid w:val="00545589"/>
    <w:rsid w:val="00545BE1"/>
    <w:rsid w:val="00545FC2"/>
    <w:rsid w:val="00546285"/>
    <w:rsid w:val="00547741"/>
    <w:rsid w:val="00547BE7"/>
    <w:rsid w:val="00547D7E"/>
    <w:rsid w:val="0054CBCD"/>
    <w:rsid w:val="00552278"/>
    <w:rsid w:val="00552E79"/>
    <w:rsid w:val="00554720"/>
    <w:rsid w:val="00554A34"/>
    <w:rsid w:val="00555064"/>
    <w:rsid w:val="0055629E"/>
    <w:rsid w:val="00556FC2"/>
    <w:rsid w:val="005576D1"/>
    <w:rsid w:val="00557991"/>
    <w:rsid w:val="00561E6E"/>
    <w:rsid w:val="005625BE"/>
    <w:rsid w:val="00565086"/>
    <w:rsid w:val="005654A3"/>
    <w:rsid w:val="00565A72"/>
    <w:rsid w:val="00566234"/>
    <w:rsid w:val="00566E31"/>
    <w:rsid w:val="0056743A"/>
    <w:rsid w:val="00567F20"/>
    <w:rsid w:val="005700AE"/>
    <w:rsid w:val="00571AD0"/>
    <w:rsid w:val="00572624"/>
    <w:rsid w:val="005732D5"/>
    <w:rsid w:val="005736C1"/>
    <w:rsid w:val="00573F9D"/>
    <w:rsid w:val="00576D07"/>
    <w:rsid w:val="00576D9E"/>
    <w:rsid w:val="00576FD0"/>
    <w:rsid w:val="00577591"/>
    <w:rsid w:val="0057795B"/>
    <w:rsid w:val="005803FF"/>
    <w:rsid w:val="00583790"/>
    <w:rsid w:val="005865B3"/>
    <w:rsid w:val="00586DCC"/>
    <w:rsid w:val="005871F3"/>
    <w:rsid w:val="005879DD"/>
    <w:rsid w:val="00587EB7"/>
    <w:rsid w:val="00587F09"/>
    <w:rsid w:val="00593AF1"/>
    <w:rsid w:val="00593C4F"/>
    <w:rsid w:val="005946A8"/>
    <w:rsid w:val="00594785"/>
    <w:rsid w:val="00594D52"/>
    <w:rsid w:val="00594DD0"/>
    <w:rsid w:val="00595CDB"/>
    <w:rsid w:val="005963F9"/>
    <w:rsid w:val="005972BD"/>
    <w:rsid w:val="005A14F6"/>
    <w:rsid w:val="005A1E35"/>
    <w:rsid w:val="005A2BE5"/>
    <w:rsid w:val="005A4407"/>
    <w:rsid w:val="005A59EF"/>
    <w:rsid w:val="005A6333"/>
    <w:rsid w:val="005A6DFF"/>
    <w:rsid w:val="005A7202"/>
    <w:rsid w:val="005A7B17"/>
    <w:rsid w:val="005B0C05"/>
    <w:rsid w:val="005B1D1C"/>
    <w:rsid w:val="005B2BF1"/>
    <w:rsid w:val="005B3E1D"/>
    <w:rsid w:val="005B3E79"/>
    <w:rsid w:val="005B42EC"/>
    <w:rsid w:val="005B478F"/>
    <w:rsid w:val="005B5D12"/>
    <w:rsid w:val="005B60A9"/>
    <w:rsid w:val="005B6B1F"/>
    <w:rsid w:val="005C16B7"/>
    <w:rsid w:val="005C1ECD"/>
    <w:rsid w:val="005C2020"/>
    <w:rsid w:val="005C277E"/>
    <w:rsid w:val="005C3493"/>
    <w:rsid w:val="005C38A5"/>
    <w:rsid w:val="005C41E0"/>
    <w:rsid w:val="005C4BD3"/>
    <w:rsid w:val="005C5510"/>
    <w:rsid w:val="005C568A"/>
    <w:rsid w:val="005C5A4E"/>
    <w:rsid w:val="005C6976"/>
    <w:rsid w:val="005C7463"/>
    <w:rsid w:val="005C7798"/>
    <w:rsid w:val="005D04E6"/>
    <w:rsid w:val="005D1206"/>
    <w:rsid w:val="005D1428"/>
    <w:rsid w:val="005D1F3C"/>
    <w:rsid w:val="005D2A8E"/>
    <w:rsid w:val="005D4921"/>
    <w:rsid w:val="005D53B3"/>
    <w:rsid w:val="005E10F9"/>
    <w:rsid w:val="005E1DD5"/>
    <w:rsid w:val="005E20AD"/>
    <w:rsid w:val="005E20D0"/>
    <w:rsid w:val="005E297C"/>
    <w:rsid w:val="005E2BAB"/>
    <w:rsid w:val="005E31C2"/>
    <w:rsid w:val="005E32C7"/>
    <w:rsid w:val="005E3BCC"/>
    <w:rsid w:val="005E4B09"/>
    <w:rsid w:val="005E5236"/>
    <w:rsid w:val="005E75C2"/>
    <w:rsid w:val="005E7A63"/>
    <w:rsid w:val="005F1AC5"/>
    <w:rsid w:val="005F1BC7"/>
    <w:rsid w:val="005F2806"/>
    <w:rsid w:val="005F2909"/>
    <w:rsid w:val="005F3C54"/>
    <w:rsid w:val="005F4F0E"/>
    <w:rsid w:val="005F4FDC"/>
    <w:rsid w:val="005F5109"/>
    <w:rsid w:val="005F51E7"/>
    <w:rsid w:val="005F6A78"/>
    <w:rsid w:val="005F6C29"/>
    <w:rsid w:val="005F6F41"/>
    <w:rsid w:val="005F73F3"/>
    <w:rsid w:val="005F7482"/>
    <w:rsid w:val="00601242"/>
    <w:rsid w:val="00602B57"/>
    <w:rsid w:val="00603F3F"/>
    <w:rsid w:val="0060491E"/>
    <w:rsid w:val="00604C35"/>
    <w:rsid w:val="00604D99"/>
    <w:rsid w:val="00604E9D"/>
    <w:rsid w:val="00604FCF"/>
    <w:rsid w:val="00605778"/>
    <w:rsid w:val="00606E1E"/>
    <w:rsid w:val="00607147"/>
    <w:rsid w:val="006100D2"/>
    <w:rsid w:val="0061017A"/>
    <w:rsid w:val="006105F4"/>
    <w:rsid w:val="0061136C"/>
    <w:rsid w:val="00613BDC"/>
    <w:rsid w:val="006149D7"/>
    <w:rsid w:val="00614C07"/>
    <w:rsid w:val="00614D59"/>
    <w:rsid w:val="0062119A"/>
    <w:rsid w:val="0062367D"/>
    <w:rsid w:val="00624144"/>
    <w:rsid w:val="00624C61"/>
    <w:rsid w:val="00625DC6"/>
    <w:rsid w:val="006265AB"/>
    <w:rsid w:val="00626DDC"/>
    <w:rsid w:val="006318E9"/>
    <w:rsid w:val="00631E96"/>
    <w:rsid w:val="006329D5"/>
    <w:rsid w:val="00635075"/>
    <w:rsid w:val="00635251"/>
    <w:rsid w:val="00635263"/>
    <w:rsid w:val="006372E1"/>
    <w:rsid w:val="006402C6"/>
    <w:rsid w:val="006414A9"/>
    <w:rsid w:val="00643080"/>
    <w:rsid w:val="0064391D"/>
    <w:rsid w:val="00643BB6"/>
    <w:rsid w:val="00644715"/>
    <w:rsid w:val="0064507D"/>
    <w:rsid w:val="006474D5"/>
    <w:rsid w:val="00647BB9"/>
    <w:rsid w:val="0065037B"/>
    <w:rsid w:val="00651253"/>
    <w:rsid w:val="00651821"/>
    <w:rsid w:val="00651CC4"/>
    <w:rsid w:val="00654384"/>
    <w:rsid w:val="00655EE4"/>
    <w:rsid w:val="00656361"/>
    <w:rsid w:val="00656F40"/>
    <w:rsid w:val="0065711A"/>
    <w:rsid w:val="0065718B"/>
    <w:rsid w:val="00657E78"/>
    <w:rsid w:val="00657F8E"/>
    <w:rsid w:val="006628BA"/>
    <w:rsid w:val="0066383A"/>
    <w:rsid w:val="0066478F"/>
    <w:rsid w:val="006648AD"/>
    <w:rsid w:val="00664F04"/>
    <w:rsid w:val="0066615F"/>
    <w:rsid w:val="00666C7F"/>
    <w:rsid w:val="006675CD"/>
    <w:rsid w:val="006677F8"/>
    <w:rsid w:val="00667CA8"/>
    <w:rsid w:val="00670B61"/>
    <w:rsid w:val="00670EA5"/>
    <w:rsid w:val="00670F8F"/>
    <w:rsid w:val="00671D9E"/>
    <w:rsid w:val="006736D4"/>
    <w:rsid w:val="006736F1"/>
    <w:rsid w:val="00673A8A"/>
    <w:rsid w:val="006757D3"/>
    <w:rsid w:val="00675876"/>
    <w:rsid w:val="00675B7A"/>
    <w:rsid w:val="006772A6"/>
    <w:rsid w:val="0067782F"/>
    <w:rsid w:val="006778DF"/>
    <w:rsid w:val="006806E7"/>
    <w:rsid w:val="00680D85"/>
    <w:rsid w:val="00681E2A"/>
    <w:rsid w:val="00681F47"/>
    <w:rsid w:val="006829E2"/>
    <w:rsid w:val="006835D0"/>
    <w:rsid w:val="00684194"/>
    <w:rsid w:val="00684D9B"/>
    <w:rsid w:val="006874BE"/>
    <w:rsid w:val="00690BA0"/>
    <w:rsid w:val="00690CD6"/>
    <w:rsid w:val="0069138D"/>
    <w:rsid w:val="00692355"/>
    <w:rsid w:val="00692595"/>
    <w:rsid w:val="006928A0"/>
    <w:rsid w:val="00692AFE"/>
    <w:rsid w:val="00692C71"/>
    <w:rsid w:val="00692F2D"/>
    <w:rsid w:val="0069340F"/>
    <w:rsid w:val="00694292"/>
    <w:rsid w:val="0069453A"/>
    <w:rsid w:val="00696EAD"/>
    <w:rsid w:val="00697556"/>
    <w:rsid w:val="0069758C"/>
    <w:rsid w:val="006A0F78"/>
    <w:rsid w:val="006A174F"/>
    <w:rsid w:val="006A4697"/>
    <w:rsid w:val="006A545F"/>
    <w:rsid w:val="006A5DC8"/>
    <w:rsid w:val="006A6E65"/>
    <w:rsid w:val="006A7E0C"/>
    <w:rsid w:val="006B05FC"/>
    <w:rsid w:val="006B1028"/>
    <w:rsid w:val="006B4647"/>
    <w:rsid w:val="006B46DB"/>
    <w:rsid w:val="006B4C2B"/>
    <w:rsid w:val="006B6D47"/>
    <w:rsid w:val="006B7341"/>
    <w:rsid w:val="006B787B"/>
    <w:rsid w:val="006C33C7"/>
    <w:rsid w:val="006C42EB"/>
    <w:rsid w:val="006C5AFE"/>
    <w:rsid w:val="006C63D4"/>
    <w:rsid w:val="006C6479"/>
    <w:rsid w:val="006C656C"/>
    <w:rsid w:val="006D07C2"/>
    <w:rsid w:val="006D0D50"/>
    <w:rsid w:val="006D0FF0"/>
    <w:rsid w:val="006D24EC"/>
    <w:rsid w:val="006D27A0"/>
    <w:rsid w:val="006D2FB1"/>
    <w:rsid w:val="006D3ACD"/>
    <w:rsid w:val="006D516A"/>
    <w:rsid w:val="006D5366"/>
    <w:rsid w:val="006D5677"/>
    <w:rsid w:val="006D5A47"/>
    <w:rsid w:val="006E04DA"/>
    <w:rsid w:val="006E10A5"/>
    <w:rsid w:val="006E10CB"/>
    <w:rsid w:val="006E110E"/>
    <w:rsid w:val="006E176E"/>
    <w:rsid w:val="006E25D0"/>
    <w:rsid w:val="006E29B2"/>
    <w:rsid w:val="006E33C9"/>
    <w:rsid w:val="006E3857"/>
    <w:rsid w:val="006E4BB7"/>
    <w:rsid w:val="006E52CE"/>
    <w:rsid w:val="006E672E"/>
    <w:rsid w:val="006E6A17"/>
    <w:rsid w:val="006E7781"/>
    <w:rsid w:val="006F16B3"/>
    <w:rsid w:val="006F197A"/>
    <w:rsid w:val="006F2E24"/>
    <w:rsid w:val="006F3762"/>
    <w:rsid w:val="006F4A5D"/>
    <w:rsid w:val="006F4C88"/>
    <w:rsid w:val="006F6CB4"/>
    <w:rsid w:val="006F6D95"/>
    <w:rsid w:val="006F6F09"/>
    <w:rsid w:val="006F7006"/>
    <w:rsid w:val="006F723E"/>
    <w:rsid w:val="00703BCC"/>
    <w:rsid w:val="00704019"/>
    <w:rsid w:val="007040A5"/>
    <w:rsid w:val="0070422D"/>
    <w:rsid w:val="00705947"/>
    <w:rsid w:val="00706F13"/>
    <w:rsid w:val="007072E8"/>
    <w:rsid w:val="00712275"/>
    <w:rsid w:val="007122FA"/>
    <w:rsid w:val="007128CD"/>
    <w:rsid w:val="00713528"/>
    <w:rsid w:val="007135CC"/>
    <w:rsid w:val="007139B7"/>
    <w:rsid w:val="00713EDC"/>
    <w:rsid w:val="00715E6B"/>
    <w:rsid w:val="0071618D"/>
    <w:rsid w:val="00717250"/>
    <w:rsid w:val="007215BF"/>
    <w:rsid w:val="00722882"/>
    <w:rsid w:val="0072292D"/>
    <w:rsid w:val="00722D5B"/>
    <w:rsid w:val="007235B4"/>
    <w:rsid w:val="007240B9"/>
    <w:rsid w:val="0072430E"/>
    <w:rsid w:val="0072492A"/>
    <w:rsid w:val="00725FA4"/>
    <w:rsid w:val="007303F8"/>
    <w:rsid w:val="0073072D"/>
    <w:rsid w:val="0073096B"/>
    <w:rsid w:val="00731272"/>
    <w:rsid w:val="007339E2"/>
    <w:rsid w:val="0073456D"/>
    <w:rsid w:val="007347BA"/>
    <w:rsid w:val="00734B1B"/>
    <w:rsid w:val="0074040C"/>
    <w:rsid w:val="00740446"/>
    <w:rsid w:val="00742B4F"/>
    <w:rsid w:val="00742B8F"/>
    <w:rsid w:val="0074345B"/>
    <w:rsid w:val="007435E9"/>
    <w:rsid w:val="007438A9"/>
    <w:rsid w:val="00743D91"/>
    <w:rsid w:val="0074491E"/>
    <w:rsid w:val="00744FBF"/>
    <w:rsid w:val="00746440"/>
    <w:rsid w:val="00746A28"/>
    <w:rsid w:val="00747EEB"/>
    <w:rsid w:val="00750758"/>
    <w:rsid w:val="00751627"/>
    <w:rsid w:val="00751809"/>
    <w:rsid w:val="00751EFC"/>
    <w:rsid w:val="00752115"/>
    <w:rsid w:val="00752950"/>
    <w:rsid w:val="00753935"/>
    <w:rsid w:val="00753DF3"/>
    <w:rsid w:val="00755452"/>
    <w:rsid w:val="007564E8"/>
    <w:rsid w:val="0075655E"/>
    <w:rsid w:val="00761A2A"/>
    <w:rsid w:val="0076247A"/>
    <w:rsid w:val="007629D3"/>
    <w:rsid w:val="00762FD8"/>
    <w:rsid w:val="0076322F"/>
    <w:rsid w:val="007638AE"/>
    <w:rsid w:val="00763BC4"/>
    <w:rsid w:val="00764015"/>
    <w:rsid w:val="0076550B"/>
    <w:rsid w:val="00766379"/>
    <w:rsid w:val="00766C49"/>
    <w:rsid w:val="00767431"/>
    <w:rsid w:val="0077015E"/>
    <w:rsid w:val="00773C8B"/>
    <w:rsid w:val="00773E8A"/>
    <w:rsid w:val="007741CB"/>
    <w:rsid w:val="007742B4"/>
    <w:rsid w:val="00774E83"/>
    <w:rsid w:val="00774EF1"/>
    <w:rsid w:val="00775651"/>
    <w:rsid w:val="00775964"/>
    <w:rsid w:val="007765FE"/>
    <w:rsid w:val="00776FC1"/>
    <w:rsid w:val="007800E7"/>
    <w:rsid w:val="007809ED"/>
    <w:rsid w:val="007810D6"/>
    <w:rsid w:val="007812A5"/>
    <w:rsid w:val="007817F3"/>
    <w:rsid w:val="00781D0A"/>
    <w:rsid w:val="007820AC"/>
    <w:rsid w:val="00782A56"/>
    <w:rsid w:val="0078368B"/>
    <w:rsid w:val="00783C5B"/>
    <w:rsid w:val="00785B2E"/>
    <w:rsid w:val="00786043"/>
    <w:rsid w:val="0078678F"/>
    <w:rsid w:val="00786978"/>
    <w:rsid w:val="007879DB"/>
    <w:rsid w:val="00787DA5"/>
    <w:rsid w:val="007909C6"/>
    <w:rsid w:val="00790DD3"/>
    <w:rsid w:val="00791183"/>
    <w:rsid w:val="00791AC2"/>
    <w:rsid w:val="00791DF1"/>
    <w:rsid w:val="00795BFB"/>
    <w:rsid w:val="00795CD3"/>
    <w:rsid w:val="007961BA"/>
    <w:rsid w:val="0079664A"/>
    <w:rsid w:val="00797141"/>
    <w:rsid w:val="00797F26"/>
    <w:rsid w:val="007A0FA6"/>
    <w:rsid w:val="007A107D"/>
    <w:rsid w:val="007A125D"/>
    <w:rsid w:val="007A1862"/>
    <w:rsid w:val="007A1BCB"/>
    <w:rsid w:val="007A2E21"/>
    <w:rsid w:val="007A3E7A"/>
    <w:rsid w:val="007A478B"/>
    <w:rsid w:val="007A7D55"/>
    <w:rsid w:val="007A7E87"/>
    <w:rsid w:val="007B0E05"/>
    <w:rsid w:val="007B1059"/>
    <w:rsid w:val="007B1833"/>
    <w:rsid w:val="007B1EBE"/>
    <w:rsid w:val="007B2760"/>
    <w:rsid w:val="007B2BC8"/>
    <w:rsid w:val="007B396D"/>
    <w:rsid w:val="007B48FF"/>
    <w:rsid w:val="007B4E78"/>
    <w:rsid w:val="007B5075"/>
    <w:rsid w:val="007B5236"/>
    <w:rsid w:val="007B6D5B"/>
    <w:rsid w:val="007B78C0"/>
    <w:rsid w:val="007C033D"/>
    <w:rsid w:val="007C053D"/>
    <w:rsid w:val="007C0CFE"/>
    <w:rsid w:val="007C29E7"/>
    <w:rsid w:val="007C2B4D"/>
    <w:rsid w:val="007C5107"/>
    <w:rsid w:val="007C7FF4"/>
    <w:rsid w:val="007D0798"/>
    <w:rsid w:val="007D15B4"/>
    <w:rsid w:val="007D4898"/>
    <w:rsid w:val="007D4BA2"/>
    <w:rsid w:val="007D620B"/>
    <w:rsid w:val="007D7CFD"/>
    <w:rsid w:val="007D7F24"/>
    <w:rsid w:val="007E1345"/>
    <w:rsid w:val="007E176F"/>
    <w:rsid w:val="007E20DD"/>
    <w:rsid w:val="007E23F2"/>
    <w:rsid w:val="007E28BD"/>
    <w:rsid w:val="007E4162"/>
    <w:rsid w:val="007E4CB8"/>
    <w:rsid w:val="007E7611"/>
    <w:rsid w:val="007E775D"/>
    <w:rsid w:val="007F1CEB"/>
    <w:rsid w:val="007F1D98"/>
    <w:rsid w:val="007F3044"/>
    <w:rsid w:val="007F38C3"/>
    <w:rsid w:val="007F5347"/>
    <w:rsid w:val="007F6113"/>
    <w:rsid w:val="007F7C07"/>
    <w:rsid w:val="007F7E77"/>
    <w:rsid w:val="008005C1"/>
    <w:rsid w:val="00800D43"/>
    <w:rsid w:val="008010A0"/>
    <w:rsid w:val="00801529"/>
    <w:rsid w:val="008019BC"/>
    <w:rsid w:val="00801A0E"/>
    <w:rsid w:val="00802732"/>
    <w:rsid w:val="00804798"/>
    <w:rsid w:val="00805D87"/>
    <w:rsid w:val="00806C01"/>
    <w:rsid w:val="00807D80"/>
    <w:rsid w:val="00810107"/>
    <w:rsid w:val="00811021"/>
    <w:rsid w:val="008111C6"/>
    <w:rsid w:val="0081166D"/>
    <w:rsid w:val="00811C56"/>
    <w:rsid w:val="00811F19"/>
    <w:rsid w:val="008148CC"/>
    <w:rsid w:val="00814F85"/>
    <w:rsid w:val="00815077"/>
    <w:rsid w:val="0081587B"/>
    <w:rsid w:val="008169AE"/>
    <w:rsid w:val="008211A4"/>
    <w:rsid w:val="0082196A"/>
    <w:rsid w:val="00821CC5"/>
    <w:rsid w:val="008225EB"/>
    <w:rsid w:val="0082340D"/>
    <w:rsid w:val="0082601B"/>
    <w:rsid w:val="0082777E"/>
    <w:rsid w:val="00827A7B"/>
    <w:rsid w:val="00830275"/>
    <w:rsid w:val="008303C2"/>
    <w:rsid w:val="00831F3B"/>
    <w:rsid w:val="008322F3"/>
    <w:rsid w:val="00832D42"/>
    <w:rsid w:val="00834902"/>
    <w:rsid w:val="008352AD"/>
    <w:rsid w:val="00835322"/>
    <w:rsid w:val="00837237"/>
    <w:rsid w:val="00837A36"/>
    <w:rsid w:val="00837F48"/>
    <w:rsid w:val="00837F8D"/>
    <w:rsid w:val="00840A9E"/>
    <w:rsid w:val="00842B6B"/>
    <w:rsid w:val="008430E1"/>
    <w:rsid w:val="00844715"/>
    <w:rsid w:val="00844898"/>
    <w:rsid w:val="00845176"/>
    <w:rsid w:val="00845E31"/>
    <w:rsid w:val="0084626A"/>
    <w:rsid w:val="00850938"/>
    <w:rsid w:val="00850C6E"/>
    <w:rsid w:val="00850DF2"/>
    <w:rsid w:val="0085298F"/>
    <w:rsid w:val="0085299C"/>
    <w:rsid w:val="0085405D"/>
    <w:rsid w:val="008547DE"/>
    <w:rsid w:val="008549B5"/>
    <w:rsid w:val="00854A75"/>
    <w:rsid w:val="00854EE1"/>
    <w:rsid w:val="00855197"/>
    <w:rsid w:val="00855622"/>
    <w:rsid w:val="00855AE9"/>
    <w:rsid w:val="0085625D"/>
    <w:rsid w:val="008566F1"/>
    <w:rsid w:val="00857447"/>
    <w:rsid w:val="0086004A"/>
    <w:rsid w:val="00860320"/>
    <w:rsid w:val="008610B9"/>
    <w:rsid w:val="0086227F"/>
    <w:rsid w:val="00862307"/>
    <w:rsid w:val="00862453"/>
    <w:rsid w:val="00863E5F"/>
    <w:rsid w:val="00865409"/>
    <w:rsid w:val="008669DD"/>
    <w:rsid w:val="0086761A"/>
    <w:rsid w:val="008710A5"/>
    <w:rsid w:val="0087159E"/>
    <w:rsid w:val="00872027"/>
    <w:rsid w:val="0087244A"/>
    <w:rsid w:val="00872FFB"/>
    <w:rsid w:val="00873150"/>
    <w:rsid w:val="008741B9"/>
    <w:rsid w:val="00874D51"/>
    <w:rsid w:val="0087559F"/>
    <w:rsid w:val="00876270"/>
    <w:rsid w:val="0087657D"/>
    <w:rsid w:val="008766CB"/>
    <w:rsid w:val="0087698B"/>
    <w:rsid w:val="00877CC0"/>
    <w:rsid w:val="00880245"/>
    <w:rsid w:val="008807D5"/>
    <w:rsid w:val="00880832"/>
    <w:rsid w:val="008808CF"/>
    <w:rsid w:val="00880CEA"/>
    <w:rsid w:val="00881D8F"/>
    <w:rsid w:val="00882F20"/>
    <w:rsid w:val="008833C1"/>
    <w:rsid w:val="00883905"/>
    <w:rsid w:val="008840A5"/>
    <w:rsid w:val="008844AA"/>
    <w:rsid w:val="00884841"/>
    <w:rsid w:val="00885541"/>
    <w:rsid w:val="00886EE1"/>
    <w:rsid w:val="0088727D"/>
    <w:rsid w:val="008906F3"/>
    <w:rsid w:val="00890865"/>
    <w:rsid w:val="00891906"/>
    <w:rsid w:val="008936E4"/>
    <w:rsid w:val="00893B2F"/>
    <w:rsid w:val="00894108"/>
    <w:rsid w:val="008953A8"/>
    <w:rsid w:val="00896383"/>
    <w:rsid w:val="0089786E"/>
    <w:rsid w:val="00897C75"/>
    <w:rsid w:val="008A00BB"/>
    <w:rsid w:val="008A09B6"/>
    <w:rsid w:val="008A13E9"/>
    <w:rsid w:val="008A1ADE"/>
    <w:rsid w:val="008A4125"/>
    <w:rsid w:val="008A45DD"/>
    <w:rsid w:val="008A471E"/>
    <w:rsid w:val="008A47C5"/>
    <w:rsid w:val="008A527F"/>
    <w:rsid w:val="008A7101"/>
    <w:rsid w:val="008AEB74"/>
    <w:rsid w:val="008B11BC"/>
    <w:rsid w:val="008B1F41"/>
    <w:rsid w:val="008B24EB"/>
    <w:rsid w:val="008B44AE"/>
    <w:rsid w:val="008B490D"/>
    <w:rsid w:val="008B5292"/>
    <w:rsid w:val="008B5B1D"/>
    <w:rsid w:val="008B6224"/>
    <w:rsid w:val="008B6308"/>
    <w:rsid w:val="008B6F85"/>
    <w:rsid w:val="008B7DCE"/>
    <w:rsid w:val="008C0197"/>
    <w:rsid w:val="008C0AFD"/>
    <w:rsid w:val="008C1130"/>
    <w:rsid w:val="008C1684"/>
    <w:rsid w:val="008C1963"/>
    <w:rsid w:val="008C24FA"/>
    <w:rsid w:val="008C2E74"/>
    <w:rsid w:val="008C2F03"/>
    <w:rsid w:val="008C3479"/>
    <w:rsid w:val="008C4C48"/>
    <w:rsid w:val="008C5D31"/>
    <w:rsid w:val="008C6309"/>
    <w:rsid w:val="008C68E8"/>
    <w:rsid w:val="008C6BB7"/>
    <w:rsid w:val="008C723B"/>
    <w:rsid w:val="008C74FD"/>
    <w:rsid w:val="008D0532"/>
    <w:rsid w:val="008D18E6"/>
    <w:rsid w:val="008D20A9"/>
    <w:rsid w:val="008D2FC6"/>
    <w:rsid w:val="008D36A6"/>
    <w:rsid w:val="008D3A51"/>
    <w:rsid w:val="008D52DB"/>
    <w:rsid w:val="008D5B7D"/>
    <w:rsid w:val="008D66DA"/>
    <w:rsid w:val="008D7A9B"/>
    <w:rsid w:val="008D7D7E"/>
    <w:rsid w:val="008E039E"/>
    <w:rsid w:val="008E0F2D"/>
    <w:rsid w:val="008E2C17"/>
    <w:rsid w:val="008E2DD6"/>
    <w:rsid w:val="008E3970"/>
    <w:rsid w:val="008E3AEB"/>
    <w:rsid w:val="008E404A"/>
    <w:rsid w:val="008E5CF2"/>
    <w:rsid w:val="008E646B"/>
    <w:rsid w:val="008E6F6D"/>
    <w:rsid w:val="008E76AC"/>
    <w:rsid w:val="008E7D56"/>
    <w:rsid w:val="008F02C0"/>
    <w:rsid w:val="008F04DB"/>
    <w:rsid w:val="008F0C86"/>
    <w:rsid w:val="008F1001"/>
    <w:rsid w:val="008F1623"/>
    <w:rsid w:val="008F21F6"/>
    <w:rsid w:val="008F26B8"/>
    <w:rsid w:val="008F2C85"/>
    <w:rsid w:val="008F3D5A"/>
    <w:rsid w:val="008F494C"/>
    <w:rsid w:val="008F5E87"/>
    <w:rsid w:val="00900BD3"/>
    <w:rsid w:val="00901216"/>
    <w:rsid w:val="00901933"/>
    <w:rsid w:val="009060EE"/>
    <w:rsid w:val="009070D2"/>
    <w:rsid w:val="009102B6"/>
    <w:rsid w:val="009102CD"/>
    <w:rsid w:val="00910D17"/>
    <w:rsid w:val="00910F55"/>
    <w:rsid w:val="009110B2"/>
    <w:rsid w:val="009113E4"/>
    <w:rsid w:val="00911A97"/>
    <w:rsid w:val="009122D0"/>
    <w:rsid w:val="00912CF4"/>
    <w:rsid w:val="00912E69"/>
    <w:rsid w:val="00913C03"/>
    <w:rsid w:val="00913D97"/>
    <w:rsid w:val="00916C08"/>
    <w:rsid w:val="0091701A"/>
    <w:rsid w:val="009176AB"/>
    <w:rsid w:val="0092062B"/>
    <w:rsid w:val="009208C8"/>
    <w:rsid w:val="009215EE"/>
    <w:rsid w:val="00921A2E"/>
    <w:rsid w:val="00921A85"/>
    <w:rsid w:val="00921F08"/>
    <w:rsid w:val="00922FB0"/>
    <w:rsid w:val="009248E1"/>
    <w:rsid w:val="009248F9"/>
    <w:rsid w:val="00925C3F"/>
    <w:rsid w:val="00926936"/>
    <w:rsid w:val="00927F14"/>
    <w:rsid w:val="009310E3"/>
    <w:rsid w:val="009372EA"/>
    <w:rsid w:val="00937830"/>
    <w:rsid w:val="0094066B"/>
    <w:rsid w:val="00941A24"/>
    <w:rsid w:val="00941B64"/>
    <w:rsid w:val="00942984"/>
    <w:rsid w:val="009429DE"/>
    <w:rsid w:val="00942FB8"/>
    <w:rsid w:val="0094377B"/>
    <w:rsid w:val="00945A7B"/>
    <w:rsid w:val="00946E8B"/>
    <w:rsid w:val="00947CCE"/>
    <w:rsid w:val="0095061F"/>
    <w:rsid w:val="00951AAC"/>
    <w:rsid w:val="00951D77"/>
    <w:rsid w:val="00951F79"/>
    <w:rsid w:val="00951FCA"/>
    <w:rsid w:val="009536DB"/>
    <w:rsid w:val="00954514"/>
    <w:rsid w:val="00954C6E"/>
    <w:rsid w:val="009567DE"/>
    <w:rsid w:val="009572A7"/>
    <w:rsid w:val="00957B9E"/>
    <w:rsid w:val="00957BE7"/>
    <w:rsid w:val="00960473"/>
    <w:rsid w:val="00962368"/>
    <w:rsid w:val="00963256"/>
    <w:rsid w:val="00963562"/>
    <w:rsid w:val="0096396F"/>
    <w:rsid w:val="009646EB"/>
    <w:rsid w:val="0096724B"/>
    <w:rsid w:val="0096753A"/>
    <w:rsid w:val="00970E9D"/>
    <w:rsid w:val="00971CCA"/>
    <w:rsid w:val="00971EB6"/>
    <w:rsid w:val="00972377"/>
    <w:rsid w:val="009730C0"/>
    <w:rsid w:val="00974AB5"/>
    <w:rsid w:val="009770BF"/>
    <w:rsid w:val="00977941"/>
    <w:rsid w:val="00981A8E"/>
    <w:rsid w:val="00981C11"/>
    <w:rsid w:val="00981ECB"/>
    <w:rsid w:val="00981FC2"/>
    <w:rsid w:val="00982B7C"/>
    <w:rsid w:val="00983FAC"/>
    <w:rsid w:val="00984108"/>
    <w:rsid w:val="00984136"/>
    <w:rsid w:val="009841C6"/>
    <w:rsid w:val="00985173"/>
    <w:rsid w:val="0098706D"/>
    <w:rsid w:val="00987A82"/>
    <w:rsid w:val="009905E1"/>
    <w:rsid w:val="00990A90"/>
    <w:rsid w:val="009928F4"/>
    <w:rsid w:val="009930F3"/>
    <w:rsid w:val="009935FB"/>
    <w:rsid w:val="00993BE8"/>
    <w:rsid w:val="00994216"/>
    <w:rsid w:val="0099651B"/>
    <w:rsid w:val="00997109"/>
    <w:rsid w:val="0099732F"/>
    <w:rsid w:val="009A0549"/>
    <w:rsid w:val="009A463F"/>
    <w:rsid w:val="009A4806"/>
    <w:rsid w:val="009A4BA6"/>
    <w:rsid w:val="009A6F00"/>
    <w:rsid w:val="009A6F1C"/>
    <w:rsid w:val="009A78B7"/>
    <w:rsid w:val="009B030A"/>
    <w:rsid w:val="009B24F2"/>
    <w:rsid w:val="009B404E"/>
    <w:rsid w:val="009C01F6"/>
    <w:rsid w:val="009C2323"/>
    <w:rsid w:val="009C2431"/>
    <w:rsid w:val="009C2BE0"/>
    <w:rsid w:val="009C433D"/>
    <w:rsid w:val="009C4CB2"/>
    <w:rsid w:val="009C4D2F"/>
    <w:rsid w:val="009C5A40"/>
    <w:rsid w:val="009C6077"/>
    <w:rsid w:val="009C7A96"/>
    <w:rsid w:val="009D28B3"/>
    <w:rsid w:val="009D2E95"/>
    <w:rsid w:val="009D3479"/>
    <w:rsid w:val="009D442C"/>
    <w:rsid w:val="009D5DD8"/>
    <w:rsid w:val="009D61A5"/>
    <w:rsid w:val="009D6B50"/>
    <w:rsid w:val="009D7F7F"/>
    <w:rsid w:val="009E203E"/>
    <w:rsid w:val="009E3822"/>
    <w:rsid w:val="009E396F"/>
    <w:rsid w:val="009E3B34"/>
    <w:rsid w:val="009E4F72"/>
    <w:rsid w:val="009E6106"/>
    <w:rsid w:val="009E6A4D"/>
    <w:rsid w:val="009F125C"/>
    <w:rsid w:val="009F3CC5"/>
    <w:rsid w:val="009F4437"/>
    <w:rsid w:val="009F4A54"/>
    <w:rsid w:val="009F4BEC"/>
    <w:rsid w:val="009F5D1B"/>
    <w:rsid w:val="009F6376"/>
    <w:rsid w:val="009F6E81"/>
    <w:rsid w:val="00A0113A"/>
    <w:rsid w:val="00A01B20"/>
    <w:rsid w:val="00A023FE"/>
    <w:rsid w:val="00A02D1E"/>
    <w:rsid w:val="00A0433C"/>
    <w:rsid w:val="00A04817"/>
    <w:rsid w:val="00A049BF"/>
    <w:rsid w:val="00A04EEC"/>
    <w:rsid w:val="00A05013"/>
    <w:rsid w:val="00A05647"/>
    <w:rsid w:val="00A05A62"/>
    <w:rsid w:val="00A10C2C"/>
    <w:rsid w:val="00A10C96"/>
    <w:rsid w:val="00A11127"/>
    <w:rsid w:val="00A11648"/>
    <w:rsid w:val="00A116E1"/>
    <w:rsid w:val="00A11B78"/>
    <w:rsid w:val="00A15B1C"/>
    <w:rsid w:val="00A15C2D"/>
    <w:rsid w:val="00A16A38"/>
    <w:rsid w:val="00A16AD5"/>
    <w:rsid w:val="00A1747E"/>
    <w:rsid w:val="00A20ED5"/>
    <w:rsid w:val="00A2139A"/>
    <w:rsid w:val="00A21A5D"/>
    <w:rsid w:val="00A24F50"/>
    <w:rsid w:val="00A25780"/>
    <w:rsid w:val="00A25FD7"/>
    <w:rsid w:val="00A31A67"/>
    <w:rsid w:val="00A31BF3"/>
    <w:rsid w:val="00A32D24"/>
    <w:rsid w:val="00A33927"/>
    <w:rsid w:val="00A34530"/>
    <w:rsid w:val="00A34C77"/>
    <w:rsid w:val="00A352D7"/>
    <w:rsid w:val="00A35539"/>
    <w:rsid w:val="00A357F3"/>
    <w:rsid w:val="00A360D1"/>
    <w:rsid w:val="00A360FE"/>
    <w:rsid w:val="00A367DB"/>
    <w:rsid w:val="00A4129E"/>
    <w:rsid w:val="00A41436"/>
    <w:rsid w:val="00A428F0"/>
    <w:rsid w:val="00A42ACB"/>
    <w:rsid w:val="00A42CC9"/>
    <w:rsid w:val="00A43AFF"/>
    <w:rsid w:val="00A43F4F"/>
    <w:rsid w:val="00A44B56"/>
    <w:rsid w:val="00A465DF"/>
    <w:rsid w:val="00A47801"/>
    <w:rsid w:val="00A518A6"/>
    <w:rsid w:val="00A51B43"/>
    <w:rsid w:val="00A538EA"/>
    <w:rsid w:val="00A553A7"/>
    <w:rsid w:val="00A55C5D"/>
    <w:rsid w:val="00A56805"/>
    <w:rsid w:val="00A56BC0"/>
    <w:rsid w:val="00A609E6"/>
    <w:rsid w:val="00A60A9E"/>
    <w:rsid w:val="00A61029"/>
    <w:rsid w:val="00A620F6"/>
    <w:rsid w:val="00A63F31"/>
    <w:rsid w:val="00A64AE3"/>
    <w:rsid w:val="00A6673B"/>
    <w:rsid w:val="00A67F03"/>
    <w:rsid w:val="00A70ADF"/>
    <w:rsid w:val="00A71611"/>
    <w:rsid w:val="00A71694"/>
    <w:rsid w:val="00A718A5"/>
    <w:rsid w:val="00A729C7"/>
    <w:rsid w:val="00A72B49"/>
    <w:rsid w:val="00A73022"/>
    <w:rsid w:val="00A73073"/>
    <w:rsid w:val="00A7395C"/>
    <w:rsid w:val="00A74052"/>
    <w:rsid w:val="00A74454"/>
    <w:rsid w:val="00A74B91"/>
    <w:rsid w:val="00A752E7"/>
    <w:rsid w:val="00A75B4B"/>
    <w:rsid w:val="00A778DE"/>
    <w:rsid w:val="00A7793A"/>
    <w:rsid w:val="00A801A3"/>
    <w:rsid w:val="00A80B93"/>
    <w:rsid w:val="00A815FC"/>
    <w:rsid w:val="00A83E35"/>
    <w:rsid w:val="00A847EB"/>
    <w:rsid w:val="00A85E2C"/>
    <w:rsid w:val="00A86192"/>
    <w:rsid w:val="00A87C67"/>
    <w:rsid w:val="00A91968"/>
    <w:rsid w:val="00A9204A"/>
    <w:rsid w:val="00A923A9"/>
    <w:rsid w:val="00A93594"/>
    <w:rsid w:val="00A94E5D"/>
    <w:rsid w:val="00A9689A"/>
    <w:rsid w:val="00A9763D"/>
    <w:rsid w:val="00AA0FC1"/>
    <w:rsid w:val="00AA175B"/>
    <w:rsid w:val="00AA3036"/>
    <w:rsid w:val="00AA3590"/>
    <w:rsid w:val="00AA4CC7"/>
    <w:rsid w:val="00AA5B90"/>
    <w:rsid w:val="00AA5E8E"/>
    <w:rsid w:val="00AA7723"/>
    <w:rsid w:val="00AB1697"/>
    <w:rsid w:val="00AB2C18"/>
    <w:rsid w:val="00AB2EB5"/>
    <w:rsid w:val="00AB37F0"/>
    <w:rsid w:val="00AB41CD"/>
    <w:rsid w:val="00AB463A"/>
    <w:rsid w:val="00AB49E2"/>
    <w:rsid w:val="00AB4E8C"/>
    <w:rsid w:val="00AB4EE5"/>
    <w:rsid w:val="00AB5624"/>
    <w:rsid w:val="00AB6127"/>
    <w:rsid w:val="00AB6CA7"/>
    <w:rsid w:val="00AC16BF"/>
    <w:rsid w:val="00AC376B"/>
    <w:rsid w:val="00AC4BBC"/>
    <w:rsid w:val="00AC6CE6"/>
    <w:rsid w:val="00AC71DD"/>
    <w:rsid w:val="00AC7298"/>
    <w:rsid w:val="00AC7344"/>
    <w:rsid w:val="00AD01E4"/>
    <w:rsid w:val="00AD071D"/>
    <w:rsid w:val="00AD0806"/>
    <w:rsid w:val="00AD0858"/>
    <w:rsid w:val="00AD09F0"/>
    <w:rsid w:val="00AD0A16"/>
    <w:rsid w:val="00AD1BE3"/>
    <w:rsid w:val="00AD2A40"/>
    <w:rsid w:val="00AD34DC"/>
    <w:rsid w:val="00AD5AE5"/>
    <w:rsid w:val="00AE1298"/>
    <w:rsid w:val="00AE3307"/>
    <w:rsid w:val="00AE34A8"/>
    <w:rsid w:val="00AE4F34"/>
    <w:rsid w:val="00AE517D"/>
    <w:rsid w:val="00AE5B15"/>
    <w:rsid w:val="00AE5E79"/>
    <w:rsid w:val="00AE669B"/>
    <w:rsid w:val="00AE6BED"/>
    <w:rsid w:val="00AE6EB6"/>
    <w:rsid w:val="00AE7340"/>
    <w:rsid w:val="00AF0D12"/>
    <w:rsid w:val="00AF0EAA"/>
    <w:rsid w:val="00AF1BBD"/>
    <w:rsid w:val="00AF236B"/>
    <w:rsid w:val="00AF23F4"/>
    <w:rsid w:val="00AF2481"/>
    <w:rsid w:val="00AF2A0B"/>
    <w:rsid w:val="00AF3BC1"/>
    <w:rsid w:val="00AF5037"/>
    <w:rsid w:val="00AF527F"/>
    <w:rsid w:val="00AF58C5"/>
    <w:rsid w:val="00AF6090"/>
    <w:rsid w:val="00AF7683"/>
    <w:rsid w:val="00AF7A3B"/>
    <w:rsid w:val="00AF7F0C"/>
    <w:rsid w:val="00B00DDB"/>
    <w:rsid w:val="00B0281B"/>
    <w:rsid w:val="00B02CBF"/>
    <w:rsid w:val="00B033F3"/>
    <w:rsid w:val="00B06C80"/>
    <w:rsid w:val="00B06C99"/>
    <w:rsid w:val="00B10207"/>
    <w:rsid w:val="00B10926"/>
    <w:rsid w:val="00B1161D"/>
    <w:rsid w:val="00B12368"/>
    <w:rsid w:val="00B1241B"/>
    <w:rsid w:val="00B127E3"/>
    <w:rsid w:val="00B129A8"/>
    <w:rsid w:val="00B12E35"/>
    <w:rsid w:val="00B141E7"/>
    <w:rsid w:val="00B141FA"/>
    <w:rsid w:val="00B15E30"/>
    <w:rsid w:val="00B165D0"/>
    <w:rsid w:val="00B16619"/>
    <w:rsid w:val="00B16A49"/>
    <w:rsid w:val="00B16F29"/>
    <w:rsid w:val="00B1760F"/>
    <w:rsid w:val="00B21076"/>
    <w:rsid w:val="00B21622"/>
    <w:rsid w:val="00B21629"/>
    <w:rsid w:val="00B22BFF"/>
    <w:rsid w:val="00B23548"/>
    <w:rsid w:val="00B246FF"/>
    <w:rsid w:val="00B25C2A"/>
    <w:rsid w:val="00B30F34"/>
    <w:rsid w:val="00B323AF"/>
    <w:rsid w:val="00B33316"/>
    <w:rsid w:val="00B33386"/>
    <w:rsid w:val="00B33508"/>
    <w:rsid w:val="00B351B4"/>
    <w:rsid w:val="00B352C4"/>
    <w:rsid w:val="00B35C65"/>
    <w:rsid w:val="00B35E8E"/>
    <w:rsid w:val="00B36901"/>
    <w:rsid w:val="00B3697C"/>
    <w:rsid w:val="00B373F9"/>
    <w:rsid w:val="00B41230"/>
    <w:rsid w:val="00B416F6"/>
    <w:rsid w:val="00B41CAA"/>
    <w:rsid w:val="00B42229"/>
    <w:rsid w:val="00B424AF"/>
    <w:rsid w:val="00B42785"/>
    <w:rsid w:val="00B4483F"/>
    <w:rsid w:val="00B44935"/>
    <w:rsid w:val="00B4576C"/>
    <w:rsid w:val="00B45BC5"/>
    <w:rsid w:val="00B46026"/>
    <w:rsid w:val="00B4665B"/>
    <w:rsid w:val="00B46BCA"/>
    <w:rsid w:val="00B5153F"/>
    <w:rsid w:val="00B51959"/>
    <w:rsid w:val="00B55EBB"/>
    <w:rsid w:val="00B571A2"/>
    <w:rsid w:val="00B6082E"/>
    <w:rsid w:val="00B617C2"/>
    <w:rsid w:val="00B62206"/>
    <w:rsid w:val="00B623C3"/>
    <w:rsid w:val="00B63BEC"/>
    <w:rsid w:val="00B65E93"/>
    <w:rsid w:val="00B65EC8"/>
    <w:rsid w:val="00B6714A"/>
    <w:rsid w:val="00B671A8"/>
    <w:rsid w:val="00B67AD2"/>
    <w:rsid w:val="00B701A2"/>
    <w:rsid w:val="00B70237"/>
    <w:rsid w:val="00B7072B"/>
    <w:rsid w:val="00B71A15"/>
    <w:rsid w:val="00B72626"/>
    <w:rsid w:val="00B732B0"/>
    <w:rsid w:val="00B7408F"/>
    <w:rsid w:val="00B74A24"/>
    <w:rsid w:val="00B75795"/>
    <w:rsid w:val="00B765EF"/>
    <w:rsid w:val="00B76652"/>
    <w:rsid w:val="00B7709C"/>
    <w:rsid w:val="00B77781"/>
    <w:rsid w:val="00B77E04"/>
    <w:rsid w:val="00B80A85"/>
    <w:rsid w:val="00B812D2"/>
    <w:rsid w:val="00B81BD4"/>
    <w:rsid w:val="00B81C8E"/>
    <w:rsid w:val="00B83002"/>
    <w:rsid w:val="00B83A3F"/>
    <w:rsid w:val="00B85D3F"/>
    <w:rsid w:val="00B875B3"/>
    <w:rsid w:val="00B87806"/>
    <w:rsid w:val="00B87EC9"/>
    <w:rsid w:val="00B9003A"/>
    <w:rsid w:val="00B90D8A"/>
    <w:rsid w:val="00B93ED3"/>
    <w:rsid w:val="00B94CF6"/>
    <w:rsid w:val="00BA1256"/>
    <w:rsid w:val="00BA427A"/>
    <w:rsid w:val="00BA4DD3"/>
    <w:rsid w:val="00BA5247"/>
    <w:rsid w:val="00BA52F2"/>
    <w:rsid w:val="00BA5DFA"/>
    <w:rsid w:val="00BA657E"/>
    <w:rsid w:val="00BB2D01"/>
    <w:rsid w:val="00BB3007"/>
    <w:rsid w:val="00BB3C7A"/>
    <w:rsid w:val="00BB4A55"/>
    <w:rsid w:val="00BB543F"/>
    <w:rsid w:val="00BB584B"/>
    <w:rsid w:val="00BB62BF"/>
    <w:rsid w:val="00BB6AF4"/>
    <w:rsid w:val="00BC00AC"/>
    <w:rsid w:val="00BC09EE"/>
    <w:rsid w:val="00BC0A54"/>
    <w:rsid w:val="00BC1465"/>
    <w:rsid w:val="00BC279B"/>
    <w:rsid w:val="00BC3239"/>
    <w:rsid w:val="00BC38FD"/>
    <w:rsid w:val="00BC3AD7"/>
    <w:rsid w:val="00BC449A"/>
    <w:rsid w:val="00BC4CBE"/>
    <w:rsid w:val="00BC652E"/>
    <w:rsid w:val="00BC69B9"/>
    <w:rsid w:val="00BC6FC2"/>
    <w:rsid w:val="00BC768F"/>
    <w:rsid w:val="00BC78B0"/>
    <w:rsid w:val="00BD210F"/>
    <w:rsid w:val="00BD2F41"/>
    <w:rsid w:val="00BD4A09"/>
    <w:rsid w:val="00BD6D99"/>
    <w:rsid w:val="00BE1FF9"/>
    <w:rsid w:val="00BE27E7"/>
    <w:rsid w:val="00BE3A94"/>
    <w:rsid w:val="00BE62C6"/>
    <w:rsid w:val="00BF0DDB"/>
    <w:rsid w:val="00BF1236"/>
    <w:rsid w:val="00BF1A47"/>
    <w:rsid w:val="00BF1AFC"/>
    <w:rsid w:val="00BF2016"/>
    <w:rsid w:val="00BF2185"/>
    <w:rsid w:val="00BF2D1D"/>
    <w:rsid w:val="00BF401A"/>
    <w:rsid w:val="00BF48D1"/>
    <w:rsid w:val="00BF4F85"/>
    <w:rsid w:val="00BF56D1"/>
    <w:rsid w:val="00BF59D7"/>
    <w:rsid w:val="00BF59EB"/>
    <w:rsid w:val="00BF6EA6"/>
    <w:rsid w:val="00BF790B"/>
    <w:rsid w:val="00BF7FF3"/>
    <w:rsid w:val="00C01660"/>
    <w:rsid w:val="00C02767"/>
    <w:rsid w:val="00C02FA5"/>
    <w:rsid w:val="00C030A8"/>
    <w:rsid w:val="00C034CB"/>
    <w:rsid w:val="00C03C6F"/>
    <w:rsid w:val="00C051A8"/>
    <w:rsid w:val="00C054BC"/>
    <w:rsid w:val="00C055DE"/>
    <w:rsid w:val="00C058D5"/>
    <w:rsid w:val="00C067E5"/>
    <w:rsid w:val="00C06801"/>
    <w:rsid w:val="00C06AA6"/>
    <w:rsid w:val="00C06B43"/>
    <w:rsid w:val="00C101F2"/>
    <w:rsid w:val="00C11EC5"/>
    <w:rsid w:val="00C125E2"/>
    <w:rsid w:val="00C12CDE"/>
    <w:rsid w:val="00C134CC"/>
    <w:rsid w:val="00C13EE9"/>
    <w:rsid w:val="00C14D84"/>
    <w:rsid w:val="00C15580"/>
    <w:rsid w:val="00C17897"/>
    <w:rsid w:val="00C17A39"/>
    <w:rsid w:val="00C215D0"/>
    <w:rsid w:val="00C21BEA"/>
    <w:rsid w:val="00C223E1"/>
    <w:rsid w:val="00C23BD6"/>
    <w:rsid w:val="00C2614F"/>
    <w:rsid w:val="00C2637C"/>
    <w:rsid w:val="00C26E99"/>
    <w:rsid w:val="00C27477"/>
    <w:rsid w:val="00C30442"/>
    <w:rsid w:val="00C307D6"/>
    <w:rsid w:val="00C30CD5"/>
    <w:rsid w:val="00C324AF"/>
    <w:rsid w:val="00C32ABD"/>
    <w:rsid w:val="00C335C1"/>
    <w:rsid w:val="00C33A8D"/>
    <w:rsid w:val="00C34797"/>
    <w:rsid w:val="00C352C1"/>
    <w:rsid w:val="00C35469"/>
    <w:rsid w:val="00C357B8"/>
    <w:rsid w:val="00C35D64"/>
    <w:rsid w:val="00C36092"/>
    <w:rsid w:val="00C409D5"/>
    <w:rsid w:val="00C41F98"/>
    <w:rsid w:val="00C4244E"/>
    <w:rsid w:val="00C429FC"/>
    <w:rsid w:val="00C42D36"/>
    <w:rsid w:val="00C435C3"/>
    <w:rsid w:val="00C43D33"/>
    <w:rsid w:val="00C43EAD"/>
    <w:rsid w:val="00C443A5"/>
    <w:rsid w:val="00C44E2F"/>
    <w:rsid w:val="00C44EF6"/>
    <w:rsid w:val="00C45D91"/>
    <w:rsid w:val="00C45E3F"/>
    <w:rsid w:val="00C51471"/>
    <w:rsid w:val="00C52A20"/>
    <w:rsid w:val="00C52C8C"/>
    <w:rsid w:val="00C5408B"/>
    <w:rsid w:val="00C54996"/>
    <w:rsid w:val="00C55490"/>
    <w:rsid w:val="00C559DB"/>
    <w:rsid w:val="00C55B80"/>
    <w:rsid w:val="00C565B7"/>
    <w:rsid w:val="00C56B40"/>
    <w:rsid w:val="00C56F86"/>
    <w:rsid w:val="00C5754F"/>
    <w:rsid w:val="00C60721"/>
    <w:rsid w:val="00C619F3"/>
    <w:rsid w:val="00C6234B"/>
    <w:rsid w:val="00C62D40"/>
    <w:rsid w:val="00C638C4"/>
    <w:rsid w:val="00C63A09"/>
    <w:rsid w:val="00C63EAE"/>
    <w:rsid w:val="00C64924"/>
    <w:rsid w:val="00C64D15"/>
    <w:rsid w:val="00C6514C"/>
    <w:rsid w:val="00C66546"/>
    <w:rsid w:val="00C72BD7"/>
    <w:rsid w:val="00C75CF8"/>
    <w:rsid w:val="00C7629F"/>
    <w:rsid w:val="00C77767"/>
    <w:rsid w:val="00C77F51"/>
    <w:rsid w:val="00C80071"/>
    <w:rsid w:val="00C80172"/>
    <w:rsid w:val="00C82402"/>
    <w:rsid w:val="00C83E3F"/>
    <w:rsid w:val="00C848D7"/>
    <w:rsid w:val="00C85772"/>
    <w:rsid w:val="00C85A5A"/>
    <w:rsid w:val="00C85BB9"/>
    <w:rsid w:val="00C862BD"/>
    <w:rsid w:val="00C86597"/>
    <w:rsid w:val="00C8661B"/>
    <w:rsid w:val="00C8744A"/>
    <w:rsid w:val="00C90040"/>
    <w:rsid w:val="00C90173"/>
    <w:rsid w:val="00C9033C"/>
    <w:rsid w:val="00C9049F"/>
    <w:rsid w:val="00C9073B"/>
    <w:rsid w:val="00C91620"/>
    <w:rsid w:val="00C9173B"/>
    <w:rsid w:val="00C93EE4"/>
    <w:rsid w:val="00C93FA8"/>
    <w:rsid w:val="00C94D67"/>
    <w:rsid w:val="00C95B71"/>
    <w:rsid w:val="00C96685"/>
    <w:rsid w:val="00C96A3D"/>
    <w:rsid w:val="00C970E0"/>
    <w:rsid w:val="00CA11F3"/>
    <w:rsid w:val="00CA139A"/>
    <w:rsid w:val="00CA161E"/>
    <w:rsid w:val="00CA1919"/>
    <w:rsid w:val="00CA2603"/>
    <w:rsid w:val="00CA2899"/>
    <w:rsid w:val="00CA3A3D"/>
    <w:rsid w:val="00CA3A59"/>
    <w:rsid w:val="00CA3ABA"/>
    <w:rsid w:val="00CA57C2"/>
    <w:rsid w:val="00CA5A64"/>
    <w:rsid w:val="00CA5CBB"/>
    <w:rsid w:val="00CA625E"/>
    <w:rsid w:val="00CA64C5"/>
    <w:rsid w:val="00CA77FB"/>
    <w:rsid w:val="00CA7AC2"/>
    <w:rsid w:val="00CA7C2B"/>
    <w:rsid w:val="00CB0659"/>
    <w:rsid w:val="00CB0812"/>
    <w:rsid w:val="00CB1C6E"/>
    <w:rsid w:val="00CB379B"/>
    <w:rsid w:val="00CB4A35"/>
    <w:rsid w:val="00CB508F"/>
    <w:rsid w:val="00CB511F"/>
    <w:rsid w:val="00CB5BC3"/>
    <w:rsid w:val="00CB5DD0"/>
    <w:rsid w:val="00CB66C0"/>
    <w:rsid w:val="00CB6ADE"/>
    <w:rsid w:val="00CB6DF3"/>
    <w:rsid w:val="00CB7178"/>
    <w:rsid w:val="00CB7BFE"/>
    <w:rsid w:val="00CB7E8B"/>
    <w:rsid w:val="00CC0180"/>
    <w:rsid w:val="00CC0255"/>
    <w:rsid w:val="00CC297C"/>
    <w:rsid w:val="00CC3201"/>
    <w:rsid w:val="00CC51D4"/>
    <w:rsid w:val="00CC65DA"/>
    <w:rsid w:val="00CC65DF"/>
    <w:rsid w:val="00CC6750"/>
    <w:rsid w:val="00CC693D"/>
    <w:rsid w:val="00CC6E3B"/>
    <w:rsid w:val="00CC736C"/>
    <w:rsid w:val="00CC7CDD"/>
    <w:rsid w:val="00CC7DFE"/>
    <w:rsid w:val="00CD0A13"/>
    <w:rsid w:val="00CD0F80"/>
    <w:rsid w:val="00CD1D15"/>
    <w:rsid w:val="00CD2484"/>
    <w:rsid w:val="00CD2DDD"/>
    <w:rsid w:val="00CD3069"/>
    <w:rsid w:val="00CD35F3"/>
    <w:rsid w:val="00CD477D"/>
    <w:rsid w:val="00CD4F10"/>
    <w:rsid w:val="00CE00C4"/>
    <w:rsid w:val="00CE08F5"/>
    <w:rsid w:val="00CE47B7"/>
    <w:rsid w:val="00CE4B1B"/>
    <w:rsid w:val="00CE4E50"/>
    <w:rsid w:val="00CE4FD5"/>
    <w:rsid w:val="00CE5393"/>
    <w:rsid w:val="00CE5443"/>
    <w:rsid w:val="00CE7AF3"/>
    <w:rsid w:val="00CF02CB"/>
    <w:rsid w:val="00CF0DD2"/>
    <w:rsid w:val="00CF21B9"/>
    <w:rsid w:val="00CF2861"/>
    <w:rsid w:val="00CF3CB6"/>
    <w:rsid w:val="00CF5D18"/>
    <w:rsid w:val="00CF5FCF"/>
    <w:rsid w:val="00CF67ED"/>
    <w:rsid w:val="00CF6BF9"/>
    <w:rsid w:val="00CF7DC7"/>
    <w:rsid w:val="00D008AA"/>
    <w:rsid w:val="00D00B90"/>
    <w:rsid w:val="00D02EFC"/>
    <w:rsid w:val="00D03071"/>
    <w:rsid w:val="00D03594"/>
    <w:rsid w:val="00D03800"/>
    <w:rsid w:val="00D046E6"/>
    <w:rsid w:val="00D04993"/>
    <w:rsid w:val="00D06157"/>
    <w:rsid w:val="00D065D3"/>
    <w:rsid w:val="00D10789"/>
    <w:rsid w:val="00D122C9"/>
    <w:rsid w:val="00D12DFA"/>
    <w:rsid w:val="00D14C94"/>
    <w:rsid w:val="00D14CB8"/>
    <w:rsid w:val="00D15913"/>
    <w:rsid w:val="00D16CBE"/>
    <w:rsid w:val="00D17C70"/>
    <w:rsid w:val="00D207B8"/>
    <w:rsid w:val="00D208E5"/>
    <w:rsid w:val="00D221C8"/>
    <w:rsid w:val="00D22981"/>
    <w:rsid w:val="00D22C9E"/>
    <w:rsid w:val="00D275C1"/>
    <w:rsid w:val="00D301CE"/>
    <w:rsid w:val="00D303EA"/>
    <w:rsid w:val="00D30DF2"/>
    <w:rsid w:val="00D3226A"/>
    <w:rsid w:val="00D33548"/>
    <w:rsid w:val="00D34077"/>
    <w:rsid w:val="00D342A6"/>
    <w:rsid w:val="00D35669"/>
    <w:rsid w:val="00D37122"/>
    <w:rsid w:val="00D406F4"/>
    <w:rsid w:val="00D4169C"/>
    <w:rsid w:val="00D422FB"/>
    <w:rsid w:val="00D42E12"/>
    <w:rsid w:val="00D45134"/>
    <w:rsid w:val="00D45F41"/>
    <w:rsid w:val="00D464BF"/>
    <w:rsid w:val="00D472A2"/>
    <w:rsid w:val="00D472CF"/>
    <w:rsid w:val="00D47A57"/>
    <w:rsid w:val="00D50A0D"/>
    <w:rsid w:val="00D5306C"/>
    <w:rsid w:val="00D53ACC"/>
    <w:rsid w:val="00D53E26"/>
    <w:rsid w:val="00D54E8B"/>
    <w:rsid w:val="00D555A8"/>
    <w:rsid w:val="00D55E5A"/>
    <w:rsid w:val="00D566DF"/>
    <w:rsid w:val="00D57750"/>
    <w:rsid w:val="00D578DE"/>
    <w:rsid w:val="00D6064B"/>
    <w:rsid w:val="00D61E86"/>
    <w:rsid w:val="00D645CD"/>
    <w:rsid w:val="00D65702"/>
    <w:rsid w:val="00D6642A"/>
    <w:rsid w:val="00D724C7"/>
    <w:rsid w:val="00D7288A"/>
    <w:rsid w:val="00D72C05"/>
    <w:rsid w:val="00D73BBD"/>
    <w:rsid w:val="00D75884"/>
    <w:rsid w:val="00D76A42"/>
    <w:rsid w:val="00D80317"/>
    <w:rsid w:val="00D8070E"/>
    <w:rsid w:val="00D80A02"/>
    <w:rsid w:val="00D82142"/>
    <w:rsid w:val="00D83077"/>
    <w:rsid w:val="00D8335D"/>
    <w:rsid w:val="00D83EC5"/>
    <w:rsid w:val="00D84123"/>
    <w:rsid w:val="00D85434"/>
    <w:rsid w:val="00D8659E"/>
    <w:rsid w:val="00D8663C"/>
    <w:rsid w:val="00D87A16"/>
    <w:rsid w:val="00D87BD8"/>
    <w:rsid w:val="00D87D26"/>
    <w:rsid w:val="00D901EC"/>
    <w:rsid w:val="00D909B3"/>
    <w:rsid w:val="00D90F5B"/>
    <w:rsid w:val="00D92442"/>
    <w:rsid w:val="00D94106"/>
    <w:rsid w:val="00D94EB1"/>
    <w:rsid w:val="00DA02D4"/>
    <w:rsid w:val="00DA061A"/>
    <w:rsid w:val="00DA2506"/>
    <w:rsid w:val="00DA262D"/>
    <w:rsid w:val="00DA2D69"/>
    <w:rsid w:val="00DA41E6"/>
    <w:rsid w:val="00DA41FB"/>
    <w:rsid w:val="00DA4443"/>
    <w:rsid w:val="00DA4C8D"/>
    <w:rsid w:val="00DA4DF1"/>
    <w:rsid w:val="00DA5858"/>
    <w:rsid w:val="00DA5C87"/>
    <w:rsid w:val="00DA5D60"/>
    <w:rsid w:val="00DA6241"/>
    <w:rsid w:val="00DB30C9"/>
    <w:rsid w:val="00DB4880"/>
    <w:rsid w:val="00DB60C5"/>
    <w:rsid w:val="00DB6517"/>
    <w:rsid w:val="00DB6FFA"/>
    <w:rsid w:val="00DC0BD3"/>
    <w:rsid w:val="00DC1EAF"/>
    <w:rsid w:val="00DC24E4"/>
    <w:rsid w:val="00DC30A8"/>
    <w:rsid w:val="00DC36D3"/>
    <w:rsid w:val="00DC4F4D"/>
    <w:rsid w:val="00DD09F6"/>
    <w:rsid w:val="00DD17A7"/>
    <w:rsid w:val="00DD201A"/>
    <w:rsid w:val="00DD2C35"/>
    <w:rsid w:val="00DD31FA"/>
    <w:rsid w:val="00DD4C3C"/>
    <w:rsid w:val="00DD4F0E"/>
    <w:rsid w:val="00DD511E"/>
    <w:rsid w:val="00DD5E68"/>
    <w:rsid w:val="00DD60C9"/>
    <w:rsid w:val="00DD6835"/>
    <w:rsid w:val="00DD6D31"/>
    <w:rsid w:val="00DE099E"/>
    <w:rsid w:val="00DE0A24"/>
    <w:rsid w:val="00DE1A23"/>
    <w:rsid w:val="00DE2274"/>
    <w:rsid w:val="00DE2D38"/>
    <w:rsid w:val="00DE3128"/>
    <w:rsid w:val="00DE3805"/>
    <w:rsid w:val="00DE4816"/>
    <w:rsid w:val="00DE4EAB"/>
    <w:rsid w:val="00DE5192"/>
    <w:rsid w:val="00DE5AA0"/>
    <w:rsid w:val="00DE625E"/>
    <w:rsid w:val="00DE6403"/>
    <w:rsid w:val="00DE6FA2"/>
    <w:rsid w:val="00DE763E"/>
    <w:rsid w:val="00DE79E6"/>
    <w:rsid w:val="00DF0BF0"/>
    <w:rsid w:val="00DF0E69"/>
    <w:rsid w:val="00DF118B"/>
    <w:rsid w:val="00DF17FB"/>
    <w:rsid w:val="00DF1B4F"/>
    <w:rsid w:val="00DF3CB0"/>
    <w:rsid w:val="00DF406C"/>
    <w:rsid w:val="00DF42DC"/>
    <w:rsid w:val="00DF464F"/>
    <w:rsid w:val="00DF48BA"/>
    <w:rsid w:val="00DF6F72"/>
    <w:rsid w:val="00E00ECF"/>
    <w:rsid w:val="00E0136C"/>
    <w:rsid w:val="00E01463"/>
    <w:rsid w:val="00E03237"/>
    <w:rsid w:val="00E042BB"/>
    <w:rsid w:val="00E050A6"/>
    <w:rsid w:val="00E05E0A"/>
    <w:rsid w:val="00E0603A"/>
    <w:rsid w:val="00E06ADA"/>
    <w:rsid w:val="00E07197"/>
    <w:rsid w:val="00E07387"/>
    <w:rsid w:val="00E07BFB"/>
    <w:rsid w:val="00E10347"/>
    <w:rsid w:val="00E110F3"/>
    <w:rsid w:val="00E111D0"/>
    <w:rsid w:val="00E115BE"/>
    <w:rsid w:val="00E12063"/>
    <w:rsid w:val="00E12498"/>
    <w:rsid w:val="00E12D20"/>
    <w:rsid w:val="00E16267"/>
    <w:rsid w:val="00E16555"/>
    <w:rsid w:val="00E17DCE"/>
    <w:rsid w:val="00E17E38"/>
    <w:rsid w:val="00E201BD"/>
    <w:rsid w:val="00E229B1"/>
    <w:rsid w:val="00E23283"/>
    <w:rsid w:val="00E235F0"/>
    <w:rsid w:val="00E2400F"/>
    <w:rsid w:val="00E254C5"/>
    <w:rsid w:val="00E25BE5"/>
    <w:rsid w:val="00E26311"/>
    <w:rsid w:val="00E267AA"/>
    <w:rsid w:val="00E277DE"/>
    <w:rsid w:val="00E30281"/>
    <w:rsid w:val="00E30ED6"/>
    <w:rsid w:val="00E31ABE"/>
    <w:rsid w:val="00E3385E"/>
    <w:rsid w:val="00E35ABA"/>
    <w:rsid w:val="00E35FF2"/>
    <w:rsid w:val="00E36DEC"/>
    <w:rsid w:val="00E37C87"/>
    <w:rsid w:val="00E400A6"/>
    <w:rsid w:val="00E40398"/>
    <w:rsid w:val="00E406C0"/>
    <w:rsid w:val="00E408C4"/>
    <w:rsid w:val="00E42978"/>
    <w:rsid w:val="00E436E6"/>
    <w:rsid w:val="00E438D3"/>
    <w:rsid w:val="00E43C3B"/>
    <w:rsid w:val="00E4741B"/>
    <w:rsid w:val="00E51A8F"/>
    <w:rsid w:val="00E52188"/>
    <w:rsid w:val="00E534CF"/>
    <w:rsid w:val="00E53EB9"/>
    <w:rsid w:val="00E542D7"/>
    <w:rsid w:val="00E54545"/>
    <w:rsid w:val="00E54EEB"/>
    <w:rsid w:val="00E54F8D"/>
    <w:rsid w:val="00E55F75"/>
    <w:rsid w:val="00E55FBE"/>
    <w:rsid w:val="00E577AF"/>
    <w:rsid w:val="00E57F8B"/>
    <w:rsid w:val="00E6036F"/>
    <w:rsid w:val="00E606CA"/>
    <w:rsid w:val="00E608EE"/>
    <w:rsid w:val="00E60B59"/>
    <w:rsid w:val="00E60CE3"/>
    <w:rsid w:val="00E60DE9"/>
    <w:rsid w:val="00E629BE"/>
    <w:rsid w:val="00E6352F"/>
    <w:rsid w:val="00E63E4B"/>
    <w:rsid w:val="00E645A5"/>
    <w:rsid w:val="00E650CA"/>
    <w:rsid w:val="00E65F7B"/>
    <w:rsid w:val="00E667CB"/>
    <w:rsid w:val="00E717EC"/>
    <w:rsid w:val="00E71D55"/>
    <w:rsid w:val="00E74899"/>
    <w:rsid w:val="00E748F2"/>
    <w:rsid w:val="00E74CC2"/>
    <w:rsid w:val="00E7590B"/>
    <w:rsid w:val="00E75F28"/>
    <w:rsid w:val="00E77534"/>
    <w:rsid w:val="00E808BE"/>
    <w:rsid w:val="00E80DB0"/>
    <w:rsid w:val="00E81CB4"/>
    <w:rsid w:val="00E822F7"/>
    <w:rsid w:val="00E83FB9"/>
    <w:rsid w:val="00E8566D"/>
    <w:rsid w:val="00E85829"/>
    <w:rsid w:val="00E85833"/>
    <w:rsid w:val="00E8585B"/>
    <w:rsid w:val="00E861A5"/>
    <w:rsid w:val="00E901C2"/>
    <w:rsid w:val="00E90A02"/>
    <w:rsid w:val="00E90B87"/>
    <w:rsid w:val="00E90D1E"/>
    <w:rsid w:val="00E9114B"/>
    <w:rsid w:val="00E91CF7"/>
    <w:rsid w:val="00E91FFD"/>
    <w:rsid w:val="00E92F43"/>
    <w:rsid w:val="00E9415B"/>
    <w:rsid w:val="00E9548F"/>
    <w:rsid w:val="00E958EC"/>
    <w:rsid w:val="00E96D33"/>
    <w:rsid w:val="00E972C4"/>
    <w:rsid w:val="00E973EF"/>
    <w:rsid w:val="00EA06C1"/>
    <w:rsid w:val="00EA0AD8"/>
    <w:rsid w:val="00EA14F3"/>
    <w:rsid w:val="00EA2778"/>
    <w:rsid w:val="00EA3B9C"/>
    <w:rsid w:val="00EA3F15"/>
    <w:rsid w:val="00EA4AAB"/>
    <w:rsid w:val="00EA5D3F"/>
    <w:rsid w:val="00EA7847"/>
    <w:rsid w:val="00EB056D"/>
    <w:rsid w:val="00EB1154"/>
    <w:rsid w:val="00EB2A8D"/>
    <w:rsid w:val="00EB5C60"/>
    <w:rsid w:val="00EB61C1"/>
    <w:rsid w:val="00EB671C"/>
    <w:rsid w:val="00EB6B28"/>
    <w:rsid w:val="00EB6B9E"/>
    <w:rsid w:val="00EC0954"/>
    <w:rsid w:val="00EC17A8"/>
    <w:rsid w:val="00EC18BA"/>
    <w:rsid w:val="00EC3290"/>
    <w:rsid w:val="00EC39BA"/>
    <w:rsid w:val="00EC5878"/>
    <w:rsid w:val="00EC58CF"/>
    <w:rsid w:val="00EC59D4"/>
    <w:rsid w:val="00EC7C8F"/>
    <w:rsid w:val="00ED023E"/>
    <w:rsid w:val="00ED1AE2"/>
    <w:rsid w:val="00ED44C2"/>
    <w:rsid w:val="00ED51A2"/>
    <w:rsid w:val="00ED612D"/>
    <w:rsid w:val="00ED664E"/>
    <w:rsid w:val="00ED715C"/>
    <w:rsid w:val="00EE030B"/>
    <w:rsid w:val="00EE0923"/>
    <w:rsid w:val="00EE1079"/>
    <w:rsid w:val="00EE17C6"/>
    <w:rsid w:val="00EE1E41"/>
    <w:rsid w:val="00EE1F98"/>
    <w:rsid w:val="00EE22F7"/>
    <w:rsid w:val="00EE2A52"/>
    <w:rsid w:val="00EE2E6E"/>
    <w:rsid w:val="00EE35D4"/>
    <w:rsid w:val="00EE3819"/>
    <w:rsid w:val="00EE3E7C"/>
    <w:rsid w:val="00EE409F"/>
    <w:rsid w:val="00EE40D2"/>
    <w:rsid w:val="00EE4DC3"/>
    <w:rsid w:val="00EE578C"/>
    <w:rsid w:val="00EE5B84"/>
    <w:rsid w:val="00EE6790"/>
    <w:rsid w:val="00EE69FC"/>
    <w:rsid w:val="00EE6B85"/>
    <w:rsid w:val="00EE7F12"/>
    <w:rsid w:val="00EF19C9"/>
    <w:rsid w:val="00EF2A30"/>
    <w:rsid w:val="00EF2C85"/>
    <w:rsid w:val="00EF3756"/>
    <w:rsid w:val="00EF39ED"/>
    <w:rsid w:val="00EF4932"/>
    <w:rsid w:val="00EF4C01"/>
    <w:rsid w:val="00EF5966"/>
    <w:rsid w:val="00F01053"/>
    <w:rsid w:val="00F01E4B"/>
    <w:rsid w:val="00F02017"/>
    <w:rsid w:val="00F03E48"/>
    <w:rsid w:val="00F050D5"/>
    <w:rsid w:val="00F069D1"/>
    <w:rsid w:val="00F0732D"/>
    <w:rsid w:val="00F0759E"/>
    <w:rsid w:val="00F1026F"/>
    <w:rsid w:val="00F10365"/>
    <w:rsid w:val="00F1424B"/>
    <w:rsid w:val="00F156E0"/>
    <w:rsid w:val="00F16EA7"/>
    <w:rsid w:val="00F21C25"/>
    <w:rsid w:val="00F230A1"/>
    <w:rsid w:val="00F241DD"/>
    <w:rsid w:val="00F24E16"/>
    <w:rsid w:val="00F2588D"/>
    <w:rsid w:val="00F2589C"/>
    <w:rsid w:val="00F31854"/>
    <w:rsid w:val="00F330FC"/>
    <w:rsid w:val="00F33AE3"/>
    <w:rsid w:val="00F34CE5"/>
    <w:rsid w:val="00F35A5B"/>
    <w:rsid w:val="00F36489"/>
    <w:rsid w:val="00F401B1"/>
    <w:rsid w:val="00F43700"/>
    <w:rsid w:val="00F44F63"/>
    <w:rsid w:val="00F45216"/>
    <w:rsid w:val="00F45DCB"/>
    <w:rsid w:val="00F460CB"/>
    <w:rsid w:val="00F476E5"/>
    <w:rsid w:val="00F47BFE"/>
    <w:rsid w:val="00F5009B"/>
    <w:rsid w:val="00F50EB7"/>
    <w:rsid w:val="00F52471"/>
    <w:rsid w:val="00F5352E"/>
    <w:rsid w:val="00F540FE"/>
    <w:rsid w:val="00F549E9"/>
    <w:rsid w:val="00F54AAE"/>
    <w:rsid w:val="00F54D69"/>
    <w:rsid w:val="00F54EDC"/>
    <w:rsid w:val="00F5520A"/>
    <w:rsid w:val="00F55CF4"/>
    <w:rsid w:val="00F55EFA"/>
    <w:rsid w:val="00F561AF"/>
    <w:rsid w:val="00F5746A"/>
    <w:rsid w:val="00F603C9"/>
    <w:rsid w:val="00F6061E"/>
    <w:rsid w:val="00F60EEE"/>
    <w:rsid w:val="00F61DD9"/>
    <w:rsid w:val="00F61FE8"/>
    <w:rsid w:val="00F62984"/>
    <w:rsid w:val="00F62F16"/>
    <w:rsid w:val="00F63B5E"/>
    <w:rsid w:val="00F64655"/>
    <w:rsid w:val="00F64DCB"/>
    <w:rsid w:val="00F64EFA"/>
    <w:rsid w:val="00F65D93"/>
    <w:rsid w:val="00F66C29"/>
    <w:rsid w:val="00F66CA8"/>
    <w:rsid w:val="00F67EFE"/>
    <w:rsid w:val="00F70C70"/>
    <w:rsid w:val="00F74DEE"/>
    <w:rsid w:val="00F75784"/>
    <w:rsid w:val="00F75F03"/>
    <w:rsid w:val="00F76FD9"/>
    <w:rsid w:val="00F80FD8"/>
    <w:rsid w:val="00F81BD5"/>
    <w:rsid w:val="00F81C73"/>
    <w:rsid w:val="00F81CE8"/>
    <w:rsid w:val="00F821A3"/>
    <w:rsid w:val="00F82F4E"/>
    <w:rsid w:val="00F85E02"/>
    <w:rsid w:val="00F874C0"/>
    <w:rsid w:val="00F876AA"/>
    <w:rsid w:val="00F87A9A"/>
    <w:rsid w:val="00F87B2A"/>
    <w:rsid w:val="00F91127"/>
    <w:rsid w:val="00F915CA"/>
    <w:rsid w:val="00F917A8"/>
    <w:rsid w:val="00F921CF"/>
    <w:rsid w:val="00F92515"/>
    <w:rsid w:val="00F92FB1"/>
    <w:rsid w:val="00F9314A"/>
    <w:rsid w:val="00F940F9"/>
    <w:rsid w:val="00F96075"/>
    <w:rsid w:val="00F96F0F"/>
    <w:rsid w:val="00F973E9"/>
    <w:rsid w:val="00F978AC"/>
    <w:rsid w:val="00FA03B3"/>
    <w:rsid w:val="00FA06FC"/>
    <w:rsid w:val="00FA0908"/>
    <w:rsid w:val="00FA14D9"/>
    <w:rsid w:val="00FA2802"/>
    <w:rsid w:val="00FA4C86"/>
    <w:rsid w:val="00FA6298"/>
    <w:rsid w:val="00FA6CE7"/>
    <w:rsid w:val="00FA6EEB"/>
    <w:rsid w:val="00FA7B8C"/>
    <w:rsid w:val="00FA7B9E"/>
    <w:rsid w:val="00FB061D"/>
    <w:rsid w:val="00FB19DB"/>
    <w:rsid w:val="00FB2CB4"/>
    <w:rsid w:val="00FB2F75"/>
    <w:rsid w:val="00FB309B"/>
    <w:rsid w:val="00FB31A6"/>
    <w:rsid w:val="00FB3BB6"/>
    <w:rsid w:val="00FB3CB0"/>
    <w:rsid w:val="00FB59E4"/>
    <w:rsid w:val="00FB6329"/>
    <w:rsid w:val="00FB664A"/>
    <w:rsid w:val="00FB7FDC"/>
    <w:rsid w:val="00FC0698"/>
    <w:rsid w:val="00FC0FA4"/>
    <w:rsid w:val="00FC3B78"/>
    <w:rsid w:val="00FC408D"/>
    <w:rsid w:val="00FC53C8"/>
    <w:rsid w:val="00FC57F2"/>
    <w:rsid w:val="00FC58EF"/>
    <w:rsid w:val="00FC6266"/>
    <w:rsid w:val="00FD01CD"/>
    <w:rsid w:val="00FD1343"/>
    <w:rsid w:val="00FD18D6"/>
    <w:rsid w:val="00FD1ABA"/>
    <w:rsid w:val="00FD1DDC"/>
    <w:rsid w:val="00FD33DF"/>
    <w:rsid w:val="00FD4467"/>
    <w:rsid w:val="00FD452C"/>
    <w:rsid w:val="00FD5527"/>
    <w:rsid w:val="00FD58BD"/>
    <w:rsid w:val="00FD6882"/>
    <w:rsid w:val="00FD69B3"/>
    <w:rsid w:val="00FD6D71"/>
    <w:rsid w:val="00FD7EAF"/>
    <w:rsid w:val="00FE0BEE"/>
    <w:rsid w:val="00FE1EE6"/>
    <w:rsid w:val="00FE200C"/>
    <w:rsid w:val="00FE29C6"/>
    <w:rsid w:val="00FE2A66"/>
    <w:rsid w:val="00FE34DB"/>
    <w:rsid w:val="00FE39D7"/>
    <w:rsid w:val="00FE4219"/>
    <w:rsid w:val="00FE45CE"/>
    <w:rsid w:val="00FE48FD"/>
    <w:rsid w:val="00FE4C68"/>
    <w:rsid w:val="00FE68ED"/>
    <w:rsid w:val="00FE6C27"/>
    <w:rsid w:val="00FE6DC6"/>
    <w:rsid w:val="00FF2300"/>
    <w:rsid w:val="00FF2D72"/>
    <w:rsid w:val="00FF3AE5"/>
    <w:rsid w:val="00FF4422"/>
    <w:rsid w:val="00FF53E8"/>
    <w:rsid w:val="00FF5F3A"/>
    <w:rsid w:val="00FF6920"/>
    <w:rsid w:val="00FF6A04"/>
    <w:rsid w:val="00FF6D70"/>
    <w:rsid w:val="00FF6DEB"/>
    <w:rsid w:val="00FF6E31"/>
    <w:rsid w:val="00FF7253"/>
    <w:rsid w:val="00FF7941"/>
    <w:rsid w:val="01132DCF"/>
    <w:rsid w:val="01137E43"/>
    <w:rsid w:val="0149F309"/>
    <w:rsid w:val="016D002F"/>
    <w:rsid w:val="016FB4E9"/>
    <w:rsid w:val="01AD31C1"/>
    <w:rsid w:val="01D1B255"/>
    <w:rsid w:val="01FF4E54"/>
    <w:rsid w:val="02014310"/>
    <w:rsid w:val="02241E60"/>
    <w:rsid w:val="02569BD4"/>
    <w:rsid w:val="025801B6"/>
    <w:rsid w:val="034ECBAE"/>
    <w:rsid w:val="034FFA9E"/>
    <w:rsid w:val="035BA857"/>
    <w:rsid w:val="0383E07C"/>
    <w:rsid w:val="038D36D8"/>
    <w:rsid w:val="03CF3BF2"/>
    <w:rsid w:val="03E2319E"/>
    <w:rsid w:val="0480FC53"/>
    <w:rsid w:val="04EBC2EF"/>
    <w:rsid w:val="04ED3C48"/>
    <w:rsid w:val="055CA12F"/>
    <w:rsid w:val="05BCFDA7"/>
    <w:rsid w:val="05C22FA0"/>
    <w:rsid w:val="05F3F27F"/>
    <w:rsid w:val="062AE05D"/>
    <w:rsid w:val="0638E96E"/>
    <w:rsid w:val="0640DE09"/>
    <w:rsid w:val="06511CC1"/>
    <w:rsid w:val="065C748D"/>
    <w:rsid w:val="069453F2"/>
    <w:rsid w:val="06BC234E"/>
    <w:rsid w:val="0731EB28"/>
    <w:rsid w:val="07468695"/>
    <w:rsid w:val="07691E52"/>
    <w:rsid w:val="07726E13"/>
    <w:rsid w:val="07B867BC"/>
    <w:rsid w:val="07EA3145"/>
    <w:rsid w:val="07F844EE"/>
    <w:rsid w:val="07FDF623"/>
    <w:rsid w:val="0833AD01"/>
    <w:rsid w:val="084FFC8C"/>
    <w:rsid w:val="085823F8"/>
    <w:rsid w:val="0894C0AA"/>
    <w:rsid w:val="08DB4B30"/>
    <w:rsid w:val="090EBD91"/>
    <w:rsid w:val="094AE9D1"/>
    <w:rsid w:val="09531389"/>
    <w:rsid w:val="0994154F"/>
    <w:rsid w:val="09F386A7"/>
    <w:rsid w:val="0A0D83E5"/>
    <w:rsid w:val="0A1094F2"/>
    <w:rsid w:val="0A2E65FC"/>
    <w:rsid w:val="0A77B309"/>
    <w:rsid w:val="0AB05908"/>
    <w:rsid w:val="0B345FE5"/>
    <w:rsid w:val="0B41DC16"/>
    <w:rsid w:val="0B5B691A"/>
    <w:rsid w:val="0B98AE03"/>
    <w:rsid w:val="0BAAF275"/>
    <w:rsid w:val="0BD5EE9D"/>
    <w:rsid w:val="0BDB3F5E"/>
    <w:rsid w:val="0BE52629"/>
    <w:rsid w:val="0BE7CA21"/>
    <w:rsid w:val="0C083CE0"/>
    <w:rsid w:val="0C2B1670"/>
    <w:rsid w:val="0C317BBC"/>
    <w:rsid w:val="0C41A6E4"/>
    <w:rsid w:val="0C5557AC"/>
    <w:rsid w:val="0C99B2A2"/>
    <w:rsid w:val="0CA3702D"/>
    <w:rsid w:val="0CA5276A"/>
    <w:rsid w:val="0CCED512"/>
    <w:rsid w:val="0CFF9640"/>
    <w:rsid w:val="0D2B624A"/>
    <w:rsid w:val="0D2ECCE2"/>
    <w:rsid w:val="0D45384B"/>
    <w:rsid w:val="0D50461F"/>
    <w:rsid w:val="0D5FCADF"/>
    <w:rsid w:val="0D6B93DC"/>
    <w:rsid w:val="0D6CF72A"/>
    <w:rsid w:val="0DB1EE19"/>
    <w:rsid w:val="0DFF0C74"/>
    <w:rsid w:val="0E11A0FC"/>
    <w:rsid w:val="0E385022"/>
    <w:rsid w:val="0E4B2C4F"/>
    <w:rsid w:val="0E5972C9"/>
    <w:rsid w:val="0E62B650"/>
    <w:rsid w:val="0E8BBCD9"/>
    <w:rsid w:val="0EA08E1D"/>
    <w:rsid w:val="0EA7B4DD"/>
    <w:rsid w:val="0EE1FBBF"/>
    <w:rsid w:val="0EE4E584"/>
    <w:rsid w:val="0F0FBA44"/>
    <w:rsid w:val="0F50E5A8"/>
    <w:rsid w:val="0F840A48"/>
    <w:rsid w:val="0FD0BBEC"/>
    <w:rsid w:val="0FD87DB6"/>
    <w:rsid w:val="0FD8B087"/>
    <w:rsid w:val="0FEF7D8C"/>
    <w:rsid w:val="10145CAD"/>
    <w:rsid w:val="109723CB"/>
    <w:rsid w:val="10A284B2"/>
    <w:rsid w:val="10CC3899"/>
    <w:rsid w:val="10D4261F"/>
    <w:rsid w:val="1108FB48"/>
    <w:rsid w:val="1148AA46"/>
    <w:rsid w:val="1167A429"/>
    <w:rsid w:val="1168B2F8"/>
    <w:rsid w:val="1175A7C8"/>
    <w:rsid w:val="1260E5BD"/>
    <w:rsid w:val="129244F0"/>
    <w:rsid w:val="12963D7C"/>
    <w:rsid w:val="12EB066C"/>
    <w:rsid w:val="13C967B8"/>
    <w:rsid w:val="13E62682"/>
    <w:rsid w:val="13FFBF13"/>
    <w:rsid w:val="140341E3"/>
    <w:rsid w:val="140FC78F"/>
    <w:rsid w:val="143F2816"/>
    <w:rsid w:val="1449725A"/>
    <w:rsid w:val="1484ABBE"/>
    <w:rsid w:val="1494B7A5"/>
    <w:rsid w:val="149EC4E7"/>
    <w:rsid w:val="14B25F34"/>
    <w:rsid w:val="14B93124"/>
    <w:rsid w:val="14F21740"/>
    <w:rsid w:val="14F33B98"/>
    <w:rsid w:val="14F6134F"/>
    <w:rsid w:val="14F66D5E"/>
    <w:rsid w:val="1561B5AB"/>
    <w:rsid w:val="158B125E"/>
    <w:rsid w:val="159A0097"/>
    <w:rsid w:val="15B17C0B"/>
    <w:rsid w:val="15F8116A"/>
    <w:rsid w:val="1649B873"/>
    <w:rsid w:val="165C5AA0"/>
    <w:rsid w:val="1666773D"/>
    <w:rsid w:val="16B271BE"/>
    <w:rsid w:val="16CB64EE"/>
    <w:rsid w:val="16EB6CED"/>
    <w:rsid w:val="16F68EAD"/>
    <w:rsid w:val="16F9DD2D"/>
    <w:rsid w:val="179EF63E"/>
    <w:rsid w:val="17AE228E"/>
    <w:rsid w:val="17B82986"/>
    <w:rsid w:val="17C69EFB"/>
    <w:rsid w:val="17C8D2D2"/>
    <w:rsid w:val="17DFA0D6"/>
    <w:rsid w:val="18050215"/>
    <w:rsid w:val="180B95EA"/>
    <w:rsid w:val="18193959"/>
    <w:rsid w:val="1840E3E1"/>
    <w:rsid w:val="1880023C"/>
    <w:rsid w:val="18961235"/>
    <w:rsid w:val="18CA092E"/>
    <w:rsid w:val="1948DA48"/>
    <w:rsid w:val="195094FD"/>
    <w:rsid w:val="19887C72"/>
    <w:rsid w:val="19C2569D"/>
    <w:rsid w:val="19C2E365"/>
    <w:rsid w:val="19E20ABF"/>
    <w:rsid w:val="1A18C5CC"/>
    <w:rsid w:val="1A60EE81"/>
    <w:rsid w:val="1AC88357"/>
    <w:rsid w:val="1AFDC370"/>
    <w:rsid w:val="1B1D80C3"/>
    <w:rsid w:val="1B22B12C"/>
    <w:rsid w:val="1B267E8E"/>
    <w:rsid w:val="1B41A59D"/>
    <w:rsid w:val="1B474562"/>
    <w:rsid w:val="1BF0D3C0"/>
    <w:rsid w:val="1BF29CB0"/>
    <w:rsid w:val="1C076DF4"/>
    <w:rsid w:val="1C07C803"/>
    <w:rsid w:val="1C2AC816"/>
    <w:rsid w:val="1C2BF58F"/>
    <w:rsid w:val="1CD8B0A1"/>
    <w:rsid w:val="1CDFD05B"/>
    <w:rsid w:val="1D1CE1EA"/>
    <w:rsid w:val="1D20D5D3"/>
    <w:rsid w:val="1D32E9EA"/>
    <w:rsid w:val="1D5AA661"/>
    <w:rsid w:val="1DABF529"/>
    <w:rsid w:val="1DBC7471"/>
    <w:rsid w:val="1E0A3E07"/>
    <w:rsid w:val="1E2DEAE9"/>
    <w:rsid w:val="1E910263"/>
    <w:rsid w:val="1E9FB81C"/>
    <w:rsid w:val="1EA53C7C"/>
    <w:rsid w:val="1F2FF456"/>
    <w:rsid w:val="1F37E8F1"/>
    <w:rsid w:val="1F3FA3A6"/>
    <w:rsid w:val="1F49815A"/>
    <w:rsid w:val="1FA65415"/>
    <w:rsid w:val="20082E4E"/>
    <w:rsid w:val="20482FCD"/>
    <w:rsid w:val="20AEA22A"/>
    <w:rsid w:val="20E6E44B"/>
    <w:rsid w:val="210836A8"/>
    <w:rsid w:val="21238977"/>
    <w:rsid w:val="215B4950"/>
    <w:rsid w:val="2160DCAF"/>
    <w:rsid w:val="21AFE77F"/>
    <w:rsid w:val="21B839AC"/>
    <w:rsid w:val="21D4F876"/>
    <w:rsid w:val="222EF5BE"/>
    <w:rsid w:val="224160C4"/>
    <w:rsid w:val="22685E66"/>
    <w:rsid w:val="22AD8826"/>
    <w:rsid w:val="22FFD408"/>
    <w:rsid w:val="2314A54C"/>
    <w:rsid w:val="232877FB"/>
    <w:rsid w:val="235036A0"/>
    <w:rsid w:val="23A6E1D4"/>
    <w:rsid w:val="23B6E6A6"/>
    <w:rsid w:val="23BB51F4"/>
    <w:rsid w:val="23BBAC03"/>
    <w:rsid w:val="23E4EADF"/>
    <w:rsid w:val="23F3C649"/>
    <w:rsid w:val="23FBDD95"/>
    <w:rsid w:val="2428DB17"/>
    <w:rsid w:val="24388A67"/>
    <w:rsid w:val="24420E0C"/>
    <w:rsid w:val="24AA4C07"/>
    <w:rsid w:val="24BA50D9"/>
    <w:rsid w:val="24C17EAE"/>
    <w:rsid w:val="24C92DD0"/>
    <w:rsid w:val="24FF47C8"/>
    <w:rsid w:val="25073C63"/>
    <w:rsid w:val="250EF718"/>
    <w:rsid w:val="25508BF8"/>
    <w:rsid w:val="259CF312"/>
    <w:rsid w:val="25ACFE18"/>
    <w:rsid w:val="25C78656"/>
    <w:rsid w:val="25E26E71"/>
    <w:rsid w:val="25F48295"/>
    <w:rsid w:val="2622A003"/>
    <w:rsid w:val="266BEF98"/>
    <w:rsid w:val="267051D8"/>
    <w:rsid w:val="26A304B4"/>
    <w:rsid w:val="26DDE409"/>
    <w:rsid w:val="26EF50B6"/>
    <w:rsid w:val="26F9F93B"/>
    <w:rsid w:val="27100D2D"/>
    <w:rsid w:val="271AED72"/>
    <w:rsid w:val="273447A5"/>
    <w:rsid w:val="2742962F"/>
    <w:rsid w:val="27A614D8"/>
    <w:rsid w:val="27BC4555"/>
    <w:rsid w:val="27C8C7EF"/>
    <w:rsid w:val="2825ACB8"/>
    <w:rsid w:val="282E39C6"/>
    <w:rsid w:val="28429E53"/>
    <w:rsid w:val="28879542"/>
    <w:rsid w:val="28A9E96E"/>
    <w:rsid w:val="28B7881C"/>
    <w:rsid w:val="28B9C9C8"/>
    <w:rsid w:val="28C474E5"/>
    <w:rsid w:val="28EFB2A9"/>
    <w:rsid w:val="2925D4A8"/>
    <w:rsid w:val="2937067D"/>
    <w:rsid w:val="296BA94A"/>
    <w:rsid w:val="29783A23"/>
    <w:rsid w:val="297E22CC"/>
    <w:rsid w:val="2995170F"/>
    <w:rsid w:val="2A149344"/>
    <w:rsid w:val="2A4B7867"/>
    <w:rsid w:val="2A6B83C0"/>
    <w:rsid w:val="2A8EA38E"/>
    <w:rsid w:val="2AAAFF20"/>
    <w:rsid w:val="2AAE24DF"/>
    <w:rsid w:val="2AE39F4F"/>
    <w:rsid w:val="2AFFD139"/>
    <w:rsid w:val="2B19F4D6"/>
    <w:rsid w:val="2B8E541C"/>
    <w:rsid w:val="2BCACE40"/>
    <w:rsid w:val="2C4B4EF1"/>
    <w:rsid w:val="2CD3A83D"/>
    <w:rsid w:val="2D06CCDD"/>
    <w:rsid w:val="2D26BAE5"/>
    <w:rsid w:val="2D294386"/>
    <w:rsid w:val="2D5F99EC"/>
    <w:rsid w:val="2D93B728"/>
    <w:rsid w:val="2DB39E1B"/>
    <w:rsid w:val="2DBA8763"/>
    <w:rsid w:val="2DC86F5F"/>
    <w:rsid w:val="2E138D6C"/>
    <w:rsid w:val="2E802790"/>
    <w:rsid w:val="2EF9CB23"/>
    <w:rsid w:val="2F3BF81D"/>
    <w:rsid w:val="2F41FF6B"/>
    <w:rsid w:val="2F86C389"/>
    <w:rsid w:val="2FA62CFC"/>
    <w:rsid w:val="2FE4F0F6"/>
    <w:rsid w:val="3082CD16"/>
    <w:rsid w:val="30EE732B"/>
    <w:rsid w:val="315513F2"/>
    <w:rsid w:val="31991F09"/>
    <w:rsid w:val="319F917C"/>
    <w:rsid w:val="31DDD2E0"/>
    <w:rsid w:val="31EFE847"/>
    <w:rsid w:val="31FC5A9A"/>
    <w:rsid w:val="325459DD"/>
    <w:rsid w:val="329950CC"/>
    <w:rsid w:val="32B4E055"/>
    <w:rsid w:val="32DA766D"/>
    <w:rsid w:val="32E7F29E"/>
    <w:rsid w:val="32EDB4D2"/>
    <w:rsid w:val="330AD886"/>
    <w:rsid w:val="331AE46D"/>
    <w:rsid w:val="332A93BD"/>
    <w:rsid w:val="336F8AAC"/>
    <w:rsid w:val="33C918F9"/>
    <w:rsid w:val="341E5A33"/>
    <w:rsid w:val="34617482"/>
    <w:rsid w:val="34637860"/>
    <w:rsid w:val="347CD293"/>
    <w:rsid w:val="349AC04D"/>
    <w:rsid w:val="34AFF733"/>
    <w:rsid w:val="34C117D5"/>
    <w:rsid w:val="34DCCD77"/>
    <w:rsid w:val="351934D0"/>
    <w:rsid w:val="353D3CA3"/>
    <w:rsid w:val="357199B5"/>
    <w:rsid w:val="358AF964"/>
    <w:rsid w:val="35B4C22C"/>
    <w:rsid w:val="35BA5C6A"/>
    <w:rsid w:val="35CB2802"/>
    <w:rsid w:val="35F8F616"/>
    <w:rsid w:val="360807A5"/>
    <w:rsid w:val="36148A3F"/>
    <w:rsid w:val="3619E377"/>
    <w:rsid w:val="363D1C73"/>
    <w:rsid w:val="364D9A57"/>
    <w:rsid w:val="365DFE8A"/>
    <w:rsid w:val="3709844A"/>
    <w:rsid w:val="371093CC"/>
    <w:rsid w:val="3711FA9A"/>
    <w:rsid w:val="371B7DBF"/>
    <w:rsid w:val="371C3EFD"/>
    <w:rsid w:val="3747DBB9"/>
    <w:rsid w:val="375557EA"/>
    <w:rsid w:val="37A9C443"/>
    <w:rsid w:val="37C1C4C5"/>
    <w:rsid w:val="37CB7F1F"/>
    <w:rsid w:val="37D9F103"/>
    <w:rsid w:val="37F6AFCD"/>
    <w:rsid w:val="382D2561"/>
    <w:rsid w:val="38EA37DF"/>
    <w:rsid w:val="38FF3BF4"/>
    <w:rsid w:val="3914CE1B"/>
    <w:rsid w:val="391B6441"/>
    <w:rsid w:val="399507D4"/>
    <w:rsid w:val="39DC7035"/>
    <w:rsid w:val="39EEA8C9"/>
    <w:rsid w:val="3A02A627"/>
    <w:rsid w:val="3A059B7F"/>
    <w:rsid w:val="3A06D507"/>
    <w:rsid w:val="3A225A49"/>
    <w:rsid w:val="3A32CCB9"/>
    <w:rsid w:val="3A4BCBF6"/>
    <w:rsid w:val="3A59DA0D"/>
    <w:rsid w:val="3A6744B8"/>
    <w:rsid w:val="3A6E4C3C"/>
    <w:rsid w:val="3A8645A9"/>
    <w:rsid w:val="3A8DF4CB"/>
    <w:rsid w:val="3A9F05DC"/>
    <w:rsid w:val="3AC0F22D"/>
    <w:rsid w:val="3B3D6057"/>
    <w:rsid w:val="3B54955E"/>
    <w:rsid w:val="3B55BE6B"/>
    <w:rsid w:val="3B64076D"/>
    <w:rsid w:val="3B7E4BE5"/>
    <w:rsid w:val="3B820E4A"/>
    <w:rsid w:val="3B82EEBE"/>
    <w:rsid w:val="3BCECE09"/>
    <w:rsid w:val="3BE766FE"/>
    <w:rsid w:val="3BFC47B9"/>
    <w:rsid w:val="3BFE1FBB"/>
    <w:rsid w:val="3C176830"/>
    <w:rsid w:val="3C2C2B1C"/>
    <w:rsid w:val="3C4EE362"/>
    <w:rsid w:val="3C58A5F9"/>
    <w:rsid w:val="3C6DCB8F"/>
    <w:rsid w:val="3C9AC911"/>
    <w:rsid w:val="3D265A98"/>
    <w:rsid w:val="3D41A95B"/>
    <w:rsid w:val="3D4B5A82"/>
    <w:rsid w:val="3D4C86EA"/>
    <w:rsid w:val="3D748C3E"/>
    <w:rsid w:val="3D832F4F"/>
    <w:rsid w:val="3D9A29C9"/>
    <w:rsid w:val="3DBAE67B"/>
    <w:rsid w:val="3DCB2533"/>
    <w:rsid w:val="3DE31EA0"/>
    <w:rsid w:val="3DECC6D9"/>
    <w:rsid w:val="3DEF1E24"/>
    <w:rsid w:val="3E0058AA"/>
    <w:rsid w:val="3E143DBE"/>
    <w:rsid w:val="3E5FBF91"/>
    <w:rsid w:val="3E9947C7"/>
    <w:rsid w:val="3ED000FA"/>
    <w:rsid w:val="3EFE8240"/>
    <w:rsid w:val="3F262AFD"/>
    <w:rsid w:val="3F274B31"/>
    <w:rsid w:val="3F42E9C7"/>
    <w:rsid w:val="3F59DE0A"/>
    <w:rsid w:val="3F8CDB6C"/>
    <w:rsid w:val="3F94BD5F"/>
    <w:rsid w:val="3F97EC9D"/>
    <w:rsid w:val="3FACC48B"/>
    <w:rsid w:val="403E947C"/>
    <w:rsid w:val="4055991B"/>
    <w:rsid w:val="4102B163"/>
    <w:rsid w:val="41098F23"/>
    <w:rsid w:val="410FE98E"/>
    <w:rsid w:val="41159FF6"/>
    <w:rsid w:val="412C05CC"/>
    <w:rsid w:val="4139A93B"/>
    <w:rsid w:val="4178ABDD"/>
    <w:rsid w:val="41E3186A"/>
    <w:rsid w:val="4234FC22"/>
    <w:rsid w:val="4279C040"/>
    <w:rsid w:val="42A6BDC2"/>
    <w:rsid w:val="42E2D1B6"/>
    <w:rsid w:val="42FB53E1"/>
    <w:rsid w:val="43288434"/>
    <w:rsid w:val="435CE25C"/>
    <w:rsid w:val="43A1D94B"/>
    <w:rsid w:val="43B02DCD"/>
    <w:rsid w:val="4473115F"/>
    <w:rsid w:val="448094A6"/>
    <w:rsid w:val="449033D6"/>
    <w:rsid w:val="4497DD5E"/>
    <w:rsid w:val="449DE2D8"/>
    <w:rsid w:val="44A238F6"/>
    <w:rsid w:val="44FFBE75"/>
    <w:rsid w:val="450A4FB3"/>
    <w:rsid w:val="4521825A"/>
    <w:rsid w:val="4562BAA3"/>
    <w:rsid w:val="456410D1"/>
    <w:rsid w:val="45757D7E"/>
    <w:rsid w:val="457C02C2"/>
    <w:rsid w:val="458DB185"/>
    <w:rsid w:val="45BA746D"/>
    <w:rsid w:val="45D146FA"/>
    <w:rsid w:val="462F7366"/>
    <w:rsid w:val="46420566"/>
    <w:rsid w:val="4663BC5E"/>
    <w:rsid w:val="46782A61"/>
    <w:rsid w:val="46A5E533"/>
    <w:rsid w:val="46D8E295"/>
    <w:rsid w:val="46F83115"/>
    <w:rsid w:val="46F8F7DB"/>
    <w:rsid w:val="46F9B5A9"/>
    <w:rsid w:val="46FC5F43"/>
    <w:rsid w:val="4702AE51"/>
    <w:rsid w:val="473248D0"/>
    <w:rsid w:val="47524793"/>
    <w:rsid w:val="47645877"/>
    <w:rsid w:val="47665C2D"/>
    <w:rsid w:val="479D1A7C"/>
    <w:rsid w:val="47ACDF85"/>
    <w:rsid w:val="48003A65"/>
    <w:rsid w:val="48112C3D"/>
    <w:rsid w:val="481394B5"/>
    <w:rsid w:val="482C54E8"/>
    <w:rsid w:val="483C1603"/>
    <w:rsid w:val="48515DCF"/>
    <w:rsid w:val="485BB0DF"/>
    <w:rsid w:val="4899C3ED"/>
    <w:rsid w:val="48ACAC36"/>
    <w:rsid w:val="48BD831E"/>
    <w:rsid w:val="48CCD98B"/>
    <w:rsid w:val="48D7941C"/>
    <w:rsid w:val="492FBF1B"/>
    <w:rsid w:val="49348478"/>
    <w:rsid w:val="49378D6B"/>
    <w:rsid w:val="49416121"/>
    <w:rsid w:val="49545FD8"/>
    <w:rsid w:val="49699946"/>
    <w:rsid w:val="49AFC9BD"/>
    <w:rsid w:val="49CF724C"/>
    <w:rsid w:val="49D30C42"/>
    <w:rsid w:val="49E3212E"/>
    <w:rsid w:val="4A22EA96"/>
    <w:rsid w:val="4A5F988D"/>
    <w:rsid w:val="4A701F12"/>
    <w:rsid w:val="4A8504F6"/>
    <w:rsid w:val="4A91E9AF"/>
    <w:rsid w:val="4A93E570"/>
    <w:rsid w:val="4ACB876C"/>
    <w:rsid w:val="4AEE6D54"/>
    <w:rsid w:val="4AF9CC35"/>
    <w:rsid w:val="4B36F828"/>
    <w:rsid w:val="4B579332"/>
    <w:rsid w:val="4B5BB175"/>
    <w:rsid w:val="4B8FEEFD"/>
    <w:rsid w:val="4B9ECBF4"/>
    <w:rsid w:val="4BB00FD6"/>
    <w:rsid w:val="4BD193FD"/>
    <w:rsid w:val="4BF8F57D"/>
    <w:rsid w:val="4C5B1F5B"/>
    <w:rsid w:val="4D41FA73"/>
    <w:rsid w:val="4DA23960"/>
    <w:rsid w:val="4DE8BED9"/>
    <w:rsid w:val="4DF08B96"/>
    <w:rsid w:val="4DF1C51E"/>
    <w:rsid w:val="4DF76ED9"/>
    <w:rsid w:val="4E003AE6"/>
    <w:rsid w:val="4E28730B"/>
    <w:rsid w:val="4E418C17"/>
    <w:rsid w:val="4E51E740"/>
    <w:rsid w:val="4E689C8D"/>
    <w:rsid w:val="4E820158"/>
    <w:rsid w:val="4EA81D77"/>
    <w:rsid w:val="4ECBBDA4"/>
    <w:rsid w:val="4ECE58ED"/>
    <w:rsid w:val="4ED7D90F"/>
    <w:rsid w:val="4F033862"/>
    <w:rsid w:val="4F555173"/>
    <w:rsid w:val="4F7982F1"/>
    <w:rsid w:val="4FA22A55"/>
    <w:rsid w:val="4FC4493D"/>
    <w:rsid w:val="4FE3956F"/>
    <w:rsid w:val="501D162A"/>
    <w:rsid w:val="501F08B9"/>
    <w:rsid w:val="502C1833"/>
    <w:rsid w:val="5035C1D9"/>
    <w:rsid w:val="50965F25"/>
    <w:rsid w:val="50CAB017"/>
    <w:rsid w:val="50CAD755"/>
    <w:rsid w:val="50D2920A"/>
    <w:rsid w:val="50E5CD2F"/>
    <w:rsid w:val="5112C39C"/>
    <w:rsid w:val="5127C7B1"/>
    <w:rsid w:val="5128CE68"/>
    <w:rsid w:val="514C0E5F"/>
    <w:rsid w:val="5158F413"/>
    <w:rsid w:val="51AC3065"/>
    <w:rsid w:val="522CDB02"/>
    <w:rsid w:val="522F8802"/>
    <w:rsid w:val="524763CE"/>
    <w:rsid w:val="52718999"/>
    <w:rsid w:val="527EABBB"/>
    <w:rsid w:val="527FA552"/>
    <w:rsid w:val="5296D7F9"/>
    <w:rsid w:val="529E76A9"/>
    <w:rsid w:val="52BC74D5"/>
    <w:rsid w:val="52D56D39"/>
    <w:rsid w:val="52E0EE54"/>
    <w:rsid w:val="52E97257"/>
    <w:rsid w:val="5300160F"/>
    <w:rsid w:val="53111B14"/>
    <w:rsid w:val="5314195D"/>
    <w:rsid w:val="532B2654"/>
    <w:rsid w:val="53395339"/>
    <w:rsid w:val="533EEEAB"/>
    <w:rsid w:val="536ADC32"/>
    <w:rsid w:val="537E4A28"/>
    <w:rsid w:val="5382DCB4"/>
    <w:rsid w:val="539AC0C7"/>
    <w:rsid w:val="53C4A465"/>
    <w:rsid w:val="5411965A"/>
    <w:rsid w:val="547FB312"/>
    <w:rsid w:val="54858021"/>
    <w:rsid w:val="5544BA2B"/>
    <w:rsid w:val="554E70A1"/>
    <w:rsid w:val="5550A96F"/>
    <w:rsid w:val="559E7B49"/>
    <w:rsid w:val="55A26BC5"/>
    <w:rsid w:val="55A66FE4"/>
    <w:rsid w:val="55AFC0B8"/>
    <w:rsid w:val="55C267E8"/>
    <w:rsid w:val="55CC0A95"/>
    <w:rsid w:val="55EE1EC2"/>
    <w:rsid w:val="56669063"/>
    <w:rsid w:val="568CE87C"/>
    <w:rsid w:val="56CE561E"/>
    <w:rsid w:val="56DA66F1"/>
    <w:rsid w:val="56E2537C"/>
    <w:rsid w:val="56F5B962"/>
    <w:rsid w:val="56F87BE9"/>
    <w:rsid w:val="570B30D8"/>
    <w:rsid w:val="573D72D8"/>
    <w:rsid w:val="5778522D"/>
    <w:rsid w:val="57858B6F"/>
    <w:rsid w:val="580D4FC4"/>
    <w:rsid w:val="5813ACB8"/>
    <w:rsid w:val="5828B050"/>
    <w:rsid w:val="58531E99"/>
    <w:rsid w:val="588A9957"/>
    <w:rsid w:val="58A5554B"/>
    <w:rsid w:val="58A82D02"/>
    <w:rsid w:val="58A88711"/>
    <w:rsid w:val="58B2D98C"/>
    <w:rsid w:val="58C3AFBC"/>
    <w:rsid w:val="59047A53"/>
    <w:rsid w:val="595A1DAC"/>
    <w:rsid w:val="595F3FA0"/>
    <w:rsid w:val="597899D3"/>
    <w:rsid w:val="59A31332"/>
    <w:rsid w:val="59B6C246"/>
    <w:rsid w:val="59C87D3D"/>
    <w:rsid w:val="59D061D1"/>
    <w:rsid w:val="5A0F8999"/>
    <w:rsid w:val="5A42D19A"/>
    <w:rsid w:val="5A725923"/>
    <w:rsid w:val="5A8A5290"/>
    <w:rsid w:val="5A99F1C0"/>
    <w:rsid w:val="5AB257E4"/>
    <w:rsid w:val="5B003FC9"/>
    <w:rsid w:val="5B0C1902"/>
    <w:rsid w:val="5B29A00D"/>
    <w:rsid w:val="5B2C070A"/>
    <w:rsid w:val="5B40D139"/>
    <w:rsid w:val="5B7CAB36"/>
    <w:rsid w:val="5B9A996C"/>
    <w:rsid w:val="5BFF447D"/>
    <w:rsid w:val="5C237B9C"/>
    <w:rsid w:val="5C393150"/>
    <w:rsid w:val="5C9AD1D9"/>
    <w:rsid w:val="5CA7F3FB"/>
    <w:rsid w:val="5CEDE481"/>
    <w:rsid w:val="5D0CC64A"/>
    <w:rsid w:val="5D0FC53F"/>
    <w:rsid w:val="5D19E86C"/>
    <w:rsid w:val="5D7A725C"/>
    <w:rsid w:val="5D9DE1FD"/>
    <w:rsid w:val="5DB9673F"/>
    <w:rsid w:val="5DF11BE3"/>
    <w:rsid w:val="5E055932"/>
    <w:rsid w:val="5E22E80E"/>
    <w:rsid w:val="5E2B28DF"/>
    <w:rsid w:val="5E2C00E7"/>
    <w:rsid w:val="5E35A61B"/>
    <w:rsid w:val="5E7FCF1E"/>
    <w:rsid w:val="5ED04FAF"/>
    <w:rsid w:val="5F05EBAE"/>
    <w:rsid w:val="5F09BCFC"/>
    <w:rsid w:val="5F738A01"/>
    <w:rsid w:val="5FA054B2"/>
    <w:rsid w:val="5FB987A7"/>
    <w:rsid w:val="5FD6F763"/>
    <w:rsid w:val="5FFED8A5"/>
    <w:rsid w:val="601E2725"/>
    <w:rsid w:val="602646C6"/>
    <w:rsid w:val="6078F762"/>
    <w:rsid w:val="60AE3C21"/>
    <w:rsid w:val="60C37307"/>
    <w:rsid w:val="61C74FA0"/>
    <w:rsid w:val="61CB6FC6"/>
    <w:rsid w:val="62252E5C"/>
    <w:rsid w:val="6239FFA0"/>
    <w:rsid w:val="62547B25"/>
    <w:rsid w:val="62730FA6"/>
    <w:rsid w:val="62A0CD58"/>
    <w:rsid w:val="62DC562A"/>
    <w:rsid w:val="62DF18B1"/>
    <w:rsid w:val="62EA02A4"/>
    <w:rsid w:val="636A0D46"/>
    <w:rsid w:val="63AF0435"/>
    <w:rsid w:val="63AFD719"/>
    <w:rsid w:val="64003D0C"/>
    <w:rsid w:val="64237AEC"/>
    <w:rsid w:val="645BA52A"/>
    <w:rsid w:val="64728EA7"/>
    <w:rsid w:val="648F8C4B"/>
    <w:rsid w:val="6490849F"/>
    <w:rsid w:val="64C89EE5"/>
    <w:rsid w:val="64E9E926"/>
    <w:rsid w:val="651740B7"/>
    <w:rsid w:val="654FD297"/>
    <w:rsid w:val="656A535F"/>
    <w:rsid w:val="659FEFB9"/>
    <w:rsid w:val="65CC0918"/>
    <w:rsid w:val="65E2FD5B"/>
    <w:rsid w:val="65F311F1"/>
    <w:rsid w:val="661C4691"/>
    <w:rsid w:val="66627990"/>
    <w:rsid w:val="667A676A"/>
    <w:rsid w:val="66B7470D"/>
    <w:rsid w:val="66DF1A8B"/>
    <w:rsid w:val="67259D01"/>
    <w:rsid w:val="6783C496"/>
    <w:rsid w:val="67AACF1F"/>
    <w:rsid w:val="67B5251D"/>
    <w:rsid w:val="67CB22C9"/>
    <w:rsid w:val="67F44EFD"/>
    <w:rsid w:val="67FBA410"/>
    <w:rsid w:val="684340E7"/>
    <w:rsid w:val="6877FF25"/>
    <w:rsid w:val="68813BD0"/>
    <w:rsid w:val="68BECD0F"/>
    <w:rsid w:val="690C6336"/>
    <w:rsid w:val="695A399D"/>
    <w:rsid w:val="6981896D"/>
    <w:rsid w:val="699C9CE0"/>
    <w:rsid w:val="69DE6BBF"/>
    <w:rsid w:val="69E329F6"/>
    <w:rsid w:val="6A71BD14"/>
    <w:rsid w:val="6A884307"/>
    <w:rsid w:val="6A8F49A9"/>
    <w:rsid w:val="6A8F6549"/>
    <w:rsid w:val="6A977158"/>
    <w:rsid w:val="6AA7FE3E"/>
    <w:rsid w:val="6AB4B6D0"/>
    <w:rsid w:val="6ABC3B8D"/>
    <w:rsid w:val="6ACD0725"/>
    <w:rsid w:val="6AE63A1A"/>
    <w:rsid w:val="6B3927F6"/>
    <w:rsid w:val="6B582E8B"/>
    <w:rsid w:val="6B6E2C37"/>
    <w:rsid w:val="6BB97EA2"/>
    <w:rsid w:val="6BC72DA4"/>
    <w:rsid w:val="6C19A0C4"/>
    <w:rsid w:val="6C2DC787"/>
    <w:rsid w:val="6C3C176D"/>
    <w:rsid w:val="6C937728"/>
    <w:rsid w:val="6C9639AF"/>
    <w:rsid w:val="6CA83ECF"/>
    <w:rsid w:val="6CE2F363"/>
    <w:rsid w:val="6CE888B8"/>
    <w:rsid w:val="6CF06784"/>
    <w:rsid w:val="6D719E8E"/>
    <w:rsid w:val="6D75009D"/>
    <w:rsid w:val="6D7A2291"/>
    <w:rsid w:val="6D937CC4"/>
    <w:rsid w:val="6DD84C75"/>
    <w:rsid w:val="6DE2393C"/>
    <w:rsid w:val="6E1D9D73"/>
    <w:rsid w:val="6E4F6052"/>
    <w:rsid w:val="6E603E92"/>
    <w:rsid w:val="6E845919"/>
    <w:rsid w:val="6F58BED2"/>
    <w:rsid w:val="6F78ACDA"/>
    <w:rsid w:val="6F7DB158"/>
    <w:rsid w:val="6FB24A97"/>
    <w:rsid w:val="702F2B83"/>
    <w:rsid w:val="70724F25"/>
    <w:rsid w:val="707751B0"/>
    <w:rsid w:val="7085C1F0"/>
    <w:rsid w:val="70B5B4CA"/>
    <w:rsid w:val="70C363CC"/>
    <w:rsid w:val="70F01533"/>
    <w:rsid w:val="70F75C52"/>
    <w:rsid w:val="71069C63"/>
    <w:rsid w:val="7187988C"/>
    <w:rsid w:val="7188F952"/>
    <w:rsid w:val="71B993BE"/>
    <w:rsid w:val="71CDC903"/>
    <w:rsid w:val="71E1925F"/>
    <w:rsid w:val="72130082"/>
    <w:rsid w:val="72206EF4"/>
    <w:rsid w:val="7235FFE9"/>
    <w:rsid w:val="72463EA1"/>
    <w:rsid w:val="7254D1F1"/>
    <w:rsid w:val="72A7677A"/>
    <w:rsid w:val="72BF8825"/>
    <w:rsid w:val="7304B1E5"/>
    <w:rsid w:val="73146135"/>
    <w:rsid w:val="73555405"/>
    <w:rsid w:val="73711EC0"/>
    <w:rsid w:val="73A45159"/>
    <w:rsid w:val="73E2E060"/>
    <w:rsid w:val="73F9664A"/>
    <w:rsid w:val="74017998"/>
    <w:rsid w:val="74449619"/>
    <w:rsid w:val="7448CFA0"/>
    <w:rsid w:val="74813E5E"/>
    <w:rsid w:val="74947F32"/>
    <w:rsid w:val="74D98A87"/>
    <w:rsid w:val="7527281C"/>
    <w:rsid w:val="753850FC"/>
    <w:rsid w:val="7551785E"/>
    <w:rsid w:val="7557783E"/>
    <w:rsid w:val="75819E09"/>
    <w:rsid w:val="75F638B7"/>
    <w:rsid w:val="75F6C440"/>
    <w:rsid w:val="760EBDAD"/>
    <w:rsid w:val="7636666A"/>
    <w:rsid w:val="76646293"/>
    <w:rsid w:val="7709DDC3"/>
    <w:rsid w:val="770ED879"/>
    <w:rsid w:val="7789F7FF"/>
    <w:rsid w:val="778BA435"/>
    <w:rsid w:val="77AA98A6"/>
    <w:rsid w:val="77E04A74"/>
    <w:rsid w:val="77ED271D"/>
    <w:rsid w:val="7810B8F1"/>
    <w:rsid w:val="781D53DD"/>
    <w:rsid w:val="78B38EFC"/>
    <w:rsid w:val="78F481CC"/>
    <w:rsid w:val="78FB381D"/>
    <w:rsid w:val="7964E01E"/>
    <w:rsid w:val="798E227D"/>
    <w:rsid w:val="799940CE"/>
    <w:rsid w:val="79B60A76"/>
    <w:rsid w:val="79CEBFCB"/>
    <w:rsid w:val="79FDB686"/>
    <w:rsid w:val="7A0074E6"/>
    <w:rsid w:val="7A564E58"/>
    <w:rsid w:val="7A5F0804"/>
    <w:rsid w:val="7A70A716"/>
    <w:rsid w:val="7A857145"/>
    <w:rsid w:val="7AAEB021"/>
    <w:rsid w:val="7AC44ED5"/>
    <w:rsid w:val="7B59F488"/>
    <w:rsid w:val="7B923C1B"/>
    <w:rsid w:val="7BA82CC2"/>
    <w:rsid w:val="7BB84172"/>
    <w:rsid w:val="7BCBFAFF"/>
    <w:rsid w:val="7C6304FA"/>
    <w:rsid w:val="7C734629"/>
    <w:rsid w:val="7C8C7F91"/>
    <w:rsid w:val="7CD237BE"/>
    <w:rsid w:val="7CE14881"/>
    <w:rsid w:val="7D1A0EB8"/>
    <w:rsid w:val="7D429898"/>
    <w:rsid w:val="7D72C653"/>
    <w:rsid w:val="7DA0E9BA"/>
    <w:rsid w:val="7DB48D09"/>
    <w:rsid w:val="7DE2A625"/>
    <w:rsid w:val="7DE4B2B4"/>
    <w:rsid w:val="7DEC07C7"/>
    <w:rsid w:val="7E14DF74"/>
    <w:rsid w:val="7E400E7E"/>
    <w:rsid w:val="7E693340"/>
    <w:rsid w:val="7E7E1D11"/>
    <w:rsid w:val="7E82E26E"/>
    <w:rsid w:val="7EEF1B12"/>
    <w:rsid w:val="7F07D81E"/>
    <w:rsid w:val="7F3D0F79"/>
    <w:rsid w:val="7F85194A"/>
    <w:rsid w:val="7F9DD5D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B7B11A"/>
  <w15:chartTrackingRefBased/>
  <w15:docId w15:val="{E9806932-2C30-4517-B139-FE8488D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DF6F7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character" w:customStyle="1" w:styleId="Ttulo2Car">
    <w:name w:val="Título 2 Car"/>
    <w:link w:val="Ttulo2"/>
    <w:uiPriority w:val="9"/>
    <w:semiHidden/>
    <w:rsid w:val="00DF6F72"/>
    <w:rPr>
      <w:rFonts w:ascii="Calibri Light" w:eastAsia="Times New Roman" w:hAnsi="Calibri Light" w:cs="Times New Roman"/>
      <w:b/>
      <w:bCs/>
      <w:i/>
      <w:iCs/>
      <w:sz w:val="28"/>
      <w:szCs w:val="28"/>
      <w:lang w:val="es-ES" w:eastAsia="es-ES"/>
    </w:rPr>
  </w:style>
  <w:style w:type="character" w:styleId="Refdecomentario">
    <w:name w:val="annotation reference"/>
    <w:uiPriority w:val="99"/>
    <w:semiHidden/>
    <w:unhideWhenUsed/>
    <w:rsid w:val="00DF6F72"/>
    <w:rPr>
      <w:sz w:val="16"/>
      <w:szCs w:val="16"/>
    </w:rPr>
  </w:style>
  <w:style w:type="paragraph" w:styleId="Textocomentario">
    <w:name w:val="annotation text"/>
    <w:basedOn w:val="Normal"/>
    <w:link w:val="TextocomentarioCar"/>
    <w:uiPriority w:val="99"/>
    <w:unhideWhenUsed/>
    <w:rsid w:val="00DF6F72"/>
    <w:pPr>
      <w:suppressAutoHyphens/>
      <w:ind w:left="0"/>
      <w:jc w:val="both"/>
    </w:pPr>
    <w:rPr>
      <w:rFonts w:ascii="Arial" w:hAnsi="Arial"/>
      <w:sz w:val="20"/>
      <w:szCs w:val="20"/>
      <w:lang w:eastAsia="ar-SA"/>
    </w:rPr>
  </w:style>
  <w:style w:type="character" w:customStyle="1" w:styleId="TextocomentarioCar">
    <w:name w:val="Texto comentario Car"/>
    <w:link w:val="Textocomentario"/>
    <w:uiPriority w:val="99"/>
    <w:rsid w:val="00DF6F72"/>
    <w:rPr>
      <w:rFonts w:ascii="Arial" w:hAnsi="Arial"/>
      <w:lang w:val="es-ES" w:eastAsia="ar-SA"/>
    </w:rPr>
  </w:style>
  <w:style w:type="paragraph" w:customStyle="1" w:styleId="texto">
    <w:name w:val="texto"/>
    <w:rsid w:val="00763BC4"/>
    <w:pPr>
      <w:widowControl w:val="0"/>
      <w:spacing w:line="230" w:lineRule="atLeast"/>
      <w:ind w:firstLine="227"/>
      <w:jc w:val="both"/>
    </w:pPr>
    <w:rPr>
      <w:rFonts w:ascii="Arial" w:hAnsi="Arial"/>
      <w:snapToGrid w:val="0"/>
      <w:color w:val="000000"/>
      <w:sz w:val="19"/>
      <w:lang w:val="es-ES" w:eastAsia="es-ES"/>
    </w:rPr>
  </w:style>
  <w:style w:type="paragraph" w:styleId="Lista">
    <w:name w:val="List"/>
    <w:basedOn w:val="Textoindependiente"/>
    <w:semiHidden/>
    <w:rsid w:val="009E396F"/>
    <w:pPr>
      <w:suppressAutoHyphens/>
      <w:spacing w:after="120"/>
      <w:ind w:left="0"/>
      <w:jc w:val="both"/>
    </w:pPr>
    <w:rPr>
      <w:rFonts w:cs="Tahoma"/>
      <w:b w:val="0"/>
      <w:bCs w:val="0"/>
      <w:sz w:val="22"/>
      <w:lang w:eastAsia="ar-SA"/>
    </w:rPr>
  </w:style>
  <w:style w:type="paragraph" w:customStyle="1" w:styleId="Prrafodelista1">
    <w:name w:val="Párrafo de lista1"/>
    <w:basedOn w:val="Normal"/>
    <w:rsid w:val="009E396F"/>
    <w:pPr>
      <w:ind w:left="720"/>
    </w:pPr>
  </w:style>
  <w:style w:type="character" w:styleId="Hipervnculo">
    <w:name w:val="Hyperlink"/>
    <w:basedOn w:val="Fuentedeprrafopredeter"/>
    <w:uiPriority w:val="99"/>
    <w:unhideWhenUsed/>
    <w:rsid w:val="004D6BAC"/>
    <w:rPr>
      <w:color w:val="0000FF"/>
      <w:u w:val="single"/>
    </w:rPr>
  </w:style>
  <w:style w:type="paragraph" w:customStyle="1" w:styleId="Default">
    <w:name w:val="Default"/>
    <w:rsid w:val="002A6971"/>
    <w:pPr>
      <w:autoSpaceDE w:val="0"/>
      <w:autoSpaceDN w:val="0"/>
      <w:adjustRightInd w:val="0"/>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07724F"/>
    <w:pPr>
      <w:suppressAutoHyphens w:val="0"/>
      <w:ind w:left="567"/>
      <w:jc w:val="left"/>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07724F"/>
    <w:rPr>
      <w:rFonts w:ascii="Arial" w:hAnsi="Arial"/>
      <w:b/>
      <w:bCs/>
      <w:lang w:val="es-ES" w:eastAsia="es-ES"/>
    </w:rPr>
  </w:style>
  <w:style w:type="paragraph" w:styleId="Revisin">
    <w:name w:val="Revision"/>
    <w:hidden/>
    <w:uiPriority w:val="99"/>
    <w:semiHidden/>
    <w:rsid w:val="007564E8"/>
    <w:rPr>
      <w:sz w:val="24"/>
      <w:szCs w:val="24"/>
      <w:lang w:val="es-ES" w:eastAsia="es-ES"/>
    </w:rPr>
  </w:style>
  <w:style w:type="table" w:styleId="Tablaconcuadrculaclara">
    <w:name w:val="Grid Table Light"/>
    <w:basedOn w:val="Tablanormal"/>
    <w:uiPriority w:val="40"/>
    <w:rsid w:val="00C125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12307D"/>
    <w:rPr>
      <w:color w:val="808080"/>
    </w:rPr>
  </w:style>
  <w:style w:type="paragraph" w:styleId="NormalWeb">
    <w:name w:val="Normal (Web)"/>
    <w:basedOn w:val="Normal"/>
    <w:uiPriority w:val="99"/>
    <w:unhideWhenUsed/>
    <w:rsid w:val="00606E1E"/>
    <w:pPr>
      <w:spacing w:before="100" w:beforeAutospacing="1" w:after="100" w:afterAutospacing="1"/>
      <w:ind w:left="0"/>
    </w:pPr>
    <w:rPr>
      <w:rFonts w:eastAsiaTheme="minorEastAsia"/>
      <w:lang w:val="es-CO" w:eastAsia="es-CO"/>
    </w:rPr>
  </w:style>
  <w:style w:type="character" w:customStyle="1" w:styleId="baj">
    <w:name w:val="b_aj"/>
    <w:basedOn w:val="Fuentedeprrafopredeter"/>
    <w:rsid w:val="00752115"/>
  </w:style>
  <w:style w:type="paragraph" w:styleId="Citadestacada">
    <w:name w:val="Intense Quote"/>
    <w:basedOn w:val="Normal"/>
    <w:next w:val="Normal"/>
    <w:link w:val="CitadestacadaCar"/>
    <w:uiPriority w:val="30"/>
    <w:qFormat/>
    <w:rsid w:val="000B5F73"/>
    <w:pPr>
      <w:ind w:right="567"/>
      <w:jc w:val="both"/>
    </w:pPr>
    <w:rPr>
      <w:rFonts w:ascii="Bookman Old Style" w:hAnsi="Bookman Old Style"/>
      <w:i/>
      <w:lang w:val="es-CO"/>
    </w:rPr>
  </w:style>
  <w:style w:type="character" w:customStyle="1" w:styleId="CitadestacadaCar">
    <w:name w:val="Cita destacada Car"/>
    <w:basedOn w:val="Fuentedeprrafopredeter"/>
    <w:link w:val="Citadestacada"/>
    <w:uiPriority w:val="30"/>
    <w:rsid w:val="000B5F73"/>
    <w:rPr>
      <w:rFonts w:ascii="Bookman Old Style" w:hAnsi="Bookman Old Style"/>
      <w:i/>
      <w:sz w:val="24"/>
      <w:szCs w:val="24"/>
      <w:lang w:eastAsia="es-ES"/>
    </w:rPr>
  </w:style>
  <w:style w:type="character" w:customStyle="1" w:styleId="Ttulo1Car">
    <w:name w:val="Título 1 Car"/>
    <w:basedOn w:val="Fuentedeprrafopredeter"/>
    <w:link w:val="Ttulo1"/>
    <w:rsid w:val="00404AF3"/>
    <w:rPr>
      <w:rFonts w:ascii="CG Times" w:hAnsi="CG Times"/>
      <w:b/>
      <w:sz w:val="24"/>
      <w:lang w:eastAsia="es-ES"/>
    </w:rPr>
  </w:style>
  <w:style w:type="character" w:customStyle="1" w:styleId="PiedepginaCar">
    <w:name w:val="Pie de página Car"/>
    <w:link w:val="Piedepgina"/>
    <w:rsid w:val="00AF3BC1"/>
    <w:rPr>
      <w:sz w:val="24"/>
      <w:szCs w:val="24"/>
      <w:lang w:val="es-ES" w:eastAsia="es-ES"/>
    </w:rPr>
  </w:style>
  <w:style w:type="paragraph" w:customStyle="1" w:styleId="margenizq2punto0">
    <w:name w:val="margen_izq_2punto0"/>
    <w:basedOn w:val="Normal"/>
    <w:rsid w:val="000164C5"/>
    <w:pPr>
      <w:spacing w:before="100" w:beforeAutospacing="1" w:after="100" w:afterAutospacing="1" w:line="270" w:lineRule="atLeast"/>
      <w:ind w:left="1134"/>
      <w:jc w:val="both"/>
    </w:pPr>
    <w:rPr>
      <w:rFonts w:ascii="Arial" w:hAnsi="Arial" w:cs="Arial"/>
      <w:lang w:val="es-CO" w:eastAsia="es-CO"/>
    </w:rPr>
  </w:style>
  <w:style w:type="paragraph" w:styleId="TDC6">
    <w:name w:val="toc 6"/>
    <w:basedOn w:val="Normal"/>
    <w:next w:val="Normal"/>
    <w:autoRedefine/>
    <w:uiPriority w:val="39"/>
    <w:semiHidden/>
    <w:unhideWhenUsed/>
    <w:rsid w:val="008F1001"/>
    <w:pPr>
      <w:spacing w:after="100"/>
      <w:ind w:left="1200"/>
    </w:pPr>
  </w:style>
  <w:style w:type="paragraph" w:styleId="Sangra2detindependiente">
    <w:name w:val="Body Text Indent 2"/>
    <w:basedOn w:val="Normal"/>
    <w:link w:val="Sangra2detindependienteCar"/>
    <w:uiPriority w:val="99"/>
    <w:semiHidden/>
    <w:unhideWhenUsed/>
    <w:rsid w:val="00D87A1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87A16"/>
    <w:rPr>
      <w:sz w:val="24"/>
      <w:szCs w:val="24"/>
      <w:lang w:val="es-ES" w:eastAsia="es-ES"/>
    </w:rPr>
  </w:style>
  <w:style w:type="paragraph" w:styleId="Sangra3detindependiente">
    <w:name w:val="Body Text Indent 3"/>
    <w:basedOn w:val="Normal"/>
    <w:link w:val="Sangra3detindependienteCar"/>
    <w:uiPriority w:val="99"/>
    <w:semiHidden/>
    <w:unhideWhenUsed/>
    <w:rsid w:val="00D87A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87A16"/>
    <w:rPr>
      <w:sz w:val="16"/>
      <w:szCs w:val="16"/>
      <w:lang w:val="es-ES" w:eastAsia="es-ES"/>
    </w:rPr>
  </w:style>
  <w:style w:type="paragraph" w:customStyle="1" w:styleId="paragraph">
    <w:name w:val="paragraph"/>
    <w:basedOn w:val="Normal"/>
    <w:rsid w:val="00774EF1"/>
    <w:pPr>
      <w:spacing w:before="100" w:beforeAutospacing="1" w:after="100" w:afterAutospacing="1"/>
      <w:ind w:left="0"/>
    </w:pPr>
    <w:rPr>
      <w:lang w:val="es-CO" w:eastAsia="es-CO"/>
    </w:rPr>
  </w:style>
  <w:style w:type="character" w:customStyle="1" w:styleId="normaltextrun">
    <w:name w:val="normaltextrun"/>
    <w:basedOn w:val="Fuentedeprrafopredeter"/>
    <w:rsid w:val="00774EF1"/>
  </w:style>
  <w:style w:type="character" w:customStyle="1" w:styleId="eop">
    <w:name w:val="eop"/>
    <w:basedOn w:val="Fuentedeprrafopredeter"/>
    <w:rsid w:val="00774EF1"/>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3F7907"/>
    <w:pPr>
      <w:ind w:left="0"/>
      <w:jc w:val="both"/>
    </w:pPr>
    <w:rPr>
      <w:rFonts w:ascii="Arial" w:hAnsi="Arial"/>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F7907"/>
    <w:rPr>
      <w:rFonts w:ascii="Arial" w:hAnsi="Arial"/>
      <w:lang w:val="es-ES_tradnl"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3F7907"/>
    <w:rPr>
      <w:vertAlign w:val="superscript"/>
    </w:rPr>
  </w:style>
  <w:style w:type="paragraph" w:styleId="Descripcin">
    <w:name w:val="caption"/>
    <w:basedOn w:val="Normal"/>
    <w:next w:val="Normal"/>
    <w:qFormat/>
    <w:rsid w:val="00FD01CD"/>
    <w:pPr>
      <w:spacing w:after="200"/>
      <w:ind w:left="0"/>
      <w:jc w:val="center"/>
    </w:pPr>
    <w:rPr>
      <w:rFonts w:ascii="Arial" w:hAnsi="Arial"/>
      <w:i/>
      <w:iCs/>
      <w:sz w:val="20"/>
      <w:szCs w:val="18"/>
      <w:lang w:val="es-ES_tradnl"/>
    </w:rPr>
  </w:style>
  <w:style w:type="table" w:styleId="Tablaconcuadrcula4-nfasis6">
    <w:name w:val="Grid Table 4 Accent 6"/>
    <w:basedOn w:val="Tablanormal"/>
    <w:uiPriority w:val="49"/>
    <w:rsid w:val="00FD01C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739">
      <w:bodyDiv w:val="1"/>
      <w:marLeft w:val="0"/>
      <w:marRight w:val="0"/>
      <w:marTop w:val="0"/>
      <w:marBottom w:val="0"/>
      <w:divBdr>
        <w:top w:val="none" w:sz="0" w:space="0" w:color="auto"/>
        <w:left w:val="none" w:sz="0" w:space="0" w:color="auto"/>
        <w:bottom w:val="none" w:sz="0" w:space="0" w:color="auto"/>
        <w:right w:val="none" w:sz="0" w:space="0" w:color="auto"/>
      </w:divBdr>
    </w:div>
    <w:div w:id="3825990">
      <w:bodyDiv w:val="1"/>
      <w:marLeft w:val="0"/>
      <w:marRight w:val="0"/>
      <w:marTop w:val="0"/>
      <w:marBottom w:val="0"/>
      <w:divBdr>
        <w:top w:val="none" w:sz="0" w:space="0" w:color="auto"/>
        <w:left w:val="none" w:sz="0" w:space="0" w:color="auto"/>
        <w:bottom w:val="none" w:sz="0" w:space="0" w:color="auto"/>
        <w:right w:val="none" w:sz="0" w:space="0" w:color="auto"/>
      </w:divBdr>
    </w:div>
    <w:div w:id="13894631">
      <w:bodyDiv w:val="1"/>
      <w:marLeft w:val="0"/>
      <w:marRight w:val="0"/>
      <w:marTop w:val="0"/>
      <w:marBottom w:val="0"/>
      <w:divBdr>
        <w:top w:val="none" w:sz="0" w:space="0" w:color="auto"/>
        <w:left w:val="none" w:sz="0" w:space="0" w:color="auto"/>
        <w:bottom w:val="none" w:sz="0" w:space="0" w:color="auto"/>
        <w:right w:val="none" w:sz="0" w:space="0" w:color="auto"/>
      </w:divBdr>
    </w:div>
    <w:div w:id="19936271">
      <w:bodyDiv w:val="1"/>
      <w:marLeft w:val="0"/>
      <w:marRight w:val="0"/>
      <w:marTop w:val="0"/>
      <w:marBottom w:val="0"/>
      <w:divBdr>
        <w:top w:val="none" w:sz="0" w:space="0" w:color="auto"/>
        <w:left w:val="none" w:sz="0" w:space="0" w:color="auto"/>
        <w:bottom w:val="none" w:sz="0" w:space="0" w:color="auto"/>
        <w:right w:val="none" w:sz="0" w:space="0" w:color="auto"/>
      </w:divBdr>
    </w:div>
    <w:div w:id="32118220">
      <w:bodyDiv w:val="1"/>
      <w:marLeft w:val="0"/>
      <w:marRight w:val="0"/>
      <w:marTop w:val="0"/>
      <w:marBottom w:val="0"/>
      <w:divBdr>
        <w:top w:val="none" w:sz="0" w:space="0" w:color="auto"/>
        <w:left w:val="none" w:sz="0" w:space="0" w:color="auto"/>
        <w:bottom w:val="none" w:sz="0" w:space="0" w:color="auto"/>
        <w:right w:val="none" w:sz="0" w:space="0" w:color="auto"/>
      </w:divBdr>
    </w:div>
    <w:div w:id="73204637">
      <w:bodyDiv w:val="1"/>
      <w:marLeft w:val="0"/>
      <w:marRight w:val="0"/>
      <w:marTop w:val="0"/>
      <w:marBottom w:val="0"/>
      <w:divBdr>
        <w:top w:val="none" w:sz="0" w:space="0" w:color="auto"/>
        <w:left w:val="none" w:sz="0" w:space="0" w:color="auto"/>
        <w:bottom w:val="none" w:sz="0" w:space="0" w:color="auto"/>
        <w:right w:val="none" w:sz="0" w:space="0" w:color="auto"/>
      </w:divBdr>
    </w:div>
    <w:div w:id="77332784">
      <w:bodyDiv w:val="1"/>
      <w:marLeft w:val="0"/>
      <w:marRight w:val="0"/>
      <w:marTop w:val="0"/>
      <w:marBottom w:val="0"/>
      <w:divBdr>
        <w:top w:val="none" w:sz="0" w:space="0" w:color="auto"/>
        <w:left w:val="none" w:sz="0" w:space="0" w:color="auto"/>
        <w:bottom w:val="none" w:sz="0" w:space="0" w:color="auto"/>
        <w:right w:val="none" w:sz="0" w:space="0" w:color="auto"/>
      </w:divBdr>
    </w:div>
    <w:div w:id="110705953">
      <w:bodyDiv w:val="1"/>
      <w:marLeft w:val="0"/>
      <w:marRight w:val="0"/>
      <w:marTop w:val="0"/>
      <w:marBottom w:val="0"/>
      <w:divBdr>
        <w:top w:val="none" w:sz="0" w:space="0" w:color="auto"/>
        <w:left w:val="none" w:sz="0" w:space="0" w:color="auto"/>
        <w:bottom w:val="none" w:sz="0" w:space="0" w:color="auto"/>
        <w:right w:val="none" w:sz="0" w:space="0" w:color="auto"/>
      </w:divBdr>
    </w:div>
    <w:div w:id="139230473">
      <w:bodyDiv w:val="1"/>
      <w:marLeft w:val="0"/>
      <w:marRight w:val="0"/>
      <w:marTop w:val="0"/>
      <w:marBottom w:val="0"/>
      <w:divBdr>
        <w:top w:val="none" w:sz="0" w:space="0" w:color="auto"/>
        <w:left w:val="none" w:sz="0" w:space="0" w:color="auto"/>
        <w:bottom w:val="none" w:sz="0" w:space="0" w:color="auto"/>
        <w:right w:val="none" w:sz="0" w:space="0" w:color="auto"/>
      </w:divBdr>
    </w:div>
    <w:div w:id="206649281">
      <w:bodyDiv w:val="1"/>
      <w:marLeft w:val="0"/>
      <w:marRight w:val="0"/>
      <w:marTop w:val="0"/>
      <w:marBottom w:val="0"/>
      <w:divBdr>
        <w:top w:val="none" w:sz="0" w:space="0" w:color="auto"/>
        <w:left w:val="none" w:sz="0" w:space="0" w:color="auto"/>
        <w:bottom w:val="none" w:sz="0" w:space="0" w:color="auto"/>
        <w:right w:val="none" w:sz="0" w:space="0" w:color="auto"/>
      </w:divBdr>
    </w:div>
    <w:div w:id="288971292">
      <w:bodyDiv w:val="1"/>
      <w:marLeft w:val="0"/>
      <w:marRight w:val="0"/>
      <w:marTop w:val="0"/>
      <w:marBottom w:val="0"/>
      <w:divBdr>
        <w:top w:val="none" w:sz="0" w:space="0" w:color="auto"/>
        <w:left w:val="none" w:sz="0" w:space="0" w:color="auto"/>
        <w:bottom w:val="none" w:sz="0" w:space="0" w:color="auto"/>
        <w:right w:val="none" w:sz="0" w:space="0" w:color="auto"/>
      </w:divBdr>
    </w:div>
    <w:div w:id="334844044">
      <w:bodyDiv w:val="1"/>
      <w:marLeft w:val="0"/>
      <w:marRight w:val="0"/>
      <w:marTop w:val="0"/>
      <w:marBottom w:val="0"/>
      <w:divBdr>
        <w:top w:val="none" w:sz="0" w:space="0" w:color="auto"/>
        <w:left w:val="none" w:sz="0" w:space="0" w:color="auto"/>
        <w:bottom w:val="none" w:sz="0" w:space="0" w:color="auto"/>
        <w:right w:val="none" w:sz="0" w:space="0" w:color="auto"/>
      </w:divBdr>
    </w:div>
    <w:div w:id="367410663">
      <w:bodyDiv w:val="1"/>
      <w:marLeft w:val="0"/>
      <w:marRight w:val="0"/>
      <w:marTop w:val="0"/>
      <w:marBottom w:val="0"/>
      <w:divBdr>
        <w:top w:val="none" w:sz="0" w:space="0" w:color="auto"/>
        <w:left w:val="none" w:sz="0" w:space="0" w:color="auto"/>
        <w:bottom w:val="none" w:sz="0" w:space="0" w:color="auto"/>
        <w:right w:val="none" w:sz="0" w:space="0" w:color="auto"/>
      </w:divBdr>
    </w:div>
    <w:div w:id="462772753">
      <w:bodyDiv w:val="1"/>
      <w:marLeft w:val="0"/>
      <w:marRight w:val="0"/>
      <w:marTop w:val="0"/>
      <w:marBottom w:val="0"/>
      <w:divBdr>
        <w:top w:val="none" w:sz="0" w:space="0" w:color="auto"/>
        <w:left w:val="none" w:sz="0" w:space="0" w:color="auto"/>
        <w:bottom w:val="none" w:sz="0" w:space="0" w:color="auto"/>
        <w:right w:val="none" w:sz="0" w:space="0" w:color="auto"/>
      </w:divBdr>
    </w:div>
    <w:div w:id="534004335">
      <w:bodyDiv w:val="1"/>
      <w:marLeft w:val="0"/>
      <w:marRight w:val="0"/>
      <w:marTop w:val="0"/>
      <w:marBottom w:val="0"/>
      <w:divBdr>
        <w:top w:val="none" w:sz="0" w:space="0" w:color="auto"/>
        <w:left w:val="none" w:sz="0" w:space="0" w:color="auto"/>
        <w:bottom w:val="none" w:sz="0" w:space="0" w:color="auto"/>
        <w:right w:val="none" w:sz="0" w:space="0" w:color="auto"/>
      </w:divBdr>
    </w:div>
    <w:div w:id="565801788">
      <w:bodyDiv w:val="1"/>
      <w:marLeft w:val="0"/>
      <w:marRight w:val="0"/>
      <w:marTop w:val="0"/>
      <w:marBottom w:val="0"/>
      <w:divBdr>
        <w:top w:val="none" w:sz="0" w:space="0" w:color="auto"/>
        <w:left w:val="none" w:sz="0" w:space="0" w:color="auto"/>
        <w:bottom w:val="none" w:sz="0" w:space="0" w:color="auto"/>
        <w:right w:val="none" w:sz="0" w:space="0" w:color="auto"/>
      </w:divBdr>
    </w:div>
    <w:div w:id="592904736">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844131166">
          <w:marLeft w:val="634"/>
          <w:marRight w:val="0"/>
          <w:marTop w:val="0"/>
          <w:marBottom w:val="0"/>
          <w:divBdr>
            <w:top w:val="none" w:sz="0" w:space="0" w:color="auto"/>
            <w:left w:val="none" w:sz="0" w:space="0" w:color="auto"/>
            <w:bottom w:val="none" w:sz="0" w:space="0" w:color="auto"/>
            <w:right w:val="none" w:sz="0" w:space="0" w:color="auto"/>
          </w:divBdr>
        </w:div>
      </w:divsChild>
    </w:div>
    <w:div w:id="639265228">
      <w:bodyDiv w:val="1"/>
      <w:marLeft w:val="0"/>
      <w:marRight w:val="0"/>
      <w:marTop w:val="0"/>
      <w:marBottom w:val="0"/>
      <w:divBdr>
        <w:top w:val="none" w:sz="0" w:space="0" w:color="auto"/>
        <w:left w:val="none" w:sz="0" w:space="0" w:color="auto"/>
        <w:bottom w:val="none" w:sz="0" w:space="0" w:color="auto"/>
        <w:right w:val="none" w:sz="0" w:space="0" w:color="auto"/>
      </w:divBdr>
    </w:div>
    <w:div w:id="727804468">
      <w:bodyDiv w:val="1"/>
      <w:marLeft w:val="0"/>
      <w:marRight w:val="0"/>
      <w:marTop w:val="0"/>
      <w:marBottom w:val="0"/>
      <w:divBdr>
        <w:top w:val="none" w:sz="0" w:space="0" w:color="auto"/>
        <w:left w:val="none" w:sz="0" w:space="0" w:color="auto"/>
        <w:bottom w:val="none" w:sz="0" w:space="0" w:color="auto"/>
        <w:right w:val="none" w:sz="0" w:space="0" w:color="auto"/>
      </w:divBdr>
    </w:div>
    <w:div w:id="732387404">
      <w:bodyDiv w:val="1"/>
      <w:marLeft w:val="0"/>
      <w:marRight w:val="0"/>
      <w:marTop w:val="0"/>
      <w:marBottom w:val="0"/>
      <w:divBdr>
        <w:top w:val="none" w:sz="0" w:space="0" w:color="auto"/>
        <w:left w:val="none" w:sz="0" w:space="0" w:color="auto"/>
        <w:bottom w:val="none" w:sz="0" w:space="0" w:color="auto"/>
        <w:right w:val="none" w:sz="0" w:space="0" w:color="auto"/>
      </w:divBdr>
    </w:div>
    <w:div w:id="771247624">
      <w:bodyDiv w:val="1"/>
      <w:marLeft w:val="0"/>
      <w:marRight w:val="0"/>
      <w:marTop w:val="0"/>
      <w:marBottom w:val="0"/>
      <w:divBdr>
        <w:top w:val="none" w:sz="0" w:space="0" w:color="auto"/>
        <w:left w:val="none" w:sz="0" w:space="0" w:color="auto"/>
        <w:bottom w:val="none" w:sz="0" w:space="0" w:color="auto"/>
        <w:right w:val="none" w:sz="0" w:space="0" w:color="auto"/>
      </w:divBdr>
    </w:div>
    <w:div w:id="776678306">
      <w:bodyDiv w:val="1"/>
      <w:marLeft w:val="0"/>
      <w:marRight w:val="0"/>
      <w:marTop w:val="0"/>
      <w:marBottom w:val="0"/>
      <w:divBdr>
        <w:top w:val="none" w:sz="0" w:space="0" w:color="auto"/>
        <w:left w:val="none" w:sz="0" w:space="0" w:color="auto"/>
        <w:bottom w:val="none" w:sz="0" w:space="0" w:color="auto"/>
        <w:right w:val="none" w:sz="0" w:space="0" w:color="auto"/>
      </w:divBdr>
    </w:div>
    <w:div w:id="780149854">
      <w:bodyDiv w:val="1"/>
      <w:marLeft w:val="0"/>
      <w:marRight w:val="0"/>
      <w:marTop w:val="0"/>
      <w:marBottom w:val="0"/>
      <w:divBdr>
        <w:top w:val="none" w:sz="0" w:space="0" w:color="auto"/>
        <w:left w:val="none" w:sz="0" w:space="0" w:color="auto"/>
        <w:bottom w:val="none" w:sz="0" w:space="0" w:color="auto"/>
        <w:right w:val="none" w:sz="0" w:space="0" w:color="auto"/>
      </w:divBdr>
    </w:div>
    <w:div w:id="950284763">
      <w:bodyDiv w:val="1"/>
      <w:marLeft w:val="0"/>
      <w:marRight w:val="0"/>
      <w:marTop w:val="0"/>
      <w:marBottom w:val="0"/>
      <w:divBdr>
        <w:top w:val="none" w:sz="0" w:space="0" w:color="auto"/>
        <w:left w:val="none" w:sz="0" w:space="0" w:color="auto"/>
        <w:bottom w:val="none" w:sz="0" w:space="0" w:color="auto"/>
        <w:right w:val="none" w:sz="0" w:space="0" w:color="auto"/>
      </w:divBdr>
    </w:div>
    <w:div w:id="953560065">
      <w:bodyDiv w:val="1"/>
      <w:marLeft w:val="0"/>
      <w:marRight w:val="0"/>
      <w:marTop w:val="0"/>
      <w:marBottom w:val="0"/>
      <w:divBdr>
        <w:top w:val="none" w:sz="0" w:space="0" w:color="auto"/>
        <w:left w:val="none" w:sz="0" w:space="0" w:color="auto"/>
        <w:bottom w:val="none" w:sz="0" w:space="0" w:color="auto"/>
        <w:right w:val="none" w:sz="0" w:space="0" w:color="auto"/>
      </w:divBdr>
    </w:div>
    <w:div w:id="969898630">
      <w:bodyDiv w:val="1"/>
      <w:marLeft w:val="0"/>
      <w:marRight w:val="0"/>
      <w:marTop w:val="0"/>
      <w:marBottom w:val="0"/>
      <w:divBdr>
        <w:top w:val="none" w:sz="0" w:space="0" w:color="auto"/>
        <w:left w:val="none" w:sz="0" w:space="0" w:color="auto"/>
        <w:bottom w:val="none" w:sz="0" w:space="0" w:color="auto"/>
        <w:right w:val="none" w:sz="0" w:space="0" w:color="auto"/>
      </w:divBdr>
    </w:div>
    <w:div w:id="1024207663">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082222467">
      <w:bodyDiv w:val="1"/>
      <w:marLeft w:val="0"/>
      <w:marRight w:val="0"/>
      <w:marTop w:val="0"/>
      <w:marBottom w:val="0"/>
      <w:divBdr>
        <w:top w:val="none" w:sz="0" w:space="0" w:color="auto"/>
        <w:left w:val="none" w:sz="0" w:space="0" w:color="auto"/>
        <w:bottom w:val="none" w:sz="0" w:space="0" w:color="auto"/>
        <w:right w:val="none" w:sz="0" w:space="0" w:color="auto"/>
      </w:divBdr>
      <w:divsChild>
        <w:div w:id="110319190">
          <w:marLeft w:val="0"/>
          <w:marRight w:val="0"/>
          <w:marTop w:val="0"/>
          <w:marBottom w:val="0"/>
          <w:divBdr>
            <w:top w:val="none" w:sz="0" w:space="0" w:color="auto"/>
            <w:left w:val="none" w:sz="0" w:space="0" w:color="auto"/>
            <w:bottom w:val="none" w:sz="0" w:space="0" w:color="auto"/>
            <w:right w:val="none" w:sz="0" w:space="0" w:color="auto"/>
          </w:divBdr>
        </w:div>
        <w:div w:id="1275287645">
          <w:marLeft w:val="0"/>
          <w:marRight w:val="0"/>
          <w:marTop w:val="0"/>
          <w:marBottom w:val="0"/>
          <w:divBdr>
            <w:top w:val="none" w:sz="0" w:space="0" w:color="auto"/>
            <w:left w:val="none" w:sz="0" w:space="0" w:color="auto"/>
            <w:bottom w:val="none" w:sz="0" w:space="0" w:color="auto"/>
            <w:right w:val="none" w:sz="0" w:space="0" w:color="auto"/>
          </w:divBdr>
        </w:div>
        <w:div w:id="2145002622">
          <w:marLeft w:val="0"/>
          <w:marRight w:val="0"/>
          <w:marTop w:val="0"/>
          <w:marBottom w:val="0"/>
          <w:divBdr>
            <w:top w:val="none" w:sz="0" w:space="0" w:color="auto"/>
            <w:left w:val="none" w:sz="0" w:space="0" w:color="auto"/>
            <w:bottom w:val="none" w:sz="0" w:space="0" w:color="auto"/>
            <w:right w:val="none" w:sz="0" w:space="0" w:color="auto"/>
          </w:divBdr>
        </w:div>
      </w:divsChild>
    </w:div>
    <w:div w:id="1082484221">
      <w:bodyDiv w:val="1"/>
      <w:marLeft w:val="0"/>
      <w:marRight w:val="0"/>
      <w:marTop w:val="0"/>
      <w:marBottom w:val="0"/>
      <w:divBdr>
        <w:top w:val="none" w:sz="0" w:space="0" w:color="auto"/>
        <w:left w:val="none" w:sz="0" w:space="0" w:color="auto"/>
        <w:bottom w:val="none" w:sz="0" w:space="0" w:color="auto"/>
        <w:right w:val="none" w:sz="0" w:space="0" w:color="auto"/>
      </w:divBdr>
    </w:div>
    <w:div w:id="1099519111">
      <w:bodyDiv w:val="1"/>
      <w:marLeft w:val="0"/>
      <w:marRight w:val="0"/>
      <w:marTop w:val="0"/>
      <w:marBottom w:val="0"/>
      <w:divBdr>
        <w:top w:val="none" w:sz="0" w:space="0" w:color="auto"/>
        <w:left w:val="none" w:sz="0" w:space="0" w:color="auto"/>
        <w:bottom w:val="none" w:sz="0" w:space="0" w:color="auto"/>
        <w:right w:val="none" w:sz="0" w:space="0" w:color="auto"/>
      </w:divBdr>
    </w:div>
    <w:div w:id="1126702482">
      <w:bodyDiv w:val="1"/>
      <w:marLeft w:val="0"/>
      <w:marRight w:val="0"/>
      <w:marTop w:val="0"/>
      <w:marBottom w:val="0"/>
      <w:divBdr>
        <w:top w:val="none" w:sz="0" w:space="0" w:color="auto"/>
        <w:left w:val="none" w:sz="0" w:space="0" w:color="auto"/>
        <w:bottom w:val="none" w:sz="0" w:space="0" w:color="auto"/>
        <w:right w:val="none" w:sz="0" w:space="0" w:color="auto"/>
      </w:divBdr>
    </w:div>
    <w:div w:id="1134374196">
      <w:bodyDiv w:val="1"/>
      <w:marLeft w:val="0"/>
      <w:marRight w:val="0"/>
      <w:marTop w:val="0"/>
      <w:marBottom w:val="0"/>
      <w:divBdr>
        <w:top w:val="none" w:sz="0" w:space="0" w:color="auto"/>
        <w:left w:val="none" w:sz="0" w:space="0" w:color="auto"/>
        <w:bottom w:val="none" w:sz="0" w:space="0" w:color="auto"/>
        <w:right w:val="none" w:sz="0" w:space="0" w:color="auto"/>
      </w:divBdr>
    </w:div>
    <w:div w:id="1151484190">
      <w:bodyDiv w:val="1"/>
      <w:marLeft w:val="0"/>
      <w:marRight w:val="0"/>
      <w:marTop w:val="0"/>
      <w:marBottom w:val="0"/>
      <w:divBdr>
        <w:top w:val="none" w:sz="0" w:space="0" w:color="auto"/>
        <w:left w:val="none" w:sz="0" w:space="0" w:color="auto"/>
        <w:bottom w:val="none" w:sz="0" w:space="0" w:color="auto"/>
        <w:right w:val="none" w:sz="0" w:space="0" w:color="auto"/>
      </w:divBdr>
    </w:div>
    <w:div w:id="1182090789">
      <w:bodyDiv w:val="1"/>
      <w:marLeft w:val="0"/>
      <w:marRight w:val="0"/>
      <w:marTop w:val="0"/>
      <w:marBottom w:val="0"/>
      <w:divBdr>
        <w:top w:val="none" w:sz="0" w:space="0" w:color="auto"/>
        <w:left w:val="none" w:sz="0" w:space="0" w:color="auto"/>
        <w:bottom w:val="none" w:sz="0" w:space="0" w:color="auto"/>
        <w:right w:val="none" w:sz="0" w:space="0" w:color="auto"/>
      </w:divBdr>
    </w:div>
    <w:div w:id="1201019314">
      <w:bodyDiv w:val="1"/>
      <w:marLeft w:val="0"/>
      <w:marRight w:val="0"/>
      <w:marTop w:val="0"/>
      <w:marBottom w:val="0"/>
      <w:divBdr>
        <w:top w:val="none" w:sz="0" w:space="0" w:color="auto"/>
        <w:left w:val="none" w:sz="0" w:space="0" w:color="auto"/>
        <w:bottom w:val="none" w:sz="0" w:space="0" w:color="auto"/>
        <w:right w:val="none" w:sz="0" w:space="0" w:color="auto"/>
      </w:divBdr>
    </w:div>
    <w:div w:id="1298142616">
      <w:bodyDiv w:val="1"/>
      <w:marLeft w:val="0"/>
      <w:marRight w:val="0"/>
      <w:marTop w:val="0"/>
      <w:marBottom w:val="0"/>
      <w:divBdr>
        <w:top w:val="none" w:sz="0" w:space="0" w:color="auto"/>
        <w:left w:val="none" w:sz="0" w:space="0" w:color="auto"/>
        <w:bottom w:val="none" w:sz="0" w:space="0" w:color="auto"/>
        <w:right w:val="none" w:sz="0" w:space="0" w:color="auto"/>
      </w:divBdr>
    </w:div>
    <w:div w:id="1320889148">
      <w:bodyDiv w:val="1"/>
      <w:marLeft w:val="0"/>
      <w:marRight w:val="0"/>
      <w:marTop w:val="0"/>
      <w:marBottom w:val="0"/>
      <w:divBdr>
        <w:top w:val="none" w:sz="0" w:space="0" w:color="auto"/>
        <w:left w:val="none" w:sz="0" w:space="0" w:color="auto"/>
        <w:bottom w:val="none" w:sz="0" w:space="0" w:color="auto"/>
        <w:right w:val="none" w:sz="0" w:space="0" w:color="auto"/>
      </w:divBdr>
    </w:div>
    <w:div w:id="1323385809">
      <w:bodyDiv w:val="1"/>
      <w:marLeft w:val="0"/>
      <w:marRight w:val="0"/>
      <w:marTop w:val="0"/>
      <w:marBottom w:val="0"/>
      <w:divBdr>
        <w:top w:val="none" w:sz="0" w:space="0" w:color="auto"/>
        <w:left w:val="none" w:sz="0" w:space="0" w:color="auto"/>
        <w:bottom w:val="none" w:sz="0" w:space="0" w:color="auto"/>
        <w:right w:val="none" w:sz="0" w:space="0" w:color="auto"/>
      </w:divBdr>
    </w:div>
    <w:div w:id="1329023223">
      <w:bodyDiv w:val="1"/>
      <w:marLeft w:val="0"/>
      <w:marRight w:val="0"/>
      <w:marTop w:val="0"/>
      <w:marBottom w:val="0"/>
      <w:divBdr>
        <w:top w:val="none" w:sz="0" w:space="0" w:color="auto"/>
        <w:left w:val="none" w:sz="0" w:space="0" w:color="auto"/>
        <w:bottom w:val="none" w:sz="0" w:space="0" w:color="auto"/>
        <w:right w:val="none" w:sz="0" w:space="0" w:color="auto"/>
      </w:divBdr>
    </w:div>
    <w:div w:id="1342320176">
      <w:bodyDiv w:val="1"/>
      <w:marLeft w:val="0"/>
      <w:marRight w:val="0"/>
      <w:marTop w:val="0"/>
      <w:marBottom w:val="0"/>
      <w:divBdr>
        <w:top w:val="none" w:sz="0" w:space="0" w:color="auto"/>
        <w:left w:val="none" w:sz="0" w:space="0" w:color="auto"/>
        <w:bottom w:val="none" w:sz="0" w:space="0" w:color="auto"/>
        <w:right w:val="none" w:sz="0" w:space="0" w:color="auto"/>
      </w:divBdr>
    </w:div>
    <w:div w:id="1382901096">
      <w:bodyDiv w:val="1"/>
      <w:marLeft w:val="0"/>
      <w:marRight w:val="0"/>
      <w:marTop w:val="0"/>
      <w:marBottom w:val="0"/>
      <w:divBdr>
        <w:top w:val="none" w:sz="0" w:space="0" w:color="auto"/>
        <w:left w:val="none" w:sz="0" w:space="0" w:color="auto"/>
        <w:bottom w:val="none" w:sz="0" w:space="0" w:color="auto"/>
        <w:right w:val="none" w:sz="0" w:space="0" w:color="auto"/>
      </w:divBdr>
    </w:div>
    <w:div w:id="1387531873">
      <w:bodyDiv w:val="1"/>
      <w:marLeft w:val="0"/>
      <w:marRight w:val="0"/>
      <w:marTop w:val="0"/>
      <w:marBottom w:val="0"/>
      <w:divBdr>
        <w:top w:val="none" w:sz="0" w:space="0" w:color="auto"/>
        <w:left w:val="none" w:sz="0" w:space="0" w:color="auto"/>
        <w:bottom w:val="none" w:sz="0" w:space="0" w:color="auto"/>
        <w:right w:val="none" w:sz="0" w:space="0" w:color="auto"/>
      </w:divBdr>
    </w:div>
    <w:div w:id="1400327360">
      <w:bodyDiv w:val="1"/>
      <w:marLeft w:val="0"/>
      <w:marRight w:val="0"/>
      <w:marTop w:val="0"/>
      <w:marBottom w:val="0"/>
      <w:divBdr>
        <w:top w:val="none" w:sz="0" w:space="0" w:color="auto"/>
        <w:left w:val="none" w:sz="0" w:space="0" w:color="auto"/>
        <w:bottom w:val="none" w:sz="0" w:space="0" w:color="auto"/>
        <w:right w:val="none" w:sz="0" w:space="0" w:color="auto"/>
      </w:divBdr>
    </w:div>
    <w:div w:id="1457140174">
      <w:bodyDiv w:val="1"/>
      <w:marLeft w:val="0"/>
      <w:marRight w:val="0"/>
      <w:marTop w:val="0"/>
      <w:marBottom w:val="0"/>
      <w:divBdr>
        <w:top w:val="none" w:sz="0" w:space="0" w:color="auto"/>
        <w:left w:val="none" w:sz="0" w:space="0" w:color="auto"/>
        <w:bottom w:val="none" w:sz="0" w:space="0" w:color="auto"/>
        <w:right w:val="none" w:sz="0" w:space="0" w:color="auto"/>
      </w:divBdr>
    </w:div>
    <w:div w:id="1470586728">
      <w:bodyDiv w:val="1"/>
      <w:marLeft w:val="0"/>
      <w:marRight w:val="0"/>
      <w:marTop w:val="0"/>
      <w:marBottom w:val="0"/>
      <w:divBdr>
        <w:top w:val="none" w:sz="0" w:space="0" w:color="auto"/>
        <w:left w:val="none" w:sz="0" w:space="0" w:color="auto"/>
        <w:bottom w:val="none" w:sz="0" w:space="0" w:color="auto"/>
        <w:right w:val="none" w:sz="0" w:space="0" w:color="auto"/>
      </w:divBdr>
      <w:divsChild>
        <w:div w:id="884486483">
          <w:marLeft w:val="0"/>
          <w:marRight w:val="0"/>
          <w:marTop w:val="0"/>
          <w:marBottom w:val="0"/>
          <w:divBdr>
            <w:top w:val="none" w:sz="0" w:space="0" w:color="auto"/>
            <w:left w:val="none" w:sz="0" w:space="0" w:color="auto"/>
            <w:bottom w:val="none" w:sz="0" w:space="0" w:color="auto"/>
            <w:right w:val="none" w:sz="0" w:space="0" w:color="auto"/>
          </w:divBdr>
        </w:div>
        <w:div w:id="1204945885">
          <w:marLeft w:val="0"/>
          <w:marRight w:val="0"/>
          <w:marTop w:val="0"/>
          <w:marBottom w:val="0"/>
          <w:divBdr>
            <w:top w:val="none" w:sz="0" w:space="0" w:color="auto"/>
            <w:left w:val="none" w:sz="0" w:space="0" w:color="auto"/>
            <w:bottom w:val="none" w:sz="0" w:space="0" w:color="auto"/>
            <w:right w:val="none" w:sz="0" w:space="0" w:color="auto"/>
          </w:divBdr>
        </w:div>
        <w:div w:id="1365862309">
          <w:marLeft w:val="0"/>
          <w:marRight w:val="0"/>
          <w:marTop w:val="0"/>
          <w:marBottom w:val="0"/>
          <w:divBdr>
            <w:top w:val="none" w:sz="0" w:space="0" w:color="auto"/>
            <w:left w:val="none" w:sz="0" w:space="0" w:color="auto"/>
            <w:bottom w:val="none" w:sz="0" w:space="0" w:color="auto"/>
            <w:right w:val="none" w:sz="0" w:space="0" w:color="auto"/>
          </w:divBdr>
        </w:div>
      </w:divsChild>
    </w:div>
    <w:div w:id="1508788689">
      <w:bodyDiv w:val="1"/>
      <w:marLeft w:val="0"/>
      <w:marRight w:val="0"/>
      <w:marTop w:val="0"/>
      <w:marBottom w:val="0"/>
      <w:divBdr>
        <w:top w:val="none" w:sz="0" w:space="0" w:color="auto"/>
        <w:left w:val="none" w:sz="0" w:space="0" w:color="auto"/>
        <w:bottom w:val="none" w:sz="0" w:space="0" w:color="auto"/>
        <w:right w:val="none" w:sz="0" w:space="0" w:color="auto"/>
      </w:divBdr>
    </w:div>
    <w:div w:id="1615211044">
      <w:bodyDiv w:val="1"/>
      <w:marLeft w:val="0"/>
      <w:marRight w:val="0"/>
      <w:marTop w:val="0"/>
      <w:marBottom w:val="0"/>
      <w:divBdr>
        <w:top w:val="none" w:sz="0" w:space="0" w:color="auto"/>
        <w:left w:val="none" w:sz="0" w:space="0" w:color="auto"/>
        <w:bottom w:val="none" w:sz="0" w:space="0" w:color="auto"/>
        <w:right w:val="none" w:sz="0" w:space="0" w:color="auto"/>
      </w:divBdr>
    </w:div>
    <w:div w:id="1619221560">
      <w:bodyDiv w:val="1"/>
      <w:marLeft w:val="0"/>
      <w:marRight w:val="0"/>
      <w:marTop w:val="0"/>
      <w:marBottom w:val="0"/>
      <w:divBdr>
        <w:top w:val="none" w:sz="0" w:space="0" w:color="auto"/>
        <w:left w:val="none" w:sz="0" w:space="0" w:color="auto"/>
        <w:bottom w:val="none" w:sz="0" w:space="0" w:color="auto"/>
        <w:right w:val="none" w:sz="0" w:space="0" w:color="auto"/>
      </w:divBdr>
    </w:div>
    <w:div w:id="1628268589">
      <w:bodyDiv w:val="1"/>
      <w:marLeft w:val="0"/>
      <w:marRight w:val="0"/>
      <w:marTop w:val="0"/>
      <w:marBottom w:val="0"/>
      <w:divBdr>
        <w:top w:val="none" w:sz="0" w:space="0" w:color="auto"/>
        <w:left w:val="none" w:sz="0" w:space="0" w:color="auto"/>
        <w:bottom w:val="none" w:sz="0" w:space="0" w:color="auto"/>
        <w:right w:val="none" w:sz="0" w:space="0" w:color="auto"/>
      </w:divBdr>
    </w:div>
    <w:div w:id="1641886167">
      <w:bodyDiv w:val="1"/>
      <w:marLeft w:val="0"/>
      <w:marRight w:val="0"/>
      <w:marTop w:val="0"/>
      <w:marBottom w:val="0"/>
      <w:divBdr>
        <w:top w:val="none" w:sz="0" w:space="0" w:color="auto"/>
        <w:left w:val="none" w:sz="0" w:space="0" w:color="auto"/>
        <w:bottom w:val="none" w:sz="0" w:space="0" w:color="auto"/>
        <w:right w:val="none" w:sz="0" w:space="0" w:color="auto"/>
      </w:divBdr>
    </w:div>
    <w:div w:id="1666085388">
      <w:bodyDiv w:val="1"/>
      <w:marLeft w:val="0"/>
      <w:marRight w:val="0"/>
      <w:marTop w:val="0"/>
      <w:marBottom w:val="0"/>
      <w:divBdr>
        <w:top w:val="none" w:sz="0" w:space="0" w:color="auto"/>
        <w:left w:val="none" w:sz="0" w:space="0" w:color="auto"/>
        <w:bottom w:val="none" w:sz="0" w:space="0" w:color="auto"/>
        <w:right w:val="none" w:sz="0" w:space="0" w:color="auto"/>
      </w:divBdr>
    </w:div>
    <w:div w:id="1742829206">
      <w:bodyDiv w:val="1"/>
      <w:marLeft w:val="0"/>
      <w:marRight w:val="0"/>
      <w:marTop w:val="0"/>
      <w:marBottom w:val="0"/>
      <w:divBdr>
        <w:top w:val="none" w:sz="0" w:space="0" w:color="auto"/>
        <w:left w:val="none" w:sz="0" w:space="0" w:color="auto"/>
        <w:bottom w:val="none" w:sz="0" w:space="0" w:color="auto"/>
        <w:right w:val="none" w:sz="0" w:space="0" w:color="auto"/>
      </w:divBdr>
    </w:div>
    <w:div w:id="1792898935">
      <w:bodyDiv w:val="1"/>
      <w:marLeft w:val="0"/>
      <w:marRight w:val="0"/>
      <w:marTop w:val="0"/>
      <w:marBottom w:val="0"/>
      <w:divBdr>
        <w:top w:val="none" w:sz="0" w:space="0" w:color="auto"/>
        <w:left w:val="none" w:sz="0" w:space="0" w:color="auto"/>
        <w:bottom w:val="none" w:sz="0" w:space="0" w:color="auto"/>
        <w:right w:val="none" w:sz="0" w:space="0" w:color="auto"/>
      </w:divBdr>
    </w:div>
    <w:div w:id="1833981223">
      <w:bodyDiv w:val="1"/>
      <w:marLeft w:val="0"/>
      <w:marRight w:val="0"/>
      <w:marTop w:val="0"/>
      <w:marBottom w:val="0"/>
      <w:divBdr>
        <w:top w:val="none" w:sz="0" w:space="0" w:color="auto"/>
        <w:left w:val="none" w:sz="0" w:space="0" w:color="auto"/>
        <w:bottom w:val="none" w:sz="0" w:space="0" w:color="auto"/>
        <w:right w:val="none" w:sz="0" w:space="0" w:color="auto"/>
      </w:divBdr>
    </w:div>
    <w:div w:id="1884097090">
      <w:bodyDiv w:val="1"/>
      <w:marLeft w:val="0"/>
      <w:marRight w:val="0"/>
      <w:marTop w:val="0"/>
      <w:marBottom w:val="0"/>
      <w:divBdr>
        <w:top w:val="none" w:sz="0" w:space="0" w:color="auto"/>
        <w:left w:val="none" w:sz="0" w:space="0" w:color="auto"/>
        <w:bottom w:val="none" w:sz="0" w:space="0" w:color="auto"/>
        <w:right w:val="none" w:sz="0" w:space="0" w:color="auto"/>
      </w:divBdr>
    </w:div>
    <w:div w:id="1910967231">
      <w:bodyDiv w:val="1"/>
      <w:marLeft w:val="0"/>
      <w:marRight w:val="0"/>
      <w:marTop w:val="0"/>
      <w:marBottom w:val="0"/>
      <w:divBdr>
        <w:top w:val="none" w:sz="0" w:space="0" w:color="auto"/>
        <w:left w:val="none" w:sz="0" w:space="0" w:color="auto"/>
        <w:bottom w:val="none" w:sz="0" w:space="0" w:color="auto"/>
        <w:right w:val="none" w:sz="0" w:space="0" w:color="auto"/>
      </w:divBdr>
    </w:div>
    <w:div w:id="2031027711">
      <w:bodyDiv w:val="1"/>
      <w:marLeft w:val="0"/>
      <w:marRight w:val="0"/>
      <w:marTop w:val="0"/>
      <w:marBottom w:val="0"/>
      <w:divBdr>
        <w:top w:val="none" w:sz="0" w:space="0" w:color="auto"/>
        <w:left w:val="none" w:sz="0" w:space="0" w:color="auto"/>
        <w:bottom w:val="none" w:sz="0" w:space="0" w:color="auto"/>
        <w:right w:val="none" w:sz="0" w:space="0" w:color="auto"/>
      </w:divBdr>
    </w:div>
    <w:div w:id="2051761337">
      <w:bodyDiv w:val="1"/>
      <w:marLeft w:val="0"/>
      <w:marRight w:val="0"/>
      <w:marTop w:val="0"/>
      <w:marBottom w:val="0"/>
      <w:divBdr>
        <w:top w:val="none" w:sz="0" w:space="0" w:color="auto"/>
        <w:left w:val="none" w:sz="0" w:space="0" w:color="auto"/>
        <w:bottom w:val="none" w:sz="0" w:space="0" w:color="auto"/>
        <w:right w:val="none" w:sz="0" w:space="0" w:color="auto"/>
      </w:divBdr>
    </w:div>
    <w:div w:id="2145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5" ma:contentTypeDescription="Crear nuevo documento." ma:contentTypeScope="" ma:versionID="659dc248acdb5d441c9d4f8c19f80dab">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8b65710dde25dace07f84ba4a6fbed0f"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4f91114-da55-458f-b2e4-07801fb3de9c}"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FFE6C-E3D0-4F36-BC7F-CA66E58392A3}">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A146B4F8-EA19-48F1-8EDD-EF75EA2514FC}">
  <ds:schemaRefs>
    <ds:schemaRef ds:uri="http://schemas.openxmlformats.org/officeDocument/2006/bibliography"/>
  </ds:schemaRefs>
</ds:datastoreItem>
</file>

<file path=customXml/itemProps3.xml><?xml version="1.0" encoding="utf-8"?>
<ds:datastoreItem xmlns:ds="http://schemas.openxmlformats.org/officeDocument/2006/customXml" ds:itemID="{D3850A0E-868E-4A5B-8CA5-BDE651CD909B}">
  <ds:schemaRefs>
    <ds:schemaRef ds:uri="http://schemas.microsoft.com/sharepoint/v3/contenttype/forms"/>
  </ds:schemaRefs>
</ds:datastoreItem>
</file>

<file path=customXml/itemProps4.xml><?xml version="1.0" encoding="utf-8"?>
<ds:datastoreItem xmlns:ds="http://schemas.openxmlformats.org/officeDocument/2006/customXml" ds:itemID="{D8890D77-7F5A-44EB-9051-92A0F1E4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25</Pages>
  <Words>9840</Words>
  <Characters>54121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2023-01-25T15:55:00Z</cp:lastPrinted>
  <dcterms:created xsi:type="dcterms:W3CDTF">2023-03-13T16:15:00Z</dcterms:created>
  <dcterms:modified xsi:type="dcterms:W3CDTF">2023-03-13T16:15:00Z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