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6B4647" w:rsidRDefault="00D6415E" w:rsidP="00FD2EB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11682210" r:id="rId9"/>
        </w:pict>
      </w:r>
    </w:p>
    <w:p w:rsidR="00625DC6" w:rsidRPr="006B4647" w:rsidRDefault="00625DC6" w:rsidP="00FD2EBF">
      <w:pPr>
        <w:pStyle w:val="Encabezado"/>
        <w:tabs>
          <w:tab w:val="clear" w:pos="8504"/>
          <w:tab w:val="left" w:pos="0"/>
          <w:tab w:val="right" w:pos="9356"/>
        </w:tabs>
        <w:ind w:left="0"/>
        <w:jc w:val="both"/>
        <w:rPr>
          <w:rFonts w:ascii="Bookman Old Style" w:hAnsi="Bookman Old Style"/>
          <w:szCs w:val="24"/>
        </w:rPr>
      </w:pPr>
    </w:p>
    <w:p w:rsidR="00CA77FB" w:rsidRPr="006B4647" w:rsidRDefault="00CA77FB" w:rsidP="00FD2EBF">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FD2EBF">
      <w:pPr>
        <w:pStyle w:val="Ttulo4"/>
        <w:tabs>
          <w:tab w:val="left" w:pos="0"/>
          <w:tab w:val="right" w:pos="9356"/>
        </w:tabs>
        <w:ind w:left="0"/>
        <w:rPr>
          <w:rFonts w:ascii="Bookman Old Style" w:hAnsi="Bookman Old Style"/>
          <w:b w:val="0"/>
          <w:bCs/>
          <w:sz w:val="24"/>
          <w:szCs w:val="24"/>
        </w:rPr>
      </w:pPr>
    </w:p>
    <w:p w:rsidR="00CA77FB" w:rsidRPr="006B4647" w:rsidRDefault="00CA77FB" w:rsidP="00FD2EBF">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FD2EBF">
      <w:pPr>
        <w:pStyle w:val="Ttulo5"/>
        <w:tabs>
          <w:tab w:val="left" w:pos="0"/>
          <w:tab w:val="right" w:pos="9356"/>
        </w:tabs>
        <w:ind w:left="0"/>
        <w:rPr>
          <w:rFonts w:ascii="Bookman Old Style" w:hAnsi="Bookman Old Style"/>
          <w:sz w:val="24"/>
          <w:szCs w:val="24"/>
        </w:rPr>
      </w:pPr>
    </w:p>
    <w:p w:rsidR="00CA77FB" w:rsidRPr="006B4647" w:rsidRDefault="00CA77FB" w:rsidP="00FD2EBF">
      <w:pPr>
        <w:pStyle w:val="Ttulo5"/>
        <w:tabs>
          <w:tab w:val="left" w:pos="0"/>
          <w:tab w:val="right" w:pos="9356"/>
        </w:tabs>
        <w:ind w:left="0"/>
        <w:rPr>
          <w:rFonts w:ascii="Bookman Old Style" w:hAnsi="Bookman Old Style"/>
          <w:sz w:val="24"/>
          <w:szCs w:val="24"/>
        </w:rPr>
      </w:pPr>
    </w:p>
    <w:p w:rsidR="00CA77FB" w:rsidRPr="006B4647" w:rsidRDefault="00CA77FB" w:rsidP="00FD2EBF">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DE 20</w:t>
      </w:r>
      <w:r w:rsidR="00795BFB" w:rsidRPr="006B4647">
        <w:rPr>
          <w:rFonts w:ascii="Bookman Old Style" w:hAnsi="Bookman Old Style"/>
          <w:sz w:val="24"/>
          <w:szCs w:val="24"/>
        </w:rPr>
        <w:t>1</w:t>
      </w:r>
      <w:r w:rsidR="001271BF">
        <w:rPr>
          <w:rFonts w:ascii="Bookman Old Style" w:hAnsi="Bookman Old Style"/>
          <w:sz w:val="24"/>
          <w:szCs w:val="24"/>
        </w:rPr>
        <w:t>5</w:t>
      </w:r>
    </w:p>
    <w:p w:rsidR="00CA77FB" w:rsidRPr="006B4647" w:rsidRDefault="00CA77FB" w:rsidP="00FD2EBF">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FD2EBF">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FD2EBF">
      <w:pPr>
        <w:tabs>
          <w:tab w:val="left" w:pos="0"/>
          <w:tab w:val="right" w:pos="9356"/>
        </w:tabs>
        <w:ind w:left="0"/>
        <w:jc w:val="center"/>
        <w:rPr>
          <w:rFonts w:ascii="Bookman Old Style" w:hAnsi="Bookman Old Style"/>
          <w:lang w:val="es-ES_tradnl"/>
        </w:rPr>
      </w:pPr>
    </w:p>
    <w:p w:rsidR="00C034CB" w:rsidRPr="006B4647" w:rsidRDefault="00C034CB" w:rsidP="00FD2EBF">
      <w:pPr>
        <w:ind w:left="0"/>
        <w:rPr>
          <w:rFonts w:ascii="Bookman Old Style" w:hAnsi="Bookman Old Style"/>
          <w:bCs/>
          <w:lang w:val="es-CO"/>
        </w:rPr>
      </w:pPr>
    </w:p>
    <w:p w:rsidR="009D4454" w:rsidRPr="00B84711" w:rsidRDefault="009D4454" w:rsidP="00FD2EBF">
      <w:pPr>
        <w:ind w:left="0"/>
        <w:jc w:val="both"/>
        <w:rPr>
          <w:rFonts w:ascii="Bookman Old Style" w:hAnsi="Bookman Old Style"/>
        </w:rPr>
      </w:pPr>
      <w:r w:rsidRPr="00B84711">
        <w:rPr>
          <w:rFonts w:ascii="Bookman Old Style" w:hAnsi="Bookman Old Style"/>
        </w:rPr>
        <w:t xml:space="preserve">Por la cual se </w:t>
      </w:r>
      <w:r>
        <w:rPr>
          <w:rFonts w:ascii="Bookman Old Style" w:hAnsi="Bookman Old Style"/>
        </w:rPr>
        <w:t xml:space="preserve">actualiza la base de activos de </w:t>
      </w:r>
      <w:r w:rsidR="001271BF">
        <w:rPr>
          <w:rFonts w:ascii="Bookman Old Style" w:hAnsi="Bookman Old Style"/>
        </w:rPr>
        <w:t>Centrales Eléctricas del Norte de Santander</w:t>
      </w:r>
      <w:r w:rsidR="00FB5434">
        <w:rPr>
          <w:rFonts w:ascii="Bookman Old Style" w:hAnsi="Bookman Old Style"/>
        </w:rPr>
        <w:t xml:space="preserve"> S.A. E.S.P.</w:t>
      </w:r>
      <w:r w:rsidRPr="00B84711">
        <w:rPr>
          <w:rFonts w:ascii="Bookman Old Style" w:hAnsi="Bookman Old Style"/>
        </w:rPr>
        <w:t xml:space="preserve"> </w:t>
      </w:r>
      <w:r>
        <w:rPr>
          <w:rFonts w:ascii="Bookman Old Style" w:hAnsi="Bookman Old Style"/>
        </w:rPr>
        <w:t>y se modifican</w:t>
      </w:r>
      <w:r w:rsidRPr="00C63A34">
        <w:t xml:space="preserve"> </w:t>
      </w:r>
      <w:r w:rsidRPr="00C63A34">
        <w:rPr>
          <w:rFonts w:ascii="Bookman Old Style" w:hAnsi="Bookman Old Style"/>
        </w:rPr>
        <w:t xml:space="preserve">los parámetros necesarios para </w:t>
      </w:r>
      <w:r>
        <w:rPr>
          <w:rFonts w:ascii="Bookman Old Style" w:hAnsi="Bookman Old Style"/>
        </w:rPr>
        <w:t>considerar su</w:t>
      </w:r>
      <w:r w:rsidRPr="00C63A34">
        <w:rPr>
          <w:rFonts w:ascii="Bookman Old Style" w:hAnsi="Bookman Old Style"/>
        </w:rPr>
        <w:t xml:space="preserve"> remuneración en el Sistema de Transmisión Nacional.</w:t>
      </w:r>
    </w:p>
    <w:p w:rsidR="009D4454" w:rsidRPr="00B84711" w:rsidRDefault="009D4454" w:rsidP="00FD2EBF">
      <w:pPr>
        <w:ind w:left="0"/>
        <w:rPr>
          <w:rFonts w:ascii="Bookman Old Style" w:hAnsi="Bookman Old Style"/>
        </w:rPr>
      </w:pPr>
    </w:p>
    <w:p w:rsidR="009D4454" w:rsidRPr="00B84711" w:rsidRDefault="009D4454" w:rsidP="00FD2EBF">
      <w:pPr>
        <w:ind w:left="0"/>
        <w:rPr>
          <w:rFonts w:ascii="Bookman Old Style" w:hAnsi="Bookman Old Style"/>
        </w:rPr>
      </w:pPr>
    </w:p>
    <w:p w:rsidR="009D4454" w:rsidRPr="00B84711" w:rsidRDefault="009D4454" w:rsidP="00FD2EBF">
      <w:pPr>
        <w:jc w:val="center"/>
        <w:rPr>
          <w:rFonts w:ascii="Bookman Old Style" w:hAnsi="Bookman Old Style" w:cs="Arial"/>
          <w:b/>
        </w:rPr>
      </w:pPr>
      <w:r w:rsidRPr="00B84711">
        <w:rPr>
          <w:rFonts w:ascii="Bookman Old Style" w:hAnsi="Bookman Old Style" w:cs="Arial"/>
          <w:b/>
        </w:rPr>
        <w:t>LA COMISIÓN DE REGULACIÓN DE ENERGÍA Y GAS</w:t>
      </w:r>
    </w:p>
    <w:p w:rsidR="009D4454" w:rsidRPr="00B84711" w:rsidRDefault="009D4454" w:rsidP="00FD2EBF">
      <w:pPr>
        <w:jc w:val="center"/>
        <w:rPr>
          <w:rFonts w:ascii="Bookman Old Style" w:hAnsi="Bookman Old Style" w:cs="Arial"/>
        </w:rPr>
      </w:pPr>
    </w:p>
    <w:p w:rsidR="009D4454" w:rsidRPr="00B84711" w:rsidRDefault="009D4454" w:rsidP="00FD2EBF">
      <w:pPr>
        <w:jc w:val="center"/>
        <w:rPr>
          <w:rFonts w:ascii="Bookman Old Style" w:hAnsi="Bookman Old Style" w:cs="Arial"/>
        </w:rPr>
      </w:pPr>
    </w:p>
    <w:p w:rsidR="009D4454" w:rsidRPr="00B84711" w:rsidRDefault="009D4454" w:rsidP="00FD2EBF">
      <w:pPr>
        <w:ind w:left="0"/>
        <w:jc w:val="both"/>
        <w:rPr>
          <w:rFonts w:ascii="Bookman Old Style" w:hAnsi="Bookman Old Style"/>
        </w:rPr>
      </w:pPr>
      <w:r w:rsidRPr="00B84711">
        <w:rPr>
          <w:rFonts w:ascii="Bookman Old Style" w:hAnsi="Bookman Old Style"/>
        </w:rPr>
        <w:t>En ejercicio de sus atribuciones constitucionales y legales, en especial las conferidas por las Leyes 142 y 143 de 1994, y en desarrollo de los Decretos 1524 y 2253 de 1994</w:t>
      </w:r>
      <w:r w:rsidR="00B5173F" w:rsidRPr="00C16DCF">
        <w:rPr>
          <w:rFonts w:ascii="Bookman Old Style" w:hAnsi="Bookman Old Style"/>
          <w:szCs w:val="23"/>
        </w:rPr>
        <w:t xml:space="preserve"> y 1260 de 2013</w:t>
      </w:r>
      <w:r w:rsidRPr="00B84711">
        <w:rPr>
          <w:rFonts w:ascii="Bookman Old Style" w:hAnsi="Bookman Old Style"/>
        </w:rPr>
        <w:t>.</w:t>
      </w:r>
    </w:p>
    <w:p w:rsidR="009D4454" w:rsidRDefault="009D4454" w:rsidP="00FD2EBF">
      <w:pPr>
        <w:jc w:val="center"/>
        <w:rPr>
          <w:rFonts w:ascii="Bookman Old Style" w:hAnsi="Bookman Old Style" w:cs="Arial"/>
        </w:rPr>
      </w:pPr>
    </w:p>
    <w:p w:rsidR="009D4454" w:rsidRPr="00B84711" w:rsidRDefault="009D4454" w:rsidP="009D4454">
      <w:pPr>
        <w:jc w:val="center"/>
        <w:rPr>
          <w:rFonts w:ascii="Bookman Old Style" w:hAnsi="Bookman Old Style" w:cs="Arial"/>
        </w:rPr>
      </w:pPr>
    </w:p>
    <w:p w:rsidR="009D4454" w:rsidRPr="00B84711" w:rsidRDefault="009D4454" w:rsidP="00921BC0">
      <w:pPr>
        <w:ind w:left="0"/>
        <w:jc w:val="center"/>
        <w:rPr>
          <w:rFonts w:ascii="Bookman Old Style" w:hAnsi="Bookman Old Style" w:cs="Arial"/>
          <w:b/>
        </w:rPr>
      </w:pPr>
      <w:r w:rsidRPr="00B84711">
        <w:rPr>
          <w:rFonts w:ascii="Bookman Old Style" w:hAnsi="Bookman Old Style"/>
          <w:b/>
          <w:spacing w:val="100"/>
        </w:rPr>
        <w:t>CONSIDERANDO</w:t>
      </w:r>
      <w:r w:rsidR="00FB5434">
        <w:rPr>
          <w:rFonts w:ascii="Bookman Old Style" w:hAnsi="Bookman Old Style"/>
          <w:b/>
          <w:spacing w:val="100"/>
        </w:rPr>
        <w:t xml:space="preserve"> QUE</w:t>
      </w:r>
      <w:r w:rsidRPr="00B84711">
        <w:rPr>
          <w:rFonts w:ascii="Bookman Old Style" w:hAnsi="Bookman Old Style" w:cs="Arial"/>
          <w:b/>
        </w:rPr>
        <w:t>:</w:t>
      </w:r>
    </w:p>
    <w:p w:rsidR="009D4454" w:rsidRDefault="009D4454" w:rsidP="009D4454">
      <w:pPr>
        <w:ind w:left="0"/>
        <w:rPr>
          <w:rFonts w:ascii="Bookman Old Style" w:hAnsi="Bookman Old Style"/>
        </w:rPr>
      </w:pPr>
    </w:p>
    <w:p w:rsidR="009D4454" w:rsidRPr="00C63A34" w:rsidRDefault="00FB5434" w:rsidP="009D4454">
      <w:pPr>
        <w:ind w:left="0"/>
        <w:jc w:val="both"/>
        <w:rPr>
          <w:rFonts w:ascii="Bookman Old Style" w:hAnsi="Bookman Old Style"/>
        </w:rPr>
      </w:pPr>
      <w:r>
        <w:rPr>
          <w:rFonts w:ascii="Bookman Old Style" w:hAnsi="Bookman Old Style"/>
        </w:rPr>
        <w:t>D</w:t>
      </w:r>
      <w:r w:rsidR="009D4454" w:rsidRPr="00C63A34">
        <w:rPr>
          <w:rFonts w:ascii="Bookman Old Style" w:hAnsi="Bookman Old Style"/>
        </w:rPr>
        <w:t xml:space="preserve">e acuerdo con lo previsto en el </w:t>
      </w:r>
      <w:r w:rsidR="00FD2EBF">
        <w:rPr>
          <w:rFonts w:ascii="Bookman Old Style" w:hAnsi="Bookman Old Style"/>
        </w:rPr>
        <w:t>literal d) del A</w:t>
      </w:r>
      <w:r w:rsidR="009D4454" w:rsidRPr="00C63A34">
        <w:rPr>
          <w:rFonts w:ascii="Bookman Old Style" w:hAnsi="Bookman Old Style"/>
        </w:rPr>
        <w:t xml:space="preserve">rtículo 23 y </w:t>
      </w:r>
      <w:r w:rsidR="00FD2EBF">
        <w:rPr>
          <w:rFonts w:ascii="Bookman Old Style" w:hAnsi="Bookman Old Style"/>
        </w:rPr>
        <w:t xml:space="preserve">en el Artículo </w:t>
      </w:r>
      <w:r w:rsidR="009D4454" w:rsidRPr="00C63A34">
        <w:rPr>
          <w:rFonts w:ascii="Bookman Old Style" w:hAnsi="Bookman Old Style"/>
        </w:rPr>
        <w:t>41 de la Ley 143 de 1994, es función de la Comisión de Regulación de Energía y Gas</w:t>
      </w:r>
      <w:r>
        <w:rPr>
          <w:rFonts w:ascii="Bookman Old Style" w:hAnsi="Bookman Old Style"/>
        </w:rPr>
        <w:t>, CREG,</w:t>
      </w:r>
      <w:r w:rsidR="009D4454" w:rsidRPr="00C63A34">
        <w:rPr>
          <w:rFonts w:ascii="Bookman Old Style" w:hAnsi="Bookman Old Style"/>
        </w:rPr>
        <w:t xml:space="preserve"> fijar las tarifas por el acceso y uso de las redes eléctricas.</w:t>
      </w:r>
    </w:p>
    <w:p w:rsidR="009D4454" w:rsidRPr="00C63A34" w:rsidRDefault="009D4454" w:rsidP="009D4454">
      <w:pPr>
        <w:ind w:left="0"/>
        <w:jc w:val="both"/>
        <w:rPr>
          <w:rFonts w:ascii="Bookman Old Style" w:hAnsi="Bookman Old Style"/>
        </w:rPr>
      </w:pPr>
    </w:p>
    <w:p w:rsidR="00A5656A" w:rsidRPr="00A5656A" w:rsidRDefault="00A5656A" w:rsidP="009D4454">
      <w:pPr>
        <w:ind w:left="0"/>
        <w:jc w:val="both"/>
        <w:rPr>
          <w:rFonts w:ascii="Bookman Old Style" w:hAnsi="Bookman Old Style" w:cs="Arial"/>
          <w:spacing w:val="-3"/>
          <w:lang w:val="es-CO"/>
        </w:rPr>
      </w:pPr>
      <w:r>
        <w:rPr>
          <w:rFonts w:ascii="Bookman Old Style" w:hAnsi="Bookman Old Style" w:cs="Arial"/>
          <w:spacing w:val="-3"/>
          <w:lang w:val="es-CO"/>
        </w:rPr>
        <w:t>E</w:t>
      </w:r>
      <w:r w:rsidRPr="00A5656A">
        <w:rPr>
          <w:rFonts w:ascii="Bookman Old Style" w:hAnsi="Bookman Old Style" w:cs="Arial"/>
          <w:spacing w:val="-3"/>
          <w:lang w:val="es-CO"/>
        </w:rPr>
        <w:t>n la Resolución CREG</w:t>
      </w:r>
      <w:r>
        <w:rPr>
          <w:rFonts w:ascii="Bookman Old Style" w:hAnsi="Bookman Old Style" w:cs="Arial"/>
          <w:spacing w:val="-3"/>
          <w:lang w:val="es-CO"/>
        </w:rPr>
        <w:t xml:space="preserve"> 022</w:t>
      </w:r>
      <w:r w:rsidRPr="00A5656A">
        <w:rPr>
          <w:rFonts w:ascii="Bookman Old Style" w:hAnsi="Bookman Old Style" w:cs="Arial"/>
          <w:spacing w:val="-3"/>
          <w:lang w:val="es-CO"/>
        </w:rPr>
        <w:t xml:space="preserve"> de </w:t>
      </w:r>
      <w:r>
        <w:rPr>
          <w:rFonts w:ascii="Bookman Old Style" w:hAnsi="Bookman Old Style" w:cs="Arial"/>
          <w:spacing w:val="-3"/>
          <w:lang w:val="es-CO"/>
        </w:rPr>
        <w:t xml:space="preserve">2001 se </w:t>
      </w:r>
      <w:r w:rsidRPr="00A5656A">
        <w:rPr>
          <w:rFonts w:ascii="Bookman Old Style" w:hAnsi="Bookman Old Style" w:cs="Arial"/>
          <w:spacing w:val="-3"/>
          <w:lang w:val="es-CO"/>
        </w:rPr>
        <w:t>incorpora</w:t>
      </w:r>
      <w:r>
        <w:rPr>
          <w:rFonts w:ascii="Bookman Old Style" w:hAnsi="Bookman Old Style" w:cs="Arial"/>
          <w:spacing w:val="-3"/>
          <w:lang w:val="es-CO"/>
        </w:rPr>
        <w:t>ro</w:t>
      </w:r>
      <w:r w:rsidRPr="00A5656A">
        <w:rPr>
          <w:rFonts w:ascii="Bookman Old Style" w:hAnsi="Bookman Old Style" w:cs="Arial"/>
          <w:spacing w:val="-3"/>
          <w:lang w:val="es-CO"/>
        </w:rPr>
        <w:t xml:space="preserve">n las disposiciones mediante las cuales se aprobaron los principios generales y los procedimientos para definir el plan de expansión del sistema de transmisión nacional, </w:t>
      </w:r>
      <w:r>
        <w:rPr>
          <w:rFonts w:ascii="Bookman Old Style" w:hAnsi="Bookman Old Style" w:cs="Arial"/>
          <w:spacing w:val="-3"/>
          <w:lang w:val="es-CO"/>
        </w:rPr>
        <w:t xml:space="preserve">STN, </w:t>
      </w:r>
      <w:r w:rsidRPr="00A5656A">
        <w:rPr>
          <w:rFonts w:ascii="Bookman Old Style" w:hAnsi="Bookman Old Style" w:cs="Arial"/>
          <w:spacing w:val="-3"/>
          <w:lang w:val="es-CO"/>
        </w:rPr>
        <w:t>y se estableció la metodología para determinar el ingreso regulado por concepto del uso de este sistema.</w:t>
      </w:r>
    </w:p>
    <w:p w:rsidR="00A5656A" w:rsidRPr="00A5656A" w:rsidRDefault="00A5656A" w:rsidP="009D4454">
      <w:pPr>
        <w:ind w:left="0"/>
        <w:jc w:val="both"/>
        <w:rPr>
          <w:rFonts w:ascii="Bookman Old Style" w:hAnsi="Bookman Old Style" w:cs="Arial"/>
          <w:spacing w:val="-3"/>
          <w:lang w:val="es-CO"/>
        </w:rPr>
      </w:pPr>
    </w:p>
    <w:p w:rsidR="005654E6" w:rsidRDefault="005654E6" w:rsidP="009D4454">
      <w:pPr>
        <w:ind w:left="0"/>
        <w:jc w:val="both"/>
        <w:rPr>
          <w:rFonts w:ascii="Bookman Old Style" w:hAnsi="Bookman Old Style" w:cs="Arial"/>
          <w:spacing w:val="-3"/>
        </w:rPr>
      </w:pPr>
      <w:r>
        <w:rPr>
          <w:rFonts w:ascii="Bookman Old Style" w:hAnsi="Bookman Old Style" w:cs="Arial"/>
          <w:spacing w:val="-3"/>
        </w:rPr>
        <w:t xml:space="preserve">En el parágrafo 6 del artículo 6 de la </w:t>
      </w:r>
      <w:r w:rsidRPr="005654E6">
        <w:rPr>
          <w:rFonts w:ascii="Bookman Old Style" w:hAnsi="Bookman Old Style" w:cs="Arial"/>
          <w:spacing w:val="-3"/>
        </w:rPr>
        <w:t>Resolución CREG 0</w:t>
      </w:r>
      <w:r>
        <w:rPr>
          <w:rFonts w:ascii="Bookman Old Style" w:hAnsi="Bookman Old Style" w:cs="Arial"/>
          <w:spacing w:val="-3"/>
        </w:rPr>
        <w:t>22</w:t>
      </w:r>
      <w:r w:rsidRPr="005654E6">
        <w:rPr>
          <w:rFonts w:ascii="Bookman Old Style" w:hAnsi="Bookman Old Style" w:cs="Arial"/>
          <w:spacing w:val="-3"/>
        </w:rPr>
        <w:t xml:space="preserve"> de 200</w:t>
      </w:r>
      <w:r>
        <w:rPr>
          <w:rFonts w:ascii="Bookman Old Style" w:hAnsi="Bookman Old Style" w:cs="Arial"/>
          <w:spacing w:val="-3"/>
        </w:rPr>
        <w:t xml:space="preserve">1, adicionado mediante la Resolución CREG 064 de 2013, se establece: </w:t>
      </w:r>
      <w:r w:rsidRPr="005654E6">
        <w:rPr>
          <w:rFonts w:ascii="Bookman Old Style" w:hAnsi="Bookman Old Style" w:cs="Arial"/>
          <w:spacing w:val="-3"/>
        </w:rPr>
        <w:t xml:space="preserve"> </w:t>
      </w:r>
    </w:p>
    <w:p w:rsidR="005654E6" w:rsidRPr="005654E6" w:rsidRDefault="005654E6" w:rsidP="005654E6">
      <w:pPr>
        <w:pStyle w:val="Cita"/>
      </w:pPr>
      <w:r w:rsidRPr="005654E6">
        <w:t>“Parágrafo 6. La instalación de módulos de compensación o sistemas flexibles de transmisión de corriente alterna, FACTS, en subestaciones o en líneas existentes y de los equipos necesarios para su conexión podrá llevarse a cabo como una ampliación, cuando la UPME identifique en el Plan de Expansión de Referencia que esos activos son necesarios para evitar o mitigar situaciones con alta probabilidad de desatención de demanda, y que el tiempo disponible no es suficiente para llevar a cabo el mecanismo de libre concurrencia de que trata el artículo 4 de esta resolución y tener los activos en operación comercial en la fecha en que son requeridos.</w:t>
      </w:r>
    </w:p>
    <w:p w:rsidR="005654E6" w:rsidRPr="005654E6" w:rsidRDefault="005654E6" w:rsidP="005654E6">
      <w:pPr>
        <w:pStyle w:val="Cita"/>
      </w:pPr>
      <w:r w:rsidRPr="005654E6">
        <w:t xml:space="preserve">Esta ampliación podrá ser realizada por el TN que representa ante el LAC el mayor valor de activos del STN de la subestación a la que se conectará, estimado con base en los precios de las UC vigentes en ese momento. Si este TN no manifiesta interés para realizar dicha ampliación, tendrán la opción, en </w:t>
      </w:r>
      <w:r w:rsidRPr="005654E6">
        <w:lastRenderedPageBreak/>
        <w:t>su orden, los siguientes TN con mayor valor de activos en la subestación. Si ninguno de los TN mencionados manifiesta interés, podrá realizarla cualquier otro TN interesado y de presentarse más de uno se seleccionará al primero que haya manifestado por escrito su interés ante la UPME. Los plazos para la manifestación de interés serán determinados por la UPME.</w:t>
      </w:r>
    </w:p>
    <w:p w:rsidR="005654E6" w:rsidRPr="005654E6" w:rsidRDefault="005654E6" w:rsidP="005654E6">
      <w:pPr>
        <w:pStyle w:val="Cita"/>
      </w:pPr>
      <w:r w:rsidRPr="005654E6">
        <w:t>Sin perjuicio de lo anterior, si la UPME encuentra conveniente para el sistema que estos equipos sean trasladados a otro punto de conexión, con posterioridad a la fecha de entrada en operación prevista para el proyecto, el TN responsable ante el LAC del proyecto deberá llevar a cabo a su costo dicho traslado”.</w:t>
      </w:r>
    </w:p>
    <w:p w:rsidR="005654E6" w:rsidRPr="005654E6" w:rsidRDefault="005654E6" w:rsidP="005654E6">
      <w:pPr>
        <w:ind w:left="0"/>
        <w:jc w:val="both"/>
        <w:rPr>
          <w:rFonts w:ascii="Bookman Old Style" w:hAnsi="Bookman Old Style" w:cs="Arial"/>
          <w:spacing w:val="-3"/>
          <w:lang w:val="es-CO"/>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M</w:t>
      </w:r>
      <w:r w:rsidRPr="00A5656A">
        <w:rPr>
          <w:rFonts w:ascii="Bookman Old Style" w:hAnsi="Bookman Old Style" w:cs="Arial"/>
          <w:spacing w:val="-3"/>
        </w:rPr>
        <w:t xml:space="preserve">ediante la Resolución CREG 092 de 2002 se </w:t>
      </w:r>
      <w:r w:rsidR="00A15A66">
        <w:rPr>
          <w:rFonts w:ascii="Bookman Old Style" w:hAnsi="Bookman Old Style" w:cs="Arial"/>
          <w:spacing w:val="-3"/>
        </w:rPr>
        <w:t>señala</w:t>
      </w:r>
      <w:r w:rsidRPr="00A5656A">
        <w:rPr>
          <w:rFonts w:ascii="Bookman Old Style" w:hAnsi="Bookman Old Style" w:cs="Arial"/>
          <w:spacing w:val="-3"/>
        </w:rPr>
        <w:t>ron los principios generales y procedimientos para suplir necesidades del sistema de transmisión nacional, utilizando equipos en niveles de tensión inferiores a 220 kV, y se estableció la metodología para la remuneración de su uso</w:t>
      </w:r>
      <w:r>
        <w:rPr>
          <w:rFonts w:ascii="Bookman Old Style" w:hAnsi="Bookman Old Style" w:cs="Arial"/>
          <w:spacing w:val="-3"/>
        </w:rPr>
        <w:t>.</w:t>
      </w:r>
    </w:p>
    <w:p w:rsidR="00A5656A" w:rsidRPr="00A5656A" w:rsidRDefault="00A5656A" w:rsidP="00A5656A">
      <w:pPr>
        <w:ind w:left="0"/>
        <w:jc w:val="both"/>
        <w:rPr>
          <w:rFonts w:ascii="Bookman Old Style" w:hAnsi="Bookman Old Style" w:cs="Arial"/>
          <w:spacing w:val="-3"/>
        </w:rPr>
      </w:pPr>
    </w:p>
    <w:p w:rsidR="0018302B" w:rsidRDefault="0018302B" w:rsidP="005654E6">
      <w:pPr>
        <w:ind w:left="0"/>
        <w:jc w:val="both"/>
        <w:rPr>
          <w:rFonts w:ascii="Bookman Old Style" w:hAnsi="Bookman Old Style" w:cs="Arial"/>
          <w:spacing w:val="-3"/>
        </w:rPr>
      </w:pPr>
      <w:r>
        <w:rPr>
          <w:rFonts w:ascii="Bookman Old Style" w:hAnsi="Bookman Old Style" w:cs="Arial"/>
          <w:spacing w:val="-3"/>
        </w:rPr>
        <w:t>E</w:t>
      </w:r>
      <w:r w:rsidRPr="0018302B">
        <w:rPr>
          <w:rFonts w:ascii="Bookman Old Style" w:hAnsi="Bookman Old Style" w:cs="Arial"/>
          <w:spacing w:val="-3"/>
        </w:rPr>
        <w:t>l artículo 5 de la Resolución CREG 092 de 2002, modificado por la Resolución CREG 064 de 2013, estableció el procedimiento a seguir para remunerar los activos objeto de estas convocatorias, una vez finalizado el tiempo de utilización de los activos definido en la solicitud de propuesta, que sirvió para seleccionar el adjudicatario del proyecto</w:t>
      </w:r>
      <w:r>
        <w:rPr>
          <w:rFonts w:ascii="Bookman Old Style" w:hAnsi="Bookman Old Style" w:cs="Arial"/>
          <w:spacing w:val="-3"/>
        </w:rPr>
        <w:t>. Al respecto señala:</w:t>
      </w:r>
    </w:p>
    <w:p w:rsidR="005654E6" w:rsidRPr="005654E6" w:rsidRDefault="005654E6" w:rsidP="005654E6">
      <w:pPr>
        <w:pStyle w:val="Cita"/>
      </w:pPr>
      <w:r w:rsidRPr="005654E6">
        <w:t>Antes de que finalice el tiempo de utilización de los activos y con la anticipación que considere necesaria para tomar las medidas respectivas, la UPME determinará en el Plan de Expansión la necesidad de mantener en operación el proyecto y con base en sus análisis indicará si el proyecto se requiere indefinidamente o fijará el número de años adicionales que se necesita. Si se encuentra que el proyecto sigue requiriéndose en el sistema con la finalidad exclusiva de beneficio del STN, el TN mediante comunicación escrita manifestará a la UPME su interés en continuar operando y representando el activo y adjuntará un concepto técnico sobre el estado de los activos que componen el proyecto, emitido por una firma de ingeniería. La comunicación escrita deberá ser remitida a la UPME dentro de los cuatro (4) meses siguientes a la fecha de adopción del Plan de Expansión.</w:t>
      </w:r>
    </w:p>
    <w:p w:rsidR="005654E6" w:rsidRPr="005654E6" w:rsidRDefault="005654E6" w:rsidP="005654E6">
      <w:pPr>
        <w:pStyle w:val="Cita"/>
      </w:pPr>
      <w:r w:rsidRPr="005654E6">
        <w:t>(…)</w:t>
      </w:r>
    </w:p>
    <w:p w:rsidR="005654E6" w:rsidRPr="005654E6" w:rsidRDefault="005654E6" w:rsidP="005654E6">
      <w:pPr>
        <w:pStyle w:val="Cita"/>
      </w:pPr>
      <w:r w:rsidRPr="005654E6">
        <w:t>Si el concepto técnico determina que los activos se encuentran en condiciones óptimas para continuar operando, el TN que los representa deberá solicitar a la CREG su inclusión dentro de su base de activos, teniendo en cuenta la metodología que se encuentre vigente para la remuneración de activos de uso del STN, pero asimilando los activos a las UC definidas para la actividad de distribución. Así mismo, deberá adjuntar copia de la comunicación enviada a la UPME y del concepto técnico de la firma de ingeniería.</w:t>
      </w:r>
    </w:p>
    <w:p w:rsidR="005654E6" w:rsidRDefault="005654E6" w:rsidP="008505BC">
      <w:pPr>
        <w:ind w:left="0"/>
        <w:jc w:val="both"/>
        <w:rPr>
          <w:rFonts w:ascii="Bookman Old Style" w:hAnsi="Bookman Old Style" w:cs="Arial"/>
          <w:spacing w:val="-3"/>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M</w:t>
      </w:r>
      <w:r w:rsidRPr="00934E08">
        <w:rPr>
          <w:rFonts w:ascii="Bookman Old Style" w:hAnsi="Bookman Old Style" w:cs="Arial"/>
          <w:spacing w:val="-3"/>
        </w:rPr>
        <w:t xml:space="preserve">ediante la Resolución CREG 011 de 2009 se </w:t>
      </w:r>
      <w:r w:rsidR="00A15A66">
        <w:rPr>
          <w:rFonts w:ascii="Bookman Old Style" w:hAnsi="Bookman Old Style" w:cs="Arial"/>
          <w:spacing w:val="-3"/>
        </w:rPr>
        <w:t>definieron</w:t>
      </w:r>
      <w:r w:rsidRPr="00934E08">
        <w:rPr>
          <w:rFonts w:ascii="Bookman Old Style" w:hAnsi="Bookman Old Style" w:cs="Arial"/>
          <w:spacing w:val="-3"/>
        </w:rPr>
        <w:t xml:space="preserve"> la metodología y </w:t>
      </w:r>
      <w:r w:rsidR="00A15A66">
        <w:rPr>
          <w:rFonts w:ascii="Bookman Old Style" w:hAnsi="Bookman Old Style" w:cs="Arial"/>
          <w:spacing w:val="-3"/>
        </w:rPr>
        <w:t xml:space="preserve">las </w:t>
      </w:r>
      <w:r w:rsidRPr="00934E08">
        <w:rPr>
          <w:rFonts w:ascii="Bookman Old Style" w:hAnsi="Bookman Old Style" w:cs="Arial"/>
          <w:spacing w:val="-3"/>
        </w:rPr>
        <w:t xml:space="preserve">fórmulas tarifarias para la remuneración de la actividad de transmisión de energía eléctrica en el </w:t>
      </w:r>
      <w:r>
        <w:rPr>
          <w:rFonts w:ascii="Bookman Old Style" w:hAnsi="Bookman Old Style" w:cs="Arial"/>
          <w:spacing w:val="-3"/>
        </w:rPr>
        <w:t>STN</w:t>
      </w:r>
      <w:r w:rsidRPr="00934E08">
        <w:rPr>
          <w:rFonts w:ascii="Bookman Old Style" w:hAnsi="Bookman Old Style" w:cs="Arial"/>
          <w:spacing w:val="-3"/>
        </w:rPr>
        <w:t>.</w:t>
      </w:r>
      <w:r>
        <w:rPr>
          <w:rFonts w:ascii="Bookman Old Style" w:hAnsi="Bookman Old Style" w:cs="Arial"/>
          <w:spacing w:val="-3"/>
        </w:rPr>
        <w:t xml:space="preserve"> </w:t>
      </w:r>
    </w:p>
    <w:p w:rsidR="00A5656A" w:rsidRDefault="00A5656A" w:rsidP="00A5656A">
      <w:pPr>
        <w:ind w:left="0"/>
        <w:jc w:val="both"/>
        <w:rPr>
          <w:rFonts w:ascii="Bookman Old Style" w:hAnsi="Bookman Old Style" w:cs="Arial"/>
          <w:spacing w:val="-3"/>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 xml:space="preserve">De acuerdo con el artículo 7 de la Resolución CREG 011 de 2009 el ingreso anual del transmisor, IAT, “(…) </w:t>
      </w:r>
      <w:r w:rsidRPr="00B435AE">
        <w:rPr>
          <w:rFonts w:ascii="Bookman Old Style" w:hAnsi="Bookman Old Style" w:cs="Arial"/>
          <w:i/>
          <w:spacing w:val="-3"/>
        </w:rPr>
        <w:t>s</w:t>
      </w:r>
      <w:r>
        <w:rPr>
          <w:rFonts w:ascii="Bookman Old Style" w:hAnsi="Bookman Old Style" w:cs="Arial"/>
          <w:i/>
          <w:spacing w:val="-3"/>
        </w:rPr>
        <w:t>o</w:t>
      </w:r>
      <w:r w:rsidRPr="00B435AE">
        <w:rPr>
          <w:rFonts w:ascii="Bookman Old Style" w:hAnsi="Bookman Old Style" w:cs="Arial"/>
          <w:i/>
          <w:spacing w:val="-3"/>
        </w:rPr>
        <w:t xml:space="preserve">lo se ajustará si la CREG llegare a modificar los valores de la Unidades Constructivas, cuando se modifique el valor del AOM reconocido o cuando, en cumplimiento de la regulación vigente, se excluyan Activos de Uso en operación, ingresen nuevos Activos de Uso o se remplacen las Unidades </w:t>
      </w:r>
      <w:r w:rsidRPr="00B435AE">
        <w:rPr>
          <w:rFonts w:ascii="Bookman Old Style" w:hAnsi="Bookman Old Style" w:cs="Arial"/>
          <w:i/>
          <w:spacing w:val="-3"/>
        </w:rPr>
        <w:lastRenderedPageBreak/>
        <w:t>Constructivas instaladas por otras de clasificación diferente de acuerdo con lo establecido en el Artículo 6 de la presente Resolución.</w:t>
      </w:r>
      <w:r>
        <w:rPr>
          <w:rFonts w:ascii="Bookman Old Style" w:hAnsi="Bookman Old Style" w:cs="Arial"/>
          <w:spacing w:val="-3"/>
        </w:rPr>
        <w:t>”</w:t>
      </w:r>
    </w:p>
    <w:p w:rsidR="00A5656A" w:rsidRDefault="00A5656A" w:rsidP="00A5656A">
      <w:pPr>
        <w:ind w:left="0"/>
        <w:jc w:val="both"/>
        <w:rPr>
          <w:rFonts w:ascii="Bookman Old Style" w:hAnsi="Bookman Old Style" w:cs="Arial"/>
          <w:spacing w:val="-3"/>
        </w:rPr>
      </w:pPr>
    </w:p>
    <w:p w:rsidR="00A5656A" w:rsidRPr="00C63A34" w:rsidRDefault="00A5656A" w:rsidP="00A5656A">
      <w:pPr>
        <w:ind w:left="0"/>
        <w:jc w:val="both"/>
        <w:rPr>
          <w:rFonts w:ascii="Bookman Old Style" w:hAnsi="Bookman Old Style"/>
        </w:rPr>
      </w:pPr>
      <w:r>
        <w:rPr>
          <w:rFonts w:ascii="Bookman Old Style" w:hAnsi="Bookman Old Style" w:cs="Arial"/>
          <w:spacing w:val="-3"/>
        </w:rPr>
        <w:t xml:space="preserve">Mediante </w:t>
      </w:r>
      <w:r w:rsidRPr="008505BC">
        <w:rPr>
          <w:rFonts w:ascii="Bookman Old Style" w:hAnsi="Bookman Old Style" w:cs="Arial"/>
          <w:spacing w:val="-3"/>
        </w:rPr>
        <w:t>la</w:t>
      </w:r>
      <w:r>
        <w:rPr>
          <w:rFonts w:ascii="Bookman Old Style" w:hAnsi="Bookman Old Style" w:cs="Arial"/>
          <w:spacing w:val="-3"/>
        </w:rPr>
        <w:t xml:space="preserve"> R</w:t>
      </w:r>
      <w:r w:rsidRPr="008505BC">
        <w:rPr>
          <w:rFonts w:ascii="Bookman Old Style" w:hAnsi="Bookman Old Style" w:cs="Arial"/>
          <w:spacing w:val="-3"/>
        </w:rPr>
        <w:t>esoluci</w:t>
      </w:r>
      <w:r>
        <w:rPr>
          <w:rFonts w:ascii="Bookman Old Style" w:hAnsi="Bookman Old Style" w:cs="Arial"/>
          <w:spacing w:val="-3"/>
        </w:rPr>
        <w:t>ón</w:t>
      </w:r>
      <w:r w:rsidRPr="008505BC">
        <w:rPr>
          <w:rFonts w:ascii="Bookman Old Style" w:hAnsi="Bookman Old Style" w:cs="Arial"/>
          <w:spacing w:val="-3"/>
        </w:rPr>
        <w:t xml:space="preserve"> CREG </w:t>
      </w:r>
      <w:r w:rsidR="001271BF">
        <w:rPr>
          <w:rFonts w:ascii="Bookman Old Style" w:hAnsi="Bookman Old Style" w:cs="Arial"/>
          <w:spacing w:val="-3"/>
        </w:rPr>
        <w:t>104</w:t>
      </w:r>
      <w:r>
        <w:rPr>
          <w:rFonts w:ascii="Bookman Old Style" w:hAnsi="Bookman Old Style" w:cs="Arial"/>
          <w:spacing w:val="-3"/>
        </w:rPr>
        <w:t xml:space="preserve"> de 2010 se aprobó</w:t>
      </w:r>
      <w:r w:rsidRPr="000E6C64">
        <w:rPr>
          <w:rFonts w:ascii="Bookman Old Style" w:hAnsi="Bookman Old Style" w:cs="Arial"/>
          <w:spacing w:val="-3"/>
        </w:rPr>
        <w:t xml:space="preserve"> la base de activos y los parámetros necesarios para determinar la remuneración de </w:t>
      </w:r>
      <w:r w:rsidR="001271BF">
        <w:rPr>
          <w:rFonts w:ascii="Bookman Old Style" w:hAnsi="Bookman Old Style" w:cs="Arial"/>
          <w:spacing w:val="-3"/>
        </w:rPr>
        <w:t>Centrales Eléctricas del Norte de Santander</w:t>
      </w:r>
      <w:r>
        <w:rPr>
          <w:rFonts w:ascii="Bookman Old Style" w:hAnsi="Bookman Old Style" w:cs="Arial"/>
          <w:spacing w:val="-3"/>
        </w:rPr>
        <w:t xml:space="preserve"> S.A. E.S.P.</w:t>
      </w:r>
      <w:r w:rsidR="00A15A66">
        <w:rPr>
          <w:rFonts w:ascii="Bookman Old Style" w:hAnsi="Bookman Old Style" w:cs="Arial"/>
          <w:spacing w:val="-3"/>
        </w:rPr>
        <w:t xml:space="preserve">, </w:t>
      </w:r>
      <w:r w:rsidR="001271BF">
        <w:rPr>
          <w:rFonts w:ascii="Bookman Old Style" w:hAnsi="Bookman Old Style" w:cs="Arial"/>
          <w:spacing w:val="-3"/>
        </w:rPr>
        <w:t>CENS</w:t>
      </w:r>
      <w:r w:rsidR="00A15A66">
        <w:rPr>
          <w:rFonts w:ascii="Bookman Old Style" w:hAnsi="Bookman Old Style" w:cs="Arial"/>
          <w:spacing w:val="-3"/>
        </w:rPr>
        <w:t>,</w:t>
      </w:r>
      <w:r w:rsidRPr="000E6C64">
        <w:rPr>
          <w:rFonts w:ascii="Bookman Old Style" w:hAnsi="Bookman Old Style" w:cs="Arial"/>
          <w:spacing w:val="-3"/>
        </w:rPr>
        <w:t xml:space="preserve"> en el </w:t>
      </w:r>
      <w:r>
        <w:rPr>
          <w:rFonts w:ascii="Bookman Old Style" w:hAnsi="Bookman Old Style" w:cs="Arial"/>
          <w:spacing w:val="-3"/>
        </w:rPr>
        <w:t>STN.</w:t>
      </w:r>
    </w:p>
    <w:p w:rsidR="00A5656A" w:rsidRDefault="00A5656A" w:rsidP="00A5656A">
      <w:pPr>
        <w:ind w:left="0"/>
        <w:jc w:val="both"/>
        <w:rPr>
          <w:rFonts w:ascii="Bookman Old Style" w:hAnsi="Bookman Old Style"/>
        </w:rPr>
      </w:pPr>
    </w:p>
    <w:p w:rsidR="00DB3FB0" w:rsidRDefault="00DB3FB0" w:rsidP="008505BC">
      <w:pPr>
        <w:ind w:left="0"/>
        <w:jc w:val="both"/>
        <w:rPr>
          <w:rFonts w:ascii="Bookman Old Style" w:hAnsi="Bookman Old Style" w:cs="Arial"/>
          <w:spacing w:val="-3"/>
        </w:rPr>
      </w:pPr>
      <w:r>
        <w:rPr>
          <w:rFonts w:ascii="Bookman Old Style" w:hAnsi="Bookman Old Style" w:cs="Arial"/>
          <w:spacing w:val="-3"/>
        </w:rPr>
        <w:t>L</w:t>
      </w:r>
      <w:r w:rsidRPr="00DB3FB0">
        <w:rPr>
          <w:rFonts w:ascii="Bookman Old Style" w:hAnsi="Bookman Old Style" w:cs="Arial"/>
          <w:spacing w:val="-3"/>
        </w:rPr>
        <w:t>a UPME abrió la Convocatoria Pública 0</w:t>
      </w:r>
      <w:r w:rsidR="001271BF">
        <w:rPr>
          <w:rFonts w:ascii="Bookman Old Style" w:hAnsi="Bookman Old Style" w:cs="Arial"/>
          <w:spacing w:val="-3"/>
        </w:rPr>
        <w:t>3</w:t>
      </w:r>
      <w:r w:rsidRPr="00DB3FB0">
        <w:rPr>
          <w:rFonts w:ascii="Bookman Old Style" w:hAnsi="Bookman Old Style" w:cs="Arial"/>
          <w:spacing w:val="-3"/>
        </w:rPr>
        <w:t xml:space="preserve">-2003 para seleccionar al inversionista encargado del diseño, suministro, construcción, operación y mantenimiento de </w:t>
      </w:r>
      <w:r w:rsidR="001271BF">
        <w:rPr>
          <w:rFonts w:ascii="Bookman Old Style" w:hAnsi="Bookman Old Style" w:cs="Arial"/>
          <w:spacing w:val="-3"/>
        </w:rPr>
        <w:t xml:space="preserve">dos bancos </w:t>
      </w:r>
      <w:r w:rsidRPr="00DB3FB0">
        <w:rPr>
          <w:rFonts w:ascii="Bookman Old Style" w:hAnsi="Bookman Old Style" w:cs="Arial"/>
          <w:spacing w:val="-3"/>
        </w:rPr>
        <w:t xml:space="preserve">de compensación capacitiva </w:t>
      </w:r>
      <w:r w:rsidR="001271BF">
        <w:rPr>
          <w:rFonts w:ascii="Bookman Old Style" w:hAnsi="Bookman Old Style" w:cs="Arial"/>
          <w:spacing w:val="-3"/>
        </w:rPr>
        <w:t>de 30</w:t>
      </w:r>
      <w:r w:rsidR="001271BF" w:rsidRPr="00DB3FB0">
        <w:rPr>
          <w:rFonts w:ascii="Bookman Old Style" w:hAnsi="Bookman Old Style" w:cs="Arial"/>
          <w:spacing w:val="-3"/>
        </w:rPr>
        <w:t xml:space="preserve"> </w:t>
      </w:r>
      <w:proofErr w:type="spellStart"/>
      <w:r w:rsidR="001271BF" w:rsidRPr="00DB3FB0">
        <w:rPr>
          <w:rFonts w:ascii="Bookman Old Style" w:hAnsi="Bookman Old Style" w:cs="Arial"/>
          <w:spacing w:val="-3"/>
        </w:rPr>
        <w:t>MVAr</w:t>
      </w:r>
      <w:proofErr w:type="spellEnd"/>
      <w:r w:rsidR="001271BF" w:rsidRPr="00DB3FB0">
        <w:rPr>
          <w:rFonts w:ascii="Bookman Old Style" w:hAnsi="Bookman Old Style" w:cs="Arial"/>
          <w:spacing w:val="-3"/>
        </w:rPr>
        <w:t xml:space="preserve"> </w:t>
      </w:r>
      <w:r w:rsidRPr="00DB3FB0">
        <w:rPr>
          <w:rFonts w:ascii="Bookman Old Style" w:hAnsi="Bookman Old Style" w:cs="Arial"/>
          <w:spacing w:val="-3"/>
        </w:rPr>
        <w:t xml:space="preserve">en la subestación </w:t>
      </w:r>
      <w:r w:rsidR="001271BF">
        <w:rPr>
          <w:rFonts w:ascii="Bookman Old Style" w:hAnsi="Bookman Old Style" w:cs="Arial"/>
          <w:spacing w:val="-3"/>
        </w:rPr>
        <w:t>Belén</w:t>
      </w:r>
      <w:r w:rsidRPr="00DB3FB0">
        <w:rPr>
          <w:rFonts w:ascii="Bookman Old Style" w:hAnsi="Bookman Old Style" w:cs="Arial"/>
          <w:spacing w:val="-3"/>
        </w:rPr>
        <w:t xml:space="preserve">, en el nivel de 115 kV, de la cual resultó adjudicataria </w:t>
      </w:r>
      <w:r w:rsidR="001271BF">
        <w:rPr>
          <w:rFonts w:ascii="Bookman Old Style" w:hAnsi="Bookman Old Style" w:cs="Arial"/>
          <w:spacing w:val="-3"/>
        </w:rPr>
        <w:t>la Empresa de Energía de Bogotá</w:t>
      </w:r>
      <w:r w:rsidRPr="00DB3FB0">
        <w:rPr>
          <w:rFonts w:ascii="Bookman Old Style" w:hAnsi="Bookman Old Style" w:cs="Arial"/>
          <w:spacing w:val="-3"/>
        </w:rPr>
        <w:t xml:space="preserve"> S.A. E.S.P.</w:t>
      </w:r>
    </w:p>
    <w:p w:rsidR="00DB3FB0" w:rsidRDefault="00DB3FB0" w:rsidP="008505BC">
      <w:pPr>
        <w:ind w:left="0"/>
        <w:jc w:val="both"/>
        <w:rPr>
          <w:rFonts w:ascii="Bookman Old Style" w:hAnsi="Bookman Old Style" w:cs="Arial"/>
          <w:spacing w:val="-3"/>
        </w:rPr>
      </w:pPr>
    </w:p>
    <w:p w:rsidR="00332BDB" w:rsidRDefault="001933B5" w:rsidP="008505BC">
      <w:pPr>
        <w:ind w:left="0"/>
        <w:jc w:val="both"/>
        <w:rPr>
          <w:rFonts w:ascii="Bookman Old Style" w:hAnsi="Bookman Old Style" w:cs="Arial"/>
          <w:spacing w:val="-3"/>
        </w:rPr>
      </w:pPr>
      <w:r>
        <w:rPr>
          <w:rFonts w:ascii="Bookman Old Style" w:hAnsi="Bookman Old Style" w:cs="Arial"/>
          <w:spacing w:val="-3"/>
        </w:rPr>
        <w:t>E</w:t>
      </w:r>
      <w:r w:rsidR="00332BDB">
        <w:rPr>
          <w:rFonts w:ascii="Bookman Old Style" w:hAnsi="Bookman Old Style" w:cs="Arial"/>
          <w:spacing w:val="-3"/>
        </w:rPr>
        <w:t xml:space="preserve">n el plan de expansión </w:t>
      </w:r>
      <w:r w:rsidR="008E017C">
        <w:rPr>
          <w:rFonts w:ascii="Bookman Old Style" w:hAnsi="Bookman Old Style" w:cs="Arial"/>
          <w:spacing w:val="-3"/>
        </w:rPr>
        <w:t>2013-2017</w:t>
      </w:r>
      <w:r w:rsidR="00A15A66">
        <w:rPr>
          <w:rFonts w:ascii="Bookman Old Style" w:hAnsi="Bookman Old Style" w:cs="Arial"/>
          <w:spacing w:val="-3"/>
        </w:rPr>
        <w:t>,</w:t>
      </w:r>
      <w:r w:rsidR="008E017C">
        <w:rPr>
          <w:rFonts w:ascii="Bookman Old Style" w:hAnsi="Bookman Old Style" w:cs="Arial"/>
          <w:spacing w:val="-3"/>
        </w:rPr>
        <w:t xml:space="preserve"> </w:t>
      </w:r>
      <w:r>
        <w:rPr>
          <w:rFonts w:ascii="Bookman Old Style" w:hAnsi="Bookman Old Style" w:cs="Arial"/>
          <w:spacing w:val="-3"/>
        </w:rPr>
        <w:t xml:space="preserve">la UPME </w:t>
      </w:r>
      <w:r w:rsidR="008E017C">
        <w:rPr>
          <w:rFonts w:ascii="Bookman Old Style" w:hAnsi="Bookman Old Style" w:cs="Arial"/>
          <w:spacing w:val="-3"/>
        </w:rPr>
        <w:t xml:space="preserve">recomendó que </w:t>
      </w:r>
      <w:r>
        <w:rPr>
          <w:rFonts w:ascii="Bookman Old Style" w:hAnsi="Bookman Old Style" w:cs="Arial"/>
          <w:spacing w:val="-3"/>
        </w:rPr>
        <w:t xml:space="preserve">de manera indefinida </w:t>
      </w:r>
      <w:r w:rsidR="008E017C">
        <w:rPr>
          <w:rFonts w:ascii="Bookman Old Style" w:hAnsi="Bookman Old Style" w:cs="Arial"/>
          <w:spacing w:val="-3"/>
        </w:rPr>
        <w:t>continuar</w:t>
      </w:r>
      <w:r>
        <w:rPr>
          <w:rFonts w:ascii="Bookman Old Style" w:hAnsi="Bookman Old Style" w:cs="Arial"/>
          <w:spacing w:val="-3"/>
        </w:rPr>
        <w:t>a</w:t>
      </w:r>
      <w:r w:rsidR="008E017C">
        <w:rPr>
          <w:rFonts w:ascii="Bookman Old Style" w:hAnsi="Bookman Old Style" w:cs="Arial"/>
          <w:spacing w:val="-3"/>
        </w:rPr>
        <w:t xml:space="preserve"> en operación, entre otras, la compensación instalada en la barra de 115 kV de la subestación </w:t>
      </w:r>
      <w:r w:rsidR="001271BF">
        <w:rPr>
          <w:rFonts w:ascii="Bookman Old Style" w:hAnsi="Bookman Old Style" w:cs="Arial"/>
          <w:spacing w:val="-3"/>
        </w:rPr>
        <w:t>Belén</w:t>
      </w:r>
      <w:r w:rsidR="008E017C">
        <w:rPr>
          <w:rFonts w:ascii="Bookman Old Style" w:hAnsi="Bookman Old Style" w:cs="Arial"/>
          <w:spacing w:val="-3"/>
        </w:rPr>
        <w:t xml:space="preserve">. </w:t>
      </w:r>
      <w:r w:rsidR="001271BF">
        <w:rPr>
          <w:rFonts w:ascii="Bookman Old Style" w:hAnsi="Bookman Old Style" w:cs="Arial"/>
          <w:spacing w:val="-3"/>
        </w:rPr>
        <w:t>No obstante</w:t>
      </w:r>
      <w:r w:rsidR="00C64382">
        <w:rPr>
          <w:rFonts w:ascii="Bookman Old Style" w:hAnsi="Bookman Old Style" w:cs="Arial"/>
          <w:spacing w:val="-3"/>
        </w:rPr>
        <w:t>,</w:t>
      </w:r>
      <w:r w:rsidR="00332BDB">
        <w:rPr>
          <w:rFonts w:ascii="Bookman Old Style" w:hAnsi="Bookman Old Style" w:cs="Arial"/>
          <w:spacing w:val="-3"/>
        </w:rPr>
        <w:t xml:space="preserve"> </w:t>
      </w:r>
      <w:r w:rsidR="00092A53">
        <w:rPr>
          <w:rFonts w:ascii="Bookman Old Style" w:hAnsi="Bookman Old Style" w:cs="Arial"/>
          <w:spacing w:val="-3"/>
        </w:rPr>
        <w:t>la</w:t>
      </w:r>
      <w:r w:rsidR="001271BF">
        <w:rPr>
          <w:rFonts w:ascii="Bookman Old Style" w:hAnsi="Bookman Old Style" w:cs="Arial"/>
          <w:spacing w:val="-3"/>
        </w:rPr>
        <w:t xml:space="preserve"> Empresa de Energía de Bogotá</w:t>
      </w:r>
      <w:r w:rsidR="001271BF" w:rsidRPr="00DB3FB0">
        <w:rPr>
          <w:rFonts w:ascii="Bookman Old Style" w:hAnsi="Bookman Old Style" w:cs="Arial"/>
          <w:spacing w:val="-3"/>
        </w:rPr>
        <w:t xml:space="preserve"> S.A. E.S.P.</w:t>
      </w:r>
      <w:r w:rsidR="00092A53">
        <w:rPr>
          <w:rFonts w:ascii="Bookman Old Style" w:hAnsi="Bookman Old Style" w:cs="Arial"/>
          <w:spacing w:val="-3"/>
        </w:rPr>
        <w:t xml:space="preserve"> </w:t>
      </w:r>
      <w:r w:rsidR="001271BF">
        <w:rPr>
          <w:rFonts w:ascii="Bookman Old Style" w:hAnsi="Bookman Old Style" w:cs="Arial"/>
          <w:spacing w:val="-3"/>
        </w:rPr>
        <w:t>manifestó no estar interesada en</w:t>
      </w:r>
      <w:r w:rsidR="00092A53">
        <w:rPr>
          <w:rFonts w:ascii="Bookman Old Style" w:hAnsi="Bookman Old Style" w:cs="Arial"/>
          <w:spacing w:val="-3"/>
        </w:rPr>
        <w:t xml:space="preserve"> continuar operando y representando el banco de compensadores ubicado en la subestación </w:t>
      </w:r>
      <w:r w:rsidR="001271BF">
        <w:rPr>
          <w:rFonts w:ascii="Bookman Old Style" w:hAnsi="Bookman Old Style" w:cs="Arial"/>
          <w:spacing w:val="-3"/>
        </w:rPr>
        <w:t>Belén</w:t>
      </w:r>
      <w:r w:rsidR="00092A53">
        <w:rPr>
          <w:rFonts w:ascii="Bookman Old Style" w:hAnsi="Bookman Old Style" w:cs="Arial"/>
          <w:spacing w:val="-3"/>
        </w:rPr>
        <w:t>.</w:t>
      </w:r>
    </w:p>
    <w:p w:rsidR="00C64382" w:rsidRDefault="00C64382" w:rsidP="008505BC">
      <w:pPr>
        <w:ind w:left="0"/>
        <w:jc w:val="both"/>
        <w:rPr>
          <w:rFonts w:ascii="Bookman Old Style" w:hAnsi="Bookman Old Style" w:cs="Arial"/>
          <w:spacing w:val="-3"/>
        </w:rPr>
      </w:pPr>
    </w:p>
    <w:p w:rsidR="001271BF" w:rsidRDefault="001271BF" w:rsidP="008505BC">
      <w:pPr>
        <w:ind w:left="0"/>
        <w:jc w:val="both"/>
        <w:rPr>
          <w:rFonts w:ascii="Bookman Old Style" w:hAnsi="Bookman Old Style" w:cs="Arial"/>
          <w:spacing w:val="-3"/>
        </w:rPr>
      </w:pPr>
      <w:r>
        <w:rPr>
          <w:rFonts w:ascii="Bookman Old Style" w:hAnsi="Bookman Old Style" w:cs="Arial"/>
          <w:spacing w:val="-3"/>
        </w:rPr>
        <w:t xml:space="preserve">Con base en el parágrafo 6 del artículo 6 de la </w:t>
      </w:r>
      <w:r w:rsidRPr="005654E6">
        <w:rPr>
          <w:rFonts w:ascii="Bookman Old Style" w:hAnsi="Bookman Old Style" w:cs="Arial"/>
          <w:spacing w:val="-3"/>
        </w:rPr>
        <w:t>Resolución CREG 0</w:t>
      </w:r>
      <w:r>
        <w:rPr>
          <w:rFonts w:ascii="Bookman Old Style" w:hAnsi="Bookman Old Style" w:cs="Arial"/>
          <w:spacing w:val="-3"/>
        </w:rPr>
        <w:t>22</w:t>
      </w:r>
      <w:r w:rsidRPr="005654E6">
        <w:rPr>
          <w:rFonts w:ascii="Bookman Old Style" w:hAnsi="Bookman Old Style" w:cs="Arial"/>
          <w:spacing w:val="-3"/>
        </w:rPr>
        <w:t xml:space="preserve"> de 200</w:t>
      </w:r>
      <w:r>
        <w:rPr>
          <w:rFonts w:ascii="Bookman Old Style" w:hAnsi="Bookman Old Style" w:cs="Arial"/>
          <w:spacing w:val="-3"/>
        </w:rPr>
        <w:t xml:space="preserve">1, la UPME, </w:t>
      </w:r>
      <w:r w:rsidRPr="001271BF">
        <w:rPr>
          <w:rFonts w:ascii="Bookman Old Style" w:hAnsi="Bookman Old Style" w:cs="Arial"/>
          <w:spacing w:val="-3"/>
        </w:rPr>
        <w:t xml:space="preserve">mediante comunicación con radicado CREG E-2014-008695 solicitó a CENS S.A. E.S.P. informar su interés en </w:t>
      </w:r>
      <w:r>
        <w:rPr>
          <w:rFonts w:ascii="Bookman Old Style" w:hAnsi="Bookman Old Style" w:cs="Arial"/>
          <w:spacing w:val="-3"/>
        </w:rPr>
        <w:t xml:space="preserve">desarrollar </w:t>
      </w:r>
      <w:r w:rsidRPr="001271BF">
        <w:rPr>
          <w:rFonts w:ascii="Bookman Old Style" w:hAnsi="Bookman Old Style" w:cs="Arial"/>
          <w:spacing w:val="-3"/>
        </w:rPr>
        <w:t xml:space="preserve">el proyecto de dos módulos de compensación capacitiva de 30 </w:t>
      </w:r>
      <w:proofErr w:type="spellStart"/>
      <w:r w:rsidRPr="001271BF">
        <w:rPr>
          <w:rFonts w:ascii="Bookman Old Style" w:hAnsi="Bookman Old Style" w:cs="Arial"/>
          <w:spacing w:val="-3"/>
        </w:rPr>
        <w:t>MVAr</w:t>
      </w:r>
      <w:proofErr w:type="spellEnd"/>
      <w:r w:rsidRPr="001271BF">
        <w:rPr>
          <w:rFonts w:ascii="Bookman Old Style" w:hAnsi="Bookman Old Style" w:cs="Arial"/>
          <w:spacing w:val="-3"/>
        </w:rPr>
        <w:t xml:space="preserve"> en la subestación B</w:t>
      </w:r>
      <w:r>
        <w:rPr>
          <w:rFonts w:ascii="Bookman Old Style" w:hAnsi="Bookman Old Style" w:cs="Arial"/>
          <w:spacing w:val="-3"/>
        </w:rPr>
        <w:t xml:space="preserve">elén 115 </w:t>
      </w:r>
      <w:proofErr w:type="spellStart"/>
      <w:r>
        <w:rPr>
          <w:rFonts w:ascii="Bookman Old Style" w:hAnsi="Bookman Old Style" w:cs="Arial"/>
          <w:spacing w:val="-3"/>
        </w:rPr>
        <w:t>kV</w:t>
      </w:r>
      <w:proofErr w:type="spellEnd"/>
      <w:r>
        <w:rPr>
          <w:rFonts w:ascii="Bookman Old Style" w:hAnsi="Bookman Old Style" w:cs="Arial"/>
          <w:spacing w:val="-3"/>
        </w:rPr>
        <w:t xml:space="preserve"> y equipos asociados. </w:t>
      </w:r>
    </w:p>
    <w:p w:rsidR="001271BF" w:rsidRDefault="001271BF" w:rsidP="008505BC">
      <w:pPr>
        <w:ind w:left="0"/>
        <w:jc w:val="both"/>
        <w:rPr>
          <w:rFonts w:ascii="Bookman Old Style" w:hAnsi="Bookman Old Style" w:cs="Arial"/>
          <w:spacing w:val="-3"/>
        </w:rPr>
      </w:pPr>
    </w:p>
    <w:p w:rsidR="001271BF" w:rsidRDefault="001271BF" w:rsidP="008505BC">
      <w:pPr>
        <w:ind w:left="0"/>
        <w:jc w:val="both"/>
        <w:rPr>
          <w:rFonts w:ascii="Bookman Old Style" w:hAnsi="Bookman Old Style" w:cs="Arial"/>
          <w:spacing w:val="-3"/>
        </w:rPr>
      </w:pPr>
      <w:r w:rsidRPr="001271BF">
        <w:rPr>
          <w:rFonts w:ascii="Bookman Old Style" w:hAnsi="Bookman Old Style" w:cs="Arial"/>
          <w:spacing w:val="-3"/>
        </w:rPr>
        <w:t>Mediante comunicación con radicado 20140021842 dirigida a la UPME, CENS S.A. E.S.P. manifestó su interés en el desarrollo del proyecto</w:t>
      </w:r>
      <w:r>
        <w:rPr>
          <w:rFonts w:ascii="Bookman Old Style" w:hAnsi="Bookman Old Style" w:cs="Arial"/>
          <w:spacing w:val="-3"/>
        </w:rPr>
        <w:t>.</w:t>
      </w:r>
    </w:p>
    <w:p w:rsidR="001271BF" w:rsidRDefault="001271BF" w:rsidP="008505BC">
      <w:pPr>
        <w:ind w:left="0"/>
        <w:jc w:val="both"/>
        <w:rPr>
          <w:rFonts w:ascii="Bookman Old Style" w:hAnsi="Bookman Old Style" w:cs="Arial"/>
          <w:spacing w:val="-3"/>
        </w:rPr>
      </w:pPr>
    </w:p>
    <w:p w:rsidR="008505BC" w:rsidRDefault="001271BF" w:rsidP="008505BC">
      <w:pPr>
        <w:ind w:left="0"/>
        <w:jc w:val="both"/>
        <w:rPr>
          <w:rFonts w:ascii="Bookman Old Style" w:hAnsi="Bookman Old Style" w:cs="Arial"/>
          <w:spacing w:val="-3"/>
        </w:rPr>
      </w:pPr>
      <w:r>
        <w:rPr>
          <w:rFonts w:ascii="Bookman Old Style" w:hAnsi="Bookman Old Style" w:cs="Arial"/>
          <w:spacing w:val="-3"/>
        </w:rPr>
        <w:t>CENS</w:t>
      </w:r>
      <w:r w:rsidR="00FB5434">
        <w:rPr>
          <w:rFonts w:ascii="Bookman Old Style" w:hAnsi="Bookman Old Style" w:cs="Arial"/>
          <w:spacing w:val="-3"/>
        </w:rPr>
        <w:t xml:space="preserve"> S.A. E.S.P.</w:t>
      </w:r>
      <w:r w:rsidR="009D4454">
        <w:rPr>
          <w:rFonts w:ascii="Bookman Old Style" w:hAnsi="Bookman Old Style" w:cs="Arial"/>
          <w:spacing w:val="-3"/>
        </w:rPr>
        <w:t xml:space="preserve">, </w:t>
      </w:r>
      <w:r>
        <w:rPr>
          <w:rFonts w:ascii="Bookman Old Style" w:hAnsi="Bookman Old Style" w:cs="Arial"/>
          <w:spacing w:val="-3"/>
        </w:rPr>
        <w:t>mediante la comunicació</w:t>
      </w:r>
      <w:r w:rsidR="0018302B" w:rsidRPr="0018302B">
        <w:rPr>
          <w:rFonts w:ascii="Bookman Old Style" w:hAnsi="Bookman Old Style" w:cs="Arial"/>
          <w:spacing w:val="-3"/>
        </w:rPr>
        <w:t xml:space="preserve">n radicada en la CREG con </w:t>
      </w:r>
      <w:r>
        <w:rPr>
          <w:rFonts w:ascii="Bookman Old Style" w:hAnsi="Bookman Old Style" w:cs="Arial"/>
          <w:spacing w:val="-3"/>
        </w:rPr>
        <w:t>el</w:t>
      </w:r>
      <w:r w:rsidR="00912523">
        <w:rPr>
          <w:rFonts w:ascii="Bookman Old Style" w:hAnsi="Bookman Old Style" w:cs="Arial"/>
          <w:spacing w:val="-3"/>
        </w:rPr>
        <w:t xml:space="preserve"> número E-2015</w:t>
      </w:r>
      <w:r w:rsidR="0018302B" w:rsidRPr="0018302B">
        <w:rPr>
          <w:rFonts w:ascii="Bookman Old Style" w:hAnsi="Bookman Old Style" w:cs="Arial"/>
          <w:spacing w:val="-3"/>
        </w:rPr>
        <w:t>-0</w:t>
      </w:r>
      <w:r w:rsidRPr="001271BF">
        <w:rPr>
          <w:rFonts w:ascii="Bookman Old Style" w:hAnsi="Bookman Old Style" w:cs="Arial"/>
          <w:spacing w:val="-3"/>
        </w:rPr>
        <w:t>0</w:t>
      </w:r>
      <w:r w:rsidR="00912523">
        <w:rPr>
          <w:rFonts w:ascii="Bookman Old Style" w:hAnsi="Bookman Old Style" w:cs="Arial"/>
          <w:spacing w:val="-3"/>
        </w:rPr>
        <w:t>8763</w:t>
      </w:r>
      <w:r>
        <w:rPr>
          <w:rFonts w:ascii="Bookman Old Style" w:hAnsi="Bookman Old Style" w:cs="Arial"/>
          <w:spacing w:val="-3"/>
        </w:rPr>
        <w:t xml:space="preserve"> </w:t>
      </w:r>
      <w:r w:rsidR="0018302B" w:rsidRPr="0018302B">
        <w:rPr>
          <w:rFonts w:ascii="Bookman Old Style" w:hAnsi="Bookman Old Style" w:cs="Arial"/>
          <w:spacing w:val="-3"/>
        </w:rPr>
        <w:t>solicit</w:t>
      </w:r>
      <w:r w:rsidR="0018302B">
        <w:rPr>
          <w:rFonts w:ascii="Bookman Old Style" w:hAnsi="Bookman Old Style" w:cs="Arial"/>
          <w:spacing w:val="-3"/>
        </w:rPr>
        <w:t>ó</w:t>
      </w:r>
      <w:r w:rsidR="0018302B" w:rsidRPr="0018302B">
        <w:rPr>
          <w:rFonts w:ascii="Bookman Old Style" w:hAnsi="Bookman Old Style" w:cs="Arial"/>
          <w:spacing w:val="-3"/>
        </w:rPr>
        <w:t xml:space="preserve"> </w:t>
      </w:r>
      <w:r w:rsidR="0018302B">
        <w:rPr>
          <w:rFonts w:ascii="Bookman Old Style" w:hAnsi="Bookman Old Style" w:cs="Arial"/>
          <w:spacing w:val="-3"/>
        </w:rPr>
        <w:t>incluir</w:t>
      </w:r>
      <w:r w:rsidR="0018302B" w:rsidRPr="0018302B">
        <w:rPr>
          <w:rFonts w:ascii="Bookman Old Style" w:hAnsi="Bookman Old Style" w:cs="Arial"/>
          <w:spacing w:val="-3"/>
        </w:rPr>
        <w:t xml:space="preserve"> en la base de activos de la empresa los relacionados con la compensación </w:t>
      </w:r>
      <w:r>
        <w:rPr>
          <w:rFonts w:ascii="Bookman Old Style" w:hAnsi="Bookman Old Style" w:cs="Arial"/>
          <w:spacing w:val="-3"/>
        </w:rPr>
        <w:t>Belén</w:t>
      </w:r>
      <w:r w:rsidR="0018302B" w:rsidRPr="0018302B">
        <w:rPr>
          <w:rFonts w:ascii="Bookman Old Style" w:hAnsi="Bookman Old Style" w:cs="Arial"/>
          <w:spacing w:val="-3"/>
        </w:rPr>
        <w:t xml:space="preserve">, objeto de la </w:t>
      </w:r>
      <w:r w:rsidR="0018302B">
        <w:rPr>
          <w:rFonts w:ascii="Bookman Old Style" w:hAnsi="Bookman Old Style" w:cs="Arial"/>
          <w:spacing w:val="-3"/>
        </w:rPr>
        <w:t>c</w:t>
      </w:r>
      <w:r w:rsidR="0018302B" w:rsidRPr="0018302B">
        <w:rPr>
          <w:rFonts w:ascii="Bookman Old Style" w:hAnsi="Bookman Old Style" w:cs="Arial"/>
          <w:spacing w:val="-3"/>
        </w:rPr>
        <w:t>onvocatoria UPME 0</w:t>
      </w:r>
      <w:r>
        <w:rPr>
          <w:rFonts w:ascii="Bookman Old Style" w:hAnsi="Bookman Old Style" w:cs="Arial"/>
          <w:spacing w:val="-3"/>
        </w:rPr>
        <w:t>3</w:t>
      </w:r>
      <w:r w:rsidR="0018302B" w:rsidRPr="0018302B">
        <w:rPr>
          <w:rFonts w:ascii="Bookman Old Style" w:hAnsi="Bookman Old Style" w:cs="Arial"/>
          <w:spacing w:val="-3"/>
        </w:rPr>
        <w:t>-2003</w:t>
      </w:r>
      <w:r w:rsidR="008505BC" w:rsidRPr="008505BC">
        <w:rPr>
          <w:rFonts w:ascii="Bookman Old Style" w:hAnsi="Bookman Old Style" w:cs="Arial"/>
          <w:spacing w:val="-3"/>
        </w:rPr>
        <w:t>:</w:t>
      </w:r>
    </w:p>
    <w:p w:rsidR="008505BC" w:rsidRPr="008505BC" w:rsidRDefault="008505BC" w:rsidP="008505BC">
      <w:pPr>
        <w:ind w:left="0"/>
        <w:jc w:val="both"/>
        <w:rPr>
          <w:rFonts w:ascii="Bookman Old Style" w:hAnsi="Bookman Old Style" w:cs="Arial"/>
          <w:spacing w:val="-3"/>
        </w:rPr>
      </w:pPr>
    </w:p>
    <w:p w:rsidR="0018302B" w:rsidRPr="0018302B" w:rsidRDefault="001271BF" w:rsidP="00A15A66">
      <w:pPr>
        <w:numPr>
          <w:ilvl w:val="0"/>
          <w:numId w:val="19"/>
        </w:numPr>
        <w:ind w:left="567" w:hanging="283"/>
        <w:jc w:val="both"/>
        <w:rPr>
          <w:rFonts w:ascii="Bookman Old Style" w:hAnsi="Bookman Old Style" w:cs="Arial"/>
          <w:spacing w:val="-3"/>
        </w:rPr>
      </w:pPr>
      <w:r>
        <w:rPr>
          <w:rFonts w:ascii="Bookman Old Style" w:hAnsi="Bookman Old Style" w:cs="Arial"/>
          <w:spacing w:val="-3"/>
        </w:rPr>
        <w:t>dos</w:t>
      </w:r>
      <w:r w:rsidR="0018302B">
        <w:rPr>
          <w:rFonts w:ascii="Bookman Old Style" w:hAnsi="Bookman Old Style" w:cs="Arial"/>
          <w:spacing w:val="-3"/>
        </w:rPr>
        <w:t xml:space="preserve"> c</w:t>
      </w:r>
      <w:r>
        <w:rPr>
          <w:rFonts w:ascii="Bookman Old Style" w:hAnsi="Bookman Old Style" w:cs="Arial"/>
          <w:spacing w:val="-3"/>
        </w:rPr>
        <w:t>ompensacio</w:t>
      </w:r>
      <w:r w:rsidR="0018302B" w:rsidRPr="0018302B">
        <w:rPr>
          <w:rFonts w:ascii="Bookman Old Style" w:hAnsi="Bookman Old Style" w:cs="Arial"/>
          <w:spacing w:val="-3"/>
        </w:rPr>
        <w:t>n</w:t>
      </w:r>
      <w:r>
        <w:rPr>
          <w:rFonts w:ascii="Bookman Old Style" w:hAnsi="Bookman Old Style" w:cs="Arial"/>
          <w:spacing w:val="-3"/>
        </w:rPr>
        <w:t>es</w:t>
      </w:r>
      <w:r w:rsidR="0018302B" w:rsidRPr="0018302B">
        <w:rPr>
          <w:rFonts w:ascii="Bookman Old Style" w:hAnsi="Bookman Old Style" w:cs="Arial"/>
          <w:spacing w:val="-3"/>
        </w:rPr>
        <w:t xml:space="preserve"> reactiva</w:t>
      </w:r>
      <w:r>
        <w:rPr>
          <w:rFonts w:ascii="Bookman Old Style" w:hAnsi="Bookman Old Style" w:cs="Arial"/>
          <w:spacing w:val="-3"/>
        </w:rPr>
        <w:t>s</w:t>
      </w:r>
      <w:r w:rsidR="0018302B" w:rsidRPr="0018302B">
        <w:rPr>
          <w:rFonts w:ascii="Bookman Old Style" w:hAnsi="Bookman Old Style" w:cs="Arial"/>
          <w:spacing w:val="-3"/>
        </w:rPr>
        <w:t xml:space="preserve"> </w:t>
      </w:r>
      <w:r>
        <w:rPr>
          <w:rFonts w:ascii="Bookman Old Style" w:hAnsi="Bookman Old Style" w:cs="Arial"/>
          <w:spacing w:val="-3"/>
        </w:rPr>
        <w:t>de 30</w:t>
      </w:r>
      <w:r w:rsidR="0018302B" w:rsidRPr="0018302B">
        <w:rPr>
          <w:rFonts w:ascii="Bookman Old Style" w:hAnsi="Bookman Old Style" w:cs="Arial"/>
          <w:spacing w:val="-3"/>
        </w:rPr>
        <w:t xml:space="preserve"> </w:t>
      </w:r>
      <w:proofErr w:type="spellStart"/>
      <w:r w:rsidR="0018302B" w:rsidRPr="0018302B">
        <w:rPr>
          <w:rFonts w:ascii="Bookman Old Style" w:hAnsi="Bookman Old Style" w:cs="Arial"/>
          <w:spacing w:val="-3"/>
        </w:rPr>
        <w:t>MVA</w:t>
      </w:r>
      <w:r>
        <w:rPr>
          <w:rFonts w:ascii="Bookman Old Style" w:hAnsi="Bookman Old Style" w:cs="Arial"/>
          <w:spacing w:val="-3"/>
        </w:rPr>
        <w:t>r</w:t>
      </w:r>
      <w:proofErr w:type="spellEnd"/>
      <w:r w:rsidR="0018302B">
        <w:rPr>
          <w:rFonts w:ascii="Bookman Old Style" w:hAnsi="Bookman Old Style" w:cs="Arial"/>
          <w:spacing w:val="-3"/>
        </w:rPr>
        <w:t>,</w:t>
      </w:r>
      <w:r w:rsidR="0018302B" w:rsidRPr="0018302B">
        <w:rPr>
          <w:rFonts w:ascii="Bookman Old Style" w:hAnsi="Bookman Old Style" w:cs="Arial"/>
          <w:spacing w:val="-3"/>
        </w:rPr>
        <w:t xml:space="preserve"> </w:t>
      </w:r>
      <w:r w:rsidR="00C64382">
        <w:rPr>
          <w:rFonts w:ascii="Bookman Old Style" w:hAnsi="Bookman Old Style" w:cs="Arial"/>
          <w:spacing w:val="-3"/>
        </w:rPr>
        <w:t>c</w:t>
      </w:r>
      <w:r w:rsidR="0018302B" w:rsidRPr="0018302B">
        <w:rPr>
          <w:rFonts w:ascii="Bookman Old Style" w:hAnsi="Bookman Old Style" w:cs="Arial"/>
          <w:spacing w:val="-3"/>
        </w:rPr>
        <w:t xml:space="preserve">apacidad final de </w:t>
      </w:r>
      <w:r>
        <w:rPr>
          <w:rFonts w:ascii="Bookman Old Style" w:hAnsi="Bookman Old Style" w:cs="Arial"/>
          <w:spacing w:val="-3"/>
        </w:rPr>
        <w:t>18</w:t>
      </w:r>
      <w:r w:rsidR="0018302B" w:rsidRPr="0018302B">
        <w:rPr>
          <w:rFonts w:ascii="Bookman Old Style" w:hAnsi="Bookman Old Style" w:cs="Arial"/>
          <w:spacing w:val="-3"/>
        </w:rPr>
        <w:t xml:space="preserve"> a </w:t>
      </w:r>
      <w:r>
        <w:rPr>
          <w:rFonts w:ascii="Bookman Old Style" w:hAnsi="Bookman Old Style" w:cs="Arial"/>
          <w:spacing w:val="-3"/>
        </w:rPr>
        <w:t xml:space="preserve">54 </w:t>
      </w:r>
      <w:proofErr w:type="spellStart"/>
      <w:r w:rsidR="0018302B" w:rsidRPr="0018302B">
        <w:rPr>
          <w:rFonts w:ascii="Bookman Old Style" w:hAnsi="Bookman Old Style" w:cs="Arial"/>
          <w:spacing w:val="-3"/>
        </w:rPr>
        <w:t>MVAr</w:t>
      </w:r>
      <w:proofErr w:type="spellEnd"/>
      <w:r w:rsidR="0018302B" w:rsidRPr="0018302B">
        <w:rPr>
          <w:rFonts w:ascii="Bookman Old Style" w:hAnsi="Bookman Old Style" w:cs="Arial"/>
          <w:spacing w:val="-3"/>
        </w:rPr>
        <w:t xml:space="preserve"> - </w:t>
      </w:r>
      <w:r w:rsidR="0018302B">
        <w:rPr>
          <w:rFonts w:ascii="Bookman Old Style" w:hAnsi="Bookman Old Style" w:cs="Arial"/>
          <w:spacing w:val="-3"/>
        </w:rPr>
        <w:t>n</w:t>
      </w:r>
      <w:r w:rsidR="0018302B" w:rsidRPr="0018302B">
        <w:rPr>
          <w:rFonts w:ascii="Bookman Old Style" w:hAnsi="Bookman Old Style" w:cs="Arial"/>
          <w:spacing w:val="-3"/>
        </w:rPr>
        <w:t>ivel 4</w:t>
      </w:r>
      <w:r w:rsidR="0018302B">
        <w:rPr>
          <w:rFonts w:ascii="Bookman Old Style" w:hAnsi="Bookman Old Style" w:cs="Arial"/>
          <w:spacing w:val="-3"/>
        </w:rPr>
        <w:t>,</w:t>
      </w:r>
      <w:r w:rsidR="0018302B" w:rsidRPr="0018302B">
        <w:rPr>
          <w:rFonts w:ascii="Bookman Old Style" w:hAnsi="Bookman Old Style" w:cs="Arial"/>
          <w:spacing w:val="-3"/>
        </w:rPr>
        <w:t xml:space="preserve"> </w:t>
      </w:r>
    </w:p>
    <w:p w:rsidR="0018302B" w:rsidRPr="0018302B" w:rsidRDefault="001271BF" w:rsidP="00A15A66">
      <w:pPr>
        <w:numPr>
          <w:ilvl w:val="0"/>
          <w:numId w:val="19"/>
        </w:numPr>
        <w:ind w:left="567" w:hanging="283"/>
        <w:jc w:val="both"/>
        <w:rPr>
          <w:rFonts w:ascii="Bookman Old Style" w:hAnsi="Bookman Old Style" w:cs="Arial"/>
          <w:spacing w:val="-3"/>
        </w:rPr>
      </w:pPr>
      <w:r>
        <w:rPr>
          <w:rFonts w:ascii="Bookman Old Style" w:hAnsi="Bookman Old Style" w:cs="Arial"/>
          <w:spacing w:val="-3"/>
        </w:rPr>
        <w:t>dos</w:t>
      </w:r>
      <w:r w:rsidR="0018302B" w:rsidRPr="0018302B">
        <w:rPr>
          <w:rFonts w:ascii="Bookman Old Style" w:hAnsi="Bookman Old Style" w:cs="Arial"/>
          <w:spacing w:val="-3"/>
        </w:rPr>
        <w:t xml:space="preserve"> bahía</w:t>
      </w:r>
      <w:r>
        <w:rPr>
          <w:rFonts w:ascii="Bookman Old Style" w:hAnsi="Bookman Old Style" w:cs="Arial"/>
          <w:spacing w:val="-3"/>
        </w:rPr>
        <w:t>s</w:t>
      </w:r>
      <w:r w:rsidR="0018302B" w:rsidRPr="0018302B">
        <w:rPr>
          <w:rFonts w:ascii="Bookman Old Style" w:hAnsi="Bookman Old Style" w:cs="Arial"/>
          <w:spacing w:val="-3"/>
        </w:rPr>
        <w:t xml:space="preserve"> de conexión configuración </w:t>
      </w:r>
      <w:r>
        <w:rPr>
          <w:rFonts w:ascii="Bookman Old Style" w:hAnsi="Bookman Old Style" w:cs="Arial"/>
          <w:spacing w:val="-3"/>
        </w:rPr>
        <w:t xml:space="preserve">anillo, tipo </w:t>
      </w:r>
      <w:r w:rsidR="0018302B" w:rsidRPr="0018302B">
        <w:rPr>
          <w:rFonts w:ascii="Bookman Old Style" w:hAnsi="Bookman Old Style" w:cs="Arial"/>
          <w:spacing w:val="-3"/>
        </w:rPr>
        <w:t>convencional (asimilada a bahía de línea)</w:t>
      </w:r>
      <w:r w:rsidR="0018302B">
        <w:rPr>
          <w:rFonts w:ascii="Bookman Old Style" w:hAnsi="Bookman Old Style" w:cs="Arial"/>
          <w:spacing w:val="-3"/>
        </w:rPr>
        <w:t>,</w:t>
      </w:r>
    </w:p>
    <w:p w:rsidR="009D4454" w:rsidRDefault="001271BF" w:rsidP="001271BF">
      <w:pPr>
        <w:numPr>
          <w:ilvl w:val="0"/>
          <w:numId w:val="19"/>
        </w:numPr>
        <w:ind w:left="567" w:hanging="283"/>
        <w:jc w:val="both"/>
        <w:rPr>
          <w:rFonts w:ascii="Bookman Old Style" w:hAnsi="Bookman Old Style" w:cs="Arial"/>
          <w:spacing w:val="-3"/>
        </w:rPr>
      </w:pPr>
      <w:r>
        <w:rPr>
          <w:rFonts w:ascii="Bookman Old Style" w:hAnsi="Bookman Old Style" w:cs="Arial"/>
          <w:spacing w:val="-3"/>
        </w:rPr>
        <w:t xml:space="preserve">seis </w:t>
      </w:r>
      <w:r w:rsidR="0018302B" w:rsidRPr="0018302B">
        <w:rPr>
          <w:rFonts w:ascii="Bookman Old Style" w:hAnsi="Bookman Old Style" w:cs="Arial"/>
          <w:spacing w:val="-3"/>
        </w:rPr>
        <w:t xml:space="preserve">transformadores de tensión </w:t>
      </w:r>
      <w:r w:rsidR="0018302B">
        <w:rPr>
          <w:rFonts w:ascii="Bookman Old Style" w:hAnsi="Bookman Old Style" w:cs="Arial"/>
          <w:spacing w:val="-3"/>
        </w:rPr>
        <w:t>n</w:t>
      </w:r>
      <w:r w:rsidR="0018302B" w:rsidRPr="0018302B">
        <w:rPr>
          <w:rFonts w:ascii="Bookman Old Style" w:hAnsi="Bookman Old Style" w:cs="Arial"/>
          <w:spacing w:val="-3"/>
        </w:rPr>
        <w:t>ivel 4</w:t>
      </w:r>
      <w:r>
        <w:rPr>
          <w:rFonts w:ascii="Bookman Old Style" w:hAnsi="Bookman Old Style" w:cs="Arial"/>
          <w:spacing w:val="-3"/>
        </w:rPr>
        <w:t>.</w:t>
      </w:r>
    </w:p>
    <w:p w:rsidR="001271BF" w:rsidRPr="001271BF" w:rsidRDefault="001271BF" w:rsidP="001271BF">
      <w:pPr>
        <w:ind w:left="0"/>
        <w:jc w:val="both"/>
        <w:rPr>
          <w:rFonts w:ascii="Bookman Old Style" w:hAnsi="Bookman Old Style" w:cs="Arial"/>
          <w:spacing w:val="-3"/>
        </w:rPr>
      </w:pPr>
    </w:p>
    <w:p w:rsidR="0018302B" w:rsidRPr="00345CDC" w:rsidRDefault="00306D37" w:rsidP="009D4454">
      <w:pPr>
        <w:ind w:left="0"/>
        <w:jc w:val="both"/>
        <w:rPr>
          <w:rFonts w:ascii="Bookman Old Style" w:hAnsi="Bookman Old Style" w:cs="Arial"/>
          <w:spacing w:val="-3"/>
        </w:rPr>
      </w:pPr>
      <w:r w:rsidRPr="00345CDC">
        <w:rPr>
          <w:rFonts w:ascii="Bookman Old Style" w:hAnsi="Bookman Old Style" w:cs="Arial"/>
          <w:spacing w:val="-3"/>
        </w:rPr>
        <w:t>En las conclusiones del i</w:t>
      </w:r>
      <w:r w:rsidR="0018302B" w:rsidRPr="00345CDC">
        <w:rPr>
          <w:rFonts w:ascii="Bookman Old Style" w:hAnsi="Bookman Old Style" w:cs="Arial"/>
          <w:spacing w:val="-3"/>
        </w:rPr>
        <w:t>nforme</w:t>
      </w:r>
      <w:r w:rsidRPr="00345CDC">
        <w:rPr>
          <w:rFonts w:ascii="Bookman Old Style" w:hAnsi="Bookman Old Style" w:cs="Arial"/>
          <w:spacing w:val="-3"/>
        </w:rPr>
        <w:t xml:space="preserve"> de </w:t>
      </w:r>
      <w:r w:rsidR="00345CDC" w:rsidRPr="00345CDC">
        <w:rPr>
          <w:rFonts w:ascii="Bookman Old Style" w:hAnsi="Bookman Old Style" w:cs="Arial"/>
          <w:spacing w:val="-3"/>
        </w:rPr>
        <w:t>agosto de 2015</w:t>
      </w:r>
      <w:r w:rsidRPr="00345CDC">
        <w:rPr>
          <w:rFonts w:ascii="Bookman Old Style" w:hAnsi="Bookman Old Style" w:cs="Arial"/>
          <w:spacing w:val="-3"/>
        </w:rPr>
        <w:t xml:space="preserve"> </w:t>
      </w:r>
      <w:r w:rsidR="00C90DD5" w:rsidRPr="00345CDC">
        <w:rPr>
          <w:rFonts w:ascii="Bookman Old Style" w:hAnsi="Bookman Old Style" w:cs="Arial"/>
          <w:spacing w:val="-3"/>
        </w:rPr>
        <w:t>relacionado con</w:t>
      </w:r>
      <w:r w:rsidRPr="00345CDC">
        <w:rPr>
          <w:rFonts w:ascii="Bookman Old Style" w:hAnsi="Bookman Old Style" w:cs="Arial"/>
          <w:spacing w:val="-3"/>
        </w:rPr>
        <w:t xml:space="preserve"> el concepto técnico del estado de los activos, elaborado por la firma de ingeniería seleccionada por el Consejo Nacional de Operación, se lee:</w:t>
      </w:r>
    </w:p>
    <w:p w:rsidR="00306D37" w:rsidRPr="00306D37" w:rsidRDefault="00345CDC" w:rsidP="00345CDC">
      <w:pPr>
        <w:pStyle w:val="Cita"/>
      </w:pPr>
      <w:r>
        <w:t xml:space="preserve">CUSA determinó que los Bancos de Compensación Capacitiva No. 1 y No. 2 de Belén 115 </w:t>
      </w:r>
      <w:proofErr w:type="spellStart"/>
      <w:r>
        <w:t>kV</w:t>
      </w:r>
      <w:proofErr w:type="spellEnd"/>
      <w:r>
        <w:t xml:space="preserve"> de CENS se encuentran en condiciones óptimas para continuar operando (</w:t>
      </w:r>
      <w:r w:rsidRPr="00345CDC">
        <w:t>…)</w:t>
      </w:r>
      <w:r w:rsidR="00306D37" w:rsidRPr="00345CDC">
        <w:t>.</w:t>
      </w:r>
    </w:p>
    <w:p w:rsidR="0018302B" w:rsidRPr="00306D37" w:rsidRDefault="0018302B" w:rsidP="009D4454">
      <w:pPr>
        <w:ind w:left="0"/>
        <w:jc w:val="both"/>
        <w:rPr>
          <w:rFonts w:ascii="Bookman Old Style" w:hAnsi="Bookman Old Style" w:cs="Arial"/>
          <w:spacing w:val="-3"/>
          <w:lang w:val="es-CO"/>
        </w:rPr>
      </w:pPr>
    </w:p>
    <w:p w:rsidR="009D4454" w:rsidRDefault="00FB5434" w:rsidP="009D4454">
      <w:pPr>
        <w:ind w:left="0"/>
        <w:jc w:val="both"/>
        <w:rPr>
          <w:rFonts w:ascii="Bookman Old Style" w:hAnsi="Bookman Old Style"/>
        </w:rPr>
      </w:pPr>
      <w:r>
        <w:rPr>
          <w:rFonts w:ascii="Bookman Old Style" w:hAnsi="Bookman Old Style"/>
        </w:rPr>
        <w:t>M</w:t>
      </w:r>
      <w:r w:rsidR="009D4454" w:rsidRPr="00A8635E">
        <w:rPr>
          <w:rFonts w:ascii="Bookman Old Style" w:hAnsi="Bookman Old Style"/>
        </w:rPr>
        <w:t xml:space="preserve">ediante </w:t>
      </w:r>
      <w:r w:rsidR="009D4454" w:rsidRPr="00AD5111">
        <w:rPr>
          <w:rFonts w:ascii="Bookman Old Style" w:hAnsi="Bookman Old Style"/>
        </w:rPr>
        <w:t xml:space="preserve">auto del </w:t>
      </w:r>
      <w:r w:rsidR="00AD5111" w:rsidRPr="00AD5111">
        <w:rPr>
          <w:rFonts w:ascii="Bookman Old Style" w:hAnsi="Bookman Old Style"/>
        </w:rPr>
        <w:t>15</w:t>
      </w:r>
      <w:r w:rsidR="00345CDC" w:rsidRPr="00AD5111">
        <w:rPr>
          <w:rFonts w:ascii="Bookman Old Style" w:hAnsi="Bookman Old Style"/>
        </w:rPr>
        <w:t xml:space="preserve"> </w:t>
      </w:r>
      <w:r w:rsidR="00FD37EE" w:rsidRPr="00AD5111">
        <w:rPr>
          <w:rFonts w:ascii="Bookman Old Style" w:hAnsi="Bookman Old Style"/>
        </w:rPr>
        <w:t xml:space="preserve">de </w:t>
      </w:r>
      <w:r w:rsidR="00345CDC" w:rsidRPr="00AD5111">
        <w:rPr>
          <w:rFonts w:ascii="Bookman Old Style" w:hAnsi="Bookman Old Style"/>
        </w:rPr>
        <w:t xml:space="preserve">septiembre </w:t>
      </w:r>
      <w:r w:rsidR="009D4454" w:rsidRPr="00AD5111">
        <w:rPr>
          <w:rFonts w:ascii="Bookman Old Style" w:hAnsi="Bookman Old Style"/>
        </w:rPr>
        <w:t>de 201</w:t>
      </w:r>
      <w:r w:rsidR="001271BF" w:rsidRPr="00AD5111">
        <w:rPr>
          <w:rFonts w:ascii="Bookman Old Style" w:hAnsi="Bookman Old Style"/>
        </w:rPr>
        <w:t>5</w:t>
      </w:r>
      <w:r w:rsidR="009D4454" w:rsidRPr="00AD5111">
        <w:rPr>
          <w:rFonts w:ascii="Bookman Old Style" w:hAnsi="Bookman Old Style"/>
        </w:rPr>
        <w:t>,</w:t>
      </w:r>
      <w:r w:rsidR="009D4454" w:rsidRPr="00A8635E">
        <w:rPr>
          <w:rFonts w:ascii="Bookman Old Style" w:hAnsi="Bookman Old Style"/>
        </w:rPr>
        <w:t xml:space="preserve"> la Comisión dio inicio a la actuación administrativa tendiente a </w:t>
      </w:r>
      <w:r w:rsidR="009D4454">
        <w:rPr>
          <w:rFonts w:ascii="Bookman Old Style" w:hAnsi="Bookman Old Style"/>
        </w:rPr>
        <w:t xml:space="preserve">actualizar </w:t>
      </w:r>
      <w:r w:rsidR="0056051E">
        <w:rPr>
          <w:rFonts w:ascii="Bookman Old Style" w:hAnsi="Bookman Old Style"/>
        </w:rPr>
        <w:t xml:space="preserve">el ingreso anual de la actividad de transmisión </w:t>
      </w:r>
      <w:r w:rsidR="009D4454" w:rsidRPr="00A8635E">
        <w:rPr>
          <w:rFonts w:ascii="Bookman Old Style" w:hAnsi="Bookman Old Style"/>
        </w:rPr>
        <w:t xml:space="preserve">de </w:t>
      </w:r>
      <w:r w:rsidR="001271BF">
        <w:rPr>
          <w:rFonts w:ascii="Bookman Old Style" w:hAnsi="Bookman Old Style"/>
        </w:rPr>
        <w:t>Centrales Eléctricas del Norte de Santander</w:t>
      </w:r>
      <w:r>
        <w:rPr>
          <w:rFonts w:ascii="Bookman Old Style" w:hAnsi="Bookman Old Style"/>
        </w:rPr>
        <w:t xml:space="preserve"> S.A. E.S.P.</w:t>
      </w:r>
      <w:r w:rsidR="009D4454" w:rsidRPr="00A8635E">
        <w:rPr>
          <w:rFonts w:ascii="Bookman Old Style" w:hAnsi="Bookman Old Style"/>
        </w:rPr>
        <w:t xml:space="preserve">, y </w:t>
      </w:r>
      <w:r w:rsidR="009D4454" w:rsidRPr="00A8635E">
        <w:rPr>
          <w:rFonts w:ascii="Bookman Old Style" w:hAnsi="Bookman Old Style"/>
        </w:rPr>
        <w:lastRenderedPageBreak/>
        <w:t>ordenó la apertura del respectivo expediente que fue distinguido con el número 20</w:t>
      </w:r>
      <w:r w:rsidR="009D4454">
        <w:rPr>
          <w:rFonts w:ascii="Bookman Old Style" w:hAnsi="Bookman Old Style"/>
        </w:rPr>
        <w:t>1</w:t>
      </w:r>
      <w:r w:rsidR="001271BF">
        <w:rPr>
          <w:rFonts w:ascii="Bookman Old Style" w:hAnsi="Bookman Old Style"/>
        </w:rPr>
        <w:t>5</w:t>
      </w:r>
      <w:r w:rsidR="00345CDC">
        <w:rPr>
          <w:rFonts w:ascii="Bookman Old Style" w:hAnsi="Bookman Old Style"/>
        </w:rPr>
        <w:t>-0105</w:t>
      </w:r>
      <w:r w:rsidR="009D4454" w:rsidRPr="00A8635E">
        <w:rPr>
          <w:rFonts w:ascii="Bookman Old Style" w:hAnsi="Bookman Old Style"/>
        </w:rPr>
        <w:t xml:space="preserve">. </w:t>
      </w:r>
    </w:p>
    <w:p w:rsidR="009D4454" w:rsidRPr="00A8635E" w:rsidRDefault="009D4454" w:rsidP="009D4454">
      <w:pPr>
        <w:ind w:left="0"/>
        <w:jc w:val="both"/>
        <w:rPr>
          <w:rFonts w:ascii="Bookman Old Style" w:hAnsi="Bookman Old Style"/>
        </w:rPr>
      </w:pPr>
    </w:p>
    <w:p w:rsidR="009D4454" w:rsidRDefault="00FB5434" w:rsidP="009D4454">
      <w:pPr>
        <w:ind w:left="0"/>
        <w:jc w:val="both"/>
        <w:rPr>
          <w:rFonts w:ascii="Bookman Old Style" w:hAnsi="Bookman Old Style"/>
        </w:rPr>
      </w:pPr>
      <w:r w:rsidRPr="00AD5111">
        <w:rPr>
          <w:rFonts w:ascii="Bookman Old Style" w:hAnsi="Bookman Old Style"/>
        </w:rPr>
        <w:t>E</w:t>
      </w:r>
      <w:r w:rsidR="00DD7450" w:rsidRPr="00AD5111">
        <w:rPr>
          <w:rFonts w:ascii="Bookman Old Style" w:hAnsi="Bookman Old Style"/>
        </w:rPr>
        <w:t xml:space="preserve">l </w:t>
      </w:r>
      <w:r w:rsidR="00AD5111" w:rsidRPr="00AD5111">
        <w:rPr>
          <w:rFonts w:ascii="Bookman Old Style" w:hAnsi="Bookman Old Style"/>
        </w:rPr>
        <w:t>21 de septiembre</w:t>
      </w:r>
      <w:r w:rsidR="00290144" w:rsidRPr="00AD5111">
        <w:rPr>
          <w:rFonts w:ascii="Bookman Old Style" w:hAnsi="Bookman Old Style"/>
        </w:rPr>
        <w:t xml:space="preserve"> de 201</w:t>
      </w:r>
      <w:r w:rsidR="001271BF" w:rsidRPr="00AD5111">
        <w:rPr>
          <w:rFonts w:ascii="Bookman Old Style" w:hAnsi="Bookman Old Style"/>
        </w:rPr>
        <w:t>5</w:t>
      </w:r>
      <w:r w:rsidR="009D4454" w:rsidRPr="00AD5111">
        <w:rPr>
          <w:rFonts w:ascii="Bookman Old Style" w:hAnsi="Bookman Old Style"/>
        </w:rPr>
        <w:t xml:space="preserve"> la CREG </w:t>
      </w:r>
      <w:r w:rsidR="0056051E" w:rsidRPr="00AD5111">
        <w:rPr>
          <w:rFonts w:ascii="Bookman Old Style" w:hAnsi="Bookman Old Style"/>
        </w:rPr>
        <w:t xml:space="preserve">publicó en el Diario Oficial </w:t>
      </w:r>
      <w:r w:rsidR="009D4454" w:rsidRPr="00AD5111">
        <w:rPr>
          <w:rFonts w:ascii="Bookman Old Style" w:hAnsi="Bookman Old Style"/>
        </w:rPr>
        <w:t>un resumen de la</w:t>
      </w:r>
      <w:r w:rsidR="009D4454" w:rsidRPr="00A8635E">
        <w:rPr>
          <w:rFonts w:ascii="Bookman Old Style" w:hAnsi="Bookman Old Style"/>
        </w:rPr>
        <w:t xml:space="preserve"> </w:t>
      </w:r>
      <w:r w:rsidR="009D4454">
        <w:rPr>
          <w:rFonts w:ascii="Bookman Old Style" w:hAnsi="Bookman Old Style"/>
        </w:rPr>
        <w:t>solicitud</w:t>
      </w:r>
      <w:r w:rsidR="00290144">
        <w:rPr>
          <w:rFonts w:ascii="Bookman Old Style" w:hAnsi="Bookman Old Style"/>
        </w:rPr>
        <w:t>,</w:t>
      </w:r>
      <w:r w:rsidR="009D4454" w:rsidRPr="00A8635E">
        <w:rPr>
          <w:rFonts w:ascii="Bookman Old Style" w:hAnsi="Bookman Old Style"/>
        </w:rPr>
        <w:t xml:space="preserve"> con el fin de que los terceros interesados pudieran intervenir en la actuación administrativa.</w:t>
      </w:r>
    </w:p>
    <w:p w:rsidR="009D4454" w:rsidRDefault="009D4454" w:rsidP="009D4454">
      <w:pPr>
        <w:ind w:left="0"/>
        <w:jc w:val="both"/>
        <w:rPr>
          <w:rFonts w:ascii="Bookman Old Style" w:hAnsi="Bookman Old Style"/>
        </w:rPr>
      </w:pPr>
    </w:p>
    <w:p w:rsidR="00C64382" w:rsidRDefault="006B2C6A" w:rsidP="009D4454">
      <w:pPr>
        <w:tabs>
          <w:tab w:val="center" w:pos="4680"/>
        </w:tabs>
        <w:ind w:left="0"/>
        <w:jc w:val="both"/>
        <w:rPr>
          <w:rFonts w:ascii="Bookman Old Style" w:hAnsi="Bookman Old Style" w:cs="Arial"/>
          <w:spacing w:val="-3"/>
        </w:rPr>
      </w:pPr>
      <w:r>
        <w:rPr>
          <w:rFonts w:ascii="Bookman Old Style" w:hAnsi="Bookman Old Style" w:cs="Arial"/>
          <w:spacing w:val="-3"/>
        </w:rPr>
        <w:t xml:space="preserve">De acuerdo con lo establecido en la Resolución CREG 092 de 2002, la remuneración de los activos ejecutados mediante </w:t>
      </w:r>
      <w:r w:rsidR="00E27ECF">
        <w:rPr>
          <w:rFonts w:ascii="Bookman Old Style" w:hAnsi="Bookman Old Style" w:cs="Arial"/>
          <w:spacing w:val="-3"/>
        </w:rPr>
        <w:t>la convocatoria UPME 0</w:t>
      </w:r>
      <w:r w:rsidR="001271BF">
        <w:rPr>
          <w:rFonts w:ascii="Bookman Old Style" w:hAnsi="Bookman Old Style" w:cs="Arial"/>
          <w:spacing w:val="-3"/>
        </w:rPr>
        <w:t>3</w:t>
      </w:r>
      <w:r w:rsidR="00E27ECF">
        <w:rPr>
          <w:rFonts w:ascii="Bookman Old Style" w:hAnsi="Bookman Old Style" w:cs="Arial"/>
          <w:spacing w:val="-3"/>
        </w:rPr>
        <w:t xml:space="preserve">-2003 se hará de acuerdo </w:t>
      </w:r>
      <w:r>
        <w:rPr>
          <w:rFonts w:ascii="Bookman Old Style" w:hAnsi="Bookman Old Style" w:cs="Arial"/>
          <w:spacing w:val="-3"/>
        </w:rPr>
        <w:t>con la metodología general de remuneración de la actividad de transmisión</w:t>
      </w:r>
      <w:r w:rsidR="00E27ECF">
        <w:rPr>
          <w:rFonts w:ascii="Bookman Old Style" w:hAnsi="Bookman Old Style" w:cs="Arial"/>
          <w:spacing w:val="-3"/>
        </w:rPr>
        <w:t>,</w:t>
      </w:r>
      <w:r>
        <w:rPr>
          <w:rFonts w:ascii="Bookman Old Style" w:hAnsi="Bookman Old Style" w:cs="Arial"/>
          <w:spacing w:val="-3"/>
        </w:rPr>
        <w:t xml:space="preserve"> asimilando los activos a los definidos </w:t>
      </w:r>
      <w:r w:rsidR="00E27ECF">
        <w:rPr>
          <w:rFonts w:ascii="Bookman Old Style" w:hAnsi="Bookman Old Style" w:cs="Arial"/>
          <w:spacing w:val="-3"/>
        </w:rPr>
        <w:t xml:space="preserve">en la </w:t>
      </w:r>
      <w:r w:rsidR="009801EC">
        <w:rPr>
          <w:rFonts w:ascii="Bookman Old Style" w:hAnsi="Bookman Old Style" w:cs="Arial"/>
          <w:spacing w:val="-3"/>
        </w:rPr>
        <w:t>metodología de remuneración de la actividad de distribución</w:t>
      </w:r>
      <w:r>
        <w:rPr>
          <w:rFonts w:ascii="Bookman Old Style" w:hAnsi="Bookman Old Style" w:cs="Arial"/>
          <w:spacing w:val="-3"/>
        </w:rPr>
        <w:t>.</w:t>
      </w:r>
    </w:p>
    <w:p w:rsidR="00C64382" w:rsidRDefault="00C64382" w:rsidP="009D4454">
      <w:pPr>
        <w:tabs>
          <w:tab w:val="center" w:pos="4680"/>
        </w:tabs>
        <w:ind w:left="0"/>
        <w:jc w:val="both"/>
        <w:rPr>
          <w:rFonts w:ascii="Bookman Old Style" w:hAnsi="Bookman Old Style" w:cs="Arial"/>
          <w:spacing w:val="-3"/>
        </w:rPr>
      </w:pPr>
    </w:p>
    <w:p w:rsidR="00C64382" w:rsidRDefault="00E27ECF" w:rsidP="009D4454">
      <w:pPr>
        <w:tabs>
          <w:tab w:val="center" w:pos="4680"/>
        </w:tabs>
        <w:ind w:left="0"/>
        <w:jc w:val="both"/>
        <w:rPr>
          <w:rFonts w:ascii="Bookman Old Style" w:hAnsi="Bookman Old Style" w:cs="Arial"/>
          <w:spacing w:val="-3"/>
        </w:rPr>
      </w:pPr>
      <w:r>
        <w:rPr>
          <w:rFonts w:ascii="Bookman Old Style" w:hAnsi="Bookman Old Style" w:cs="Arial"/>
          <w:spacing w:val="-3"/>
        </w:rPr>
        <w:t xml:space="preserve">Las unidades constructivas </w:t>
      </w:r>
      <w:r w:rsidR="001271BF">
        <w:rPr>
          <w:rFonts w:ascii="Bookman Old Style" w:hAnsi="Bookman Old Style" w:cs="Arial"/>
          <w:spacing w:val="-3"/>
        </w:rPr>
        <w:t>solicitadas</w:t>
      </w:r>
      <w:r>
        <w:rPr>
          <w:rFonts w:ascii="Bookman Old Style" w:hAnsi="Bookman Old Style" w:cs="Arial"/>
          <w:spacing w:val="-3"/>
        </w:rPr>
        <w:t xml:space="preserve"> se </w:t>
      </w:r>
      <w:r w:rsidR="00426A17">
        <w:rPr>
          <w:rFonts w:ascii="Bookman Old Style" w:hAnsi="Bookman Old Style" w:cs="Arial"/>
          <w:spacing w:val="-3"/>
        </w:rPr>
        <w:t xml:space="preserve">clasificaron </w:t>
      </w:r>
      <w:r w:rsidR="00426A17" w:rsidRPr="00760EC4">
        <w:rPr>
          <w:rFonts w:ascii="Bookman Old Style" w:hAnsi="Bookman Old Style" w:cs="Arial"/>
          <w:spacing w:val="-3"/>
        </w:rPr>
        <w:t xml:space="preserve">según el listado definido en el </w:t>
      </w:r>
      <w:r w:rsidR="00426A17">
        <w:rPr>
          <w:rFonts w:ascii="Bookman Old Style" w:hAnsi="Bookman Old Style" w:cs="Arial"/>
          <w:spacing w:val="-3"/>
        </w:rPr>
        <w:t>c</w:t>
      </w:r>
      <w:r w:rsidR="00426A17" w:rsidRPr="00760EC4">
        <w:rPr>
          <w:rFonts w:ascii="Bookman Old Style" w:hAnsi="Bookman Old Style" w:cs="Arial"/>
          <w:spacing w:val="-3"/>
        </w:rPr>
        <w:t xml:space="preserve">apítulo </w:t>
      </w:r>
      <w:r w:rsidR="001271BF">
        <w:rPr>
          <w:rFonts w:ascii="Bookman Old Style" w:hAnsi="Bookman Old Style" w:cs="Arial"/>
          <w:spacing w:val="-3"/>
        </w:rPr>
        <w:t>5</w:t>
      </w:r>
      <w:r w:rsidR="00426A17" w:rsidRPr="00760EC4">
        <w:rPr>
          <w:rFonts w:ascii="Bookman Old Style" w:hAnsi="Bookman Old Style" w:cs="Arial"/>
          <w:spacing w:val="-3"/>
        </w:rPr>
        <w:t xml:space="preserve"> del anexo general</w:t>
      </w:r>
      <w:r>
        <w:rPr>
          <w:rFonts w:ascii="Bookman Old Style" w:hAnsi="Bookman Old Style" w:cs="Arial"/>
          <w:spacing w:val="-3"/>
        </w:rPr>
        <w:t xml:space="preserve"> en la Resolución CREG </w:t>
      </w:r>
      <w:r w:rsidR="001271BF">
        <w:rPr>
          <w:rFonts w:ascii="Bookman Old Style" w:hAnsi="Bookman Old Style" w:cs="Arial"/>
          <w:spacing w:val="-3"/>
        </w:rPr>
        <w:t>097 de 2008</w:t>
      </w:r>
      <w:r w:rsidR="00426A17">
        <w:rPr>
          <w:rFonts w:ascii="Bookman Old Style" w:hAnsi="Bookman Old Style" w:cs="Arial"/>
          <w:spacing w:val="-3"/>
        </w:rPr>
        <w:t>.</w:t>
      </w:r>
    </w:p>
    <w:p w:rsidR="00C64382" w:rsidRDefault="00C64382" w:rsidP="009D4454">
      <w:pPr>
        <w:tabs>
          <w:tab w:val="center" w:pos="4680"/>
        </w:tabs>
        <w:ind w:left="0"/>
        <w:jc w:val="both"/>
        <w:rPr>
          <w:rFonts w:ascii="Bookman Old Style" w:hAnsi="Bookman Old Style" w:cs="Arial"/>
          <w:spacing w:val="-3"/>
        </w:rPr>
      </w:pPr>
    </w:p>
    <w:p w:rsidR="00C64382" w:rsidRDefault="00B0182E" w:rsidP="009D4454">
      <w:pPr>
        <w:tabs>
          <w:tab w:val="center" w:pos="4680"/>
        </w:tabs>
        <w:ind w:left="0"/>
        <w:jc w:val="both"/>
        <w:rPr>
          <w:rFonts w:ascii="Bookman Old Style" w:hAnsi="Bookman Old Style" w:cs="Arial"/>
          <w:spacing w:val="-3"/>
        </w:rPr>
      </w:pPr>
      <w:r w:rsidRPr="00F605C8">
        <w:rPr>
          <w:rFonts w:ascii="Bookman Old Style" w:hAnsi="Bookman Old Style" w:cs="Arial"/>
          <w:spacing w:val="-3"/>
        </w:rPr>
        <w:t xml:space="preserve">Los </w:t>
      </w:r>
      <w:r w:rsidR="00345CDC">
        <w:rPr>
          <w:rFonts w:ascii="Bookman Old Style" w:hAnsi="Bookman Old Style" w:cs="Arial"/>
          <w:spacing w:val="-3"/>
        </w:rPr>
        <w:t xml:space="preserve">bancos de compensación </w:t>
      </w:r>
      <w:r w:rsidRPr="00F605C8">
        <w:rPr>
          <w:rFonts w:ascii="Bookman Old Style" w:hAnsi="Bookman Old Style" w:cs="Arial"/>
          <w:spacing w:val="-3"/>
        </w:rPr>
        <w:t xml:space="preserve">de la subestación </w:t>
      </w:r>
      <w:r w:rsidR="001271BF">
        <w:rPr>
          <w:rFonts w:ascii="Bookman Old Style" w:hAnsi="Bookman Old Style" w:cs="Arial"/>
          <w:spacing w:val="-3"/>
        </w:rPr>
        <w:t>Belén</w:t>
      </w:r>
      <w:r w:rsidRPr="00F605C8">
        <w:rPr>
          <w:rFonts w:ascii="Bookman Old Style" w:hAnsi="Bookman Old Style" w:cs="Arial"/>
          <w:spacing w:val="-3"/>
        </w:rPr>
        <w:t xml:space="preserve"> están en operación desde </w:t>
      </w:r>
      <w:r w:rsidRPr="00AD5111">
        <w:rPr>
          <w:rFonts w:ascii="Bookman Old Style" w:hAnsi="Bookman Old Style" w:cs="Arial"/>
          <w:spacing w:val="-3"/>
        </w:rPr>
        <w:t>noviembre de 2004.</w:t>
      </w:r>
    </w:p>
    <w:p w:rsidR="00C64382" w:rsidRDefault="00C64382" w:rsidP="009D4454">
      <w:pPr>
        <w:tabs>
          <w:tab w:val="center" w:pos="4680"/>
        </w:tabs>
        <w:ind w:left="0"/>
        <w:jc w:val="both"/>
        <w:rPr>
          <w:rFonts w:ascii="Bookman Old Style" w:hAnsi="Bookman Old Style" w:cs="Arial"/>
          <w:spacing w:val="-3"/>
        </w:rPr>
      </w:pPr>
    </w:p>
    <w:p w:rsidR="009D4454" w:rsidRDefault="00FB5434" w:rsidP="009D4454">
      <w:pPr>
        <w:tabs>
          <w:tab w:val="center" w:pos="4680"/>
        </w:tabs>
        <w:ind w:left="0"/>
        <w:jc w:val="both"/>
        <w:rPr>
          <w:rFonts w:ascii="Bookman Old Style" w:hAnsi="Bookman Old Style" w:cs="Arial"/>
          <w:spacing w:val="-3"/>
        </w:rPr>
      </w:pPr>
      <w:r>
        <w:rPr>
          <w:rFonts w:ascii="Bookman Old Style" w:hAnsi="Bookman Old Style" w:cs="Arial"/>
          <w:spacing w:val="-3"/>
        </w:rPr>
        <w:t>C</w:t>
      </w:r>
      <w:r w:rsidR="009D4454" w:rsidRPr="00B24858">
        <w:rPr>
          <w:rFonts w:ascii="Bookman Old Style" w:hAnsi="Bookman Old Style" w:cs="Arial"/>
          <w:spacing w:val="-3"/>
        </w:rPr>
        <w:t>on base en los análisis efectuados</w:t>
      </w:r>
      <w:r w:rsidR="009D4454">
        <w:rPr>
          <w:rFonts w:ascii="Bookman Old Style" w:hAnsi="Bookman Old Style" w:cs="Arial"/>
          <w:spacing w:val="-3"/>
        </w:rPr>
        <w:t>, la</w:t>
      </w:r>
      <w:r w:rsidR="00426A17">
        <w:rPr>
          <w:rFonts w:ascii="Bookman Old Style" w:hAnsi="Bookman Old Style" w:cs="Arial"/>
          <w:spacing w:val="-3"/>
        </w:rPr>
        <w:t xml:space="preserve"> asimilación de la</w:t>
      </w:r>
      <w:r w:rsidR="009D4454">
        <w:rPr>
          <w:rFonts w:ascii="Bookman Old Style" w:hAnsi="Bookman Old Style" w:cs="Arial"/>
          <w:spacing w:val="-3"/>
        </w:rPr>
        <w:t xml:space="preserve">s </w:t>
      </w:r>
      <w:r w:rsidR="00426A17">
        <w:rPr>
          <w:rFonts w:ascii="Bookman Old Style" w:hAnsi="Bookman Old Style" w:cs="Arial"/>
          <w:spacing w:val="-3"/>
        </w:rPr>
        <w:t>u</w:t>
      </w:r>
      <w:r w:rsidR="009D4454">
        <w:rPr>
          <w:rFonts w:ascii="Bookman Old Style" w:hAnsi="Bookman Old Style" w:cs="Arial"/>
          <w:spacing w:val="-3"/>
        </w:rPr>
        <w:t xml:space="preserve">nidades </w:t>
      </w:r>
      <w:r w:rsidR="00426A17">
        <w:rPr>
          <w:rFonts w:ascii="Bookman Old Style" w:hAnsi="Bookman Old Style" w:cs="Arial"/>
          <w:spacing w:val="-3"/>
        </w:rPr>
        <w:t>c</w:t>
      </w:r>
      <w:r w:rsidR="009D4454">
        <w:rPr>
          <w:rFonts w:ascii="Bookman Old Style" w:hAnsi="Bookman Old Style" w:cs="Arial"/>
          <w:spacing w:val="-3"/>
        </w:rPr>
        <w:t xml:space="preserve">onstructivas solicitadas por la empresa </w:t>
      </w:r>
      <w:r w:rsidR="009D4454" w:rsidRPr="00B24858">
        <w:rPr>
          <w:rFonts w:ascii="Bookman Old Style" w:hAnsi="Bookman Old Style" w:cs="Arial"/>
          <w:spacing w:val="-3"/>
        </w:rPr>
        <w:t xml:space="preserve"> y aplicando la metodología contenida en la Resolución </w:t>
      </w:r>
      <w:r w:rsidR="009D4454" w:rsidRPr="00B84711">
        <w:rPr>
          <w:rFonts w:ascii="Bookman Old Style" w:hAnsi="Bookman Old Style" w:cs="Arial"/>
          <w:spacing w:val="-3"/>
        </w:rPr>
        <w:t xml:space="preserve">CREG 011 de 2009 </w:t>
      </w:r>
      <w:r w:rsidR="009D4454" w:rsidRPr="00B24858">
        <w:rPr>
          <w:rFonts w:ascii="Bookman Old Style" w:hAnsi="Bookman Old Style" w:cs="Arial"/>
          <w:spacing w:val="-3"/>
        </w:rPr>
        <w:t xml:space="preserve">se realizaron los ajustes pertinentes para </w:t>
      </w:r>
      <w:r w:rsidR="00290144">
        <w:rPr>
          <w:rFonts w:ascii="Bookman Old Style" w:hAnsi="Bookman Old Style"/>
        </w:rPr>
        <w:t xml:space="preserve">actualizar el ingreso anual de la actividad de transmisión </w:t>
      </w:r>
      <w:r w:rsidR="00290144" w:rsidRPr="00A8635E">
        <w:rPr>
          <w:rFonts w:ascii="Bookman Old Style" w:hAnsi="Bookman Old Style"/>
        </w:rPr>
        <w:t xml:space="preserve">de </w:t>
      </w:r>
      <w:r w:rsidR="001271BF">
        <w:rPr>
          <w:rFonts w:ascii="Bookman Old Style" w:hAnsi="Bookman Old Style"/>
        </w:rPr>
        <w:t>Centrales Eléctricas del Norte de Santander</w:t>
      </w:r>
      <w:r>
        <w:rPr>
          <w:rFonts w:ascii="Bookman Old Style" w:hAnsi="Bookman Old Style"/>
        </w:rPr>
        <w:t xml:space="preserve"> S.A. E.S.P.</w:t>
      </w:r>
      <w:r w:rsidR="00290144">
        <w:rPr>
          <w:rFonts w:ascii="Bookman Old Style" w:hAnsi="Bookman Old Style" w:cs="Arial"/>
          <w:spacing w:val="-3"/>
        </w:rPr>
        <w:t xml:space="preserve">, </w:t>
      </w:r>
      <w:r w:rsidR="00290144" w:rsidRPr="009D4454">
        <w:rPr>
          <w:rFonts w:ascii="Bookman Old Style" w:hAnsi="Bookman Old Style" w:cs="Arial"/>
          <w:spacing w:val="-3"/>
        </w:rPr>
        <w:t xml:space="preserve">por la </w:t>
      </w:r>
      <w:r w:rsidR="00426A17">
        <w:rPr>
          <w:rFonts w:ascii="Bookman Old Style" w:hAnsi="Bookman Old Style" w:cs="Arial"/>
          <w:spacing w:val="-3"/>
        </w:rPr>
        <w:t>inclusión de los activos relacionados con la convocatoria UPME 0</w:t>
      </w:r>
      <w:r w:rsidR="001271BF">
        <w:rPr>
          <w:rFonts w:ascii="Bookman Old Style" w:hAnsi="Bookman Old Style" w:cs="Arial"/>
          <w:spacing w:val="-3"/>
        </w:rPr>
        <w:t>3-200</w:t>
      </w:r>
      <w:r w:rsidR="00426A17">
        <w:rPr>
          <w:rFonts w:ascii="Bookman Old Style" w:hAnsi="Bookman Old Style" w:cs="Arial"/>
          <w:spacing w:val="-3"/>
        </w:rPr>
        <w:t xml:space="preserve">3 </w:t>
      </w:r>
      <w:r w:rsidR="00BB3F88">
        <w:rPr>
          <w:rFonts w:ascii="Bookman Old Style" w:hAnsi="Bookman Old Style" w:cs="Arial"/>
          <w:spacing w:val="-3"/>
        </w:rPr>
        <w:t xml:space="preserve">en la subestación </w:t>
      </w:r>
      <w:r w:rsidR="001271BF">
        <w:rPr>
          <w:rFonts w:ascii="Bookman Old Style" w:hAnsi="Bookman Old Style" w:cs="Arial"/>
          <w:spacing w:val="-3"/>
        </w:rPr>
        <w:t>Belén</w:t>
      </w:r>
      <w:r w:rsidR="00DD7450">
        <w:rPr>
          <w:rFonts w:ascii="Bookman Old Style" w:hAnsi="Bookman Old Style" w:cs="Arial"/>
          <w:spacing w:val="-3"/>
        </w:rPr>
        <w:t>.</w:t>
      </w:r>
    </w:p>
    <w:p w:rsidR="009D4454" w:rsidRDefault="009D4454" w:rsidP="009D4454">
      <w:pPr>
        <w:tabs>
          <w:tab w:val="center" w:pos="4680"/>
        </w:tabs>
        <w:ind w:left="0"/>
        <w:jc w:val="both"/>
        <w:rPr>
          <w:rFonts w:ascii="Bookman Old Style" w:hAnsi="Bookman Old Style" w:cs="Arial"/>
          <w:spacing w:val="-3"/>
        </w:rPr>
      </w:pPr>
    </w:p>
    <w:p w:rsidR="009D4454" w:rsidRPr="00193601" w:rsidRDefault="00FB5434" w:rsidP="009D4454">
      <w:pPr>
        <w:tabs>
          <w:tab w:val="center" w:pos="4680"/>
        </w:tabs>
        <w:ind w:left="0"/>
        <w:jc w:val="both"/>
        <w:rPr>
          <w:rFonts w:ascii="Bookman Old Style" w:hAnsi="Bookman Old Style" w:cs="Arial"/>
          <w:spacing w:val="-3"/>
        </w:rPr>
      </w:pPr>
      <w:r>
        <w:rPr>
          <w:rFonts w:ascii="Bookman Old Style" w:hAnsi="Bookman Old Style" w:cs="Arial"/>
          <w:spacing w:val="-3"/>
        </w:rPr>
        <w:t>T</w:t>
      </w:r>
      <w:r w:rsidR="00290144">
        <w:rPr>
          <w:rFonts w:ascii="Bookman Old Style" w:hAnsi="Bookman Old Style" w:cs="Arial"/>
          <w:spacing w:val="-3"/>
        </w:rPr>
        <w:t>eniendo en cuenta lo anterior</w:t>
      </w:r>
      <w:r w:rsidR="009D4454">
        <w:rPr>
          <w:rFonts w:ascii="Bookman Old Style" w:hAnsi="Bookman Old Style" w:cs="Arial"/>
          <w:spacing w:val="-3"/>
        </w:rPr>
        <w:t xml:space="preserve">, a partir de la aplicación de la metodología contenida en la Resolución CREG 011 de 2009, se calculan las siguientes variables principales: </w:t>
      </w:r>
    </w:p>
    <w:p w:rsidR="00B824FC" w:rsidRDefault="00B824FC" w:rsidP="009D4454">
      <w:pPr>
        <w:tabs>
          <w:tab w:val="center" w:pos="4680"/>
        </w:tabs>
        <w:ind w:left="0"/>
        <w:jc w:val="both"/>
        <w:rPr>
          <w:rFonts w:ascii="Bookman Old Style" w:hAnsi="Bookman Old Style" w:cs="Arial"/>
          <w:spacing w:val="-3"/>
        </w:rPr>
      </w:pPr>
    </w:p>
    <w:tbl>
      <w:tblPr>
        <w:tblW w:w="7920" w:type="dxa"/>
        <w:jc w:val="center"/>
        <w:tblInd w:w="65" w:type="dxa"/>
        <w:tblCellMar>
          <w:left w:w="70" w:type="dxa"/>
          <w:right w:w="70" w:type="dxa"/>
        </w:tblCellMar>
        <w:tblLook w:val="04A0" w:firstRow="1" w:lastRow="0" w:firstColumn="1" w:lastColumn="0" w:noHBand="0" w:noVBand="1"/>
      </w:tblPr>
      <w:tblGrid>
        <w:gridCol w:w="5600"/>
        <w:gridCol w:w="2320"/>
      </w:tblGrid>
      <w:tr w:rsidR="00D3543B" w:rsidRPr="00D3543B" w:rsidTr="00D3543B">
        <w:trPr>
          <w:trHeight w:val="675"/>
          <w:jc w:val="center"/>
        </w:trPr>
        <w:tc>
          <w:tcPr>
            <w:tcW w:w="5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43B" w:rsidRPr="00D3543B" w:rsidRDefault="00D3543B" w:rsidP="00D3543B">
            <w:pPr>
              <w:ind w:left="0"/>
              <w:jc w:val="center"/>
              <w:rPr>
                <w:rFonts w:ascii="Bookman Old Style" w:hAnsi="Bookman Old Style"/>
                <w:b/>
                <w:bCs/>
                <w:color w:val="000000"/>
                <w:sz w:val="20"/>
                <w:szCs w:val="20"/>
                <w:lang w:val="es-CO" w:eastAsia="es-CO"/>
              </w:rPr>
            </w:pPr>
            <w:r w:rsidRPr="00D3543B">
              <w:rPr>
                <w:rFonts w:ascii="Bookman Old Style" w:hAnsi="Bookman Old Style"/>
                <w:b/>
                <w:bCs/>
                <w:color w:val="000000"/>
                <w:sz w:val="20"/>
                <w:szCs w:val="20"/>
                <w:lang w:val="es-CO" w:eastAsia="es-CO"/>
              </w:rPr>
              <w:t>Costo Anual</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D3543B" w:rsidRPr="00D3543B" w:rsidRDefault="00D3543B" w:rsidP="00D3543B">
            <w:pPr>
              <w:ind w:left="0"/>
              <w:jc w:val="center"/>
              <w:rPr>
                <w:rFonts w:ascii="Bookman Old Style" w:hAnsi="Bookman Old Style"/>
                <w:b/>
                <w:bCs/>
                <w:color w:val="000000"/>
                <w:sz w:val="20"/>
                <w:szCs w:val="20"/>
                <w:lang w:val="es-CO" w:eastAsia="es-CO"/>
              </w:rPr>
            </w:pPr>
            <w:r w:rsidRPr="00D3543B">
              <w:rPr>
                <w:rFonts w:ascii="Bookman Old Style" w:hAnsi="Bookman Old Style"/>
                <w:b/>
                <w:bCs/>
                <w:color w:val="000000"/>
                <w:sz w:val="20"/>
                <w:szCs w:val="20"/>
                <w:lang w:val="es-CO" w:eastAsia="es-CO"/>
              </w:rPr>
              <w:t>Pesos de diciembre de 2008</w:t>
            </w:r>
          </w:p>
        </w:tc>
      </w:tr>
      <w:tr w:rsidR="00D3543B" w:rsidRPr="00D3543B" w:rsidTr="00D3543B">
        <w:trPr>
          <w:trHeight w:val="360"/>
          <w:jc w:val="center"/>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Costo Anual Equivalente del Activo Eléctrico (</w:t>
            </w:r>
            <w:proofErr w:type="spellStart"/>
            <w:r w:rsidRPr="00D3543B">
              <w:rPr>
                <w:rFonts w:ascii="Bookman Old Style" w:hAnsi="Bookman Old Style"/>
                <w:i/>
                <w:iCs/>
                <w:color w:val="000000"/>
                <w:sz w:val="20"/>
                <w:szCs w:val="20"/>
                <w:lang w:val="es-CO" w:eastAsia="es-CO"/>
              </w:rPr>
              <w:t>CAEA</w:t>
            </w:r>
            <w:r w:rsidRPr="00D3543B">
              <w:rPr>
                <w:rFonts w:ascii="Bookman Old Style" w:hAnsi="Bookman Old Style"/>
                <w:i/>
                <w:iCs/>
                <w:color w:val="000000"/>
                <w:sz w:val="20"/>
                <w:szCs w:val="20"/>
                <w:vertAlign w:val="subscript"/>
                <w:lang w:val="es-CO" w:eastAsia="es-CO"/>
              </w:rPr>
              <w:t>j</w:t>
            </w:r>
            <w:proofErr w:type="spellEnd"/>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 xml:space="preserve">           1.811.532.522 </w:t>
            </w:r>
          </w:p>
        </w:tc>
      </w:tr>
      <w:tr w:rsidR="00D3543B" w:rsidRPr="00D3543B" w:rsidTr="00D3543B">
        <w:trPr>
          <w:trHeight w:val="360"/>
          <w:jc w:val="center"/>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Costo Activo No Eléctrico (</w:t>
            </w:r>
            <w:r w:rsidRPr="00D3543B">
              <w:rPr>
                <w:rFonts w:ascii="Bookman Old Style" w:hAnsi="Bookman Old Style"/>
                <w:i/>
                <w:iCs/>
                <w:color w:val="000000"/>
                <w:sz w:val="20"/>
                <w:szCs w:val="20"/>
                <w:lang w:val="es-CO" w:eastAsia="es-CO"/>
              </w:rPr>
              <w:t>ANE</w:t>
            </w:r>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 xml:space="preserve">                90.576.626 </w:t>
            </w:r>
          </w:p>
        </w:tc>
      </w:tr>
      <w:tr w:rsidR="00D3543B" w:rsidRPr="00D3543B" w:rsidTr="00D3543B">
        <w:trPr>
          <w:trHeight w:val="360"/>
          <w:jc w:val="center"/>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Valor de los gastos de AOM (</w:t>
            </w:r>
            <w:proofErr w:type="spellStart"/>
            <w:r w:rsidRPr="00D3543B">
              <w:rPr>
                <w:rFonts w:ascii="Bookman Old Style" w:hAnsi="Bookman Old Style"/>
                <w:i/>
                <w:iCs/>
                <w:color w:val="000000"/>
                <w:sz w:val="20"/>
                <w:szCs w:val="20"/>
                <w:lang w:val="es-CO" w:eastAsia="es-CO"/>
              </w:rPr>
              <w:t>VAOMj</w:t>
            </w:r>
            <w:proofErr w:type="spellEnd"/>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 xml:space="preserve">              414.957.613 </w:t>
            </w:r>
          </w:p>
        </w:tc>
      </w:tr>
      <w:tr w:rsidR="00D3543B" w:rsidRPr="00D3543B" w:rsidTr="00D3543B">
        <w:trPr>
          <w:trHeight w:val="360"/>
          <w:jc w:val="center"/>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Costo Anual Equivalente de Terrenos (</w:t>
            </w:r>
            <w:proofErr w:type="spellStart"/>
            <w:r w:rsidRPr="00D3543B">
              <w:rPr>
                <w:rFonts w:ascii="Bookman Old Style" w:hAnsi="Bookman Old Style"/>
                <w:i/>
                <w:iCs/>
                <w:color w:val="000000"/>
                <w:sz w:val="20"/>
                <w:szCs w:val="20"/>
                <w:lang w:val="es-CO" w:eastAsia="es-CO"/>
              </w:rPr>
              <w:t>CAETj</w:t>
            </w:r>
            <w:proofErr w:type="spellEnd"/>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 xml:space="preserve">                  3.326.607 </w:t>
            </w:r>
          </w:p>
        </w:tc>
      </w:tr>
      <w:tr w:rsidR="00D3543B" w:rsidRPr="00D3543B" w:rsidTr="00D3543B">
        <w:trPr>
          <w:trHeight w:val="360"/>
          <w:jc w:val="center"/>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Costo Anual Equivalente de Servidumbres (</w:t>
            </w:r>
            <w:proofErr w:type="spellStart"/>
            <w:r w:rsidRPr="00D3543B">
              <w:rPr>
                <w:rFonts w:ascii="Bookman Old Style" w:hAnsi="Bookman Old Style"/>
                <w:i/>
                <w:iCs/>
                <w:color w:val="000000"/>
                <w:sz w:val="20"/>
                <w:szCs w:val="20"/>
                <w:lang w:val="es-CO" w:eastAsia="es-CO"/>
              </w:rPr>
              <w:t>CAES</w:t>
            </w:r>
            <w:r w:rsidRPr="00D3543B">
              <w:rPr>
                <w:rFonts w:ascii="Bookman Old Style" w:hAnsi="Bookman Old Style"/>
                <w:i/>
                <w:iCs/>
                <w:color w:val="000000"/>
                <w:sz w:val="20"/>
                <w:szCs w:val="20"/>
                <w:vertAlign w:val="subscript"/>
                <w:lang w:val="es-CO" w:eastAsia="es-CO"/>
              </w:rPr>
              <w:t>j</w:t>
            </w:r>
            <w:proofErr w:type="spellEnd"/>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 xml:space="preserve"> </w:t>
            </w:r>
            <w:r>
              <w:rPr>
                <w:rFonts w:ascii="Bookman Old Style" w:hAnsi="Bookman Old Style"/>
                <w:color w:val="000000"/>
                <w:sz w:val="20"/>
                <w:szCs w:val="20"/>
                <w:lang w:val="es-CO" w:eastAsia="es-CO"/>
              </w:rPr>
              <w:t xml:space="preserve">                               0</w:t>
            </w:r>
            <w:r w:rsidRPr="00D3543B">
              <w:rPr>
                <w:rFonts w:ascii="Bookman Old Style" w:hAnsi="Bookman Old Style"/>
                <w:color w:val="000000"/>
                <w:sz w:val="20"/>
                <w:szCs w:val="20"/>
                <w:lang w:val="es-CO" w:eastAsia="es-CO"/>
              </w:rPr>
              <w:t xml:space="preserve">   </w:t>
            </w:r>
          </w:p>
        </w:tc>
      </w:tr>
      <w:tr w:rsidR="00D3543B" w:rsidRPr="00D3543B" w:rsidTr="00D3543B">
        <w:trPr>
          <w:trHeight w:val="360"/>
          <w:jc w:val="center"/>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Otros Ingresos (</w:t>
            </w:r>
            <w:proofErr w:type="spellStart"/>
            <w:r w:rsidRPr="00D3543B">
              <w:rPr>
                <w:rFonts w:ascii="Bookman Old Style" w:hAnsi="Bookman Old Style"/>
                <w:i/>
                <w:iCs/>
                <w:color w:val="000000"/>
                <w:sz w:val="20"/>
                <w:szCs w:val="20"/>
                <w:lang w:val="es-CO" w:eastAsia="es-CO"/>
              </w:rPr>
              <w:t>OIj</w:t>
            </w:r>
            <w:proofErr w:type="spellEnd"/>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center"/>
            <w:hideMark/>
          </w:tcPr>
          <w:p w:rsidR="00D3543B" w:rsidRPr="00D3543B" w:rsidRDefault="00D3543B" w:rsidP="00D3543B">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 xml:space="preserve">  </w:t>
            </w:r>
            <w:r>
              <w:rPr>
                <w:rFonts w:ascii="Bookman Old Style" w:hAnsi="Bookman Old Style"/>
                <w:color w:val="000000"/>
                <w:sz w:val="20"/>
                <w:szCs w:val="20"/>
                <w:lang w:val="es-CO" w:eastAsia="es-CO"/>
              </w:rPr>
              <w:t xml:space="preserve">                              0</w:t>
            </w:r>
            <w:r w:rsidRPr="00D3543B">
              <w:rPr>
                <w:rFonts w:ascii="Bookman Old Style" w:hAnsi="Bookman Old Style"/>
                <w:color w:val="000000"/>
                <w:sz w:val="20"/>
                <w:szCs w:val="20"/>
                <w:lang w:val="es-CO" w:eastAsia="es-CO"/>
              </w:rPr>
              <w:t xml:space="preserve">  </w:t>
            </w:r>
          </w:p>
        </w:tc>
      </w:tr>
    </w:tbl>
    <w:p w:rsidR="00D3543B" w:rsidRDefault="00D3543B" w:rsidP="009D4454">
      <w:pPr>
        <w:tabs>
          <w:tab w:val="center" w:pos="4680"/>
        </w:tabs>
        <w:ind w:left="0"/>
        <w:jc w:val="both"/>
        <w:rPr>
          <w:rFonts w:ascii="Bookman Old Style" w:hAnsi="Bookman Old Style" w:cs="Arial"/>
          <w:spacing w:val="-3"/>
        </w:rPr>
      </w:pPr>
    </w:p>
    <w:p w:rsidR="009D4454" w:rsidRPr="00B84711" w:rsidRDefault="00FB5434" w:rsidP="009D4454">
      <w:pPr>
        <w:tabs>
          <w:tab w:val="center" w:pos="4680"/>
        </w:tabs>
        <w:ind w:left="0"/>
        <w:jc w:val="both"/>
        <w:rPr>
          <w:rFonts w:ascii="Bookman Old Style" w:hAnsi="Bookman Old Style" w:cs="Arial"/>
          <w:spacing w:val="-3"/>
        </w:rPr>
      </w:pPr>
      <w:r>
        <w:rPr>
          <w:rFonts w:ascii="Bookman Old Style" w:hAnsi="Bookman Old Style" w:cs="Arial"/>
          <w:spacing w:val="-3"/>
        </w:rPr>
        <w:t>L</w:t>
      </w:r>
      <w:r w:rsidR="009D4454" w:rsidRPr="00B84711">
        <w:rPr>
          <w:rFonts w:ascii="Bookman Old Style" w:hAnsi="Bookman Old Style" w:cs="Arial"/>
          <w:spacing w:val="-3"/>
        </w:rPr>
        <w:t xml:space="preserve">a Comisión de Regulación de Energía y Gas en su sesión </w:t>
      </w:r>
      <w:r w:rsidR="00DF7538">
        <w:rPr>
          <w:rFonts w:ascii="Bookman Old Style" w:hAnsi="Bookman Old Style" w:cs="Arial"/>
          <w:spacing w:val="-3"/>
        </w:rPr>
        <w:t>689</w:t>
      </w:r>
      <w:r w:rsidR="009D4454" w:rsidRPr="00B84711">
        <w:rPr>
          <w:rFonts w:ascii="Bookman Old Style" w:hAnsi="Bookman Old Style" w:cs="Arial"/>
          <w:spacing w:val="-3"/>
        </w:rPr>
        <w:t xml:space="preserve"> del </w:t>
      </w:r>
      <w:r w:rsidR="00DF7538">
        <w:rPr>
          <w:rFonts w:ascii="Bookman Old Style" w:hAnsi="Bookman Old Style" w:cs="Arial"/>
          <w:spacing w:val="-3"/>
        </w:rPr>
        <w:t>24</w:t>
      </w:r>
      <w:r w:rsidR="009D4454" w:rsidRPr="00B84711">
        <w:rPr>
          <w:rFonts w:ascii="Bookman Old Style" w:hAnsi="Bookman Old Style" w:cs="Arial"/>
          <w:spacing w:val="-3"/>
        </w:rPr>
        <w:t xml:space="preserve"> de </w:t>
      </w:r>
      <w:r w:rsidR="00DF7538">
        <w:rPr>
          <w:rFonts w:ascii="Bookman Old Style" w:hAnsi="Bookman Old Style" w:cs="Arial"/>
          <w:spacing w:val="-3"/>
        </w:rPr>
        <w:t>noviembre</w:t>
      </w:r>
      <w:r w:rsidR="009D4454" w:rsidRPr="00B84711">
        <w:rPr>
          <w:rFonts w:ascii="Bookman Old Style" w:hAnsi="Bookman Old Style" w:cs="Arial"/>
          <w:spacing w:val="-3"/>
        </w:rPr>
        <w:t xml:space="preserve"> de 201</w:t>
      </w:r>
      <w:r>
        <w:rPr>
          <w:rFonts w:ascii="Bookman Old Style" w:hAnsi="Bookman Old Style" w:cs="Arial"/>
          <w:spacing w:val="-3"/>
        </w:rPr>
        <w:t>5</w:t>
      </w:r>
      <w:r w:rsidR="009D4454" w:rsidRPr="00B84711">
        <w:rPr>
          <w:rFonts w:ascii="Bookman Old Style" w:hAnsi="Bookman Old Style" w:cs="Arial"/>
          <w:spacing w:val="-3"/>
        </w:rPr>
        <w:t xml:space="preserve"> aprobó </w:t>
      </w:r>
      <w:r w:rsidR="009D4454">
        <w:rPr>
          <w:rFonts w:ascii="Bookman Old Style" w:hAnsi="Bookman Old Style" w:cs="Arial"/>
          <w:spacing w:val="-3"/>
        </w:rPr>
        <w:t xml:space="preserve">actualizar la base de activos de </w:t>
      </w:r>
      <w:r w:rsidR="001271BF">
        <w:rPr>
          <w:rFonts w:ascii="Bookman Old Style" w:hAnsi="Bookman Old Style" w:cs="Arial"/>
          <w:spacing w:val="-3"/>
        </w:rPr>
        <w:t>Centrales Eléctricas del Norte de Santander</w:t>
      </w:r>
      <w:r>
        <w:rPr>
          <w:rFonts w:ascii="Bookman Old Style" w:hAnsi="Bookman Old Style" w:cs="Arial"/>
          <w:spacing w:val="-3"/>
        </w:rPr>
        <w:t xml:space="preserve"> S.A. E.S.P.</w:t>
      </w:r>
      <w:r w:rsidR="009D4454" w:rsidRPr="00B84711">
        <w:rPr>
          <w:rFonts w:ascii="Bookman Old Style" w:hAnsi="Bookman Old Style" w:cs="Arial"/>
          <w:spacing w:val="-3"/>
        </w:rPr>
        <w:t xml:space="preserve"> </w:t>
      </w:r>
      <w:r w:rsidR="009D4454">
        <w:rPr>
          <w:rFonts w:ascii="Bookman Old Style" w:hAnsi="Bookman Old Style" w:cs="Arial"/>
          <w:spacing w:val="-3"/>
        </w:rPr>
        <w:t xml:space="preserve">y </w:t>
      </w:r>
      <w:r w:rsidR="009D4454">
        <w:rPr>
          <w:rFonts w:ascii="Bookman Old Style" w:hAnsi="Bookman Old Style"/>
        </w:rPr>
        <w:t>expedir la presente resolución</w:t>
      </w:r>
      <w:r w:rsidR="009D4454" w:rsidRPr="00B84711">
        <w:rPr>
          <w:rFonts w:ascii="Bookman Old Style" w:hAnsi="Bookman Old Style" w:cs="Arial"/>
          <w:spacing w:val="-3"/>
        </w:rPr>
        <w:t>.</w:t>
      </w:r>
    </w:p>
    <w:p w:rsidR="009D4454" w:rsidRDefault="009D4454" w:rsidP="009D4454">
      <w:pPr>
        <w:tabs>
          <w:tab w:val="left" w:pos="993"/>
        </w:tabs>
        <w:spacing w:after="120"/>
        <w:ind w:left="0"/>
        <w:jc w:val="both"/>
        <w:rPr>
          <w:rFonts w:ascii="Bookman Old Style" w:hAnsi="Bookman Old Style"/>
        </w:rPr>
      </w:pPr>
    </w:p>
    <w:p w:rsidR="009D4454" w:rsidRPr="00B84711" w:rsidRDefault="009D4454" w:rsidP="009D4454">
      <w:pPr>
        <w:jc w:val="center"/>
        <w:rPr>
          <w:rFonts w:ascii="Bookman Old Style" w:hAnsi="Bookman Old Style"/>
          <w:b/>
        </w:rPr>
      </w:pPr>
    </w:p>
    <w:p w:rsidR="009D4454" w:rsidRPr="00B84711" w:rsidRDefault="009D4454" w:rsidP="00D8517B">
      <w:pPr>
        <w:keepNext/>
        <w:ind w:left="0"/>
        <w:jc w:val="center"/>
        <w:rPr>
          <w:rFonts w:ascii="Bookman Old Style" w:hAnsi="Bookman Old Style"/>
          <w:b/>
        </w:rPr>
      </w:pPr>
      <w:r w:rsidRPr="00B84711">
        <w:rPr>
          <w:rFonts w:ascii="Bookman Old Style" w:hAnsi="Bookman Old Style"/>
          <w:b/>
        </w:rPr>
        <w:t>R E</w:t>
      </w:r>
      <w:r w:rsidRPr="00B84711">
        <w:rPr>
          <w:rFonts w:ascii="Bookman Old Style" w:hAnsi="Bookman Old Style"/>
        </w:rPr>
        <w:t xml:space="preserve"> </w:t>
      </w:r>
      <w:r w:rsidRPr="00B84711">
        <w:rPr>
          <w:rFonts w:ascii="Bookman Old Style" w:hAnsi="Bookman Old Style"/>
          <w:b/>
        </w:rPr>
        <w:t>S U E L V E:</w:t>
      </w:r>
    </w:p>
    <w:p w:rsidR="009D4454" w:rsidRDefault="009D4454" w:rsidP="00D8517B">
      <w:pPr>
        <w:keepNext/>
        <w:rPr>
          <w:rFonts w:ascii="Bookman Old Style" w:hAnsi="Bookman Old Style"/>
        </w:rPr>
      </w:pPr>
    </w:p>
    <w:p w:rsidR="006800C1" w:rsidRPr="00F5478C" w:rsidRDefault="006800C1" w:rsidP="006800C1">
      <w:pPr>
        <w:pStyle w:val="Prrafodelista"/>
        <w:numPr>
          <w:ilvl w:val="0"/>
          <w:numId w:val="17"/>
        </w:numPr>
        <w:jc w:val="both"/>
        <w:rPr>
          <w:rFonts w:ascii="Bookman Old Style" w:hAnsi="Bookman Old Style"/>
        </w:rPr>
      </w:pPr>
      <w:r>
        <w:rPr>
          <w:rFonts w:ascii="Bookman Old Style" w:hAnsi="Bookman Old Style"/>
          <w:sz w:val="24"/>
        </w:rPr>
        <w:t>Modificar el artículo 1</w:t>
      </w:r>
      <w:r w:rsidRPr="00F5478C">
        <w:rPr>
          <w:rFonts w:ascii="Bookman Old Style" w:hAnsi="Bookman Old Style"/>
          <w:sz w:val="24"/>
        </w:rPr>
        <w:t xml:space="preserve"> </w:t>
      </w:r>
      <w:r>
        <w:rPr>
          <w:rFonts w:ascii="Bookman Old Style" w:hAnsi="Bookman Old Style"/>
          <w:sz w:val="24"/>
        </w:rPr>
        <w:t xml:space="preserve">de la Resolución CREG 104 de 2010, </w:t>
      </w:r>
      <w:r w:rsidRPr="00F5478C">
        <w:rPr>
          <w:rFonts w:ascii="Bookman Old Style" w:hAnsi="Bookman Old Style"/>
          <w:sz w:val="24"/>
        </w:rPr>
        <w:t>el cual quedará así:</w:t>
      </w:r>
    </w:p>
    <w:p w:rsidR="006800C1" w:rsidRPr="00384C39" w:rsidRDefault="006800C1" w:rsidP="006800C1">
      <w:pPr>
        <w:ind w:left="426" w:right="335"/>
        <w:jc w:val="both"/>
        <w:rPr>
          <w:rFonts w:ascii="Bookman Old Style" w:hAnsi="Bookman Old Style"/>
          <w:i/>
        </w:rPr>
      </w:pPr>
      <w:r w:rsidRPr="00384C39">
        <w:rPr>
          <w:rFonts w:ascii="Bookman Old Style" w:hAnsi="Bookman Old Style"/>
          <w:b/>
          <w:i/>
          <w:spacing w:val="-3"/>
        </w:rPr>
        <w:lastRenderedPageBreak/>
        <w:t>Artículo 1.</w:t>
      </w:r>
      <w:r w:rsidRPr="00384C39">
        <w:rPr>
          <w:rFonts w:ascii="Bookman Old Style" w:hAnsi="Bookman Old Style"/>
          <w:b/>
          <w:i/>
          <w:spacing w:val="-3"/>
        </w:rPr>
        <w:tab/>
      </w:r>
      <w:r w:rsidRPr="00384C39">
        <w:rPr>
          <w:rFonts w:ascii="Bookman Old Style" w:hAnsi="Bookman Old Style"/>
          <w:b/>
          <w:i/>
        </w:rPr>
        <w:t xml:space="preserve">Ingreso Anual. </w:t>
      </w:r>
      <w:r w:rsidRPr="00384C39">
        <w:rPr>
          <w:rFonts w:ascii="Bookman Old Style" w:hAnsi="Bookman Old Style"/>
          <w:i/>
        </w:rPr>
        <w:t>El Ingreso Anual (</w:t>
      </w:r>
      <w:proofErr w:type="spellStart"/>
      <w:r w:rsidRPr="00384C39">
        <w:rPr>
          <w:rFonts w:ascii="Bookman Old Style" w:hAnsi="Bookman Old Style"/>
          <w:i/>
        </w:rPr>
        <w:t>IAT</w:t>
      </w:r>
      <w:r w:rsidRPr="00384C39">
        <w:rPr>
          <w:rFonts w:ascii="Bookman Old Style" w:hAnsi="Bookman Old Style"/>
          <w:i/>
          <w:vertAlign w:val="subscript"/>
        </w:rPr>
        <w:t>j</w:t>
      </w:r>
      <w:proofErr w:type="spellEnd"/>
      <w:r w:rsidRPr="00384C39">
        <w:rPr>
          <w:rFonts w:ascii="Bookman Old Style" w:hAnsi="Bookman Old Style"/>
          <w:i/>
        </w:rPr>
        <w:t xml:space="preserve">) por los activos representados por </w:t>
      </w:r>
      <w:r>
        <w:rPr>
          <w:rFonts w:ascii="Bookman Old Style" w:hAnsi="Bookman Old Style"/>
          <w:i/>
        </w:rPr>
        <w:t>Centrales Eléctricas del Norte de Santander S.A. E.S.P.</w:t>
      </w:r>
      <w:r w:rsidRPr="00384C39">
        <w:rPr>
          <w:rFonts w:ascii="Bookman Old Style" w:hAnsi="Bookman Old Style"/>
          <w:i/>
        </w:rPr>
        <w:t xml:space="preserve"> en el Sistema de Transmisión Nacional, calculado en la forma establecida en la Resolución CREG 011 de 2009, es el siguiente:</w:t>
      </w:r>
    </w:p>
    <w:p w:rsidR="006800C1" w:rsidRDefault="006800C1" w:rsidP="006800C1">
      <w:pPr>
        <w:tabs>
          <w:tab w:val="center" w:pos="4680"/>
        </w:tabs>
        <w:ind w:left="0"/>
        <w:jc w:val="both"/>
        <w:rPr>
          <w:rFonts w:ascii="Bookman Old Style" w:hAnsi="Bookman Old Style" w:cs="Arial"/>
          <w:spacing w:val="-3"/>
        </w:rPr>
      </w:pPr>
    </w:p>
    <w:tbl>
      <w:tblPr>
        <w:tblW w:w="6240" w:type="dxa"/>
        <w:jc w:val="center"/>
        <w:tblInd w:w="65" w:type="dxa"/>
        <w:tblCellMar>
          <w:left w:w="70" w:type="dxa"/>
          <w:right w:w="70" w:type="dxa"/>
        </w:tblCellMar>
        <w:tblLook w:val="04A0" w:firstRow="1" w:lastRow="0" w:firstColumn="1" w:lastColumn="0" w:noHBand="0" w:noVBand="1"/>
      </w:tblPr>
      <w:tblGrid>
        <w:gridCol w:w="3920"/>
        <w:gridCol w:w="2320"/>
      </w:tblGrid>
      <w:tr w:rsidR="006800C1" w:rsidRPr="00D3543B" w:rsidTr="00041BA1">
        <w:trPr>
          <w:trHeight w:val="525"/>
          <w:jc w:val="center"/>
        </w:trPr>
        <w:tc>
          <w:tcPr>
            <w:tcW w:w="3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0C1" w:rsidRPr="00D3543B" w:rsidRDefault="006800C1" w:rsidP="00041BA1">
            <w:pPr>
              <w:ind w:left="0"/>
              <w:jc w:val="center"/>
              <w:rPr>
                <w:rFonts w:ascii="Bookman Old Style" w:hAnsi="Bookman Old Style"/>
                <w:b/>
                <w:bCs/>
                <w:color w:val="000000"/>
                <w:sz w:val="20"/>
                <w:szCs w:val="20"/>
                <w:lang w:val="es-CO" w:eastAsia="es-CO"/>
              </w:rPr>
            </w:pPr>
            <w:r w:rsidRPr="00D3543B">
              <w:rPr>
                <w:rFonts w:ascii="Bookman Old Style" w:hAnsi="Bookman Old Style"/>
                <w:b/>
                <w:bCs/>
                <w:color w:val="000000"/>
                <w:sz w:val="20"/>
                <w:szCs w:val="20"/>
                <w:lang w:val="es-CO" w:eastAsia="es-CO"/>
              </w:rPr>
              <w:t>Ingreso Anual</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6800C1" w:rsidRPr="00D3543B" w:rsidRDefault="006800C1" w:rsidP="00041BA1">
            <w:pPr>
              <w:ind w:left="0"/>
              <w:jc w:val="center"/>
              <w:rPr>
                <w:rFonts w:ascii="Bookman Old Style" w:hAnsi="Bookman Old Style"/>
                <w:b/>
                <w:bCs/>
                <w:color w:val="000000"/>
                <w:sz w:val="20"/>
                <w:szCs w:val="20"/>
                <w:lang w:val="es-CO" w:eastAsia="es-CO"/>
              </w:rPr>
            </w:pPr>
            <w:r w:rsidRPr="00D3543B">
              <w:rPr>
                <w:rFonts w:ascii="Bookman Old Style" w:hAnsi="Bookman Old Style"/>
                <w:b/>
                <w:bCs/>
                <w:color w:val="000000"/>
                <w:sz w:val="20"/>
                <w:szCs w:val="20"/>
                <w:lang w:val="es-CO" w:eastAsia="es-CO"/>
              </w:rPr>
              <w:t>Pesos de diciembre de 2008</w:t>
            </w:r>
          </w:p>
        </w:tc>
      </w:tr>
      <w:tr w:rsidR="006800C1" w:rsidRPr="00D3543B" w:rsidTr="00041BA1">
        <w:trPr>
          <w:trHeight w:val="360"/>
          <w:jc w:val="center"/>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6800C1" w:rsidRPr="00D3543B" w:rsidRDefault="006800C1" w:rsidP="00041BA1">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Ingreso Anual del Transmisor  (</w:t>
            </w:r>
            <w:proofErr w:type="spellStart"/>
            <w:r w:rsidRPr="00D3543B">
              <w:rPr>
                <w:rFonts w:ascii="Bookman Old Style" w:hAnsi="Bookman Old Style"/>
                <w:i/>
                <w:iCs/>
                <w:color w:val="000000"/>
                <w:sz w:val="20"/>
                <w:szCs w:val="20"/>
                <w:lang w:val="es-CO" w:eastAsia="es-CO"/>
              </w:rPr>
              <w:t>IAT</w:t>
            </w:r>
            <w:r w:rsidRPr="00D3543B">
              <w:rPr>
                <w:rFonts w:ascii="Bookman Old Style" w:hAnsi="Bookman Old Style"/>
                <w:i/>
                <w:iCs/>
                <w:color w:val="000000"/>
                <w:sz w:val="20"/>
                <w:szCs w:val="20"/>
                <w:vertAlign w:val="subscript"/>
                <w:lang w:val="es-CO" w:eastAsia="es-CO"/>
              </w:rPr>
              <w:t>j</w:t>
            </w:r>
            <w:proofErr w:type="spellEnd"/>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center"/>
            <w:hideMark/>
          </w:tcPr>
          <w:p w:rsidR="006800C1" w:rsidRPr="006800C1" w:rsidRDefault="006800C1" w:rsidP="006800C1">
            <w:pPr>
              <w:pStyle w:val="Prrafodelista"/>
              <w:numPr>
                <w:ilvl w:val="3"/>
                <w:numId w:val="23"/>
              </w:numPr>
              <w:rPr>
                <w:rFonts w:ascii="Bookman Old Style" w:hAnsi="Bookman Old Style"/>
                <w:color w:val="000000"/>
                <w:lang w:eastAsia="es-CO"/>
              </w:rPr>
            </w:pPr>
          </w:p>
        </w:tc>
      </w:tr>
    </w:tbl>
    <w:p w:rsidR="006800C1" w:rsidRDefault="006800C1" w:rsidP="006800C1">
      <w:pPr>
        <w:tabs>
          <w:tab w:val="center" w:pos="4680"/>
        </w:tabs>
        <w:ind w:left="0"/>
        <w:jc w:val="center"/>
        <w:rPr>
          <w:rFonts w:ascii="Bookman Old Style" w:hAnsi="Bookman Old Style" w:cs="Arial"/>
          <w:spacing w:val="-3"/>
        </w:rPr>
      </w:pPr>
    </w:p>
    <w:p w:rsidR="006800C1" w:rsidRDefault="006800C1" w:rsidP="006800C1">
      <w:pPr>
        <w:ind w:left="0"/>
        <w:jc w:val="both"/>
        <w:rPr>
          <w:rFonts w:ascii="Bookman Old Style" w:hAnsi="Bookman Old Style"/>
        </w:rPr>
      </w:pPr>
    </w:p>
    <w:p w:rsidR="006800C1" w:rsidRPr="006800C1" w:rsidRDefault="006800C1" w:rsidP="006800C1">
      <w:pPr>
        <w:pStyle w:val="Prrafodelista"/>
        <w:numPr>
          <w:ilvl w:val="0"/>
          <w:numId w:val="17"/>
        </w:numPr>
        <w:jc w:val="both"/>
        <w:rPr>
          <w:rFonts w:ascii="Bookman Old Style" w:hAnsi="Bookman Old Style"/>
          <w:sz w:val="24"/>
        </w:rPr>
      </w:pPr>
      <w:r w:rsidRPr="006800C1">
        <w:rPr>
          <w:rFonts w:ascii="Bookman Old Style" w:hAnsi="Bookman Old Style"/>
          <w:sz w:val="24"/>
        </w:rPr>
        <w:t>Modificar el artículo 4 de la Resolución CREG 104 de 2010, el cual quedará así:</w:t>
      </w:r>
    </w:p>
    <w:p w:rsidR="006800C1" w:rsidRPr="00B84711" w:rsidRDefault="006800C1" w:rsidP="006800C1">
      <w:pPr>
        <w:pStyle w:val="Prrafodelista"/>
        <w:ind w:left="0"/>
        <w:rPr>
          <w:rFonts w:ascii="Bookman Old Style" w:hAnsi="Bookman Old Style"/>
          <w:sz w:val="24"/>
        </w:rPr>
      </w:pPr>
    </w:p>
    <w:p w:rsidR="006800C1" w:rsidRPr="00DF7538" w:rsidRDefault="006800C1" w:rsidP="006800C1">
      <w:pPr>
        <w:ind w:left="426" w:right="425"/>
        <w:jc w:val="both"/>
        <w:rPr>
          <w:rFonts w:ascii="Bookman Old Style" w:hAnsi="Bookman Old Style" w:cs="Arial"/>
        </w:rPr>
      </w:pPr>
      <w:r w:rsidRPr="00DF7538">
        <w:rPr>
          <w:rFonts w:ascii="Bookman Old Style" w:hAnsi="Bookman Old Style" w:cs="Arial"/>
          <w:b/>
        </w:rPr>
        <w:t>Artículo 4. Costo de Reposición de los Activos Eléctricos.</w:t>
      </w:r>
      <w:r w:rsidRPr="00DF7538">
        <w:rPr>
          <w:rFonts w:ascii="Bookman Old Style" w:hAnsi="Bookman Old Style" w:cs="Arial"/>
        </w:rPr>
        <w:t xml:space="preserve"> El costo de reposición de los activos eléctricos (</w:t>
      </w:r>
      <w:proofErr w:type="spellStart"/>
      <w:r w:rsidRPr="00DF7538">
        <w:rPr>
          <w:rFonts w:ascii="Bookman Old Style" w:hAnsi="Bookman Old Style" w:cs="Arial"/>
        </w:rPr>
        <w:t>CRE</w:t>
      </w:r>
      <w:r w:rsidRPr="00DF7538">
        <w:rPr>
          <w:rFonts w:ascii="Bookman Old Style" w:hAnsi="Bookman Old Style" w:cs="Arial"/>
          <w:vertAlign w:val="subscript"/>
        </w:rPr>
        <w:t>j</w:t>
      </w:r>
      <w:proofErr w:type="spellEnd"/>
      <w:r w:rsidRPr="00DF7538">
        <w:rPr>
          <w:rFonts w:ascii="Bookman Old Style" w:hAnsi="Bookman Old Style" w:cs="Arial"/>
        </w:rPr>
        <w:t>) remunerados mediante cargos por uso a Centrales Eléctricas del Norte de Santander S.A. E.S.P., calculado con la base de activos al que hace referencia el artículo 3 de la presente Resolución y de acuerdo con lo señalado en la Resolución CREG 011 de 2009 es:</w:t>
      </w:r>
    </w:p>
    <w:p w:rsidR="006800C1" w:rsidRDefault="006800C1" w:rsidP="006800C1">
      <w:pPr>
        <w:ind w:left="0"/>
        <w:jc w:val="both"/>
        <w:rPr>
          <w:rFonts w:ascii="Bookman Old Style" w:hAnsi="Bookman Old Style"/>
        </w:rPr>
      </w:pPr>
    </w:p>
    <w:tbl>
      <w:tblPr>
        <w:tblW w:w="7920" w:type="dxa"/>
        <w:jc w:val="center"/>
        <w:tblInd w:w="65" w:type="dxa"/>
        <w:tblCellMar>
          <w:left w:w="70" w:type="dxa"/>
          <w:right w:w="70" w:type="dxa"/>
        </w:tblCellMar>
        <w:tblLook w:val="04A0" w:firstRow="1" w:lastRow="0" w:firstColumn="1" w:lastColumn="0" w:noHBand="0" w:noVBand="1"/>
      </w:tblPr>
      <w:tblGrid>
        <w:gridCol w:w="5600"/>
        <w:gridCol w:w="2320"/>
      </w:tblGrid>
      <w:tr w:rsidR="006800C1" w:rsidRPr="00D3543B" w:rsidTr="00041BA1">
        <w:trPr>
          <w:trHeight w:val="615"/>
          <w:jc w:val="center"/>
        </w:trPr>
        <w:tc>
          <w:tcPr>
            <w:tcW w:w="5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0C1" w:rsidRPr="00D3543B" w:rsidRDefault="006800C1" w:rsidP="00041BA1">
            <w:pPr>
              <w:ind w:left="0"/>
              <w:jc w:val="center"/>
              <w:rPr>
                <w:rFonts w:ascii="Bookman Old Style" w:hAnsi="Bookman Old Style"/>
                <w:b/>
                <w:bCs/>
                <w:color w:val="000000"/>
                <w:sz w:val="22"/>
                <w:szCs w:val="22"/>
                <w:lang w:val="es-CO" w:eastAsia="es-CO"/>
              </w:rPr>
            </w:pPr>
            <w:r w:rsidRPr="00D3543B">
              <w:rPr>
                <w:rFonts w:ascii="Bookman Old Style" w:hAnsi="Bookman Old Style"/>
                <w:b/>
                <w:bCs/>
                <w:color w:val="000000"/>
                <w:sz w:val="22"/>
                <w:szCs w:val="22"/>
                <w:lang w:val="es-CO" w:eastAsia="es-CO"/>
              </w:rPr>
              <w:t>Costo de reposición</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6800C1" w:rsidRPr="00D3543B" w:rsidRDefault="006800C1" w:rsidP="00041BA1">
            <w:pPr>
              <w:ind w:left="0"/>
              <w:jc w:val="center"/>
              <w:rPr>
                <w:rFonts w:ascii="Bookman Old Style" w:hAnsi="Bookman Old Style"/>
                <w:b/>
                <w:bCs/>
                <w:color w:val="000000"/>
                <w:sz w:val="20"/>
                <w:szCs w:val="20"/>
                <w:lang w:val="es-CO" w:eastAsia="es-CO"/>
              </w:rPr>
            </w:pPr>
            <w:r w:rsidRPr="00D3543B">
              <w:rPr>
                <w:rFonts w:ascii="Bookman Old Style" w:hAnsi="Bookman Old Style"/>
                <w:b/>
                <w:bCs/>
                <w:color w:val="000000"/>
                <w:sz w:val="20"/>
                <w:szCs w:val="20"/>
                <w:lang w:val="es-CO" w:eastAsia="es-CO"/>
              </w:rPr>
              <w:t>Pesos de diciembre de 2008</w:t>
            </w:r>
          </w:p>
        </w:tc>
      </w:tr>
      <w:tr w:rsidR="006800C1" w:rsidRPr="00D3543B" w:rsidTr="00041BA1">
        <w:trPr>
          <w:trHeight w:val="360"/>
          <w:jc w:val="center"/>
        </w:trPr>
        <w:tc>
          <w:tcPr>
            <w:tcW w:w="5600" w:type="dxa"/>
            <w:tcBorders>
              <w:top w:val="nil"/>
              <w:left w:val="single" w:sz="4" w:space="0" w:color="auto"/>
              <w:bottom w:val="single" w:sz="4" w:space="0" w:color="auto"/>
              <w:right w:val="single" w:sz="4" w:space="0" w:color="auto"/>
            </w:tcBorders>
            <w:shd w:val="clear" w:color="auto" w:fill="auto"/>
            <w:vAlign w:val="bottom"/>
            <w:hideMark/>
          </w:tcPr>
          <w:p w:rsidR="006800C1" w:rsidRPr="00D3543B" w:rsidRDefault="006800C1" w:rsidP="00041BA1">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Costo de reposición de activos eléctricos (</w:t>
            </w:r>
            <w:proofErr w:type="spellStart"/>
            <w:r w:rsidRPr="00D3543B">
              <w:rPr>
                <w:rFonts w:ascii="Bookman Old Style" w:hAnsi="Bookman Old Style"/>
                <w:i/>
                <w:iCs/>
                <w:color w:val="000000"/>
                <w:sz w:val="20"/>
                <w:szCs w:val="20"/>
                <w:lang w:val="es-CO" w:eastAsia="es-CO"/>
              </w:rPr>
              <w:t>CRE</w:t>
            </w:r>
            <w:r w:rsidRPr="00D3543B">
              <w:rPr>
                <w:rFonts w:ascii="Bookman Old Style" w:hAnsi="Bookman Old Style"/>
                <w:i/>
                <w:iCs/>
                <w:color w:val="000000"/>
                <w:sz w:val="20"/>
                <w:szCs w:val="20"/>
                <w:vertAlign w:val="subscript"/>
                <w:lang w:val="es-CO" w:eastAsia="es-CO"/>
              </w:rPr>
              <w:t>j</w:t>
            </w:r>
            <w:proofErr w:type="spellEnd"/>
            <w:r w:rsidRPr="00D3543B">
              <w:rPr>
                <w:rFonts w:ascii="Bookman Old Style" w:hAnsi="Bookman Old Style"/>
                <w:color w:val="000000"/>
                <w:sz w:val="20"/>
                <w:szCs w:val="20"/>
                <w:lang w:val="es-CO" w:eastAsia="es-CO"/>
              </w:rPr>
              <w:t>)</w:t>
            </w:r>
          </w:p>
        </w:tc>
        <w:tc>
          <w:tcPr>
            <w:tcW w:w="2320" w:type="dxa"/>
            <w:tcBorders>
              <w:top w:val="nil"/>
              <w:left w:val="nil"/>
              <w:bottom w:val="single" w:sz="4" w:space="0" w:color="auto"/>
              <w:right w:val="single" w:sz="4" w:space="0" w:color="auto"/>
            </w:tcBorders>
            <w:shd w:val="clear" w:color="auto" w:fill="auto"/>
            <w:vAlign w:val="bottom"/>
            <w:hideMark/>
          </w:tcPr>
          <w:p w:rsidR="006800C1" w:rsidRPr="00D3543B" w:rsidRDefault="006800C1" w:rsidP="00041BA1">
            <w:pPr>
              <w:ind w:left="0"/>
              <w:rPr>
                <w:rFonts w:ascii="Bookman Old Style" w:hAnsi="Bookman Old Style"/>
                <w:color w:val="000000"/>
                <w:sz w:val="20"/>
                <w:szCs w:val="20"/>
                <w:lang w:val="es-CO" w:eastAsia="es-CO"/>
              </w:rPr>
            </w:pPr>
            <w:r w:rsidRPr="00D3543B">
              <w:rPr>
                <w:rFonts w:ascii="Bookman Old Style" w:hAnsi="Bookman Old Style"/>
                <w:color w:val="000000"/>
                <w:sz w:val="20"/>
                <w:szCs w:val="20"/>
                <w:lang w:val="es-CO" w:eastAsia="es-CO"/>
              </w:rPr>
              <w:t xml:space="preserve">         15.156.839.039 </w:t>
            </w:r>
          </w:p>
        </w:tc>
      </w:tr>
    </w:tbl>
    <w:p w:rsidR="006800C1" w:rsidRDefault="006800C1" w:rsidP="006800C1">
      <w:pPr>
        <w:ind w:left="0"/>
        <w:jc w:val="center"/>
        <w:rPr>
          <w:rFonts w:ascii="Bookman Old Style" w:hAnsi="Bookman Old Style"/>
        </w:rPr>
      </w:pPr>
    </w:p>
    <w:p w:rsidR="006800C1" w:rsidRPr="00DF7538" w:rsidRDefault="006800C1" w:rsidP="006800C1">
      <w:pPr>
        <w:ind w:left="426" w:right="425"/>
        <w:jc w:val="both"/>
        <w:rPr>
          <w:rFonts w:ascii="Bookman Old Style" w:hAnsi="Bookman Old Style" w:cs="Arial"/>
        </w:rPr>
      </w:pPr>
      <w:r w:rsidRPr="00DF7538">
        <w:rPr>
          <w:rFonts w:ascii="Bookman Old Style" w:hAnsi="Bookman Old Style" w:cs="Arial"/>
        </w:rPr>
        <w:t>La base de activos y los valores aquí aprobados resultan de las variables y de la información que se identifican en la parte motiva de este acto y de las contenidas en el documento soporte.</w:t>
      </w:r>
    </w:p>
    <w:p w:rsidR="006800C1" w:rsidRPr="006800C1" w:rsidRDefault="006800C1" w:rsidP="006800C1">
      <w:pPr>
        <w:pStyle w:val="Prrafodelista"/>
        <w:ind w:left="1361"/>
        <w:jc w:val="both"/>
        <w:rPr>
          <w:rFonts w:ascii="Bookman Old Style" w:hAnsi="Bookman Old Style"/>
          <w:sz w:val="24"/>
          <w:lang w:val="es-ES"/>
        </w:rPr>
      </w:pPr>
    </w:p>
    <w:p w:rsidR="00777D1C" w:rsidRPr="006800C1" w:rsidRDefault="001646B1" w:rsidP="006800C1">
      <w:pPr>
        <w:pStyle w:val="Prrafodelista"/>
        <w:numPr>
          <w:ilvl w:val="0"/>
          <w:numId w:val="17"/>
        </w:numPr>
        <w:jc w:val="both"/>
        <w:rPr>
          <w:rFonts w:ascii="Bookman Old Style" w:hAnsi="Bookman Old Style"/>
          <w:sz w:val="24"/>
        </w:rPr>
      </w:pPr>
      <w:r w:rsidRPr="001646B1">
        <w:rPr>
          <w:rFonts w:ascii="Bookman Old Style" w:hAnsi="Bookman Old Style"/>
          <w:sz w:val="24"/>
        </w:rPr>
        <w:t xml:space="preserve">Adicionar </w:t>
      </w:r>
      <w:r w:rsidR="00777D1C" w:rsidRPr="001646B1">
        <w:rPr>
          <w:rFonts w:ascii="Bookman Old Style" w:hAnsi="Bookman Old Style"/>
          <w:sz w:val="24"/>
        </w:rPr>
        <w:t xml:space="preserve">el siguiente numeral al anexo de la </w:t>
      </w:r>
      <w:r w:rsidR="00777D1C" w:rsidRPr="006800C1">
        <w:rPr>
          <w:rFonts w:ascii="Bookman Old Style" w:hAnsi="Bookman Old Style"/>
          <w:sz w:val="24"/>
        </w:rPr>
        <w:t>Resolución CREG 10</w:t>
      </w:r>
      <w:r w:rsidR="00412483" w:rsidRPr="006800C1">
        <w:rPr>
          <w:rFonts w:ascii="Bookman Old Style" w:hAnsi="Bookman Old Style"/>
          <w:sz w:val="24"/>
        </w:rPr>
        <w:t>4</w:t>
      </w:r>
      <w:r w:rsidR="00777D1C" w:rsidRPr="006800C1">
        <w:rPr>
          <w:rFonts w:ascii="Bookman Old Style" w:hAnsi="Bookman Old Style"/>
          <w:sz w:val="24"/>
        </w:rPr>
        <w:t xml:space="preserve"> de 2010:</w:t>
      </w:r>
    </w:p>
    <w:p w:rsidR="00777D1C" w:rsidRPr="00F605C8" w:rsidRDefault="00777D1C" w:rsidP="00777D1C">
      <w:pPr>
        <w:spacing w:before="160" w:after="160"/>
        <w:ind w:left="0"/>
        <w:jc w:val="both"/>
        <w:rPr>
          <w:rFonts w:ascii="Bookman Old Style" w:hAnsi="Bookman Old Style" w:cs="Arial"/>
          <w:b/>
          <w:i/>
        </w:rPr>
      </w:pPr>
      <w:r w:rsidRPr="00F605C8">
        <w:rPr>
          <w:rFonts w:ascii="Bookman Old Style" w:hAnsi="Bookman Old Style" w:cs="Arial"/>
          <w:b/>
          <w:i/>
        </w:rPr>
        <w:t>3.</w:t>
      </w:r>
      <w:r w:rsidRPr="00F605C8">
        <w:rPr>
          <w:rFonts w:ascii="Bookman Old Style" w:hAnsi="Bookman Old Style" w:cs="Arial"/>
          <w:b/>
          <w:i/>
        </w:rPr>
        <w:tab/>
        <w:t>Otras Unidades Constructivas</w:t>
      </w:r>
    </w:p>
    <w:p w:rsidR="00777D1C" w:rsidRPr="00F605C8" w:rsidRDefault="00777D1C" w:rsidP="001139D5">
      <w:pPr>
        <w:ind w:left="0"/>
        <w:jc w:val="both"/>
        <w:rPr>
          <w:rFonts w:ascii="Bookman Old Style" w:hAnsi="Bookman Old Style" w:cs="Arial"/>
          <w:i/>
          <w:spacing w:val="-3"/>
        </w:rPr>
      </w:pPr>
      <w:r w:rsidRPr="00F605C8">
        <w:rPr>
          <w:rFonts w:ascii="Bookman Old Style" w:hAnsi="Bookman Old Style" w:cs="Arial"/>
          <w:i/>
          <w:spacing w:val="-3"/>
        </w:rPr>
        <w:t xml:space="preserve">Unidades </w:t>
      </w:r>
      <w:r w:rsidR="001139D5" w:rsidRPr="00F605C8">
        <w:rPr>
          <w:rFonts w:ascii="Bookman Old Style" w:hAnsi="Bookman Old Style" w:cs="Arial"/>
          <w:i/>
          <w:spacing w:val="-3"/>
        </w:rPr>
        <w:t>c</w:t>
      </w:r>
      <w:r w:rsidRPr="00F605C8">
        <w:rPr>
          <w:rFonts w:ascii="Bookman Old Style" w:hAnsi="Bookman Old Style" w:cs="Arial"/>
          <w:i/>
          <w:spacing w:val="-3"/>
        </w:rPr>
        <w:t>onstructivas no incluidas</w:t>
      </w:r>
      <w:r w:rsidR="001139D5" w:rsidRPr="00F605C8">
        <w:rPr>
          <w:rFonts w:ascii="Bookman Old Style" w:hAnsi="Bookman Old Style" w:cs="Arial"/>
          <w:i/>
          <w:spacing w:val="-3"/>
        </w:rPr>
        <w:t xml:space="preserve"> dentro de las definidas en el c</w:t>
      </w:r>
      <w:r w:rsidRPr="00F605C8">
        <w:rPr>
          <w:rFonts w:ascii="Bookman Old Style" w:hAnsi="Bookman Old Style" w:cs="Arial"/>
          <w:i/>
          <w:spacing w:val="-3"/>
        </w:rPr>
        <w:t xml:space="preserve">apítulo 3 del </w:t>
      </w:r>
      <w:r w:rsidR="001139D5" w:rsidRPr="00F605C8">
        <w:rPr>
          <w:rFonts w:ascii="Bookman Old Style" w:hAnsi="Bookman Old Style" w:cs="Arial"/>
          <w:i/>
          <w:spacing w:val="-3"/>
        </w:rPr>
        <w:t>anexo general</w:t>
      </w:r>
      <w:r w:rsidRPr="00F605C8">
        <w:rPr>
          <w:rFonts w:ascii="Bookman Old Style" w:hAnsi="Bookman Old Style" w:cs="Arial"/>
          <w:i/>
          <w:spacing w:val="-3"/>
        </w:rPr>
        <w:t xml:space="preserve"> de la Resolución CREG 011 de 2009</w:t>
      </w:r>
      <w:r w:rsidR="001139D5" w:rsidRPr="00F605C8">
        <w:rPr>
          <w:rFonts w:ascii="Bookman Old Style" w:hAnsi="Bookman Old Style" w:cs="Arial"/>
          <w:i/>
          <w:spacing w:val="-3"/>
        </w:rPr>
        <w:t>,</w:t>
      </w:r>
      <w:r w:rsidRPr="00F605C8">
        <w:rPr>
          <w:rFonts w:ascii="Bookman Old Style" w:hAnsi="Bookman Old Style" w:cs="Arial"/>
          <w:i/>
          <w:spacing w:val="-3"/>
        </w:rPr>
        <w:t xml:space="preserve"> tomadas de la Resolución CREG 097 de 2008.</w:t>
      </w:r>
    </w:p>
    <w:p w:rsidR="00777D1C" w:rsidRDefault="00777D1C"/>
    <w:tbl>
      <w:tblPr>
        <w:tblW w:w="51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68" w:type="dxa"/>
          <w:right w:w="70" w:type="dxa"/>
        </w:tblCellMar>
        <w:tblLook w:val="04A0" w:firstRow="1" w:lastRow="0" w:firstColumn="1" w:lastColumn="0" w:noHBand="0" w:noVBand="1"/>
      </w:tblPr>
      <w:tblGrid>
        <w:gridCol w:w="508"/>
        <w:gridCol w:w="2010"/>
        <w:gridCol w:w="1545"/>
        <w:gridCol w:w="1083"/>
      </w:tblGrid>
      <w:tr w:rsidR="00777D1C" w:rsidRPr="00106FE9" w:rsidTr="00FD2EBF">
        <w:trPr>
          <w:trHeight w:val="227"/>
          <w:tblHeader/>
          <w:jc w:val="center"/>
        </w:trPr>
        <w:tc>
          <w:tcPr>
            <w:tcW w:w="508" w:type="dxa"/>
            <w:vAlign w:val="center"/>
          </w:tcPr>
          <w:p w:rsidR="00777D1C" w:rsidRPr="00106FE9" w:rsidRDefault="00777D1C" w:rsidP="00FD2EBF">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No.</w:t>
            </w:r>
          </w:p>
        </w:tc>
        <w:tc>
          <w:tcPr>
            <w:tcW w:w="2010" w:type="dxa"/>
            <w:shd w:val="clear" w:color="auto" w:fill="auto"/>
            <w:noWrap/>
            <w:vAlign w:val="center"/>
            <w:hideMark/>
          </w:tcPr>
          <w:p w:rsidR="00777D1C" w:rsidRPr="00106FE9" w:rsidRDefault="00777D1C" w:rsidP="00FD2EBF">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Subestación</w:t>
            </w:r>
          </w:p>
        </w:tc>
        <w:tc>
          <w:tcPr>
            <w:tcW w:w="1545" w:type="dxa"/>
            <w:shd w:val="clear" w:color="auto" w:fill="auto"/>
            <w:noWrap/>
            <w:vAlign w:val="center"/>
            <w:hideMark/>
          </w:tcPr>
          <w:p w:rsidR="00777D1C" w:rsidRPr="00106FE9" w:rsidRDefault="00777D1C" w:rsidP="00FD2EBF">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UC</w:t>
            </w:r>
          </w:p>
        </w:tc>
        <w:tc>
          <w:tcPr>
            <w:tcW w:w="1083" w:type="dxa"/>
            <w:shd w:val="clear" w:color="auto" w:fill="auto"/>
            <w:noWrap/>
            <w:vAlign w:val="center"/>
            <w:hideMark/>
          </w:tcPr>
          <w:p w:rsidR="00777D1C" w:rsidRPr="00106FE9" w:rsidRDefault="00777D1C" w:rsidP="00FD2EBF">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PU</w:t>
            </w:r>
          </w:p>
        </w:tc>
      </w:tr>
      <w:tr w:rsidR="00777D1C" w:rsidRPr="00106FE9" w:rsidTr="00FB723A">
        <w:trPr>
          <w:trHeight w:val="227"/>
          <w:jc w:val="center"/>
        </w:trPr>
        <w:tc>
          <w:tcPr>
            <w:tcW w:w="508" w:type="dxa"/>
            <w:vAlign w:val="center"/>
          </w:tcPr>
          <w:p w:rsidR="00777D1C" w:rsidRPr="001646B1" w:rsidRDefault="00777D1C" w:rsidP="00FD2EBF">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1</w:t>
            </w:r>
          </w:p>
        </w:tc>
        <w:tc>
          <w:tcPr>
            <w:tcW w:w="2010" w:type="dxa"/>
            <w:shd w:val="clear" w:color="auto" w:fill="auto"/>
            <w:noWrap/>
            <w:vAlign w:val="center"/>
          </w:tcPr>
          <w:p w:rsidR="00777D1C" w:rsidRPr="00106FE9" w:rsidRDefault="001646B1" w:rsidP="00A74BFE">
            <w:pPr>
              <w:ind w:left="21"/>
              <w:jc w:val="center"/>
              <w:rPr>
                <w:rFonts w:ascii="Bookman Old Style" w:hAnsi="Bookman Old Style" w:cs="Arial"/>
                <w:i/>
                <w:color w:val="000000"/>
                <w:sz w:val="22"/>
                <w:szCs w:val="18"/>
              </w:rPr>
            </w:pPr>
            <w:r>
              <w:rPr>
                <w:rFonts w:ascii="Bookman Old Style" w:hAnsi="Bookman Old Style" w:cs="Arial"/>
                <w:i/>
                <w:color w:val="000000"/>
                <w:sz w:val="22"/>
                <w:szCs w:val="18"/>
              </w:rPr>
              <w:t>Belén</w:t>
            </w:r>
          </w:p>
        </w:tc>
        <w:tc>
          <w:tcPr>
            <w:tcW w:w="1545" w:type="dxa"/>
            <w:shd w:val="clear" w:color="auto" w:fill="auto"/>
            <w:noWrap/>
            <w:vAlign w:val="center"/>
          </w:tcPr>
          <w:p w:rsidR="00777D1C" w:rsidRPr="00FB723A" w:rsidRDefault="00777D1C" w:rsidP="00FB723A">
            <w:pPr>
              <w:ind w:left="0"/>
              <w:jc w:val="center"/>
              <w:rPr>
                <w:rFonts w:ascii="Bookman Old Style" w:hAnsi="Bookman Old Style"/>
                <w:i/>
                <w:sz w:val="20"/>
                <w:szCs w:val="22"/>
              </w:rPr>
            </w:pPr>
            <w:r w:rsidRPr="00FB723A">
              <w:rPr>
                <w:rFonts w:ascii="Bookman Old Style" w:hAnsi="Bookman Old Style"/>
                <w:i/>
                <w:sz w:val="20"/>
                <w:szCs w:val="22"/>
              </w:rPr>
              <w:t>N4S1</w:t>
            </w:r>
            <w:r w:rsidR="001646B1">
              <w:rPr>
                <w:rFonts w:ascii="Bookman Old Style" w:hAnsi="Bookman Old Style"/>
                <w:i/>
                <w:sz w:val="20"/>
                <w:szCs w:val="22"/>
              </w:rPr>
              <w:t>1</w:t>
            </w:r>
          </w:p>
        </w:tc>
        <w:tc>
          <w:tcPr>
            <w:tcW w:w="1083" w:type="dxa"/>
            <w:shd w:val="clear" w:color="auto" w:fill="auto"/>
            <w:noWrap/>
            <w:vAlign w:val="center"/>
            <w:hideMark/>
          </w:tcPr>
          <w:p w:rsidR="00777D1C" w:rsidRPr="00106FE9" w:rsidRDefault="00777D1C" w:rsidP="009D4454">
            <w:pPr>
              <w:ind w:left="0"/>
              <w:jc w:val="center"/>
              <w:rPr>
                <w:rFonts w:ascii="Bookman Old Style" w:hAnsi="Bookman Old Style" w:cs="Arial"/>
                <w:i/>
                <w:color w:val="000000"/>
                <w:sz w:val="22"/>
                <w:szCs w:val="18"/>
              </w:rPr>
            </w:pPr>
            <w:r w:rsidRPr="00106FE9">
              <w:rPr>
                <w:rFonts w:ascii="Bookman Old Style" w:hAnsi="Bookman Old Style" w:cs="Arial"/>
                <w:i/>
                <w:color w:val="000000"/>
                <w:sz w:val="22"/>
                <w:szCs w:val="18"/>
              </w:rPr>
              <w:t>1,00000</w:t>
            </w:r>
          </w:p>
        </w:tc>
      </w:tr>
      <w:tr w:rsidR="00777D1C" w:rsidRPr="00106FE9" w:rsidTr="00FB723A">
        <w:trPr>
          <w:trHeight w:val="227"/>
          <w:jc w:val="center"/>
        </w:trPr>
        <w:tc>
          <w:tcPr>
            <w:tcW w:w="508" w:type="dxa"/>
            <w:vAlign w:val="center"/>
          </w:tcPr>
          <w:p w:rsidR="00777D1C" w:rsidRPr="001646B1" w:rsidRDefault="00777D1C" w:rsidP="00FD2EBF">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2</w:t>
            </w:r>
          </w:p>
        </w:tc>
        <w:tc>
          <w:tcPr>
            <w:tcW w:w="2010" w:type="dxa"/>
            <w:shd w:val="clear" w:color="auto" w:fill="auto"/>
            <w:noWrap/>
          </w:tcPr>
          <w:p w:rsidR="00777D1C" w:rsidRDefault="001646B1" w:rsidP="00A74BFE">
            <w:pPr>
              <w:ind w:left="21"/>
              <w:jc w:val="center"/>
            </w:pPr>
            <w:r>
              <w:rPr>
                <w:rFonts w:ascii="Bookman Old Style" w:hAnsi="Bookman Old Style" w:cs="Arial"/>
                <w:i/>
                <w:color w:val="000000"/>
                <w:sz w:val="22"/>
                <w:szCs w:val="18"/>
              </w:rPr>
              <w:t>Belén</w:t>
            </w:r>
          </w:p>
        </w:tc>
        <w:tc>
          <w:tcPr>
            <w:tcW w:w="1545" w:type="dxa"/>
            <w:shd w:val="clear" w:color="auto" w:fill="auto"/>
            <w:noWrap/>
            <w:vAlign w:val="center"/>
          </w:tcPr>
          <w:p w:rsidR="00777D1C" w:rsidRPr="00FB723A" w:rsidRDefault="001646B1" w:rsidP="00FB723A">
            <w:pPr>
              <w:ind w:left="0"/>
              <w:jc w:val="center"/>
              <w:rPr>
                <w:rFonts w:ascii="Bookman Old Style" w:hAnsi="Bookman Old Style"/>
                <w:i/>
                <w:sz w:val="20"/>
                <w:szCs w:val="22"/>
              </w:rPr>
            </w:pPr>
            <w:r w:rsidRPr="00FB723A">
              <w:rPr>
                <w:rFonts w:ascii="Bookman Old Style" w:hAnsi="Bookman Old Style"/>
                <w:i/>
                <w:sz w:val="20"/>
                <w:szCs w:val="22"/>
              </w:rPr>
              <w:t>N4S1</w:t>
            </w:r>
            <w:r>
              <w:rPr>
                <w:rFonts w:ascii="Bookman Old Style" w:hAnsi="Bookman Old Style"/>
                <w:i/>
                <w:sz w:val="20"/>
                <w:szCs w:val="22"/>
              </w:rPr>
              <w:t>1</w:t>
            </w:r>
          </w:p>
        </w:tc>
        <w:tc>
          <w:tcPr>
            <w:tcW w:w="1083" w:type="dxa"/>
            <w:shd w:val="clear" w:color="auto" w:fill="auto"/>
            <w:noWrap/>
            <w:vAlign w:val="center"/>
          </w:tcPr>
          <w:p w:rsidR="00777D1C" w:rsidRPr="00106FE9" w:rsidRDefault="00777D1C" w:rsidP="009D4454">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1,00000</w:t>
            </w:r>
          </w:p>
        </w:tc>
      </w:tr>
      <w:tr w:rsidR="00777D1C" w:rsidRPr="00106FE9" w:rsidTr="00FD2EBF">
        <w:trPr>
          <w:trHeight w:val="227"/>
          <w:jc w:val="center"/>
        </w:trPr>
        <w:tc>
          <w:tcPr>
            <w:tcW w:w="508" w:type="dxa"/>
            <w:vAlign w:val="center"/>
          </w:tcPr>
          <w:p w:rsidR="00777D1C" w:rsidRPr="001646B1" w:rsidRDefault="00777D1C" w:rsidP="00FD2EBF">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3</w:t>
            </w:r>
          </w:p>
        </w:tc>
        <w:tc>
          <w:tcPr>
            <w:tcW w:w="2010" w:type="dxa"/>
            <w:shd w:val="clear" w:color="auto" w:fill="auto"/>
            <w:noWrap/>
          </w:tcPr>
          <w:p w:rsidR="00777D1C" w:rsidRDefault="001646B1" w:rsidP="00FD2EBF">
            <w:pPr>
              <w:ind w:left="21"/>
              <w:jc w:val="center"/>
            </w:pPr>
            <w:r>
              <w:rPr>
                <w:rFonts w:ascii="Bookman Old Style" w:hAnsi="Bookman Old Style" w:cs="Arial"/>
                <w:i/>
                <w:color w:val="000000"/>
                <w:sz w:val="22"/>
                <w:szCs w:val="18"/>
              </w:rPr>
              <w:t>Belén</w:t>
            </w:r>
          </w:p>
        </w:tc>
        <w:tc>
          <w:tcPr>
            <w:tcW w:w="1545" w:type="dxa"/>
            <w:shd w:val="clear" w:color="auto" w:fill="auto"/>
            <w:noWrap/>
            <w:vAlign w:val="center"/>
          </w:tcPr>
          <w:p w:rsidR="00777D1C" w:rsidRPr="00FB723A" w:rsidRDefault="001646B1" w:rsidP="001646B1">
            <w:pPr>
              <w:ind w:left="0"/>
              <w:jc w:val="center"/>
              <w:rPr>
                <w:rFonts w:ascii="Bookman Old Style" w:hAnsi="Bookman Old Style"/>
                <w:i/>
                <w:sz w:val="20"/>
                <w:szCs w:val="22"/>
              </w:rPr>
            </w:pPr>
            <w:r w:rsidRPr="00FB723A">
              <w:rPr>
                <w:rFonts w:ascii="Bookman Old Style" w:hAnsi="Bookman Old Style"/>
                <w:i/>
                <w:sz w:val="20"/>
                <w:szCs w:val="22"/>
              </w:rPr>
              <w:t>N4CR</w:t>
            </w:r>
            <w:r>
              <w:rPr>
                <w:rFonts w:ascii="Bookman Old Style" w:hAnsi="Bookman Old Style"/>
                <w:i/>
                <w:sz w:val="20"/>
                <w:szCs w:val="22"/>
              </w:rPr>
              <w:t>4</w:t>
            </w:r>
          </w:p>
        </w:tc>
        <w:tc>
          <w:tcPr>
            <w:tcW w:w="1083" w:type="dxa"/>
            <w:shd w:val="clear" w:color="auto" w:fill="auto"/>
            <w:noWrap/>
          </w:tcPr>
          <w:p w:rsidR="00777D1C" w:rsidRPr="00195FA7" w:rsidRDefault="00777D1C" w:rsidP="00FD2EBF">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r w:rsidR="00777D1C" w:rsidRPr="00106FE9" w:rsidTr="00FD2EBF">
        <w:trPr>
          <w:trHeight w:val="227"/>
          <w:jc w:val="center"/>
        </w:trPr>
        <w:tc>
          <w:tcPr>
            <w:tcW w:w="508" w:type="dxa"/>
            <w:vAlign w:val="center"/>
          </w:tcPr>
          <w:p w:rsidR="00777D1C" w:rsidRPr="001646B1" w:rsidRDefault="00777D1C" w:rsidP="00FD2EBF">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4</w:t>
            </w:r>
          </w:p>
        </w:tc>
        <w:tc>
          <w:tcPr>
            <w:tcW w:w="2010" w:type="dxa"/>
            <w:shd w:val="clear" w:color="auto" w:fill="auto"/>
            <w:noWrap/>
          </w:tcPr>
          <w:p w:rsidR="00777D1C" w:rsidRDefault="001646B1" w:rsidP="00FD2EBF">
            <w:pPr>
              <w:ind w:left="21"/>
              <w:jc w:val="center"/>
            </w:pPr>
            <w:r>
              <w:rPr>
                <w:rFonts w:ascii="Bookman Old Style" w:hAnsi="Bookman Old Style" w:cs="Arial"/>
                <w:i/>
                <w:color w:val="000000"/>
                <w:sz w:val="22"/>
                <w:szCs w:val="18"/>
              </w:rPr>
              <w:t>Belén</w:t>
            </w:r>
          </w:p>
        </w:tc>
        <w:tc>
          <w:tcPr>
            <w:tcW w:w="1545" w:type="dxa"/>
            <w:shd w:val="clear" w:color="auto" w:fill="auto"/>
            <w:noWrap/>
            <w:vAlign w:val="center"/>
          </w:tcPr>
          <w:p w:rsidR="00777D1C" w:rsidRPr="00FB723A" w:rsidRDefault="001646B1" w:rsidP="00FD2EBF">
            <w:pPr>
              <w:ind w:left="0"/>
              <w:jc w:val="center"/>
              <w:rPr>
                <w:rFonts w:ascii="Bookman Old Style" w:hAnsi="Bookman Old Style"/>
                <w:i/>
                <w:sz w:val="20"/>
                <w:szCs w:val="22"/>
              </w:rPr>
            </w:pPr>
            <w:r w:rsidRPr="00FB723A">
              <w:rPr>
                <w:rFonts w:ascii="Bookman Old Style" w:hAnsi="Bookman Old Style"/>
                <w:i/>
                <w:sz w:val="20"/>
                <w:szCs w:val="22"/>
              </w:rPr>
              <w:t>N4CR</w:t>
            </w:r>
            <w:r>
              <w:rPr>
                <w:rFonts w:ascii="Bookman Old Style" w:hAnsi="Bookman Old Style"/>
                <w:i/>
                <w:sz w:val="20"/>
                <w:szCs w:val="22"/>
              </w:rPr>
              <w:t>4</w:t>
            </w:r>
          </w:p>
        </w:tc>
        <w:tc>
          <w:tcPr>
            <w:tcW w:w="1083" w:type="dxa"/>
            <w:shd w:val="clear" w:color="auto" w:fill="auto"/>
            <w:noWrap/>
          </w:tcPr>
          <w:p w:rsidR="00777D1C" w:rsidRPr="00195FA7" w:rsidRDefault="00777D1C" w:rsidP="00FD2EBF">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r w:rsidR="00777D1C" w:rsidRPr="00106FE9" w:rsidTr="00FB723A">
        <w:trPr>
          <w:trHeight w:val="227"/>
          <w:jc w:val="center"/>
        </w:trPr>
        <w:tc>
          <w:tcPr>
            <w:tcW w:w="508" w:type="dxa"/>
            <w:vAlign w:val="center"/>
          </w:tcPr>
          <w:p w:rsidR="00777D1C" w:rsidRPr="001646B1" w:rsidRDefault="00777D1C" w:rsidP="00FD2EBF">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5</w:t>
            </w:r>
          </w:p>
        </w:tc>
        <w:tc>
          <w:tcPr>
            <w:tcW w:w="2010" w:type="dxa"/>
            <w:shd w:val="clear" w:color="auto" w:fill="auto"/>
            <w:noWrap/>
          </w:tcPr>
          <w:p w:rsidR="00777D1C" w:rsidRDefault="001646B1" w:rsidP="00A74BFE">
            <w:pPr>
              <w:ind w:left="21"/>
              <w:jc w:val="center"/>
            </w:pPr>
            <w:r>
              <w:rPr>
                <w:rFonts w:ascii="Bookman Old Style" w:hAnsi="Bookman Old Style" w:cs="Arial"/>
                <w:i/>
                <w:color w:val="000000"/>
                <w:sz w:val="22"/>
                <w:szCs w:val="18"/>
              </w:rPr>
              <w:t>Belén</w:t>
            </w:r>
          </w:p>
        </w:tc>
        <w:tc>
          <w:tcPr>
            <w:tcW w:w="1545" w:type="dxa"/>
            <w:shd w:val="clear" w:color="auto" w:fill="auto"/>
            <w:noWrap/>
            <w:vAlign w:val="center"/>
          </w:tcPr>
          <w:p w:rsidR="00777D1C" w:rsidRPr="00FB723A" w:rsidRDefault="00777D1C" w:rsidP="00FB723A">
            <w:pPr>
              <w:ind w:left="0"/>
              <w:jc w:val="center"/>
              <w:rPr>
                <w:rFonts w:ascii="Bookman Old Style" w:hAnsi="Bookman Old Style"/>
                <w:i/>
                <w:sz w:val="20"/>
                <w:szCs w:val="22"/>
              </w:rPr>
            </w:pPr>
            <w:r w:rsidRPr="00FB723A">
              <w:rPr>
                <w:rFonts w:ascii="Bookman Old Style" w:hAnsi="Bookman Old Style"/>
                <w:i/>
                <w:sz w:val="20"/>
                <w:szCs w:val="22"/>
              </w:rPr>
              <w:t>N4EQ2</w:t>
            </w:r>
          </w:p>
        </w:tc>
        <w:tc>
          <w:tcPr>
            <w:tcW w:w="1083" w:type="dxa"/>
            <w:shd w:val="clear" w:color="auto" w:fill="auto"/>
            <w:noWrap/>
          </w:tcPr>
          <w:p w:rsidR="00777D1C" w:rsidRPr="00195FA7" w:rsidRDefault="00777D1C" w:rsidP="00195FA7">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r w:rsidR="00777D1C" w:rsidRPr="00106FE9" w:rsidTr="00FB723A">
        <w:trPr>
          <w:trHeight w:val="227"/>
          <w:jc w:val="center"/>
        </w:trPr>
        <w:tc>
          <w:tcPr>
            <w:tcW w:w="508" w:type="dxa"/>
            <w:vAlign w:val="center"/>
          </w:tcPr>
          <w:p w:rsidR="00777D1C" w:rsidRPr="001646B1" w:rsidRDefault="00777D1C" w:rsidP="00FD2EBF">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6</w:t>
            </w:r>
          </w:p>
        </w:tc>
        <w:tc>
          <w:tcPr>
            <w:tcW w:w="2010" w:type="dxa"/>
            <w:shd w:val="clear" w:color="auto" w:fill="auto"/>
            <w:noWrap/>
          </w:tcPr>
          <w:p w:rsidR="00777D1C" w:rsidRDefault="001646B1" w:rsidP="00A74BFE">
            <w:pPr>
              <w:ind w:left="21"/>
              <w:jc w:val="center"/>
            </w:pPr>
            <w:r>
              <w:rPr>
                <w:rFonts w:ascii="Bookman Old Style" w:hAnsi="Bookman Old Style" w:cs="Arial"/>
                <w:i/>
                <w:color w:val="000000"/>
                <w:sz w:val="22"/>
                <w:szCs w:val="18"/>
              </w:rPr>
              <w:t>Belén</w:t>
            </w:r>
          </w:p>
        </w:tc>
        <w:tc>
          <w:tcPr>
            <w:tcW w:w="1545" w:type="dxa"/>
            <w:shd w:val="clear" w:color="auto" w:fill="auto"/>
            <w:noWrap/>
            <w:vAlign w:val="center"/>
          </w:tcPr>
          <w:p w:rsidR="00777D1C" w:rsidRPr="00FB723A" w:rsidRDefault="001646B1" w:rsidP="00FB723A">
            <w:pPr>
              <w:ind w:left="0"/>
              <w:jc w:val="center"/>
              <w:rPr>
                <w:rFonts w:ascii="Bookman Old Style" w:hAnsi="Bookman Old Style"/>
                <w:i/>
                <w:sz w:val="20"/>
                <w:szCs w:val="22"/>
              </w:rPr>
            </w:pPr>
            <w:r w:rsidRPr="00FB723A">
              <w:rPr>
                <w:rFonts w:ascii="Bookman Old Style" w:hAnsi="Bookman Old Style"/>
                <w:i/>
                <w:sz w:val="20"/>
                <w:szCs w:val="22"/>
              </w:rPr>
              <w:t>N4EQ2</w:t>
            </w:r>
          </w:p>
        </w:tc>
        <w:tc>
          <w:tcPr>
            <w:tcW w:w="1083" w:type="dxa"/>
            <w:shd w:val="clear" w:color="auto" w:fill="auto"/>
            <w:noWrap/>
          </w:tcPr>
          <w:p w:rsidR="00777D1C" w:rsidRPr="00195FA7" w:rsidRDefault="00777D1C" w:rsidP="00195FA7">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r w:rsidR="00FB723A" w:rsidRPr="00106FE9" w:rsidTr="00FB723A">
        <w:trPr>
          <w:trHeight w:val="227"/>
          <w:jc w:val="center"/>
        </w:trPr>
        <w:tc>
          <w:tcPr>
            <w:tcW w:w="508" w:type="dxa"/>
            <w:vAlign w:val="center"/>
          </w:tcPr>
          <w:p w:rsidR="00FB723A" w:rsidRPr="001646B1" w:rsidRDefault="00777D1C" w:rsidP="00777D1C">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7</w:t>
            </w:r>
          </w:p>
        </w:tc>
        <w:tc>
          <w:tcPr>
            <w:tcW w:w="2010" w:type="dxa"/>
            <w:shd w:val="clear" w:color="auto" w:fill="auto"/>
            <w:noWrap/>
          </w:tcPr>
          <w:p w:rsidR="00FB723A" w:rsidRDefault="001646B1" w:rsidP="00A74BFE">
            <w:pPr>
              <w:ind w:left="21"/>
              <w:jc w:val="center"/>
            </w:pPr>
            <w:r>
              <w:rPr>
                <w:rFonts w:ascii="Bookman Old Style" w:hAnsi="Bookman Old Style" w:cs="Arial"/>
                <w:i/>
                <w:color w:val="000000"/>
                <w:sz w:val="22"/>
                <w:szCs w:val="18"/>
              </w:rPr>
              <w:t>Belén</w:t>
            </w:r>
          </w:p>
        </w:tc>
        <w:tc>
          <w:tcPr>
            <w:tcW w:w="1545" w:type="dxa"/>
            <w:shd w:val="clear" w:color="auto" w:fill="auto"/>
            <w:noWrap/>
            <w:vAlign w:val="center"/>
          </w:tcPr>
          <w:p w:rsidR="00FB723A" w:rsidRPr="00FB723A" w:rsidRDefault="001646B1" w:rsidP="00FB723A">
            <w:pPr>
              <w:ind w:left="0"/>
              <w:jc w:val="center"/>
              <w:rPr>
                <w:rFonts w:ascii="Bookman Old Style" w:hAnsi="Bookman Old Style"/>
                <w:i/>
                <w:sz w:val="20"/>
                <w:szCs w:val="22"/>
              </w:rPr>
            </w:pPr>
            <w:r w:rsidRPr="00FB723A">
              <w:rPr>
                <w:rFonts w:ascii="Bookman Old Style" w:hAnsi="Bookman Old Style"/>
                <w:i/>
                <w:sz w:val="20"/>
                <w:szCs w:val="22"/>
              </w:rPr>
              <w:t>N4EQ2</w:t>
            </w:r>
          </w:p>
        </w:tc>
        <w:tc>
          <w:tcPr>
            <w:tcW w:w="1083" w:type="dxa"/>
            <w:shd w:val="clear" w:color="auto" w:fill="auto"/>
            <w:noWrap/>
          </w:tcPr>
          <w:p w:rsidR="00FB723A" w:rsidRPr="00195FA7" w:rsidRDefault="00FB723A" w:rsidP="00195FA7">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r w:rsidR="00FB723A" w:rsidRPr="00106FE9" w:rsidTr="00FB723A">
        <w:trPr>
          <w:trHeight w:val="227"/>
          <w:jc w:val="center"/>
        </w:trPr>
        <w:tc>
          <w:tcPr>
            <w:tcW w:w="508" w:type="dxa"/>
            <w:vAlign w:val="center"/>
          </w:tcPr>
          <w:p w:rsidR="00FB723A" w:rsidRPr="001646B1" w:rsidRDefault="001139D5" w:rsidP="005F4EF7">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8</w:t>
            </w:r>
          </w:p>
        </w:tc>
        <w:tc>
          <w:tcPr>
            <w:tcW w:w="2010" w:type="dxa"/>
            <w:shd w:val="clear" w:color="auto" w:fill="auto"/>
            <w:noWrap/>
          </w:tcPr>
          <w:p w:rsidR="00FB723A" w:rsidRDefault="001646B1" w:rsidP="00A74BFE">
            <w:pPr>
              <w:ind w:left="21"/>
              <w:jc w:val="center"/>
            </w:pPr>
            <w:r>
              <w:rPr>
                <w:rFonts w:ascii="Bookman Old Style" w:hAnsi="Bookman Old Style" w:cs="Arial"/>
                <w:i/>
                <w:color w:val="000000"/>
                <w:sz w:val="22"/>
                <w:szCs w:val="18"/>
              </w:rPr>
              <w:t>Belén</w:t>
            </w:r>
          </w:p>
        </w:tc>
        <w:tc>
          <w:tcPr>
            <w:tcW w:w="1545" w:type="dxa"/>
            <w:shd w:val="clear" w:color="auto" w:fill="auto"/>
            <w:noWrap/>
            <w:vAlign w:val="center"/>
          </w:tcPr>
          <w:p w:rsidR="00FB723A" w:rsidRPr="00FB723A" w:rsidRDefault="001646B1" w:rsidP="00FB723A">
            <w:pPr>
              <w:ind w:left="0"/>
              <w:jc w:val="center"/>
              <w:rPr>
                <w:rFonts w:ascii="Bookman Old Style" w:hAnsi="Bookman Old Style"/>
                <w:i/>
                <w:sz w:val="20"/>
                <w:szCs w:val="22"/>
              </w:rPr>
            </w:pPr>
            <w:r w:rsidRPr="00FB723A">
              <w:rPr>
                <w:rFonts w:ascii="Bookman Old Style" w:hAnsi="Bookman Old Style"/>
                <w:i/>
                <w:sz w:val="20"/>
                <w:szCs w:val="22"/>
              </w:rPr>
              <w:t>N4EQ2</w:t>
            </w:r>
          </w:p>
        </w:tc>
        <w:tc>
          <w:tcPr>
            <w:tcW w:w="1083" w:type="dxa"/>
            <w:shd w:val="clear" w:color="auto" w:fill="auto"/>
            <w:noWrap/>
          </w:tcPr>
          <w:p w:rsidR="00FB723A" w:rsidRPr="00195FA7" w:rsidRDefault="00FB723A" w:rsidP="00195FA7">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r w:rsidR="001646B1" w:rsidRPr="00106FE9" w:rsidTr="00FB723A">
        <w:trPr>
          <w:trHeight w:val="227"/>
          <w:jc w:val="center"/>
        </w:trPr>
        <w:tc>
          <w:tcPr>
            <w:tcW w:w="508" w:type="dxa"/>
            <w:vAlign w:val="center"/>
          </w:tcPr>
          <w:p w:rsidR="001646B1" w:rsidRPr="001646B1" w:rsidRDefault="001646B1" w:rsidP="005F4EF7">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9</w:t>
            </w:r>
          </w:p>
        </w:tc>
        <w:tc>
          <w:tcPr>
            <w:tcW w:w="2010" w:type="dxa"/>
            <w:shd w:val="clear" w:color="auto" w:fill="auto"/>
            <w:noWrap/>
          </w:tcPr>
          <w:p w:rsidR="001646B1" w:rsidRPr="00F910DF" w:rsidRDefault="001646B1" w:rsidP="00A74BFE">
            <w:pPr>
              <w:ind w:left="21"/>
              <w:jc w:val="center"/>
              <w:rPr>
                <w:rFonts w:ascii="Bookman Old Style" w:hAnsi="Bookman Old Style" w:cs="Arial"/>
                <w:i/>
                <w:color w:val="000000"/>
                <w:sz w:val="22"/>
                <w:szCs w:val="18"/>
              </w:rPr>
            </w:pPr>
            <w:r>
              <w:rPr>
                <w:rFonts w:ascii="Bookman Old Style" w:hAnsi="Bookman Old Style" w:cs="Arial"/>
                <w:i/>
                <w:color w:val="000000"/>
                <w:sz w:val="22"/>
                <w:szCs w:val="18"/>
              </w:rPr>
              <w:t>Belén</w:t>
            </w:r>
          </w:p>
        </w:tc>
        <w:tc>
          <w:tcPr>
            <w:tcW w:w="1545" w:type="dxa"/>
            <w:shd w:val="clear" w:color="auto" w:fill="auto"/>
            <w:noWrap/>
            <w:vAlign w:val="center"/>
          </w:tcPr>
          <w:p w:rsidR="001646B1" w:rsidRPr="00FB723A" w:rsidRDefault="001646B1" w:rsidP="00FB723A">
            <w:pPr>
              <w:ind w:left="0"/>
              <w:jc w:val="center"/>
              <w:rPr>
                <w:rFonts w:ascii="Bookman Old Style" w:hAnsi="Bookman Old Style"/>
                <w:i/>
                <w:sz w:val="20"/>
                <w:szCs w:val="22"/>
              </w:rPr>
            </w:pPr>
            <w:r>
              <w:rPr>
                <w:rFonts w:ascii="Bookman Old Style" w:hAnsi="Bookman Old Style"/>
                <w:i/>
                <w:sz w:val="20"/>
                <w:szCs w:val="22"/>
              </w:rPr>
              <w:t>N4EQ2</w:t>
            </w:r>
          </w:p>
        </w:tc>
        <w:tc>
          <w:tcPr>
            <w:tcW w:w="1083" w:type="dxa"/>
            <w:shd w:val="clear" w:color="auto" w:fill="auto"/>
            <w:noWrap/>
          </w:tcPr>
          <w:p w:rsidR="001646B1" w:rsidRPr="00195FA7" w:rsidRDefault="001646B1" w:rsidP="00FD2EBF">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r w:rsidR="001646B1" w:rsidRPr="00106FE9" w:rsidTr="00FB723A">
        <w:trPr>
          <w:trHeight w:val="227"/>
          <w:jc w:val="center"/>
        </w:trPr>
        <w:tc>
          <w:tcPr>
            <w:tcW w:w="508" w:type="dxa"/>
            <w:vAlign w:val="center"/>
          </w:tcPr>
          <w:p w:rsidR="001646B1" w:rsidRPr="001646B1" w:rsidRDefault="001646B1" w:rsidP="005F4EF7">
            <w:pPr>
              <w:ind w:left="0"/>
              <w:jc w:val="center"/>
              <w:rPr>
                <w:rFonts w:ascii="Bookman Old Style" w:hAnsi="Bookman Old Style" w:cs="Arial"/>
                <w:i/>
                <w:color w:val="000000"/>
                <w:sz w:val="22"/>
                <w:szCs w:val="18"/>
              </w:rPr>
            </w:pPr>
            <w:r w:rsidRPr="001646B1">
              <w:rPr>
                <w:rFonts w:ascii="Bookman Old Style" w:hAnsi="Bookman Old Style" w:cs="Arial"/>
                <w:i/>
                <w:color w:val="000000"/>
                <w:sz w:val="22"/>
                <w:szCs w:val="18"/>
              </w:rPr>
              <w:t>10</w:t>
            </w:r>
          </w:p>
        </w:tc>
        <w:tc>
          <w:tcPr>
            <w:tcW w:w="2010" w:type="dxa"/>
            <w:shd w:val="clear" w:color="auto" w:fill="auto"/>
            <w:noWrap/>
          </w:tcPr>
          <w:p w:rsidR="001646B1" w:rsidRPr="00F910DF" w:rsidRDefault="001646B1" w:rsidP="00A74BFE">
            <w:pPr>
              <w:ind w:left="21"/>
              <w:jc w:val="center"/>
              <w:rPr>
                <w:rFonts w:ascii="Bookman Old Style" w:hAnsi="Bookman Old Style" w:cs="Arial"/>
                <w:i/>
                <w:color w:val="000000"/>
                <w:sz w:val="22"/>
                <w:szCs w:val="18"/>
              </w:rPr>
            </w:pPr>
            <w:r>
              <w:rPr>
                <w:rFonts w:ascii="Bookman Old Style" w:hAnsi="Bookman Old Style" w:cs="Arial"/>
                <w:i/>
                <w:color w:val="000000"/>
                <w:sz w:val="22"/>
                <w:szCs w:val="18"/>
              </w:rPr>
              <w:t>Belén</w:t>
            </w:r>
          </w:p>
        </w:tc>
        <w:tc>
          <w:tcPr>
            <w:tcW w:w="1545" w:type="dxa"/>
            <w:shd w:val="clear" w:color="auto" w:fill="auto"/>
            <w:noWrap/>
            <w:vAlign w:val="center"/>
          </w:tcPr>
          <w:p w:rsidR="001646B1" w:rsidRPr="00FB723A" w:rsidRDefault="001646B1" w:rsidP="00FB723A">
            <w:pPr>
              <w:ind w:left="0"/>
              <w:jc w:val="center"/>
              <w:rPr>
                <w:rFonts w:ascii="Bookman Old Style" w:hAnsi="Bookman Old Style"/>
                <w:i/>
                <w:sz w:val="20"/>
                <w:szCs w:val="22"/>
              </w:rPr>
            </w:pPr>
            <w:r>
              <w:rPr>
                <w:rFonts w:ascii="Bookman Old Style" w:hAnsi="Bookman Old Style"/>
                <w:i/>
                <w:sz w:val="20"/>
                <w:szCs w:val="22"/>
              </w:rPr>
              <w:t>N4EQ2</w:t>
            </w:r>
          </w:p>
        </w:tc>
        <w:tc>
          <w:tcPr>
            <w:tcW w:w="1083" w:type="dxa"/>
            <w:shd w:val="clear" w:color="auto" w:fill="auto"/>
            <w:noWrap/>
          </w:tcPr>
          <w:p w:rsidR="001646B1" w:rsidRPr="00195FA7" w:rsidRDefault="001646B1" w:rsidP="00FD2EBF">
            <w:pPr>
              <w:ind w:left="0"/>
              <w:jc w:val="center"/>
              <w:rPr>
                <w:rFonts w:ascii="Bookman Old Style" w:hAnsi="Bookman Old Style" w:cs="Arial"/>
                <w:i/>
                <w:color w:val="000000"/>
                <w:sz w:val="22"/>
                <w:szCs w:val="18"/>
              </w:rPr>
            </w:pPr>
            <w:r w:rsidRPr="00012A49">
              <w:rPr>
                <w:rFonts w:ascii="Bookman Old Style" w:hAnsi="Bookman Old Style" w:cs="Arial"/>
                <w:i/>
                <w:color w:val="000000"/>
                <w:sz w:val="22"/>
                <w:szCs w:val="18"/>
              </w:rPr>
              <w:t>1,00000</w:t>
            </w:r>
          </w:p>
        </w:tc>
      </w:tr>
    </w:tbl>
    <w:p w:rsidR="00777D1C" w:rsidRDefault="00777D1C" w:rsidP="00777D1C">
      <w:pPr>
        <w:ind w:left="0"/>
        <w:jc w:val="both"/>
        <w:rPr>
          <w:rFonts w:ascii="Bookman Old Style" w:hAnsi="Bookman Old Style"/>
        </w:rPr>
      </w:pPr>
    </w:p>
    <w:p w:rsidR="001139D5" w:rsidRDefault="001139D5" w:rsidP="001139D5">
      <w:pPr>
        <w:tabs>
          <w:tab w:val="center" w:pos="4680"/>
        </w:tabs>
        <w:ind w:left="0"/>
        <w:jc w:val="center"/>
        <w:rPr>
          <w:rFonts w:ascii="Bookman Old Style" w:hAnsi="Bookman Old Style" w:cs="Arial"/>
          <w:spacing w:val="-3"/>
        </w:rPr>
      </w:pPr>
    </w:p>
    <w:p w:rsidR="009D4454" w:rsidRDefault="0007269D" w:rsidP="006800C1">
      <w:pPr>
        <w:pStyle w:val="Prrafodelista"/>
        <w:numPr>
          <w:ilvl w:val="0"/>
          <w:numId w:val="17"/>
        </w:numPr>
        <w:jc w:val="both"/>
        <w:rPr>
          <w:rFonts w:ascii="Bookman Old Style" w:hAnsi="Bookman Old Style"/>
          <w:sz w:val="24"/>
        </w:rPr>
      </w:pPr>
      <w:r>
        <w:rPr>
          <w:rFonts w:ascii="Bookman Old Style" w:hAnsi="Bookman Old Style"/>
          <w:sz w:val="24"/>
        </w:rPr>
        <w:lastRenderedPageBreak/>
        <w:t>La presente r</w:t>
      </w:r>
      <w:r w:rsidR="009D4454" w:rsidRPr="004F2692">
        <w:rPr>
          <w:rFonts w:ascii="Bookman Old Style" w:hAnsi="Bookman Old Style"/>
          <w:sz w:val="24"/>
        </w:rPr>
        <w:t>esolución deberá notificarse a</w:t>
      </w:r>
      <w:r w:rsidR="007A003E">
        <w:rPr>
          <w:rFonts w:ascii="Bookman Old Style" w:hAnsi="Bookman Old Style"/>
          <w:sz w:val="24"/>
        </w:rPr>
        <w:t>l representante legal de</w:t>
      </w:r>
      <w:r w:rsidR="009D4454" w:rsidRPr="004F2692">
        <w:rPr>
          <w:rFonts w:ascii="Bookman Old Style" w:hAnsi="Bookman Old Style"/>
          <w:sz w:val="24"/>
        </w:rPr>
        <w:t xml:space="preserve"> </w:t>
      </w:r>
      <w:r w:rsidR="001139D5">
        <w:rPr>
          <w:rFonts w:ascii="Bookman Old Style" w:hAnsi="Bookman Old Style"/>
          <w:sz w:val="24"/>
        </w:rPr>
        <w:t xml:space="preserve">la </w:t>
      </w:r>
      <w:r w:rsidR="001271BF">
        <w:rPr>
          <w:rFonts w:ascii="Bookman Old Style" w:hAnsi="Bookman Old Style"/>
          <w:sz w:val="24"/>
        </w:rPr>
        <w:t>Centrales Eléctricas del Norte de Santander</w:t>
      </w:r>
      <w:r w:rsidR="00FB5434">
        <w:rPr>
          <w:rFonts w:ascii="Bookman Old Style" w:hAnsi="Bookman Old Style"/>
          <w:sz w:val="24"/>
        </w:rPr>
        <w:t xml:space="preserve"> S.A. E.S.P.</w:t>
      </w:r>
      <w:r w:rsidR="009D4454" w:rsidRPr="004F2692">
        <w:rPr>
          <w:rFonts w:ascii="Bookman Old Style" w:hAnsi="Bookman Old Style"/>
          <w:sz w:val="24"/>
        </w:rPr>
        <w:t xml:space="preserve"> Contra lo dispuesto en este acto procede el recurso de reposición, el cual se podrá interponer ante la </w:t>
      </w:r>
      <w:r w:rsidR="00306D37" w:rsidRPr="004F2692">
        <w:rPr>
          <w:rFonts w:ascii="Bookman Old Style" w:hAnsi="Bookman Old Style"/>
          <w:sz w:val="24"/>
        </w:rPr>
        <w:t>dirección ejec</w:t>
      </w:r>
      <w:r w:rsidR="009D4454" w:rsidRPr="004F2692">
        <w:rPr>
          <w:rFonts w:ascii="Bookman Old Style" w:hAnsi="Bookman Old Style"/>
          <w:sz w:val="24"/>
        </w:rPr>
        <w:t>utiva de la CREG dentro de los cinco (5) días hábiles siguientes a la fecha de su notificación.</w:t>
      </w:r>
    </w:p>
    <w:p w:rsidR="009D4454" w:rsidRPr="00B84711" w:rsidRDefault="009D4454" w:rsidP="009D4454">
      <w:pPr>
        <w:pStyle w:val="Prrafodelista"/>
        <w:ind w:left="0"/>
        <w:jc w:val="both"/>
        <w:rPr>
          <w:rFonts w:ascii="Bookman Old Style" w:hAnsi="Bookman Old Style"/>
          <w:sz w:val="24"/>
        </w:rPr>
      </w:pPr>
    </w:p>
    <w:p w:rsidR="009D4454" w:rsidRPr="00B84711" w:rsidRDefault="009D4454" w:rsidP="009D4454">
      <w:pPr>
        <w:rPr>
          <w:rFonts w:ascii="Bookman Old Style" w:hAnsi="Bookman Old Style"/>
          <w:b/>
          <w:bCs/>
        </w:rPr>
      </w:pPr>
    </w:p>
    <w:p w:rsidR="009D4454" w:rsidRPr="00B84711" w:rsidRDefault="009D4454" w:rsidP="009D4454">
      <w:pPr>
        <w:jc w:val="center"/>
        <w:rPr>
          <w:rFonts w:ascii="Bookman Old Style" w:hAnsi="Bookman Old Style" w:cs="Courier New"/>
          <w:b/>
          <w:bCs/>
          <w:spacing w:val="-3"/>
        </w:rPr>
      </w:pPr>
      <w:r w:rsidRPr="00B84711">
        <w:rPr>
          <w:rFonts w:ascii="Bookman Old Style" w:hAnsi="Bookman Old Style"/>
          <w:b/>
          <w:bCs/>
        </w:rPr>
        <w:t>NOTIFÍQUESE</w:t>
      </w:r>
      <w:r w:rsidR="0007269D">
        <w:rPr>
          <w:rFonts w:ascii="Bookman Old Style" w:hAnsi="Bookman Old Style"/>
          <w:b/>
          <w:bCs/>
        </w:rPr>
        <w:t>, PUBLÍQUESE</w:t>
      </w:r>
      <w:r w:rsidRPr="00B84711">
        <w:rPr>
          <w:rFonts w:ascii="Bookman Old Style" w:hAnsi="Bookman Old Style"/>
          <w:b/>
          <w:bCs/>
        </w:rPr>
        <w:t xml:space="preserve"> Y CÚMPLASE</w:t>
      </w:r>
    </w:p>
    <w:p w:rsidR="009D4454" w:rsidRPr="00B84711" w:rsidRDefault="009D4454" w:rsidP="009D4454">
      <w:pPr>
        <w:rPr>
          <w:rFonts w:ascii="Bookman Old Style" w:hAnsi="Bookman Old Style" w:cs="Arial"/>
          <w:spacing w:val="-3"/>
        </w:rPr>
      </w:pPr>
    </w:p>
    <w:p w:rsidR="009D4454" w:rsidRPr="00B84711" w:rsidRDefault="009D4454" w:rsidP="009D4454">
      <w:pPr>
        <w:rPr>
          <w:rFonts w:ascii="Bookman Old Style" w:hAnsi="Bookman Old Style" w:cs="Arial"/>
          <w:spacing w:val="-3"/>
        </w:rPr>
      </w:pPr>
    </w:p>
    <w:p w:rsidR="009D4454" w:rsidRPr="00B84711" w:rsidRDefault="009D4454" w:rsidP="009D4454">
      <w:pPr>
        <w:ind w:left="0"/>
        <w:rPr>
          <w:rFonts w:ascii="Bookman Old Style" w:hAnsi="Bookman Old Style" w:cs="Arial"/>
          <w:spacing w:val="-3"/>
        </w:rPr>
      </w:pPr>
      <w:r w:rsidRPr="00B84711">
        <w:rPr>
          <w:rFonts w:ascii="Bookman Old Style" w:hAnsi="Bookman Old Style" w:cs="Arial"/>
          <w:spacing w:val="-3"/>
        </w:rPr>
        <w:t xml:space="preserve">Dada en Bogotá, D.C. a </w:t>
      </w:r>
    </w:p>
    <w:p w:rsidR="009D4454" w:rsidRDefault="009D4454" w:rsidP="009D4454">
      <w:pPr>
        <w:ind w:left="0"/>
        <w:rPr>
          <w:rFonts w:ascii="Bookman Old Style" w:hAnsi="Bookman Old Style" w:cs="Arial"/>
        </w:rPr>
      </w:pPr>
    </w:p>
    <w:p w:rsidR="001139D5" w:rsidRDefault="001139D5" w:rsidP="009D4454">
      <w:pPr>
        <w:ind w:left="0"/>
        <w:rPr>
          <w:rFonts w:ascii="Bookman Old Style" w:hAnsi="Bookman Old Style" w:cs="Arial"/>
        </w:rPr>
      </w:pPr>
    </w:p>
    <w:p w:rsidR="001139D5" w:rsidRDefault="001139D5" w:rsidP="009D4454">
      <w:pPr>
        <w:ind w:left="0"/>
        <w:rPr>
          <w:rFonts w:ascii="Bookman Old Style" w:hAnsi="Bookman Old Style"/>
        </w:rPr>
      </w:pPr>
    </w:p>
    <w:p w:rsidR="007A003E" w:rsidRPr="00B84711" w:rsidRDefault="007A003E" w:rsidP="009D4454">
      <w:pPr>
        <w:ind w:left="0"/>
        <w:rPr>
          <w:rFonts w:ascii="Bookman Old Style" w:hAnsi="Bookman Old Style"/>
        </w:rPr>
      </w:pPr>
    </w:p>
    <w:p w:rsidR="009D4454" w:rsidRPr="00B84711" w:rsidRDefault="009D4454" w:rsidP="009D4454">
      <w:pPr>
        <w:rPr>
          <w:rFonts w:ascii="Bookman Old Style" w:hAnsi="Bookman Old Style"/>
        </w:rPr>
      </w:pPr>
    </w:p>
    <w:tbl>
      <w:tblPr>
        <w:tblW w:w="0" w:type="auto"/>
        <w:jc w:val="center"/>
        <w:tblInd w:w="-741" w:type="dxa"/>
        <w:tblLayout w:type="fixed"/>
        <w:tblCellMar>
          <w:left w:w="70" w:type="dxa"/>
          <w:right w:w="70" w:type="dxa"/>
        </w:tblCellMar>
        <w:tblLook w:val="0000" w:firstRow="0" w:lastRow="0" w:firstColumn="0" w:lastColumn="0" w:noHBand="0" w:noVBand="0"/>
      </w:tblPr>
      <w:tblGrid>
        <w:gridCol w:w="4904"/>
        <w:gridCol w:w="4477"/>
      </w:tblGrid>
      <w:tr w:rsidR="009D4454" w:rsidRPr="00B84711" w:rsidTr="009D4454">
        <w:trPr>
          <w:trHeight w:val="329"/>
          <w:jc w:val="center"/>
        </w:trPr>
        <w:tc>
          <w:tcPr>
            <w:tcW w:w="4904" w:type="dxa"/>
          </w:tcPr>
          <w:p w:rsidR="009D4454" w:rsidRPr="00B84711" w:rsidRDefault="00B5138A" w:rsidP="001271BF">
            <w:pPr>
              <w:keepNext/>
              <w:tabs>
                <w:tab w:val="left" w:pos="-720"/>
              </w:tabs>
              <w:suppressAutoHyphens/>
              <w:ind w:left="0"/>
              <w:jc w:val="center"/>
              <w:rPr>
                <w:rFonts w:ascii="Bookman Old Style" w:hAnsi="Bookman Old Style"/>
                <w:b/>
              </w:rPr>
            </w:pPr>
            <w:r>
              <w:rPr>
                <w:rFonts w:ascii="Bookman Old Style" w:hAnsi="Bookman Old Style"/>
                <w:b/>
                <w:bCs/>
              </w:rPr>
              <w:t>CARLOS FERNA</w:t>
            </w:r>
            <w:r w:rsidR="00517D29">
              <w:rPr>
                <w:rFonts w:ascii="Bookman Old Style" w:hAnsi="Bookman Old Style"/>
                <w:b/>
                <w:bCs/>
              </w:rPr>
              <w:t>N</w:t>
            </w:r>
            <w:r>
              <w:rPr>
                <w:rFonts w:ascii="Bookman Old Style" w:hAnsi="Bookman Old Style"/>
                <w:b/>
                <w:bCs/>
              </w:rPr>
              <w:t>DO ERASO CALERO</w:t>
            </w:r>
          </w:p>
        </w:tc>
        <w:tc>
          <w:tcPr>
            <w:tcW w:w="4477" w:type="dxa"/>
            <w:vAlign w:val="center"/>
          </w:tcPr>
          <w:p w:rsidR="009D4454" w:rsidRPr="00B84711" w:rsidRDefault="006B087F" w:rsidP="009D4454">
            <w:pPr>
              <w:keepNext/>
              <w:suppressAutoHyphens/>
              <w:ind w:left="0"/>
              <w:jc w:val="center"/>
              <w:rPr>
                <w:rFonts w:ascii="Bookman Old Style" w:hAnsi="Bookman Old Style"/>
                <w:b/>
              </w:rPr>
            </w:pPr>
            <w:r>
              <w:rPr>
                <w:rFonts w:ascii="Bookman Old Style" w:hAnsi="Bookman Old Style"/>
                <w:b/>
              </w:rPr>
              <w:t>JORGE PINTO NOLLA</w:t>
            </w:r>
          </w:p>
        </w:tc>
      </w:tr>
      <w:tr w:rsidR="009D4454" w:rsidRPr="00B84711" w:rsidTr="009D4454">
        <w:trPr>
          <w:trHeight w:val="254"/>
          <w:jc w:val="center"/>
        </w:trPr>
        <w:tc>
          <w:tcPr>
            <w:tcW w:w="4904" w:type="dxa"/>
          </w:tcPr>
          <w:p w:rsidR="009D4454" w:rsidRPr="00B84711" w:rsidRDefault="009D4454" w:rsidP="009D4454">
            <w:pPr>
              <w:ind w:left="0"/>
              <w:jc w:val="center"/>
              <w:rPr>
                <w:rFonts w:ascii="Bookman Old Style" w:hAnsi="Bookman Old Style" w:cs="Arial"/>
                <w:spacing w:val="-3"/>
              </w:rPr>
            </w:pPr>
            <w:r w:rsidRPr="00B84711">
              <w:rPr>
                <w:rFonts w:ascii="Bookman Old Style" w:hAnsi="Bookman Old Style" w:cs="Arial"/>
                <w:spacing w:val="-3"/>
              </w:rPr>
              <w:t>Viceministro de Minas y Energía</w:t>
            </w:r>
          </w:p>
          <w:p w:rsidR="009D4454" w:rsidRPr="00B84711" w:rsidRDefault="009D4454" w:rsidP="009D4454">
            <w:pPr>
              <w:keepNext/>
              <w:suppressAutoHyphens/>
              <w:ind w:left="0"/>
              <w:jc w:val="center"/>
              <w:rPr>
                <w:rFonts w:ascii="Bookman Old Style" w:hAnsi="Bookman Old Style"/>
              </w:rPr>
            </w:pPr>
            <w:r w:rsidRPr="00B84711">
              <w:rPr>
                <w:rFonts w:ascii="Bookman Old Style" w:hAnsi="Bookman Old Style" w:cs="Arial"/>
                <w:spacing w:val="-3"/>
              </w:rPr>
              <w:t>Delegado del Ministro de Minas y Energía</w:t>
            </w:r>
          </w:p>
        </w:tc>
        <w:tc>
          <w:tcPr>
            <w:tcW w:w="4477" w:type="dxa"/>
          </w:tcPr>
          <w:p w:rsidR="009D4454" w:rsidRPr="00B84711" w:rsidRDefault="009D4454" w:rsidP="009D4454">
            <w:pPr>
              <w:keepNext/>
              <w:tabs>
                <w:tab w:val="left" w:pos="-720"/>
              </w:tabs>
              <w:suppressAutoHyphens/>
              <w:ind w:left="0"/>
              <w:jc w:val="center"/>
              <w:rPr>
                <w:rFonts w:ascii="Bookman Old Style" w:hAnsi="Bookman Old Style"/>
              </w:rPr>
            </w:pPr>
            <w:r w:rsidRPr="00B84711">
              <w:rPr>
                <w:rFonts w:ascii="Bookman Old Style" w:hAnsi="Bookman Old Style"/>
              </w:rPr>
              <w:t>Director Ejecutivo</w:t>
            </w:r>
          </w:p>
        </w:tc>
      </w:tr>
      <w:tr w:rsidR="009D4454" w:rsidRPr="00A061D4" w:rsidTr="009D4454">
        <w:trPr>
          <w:trHeight w:val="73"/>
          <w:jc w:val="center"/>
        </w:trPr>
        <w:tc>
          <w:tcPr>
            <w:tcW w:w="4904" w:type="dxa"/>
          </w:tcPr>
          <w:p w:rsidR="009D4454" w:rsidRPr="001E23E2" w:rsidRDefault="009D4454" w:rsidP="009D4454">
            <w:pPr>
              <w:tabs>
                <w:tab w:val="left" w:pos="-720"/>
              </w:tabs>
              <w:suppressAutoHyphens/>
              <w:ind w:left="0"/>
              <w:jc w:val="center"/>
              <w:rPr>
                <w:rFonts w:ascii="Bookman Old Style" w:hAnsi="Bookman Old Style"/>
              </w:rPr>
            </w:pPr>
            <w:r w:rsidRPr="00B84711">
              <w:rPr>
                <w:rFonts w:ascii="Bookman Old Style" w:hAnsi="Bookman Old Style" w:cs="Arial"/>
                <w:spacing w:val="-3"/>
              </w:rPr>
              <w:t>Presidente</w:t>
            </w:r>
          </w:p>
        </w:tc>
        <w:tc>
          <w:tcPr>
            <w:tcW w:w="4477" w:type="dxa"/>
            <w:vAlign w:val="center"/>
          </w:tcPr>
          <w:p w:rsidR="009D4454" w:rsidRPr="00FE229F" w:rsidRDefault="009D4454" w:rsidP="009D4454">
            <w:pPr>
              <w:ind w:left="708" w:hanging="708"/>
              <w:rPr>
                <w:rFonts w:ascii="Bookman Old Style" w:hAnsi="Bookman Old Style"/>
                <w:b/>
                <w:bCs/>
              </w:rPr>
            </w:pPr>
          </w:p>
        </w:tc>
      </w:tr>
    </w:tbl>
    <w:p w:rsidR="00E01463" w:rsidRDefault="00E01463" w:rsidP="00D60925">
      <w:pPr>
        <w:tabs>
          <w:tab w:val="center" w:pos="4512"/>
          <w:tab w:val="left" w:pos="7088"/>
        </w:tabs>
        <w:suppressAutoHyphens/>
        <w:ind w:right="51"/>
        <w:rPr>
          <w:rFonts w:ascii="Bookman Old Style" w:hAnsi="Bookman Old Style" w:cs="Arial"/>
          <w:b/>
          <w:color w:val="000000"/>
        </w:rPr>
      </w:pPr>
    </w:p>
    <w:sectPr w:rsidR="00E01463"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EBF" w:rsidRDefault="00FD2EBF">
      <w:r>
        <w:separator/>
      </w:r>
    </w:p>
  </w:endnote>
  <w:endnote w:type="continuationSeparator" w:id="0">
    <w:p w:rsidR="00FD2EBF" w:rsidRDefault="00FD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EBF" w:rsidRDefault="00FD2EBF">
      <w:r>
        <w:separator/>
      </w:r>
    </w:p>
  </w:footnote>
  <w:footnote w:type="continuationSeparator" w:id="0">
    <w:p w:rsidR="00FD2EBF" w:rsidRDefault="00FD2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BF" w:rsidRDefault="00FD2EBF" w:rsidP="00951F79">
    <w:pPr>
      <w:pStyle w:val="Ttulo1"/>
      <w:ind w:right="6"/>
      <w:jc w:val="left"/>
      <w:rPr>
        <w:rFonts w:ascii="Bookman Old Style" w:hAnsi="Bookman Old Style" w:cs="Arial"/>
        <w:b w:val="0"/>
        <w:sz w:val="22"/>
        <w:szCs w:val="22"/>
      </w:rPr>
    </w:pPr>
  </w:p>
  <w:p w:rsidR="00FD2EBF" w:rsidRPr="00951F79" w:rsidRDefault="00FD2EB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6415E">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6415E">
      <w:fldChar w:fldCharType="begin"/>
    </w:r>
    <w:r w:rsidR="00D6415E">
      <w:instrText xml:space="preserve"> NUMPAGES  \* MERGEFORMAT </w:instrText>
    </w:r>
    <w:r w:rsidR="00D6415E">
      <w:fldChar w:fldCharType="separate"/>
    </w:r>
    <w:r w:rsidR="00D6415E" w:rsidRPr="00D6415E">
      <w:rPr>
        <w:rFonts w:ascii="Bookman Old Style" w:hAnsi="Bookman Old Style" w:cs="Arial"/>
        <w:b w:val="0"/>
        <w:noProof/>
        <w:sz w:val="22"/>
        <w:szCs w:val="22"/>
      </w:rPr>
      <w:t>6</w:t>
    </w:r>
    <w:r w:rsidR="00D6415E">
      <w:rPr>
        <w:rFonts w:ascii="Bookman Old Style" w:hAnsi="Bookman Old Style" w:cs="Arial"/>
        <w:b w:val="0"/>
        <w:noProof/>
        <w:sz w:val="22"/>
        <w:szCs w:val="22"/>
      </w:rPr>
      <w:fldChar w:fldCharType="end"/>
    </w:r>
  </w:p>
  <w:p w:rsidR="00FD2EBF" w:rsidRDefault="00FD2EB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12F1154" wp14:editId="65B89CC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D2EBF" w:rsidRDefault="00FD2EBF" w:rsidP="0081600D">
    <w:pPr>
      <w:pBdr>
        <w:bottom w:val="single" w:sz="4" w:space="1" w:color="auto"/>
      </w:pBdr>
      <w:ind w:left="142" w:right="148"/>
      <w:jc w:val="both"/>
      <w:rPr>
        <w:rFonts w:ascii="Bookman Old Style" w:hAnsi="Bookman Old Style" w:cs="Arial"/>
        <w:sz w:val="22"/>
        <w:szCs w:val="22"/>
      </w:rPr>
    </w:pPr>
    <w:r w:rsidRPr="00B5138A">
      <w:rPr>
        <w:rFonts w:ascii="Bookman Old Style" w:hAnsi="Bookman Old Style" w:cs="Arial"/>
        <w:sz w:val="22"/>
        <w:szCs w:val="22"/>
      </w:rPr>
      <w:t xml:space="preserve">Por la cual se actualiza la base de activos de </w:t>
    </w:r>
    <w:r>
      <w:rPr>
        <w:rFonts w:ascii="Bookman Old Style" w:hAnsi="Bookman Old Style" w:cs="Arial"/>
        <w:sz w:val="22"/>
        <w:szCs w:val="22"/>
      </w:rPr>
      <w:t>Centrales Eléctricas del Norte de Santander S.A. E.S.P.</w:t>
    </w:r>
    <w:r w:rsidRPr="00B5138A">
      <w:rPr>
        <w:rFonts w:ascii="Bookman Old Style" w:hAnsi="Bookman Old Style" w:cs="Arial"/>
        <w:sz w:val="22"/>
        <w:szCs w:val="22"/>
      </w:rPr>
      <w:t xml:space="preserve"> y se modifican los parámetros necesarios para considerar su remuneración en el Sistema de Transmisión Nacional.</w:t>
    </w:r>
  </w:p>
  <w:p w:rsidR="00FD2EBF" w:rsidRPr="006B4647" w:rsidRDefault="00FD2EBF" w:rsidP="0081600D">
    <w:pPr>
      <w:ind w:left="142" w:right="148"/>
      <w:jc w:val="both"/>
      <w:rPr>
        <w:b/>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BF" w:rsidRDefault="00FD2EB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D2EBF" w:rsidRDefault="00FD2EBF">
    <w:pPr>
      <w:pStyle w:val="Encabezado"/>
      <w:jc w:val="center"/>
      <w:rPr>
        <w:rFonts w:ascii="Arial" w:hAnsi="Arial" w:cs="Arial"/>
        <w:spacing w:val="20"/>
        <w:sz w:val="20"/>
      </w:rPr>
    </w:pPr>
  </w:p>
  <w:p w:rsidR="00FD2EBF" w:rsidRDefault="00FD2EB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nsid w:val="44332366"/>
    <w:multiLevelType w:val="hybridMultilevel"/>
    <w:tmpl w:val="49B06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4683FD2"/>
    <w:multiLevelType w:val="multilevel"/>
    <w:tmpl w:val="48A2CE4C"/>
    <w:lvl w:ilvl="0">
      <w:start w:val="2"/>
      <w:numFmt w:val="decimal"/>
      <w:lvlText w:val="%1"/>
      <w:lvlJc w:val="left"/>
      <w:pPr>
        <w:ind w:left="1464" w:hanging="1464"/>
      </w:pPr>
      <w:rPr>
        <w:rFonts w:hint="default"/>
      </w:rPr>
    </w:lvl>
    <w:lvl w:ilvl="1">
      <w:start w:val="320"/>
      <w:numFmt w:val="decimal"/>
      <w:lvlText w:val="%1.%2"/>
      <w:lvlJc w:val="left"/>
      <w:pPr>
        <w:ind w:left="1700" w:hanging="1464"/>
      </w:pPr>
      <w:rPr>
        <w:rFonts w:hint="default"/>
      </w:rPr>
    </w:lvl>
    <w:lvl w:ilvl="2">
      <w:start w:val="393"/>
      <w:numFmt w:val="decimal"/>
      <w:lvlText w:val="%1.%2.%3"/>
      <w:lvlJc w:val="left"/>
      <w:pPr>
        <w:ind w:left="1936" w:hanging="1464"/>
      </w:pPr>
      <w:rPr>
        <w:rFonts w:hint="default"/>
      </w:rPr>
    </w:lvl>
    <w:lvl w:ilvl="3">
      <w:start w:val="369"/>
      <w:numFmt w:val="decimal"/>
      <w:lvlText w:val="%1.%2.%3.%4"/>
      <w:lvlJc w:val="left"/>
      <w:pPr>
        <w:ind w:left="2172" w:hanging="1464"/>
      </w:pPr>
      <w:rPr>
        <w:rFonts w:hint="default"/>
      </w:rPr>
    </w:lvl>
    <w:lvl w:ilvl="4">
      <w:start w:val="1"/>
      <w:numFmt w:val="decimal"/>
      <w:lvlText w:val="%1.%2.%3.%4.%5"/>
      <w:lvlJc w:val="left"/>
      <w:pPr>
        <w:ind w:left="2408" w:hanging="1464"/>
      </w:pPr>
      <w:rPr>
        <w:rFonts w:hint="default"/>
      </w:rPr>
    </w:lvl>
    <w:lvl w:ilvl="5">
      <w:start w:val="1"/>
      <w:numFmt w:val="decimal"/>
      <w:lvlText w:val="%1.%2.%3.%4.%5.%6"/>
      <w:lvlJc w:val="left"/>
      <w:pPr>
        <w:ind w:left="2644" w:hanging="1464"/>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67771BC6"/>
    <w:multiLevelType w:val="hybridMultilevel"/>
    <w:tmpl w:val="A98AB71C"/>
    <w:lvl w:ilvl="0" w:tplc="5F442DE2">
      <w:numFmt w:val="bullet"/>
      <w:lvlText w:val="•"/>
      <w:lvlJc w:val="left"/>
      <w:pPr>
        <w:ind w:left="1068" w:hanging="708"/>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F0845FC"/>
    <w:multiLevelType w:val="hybridMultilevel"/>
    <w:tmpl w:val="11F89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728115E"/>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1"/>
  </w:num>
  <w:num w:numId="4">
    <w:abstractNumId w:val="5"/>
  </w:num>
  <w:num w:numId="5">
    <w:abstractNumId w:val="13"/>
  </w:num>
  <w:num w:numId="6">
    <w:abstractNumId w:val="3"/>
  </w:num>
  <w:num w:numId="7">
    <w:abstractNumId w:val="2"/>
  </w:num>
  <w:num w:numId="8">
    <w:abstractNumId w:val="15"/>
  </w:num>
  <w:num w:numId="9">
    <w:abstractNumId w:val="14"/>
  </w:num>
  <w:num w:numId="10">
    <w:abstractNumId w:val="11"/>
  </w:num>
  <w:num w:numId="11">
    <w:abstractNumId w:val="22"/>
  </w:num>
  <w:num w:numId="12">
    <w:abstractNumId w:val="19"/>
  </w:num>
  <w:num w:numId="13">
    <w:abstractNumId w:val="7"/>
  </w:num>
  <w:num w:numId="14">
    <w:abstractNumId w:val="1"/>
  </w:num>
  <w:num w:numId="15">
    <w:abstractNumId w:val="12"/>
  </w:num>
  <w:num w:numId="16">
    <w:abstractNumId w:val="0"/>
  </w:num>
  <w:num w:numId="17">
    <w:abstractNumId w:val="8"/>
  </w:num>
  <w:num w:numId="18">
    <w:abstractNumId w:val="18"/>
  </w:num>
  <w:num w:numId="19">
    <w:abstractNumId w:val="17"/>
  </w:num>
  <w:num w:numId="20">
    <w:abstractNumId w:val="9"/>
  </w:num>
  <w:num w:numId="21">
    <w:abstractNumId w:val="6"/>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37C5B"/>
    <w:rsid w:val="00063657"/>
    <w:rsid w:val="0007269D"/>
    <w:rsid w:val="00076680"/>
    <w:rsid w:val="00076A1D"/>
    <w:rsid w:val="0008073E"/>
    <w:rsid w:val="00091CDB"/>
    <w:rsid w:val="00092A53"/>
    <w:rsid w:val="000A19AC"/>
    <w:rsid w:val="000A2685"/>
    <w:rsid w:val="000D26F8"/>
    <w:rsid w:val="001139D5"/>
    <w:rsid w:val="001271BF"/>
    <w:rsid w:val="00127F03"/>
    <w:rsid w:val="001405C6"/>
    <w:rsid w:val="00141013"/>
    <w:rsid w:val="001646B1"/>
    <w:rsid w:val="00177CA1"/>
    <w:rsid w:val="0018302B"/>
    <w:rsid w:val="00192CBF"/>
    <w:rsid w:val="00192FF1"/>
    <w:rsid w:val="001933B5"/>
    <w:rsid w:val="00195FA7"/>
    <w:rsid w:val="001A5F1B"/>
    <w:rsid w:val="001B1C22"/>
    <w:rsid w:val="001B34C6"/>
    <w:rsid w:val="001D4FF5"/>
    <w:rsid w:val="001D7832"/>
    <w:rsid w:val="00211D34"/>
    <w:rsid w:val="00214F04"/>
    <w:rsid w:val="00266CD6"/>
    <w:rsid w:val="00275DAB"/>
    <w:rsid w:val="00290144"/>
    <w:rsid w:val="002A782A"/>
    <w:rsid w:val="002B11E2"/>
    <w:rsid w:val="002B24B8"/>
    <w:rsid w:val="002D3AE9"/>
    <w:rsid w:val="002D4510"/>
    <w:rsid w:val="002F0734"/>
    <w:rsid w:val="002F46E7"/>
    <w:rsid w:val="00306D37"/>
    <w:rsid w:val="003101DA"/>
    <w:rsid w:val="00314757"/>
    <w:rsid w:val="003211CE"/>
    <w:rsid w:val="00332BDB"/>
    <w:rsid w:val="00345CDC"/>
    <w:rsid w:val="0035403A"/>
    <w:rsid w:val="0036394B"/>
    <w:rsid w:val="00366DB6"/>
    <w:rsid w:val="003709B5"/>
    <w:rsid w:val="003759C2"/>
    <w:rsid w:val="00397365"/>
    <w:rsid w:val="003A31F6"/>
    <w:rsid w:val="003C3447"/>
    <w:rsid w:val="003D076C"/>
    <w:rsid w:val="003E78B5"/>
    <w:rsid w:val="00400A11"/>
    <w:rsid w:val="00412483"/>
    <w:rsid w:val="00415BAB"/>
    <w:rsid w:val="00415ED2"/>
    <w:rsid w:val="0042068C"/>
    <w:rsid w:val="00426A17"/>
    <w:rsid w:val="004354C0"/>
    <w:rsid w:val="00470F2F"/>
    <w:rsid w:val="0047122B"/>
    <w:rsid w:val="00473B7A"/>
    <w:rsid w:val="004960E9"/>
    <w:rsid w:val="004A2E88"/>
    <w:rsid w:val="004A5305"/>
    <w:rsid w:val="004D7634"/>
    <w:rsid w:val="004F756F"/>
    <w:rsid w:val="00516DDD"/>
    <w:rsid w:val="00517D29"/>
    <w:rsid w:val="005300D3"/>
    <w:rsid w:val="00531433"/>
    <w:rsid w:val="00544F82"/>
    <w:rsid w:val="0056051E"/>
    <w:rsid w:val="005654E6"/>
    <w:rsid w:val="00593C4F"/>
    <w:rsid w:val="005946A8"/>
    <w:rsid w:val="005A4407"/>
    <w:rsid w:val="005A59EF"/>
    <w:rsid w:val="005B1C7E"/>
    <w:rsid w:val="005C6976"/>
    <w:rsid w:val="005E0E19"/>
    <w:rsid w:val="005F4EF7"/>
    <w:rsid w:val="005F6F41"/>
    <w:rsid w:val="0061132C"/>
    <w:rsid w:val="00617F9D"/>
    <w:rsid w:val="00625DC6"/>
    <w:rsid w:val="0064391D"/>
    <w:rsid w:val="00651821"/>
    <w:rsid w:val="00654384"/>
    <w:rsid w:val="006675CD"/>
    <w:rsid w:val="006800C1"/>
    <w:rsid w:val="00684D9B"/>
    <w:rsid w:val="00697556"/>
    <w:rsid w:val="006B07BC"/>
    <w:rsid w:val="006B087F"/>
    <w:rsid w:val="006B2C6A"/>
    <w:rsid w:val="006B4647"/>
    <w:rsid w:val="006B4C2B"/>
    <w:rsid w:val="006B6D47"/>
    <w:rsid w:val="006C5AFE"/>
    <w:rsid w:val="006C6DEA"/>
    <w:rsid w:val="006E2272"/>
    <w:rsid w:val="006F6D95"/>
    <w:rsid w:val="00706F13"/>
    <w:rsid w:val="007072E8"/>
    <w:rsid w:val="0071618D"/>
    <w:rsid w:val="00725FA4"/>
    <w:rsid w:val="00740446"/>
    <w:rsid w:val="007438A9"/>
    <w:rsid w:val="0074491E"/>
    <w:rsid w:val="0076247A"/>
    <w:rsid w:val="00775964"/>
    <w:rsid w:val="007765FE"/>
    <w:rsid w:val="00777D1C"/>
    <w:rsid w:val="00795BFB"/>
    <w:rsid w:val="007A003E"/>
    <w:rsid w:val="007B2760"/>
    <w:rsid w:val="00806C01"/>
    <w:rsid w:val="008148CC"/>
    <w:rsid w:val="0081600D"/>
    <w:rsid w:val="008211A4"/>
    <w:rsid w:val="008505BC"/>
    <w:rsid w:val="00873150"/>
    <w:rsid w:val="0087657D"/>
    <w:rsid w:val="008807D5"/>
    <w:rsid w:val="00880832"/>
    <w:rsid w:val="00886EE1"/>
    <w:rsid w:val="0088727D"/>
    <w:rsid w:val="00897C75"/>
    <w:rsid w:val="008C1130"/>
    <w:rsid w:val="008C1FF8"/>
    <w:rsid w:val="008D18E6"/>
    <w:rsid w:val="008D7A9B"/>
    <w:rsid w:val="008E017C"/>
    <w:rsid w:val="008E76AC"/>
    <w:rsid w:val="008F21F6"/>
    <w:rsid w:val="00912523"/>
    <w:rsid w:val="00921BC0"/>
    <w:rsid w:val="00936D1C"/>
    <w:rsid w:val="00951F79"/>
    <w:rsid w:val="00974AB5"/>
    <w:rsid w:val="009801EC"/>
    <w:rsid w:val="0098706D"/>
    <w:rsid w:val="009935FB"/>
    <w:rsid w:val="009B600B"/>
    <w:rsid w:val="009D4454"/>
    <w:rsid w:val="009F4A54"/>
    <w:rsid w:val="009F4BEC"/>
    <w:rsid w:val="00A11151"/>
    <w:rsid w:val="00A15A66"/>
    <w:rsid w:val="00A25FD7"/>
    <w:rsid w:val="00A43AFF"/>
    <w:rsid w:val="00A5656A"/>
    <w:rsid w:val="00A74BFE"/>
    <w:rsid w:val="00A7793A"/>
    <w:rsid w:val="00A94DB2"/>
    <w:rsid w:val="00AA4CC7"/>
    <w:rsid w:val="00AA5E8E"/>
    <w:rsid w:val="00AB6CA7"/>
    <w:rsid w:val="00AD01E4"/>
    <w:rsid w:val="00AD0858"/>
    <w:rsid w:val="00AD5111"/>
    <w:rsid w:val="00AE7340"/>
    <w:rsid w:val="00AF1BBD"/>
    <w:rsid w:val="00B0182E"/>
    <w:rsid w:val="00B10207"/>
    <w:rsid w:val="00B141E7"/>
    <w:rsid w:val="00B34ADA"/>
    <w:rsid w:val="00B351B4"/>
    <w:rsid w:val="00B46BCA"/>
    <w:rsid w:val="00B478AA"/>
    <w:rsid w:val="00B5138A"/>
    <w:rsid w:val="00B5173F"/>
    <w:rsid w:val="00B556D6"/>
    <w:rsid w:val="00B824FC"/>
    <w:rsid w:val="00B87806"/>
    <w:rsid w:val="00B87EC9"/>
    <w:rsid w:val="00BB3F88"/>
    <w:rsid w:val="00BC38FD"/>
    <w:rsid w:val="00C034CB"/>
    <w:rsid w:val="00C051A8"/>
    <w:rsid w:val="00C054BC"/>
    <w:rsid w:val="00C17897"/>
    <w:rsid w:val="00C409D5"/>
    <w:rsid w:val="00C435C3"/>
    <w:rsid w:val="00C6234B"/>
    <w:rsid w:val="00C63EAE"/>
    <w:rsid w:val="00C64382"/>
    <w:rsid w:val="00C7629F"/>
    <w:rsid w:val="00C8661B"/>
    <w:rsid w:val="00C90DD5"/>
    <w:rsid w:val="00CA139A"/>
    <w:rsid w:val="00CA2899"/>
    <w:rsid w:val="00CA3A3D"/>
    <w:rsid w:val="00CA77FB"/>
    <w:rsid w:val="00CB379B"/>
    <w:rsid w:val="00CB5DD0"/>
    <w:rsid w:val="00CC51D4"/>
    <w:rsid w:val="00CC65DA"/>
    <w:rsid w:val="00CF21B9"/>
    <w:rsid w:val="00CF6BF9"/>
    <w:rsid w:val="00D03800"/>
    <w:rsid w:val="00D065D3"/>
    <w:rsid w:val="00D14C94"/>
    <w:rsid w:val="00D342A6"/>
    <w:rsid w:val="00D3543B"/>
    <w:rsid w:val="00D464BF"/>
    <w:rsid w:val="00D53E26"/>
    <w:rsid w:val="00D60925"/>
    <w:rsid w:val="00D6415E"/>
    <w:rsid w:val="00D8517B"/>
    <w:rsid w:val="00DB3FB0"/>
    <w:rsid w:val="00DD4F0E"/>
    <w:rsid w:val="00DD7450"/>
    <w:rsid w:val="00DF0BF0"/>
    <w:rsid w:val="00DF7538"/>
    <w:rsid w:val="00E01463"/>
    <w:rsid w:val="00E05E0A"/>
    <w:rsid w:val="00E27ECF"/>
    <w:rsid w:val="00E534CF"/>
    <w:rsid w:val="00E81CB4"/>
    <w:rsid w:val="00E8585B"/>
    <w:rsid w:val="00EA3F15"/>
    <w:rsid w:val="00EA7847"/>
    <w:rsid w:val="00EB4C2F"/>
    <w:rsid w:val="00EE2E6E"/>
    <w:rsid w:val="00F0759E"/>
    <w:rsid w:val="00F16A43"/>
    <w:rsid w:val="00F46780"/>
    <w:rsid w:val="00F605C8"/>
    <w:rsid w:val="00F821A3"/>
    <w:rsid w:val="00F9314A"/>
    <w:rsid w:val="00F93883"/>
    <w:rsid w:val="00FA5C2F"/>
    <w:rsid w:val="00FB5434"/>
    <w:rsid w:val="00FB723A"/>
    <w:rsid w:val="00FC58EF"/>
    <w:rsid w:val="00FD2EBF"/>
    <w:rsid w:val="00FD33DF"/>
    <w:rsid w:val="00FD37EE"/>
    <w:rsid w:val="00FE3351"/>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5654E6"/>
    <w:pPr>
      <w:spacing w:before="120"/>
      <w:ind w:right="567"/>
      <w:jc w:val="both"/>
    </w:pPr>
    <w:rPr>
      <w:rFonts w:ascii="Bookman Old Style" w:hAnsi="Bookman Old Style"/>
      <w:i/>
      <w:sz w:val="22"/>
      <w:lang w:val="es-CO"/>
    </w:rPr>
  </w:style>
  <w:style w:type="character" w:customStyle="1" w:styleId="CitaCar">
    <w:name w:val="Cita Car"/>
    <w:basedOn w:val="Fuentedeprrafopredeter"/>
    <w:link w:val="Cita"/>
    <w:uiPriority w:val="29"/>
    <w:rsid w:val="005654E6"/>
    <w:rPr>
      <w:rFonts w:ascii="Bookman Old Style" w:hAnsi="Bookman Old Style"/>
      <w:i/>
      <w:sz w:val="22"/>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5654E6"/>
    <w:pPr>
      <w:spacing w:before="120"/>
      <w:ind w:right="567"/>
      <w:jc w:val="both"/>
    </w:pPr>
    <w:rPr>
      <w:rFonts w:ascii="Bookman Old Style" w:hAnsi="Bookman Old Style"/>
      <w:i/>
      <w:sz w:val="22"/>
      <w:lang w:val="es-CO"/>
    </w:rPr>
  </w:style>
  <w:style w:type="character" w:customStyle="1" w:styleId="CitaCar">
    <w:name w:val="Cita Car"/>
    <w:basedOn w:val="Fuentedeprrafopredeter"/>
    <w:link w:val="Cita"/>
    <w:uiPriority w:val="29"/>
    <w:rsid w:val="005654E6"/>
    <w:rPr>
      <w:rFonts w:ascii="Bookman Old Style" w:hAnsi="Bookman Old Style"/>
      <w:i/>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4584">
      <w:bodyDiv w:val="1"/>
      <w:marLeft w:val="0"/>
      <w:marRight w:val="0"/>
      <w:marTop w:val="0"/>
      <w:marBottom w:val="0"/>
      <w:divBdr>
        <w:top w:val="none" w:sz="0" w:space="0" w:color="auto"/>
        <w:left w:val="none" w:sz="0" w:space="0" w:color="auto"/>
        <w:bottom w:val="none" w:sz="0" w:space="0" w:color="auto"/>
        <w:right w:val="none" w:sz="0" w:space="0" w:color="auto"/>
      </w:divBdr>
    </w:div>
    <w:div w:id="98255799">
      <w:bodyDiv w:val="1"/>
      <w:marLeft w:val="0"/>
      <w:marRight w:val="0"/>
      <w:marTop w:val="0"/>
      <w:marBottom w:val="0"/>
      <w:divBdr>
        <w:top w:val="none" w:sz="0" w:space="0" w:color="auto"/>
        <w:left w:val="none" w:sz="0" w:space="0" w:color="auto"/>
        <w:bottom w:val="none" w:sz="0" w:space="0" w:color="auto"/>
        <w:right w:val="none" w:sz="0" w:space="0" w:color="auto"/>
      </w:divBdr>
    </w:div>
    <w:div w:id="148642267">
      <w:bodyDiv w:val="1"/>
      <w:marLeft w:val="0"/>
      <w:marRight w:val="0"/>
      <w:marTop w:val="0"/>
      <w:marBottom w:val="0"/>
      <w:divBdr>
        <w:top w:val="none" w:sz="0" w:space="0" w:color="auto"/>
        <w:left w:val="none" w:sz="0" w:space="0" w:color="auto"/>
        <w:bottom w:val="none" w:sz="0" w:space="0" w:color="auto"/>
        <w:right w:val="none" w:sz="0" w:space="0" w:color="auto"/>
      </w:divBdr>
    </w:div>
    <w:div w:id="215551041">
      <w:bodyDiv w:val="1"/>
      <w:marLeft w:val="0"/>
      <w:marRight w:val="0"/>
      <w:marTop w:val="0"/>
      <w:marBottom w:val="0"/>
      <w:divBdr>
        <w:top w:val="none" w:sz="0" w:space="0" w:color="auto"/>
        <w:left w:val="none" w:sz="0" w:space="0" w:color="auto"/>
        <w:bottom w:val="none" w:sz="0" w:space="0" w:color="auto"/>
        <w:right w:val="none" w:sz="0" w:space="0" w:color="auto"/>
      </w:divBdr>
    </w:div>
    <w:div w:id="548880177">
      <w:bodyDiv w:val="1"/>
      <w:marLeft w:val="0"/>
      <w:marRight w:val="0"/>
      <w:marTop w:val="0"/>
      <w:marBottom w:val="0"/>
      <w:divBdr>
        <w:top w:val="none" w:sz="0" w:space="0" w:color="auto"/>
        <w:left w:val="none" w:sz="0" w:space="0" w:color="auto"/>
        <w:bottom w:val="none" w:sz="0" w:space="0" w:color="auto"/>
        <w:right w:val="none" w:sz="0" w:space="0" w:color="auto"/>
      </w:divBdr>
    </w:div>
    <w:div w:id="1076786642">
      <w:bodyDiv w:val="1"/>
      <w:marLeft w:val="0"/>
      <w:marRight w:val="0"/>
      <w:marTop w:val="0"/>
      <w:marBottom w:val="0"/>
      <w:divBdr>
        <w:top w:val="none" w:sz="0" w:space="0" w:color="auto"/>
        <w:left w:val="none" w:sz="0" w:space="0" w:color="auto"/>
        <w:bottom w:val="none" w:sz="0" w:space="0" w:color="auto"/>
        <w:right w:val="none" w:sz="0" w:space="0" w:color="auto"/>
      </w:divBdr>
    </w:div>
    <w:div w:id="1164979011">
      <w:bodyDiv w:val="1"/>
      <w:marLeft w:val="0"/>
      <w:marRight w:val="0"/>
      <w:marTop w:val="0"/>
      <w:marBottom w:val="0"/>
      <w:divBdr>
        <w:top w:val="none" w:sz="0" w:space="0" w:color="auto"/>
        <w:left w:val="none" w:sz="0" w:space="0" w:color="auto"/>
        <w:bottom w:val="none" w:sz="0" w:space="0" w:color="auto"/>
        <w:right w:val="none" w:sz="0" w:space="0" w:color="auto"/>
      </w:divBdr>
    </w:div>
    <w:div w:id="1171338896">
      <w:bodyDiv w:val="1"/>
      <w:marLeft w:val="0"/>
      <w:marRight w:val="0"/>
      <w:marTop w:val="0"/>
      <w:marBottom w:val="0"/>
      <w:divBdr>
        <w:top w:val="none" w:sz="0" w:space="0" w:color="auto"/>
        <w:left w:val="none" w:sz="0" w:space="0" w:color="auto"/>
        <w:bottom w:val="none" w:sz="0" w:space="0" w:color="auto"/>
        <w:right w:val="none" w:sz="0" w:space="0" w:color="auto"/>
      </w:divBdr>
    </w:div>
    <w:div w:id="1663774870">
      <w:bodyDiv w:val="1"/>
      <w:marLeft w:val="0"/>
      <w:marRight w:val="0"/>
      <w:marTop w:val="0"/>
      <w:marBottom w:val="0"/>
      <w:divBdr>
        <w:top w:val="none" w:sz="0" w:space="0" w:color="auto"/>
        <w:left w:val="none" w:sz="0" w:space="0" w:color="auto"/>
        <w:bottom w:val="none" w:sz="0" w:space="0" w:color="auto"/>
        <w:right w:val="none" w:sz="0" w:space="0" w:color="auto"/>
      </w:divBdr>
    </w:div>
    <w:div w:id="1757242185">
      <w:bodyDiv w:val="1"/>
      <w:marLeft w:val="0"/>
      <w:marRight w:val="0"/>
      <w:marTop w:val="0"/>
      <w:marBottom w:val="0"/>
      <w:divBdr>
        <w:top w:val="none" w:sz="0" w:space="0" w:color="auto"/>
        <w:left w:val="none" w:sz="0" w:space="0" w:color="auto"/>
        <w:bottom w:val="none" w:sz="0" w:space="0" w:color="auto"/>
        <w:right w:val="none" w:sz="0" w:space="0" w:color="auto"/>
      </w:divBdr>
    </w:div>
    <w:div w:id="19410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0</TotalTime>
  <Pages>6</Pages>
  <Words>1943</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2015-12-04T14:19:00Z</cp:lastPrinted>
  <dcterms:created xsi:type="dcterms:W3CDTF">2015-12-15T15:57:00Z</dcterms:created>
  <dcterms:modified xsi:type="dcterms:W3CDTF">2015-12-15T15:57:00Z</dcterms:modified>
</cp:coreProperties>
</file>