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B4E" w:rsidRPr="003301B8" w:rsidRDefault="00201B2A" w:rsidP="00E43366">
      <w:pPr>
        <w:pStyle w:val="Encabezado"/>
        <w:tabs>
          <w:tab w:val="clear" w:pos="8504"/>
          <w:tab w:val="left" w:pos="0"/>
          <w:tab w:val="right" w:pos="9356"/>
        </w:tabs>
        <w:ind w:left="0"/>
        <w:jc w:val="both"/>
        <w:rPr>
          <w:rFonts w:ascii="Bookman Old Style" w:hAnsi="Bookman Old Style"/>
          <w:b/>
          <w:bCs/>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8240" fillcolor="#0c9">
            <v:imagedata r:id="rId8" o:title=""/>
          </v:shape>
          <o:OLEObject Type="Embed" ProgID="PBrush" ShapeID="_x0000_s1026" DrawAspect="Content" ObjectID="_1637990656" r:id="rId9"/>
        </w:object>
      </w:r>
    </w:p>
    <w:p w:rsidR="00B60B4E" w:rsidRPr="003301B8" w:rsidRDefault="00B60B4E" w:rsidP="00B60B4E">
      <w:pPr>
        <w:pStyle w:val="Ttulo4"/>
        <w:tabs>
          <w:tab w:val="left" w:pos="0"/>
          <w:tab w:val="right" w:pos="9356"/>
        </w:tabs>
        <w:ind w:left="0"/>
        <w:rPr>
          <w:rFonts w:ascii="Bookman Old Style" w:hAnsi="Bookman Old Style"/>
          <w:b w:val="0"/>
          <w:bCs/>
          <w:noProof/>
          <w:sz w:val="24"/>
          <w:szCs w:val="24"/>
          <w:lang w:val="es-ES"/>
        </w:rPr>
      </w:pPr>
      <w:r w:rsidRPr="003301B8">
        <w:rPr>
          <w:rFonts w:ascii="Bookman Old Style" w:hAnsi="Bookman Old Style"/>
          <w:b w:val="0"/>
          <w:bCs/>
          <w:sz w:val="24"/>
          <w:szCs w:val="24"/>
        </w:rPr>
        <w:t>Ministerio de Minas y Energía</w:t>
      </w:r>
    </w:p>
    <w:p w:rsidR="00B60B4E" w:rsidRPr="003301B8" w:rsidRDefault="00B60B4E" w:rsidP="00B60B4E">
      <w:pPr>
        <w:pStyle w:val="Ttulo4"/>
        <w:tabs>
          <w:tab w:val="left" w:pos="0"/>
          <w:tab w:val="right" w:pos="9356"/>
        </w:tabs>
        <w:ind w:left="0"/>
        <w:rPr>
          <w:rFonts w:ascii="Bookman Old Style" w:hAnsi="Bookman Old Style"/>
          <w:b w:val="0"/>
          <w:bCs/>
          <w:sz w:val="24"/>
          <w:szCs w:val="24"/>
        </w:rPr>
      </w:pPr>
    </w:p>
    <w:p w:rsidR="00B60B4E" w:rsidRPr="003301B8" w:rsidRDefault="00B60B4E" w:rsidP="00B60B4E">
      <w:pPr>
        <w:pStyle w:val="Ttulo3"/>
        <w:tabs>
          <w:tab w:val="left" w:pos="0"/>
          <w:tab w:val="right" w:pos="9356"/>
        </w:tabs>
        <w:ind w:left="0"/>
        <w:rPr>
          <w:rFonts w:ascii="Bookman Old Style" w:hAnsi="Bookman Old Style" w:cs="Arial"/>
          <w:spacing w:val="20"/>
          <w:szCs w:val="24"/>
        </w:rPr>
      </w:pPr>
      <w:r w:rsidRPr="003301B8">
        <w:rPr>
          <w:rFonts w:ascii="Bookman Old Style" w:hAnsi="Bookman Old Style" w:cs="Arial"/>
          <w:spacing w:val="20"/>
          <w:szCs w:val="24"/>
        </w:rPr>
        <w:t>COMISIÓN DE REGULACIÓN DE ENERGÍA Y GAS</w:t>
      </w:r>
    </w:p>
    <w:p w:rsidR="00B60B4E" w:rsidRPr="003301B8" w:rsidRDefault="00B60B4E" w:rsidP="00B60B4E">
      <w:pPr>
        <w:pStyle w:val="Ttulo5"/>
        <w:tabs>
          <w:tab w:val="left" w:pos="0"/>
          <w:tab w:val="right" w:pos="9356"/>
        </w:tabs>
        <w:ind w:left="0"/>
        <w:rPr>
          <w:rFonts w:ascii="Bookman Old Style" w:hAnsi="Bookman Old Style"/>
          <w:sz w:val="24"/>
          <w:szCs w:val="24"/>
        </w:rPr>
      </w:pPr>
    </w:p>
    <w:p w:rsidR="00B60B4E" w:rsidRPr="003301B8" w:rsidRDefault="00B60B4E" w:rsidP="00B60B4E">
      <w:pPr>
        <w:pStyle w:val="Ttulo5"/>
        <w:tabs>
          <w:tab w:val="left" w:pos="0"/>
          <w:tab w:val="right" w:pos="9356"/>
        </w:tabs>
        <w:ind w:left="0"/>
        <w:rPr>
          <w:rFonts w:ascii="Bookman Old Style" w:hAnsi="Bookman Old Style"/>
          <w:sz w:val="24"/>
          <w:szCs w:val="24"/>
        </w:rPr>
      </w:pPr>
      <w:r w:rsidRPr="003301B8">
        <w:rPr>
          <w:rFonts w:ascii="Bookman Old Style" w:hAnsi="Bookman Old Style"/>
          <w:sz w:val="24"/>
          <w:szCs w:val="24"/>
        </w:rPr>
        <w:t xml:space="preserve">RESOLUCIÓN No.  </w:t>
      </w:r>
      <w:r w:rsidR="00E43366">
        <w:rPr>
          <w:rFonts w:ascii="Bookman Old Style" w:hAnsi="Bookman Old Style"/>
          <w:sz w:val="24"/>
          <w:szCs w:val="24"/>
        </w:rPr>
        <w:t xml:space="preserve">   </w:t>
      </w:r>
      <w:r w:rsidRPr="003301B8">
        <w:rPr>
          <w:rFonts w:ascii="Bookman Old Style" w:hAnsi="Bookman Old Style"/>
          <w:sz w:val="24"/>
          <w:szCs w:val="24"/>
        </w:rPr>
        <w:t xml:space="preserve">        DE 201</w:t>
      </w:r>
      <w:r>
        <w:rPr>
          <w:rFonts w:ascii="Bookman Old Style" w:hAnsi="Bookman Old Style"/>
          <w:sz w:val="24"/>
          <w:szCs w:val="24"/>
        </w:rPr>
        <w:t>9</w:t>
      </w:r>
    </w:p>
    <w:p w:rsidR="00B60B4E" w:rsidRPr="003301B8" w:rsidRDefault="00B60B4E" w:rsidP="00B60B4E">
      <w:pPr>
        <w:tabs>
          <w:tab w:val="left" w:pos="0"/>
          <w:tab w:val="right" w:pos="9356"/>
        </w:tabs>
        <w:ind w:left="0"/>
        <w:jc w:val="center"/>
        <w:rPr>
          <w:rFonts w:ascii="Bookman Old Style" w:hAnsi="Bookman Old Style" w:cs="Arial"/>
          <w:b/>
          <w:snapToGrid w:val="0"/>
          <w:color w:val="000000"/>
          <w:lang w:val="es-ES_tradnl"/>
        </w:rPr>
      </w:pPr>
    </w:p>
    <w:p w:rsidR="00B60B4E" w:rsidRPr="003301B8" w:rsidRDefault="00B60B4E" w:rsidP="00B60B4E">
      <w:pPr>
        <w:pStyle w:val="Ttulo3"/>
        <w:tabs>
          <w:tab w:val="left" w:pos="0"/>
          <w:tab w:val="right" w:pos="9356"/>
        </w:tabs>
        <w:ind w:left="0"/>
        <w:rPr>
          <w:rFonts w:ascii="Bookman Old Style" w:hAnsi="Bookman Old Style"/>
          <w:b w:val="0"/>
          <w:szCs w:val="24"/>
        </w:rPr>
      </w:pPr>
      <w:r w:rsidRPr="003301B8">
        <w:rPr>
          <w:rFonts w:ascii="Bookman Old Style" w:hAnsi="Bookman Old Style"/>
          <w:b w:val="0"/>
          <w:szCs w:val="24"/>
        </w:rPr>
        <w:t xml:space="preserve">(        </w:t>
      </w:r>
      <w:r w:rsidR="00E43366">
        <w:rPr>
          <w:rFonts w:ascii="Bookman Old Style" w:hAnsi="Bookman Old Style"/>
          <w:b w:val="0"/>
          <w:szCs w:val="24"/>
        </w:rPr>
        <w:t xml:space="preserve">              </w:t>
      </w:r>
      <w:r w:rsidRPr="003301B8">
        <w:rPr>
          <w:rFonts w:ascii="Bookman Old Style" w:hAnsi="Bookman Old Style"/>
          <w:b w:val="0"/>
          <w:szCs w:val="24"/>
        </w:rPr>
        <w:t xml:space="preserve">         )</w:t>
      </w:r>
    </w:p>
    <w:p w:rsidR="00B60B4E" w:rsidRPr="003301B8" w:rsidRDefault="00B60B4E" w:rsidP="00B60B4E">
      <w:pPr>
        <w:tabs>
          <w:tab w:val="left" w:pos="0"/>
          <w:tab w:val="right" w:pos="9356"/>
        </w:tabs>
        <w:ind w:left="0"/>
        <w:jc w:val="center"/>
        <w:rPr>
          <w:rFonts w:ascii="Bookman Old Style" w:hAnsi="Bookman Old Style"/>
          <w:lang w:val="es-ES_tradnl"/>
        </w:rPr>
      </w:pPr>
    </w:p>
    <w:p w:rsidR="00B60B4E" w:rsidRDefault="00B60B4E" w:rsidP="00B60B4E">
      <w:pPr>
        <w:ind w:left="0"/>
        <w:rPr>
          <w:rFonts w:ascii="Bookman Old Style" w:hAnsi="Bookman Old Style"/>
          <w:bCs/>
          <w:lang w:val="es-ES_tradnl"/>
        </w:rPr>
      </w:pPr>
    </w:p>
    <w:p w:rsidR="00E43366" w:rsidRPr="003301B8" w:rsidRDefault="00E43366" w:rsidP="00B60B4E">
      <w:pPr>
        <w:ind w:left="0"/>
        <w:rPr>
          <w:rFonts w:ascii="Bookman Old Style" w:hAnsi="Bookman Old Style"/>
          <w:bCs/>
          <w:lang w:val="es-ES_tradnl"/>
        </w:rPr>
      </w:pPr>
    </w:p>
    <w:p w:rsidR="00B60B4E" w:rsidRPr="003301B8" w:rsidRDefault="00B60B4E" w:rsidP="00B60B4E">
      <w:pPr>
        <w:ind w:left="227" w:right="-142"/>
        <w:jc w:val="center"/>
        <w:rPr>
          <w:rFonts w:ascii="Bookman Old Style" w:hAnsi="Bookman Old Style"/>
        </w:rPr>
      </w:pPr>
      <w:r w:rsidRPr="003301B8">
        <w:rPr>
          <w:rFonts w:ascii="Bookman Old Style" w:hAnsi="Bookman Old Style"/>
        </w:rPr>
        <w:t xml:space="preserve">Por medio de la cual se resuelve </w:t>
      </w:r>
      <w:r>
        <w:rPr>
          <w:rFonts w:ascii="Bookman Old Style" w:hAnsi="Bookman Old Style"/>
        </w:rPr>
        <w:t>el</w:t>
      </w:r>
      <w:r w:rsidRPr="003301B8">
        <w:rPr>
          <w:rFonts w:ascii="Bookman Old Style" w:hAnsi="Bookman Old Style"/>
        </w:rPr>
        <w:t xml:space="preserve"> recurso de reposición </w:t>
      </w:r>
      <w:r>
        <w:rPr>
          <w:rFonts w:ascii="Bookman Old Style" w:hAnsi="Bookman Old Style"/>
        </w:rPr>
        <w:t xml:space="preserve">interpuesto por DISTRIBUIDORA Y COMERCIALIZADORA DE ENERGÍA ELÉCTRICA - DICEL S.A. E.S.P., </w:t>
      </w:r>
      <w:r w:rsidRPr="003301B8">
        <w:rPr>
          <w:rFonts w:ascii="Bookman Old Style" w:hAnsi="Bookman Old Style"/>
        </w:rPr>
        <w:t xml:space="preserve">en contra de la Resolución CREG </w:t>
      </w:r>
      <w:r>
        <w:rPr>
          <w:rFonts w:ascii="Bookman Old Style" w:hAnsi="Bookman Old Style"/>
        </w:rPr>
        <w:t>139 de 2018</w:t>
      </w:r>
    </w:p>
    <w:p w:rsidR="00B60B4E" w:rsidRDefault="00B60B4E" w:rsidP="00B60B4E">
      <w:pPr>
        <w:ind w:left="170" w:right="-454"/>
        <w:jc w:val="both"/>
        <w:rPr>
          <w:rFonts w:ascii="Bookman Old Style" w:hAnsi="Bookman Old Style"/>
        </w:rPr>
      </w:pPr>
    </w:p>
    <w:p w:rsidR="00E43366" w:rsidRPr="003301B8" w:rsidRDefault="00E43366" w:rsidP="00B60B4E">
      <w:pPr>
        <w:ind w:left="170" w:right="-454"/>
        <w:jc w:val="both"/>
        <w:rPr>
          <w:rFonts w:ascii="Bookman Old Style" w:hAnsi="Bookman Old Style"/>
        </w:rPr>
      </w:pPr>
    </w:p>
    <w:p w:rsidR="00B60B4E" w:rsidRPr="003301B8" w:rsidRDefault="00B60B4E" w:rsidP="00B60B4E">
      <w:pPr>
        <w:ind w:left="170" w:right="-454"/>
        <w:jc w:val="center"/>
        <w:rPr>
          <w:rFonts w:ascii="Bookman Old Style" w:hAnsi="Bookman Old Style"/>
          <w:b/>
        </w:rPr>
      </w:pPr>
      <w:r w:rsidRPr="003301B8">
        <w:rPr>
          <w:rFonts w:ascii="Bookman Old Style" w:hAnsi="Bookman Old Style"/>
          <w:b/>
        </w:rPr>
        <w:t>LA COMISIÓN DE REGULACIÓN DE ENERGÍA Y GAS -CREG-</w:t>
      </w:r>
    </w:p>
    <w:p w:rsidR="00B60B4E" w:rsidRPr="003301B8" w:rsidRDefault="00B60B4E" w:rsidP="00B60B4E">
      <w:pPr>
        <w:ind w:left="170" w:right="-454"/>
        <w:jc w:val="both"/>
        <w:rPr>
          <w:rFonts w:ascii="Bookman Old Style" w:hAnsi="Bookman Old Style"/>
        </w:rPr>
      </w:pPr>
    </w:p>
    <w:p w:rsidR="00B60B4E" w:rsidRPr="003301B8" w:rsidRDefault="00B60B4E" w:rsidP="00B60B4E">
      <w:pPr>
        <w:ind w:left="170"/>
        <w:jc w:val="both"/>
        <w:rPr>
          <w:rFonts w:ascii="Bookman Old Style" w:hAnsi="Bookman Old Style"/>
        </w:rPr>
      </w:pPr>
      <w:r w:rsidRPr="003301B8">
        <w:rPr>
          <w:rFonts w:ascii="Bookman Old Style" w:hAnsi="Bookman Old Style"/>
        </w:rPr>
        <w:t>En uso de sus facultades legales, en especial las conferidas por las Leyes 142 de 1994 y 143 de 1994, y en desarrollo de l</w:t>
      </w:r>
      <w:r>
        <w:rPr>
          <w:rFonts w:ascii="Bookman Old Style" w:hAnsi="Bookman Old Style"/>
        </w:rPr>
        <w:t>os decretos 1524 y 2253 de 1994 y 1260 de 2013,</w:t>
      </w:r>
      <w:r w:rsidRPr="003301B8">
        <w:rPr>
          <w:rFonts w:ascii="Bookman Old Style" w:hAnsi="Bookman Old Style"/>
        </w:rPr>
        <w:t xml:space="preserve"> </w:t>
      </w:r>
    </w:p>
    <w:p w:rsidR="00B60B4E" w:rsidRPr="003301B8" w:rsidRDefault="00B60B4E" w:rsidP="00B60B4E">
      <w:pPr>
        <w:ind w:left="0" w:right="-454"/>
        <w:jc w:val="both"/>
        <w:rPr>
          <w:rFonts w:ascii="Bookman Old Style" w:hAnsi="Bookman Old Style"/>
        </w:rPr>
      </w:pPr>
    </w:p>
    <w:p w:rsidR="00B60B4E" w:rsidRPr="003301B8" w:rsidRDefault="00B60B4E" w:rsidP="00B60B4E">
      <w:pPr>
        <w:tabs>
          <w:tab w:val="center" w:pos="4512"/>
        </w:tabs>
        <w:suppressAutoHyphens/>
        <w:ind w:left="170" w:right="-454"/>
        <w:jc w:val="center"/>
        <w:rPr>
          <w:rFonts w:ascii="Bookman Old Style" w:hAnsi="Bookman Old Style"/>
          <w:b/>
          <w:spacing w:val="-3"/>
        </w:rPr>
      </w:pPr>
      <w:r w:rsidRPr="003301B8">
        <w:rPr>
          <w:rFonts w:ascii="Bookman Old Style" w:hAnsi="Bookman Old Style"/>
          <w:b/>
          <w:spacing w:val="-3"/>
        </w:rPr>
        <w:t>C O N S I D E R A N D O:</w:t>
      </w:r>
    </w:p>
    <w:p w:rsidR="00B60B4E" w:rsidRPr="003301B8" w:rsidRDefault="00B60B4E" w:rsidP="00B60B4E">
      <w:pPr>
        <w:ind w:left="0"/>
        <w:jc w:val="both"/>
        <w:rPr>
          <w:rFonts w:ascii="Bookman Old Style" w:hAnsi="Bookman Old Style"/>
        </w:rPr>
      </w:pPr>
    </w:p>
    <w:p w:rsidR="00B60B4E" w:rsidRPr="003301B8" w:rsidRDefault="00B60B4E" w:rsidP="00B60B4E">
      <w:pPr>
        <w:ind w:left="0"/>
        <w:jc w:val="both"/>
        <w:rPr>
          <w:rFonts w:ascii="Bookman Old Style" w:hAnsi="Bookman Old Style" w:cs="Arial"/>
        </w:rPr>
      </w:pPr>
      <w:r w:rsidRPr="003301B8">
        <w:rPr>
          <w:rFonts w:ascii="Bookman Old Style" w:hAnsi="Bookman Old Style" w:cs="Arial"/>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B60B4E" w:rsidRPr="003301B8" w:rsidRDefault="00B60B4E" w:rsidP="00B60B4E">
      <w:pPr>
        <w:ind w:left="0"/>
        <w:jc w:val="both"/>
        <w:rPr>
          <w:rFonts w:ascii="Bookman Old Style" w:hAnsi="Bookman Old Style" w:cs="Arial"/>
        </w:rPr>
      </w:pPr>
    </w:p>
    <w:p w:rsidR="00B60B4E" w:rsidRPr="003301B8" w:rsidRDefault="00B60B4E" w:rsidP="00B60B4E">
      <w:pPr>
        <w:ind w:left="0"/>
        <w:jc w:val="both"/>
        <w:rPr>
          <w:rFonts w:ascii="Bookman Old Style" w:hAnsi="Bookman Old Style" w:cs="Arial"/>
        </w:rPr>
      </w:pPr>
      <w:r w:rsidRPr="003301B8">
        <w:rPr>
          <w:rFonts w:ascii="Bookman Old Style" w:hAnsi="Bookman Old Style" w:cs="Arial"/>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B60B4E" w:rsidRPr="003301B8" w:rsidRDefault="00B60B4E" w:rsidP="00B60B4E">
      <w:pPr>
        <w:pStyle w:val="Prrafodelista"/>
        <w:ind w:left="720"/>
        <w:jc w:val="both"/>
        <w:rPr>
          <w:rFonts w:ascii="Bookman Old Style" w:hAnsi="Bookman Old Style" w:cs="Arial"/>
          <w:sz w:val="24"/>
          <w:szCs w:val="24"/>
        </w:rPr>
      </w:pPr>
    </w:p>
    <w:p w:rsidR="00B60B4E" w:rsidRPr="003301B8" w:rsidRDefault="00B60B4E" w:rsidP="00B60B4E">
      <w:pPr>
        <w:ind w:left="0"/>
        <w:jc w:val="both"/>
        <w:rPr>
          <w:rFonts w:ascii="Bookman Old Style" w:hAnsi="Bookman Old Style" w:cs="Arial"/>
        </w:rPr>
      </w:pPr>
      <w:r w:rsidRPr="003301B8">
        <w:rPr>
          <w:rFonts w:ascii="Bookman Old Style" w:hAnsi="Bookman Old Style" w:cs="Arial"/>
        </w:rPr>
        <w:t>Que mediante resolución CREG-</w:t>
      </w:r>
      <w:r>
        <w:rPr>
          <w:rFonts w:ascii="Bookman Old Style" w:hAnsi="Bookman Old Style" w:cs="Arial"/>
        </w:rPr>
        <w:t>139 de 2018</w:t>
      </w:r>
      <w:r w:rsidRPr="003301B8">
        <w:rPr>
          <w:rFonts w:ascii="Bookman Old Style" w:hAnsi="Bookman Old Style" w:cs="Arial"/>
        </w:rPr>
        <w:t xml:space="preserve"> se señala la contribución que debe pagar a la Comisión de Regulación de Energía y Gas –CREG- cada una de las entidades reguladas por el año 201</w:t>
      </w:r>
      <w:r>
        <w:rPr>
          <w:rFonts w:ascii="Bookman Old Style" w:hAnsi="Bookman Old Style" w:cs="Arial"/>
        </w:rPr>
        <w:t>8</w:t>
      </w:r>
      <w:r w:rsidRPr="003301B8">
        <w:rPr>
          <w:rFonts w:ascii="Bookman Old Style" w:hAnsi="Bookman Old Style" w:cs="Arial"/>
        </w:rPr>
        <w:t>.</w:t>
      </w:r>
    </w:p>
    <w:p w:rsidR="00B60B4E" w:rsidRPr="003301B8" w:rsidRDefault="00B60B4E" w:rsidP="00B60B4E">
      <w:pPr>
        <w:ind w:left="0"/>
        <w:jc w:val="both"/>
        <w:rPr>
          <w:rFonts w:ascii="Bookman Old Style" w:hAnsi="Bookman Old Style" w:cs="Arial"/>
        </w:rPr>
      </w:pPr>
      <w:r w:rsidRPr="003301B8">
        <w:rPr>
          <w:rFonts w:ascii="Bookman Old Style" w:hAnsi="Bookman Old Style" w:cs="Arial"/>
        </w:rPr>
        <w:t xml:space="preserve"> </w:t>
      </w:r>
    </w:p>
    <w:p w:rsidR="00B60B4E" w:rsidRPr="003301B8" w:rsidRDefault="00B60B4E" w:rsidP="00B60B4E">
      <w:pPr>
        <w:ind w:left="0"/>
        <w:jc w:val="both"/>
        <w:rPr>
          <w:rFonts w:ascii="Bookman Old Style" w:hAnsi="Bookman Old Style" w:cs="Arial"/>
        </w:rPr>
      </w:pPr>
      <w:r>
        <w:rPr>
          <w:rFonts w:ascii="Bookman Old Style" w:hAnsi="Bookman Old Style" w:cs="Arial"/>
        </w:rPr>
        <w:t xml:space="preserve">Que </w:t>
      </w:r>
      <w:r w:rsidRPr="00AB625B">
        <w:rPr>
          <w:rFonts w:ascii="Bookman Old Style" w:hAnsi="Bookman Old Style" w:cs="Arial"/>
        </w:rPr>
        <w:t xml:space="preserve">la </w:t>
      </w:r>
      <w:r>
        <w:rPr>
          <w:rFonts w:ascii="Bookman Old Style" w:hAnsi="Bookman Old Style" w:cs="Arial"/>
        </w:rPr>
        <w:t xml:space="preserve">DISTRIBUIDORA Y COMERCIALIZADORA DE ENERGÍA ELÉCTRICA - DICEL S.A. E.S.P., </w:t>
      </w:r>
      <w:r w:rsidRPr="003301B8">
        <w:rPr>
          <w:rFonts w:ascii="Bookman Old Style" w:hAnsi="Bookman Old Style" w:cs="Arial"/>
        </w:rPr>
        <w:t xml:space="preserve">fue notificada </w:t>
      </w:r>
      <w:r>
        <w:rPr>
          <w:rFonts w:ascii="Bookman Old Style" w:hAnsi="Bookman Old Style" w:cs="Arial"/>
        </w:rPr>
        <w:t xml:space="preserve">conforme a los mecanismos previstos en la ley </w:t>
      </w:r>
      <w:r w:rsidRPr="003301B8">
        <w:rPr>
          <w:rFonts w:ascii="Bookman Old Style" w:hAnsi="Bookman Old Style" w:cs="Arial"/>
        </w:rPr>
        <w:t>del contenido de la resolución CREG-</w:t>
      </w:r>
      <w:r>
        <w:rPr>
          <w:rFonts w:ascii="Bookman Old Style" w:hAnsi="Bookman Old Style" w:cs="Arial"/>
        </w:rPr>
        <w:t>139 de 2018</w:t>
      </w:r>
      <w:r w:rsidRPr="003301B8">
        <w:rPr>
          <w:rFonts w:ascii="Bookman Old Style" w:hAnsi="Bookman Old Style" w:cs="Arial"/>
        </w:rPr>
        <w:t xml:space="preserve">. </w:t>
      </w:r>
    </w:p>
    <w:p w:rsidR="00B60B4E" w:rsidRPr="003301B8" w:rsidRDefault="00B60B4E" w:rsidP="00B60B4E">
      <w:pPr>
        <w:pStyle w:val="Prrafodelista"/>
        <w:rPr>
          <w:rFonts w:ascii="Bookman Old Style" w:hAnsi="Bookman Old Style" w:cs="Arial"/>
          <w:sz w:val="24"/>
          <w:szCs w:val="24"/>
        </w:rPr>
      </w:pPr>
    </w:p>
    <w:p w:rsidR="00B60B4E" w:rsidRPr="003301B8" w:rsidRDefault="00B60B4E" w:rsidP="00B60B4E">
      <w:pPr>
        <w:ind w:left="0"/>
        <w:jc w:val="both"/>
        <w:rPr>
          <w:rFonts w:ascii="Bookman Old Style" w:hAnsi="Bookman Old Style" w:cs="Arial"/>
          <w:highlight w:val="yellow"/>
        </w:rPr>
      </w:pPr>
      <w:r w:rsidRPr="003301B8">
        <w:rPr>
          <w:rFonts w:ascii="Bookman Old Style" w:hAnsi="Bookman Old Style" w:cs="Arial"/>
        </w:rPr>
        <w:t>Que, encontrándose dentro del término legal, mediante escrito presentado en la Comisión de Regulaci</w:t>
      </w:r>
      <w:r w:rsidRPr="00B14164">
        <w:rPr>
          <w:rFonts w:ascii="Bookman Old Style" w:hAnsi="Bookman Old Style" w:cs="Arial"/>
        </w:rPr>
        <w:t xml:space="preserve">ón de Energía </w:t>
      </w:r>
      <w:r w:rsidRPr="00AB625B">
        <w:rPr>
          <w:rFonts w:ascii="Bookman Old Style" w:hAnsi="Bookman Old Style" w:cs="Arial"/>
        </w:rPr>
        <w:t>y Gas -CREG- bajo radicado número E-201</w:t>
      </w:r>
      <w:r>
        <w:rPr>
          <w:rFonts w:ascii="Bookman Old Style" w:hAnsi="Bookman Old Style" w:cs="Arial"/>
        </w:rPr>
        <w:t>9</w:t>
      </w:r>
      <w:r w:rsidRPr="00AB625B">
        <w:rPr>
          <w:rFonts w:ascii="Bookman Old Style" w:hAnsi="Bookman Old Style" w:cs="Arial"/>
        </w:rPr>
        <w:t>-0</w:t>
      </w:r>
      <w:r>
        <w:rPr>
          <w:rFonts w:ascii="Bookman Old Style" w:hAnsi="Bookman Old Style" w:cs="Arial"/>
        </w:rPr>
        <w:t>00781</w:t>
      </w:r>
      <w:r w:rsidRPr="00AB625B">
        <w:rPr>
          <w:rFonts w:ascii="Bookman Old Style" w:hAnsi="Bookman Old Style" w:cs="Arial"/>
        </w:rPr>
        <w:t xml:space="preserve"> del </w:t>
      </w:r>
      <w:r>
        <w:rPr>
          <w:rFonts w:ascii="Bookman Old Style" w:hAnsi="Bookman Old Style" w:cs="Arial"/>
        </w:rPr>
        <w:t>23</w:t>
      </w:r>
      <w:r w:rsidRPr="00AB625B">
        <w:rPr>
          <w:rFonts w:ascii="Bookman Old Style" w:hAnsi="Bookman Old Style" w:cs="Arial"/>
        </w:rPr>
        <w:t xml:space="preserve"> de </w:t>
      </w:r>
      <w:r>
        <w:rPr>
          <w:rFonts w:ascii="Bookman Old Style" w:hAnsi="Bookman Old Style" w:cs="Arial"/>
        </w:rPr>
        <w:t>enero de 2019</w:t>
      </w:r>
      <w:r w:rsidRPr="00AB625B">
        <w:rPr>
          <w:rFonts w:ascii="Bookman Old Style" w:hAnsi="Bookman Old Style" w:cs="Arial"/>
        </w:rPr>
        <w:t>,</w:t>
      </w:r>
      <w:r w:rsidRPr="006872DA">
        <w:rPr>
          <w:rFonts w:ascii="Bookman Old Style" w:hAnsi="Bookman Old Style" w:cs="Arial"/>
        </w:rPr>
        <w:t xml:space="preserve"> </w:t>
      </w:r>
      <w:r>
        <w:rPr>
          <w:rFonts w:ascii="Bookman Old Style" w:hAnsi="Bookman Old Style" w:cs="Arial"/>
        </w:rPr>
        <w:t xml:space="preserve">el señor </w:t>
      </w:r>
      <w:r w:rsidRPr="00B60B4E">
        <w:rPr>
          <w:rFonts w:ascii="Bookman Old Style" w:hAnsi="Bookman Old Style" w:cs="Arial"/>
        </w:rPr>
        <w:t>MARINO DEL RIO URIBE,</w:t>
      </w:r>
      <w:r w:rsidRPr="003506D0">
        <w:rPr>
          <w:rFonts w:ascii="Bookman Old Style" w:hAnsi="Bookman Old Style" w:cs="Arial"/>
        </w:rPr>
        <w:t xml:space="preserve"> </w:t>
      </w:r>
      <w:r>
        <w:rPr>
          <w:rFonts w:ascii="Bookman Old Style" w:hAnsi="Bookman Old Style" w:cs="Arial"/>
        </w:rPr>
        <w:t>en su calidad de representante legal</w:t>
      </w:r>
      <w:r w:rsidRPr="001F63EB">
        <w:rPr>
          <w:rFonts w:ascii="Bookman Old Style" w:hAnsi="Bookman Old Style" w:cs="Arial"/>
        </w:rPr>
        <w:t xml:space="preserve"> de la</w:t>
      </w:r>
      <w:r>
        <w:rPr>
          <w:rFonts w:ascii="Bookman Old Style" w:hAnsi="Bookman Old Style" w:cs="Arial"/>
        </w:rPr>
        <w:t xml:space="preserve"> empresa</w:t>
      </w:r>
      <w:r w:rsidRPr="001F63EB">
        <w:rPr>
          <w:rFonts w:ascii="Bookman Old Style" w:hAnsi="Bookman Old Style" w:cs="Arial"/>
        </w:rPr>
        <w:t xml:space="preserve"> </w:t>
      </w:r>
      <w:r>
        <w:rPr>
          <w:rFonts w:ascii="Bookman Old Style" w:hAnsi="Bookman Old Style" w:cs="Arial"/>
        </w:rPr>
        <w:t xml:space="preserve">DISTRIBUIDORA Y </w:t>
      </w:r>
      <w:r>
        <w:rPr>
          <w:rFonts w:ascii="Bookman Old Style" w:hAnsi="Bookman Old Style" w:cs="Arial"/>
        </w:rPr>
        <w:lastRenderedPageBreak/>
        <w:t xml:space="preserve">COMERCIALIZADORA DE ENERGÍA ELÉCTRICA - DICEL S.A. E.S.P., </w:t>
      </w:r>
      <w:r w:rsidRPr="003301B8">
        <w:rPr>
          <w:rFonts w:ascii="Bookman Old Style" w:hAnsi="Bookman Old Style" w:cs="Arial"/>
        </w:rPr>
        <w:t>presentó recurso de reposición contra la resolución CREG-</w:t>
      </w:r>
      <w:r>
        <w:rPr>
          <w:rFonts w:ascii="Bookman Old Style" w:hAnsi="Bookman Old Style" w:cs="Arial"/>
        </w:rPr>
        <w:t>139 de 2018</w:t>
      </w:r>
      <w:r w:rsidRPr="003301B8">
        <w:rPr>
          <w:rFonts w:ascii="Bookman Old Style" w:hAnsi="Bookman Old Style" w:cs="Arial"/>
        </w:rPr>
        <w:t>.</w:t>
      </w:r>
    </w:p>
    <w:p w:rsidR="00B60B4E" w:rsidRPr="003301B8" w:rsidRDefault="00B60B4E" w:rsidP="00B60B4E">
      <w:pPr>
        <w:ind w:left="0"/>
        <w:jc w:val="both"/>
        <w:rPr>
          <w:rFonts w:ascii="Bookman Old Style" w:hAnsi="Bookman Old Style" w:cs="Arial"/>
        </w:rPr>
      </w:pPr>
    </w:p>
    <w:p w:rsidR="00B60B4E" w:rsidRPr="003301B8" w:rsidRDefault="00B60B4E" w:rsidP="00B60B4E">
      <w:pPr>
        <w:ind w:left="0"/>
        <w:jc w:val="both"/>
        <w:rPr>
          <w:rFonts w:ascii="Bookman Old Style" w:hAnsi="Bookman Old Style" w:cs="Arial"/>
        </w:rPr>
      </w:pPr>
      <w:r w:rsidRPr="003301B8">
        <w:rPr>
          <w:rFonts w:ascii="Bookman Old Style" w:hAnsi="Bookman Old Style" w:cs="Arial"/>
        </w:rPr>
        <w:t xml:space="preserve">Que, mediante la presente resolución, se procede a resolver este recurso en contra de la Resolución CREG </w:t>
      </w:r>
      <w:r>
        <w:rPr>
          <w:rFonts w:ascii="Bookman Old Style" w:hAnsi="Bookman Old Style" w:cs="Arial"/>
        </w:rPr>
        <w:t>139 de 2018</w:t>
      </w:r>
      <w:r w:rsidRPr="003301B8">
        <w:rPr>
          <w:rFonts w:ascii="Bookman Old Style" w:hAnsi="Bookman Old Style" w:cs="Arial"/>
        </w:rPr>
        <w:t>, con base en las siguientes consideraciones:</w:t>
      </w:r>
    </w:p>
    <w:p w:rsidR="00B60B4E" w:rsidRDefault="00B60B4E" w:rsidP="00B60B4E">
      <w:pPr>
        <w:ind w:left="0"/>
        <w:jc w:val="both"/>
        <w:rPr>
          <w:rFonts w:ascii="Bookman Old Style" w:hAnsi="Bookman Old Style" w:cs="Arial"/>
        </w:rPr>
      </w:pPr>
    </w:p>
    <w:p w:rsidR="00B60B4E" w:rsidRPr="003301B8" w:rsidRDefault="00B60B4E" w:rsidP="00B60B4E">
      <w:pPr>
        <w:ind w:left="0"/>
        <w:jc w:val="both"/>
        <w:rPr>
          <w:rFonts w:ascii="Bookman Old Style" w:hAnsi="Bookman Old Style" w:cs="Arial"/>
        </w:rPr>
      </w:pPr>
    </w:p>
    <w:p w:rsidR="00B60B4E" w:rsidRPr="003301B8" w:rsidRDefault="00B60B4E" w:rsidP="00B60B4E">
      <w:pPr>
        <w:pStyle w:val="Prrafodelista"/>
        <w:numPr>
          <w:ilvl w:val="0"/>
          <w:numId w:val="2"/>
        </w:numPr>
        <w:jc w:val="both"/>
        <w:rPr>
          <w:rFonts w:ascii="Bookman Old Style" w:hAnsi="Bookman Old Style" w:cs="Arial"/>
          <w:b/>
          <w:sz w:val="24"/>
          <w:szCs w:val="24"/>
        </w:rPr>
      </w:pPr>
      <w:r w:rsidRPr="003301B8">
        <w:rPr>
          <w:rFonts w:ascii="Bookman Old Style" w:hAnsi="Bookman Old Style" w:cs="Arial"/>
          <w:b/>
          <w:sz w:val="24"/>
          <w:szCs w:val="24"/>
        </w:rPr>
        <w:t>EL RECURSO DE REPOSICIÓN</w:t>
      </w:r>
    </w:p>
    <w:p w:rsidR="00B60B4E" w:rsidRPr="003301B8" w:rsidRDefault="00B60B4E" w:rsidP="00B60B4E">
      <w:pPr>
        <w:ind w:left="0"/>
        <w:jc w:val="both"/>
        <w:rPr>
          <w:rFonts w:ascii="Bookman Old Style" w:hAnsi="Bookman Old Style" w:cs="Arial"/>
        </w:rPr>
      </w:pPr>
    </w:p>
    <w:p w:rsidR="00B60B4E" w:rsidRPr="003301B8" w:rsidRDefault="00B60B4E" w:rsidP="00B60B4E">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PROCEDENCIA DEL RECURSO</w:t>
      </w:r>
    </w:p>
    <w:p w:rsidR="00B60B4E" w:rsidRPr="003301B8" w:rsidRDefault="00B60B4E" w:rsidP="00B60B4E">
      <w:pPr>
        <w:pStyle w:val="Prrafodelista"/>
        <w:ind w:left="720"/>
        <w:rPr>
          <w:rFonts w:ascii="Bookman Old Style" w:hAnsi="Bookman Old Style" w:cs="Arial"/>
          <w:b/>
          <w:sz w:val="24"/>
          <w:szCs w:val="24"/>
        </w:rPr>
      </w:pPr>
    </w:p>
    <w:p w:rsidR="00B60B4E" w:rsidRPr="003301B8" w:rsidRDefault="00B60B4E" w:rsidP="00B60B4E">
      <w:pPr>
        <w:ind w:left="0"/>
        <w:jc w:val="both"/>
        <w:rPr>
          <w:rFonts w:ascii="Bookman Old Style" w:hAnsi="Bookman Old Style" w:cs="Arial"/>
        </w:rPr>
      </w:pPr>
      <w:r w:rsidRPr="003301B8">
        <w:rPr>
          <w:rFonts w:ascii="Bookman Old Style" w:hAnsi="Bookman Old Style" w:cs="Arial"/>
        </w:rPr>
        <w:t>El recurrente presentó el recurso de reposició</w:t>
      </w:r>
      <w:r>
        <w:rPr>
          <w:rFonts w:ascii="Bookman Old Style" w:hAnsi="Bookman Old Style" w:cs="Arial"/>
        </w:rPr>
        <w:t xml:space="preserve">n contra </w:t>
      </w:r>
      <w:r w:rsidRPr="003301B8">
        <w:rPr>
          <w:rFonts w:ascii="Bookman Old Style" w:hAnsi="Bookman Old Style" w:cs="Arial"/>
        </w:rPr>
        <w:t>l</w:t>
      </w:r>
      <w:r>
        <w:rPr>
          <w:rFonts w:ascii="Bookman Old Style" w:hAnsi="Bookman Old Style" w:cs="Arial"/>
        </w:rPr>
        <w:t>a</w:t>
      </w:r>
      <w:r w:rsidRPr="003301B8">
        <w:rPr>
          <w:rFonts w:ascii="Bookman Old Style" w:hAnsi="Bookman Old Style" w:cs="Arial"/>
        </w:rPr>
        <w:t xml:space="preserve"> </w:t>
      </w:r>
      <w:r>
        <w:rPr>
          <w:rFonts w:ascii="Bookman Old Style" w:hAnsi="Bookman Old Style" w:cs="Arial"/>
        </w:rPr>
        <w:t>resolución CREG 139 de 2018</w:t>
      </w:r>
      <w:r w:rsidRPr="003301B8">
        <w:rPr>
          <w:rFonts w:ascii="Bookman Old Style" w:hAnsi="Bookman Old Style" w:cs="Arial"/>
        </w:rPr>
        <w:t>, proferida por la Comisión de Regulación de Energía y Gas –CREG-, por medio de la cual se señala la contribución que debe pagar a la Comisión de Regulación de Energía y Gas –CREG- cada una de las ent</w:t>
      </w:r>
      <w:r>
        <w:rPr>
          <w:rFonts w:ascii="Bookman Old Style" w:hAnsi="Bookman Old Style" w:cs="Arial"/>
        </w:rPr>
        <w:t>idades reguladas por el año 2018</w:t>
      </w:r>
      <w:r w:rsidRPr="003301B8">
        <w:rPr>
          <w:rFonts w:ascii="Bookman Old Style" w:hAnsi="Bookman Old Style" w:cs="Arial"/>
        </w:rPr>
        <w:t>.</w:t>
      </w:r>
    </w:p>
    <w:p w:rsidR="00B60B4E" w:rsidRPr="003301B8" w:rsidRDefault="00B60B4E" w:rsidP="00B60B4E">
      <w:pPr>
        <w:pStyle w:val="Prrafodelista"/>
        <w:ind w:left="0"/>
        <w:jc w:val="both"/>
        <w:rPr>
          <w:rFonts w:ascii="Bookman Old Style" w:hAnsi="Bookman Old Style" w:cs="Arial"/>
          <w:sz w:val="24"/>
          <w:szCs w:val="24"/>
        </w:rPr>
      </w:pPr>
    </w:p>
    <w:p w:rsidR="00B60B4E" w:rsidRPr="003301B8" w:rsidRDefault="00B60B4E" w:rsidP="00B60B4E">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El recurso fue interpuesto dentro del término legal, esto es, dentro de los diez (10) días hábiles siguientes a la notificación, de acuerdo con el plazo establecido en el artículo 76 del Código de Procedimiento Administrativo y de lo Contencioso Administrativo.</w:t>
      </w:r>
    </w:p>
    <w:p w:rsidR="00B60B4E" w:rsidRPr="003301B8" w:rsidRDefault="00B60B4E" w:rsidP="00B60B4E">
      <w:pPr>
        <w:pStyle w:val="Prrafodelista"/>
        <w:ind w:left="0"/>
        <w:jc w:val="both"/>
        <w:rPr>
          <w:rFonts w:ascii="Bookman Old Style" w:hAnsi="Bookman Old Style" w:cs="Arial"/>
          <w:sz w:val="24"/>
          <w:szCs w:val="24"/>
        </w:rPr>
      </w:pPr>
    </w:p>
    <w:p w:rsidR="00B60B4E" w:rsidRPr="003301B8" w:rsidRDefault="00B60B4E" w:rsidP="00B60B4E">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B60B4E" w:rsidRPr="003301B8" w:rsidRDefault="00B60B4E" w:rsidP="00B60B4E">
      <w:pPr>
        <w:pStyle w:val="Prrafodelista"/>
        <w:ind w:left="0"/>
        <w:jc w:val="both"/>
        <w:rPr>
          <w:rFonts w:ascii="Bookman Old Style" w:hAnsi="Bookman Old Style" w:cs="Arial"/>
          <w:sz w:val="24"/>
          <w:szCs w:val="24"/>
        </w:rPr>
      </w:pPr>
    </w:p>
    <w:p w:rsidR="00B60B4E" w:rsidRPr="003301B8" w:rsidRDefault="00B60B4E" w:rsidP="00B60B4E">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RAZONES Y FUNDAMENTOS DEL RECURSO DE REPOSICIÓN</w:t>
      </w:r>
    </w:p>
    <w:p w:rsidR="00B60B4E" w:rsidRPr="003301B8" w:rsidRDefault="00B60B4E" w:rsidP="00B60B4E">
      <w:pPr>
        <w:ind w:left="0"/>
        <w:jc w:val="both"/>
        <w:rPr>
          <w:rFonts w:ascii="Bookman Old Style" w:hAnsi="Bookman Old Style"/>
        </w:rPr>
      </w:pPr>
    </w:p>
    <w:p w:rsidR="00B60B4E" w:rsidRPr="00B60B4E" w:rsidRDefault="00B60B4E" w:rsidP="00B60B4E">
      <w:pPr>
        <w:ind w:left="0"/>
        <w:jc w:val="both"/>
        <w:rPr>
          <w:rFonts w:ascii="Bookman Old Style" w:hAnsi="Bookman Old Style" w:cs="Arial"/>
          <w:lang w:val="es-CO"/>
        </w:rPr>
      </w:pPr>
      <w:r w:rsidRPr="00B60B4E">
        <w:rPr>
          <w:rFonts w:ascii="Bookman Old Style" w:hAnsi="Bookman Old Style" w:cs="Arial"/>
          <w:lang w:val="es-CO"/>
        </w:rPr>
        <w:t>Los fundamentos del recurrente se exponen a continuación:</w:t>
      </w:r>
    </w:p>
    <w:p w:rsidR="00B60B4E" w:rsidRPr="00B60B4E" w:rsidRDefault="00B60B4E" w:rsidP="00B60B4E">
      <w:pPr>
        <w:ind w:left="170"/>
        <w:jc w:val="both"/>
        <w:rPr>
          <w:rFonts w:ascii="Bookman Old Style" w:hAnsi="Bookman Old Style" w:cs="Arial"/>
          <w:lang w:val="es-CO"/>
        </w:rPr>
      </w:pPr>
    </w:p>
    <w:p w:rsidR="00B60B4E" w:rsidRPr="00B60B4E" w:rsidRDefault="00B60B4E" w:rsidP="00B60B4E">
      <w:pPr>
        <w:ind w:left="170"/>
        <w:jc w:val="both"/>
        <w:rPr>
          <w:rFonts w:ascii="Bookman Old Style" w:hAnsi="Bookman Old Style" w:cs="Arial"/>
          <w:lang w:val="es-CO"/>
        </w:rPr>
      </w:pPr>
      <w:r w:rsidRPr="00B60B4E">
        <w:rPr>
          <w:rFonts w:ascii="Bookman Old Style" w:hAnsi="Bookman Old Style" w:cs="Arial"/>
          <w:lang w:val="es-CO"/>
        </w:rPr>
        <w:t>Argumenta el recurrente que:</w:t>
      </w:r>
    </w:p>
    <w:p w:rsidR="00B60B4E" w:rsidRPr="003301B8" w:rsidRDefault="00B60B4E" w:rsidP="00B60B4E">
      <w:pPr>
        <w:ind w:left="0"/>
        <w:jc w:val="both"/>
        <w:rPr>
          <w:rFonts w:ascii="Bookman Old Style" w:hAnsi="Bookman Old Style" w:cs="Arial"/>
          <w:i/>
          <w:lang w:val="es-CO"/>
        </w:rPr>
      </w:pPr>
    </w:p>
    <w:p w:rsidR="00B60B4E" w:rsidRDefault="00B60B4E" w:rsidP="00B60B4E">
      <w:pPr>
        <w:ind w:left="0"/>
        <w:jc w:val="both"/>
        <w:rPr>
          <w:rFonts w:ascii="Bookman Old Style" w:hAnsi="Bookman Old Style" w:cs="Arial"/>
          <w:i/>
        </w:rPr>
      </w:pPr>
      <w:r w:rsidRPr="00B60B4E">
        <w:rPr>
          <w:rFonts w:ascii="Bookman Old Style" w:hAnsi="Bookman Old Style" w:cs="Arial"/>
          <w:i/>
        </w:rPr>
        <w:t>Al revisar el valor por concepto de contribución definido en la Resolución de la referencia, se puede observar que hay un incremento en la base gravadle sin justificación, para lo cual, el departamento de coordinación contable de DICEL S.A E S.P., concluye, que posiblemente el rubro del valor de los gastos generales, fue tomado y sumado dos veces, pues se observa que la diferencia entre la liquidación establecida por la CREG y la liquidación proyectada por DICEL, arroja como resultado una diferencia de $2.131.390.743, y el valor del rubro Gastos generales registrado en los libros contables de la Empresa es de $2.064.111.838, quedando una diferencia por identificar de $67.278.905.</w:t>
      </w:r>
    </w:p>
    <w:p w:rsidR="00B60B4E" w:rsidRDefault="00B60B4E" w:rsidP="00B60B4E">
      <w:pPr>
        <w:ind w:left="0"/>
        <w:jc w:val="both"/>
        <w:rPr>
          <w:rFonts w:ascii="Bookman Old Style" w:hAnsi="Bookman Old Style" w:cs="Arial"/>
          <w:i/>
        </w:rPr>
      </w:pPr>
    </w:p>
    <w:p w:rsidR="00B60B4E" w:rsidRPr="00B60B4E" w:rsidRDefault="00B60B4E" w:rsidP="00B60B4E">
      <w:pPr>
        <w:ind w:left="0"/>
        <w:jc w:val="both"/>
        <w:rPr>
          <w:rFonts w:ascii="Bookman Old Style" w:hAnsi="Bookman Old Style" w:cs="Arial"/>
          <w:i/>
        </w:rPr>
      </w:pPr>
      <w:r w:rsidRPr="00B60B4E">
        <w:rPr>
          <w:rFonts w:ascii="Bookman Old Style" w:hAnsi="Bookman Old Style" w:cs="Arial"/>
          <w:i/>
        </w:rPr>
        <w:t>De lo anterior, se presenta una diferencia en el valor correspondiente a cancelar por concepto de contribución para el año 2018, el cual afecta de manera negativa a la empresa de la siguiente</w:t>
      </w:r>
    </w:p>
    <w:p w:rsidR="00B60B4E" w:rsidRDefault="00B60B4E" w:rsidP="00B60B4E">
      <w:pPr>
        <w:ind w:left="0"/>
        <w:jc w:val="both"/>
        <w:rPr>
          <w:rFonts w:ascii="Bookman Old Style" w:hAnsi="Bookman Old Style" w:cs="Arial"/>
          <w:i/>
        </w:rPr>
      </w:pPr>
      <w:r>
        <w:rPr>
          <w:rFonts w:ascii="Bookman Old Style" w:hAnsi="Bookman Old Style" w:cs="Arial"/>
          <w:i/>
        </w:rPr>
        <w:t>manera:</w:t>
      </w:r>
    </w:p>
    <w:p w:rsidR="006D753B" w:rsidRDefault="006D753B" w:rsidP="00B60B4E">
      <w:pPr>
        <w:ind w:left="0"/>
        <w:jc w:val="both"/>
        <w:rPr>
          <w:rFonts w:ascii="Bookman Old Style" w:hAnsi="Bookman Old Style" w:cs="Arial"/>
          <w:i/>
        </w:rPr>
      </w:pPr>
    </w:p>
    <w:p w:rsidR="006D753B" w:rsidRDefault="006D753B" w:rsidP="00B60B4E">
      <w:pPr>
        <w:ind w:left="0"/>
        <w:jc w:val="both"/>
        <w:rPr>
          <w:rFonts w:ascii="Bookman Old Style" w:hAnsi="Bookman Old Style" w:cs="Arial"/>
          <w:i/>
        </w:rPr>
      </w:pPr>
    </w:p>
    <w:p w:rsidR="006D753B" w:rsidRDefault="006D753B" w:rsidP="00B60B4E">
      <w:pPr>
        <w:ind w:left="0"/>
        <w:jc w:val="both"/>
        <w:rPr>
          <w:rFonts w:ascii="Bookman Old Style" w:hAnsi="Bookman Old Style" w:cs="Arial"/>
          <w:i/>
        </w:rPr>
      </w:pPr>
    </w:p>
    <w:tbl>
      <w:tblPr>
        <w:tblW w:w="0" w:type="auto"/>
        <w:tblLayout w:type="fixed"/>
        <w:tblCellMar>
          <w:left w:w="0" w:type="dxa"/>
          <w:right w:w="0" w:type="dxa"/>
        </w:tblCellMar>
        <w:tblLook w:val="0000" w:firstRow="0" w:lastRow="0" w:firstColumn="0" w:lastColumn="0" w:noHBand="0" w:noVBand="0"/>
      </w:tblPr>
      <w:tblGrid>
        <w:gridCol w:w="7517"/>
        <w:gridCol w:w="1627"/>
      </w:tblGrid>
      <w:tr w:rsidR="00B60B4E" w:rsidTr="00B60B4E">
        <w:trPr>
          <w:trHeight w:hRule="exact" w:val="274"/>
        </w:trPr>
        <w:tc>
          <w:tcPr>
            <w:tcW w:w="7517" w:type="dxa"/>
            <w:tcBorders>
              <w:top w:val="single" w:sz="4" w:space="0" w:color="auto"/>
              <w:left w:val="single" w:sz="4" w:space="0" w:color="auto"/>
              <w:bottom w:val="nil"/>
              <w:right w:val="nil"/>
            </w:tcBorders>
            <w:shd w:val="clear" w:color="auto" w:fill="FFFFFF"/>
            <w:vAlign w:val="bottom"/>
          </w:tcPr>
          <w:p w:rsidR="00B60B4E" w:rsidRPr="00B60B4E" w:rsidRDefault="00B60B4E" w:rsidP="00B60B4E">
            <w:pPr>
              <w:pStyle w:val="Style24"/>
              <w:shd w:val="clear" w:color="auto" w:fill="auto"/>
              <w:spacing w:before="0" w:after="0" w:line="200" w:lineRule="exact"/>
              <w:jc w:val="both"/>
              <w:rPr>
                <w:i/>
              </w:rPr>
            </w:pPr>
            <w:r w:rsidRPr="00B60B4E">
              <w:rPr>
                <w:rStyle w:val="CharStyle43"/>
                <w:i/>
                <w:color w:val="000000"/>
                <w:lang w:eastAsia="es-ES_tradnl"/>
              </w:rPr>
              <w:t>Valor Contribución calculada para DICEL SA ESP, en Res. 139 de 2018</w:t>
            </w:r>
          </w:p>
        </w:tc>
        <w:tc>
          <w:tcPr>
            <w:tcW w:w="1627" w:type="dxa"/>
            <w:tcBorders>
              <w:top w:val="single" w:sz="4" w:space="0" w:color="auto"/>
              <w:left w:val="single" w:sz="4" w:space="0" w:color="auto"/>
              <w:bottom w:val="nil"/>
              <w:right w:val="single" w:sz="4" w:space="0" w:color="auto"/>
            </w:tcBorders>
            <w:shd w:val="clear" w:color="auto" w:fill="FFFFFF"/>
            <w:vAlign w:val="bottom"/>
          </w:tcPr>
          <w:p w:rsidR="00B60B4E" w:rsidRPr="00B60B4E" w:rsidRDefault="00B60B4E" w:rsidP="00B60B4E">
            <w:pPr>
              <w:pStyle w:val="Style24"/>
              <w:shd w:val="clear" w:color="auto" w:fill="auto"/>
              <w:spacing w:before="0" w:after="0" w:line="200" w:lineRule="exact"/>
              <w:ind w:left="180"/>
              <w:rPr>
                <w:i/>
              </w:rPr>
            </w:pPr>
            <w:r w:rsidRPr="00B60B4E">
              <w:rPr>
                <w:rStyle w:val="CharStyle44"/>
                <w:i/>
                <w:color w:val="000000"/>
                <w:lang w:eastAsia="es-ES_tradnl"/>
              </w:rPr>
              <w:t>102.516.706</w:t>
            </w:r>
          </w:p>
        </w:tc>
      </w:tr>
      <w:tr w:rsidR="00B60B4E" w:rsidTr="00B60B4E">
        <w:trPr>
          <w:trHeight w:hRule="exact" w:val="533"/>
        </w:trPr>
        <w:tc>
          <w:tcPr>
            <w:tcW w:w="7517" w:type="dxa"/>
            <w:tcBorders>
              <w:top w:val="single" w:sz="4" w:space="0" w:color="auto"/>
              <w:left w:val="single" w:sz="4" w:space="0" w:color="auto"/>
              <w:bottom w:val="nil"/>
              <w:right w:val="nil"/>
            </w:tcBorders>
            <w:shd w:val="clear" w:color="auto" w:fill="FFFFFF"/>
            <w:vAlign w:val="bottom"/>
          </w:tcPr>
          <w:p w:rsidR="00B60B4E" w:rsidRPr="00B60B4E" w:rsidRDefault="00B60B4E" w:rsidP="00B60B4E">
            <w:pPr>
              <w:pStyle w:val="Style24"/>
              <w:shd w:val="clear" w:color="auto" w:fill="auto"/>
              <w:spacing w:before="0" w:after="0" w:line="259" w:lineRule="exact"/>
              <w:jc w:val="both"/>
              <w:rPr>
                <w:i/>
              </w:rPr>
            </w:pPr>
            <w:r w:rsidRPr="00B60B4E">
              <w:rPr>
                <w:rStyle w:val="CharStyle43"/>
                <w:i/>
                <w:color w:val="000000"/>
                <w:lang w:eastAsia="es-ES_tradnl"/>
              </w:rPr>
              <w:t xml:space="preserve">Valor Contribución calculada </w:t>
            </w:r>
            <w:r w:rsidRPr="00B60B4E">
              <w:rPr>
                <w:rStyle w:val="CharStyle44"/>
                <w:b w:val="0"/>
                <w:i/>
                <w:color w:val="000000"/>
                <w:lang w:eastAsia="es-ES_tradnl"/>
              </w:rPr>
              <w:t>por</w:t>
            </w:r>
            <w:r w:rsidRPr="00B60B4E">
              <w:rPr>
                <w:rStyle w:val="CharStyle44"/>
                <w:i/>
                <w:color w:val="000000"/>
                <w:lang w:eastAsia="es-ES_tradnl"/>
              </w:rPr>
              <w:t xml:space="preserve"> </w:t>
            </w:r>
            <w:r w:rsidRPr="00B60B4E">
              <w:rPr>
                <w:rStyle w:val="CharStyle43"/>
                <w:i/>
                <w:color w:val="000000"/>
                <w:lang w:eastAsia="es-ES_tradnl"/>
              </w:rPr>
              <w:t xml:space="preserve">DICEL SA ESP, para el año 2018 según Res. 139 de 2018, de acuerdo a información registrada en </w:t>
            </w:r>
            <w:r w:rsidRPr="00B60B4E">
              <w:rPr>
                <w:rStyle w:val="CharStyle44"/>
                <w:b w:val="0"/>
                <w:i/>
                <w:color w:val="000000"/>
                <w:lang w:eastAsia="es-ES_tradnl"/>
              </w:rPr>
              <w:t>los</w:t>
            </w:r>
            <w:r w:rsidRPr="00B60B4E">
              <w:rPr>
                <w:rStyle w:val="CharStyle44"/>
                <w:i/>
                <w:color w:val="000000"/>
                <w:lang w:eastAsia="es-ES_tradnl"/>
              </w:rPr>
              <w:t xml:space="preserve"> </w:t>
            </w:r>
            <w:r w:rsidRPr="00B60B4E">
              <w:rPr>
                <w:rStyle w:val="CharStyle43"/>
                <w:i/>
                <w:color w:val="000000"/>
                <w:lang w:eastAsia="es-ES_tradnl"/>
              </w:rPr>
              <w:t>libros contables</w:t>
            </w:r>
          </w:p>
        </w:tc>
        <w:tc>
          <w:tcPr>
            <w:tcW w:w="1627" w:type="dxa"/>
            <w:tcBorders>
              <w:top w:val="single" w:sz="4" w:space="0" w:color="auto"/>
              <w:left w:val="single" w:sz="4" w:space="0" w:color="auto"/>
              <w:bottom w:val="nil"/>
              <w:right w:val="single" w:sz="4" w:space="0" w:color="auto"/>
            </w:tcBorders>
            <w:shd w:val="clear" w:color="auto" w:fill="FFFFFF"/>
            <w:vAlign w:val="bottom"/>
          </w:tcPr>
          <w:p w:rsidR="00B60B4E" w:rsidRPr="00B60B4E" w:rsidRDefault="00B60B4E" w:rsidP="00B60B4E">
            <w:pPr>
              <w:pStyle w:val="Style24"/>
              <w:shd w:val="clear" w:color="auto" w:fill="auto"/>
              <w:spacing w:before="0" w:after="0" w:line="200" w:lineRule="exact"/>
              <w:ind w:left="280"/>
              <w:rPr>
                <w:i/>
              </w:rPr>
            </w:pPr>
            <w:r w:rsidRPr="00B60B4E">
              <w:rPr>
                <w:rStyle w:val="CharStyle44"/>
                <w:i/>
                <w:color w:val="000000"/>
                <w:lang w:eastAsia="es-ES_tradnl"/>
              </w:rPr>
              <w:t>81.202.799</w:t>
            </w:r>
          </w:p>
        </w:tc>
      </w:tr>
      <w:tr w:rsidR="00B60B4E" w:rsidTr="00B60B4E">
        <w:trPr>
          <w:trHeight w:hRule="exact" w:val="288"/>
        </w:trPr>
        <w:tc>
          <w:tcPr>
            <w:tcW w:w="7517" w:type="dxa"/>
            <w:tcBorders>
              <w:top w:val="single" w:sz="4" w:space="0" w:color="auto"/>
              <w:left w:val="single" w:sz="4" w:space="0" w:color="auto"/>
              <w:bottom w:val="single" w:sz="4" w:space="0" w:color="auto"/>
              <w:right w:val="nil"/>
            </w:tcBorders>
            <w:shd w:val="clear" w:color="auto" w:fill="FFFFFF"/>
          </w:tcPr>
          <w:p w:rsidR="00B60B4E" w:rsidRPr="00B60B4E" w:rsidRDefault="00B60B4E" w:rsidP="00B60B4E">
            <w:pPr>
              <w:pStyle w:val="Style24"/>
              <w:shd w:val="clear" w:color="auto" w:fill="auto"/>
              <w:spacing w:before="0" w:after="0" w:line="200" w:lineRule="exact"/>
              <w:jc w:val="both"/>
              <w:rPr>
                <w:i/>
              </w:rPr>
            </w:pPr>
            <w:r w:rsidRPr="00B60B4E">
              <w:rPr>
                <w:rStyle w:val="CharStyle44"/>
                <w:i/>
                <w:color w:val="000000"/>
                <w:lang w:eastAsia="es-ES_tradnl"/>
              </w:rPr>
              <w:t>DIFERENCIA</w:t>
            </w:r>
          </w:p>
        </w:tc>
        <w:tc>
          <w:tcPr>
            <w:tcW w:w="1627" w:type="dxa"/>
            <w:tcBorders>
              <w:top w:val="single" w:sz="4" w:space="0" w:color="auto"/>
              <w:left w:val="single" w:sz="4" w:space="0" w:color="auto"/>
              <w:bottom w:val="single" w:sz="4" w:space="0" w:color="auto"/>
              <w:right w:val="single" w:sz="4" w:space="0" w:color="auto"/>
            </w:tcBorders>
            <w:shd w:val="clear" w:color="auto" w:fill="FFFFFF"/>
          </w:tcPr>
          <w:p w:rsidR="00B60B4E" w:rsidRPr="00B60B4E" w:rsidRDefault="00B60B4E" w:rsidP="00B60B4E">
            <w:pPr>
              <w:pStyle w:val="Style24"/>
              <w:shd w:val="clear" w:color="auto" w:fill="auto"/>
              <w:spacing w:before="0" w:after="0" w:line="200" w:lineRule="exact"/>
              <w:ind w:left="280"/>
              <w:rPr>
                <w:i/>
              </w:rPr>
            </w:pPr>
            <w:r w:rsidRPr="00B60B4E">
              <w:rPr>
                <w:rStyle w:val="CharStyle44"/>
                <w:i/>
                <w:color w:val="000000"/>
                <w:lang w:eastAsia="es-ES_tradnl"/>
              </w:rPr>
              <w:t>21.313.907</w:t>
            </w:r>
          </w:p>
        </w:tc>
      </w:tr>
    </w:tbl>
    <w:p w:rsidR="00B60B4E" w:rsidRDefault="00B60B4E" w:rsidP="00B60B4E">
      <w:pPr>
        <w:ind w:left="0"/>
        <w:jc w:val="both"/>
        <w:rPr>
          <w:rFonts w:ascii="Bookman Old Style" w:hAnsi="Bookman Old Style" w:cs="Arial"/>
          <w:i/>
        </w:rPr>
      </w:pPr>
    </w:p>
    <w:p w:rsidR="00B60B4E" w:rsidRPr="00B60B4E" w:rsidRDefault="00B60B4E" w:rsidP="00B60B4E">
      <w:pPr>
        <w:ind w:left="0"/>
        <w:jc w:val="center"/>
        <w:rPr>
          <w:rFonts w:ascii="Bookman Old Style" w:hAnsi="Bookman Old Style"/>
          <w:b/>
        </w:rPr>
      </w:pPr>
      <w:r w:rsidRPr="00B60B4E">
        <w:rPr>
          <w:rFonts w:ascii="Bookman Old Style" w:hAnsi="Bookman Old Style"/>
          <w:b/>
        </w:rPr>
        <w:t>CONSIDERACIONES DE LA CREG</w:t>
      </w:r>
    </w:p>
    <w:p w:rsidR="00B60B4E" w:rsidRDefault="00B60B4E" w:rsidP="00B60B4E">
      <w:pPr>
        <w:ind w:left="0"/>
        <w:jc w:val="both"/>
        <w:rPr>
          <w:rFonts w:ascii="Bookman Old Style" w:hAnsi="Bookman Old Style"/>
        </w:rPr>
      </w:pPr>
    </w:p>
    <w:p w:rsidR="00B60B4E" w:rsidRDefault="00B60B4E" w:rsidP="00B60B4E">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Los artículos 85 de la Ley 142 de 1994 y 22 de la Ley 143 de 1994, establecen una contribución de regulación para efectos de recuperar los costos del servicio de regulación atribuido a la Comisión de Regulación de Energía y Gas -CREG, cuya tarifa máxima no podrá ser superior al uno por ciento (1%) del valor de los gastos de funcionamiento de la entidad contribuyente, con exclusión de los factores señalados en las Leyes 142 y 143 de 1994.</w:t>
      </w:r>
    </w:p>
    <w:p w:rsidR="00B60B4E" w:rsidRPr="00764EA2" w:rsidRDefault="00B60B4E" w:rsidP="00B60B4E">
      <w:pPr>
        <w:pStyle w:val="Prrafodelista"/>
        <w:ind w:left="0"/>
        <w:jc w:val="both"/>
        <w:rPr>
          <w:rFonts w:ascii="Bookman Old Style" w:hAnsi="Bookman Old Style"/>
          <w:sz w:val="24"/>
          <w:szCs w:val="24"/>
          <w:lang w:val="es-ES"/>
        </w:rPr>
      </w:pPr>
    </w:p>
    <w:p w:rsidR="00B60B4E" w:rsidRDefault="00B60B4E" w:rsidP="00B60B4E">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Los ingresos de la CREG, provienen de la contribución especial de que tratan los artículos antes mencionados, en lo que respecta a los recursos 16 - Sin situación de fondos.</w:t>
      </w:r>
    </w:p>
    <w:p w:rsidR="00B60B4E" w:rsidRPr="00764EA2" w:rsidRDefault="00B60B4E" w:rsidP="00B60B4E">
      <w:pPr>
        <w:pStyle w:val="Prrafodelista"/>
        <w:ind w:left="0"/>
        <w:jc w:val="both"/>
        <w:rPr>
          <w:rFonts w:ascii="Bookman Old Style" w:hAnsi="Bookman Old Style"/>
          <w:sz w:val="24"/>
          <w:szCs w:val="24"/>
          <w:lang w:val="es-ES"/>
        </w:rPr>
      </w:pPr>
    </w:p>
    <w:p w:rsidR="00B60B4E" w:rsidRDefault="00B60B4E" w:rsidP="00B60B4E">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El cálculo de la suma de la contribución a cargo de cada contribuyente se hará teniendo en cuenta los gastos de funcionamiento de la Comisión en el periodo anual respectivo, que para el año gravable 2018 fue liquidado en el anexo del Decreto 2236 del 20 de diciembre de 2017.</w:t>
      </w:r>
    </w:p>
    <w:p w:rsidR="00B60B4E" w:rsidRPr="00764EA2" w:rsidRDefault="00B60B4E" w:rsidP="00B60B4E">
      <w:pPr>
        <w:pStyle w:val="Prrafodelista"/>
        <w:ind w:left="0"/>
        <w:jc w:val="both"/>
        <w:rPr>
          <w:rFonts w:ascii="Bookman Old Style" w:hAnsi="Bookman Old Style"/>
          <w:sz w:val="24"/>
          <w:szCs w:val="24"/>
          <w:lang w:val="es-ES"/>
        </w:rPr>
      </w:pPr>
    </w:p>
    <w:p w:rsidR="00B60B4E" w:rsidRDefault="00B60B4E" w:rsidP="00B60B4E">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El porcentaje de la contribución que deben pagar las entidades sometidas a regulación por parte de la Comisión de Regulación de Energía y Gas, en el año gravable 2018, se determinó de la siguiente manera</w:t>
      </w:r>
      <w:r>
        <w:rPr>
          <w:rFonts w:ascii="Bookman Old Style" w:hAnsi="Bookman Old Style"/>
          <w:sz w:val="24"/>
          <w:szCs w:val="24"/>
          <w:lang w:val="es-ES"/>
        </w:rPr>
        <w:t>:</w:t>
      </w:r>
    </w:p>
    <w:p w:rsidR="00B60B4E" w:rsidRDefault="00B60B4E" w:rsidP="00B60B4E">
      <w:pPr>
        <w:pStyle w:val="Prrafodelista"/>
        <w:ind w:left="0"/>
        <w:jc w:val="both"/>
        <w:rPr>
          <w:rFonts w:ascii="Bookman Old Style" w:hAnsi="Bookman Old Style"/>
          <w:sz w:val="24"/>
          <w:szCs w:val="24"/>
          <w:lang w:val="es-ES"/>
        </w:rPr>
      </w:pPr>
    </w:p>
    <w:tbl>
      <w:tblPr>
        <w:tblW w:w="0" w:type="auto"/>
        <w:jc w:val="center"/>
        <w:tblCellMar>
          <w:left w:w="70" w:type="dxa"/>
          <w:right w:w="70" w:type="dxa"/>
        </w:tblCellMar>
        <w:tblLook w:val="04A0" w:firstRow="1" w:lastRow="0" w:firstColumn="1" w:lastColumn="0" w:noHBand="0" w:noVBand="1"/>
      </w:tblPr>
      <w:tblGrid>
        <w:gridCol w:w="5375"/>
        <w:gridCol w:w="1631"/>
      </w:tblGrid>
      <w:tr w:rsidR="00B60B4E" w:rsidRPr="00764EA2" w:rsidTr="00DA131B">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60B4E" w:rsidRPr="00764EA2" w:rsidRDefault="00B60B4E" w:rsidP="00DA131B">
            <w:pPr>
              <w:ind w:left="0"/>
              <w:jc w:val="center"/>
              <w:rPr>
                <w:rFonts w:ascii="Bookman Old Style" w:hAnsi="Bookman Old Style"/>
                <w:b/>
                <w:sz w:val="18"/>
                <w:szCs w:val="18"/>
              </w:rPr>
            </w:pPr>
            <w:r w:rsidRPr="00764EA2">
              <w:rPr>
                <w:rFonts w:ascii="Bookman Old Style" w:hAnsi="Bookman Old Style"/>
                <w:b/>
                <w:sz w:val="18"/>
                <w:szCs w:val="18"/>
              </w:rPr>
              <w:t xml:space="preserve">CONCEPTOS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60B4E" w:rsidRPr="00764EA2" w:rsidRDefault="00B60B4E" w:rsidP="00DA131B">
            <w:pPr>
              <w:ind w:left="0"/>
              <w:jc w:val="center"/>
              <w:rPr>
                <w:rFonts w:ascii="Bookman Old Style" w:hAnsi="Bookman Old Style"/>
                <w:b/>
                <w:sz w:val="18"/>
                <w:szCs w:val="18"/>
              </w:rPr>
            </w:pPr>
            <w:r w:rsidRPr="00764EA2">
              <w:rPr>
                <w:rFonts w:ascii="Bookman Old Style" w:hAnsi="Bookman Old Style"/>
                <w:b/>
                <w:sz w:val="18"/>
                <w:szCs w:val="18"/>
              </w:rPr>
              <w:t xml:space="preserve">CALCULOS </w:t>
            </w:r>
          </w:p>
        </w:tc>
      </w:tr>
      <w:tr w:rsidR="00B60B4E" w:rsidRPr="00764EA2" w:rsidTr="00DA131B">
        <w:trPr>
          <w:trHeight w:val="9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60B4E" w:rsidRPr="00764EA2" w:rsidRDefault="00B60B4E" w:rsidP="00DA131B">
            <w:pPr>
              <w:ind w:left="0"/>
              <w:rPr>
                <w:rFonts w:ascii="Bookman Old Style" w:hAnsi="Bookman Old Style"/>
                <w:sz w:val="18"/>
                <w:szCs w:val="18"/>
              </w:rPr>
            </w:pPr>
            <w:r w:rsidRPr="00764EA2">
              <w:rPr>
                <w:rFonts w:ascii="Bookman Old Style" w:hAnsi="Bookman Old Style"/>
                <w:sz w:val="18"/>
                <w:szCs w:val="18"/>
              </w:rPr>
              <w:t>Presupuesto asignado Recurso 16 - Sin situación de fondos</w:t>
            </w:r>
          </w:p>
        </w:tc>
        <w:tc>
          <w:tcPr>
            <w:tcW w:w="0" w:type="auto"/>
            <w:tcBorders>
              <w:top w:val="nil"/>
              <w:left w:val="nil"/>
              <w:bottom w:val="single" w:sz="4" w:space="0" w:color="auto"/>
              <w:right w:val="single" w:sz="4" w:space="0" w:color="auto"/>
            </w:tcBorders>
            <w:shd w:val="clear" w:color="auto" w:fill="auto"/>
            <w:vAlign w:val="center"/>
            <w:hideMark/>
          </w:tcPr>
          <w:p w:rsidR="00B60B4E" w:rsidRPr="00764EA2" w:rsidRDefault="00B60B4E" w:rsidP="00DA131B">
            <w:pPr>
              <w:ind w:left="0"/>
              <w:rPr>
                <w:rFonts w:ascii="Bookman Old Style" w:hAnsi="Bookman Old Style"/>
                <w:sz w:val="18"/>
                <w:szCs w:val="18"/>
              </w:rPr>
            </w:pPr>
            <w:r w:rsidRPr="00764EA2">
              <w:rPr>
                <w:rFonts w:ascii="Bookman Old Style" w:hAnsi="Bookman Old Style"/>
                <w:sz w:val="18"/>
                <w:szCs w:val="18"/>
              </w:rPr>
              <w:t>23.961.291.000</w:t>
            </w:r>
          </w:p>
        </w:tc>
      </w:tr>
      <w:tr w:rsidR="00B60B4E" w:rsidRPr="00764EA2" w:rsidTr="00DA131B">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60B4E" w:rsidRPr="00764EA2" w:rsidRDefault="00B60B4E" w:rsidP="00DA131B">
            <w:pPr>
              <w:ind w:left="0"/>
              <w:rPr>
                <w:rFonts w:ascii="Bookman Old Style" w:hAnsi="Bookman Old Style"/>
                <w:sz w:val="18"/>
                <w:szCs w:val="18"/>
              </w:rPr>
            </w:pPr>
            <w:r w:rsidRPr="00764EA2">
              <w:rPr>
                <w:rFonts w:ascii="Bookman Old Style" w:hAnsi="Bookman Old Style"/>
                <w:sz w:val="18"/>
                <w:szCs w:val="18"/>
              </w:rPr>
              <w:t>(-) Aplazamientos</w:t>
            </w:r>
          </w:p>
        </w:tc>
        <w:tc>
          <w:tcPr>
            <w:tcW w:w="0" w:type="auto"/>
            <w:tcBorders>
              <w:top w:val="nil"/>
              <w:left w:val="nil"/>
              <w:bottom w:val="single" w:sz="4" w:space="0" w:color="auto"/>
              <w:right w:val="single" w:sz="4" w:space="0" w:color="auto"/>
            </w:tcBorders>
            <w:shd w:val="clear" w:color="auto" w:fill="auto"/>
            <w:vAlign w:val="bottom"/>
            <w:hideMark/>
          </w:tcPr>
          <w:p w:rsidR="00B60B4E" w:rsidRPr="00764EA2" w:rsidRDefault="00B60B4E" w:rsidP="00DA131B">
            <w:pPr>
              <w:ind w:left="0"/>
              <w:rPr>
                <w:rFonts w:ascii="Bookman Old Style" w:hAnsi="Bookman Old Style"/>
                <w:sz w:val="18"/>
                <w:szCs w:val="18"/>
              </w:rPr>
            </w:pPr>
            <w:r w:rsidRPr="00764EA2">
              <w:rPr>
                <w:rFonts w:ascii="Bookman Old Style" w:hAnsi="Bookman Old Style"/>
                <w:sz w:val="18"/>
                <w:szCs w:val="18"/>
              </w:rPr>
              <w:t> </w:t>
            </w:r>
          </w:p>
        </w:tc>
      </w:tr>
      <w:tr w:rsidR="00B60B4E" w:rsidRPr="00764EA2" w:rsidTr="00DA131B">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60B4E" w:rsidRPr="00764EA2" w:rsidRDefault="00B60B4E" w:rsidP="00DA131B">
            <w:pPr>
              <w:ind w:left="0"/>
              <w:rPr>
                <w:rFonts w:ascii="Bookman Old Style" w:hAnsi="Bookman Old Style"/>
                <w:sz w:val="18"/>
                <w:szCs w:val="18"/>
              </w:rPr>
            </w:pPr>
            <w:r w:rsidRPr="00764EA2">
              <w:rPr>
                <w:rFonts w:ascii="Bookman Old Style" w:hAnsi="Bookman Old Style"/>
                <w:sz w:val="18"/>
                <w:szCs w:val="18"/>
              </w:rPr>
              <w:t>(-) Transferencias - Ley 812 de 2003</w:t>
            </w:r>
          </w:p>
        </w:tc>
        <w:tc>
          <w:tcPr>
            <w:tcW w:w="0" w:type="auto"/>
            <w:tcBorders>
              <w:top w:val="nil"/>
              <w:left w:val="nil"/>
              <w:bottom w:val="single" w:sz="4" w:space="0" w:color="auto"/>
              <w:right w:val="single" w:sz="4" w:space="0" w:color="auto"/>
            </w:tcBorders>
            <w:shd w:val="clear" w:color="auto" w:fill="auto"/>
            <w:vAlign w:val="center"/>
            <w:hideMark/>
          </w:tcPr>
          <w:p w:rsidR="00B60B4E" w:rsidRPr="00764EA2" w:rsidRDefault="00B60B4E" w:rsidP="00DA131B">
            <w:pPr>
              <w:ind w:left="0"/>
              <w:rPr>
                <w:rFonts w:ascii="Bookman Old Style" w:hAnsi="Bookman Old Style"/>
                <w:sz w:val="18"/>
                <w:szCs w:val="18"/>
              </w:rPr>
            </w:pPr>
            <w:r w:rsidRPr="00764EA2">
              <w:rPr>
                <w:rFonts w:ascii="Bookman Old Style" w:hAnsi="Bookman Old Style"/>
                <w:sz w:val="18"/>
                <w:szCs w:val="18"/>
              </w:rPr>
              <w:t>1.748.544.000</w:t>
            </w:r>
          </w:p>
        </w:tc>
      </w:tr>
      <w:tr w:rsidR="00B60B4E" w:rsidRPr="00764EA2" w:rsidTr="00DA131B">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60B4E" w:rsidRPr="00764EA2" w:rsidRDefault="00B60B4E" w:rsidP="00DA131B">
            <w:pPr>
              <w:ind w:left="0"/>
              <w:rPr>
                <w:rFonts w:ascii="Bookman Old Style" w:hAnsi="Bookman Old Style"/>
                <w:b/>
                <w:sz w:val="18"/>
                <w:szCs w:val="18"/>
              </w:rPr>
            </w:pPr>
            <w:r w:rsidRPr="00764EA2">
              <w:rPr>
                <w:rFonts w:ascii="Bookman Old Style" w:hAnsi="Bookman Old Style"/>
                <w:b/>
                <w:sz w:val="18"/>
                <w:szCs w:val="18"/>
              </w:rPr>
              <w:t>TOTAL COSTOS DEL SERVICIO A RECUPERAR</w:t>
            </w:r>
          </w:p>
        </w:tc>
        <w:tc>
          <w:tcPr>
            <w:tcW w:w="0" w:type="auto"/>
            <w:tcBorders>
              <w:top w:val="nil"/>
              <w:left w:val="nil"/>
              <w:bottom w:val="single" w:sz="4" w:space="0" w:color="auto"/>
              <w:right w:val="single" w:sz="4" w:space="0" w:color="auto"/>
            </w:tcBorders>
            <w:shd w:val="clear" w:color="auto" w:fill="auto"/>
            <w:vAlign w:val="center"/>
            <w:hideMark/>
          </w:tcPr>
          <w:p w:rsidR="00B60B4E" w:rsidRPr="00764EA2" w:rsidRDefault="00B60B4E" w:rsidP="00DA131B">
            <w:pPr>
              <w:ind w:left="0"/>
              <w:rPr>
                <w:rFonts w:ascii="Bookman Old Style" w:hAnsi="Bookman Old Style"/>
                <w:b/>
                <w:sz w:val="18"/>
                <w:szCs w:val="18"/>
              </w:rPr>
            </w:pPr>
            <w:r w:rsidRPr="00764EA2">
              <w:rPr>
                <w:rFonts w:ascii="Bookman Old Style" w:hAnsi="Bookman Old Style"/>
                <w:b/>
                <w:sz w:val="18"/>
                <w:szCs w:val="18"/>
              </w:rPr>
              <w:t>22.212.747.000</w:t>
            </w:r>
          </w:p>
        </w:tc>
      </w:tr>
    </w:tbl>
    <w:p w:rsidR="00B60B4E" w:rsidRDefault="00B60B4E" w:rsidP="00B60B4E">
      <w:pPr>
        <w:pStyle w:val="Prrafodelista"/>
        <w:ind w:left="0"/>
        <w:jc w:val="both"/>
        <w:rPr>
          <w:rFonts w:ascii="Bookman Old Style" w:hAnsi="Bookman Old Style"/>
          <w:sz w:val="24"/>
          <w:szCs w:val="24"/>
          <w:lang w:val="es-ES"/>
        </w:rPr>
      </w:pPr>
    </w:p>
    <w:p w:rsidR="00B60B4E" w:rsidRDefault="00B60B4E" w:rsidP="00B60B4E">
      <w:pPr>
        <w:pStyle w:val="Prrafodelista"/>
        <w:ind w:left="0"/>
        <w:jc w:val="both"/>
        <w:rPr>
          <w:rFonts w:ascii="Bookman Old Style" w:hAnsi="Bookman Old Style"/>
          <w:sz w:val="24"/>
          <w:szCs w:val="24"/>
          <w:lang w:val="es-ES"/>
        </w:rPr>
      </w:pPr>
      <w:r w:rsidRPr="00C30A25">
        <w:rPr>
          <w:rFonts w:ascii="Bookman Old Style" w:hAnsi="Bookman Old Style"/>
          <w:sz w:val="24"/>
          <w:szCs w:val="24"/>
          <w:lang w:val="es-ES"/>
        </w:rPr>
        <w:t>Tomando como base de datos la información financiera de las empresas prestadoras de los servicios públicos domiciliarios de energía eléctrica y gas combustible, reportada a través del Sistema de Único de Información -SUI-, administrado por la Superintendencia de Servicios Públicos Domiciliarios, y a la información reportada a través de correo electrónico la cual fue solicitada en Circular No.046 de Julio 3 de 2018; Se consolida y calcula el factor a aplicar a los gastos reportados por las empresas tomando como base el grupo 51 “Gastos de Administración”, menos impuestos, tasas y contribuciones:</w:t>
      </w:r>
    </w:p>
    <w:p w:rsidR="00B60B4E" w:rsidRDefault="00B60B4E" w:rsidP="00B60B4E">
      <w:pPr>
        <w:pStyle w:val="Prrafodelista"/>
        <w:ind w:left="0"/>
        <w:jc w:val="both"/>
        <w:rPr>
          <w:rFonts w:ascii="Bookman Old Style" w:hAnsi="Bookman Old Style"/>
          <w:sz w:val="24"/>
          <w:szCs w:val="24"/>
          <w:lang w:val="es-ES"/>
        </w:rPr>
      </w:pPr>
    </w:p>
    <w:p w:rsidR="00B60B4E" w:rsidRPr="00C30A25" w:rsidRDefault="00B60B4E" w:rsidP="00B60B4E">
      <w:pPr>
        <w:pStyle w:val="Prrafodelista"/>
        <w:ind w:left="0"/>
        <w:jc w:val="both"/>
        <w:rPr>
          <w:rFonts w:ascii="Bookman Old Style" w:hAnsi="Bookman Old Style"/>
          <w:sz w:val="24"/>
          <w:szCs w:val="24"/>
          <w:lang w:val="es-ES"/>
        </w:rPr>
      </w:pPr>
    </w:p>
    <w:p w:rsidR="00B60B4E" w:rsidRDefault="00B60B4E" w:rsidP="00B60B4E">
      <w:pPr>
        <w:pStyle w:val="Prrafodelista"/>
        <w:ind w:left="0"/>
        <w:jc w:val="both"/>
        <w:rPr>
          <w:rStyle w:val="CharStyle9"/>
          <w:lang w:eastAsia="es-ES_tradnl"/>
        </w:rPr>
      </w:pPr>
    </w:p>
    <w:tbl>
      <w:tblPr>
        <w:tblW w:w="0" w:type="auto"/>
        <w:jc w:val="center"/>
        <w:tblCellMar>
          <w:left w:w="70" w:type="dxa"/>
          <w:right w:w="70" w:type="dxa"/>
        </w:tblCellMar>
        <w:tblLook w:val="04A0" w:firstRow="1" w:lastRow="0" w:firstColumn="1" w:lastColumn="0" w:noHBand="0" w:noVBand="1"/>
      </w:tblPr>
      <w:tblGrid>
        <w:gridCol w:w="4596"/>
        <w:gridCol w:w="1880"/>
      </w:tblGrid>
      <w:tr w:rsidR="00B60B4E" w:rsidRPr="00764EA2" w:rsidTr="00DA131B">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0B4E" w:rsidRPr="00764EA2" w:rsidRDefault="00B60B4E" w:rsidP="00DA131B">
            <w:pPr>
              <w:ind w:left="0"/>
              <w:jc w:val="center"/>
              <w:rPr>
                <w:rFonts w:ascii="Bookman Old Style" w:hAnsi="Bookman Old Style"/>
                <w:b/>
                <w:spacing w:val="-3"/>
                <w:sz w:val="18"/>
                <w:szCs w:val="18"/>
              </w:rPr>
            </w:pPr>
            <w:r w:rsidRPr="00764EA2">
              <w:rPr>
                <w:rFonts w:ascii="Bookman Old Style" w:hAnsi="Bookman Old Style"/>
                <w:b/>
                <w:spacing w:val="-3"/>
                <w:sz w:val="18"/>
                <w:szCs w:val="18"/>
              </w:rPr>
              <w:t>CONCEPTOS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B60B4E" w:rsidRPr="00764EA2" w:rsidRDefault="00B60B4E" w:rsidP="00DA131B">
            <w:pPr>
              <w:ind w:left="0"/>
              <w:jc w:val="center"/>
              <w:rPr>
                <w:rFonts w:ascii="Bookman Old Style" w:hAnsi="Bookman Old Style"/>
                <w:b/>
                <w:spacing w:val="-3"/>
                <w:sz w:val="18"/>
                <w:szCs w:val="18"/>
              </w:rPr>
            </w:pPr>
            <w:r w:rsidRPr="00764EA2">
              <w:rPr>
                <w:rFonts w:ascii="Bookman Old Style" w:hAnsi="Bookman Old Style"/>
                <w:b/>
                <w:spacing w:val="-3"/>
                <w:sz w:val="18"/>
                <w:szCs w:val="18"/>
              </w:rPr>
              <w:t>CALCULOS</w:t>
            </w:r>
          </w:p>
        </w:tc>
      </w:tr>
      <w:tr w:rsidR="00B60B4E" w:rsidRPr="00764EA2" w:rsidTr="00DA131B">
        <w:trPr>
          <w:trHeight w:val="112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60B4E" w:rsidRPr="00764EA2" w:rsidRDefault="00B60B4E" w:rsidP="00DA131B">
            <w:pPr>
              <w:ind w:left="0"/>
              <w:jc w:val="center"/>
              <w:rPr>
                <w:rFonts w:ascii="Bookman Old Style" w:hAnsi="Bookman Old Style"/>
                <w:spacing w:val="-3"/>
                <w:sz w:val="18"/>
                <w:szCs w:val="18"/>
              </w:rPr>
            </w:pPr>
            <w:r w:rsidRPr="00764EA2">
              <w:rPr>
                <w:rFonts w:ascii="Bookman Old Style" w:hAnsi="Bookman Old Style"/>
                <w:spacing w:val="-3"/>
                <w:sz w:val="18"/>
                <w:szCs w:val="18"/>
              </w:rPr>
              <w:t>Total Gastos de administración Empresas reguladas</w:t>
            </w:r>
          </w:p>
        </w:tc>
        <w:tc>
          <w:tcPr>
            <w:tcW w:w="0" w:type="auto"/>
            <w:tcBorders>
              <w:top w:val="nil"/>
              <w:left w:val="nil"/>
              <w:bottom w:val="single" w:sz="4" w:space="0" w:color="auto"/>
              <w:right w:val="single" w:sz="4" w:space="0" w:color="auto"/>
            </w:tcBorders>
            <w:shd w:val="clear" w:color="000000" w:fill="FFFFFF"/>
            <w:vAlign w:val="center"/>
            <w:hideMark/>
          </w:tcPr>
          <w:p w:rsidR="00B60B4E" w:rsidRPr="00764EA2" w:rsidRDefault="00B60B4E" w:rsidP="00DA131B">
            <w:pPr>
              <w:ind w:left="0"/>
              <w:jc w:val="center"/>
              <w:rPr>
                <w:rFonts w:ascii="Bookman Old Style" w:hAnsi="Bookman Old Style"/>
                <w:spacing w:val="-3"/>
                <w:sz w:val="18"/>
                <w:szCs w:val="18"/>
              </w:rPr>
            </w:pPr>
            <w:r w:rsidRPr="00764EA2">
              <w:rPr>
                <w:rFonts w:ascii="Bookman Old Style" w:hAnsi="Bookman Old Style"/>
                <w:spacing w:val="-3"/>
                <w:sz w:val="18"/>
                <w:szCs w:val="18"/>
              </w:rPr>
              <w:t>$2.099.732.143.185</w:t>
            </w:r>
          </w:p>
        </w:tc>
      </w:tr>
      <w:tr w:rsidR="00B60B4E" w:rsidRPr="00764EA2" w:rsidTr="00DA131B">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B60B4E" w:rsidRPr="00764EA2" w:rsidRDefault="00B60B4E" w:rsidP="00DA131B">
            <w:pPr>
              <w:ind w:left="0"/>
              <w:jc w:val="center"/>
              <w:rPr>
                <w:rFonts w:ascii="Bookman Old Style" w:hAnsi="Bookman Old Style"/>
                <w:spacing w:val="-3"/>
                <w:sz w:val="18"/>
                <w:szCs w:val="18"/>
              </w:rPr>
            </w:pPr>
            <w:r w:rsidRPr="00764EA2">
              <w:rPr>
                <w:rFonts w:ascii="Bookman Old Style" w:hAnsi="Bookman Old Style"/>
                <w:spacing w:val="-3"/>
                <w:sz w:val="18"/>
                <w:szCs w:val="18"/>
              </w:rPr>
              <w:t>Tarifa 1%</w:t>
            </w:r>
          </w:p>
        </w:tc>
        <w:tc>
          <w:tcPr>
            <w:tcW w:w="0" w:type="auto"/>
            <w:tcBorders>
              <w:top w:val="nil"/>
              <w:left w:val="nil"/>
              <w:bottom w:val="single" w:sz="4" w:space="0" w:color="auto"/>
              <w:right w:val="single" w:sz="4" w:space="0" w:color="auto"/>
            </w:tcBorders>
            <w:shd w:val="clear" w:color="000000" w:fill="FFFFFF"/>
            <w:vAlign w:val="center"/>
            <w:hideMark/>
          </w:tcPr>
          <w:p w:rsidR="00B60B4E" w:rsidRPr="00764EA2" w:rsidRDefault="00B60B4E" w:rsidP="00DA131B">
            <w:pPr>
              <w:ind w:left="0"/>
              <w:jc w:val="center"/>
              <w:rPr>
                <w:rFonts w:ascii="Bookman Old Style" w:hAnsi="Bookman Old Style"/>
                <w:spacing w:val="-3"/>
                <w:sz w:val="18"/>
                <w:szCs w:val="18"/>
              </w:rPr>
            </w:pPr>
            <w:r w:rsidRPr="00764EA2">
              <w:rPr>
                <w:rFonts w:ascii="Bookman Old Style" w:hAnsi="Bookman Old Style"/>
                <w:spacing w:val="-3"/>
                <w:sz w:val="18"/>
                <w:szCs w:val="18"/>
              </w:rPr>
              <w:t>$20.997.321.432</w:t>
            </w:r>
          </w:p>
        </w:tc>
      </w:tr>
      <w:tr w:rsidR="00B60B4E" w:rsidRPr="00764EA2" w:rsidTr="00DA131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B60B4E" w:rsidRPr="00764EA2" w:rsidRDefault="00B60B4E" w:rsidP="00DA131B">
            <w:pPr>
              <w:ind w:left="0"/>
              <w:jc w:val="center"/>
              <w:rPr>
                <w:rFonts w:ascii="Bookman Old Style" w:hAnsi="Bookman Old Style"/>
                <w:spacing w:val="-3"/>
                <w:sz w:val="18"/>
                <w:szCs w:val="18"/>
              </w:rPr>
            </w:pPr>
            <w:r w:rsidRPr="00764EA2">
              <w:rPr>
                <w:rFonts w:ascii="Bookman Old Style" w:hAnsi="Bookman Old Style"/>
                <w:spacing w:val="-3"/>
                <w:sz w:val="18"/>
                <w:szCs w:val="18"/>
              </w:rPr>
              <w:t>FALTANTE COSTOS DEL SERVICIO A RECUPERAR</w:t>
            </w:r>
          </w:p>
        </w:tc>
        <w:tc>
          <w:tcPr>
            <w:tcW w:w="0" w:type="auto"/>
            <w:tcBorders>
              <w:top w:val="nil"/>
              <w:left w:val="nil"/>
              <w:bottom w:val="single" w:sz="4" w:space="0" w:color="auto"/>
              <w:right w:val="single" w:sz="4" w:space="0" w:color="auto"/>
            </w:tcBorders>
            <w:shd w:val="clear" w:color="auto" w:fill="auto"/>
            <w:noWrap/>
            <w:vAlign w:val="bottom"/>
            <w:hideMark/>
          </w:tcPr>
          <w:p w:rsidR="00B60B4E" w:rsidRPr="00764EA2" w:rsidRDefault="00B60B4E" w:rsidP="00DA131B">
            <w:pPr>
              <w:ind w:left="0"/>
              <w:jc w:val="center"/>
              <w:rPr>
                <w:rFonts w:ascii="Bookman Old Style" w:hAnsi="Bookman Old Style"/>
                <w:spacing w:val="-3"/>
                <w:sz w:val="18"/>
                <w:szCs w:val="18"/>
              </w:rPr>
            </w:pPr>
            <w:r w:rsidRPr="00764EA2">
              <w:rPr>
                <w:rFonts w:ascii="Bookman Old Style" w:hAnsi="Bookman Old Style"/>
                <w:spacing w:val="-3"/>
                <w:sz w:val="18"/>
                <w:szCs w:val="18"/>
              </w:rPr>
              <w:t>$1.215.425.568</w:t>
            </w:r>
          </w:p>
        </w:tc>
      </w:tr>
    </w:tbl>
    <w:p w:rsidR="00B60B4E" w:rsidRDefault="00B60B4E" w:rsidP="00B60B4E">
      <w:pPr>
        <w:pStyle w:val="Prrafodelista"/>
        <w:ind w:left="0"/>
        <w:jc w:val="both"/>
        <w:rPr>
          <w:rFonts w:ascii="Bookman Old Style" w:hAnsi="Bookman Old Style"/>
          <w:sz w:val="24"/>
          <w:szCs w:val="24"/>
          <w:lang w:val="es-ES"/>
        </w:rPr>
      </w:pPr>
    </w:p>
    <w:p w:rsidR="00B60B4E" w:rsidRPr="00C30A25" w:rsidRDefault="00B60B4E" w:rsidP="00B60B4E">
      <w:pPr>
        <w:pStyle w:val="Style8"/>
        <w:shd w:val="clear" w:color="auto" w:fill="auto"/>
        <w:spacing w:before="208" w:after="236" w:line="274" w:lineRule="exact"/>
        <w:ind w:left="40" w:right="60"/>
        <w:jc w:val="both"/>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Que para cubrir los costos del servicio de regulación durante la vigencia 2018 fue necesario aplicar la Ley 142 de 1994, Articulo 85. PARÁGRAFO 2o, el cual establece que “Al fijar las contribuciones especiales estableció que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presupuéstales de las comisiones v la superintendencia”</w:t>
      </w:r>
    </w:p>
    <w:p w:rsidR="00B60B4E" w:rsidRPr="00C30A25" w:rsidRDefault="00B60B4E" w:rsidP="00B60B4E">
      <w:pPr>
        <w:pStyle w:val="Style8"/>
        <w:shd w:val="clear" w:color="auto" w:fill="auto"/>
        <w:spacing w:before="0" w:after="244" w:line="278" w:lineRule="exact"/>
        <w:ind w:left="40" w:right="60"/>
        <w:jc w:val="both"/>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Al respecto, el Consejo de Estado, Sala de lo Contencioso Administrativo, Sección Cuarta, en sentencia proferida dentro del proceso de Nulidad y Restablecimiento del Derecho 11001 -03-27-000-2017-00012-00 (22972) Gestión Energética S.A. E S P. "GENSA S.A. E S P. contra Superintendencia de Servicios Públicos Domiciliarios por la Contribución Especial SSPD 2016, manifestó:</w:t>
      </w:r>
    </w:p>
    <w:p w:rsidR="00B60B4E" w:rsidRPr="00C30A25" w:rsidRDefault="00B60B4E" w:rsidP="00B60B4E">
      <w:pPr>
        <w:pStyle w:val="Style40"/>
        <w:shd w:val="clear" w:color="auto" w:fill="auto"/>
        <w:spacing w:before="0"/>
        <w:ind w:left="40" w:right="60"/>
        <w:rPr>
          <w:rFonts w:ascii="Bookman Old Style" w:eastAsia="Times New Roman" w:hAnsi="Bookman Old Style" w:cs="Times New Roman"/>
          <w:iCs w:val="0"/>
          <w:sz w:val="24"/>
          <w:szCs w:val="24"/>
          <w:lang w:val="es-ES" w:eastAsia="es-ES"/>
        </w:rPr>
      </w:pPr>
      <w:r>
        <w:rPr>
          <w:rStyle w:val="CharStyle41"/>
          <w:color w:val="000000"/>
          <w:lang w:eastAsia="es-ES_tradnl"/>
        </w:rPr>
        <w:t>“</w:t>
      </w:r>
      <w:r w:rsidRPr="00C30A25">
        <w:rPr>
          <w:rFonts w:ascii="Bookman Old Style" w:eastAsia="Times New Roman" w:hAnsi="Bookman Old Style" w:cs="Times New Roman"/>
          <w:sz w:val="24"/>
          <w:szCs w:val="24"/>
          <w:lang w:val="es-ES" w:eastAsia="es-ES"/>
        </w:rPr>
        <w:t>Entonces, cuando la SSPD necesita cubrir faltantes presupuéstales, la ley permite que los gastos operativos puedan ser adicionados a los gastos de funcionamiento, en la misma proporción en que sean indispensables para</w:t>
      </w:r>
      <w:r>
        <w:rPr>
          <w:rFonts w:ascii="Bookman Old Style" w:eastAsia="Times New Roman" w:hAnsi="Bookman Old Style" w:cs="Times New Roman"/>
          <w:sz w:val="24"/>
          <w:szCs w:val="24"/>
          <w:lang w:val="es-ES" w:eastAsia="es-ES"/>
        </w:rPr>
        <w:t xml:space="preserve"> cubrir el faltante presupuestal</w:t>
      </w:r>
      <w:r w:rsidRPr="00C30A25">
        <w:rPr>
          <w:rFonts w:ascii="Bookman Old Style" w:eastAsia="Times New Roman" w:hAnsi="Bookman Old Style" w:cs="Times New Roman"/>
          <w:sz w:val="24"/>
          <w:szCs w:val="24"/>
          <w:lang w:val="es-ES" w:eastAsia="es-ES"/>
        </w:rPr>
        <w:t xml:space="preserve"> de la superintendencia.</w:t>
      </w:r>
    </w:p>
    <w:p w:rsidR="00B60B4E" w:rsidRPr="00C30A25" w:rsidRDefault="00B60B4E" w:rsidP="00B60B4E">
      <w:pPr>
        <w:pStyle w:val="Style40"/>
        <w:shd w:val="clear" w:color="auto" w:fill="auto"/>
        <w:spacing w:before="0" w:after="0"/>
        <w:ind w:left="40" w:right="60"/>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 xml:space="preserve">Tratándose de empresas del sector eléctrico, la base gravable se conforma de la siguiente manera: (i) Según la regla general: De los gastos de funcionamiento, asociados al servicio sometido a regulación se excluyen los gastos operativos, las compras de electricidad, las compras de combustibles y los peajes, cuando hubiere lugar a ello, (ii) conforme a la regla exceptiva, configurado el supuesto de </w:t>
      </w:r>
      <w:r>
        <w:rPr>
          <w:rFonts w:ascii="Bookman Old Style" w:eastAsia="Times New Roman" w:hAnsi="Bookman Old Style" w:cs="Times New Roman"/>
          <w:sz w:val="24"/>
          <w:szCs w:val="24"/>
          <w:lang w:val="es-ES" w:eastAsia="es-ES"/>
        </w:rPr>
        <w:t>hecho - el faltante presupuestal- la l</w:t>
      </w:r>
      <w:r w:rsidRPr="00C30A25">
        <w:rPr>
          <w:rFonts w:ascii="Bookman Old Style" w:eastAsia="Times New Roman" w:hAnsi="Bookman Old Style" w:cs="Times New Roman"/>
          <w:sz w:val="24"/>
          <w:szCs w:val="24"/>
          <w:lang w:val="es-ES" w:eastAsia="es-ES"/>
        </w:rPr>
        <w:t>ey permite adicionara esos rubros los gastos operativos en la misma proporción en que sean indispensables para cubrir el faltante presupuesta</w:t>
      </w:r>
      <w:r>
        <w:rPr>
          <w:rFonts w:ascii="Bookman Old Style" w:eastAsia="Times New Roman" w:hAnsi="Bookman Old Style" w:cs="Times New Roman"/>
          <w:sz w:val="24"/>
          <w:szCs w:val="24"/>
          <w:lang w:val="es-ES" w:eastAsia="es-ES"/>
        </w:rPr>
        <w:t>l</w:t>
      </w:r>
      <w:r w:rsidRPr="00C30A25">
        <w:rPr>
          <w:rFonts w:ascii="Bookman Old Style" w:eastAsia="Times New Roman" w:hAnsi="Bookman Old Style" w:cs="Times New Roman"/>
          <w:sz w:val="24"/>
          <w:szCs w:val="24"/>
          <w:lang w:val="es-ES" w:eastAsia="es-ES"/>
        </w:rPr>
        <w:t xml:space="preserve"> de la superintendencia. (Subrayado fuera del texto original).</w:t>
      </w:r>
    </w:p>
    <w:p w:rsidR="00B60B4E" w:rsidRPr="00C30A25" w:rsidRDefault="00B60B4E" w:rsidP="00B60B4E">
      <w:pPr>
        <w:pStyle w:val="Style40"/>
        <w:shd w:val="clear" w:color="auto" w:fill="auto"/>
        <w:spacing w:before="0" w:after="0"/>
        <w:ind w:left="40" w:right="60"/>
        <w:rPr>
          <w:rFonts w:ascii="Bookman Old Style" w:eastAsia="Times New Roman" w:hAnsi="Bookman Old Style" w:cs="Times New Roman"/>
          <w:iCs w:val="0"/>
          <w:sz w:val="24"/>
          <w:szCs w:val="24"/>
          <w:lang w:val="es-ES" w:eastAsia="es-ES"/>
        </w:rPr>
      </w:pPr>
    </w:p>
    <w:p w:rsidR="00B60B4E" w:rsidRDefault="00B60B4E" w:rsidP="00B60B4E">
      <w:pPr>
        <w:pStyle w:val="Style40"/>
        <w:shd w:val="clear" w:color="auto" w:fill="auto"/>
        <w:spacing w:before="0"/>
        <w:ind w:left="20" w:right="20"/>
      </w:pPr>
      <w:r w:rsidRPr="00C30A25">
        <w:rPr>
          <w:rFonts w:ascii="Bookman Old Style" w:eastAsia="Times New Roman" w:hAnsi="Bookman Old Style" w:cs="Times New Roman"/>
          <w:sz w:val="24"/>
          <w:szCs w:val="24"/>
          <w:lang w:val="es-ES" w:eastAsia="es-ES"/>
        </w:rPr>
        <w:t>La regla general y la excepción previstas por el legislador son concordantes con el fin mismo de la contribución especial, que es recuperar los costos de los servicios de control y vigilancia, y guarda armonía con el artículo 338 de la Constitución Política, que prevé que la tarifa es para la recuperación de costos de los servicios que presta la autoridad administrativa</w:t>
      </w:r>
      <w:r>
        <w:rPr>
          <w:rStyle w:val="CharStyle41"/>
          <w:color w:val="000000"/>
          <w:lang w:eastAsia="es-ES_tradnl"/>
        </w:rPr>
        <w:t>.</w:t>
      </w:r>
    </w:p>
    <w:p w:rsidR="00B60B4E" w:rsidRDefault="00B60B4E" w:rsidP="00B60B4E">
      <w:pPr>
        <w:pStyle w:val="Style8"/>
        <w:shd w:val="clear" w:color="auto" w:fill="auto"/>
        <w:spacing w:before="0" w:after="211" w:line="274" w:lineRule="exact"/>
        <w:ind w:left="20" w:right="20"/>
        <w:jc w:val="both"/>
        <w:rPr>
          <w:rFonts w:ascii="Bookman Old Style" w:eastAsia="Times New Roman" w:hAnsi="Bookman Old Style" w:cs="Times New Roman"/>
          <w:iCs/>
          <w:sz w:val="24"/>
          <w:szCs w:val="24"/>
          <w:lang w:val="es-ES" w:eastAsia="es-ES"/>
        </w:rPr>
      </w:pPr>
      <w:r w:rsidRPr="00C30A25">
        <w:rPr>
          <w:rFonts w:ascii="Bookman Old Style" w:eastAsia="Times New Roman" w:hAnsi="Bookman Old Style" w:cs="Times New Roman"/>
          <w:iCs/>
          <w:sz w:val="24"/>
          <w:szCs w:val="24"/>
          <w:lang w:val="es-ES" w:eastAsia="es-ES"/>
        </w:rPr>
        <w:t>La aplicación de la regla expuesta al cálculo de la contribución que deben pagar los sujetos regulados por la Comisión de Regulación de Energía y Gas, para la vigencia 2018, genera una liquidación sobre las cuentas de costo reportada por los regulados para extraer la base adicional aplicada a la contribución del 2018.</w:t>
      </w:r>
    </w:p>
    <w:p w:rsidR="00B60B4E" w:rsidRPr="00C30A25" w:rsidRDefault="00B60B4E" w:rsidP="00B60B4E">
      <w:pPr>
        <w:pStyle w:val="Style8"/>
        <w:shd w:val="clear" w:color="auto" w:fill="auto"/>
        <w:spacing w:before="0" w:after="211" w:line="274" w:lineRule="exact"/>
        <w:ind w:left="20" w:right="20"/>
        <w:jc w:val="both"/>
        <w:rPr>
          <w:rFonts w:ascii="Bookman Old Style" w:eastAsia="Times New Roman" w:hAnsi="Bookman Old Style" w:cs="Times New Roman"/>
          <w:iCs/>
          <w:sz w:val="24"/>
          <w:szCs w:val="24"/>
          <w:lang w:val="es-ES" w:eastAsia="es-ES"/>
        </w:rPr>
      </w:pPr>
    </w:p>
    <w:tbl>
      <w:tblPr>
        <w:tblW w:w="6440" w:type="dxa"/>
        <w:jc w:val="center"/>
        <w:tblCellMar>
          <w:left w:w="70" w:type="dxa"/>
          <w:right w:w="70" w:type="dxa"/>
        </w:tblCellMar>
        <w:tblLook w:val="04A0" w:firstRow="1" w:lastRow="0" w:firstColumn="1" w:lastColumn="0" w:noHBand="0" w:noVBand="1"/>
      </w:tblPr>
      <w:tblGrid>
        <w:gridCol w:w="4180"/>
        <w:gridCol w:w="2260"/>
      </w:tblGrid>
      <w:tr w:rsidR="00B60B4E" w:rsidRPr="00C30A25" w:rsidTr="00DA131B">
        <w:trPr>
          <w:trHeight w:val="414"/>
          <w:jc w:val="center"/>
        </w:trPr>
        <w:tc>
          <w:tcPr>
            <w:tcW w:w="64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B60B4E" w:rsidRPr="00C30A25" w:rsidRDefault="00B60B4E" w:rsidP="00DA131B">
            <w:pPr>
              <w:ind w:left="0"/>
              <w:jc w:val="center"/>
              <w:rPr>
                <w:rFonts w:ascii="Bookman Old Style" w:hAnsi="Bookman Old Style"/>
                <w:spacing w:val="-3"/>
                <w:sz w:val="18"/>
                <w:szCs w:val="18"/>
              </w:rPr>
            </w:pPr>
            <w:r w:rsidRPr="00C30A25">
              <w:rPr>
                <w:rFonts w:ascii="Bookman Old Style" w:hAnsi="Bookman Old Style"/>
                <w:spacing w:val="-3"/>
                <w:sz w:val="18"/>
                <w:szCs w:val="18"/>
              </w:rPr>
              <w:t>Reporte consolidado de cuentas del costo de las empresas vigiladas</w:t>
            </w:r>
          </w:p>
        </w:tc>
      </w:tr>
      <w:tr w:rsidR="00B60B4E"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B60B4E" w:rsidRPr="00C30A25" w:rsidRDefault="00B60B4E"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Servicios Personales</w:t>
            </w:r>
          </w:p>
        </w:tc>
        <w:tc>
          <w:tcPr>
            <w:tcW w:w="2260"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1.844.258.978.315,81</w:t>
            </w:r>
          </w:p>
        </w:tc>
      </w:tr>
      <w:tr w:rsidR="00B60B4E"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B60B4E" w:rsidRPr="00C30A25" w:rsidRDefault="00B60B4E"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Generales</w:t>
            </w:r>
          </w:p>
        </w:tc>
        <w:tc>
          <w:tcPr>
            <w:tcW w:w="2260"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2.566.144.897.216,00</w:t>
            </w:r>
          </w:p>
        </w:tc>
      </w:tr>
      <w:tr w:rsidR="00B60B4E"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B60B4E" w:rsidRPr="00C30A25" w:rsidRDefault="00B60B4E"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Arrendamientos</w:t>
            </w:r>
          </w:p>
        </w:tc>
        <w:tc>
          <w:tcPr>
            <w:tcW w:w="2260"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180.954.387.122,00</w:t>
            </w:r>
          </w:p>
        </w:tc>
      </w:tr>
      <w:tr w:rsidR="00B60B4E"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B60B4E" w:rsidRPr="00C30A25" w:rsidRDefault="00B60B4E"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Licencias, contribuciones y regalías</w:t>
            </w:r>
          </w:p>
        </w:tc>
        <w:tc>
          <w:tcPr>
            <w:tcW w:w="2260"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698.022.924.920,48</w:t>
            </w:r>
          </w:p>
        </w:tc>
      </w:tr>
      <w:tr w:rsidR="00B60B4E"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B60B4E" w:rsidRPr="00C30A25" w:rsidRDefault="00B60B4E"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Órdenes y contratos de mantenimiento y reparaciones</w:t>
            </w:r>
          </w:p>
        </w:tc>
        <w:tc>
          <w:tcPr>
            <w:tcW w:w="2260"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1.182.472.571.058,00</w:t>
            </w:r>
          </w:p>
        </w:tc>
      </w:tr>
      <w:tr w:rsidR="00B60B4E"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B60B4E" w:rsidRPr="00C30A25" w:rsidRDefault="00B60B4E"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Peajes terrestres</w:t>
            </w:r>
          </w:p>
        </w:tc>
        <w:tc>
          <w:tcPr>
            <w:tcW w:w="2260"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14.203.421.685,00</w:t>
            </w:r>
          </w:p>
        </w:tc>
      </w:tr>
      <w:tr w:rsidR="00B60B4E"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B60B4E" w:rsidRPr="00C30A25" w:rsidRDefault="00B60B4E"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Honorarios</w:t>
            </w:r>
          </w:p>
        </w:tc>
        <w:tc>
          <w:tcPr>
            <w:tcW w:w="2260"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374.709.011.939,16</w:t>
            </w:r>
          </w:p>
        </w:tc>
      </w:tr>
      <w:tr w:rsidR="00B60B4E"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B60B4E" w:rsidRPr="00C30A25" w:rsidRDefault="00B60B4E"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Servicios Públicos</w:t>
            </w:r>
          </w:p>
        </w:tc>
        <w:tc>
          <w:tcPr>
            <w:tcW w:w="2260"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106.617.672.407,29</w:t>
            </w:r>
          </w:p>
        </w:tc>
      </w:tr>
      <w:tr w:rsidR="00B60B4E"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B60B4E" w:rsidRPr="00C30A25" w:rsidRDefault="00B60B4E"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 xml:space="preserve">Materiales Y Otros Costos De Operación </w:t>
            </w:r>
          </w:p>
        </w:tc>
        <w:tc>
          <w:tcPr>
            <w:tcW w:w="2260"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1.443.771.966.289,94</w:t>
            </w:r>
          </w:p>
        </w:tc>
      </w:tr>
      <w:tr w:rsidR="00B60B4E"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B60B4E" w:rsidRPr="00C30A25" w:rsidRDefault="00B60B4E"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CO"/>
              </w:rPr>
              <w:t>Seguros</w:t>
            </w:r>
          </w:p>
        </w:tc>
        <w:tc>
          <w:tcPr>
            <w:tcW w:w="2260"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388.199.628.729,82</w:t>
            </w:r>
          </w:p>
        </w:tc>
      </w:tr>
      <w:tr w:rsidR="00B60B4E"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B60B4E" w:rsidRPr="00C30A25" w:rsidRDefault="00B60B4E"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ES_tradnl" w:eastAsia="es-CO"/>
              </w:rPr>
              <w:t>Órdenes Y Contratos Por Otros Servicios</w:t>
            </w:r>
          </w:p>
        </w:tc>
        <w:tc>
          <w:tcPr>
            <w:tcW w:w="2260"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2.101.485.300.204,41</w:t>
            </w:r>
          </w:p>
        </w:tc>
      </w:tr>
      <w:tr w:rsidR="00B60B4E"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B60B4E" w:rsidRPr="00C30A25" w:rsidRDefault="00B60B4E" w:rsidP="00DA131B">
            <w:pPr>
              <w:ind w:left="0"/>
              <w:rPr>
                <w:rFonts w:ascii="Arial" w:hAnsi="Arial" w:cs="Arial"/>
                <w:b/>
                <w:color w:val="000000"/>
                <w:sz w:val="16"/>
                <w:szCs w:val="16"/>
                <w:lang w:val="es-CO" w:eastAsia="es-CO"/>
              </w:rPr>
            </w:pPr>
            <w:r w:rsidRPr="00C30A25">
              <w:rPr>
                <w:rFonts w:ascii="Arial" w:hAnsi="Arial" w:cs="Arial"/>
                <w:b/>
                <w:color w:val="000000"/>
                <w:sz w:val="16"/>
                <w:szCs w:val="16"/>
                <w:lang w:val="es-CO" w:eastAsia="es-CO"/>
              </w:rPr>
              <w:t>TOTAL COSTOS OPERACIÓN</w:t>
            </w:r>
          </w:p>
        </w:tc>
        <w:tc>
          <w:tcPr>
            <w:tcW w:w="2260" w:type="dxa"/>
            <w:tcBorders>
              <w:top w:val="nil"/>
              <w:left w:val="nil"/>
              <w:bottom w:val="single" w:sz="4" w:space="0" w:color="auto"/>
              <w:right w:val="single" w:sz="4" w:space="0" w:color="auto"/>
            </w:tcBorders>
            <w:shd w:val="clear" w:color="auto" w:fill="auto"/>
            <w:noWrap/>
            <w:vAlign w:val="bottom"/>
            <w:hideMark/>
          </w:tcPr>
          <w:p w:rsidR="00B60B4E" w:rsidRPr="00C30A25" w:rsidRDefault="00B60B4E" w:rsidP="00DA131B">
            <w:pPr>
              <w:ind w:left="0"/>
              <w:jc w:val="right"/>
              <w:rPr>
                <w:rFonts w:ascii="Bookman Old Style" w:hAnsi="Bookman Old Style"/>
                <w:spacing w:val="-3"/>
                <w:sz w:val="18"/>
                <w:szCs w:val="18"/>
              </w:rPr>
            </w:pPr>
            <w:r w:rsidRPr="00C30A25">
              <w:rPr>
                <w:rFonts w:ascii="Bookman Old Style" w:hAnsi="Bookman Old Style"/>
                <w:spacing w:val="-3"/>
                <w:sz w:val="18"/>
                <w:szCs w:val="18"/>
              </w:rPr>
              <w:t>10.900.840.759.887,90</w:t>
            </w:r>
          </w:p>
        </w:tc>
      </w:tr>
    </w:tbl>
    <w:p w:rsidR="00B60B4E" w:rsidRDefault="00B60B4E" w:rsidP="00B60B4E">
      <w:pPr>
        <w:pStyle w:val="Prrafodelista"/>
        <w:ind w:left="0"/>
        <w:jc w:val="both"/>
        <w:rPr>
          <w:rFonts w:ascii="Bookman Old Style" w:hAnsi="Bookman Old Style"/>
          <w:i/>
          <w:sz w:val="24"/>
          <w:szCs w:val="24"/>
          <w:highlight w:val="yellow"/>
        </w:rPr>
      </w:pPr>
    </w:p>
    <w:tbl>
      <w:tblPr>
        <w:tblW w:w="6040" w:type="dxa"/>
        <w:jc w:val="center"/>
        <w:tblCellMar>
          <w:left w:w="70" w:type="dxa"/>
          <w:right w:w="70" w:type="dxa"/>
        </w:tblCellMar>
        <w:tblLook w:val="04A0" w:firstRow="1" w:lastRow="0" w:firstColumn="1" w:lastColumn="0" w:noHBand="0" w:noVBand="1"/>
      </w:tblPr>
      <w:tblGrid>
        <w:gridCol w:w="3900"/>
        <w:gridCol w:w="2140"/>
      </w:tblGrid>
      <w:tr w:rsidR="00B60B4E" w:rsidRPr="00C30A25" w:rsidTr="00DA131B">
        <w:trPr>
          <w:trHeight w:val="300"/>
          <w:jc w:val="center"/>
        </w:trPr>
        <w:tc>
          <w:tcPr>
            <w:tcW w:w="3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0B4E" w:rsidRPr="00C30A25" w:rsidRDefault="00B60B4E" w:rsidP="00DA131B">
            <w:pPr>
              <w:ind w:left="0"/>
              <w:rPr>
                <w:rFonts w:ascii="Bookman Old Style" w:hAnsi="Bookman Old Style"/>
                <w:b/>
                <w:spacing w:val="-3"/>
                <w:sz w:val="18"/>
                <w:szCs w:val="18"/>
              </w:rPr>
            </w:pPr>
            <w:r w:rsidRPr="00C30A25">
              <w:rPr>
                <w:rFonts w:ascii="Bookman Old Style" w:hAnsi="Bookman Old Style"/>
                <w:b/>
                <w:spacing w:val="-3"/>
                <w:sz w:val="18"/>
                <w:szCs w:val="18"/>
              </w:rPr>
              <w:t>CONCEPTOS</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B60B4E" w:rsidRPr="00C30A25" w:rsidRDefault="00B60B4E" w:rsidP="00DA131B">
            <w:pPr>
              <w:ind w:left="0"/>
              <w:rPr>
                <w:rFonts w:ascii="Bookman Old Style" w:hAnsi="Bookman Old Style"/>
                <w:b/>
                <w:spacing w:val="-3"/>
                <w:sz w:val="18"/>
                <w:szCs w:val="18"/>
              </w:rPr>
            </w:pPr>
            <w:r w:rsidRPr="00C30A25">
              <w:rPr>
                <w:rFonts w:ascii="Bookman Old Style" w:hAnsi="Bookman Old Style"/>
                <w:b/>
                <w:spacing w:val="-3"/>
                <w:sz w:val="18"/>
                <w:szCs w:val="18"/>
              </w:rPr>
              <w:t>CALCULOS</w:t>
            </w:r>
          </w:p>
        </w:tc>
      </w:tr>
      <w:tr w:rsidR="00B60B4E" w:rsidRPr="00C30A25" w:rsidTr="00DA131B">
        <w:trPr>
          <w:trHeight w:val="45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B60B4E" w:rsidRPr="00C30A25" w:rsidRDefault="00B60B4E" w:rsidP="00DA131B">
            <w:pPr>
              <w:ind w:left="0"/>
              <w:rPr>
                <w:rFonts w:ascii="Bookman Old Style" w:hAnsi="Bookman Old Style"/>
                <w:spacing w:val="-3"/>
                <w:sz w:val="18"/>
                <w:szCs w:val="18"/>
              </w:rPr>
            </w:pPr>
            <w:r w:rsidRPr="00C30A25">
              <w:rPr>
                <w:rFonts w:ascii="Bookman Old Style" w:hAnsi="Bookman Old Style"/>
                <w:spacing w:val="-3"/>
                <w:sz w:val="18"/>
                <w:szCs w:val="18"/>
              </w:rPr>
              <w:t>Total Costos operativos Empresas Reguladas</w:t>
            </w:r>
          </w:p>
        </w:tc>
        <w:tc>
          <w:tcPr>
            <w:tcW w:w="2140"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rPr>
                <w:rFonts w:ascii="Bookman Old Style" w:hAnsi="Bookman Old Style"/>
                <w:spacing w:val="-3"/>
                <w:sz w:val="18"/>
                <w:szCs w:val="18"/>
              </w:rPr>
            </w:pPr>
            <w:r w:rsidRPr="00C30A25">
              <w:rPr>
                <w:rFonts w:ascii="Bookman Old Style" w:hAnsi="Bookman Old Style"/>
                <w:spacing w:val="-3"/>
                <w:sz w:val="18"/>
                <w:szCs w:val="18"/>
              </w:rPr>
              <w:t>10.900.840.759.888</w:t>
            </w:r>
          </w:p>
        </w:tc>
      </w:tr>
      <w:tr w:rsidR="00B60B4E" w:rsidRPr="00C30A25" w:rsidTr="00DA131B">
        <w:trPr>
          <w:trHeight w:val="300"/>
          <w:jc w:val="center"/>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B60B4E" w:rsidRPr="00C30A25" w:rsidRDefault="00B60B4E" w:rsidP="00DA131B">
            <w:pPr>
              <w:ind w:left="0"/>
              <w:rPr>
                <w:rFonts w:ascii="Bookman Old Style" w:hAnsi="Bookman Old Style"/>
                <w:spacing w:val="-3"/>
                <w:sz w:val="18"/>
                <w:szCs w:val="18"/>
              </w:rPr>
            </w:pPr>
            <w:r w:rsidRPr="00C30A25">
              <w:rPr>
                <w:rFonts w:ascii="Bookman Old Style" w:hAnsi="Bookman Old Style"/>
                <w:spacing w:val="-3"/>
                <w:sz w:val="18"/>
                <w:szCs w:val="18"/>
              </w:rPr>
              <w:t>Faltante costos del servicio a recuperar presupuestal</w:t>
            </w:r>
          </w:p>
        </w:tc>
        <w:tc>
          <w:tcPr>
            <w:tcW w:w="2140"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rPr>
                <w:rFonts w:ascii="Bookman Old Style" w:hAnsi="Bookman Old Style"/>
                <w:spacing w:val="-3"/>
                <w:sz w:val="18"/>
                <w:szCs w:val="18"/>
              </w:rPr>
            </w:pPr>
            <w:r w:rsidRPr="00C30A25">
              <w:rPr>
                <w:rFonts w:ascii="Bookman Old Style" w:hAnsi="Bookman Old Style"/>
                <w:spacing w:val="-3"/>
                <w:sz w:val="18"/>
                <w:szCs w:val="18"/>
              </w:rPr>
              <w:t>1.215.425.568</w:t>
            </w:r>
          </w:p>
        </w:tc>
      </w:tr>
      <w:tr w:rsidR="00B60B4E" w:rsidRPr="00C30A25" w:rsidTr="00DA131B">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B60B4E" w:rsidRPr="00C30A25" w:rsidRDefault="00B60B4E" w:rsidP="00DA131B">
            <w:pPr>
              <w:ind w:left="0"/>
              <w:rPr>
                <w:rFonts w:ascii="Bookman Old Style" w:hAnsi="Bookman Old Style"/>
                <w:spacing w:val="-3"/>
                <w:sz w:val="18"/>
                <w:szCs w:val="18"/>
              </w:rPr>
            </w:pPr>
            <w:r w:rsidRPr="00C30A25">
              <w:rPr>
                <w:rFonts w:ascii="Bookman Old Style" w:hAnsi="Bookman Old Style"/>
                <w:spacing w:val="-3"/>
                <w:sz w:val="18"/>
                <w:szCs w:val="18"/>
              </w:rPr>
              <w:t>Base adicional Costos operativos</w:t>
            </w:r>
          </w:p>
        </w:tc>
        <w:tc>
          <w:tcPr>
            <w:tcW w:w="2140"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rPr>
                <w:rFonts w:ascii="Bookman Old Style" w:hAnsi="Bookman Old Style"/>
                <w:spacing w:val="-3"/>
                <w:sz w:val="18"/>
                <w:szCs w:val="18"/>
              </w:rPr>
            </w:pPr>
            <w:r w:rsidRPr="00C30A25">
              <w:rPr>
                <w:rFonts w:ascii="Bookman Old Style" w:hAnsi="Bookman Old Style"/>
                <w:spacing w:val="-3"/>
                <w:sz w:val="18"/>
                <w:szCs w:val="18"/>
              </w:rPr>
              <w:t>121.542.556.815</w:t>
            </w:r>
          </w:p>
        </w:tc>
      </w:tr>
      <w:tr w:rsidR="00B60B4E" w:rsidRPr="00C30A25" w:rsidTr="00DA131B">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B60B4E" w:rsidRPr="00C30A25" w:rsidRDefault="00B60B4E" w:rsidP="00DA131B">
            <w:pPr>
              <w:ind w:left="0"/>
              <w:jc w:val="center"/>
              <w:rPr>
                <w:rFonts w:ascii="Bookman Old Style" w:hAnsi="Bookman Old Style"/>
                <w:spacing w:val="-3"/>
                <w:sz w:val="18"/>
                <w:szCs w:val="18"/>
              </w:rPr>
            </w:pPr>
            <w:proofErr w:type="spellStart"/>
            <w:r w:rsidRPr="00C30A25">
              <w:rPr>
                <w:rFonts w:ascii="Bookman Old Style" w:hAnsi="Bookman Old Style"/>
                <w:spacing w:val="-3"/>
                <w:sz w:val="18"/>
                <w:szCs w:val="18"/>
              </w:rPr>
              <w:t>Procentaje</w:t>
            </w:r>
            <w:proofErr w:type="spellEnd"/>
            <w:r w:rsidRPr="00C30A25">
              <w:rPr>
                <w:rFonts w:ascii="Bookman Old Style" w:hAnsi="Bookman Old Style"/>
                <w:spacing w:val="-3"/>
                <w:sz w:val="18"/>
                <w:szCs w:val="18"/>
              </w:rPr>
              <w:t xml:space="preserve"> adicional </w:t>
            </w:r>
          </w:p>
        </w:tc>
        <w:tc>
          <w:tcPr>
            <w:tcW w:w="2140"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rPr>
                <w:rFonts w:ascii="Bookman Old Style" w:hAnsi="Bookman Old Style"/>
                <w:spacing w:val="-3"/>
                <w:sz w:val="18"/>
                <w:szCs w:val="18"/>
              </w:rPr>
            </w:pPr>
            <w:r w:rsidRPr="00C30A25">
              <w:rPr>
                <w:rFonts w:ascii="Bookman Old Style" w:hAnsi="Bookman Old Style"/>
                <w:spacing w:val="-3"/>
                <w:sz w:val="18"/>
                <w:szCs w:val="18"/>
              </w:rPr>
              <w:t>0,00011200</w:t>
            </w:r>
          </w:p>
        </w:tc>
      </w:tr>
    </w:tbl>
    <w:p w:rsidR="00B60B4E" w:rsidRDefault="00B60B4E" w:rsidP="00B60B4E">
      <w:pPr>
        <w:pStyle w:val="Prrafodelista"/>
        <w:ind w:left="0"/>
        <w:jc w:val="both"/>
        <w:rPr>
          <w:rFonts w:ascii="Bookman Old Style" w:hAnsi="Bookman Old Style"/>
          <w:i/>
          <w:sz w:val="24"/>
          <w:szCs w:val="24"/>
          <w:highlight w:val="yellow"/>
        </w:rPr>
      </w:pPr>
    </w:p>
    <w:tbl>
      <w:tblPr>
        <w:tblW w:w="8217" w:type="dxa"/>
        <w:jc w:val="center"/>
        <w:tblCellMar>
          <w:left w:w="70" w:type="dxa"/>
          <w:right w:w="70" w:type="dxa"/>
        </w:tblCellMar>
        <w:tblLook w:val="04A0" w:firstRow="1" w:lastRow="0" w:firstColumn="1" w:lastColumn="0" w:noHBand="0" w:noVBand="1"/>
      </w:tblPr>
      <w:tblGrid>
        <w:gridCol w:w="3320"/>
        <w:gridCol w:w="2345"/>
        <w:gridCol w:w="2552"/>
      </w:tblGrid>
      <w:tr w:rsidR="00B60B4E" w:rsidRPr="00C30A25" w:rsidTr="00DA131B">
        <w:trPr>
          <w:trHeight w:val="450"/>
          <w:jc w:val="center"/>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0B4E" w:rsidRPr="00C30A25" w:rsidRDefault="00B60B4E" w:rsidP="00DA131B">
            <w:pPr>
              <w:ind w:left="0"/>
              <w:jc w:val="center"/>
              <w:rPr>
                <w:rFonts w:ascii="Bookman Old Style" w:hAnsi="Bookman Old Style"/>
                <w:b/>
                <w:spacing w:val="-3"/>
                <w:sz w:val="18"/>
                <w:szCs w:val="18"/>
              </w:rPr>
            </w:pPr>
            <w:r w:rsidRPr="00C30A25">
              <w:rPr>
                <w:rFonts w:ascii="Bookman Old Style" w:hAnsi="Bookman Old Style"/>
                <w:b/>
                <w:spacing w:val="-3"/>
                <w:sz w:val="18"/>
                <w:szCs w:val="18"/>
              </w:rPr>
              <w:t>Gasto de administración (-) Impuestos, Tasa y contribuciones</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rsidR="00B60B4E" w:rsidRPr="00C30A25" w:rsidRDefault="00B60B4E" w:rsidP="00DA131B">
            <w:pPr>
              <w:ind w:left="0"/>
              <w:rPr>
                <w:rFonts w:ascii="Bookman Old Style" w:hAnsi="Bookman Old Style"/>
                <w:b/>
                <w:spacing w:val="-3"/>
                <w:sz w:val="18"/>
                <w:szCs w:val="18"/>
              </w:rPr>
            </w:pPr>
            <w:r w:rsidRPr="00C30A25">
              <w:rPr>
                <w:rFonts w:ascii="Bookman Old Style" w:hAnsi="Bookman Old Style"/>
                <w:b/>
                <w:spacing w:val="-3"/>
                <w:sz w:val="18"/>
                <w:szCs w:val="18"/>
              </w:rPr>
              <w:t>Base adicional (Clase 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B60B4E" w:rsidRPr="00C30A25" w:rsidRDefault="00B60B4E" w:rsidP="00DA131B">
            <w:pPr>
              <w:ind w:left="0"/>
              <w:rPr>
                <w:rFonts w:ascii="Bookman Old Style" w:hAnsi="Bookman Old Style"/>
                <w:b/>
                <w:spacing w:val="-3"/>
                <w:sz w:val="18"/>
                <w:szCs w:val="18"/>
              </w:rPr>
            </w:pPr>
            <w:r w:rsidRPr="00C30A25">
              <w:rPr>
                <w:rFonts w:ascii="Bookman Old Style" w:hAnsi="Bookman Old Style"/>
                <w:b/>
                <w:spacing w:val="-3"/>
                <w:sz w:val="18"/>
                <w:szCs w:val="18"/>
              </w:rPr>
              <w:t>Total Base</w:t>
            </w:r>
          </w:p>
        </w:tc>
      </w:tr>
      <w:tr w:rsidR="00B60B4E" w:rsidRPr="00C30A25" w:rsidTr="00DA131B">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B60B4E" w:rsidRPr="00C30A25" w:rsidRDefault="00B60B4E" w:rsidP="00DA131B">
            <w:pPr>
              <w:ind w:left="0"/>
              <w:jc w:val="right"/>
              <w:rPr>
                <w:rFonts w:ascii="Bookman Old Style" w:hAnsi="Bookman Old Style"/>
                <w:spacing w:val="-3"/>
              </w:rPr>
            </w:pPr>
            <w:r w:rsidRPr="00C30A25">
              <w:rPr>
                <w:rFonts w:ascii="Bookman Old Style" w:hAnsi="Bookman Old Style"/>
                <w:spacing w:val="-3"/>
              </w:rPr>
              <w:t>2.099.732.143.185</w:t>
            </w:r>
          </w:p>
        </w:tc>
        <w:tc>
          <w:tcPr>
            <w:tcW w:w="2345"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rPr>
                <w:rFonts w:ascii="Bookman Old Style" w:hAnsi="Bookman Old Style"/>
                <w:spacing w:val="-3"/>
              </w:rPr>
            </w:pPr>
            <w:r w:rsidRPr="00C30A25">
              <w:rPr>
                <w:rFonts w:ascii="Bookman Old Style" w:hAnsi="Bookman Old Style"/>
                <w:spacing w:val="-3"/>
              </w:rPr>
              <w:t>121.542.556.820</w:t>
            </w:r>
          </w:p>
        </w:tc>
        <w:tc>
          <w:tcPr>
            <w:tcW w:w="2552" w:type="dxa"/>
            <w:tcBorders>
              <w:top w:val="nil"/>
              <w:left w:val="nil"/>
              <w:bottom w:val="single" w:sz="4" w:space="0" w:color="auto"/>
              <w:right w:val="single" w:sz="4" w:space="0" w:color="auto"/>
            </w:tcBorders>
            <w:shd w:val="clear" w:color="auto" w:fill="auto"/>
            <w:vAlign w:val="center"/>
            <w:hideMark/>
          </w:tcPr>
          <w:p w:rsidR="00B60B4E" w:rsidRPr="00C30A25" w:rsidRDefault="00B60B4E" w:rsidP="00DA131B">
            <w:pPr>
              <w:ind w:left="0"/>
              <w:rPr>
                <w:rFonts w:ascii="Bookman Old Style" w:hAnsi="Bookman Old Style"/>
                <w:spacing w:val="-3"/>
              </w:rPr>
            </w:pPr>
            <w:r w:rsidRPr="00C30A25">
              <w:rPr>
                <w:rFonts w:ascii="Bookman Old Style" w:hAnsi="Bookman Old Style"/>
                <w:spacing w:val="-3"/>
              </w:rPr>
              <w:t>2.221.274.700.005</w:t>
            </w:r>
          </w:p>
        </w:tc>
      </w:tr>
    </w:tbl>
    <w:p w:rsidR="00B60B4E" w:rsidRDefault="00B60B4E" w:rsidP="00B60B4E">
      <w:pPr>
        <w:pStyle w:val="Prrafodelista"/>
        <w:ind w:left="0"/>
        <w:jc w:val="both"/>
        <w:rPr>
          <w:rFonts w:ascii="Bookman Old Style" w:hAnsi="Bookman Old Style"/>
          <w:i/>
          <w:sz w:val="24"/>
          <w:szCs w:val="24"/>
          <w:highlight w:val="yellow"/>
        </w:rPr>
      </w:pPr>
    </w:p>
    <w:p w:rsidR="00B60B4E" w:rsidRDefault="00B60B4E" w:rsidP="00B60B4E">
      <w:pPr>
        <w:pStyle w:val="Prrafodelista"/>
        <w:ind w:left="0"/>
        <w:jc w:val="both"/>
        <w:rPr>
          <w:rFonts w:ascii="Bookman Old Style" w:hAnsi="Bookman Old Style"/>
          <w:spacing w:val="-3"/>
          <w:sz w:val="24"/>
          <w:szCs w:val="24"/>
          <w:lang w:val="es-ES"/>
        </w:rPr>
      </w:pPr>
      <w:r w:rsidRPr="00C30A25">
        <w:rPr>
          <w:rFonts w:ascii="Bookman Old Style" w:hAnsi="Bookman Old Style"/>
          <w:spacing w:val="-3"/>
          <w:sz w:val="24"/>
          <w:szCs w:val="24"/>
          <w:lang w:val="es-ES"/>
        </w:rPr>
        <w:t>La contribución que le corresponde pagar a cada entidad del subsector regulado fue liquidada mediante Resolución administrativa N° 139 del 23 de noviembre de 2018 con base en los factores expuestos, los cuales están explícitos en el documento CREG 105 de 2018, publicado como anexo de la citada resolución.</w:t>
      </w:r>
    </w:p>
    <w:p w:rsidR="00B60B4E" w:rsidRDefault="00B60B4E" w:rsidP="00B60B4E">
      <w:pPr>
        <w:pStyle w:val="Prrafodelista"/>
        <w:ind w:left="0"/>
        <w:jc w:val="both"/>
        <w:rPr>
          <w:rFonts w:ascii="Bookman Old Style" w:hAnsi="Bookman Old Style"/>
          <w:spacing w:val="-3"/>
          <w:sz w:val="24"/>
          <w:szCs w:val="24"/>
          <w:lang w:val="es-ES"/>
        </w:rPr>
      </w:pPr>
    </w:p>
    <w:p w:rsidR="00BB0139" w:rsidRPr="00D14371" w:rsidRDefault="00BB0139" w:rsidP="00BB0139">
      <w:pPr>
        <w:ind w:left="0"/>
        <w:jc w:val="both"/>
        <w:rPr>
          <w:rFonts w:ascii="Bookman Old Style" w:hAnsi="Bookman Old Style"/>
          <w:spacing w:val="-3"/>
        </w:rPr>
      </w:pPr>
      <w:r w:rsidRPr="00D14371">
        <w:rPr>
          <w:rFonts w:ascii="Bookman Old Style" w:hAnsi="Bookman Old Style"/>
          <w:spacing w:val="-3"/>
        </w:rPr>
        <w:t>Igualmente, el artículo 5 de la resolución 138 “Por la cual se señala el porcentaje de la contribución que deben pagar las entidades sometidas a la regulación de la Comisión de Regulación de Energía y Gas en el año 2018, y se dictan otras disposiciones” se estableció que:</w:t>
      </w:r>
    </w:p>
    <w:p w:rsidR="00BB0139" w:rsidRPr="00D14371" w:rsidRDefault="00BB0139" w:rsidP="00BB0139">
      <w:pPr>
        <w:jc w:val="both"/>
        <w:rPr>
          <w:rFonts w:ascii="Bookman Old Style" w:hAnsi="Bookman Old Style"/>
          <w:spacing w:val="-3"/>
        </w:rPr>
      </w:pPr>
    </w:p>
    <w:p w:rsidR="00BB0139" w:rsidRPr="00D14371" w:rsidRDefault="00BB0139" w:rsidP="00BB0139">
      <w:pPr>
        <w:jc w:val="both"/>
        <w:rPr>
          <w:rFonts w:ascii="Bookman Old Style" w:hAnsi="Bookman Old Style"/>
          <w:i/>
          <w:spacing w:val="-3"/>
        </w:rPr>
      </w:pPr>
      <w:r w:rsidRPr="00D14371">
        <w:rPr>
          <w:rFonts w:ascii="Bookman Old Style" w:hAnsi="Bookman Old Style"/>
          <w:i/>
          <w:spacing w:val="-3"/>
        </w:rPr>
        <w:t xml:space="preserve">ARTÍCULO 5. El monto total de la contribución que deben pagar las entidades sujetas a regulación de la Comisión de Regulación de Energía y Gas, en el año 2018, es del 1% del valor de los gastos de funcionamiento y </w:t>
      </w:r>
      <w:r w:rsidRPr="00D14371">
        <w:rPr>
          <w:rFonts w:ascii="Bookman Old Style" w:hAnsi="Bookman Old Style"/>
          <w:i/>
          <w:spacing w:val="-3"/>
          <w:u w:val="single"/>
        </w:rPr>
        <w:t>costos de la entidad sujeta a regulación</w:t>
      </w:r>
      <w:r w:rsidRPr="00D14371">
        <w:rPr>
          <w:rFonts w:ascii="Bookman Old Style" w:hAnsi="Bookman Old Style"/>
          <w:i/>
          <w:spacing w:val="-3"/>
        </w:rPr>
        <w:t>, con exclusión de los factores establecidos en la ley y en la jurisprudencia del Consejo de Estado. El monto correspondiente a cada entidad será determinado con base en los estados financieros correspondientes al año 2017, como lo ordenan las normas vigentes. (Subrayado fuera del texto original)</w:t>
      </w:r>
    </w:p>
    <w:p w:rsidR="00BB0139" w:rsidRPr="00D14371" w:rsidRDefault="00BB0139" w:rsidP="00BB0139">
      <w:pPr>
        <w:jc w:val="both"/>
        <w:rPr>
          <w:rFonts w:ascii="Bookman Old Style" w:hAnsi="Bookman Old Style"/>
          <w:spacing w:val="-3"/>
        </w:rPr>
      </w:pPr>
    </w:p>
    <w:p w:rsidR="00B60B4E" w:rsidRPr="00C30A25" w:rsidRDefault="00B60B4E" w:rsidP="00B60B4E">
      <w:pPr>
        <w:pStyle w:val="Prrafodelista"/>
        <w:ind w:left="0"/>
        <w:jc w:val="both"/>
        <w:rPr>
          <w:rFonts w:ascii="Bookman Old Style" w:hAnsi="Bookman Old Style"/>
          <w:spacing w:val="-3"/>
          <w:sz w:val="24"/>
          <w:szCs w:val="24"/>
          <w:lang w:val="es-ES"/>
        </w:rPr>
      </w:pPr>
      <w:r>
        <w:rPr>
          <w:rFonts w:ascii="Bookman Old Style" w:hAnsi="Bookman Old Style"/>
          <w:spacing w:val="-3"/>
          <w:sz w:val="24"/>
          <w:szCs w:val="24"/>
          <w:lang w:val="es-ES"/>
        </w:rPr>
        <w:t>Por los motivos anteriormente expuestos, no se observan circunstancias de derecho que ameriten el cambio de la decisión planteada inicialmente por la administración, razón por la cual se procederá a confirmar la decisión adoptada mediante resolución 139 de 2018.</w:t>
      </w:r>
    </w:p>
    <w:p w:rsidR="00B60B4E" w:rsidRPr="003301B8" w:rsidRDefault="00B60B4E" w:rsidP="00B60B4E">
      <w:pPr>
        <w:pStyle w:val="Prrafodelista"/>
        <w:ind w:left="0"/>
        <w:jc w:val="both"/>
        <w:rPr>
          <w:rFonts w:ascii="Bookman Old Style" w:hAnsi="Bookman Old Style"/>
          <w:i/>
          <w:sz w:val="24"/>
          <w:szCs w:val="24"/>
          <w:highlight w:val="yellow"/>
        </w:rPr>
      </w:pPr>
    </w:p>
    <w:p w:rsidR="00B60B4E" w:rsidRDefault="00B60B4E" w:rsidP="00B60B4E">
      <w:pPr>
        <w:ind w:left="0"/>
        <w:jc w:val="both"/>
        <w:rPr>
          <w:rFonts w:ascii="Bookman Old Style" w:hAnsi="Bookman Old Style"/>
        </w:rPr>
      </w:pPr>
      <w:r w:rsidRPr="00000F83">
        <w:rPr>
          <w:rFonts w:ascii="Bookman Old Style" w:hAnsi="Bookman Old Style"/>
        </w:rPr>
        <w:t>La Comisi</w:t>
      </w:r>
      <w:r w:rsidR="00E43366">
        <w:rPr>
          <w:rFonts w:ascii="Bookman Old Style" w:hAnsi="Bookman Old Style"/>
        </w:rPr>
        <w:t>ón, en la sesión CREG 960 del 27</w:t>
      </w:r>
      <w:r w:rsidRPr="00000F83">
        <w:rPr>
          <w:rFonts w:ascii="Bookman Old Style" w:hAnsi="Bookman Old Style"/>
        </w:rPr>
        <w:t xml:space="preserve"> </w:t>
      </w:r>
      <w:r>
        <w:rPr>
          <w:rFonts w:ascii="Bookman Old Style" w:hAnsi="Bookman Old Style"/>
        </w:rPr>
        <w:t xml:space="preserve">de noviembre de 2019, aprobó la </w:t>
      </w:r>
      <w:r w:rsidRPr="00000F83">
        <w:rPr>
          <w:rFonts w:ascii="Bookman Old Style" w:hAnsi="Bookman Old Style"/>
        </w:rPr>
        <w:t>presente resolución</w:t>
      </w:r>
      <w:r>
        <w:rPr>
          <w:rFonts w:ascii="Bookman Old Style" w:hAnsi="Bookman Old Style"/>
        </w:rPr>
        <w:t>.</w:t>
      </w:r>
    </w:p>
    <w:p w:rsidR="00B60B4E" w:rsidRDefault="00B60B4E" w:rsidP="00B60B4E">
      <w:pPr>
        <w:ind w:left="0"/>
        <w:rPr>
          <w:rFonts w:ascii="Bookman Old Style" w:hAnsi="Bookman Old Style"/>
        </w:rPr>
      </w:pPr>
    </w:p>
    <w:p w:rsidR="00B60B4E" w:rsidRDefault="00B60B4E" w:rsidP="00B60B4E">
      <w:pPr>
        <w:ind w:left="0"/>
        <w:rPr>
          <w:rFonts w:ascii="Bookman Old Style" w:hAnsi="Bookman Old Style"/>
          <w:spacing w:val="-3"/>
        </w:rPr>
      </w:pPr>
      <w:r w:rsidRPr="00B3569D">
        <w:rPr>
          <w:rFonts w:ascii="Bookman Old Style" w:hAnsi="Bookman Old Style"/>
          <w:spacing w:val="-3"/>
        </w:rPr>
        <w:t>Por las razones expuestas, la Comisión de Regulación de Energía y Gas</w:t>
      </w:r>
      <w:r>
        <w:rPr>
          <w:rFonts w:ascii="Bookman Old Style" w:hAnsi="Bookman Old Style"/>
          <w:spacing w:val="-3"/>
        </w:rPr>
        <w:t>,</w:t>
      </w:r>
      <w:r w:rsidRPr="00B3569D">
        <w:rPr>
          <w:rFonts w:ascii="Bookman Old Style" w:hAnsi="Bookman Old Style"/>
          <w:spacing w:val="-3"/>
        </w:rPr>
        <w:t xml:space="preserve"> </w:t>
      </w:r>
      <w:r>
        <w:rPr>
          <w:rFonts w:ascii="Bookman Old Style" w:hAnsi="Bookman Old Style"/>
          <w:spacing w:val="-3"/>
        </w:rPr>
        <w:t>CREG</w:t>
      </w:r>
      <w:r w:rsidRPr="00B3569D">
        <w:rPr>
          <w:rFonts w:ascii="Bookman Old Style" w:hAnsi="Bookman Old Style"/>
          <w:spacing w:val="-3"/>
        </w:rPr>
        <w:t>,</w:t>
      </w:r>
    </w:p>
    <w:p w:rsidR="00B60B4E" w:rsidRPr="00B3569D" w:rsidRDefault="00B60B4E" w:rsidP="00B60B4E">
      <w:pPr>
        <w:ind w:left="0"/>
        <w:rPr>
          <w:rFonts w:ascii="Bookman Old Style" w:hAnsi="Bookman Old Style"/>
          <w:lang w:val="es-CO"/>
        </w:rPr>
      </w:pPr>
    </w:p>
    <w:p w:rsidR="00B60B4E" w:rsidRPr="00B3569D" w:rsidRDefault="00B60B4E" w:rsidP="00B60B4E">
      <w:pPr>
        <w:tabs>
          <w:tab w:val="center" w:pos="4512"/>
        </w:tabs>
        <w:suppressAutoHyphens/>
        <w:ind w:left="0"/>
        <w:jc w:val="both"/>
        <w:rPr>
          <w:rFonts w:ascii="Bookman Old Style" w:hAnsi="Bookman Old Style"/>
          <w:b/>
          <w:spacing w:val="-3"/>
        </w:rPr>
      </w:pPr>
    </w:p>
    <w:p w:rsidR="00B60B4E" w:rsidRPr="003301B8" w:rsidRDefault="00B60B4E" w:rsidP="00B60B4E">
      <w:pPr>
        <w:tabs>
          <w:tab w:val="center" w:pos="4512"/>
        </w:tabs>
        <w:suppressAutoHyphens/>
        <w:ind w:left="170"/>
        <w:jc w:val="center"/>
        <w:rPr>
          <w:rFonts w:ascii="Bookman Old Style" w:hAnsi="Bookman Old Style"/>
          <w:b/>
          <w:spacing w:val="-3"/>
        </w:rPr>
      </w:pPr>
      <w:r w:rsidRPr="003301B8">
        <w:rPr>
          <w:rFonts w:ascii="Bookman Old Style" w:hAnsi="Bookman Old Style"/>
          <w:b/>
          <w:spacing w:val="-3"/>
        </w:rPr>
        <w:t>R E S U E L V E:</w:t>
      </w:r>
    </w:p>
    <w:p w:rsidR="00B60B4E" w:rsidRPr="003301B8" w:rsidRDefault="00B60B4E" w:rsidP="00B60B4E">
      <w:pPr>
        <w:ind w:left="0"/>
        <w:jc w:val="both"/>
        <w:rPr>
          <w:rFonts w:ascii="Bookman Old Style" w:hAnsi="Bookman Old Style"/>
          <w:b/>
        </w:rPr>
      </w:pPr>
    </w:p>
    <w:p w:rsidR="00B60B4E" w:rsidRPr="003301B8" w:rsidRDefault="00B60B4E" w:rsidP="00B60B4E">
      <w:pPr>
        <w:ind w:left="0"/>
        <w:jc w:val="both"/>
        <w:rPr>
          <w:rFonts w:ascii="Bookman Old Style" w:hAnsi="Bookman Old Style"/>
        </w:rPr>
      </w:pPr>
      <w:r w:rsidRPr="003301B8">
        <w:rPr>
          <w:rFonts w:ascii="Bookman Old Style" w:hAnsi="Bookman Old Style"/>
          <w:b/>
        </w:rPr>
        <w:t>ARTÍCULO 1.</w:t>
      </w:r>
      <w:r w:rsidRPr="003301B8">
        <w:rPr>
          <w:rFonts w:ascii="Bookman Old Style" w:hAnsi="Bookman Old Style"/>
        </w:rPr>
        <w:t xml:space="preserve"> </w:t>
      </w:r>
      <w:r>
        <w:rPr>
          <w:rFonts w:ascii="Bookman Old Style" w:hAnsi="Bookman Old Style"/>
          <w:b/>
        </w:rPr>
        <w:t>CONFIRMAR</w:t>
      </w:r>
      <w:r w:rsidRPr="003301B8">
        <w:rPr>
          <w:rFonts w:ascii="Bookman Old Style" w:hAnsi="Bookman Old Style"/>
          <w:b/>
        </w:rPr>
        <w:t xml:space="preserve"> </w:t>
      </w:r>
      <w:r w:rsidRPr="00E95E95">
        <w:rPr>
          <w:rFonts w:ascii="Bookman Old Style" w:hAnsi="Bookman Old Style"/>
        </w:rPr>
        <w:t>el</w:t>
      </w:r>
      <w:r w:rsidRPr="003301B8">
        <w:rPr>
          <w:rFonts w:ascii="Bookman Old Style" w:hAnsi="Bookman Old Style"/>
        </w:rPr>
        <w:t xml:space="preserve"> artículo primero de la </w:t>
      </w:r>
      <w:r>
        <w:rPr>
          <w:rFonts w:ascii="Bookman Old Style" w:hAnsi="Bookman Old Style"/>
        </w:rPr>
        <w:t>R</w:t>
      </w:r>
      <w:r w:rsidRPr="003301B8">
        <w:rPr>
          <w:rFonts w:ascii="Bookman Old Style" w:hAnsi="Bookman Old Style"/>
        </w:rPr>
        <w:t>esolución CREG</w:t>
      </w:r>
      <w:r>
        <w:rPr>
          <w:rFonts w:ascii="Bookman Old Style" w:hAnsi="Bookman Old Style"/>
        </w:rPr>
        <w:t xml:space="preserve"> 139 de 2018</w:t>
      </w:r>
      <w:r w:rsidRPr="003301B8">
        <w:rPr>
          <w:rFonts w:ascii="Bookman Old Style" w:hAnsi="Bookman Old Style"/>
        </w:rPr>
        <w:t>, en la cual se señala la base gra</w:t>
      </w:r>
      <w:r>
        <w:rPr>
          <w:rFonts w:ascii="Bookman Old Style" w:hAnsi="Bookman Old Style"/>
        </w:rPr>
        <w:t>vable y el valor a pagar por la</w:t>
      </w:r>
      <w:r w:rsidRPr="003301B8">
        <w:rPr>
          <w:rFonts w:ascii="Bookman Old Style" w:hAnsi="Bookman Old Style"/>
        </w:rPr>
        <w:t xml:space="preserve"> </w:t>
      </w:r>
      <w:r>
        <w:rPr>
          <w:rFonts w:ascii="Bookman Old Style" w:hAnsi="Bookman Old Style"/>
        </w:rPr>
        <w:t xml:space="preserve">DISTRIBUIDORA Y COMERCIALIZADORA DE ENERGÍA ELÉCTRICA - DICEL S.A. E.S.P., </w:t>
      </w:r>
      <w:r w:rsidRPr="003301B8">
        <w:rPr>
          <w:rFonts w:ascii="Bookman Old Style" w:hAnsi="Bookman Old Style"/>
        </w:rPr>
        <w:t>con fundamento en las razones expuestas en la parte motiva de este proveído.</w:t>
      </w:r>
    </w:p>
    <w:p w:rsidR="00B60B4E" w:rsidRPr="003301B8" w:rsidRDefault="00B60B4E" w:rsidP="00B60B4E">
      <w:pPr>
        <w:ind w:left="0"/>
        <w:jc w:val="both"/>
        <w:rPr>
          <w:rFonts w:ascii="Bookman Old Style" w:hAnsi="Bookman Old Style"/>
          <w:bCs/>
        </w:rPr>
      </w:pPr>
    </w:p>
    <w:p w:rsidR="00B60B4E" w:rsidRPr="003301B8" w:rsidRDefault="00B60B4E" w:rsidP="00B60B4E">
      <w:pPr>
        <w:ind w:left="0"/>
        <w:jc w:val="both"/>
        <w:rPr>
          <w:rFonts w:ascii="Bookman Old Style" w:hAnsi="Bookman Old Style"/>
        </w:rPr>
      </w:pPr>
      <w:r w:rsidRPr="003301B8">
        <w:rPr>
          <w:rFonts w:ascii="Bookman Old Style" w:hAnsi="Bookman Old Style"/>
          <w:b/>
        </w:rPr>
        <w:t>ARTÍCULO 2.</w:t>
      </w:r>
      <w:r w:rsidRPr="003301B8">
        <w:rPr>
          <w:rFonts w:ascii="Bookman Old Style" w:hAnsi="Bookman Old Style"/>
        </w:rPr>
        <w:t xml:space="preserve"> </w:t>
      </w:r>
      <w:r w:rsidRPr="003301B8">
        <w:rPr>
          <w:rFonts w:ascii="Bookman Old Style" w:hAnsi="Bookman Old Style"/>
        </w:rPr>
        <w:tab/>
      </w:r>
      <w:r w:rsidRPr="003301B8">
        <w:rPr>
          <w:rFonts w:ascii="Bookman Old Style" w:hAnsi="Bookman Old Style"/>
          <w:b/>
        </w:rPr>
        <w:t xml:space="preserve">INFORMAR </w:t>
      </w:r>
      <w:r w:rsidRPr="003301B8">
        <w:rPr>
          <w:rFonts w:ascii="Bookman Old Style" w:hAnsi="Bookman Old Style"/>
        </w:rPr>
        <w:t xml:space="preserve">a quien corresponda el contenido de la presente resolución para que efectué los ajustes contables necesarios y se </w:t>
      </w:r>
      <w:r>
        <w:rPr>
          <w:rFonts w:ascii="Bookman Old Style" w:hAnsi="Bookman Old Style"/>
        </w:rPr>
        <w:t>realice el cobro de la resolución 139 de 2018</w:t>
      </w:r>
      <w:r w:rsidRPr="003301B8">
        <w:rPr>
          <w:rFonts w:ascii="Bookman Old Style" w:hAnsi="Bookman Old Style"/>
        </w:rPr>
        <w:t>.</w:t>
      </w:r>
    </w:p>
    <w:p w:rsidR="00B60B4E" w:rsidRPr="003301B8" w:rsidRDefault="00B60B4E" w:rsidP="00B60B4E">
      <w:pPr>
        <w:ind w:left="0"/>
        <w:jc w:val="both"/>
        <w:rPr>
          <w:rFonts w:ascii="Bookman Old Style" w:hAnsi="Bookman Old Style" w:cs="Arial"/>
          <w:color w:val="000000"/>
        </w:rPr>
      </w:pPr>
    </w:p>
    <w:p w:rsidR="00B60B4E" w:rsidRPr="003301B8" w:rsidRDefault="00B60B4E" w:rsidP="00B60B4E">
      <w:pPr>
        <w:ind w:left="0"/>
        <w:jc w:val="both"/>
        <w:rPr>
          <w:rFonts w:ascii="Bookman Old Style" w:hAnsi="Bookman Old Style" w:cs="Arial"/>
        </w:rPr>
      </w:pPr>
      <w:r w:rsidRPr="003301B8">
        <w:rPr>
          <w:rFonts w:ascii="Bookman Old Style" w:hAnsi="Bookman Old Style"/>
          <w:b/>
        </w:rPr>
        <w:t xml:space="preserve">ARTÍCULO 3. NOTIFICAR </w:t>
      </w:r>
      <w:r w:rsidRPr="003301B8">
        <w:rPr>
          <w:rFonts w:ascii="Bookman Old Style" w:hAnsi="Bookman Old Style"/>
        </w:rPr>
        <w:t>al representante legal de la</w:t>
      </w:r>
      <w:r>
        <w:rPr>
          <w:rFonts w:ascii="Bookman Old Style" w:hAnsi="Bookman Old Style"/>
        </w:rPr>
        <w:t xml:space="preserve"> DISTRIBUIDORA Y COMERCIALIZADORA DE ENERGÍA ELÉCTRICA - DICEL S.A. E.S.P., </w:t>
      </w:r>
      <w:r w:rsidRPr="003301B8">
        <w:rPr>
          <w:rFonts w:ascii="Bookman Old Style" w:hAnsi="Bookman Old Style" w:cs="Arial"/>
        </w:rPr>
        <w:t xml:space="preserve">el contenido de la presente resolución, conforme con lo establecido en los artículos 67 y </w:t>
      </w:r>
      <w:proofErr w:type="spellStart"/>
      <w:r w:rsidRPr="003301B8">
        <w:rPr>
          <w:rFonts w:ascii="Bookman Old Style" w:hAnsi="Bookman Old Style" w:cs="Arial"/>
        </w:rPr>
        <w:t>ss</w:t>
      </w:r>
      <w:proofErr w:type="spellEnd"/>
      <w:r w:rsidRPr="003301B8">
        <w:rPr>
          <w:rFonts w:ascii="Bookman Old Style" w:hAnsi="Bookman Old Style" w:cs="Arial"/>
        </w:rPr>
        <w:t xml:space="preserve"> del Código de Procedimiento Administrativo y de lo Contencioso Administrativo. </w:t>
      </w:r>
    </w:p>
    <w:p w:rsidR="00B60B4E" w:rsidRPr="003301B8" w:rsidRDefault="00B60B4E" w:rsidP="00B60B4E">
      <w:pPr>
        <w:ind w:left="170"/>
        <w:jc w:val="both"/>
        <w:rPr>
          <w:rFonts w:ascii="Bookman Old Style" w:hAnsi="Bookman Old Style" w:cs="Arial"/>
        </w:rPr>
      </w:pPr>
    </w:p>
    <w:p w:rsidR="00B60B4E" w:rsidRPr="003301B8" w:rsidRDefault="00B60B4E" w:rsidP="00B60B4E">
      <w:pPr>
        <w:ind w:left="0"/>
        <w:jc w:val="both"/>
        <w:rPr>
          <w:rFonts w:ascii="Bookman Old Style" w:hAnsi="Bookman Old Style"/>
        </w:rPr>
      </w:pPr>
      <w:r w:rsidRPr="003301B8">
        <w:rPr>
          <w:rFonts w:ascii="Bookman Old Style" w:hAnsi="Bookman Old Style"/>
          <w:b/>
        </w:rPr>
        <w:t xml:space="preserve">ARTÍCULO 4. </w:t>
      </w:r>
      <w:r w:rsidRPr="003301B8">
        <w:rPr>
          <w:rFonts w:ascii="Bookman Old Style" w:hAnsi="Bookman Old Style"/>
        </w:rPr>
        <w:t>Contra la presente resolución no procede recurso alguno, quedando por lo tanto agotada la vía gubernativa.</w:t>
      </w:r>
    </w:p>
    <w:p w:rsidR="00B60B4E" w:rsidRPr="003301B8" w:rsidRDefault="00B60B4E" w:rsidP="00B60B4E">
      <w:pPr>
        <w:ind w:left="0"/>
        <w:jc w:val="both"/>
        <w:rPr>
          <w:rFonts w:ascii="Bookman Old Style" w:hAnsi="Bookman Old Style" w:cs="Arial"/>
        </w:rPr>
      </w:pPr>
    </w:p>
    <w:p w:rsidR="00B60B4E" w:rsidRPr="003301B8" w:rsidRDefault="00B60B4E" w:rsidP="00B60B4E">
      <w:pPr>
        <w:ind w:left="0"/>
        <w:jc w:val="both"/>
        <w:rPr>
          <w:rFonts w:ascii="Bookman Old Style" w:hAnsi="Bookman Old Style" w:cs="Arial"/>
        </w:rPr>
      </w:pPr>
    </w:p>
    <w:p w:rsidR="00B60B4E" w:rsidRPr="003301B8" w:rsidRDefault="00B60B4E" w:rsidP="00B60B4E">
      <w:pPr>
        <w:ind w:left="0"/>
        <w:jc w:val="center"/>
        <w:rPr>
          <w:rFonts w:ascii="Bookman Old Style" w:hAnsi="Bookman Old Style" w:cs="Arial"/>
          <w:b/>
        </w:rPr>
      </w:pPr>
      <w:r w:rsidRPr="003301B8">
        <w:rPr>
          <w:rFonts w:ascii="Bookman Old Style" w:hAnsi="Bookman Old Style" w:cs="Arial"/>
          <w:b/>
        </w:rPr>
        <w:t>NOTIFÍQUESE Y CÚMPLASE</w:t>
      </w:r>
    </w:p>
    <w:p w:rsidR="00B60B4E" w:rsidRPr="003301B8" w:rsidRDefault="00B60B4E" w:rsidP="00B60B4E">
      <w:pPr>
        <w:ind w:left="0"/>
        <w:jc w:val="center"/>
        <w:rPr>
          <w:rFonts w:ascii="Bookman Old Style" w:hAnsi="Bookman Old Style" w:cs="Arial"/>
          <w:b/>
        </w:rPr>
      </w:pPr>
    </w:p>
    <w:p w:rsidR="00B60B4E" w:rsidRPr="003301B8" w:rsidRDefault="00B60B4E" w:rsidP="00B60B4E">
      <w:pPr>
        <w:ind w:left="0"/>
        <w:rPr>
          <w:rFonts w:ascii="Bookman Old Style" w:hAnsi="Bookman Old Style" w:cs="Arial"/>
        </w:rPr>
      </w:pPr>
    </w:p>
    <w:p w:rsidR="00B60B4E" w:rsidRDefault="00B60B4E" w:rsidP="00B60B4E">
      <w:pPr>
        <w:ind w:left="0"/>
        <w:rPr>
          <w:rFonts w:ascii="Bookman Old Style" w:hAnsi="Bookman Old Style" w:cs="Arial"/>
        </w:rPr>
      </w:pPr>
      <w:r w:rsidRPr="003301B8">
        <w:rPr>
          <w:rFonts w:ascii="Bookman Old Style" w:hAnsi="Bookman Old Style" w:cs="Arial"/>
        </w:rPr>
        <w:t>Dada en Bogotá D.C, a</w:t>
      </w:r>
    </w:p>
    <w:p w:rsidR="00E43366" w:rsidRDefault="00E43366" w:rsidP="00B60B4E">
      <w:pPr>
        <w:ind w:left="0"/>
        <w:rPr>
          <w:rFonts w:ascii="Bookman Old Style" w:hAnsi="Bookman Old Style" w:cs="Arial"/>
        </w:rPr>
      </w:pPr>
    </w:p>
    <w:p w:rsidR="00E43366" w:rsidRDefault="00E43366" w:rsidP="00B60B4E">
      <w:pPr>
        <w:ind w:left="0"/>
        <w:rPr>
          <w:rFonts w:ascii="Bookman Old Style" w:hAnsi="Bookman Old Style" w:cs="Arial"/>
        </w:rPr>
      </w:pPr>
    </w:p>
    <w:p w:rsidR="00E43366" w:rsidRDefault="00E43366" w:rsidP="00B60B4E">
      <w:pPr>
        <w:ind w:left="0"/>
        <w:rPr>
          <w:rFonts w:ascii="Bookman Old Style" w:hAnsi="Bookman Old Style" w:cs="Arial"/>
        </w:rPr>
      </w:pPr>
    </w:p>
    <w:p w:rsidR="00E43366" w:rsidRDefault="00E43366" w:rsidP="00B60B4E">
      <w:pPr>
        <w:ind w:left="0"/>
        <w:rPr>
          <w:rFonts w:ascii="Bookman Old Style" w:hAnsi="Bookman Old Style" w:cs="Arial"/>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E43366" w:rsidTr="00E43366">
        <w:trPr>
          <w:tblCellSpacing w:w="0" w:type="dxa"/>
        </w:trPr>
        <w:tc>
          <w:tcPr>
            <w:tcW w:w="5104" w:type="dxa"/>
            <w:shd w:val="clear" w:color="auto" w:fill="FFFFFF"/>
            <w:hideMark/>
          </w:tcPr>
          <w:p w:rsidR="00E43366" w:rsidRDefault="00E43366">
            <w:pPr>
              <w:ind w:left="0"/>
              <w:jc w:val="center"/>
              <w:rPr>
                <w:rFonts w:ascii="Bookman Old Style" w:hAnsi="Bookman Old Style" w:cs="Arial"/>
                <w:b/>
                <w:sz w:val="23"/>
                <w:szCs w:val="23"/>
                <w:lang w:val="es-CO" w:eastAsia="es-CO"/>
              </w:rPr>
            </w:pPr>
            <w:r>
              <w:rPr>
                <w:rFonts w:ascii="Bookman Old Style" w:hAnsi="Bookman Old Style"/>
                <w:b/>
              </w:rPr>
              <w:t>DIEGO MESA PUYO</w:t>
            </w:r>
          </w:p>
        </w:tc>
        <w:tc>
          <w:tcPr>
            <w:tcW w:w="4536" w:type="dxa"/>
            <w:shd w:val="clear" w:color="auto" w:fill="FFFFFF"/>
            <w:hideMark/>
          </w:tcPr>
          <w:p w:rsidR="00E43366" w:rsidRDefault="00E43366">
            <w:pPr>
              <w:ind w:left="142"/>
              <w:jc w:val="center"/>
              <w:rPr>
                <w:rFonts w:ascii="Bookman Old Style" w:hAnsi="Bookman Old Style" w:cs="Arial"/>
                <w:sz w:val="23"/>
                <w:szCs w:val="23"/>
                <w:lang w:val="es-CO" w:eastAsia="es-CO"/>
              </w:rPr>
            </w:pPr>
            <w:r>
              <w:rPr>
                <w:rFonts w:ascii="Bookman Old Style" w:hAnsi="Bookman Old Style" w:cs="Arial"/>
                <w:b/>
                <w:bCs/>
                <w:szCs w:val="23"/>
                <w:lang w:val="es-CO" w:eastAsia="es-CO"/>
              </w:rPr>
              <w:t>CHRISTIAN JARAMILLO HERRERA</w:t>
            </w:r>
          </w:p>
        </w:tc>
      </w:tr>
      <w:tr w:rsidR="00E43366" w:rsidTr="00E43366">
        <w:trPr>
          <w:tblCellSpacing w:w="0" w:type="dxa"/>
        </w:trPr>
        <w:tc>
          <w:tcPr>
            <w:tcW w:w="5104" w:type="dxa"/>
            <w:shd w:val="clear" w:color="auto" w:fill="FFFFFF"/>
            <w:hideMark/>
          </w:tcPr>
          <w:p w:rsidR="00E43366" w:rsidRDefault="00E43366">
            <w:pPr>
              <w:ind w:left="0"/>
              <w:jc w:val="center"/>
              <w:rPr>
                <w:rFonts w:ascii="Bookman Old Style" w:hAnsi="Bookman Old Style" w:cs="Arial"/>
                <w:lang w:val="es-CO" w:eastAsia="es-CO"/>
              </w:rPr>
            </w:pPr>
            <w:r>
              <w:rPr>
                <w:rFonts w:ascii="Bookman Old Style" w:hAnsi="Bookman Old Style"/>
              </w:rPr>
              <w:t>Viceministro de Energía, delegado de la Ministra de Minas y Energía</w:t>
            </w:r>
          </w:p>
        </w:tc>
        <w:tc>
          <w:tcPr>
            <w:tcW w:w="4536" w:type="dxa"/>
            <w:shd w:val="clear" w:color="auto" w:fill="FFFFFF"/>
            <w:hideMark/>
          </w:tcPr>
          <w:p w:rsidR="00E43366" w:rsidRDefault="00E43366">
            <w:pPr>
              <w:ind w:left="142"/>
              <w:jc w:val="center"/>
              <w:rPr>
                <w:rFonts w:ascii="Bookman Old Style" w:hAnsi="Bookman Old Style" w:cs="Arial"/>
                <w:lang w:val="es-CO" w:eastAsia="es-CO"/>
              </w:rPr>
            </w:pPr>
            <w:r>
              <w:rPr>
                <w:rFonts w:ascii="Bookman Old Style" w:hAnsi="Bookman Old Style" w:cs="Arial"/>
                <w:lang w:val="es-CO" w:eastAsia="es-CO"/>
              </w:rPr>
              <w:t>Director Ejecutivo</w:t>
            </w:r>
          </w:p>
        </w:tc>
      </w:tr>
      <w:tr w:rsidR="00E43366" w:rsidTr="00E43366">
        <w:trPr>
          <w:tblCellSpacing w:w="0" w:type="dxa"/>
        </w:trPr>
        <w:tc>
          <w:tcPr>
            <w:tcW w:w="5104" w:type="dxa"/>
            <w:shd w:val="clear" w:color="auto" w:fill="FFFFFF"/>
            <w:hideMark/>
          </w:tcPr>
          <w:p w:rsidR="00E43366" w:rsidRDefault="00E43366">
            <w:pPr>
              <w:ind w:left="0"/>
              <w:jc w:val="center"/>
              <w:rPr>
                <w:rFonts w:ascii="Bookman Old Style" w:hAnsi="Bookman Old Style" w:cs="Arial"/>
                <w:lang w:val="es-CO" w:eastAsia="es-CO"/>
              </w:rPr>
            </w:pPr>
            <w:r>
              <w:rPr>
                <w:rFonts w:ascii="Bookman Old Style" w:hAnsi="Bookman Old Style" w:cs="Arial"/>
                <w:lang w:val="es-CO" w:eastAsia="es-CO"/>
              </w:rPr>
              <w:t>Presidente</w:t>
            </w:r>
          </w:p>
        </w:tc>
        <w:tc>
          <w:tcPr>
            <w:tcW w:w="4536" w:type="dxa"/>
            <w:shd w:val="clear" w:color="auto" w:fill="FFFFFF"/>
            <w:hideMark/>
          </w:tcPr>
          <w:p w:rsidR="00E43366" w:rsidRDefault="00E43366">
            <w:pPr>
              <w:ind w:left="142"/>
              <w:rPr>
                <w:rFonts w:ascii="Bookman Old Style" w:hAnsi="Bookman Old Style" w:cs="Arial"/>
                <w:lang w:val="es-CO" w:eastAsia="es-CO"/>
              </w:rPr>
            </w:pPr>
            <w:r>
              <w:rPr>
                <w:rFonts w:ascii="Bookman Old Style" w:hAnsi="Bookman Old Style" w:cs="Arial"/>
                <w:noProof/>
                <w:lang w:val="es-CO" w:eastAsia="es-CO"/>
              </w:rPr>
              <w:drawing>
                <wp:inline distT="0" distB="0" distL="0" distR="0">
                  <wp:extent cx="9525" cy="9525"/>
                  <wp:effectExtent l="0" t="0" r="0" b="0"/>
                  <wp:docPr id="2" name="Imagen 2"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apolo.creg.gov.co/icons/ecblank.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E43366" w:rsidRPr="003301B8" w:rsidRDefault="00E43366" w:rsidP="00B60B4E">
      <w:pPr>
        <w:ind w:left="0"/>
        <w:rPr>
          <w:rFonts w:ascii="Bookman Old Style" w:hAnsi="Bookman Old Style" w:cs="Arial"/>
        </w:rPr>
      </w:pPr>
    </w:p>
    <w:p w:rsidR="00B60B4E" w:rsidRPr="003301B8" w:rsidRDefault="00B60B4E" w:rsidP="00B60B4E">
      <w:pPr>
        <w:ind w:left="0"/>
        <w:jc w:val="both"/>
        <w:rPr>
          <w:rFonts w:ascii="Bookman Old Style" w:hAnsi="Bookman Old Style" w:cs="Arial"/>
          <w:b/>
        </w:rPr>
      </w:pPr>
    </w:p>
    <w:p w:rsidR="00B60B4E" w:rsidRDefault="00B60B4E" w:rsidP="00B60B4E">
      <w:pPr>
        <w:rPr>
          <w:rFonts w:ascii="Bookman Old Style" w:hAnsi="Bookman Old Style" w:cs="Arial"/>
          <w:szCs w:val="20"/>
        </w:rPr>
      </w:pPr>
    </w:p>
    <w:p w:rsidR="00B60B4E" w:rsidRDefault="00B60B4E" w:rsidP="00B60B4E"/>
    <w:p w:rsidR="003C6F78" w:rsidRDefault="003C6F78"/>
    <w:sectPr w:rsidR="003C6F78" w:rsidSect="00337231">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8EF" w:rsidRDefault="00D648EF" w:rsidP="00B60B4E">
      <w:r>
        <w:separator/>
      </w:r>
    </w:p>
  </w:endnote>
  <w:endnote w:type="continuationSeparator" w:id="0">
    <w:p w:rsidR="00D648EF" w:rsidRDefault="00D648EF" w:rsidP="00B6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8EF" w:rsidRDefault="00D648EF" w:rsidP="00B60B4E">
      <w:r>
        <w:separator/>
      </w:r>
    </w:p>
  </w:footnote>
  <w:footnote w:type="continuationSeparator" w:id="0">
    <w:p w:rsidR="00D648EF" w:rsidRDefault="00D648EF" w:rsidP="00B60B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201B2A" w:rsidP="00951F79">
    <w:pPr>
      <w:pStyle w:val="Ttulo1"/>
      <w:ind w:right="6"/>
      <w:jc w:val="left"/>
      <w:rPr>
        <w:rFonts w:ascii="Bookman Old Style" w:hAnsi="Bookman Old Style" w:cs="Arial"/>
        <w:b w:val="0"/>
        <w:sz w:val="22"/>
        <w:szCs w:val="22"/>
      </w:rPr>
    </w:pPr>
  </w:p>
  <w:p w:rsidR="00227116" w:rsidRPr="00951F79" w:rsidRDefault="002B1FCA"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01B2A">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01B2A">
      <w:fldChar w:fldCharType="begin"/>
    </w:r>
    <w:r w:rsidR="00201B2A">
      <w:instrText xml:space="preserve"> NUMPAGES  \* MERGEFORMAT </w:instrText>
    </w:r>
    <w:r w:rsidR="00201B2A">
      <w:fldChar w:fldCharType="separate"/>
    </w:r>
    <w:r w:rsidR="00201B2A" w:rsidRPr="00201B2A">
      <w:rPr>
        <w:rFonts w:ascii="Bookman Old Style" w:hAnsi="Bookman Old Style" w:cs="Arial"/>
        <w:b w:val="0"/>
        <w:noProof/>
        <w:sz w:val="22"/>
        <w:szCs w:val="22"/>
      </w:rPr>
      <w:t>6</w:t>
    </w:r>
    <w:r w:rsidR="00201B2A">
      <w:rPr>
        <w:rFonts w:ascii="Bookman Old Style" w:hAnsi="Bookman Old Style" w:cs="Arial"/>
        <w:b w:val="0"/>
        <w:noProof/>
        <w:sz w:val="22"/>
        <w:szCs w:val="22"/>
      </w:rPr>
      <w:fldChar w:fldCharType="end"/>
    </w:r>
  </w:p>
  <w:p w:rsidR="00227116" w:rsidRDefault="002B1FC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49A7CBD0" wp14:editId="4542C05B">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CA830"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227116" w:rsidRPr="00617704" w:rsidRDefault="002B1FCA" w:rsidP="00617704">
    <w:pPr>
      <w:ind w:left="0"/>
      <w:jc w:val="both"/>
      <w:rPr>
        <w:rFonts w:ascii="Bookman Old Style" w:hAnsi="Bookman Old Style" w:cs="Arial"/>
        <w:sz w:val="22"/>
        <w:szCs w:val="22"/>
      </w:rPr>
    </w:pPr>
    <w:r w:rsidRPr="00617704">
      <w:rPr>
        <w:rFonts w:ascii="Bookman Old Style" w:hAnsi="Bookman Old Style" w:cs="Arial"/>
        <w:sz w:val="22"/>
        <w:szCs w:val="22"/>
      </w:rPr>
      <w:t xml:space="preserve">Por medio de la cual se resuelve </w:t>
    </w:r>
    <w:r w:rsidRPr="00E95E95">
      <w:rPr>
        <w:rFonts w:ascii="Bookman Old Style" w:hAnsi="Bookman Old Style" w:cs="Arial"/>
        <w:sz w:val="22"/>
        <w:szCs w:val="22"/>
      </w:rPr>
      <w:t xml:space="preserve">el recurso de reposición interpuesto por </w:t>
    </w:r>
    <w:r w:rsidR="00B60B4E" w:rsidRPr="00B60B4E">
      <w:rPr>
        <w:rFonts w:ascii="Bookman Old Style" w:hAnsi="Bookman Old Style" w:cs="Arial"/>
        <w:sz w:val="22"/>
        <w:szCs w:val="22"/>
      </w:rPr>
      <w:t>DISTRIBUIDORA Y COMERCIALIZADORA DE ENERGÍA ELÉCTRICA - DICEL S.A. E.S.P.,</w:t>
    </w:r>
    <w:r w:rsidR="00B60B4E">
      <w:rPr>
        <w:rFonts w:ascii="Bookman Old Style" w:hAnsi="Bookman Old Style" w:cs="Arial"/>
        <w:sz w:val="22"/>
        <w:szCs w:val="22"/>
      </w:rPr>
      <w:t xml:space="preserve"> </w:t>
    </w:r>
    <w:r w:rsidRPr="00617704">
      <w:rPr>
        <w:rFonts w:ascii="Bookman Old Style" w:hAnsi="Bookman Old Style" w:cs="Arial"/>
        <w:sz w:val="22"/>
        <w:szCs w:val="22"/>
      </w:rPr>
      <w:t xml:space="preserve">en contra de la Resolución CREG </w:t>
    </w:r>
    <w:r>
      <w:rPr>
        <w:rFonts w:ascii="Bookman Old Style" w:hAnsi="Bookman Old Style" w:cs="Arial"/>
        <w:sz w:val="22"/>
        <w:szCs w:val="22"/>
      </w:rPr>
      <w:t>139 de 2018</w:t>
    </w:r>
  </w:p>
  <w:p w:rsidR="00227116" w:rsidRPr="00CB5DD0" w:rsidRDefault="00201B2A"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2B1FCA"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201B2A">
    <w:pPr>
      <w:pStyle w:val="Encabezado"/>
      <w:jc w:val="center"/>
      <w:rPr>
        <w:rFonts w:ascii="Arial" w:hAnsi="Arial" w:cs="Arial"/>
        <w:spacing w:val="20"/>
        <w:sz w:val="20"/>
      </w:rPr>
    </w:pPr>
  </w:p>
  <w:p w:rsidR="00227116" w:rsidRDefault="002B1FC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2CDA3C13" wp14:editId="4B3F76A6">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84EA0"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B4E"/>
    <w:rsid w:val="00012E83"/>
    <w:rsid w:val="0001566D"/>
    <w:rsid w:val="0003444F"/>
    <w:rsid w:val="00124DC4"/>
    <w:rsid w:val="001B7B4F"/>
    <w:rsid w:val="00201B2A"/>
    <w:rsid w:val="002B1FCA"/>
    <w:rsid w:val="003C6F78"/>
    <w:rsid w:val="006D753B"/>
    <w:rsid w:val="00811CCA"/>
    <w:rsid w:val="0099624F"/>
    <w:rsid w:val="00B60B4E"/>
    <w:rsid w:val="00BB0139"/>
    <w:rsid w:val="00D648EF"/>
    <w:rsid w:val="00E43366"/>
    <w:rsid w:val="00E44A58"/>
    <w:rsid w:val="00EE5544"/>
    <w:rsid w:val="00FB77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44FEB55-D626-4E1E-BC6F-F54B1590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B4E"/>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60B4E"/>
    <w:pPr>
      <w:keepNext/>
      <w:jc w:val="center"/>
      <w:outlineLvl w:val="0"/>
    </w:pPr>
    <w:rPr>
      <w:rFonts w:ascii="CG Times" w:hAnsi="CG Times"/>
      <w:b/>
      <w:szCs w:val="20"/>
      <w:lang w:val="es-CO"/>
    </w:rPr>
  </w:style>
  <w:style w:type="paragraph" w:styleId="Ttulo3">
    <w:name w:val="heading 3"/>
    <w:basedOn w:val="Normal"/>
    <w:next w:val="Normal"/>
    <w:link w:val="Ttulo3Car"/>
    <w:qFormat/>
    <w:rsid w:val="00B60B4E"/>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B60B4E"/>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B60B4E"/>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0B4E"/>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B60B4E"/>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B60B4E"/>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B60B4E"/>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B60B4E"/>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B60B4E"/>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B60B4E"/>
    <w:pPr>
      <w:ind w:left="708"/>
    </w:pPr>
    <w:rPr>
      <w:sz w:val="20"/>
      <w:szCs w:val="20"/>
      <w:lang w:val="es-CO"/>
    </w:rPr>
  </w:style>
  <w:style w:type="character" w:customStyle="1" w:styleId="PrrafodelistaCar">
    <w:name w:val="Párrafo de lista Car"/>
    <w:basedOn w:val="Fuentedeprrafopredeter"/>
    <w:link w:val="Prrafodelista"/>
    <w:uiPriority w:val="34"/>
    <w:rsid w:val="00B60B4E"/>
    <w:rPr>
      <w:rFonts w:ascii="Times New Roman" w:eastAsia="Times New Roman" w:hAnsi="Times New Roman" w:cs="Times New Roman"/>
      <w:sz w:val="20"/>
      <w:szCs w:val="20"/>
      <w:lang w:eastAsia="es-ES"/>
    </w:rPr>
  </w:style>
  <w:style w:type="character" w:customStyle="1" w:styleId="CharStyle12">
    <w:name w:val="Char Style 12"/>
    <w:basedOn w:val="Fuentedeprrafopredeter"/>
    <w:link w:val="Style11"/>
    <w:uiPriority w:val="99"/>
    <w:rsid w:val="00B60B4E"/>
    <w:rPr>
      <w:rFonts w:ascii="Arial" w:hAnsi="Arial" w:cs="Arial"/>
      <w:sz w:val="19"/>
      <w:szCs w:val="19"/>
      <w:shd w:val="clear" w:color="auto" w:fill="FFFFFF"/>
    </w:rPr>
  </w:style>
  <w:style w:type="paragraph" w:customStyle="1" w:styleId="Style11">
    <w:name w:val="Style 11"/>
    <w:basedOn w:val="Normal"/>
    <w:link w:val="CharStyle12"/>
    <w:uiPriority w:val="99"/>
    <w:rsid w:val="00B60B4E"/>
    <w:pPr>
      <w:widowControl w:val="0"/>
      <w:shd w:val="clear" w:color="auto" w:fill="FFFFFF"/>
      <w:spacing w:line="235" w:lineRule="exact"/>
      <w:ind w:left="0" w:hanging="380"/>
    </w:pPr>
    <w:rPr>
      <w:rFonts w:ascii="Arial" w:eastAsiaTheme="minorHAnsi" w:hAnsi="Arial" w:cs="Arial"/>
      <w:sz w:val="19"/>
      <w:szCs w:val="19"/>
      <w:lang w:val="es-CO" w:eastAsia="en-US"/>
    </w:rPr>
  </w:style>
  <w:style w:type="character" w:customStyle="1" w:styleId="CharStyle9">
    <w:name w:val="Char Style 9"/>
    <w:basedOn w:val="Fuentedeprrafopredeter"/>
    <w:link w:val="Style8"/>
    <w:uiPriority w:val="99"/>
    <w:rsid w:val="00B60B4E"/>
    <w:rPr>
      <w:rFonts w:ascii="Arial" w:hAnsi="Arial" w:cs="Arial"/>
      <w:shd w:val="clear" w:color="auto" w:fill="FFFFFF"/>
    </w:rPr>
  </w:style>
  <w:style w:type="paragraph" w:customStyle="1" w:styleId="Style8">
    <w:name w:val="Style 8"/>
    <w:basedOn w:val="Normal"/>
    <w:link w:val="CharStyle9"/>
    <w:uiPriority w:val="99"/>
    <w:rsid w:val="00B60B4E"/>
    <w:pPr>
      <w:widowControl w:val="0"/>
      <w:shd w:val="clear" w:color="auto" w:fill="FFFFFF"/>
      <w:spacing w:before="660" w:line="240" w:lineRule="atLeast"/>
      <w:ind w:left="0"/>
    </w:pPr>
    <w:rPr>
      <w:rFonts w:ascii="Arial" w:eastAsiaTheme="minorHAnsi" w:hAnsi="Arial" w:cs="Arial"/>
      <w:sz w:val="22"/>
      <w:szCs w:val="22"/>
      <w:lang w:val="es-CO" w:eastAsia="en-US"/>
    </w:rPr>
  </w:style>
  <w:style w:type="character" w:customStyle="1" w:styleId="CharStyle41">
    <w:name w:val="Char Style 41"/>
    <w:basedOn w:val="Fuentedeprrafopredeter"/>
    <w:link w:val="Style40"/>
    <w:uiPriority w:val="99"/>
    <w:rsid w:val="00B60B4E"/>
    <w:rPr>
      <w:rFonts w:ascii="Arial" w:hAnsi="Arial" w:cs="Arial"/>
      <w:i/>
      <w:iCs/>
      <w:shd w:val="clear" w:color="auto" w:fill="FFFFFF"/>
    </w:rPr>
  </w:style>
  <w:style w:type="paragraph" w:customStyle="1" w:styleId="Style40">
    <w:name w:val="Style 40"/>
    <w:basedOn w:val="Normal"/>
    <w:link w:val="CharStyle41"/>
    <w:uiPriority w:val="99"/>
    <w:rsid w:val="00B60B4E"/>
    <w:pPr>
      <w:widowControl w:val="0"/>
      <w:shd w:val="clear" w:color="auto" w:fill="FFFFFF"/>
      <w:spacing w:before="240" w:after="240" w:line="274" w:lineRule="exact"/>
      <w:ind w:left="0"/>
      <w:jc w:val="both"/>
    </w:pPr>
    <w:rPr>
      <w:rFonts w:ascii="Arial" w:eastAsiaTheme="minorHAnsi" w:hAnsi="Arial" w:cs="Arial"/>
      <w:i/>
      <w:iCs/>
      <w:sz w:val="22"/>
      <w:szCs w:val="22"/>
      <w:lang w:val="es-CO" w:eastAsia="en-US"/>
    </w:rPr>
  </w:style>
  <w:style w:type="paragraph" w:styleId="Piedepgina">
    <w:name w:val="footer"/>
    <w:basedOn w:val="Normal"/>
    <w:link w:val="PiedepginaCar"/>
    <w:uiPriority w:val="99"/>
    <w:unhideWhenUsed/>
    <w:rsid w:val="00B60B4E"/>
    <w:pPr>
      <w:tabs>
        <w:tab w:val="center" w:pos="4419"/>
        <w:tab w:val="right" w:pos="8838"/>
      </w:tabs>
    </w:pPr>
  </w:style>
  <w:style w:type="character" w:customStyle="1" w:styleId="PiedepginaCar">
    <w:name w:val="Pie de página Car"/>
    <w:basedOn w:val="Fuentedeprrafopredeter"/>
    <w:link w:val="Piedepgina"/>
    <w:uiPriority w:val="99"/>
    <w:rsid w:val="00B60B4E"/>
    <w:rPr>
      <w:rFonts w:ascii="Times New Roman" w:eastAsia="Times New Roman" w:hAnsi="Times New Roman" w:cs="Times New Roman"/>
      <w:sz w:val="24"/>
      <w:szCs w:val="24"/>
      <w:lang w:val="es-ES" w:eastAsia="es-ES"/>
    </w:rPr>
  </w:style>
  <w:style w:type="character" w:customStyle="1" w:styleId="CharStyle25">
    <w:name w:val="Char Style 25"/>
    <w:basedOn w:val="Fuentedeprrafopredeter"/>
    <w:link w:val="Style24"/>
    <w:uiPriority w:val="99"/>
    <w:rsid w:val="00B60B4E"/>
    <w:rPr>
      <w:rFonts w:ascii="Arial" w:hAnsi="Arial" w:cs="Arial"/>
      <w:sz w:val="20"/>
      <w:szCs w:val="20"/>
      <w:shd w:val="clear" w:color="auto" w:fill="FFFFFF"/>
    </w:rPr>
  </w:style>
  <w:style w:type="character" w:customStyle="1" w:styleId="CharStyle43">
    <w:name w:val="Char Style 43"/>
    <w:basedOn w:val="CharStyle25"/>
    <w:uiPriority w:val="99"/>
    <w:rsid w:val="00B60B4E"/>
    <w:rPr>
      <w:rFonts w:ascii="Arial" w:hAnsi="Arial" w:cs="Arial"/>
      <w:sz w:val="20"/>
      <w:szCs w:val="20"/>
      <w:shd w:val="clear" w:color="auto" w:fill="FFFFFF"/>
    </w:rPr>
  </w:style>
  <w:style w:type="character" w:customStyle="1" w:styleId="CharStyle44">
    <w:name w:val="Char Style 44"/>
    <w:basedOn w:val="CharStyle25"/>
    <w:uiPriority w:val="99"/>
    <w:rsid w:val="00B60B4E"/>
    <w:rPr>
      <w:rFonts w:ascii="Arial" w:hAnsi="Arial" w:cs="Arial"/>
      <w:b/>
      <w:bCs/>
      <w:sz w:val="20"/>
      <w:szCs w:val="20"/>
      <w:shd w:val="clear" w:color="auto" w:fill="FFFFFF"/>
    </w:rPr>
  </w:style>
  <w:style w:type="paragraph" w:customStyle="1" w:styleId="Style24">
    <w:name w:val="Style 24"/>
    <w:basedOn w:val="Normal"/>
    <w:link w:val="CharStyle25"/>
    <w:uiPriority w:val="99"/>
    <w:rsid w:val="00B60B4E"/>
    <w:pPr>
      <w:widowControl w:val="0"/>
      <w:shd w:val="clear" w:color="auto" w:fill="FFFFFF"/>
      <w:spacing w:before="660" w:after="660" w:line="240" w:lineRule="exact"/>
      <w:ind w:left="0"/>
    </w:pPr>
    <w:rPr>
      <w:rFonts w:ascii="Arial" w:eastAsiaTheme="minorHAnsi" w:hAnsi="Arial" w:cs="Arial"/>
      <w:sz w:val="20"/>
      <w:szCs w:val="20"/>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84B30-08FA-4302-B942-6F3A567C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2042</Words>
  <Characters>11233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2</cp:revision>
  <dcterms:created xsi:type="dcterms:W3CDTF">2019-12-16T13:38:00Z</dcterms:created>
  <dcterms:modified xsi:type="dcterms:W3CDTF">2019-12-16T13:38:00Z</dcterms:modified>
</cp:coreProperties>
</file>