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846A8" w14:textId="77777777" w:rsidR="004C4C34" w:rsidRPr="004E2959" w:rsidRDefault="007F0118" w:rsidP="003E2E35">
      <w:pPr>
        <w:pStyle w:val="Ttulo4"/>
        <w:tabs>
          <w:tab w:val="left" w:pos="0"/>
          <w:tab w:val="right" w:pos="9356"/>
        </w:tabs>
        <w:ind w:left="0"/>
        <w:contextualSpacing/>
        <w:rPr>
          <w:rFonts w:ascii="Bookman Old Style" w:hAnsi="Bookman Old Style"/>
          <w:b w:val="0"/>
          <w:bCs/>
          <w:noProof/>
          <w:color w:val="auto"/>
          <w:sz w:val="24"/>
          <w:szCs w:val="24"/>
          <w:lang w:val="es-ES"/>
        </w:rPr>
      </w:pPr>
      <w:bookmarkStart w:id="0" w:name="_GoBack"/>
      <w:bookmarkEnd w:id="0"/>
      <w:r>
        <w:rPr>
          <w:rFonts w:ascii="Bookman Old Style" w:hAnsi="Bookman Old Style"/>
          <w:b w:val="0"/>
          <w:bCs/>
          <w:noProof/>
          <w:snapToGrid/>
          <w:color w:val="auto"/>
          <w:sz w:val="24"/>
          <w:szCs w:val="24"/>
          <w:lang w:val="es-CO" w:eastAsia="es-CO"/>
        </w:rPr>
        <w:object w:dxaOrig="1440" w:dyaOrig="1440" w14:anchorId="4A8B6A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8240" fillcolor="#0c9">
            <v:imagedata r:id="rId11" o:title=""/>
          </v:shape>
          <o:OLEObject Type="Embed" ProgID="PBrush" ShapeID="_x0000_s1026" DrawAspect="Content" ObjectID="_1647078730" r:id="rId12"/>
        </w:object>
      </w:r>
      <w:r w:rsidR="004C4C34" w:rsidRPr="004E2959">
        <w:rPr>
          <w:rFonts w:ascii="Bookman Old Style" w:hAnsi="Bookman Old Style"/>
          <w:b w:val="0"/>
          <w:bCs/>
          <w:color w:val="auto"/>
          <w:sz w:val="24"/>
          <w:szCs w:val="24"/>
        </w:rPr>
        <w:t>Ministerio de Minas y Energía</w:t>
      </w:r>
    </w:p>
    <w:p w14:paraId="56F10605" w14:textId="77777777" w:rsidR="004C4C34" w:rsidRPr="004E2959" w:rsidRDefault="004C4C34" w:rsidP="003E2E35">
      <w:pPr>
        <w:pStyle w:val="Ttulo4"/>
        <w:tabs>
          <w:tab w:val="left" w:pos="0"/>
          <w:tab w:val="right" w:pos="9356"/>
        </w:tabs>
        <w:ind w:left="0"/>
        <w:contextualSpacing/>
        <w:rPr>
          <w:rFonts w:ascii="Bookman Old Style" w:hAnsi="Bookman Old Style"/>
          <w:b w:val="0"/>
          <w:bCs/>
          <w:color w:val="auto"/>
          <w:sz w:val="24"/>
          <w:szCs w:val="24"/>
        </w:rPr>
      </w:pPr>
    </w:p>
    <w:p w14:paraId="7780CBA0" w14:textId="77777777" w:rsidR="004C4C34" w:rsidRPr="004E2959" w:rsidRDefault="004C4C34" w:rsidP="003E2E35">
      <w:pPr>
        <w:pStyle w:val="Ttulo3"/>
        <w:tabs>
          <w:tab w:val="left" w:pos="0"/>
          <w:tab w:val="right" w:pos="9356"/>
        </w:tabs>
        <w:ind w:left="0"/>
        <w:contextualSpacing/>
        <w:rPr>
          <w:rFonts w:ascii="Bookman Old Style" w:hAnsi="Bookman Old Style" w:cs="Arial"/>
          <w:color w:val="auto"/>
          <w:spacing w:val="20"/>
          <w:szCs w:val="24"/>
        </w:rPr>
      </w:pPr>
      <w:r w:rsidRPr="004E2959">
        <w:rPr>
          <w:rFonts w:ascii="Bookman Old Style" w:hAnsi="Bookman Old Style" w:cs="Arial"/>
          <w:color w:val="auto"/>
          <w:spacing w:val="20"/>
          <w:szCs w:val="24"/>
        </w:rPr>
        <w:t>COMISIÓN DE REGULACIÓN DE ENERGÍA Y GAS</w:t>
      </w:r>
    </w:p>
    <w:p w14:paraId="2310A2DA" w14:textId="77777777" w:rsidR="004C4C34" w:rsidRPr="004E2959" w:rsidRDefault="004C4C34" w:rsidP="003E2E35">
      <w:pPr>
        <w:pStyle w:val="Ttulo5"/>
        <w:tabs>
          <w:tab w:val="left" w:pos="0"/>
          <w:tab w:val="right" w:pos="9356"/>
        </w:tabs>
        <w:ind w:left="0"/>
        <w:contextualSpacing/>
        <w:rPr>
          <w:rFonts w:ascii="Bookman Old Style" w:hAnsi="Bookman Old Style"/>
          <w:color w:val="auto"/>
          <w:sz w:val="24"/>
          <w:szCs w:val="24"/>
        </w:rPr>
      </w:pPr>
    </w:p>
    <w:p w14:paraId="5044440F" w14:textId="77777777" w:rsidR="004C4C34" w:rsidRPr="004E2959" w:rsidRDefault="004C4C34" w:rsidP="003E2E35">
      <w:pPr>
        <w:pStyle w:val="Ttulo5"/>
        <w:tabs>
          <w:tab w:val="left" w:pos="0"/>
          <w:tab w:val="right" w:pos="9356"/>
        </w:tabs>
        <w:ind w:left="0"/>
        <w:contextualSpacing/>
        <w:rPr>
          <w:rFonts w:ascii="Bookman Old Style" w:hAnsi="Bookman Old Style"/>
          <w:color w:val="auto"/>
          <w:sz w:val="24"/>
          <w:szCs w:val="24"/>
        </w:rPr>
      </w:pPr>
    </w:p>
    <w:p w14:paraId="65F3DC7F" w14:textId="20C790EE" w:rsidR="004C4C34" w:rsidRPr="004E2959" w:rsidRDefault="004C4C34" w:rsidP="003E2E35">
      <w:pPr>
        <w:pStyle w:val="Ttulo5"/>
        <w:tabs>
          <w:tab w:val="left" w:pos="0"/>
          <w:tab w:val="right" w:pos="9356"/>
        </w:tabs>
        <w:ind w:left="0"/>
        <w:contextualSpacing/>
        <w:rPr>
          <w:rFonts w:ascii="Bookman Old Style" w:hAnsi="Bookman Old Style"/>
          <w:color w:val="auto"/>
          <w:sz w:val="24"/>
          <w:szCs w:val="24"/>
        </w:rPr>
      </w:pPr>
      <w:r w:rsidRPr="004E2959">
        <w:rPr>
          <w:rFonts w:ascii="Bookman Old Style" w:hAnsi="Bookman Old Style"/>
          <w:color w:val="auto"/>
          <w:sz w:val="24"/>
          <w:szCs w:val="24"/>
        </w:rPr>
        <w:t>RESOLUCI</w:t>
      </w:r>
      <w:r w:rsidR="00323F4B" w:rsidRPr="004E2959">
        <w:rPr>
          <w:rFonts w:ascii="Bookman Old Style" w:hAnsi="Bookman Old Style"/>
          <w:color w:val="auto"/>
          <w:sz w:val="24"/>
          <w:szCs w:val="24"/>
        </w:rPr>
        <w:t xml:space="preserve">ÓN No.  </w:t>
      </w:r>
      <w:r w:rsidR="00057B11" w:rsidRPr="00057B11">
        <w:rPr>
          <w:rFonts w:ascii="Bookman Old Style" w:hAnsi="Bookman Old Style"/>
          <w:color w:val="auto"/>
          <w:sz w:val="32"/>
          <w:szCs w:val="32"/>
        </w:rPr>
        <w:t>0</w:t>
      </w:r>
      <w:r w:rsidR="00A13D4B">
        <w:rPr>
          <w:rFonts w:ascii="Bookman Old Style" w:hAnsi="Bookman Old Style"/>
          <w:color w:val="auto"/>
          <w:sz w:val="32"/>
          <w:szCs w:val="32"/>
        </w:rPr>
        <w:t>38</w:t>
      </w:r>
      <w:r w:rsidR="00323F4B" w:rsidRPr="00057B11">
        <w:rPr>
          <w:rFonts w:ascii="Bookman Old Style" w:hAnsi="Bookman Old Style"/>
          <w:color w:val="auto"/>
          <w:sz w:val="32"/>
          <w:szCs w:val="32"/>
        </w:rPr>
        <w:t xml:space="preserve"> </w:t>
      </w:r>
      <w:r w:rsidR="00323F4B" w:rsidRPr="004E2959">
        <w:rPr>
          <w:rFonts w:ascii="Bookman Old Style" w:hAnsi="Bookman Old Style"/>
          <w:color w:val="auto"/>
          <w:sz w:val="24"/>
          <w:szCs w:val="24"/>
        </w:rPr>
        <w:t xml:space="preserve">   DE 20</w:t>
      </w:r>
      <w:r w:rsidR="001530DC" w:rsidRPr="004E2959">
        <w:rPr>
          <w:rFonts w:ascii="Bookman Old Style" w:hAnsi="Bookman Old Style"/>
          <w:color w:val="auto"/>
          <w:sz w:val="24"/>
          <w:szCs w:val="24"/>
        </w:rPr>
        <w:t>20</w:t>
      </w:r>
    </w:p>
    <w:p w14:paraId="575EE74D" w14:textId="77777777" w:rsidR="004C4C34" w:rsidRPr="004E2959" w:rsidRDefault="004C4C34" w:rsidP="003E2E35">
      <w:pPr>
        <w:tabs>
          <w:tab w:val="left" w:pos="0"/>
          <w:tab w:val="right" w:pos="9356"/>
        </w:tabs>
        <w:ind w:left="0"/>
        <w:contextualSpacing/>
        <w:jc w:val="center"/>
        <w:rPr>
          <w:rFonts w:ascii="Bookman Old Style" w:hAnsi="Bookman Old Style" w:cs="Arial"/>
          <w:b/>
          <w:snapToGrid w:val="0"/>
          <w:lang w:val="es-ES_tradnl"/>
        </w:rPr>
      </w:pPr>
    </w:p>
    <w:p w14:paraId="6EDC55C7" w14:textId="31A06CBD" w:rsidR="004C4C34" w:rsidRPr="004E2959" w:rsidRDefault="004C4C34" w:rsidP="003E2E35">
      <w:pPr>
        <w:pStyle w:val="Ttulo3"/>
        <w:tabs>
          <w:tab w:val="left" w:pos="0"/>
          <w:tab w:val="right" w:pos="9356"/>
        </w:tabs>
        <w:ind w:left="0"/>
        <w:contextualSpacing/>
        <w:rPr>
          <w:rFonts w:ascii="Bookman Old Style" w:hAnsi="Bookman Old Style"/>
          <w:b w:val="0"/>
          <w:color w:val="auto"/>
          <w:szCs w:val="24"/>
        </w:rPr>
      </w:pPr>
      <w:r w:rsidRPr="004E2959">
        <w:rPr>
          <w:rFonts w:ascii="Bookman Old Style" w:hAnsi="Bookman Old Style"/>
          <w:b w:val="0"/>
          <w:color w:val="auto"/>
          <w:szCs w:val="24"/>
        </w:rPr>
        <w:t xml:space="preserve">(   </w:t>
      </w:r>
      <w:r w:rsidR="00057B11" w:rsidRPr="00057B11">
        <w:rPr>
          <w:rFonts w:ascii="Bookman Old Style" w:hAnsi="Bookman Old Style"/>
          <w:bCs/>
          <w:color w:val="auto"/>
          <w:sz w:val="32"/>
          <w:szCs w:val="32"/>
        </w:rPr>
        <w:t>2</w:t>
      </w:r>
      <w:r w:rsidR="001B74AF">
        <w:rPr>
          <w:rFonts w:ascii="Bookman Old Style" w:hAnsi="Bookman Old Style"/>
          <w:bCs/>
          <w:color w:val="auto"/>
          <w:sz w:val="32"/>
          <w:szCs w:val="32"/>
        </w:rPr>
        <w:t>9</w:t>
      </w:r>
      <w:r w:rsidR="00057B11" w:rsidRPr="00057B11">
        <w:rPr>
          <w:rFonts w:ascii="Bookman Old Style" w:hAnsi="Bookman Old Style"/>
          <w:bCs/>
          <w:color w:val="auto"/>
          <w:sz w:val="32"/>
          <w:szCs w:val="32"/>
        </w:rPr>
        <w:t xml:space="preserve"> MAR</w:t>
      </w:r>
      <w:r w:rsidR="00A13D4B">
        <w:rPr>
          <w:rFonts w:ascii="Bookman Old Style" w:hAnsi="Bookman Old Style"/>
          <w:bCs/>
          <w:color w:val="auto"/>
          <w:sz w:val="32"/>
          <w:szCs w:val="32"/>
        </w:rPr>
        <w:t>.</w:t>
      </w:r>
      <w:r w:rsidR="001B74AF">
        <w:rPr>
          <w:rFonts w:ascii="Bookman Old Style" w:hAnsi="Bookman Old Style"/>
          <w:bCs/>
          <w:color w:val="auto"/>
          <w:sz w:val="32"/>
          <w:szCs w:val="32"/>
        </w:rPr>
        <w:t xml:space="preserve"> </w:t>
      </w:r>
      <w:r w:rsidR="00057B11" w:rsidRPr="00057B11">
        <w:rPr>
          <w:rFonts w:ascii="Bookman Old Style" w:hAnsi="Bookman Old Style"/>
          <w:bCs/>
          <w:color w:val="auto"/>
          <w:sz w:val="32"/>
          <w:szCs w:val="32"/>
        </w:rPr>
        <w:t>2020</w:t>
      </w:r>
      <w:r w:rsidR="00057B11">
        <w:rPr>
          <w:rFonts w:ascii="Bookman Old Style" w:hAnsi="Bookman Old Style"/>
          <w:bCs/>
          <w:color w:val="auto"/>
          <w:sz w:val="32"/>
          <w:szCs w:val="32"/>
        </w:rPr>
        <w:t xml:space="preserve"> </w:t>
      </w:r>
      <w:r w:rsidRPr="004E2959">
        <w:rPr>
          <w:rFonts w:ascii="Bookman Old Style" w:hAnsi="Bookman Old Style"/>
          <w:b w:val="0"/>
          <w:color w:val="auto"/>
          <w:szCs w:val="24"/>
        </w:rPr>
        <w:t xml:space="preserve"> )</w:t>
      </w:r>
    </w:p>
    <w:p w14:paraId="15D3A736" w14:textId="77777777" w:rsidR="004C4C34" w:rsidRPr="004E2959" w:rsidRDefault="004C4C34" w:rsidP="003E2E35">
      <w:pPr>
        <w:tabs>
          <w:tab w:val="left" w:pos="0"/>
          <w:tab w:val="right" w:pos="9356"/>
        </w:tabs>
        <w:ind w:left="0"/>
        <w:contextualSpacing/>
        <w:jc w:val="center"/>
        <w:rPr>
          <w:rFonts w:ascii="Bookman Old Style" w:hAnsi="Bookman Old Style"/>
          <w:lang w:val="es-ES_tradnl"/>
        </w:rPr>
      </w:pPr>
    </w:p>
    <w:p w14:paraId="73C27617" w14:textId="77777777" w:rsidR="004C4C34" w:rsidRPr="004E2959" w:rsidRDefault="004C4C34" w:rsidP="003E2E35">
      <w:pPr>
        <w:ind w:left="0"/>
        <w:contextualSpacing/>
        <w:rPr>
          <w:rFonts w:ascii="Bookman Old Style" w:hAnsi="Bookman Old Style"/>
          <w:bCs/>
          <w:lang w:val="es-CO"/>
        </w:rPr>
      </w:pPr>
    </w:p>
    <w:p w14:paraId="5E9AFDDE" w14:textId="7B7C7200" w:rsidR="004C4C34" w:rsidRPr="004E2959" w:rsidRDefault="00DD4FB1" w:rsidP="003E2E35">
      <w:pPr>
        <w:ind w:left="0"/>
        <w:contextualSpacing/>
        <w:jc w:val="center"/>
        <w:rPr>
          <w:rFonts w:ascii="Bookman Old Style" w:hAnsi="Bookman Old Style"/>
        </w:rPr>
      </w:pPr>
      <w:bookmarkStart w:id="1" w:name="_Hlk35866049"/>
      <w:r w:rsidRPr="004E2959">
        <w:rPr>
          <w:rFonts w:ascii="Bookman Old Style" w:hAnsi="Bookman Old Style"/>
        </w:rPr>
        <w:t>Por la cual se adoptan medidas regulatorias para la comercialización de GLP durante el período de la OPC vigente</w:t>
      </w:r>
      <w:bookmarkEnd w:id="1"/>
    </w:p>
    <w:p w14:paraId="7B0A09CF" w14:textId="77777777" w:rsidR="004C4C34" w:rsidRPr="004E2959" w:rsidRDefault="004C4C34" w:rsidP="003E2E35">
      <w:pPr>
        <w:ind w:left="0"/>
        <w:contextualSpacing/>
        <w:jc w:val="center"/>
        <w:rPr>
          <w:rFonts w:ascii="Bookman Old Style" w:hAnsi="Bookman Old Style"/>
        </w:rPr>
      </w:pPr>
    </w:p>
    <w:p w14:paraId="4B273413" w14:textId="77777777" w:rsidR="004C4C34" w:rsidRPr="004E2959" w:rsidRDefault="004C4C34" w:rsidP="003E2E35">
      <w:pPr>
        <w:ind w:left="0"/>
        <w:contextualSpacing/>
        <w:jc w:val="center"/>
        <w:rPr>
          <w:rFonts w:ascii="Bookman Old Style" w:hAnsi="Bookman Old Style"/>
        </w:rPr>
      </w:pPr>
    </w:p>
    <w:p w14:paraId="3A0589B4" w14:textId="374F937A" w:rsidR="004C4C34" w:rsidRPr="004E2959" w:rsidRDefault="004C4C34" w:rsidP="003E2E35">
      <w:pPr>
        <w:ind w:right="51"/>
        <w:contextualSpacing/>
        <w:jc w:val="center"/>
        <w:rPr>
          <w:rFonts w:ascii="Bookman Old Style" w:hAnsi="Bookman Old Style"/>
          <w:b/>
        </w:rPr>
      </w:pPr>
      <w:r w:rsidRPr="004E2959">
        <w:rPr>
          <w:rFonts w:ascii="Bookman Old Style" w:hAnsi="Bookman Old Style"/>
          <w:b/>
        </w:rPr>
        <w:t>LA COMISIÓN DE REGULACIÓN DE ENERGÍA Y GAS</w:t>
      </w:r>
    </w:p>
    <w:p w14:paraId="01809F34" w14:textId="77777777" w:rsidR="004C4C34" w:rsidRPr="004E2959" w:rsidRDefault="004C4C34" w:rsidP="003E2E35">
      <w:pPr>
        <w:ind w:left="0" w:right="51"/>
        <w:contextualSpacing/>
        <w:rPr>
          <w:rFonts w:ascii="Bookman Old Style" w:hAnsi="Bookman Old Style"/>
        </w:rPr>
      </w:pPr>
    </w:p>
    <w:p w14:paraId="3E683514" w14:textId="77777777" w:rsidR="004C4C34" w:rsidRPr="004E2959" w:rsidRDefault="004C4C34" w:rsidP="003E2E35">
      <w:pPr>
        <w:ind w:left="0" w:right="51"/>
        <w:contextualSpacing/>
        <w:rPr>
          <w:rFonts w:ascii="Bookman Old Style" w:hAnsi="Bookman Old Style"/>
        </w:rPr>
      </w:pPr>
    </w:p>
    <w:p w14:paraId="395055CC" w14:textId="5B3F98C1" w:rsidR="00B11B44" w:rsidRPr="004E2959" w:rsidRDefault="00B11B44" w:rsidP="003E2E35">
      <w:pPr>
        <w:ind w:left="0" w:right="51"/>
        <w:contextualSpacing/>
        <w:jc w:val="center"/>
        <w:rPr>
          <w:rFonts w:ascii="Bookman Old Style" w:hAnsi="Bookman Old Style" w:cs="Arial"/>
          <w:bCs/>
          <w:spacing w:val="-3"/>
        </w:rPr>
      </w:pPr>
      <w:r w:rsidRPr="004E2959">
        <w:rPr>
          <w:rFonts w:ascii="Bookman Old Style" w:hAnsi="Bookman Old Style" w:cs="Arial"/>
          <w:bCs/>
          <w:spacing w:val="-3"/>
        </w:rPr>
        <w:t xml:space="preserve">En ejercicio de sus atribuciones legales, en especial las conferidas por las leyes 142 y 143 de 1994, y en desarrollo de los Decretos 1524, 2253 de 1994,1260 de 2013 y </w:t>
      </w:r>
    </w:p>
    <w:p w14:paraId="2303969A" w14:textId="77777777" w:rsidR="00B11B44" w:rsidRDefault="00B11B44" w:rsidP="003E2E35">
      <w:pPr>
        <w:ind w:left="0"/>
        <w:contextualSpacing/>
        <w:rPr>
          <w:rFonts w:ascii="Bookman Old Style" w:hAnsi="Bookman Old Style" w:cs="Arial"/>
        </w:rPr>
      </w:pPr>
    </w:p>
    <w:p w14:paraId="3AA97AB9" w14:textId="77777777" w:rsidR="00C63C2A" w:rsidRPr="004E2959" w:rsidRDefault="00C63C2A" w:rsidP="003E2E35">
      <w:pPr>
        <w:ind w:left="0"/>
        <w:contextualSpacing/>
        <w:rPr>
          <w:rFonts w:ascii="Bookman Old Style" w:hAnsi="Bookman Old Style" w:cs="Arial"/>
        </w:rPr>
      </w:pPr>
    </w:p>
    <w:p w14:paraId="5BB55694" w14:textId="77777777" w:rsidR="00B11B44" w:rsidRPr="004E2959" w:rsidRDefault="00B11B44" w:rsidP="003E2E35">
      <w:pPr>
        <w:ind w:left="0"/>
        <w:contextualSpacing/>
        <w:jc w:val="center"/>
        <w:rPr>
          <w:rFonts w:ascii="Bookman Old Style" w:hAnsi="Bookman Old Style" w:cs="Arial"/>
          <w:b/>
        </w:rPr>
      </w:pPr>
      <w:r w:rsidRPr="004E2959">
        <w:rPr>
          <w:rFonts w:ascii="Bookman Old Style" w:hAnsi="Bookman Old Style" w:cs="Arial"/>
          <w:b/>
        </w:rPr>
        <w:t>C O N S I D E R A N D O  Q U E:</w:t>
      </w:r>
    </w:p>
    <w:p w14:paraId="3454D168" w14:textId="77777777" w:rsidR="00410A36" w:rsidRPr="004E2959" w:rsidRDefault="00410A36" w:rsidP="003E2E35">
      <w:pPr>
        <w:ind w:left="0"/>
        <w:contextualSpacing/>
        <w:jc w:val="both"/>
        <w:rPr>
          <w:rFonts w:ascii="Bookman Old Style" w:hAnsi="Bookman Old Style"/>
        </w:rPr>
      </w:pPr>
    </w:p>
    <w:p w14:paraId="34F24AB7" w14:textId="77777777" w:rsidR="004C4C34" w:rsidRPr="004E2959" w:rsidRDefault="004C4C34" w:rsidP="003E2E35">
      <w:pPr>
        <w:ind w:left="0"/>
        <w:contextualSpacing/>
        <w:jc w:val="both"/>
        <w:rPr>
          <w:rFonts w:ascii="Bookman Old Style" w:hAnsi="Bookman Old Style"/>
        </w:rPr>
      </w:pPr>
      <w:r w:rsidRPr="004E2959">
        <w:rPr>
          <w:rFonts w:ascii="Bookman Old Style" w:hAnsi="Bookman Old Style"/>
        </w:rPr>
        <w:t>De acuerdo con lo estipulado en el artículo 74.1 de la Ley 142 de 1994, es función de la CREG "regular el ejercicio de las actividades de los sectores de energía y gas combustible para asegurar la disponibilidad de una oferta energética eficiente, propiciar la competencia en el sector de minas y energía y proponer la adopción de las medidas necesarias para impedir abusos de posición dominante y buscar la liberación gradual de los mercados hacia la libre competencia".</w:t>
      </w:r>
    </w:p>
    <w:p w14:paraId="4E291058" w14:textId="77777777" w:rsidR="004C4C34" w:rsidRPr="004E2959" w:rsidRDefault="004C4C34" w:rsidP="003E2E35">
      <w:pPr>
        <w:ind w:left="0"/>
        <w:contextualSpacing/>
        <w:jc w:val="both"/>
        <w:rPr>
          <w:rFonts w:ascii="Bookman Old Style" w:hAnsi="Bookman Old Style"/>
        </w:rPr>
      </w:pPr>
    </w:p>
    <w:p w14:paraId="1864CCD9" w14:textId="509742E9" w:rsidR="00E41B40" w:rsidRPr="004E2959" w:rsidRDefault="004C4C34" w:rsidP="003E2E35">
      <w:pPr>
        <w:ind w:left="0"/>
        <w:contextualSpacing/>
        <w:jc w:val="both"/>
        <w:rPr>
          <w:rFonts w:ascii="Bookman Old Style" w:hAnsi="Bookman Old Style"/>
        </w:rPr>
      </w:pPr>
      <w:r w:rsidRPr="004E2959">
        <w:rPr>
          <w:rFonts w:ascii="Bookman Old Style" w:hAnsi="Bookman Old Style"/>
        </w:rPr>
        <w:t>Según lo previsto en los artículos 1, 2 y 4 de la Ley 142 de 1994, la distribución de gas combustible y sus actividades complementarias constituyen servicios públicos domiciliarios esenciales</w:t>
      </w:r>
      <w:r w:rsidR="00D14DA5">
        <w:rPr>
          <w:rFonts w:ascii="Bookman Old Style" w:hAnsi="Bookman Old Style"/>
        </w:rPr>
        <w:t>,</w:t>
      </w:r>
      <w:r w:rsidRPr="004E2959">
        <w:rPr>
          <w:rFonts w:ascii="Bookman Old Style" w:hAnsi="Bookman Old Style"/>
        </w:rPr>
        <w:t xml:space="preserve"> y el Estado intervendrá en los mismos a fin de, entre otros, garantizar la calidad del bien y su disposición final</w:t>
      </w:r>
      <w:r w:rsidR="00CD2AA7">
        <w:rPr>
          <w:rFonts w:ascii="Bookman Old Style" w:hAnsi="Bookman Old Style"/>
        </w:rPr>
        <w:t>,</w:t>
      </w:r>
      <w:r w:rsidRPr="004E2959">
        <w:rPr>
          <w:rFonts w:ascii="Bookman Old Style" w:hAnsi="Bookman Old Style"/>
        </w:rPr>
        <w:t xml:space="preserve"> para asegurar el mejoramiento de la calidad de vida de los usuarios, así como su prestación conti</w:t>
      </w:r>
      <w:r w:rsidR="00E41B40" w:rsidRPr="004E2959">
        <w:rPr>
          <w:rFonts w:ascii="Bookman Old Style" w:hAnsi="Bookman Old Style"/>
        </w:rPr>
        <w:t>nua, ininterrumpida y eficiente.</w:t>
      </w:r>
    </w:p>
    <w:p w14:paraId="6E13623E" w14:textId="77777777" w:rsidR="00E41B40" w:rsidRPr="004E2959" w:rsidRDefault="00E41B40" w:rsidP="003E2E35">
      <w:pPr>
        <w:ind w:left="0"/>
        <w:contextualSpacing/>
        <w:jc w:val="both"/>
        <w:rPr>
          <w:rFonts w:ascii="Bookman Old Style" w:hAnsi="Bookman Old Style"/>
        </w:rPr>
      </w:pPr>
    </w:p>
    <w:p w14:paraId="78ACD450" w14:textId="43C66471" w:rsidR="002255C7" w:rsidRPr="004E2959" w:rsidRDefault="00672371" w:rsidP="003E2E35">
      <w:pPr>
        <w:ind w:left="0"/>
        <w:contextualSpacing/>
        <w:jc w:val="both"/>
        <w:rPr>
          <w:rFonts w:ascii="Bookman Old Style" w:hAnsi="Bookman Old Style"/>
          <w:lang w:val="es-CO"/>
        </w:rPr>
      </w:pPr>
      <w:r w:rsidRPr="004E2959">
        <w:rPr>
          <w:rFonts w:ascii="Bookman Old Style" w:hAnsi="Bookman Old Style"/>
          <w:lang w:val="es-CO"/>
        </w:rPr>
        <w:t>D</w:t>
      </w:r>
      <w:r w:rsidR="002255C7" w:rsidRPr="004E2959">
        <w:rPr>
          <w:rFonts w:ascii="Bookman Old Style" w:hAnsi="Bookman Old Style"/>
          <w:lang w:val="es-CO"/>
        </w:rPr>
        <w:t xml:space="preserve">entro de las medidas regulatorias expedidas a efectos de llevar a cabo la comercialización mayorista de GLP, </w:t>
      </w:r>
      <w:r w:rsidR="00FD554F" w:rsidRPr="004E2959">
        <w:rPr>
          <w:rFonts w:ascii="Bookman Old Style" w:hAnsi="Bookman Old Style"/>
          <w:lang w:val="es-CO"/>
        </w:rPr>
        <w:t xml:space="preserve">además de las previstas en materia tarifaria, </w:t>
      </w:r>
      <w:r w:rsidR="003F6B65" w:rsidRPr="004E2959">
        <w:rPr>
          <w:rFonts w:ascii="Bookman Old Style" w:hAnsi="Bookman Old Style"/>
          <w:lang w:val="es-CO"/>
        </w:rPr>
        <w:t xml:space="preserve">se encuentran </w:t>
      </w:r>
      <w:r w:rsidR="002255C7" w:rsidRPr="004E2959">
        <w:rPr>
          <w:rFonts w:ascii="Bookman Old Style" w:hAnsi="Bookman Old Style"/>
          <w:lang w:val="es-CO"/>
        </w:rPr>
        <w:t>aquellas relacionadas con los mecanismos para la asignación del producto</w:t>
      </w:r>
      <w:r w:rsidR="00D14DA5">
        <w:rPr>
          <w:rFonts w:ascii="Bookman Old Style" w:hAnsi="Bookman Old Style"/>
          <w:lang w:val="es-CO"/>
        </w:rPr>
        <w:t>,</w:t>
      </w:r>
      <w:r w:rsidR="002255C7" w:rsidRPr="004E2959">
        <w:rPr>
          <w:rFonts w:ascii="Bookman Old Style" w:hAnsi="Bookman Old Style"/>
          <w:lang w:val="es-CO"/>
        </w:rPr>
        <w:t xml:space="preserve"> los parámetros de conducta de los agentes y su posición en el mercado en esta actividad. </w:t>
      </w:r>
    </w:p>
    <w:p w14:paraId="195A0191" w14:textId="77777777" w:rsidR="006522CA" w:rsidRPr="004E2959" w:rsidRDefault="006522CA" w:rsidP="003E2E35">
      <w:pPr>
        <w:ind w:left="0"/>
        <w:contextualSpacing/>
        <w:jc w:val="both"/>
        <w:rPr>
          <w:rFonts w:ascii="Bookman Old Style" w:hAnsi="Bookman Old Style"/>
          <w:lang w:val="es-CO"/>
        </w:rPr>
      </w:pPr>
    </w:p>
    <w:p w14:paraId="2CFADEEF" w14:textId="2391EC72" w:rsidR="00C878FA" w:rsidRPr="004E2959" w:rsidRDefault="00117256" w:rsidP="003E2E35">
      <w:pPr>
        <w:ind w:left="0"/>
        <w:contextualSpacing/>
        <w:jc w:val="both"/>
        <w:rPr>
          <w:rFonts w:ascii="Bookman Old Style" w:hAnsi="Bookman Old Style" w:cs="Arial"/>
          <w:spacing w:val="-5"/>
          <w:lang w:val="es-CO" w:eastAsia="en-US"/>
        </w:rPr>
      </w:pPr>
      <w:r w:rsidRPr="004E2959">
        <w:rPr>
          <w:rFonts w:ascii="Bookman Old Style" w:hAnsi="Bookman Old Style"/>
          <w:lang w:val="es-CO"/>
        </w:rPr>
        <w:t xml:space="preserve">A efectos de dar cumplimiento a estos fines y objetivos, en el marco de la Ley 142 de 1994, </w:t>
      </w:r>
      <w:r w:rsidR="00C878FA" w:rsidRPr="004E2959">
        <w:rPr>
          <w:rFonts w:ascii="Bookman Old Style" w:hAnsi="Bookman Old Style" w:cs="Arial"/>
          <w:spacing w:val="-5"/>
          <w:lang w:val="es-CO" w:eastAsia="en-US"/>
        </w:rPr>
        <w:t xml:space="preserve">dentro del mecanismo de asignación de producto mediante ofertas públicas de cantidad, OPC, se establecieron disposiciones particulares, entre otras, las relativas a las condiciones generales para la oferta pública de GLP con precio regulado, </w:t>
      </w:r>
      <w:r w:rsidR="00B37316" w:rsidRPr="004E2959">
        <w:rPr>
          <w:rFonts w:ascii="Bookman Old Style" w:hAnsi="Bookman Old Style" w:cs="Arial"/>
          <w:spacing w:val="-5"/>
          <w:lang w:val="es-CO" w:eastAsia="en-US"/>
        </w:rPr>
        <w:t>así como dentro de las obligaciones de los comercializadores mayoristas para la comercialización de GLP</w:t>
      </w:r>
      <w:r w:rsidR="006875B4" w:rsidRPr="004E2959">
        <w:rPr>
          <w:rFonts w:ascii="Bookman Old Style" w:hAnsi="Bookman Old Style" w:cs="Arial"/>
          <w:spacing w:val="-5"/>
          <w:lang w:val="es-CO" w:eastAsia="en-US"/>
        </w:rPr>
        <w:t xml:space="preserve">, </w:t>
      </w:r>
      <w:r w:rsidR="00C878FA" w:rsidRPr="004E2959">
        <w:rPr>
          <w:rFonts w:ascii="Bookman Old Style" w:hAnsi="Bookman Old Style" w:cs="Arial"/>
          <w:spacing w:val="-5"/>
          <w:lang w:val="es-CO" w:eastAsia="en-US"/>
        </w:rPr>
        <w:t xml:space="preserve">donde en la Resolución </w:t>
      </w:r>
      <w:r w:rsidR="00DC2344" w:rsidRPr="004E2959">
        <w:rPr>
          <w:rFonts w:ascii="Bookman Old Style" w:hAnsi="Bookman Old Style" w:cs="Arial"/>
          <w:spacing w:val="-5"/>
          <w:lang w:val="es-CO" w:eastAsia="en-US"/>
        </w:rPr>
        <w:t xml:space="preserve">CREG </w:t>
      </w:r>
      <w:r w:rsidR="00C878FA" w:rsidRPr="004E2959">
        <w:rPr>
          <w:rFonts w:ascii="Bookman Old Style" w:hAnsi="Bookman Old Style" w:cs="Arial"/>
          <w:spacing w:val="-5"/>
          <w:lang w:val="es-CO" w:eastAsia="en-US"/>
        </w:rPr>
        <w:t>053 de 2011</w:t>
      </w:r>
      <w:r w:rsidR="00C878FA" w:rsidRPr="00E96FF8">
        <w:rPr>
          <w:rFonts w:ascii="Bookman Old Style" w:hAnsi="Bookman Old Style" w:cs="Arial"/>
          <w:spacing w:val="-5"/>
          <w:lang w:val="es-CO" w:eastAsia="en-US"/>
        </w:rPr>
        <w:t xml:space="preserve">, </w:t>
      </w:r>
      <w:r w:rsidR="00C878FA" w:rsidRPr="00E96FF8">
        <w:rPr>
          <w:rFonts w:ascii="Bookman Old Style" w:hAnsi="Bookman Old Style" w:cs="Arial"/>
          <w:spacing w:val="-5"/>
          <w:lang w:val="es-CO" w:eastAsia="en-US"/>
        </w:rPr>
        <w:lastRenderedPageBreak/>
        <w:t xml:space="preserve">artículo </w:t>
      </w:r>
      <w:r w:rsidR="006875B4" w:rsidRPr="00E96FF8">
        <w:rPr>
          <w:rFonts w:ascii="Bookman Old Style" w:hAnsi="Bookman Old Style" w:cs="Arial"/>
          <w:spacing w:val="-5"/>
          <w:lang w:val="es-CO" w:eastAsia="en-US"/>
        </w:rPr>
        <w:t>6</w:t>
      </w:r>
      <w:r w:rsidR="008B3616" w:rsidRPr="00E96FF8">
        <w:rPr>
          <w:rFonts w:ascii="Bookman Old Style" w:hAnsi="Bookman Old Style" w:cs="Arial"/>
          <w:spacing w:val="-5"/>
          <w:lang w:val="es-CO" w:eastAsia="en-US"/>
        </w:rPr>
        <w:t>, literales a, c</w:t>
      </w:r>
      <w:r w:rsidR="00E24B9D" w:rsidRPr="00E96FF8">
        <w:rPr>
          <w:rFonts w:ascii="Bookman Old Style" w:hAnsi="Bookman Old Style" w:cs="Arial"/>
          <w:spacing w:val="-5"/>
          <w:lang w:val="es-CO" w:eastAsia="en-US"/>
        </w:rPr>
        <w:t xml:space="preserve"> y</w:t>
      </w:r>
      <w:r w:rsidR="008B3616" w:rsidRPr="00E96FF8">
        <w:rPr>
          <w:rFonts w:ascii="Bookman Old Style" w:hAnsi="Bookman Old Style" w:cs="Arial"/>
          <w:spacing w:val="-5"/>
          <w:lang w:val="es-CO" w:eastAsia="en-US"/>
        </w:rPr>
        <w:t xml:space="preserve"> d</w:t>
      </w:r>
      <w:r w:rsidR="00814704" w:rsidRPr="00E96FF8">
        <w:rPr>
          <w:rFonts w:ascii="Bookman Old Style" w:hAnsi="Bookman Old Style" w:cs="Arial"/>
          <w:spacing w:val="-5"/>
          <w:lang w:val="es-CO" w:eastAsia="en-US"/>
        </w:rPr>
        <w:t>,</w:t>
      </w:r>
      <w:r w:rsidR="006875B4" w:rsidRPr="00E96FF8">
        <w:rPr>
          <w:rFonts w:ascii="Bookman Old Style" w:hAnsi="Bookman Old Style" w:cs="Arial"/>
          <w:spacing w:val="-5"/>
          <w:lang w:val="es-CO" w:eastAsia="en-US"/>
        </w:rPr>
        <w:t xml:space="preserve"> </w:t>
      </w:r>
      <w:r w:rsidR="008B3616" w:rsidRPr="00E96FF8">
        <w:rPr>
          <w:rFonts w:ascii="Bookman Old Style" w:hAnsi="Bookman Old Style" w:cs="Arial"/>
          <w:spacing w:val="-5"/>
          <w:lang w:val="es-CO" w:eastAsia="en-US"/>
        </w:rPr>
        <w:t xml:space="preserve">artículo </w:t>
      </w:r>
      <w:r w:rsidR="00C878FA" w:rsidRPr="00E96FF8">
        <w:rPr>
          <w:rFonts w:ascii="Bookman Old Style" w:hAnsi="Bookman Old Style" w:cs="Arial"/>
          <w:spacing w:val="-5"/>
          <w:lang w:val="es-CO" w:eastAsia="en-US"/>
        </w:rPr>
        <w:t xml:space="preserve">13, </w:t>
      </w:r>
      <w:r w:rsidR="00DE3AF1" w:rsidRPr="00E96FF8">
        <w:rPr>
          <w:rFonts w:ascii="Bookman Old Style" w:hAnsi="Bookman Old Style" w:cs="Arial"/>
          <w:spacing w:val="-5"/>
          <w:lang w:val="es-CO" w:eastAsia="en-US"/>
        </w:rPr>
        <w:t>literal</w:t>
      </w:r>
      <w:r w:rsidR="00C878FA" w:rsidRPr="00E96FF8">
        <w:rPr>
          <w:rFonts w:ascii="Bookman Old Style" w:hAnsi="Bookman Old Style" w:cs="Arial"/>
          <w:spacing w:val="-5"/>
          <w:lang w:val="es-CO" w:eastAsia="en-US"/>
        </w:rPr>
        <w:t xml:space="preserve"> c,</w:t>
      </w:r>
      <w:r w:rsidR="00584D23" w:rsidRPr="00E96FF8">
        <w:rPr>
          <w:rFonts w:ascii="Bookman Old Style" w:hAnsi="Bookman Old Style" w:cs="Arial"/>
          <w:spacing w:val="-5"/>
          <w:lang w:val="es-CO" w:eastAsia="en-US"/>
        </w:rPr>
        <w:t xml:space="preserve"> y artículo 16</w:t>
      </w:r>
      <w:r w:rsidR="000E2C15" w:rsidRPr="00E96FF8">
        <w:rPr>
          <w:rFonts w:ascii="Bookman Old Style" w:hAnsi="Bookman Old Style" w:cs="Arial"/>
          <w:spacing w:val="-5"/>
          <w:lang w:val="es-CO" w:eastAsia="en-US"/>
        </w:rPr>
        <w:t>, literal a</w:t>
      </w:r>
      <w:r w:rsidR="005B2498" w:rsidRPr="004E2959">
        <w:rPr>
          <w:rFonts w:ascii="Bookman Old Style" w:hAnsi="Bookman Old Style" w:cs="Arial"/>
          <w:spacing w:val="-5"/>
          <w:lang w:val="es-CO" w:eastAsia="en-US"/>
        </w:rPr>
        <w:t>,</w:t>
      </w:r>
      <w:r w:rsidR="00C878FA" w:rsidRPr="004E2959">
        <w:rPr>
          <w:rFonts w:ascii="Bookman Old Style" w:hAnsi="Bookman Old Style" w:cs="Arial"/>
          <w:spacing w:val="-5"/>
          <w:lang w:val="es-CO" w:eastAsia="en-US"/>
        </w:rPr>
        <w:t xml:space="preserve"> </w:t>
      </w:r>
      <w:r w:rsidR="006875B4" w:rsidRPr="004E2959">
        <w:rPr>
          <w:rFonts w:ascii="Bookman Old Style" w:hAnsi="Bookman Old Style" w:cs="Arial"/>
          <w:spacing w:val="-5"/>
          <w:lang w:val="es-CO" w:eastAsia="en-US"/>
        </w:rPr>
        <w:t xml:space="preserve">respectivamente, </w:t>
      </w:r>
      <w:r w:rsidR="00C878FA" w:rsidRPr="004E2959">
        <w:rPr>
          <w:rFonts w:ascii="Bookman Old Style" w:hAnsi="Bookman Old Style" w:cs="Arial"/>
          <w:spacing w:val="-5"/>
          <w:lang w:val="es-CO" w:eastAsia="en-US"/>
        </w:rPr>
        <w:t>establece</w:t>
      </w:r>
      <w:r w:rsidR="006875B4" w:rsidRPr="004E2959">
        <w:rPr>
          <w:rFonts w:ascii="Bookman Old Style" w:hAnsi="Bookman Old Style" w:cs="Arial"/>
          <w:spacing w:val="-5"/>
          <w:lang w:val="es-CO" w:eastAsia="en-US"/>
        </w:rPr>
        <w:t>n</w:t>
      </w:r>
      <w:r w:rsidR="00C878FA" w:rsidRPr="004E2959">
        <w:rPr>
          <w:rFonts w:ascii="Bookman Old Style" w:hAnsi="Bookman Old Style" w:cs="Arial"/>
          <w:spacing w:val="-5"/>
          <w:lang w:val="es-CO" w:eastAsia="en-US"/>
        </w:rPr>
        <w:t xml:space="preserve"> lo siguiente:</w:t>
      </w:r>
    </w:p>
    <w:p w14:paraId="2F4746B3" w14:textId="77777777" w:rsidR="00C878FA" w:rsidRPr="004E2959" w:rsidRDefault="00C878FA" w:rsidP="003E2E35">
      <w:pPr>
        <w:ind w:left="0"/>
        <w:contextualSpacing/>
        <w:jc w:val="both"/>
        <w:rPr>
          <w:rFonts w:ascii="Bookman Old Style" w:hAnsi="Bookman Old Style" w:cs="Arial"/>
          <w:spacing w:val="-5"/>
          <w:lang w:val="es-CO" w:eastAsia="en-US"/>
        </w:rPr>
      </w:pPr>
    </w:p>
    <w:p w14:paraId="5C700CA1" w14:textId="5AE59627" w:rsidR="00AE08B3" w:rsidRPr="004E2959" w:rsidRDefault="00C878FA" w:rsidP="003E2E35">
      <w:pPr>
        <w:ind w:right="424"/>
        <w:contextualSpacing/>
        <w:jc w:val="both"/>
        <w:rPr>
          <w:rFonts w:ascii="Bookman Old Style" w:hAnsi="Bookman Old Style" w:cs="Arial"/>
          <w:i/>
          <w:spacing w:val="-5"/>
          <w:sz w:val="22"/>
          <w:szCs w:val="22"/>
          <w:lang w:val="es-CO" w:eastAsia="en-US"/>
        </w:rPr>
      </w:pPr>
      <w:r w:rsidRPr="004E2959">
        <w:rPr>
          <w:rFonts w:ascii="Bookman Old Style" w:hAnsi="Bookman Old Style" w:cs="Arial"/>
          <w:i/>
          <w:spacing w:val="-5"/>
          <w:sz w:val="22"/>
          <w:szCs w:val="22"/>
          <w:lang w:val="es-CO" w:eastAsia="en-US"/>
        </w:rPr>
        <w:t>“</w:t>
      </w:r>
      <w:r w:rsidR="00B760F2" w:rsidRPr="004E2959">
        <w:rPr>
          <w:rFonts w:ascii="Bookman Old Style" w:hAnsi="Bookman Old Style" w:cs="Arial"/>
          <w:i/>
          <w:spacing w:val="-5"/>
          <w:sz w:val="22"/>
          <w:szCs w:val="22"/>
          <w:lang w:val="es-CO" w:eastAsia="en-US"/>
        </w:rPr>
        <w:t xml:space="preserve">(…) </w:t>
      </w:r>
      <w:r w:rsidR="00AE08B3" w:rsidRPr="004E2959">
        <w:rPr>
          <w:rFonts w:ascii="Bookman Old Style" w:hAnsi="Bookman Old Style" w:cs="Arial"/>
          <w:i/>
          <w:spacing w:val="-5"/>
          <w:sz w:val="22"/>
          <w:szCs w:val="22"/>
          <w:lang w:val="es-CO" w:eastAsia="en-US"/>
        </w:rPr>
        <w:t>Abstenerse de asumir compromisos de exportación sin haber ofrecido previamente al Mercado Mayorista todo el GLP del que disponen. (…)”</w:t>
      </w:r>
    </w:p>
    <w:p w14:paraId="51A160E4" w14:textId="77777777" w:rsidR="00AE08B3" w:rsidRPr="004E2959" w:rsidRDefault="00AE08B3" w:rsidP="003E2E35">
      <w:pPr>
        <w:ind w:right="424"/>
        <w:contextualSpacing/>
        <w:jc w:val="both"/>
        <w:rPr>
          <w:rFonts w:ascii="Bookman Old Style" w:hAnsi="Bookman Old Style" w:cs="Arial"/>
          <w:i/>
          <w:spacing w:val="-5"/>
          <w:sz w:val="22"/>
          <w:szCs w:val="22"/>
          <w:lang w:val="es-CO" w:eastAsia="en-US"/>
        </w:rPr>
      </w:pPr>
    </w:p>
    <w:p w14:paraId="370EF3F4" w14:textId="738CC797" w:rsidR="00AE08B3" w:rsidRPr="004E2959" w:rsidRDefault="00AE08B3" w:rsidP="003E2E35">
      <w:pPr>
        <w:ind w:right="424"/>
        <w:contextualSpacing/>
        <w:jc w:val="both"/>
        <w:rPr>
          <w:rFonts w:ascii="Bookman Old Style" w:hAnsi="Bookman Old Style" w:cs="Arial"/>
          <w:i/>
          <w:spacing w:val="-5"/>
          <w:sz w:val="22"/>
          <w:szCs w:val="22"/>
          <w:lang w:val="es-CO" w:eastAsia="en-US"/>
        </w:rPr>
      </w:pPr>
      <w:r w:rsidRPr="004E2959">
        <w:rPr>
          <w:rFonts w:ascii="Bookman Old Style" w:hAnsi="Bookman Old Style" w:cs="Arial"/>
          <w:i/>
          <w:spacing w:val="-5"/>
          <w:sz w:val="22"/>
          <w:szCs w:val="22"/>
          <w:lang w:val="es-CO" w:eastAsia="en-US"/>
        </w:rPr>
        <w:t>Cuando se trate de GLP con Precio Regulado, ofrecerlo a través de una OPC, de la cual trata el artículo 11 y ajustada a las condiciones establecidas en el Capítulo 3, de esta Resolución.  Su venta será el resultado de las asignaciones de producto de la OPC. (…)</w:t>
      </w:r>
    </w:p>
    <w:p w14:paraId="6757318E" w14:textId="77777777" w:rsidR="00B760F2" w:rsidRPr="004E2959" w:rsidRDefault="00B760F2" w:rsidP="003E2E35">
      <w:pPr>
        <w:ind w:right="424"/>
        <w:contextualSpacing/>
        <w:jc w:val="both"/>
        <w:rPr>
          <w:rFonts w:ascii="Bookman Old Style" w:hAnsi="Bookman Old Style" w:cs="Arial"/>
          <w:i/>
          <w:spacing w:val="-5"/>
          <w:sz w:val="22"/>
          <w:szCs w:val="22"/>
          <w:lang w:val="es-CO" w:eastAsia="en-US"/>
        </w:rPr>
      </w:pPr>
    </w:p>
    <w:p w14:paraId="6209B7D4" w14:textId="68FE1285" w:rsidR="006875B4" w:rsidRPr="004E2959" w:rsidRDefault="006875B4" w:rsidP="003E2E35">
      <w:pPr>
        <w:ind w:right="424"/>
        <w:contextualSpacing/>
        <w:jc w:val="both"/>
        <w:rPr>
          <w:rFonts w:ascii="Bookman Old Style" w:hAnsi="Bookman Old Style" w:cs="Arial"/>
          <w:i/>
          <w:spacing w:val="-5"/>
          <w:sz w:val="22"/>
          <w:szCs w:val="22"/>
          <w:lang w:val="es-CO" w:eastAsia="en-US"/>
        </w:rPr>
      </w:pPr>
      <w:r w:rsidRPr="004E2959">
        <w:rPr>
          <w:rFonts w:ascii="Bookman Old Style" w:hAnsi="Bookman Old Style" w:cs="Arial"/>
          <w:b/>
          <w:i/>
          <w:spacing w:val="-5"/>
          <w:sz w:val="22"/>
          <w:szCs w:val="22"/>
          <w:u w:val="single"/>
          <w:lang w:val="es-CO" w:eastAsia="en-US"/>
        </w:rPr>
        <w:t>Incorporar en su oferta de venta de GLP disponible las variaciones en la producción o importación previsibles, generadas por cualquier causa</w:t>
      </w:r>
      <w:r w:rsidRPr="004E2959">
        <w:rPr>
          <w:rFonts w:ascii="Bookman Old Style" w:hAnsi="Bookman Old Style" w:cs="Arial"/>
          <w:i/>
          <w:spacing w:val="-5"/>
          <w:sz w:val="22"/>
          <w:szCs w:val="22"/>
          <w:lang w:val="es-CO" w:eastAsia="en-US"/>
        </w:rPr>
        <w:t>.</w:t>
      </w:r>
      <w:r w:rsidR="00E037A5" w:rsidRPr="004E2959">
        <w:rPr>
          <w:rFonts w:ascii="Bookman Old Style" w:hAnsi="Bookman Old Style" w:cs="Arial"/>
          <w:i/>
          <w:spacing w:val="-5"/>
          <w:sz w:val="22"/>
          <w:szCs w:val="22"/>
          <w:lang w:val="es-CO" w:eastAsia="en-US"/>
        </w:rPr>
        <w:t xml:space="preserve"> (…)</w:t>
      </w:r>
    </w:p>
    <w:p w14:paraId="29DE344E" w14:textId="2DFA96FB" w:rsidR="006875B4" w:rsidRPr="004E2959" w:rsidRDefault="006875B4" w:rsidP="003E2E35">
      <w:pPr>
        <w:tabs>
          <w:tab w:val="left" w:pos="5628"/>
        </w:tabs>
        <w:ind w:right="424"/>
        <w:contextualSpacing/>
        <w:jc w:val="both"/>
        <w:rPr>
          <w:rFonts w:ascii="Bookman Old Style" w:hAnsi="Bookman Old Style" w:cs="Arial"/>
          <w:i/>
          <w:spacing w:val="-5"/>
          <w:sz w:val="22"/>
          <w:szCs w:val="22"/>
          <w:lang w:val="es-CO" w:eastAsia="en-US"/>
        </w:rPr>
      </w:pPr>
    </w:p>
    <w:p w14:paraId="62D21767" w14:textId="38D7309D" w:rsidR="00C00995" w:rsidRPr="004E2959" w:rsidRDefault="00C878FA" w:rsidP="003E2E35">
      <w:pPr>
        <w:ind w:right="424"/>
        <w:contextualSpacing/>
        <w:jc w:val="both"/>
        <w:rPr>
          <w:rFonts w:ascii="Bookman Old Style" w:hAnsi="Bookman Old Style" w:cs="Arial"/>
          <w:i/>
          <w:spacing w:val="-5"/>
          <w:sz w:val="22"/>
          <w:szCs w:val="22"/>
          <w:lang w:val="es-CO" w:eastAsia="en-US"/>
        </w:rPr>
      </w:pPr>
      <w:r w:rsidRPr="004E2959">
        <w:rPr>
          <w:rFonts w:ascii="Bookman Old Style" w:hAnsi="Bookman Old Style" w:cs="Arial"/>
          <w:b/>
          <w:i/>
          <w:spacing w:val="-5"/>
          <w:sz w:val="22"/>
          <w:szCs w:val="22"/>
          <w:u w:val="single"/>
          <w:lang w:val="es-CO" w:eastAsia="en-US"/>
        </w:rPr>
        <w:t>La OPC debe hacerse ofreciendo el producto de manera independiente para cada fuente de producción nacional</w:t>
      </w:r>
      <w:r w:rsidRPr="004E2959">
        <w:rPr>
          <w:rFonts w:ascii="Bookman Old Style" w:hAnsi="Bookman Old Style" w:cs="Arial"/>
          <w:i/>
          <w:spacing w:val="-5"/>
          <w:sz w:val="22"/>
          <w:szCs w:val="22"/>
          <w:lang w:val="es-CO" w:eastAsia="en-US"/>
        </w:rPr>
        <w:t xml:space="preserve"> y de manera simultánea para todas ellas (…)</w:t>
      </w:r>
    </w:p>
    <w:p w14:paraId="044D10B1" w14:textId="77777777" w:rsidR="00C00995" w:rsidRPr="004E2959" w:rsidRDefault="00C00995" w:rsidP="003E2E35">
      <w:pPr>
        <w:ind w:right="424"/>
        <w:contextualSpacing/>
        <w:jc w:val="both"/>
        <w:rPr>
          <w:rFonts w:ascii="Bookman Old Style" w:hAnsi="Bookman Old Style" w:cs="Arial"/>
          <w:i/>
          <w:spacing w:val="-5"/>
          <w:sz w:val="22"/>
          <w:szCs w:val="22"/>
          <w:lang w:val="es-CO" w:eastAsia="en-US"/>
        </w:rPr>
      </w:pPr>
    </w:p>
    <w:p w14:paraId="4C896A94" w14:textId="25616337" w:rsidR="00C878FA" w:rsidRPr="004E2959" w:rsidRDefault="0029473A" w:rsidP="003E2E35">
      <w:pPr>
        <w:ind w:right="424"/>
        <w:contextualSpacing/>
        <w:jc w:val="both"/>
        <w:rPr>
          <w:rFonts w:ascii="Bookman Old Style" w:hAnsi="Bookman Old Style" w:cs="Arial"/>
          <w:spacing w:val="-5"/>
          <w:sz w:val="22"/>
          <w:szCs w:val="22"/>
          <w:lang w:val="es-CO" w:eastAsia="en-US"/>
        </w:rPr>
      </w:pPr>
      <w:r w:rsidRPr="004E2959">
        <w:rPr>
          <w:rFonts w:ascii="Bookman Old Style" w:hAnsi="Bookman Old Style" w:cs="Arial"/>
          <w:i/>
          <w:spacing w:val="-5"/>
          <w:sz w:val="22"/>
          <w:szCs w:val="22"/>
          <w:lang w:val="es-CO" w:eastAsia="en-US"/>
        </w:rPr>
        <w:t xml:space="preserve">Se considera un incumplimiento en las condiciones de entrega del producto, por parte del vendedor, </w:t>
      </w:r>
      <w:r w:rsidRPr="004E2959">
        <w:rPr>
          <w:rFonts w:ascii="Bookman Old Style" w:hAnsi="Bookman Old Style" w:cs="Arial"/>
          <w:b/>
          <w:bCs/>
          <w:i/>
          <w:spacing w:val="-5"/>
          <w:sz w:val="22"/>
          <w:szCs w:val="22"/>
          <w:u w:val="single"/>
          <w:lang w:val="es-CO" w:eastAsia="en-US"/>
        </w:rPr>
        <w:t>la modificación de los sitios de entrega pactados en el contrato, la variación en las cantidades entregadas diferentes a las pactadas en el contrato</w:t>
      </w:r>
      <w:r w:rsidRPr="004E2959">
        <w:rPr>
          <w:rFonts w:ascii="Bookman Old Style" w:hAnsi="Bookman Old Style" w:cs="Arial"/>
          <w:i/>
          <w:spacing w:val="-5"/>
          <w:sz w:val="22"/>
          <w:szCs w:val="22"/>
          <w:lang w:val="es-CO" w:eastAsia="en-US"/>
        </w:rPr>
        <w:t xml:space="preserve"> y el mayor tiempo de entrega con respecto al tiempo máximo pactado en el contrato,</w:t>
      </w:r>
      <w:r w:rsidRPr="004E2959">
        <w:rPr>
          <w:rFonts w:ascii="Bookman Old Style" w:hAnsi="Bookman Old Style" w:cs="Arial"/>
          <w:b/>
          <w:bCs/>
          <w:i/>
          <w:spacing w:val="-5"/>
          <w:sz w:val="22"/>
          <w:szCs w:val="22"/>
          <w:u w:val="single"/>
          <w:lang w:val="es-CO" w:eastAsia="en-US"/>
        </w:rPr>
        <w:t xml:space="preserve"> sea cual sea el origen de la causa de dichos incumplimientos</w:t>
      </w:r>
      <w:r w:rsidRPr="004E2959">
        <w:rPr>
          <w:rFonts w:ascii="Bookman Old Style" w:hAnsi="Bookman Old Style" w:cs="Arial"/>
          <w:i/>
          <w:spacing w:val="-5"/>
          <w:sz w:val="22"/>
          <w:szCs w:val="22"/>
          <w:lang w:val="es-CO" w:eastAsia="en-US"/>
        </w:rPr>
        <w:t>, con excepción de las situaciones establecidas en el artículo 17 de esta resolución. También se considera un incumplimiento en las condiciones de entrega del producto por parte del vendedor la no entrega de los reportes de calidad y de caracterización del GLP suministrado, en las condiciones previstas en los literales d y e del artículo 7 de esta resolución.</w:t>
      </w:r>
      <w:r w:rsidR="00012619" w:rsidRPr="004E2959">
        <w:rPr>
          <w:rFonts w:ascii="Bookman Old Style" w:hAnsi="Bookman Old Style" w:cs="Arial"/>
          <w:i/>
          <w:spacing w:val="-5"/>
          <w:sz w:val="22"/>
          <w:szCs w:val="22"/>
          <w:lang w:val="es-CO" w:eastAsia="en-US"/>
        </w:rPr>
        <w:t xml:space="preserve"> (…)</w:t>
      </w:r>
      <w:r w:rsidRPr="004E2959">
        <w:rPr>
          <w:rFonts w:ascii="Bookman Old Style" w:hAnsi="Bookman Old Style" w:cs="Arial"/>
          <w:i/>
          <w:spacing w:val="-5"/>
          <w:sz w:val="22"/>
          <w:szCs w:val="22"/>
          <w:lang w:val="es-CO" w:eastAsia="en-US"/>
        </w:rPr>
        <w:t>”</w:t>
      </w:r>
      <w:r w:rsidR="00BA4B27" w:rsidRPr="004E2959">
        <w:rPr>
          <w:rFonts w:ascii="Bookman Old Style" w:hAnsi="Bookman Old Style" w:cs="Arial"/>
          <w:i/>
          <w:spacing w:val="-5"/>
          <w:sz w:val="22"/>
          <w:szCs w:val="22"/>
          <w:lang w:val="es-CO" w:eastAsia="en-US"/>
        </w:rPr>
        <w:t xml:space="preserve"> </w:t>
      </w:r>
      <w:r w:rsidR="00AF3448" w:rsidRPr="004E2959">
        <w:rPr>
          <w:rFonts w:ascii="Bookman Old Style" w:hAnsi="Bookman Old Style" w:cs="Arial"/>
          <w:spacing w:val="-5"/>
          <w:sz w:val="22"/>
          <w:szCs w:val="22"/>
          <w:lang w:val="es-CO" w:eastAsia="en-US"/>
        </w:rPr>
        <w:t xml:space="preserve">Resaltado </w:t>
      </w:r>
      <w:r w:rsidR="00BA4B27" w:rsidRPr="004E2959">
        <w:rPr>
          <w:rFonts w:ascii="Bookman Old Style" w:hAnsi="Bookman Old Style" w:cs="Arial"/>
          <w:spacing w:val="-5"/>
          <w:sz w:val="22"/>
          <w:szCs w:val="22"/>
          <w:lang w:val="es-CO" w:eastAsia="en-US"/>
        </w:rPr>
        <w:t xml:space="preserve">y subrayado </w:t>
      </w:r>
      <w:r w:rsidR="00AF3448" w:rsidRPr="004E2959">
        <w:rPr>
          <w:rFonts w:ascii="Bookman Old Style" w:hAnsi="Bookman Old Style" w:cs="Arial"/>
          <w:spacing w:val="-5"/>
          <w:sz w:val="22"/>
          <w:szCs w:val="22"/>
          <w:lang w:val="es-CO" w:eastAsia="en-US"/>
        </w:rPr>
        <w:t>fuera de texto</w:t>
      </w:r>
    </w:p>
    <w:p w14:paraId="4ECA8C3A" w14:textId="77777777" w:rsidR="00C878FA" w:rsidRPr="004E2959" w:rsidRDefault="00C878FA" w:rsidP="003E2E35">
      <w:pPr>
        <w:ind w:left="0"/>
        <w:contextualSpacing/>
        <w:jc w:val="both"/>
        <w:rPr>
          <w:rFonts w:ascii="Bookman Old Style" w:hAnsi="Bookman Old Style" w:cs="Arial"/>
          <w:spacing w:val="-5"/>
          <w:lang w:val="es-CO" w:eastAsia="en-US"/>
        </w:rPr>
      </w:pPr>
    </w:p>
    <w:p w14:paraId="4B726C74" w14:textId="77777777" w:rsidR="00C878FA" w:rsidRPr="004E2959" w:rsidRDefault="00C878FA" w:rsidP="003E2E35">
      <w:pPr>
        <w:ind w:left="0"/>
        <w:contextualSpacing/>
        <w:jc w:val="both"/>
        <w:rPr>
          <w:rFonts w:ascii="Bookman Old Style" w:hAnsi="Bookman Old Style" w:cs="Arial"/>
          <w:spacing w:val="-5"/>
          <w:lang w:val="es-CO" w:eastAsia="en-US"/>
        </w:rPr>
      </w:pPr>
      <w:r w:rsidRPr="004E2959">
        <w:rPr>
          <w:rFonts w:ascii="Bookman Old Style" w:hAnsi="Bookman Old Style" w:cs="Arial"/>
          <w:spacing w:val="-5"/>
          <w:lang w:val="es-CO" w:eastAsia="en-US"/>
        </w:rPr>
        <w:t>En ese mismo artículo, en el parágrafo 2, se establece que:</w:t>
      </w:r>
    </w:p>
    <w:p w14:paraId="7FB780BE" w14:textId="77777777" w:rsidR="00C878FA" w:rsidRPr="004E2959" w:rsidRDefault="00C878FA" w:rsidP="003E2E35">
      <w:pPr>
        <w:ind w:left="0"/>
        <w:contextualSpacing/>
        <w:jc w:val="both"/>
        <w:rPr>
          <w:rFonts w:ascii="Bookman Old Style" w:hAnsi="Bookman Old Style" w:cs="Arial"/>
          <w:spacing w:val="-5"/>
          <w:lang w:val="es-CO" w:eastAsia="en-US"/>
        </w:rPr>
      </w:pPr>
    </w:p>
    <w:p w14:paraId="3DD2FABA" w14:textId="77777777" w:rsidR="00C878FA" w:rsidRPr="004E2959" w:rsidRDefault="00C878FA" w:rsidP="003E2E35">
      <w:pPr>
        <w:ind w:right="424"/>
        <w:contextualSpacing/>
        <w:jc w:val="both"/>
        <w:rPr>
          <w:rFonts w:ascii="Bookman Old Style" w:hAnsi="Bookman Old Style" w:cs="Arial"/>
          <w:spacing w:val="-5"/>
          <w:sz w:val="22"/>
          <w:szCs w:val="22"/>
          <w:lang w:val="es-CO" w:eastAsia="en-US"/>
        </w:rPr>
      </w:pPr>
      <w:r w:rsidRPr="004E2959">
        <w:rPr>
          <w:rFonts w:ascii="Bookman Old Style" w:hAnsi="Bookman Old Style" w:cs="Arial"/>
          <w:i/>
          <w:spacing w:val="-5"/>
          <w:sz w:val="22"/>
          <w:szCs w:val="22"/>
          <w:lang w:val="es-CO" w:eastAsia="en-US"/>
        </w:rPr>
        <w:t xml:space="preserve">“(…) </w:t>
      </w:r>
      <w:r w:rsidRPr="004E2959">
        <w:rPr>
          <w:rFonts w:ascii="Bookman Old Style" w:hAnsi="Bookman Old Style" w:cs="Arial"/>
          <w:b/>
          <w:i/>
          <w:spacing w:val="-5"/>
          <w:sz w:val="22"/>
          <w:szCs w:val="22"/>
          <w:u w:val="single"/>
          <w:lang w:val="es-CO" w:eastAsia="en-US"/>
        </w:rPr>
        <w:t>Estas OPC adicionales deberán cumplir todas las condiciones generales establecidas en el capítulo 3</w:t>
      </w:r>
      <w:r w:rsidRPr="004E2959">
        <w:rPr>
          <w:rFonts w:ascii="Bookman Old Style" w:hAnsi="Bookman Old Style" w:cs="Arial"/>
          <w:i/>
          <w:spacing w:val="-5"/>
          <w:sz w:val="22"/>
          <w:szCs w:val="22"/>
          <w:lang w:val="es-CO" w:eastAsia="en-US"/>
        </w:rPr>
        <w:t xml:space="preserve">, con excepción del tiempo previo de un mes para la realización de la oferta el cual puede ser menor.  Tampoco se aplicará lo previsto en el literal a del artículo 14 de esta resolución. (…)” </w:t>
      </w:r>
      <w:r w:rsidRPr="004E2959">
        <w:rPr>
          <w:rFonts w:ascii="Bookman Old Style" w:hAnsi="Bookman Old Style" w:cs="Arial"/>
          <w:spacing w:val="-5"/>
          <w:sz w:val="22"/>
          <w:szCs w:val="22"/>
          <w:lang w:val="es-CO" w:eastAsia="en-US"/>
        </w:rPr>
        <w:t>Subrayado y resaltado fuera de texto</w:t>
      </w:r>
    </w:p>
    <w:p w14:paraId="61E9753B" w14:textId="77777777" w:rsidR="00C878FA" w:rsidRPr="004E2959" w:rsidRDefault="00C878FA" w:rsidP="003E2E35">
      <w:pPr>
        <w:ind w:left="0"/>
        <w:contextualSpacing/>
        <w:jc w:val="both"/>
        <w:rPr>
          <w:rFonts w:ascii="Bookman Old Style" w:hAnsi="Bookman Old Style" w:cs="Arial"/>
          <w:spacing w:val="-5"/>
          <w:lang w:val="es-CO" w:eastAsia="en-US"/>
        </w:rPr>
      </w:pPr>
    </w:p>
    <w:p w14:paraId="54433319" w14:textId="22AB66A9" w:rsidR="00C878FA" w:rsidRPr="004E2959" w:rsidRDefault="00B37316" w:rsidP="003E2E35">
      <w:pPr>
        <w:ind w:left="0"/>
        <w:contextualSpacing/>
        <w:jc w:val="both"/>
        <w:rPr>
          <w:rFonts w:ascii="Bookman Old Style" w:hAnsi="Bookman Old Style" w:cs="Arial"/>
          <w:spacing w:val="-5"/>
          <w:lang w:val="es-CO" w:eastAsia="en-US"/>
        </w:rPr>
      </w:pPr>
      <w:r w:rsidRPr="004E2959">
        <w:rPr>
          <w:rFonts w:ascii="Bookman Old Style" w:hAnsi="Bookman Old Style" w:cs="Arial"/>
          <w:spacing w:val="-5"/>
          <w:lang w:val="es-CO" w:eastAsia="en-US"/>
        </w:rPr>
        <w:t>Así mismo</w:t>
      </w:r>
      <w:r w:rsidR="00C878FA" w:rsidRPr="004E2959">
        <w:rPr>
          <w:rFonts w:ascii="Bookman Old Style" w:hAnsi="Bookman Old Style" w:cs="Arial"/>
          <w:spacing w:val="-5"/>
          <w:lang w:val="es-CO" w:eastAsia="en-US"/>
        </w:rPr>
        <w:t xml:space="preserve">, mediante Resolución CREG </w:t>
      </w:r>
      <w:r w:rsidR="1C22D2B6" w:rsidRPr="004E2959">
        <w:rPr>
          <w:rFonts w:ascii="Bookman Old Style" w:hAnsi="Bookman Old Style" w:cs="Arial"/>
          <w:spacing w:val="-5"/>
          <w:lang w:val="es-CO" w:eastAsia="en-US"/>
        </w:rPr>
        <w:t>064</w:t>
      </w:r>
      <w:r w:rsidR="00C878FA" w:rsidRPr="004E2959">
        <w:rPr>
          <w:rFonts w:ascii="Bookman Old Style" w:hAnsi="Bookman Old Style" w:cs="Arial"/>
          <w:spacing w:val="-5"/>
          <w:lang w:val="es-CO" w:eastAsia="en-US"/>
        </w:rPr>
        <w:t xml:space="preserve"> de 201</w:t>
      </w:r>
      <w:r w:rsidR="7BDD06D5" w:rsidRPr="004E2959">
        <w:rPr>
          <w:rFonts w:ascii="Bookman Old Style" w:hAnsi="Bookman Old Style" w:cs="Arial"/>
          <w:spacing w:val="-5"/>
          <w:lang w:val="es-CO" w:eastAsia="en-US"/>
        </w:rPr>
        <w:t>6</w:t>
      </w:r>
      <w:r w:rsidR="00C878FA" w:rsidRPr="004E2959">
        <w:rPr>
          <w:rFonts w:ascii="Bookman Old Style" w:hAnsi="Bookman Old Style" w:cs="Arial"/>
          <w:spacing w:val="-5"/>
          <w:lang w:val="es-CO" w:eastAsia="en-US"/>
        </w:rPr>
        <w:t xml:space="preserve">, por la cual se modifica el reglamento de comercialización mayorista de </w:t>
      </w:r>
      <w:r w:rsidR="4CF71E02" w:rsidRPr="004E2959">
        <w:rPr>
          <w:rFonts w:ascii="Bookman Old Style" w:hAnsi="Bookman Old Style" w:cs="Arial"/>
          <w:spacing w:val="-5"/>
          <w:lang w:val="es-CO" w:eastAsia="en-US"/>
        </w:rPr>
        <w:t>GLP</w:t>
      </w:r>
      <w:r w:rsidR="00C878FA" w:rsidRPr="004E2959">
        <w:rPr>
          <w:rFonts w:ascii="Bookman Old Style" w:hAnsi="Bookman Old Style" w:cs="Arial"/>
          <w:spacing w:val="-5"/>
          <w:lang w:val="es-CO" w:eastAsia="en-US"/>
        </w:rPr>
        <w:t xml:space="preserve">, se establece </w:t>
      </w:r>
      <w:r w:rsidR="21D462D3" w:rsidRPr="004E2959">
        <w:rPr>
          <w:rFonts w:ascii="Bookman Old Style" w:hAnsi="Bookman Old Style" w:cs="Arial"/>
          <w:spacing w:val="-5"/>
          <w:lang w:val="es-CO" w:eastAsia="en-US"/>
        </w:rPr>
        <w:t>en el artículo 1, parágrafo 1, lo siguiente</w:t>
      </w:r>
      <w:r w:rsidR="00C878FA" w:rsidRPr="004E2959">
        <w:rPr>
          <w:rFonts w:ascii="Bookman Old Style" w:hAnsi="Bookman Old Style" w:cs="Arial"/>
          <w:spacing w:val="-5"/>
          <w:lang w:val="es-CO" w:eastAsia="en-US"/>
        </w:rPr>
        <w:t>:</w:t>
      </w:r>
    </w:p>
    <w:p w14:paraId="310C17AE" w14:textId="77777777" w:rsidR="00C878FA" w:rsidRPr="004E2959" w:rsidRDefault="00C878FA" w:rsidP="003E2E35">
      <w:pPr>
        <w:ind w:left="0"/>
        <w:contextualSpacing/>
        <w:jc w:val="both"/>
        <w:rPr>
          <w:rFonts w:ascii="Bookman Old Style" w:hAnsi="Bookman Old Style" w:cs="Arial"/>
          <w:spacing w:val="-5"/>
          <w:lang w:val="es-CO" w:eastAsia="en-US"/>
        </w:rPr>
      </w:pPr>
    </w:p>
    <w:p w14:paraId="5B01DCBC" w14:textId="17660F67" w:rsidR="00C878FA" w:rsidRPr="004E2959" w:rsidRDefault="00C878FA" w:rsidP="003E2E35">
      <w:pPr>
        <w:contextualSpacing/>
        <w:jc w:val="both"/>
        <w:rPr>
          <w:rFonts w:ascii="Bookman Old Style" w:hAnsi="Bookman Old Style" w:cs="Arial"/>
          <w:i/>
          <w:iCs/>
          <w:sz w:val="22"/>
          <w:szCs w:val="22"/>
          <w:lang w:val="es-CO" w:eastAsia="en-US"/>
        </w:rPr>
      </w:pPr>
      <w:r w:rsidRPr="004E2959">
        <w:rPr>
          <w:rFonts w:ascii="Bookman Old Style" w:hAnsi="Bookman Old Style" w:cs="Arial"/>
          <w:i/>
          <w:iCs/>
          <w:spacing w:val="-5"/>
          <w:sz w:val="22"/>
          <w:szCs w:val="22"/>
          <w:lang w:val="es-CO" w:eastAsia="en-US"/>
        </w:rPr>
        <w:t xml:space="preserve">“(…) </w:t>
      </w:r>
      <w:r w:rsidR="268A71B6" w:rsidRPr="004E2959">
        <w:rPr>
          <w:rFonts w:ascii="Bookman Old Style" w:hAnsi="Bookman Old Style" w:cs="Arial"/>
          <w:i/>
          <w:iCs/>
          <w:sz w:val="22"/>
          <w:szCs w:val="22"/>
          <w:lang w:val="es-CO" w:eastAsia="en-US"/>
        </w:rPr>
        <w:t>Durante el período de ejecución de los contratos resultantes de una OPC original, podrán hacerse OPC adicionales para para</w:t>
      </w:r>
      <w:r w:rsidR="1266EAA6" w:rsidRPr="004E2959">
        <w:rPr>
          <w:rFonts w:ascii="Bookman Old Style" w:hAnsi="Bookman Old Style" w:cs="Arial"/>
          <w:i/>
          <w:iCs/>
          <w:sz w:val="22"/>
          <w:szCs w:val="22"/>
          <w:lang w:val="es-CO" w:eastAsia="en-US"/>
        </w:rPr>
        <w:t xml:space="preserve"> (sic)</w:t>
      </w:r>
      <w:r w:rsidR="268A71B6" w:rsidRPr="004E2959">
        <w:rPr>
          <w:rFonts w:ascii="Bookman Old Style" w:hAnsi="Bookman Old Style" w:cs="Arial"/>
          <w:i/>
          <w:iCs/>
          <w:sz w:val="22"/>
          <w:szCs w:val="22"/>
          <w:lang w:val="es-CO" w:eastAsia="en-US"/>
        </w:rPr>
        <w:t xml:space="preserve"> períodos de entrega entre un mes y el plazo máximo de la OPC definido en el literal d) de este artículo, sin exceder en todo caso los periodos de ejecución de dichos contratos. El producto ofrecido mediante una OPC adicional deberá ofrecerse con un precio inferior al 50% del precio máximo regulado</w:t>
      </w:r>
      <w:r w:rsidR="4F8B1B32" w:rsidRPr="004E2959">
        <w:rPr>
          <w:rFonts w:ascii="Bookman Old Style" w:hAnsi="Bookman Old Style" w:cs="Arial"/>
          <w:i/>
          <w:iCs/>
          <w:sz w:val="22"/>
          <w:szCs w:val="22"/>
          <w:lang w:val="es-CO" w:eastAsia="en-US"/>
        </w:rPr>
        <w:t>”</w:t>
      </w:r>
      <w:r w:rsidR="268A71B6" w:rsidRPr="004E2959">
        <w:rPr>
          <w:rFonts w:ascii="Bookman Old Style" w:hAnsi="Bookman Old Style" w:cs="Arial"/>
          <w:i/>
          <w:iCs/>
          <w:sz w:val="22"/>
          <w:szCs w:val="22"/>
          <w:lang w:val="es-CO" w:eastAsia="en-US"/>
        </w:rPr>
        <w:t>.</w:t>
      </w:r>
    </w:p>
    <w:p w14:paraId="7267952C" w14:textId="2E03BC2B" w:rsidR="00C878FA" w:rsidRPr="004E2959" w:rsidRDefault="00C878FA" w:rsidP="003E2E35">
      <w:pPr>
        <w:ind w:right="424"/>
        <w:contextualSpacing/>
        <w:jc w:val="both"/>
        <w:rPr>
          <w:rFonts w:ascii="Bookman Old Style" w:hAnsi="Bookman Old Style" w:cs="Arial"/>
          <w:i/>
          <w:iCs/>
          <w:sz w:val="22"/>
          <w:szCs w:val="22"/>
          <w:highlight w:val="yellow"/>
          <w:lang w:val="es-CO" w:eastAsia="en-US"/>
        </w:rPr>
      </w:pPr>
    </w:p>
    <w:p w14:paraId="2F7E12C8" w14:textId="49B4FBDD" w:rsidR="00C878FA" w:rsidRPr="004E2959" w:rsidRDefault="00CF339C" w:rsidP="003E7BF4">
      <w:pPr>
        <w:ind w:left="0"/>
        <w:contextualSpacing/>
        <w:jc w:val="both"/>
        <w:rPr>
          <w:rFonts w:ascii="Bookman Old Style" w:hAnsi="Bookman Old Style"/>
          <w:lang w:val="es-CO"/>
        </w:rPr>
      </w:pPr>
      <w:r w:rsidRPr="00C07899">
        <w:rPr>
          <w:rFonts w:ascii="Bookman Old Style" w:hAnsi="Bookman Old Style"/>
          <w:lang w:val="es-CO"/>
        </w:rPr>
        <w:t xml:space="preserve">Mediante comunicación </w:t>
      </w:r>
      <w:r w:rsidR="003E7BF4">
        <w:rPr>
          <w:rFonts w:ascii="Bookman Old Style" w:hAnsi="Bookman Old Style"/>
          <w:lang w:val="es-CO"/>
        </w:rPr>
        <w:t>de 25 de marzo de 2020</w:t>
      </w:r>
      <w:r w:rsidR="00D14DA5">
        <w:rPr>
          <w:rFonts w:ascii="Bookman Old Style" w:hAnsi="Bookman Old Style"/>
          <w:lang w:val="es-CO"/>
        </w:rPr>
        <w:t>,</w:t>
      </w:r>
      <w:r w:rsidR="003E7BF4">
        <w:rPr>
          <w:rFonts w:ascii="Bookman Old Style" w:hAnsi="Bookman Old Style"/>
          <w:lang w:val="es-CO"/>
        </w:rPr>
        <w:t xml:space="preserve"> Ecopetrol expuso lo siguiente:</w:t>
      </w:r>
    </w:p>
    <w:p w14:paraId="12A3554E" w14:textId="77777777" w:rsidR="006525B3" w:rsidRPr="004E2959" w:rsidRDefault="006525B3" w:rsidP="003E2E35">
      <w:pPr>
        <w:ind w:left="0"/>
        <w:contextualSpacing/>
        <w:jc w:val="both"/>
        <w:rPr>
          <w:rFonts w:ascii="Bookman Old Style" w:hAnsi="Bookman Old Style"/>
          <w:lang w:val="es-CO"/>
        </w:rPr>
      </w:pPr>
    </w:p>
    <w:p w14:paraId="66777920" w14:textId="77777777" w:rsidR="00483364" w:rsidRPr="00B52C53" w:rsidRDefault="006525B3" w:rsidP="00B52C53">
      <w:pPr>
        <w:ind w:right="284"/>
        <w:contextualSpacing/>
        <w:jc w:val="both"/>
        <w:rPr>
          <w:rFonts w:ascii="Bookman Old Style" w:hAnsi="Bookman Old Style"/>
          <w:i/>
          <w:iCs/>
          <w:sz w:val="22"/>
          <w:szCs w:val="22"/>
          <w:lang w:val="es-CO"/>
        </w:rPr>
      </w:pPr>
      <w:r w:rsidRPr="00B52C53">
        <w:rPr>
          <w:rFonts w:ascii="Bookman Old Style" w:hAnsi="Bookman Old Style"/>
          <w:i/>
          <w:iCs/>
          <w:sz w:val="22"/>
          <w:szCs w:val="22"/>
          <w:lang w:val="es-CO"/>
        </w:rPr>
        <w:t>“</w:t>
      </w:r>
      <w:r w:rsidR="00483364" w:rsidRPr="00B52C53">
        <w:rPr>
          <w:rFonts w:ascii="Bookman Old Style" w:hAnsi="Bookman Old Style"/>
          <w:i/>
          <w:iCs/>
          <w:sz w:val="22"/>
          <w:szCs w:val="22"/>
          <w:lang w:val="es-CO"/>
        </w:rPr>
        <w:t>Parada de la planta Amina I en Cusiana</w:t>
      </w:r>
    </w:p>
    <w:p w14:paraId="12E44134" w14:textId="77777777" w:rsidR="00483364" w:rsidRPr="00B52C53" w:rsidRDefault="00483364" w:rsidP="00B52C53">
      <w:pPr>
        <w:ind w:right="284"/>
        <w:contextualSpacing/>
        <w:jc w:val="both"/>
        <w:rPr>
          <w:rFonts w:ascii="Bookman Old Style" w:hAnsi="Bookman Old Style"/>
          <w:i/>
          <w:iCs/>
          <w:sz w:val="22"/>
          <w:szCs w:val="22"/>
          <w:lang w:val="es-CO"/>
        </w:rPr>
      </w:pPr>
    </w:p>
    <w:p w14:paraId="07643B51" w14:textId="01766033" w:rsidR="006D1F23" w:rsidRPr="00B52C53" w:rsidRDefault="00483364" w:rsidP="00B52C53">
      <w:pPr>
        <w:ind w:right="284"/>
        <w:contextualSpacing/>
        <w:jc w:val="both"/>
        <w:rPr>
          <w:rFonts w:ascii="Bookman Old Style" w:hAnsi="Bookman Old Style"/>
          <w:i/>
          <w:iCs/>
          <w:sz w:val="22"/>
          <w:szCs w:val="22"/>
          <w:lang w:val="es-CO"/>
        </w:rPr>
      </w:pPr>
      <w:r w:rsidRPr="00B52C53">
        <w:rPr>
          <w:rFonts w:ascii="Bookman Old Style" w:hAnsi="Bookman Old Style"/>
          <w:i/>
          <w:iCs/>
          <w:sz w:val="22"/>
          <w:szCs w:val="22"/>
          <w:lang w:val="es-CO"/>
        </w:rPr>
        <w:t xml:space="preserve">Dentro del plan de mantenimientos mayores y paradas de planta para el año 2020, Ecopetrol tenía previsto realizar la intervención de la unidad Amina I de la </w:t>
      </w:r>
      <w:r w:rsidRPr="00B52C53">
        <w:rPr>
          <w:rFonts w:ascii="Bookman Old Style" w:hAnsi="Bookman Old Style"/>
          <w:i/>
          <w:iCs/>
          <w:sz w:val="22"/>
          <w:szCs w:val="22"/>
          <w:lang w:val="es-CO"/>
        </w:rPr>
        <w:lastRenderedPageBreak/>
        <w:t>fuente Cusiana durante los días 3 a 23 de abril, hecho reflejado en las declaraciones de</w:t>
      </w:r>
      <w:r w:rsidR="00292D6A">
        <w:rPr>
          <w:rFonts w:ascii="Bookman Old Style" w:hAnsi="Bookman Old Style"/>
          <w:i/>
          <w:iCs/>
          <w:sz w:val="22"/>
          <w:szCs w:val="22"/>
          <w:lang w:val="es-CO"/>
        </w:rPr>
        <w:t xml:space="preserve"> </w:t>
      </w:r>
      <w:r w:rsidRPr="00B52C53">
        <w:rPr>
          <w:rFonts w:ascii="Bookman Old Style" w:hAnsi="Bookman Old Style"/>
          <w:i/>
          <w:iCs/>
          <w:sz w:val="22"/>
          <w:szCs w:val="22"/>
          <w:lang w:val="es-CO"/>
        </w:rPr>
        <w:t>producción con ocasión de la OPC para el primer semestre de 2020. Sin embargo,</w:t>
      </w:r>
      <w:r w:rsidR="006D1F23" w:rsidRPr="00B52C53">
        <w:rPr>
          <w:i/>
          <w:iCs/>
        </w:rPr>
        <w:t xml:space="preserve"> </w:t>
      </w:r>
      <w:r w:rsidR="006D1F23" w:rsidRPr="00B52C53">
        <w:rPr>
          <w:rFonts w:ascii="Bookman Old Style" w:hAnsi="Bookman Old Style"/>
          <w:i/>
          <w:iCs/>
          <w:sz w:val="22"/>
          <w:szCs w:val="22"/>
          <w:lang w:val="es-CO"/>
        </w:rPr>
        <w:t>Ecopetrol ha tenido que implementar medidas con el objetivo de minimizar el impacto del virus COVID-19 en sus operaciones.</w:t>
      </w:r>
    </w:p>
    <w:p w14:paraId="7CE2E9F6" w14:textId="77777777" w:rsidR="006D1F23" w:rsidRPr="00B52C53" w:rsidRDefault="006D1F23" w:rsidP="00B52C53">
      <w:pPr>
        <w:ind w:right="284"/>
        <w:contextualSpacing/>
        <w:jc w:val="both"/>
        <w:rPr>
          <w:rFonts w:ascii="Bookman Old Style" w:hAnsi="Bookman Old Style"/>
          <w:i/>
          <w:iCs/>
          <w:sz w:val="22"/>
          <w:szCs w:val="22"/>
          <w:lang w:val="es-CO"/>
        </w:rPr>
      </w:pPr>
    </w:p>
    <w:p w14:paraId="2FA897D6" w14:textId="003C3060" w:rsidR="00497F82" w:rsidRPr="00B52C53" w:rsidRDefault="006D1F23" w:rsidP="00B52C53">
      <w:pPr>
        <w:ind w:right="284"/>
        <w:contextualSpacing/>
        <w:jc w:val="both"/>
        <w:rPr>
          <w:rFonts w:ascii="Bookman Old Style" w:hAnsi="Bookman Old Style"/>
          <w:i/>
          <w:iCs/>
          <w:sz w:val="22"/>
          <w:szCs w:val="22"/>
          <w:lang w:val="es-CO"/>
        </w:rPr>
      </w:pPr>
      <w:r w:rsidRPr="00B52C53">
        <w:rPr>
          <w:rFonts w:ascii="Bookman Old Style" w:hAnsi="Bookman Old Style"/>
          <w:i/>
          <w:iCs/>
          <w:sz w:val="22"/>
          <w:szCs w:val="22"/>
          <w:lang w:val="es-CO"/>
        </w:rPr>
        <w:t>En específico, Ecopetrol debió considerar que ante un eventual caso confirmado o sospecha de COVID-19 durante la ejecución de los trabajos, en atención a los protocolos definidos por el Gobierno Nacional, se produciría el aislamiento de la</w:t>
      </w:r>
      <w:r w:rsidR="00497F82" w:rsidRPr="00B52C53">
        <w:rPr>
          <w:i/>
          <w:iCs/>
        </w:rPr>
        <w:t xml:space="preserve"> </w:t>
      </w:r>
      <w:r w:rsidR="00497F82" w:rsidRPr="00B52C53">
        <w:rPr>
          <w:rFonts w:ascii="Bookman Old Style" w:hAnsi="Bookman Old Style"/>
          <w:i/>
          <w:iCs/>
          <w:sz w:val="22"/>
          <w:szCs w:val="22"/>
          <w:lang w:val="es-CO"/>
        </w:rPr>
        <w:t>totalidad de los trabajadores asignados al mantenimiento, que corresponde a 284</w:t>
      </w:r>
      <w:r w:rsidR="000E0C6B">
        <w:rPr>
          <w:rFonts w:ascii="Bookman Old Style" w:hAnsi="Bookman Old Style"/>
          <w:i/>
          <w:iCs/>
          <w:sz w:val="22"/>
          <w:szCs w:val="22"/>
          <w:lang w:val="es-CO"/>
        </w:rPr>
        <w:t xml:space="preserve"> </w:t>
      </w:r>
      <w:r w:rsidR="00497F82" w:rsidRPr="00B52C53">
        <w:rPr>
          <w:rFonts w:ascii="Bookman Old Style" w:hAnsi="Bookman Old Style"/>
          <w:i/>
          <w:iCs/>
          <w:sz w:val="22"/>
          <w:szCs w:val="22"/>
          <w:lang w:val="es-CO"/>
        </w:rPr>
        <w:t>personas en el periodo de mayor demanda de mano de obra. Esto implicaría</w:t>
      </w:r>
      <w:r w:rsidR="004066B8" w:rsidRPr="00B52C53">
        <w:rPr>
          <w:rFonts w:ascii="Bookman Old Style" w:hAnsi="Bookman Old Style"/>
          <w:i/>
          <w:iCs/>
          <w:sz w:val="22"/>
          <w:szCs w:val="22"/>
          <w:lang w:val="es-CO"/>
        </w:rPr>
        <w:t xml:space="preserve"> </w:t>
      </w:r>
      <w:r w:rsidR="00497F82" w:rsidRPr="00B52C53">
        <w:rPr>
          <w:rFonts w:ascii="Bookman Old Style" w:hAnsi="Bookman Old Style"/>
          <w:i/>
          <w:iCs/>
          <w:sz w:val="22"/>
          <w:szCs w:val="22"/>
          <w:lang w:val="es-CO"/>
        </w:rPr>
        <w:t>suspender el mantenimiento por un periodo de al menos un mes mientras se</w:t>
      </w:r>
      <w:r w:rsidR="004066B8" w:rsidRPr="00B52C53">
        <w:rPr>
          <w:rFonts w:ascii="Bookman Old Style" w:hAnsi="Bookman Old Style"/>
          <w:i/>
          <w:iCs/>
          <w:sz w:val="22"/>
          <w:szCs w:val="22"/>
          <w:lang w:val="es-CO"/>
        </w:rPr>
        <w:t xml:space="preserve"> </w:t>
      </w:r>
      <w:r w:rsidR="00497F82" w:rsidRPr="00B52C53">
        <w:rPr>
          <w:rFonts w:ascii="Bookman Old Style" w:hAnsi="Bookman Old Style"/>
          <w:i/>
          <w:iCs/>
          <w:sz w:val="22"/>
          <w:szCs w:val="22"/>
          <w:lang w:val="es-CO"/>
        </w:rPr>
        <w:t>reemplaza el personal, situación que impediría entregar GLP según el plan inicial,</w:t>
      </w:r>
    </w:p>
    <w:p w14:paraId="71D5A8D5" w14:textId="77777777" w:rsidR="00497F82" w:rsidRPr="00B52C53" w:rsidRDefault="00497F82" w:rsidP="00B52C53">
      <w:pPr>
        <w:ind w:right="284"/>
        <w:contextualSpacing/>
        <w:jc w:val="both"/>
        <w:rPr>
          <w:rFonts w:ascii="Bookman Old Style" w:hAnsi="Bookman Old Style"/>
          <w:i/>
          <w:iCs/>
          <w:sz w:val="22"/>
          <w:szCs w:val="22"/>
          <w:lang w:val="es-CO"/>
        </w:rPr>
      </w:pPr>
      <w:r w:rsidRPr="00B52C53">
        <w:rPr>
          <w:rFonts w:ascii="Bookman Old Style" w:hAnsi="Bookman Old Style"/>
          <w:i/>
          <w:iCs/>
          <w:sz w:val="22"/>
          <w:szCs w:val="22"/>
          <w:lang w:val="es-CO"/>
        </w:rPr>
        <w:t>posponiendo las entregas por al menos un mes.</w:t>
      </w:r>
    </w:p>
    <w:p w14:paraId="2D39A6A7" w14:textId="77777777" w:rsidR="004066B8" w:rsidRPr="00B52C53" w:rsidRDefault="004066B8" w:rsidP="00B52C53">
      <w:pPr>
        <w:ind w:right="284"/>
        <w:contextualSpacing/>
        <w:jc w:val="both"/>
        <w:rPr>
          <w:rFonts w:ascii="Bookman Old Style" w:hAnsi="Bookman Old Style"/>
          <w:i/>
          <w:iCs/>
          <w:sz w:val="22"/>
          <w:szCs w:val="22"/>
          <w:lang w:val="es-CO"/>
        </w:rPr>
      </w:pPr>
    </w:p>
    <w:p w14:paraId="2CBAE725" w14:textId="77777777" w:rsidR="00497F82" w:rsidRPr="00B52C53" w:rsidRDefault="00497F82" w:rsidP="00B52C53">
      <w:pPr>
        <w:ind w:right="284"/>
        <w:contextualSpacing/>
        <w:jc w:val="both"/>
        <w:rPr>
          <w:rFonts w:ascii="Bookman Old Style" w:hAnsi="Bookman Old Style"/>
          <w:i/>
          <w:iCs/>
          <w:sz w:val="22"/>
          <w:szCs w:val="22"/>
          <w:lang w:val="es-CO"/>
        </w:rPr>
      </w:pPr>
      <w:r w:rsidRPr="00B52C53">
        <w:rPr>
          <w:rFonts w:ascii="Bookman Old Style" w:hAnsi="Bookman Old Style"/>
          <w:i/>
          <w:iCs/>
          <w:sz w:val="22"/>
          <w:szCs w:val="22"/>
          <w:lang w:val="es-CO"/>
        </w:rPr>
        <w:t>Teniendo en cuenta lo anterior, se hace necesario aplazar la parada de planta por</w:t>
      </w:r>
    </w:p>
    <w:p w14:paraId="1F0C523A" w14:textId="266DB46A" w:rsidR="00771E49" w:rsidRPr="00B52C53" w:rsidRDefault="00497F82" w:rsidP="00B52C53">
      <w:pPr>
        <w:ind w:right="284"/>
        <w:contextualSpacing/>
        <w:jc w:val="both"/>
        <w:rPr>
          <w:rFonts w:ascii="Bookman Old Style" w:hAnsi="Bookman Old Style"/>
          <w:i/>
          <w:iCs/>
          <w:sz w:val="22"/>
          <w:szCs w:val="22"/>
          <w:lang w:val="es-CO"/>
        </w:rPr>
      </w:pPr>
      <w:r w:rsidRPr="00B52C53">
        <w:rPr>
          <w:rFonts w:ascii="Bookman Old Style" w:hAnsi="Bookman Old Style"/>
          <w:i/>
          <w:iCs/>
          <w:sz w:val="22"/>
          <w:szCs w:val="22"/>
          <w:lang w:val="es-CO"/>
        </w:rPr>
        <w:t>un tiempo estimado de 90 días, sujeto en todo caso a un seguimiento y monitoreo</w:t>
      </w:r>
      <w:r w:rsidR="004066B8" w:rsidRPr="00B52C53">
        <w:rPr>
          <w:rFonts w:ascii="Bookman Old Style" w:hAnsi="Bookman Old Style"/>
          <w:i/>
          <w:iCs/>
          <w:sz w:val="22"/>
          <w:szCs w:val="22"/>
          <w:lang w:val="es-CO"/>
        </w:rPr>
        <w:t xml:space="preserve"> </w:t>
      </w:r>
      <w:r w:rsidRPr="00B52C53">
        <w:rPr>
          <w:rFonts w:ascii="Bookman Old Style" w:hAnsi="Bookman Old Style"/>
          <w:i/>
          <w:iCs/>
          <w:sz w:val="22"/>
          <w:szCs w:val="22"/>
          <w:lang w:val="es-CO"/>
        </w:rPr>
        <w:t>estricto de las condiciones operacionales de los equipos objeto de intervención.</w:t>
      </w:r>
      <w:r w:rsidR="004066B8" w:rsidRPr="00B52C53">
        <w:rPr>
          <w:rFonts w:ascii="Bookman Old Style" w:hAnsi="Bookman Old Style"/>
          <w:i/>
          <w:iCs/>
          <w:sz w:val="22"/>
          <w:szCs w:val="22"/>
          <w:lang w:val="es-CO"/>
        </w:rPr>
        <w:t xml:space="preserve"> </w:t>
      </w:r>
      <w:r w:rsidRPr="00B52C53">
        <w:rPr>
          <w:rFonts w:ascii="Bookman Old Style" w:hAnsi="Bookman Old Style"/>
          <w:i/>
          <w:iCs/>
          <w:sz w:val="22"/>
          <w:szCs w:val="22"/>
          <w:lang w:val="es-CO"/>
        </w:rPr>
        <w:t>Este aplazamiento implica el incremento en la producción de GLP con respecto a</w:t>
      </w:r>
      <w:r w:rsidR="004066B8" w:rsidRPr="00B52C53">
        <w:rPr>
          <w:rFonts w:ascii="Bookman Old Style" w:hAnsi="Bookman Old Style"/>
          <w:i/>
          <w:iCs/>
          <w:sz w:val="22"/>
          <w:szCs w:val="22"/>
          <w:lang w:val="es-CO"/>
        </w:rPr>
        <w:t xml:space="preserve"> </w:t>
      </w:r>
      <w:r w:rsidRPr="00B52C53">
        <w:rPr>
          <w:rFonts w:ascii="Bookman Old Style" w:hAnsi="Bookman Old Style"/>
          <w:i/>
          <w:iCs/>
          <w:sz w:val="22"/>
          <w:szCs w:val="22"/>
          <w:lang w:val="es-CO"/>
        </w:rPr>
        <w:t>las cantidades ofertadas y asignadas en el marco de la OPC 2020-I, como se</w:t>
      </w:r>
      <w:r w:rsidR="004066B8" w:rsidRPr="00B52C53">
        <w:rPr>
          <w:rFonts w:ascii="Bookman Old Style" w:hAnsi="Bookman Old Style"/>
          <w:i/>
          <w:iCs/>
          <w:sz w:val="22"/>
          <w:szCs w:val="22"/>
          <w:lang w:val="es-CO"/>
        </w:rPr>
        <w:t xml:space="preserve"> </w:t>
      </w:r>
      <w:r w:rsidRPr="00B52C53">
        <w:rPr>
          <w:rFonts w:ascii="Bookman Old Style" w:hAnsi="Bookman Old Style"/>
          <w:i/>
          <w:iCs/>
          <w:sz w:val="22"/>
          <w:szCs w:val="22"/>
          <w:lang w:val="es-CO"/>
        </w:rPr>
        <w:t>muestra en la Tabla:</w:t>
      </w:r>
    </w:p>
    <w:p w14:paraId="0B56086B" w14:textId="77777777" w:rsidR="00FE6F28" w:rsidRPr="00B52C53" w:rsidRDefault="00FE6F28" w:rsidP="00B52C53">
      <w:pPr>
        <w:ind w:right="284"/>
        <w:contextualSpacing/>
        <w:jc w:val="both"/>
        <w:rPr>
          <w:rFonts w:ascii="Bookman Old Style" w:hAnsi="Bookman Old Style"/>
          <w:i/>
          <w:iCs/>
          <w:sz w:val="22"/>
          <w:szCs w:val="22"/>
          <w:lang w:val="es-CO"/>
        </w:rPr>
      </w:pPr>
    </w:p>
    <w:p w14:paraId="5581095A" w14:textId="59F908C1" w:rsidR="00D1439F" w:rsidRPr="00B52C53" w:rsidRDefault="00FE6F28" w:rsidP="0035438E">
      <w:pPr>
        <w:ind w:right="284"/>
        <w:contextualSpacing/>
        <w:jc w:val="center"/>
        <w:rPr>
          <w:rFonts w:ascii="Bookman Old Style" w:hAnsi="Bookman Old Style"/>
          <w:i/>
          <w:iCs/>
          <w:sz w:val="22"/>
          <w:szCs w:val="22"/>
          <w:lang w:val="es-CO"/>
        </w:rPr>
      </w:pPr>
      <w:r w:rsidRPr="00B52C53">
        <w:rPr>
          <w:rFonts w:ascii="Bookman Old Style" w:hAnsi="Bookman Old Style"/>
          <w:i/>
          <w:iCs/>
          <w:noProof/>
          <w:sz w:val="22"/>
          <w:szCs w:val="22"/>
          <w:lang w:val="es-CO"/>
        </w:rPr>
        <w:drawing>
          <wp:inline distT="0" distB="0" distL="0" distR="0" wp14:anchorId="650A7AAC" wp14:editId="7E3E51DB">
            <wp:extent cx="4986655" cy="1042035"/>
            <wp:effectExtent l="0" t="0" r="4445"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86655" cy="1042035"/>
                    </a:xfrm>
                    <a:prstGeom prst="rect">
                      <a:avLst/>
                    </a:prstGeom>
                    <a:noFill/>
                    <a:ln>
                      <a:noFill/>
                    </a:ln>
                  </pic:spPr>
                </pic:pic>
              </a:graphicData>
            </a:graphic>
          </wp:inline>
        </w:drawing>
      </w:r>
    </w:p>
    <w:p w14:paraId="3A13F15A" w14:textId="23C82A94" w:rsidR="00C97B46" w:rsidRPr="00B52C53" w:rsidRDefault="00C97B46" w:rsidP="00B52C53">
      <w:pPr>
        <w:ind w:right="284"/>
        <w:contextualSpacing/>
        <w:jc w:val="both"/>
        <w:rPr>
          <w:rFonts w:ascii="Bookman Old Style" w:hAnsi="Bookman Old Style"/>
          <w:i/>
          <w:iCs/>
          <w:sz w:val="22"/>
          <w:szCs w:val="22"/>
          <w:lang w:val="es-CO"/>
        </w:rPr>
      </w:pPr>
      <w:r w:rsidRPr="00B52C53">
        <w:rPr>
          <w:rFonts w:ascii="Bookman Old Style" w:hAnsi="Bookman Old Style"/>
          <w:i/>
          <w:iCs/>
          <w:sz w:val="22"/>
          <w:szCs w:val="22"/>
          <w:lang w:val="es-CO"/>
        </w:rPr>
        <w:t>Así, Ecopetrol aumentará su oferta al mercado en 1.342 barriles por día calendario, respecto a lo declarado en el marco de la OPC para el primer semestre de 2020.</w:t>
      </w:r>
    </w:p>
    <w:p w14:paraId="7CD3479E" w14:textId="77777777" w:rsidR="00C97B46" w:rsidRPr="00B52C53" w:rsidRDefault="00C97B46" w:rsidP="00B52C53">
      <w:pPr>
        <w:ind w:right="284"/>
        <w:contextualSpacing/>
        <w:jc w:val="both"/>
        <w:rPr>
          <w:rFonts w:ascii="Bookman Old Style" w:hAnsi="Bookman Old Style"/>
          <w:i/>
          <w:iCs/>
          <w:sz w:val="22"/>
          <w:szCs w:val="22"/>
          <w:lang w:val="es-CO"/>
        </w:rPr>
      </w:pPr>
    </w:p>
    <w:p w14:paraId="2A1ED23A" w14:textId="1F4D8AD1" w:rsidR="00C97B46" w:rsidRPr="00B52C53" w:rsidRDefault="00C97B46" w:rsidP="00B52C53">
      <w:pPr>
        <w:ind w:right="284"/>
        <w:contextualSpacing/>
        <w:jc w:val="both"/>
        <w:rPr>
          <w:rFonts w:ascii="Bookman Old Style" w:hAnsi="Bookman Old Style"/>
          <w:i/>
          <w:iCs/>
          <w:sz w:val="22"/>
          <w:szCs w:val="22"/>
          <w:lang w:val="es-CO"/>
        </w:rPr>
      </w:pPr>
      <w:r w:rsidRPr="00B52C53">
        <w:rPr>
          <w:rFonts w:ascii="Bookman Old Style" w:hAnsi="Bookman Old Style"/>
          <w:i/>
          <w:iCs/>
          <w:sz w:val="22"/>
          <w:szCs w:val="22"/>
          <w:lang w:val="es-CO"/>
        </w:rPr>
        <w:t>Además, si se tuviera que realizar el proceso de asignación de producto mediante</w:t>
      </w:r>
    </w:p>
    <w:p w14:paraId="7B73CE50" w14:textId="77777777" w:rsidR="00C97B46" w:rsidRPr="00B52C53" w:rsidRDefault="00C97B46" w:rsidP="00B52C53">
      <w:pPr>
        <w:ind w:right="284"/>
        <w:contextualSpacing/>
        <w:jc w:val="both"/>
        <w:rPr>
          <w:rFonts w:ascii="Bookman Old Style" w:hAnsi="Bookman Old Style"/>
          <w:i/>
          <w:iCs/>
          <w:sz w:val="22"/>
          <w:szCs w:val="22"/>
          <w:lang w:val="es-CO"/>
        </w:rPr>
      </w:pPr>
      <w:r w:rsidRPr="00B52C53">
        <w:rPr>
          <w:rFonts w:ascii="Bookman Old Style" w:hAnsi="Bookman Old Style"/>
          <w:i/>
          <w:iCs/>
          <w:sz w:val="22"/>
          <w:szCs w:val="22"/>
          <w:lang w:val="es-CO"/>
        </w:rPr>
        <w:t>una OPC adicional, en aplicación de los artículos 13 y 14 de la Resolución CREG</w:t>
      </w:r>
    </w:p>
    <w:p w14:paraId="24BECBB3" w14:textId="77777777" w:rsidR="00C97B46" w:rsidRPr="00B52C53" w:rsidRDefault="00C97B46" w:rsidP="00B52C53">
      <w:pPr>
        <w:ind w:right="284"/>
        <w:contextualSpacing/>
        <w:jc w:val="both"/>
        <w:rPr>
          <w:rFonts w:ascii="Bookman Old Style" w:hAnsi="Bookman Old Style"/>
          <w:i/>
          <w:iCs/>
          <w:sz w:val="22"/>
          <w:szCs w:val="22"/>
          <w:lang w:val="es-CO"/>
        </w:rPr>
      </w:pPr>
      <w:r w:rsidRPr="00B52C53">
        <w:rPr>
          <w:rFonts w:ascii="Bookman Old Style" w:hAnsi="Bookman Old Style"/>
          <w:i/>
          <w:iCs/>
          <w:sz w:val="22"/>
          <w:szCs w:val="22"/>
          <w:lang w:val="es-CO"/>
        </w:rPr>
        <w:t>053 de 2011, no se alcanzarían a agotar todos los trámites administrativos que</w:t>
      </w:r>
    </w:p>
    <w:p w14:paraId="46995696" w14:textId="77777777" w:rsidR="00C97B46" w:rsidRPr="00B52C53" w:rsidRDefault="00C97B46" w:rsidP="00B52C53">
      <w:pPr>
        <w:ind w:right="284"/>
        <w:contextualSpacing/>
        <w:jc w:val="both"/>
        <w:rPr>
          <w:rFonts w:ascii="Bookman Old Style" w:hAnsi="Bookman Old Style"/>
          <w:i/>
          <w:iCs/>
          <w:sz w:val="22"/>
          <w:szCs w:val="22"/>
          <w:lang w:val="es-CO"/>
        </w:rPr>
      </w:pPr>
      <w:r w:rsidRPr="00B52C53">
        <w:rPr>
          <w:rFonts w:ascii="Bookman Old Style" w:hAnsi="Bookman Old Style"/>
          <w:i/>
          <w:iCs/>
          <w:sz w:val="22"/>
          <w:szCs w:val="22"/>
          <w:lang w:val="es-CO"/>
        </w:rPr>
        <w:t>este implica para la comercialización del producto a partir del 1 de abril.</w:t>
      </w:r>
    </w:p>
    <w:p w14:paraId="5ED464BB" w14:textId="77777777" w:rsidR="00C97B46" w:rsidRPr="00B52C53" w:rsidRDefault="00C97B46" w:rsidP="00B52C53">
      <w:pPr>
        <w:ind w:right="284"/>
        <w:contextualSpacing/>
        <w:jc w:val="both"/>
        <w:rPr>
          <w:rFonts w:ascii="Bookman Old Style" w:hAnsi="Bookman Old Style"/>
          <w:i/>
          <w:iCs/>
          <w:sz w:val="22"/>
          <w:szCs w:val="22"/>
          <w:lang w:val="es-CO"/>
        </w:rPr>
      </w:pPr>
    </w:p>
    <w:p w14:paraId="79BAE0D1" w14:textId="77777777" w:rsidR="00937F84" w:rsidRDefault="00C97B46" w:rsidP="00B52C53">
      <w:pPr>
        <w:ind w:right="284"/>
        <w:contextualSpacing/>
        <w:jc w:val="both"/>
        <w:rPr>
          <w:rFonts w:ascii="Bookman Old Style" w:hAnsi="Bookman Old Style"/>
          <w:i/>
          <w:iCs/>
          <w:sz w:val="22"/>
          <w:szCs w:val="22"/>
          <w:lang w:val="es-CO"/>
        </w:rPr>
      </w:pPr>
      <w:r w:rsidRPr="00B52C53">
        <w:rPr>
          <w:rFonts w:ascii="Bookman Old Style" w:hAnsi="Bookman Old Style"/>
          <w:i/>
          <w:iCs/>
          <w:sz w:val="22"/>
          <w:szCs w:val="22"/>
          <w:lang w:val="es-CO"/>
        </w:rPr>
        <w:t>Asimismo, en aplicación del parágrafo 1 del artículo 13, estas cantidades tendrían</w:t>
      </w:r>
      <w:r w:rsidR="00776F85">
        <w:rPr>
          <w:rFonts w:ascii="Bookman Old Style" w:hAnsi="Bookman Old Style"/>
          <w:i/>
          <w:iCs/>
          <w:sz w:val="22"/>
          <w:szCs w:val="22"/>
          <w:lang w:val="es-CO"/>
        </w:rPr>
        <w:t xml:space="preserve"> </w:t>
      </w:r>
      <w:r w:rsidRPr="00B52C53">
        <w:rPr>
          <w:rFonts w:ascii="Bookman Old Style" w:hAnsi="Bookman Old Style"/>
          <w:i/>
          <w:iCs/>
          <w:sz w:val="22"/>
          <w:szCs w:val="22"/>
          <w:lang w:val="es-CO"/>
        </w:rPr>
        <w:t>que comercializarse con un precio inferior al 50% del precio máximo regulado.</w:t>
      </w:r>
      <w:r w:rsidR="00937F84">
        <w:rPr>
          <w:rFonts w:ascii="Bookman Old Style" w:hAnsi="Bookman Old Style"/>
          <w:i/>
          <w:iCs/>
          <w:sz w:val="22"/>
          <w:szCs w:val="22"/>
          <w:lang w:val="es-CO"/>
        </w:rPr>
        <w:t xml:space="preserve"> (…)</w:t>
      </w:r>
    </w:p>
    <w:p w14:paraId="3A09C6CE" w14:textId="77777777" w:rsidR="00937F84" w:rsidRDefault="00937F84" w:rsidP="00B52C53">
      <w:pPr>
        <w:ind w:right="284"/>
        <w:contextualSpacing/>
        <w:jc w:val="both"/>
        <w:rPr>
          <w:rFonts w:ascii="Bookman Old Style" w:hAnsi="Bookman Old Style"/>
          <w:i/>
          <w:iCs/>
          <w:sz w:val="22"/>
          <w:szCs w:val="22"/>
          <w:lang w:val="es-CO"/>
        </w:rPr>
      </w:pPr>
    </w:p>
    <w:p w14:paraId="72CE74E3" w14:textId="77777777" w:rsidR="00CE349A" w:rsidRPr="00CE349A" w:rsidRDefault="00CE349A" w:rsidP="00CE349A">
      <w:pPr>
        <w:ind w:right="284"/>
        <w:contextualSpacing/>
        <w:jc w:val="both"/>
        <w:rPr>
          <w:rFonts w:ascii="Bookman Old Style" w:hAnsi="Bookman Old Style"/>
          <w:i/>
          <w:iCs/>
          <w:sz w:val="22"/>
          <w:szCs w:val="22"/>
          <w:lang w:val="es-CO"/>
        </w:rPr>
      </w:pPr>
      <w:r w:rsidRPr="00CE349A">
        <w:rPr>
          <w:rFonts w:ascii="Bookman Old Style" w:hAnsi="Bookman Old Style"/>
          <w:i/>
          <w:iCs/>
          <w:sz w:val="22"/>
          <w:szCs w:val="22"/>
          <w:lang w:val="es-CO"/>
        </w:rPr>
        <w:t>Disminución de la carga de las refinerías</w:t>
      </w:r>
    </w:p>
    <w:p w14:paraId="2DA1A1C5" w14:textId="77777777" w:rsidR="00CE349A" w:rsidRDefault="00CE349A" w:rsidP="00CE349A">
      <w:pPr>
        <w:ind w:right="284"/>
        <w:contextualSpacing/>
        <w:jc w:val="both"/>
        <w:rPr>
          <w:rFonts w:ascii="Bookman Old Style" w:hAnsi="Bookman Old Style"/>
          <w:i/>
          <w:iCs/>
          <w:sz w:val="22"/>
          <w:szCs w:val="22"/>
          <w:lang w:val="es-CO"/>
        </w:rPr>
      </w:pPr>
    </w:p>
    <w:p w14:paraId="5B8DF398" w14:textId="78A351CE" w:rsidR="00937F84" w:rsidRDefault="00CE349A" w:rsidP="00CE349A">
      <w:pPr>
        <w:ind w:right="284"/>
        <w:contextualSpacing/>
        <w:jc w:val="both"/>
        <w:rPr>
          <w:rFonts w:ascii="Bookman Old Style" w:hAnsi="Bookman Old Style"/>
          <w:i/>
          <w:iCs/>
          <w:sz w:val="22"/>
          <w:szCs w:val="22"/>
          <w:lang w:val="es-CO"/>
        </w:rPr>
      </w:pPr>
      <w:r w:rsidRPr="00CE349A">
        <w:rPr>
          <w:rFonts w:ascii="Bookman Old Style" w:hAnsi="Bookman Old Style"/>
          <w:i/>
          <w:iCs/>
          <w:sz w:val="22"/>
          <w:szCs w:val="22"/>
          <w:lang w:val="es-CO"/>
        </w:rPr>
        <w:t>Las medidas que se han adoptado en el mundo y, en particular en Colombia, con</w:t>
      </w:r>
      <w:r w:rsidR="00DB3BD7">
        <w:rPr>
          <w:rFonts w:ascii="Bookman Old Style" w:hAnsi="Bookman Old Style"/>
          <w:i/>
          <w:iCs/>
          <w:sz w:val="22"/>
          <w:szCs w:val="22"/>
          <w:lang w:val="es-CO"/>
        </w:rPr>
        <w:t xml:space="preserve"> </w:t>
      </w:r>
      <w:r w:rsidRPr="00CE349A">
        <w:rPr>
          <w:rFonts w:ascii="Bookman Old Style" w:hAnsi="Bookman Old Style"/>
          <w:i/>
          <w:iCs/>
          <w:sz w:val="22"/>
          <w:szCs w:val="22"/>
          <w:lang w:val="es-CO"/>
        </w:rPr>
        <w:t>el objetivo de disminuir el impacto del COVID-19, como por ejemplo, cierres de</w:t>
      </w:r>
      <w:r w:rsidR="00904A4D">
        <w:rPr>
          <w:rFonts w:ascii="Bookman Old Style" w:hAnsi="Bookman Old Style"/>
          <w:i/>
          <w:iCs/>
          <w:sz w:val="22"/>
          <w:szCs w:val="22"/>
          <w:lang w:val="es-CO"/>
        </w:rPr>
        <w:t xml:space="preserve"> </w:t>
      </w:r>
      <w:r w:rsidRPr="00CE349A">
        <w:rPr>
          <w:rFonts w:ascii="Bookman Old Style" w:hAnsi="Bookman Old Style"/>
          <w:i/>
          <w:iCs/>
          <w:sz w:val="22"/>
          <w:szCs w:val="22"/>
          <w:lang w:val="es-CO"/>
        </w:rPr>
        <w:t>frontera, simulacros y el aislamiento preventivo u obligatorio, se traducen en una</w:t>
      </w:r>
      <w:r w:rsidR="0016115D">
        <w:rPr>
          <w:rFonts w:ascii="Bookman Old Style" w:hAnsi="Bookman Old Style"/>
          <w:i/>
          <w:iCs/>
          <w:sz w:val="22"/>
          <w:szCs w:val="22"/>
          <w:lang w:val="es-CO"/>
        </w:rPr>
        <w:t xml:space="preserve"> </w:t>
      </w:r>
      <w:r w:rsidRPr="00CE349A">
        <w:rPr>
          <w:rFonts w:ascii="Bookman Old Style" w:hAnsi="Bookman Old Style"/>
          <w:i/>
          <w:iCs/>
          <w:sz w:val="22"/>
          <w:szCs w:val="22"/>
          <w:lang w:val="es-CO"/>
        </w:rPr>
        <w:t>reducción ostensible de la demanda de combustibles líquidos. En este contexto,</w:t>
      </w:r>
      <w:r w:rsidR="0016115D">
        <w:rPr>
          <w:rFonts w:ascii="Bookman Old Style" w:hAnsi="Bookman Old Style"/>
          <w:i/>
          <w:iCs/>
          <w:sz w:val="22"/>
          <w:szCs w:val="22"/>
          <w:lang w:val="es-CO"/>
        </w:rPr>
        <w:t xml:space="preserve"> </w:t>
      </w:r>
      <w:r w:rsidRPr="00CE349A">
        <w:rPr>
          <w:rFonts w:ascii="Bookman Old Style" w:hAnsi="Bookman Old Style"/>
          <w:i/>
          <w:iCs/>
          <w:sz w:val="22"/>
          <w:szCs w:val="22"/>
          <w:lang w:val="es-CO"/>
        </w:rPr>
        <w:t>Ecopetrol proyecta una reducción de 79% en la demanda de jet, 55% en la de</w:t>
      </w:r>
      <w:r w:rsidR="0016115D">
        <w:rPr>
          <w:rFonts w:ascii="Bookman Old Style" w:hAnsi="Bookman Old Style"/>
          <w:i/>
          <w:iCs/>
          <w:sz w:val="22"/>
          <w:szCs w:val="22"/>
          <w:lang w:val="es-CO"/>
        </w:rPr>
        <w:t xml:space="preserve"> </w:t>
      </w:r>
      <w:r w:rsidRPr="00CE349A">
        <w:rPr>
          <w:rFonts w:ascii="Bookman Old Style" w:hAnsi="Bookman Old Style"/>
          <w:i/>
          <w:iCs/>
          <w:sz w:val="22"/>
          <w:szCs w:val="22"/>
          <w:lang w:val="es-CO"/>
        </w:rPr>
        <w:t>gasolina y 42% en la de diésel respecto del plan operativo de las refinerías para el</w:t>
      </w:r>
      <w:r w:rsidR="0016115D">
        <w:rPr>
          <w:rFonts w:ascii="Bookman Old Style" w:hAnsi="Bookman Old Style"/>
          <w:i/>
          <w:iCs/>
          <w:sz w:val="22"/>
          <w:szCs w:val="22"/>
          <w:lang w:val="es-CO"/>
        </w:rPr>
        <w:t xml:space="preserve"> </w:t>
      </w:r>
      <w:r w:rsidRPr="00CE349A">
        <w:rPr>
          <w:rFonts w:ascii="Bookman Old Style" w:hAnsi="Bookman Old Style"/>
          <w:i/>
          <w:iCs/>
          <w:sz w:val="22"/>
          <w:szCs w:val="22"/>
          <w:lang w:val="es-CO"/>
        </w:rPr>
        <w:t>mes de abril de 2020</w:t>
      </w:r>
      <w:r w:rsidR="0016115D">
        <w:rPr>
          <w:rFonts w:ascii="Bookman Old Style" w:hAnsi="Bookman Old Style"/>
          <w:i/>
          <w:iCs/>
          <w:sz w:val="22"/>
          <w:szCs w:val="22"/>
          <w:lang w:val="es-CO"/>
        </w:rPr>
        <w:t xml:space="preserve"> (…)</w:t>
      </w:r>
    </w:p>
    <w:p w14:paraId="4130C60A" w14:textId="77777777" w:rsidR="00937F84" w:rsidRDefault="00937F84" w:rsidP="00B52C53">
      <w:pPr>
        <w:ind w:right="284"/>
        <w:contextualSpacing/>
        <w:jc w:val="both"/>
        <w:rPr>
          <w:rFonts w:ascii="Bookman Old Style" w:hAnsi="Bookman Old Style"/>
          <w:i/>
          <w:iCs/>
          <w:sz w:val="22"/>
          <w:szCs w:val="22"/>
          <w:lang w:val="es-CO"/>
        </w:rPr>
      </w:pPr>
    </w:p>
    <w:p w14:paraId="09A8DF40" w14:textId="4986D4B9" w:rsidR="004A353B" w:rsidRDefault="004A353B" w:rsidP="004A353B">
      <w:pPr>
        <w:ind w:right="284"/>
        <w:contextualSpacing/>
        <w:jc w:val="both"/>
        <w:rPr>
          <w:rFonts w:ascii="Bookman Old Style" w:hAnsi="Bookman Old Style"/>
          <w:i/>
          <w:iCs/>
          <w:sz w:val="22"/>
          <w:szCs w:val="22"/>
          <w:lang w:val="es-CO"/>
        </w:rPr>
      </w:pPr>
      <w:r w:rsidRPr="004A353B">
        <w:rPr>
          <w:rFonts w:ascii="Bookman Old Style" w:hAnsi="Bookman Old Style"/>
          <w:i/>
          <w:iCs/>
          <w:sz w:val="22"/>
          <w:szCs w:val="22"/>
          <w:lang w:val="es-CO"/>
        </w:rPr>
        <w:t>El menor consumo de combustibles ha generado disminuciones en la carga de</w:t>
      </w:r>
      <w:r>
        <w:rPr>
          <w:rFonts w:ascii="Bookman Old Style" w:hAnsi="Bookman Old Style"/>
          <w:i/>
          <w:iCs/>
          <w:sz w:val="22"/>
          <w:szCs w:val="22"/>
          <w:lang w:val="es-CO"/>
        </w:rPr>
        <w:t xml:space="preserve"> </w:t>
      </w:r>
      <w:r w:rsidRPr="004A353B">
        <w:rPr>
          <w:rFonts w:ascii="Bookman Old Style" w:hAnsi="Bookman Old Style"/>
          <w:i/>
          <w:iCs/>
          <w:sz w:val="22"/>
          <w:szCs w:val="22"/>
          <w:lang w:val="es-CO"/>
        </w:rPr>
        <w:t>crudo de las refinerías, y podría seguir reduciéndola. Así, se está reduciendo la</w:t>
      </w:r>
      <w:r>
        <w:rPr>
          <w:rFonts w:ascii="Bookman Old Style" w:hAnsi="Bookman Old Style"/>
          <w:i/>
          <w:iCs/>
          <w:sz w:val="22"/>
          <w:szCs w:val="22"/>
          <w:lang w:val="es-CO"/>
        </w:rPr>
        <w:t xml:space="preserve"> </w:t>
      </w:r>
      <w:r w:rsidRPr="004A353B">
        <w:rPr>
          <w:rFonts w:ascii="Bookman Old Style" w:hAnsi="Bookman Old Style"/>
          <w:i/>
          <w:iCs/>
          <w:sz w:val="22"/>
          <w:szCs w:val="22"/>
          <w:lang w:val="es-CO"/>
        </w:rPr>
        <w:t>producción de combustibles líquidos, incluido el GLP. A esto se suma el hecho de</w:t>
      </w:r>
      <w:r>
        <w:rPr>
          <w:rFonts w:ascii="Bookman Old Style" w:hAnsi="Bookman Old Style"/>
          <w:i/>
          <w:iCs/>
          <w:sz w:val="22"/>
          <w:szCs w:val="22"/>
          <w:lang w:val="es-CO"/>
        </w:rPr>
        <w:t xml:space="preserve"> </w:t>
      </w:r>
      <w:r w:rsidRPr="004A353B">
        <w:rPr>
          <w:rFonts w:ascii="Bookman Old Style" w:hAnsi="Bookman Old Style"/>
          <w:i/>
          <w:iCs/>
          <w:sz w:val="22"/>
          <w:szCs w:val="22"/>
          <w:lang w:val="es-CO"/>
        </w:rPr>
        <w:t>que ya no se cuenta con capacidad para almacenar inventarios. Por lo tanto,</w:t>
      </w:r>
      <w:r>
        <w:rPr>
          <w:rFonts w:ascii="Bookman Old Style" w:hAnsi="Bookman Old Style"/>
          <w:i/>
          <w:iCs/>
          <w:sz w:val="22"/>
          <w:szCs w:val="22"/>
          <w:lang w:val="es-CO"/>
        </w:rPr>
        <w:t xml:space="preserve"> </w:t>
      </w:r>
      <w:r w:rsidRPr="004A353B">
        <w:rPr>
          <w:rFonts w:ascii="Bookman Old Style" w:hAnsi="Bookman Old Style"/>
          <w:i/>
          <w:iCs/>
          <w:sz w:val="22"/>
          <w:szCs w:val="22"/>
          <w:lang w:val="es-CO"/>
        </w:rPr>
        <w:t>podrían afectarse los compromisos de las refinerías derivados de la OPC del</w:t>
      </w:r>
      <w:r>
        <w:rPr>
          <w:rFonts w:ascii="Bookman Old Style" w:hAnsi="Bookman Old Style"/>
          <w:i/>
          <w:iCs/>
          <w:sz w:val="22"/>
          <w:szCs w:val="22"/>
          <w:lang w:val="es-CO"/>
        </w:rPr>
        <w:t xml:space="preserve"> </w:t>
      </w:r>
      <w:r w:rsidRPr="004A353B">
        <w:rPr>
          <w:rFonts w:ascii="Bookman Old Style" w:hAnsi="Bookman Old Style"/>
          <w:i/>
          <w:iCs/>
          <w:sz w:val="22"/>
          <w:szCs w:val="22"/>
          <w:lang w:val="es-CO"/>
        </w:rPr>
        <w:t>semestre en curso.</w:t>
      </w:r>
    </w:p>
    <w:p w14:paraId="6E692B43" w14:textId="77777777" w:rsidR="004A353B" w:rsidRPr="004A353B" w:rsidRDefault="004A353B" w:rsidP="004A353B">
      <w:pPr>
        <w:ind w:right="284"/>
        <w:contextualSpacing/>
        <w:jc w:val="both"/>
        <w:rPr>
          <w:rFonts w:ascii="Bookman Old Style" w:hAnsi="Bookman Old Style"/>
          <w:i/>
          <w:iCs/>
          <w:sz w:val="22"/>
          <w:szCs w:val="22"/>
          <w:lang w:val="es-CO"/>
        </w:rPr>
      </w:pPr>
    </w:p>
    <w:p w14:paraId="797B1BDA" w14:textId="703B7088" w:rsidR="00937F84" w:rsidRDefault="004A353B" w:rsidP="004A353B">
      <w:pPr>
        <w:ind w:right="284"/>
        <w:contextualSpacing/>
        <w:jc w:val="both"/>
        <w:rPr>
          <w:rFonts w:ascii="Bookman Old Style" w:hAnsi="Bookman Old Style"/>
          <w:i/>
          <w:iCs/>
          <w:sz w:val="22"/>
          <w:szCs w:val="22"/>
          <w:lang w:val="es-CO"/>
        </w:rPr>
      </w:pPr>
      <w:r w:rsidRPr="004A353B">
        <w:rPr>
          <w:rFonts w:ascii="Bookman Old Style" w:hAnsi="Bookman Old Style"/>
          <w:i/>
          <w:iCs/>
          <w:sz w:val="22"/>
          <w:szCs w:val="22"/>
          <w:lang w:val="es-CO"/>
        </w:rPr>
        <w:t>En particular, se estima que el cumplimiento en el punto de entrega de la refinería</w:t>
      </w:r>
      <w:r>
        <w:rPr>
          <w:rFonts w:ascii="Bookman Old Style" w:hAnsi="Bookman Old Style"/>
          <w:i/>
          <w:iCs/>
          <w:sz w:val="22"/>
          <w:szCs w:val="22"/>
          <w:lang w:val="es-CO"/>
        </w:rPr>
        <w:t xml:space="preserve"> </w:t>
      </w:r>
      <w:r w:rsidRPr="004A353B">
        <w:rPr>
          <w:rFonts w:ascii="Bookman Old Style" w:hAnsi="Bookman Old Style"/>
          <w:i/>
          <w:iCs/>
          <w:sz w:val="22"/>
          <w:szCs w:val="22"/>
          <w:lang w:val="es-CO"/>
        </w:rPr>
        <w:t>de Cartagena sería del 84% durante el mes de marzo. Por otra parte, en el mes</w:t>
      </w:r>
      <w:r>
        <w:rPr>
          <w:rFonts w:ascii="Bookman Old Style" w:hAnsi="Bookman Old Style"/>
          <w:i/>
          <w:iCs/>
          <w:sz w:val="22"/>
          <w:szCs w:val="22"/>
          <w:lang w:val="es-CO"/>
        </w:rPr>
        <w:t xml:space="preserve"> </w:t>
      </w:r>
      <w:r w:rsidRPr="004A353B">
        <w:rPr>
          <w:rFonts w:ascii="Bookman Old Style" w:hAnsi="Bookman Old Style"/>
          <w:i/>
          <w:iCs/>
          <w:sz w:val="22"/>
          <w:szCs w:val="22"/>
          <w:lang w:val="es-CO"/>
        </w:rPr>
        <w:t>de abril el cumplimiento en los puntos de entrega de la refinería de Cartagena y</w:t>
      </w:r>
      <w:r>
        <w:rPr>
          <w:rFonts w:ascii="Bookman Old Style" w:hAnsi="Bookman Old Style"/>
          <w:i/>
          <w:iCs/>
          <w:sz w:val="22"/>
          <w:szCs w:val="22"/>
          <w:lang w:val="es-CO"/>
        </w:rPr>
        <w:t xml:space="preserve"> </w:t>
      </w:r>
      <w:r w:rsidRPr="004A353B">
        <w:rPr>
          <w:rFonts w:ascii="Bookman Old Style" w:hAnsi="Bookman Old Style"/>
          <w:i/>
          <w:iCs/>
          <w:sz w:val="22"/>
          <w:szCs w:val="22"/>
          <w:lang w:val="es-CO"/>
        </w:rPr>
        <w:t>de la Sociedad Polipropileno del Caribe sería de 66% y 77%, respectivamente.</w:t>
      </w:r>
    </w:p>
    <w:p w14:paraId="3673F1FF" w14:textId="77777777" w:rsidR="005F1318" w:rsidRDefault="005F1318" w:rsidP="004A353B">
      <w:pPr>
        <w:ind w:right="284"/>
        <w:contextualSpacing/>
        <w:jc w:val="both"/>
        <w:rPr>
          <w:rFonts w:ascii="Bookman Old Style" w:hAnsi="Bookman Old Style"/>
          <w:i/>
          <w:iCs/>
          <w:sz w:val="22"/>
          <w:szCs w:val="22"/>
          <w:lang w:val="es-CO"/>
        </w:rPr>
      </w:pPr>
    </w:p>
    <w:p w14:paraId="0EBACB1F" w14:textId="198C2AFB" w:rsidR="00C97B46" w:rsidRPr="00C97B46" w:rsidRDefault="005F1318" w:rsidP="00B52C53">
      <w:pPr>
        <w:ind w:right="284"/>
        <w:contextualSpacing/>
        <w:jc w:val="both"/>
        <w:rPr>
          <w:rFonts w:ascii="Bookman Old Style" w:hAnsi="Bookman Old Style"/>
          <w:sz w:val="22"/>
          <w:szCs w:val="22"/>
          <w:lang w:val="es-CO"/>
        </w:rPr>
      </w:pPr>
      <w:r w:rsidRPr="005F1318">
        <w:rPr>
          <w:rFonts w:ascii="Bookman Old Style" w:hAnsi="Bookman Old Style"/>
          <w:i/>
          <w:iCs/>
          <w:sz w:val="22"/>
          <w:szCs w:val="22"/>
          <w:lang w:val="es-CO"/>
        </w:rPr>
        <w:t>Sin embargo, es posible que otras fuentes cuenten con volúmenes de respaldo</w:t>
      </w:r>
      <w:r>
        <w:rPr>
          <w:rFonts w:ascii="Bookman Old Style" w:hAnsi="Bookman Old Style"/>
          <w:i/>
          <w:iCs/>
          <w:sz w:val="22"/>
          <w:szCs w:val="22"/>
          <w:lang w:val="es-CO"/>
        </w:rPr>
        <w:t xml:space="preserve"> </w:t>
      </w:r>
      <w:r w:rsidRPr="005F1318">
        <w:rPr>
          <w:rFonts w:ascii="Bookman Old Style" w:hAnsi="Bookman Old Style"/>
          <w:i/>
          <w:iCs/>
          <w:sz w:val="22"/>
          <w:szCs w:val="22"/>
          <w:lang w:val="es-CO"/>
        </w:rPr>
        <w:t>operativo o con excedentes que podrían utilizarse atender las necesidades de la</w:t>
      </w:r>
      <w:r>
        <w:rPr>
          <w:rFonts w:ascii="Bookman Old Style" w:hAnsi="Bookman Old Style"/>
          <w:i/>
          <w:iCs/>
          <w:sz w:val="22"/>
          <w:szCs w:val="22"/>
          <w:lang w:val="es-CO"/>
        </w:rPr>
        <w:t xml:space="preserve"> </w:t>
      </w:r>
      <w:r w:rsidRPr="005F1318">
        <w:rPr>
          <w:rFonts w:ascii="Bookman Old Style" w:hAnsi="Bookman Old Style"/>
          <w:i/>
          <w:iCs/>
          <w:sz w:val="22"/>
          <w:szCs w:val="22"/>
          <w:lang w:val="es-CO"/>
        </w:rPr>
        <w:t>demanda. Al respecto, la regulación vigente no permite que el comercializador</w:t>
      </w:r>
      <w:r w:rsidR="005910D0">
        <w:rPr>
          <w:rFonts w:ascii="Bookman Old Style" w:hAnsi="Bookman Old Style"/>
          <w:i/>
          <w:iCs/>
          <w:sz w:val="22"/>
          <w:szCs w:val="22"/>
          <w:lang w:val="es-CO"/>
        </w:rPr>
        <w:t xml:space="preserve"> </w:t>
      </w:r>
      <w:r w:rsidRPr="005F1318">
        <w:rPr>
          <w:rFonts w:ascii="Bookman Old Style" w:hAnsi="Bookman Old Style"/>
          <w:i/>
          <w:iCs/>
          <w:sz w:val="22"/>
          <w:szCs w:val="22"/>
          <w:lang w:val="es-CO"/>
        </w:rPr>
        <w:t>mayorista cumpla con los compromisos contractuales de una fuente con producto</w:t>
      </w:r>
      <w:r w:rsidR="005910D0">
        <w:rPr>
          <w:rFonts w:ascii="Bookman Old Style" w:hAnsi="Bookman Old Style"/>
          <w:i/>
          <w:iCs/>
          <w:sz w:val="22"/>
          <w:szCs w:val="22"/>
          <w:lang w:val="es-CO"/>
        </w:rPr>
        <w:t xml:space="preserve"> </w:t>
      </w:r>
      <w:r w:rsidRPr="005F1318">
        <w:rPr>
          <w:rFonts w:ascii="Bookman Old Style" w:hAnsi="Bookman Old Style"/>
          <w:i/>
          <w:iCs/>
          <w:sz w:val="22"/>
          <w:szCs w:val="22"/>
          <w:lang w:val="es-CO"/>
        </w:rPr>
        <w:t>de otra. Lo anterior bajo la interpretación de que los volúmenes adicionales con</w:t>
      </w:r>
      <w:r w:rsidR="005910D0">
        <w:rPr>
          <w:rFonts w:ascii="Bookman Old Style" w:hAnsi="Bookman Old Style"/>
          <w:i/>
          <w:iCs/>
          <w:sz w:val="22"/>
          <w:szCs w:val="22"/>
          <w:lang w:val="es-CO"/>
        </w:rPr>
        <w:t xml:space="preserve"> </w:t>
      </w:r>
      <w:r w:rsidRPr="005F1318">
        <w:rPr>
          <w:rFonts w:ascii="Bookman Old Style" w:hAnsi="Bookman Old Style"/>
          <w:i/>
          <w:iCs/>
          <w:sz w:val="22"/>
          <w:szCs w:val="22"/>
          <w:lang w:val="es-CO"/>
        </w:rPr>
        <w:t>los que cuente una fuente se deben comercializar mediante OPC adicionales.</w:t>
      </w:r>
      <w:r w:rsidR="002D42B1" w:rsidRPr="00B52C53">
        <w:rPr>
          <w:rFonts w:ascii="Bookman Old Style" w:hAnsi="Bookman Old Style"/>
          <w:i/>
          <w:iCs/>
          <w:sz w:val="22"/>
          <w:szCs w:val="22"/>
          <w:lang w:val="es-CO"/>
        </w:rPr>
        <w:t>”</w:t>
      </w:r>
    </w:p>
    <w:p w14:paraId="7C4305A0" w14:textId="77777777" w:rsidR="00C97B46" w:rsidRPr="00C07899" w:rsidRDefault="00C97B46" w:rsidP="00C07899">
      <w:pPr>
        <w:ind w:left="0"/>
        <w:contextualSpacing/>
        <w:jc w:val="both"/>
        <w:rPr>
          <w:rFonts w:ascii="Bookman Old Style" w:hAnsi="Bookman Old Style"/>
          <w:lang w:val="es-CO"/>
        </w:rPr>
      </w:pPr>
    </w:p>
    <w:p w14:paraId="1BD967FD" w14:textId="087FDEC5" w:rsidR="008514CB" w:rsidRDefault="0043550D" w:rsidP="008514CB">
      <w:pPr>
        <w:ind w:left="0"/>
        <w:contextualSpacing/>
        <w:jc w:val="both"/>
        <w:rPr>
          <w:rFonts w:ascii="Bookman Old Style" w:hAnsi="Bookman Old Style"/>
          <w:lang w:val="es-CO"/>
        </w:rPr>
      </w:pPr>
      <w:r>
        <w:rPr>
          <w:rFonts w:ascii="Bookman Old Style" w:hAnsi="Bookman Old Style"/>
          <w:lang w:val="es-CO"/>
        </w:rPr>
        <w:t>En ese mismo sentido, m</w:t>
      </w:r>
      <w:r w:rsidR="008514CB" w:rsidRPr="00C07899">
        <w:rPr>
          <w:rFonts w:ascii="Bookman Old Style" w:hAnsi="Bookman Old Style"/>
          <w:lang w:val="es-CO"/>
        </w:rPr>
        <w:t>ediante comunicaci</w:t>
      </w:r>
      <w:r w:rsidR="00F91D23">
        <w:rPr>
          <w:rFonts w:ascii="Bookman Old Style" w:hAnsi="Bookman Old Style"/>
          <w:lang w:val="es-CO"/>
        </w:rPr>
        <w:t>ón</w:t>
      </w:r>
      <w:r w:rsidR="008514CB" w:rsidRPr="00C07899">
        <w:rPr>
          <w:rFonts w:ascii="Bookman Old Style" w:hAnsi="Bookman Old Style"/>
          <w:lang w:val="es-CO"/>
        </w:rPr>
        <w:t xml:space="preserve"> </w:t>
      </w:r>
      <w:r w:rsidR="008514CB">
        <w:rPr>
          <w:rFonts w:ascii="Bookman Old Style" w:hAnsi="Bookman Old Style"/>
          <w:lang w:val="es-CO"/>
        </w:rPr>
        <w:t>de</w:t>
      </w:r>
      <w:r w:rsidR="006503F5">
        <w:rPr>
          <w:rFonts w:ascii="Bookman Old Style" w:hAnsi="Bookman Old Style"/>
          <w:lang w:val="es-CO"/>
        </w:rPr>
        <w:t>l</w:t>
      </w:r>
      <w:r w:rsidR="008514CB">
        <w:rPr>
          <w:rFonts w:ascii="Bookman Old Style" w:hAnsi="Bookman Old Style"/>
          <w:lang w:val="es-CO"/>
        </w:rPr>
        <w:t xml:space="preserve"> 2</w:t>
      </w:r>
      <w:r w:rsidR="000002E7">
        <w:rPr>
          <w:rFonts w:ascii="Bookman Old Style" w:hAnsi="Bookman Old Style"/>
          <w:lang w:val="es-CO"/>
        </w:rPr>
        <w:t>2</w:t>
      </w:r>
      <w:r w:rsidR="008514CB">
        <w:rPr>
          <w:rFonts w:ascii="Bookman Old Style" w:hAnsi="Bookman Old Style"/>
          <w:lang w:val="es-CO"/>
        </w:rPr>
        <w:t xml:space="preserve"> </w:t>
      </w:r>
      <w:r w:rsidR="0083172E">
        <w:rPr>
          <w:rFonts w:ascii="Bookman Old Style" w:hAnsi="Bookman Old Style"/>
          <w:lang w:val="es-CO"/>
        </w:rPr>
        <w:t xml:space="preserve">de marzo </w:t>
      </w:r>
      <w:r w:rsidR="008514CB">
        <w:rPr>
          <w:rFonts w:ascii="Bookman Old Style" w:hAnsi="Bookman Old Style"/>
          <w:lang w:val="es-CO"/>
        </w:rPr>
        <w:t>de 2020</w:t>
      </w:r>
      <w:r w:rsidR="00BE088C">
        <w:rPr>
          <w:rFonts w:ascii="Bookman Old Style" w:hAnsi="Bookman Old Style"/>
          <w:lang w:val="es-CO"/>
        </w:rPr>
        <w:t>,</w:t>
      </w:r>
      <w:r w:rsidR="008514CB">
        <w:rPr>
          <w:rFonts w:ascii="Bookman Old Style" w:hAnsi="Bookman Old Style"/>
          <w:lang w:val="es-CO"/>
        </w:rPr>
        <w:t xml:space="preserve"> </w:t>
      </w:r>
      <w:r w:rsidR="000002E7">
        <w:rPr>
          <w:rFonts w:ascii="Bookman Old Style" w:hAnsi="Bookman Old Style"/>
          <w:lang w:val="es-CO"/>
        </w:rPr>
        <w:t xml:space="preserve">la Asociación Colombiana de Gas, GASNOVA, </w:t>
      </w:r>
      <w:r w:rsidR="008514CB">
        <w:rPr>
          <w:rFonts w:ascii="Bookman Old Style" w:hAnsi="Bookman Old Style"/>
          <w:lang w:val="es-CO"/>
        </w:rPr>
        <w:t>expuso lo siguiente:</w:t>
      </w:r>
    </w:p>
    <w:p w14:paraId="3F61BEFE" w14:textId="77777777" w:rsidR="00097341" w:rsidRPr="004E2959" w:rsidRDefault="00097341" w:rsidP="008514CB">
      <w:pPr>
        <w:ind w:left="0"/>
        <w:contextualSpacing/>
        <w:jc w:val="both"/>
        <w:rPr>
          <w:rFonts w:ascii="Bookman Old Style" w:hAnsi="Bookman Old Style"/>
          <w:lang w:val="es-CO"/>
        </w:rPr>
      </w:pPr>
    </w:p>
    <w:p w14:paraId="2F3FC45A" w14:textId="4BDB0F24" w:rsidR="00097341" w:rsidRDefault="00097341" w:rsidP="00097341">
      <w:pPr>
        <w:contextualSpacing/>
        <w:jc w:val="both"/>
        <w:rPr>
          <w:rFonts w:ascii="Bookman Old Style" w:hAnsi="Bookman Old Style"/>
          <w:i/>
          <w:iCs/>
          <w:sz w:val="22"/>
          <w:szCs w:val="22"/>
          <w:lang w:val="es-CO"/>
        </w:rPr>
      </w:pPr>
      <w:r>
        <w:rPr>
          <w:rFonts w:ascii="Bookman Old Style" w:hAnsi="Bookman Old Style"/>
          <w:i/>
          <w:iCs/>
          <w:sz w:val="22"/>
          <w:szCs w:val="22"/>
          <w:lang w:val="es-CO"/>
        </w:rPr>
        <w:t>“</w:t>
      </w:r>
      <w:r w:rsidRPr="00097341">
        <w:rPr>
          <w:rFonts w:ascii="Bookman Old Style" w:hAnsi="Bookman Old Style"/>
          <w:i/>
          <w:iCs/>
          <w:sz w:val="22"/>
          <w:szCs w:val="22"/>
          <w:lang w:val="es-CO"/>
        </w:rPr>
        <w:t>Mediante el análisis de los potenciales impactos, que se derivan de la situación actual que afronta</w:t>
      </w:r>
      <w:r>
        <w:rPr>
          <w:rFonts w:ascii="Bookman Old Style" w:hAnsi="Bookman Old Style"/>
          <w:i/>
          <w:iCs/>
          <w:sz w:val="22"/>
          <w:szCs w:val="22"/>
          <w:lang w:val="es-CO"/>
        </w:rPr>
        <w:t xml:space="preserve"> </w:t>
      </w:r>
      <w:r w:rsidRPr="00097341">
        <w:rPr>
          <w:rFonts w:ascii="Bookman Old Style" w:hAnsi="Bookman Old Style"/>
          <w:i/>
          <w:iCs/>
          <w:sz w:val="22"/>
          <w:szCs w:val="22"/>
          <w:lang w:val="es-CO"/>
        </w:rPr>
        <w:t>el país, con ocasión de la pandemia mundial que nos golpea, hemos concluido que nuestras</w:t>
      </w:r>
      <w:r w:rsidR="006503F5">
        <w:rPr>
          <w:rFonts w:ascii="Bookman Old Style" w:hAnsi="Bookman Old Style"/>
          <w:i/>
          <w:iCs/>
          <w:sz w:val="22"/>
          <w:szCs w:val="22"/>
          <w:lang w:val="es-CO"/>
        </w:rPr>
        <w:t xml:space="preserve"> </w:t>
      </w:r>
      <w:r w:rsidRPr="00097341">
        <w:rPr>
          <w:rFonts w:ascii="Bookman Old Style" w:hAnsi="Bookman Old Style"/>
          <w:i/>
          <w:iCs/>
          <w:sz w:val="22"/>
          <w:szCs w:val="22"/>
          <w:lang w:val="es-CO"/>
        </w:rPr>
        <w:t>empresas y, por ende, la prestación del servicio a los usuarios finales, pueden verse seriamente</w:t>
      </w:r>
      <w:r w:rsidR="0083172E">
        <w:rPr>
          <w:rFonts w:ascii="Bookman Old Style" w:hAnsi="Bookman Old Style"/>
          <w:i/>
          <w:iCs/>
          <w:sz w:val="22"/>
          <w:szCs w:val="22"/>
          <w:lang w:val="es-CO"/>
        </w:rPr>
        <w:t xml:space="preserve"> </w:t>
      </w:r>
      <w:r w:rsidRPr="00097341">
        <w:rPr>
          <w:rFonts w:ascii="Bookman Old Style" w:hAnsi="Bookman Old Style"/>
          <w:i/>
          <w:iCs/>
          <w:sz w:val="22"/>
          <w:szCs w:val="22"/>
          <w:lang w:val="es-CO"/>
        </w:rPr>
        <w:t>afectadas por las consecuencias de estos eventos. Con el propósito de tener alguna flexibilidad para</w:t>
      </w:r>
      <w:r w:rsidR="00230B05">
        <w:rPr>
          <w:rFonts w:ascii="Bookman Old Style" w:hAnsi="Bookman Old Style"/>
          <w:i/>
          <w:iCs/>
          <w:sz w:val="22"/>
          <w:szCs w:val="22"/>
          <w:lang w:val="es-CO"/>
        </w:rPr>
        <w:t xml:space="preserve"> </w:t>
      </w:r>
      <w:r w:rsidRPr="00097341">
        <w:rPr>
          <w:rFonts w:ascii="Bookman Old Style" w:hAnsi="Bookman Old Style"/>
          <w:i/>
          <w:iCs/>
          <w:sz w:val="22"/>
          <w:szCs w:val="22"/>
          <w:lang w:val="es-CO"/>
        </w:rPr>
        <w:t>el manejo de la crisis y mitigar sus efectos, solicitamos el apoyo gubernamental para modificar</w:t>
      </w:r>
      <w:r w:rsidR="00230B05">
        <w:rPr>
          <w:rFonts w:ascii="Bookman Old Style" w:hAnsi="Bookman Old Style"/>
          <w:i/>
          <w:iCs/>
          <w:sz w:val="22"/>
          <w:szCs w:val="22"/>
          <w:lang w:val="es-CO"/>
        </w:rPr>
        <w:t xml:space="preserve"> </w:t>
      </w:r>
      <w:r w:rsidRPr="00097341">
        <w:rPr>
          <w:rFonts w:ascii="Bookman Old Style" w:hAnsi="Bookman Old Style"/>
          <w:i/>
          <w:iCs/>
          <w:sz w:val="22"/>
          <w:szCs w:val="22"/>
          <w:lang w:val="es-CO"/>
        </w:rPr>
        <w:t>algunas condiciones normativas y regulatorias.</w:t>
      </w:r>
    </w:p>
    <w:p w14:paraId="23357218" w14:textId="77777777" w:rsidR="00230B05" w:rsidRPr="00097341" w:rsidRDefault="00230B05" w:rsidP="00097341">
      <w:pPr>
        <w:contextualSpacing/>
        <w:jc w:val="both"/>
        <w:rPr>
          <w:rFonts w:ascii="Bookman Old Style" w:hAnsi="Bookman Old Style"/>
          <w:i/>
          <w:iCs/>
          <w:sz w:val="22"/>
          <w:szCs w:val="22"/>
          <w:lang w:val="es-CO"/>
        </w:rPr>
      </w:pPr>
    </w:p>
    <w:p w14:paraId="5B6F4C5C" w14:textId="389E12F5" w:rsidR="008514CB" w:rsidRDefault="00097341" w:rsidP="00097341">
      <w:pPr>
        <w:contextualSpacing/>
        <w:jc w:val="both"/>
        <w:rPr>
          <w:rFonts w:ascii="Bookman Old Style" w:hAnsi="Bookman Old Style"/>
          <w:i/>
          <w:iCs/>
          <w:sz w:val="22"/>
          <w:szCs w:val="22"/>
          <w:lang w:val="es-CO"/>
        </w:rPr>
      </w:pPr>
      <w:r w:rsidRPr="00097341">
        <w:rPr>
          <w:rFonts w:ascii="Bookman Old Style" w:hAnsi="Bookman Old Style"/>
          <w:i/>
          <w:iCs/>
          <w:sz w:val="22"/>
          <w:szCs w:val="22"/>
          <w:lang w:val="es-CO"/>
        </w:rPr>
        <w:t>En este sentido, ponemos a su consideración los asuntos que hemos identificado, para que sean</w:t>
      </w:r>
      <w:r w:rsidR="00230B05">
        <w:rPr>
          <w:rFonts w:ascii="Bookman Old Style" w:hAnsi="Bookman Old Style"/>
          <w:i/>
          <w:iCs/>
          <w:sz w:val="22"/>
          <w:szCs w:val="22"/>
          <w:lang w:val="es-CO"/>
        </w:rPr>
        <w:t xml:space="preserve"> </w:t>
      </w:r>
      <w:r w:rsidRPr="00097341">
        <w:rPr>
          <w:rFonts w:ascii="Bookman Old Style" w:hAnsi="Bookman Old Style"/>
          <w:i/>
          <w:iCs/>
          <w:sz w:val="22"/>
          <w:szCs w:val="22"/>
          <w:lang w:val="es-CO"/>
        </w:rPr>
        <w:t>evaluados por la entidad gubernamental que corresponda:</w:t>
      </w:r>
      <w:r w:rsidR="00230B05">
        <w:rPr>
          <w:rFonts w:ascii="Bookman Old Style" w:hAnsi="Bookman Old Style"/>
          <w:i/>
          <w:iCs/>
          <w:sz w:val="22"/>
          <w:szCs w:val="22"/>
          <w:lang w:val="es-CO"/>
        </w:rPr>
        <w:t xml:space="preserve"> (…)</w:t>
      </w:r>
    </w:p>
    <w:p w14:paraId="6D6A7CD6" w14:textId="77777777" w:rsidR="00230B05" w:rsidRDefault="00230B05" w:rsidP="00097341">
      <w:pPr>
        <w:contextualSpacing/>
        <w:jc w:val="both"/>
        <w:rPr>
          <w:rFonts w:ascii="Bookman Old Style" w:hAnsi="Bookman Old Style"/>
          <w:i/>
          <w:iCs/>
          <w:sz w:val="22"/>
          <w:szCs w:val="22"/>
          <w:lang w:val="es-CO"/>
        </w:rPr>
      </w:pPr>
    </w:p>
    <w:p w14:paraId="32D95A49" w14:textId="70A61240" w:rsidR="00230B05" w:rsidRDefault="0022168B" w:rsidP="0022168B">
      <w:pPr>
        <w:contextualSpacing/>
        <w:jc w:val="both"/>
        <w:rPr>
          <w:rFonts w:ascii="Bookman Old Style" w:hAnsi="Bookman Old Style"/>
          <w:i/>
          <w:iCs/>
          <w:sz w:val="22"/>
          <w:szCs w:val="22"/>
          <w:lang w:val="es-CO"/>
        </w:rPr>
      </w:pPr>
      <w:r w:rsidRPr="0022168B">
        <w:rPr>
          <w:rFonts w:ascii="Bookman Old Style" w:hAnsi="Bookman Old Style"/>
          <w:i/>
          <w:iCs/>
          <w:sz w:val="22"/>
          <w:szCs w:val="22"/>
          <w:lang w:val="es-CO"/>
        </w:rPr>
        <w:t>Dar a Ecopetrol flexibilidad en el punto de entrega de producto. Con el propósito de asegurar</w:t>
      </w:r>
      <w:r>
        <w:rPr>
          <w:rFonts w:ascii="Bookman Old Style" w:hAnsi="Bookman Old Style"/>
          <w:i/>
          <w:iCs/>
          <w:sz w:val="22"/>
          <w:szCs w:val="22"/>
          <w:lang w:val="es-CO"/>
        </w:rPr>
        <w:t xml:space="preserve"> </w:t>
      </w:r>
      <w:r w:rsidRPr="0022168B">
        <w:rPr>
          <w:rFonts w:ascii="Bookman Old Style" w:hAnsi="Bookman Old Style"/>
          <w:i/>
          <w:iCs/>
          <w:sz w:val="22"/>
          <w:szCs w:val="22"/>
          <w:lang w:val="es-CO"/>
        </w:rPr>
        <w:t>la entrega de la mayor cantidad posible de GLP que Ecopetrol destina al mercado,</w:t>
      </w:r>
      <w:r>
        <w:rPr>
          <w:rFonts w:ascii="Bookman Old Style" w:hAnsi="Bookman Old Style"/>
          <w:i/>
          <w:iCs/>
          <w:sz w:val="22"/>
          <w:szCs w:val="22"/>
          <w:lang w:val="es-CO"/>
        </w:rPr>
        <w:t xml:space="preserve"> </w:t>
      </w:r>
      <w:r w:rsidRPr="0022168B">
        <w:rPr>
          <w:rFonts w:ascii="Bookman Old Style" w:hAnsi="Bookman Old Style"/>
          <w:i/>
          <w:iCs/>
          <w:sz w:val="22"/>
          <w:szCs w:val="22"/>
          <w:lang w:val="es-CO"/>
        </w:rPr>
        <w:t>proponemos que Ecopetrol pueda contar con la flexibilidad de entregar producto en</w:t>
      </w:r>
      <w:r>
        <w:rPr>
          <w:rFonts w:ascii="Bookman Old Style" w:hAnsi="Bookman Old Style"/>
          <w:i/>
          <w:iCs/>
          <w:sz w:val="22"/>
          <w:szCs w:val="22"/>
          <w:lang w:val="es-CO"/>
        </w:rPr>
        <w:t xml:space="preserve"> </w:t>
      </w:r>
      <w:r w:rsidRPr="0022168B">
        <w:rPr>
          <w:rFonts w:ascii="Bookman Old Style" w:hAnsi="Bookman Old Style"/>
          <w:i/>
          <w:iCs/>
          <w:sz w:val="22"/>
          <w:szCs w:val="22"/>
          <w:lang w:val="es-CO"/>
        </w:rPr>
        <w:t>diferentes campos o refinerías a los inicialmente asignados por OPC, durante la emergencia</w:t>
      </w:r>
      <w:r>
        <w:rPr>
          <w:rFonts w:ascii="Bookman Old Style" w:hAnsi="Bookman Old Style"/>
          <w:i/>
          <w:iCs/>
          <w:sz w:val="22"/>
          <w:szCs w:val="22"/>
          <w:lang w:val="es-CO"/>
        </w:rPr>
        <w:t xml:space="preserve"> </w:t>
      </w:r>
      <w:r w:rsidRPr="0022168B">
        <w:rPr>
          <w:rFonts w:ascii="Bookman Old Style" w:hAnsi="Bookman Old Style"/>
          <w:i/>
          <w:iCs/>
          <w:sz w:val="22"/>
          <w:szCs w:val="22"/>
          <w:lang w:val="es-CO"/>
        </w:rPr>
        <w:t>sanitaria, manteniendo las condiciones de precio de la fuente originalmente contratada</w:t>
      </w:r>
      <w:r>
        <w:rPr>
          <w:rFonts w:ascii="Bookman Old Style" w:hAnsi="Bookman Old Style"/>
          <w:i/>
          <w:iCs/>
          <w:sz w:val="22"/>
          <w:szCs w:val="22"/>
          <w:lang w:val="es-CO"/>
        </w:rPr>
        <w:t xml:space="preserve">. </w:t>
      </w:r>
      <w:r w:rsidR="003B38D9">
        <w:rPr>
          <w:rFonts w:ascii="Bookman Old Style" w:hAnsi="Bookman Old Style"/>
          <w:i/>
          <w:iCs/>
          <w:sz w:val="22"/>
          <w:szCs w:val="22"/>
          <w:lang w:val="es-CO"/>
        </w:rPr>
        <w:t>(…)</w:t>
      </w:r>
    </w:p>
    <w:p w14:paraId="45DBCE60" w14:textId="77777777" w:rsidR="003B38D9" w:rsidRDefault="003B38D9" w:rsidP="0022168B">
      <w:pPr>
        <w:contextualSpacing/>
        <w:jc w:val="both"/>
        <w:rPr>
          <w:rFonts w:ascii="Bookman Old Style" w:hAnsi="Bookman Old Style"/>
          <w:i/>
          <w:iCs/>
          <w:sz w:val="22"/>
          <w:szCs w:val="22"/>
          <w:lang w:val="es-CO"/>
        </w:rPr>
      </w:pPr>
    </w:p>
    <w:p w14:paraId="4FAE7E86" w14:textId="4ECED0BA" w:rsidR="003B38D9" w:rsidRDefault="002E3251" w:rsidP="002E3251">
      <w:pPr>
        <w:contextualSpacing/>
        <w:jc w:val="both"/>
        <w:rPr>
          <w:rFonts w:ascii="Bookman Old Style" w:hAnsi="Bookman Old Style"/>
          <w:i/>
          <w:iCs/>
          <w:sz w:val="22"/>
          <w:szCs w:val="22"/>
          <w:lang w:val="es-CO"/>
        </w:rPr>
      </w:pPr>
      <w:r w:rsidRPr="002E3251">
        <w:rPr>
          <w:rFonts w:ascii="Bookman Old Style" w:hAnsi="Bookman Old Style"/>
          <w:i/>
          <w:iCs/>
          <w:sz w:val="22"/>
          <w:szCs w:val="22"/>
          <w:lang w:val="es-CO"/>
        </w:rPr>
        <w:t>Dar flexibilidad a los distribuidores de GLP en el cumplimiento contractual de retiros</w:t>
      </w:r>
      <w:r>
        <w:rPr>
          <w:rFonts w:ascii="Bookman Old Style" w:hAnsi="Bookman Old Style"/>
          <w:i/>
          <w:iCs/>
          <w:sz w:val="22"/>
          <w:szCs w:val="22"/>
          <w:lang w:val="es-CO"/>
        </w:rPr>
        <w:t xml:space="preserve"> </w:t>
      </w:r>
      <w:r w:rsidRPr="002E3251">
        <w:rPr>
          <w:rFonts w:ascii="Bookman Old Style" w:hAnsi="Bookman Old Style"/>
          <w:i/>
          <w:iCs/>
          <w:sz w:val="22"/>
          <w:szCs w:val="22"/>
          <w:lang w:val="es-CO"/>
        </w:rPr>
        <w:t>programados de producto. Dada la incertidumbre en la demanda de GLP que resulta de la</w:t>
      </w:r>
      <w:r>
        <w:rPr>
          <w:rFonts w:ascii="Bookman Old Style" w:hAnsi="Bookman Old Style"/>
          <w:i/>
          <w:iCs/>
          <w:sz w:val="22"/>
          <w:szCs w:val="22"/>
          <w:lang w:val="es-CO"/>
        </w:rPr>
        <w:t xml:space="preserve"> </w:t>
      </w:r>
      <w:r w:rsidRPr="002E3251">
        <w:rPr>
          <w:rFonts w:ascii="Bookman Old Style" w:hAnsi="Bookman Old Style"/>
          <w:i/>
          <w:iCs/>
          <w:sz w:val="22"/>
          <w:szCs w:val="22"/>
          <w:lang w:val="es-CO"/>
        </w:rPr>
        <w:t>actual coyuntura y por la operación de las cisternas para retirar con normalidad, se sugiere</w:t>
      </w:r>
      <w:r>
        <w:rPr>
          <w:rFonts w:ascii="Bookman Old Style" w:hAnsi="Bookman Old Style"/>
          <w:i/>
          <w:iCs/>
          <w:sz w:val="22"/>
          <w:szCs w:val="22"/>
          <w:lang w:val="es-CO"/>
        </w:rPr>
        <w:t xml:space="preserve"> </w:t>
      </w:r>
      <w:r w:rsidRPr="002E3251">
        <w:rPr>
          <w:rFonts w:ascii="Bookman Old Style" w:hAnsi="Bookman Old Style"/>
          <w:i/>
          <w:iCs/>
          <w:sz w:val="22"/>
          <w:szCs w:val="22"/>
          <w:lang w:val="es-CO"/>
        </w:rPr>
        <w:t>dar flexibilidad al cumplimiento del 90% de los contratos con Ecopetrol.</w:t>
      </w:r>
      <w:r w:rsidR="00254E65">
        <w:rPr>
          <w:rFonts w:ascii="Bookman Old Style" w:hAnsi="Bookman Old Style"/>
          <w:i/>
          <w:iCs/>
          <w:sz w:val="22"/>
          <w:szCs w:val="22"/>
          <w:lang w:val="es-CO"/>
        </w:rPr>
        <w:t xml:space="preserve"> (…)</w:t>
      </w:r>
    </w:p>
    <w:p w14:paraId="42B9C50D" w14:textId="77777777" w:rsidR="00254E65" w:rsidRDefault="00254E65" w:rsidP="002E3251">
      <w:pPr>
        <w:contextualSpacing/>
        <w:jc w:val="both"/>
        <w:rPr>
          <w:rFonts w:ascii="Bookman Old Style" w:hAnsi="Bookman Old Style"/>
          <w:i/>
          <w:iCs/>
          <w:sz w:val="22"/>
          <w:szCs w:val="22"/>
          <w:lang w:val="es-CO"/>
        </w:rPr>
      </w:pPr>
    </w:p>
    <w:p w14:paraId="27E065EF" w14:textId="01CBEA06" w:rsidR="00254E65" w:rsidRDefault="00254E65" w:rsidP="00254E65">
      <w:pPr>
        <w:contextualSpacing/>
        <w:jc w:val="both"/>
        <w:rPr>
          <w:rFonts w:ascii="Bookman Old Style" w:hAnsi="Bookman Old Style"/>
          <w:i/>
          <w:iCs/>
          <w:sz w:val="22"/>
          <w:szCs w:val="22"/>
          <w:lang w:val="es-CO"/>
        </w:rPr>
      </w:pPr>
      <w:r w:rsidRPr="00254E65">
        <w:rPr>
          <w:rFonts w:ascii="Bookman Old Style" w:hAnsi="Bookman Old Style"/>
          <w:i/>
          <w:iCs/>
          <w:sz w:val="22"/>
          <w:szCs w:val="22"/>
          <w:lang w:val="es-CO"/>
        </w:rPr>
        <w:t>No castigar el precio de oferta adicional de Ecopetrol para abril 2020 y manejar la asignación</w:t>
      </w:r>
      <w:r>
        <w:rPr>
          <w:rFonts w:ascii="Bookman Old Style" w:hAnsi="Bookman Old Style"/>
          <w:i/>
          <w:iCs/>
          <w:sz w:val="22"/>
          <w:szCs w:val="22"/>
          <w:lang w:val="es-CO"/>
        </w:rPr>
        <w:t xml:space="preserve"> </w:t>
      </w:r>
      <w:r w:rsidRPr="00254E65">
        <w:rPr>
          <w:rFonts w:ascii="Bookman Old Style" w:hAnsi="Bookman Old Style"/>
          <w:i/>
          <w:iCs/>
          <w:sz w:val="22"/>
          <w:szCs w:val="22"/>
          <w:lang w:val="es-CO"/>
        </w:rPr>
        <w:t>de esta mediante prorrateo de solicitudes de producto sin requerir OPC adicional. En el</w:t>
      </w:r>
      <w:r>
        <w:rPr>
          <w:rFonts w:ascii="Bookman Old Style" w:hAnsi="Bookman Old Style"/>
          <w:i/>
          <w:iCs/>
          <w:sz w:val="22"/>
          <w:szCs w:val="22"/>
          <w:lang w:val="es-CO"/>
        </w:rPr>
        <w:t xml:space="preserve"> </w:t>
      </w:r>
      <w:r w:rsidRPr="00254E65">
        <w:rPr>
          <w:rFonts w:ascii="Bookman Old Style" w:hAnsi="Bookman Old Style"/>
          <w:i/>
          <w:iCs/>
          <w:sz w:val="22"/>
          <w:szCs w:val="22"/>
          <w:lang w:val="es-CO"/>
        </w:rPr>
        <w:t>comité de abastecimiento desarrollado el 20 de marzo, Ecopetrol manifestó la posibilidad de</w:t>
      </w:r>
      <w:r>
        <w:rPr>
          <w:rFonts w:ascii="Bookman Old Style" w:hAnsi="Bookman Old Style"/>
          <w:i/>
          <w:iCs/>
          <w:sz w:val="22"/>
          <w:szCs w:val="22"/>
          <w:lang w:val="es-CO"/>
        </w:rPr>
        <w:t xml:space="preserve"> </w:t>
      </w:r>
      <w:r w:rsidRPr="00254E65">
        <w:rPr>
          <w:rFonts w:ascii="Bookman Old Style" w:hAnsi="Bookman Old Style"/>
          <w:i/>
          <w:iCs/>
          <w:sz w:val="22"/>
          <w:szCs w:val="22"/>
          <w:lang w:val="es-CO"/>
        </w:rPr>
        <w:t>entregar producto adicional de Cusiana en el mes de abril, debido a que se aplazó el</w:t>
      </w:r>
      <w:r w:rsidR="00900F8A">
        <w:rPr>
          <w:rFonts w:ascii="Bookman Old Style" w:hAnsi="Bookman Old Style"/>
          <w:i/>
          <w:iCs/>
          <w:sz w:val="22"/>
          <w:szCs w:val="22"/>
          <w:lang w:val="es-CO"/>
        </w:rPr>
        <w:t xml:space="preserve"> </w:t>
      </w:r>
      <w:r w:rsidRPr="00254E65">
        <w:rPr>
          <w:rFonts w:ascii="Bookman Old Style" w:hAnsi="Bookman Old Style"/>
          <w:i/>
          <w:iCs/>
          <w:sz w:val="22"/>
          <w:szCs w:val="22"/>
          <w:lang w:val="es-CO"/>
        </w:rPr>
        <w:t>mantenimiento programado, por la emergencia sanitaria. Sugerimos que no se le castigue el</w:t>
      </w:r>
      <w:r w:rsidR="00900F8A">
        <w:rPr>
          <w:rFonts w:ascii="Bookman Old Style" w:hAnsi="Bookman Old Style"/>
          <w:i/>
          <w:iCs/>
          <w:sz w:val="22"/>
          <w:szCs w:val="22"/>
          <w:lang w:val="es-CO"/>
        </w:rPr>
        <w:t xml:space="preserve"> </w:t>
      </w:r>
      <w:r w:rsidRPr="00254E65">
        <w:rPr>
          <w:rFonts w:ascii="Bookman Old Style" w:hAnsi="Bookman Old Style"/>
          <w:i/>
          <w:iCs/>
          <w:sz w:val="22"/>
          <w:szCs w:val="22"/>
          <w:lang w:val="es-CO"/>
        </w:rPr>
        <w:t>precio a esta oferta nacional adicional debido a que el producto será para atender la</w:t>
      </w:r>
      <w:r w:rsidR="00900F8A">
        <w:rPr>
          <w:rFonts w:ascii="Bookman Old Style" w:hAnsi="Bookman Old Style"/>
          <w:i/>
          <w:iCs/>
          <w:sz w:val="22"/>
          <w:szCs w:val="22"/>
          <w:lang w:val="es-CO"/>
        </w:rPr>
        <w:t xml:space="preserve"> </w:t>
      </w:r>
      <w:r w:rsidRPr="00254E65">
        <w:rPr>
          <w:rFonts w:ascii="Bookman Old Style" w:hAnsi="Bookman Old Style"/>
          <w:i/>
          <w:iCs/>
          <w:sz w:val="22"/>
          <w:szCs w:val="22"/>
          <w:lang w:val="es-CO"/>
        </w:rPr>
        <w:t>emergencia sanitaria y además que el proceso de asignación se haga mediante prorrateo de</w:t>
      </w:r>
      <w:r w:rsidR="00900F8A">
        <w:rPr>
          <w:rFonts w:ascii="Bookman Old Style" w:hAnsi="Bookman Old Style"/>
          <w:i/>
          <w:iCs/>
          <w:sz w:val="22"/>
          <w:szCs w:val="22"/>
          <w:lang w:val="es-CO"/>
        </w:rPr>
        <w:t xml:space="preserve"> </w:t>
      </w:r>
      <w:r w:rsidRPr="00254E65">
        <w:rPr>
          <w:rFonts w:ascii="Bookman Old Style" w:hAnsi="Bookman Old Style"/>
          <w:i/>
          <w:iCs/>
          <w:sz w:val="22"/>
          <w:szCs w:val="22"/>
          <w:lang w:val="es-CO"/>
        </w:rPr>
        <w:t>solicitudes, debido a que los tiempos para una OPC adicional son muy ajustados</w:t>
      </w:r>
      <w:r w:rsidR="003266F0">
        <w:rPr>
          <w:rFonts w:ascii="Bookman Old Style" w:hAnsi="Bookman Old Style"/>
          <w:i/>
          <w:iCs/>
          <w:sz w:val="22"/>
          <w:szCs w:val="22"/>
          <w:lang w:val="es-CO"/>
        </w:rPr>
        <w:t>.</w:t>
      </w:r>
      <w:r w:rsidR="00F91D23">
        <w:rPr>
          <w:rFonts w:ascii="Bookman Old Style" w:hAnsi="Bookman Old Style"/>
          <w:i/>
          <w:iCs/>
          <w:sz w:val="22"/>
          <w:szCs w:val="22"/>
          <w:lang w:val="es-CO"/>
        </w:rPr>
        <w:t>”</w:t>
      </w:r>
    </w:p>
    <w:p w14:paraId="7B8441B3" w14:textId="77777777" w:rsidR="008514CB" w:rsidRDefault="008514CB" w:rsidP="003E2E35">
      <w:pPr>
        <w:ind w:left="0"/>
        <w:contextualSpacing/>
        <w:jc w:val="both"/>
        <w:rPr>
          <w:rFonts w:ascii="Bookman Old Style" w:hAnsi="Bookman Old Style"/>
          <w:lang w:val="es-CO"/>
        </w:rPr>
      </w:pPr>
    </w:p>
    <w:p w14:paraId="47B02E9D" w14:textId="2C91F0E0" w:rsidR="009D6790" w:rsidRPr="004E2959" w:rsidRDefault="00963AA9" w:rsidP="003E2E35">
      <w:pPr>
        <w:ind w:left="0"/>
        <w:contextualSpacing/>
        <w:jc w:val="both"/>
        <w:rPr>
          <w:rFonts w:ascii="Bookman Old Style" w:hAnsi="Bookman Old Style"/>
          <w:lang w:val="es-CO"/>
        </w:rPr>
      </w:pPr>
      <w:r w:rsidRPr="004E2959">
        <w:rPr>
          <w:rFonts w:ascii="Bookman Old Style" w:hAnsi="Bookman Old Style"/>
          <w:lang w:val="es-CO"/>
        </w:rPr>
        <w:t>En relación con lo manifestado por la</w:t>
      </w:r>
      <w:r w:rsidR="008514CB">
        <w:rPr>
          <w:rFonts w:ascii="Bookman Old Style" w:hAnsi="Bookman Old Style"/>
          <w:lang w:val="es-CO"/>
        </w:rPr>
        <w:t>s</w:t>
      </w:r>
      <w:r w:rsidRPr="004E2959">
        <w:rPr>
          <w:rFonts w:ascii="Bookman Old Style" w:hAnsi="Bookman Old Style"/>
          <w:lang w:val="es-CO"/>
        </w:rPr>
        <w:t xml:space="preserve"> empresa</w:t>
      </w:r>
      <w:r w:rsidR="008514CB">
        <w:rPr>
          <w:rFonts w:ascii="Bookman Old Style" w:hAnsi="Bookman Old Style"/>
          <w:lang w:val="es-CO"/>
        </w:rPr>
        <w:t>s</w:t>
      </w:r>
      <w:r w:rsidRPr="004E2959">
        <w:rPr>
          <w:rFonts w:ascii="Bookman Old Style" w:hAnsi="Bookman Old Style"/>
          <w:lang w:val="es-CO"/>
        </w:rPr>
        <w:t>, la Comisión encuentra</w:t>
      </w:r>
      <w:r w:rsidR="00146344" w:rsidRPr="004E2959">
        <w:rPr>
          <w:rFonts w:ascii="Bookman Old Style" w:hAnsi="Bookman Old Style"/>
          <w:lang w:val="es-CO"/>
        </w:rPr>
        <w:t xml:space="preserve"> que</w:t>
      </w:r>
      <w:r w:rsidR="00BE088C">
        <w:rPr>
          <w:rFonts w:ascii="Bookman Old Style" w:hAnsi="Bookman Old Style"/>
          <w:lang w:val="es-CO"/>
        </w:rPr>
        <w:t>,</w:t>
      </w:r>
      <w:r w:rsidR="00146344" w:rsidRPr="004E2959">
        <w:rPr>
          <w:rFonts w:ascii="Bookman Old Style" w:hAnsi="Bookman Old Style"/>
          <w:lang w:val="es-CO"/>
        </w:rPr>
        <w:t xml:space="preserve"> por las circunstancias de emergencia generadas por el COVID-19</w:t>
      </w:r>
      <w:r w:rsidR="009B0CB7" w:rsidRPr="004E2959">
        <w:rPr>
          <w:rFonts w:ascii="Bookman Old Style" w:hAnsi="Bookman Old Style"/>
          <w:lang w:val="es-CO"/>
        </w:rPr>
        <w:t>,</w:t>
      </w:r>
      <w:r w:rsidR="00146344" w:rsidRPr="004E2959">
        <w:rPr>
          <w:rFonts w:ascii="Bookman Old Style" w:hAnsi="Bookman Old Style"/>
          <w:lang w:val="es-CO"/>
        </w:rPr>
        <w:t xml:space="preserve"> Ecopetrol no puede llevar a cabo el mantenimiento programado de dich</w:t>
      </w:r>
      <w:r w:rsidR="00996C6C" w:rsidRPr="004E2959">
        <w:rPr>
          <w:rFonts w:ascii="Bookman Old Style" w:hAnsi="Bookman Old Style"/>
          <w:lang w:val="es-CO"/>
        </w:rPr>
        <w:t>a</w:t>
      </w:r>
      <w:r w:rsidR="00146344" w:rsidRPr="004E2959">
        <w:rPr>
          <w:rFonts w:ascii="Bookman Old Style" w:hAnsi="Bookman Old Style"/>
          <w:lang w:val="es-CO"/>
        </w:rPr>
        <w:t xml:space="preserve"> </w:t>
      </w:r>
      <w:r w:rsidR="00996C6C" w:rsidRPr="004E2959">
        <w:rPr>
          <w:rFonts w:ascii="Bookman Old Style" w:hAnsi="Bookman Old Style"/>
          <w:lang w:val="es-CO"/>
        </w:rPr>
        <w:t>fuente</w:t>
      </w:r>
      <w:r w:rsidR="00CE7292" w:rsidRPr="004E2959">
        <w:rPr>
          <w:rFonts w:ascii="Bookman Old Style" w:hAnsi="Bookman Old Style"/>
          <w:lang w:val="es-CO"/>
        </w:rPr>
        <w:t>, lo cual</w:t>
      </w:r>
      <w:r w:rsidR="00146344" w:rsidRPr="004E2959">
        <w:rPr>
          <w:rFonts w:ascii="Bookman Old Style" w:hAnsi="Bookman Old Style"/>
          <w:lang w:val="es-CO"/>
        </w:rPr>
        <w:t xml:space="preserve"> </w:t>
      </w:r>
      <w:r w:rsidR="00CE7292" w:rsidRPr="004E2959">
        <w:rPr>
          <w:rFonts w:ascii="Bookman Old Style" w:hAnsi="Bookman Old Style"/>
          <w:lang w:val="es-CO"/>
        </w:rPr>
        <w:t>llevó</w:t>
      </w:r>
      <w:r w:rsidR="00146344" w:rsidRPr="004E2959">
        <w:rPr>
          <w:rFonts w:ascii="Bookman Old Style" w:hAnsi="Bookman Old Style"/>
          <w:lang w:val="es-CO"/>
        </w:rPr>
        <w:t xml:space="preserve"> en su momento </w:t>
      </w:r>
      <w:r w:rsidR="00CE7292" w:rsidRPr="004E2959">
        <w:rPr>
          <w:rFonts w:ascii="Bookman Old Style" w:hAnsi="Bookman Old Style"/>
          <w:lang w:val="es-CO"/>
        </w:rPr>
        <w:t xml:space="preserve">a </w:t>
      </w:r>
      <w:r w:rsidR="00146344" w:rsidRPr="004E2959">
        <w:rPr>
          <w:rFonts w:ascii="Bookman Old Style" w:hAnsi="Bookman Old Style"/>
          <w:lang w:val="es-CO"/>
        </w:rPr>
        <w:t xml:space="preserve">la imposibilidad de que dichas cantidades hubiesen sido parte de la oferta inicial </w:t>
      </w:r>
      <w:r w:rsidR="00505D37" w:rsidRPr="004E2959">
        <w:rPr>
          <w:rFonts w:ascii="Bookman Old Style" w:hAnsi="Bookman Old Style"/>
          <w:lang w:val="es-CO"/>
        </w:rPr>
        <w:t>para la OPC del primer semestre de 2020</w:t>
      </w:r>
      <w:r w:rsidR="00D14DA5">
        <w:rPr>
          <w:rFonts w:ascii="Bookman Old Style" w:hAnsi="Bookman Old Style"/>
          <w:lang w:val="es-CO"/>
        </w:rPr>
        <w:t>,</w:t>
      </w:r>
      <w:r w:rsidR="00D414D2" w:rsidRPr="004E2959">
        <w:rPr>
          <w:rFonts w:ascii="Bookman Old Style" w:hAnsi="Bookman Old Style"/>
          <w:lang w:val="es-CO"/>
        </w:rPr>
        <w:t xml:space="preserve"> y que ahora generan </w:t>
      </w:r>
      <w:r w:rsidRPr="004E2959">
        <w:rPr>
          <w:rFonts w:ascii="Bookman Old Style" w:hAnsi="Bookman Old Style"/>
          <w:lang w:val="es-CO"/>
        </w:rPr>
        <w:lastRenderedPageBreak/>
        <w:t>un</w:t>
      </w:r>
      <w:r w:rsidR="00BA1563" w:rsidRPr="004E2959">
        <w:rPr>
          <w:rFonts w:ascii="Bookman Old Style" w:hAnsi="Bookman Old Style"/>
          <w:lang w:val="es-CO"/>
        </w:rPr>
        <w:t>a</w:t>
      </w:r>
      <w:r w:rsidRPr="004E2959">
        <w:rPr>
          <w:rFonts w:ascii="Bookman Old Style" w:hAnsi="Bookman Old Style"/>
          <w:lang w:val="es-CO"/>
        </w:rPr>
        <w:t xml:space="preserve"> mayor</w:t>
      </w:r>
      <w:r w:rsidR="00D81FA5" w:rsidRPr="004E2959">
        <w:rPr>
          <w:rFonts w:ascii="Bookman Old Style" w:hAnsi="Bookman Old Style"/>
          <w:lang w:val="es-CO"/>
        </w:rPr>
        <w:t xml:space="preserve"> disponibilidad </w:t>
      </w:r>
      <w:r w:rsidRPr="004E2959">
        <w:rPr>
          <w:rFonts w:ascii="Bookman Old Style" w:hAnsi="Bookman Old Style"/>
          <w:lang w:val="es-CO"/>
        </w:rPr>
        <w:t xml:space="preserve">de GLP </w:t>
      </w:r>
      <w:r w:rsidR="00827041" w:rsidRPr="004E2959">
        <w:rPr>
          <w:rFonts w:ascii="Bookman Old Style" w:hAnsi="Bookman Old Style"/>
          <w:lang w:val="es-CO"/>
        </w:rPr>
        <w:t xml:space="preserve">para la prestación del servicio público domiciliario, el cual, </w:t>
      </w:r>
      <w:r w:rsidR="009D6790" w:rsidRPr="004E2959">
        <w:rPr>
          <w:rFonts w:ascii="Bookman Old Style" w:hAnsi="Bookman Old Style"/>
          <w:lang w:val="es-CO"/>
        </w:rPr>
        <w:t>en caso de ser comercializado</w:t>
      </w:r>
      <w:r w:rsidR="00B9225F" w:rsidRPr="004E2959">
        <w:rPr>
          <w:rFonts w:ascii="Bookman Old Style" w:hAnsi="Bookman Old Style"/>
          <w:lang w:val="es-CO"/>
        </w:rPr>
        <w:t>,</w:t>
      </w:r>
      <w:r w:rsidR="009D6790" w:rsidRPr="004E2959">
        <w:rPr>
          <w:rFonts w:ascii="Bookman Old Style" w:hAnsi="Bookman Old Style"/>
          <w:lang w:val="es-CO"/>
        </w:rPr>
        <w:t xml:space="preserve"> se sujeta a lo dispuesto en la Ley 142 de 1994, así como a la regulación expedida por parte de esta Comisión, </w:t>
      </w:r>
      <w:r w:rsidR="005A70AD" w:rsidRPr="004E2959">
        <w:rPr>
          <w:rFonts w:ascii="Bookman Old Style" w:hAnsi="Bookman Old Style"/>
          <w:lang w:val="es-CO"/>
        </w:rPr>
        <w:t>tanto a nivel de los mecanismos de comercialización, los parámetros de conducta, incluidas las obligaciones a cumplir por parte del comercializador mayorista de GLP con precio regulado, así como las señales de precio que remuneran el costo de oportunidad del producto, regulación que</w:t>
      </w:r>
      <w:r w:rsidR="009D6790" w:rsidRPr="004E2959">
        <w:rPr>
          <w:rFonts w:ascii="Bookman Old Style" w:hAnsi="Bookman Old Style"/>
          <w:lang w:val="es-CO"/>
        </w:rPr>
        <w:t xml:space="preserve"> se encuentra consignada principalmente en las resoluciones CREG 066 de 2007, 053 de 2011, 174 de 2014 y 079 de 2015.</w:t>
      </w:r>
    </w:p>
    <w:p w14:paraId="4CF927F5" w14:textId="77777777" w:rsidR="009D6790" w:rsidRPr="004E2959" w:rsidRDefault="009D6790" w:rsidP="003E2E35">
      <w:pPr>
        <w:ind w:left="0"/>
        <w:contextualSpacing/>
        <w:jc w:val="both"/>
        <w:rPr>
          <w:rFonts w:ascii="Bookman Old Style" w:hAnsi="Bookman Old Style"/>
          <w:lang w:val="es-CO"/>
        </w:rPr>
      </w:pPr>
    </w:p>
    <w:p w14:paraId="38FD26B0" w14:textId="75D29BE3" w:rsidR="00801B68" w:rsidRPr="004E2959" w:rsidRDefault="009D6790" w:rsidP="003E2E35">
      <w:pPr>
        <w:ind w:left="0"/>
        <w:contextualSpacing/>
        <w:jc w:val="both"/>
        <w:rPr>
          <w:rFonts w:ascii="Bookman Old Style" w:hAnsi="Bookman Old Style"/>
          <w:lang w:val="es-CO"/>
        </w:rPr>
      </w:pPr>
      <w:r w:rsidRPr="004E2959">
        <w:rPr>
          <w:rFonts w:ascii="Bookman Old Style" w:hAnsi="Bookman Old Style"/>
          <w:lang w:val="es-CO"/>
        </w:rPr>
        <w:t xml:space="preserve">En este sentido, la inclusión de las medidas regulatorias en relación con los mecanismos de asignación del producto y los parámetros de </w:t>
      </w:r>
      <w:r w:rsidR="002C1B57" w:rsidRPr="004E2959">
        <w:rPr>
          <w:rFonts w:ascii="Bookman Old Style" w:hAnsi="Bookman Old Style"/>
          <w:lang w:val="es-CO"/>
        </w:rPr>
        <w:t>conductas a los que se encuentr</w:t>
      </w:r>
      <w:r w:rsidR="00846C96" w:rsidRPr="004E2959">
        <w:rPr>
          <w:rFonts w:ascii="Bookman Old Style" w:hAnsi="Bookman Old Style"/>
          <w:lang w:val="es-CO"/>
        </w:rPr>
        <w:t>an sujetos los agentes, implica</w:t>
      </w:r>
      <w:r w:rsidR="002C1B57" w:rsidRPr="004E2959">
        <w:rPr>
          <w:rFonts w:ascii="Bookman Old Style" w:hAnsi="Bookman Old Style"/>
          <w:lang w:val="es-CO"/>
        </w:rPr>
        <w:t xml:space="preserve"> que en la </w:t>
      </w:r>
      <w:r w:rsidR="00A54C10" w:rsidRPr="004E2959">
        <w:rPr>
          <w:rFonts w:ascii="Bookman Old Style" w:hAnsi="Bookman Old Style"/>
          <w:lang w:val="es-CO"/>
        </w:rPr>
        <w:t>oferta de venta de GLP para llevar a cabo</w:t>
      </w:r>
      <w:r w:rsidR="002C1B57" w:rsidRPr="004E2959">
        <w:rPr>
          <w:rFonts w:ascii="Bookman Old Style" w:hAnsi="Bookman Old Style"/>
          <w:lang w:val="es-CO"/>
        </w:rPr>
        <w:t xml:space="preserve"> la OPC inicial</w:t>
      </w:r>
      <w:r w:rsidR="00D14DA5">
        <w:rPr>
          <w:rFonts w:ascii="Bookman Old Style" w:hAnsi="Bookman Old Style"/>
          <w:lang w:val="es-CO"/>
        </w:rPr>
        <w:t>,</w:t>
      </w:r>
      <w:r w:rsidR="002C1B57" w:rsidRPr="004E2959">
        <w:rPr>
          <w:rFonts w:ascii="Bookman Old Style" w:hAnsi="Bookman Old Style"/>
          <w:lang w:val="es-CO"/>
        </w:rPr>
        <w:t xml:space="preserve"> se </w:t>
      </w:r>
      <w:r w:rsidR="00A54C10" w:rsidRPr="004E2959">
        <w:rPr>
          <w:rFonts w:ascii="Bookman Old Style" w:hAnsi="Bookman Old Style"/>
          <w:lang w:val="es-CO"/>
        </w:rPr>
        <w:t>debe incorporar</w:t>
      </w:r>
      <w:r w:rsidR="002C1B57" w:rsidRPr="004E2959">
        <w:rPr>
          <w:rFonts w:ascii="Bookman Old Style" w:hAnsi="Bookman Old Style"/>
          <w:lang w:val="es-CO"/>
        </w:rPr>
        <w:t xml:space="preserve"> el producto disponible, así como </w:t>
      </w:r>
      <w:r w:rsidR="00A54C10" w:rsidRPr="004E2959">
        <w:rPr>
          <w:rFonts w:ascii="Bookman Old Style" w:hAnsi="Bookman Old Style"/>
          <w:lang w:val="es-CO"/>
        </w:rPr>
        <w:t xml:space="preserve">el GLP </w:t>
      </w:r>
      <w:r w:rsidR="00AB5828" w:rsidRPr="004E2959">
        <w:rPr>
          <w:rFonts w:ascii="Bookman Old Style" w:hAnsi="Bookman Old Style"/>
          <w:lang w:val="es-CO"/>
        </w:rPr>
        <w:t xml:space="preserve">que pueda generarse, </w:t>
      </w:r>
      <w:r w:rsidR="00A54C10" w:rsidRPr="004E2959">
        <w:rPr>
          <w:rFonts w:ascii="Bookman Old Style" w:hAnsi="Bookman Old Style"/>
          <w:lang w:val="es-CO"/>
        </w:rPr>
        <w:t xml:space="preserve">producirse </w:t>
      </w:r>
      <w:r w:rsidR="00AB5828" w:rsidRPr="004E2959">
        <w:rPr>
          <w:rFonts w:ascii="Bookman Old Style" w:hAnsi="Bookman Old Style"/>
          <w:lang w:val="es-CO"/>
        </w:rPr>
        <w:t xml:space="preserve">u ocasionarse </w:t>
      </w:r>
      <w:r w:rsidR="00A54C10" w:rsidRPr="004E2959">
        <w:rPr>
          <w:rFonts w:ascii="Bookman Old Style" w:hAnsi="Bookman Old Style"/>
          <w:lang w:val="es-CO"/>
        </w:rPr>
        <w:t>durante el</w:t>
      </w:r>
      <w:r w:rsidR="00846C96" w:rsidRPr="004E2959">
        <w:rPr>
          <w:rFonts w:ascii="Bookman Old Style" w:hAnsi="Bookman Old Style"/>
          <w:lang w:val="es-CO"/>
        </w:rPr>
        <w:t xml:space="preserve"> período de ejecución de la OPC,</w:t>
      </w:r>
      <w:r w:rsidR="00766064" w:rsidRPr="004E2959">
        <w:rPr>
          <w:rFonts w:ascii="Bookman Old Style" w:hAnsi="Bookman Old Style"/>
          <w:lang w:val="es-CO"/>
        </w:rPr>
        <w:t xml:space="preserve"> entendido este</w:t>
      </w:r>
      <w:r w:rsidR="00A54C10" w:rsidRPr="004E2959">
        <w:rPr>
          <w:rFonts w:ascii="Bookman Old Style" w:hAnsi="Bookman Old Style"/>
          <w:lang w:val="es-CO"/>
        </w:rPr>
        <w:t xml:space="preserve"> bajo un marco de diligencia, </w:t>
      </w:r>
      <w:r w:rsidR="00846C96" w:rsidRPr="004E2959">
        <w:rPr>
          <w:rFonts w:ascii="Bookman Old Style" w:hAnsi="Bookman Old Style"/>
          <w:lang w:val="es-CO"/>
        </w:rPr>
        <w:t xml:space="preserve">como aquel </w:t>
      </w:r>
      <w:r w:rsidR="00766064" w:rsidRPr="004E2959">
        <w:rPr>
          <w:rFonts w:ascii="Bookman Old Style" w:hAnsi="Bookman Old Style"/>
          <w:lang w:val="es-CO"/>
        </w:rPr>
        <w:t xml:space="preserve">que </w:t>
      </w:r>
      <w:r w:rsidR="00846C96" w:rsidRPr="004E2959">
        <w:rPr>
          <w:rFonts w:ascii="Bookman Old Style" w:hAnsi="Bookman Old Style"/>
          <w:lang w:val="es-CO"/>
        </w:rPr>
        <w:t>el comercializador pudo haber</w:t>
      </w:r>
      <w:r w:rsidR="00A54C10" w:rsidRPr="004E2959">
        <w:rPr>
          <w:rFonts w:ascii="Bookman Old Style" w:hAnsi="Bookman Old Style"/>
          <w:lang w:val="es-CO"/>
        </w:rPr>
        <w:t xml:space="preserve"> contemplado o conocido en dicho momento</w:t>
      </w:r>
      <w:r w:rsidR="00D14DA5">
        <w:rPr>
          <w:rFonts w:ascii="Bookman Old Style" w:hAnsi="Bookman Old Style"/>
          <w:lang w:val="es-CO"/>
        </w:rPr>
        <w:t>,</w:t>
      </w:r>
      <w:r w:rsidR="00846C96" w:rsidRPr="004E2959">
        <w:rPr>
          <w:rFonts w:ascii="Bookman Old Style" w:hAnsi="Bookman Old Style"/>
          <w:lang w:val="es-CO"/>
        </w:rPr>
        <w:t xml:space="preserve"> y que podría ser entregado durante el período de la OPC</w:t>
      </w:r>
      <w:r w:rsidR="00A54C10" w:rsidRPr="004E2959">
        <w:rPr>
          <w:rFonts w:ascii="Bookman Old Style" w:hAnsi="Bookman Old Style"/>
          <w:lang w:val="es-CO"/>
        </w:rPr>
        <w:t>.</w:t>
      </w:r>
      <w:r w:rsidR="00AF765E" w:rsidRPr="004E2959">
        <w:rPr>
          <w:rFonts w:ascii="Bookman Old Style" w:hAnsi="Bookman Old Style"/>
          <w:lang w:val="es-CO"/>
        </w:rPr>
        <w:t xml:space="preserve"> </w:t>
      </w:r>
    </w:p>
    <w:p w14:paraId="49AE2395" w14:textId="77777777" w:rsidR="00801B68" w:rsidRPr="004E2959" w:rsidRDefault="00801B68" w:rsidP="003E2E35">
      <w:pPr>
        <w:ind w:left="0"/>
        <w:contextualSpacing/>
        <w:jc w:val="both"/>
        <w:rPr>
          <w:rFonts w:ascii="Bookman Old Style" w:hAnsi="Bookman Old Style"/>
          <w:lang w:val="es-CO"/>
        </w:rPr>
      </w:pPr>
    </w:p>
    <w:p w14:paraId="394B6C55" w14:textId="2BB33D7D" w:rsidR="00801B68" w:rsidRPr="004E2959" w:rsidRDefault="000E3F18" w:rsidP="003E2E35">
      <w:pPr>
        <w:ind w:left="0"/>
        <w:contextualSpacing/>
        <w:jc w:val="both"/>
        <w:rPr>
          <w:rFonts w:ascii="Bookman Old Style" w:hAnsi="Bookman Old Style"/>
          <w:lang w:val="es-CO"/>
        </w:rPr>
      </w:pPr>
      <w:r w:rsidRPr="004E2959">
        <w:rPr>
          <w:rFonts w:ascii="Bookman Old Style" w:hAnsi="Bookman Old Style"/>
          <w:lang w:val="es-CO"/>
        </w:rPr>
        <w:t>Sin embargo, e</w:t>
      </w:r>
      <w:r w:rsidR="00801B68" w:rsidRPr="004E2959">
        <w:rPr>
          <w:rFonts w:ascii="Bookman Old Style" w:hAnsi="Bookman Old Style"/>
          <w:lang w:val="es-CO"/>
        </w:rPr>
        <w:t>n el presente caso</w:t>
      </w:r>
      <w:r w:rsidR="00BE088C">
        <w:rPr>
          <w:rFonts w:ascii="Bookman Old Style" w:hAnsi="Bookman Old Style"/>
          <w:lang w:val="es-CO"/>
        </w:rPr>
        <w:t>,</w:t>
      </w:r>
      <w:r w:rsidR="00801B68" w:rsidRPr="004E2959">
        <w:rPr>
          <w:rFonts w:ascii="Bookman Old Style" w:hAnsi="Bookman Old Style"/>
          <w:lang w:val="es-CO"/>
        </w:rPr>
        <w:t xml:space="preserve"> nos encontramos ante una circunstancia excepcional </w:t>
      </w:r>
      <w:r w:rsidR="00F436C7" w:rsidRPr="004E2959">
        <w:rPr>
          <w:rFonts w:ascii="Bookman Old Style" w:hAnsi="Bookman Old Style"/>
          <w:lang w:val="es-CO"/>
        </w:rPr>
        <w:t xml:space="preserve">derivada de </w:t>
      </w:r>
      <w:r w:rsidR="00801B68" w:rsidRPr="004E2959">
        <w:rPr>
          <w:rFonts w:ascii="Bookman Old Style" w:hAnsi="Bookman Old Style"/>
          <w:lang w:val="es-CO"/>
        </w:rPr>
        <w:t>un evento de emergencia</w:t>
      </w:r>
      <w:r w:rsidR="00F436C7" w:rsidRPr="004E2959">
        <w:rPr>
          <w:rFonts w:ascii="Bookman Old Style" w:hAnsi="Bookman Old Style"/>
          <w:lang w:val="es-CO"/>
        </w:rPr>
        <w:t xml:space="preserve"> de conocimiento público y de interés general</w:t>
      </w:r>
      <w:r w:rsidR="00801B68" w:rsidRPr="004E2959">
        <w:rPr>
          <w:rFonts w:ascii="Bookman Old Style" w:hAnsi="Bookman Old Style"/>
          <w:lang w:val="es-CO"/>
        </w:rPr>
        <w:t xml:space="preserve">, </w:t>
      </w:r>
      <w:r w:rsidR="009410E8" w:rsidRPr="004E2959">
        <w:rPr>
          <w:rFonts w:ascii="Bookman Old Style" w:hAnsi="Bookman Old Style"/>
          <w:lang w:val="es-CO"/>
        </w:rPr>
        <w:t xml:space="preserve">el cual conlleva a </w:t>
      </w:r>
      <w:r w:rsidR="00B138BF" w:rsidRPr="004E2959">
        <w:rPr>
          <w:rFonts w:ascii="Bookman Old Style" w:hAnsi="Bookman Old Style"/>
          <w:lang w:val="es-CO"/>
        </w:rPr>
        <w:t>que se presenten las cantidades adicionales</w:t>
      </w:r>
      <w:r w:rsidRPr="004E2959">
        <w:rPr>
          <w:rFonts w:ascii="Bookman Old Style" w:hAnsi="Bookman Old Style"/>
          <w:lang w:val="es-CO"/>
        </w:rPr>
        <w:t xml:space="preserve"> mencionadas</w:t>
      </w:r>
      <w:r w:rsidR="00D9070E" w:rsidRPr="004E2959">
        <w:rPr>
          <w:rFonts w:ascii="Bookman Old Style" w:hAnsi="Bookman Old Style"/>
          <w:lang w:val="es-CO"/>
        </w:rPr>
        <w:t>,</w:t>
      </w:r>
      <w:r w:rsidRPr="004E2959">
        <w:rPr>
          <w:rFonts w:ascii="Bookman Old Style" w:hAnsi="Bookman Old Style"/>
          <w:lang w:val="es-CO"/>
        </w:rPr>
        <w:t xml:space="preserve"> en </w:t>
      </w:r>
      <w:r w:rsidR="00D9070E" w:rsidRPr="004E2959">
        <w:rPr>
          <w:rFonts w:ascii="Bookman Old Style" w:hAnsi="Bookman Old Style"/>
          <w:lang w:val="es-CO"/>
        </w:rPr>
        <w:t xml:space="preserve">la fuente </w:t>
      </w:r>
      <w:r w:rsidRPr="004E2959">
        <w:rPr>
          <w:rFonts w:ascii="Bookman Old Style" w:hAnsi="Bookman Old Style"/>
          <w:lang w:val="es-CO"/>
        </w:rPr>
        <w:t>Cusiana</w:t>
      </w:r>
      <w:r w:rsidR="00B138BF" w:rsidRPr="004E2959">
        <w:rPr>
          <w:rFonts w:ascii="Bookman Old Style" w:hAnsi="Bookman Old Style"/>
          <w:lang w:val="es-CO"/>
        </w:rPr>
        <w:t xml:space="preserve">, </w:t>
      </w:r>
      <w:r w:rsidR="001C2130" w:rsidRPr="004E2959">
        <w:rPr>
          <w:rFonts w:ascii="Bookman Old Style" w:hAnsi="Bookman Old Style"/>
          <w:lang w:val="es-CO"/>
        </w:rPr>
        <w:t xml:space="preserve">por lo que dichas </w:t>
      </w:r>
      <w:r w:rsidR="00D122D1" w:rsidRPr="004E2959">
        <w:rPr>
          <w:rFonts w:ascii="Bookman Old Style" w:hAnsi="Bookman Old Style"/>
          <w:lang w:val="es-CO"/>
        </w:rPr>
        <w:t>cantidades</w:t>
      </w:r>
      <w:r w:rsidR="00B138BF" w:rsidRPr="004E2959">
        <w:rPr>
          <w:rFonts w:ascii="Bookman Old Style" w:hAnsi="Bookman Old Style"/>
          <w:lang w:val="es-CO"/>
        </w:rPr>
        <w:t xml:space="preserve"> </w:t>
      </w:r>
      <w:r w:rsidR="00D122D1" w:rsidRPr="004E2959">
        <w:rPr>
          <w:rFonts w:ascii="Bookman Old Style" w:hAnsi="Bookman Old Style"/>
          <w:lang w:val="es-CO"/>
        </w:rPr>
        <w:t xml:space="preserve">se diferencian de aquellas donde se presenta una eventual mayor disponibilidad de producto en condiciones normales. En este sentido, se deben adoptar </w:t>
      </w:r>
      <w:r w:rsidR="004566D1" w:rsidRPr="004E2959">
        <w:rPr>
          <w:rFonts w:ascii="Bookman Old Style" w:hAnsi="Bookman Old Style"/>
          <w:lang w:val="es-CO"/>
        </w:rPr>
        <w:t>medidas</w:t>
      </w:r>
      <w:r w:rsidR="00D122D1" w:rsidRPr="004E2959">
        <w:rPr>
          <w:rFonts w:ascii="Bookman Old Style" w:hAnsi="Bookman Old Style"/>
          <w:lang w:val="es-CO"/>
        </w:rPr>
        <w:t xml:space="preserve"> específic</w:t>
      </w:r>
      <w:r w:rsidR="004566D1" w:rsidRPr="004E2959">
        <w:rPr>
          <w:rFonts w:ascii="Bookman Old Style" w:hAnsi="Bookman Old Style"/>
          <w:lang w:val="es-CO"/>
        </w:rPr>
        <w:t>a</w:t>
      </w:r>
      <w:r w:rsidR="00D122D1" w:rsidRPr="004E2959">
        <w:rPr>
          <w:rFonts w:ascii="Bookman Old Style" w:hAnsi="Bookman Old Style"/>
          <w:lang w:val="es-CO"/>
        </w:rPr>
        <w:t xml:space="preserve">s </w:t>
      </w:r>
      <w:r w:rsidR="00C45E09" w:rsidRPr="004E2959">
        <w:rPr>
          <w:rFonts w:ascii="Bookman Old Style" w:hAnsi="Bookman Old Style"/>
          <w:lang w:val="es-CO"/>
        </w:rPr>
        <w:t>para</w:t>
      </w:r>
      <w:r w:rsidR="00610DE7" w:rsidRPr="004E2959">
        <w:rPr>
          <w:rFonts w:ascii="Bookman Old Style" w:hAnsi="Bookman Old Style"/>
          <w:lang w:val="es-CO"/>
        </w:rPr>
        <w:t xml:space="preserve"> la comercialización de dichas cantidades</w:t>
      </w:r>
      <w:r w:rsidR="000D2E40" w:rsidRPr="004E2959">
        <w:rPr>
          <w:rFonts w:ascii="Bookman Old Style" w:hAnsi="Bookman Old Style"/>
          <w:lang w:val="es-CO"/>
        </w:rPr>
        <w:t>,</w:t>
      </w:r>
      <w:r w:rsidR="00761554" w:rsidRPr="004E2959">
        <w:rPr>
          <w:rFonts w:ascii="Bookman Old Style" w:hAnsi="Bookman Old Style"/>
          <w:lang w:val="es-CO"/>
        </w:rPr>
        <w:t xml:space="preserve"> </w:t>
      </w:r>
      <w:r w:rsidR="00D727B8" w:rsidRPr="004E2959">
        <w:rPr>
          <w:rFonts w:ascii="Bookman Old Style" w:hAnsi="Bookman Old Style"/>
          <w:lang w:val="es-CO"/>
        </w:rPr>
        <w:t>además de las previstas en el reglamento de comercialización mayorista para las OPC adicionales</w:t>
      </w:r>
      <w:r w:rsidR="00893011" w:rsidRPr="004E2959">
        <w:rPr>
          <w:rFonts w:ascii="Bookman Old Style" w:hAnsi="Bookman Old Style"/>
          <w:lang w:val="es-CO"/>
        </w:rPr>
        <w:t xml:space="preserve">, </w:t>
      </w:r>
      <w:r w:rsidRPr="004E2959">
        <w:rPr>
          <w:rFonts w:ascii="Bookman Old Style" w:hAnsi="Bookman Old Style"/>
          <w:lang w:val="es-CO"/>
        </w:rPr>
        <w:t xml:space="preserve">teniendo en </w:t>
      </w:r>
      <w:r w:rsidR="002B67B7" w:rsidRPr="004E2959">
        <w:rPr>
          <w:rFonts w:ascii="Bookman Old Style" w:hAnsi="Bookman Old Style"/>
          <w:lang w:val="es-CO"/>
        </w:rPr>
        <w:t>consideración</w:t>
      </w:r>
      <w:r w:rsidRPr="004E2959">
        <w:rPr>
          <w:rFonts w:ascii="Bookman Old Style" w:hAnsi="Bookman Old Style"/>
          <w:lang w:val="es-CO"/>
        </w:rPr>
        <w:t xml:space="preserve"> las</w:t>
      </w:r>
      <w:r w:rsidR="00893011" w:rsidRPr="004E2959">
        <w:rPr>
          <w:rFonts w:ascii="Bookman Old Style" w:hAnsi="Bookman Old Style"/>
          <w:lang w:val="es-CO"/>
        </w:rPr>
        <w:t xml:space="preserve"> decisiones </w:t>
      </w:r>
      <w:r w:rsidR="009448F0" w:rsidRPr="004E2959">
        <w:rPr>
          <w:rFonts w:ascii="Bookman Old Style" w:hAnsi="Bookman Old Style"/>
          <w:lang w:val="es-CO"/>
        </w:rPr>
        <w:t>adoptadas por el Gobierno Nacional</w:t>
      </w:r>
      <w:r w:rsidR="002B67B7" w:rsidRPr="004E2959">
        <w:rPr>
          <w:rFonts w:ascii="Bookman Old Style" w:hAnsi="Bookman Old Style"/>
          <w:lang w:val="es-CO"/>
        </w:rPr>
        <w:t>, atendiendo</w:t>
      </w:r>
      <w:r w:rsidR="005C664F" w:rsidRPr="004E2959">
        <w:rPr>
          <w:rFonts w:ascii="Bookman Old Style" w:hAnsi="Bookman Old Style"/>
          <w:lang w:val="es-CO"/>
        </w:rPr>
        <w:t xml:space="preserve"> las condiciones en las que se encuentra </w:t>
      </w:r>
      <w:r w:rsidR="003261CD" w:rsidRPr="004E2959">
        <w:rPr>
          <w:rFonts w:ascii="Bookman Old Style" w:hAnsi="Bookman Old Style"/>
          <w:lang w:val="es-CO"/>
        </w:rPr>
        <w:t>el territorio nacional</w:t>
      </w:r>
      <w:r w:rsidR="002B67B7" w:rsidRPr="004E2959">
        <w:rPr>
          <w:rFonts w:ascii="Bookman Old Style" w:hAnsi="Bookman Old Style"/>
          <w:lang w:val="es-CO"/>
        </w:rPr>
        <w:t xml:space="preserve"> y </w:t>
      </w:r>
      <w:r w:rsidR="000E1F18" w:rsidRPr="004E2959">
        <w:rPr>
          <w:rFonts w:ascii="Bookman Old Style" w:hAnsi="Bookman Old Style"/>
          <w:lang w:val="es-CO"/>
        </w:rPr>
        <w:t>la naturaleza e</w:t>
      </w:r>
      <w:r w:rsidR="00777C75" w:rsidRPr="004E2959">
        <w:rPr>
          <w:rFonts w:ascii="Bookman Old Style" w:hAnsi="Bookman Old Style"/>
          <w:lang w:val="es-CO"/>
        </w:rPr>
        <w:t>xcepcional de las cantidades adicionales generadas en el campo Cusiana</w:t>
      </w:r>
      <w:r w:rsidR="00E17A32" w:rsidRPr="004E2959">
        <w:rPr>
          <w:rFonts w:ascii="Bookman Old Style" w:hAnsi="Bookman Old Style"/>
          <w:lang w:val="es-CO"/>
        </w:rPr>
        <w:t>.</w:t>
      </w:r>
    </w:p>
    <w:p w14:paraId="7C1C4C00" w14:textId="77777777" w:rsidR="00801B68" w:rsidRPr="004E2959" w:rsidRDefault="00801B68" w:rsidP="003E2E35">
      <w:pPr>
        <w:ind w:left="0"/>
        <w:contextualSpacing/>
        <w:jc w:val="both"/>
        <w:rPr>
          <w:rFonts w:ascii="Bookman Old Style" w:hAnsi="Bookman Old Style"/>
          <w:lang w:val="es-CO"/>
        </w:rPr>
      </w:pPr>
    </w:p>
    <w:p w14:paraId="3B811C35" w14:textId="41D1B3AF" w:rsidR="002C1B57" w:rsidRPr="004E2959" w:rsidRDefault="00D26339" w:rsidP="003E2E35">
      <w:pPr>
        <w:ind w:left="0"/>
        <w:contextualSpacing/>
        <w:jc w:val="both"/>
        <w:rPr>
          <w:rFonts w:ascii="Bookman Old Style" w:hAnsi="Bookman Old Style"/>
          <w:lang w:val="es-CO"/>
        </w:rPr>
      </w:pPr>
      <w:r w:rsidRPr="004E2959">
        <w:rPr>
          <w:rFonts w:ascii="Bookman Old Style" w:hAnsi="Bookman Old Style"/>
          <w:lang w:val="es-CO"/>
        </w:rPr>
        <w:t xml:space="preserve">En relación con lo anterior, la CREG encuentra que </w:t>
      </w:r>
      <w:r w:rsidR="007E572C" w:rsidRPr="004E2959">
        <w:rPr>
          <w:rFonts w:ascii="Bookman Old Style" w:hAnsi="Bookman Old Style"/>
          <w:lang w:val="es-CO"/>
        </w:rPr>
        <w:t>la mayor oferta de</w:t>
      </w:r>
      <w:r w:rsidR="00C42D39" w:rsidRPr="004E2959">
        <w:rPr>
          <w:rFonts w:ascii="Bookman Old Style" w:hAnsi="Bookman Old Style"/>
          <w:lang w:val="es-CO"/>
        </w:rPr>
        <w:t xml:space="preserve"> </w:t>
      </w:r>
      <w:r w:rsidRPr="004E2959">
        <w:rPr>
          <w:rFonts w:ascii="Bookman Old Style" w:hAnsi="Bookman Old Style"/>
          <w:lang w:val="es-CO"/>
        </w:rPr>
        <w:t>producto para el suministro en la prestación del servicio público domiciliario debe asignarse a través de los mecanismo</w:t>
      </w:r>
      <w:r w:rsidR="00C91BC0" w:rsidRPr="004E2959">
        <w:rPr>
          <w:rFonts w:ascii="Bookman Old Style" w:hAnsi="Bookman Old Style"/>
          <w:lang w:val="es-CO"/>
        </w:rPr>
        <w:t xml:space="preserve">s definidos en </w:t>
      </w:r>
      <w:r w:rsidR="003833B8" w:rsidRPr="004E2959">
        <w:rPr>
          <w:rFonts w:ascii="Bookman Old Style" w:hAnsi="Bookman Old Style"/>
          <w:lang w:val="es-CO"/>
        </w:rPr>
        <w:t xml:space="preserve">la presente </w:t>
      </w:r>
      <w:r w:rsidR="00C91BC0" w:rsidRPr="004E2959">
        <w:rPr>
          <w:rFonts w:ascii="Bookman Old Style" w:hAnsi="Bookman Old Style"/>
          <w:lang w:val="es-CO"/>
        </w:rPr>
        <w:t xml:space="preserve">resolución, </w:t>
      </w:r>
      <w:r w:rsidR="007E572C" w:rsidRPr="004E2959">
        <w:rPr>
          <w:rFonts w:ascii="Bookman Old Style" w:hAnsi="Bookman Old Style"/>
          <w:lang w:val="es-CO"/>
        </w:rPr>
        <w:t xml:space="preserve">sin que </w:t>
      </w:r>
      <w:r w:rsidR="00C91BC0" w:rsidRPr="004E2959">
        <w:rPr>
          <w:rFonts w:ascii="Bookman Old Style" w:hAnsi="Bookman Old Style"/>
          <w:lang w:val="es-CO"/>
        </w:rPr>
        <w:t xml:space="preserve">esto se convierta o llegue a generar </w:t>
      </w:r>
      <w:r w:rsidR="002C1B57" w:rsidRPr="004E2959">
        <w:rPr>
          <w:rFonts w:ascii="Bookman Old Style" w:hAnsi="Bookman Old Style"/>
          <w:lang w:val="es-CO"/>
        </w:rPr>
        <w:t>una barrera para la competencia o en una ventaja para aumentar la posición dominante de algún agente</w:t>
      </w:r>
      <w:r w:rsidR="007E572C" w:rsidRPr="004E2959">
        <w:rPr>
          <w:rFonts w:ascii="Bookman Old Style" w:hAnsi="Bookman Old Style"/>
          <w:lang w:val="es-CO"/>
        </w:rPr>
        <w:t>. De igual forma, estos</w:t>
      </w:r>
      <w:r w:rsidR="002C1B57" w:rsidRPr="004E2959">
        <w:rPr>
          <w:rFonts w:ascii="Bookman Old Style" w:hAnsi="Bookman Old Style"/>
          <w:lang w:val="es-CO"/>
        </w:rPr>
        <w:t xml:space="preserve"> </w:t>
      </w:r>
      <w:r w:rsidR="00C42D39" w:rsidRPr="004E2959">
        <w:rPr>
          <w:rFonts w:ascii="Bookman Old Style" w:hAnsi="Bookman Old Style"/>
          <w:lang w:val="es-CO"/>
        </w:rPr>
        <w:t>deben garantizar: i)</w:t>
      </w:r>
      <w:r w:rsidRPr="004E2959">
        <w:rPr>
          <w:rFonts w:ascii="Bookman Old Style" w:hAnsi="Bookman Old Style"/>
          <w:lang w:val="es-CO"/>
        </w:rPr>
        <w:t xml:space="preserve"> </w:t>
      </w:r>
      <w:r w:rsidR="005624EB" w:rsidRPr="004E2959">
        <w:rPr>
          <w:rFonts w:ascii="Bookman Old Style" w:hAnsi="Bookman Old Style"/>
          <w:lang w:val="es-CO"/>
        </w:rPr>
        <w:t>u</w:t>
      </w:r>
      <w:r w:rsidRPr="004E2959">
        <w:rPr>
          <w:rFonts w:ascii="Bookman Old Style" w:hAnsi="Bookman Old Style"/>
          <w:lang w:val="es-CO"/>
        </w:rPr>
        <w:t>n tratamiento justo</w:t>
      </w:r>
      <w:r w:rsidR="002C1B57" w:rsidRPr="004E2959">
        <w:rPr>
          <w:rFonts w:ascii="Bookman Old Style" w:hAnsi="Bookman Old Style"/>
          <w:lang w:val="es-CO"/>
        </w:rPr>
        <w:t>,</w:t>
      </w:r>
      <w:r w:rsidR="007E572C" w:rsidRPr="004E2959">
        <w:rPr>
          <w:rFonts w:ascii="Bookman Old Style" w:hAnsi="Bookman Old Style"/>
          <w:lang w:val="es-CO"/>
        </w:rPr>
        <w:t xml:space="preserve"> en igualdad de oportunidades para el acceso y </w:t>
      </w:r>
      <w:r w:rsidR="002C1B57" w:rsidRPr="004E2959">
        <w:rPr>
          <w:rFonts w:ascii="Bookman Old Style" w:hAnsi="Bookman Old Style"/>
          <w:lang w:val="es-CO"/>
        </w:rPr>
        <w:t>co</w:t>
      </w:r>
      <w:r w:rsidRPr="004E2959">
        <w:rPr>
          <w:rFonts w:ascii="Bookman Old Style" w:hAnsi="Bookman Old Style"/>
          <w:lang w:val="es-CO"/>
        </w:rPr>
        <w:t xml:space="preserve">mpra </w:t>
      </w:r>
      <w:r w:rsidR="007E572C" w:rsidRPr="004E2959">
        <w:rPr>
          <w:rFonts w:ascii="Bookman Old Style" w:hAnsi="Bookman Old Style"/>
          <w:lang w:val="es-CO"/>
        </w:rPr>
        <w:t>por parte de</w:t>
      </w:r>
      <w:r w:rsidRPr="004E2959">
        <w:rPr>
          <w:rFonts w:ascii="Bookman Old Style" w:hAnsi="Bookman Old Style"/>
          <w:lang w:val="es-CO"/>
        </w:rPr>
        <w:t xml:space="preserve"> todos los interesados; ii) </w:t>
      </w:r>
      <w:r w:rsidR="005624EB" w:rsidRPr="004E2959">
        <w:rPr>
          <w:rFonts w:ascii="Bookman Old Style" w:hAnsi="Bookman Old Style"/>
          <w:lang w:val="es-CO"/>
        </w:rPr>
        <w:t>t</w:t>
      </w:r>
      <w:r w:rsidR="002C1B57" w:rsidRPr="004E2959">
        <w:rPr>
          <w:rFonts w:ascii="Bookman Old Style" w:hAnsi="Bookman Old Style"/>
          <w:lang w:val="es-CO"/>
        </w:rPr>
        <w:t xml:space="preserve">ransparente, para hacer claros </w:t>
      </w:r>
      <w:r w:rsidR="007009F8" w:rsidRPr="004E2959">
        <w:rPr>
          <w:rFonts w:ascii="Bookman Old Style" w:hAnsi="Bookman Old Style"/>
          <w:lang w:val="es-CO"/>
        </w:rPr>
        <w:t>los result</w:t>
      </w:r>
      <w:r w:rsidR="007E572C" w:rsidRPr="004E2959">
        <w:rPr>
          <w:rFonts w:ascii="Bookman Old Style" w:hAnsi="Bookman Old Style"/>
          <w:lang w:val="es-CO"/>
        </w:rPr>
        <w:t>ados de la asignación, y; iii) que dicha asignación se realice de manera eficiente</w:t>
      </w:r>
      <w:r w:rsidR="002C1B57" w:rsidRPr="004E2959">
        <w:rPr>
          <w:rFonts w:ascii="Bookman Old Style" w:hAnsi="Bookman Old Style"/>
          <w:lang w:val="es-CO"/>
        </w:rPr>
        <w:t>.</w:t>
      </w:r>
      <w:r w:rsidR="00023704" w:rsidRPr="004E2959">
        <w:rPr>
          <w:rFonts w:ascii="Bookman Old Style" w:hAnsi="Bookman Old Style"/>
          <w:lang w:val="es-CO"/>
        </w:rPr>
        <w:t xml:space="preserve"> Así mismo, que dichas cantidades contribuyan a garantizar la continuidad de suministro del GLP para el servicio público domiciliario</w:t>
      </w:r>
      <w:r w:rsidR="008E0A4E" w:rsidRPr="004E2959">
        <w:rPr>
          <w:rFonts w:ascii="Bookman Old Style" w:hAnsi="Bookman Old Style"/>
          <w:lang w:val="es-CO"/>
        </w:rPr>
        <w:t xml:space="preserve">. </w:t>
      </w:r>
    </w:p>
    <w:p w14:paraId="6323EBB4" w14:textId="77777777" w:rsidR="002C1B57" w:rsidRPr="004E2959" w:rsidRDefault="002C1B57" w:rsidP="003E2E35">
      <w:pPr>
        <w:ind w:left="0"/>
        <w:contextualSpacing/>
        <w:jc w:val="both"/>
        <w:rPr>
          <w:rFonts w:ascii="Bookman Old Style" w:hAnsi="Bookman Old Style"/>
          <w:lang w:val="es-CO"/>
        </w:rPr>
      </w:pPr>
    </w:p>
    <w:p w14:paraId="3B5EE943" w14:textId="7AD45796" w:rsidR="00627469" w:rsidRDefault="008E0A4E" w:rsidP="003E2E35">
      <w:pPr>
        <w:ind w:left="0"/>
        <w:contextualSpacing/>
        <w:jc w:val="both"/>
        <w:rPr>
          <w:rFonts w:ascii="Bookman Old Style" w:hAnsi="Bookman Old Style"/>
          <w:lang w:val="es-CO"/>
        </w:rPr>
      </w:pPr>
      <w:r w:rsidRPr="004E2959">
        <w:rPr>
          <w:rFonts w:ascii="Bookman Old Style" w:hAnsi="Bookman Old Style"/>
          <w:lang w:val="es-CO"/>
        </w:rPr>
        <w:t>Adicionalmente</w:t>
      </w:r>
      <w:r w:rsidR="00C07899" w:rsidRPr="004E2959">
        <w:rPr>
          <w:rFonts w:ascii="Bookman Old Style" w:hAnsi="Bookman Old Style"/>
          <w:lang w:val="es-CO"/>
        </w:rPr>
        <w:t xml:space="preserve">, </w:t>
      </w:r>
      <w:r w:rsidR="00627469">
        <w:rPr>
          <w:rFonts w:ascii="Bookman Old Style" w:hAnsi="Bookman Old Style"/>
          <w:lang w:val="es-CO"/>
        </w:rPr>
        <w:t>frente a lo manifestado por Gasnova y Ecopetrol en relación con el cambio del punto de entrega, esto igualmente se deriva de una circunstancia que conlleva a una d</w:t>
      </w:r>
      <w:r w:rsidR="00627469" w:rsidRPr="00627469">
        <w:rPr>
          <w:rFonts w:ascii="Bookman Old Style" w:hAnsi="Bookman Old Style"/>
          <w:lang w:val="es-CO"/>
        </w:rPr>
        <w:t>isminución de la carga de las refinerías</w:t>
      </w:r>
      <w:r w:rsidR="00627469">
        <w:rPr>
          <w:rFonts w:ascii="Bookman Old Style" w:hAnsi="Bookman Old Style"/>
          <w:lang w:val="es-CO"/>
        </w:rPr>
        <w:t>, por lo que la posibilidad de modificar dicho punto de entrega permite igualmente contribuir</w:t>
      </w:r>
      <w:r w:rsidR="00627469" w:rsidRPr="00627469">
        <w:rPr>
          <w:rFonts w:ascii="Bookman Old Style" w:hAnsi="Bookman Old Style"/>
          <w:lang w:val="es-CO"/>
        </w:rPr>
        <w:t xml:space="preserve"> a garantizar la continuidad de suministro del GLP para el servicio público domiciliario.</w:t>
      </w:r>
    </w:p>
    <w:p w14:paraId="5C709648" w14:textId="77777777" w:rsidR="00627469" w:rsidRDefault="00627469" w:rsidP="003E2E35">
      <w:pPr>
        <w:ind w:left="0"/>
        <w:contextualSpacing/>
        <w:jc w:val="both"/>
        <w:rPr>
          <w:rFonts w:ascii="Bookman Old Style" w:hAnsi="Bookman Old Style"/>
          <w:lang w:val="es-CO"/>
        </w:rPr>
      </w:pPr>
    </w:p>
    <w:p w14:paraId="0BF5D72C" w14:textId="1D6F7961" w:rsidR="00627469" w:rsidRDefault="00627469" w:rsidP="003E2E35">
      <w:pPr>
        <w:ind w:left="0"/>
        <w:contextualSpacing/>
        <w:jc w:val="both"/>
        <w:rPr>
          <w:rFonts w:ascii="Bookman Old Style" w:hAnsi="Bookman Old Style"/>
          <w:lang w:val="es-CO"/>
        </w:rPr>
      </w:pPr>
      <w:r>
        <w:rPr>
          <w:rFonts w:ascii="Bookman Old Style" w:hAnsi="Bookman Old Style"/>
          <w:lang w:val="es-CO"/>
        </w:rPr>
        <w:lastRenderedPageBreak/>
        <w:t xml:space="preserve">Finalmente, </w:t>
      </w:r>
      <w:r w:rsidR="001462F3">
        <w:rPr>
          <w:rFonts w:ascii="Bookman Old Style" w:hAnsi="Bookman Old Style"/>
          <w:lang w:val="es-CO"/>
        </w:rPr>
        <w:t>la</w:t>
      </w:r>
      <w:r>
        <w:rPr>
          <w:rFonts w:ascii="Bookman Old Style" w:hAnsi="Bookman Old Style"/>
          <w:lang w:val="es-CO"/>
        </w:rPr>
        <w:t xml:space="preserve"> posibilidad de que las partes</w:t>
      </w:r>
      <w:r w:rsidR="001462F3">
        <w:rPr>
          <w:rFonts w:ascii="Bookman Old Style" w:hAnsi="Bookman Old Style"/>
          <w:lang w:val="es-CO"/>
        </w:rPr>
        <w:t xml:space="preserve"> en el marco del principio de la autonomía de la voluntad, de manera libre y de mutuo acuerdo</w:t>
      </w:r>
      <w:r w:rsidR="00BE088C">
        <w:rPr>
          <w:rFonts w:ascii="Bookman Old Style" w:hAnsi="Bookman Old Style"/>
          <w:lang w:val="es-CO"/>
        </w:rPr>
        <w:t>,</w:t>
      </w:r>
      <w:r>
        <w:rPr>
          <w:rFonts w:ascii="Bookman Old Style" w:hAnsi="Bookman Old Style"/>
          <w:lang w:val="es-CO"/>
        </w:rPr>
        <w:t xml:space="preserve"> puedan pactar</w:t>
      </w:r>
      <w:r w:rsidR="001462F3" w:rsidRPr="001462F3">
        <w:rPr>
          <w:rFonts w:ascii="Bookman Old Style" w:hAnsi="Bookman Old Style"/>
          <w:lang w:val="es-CO"/>
        </w:rPr>
        <w:t>, como un evento eximente de responsabilidad, recibir o entregar cantidades diferentes a las asignadas en la OPC vigente, siempre que las mismas sean mayores o iguales al 90% de lo contratado</w:t>
      </w:r>
      <w:r w:rsidR="001462F3">
        <w:rPr>
          <w:rFonts w:ascii="Bookman Old Style" w:hAnsi="Bookman Old Style"/>
          <w:lang w:val="es-CO"/>
        </w:rPr>
        <w:t>, pueden facilitar eventos logísticos en la entrega y recibo ante los eventos que dificultan el desarrollo normal de los procesos logísticos del comercializador mayorista de fuentes de precio regulado</w:t>
      </w:r>
      <w:r w:rsidR="00BE088C">
        <w:rPr>
          <w:rFonts w:ascii="Bookman Old Style" w:hAnsi="Bookman Old Style"/>
          <w:lang w:val="es-CO"/>
        </w:rPr>
        <w:t>,</w:t>
      </w:r>
      <w:r w:rsidR="001462F3">
        <w:rPr>
          <w:rFonts w:ascii="Bookman Old Style" w:hAnsi="Bookman Old Style"/>
          <w:lang w:val="es-CO"/>
        </w:rPr>
        <w:t xml:space="preserve"> o </w:t>
      </w:r>
      <w:r w:rsidR="00BE088C">
        <w:rPr>
          <w:rFonts w:ascii="Bookman Old Style" w:hAnsi="Bookman Old Style"/>
          <w:lang w:val="es-CO"/>
        </w:rPr>
        <w:t xml:space="preserve">de </w:t>
      </w:r>
      <w:r w:rsidR="001462F3">
        <w:rPr>
          <w:rFonts w:ascii="Bookman Old Style" w:hAnsi="Bookman Old Style"/>
          <w:lang w:val="es-CO"/>
        </w:rPr>
        <w:t xml:space="preserve">los distribuidores. </w:t>
      </w:r>
    </w:p>
    <w:p w14:paraId="2408F149" w14:textId="061D49A7" w:rsidR="00D21DF1" w:rsidRDefault="00D21DF1" w:rsidP="003E2E35">
      <w:pPr>
        <w:ind w:left="0"/>
        <w:contextualSpacing/>
        <w:jc w:val="both"/>
        <w:rPr>
          <w:rFonts w:ascii="Bookman Old Style" w:hAnsi="Bookman Old Style"/>
          <w:lang w:val="es-CO"/>
        </w:rPr>
      </w:pPr>
    </w:p>
    <w:p w14:paraId="0447AEC3" w14:textId="3CA0CFA2" w:rsidR="00D21DF1" w:rsidRPr="00D21DF1" w:rsidRDefault="00D21DF1" w:rsidP="00D21DF1">
      <w:pPr>
        <w:ind w:left="0"/>
        <w:contextualSpacing/>
        <w:jc w:val="both"/>
        <w:rPr>
          <w:rFonts w:ascii="Bookman Old Style" w:hAnsi="Bookman Old Style"/>
          <w:lang w:val="es-CO"/>
        </w:rPr>
      </w:pPr>
      <w:r w:rsidRPr="00D21DF1">
        <w:rPr>
          <w:rFonts w:ascii="Bookman Old Style" w:hAnsi="Bookman Old Style"/>
          <w:lang w:val="es-CO"/>
        </w:rPr>
        <w:t xml:space="preserve">Mediante la Resolución CREG 032 de 27 de </w:t>
      </w:r>
      <w:r w:rsidR="00BE088C">
        <w:rPr>
          <w:rFonts w:ascii="Bookman Old Style" w:hAnsi="Bookman Old Style"/>
          <w:lang w:val="es-CO"/>
        </w:rPr>
        <w:t>m</w:t>
      </w:r>
      <w:r w:rsidRPr="00D21DF1">
        <w:rPr>
          <w:rFonts w:ascii="Bookman Old Style" w:hAnsi="Bookman Old Style"/>
          <w:lang w:val="es-CO"/>
        </w:rPr>
        <w:t>arzo de 2020</w:t>
      </w:r>
      <w:r w:rsidR="00BE088C">
        <w:rPr>
          <w:rFonts w:ascii="Bookman Old Style" w:hAnsi="Bookman Old Style"/>
          <w:lang w:val="es-CO"/>
        </w:rPr>
        <w:t>,</w:t>
      </w:r>
      <w:r w:rsidRPr="00D21DF1">
        <w:rPr>
          <w:rFonts w:ascii="Bookman Old Style" w:hAnsi="Bookman Old Style"/>
          <w:lang w:val="es-CO"/>
        </w:rPr>
        <w:t xml:space="preserve"> la Comisión expidió el proyecto regulatorio “Por la cual se adoptan medidas regulatorias para la comercialización de GLP durante el período de la OPC vigente”, el cual contiene las anteriores propuestas. Durante el período de consulta se recibieron comentarios por parte de Montagas S.A. E.S.P., la Superintendencia de Servicios Públicos Domiciliarios, Ecopetrol, Asociación Gremial Colombiana de Comercializadores de Gas – AGREMGAS</w:t>
      </w:r>
      <w:r w:rsidR="00BE088C">
        <w:rPr>
          <w:rFonts w:ascii="Bookman Old Style" w:hAnsi="Bookman Old Style"/>
          <w:lang w:val="es-CO"/>
        </w:rPr>
        <w:t>,</w:t>
      </w:r>
      <w:r w:rsidRPr="00D21DF1">
        <w:rPr>
          <w:rFonts w:ascii="Bookman Old Style" w:hAnsi="Bookman Old Style"/>
          <w:lang w:val="es-CO"/>
        </w:rPr>
        <w:t xml:space="preserve"> y la Asociación Colombiana del GLP </w:t>
      </w:r>
      <w:r>
        <w:rPr>
          <w:rFonts w:ascii="Bookman Old Style" w:hAnsi="Bookman Old Style"/>
          <w:lang w:val="es-CO"/>
        </w:rPr>
        <w:t>–</w:t>
      </w:r>
      <w:r w:rsidRPr="00D21DF1">
        <w:rPr>
          <w:rFonts w:ascii="Bookman Old Style" w:hAnsi="Bookman Old Style"/>
          <w:lang w:val="es-CO"/>
        </w:rPr>
        <w:t xml:space="preserve"> GASNO</w:t>
      </w:r>
      <w:r>
        <w:rPr>
          <w:rFonts w:ascii="Bookman Old Style" w:hAnsi="Bookman Old Style"/>
          <w:lang w:val="es-CO"/>
        </w:rPr>
        <w:t>VA</w:t>
      </w:r>
      <w:r w:rsidR="00BE088C">
        <w:rPr>
          <w:rFonts w:ascii="Bookman Old Style" w:hAnsi="Bookman Old Style"/>
          <w:lang w:val="es-CO"/>
        </w:rPr>
        <w:t>,</w:t>
      </w:r>
      <w:r>
        <w:rPr>
          <w:rFonts w:ascii="Bookman Old Style" w:hAnsi="Bookman Old Style"/>
          <w:lang w:val="es-CO"/>
        </w:rPr>
        <w:t xml:space="preserve"> </w:t>
      </w:r>
      <w:r w:rsidR="00717CD2">
        <w:rPr>
          <w:rFonts w:ascii="Bookman Old Style" w:hAnsi="Bookman Old Style"/>
          <w:lang w:val="es-CO"/>
        </w:rPr>
        <w:t xml:space="preserve">a través de las comunicaciones </w:t>
      </w:r>
      <w:r w:rsidR="00930CDF">
        <w:rPr>
          <w:rFonts w:ascii="Bookman Old Style" w:hAnsi="Bookman Old Style"/>
          <w:lang w:val="es-CO"/>
        </w:rPr>
        <w:t xml:space="preserve">E-2020-002547, </w:t>
      </w:r>
      <w:r w:rsidR="00B9745B">
        <w:rPr>
          <w:rFonts w:ascii="Bookman Old Style" w:hAnsi="Bookman Old Style"/>
          <w:lang w:val="es-CO"/>
        </w:rPr>
        <w:t>E-2020-002549, E-2020-002550</w:t>
      </w:r>
      <w:r w:rsidR="00880FEE">
        <w:rPr>
          <w:rFonts w:ascii="Bookman Old Style" w:hAnsi="Bookman Old Style"/>
          <w:lang w:val="es-CO"/>
        </w:rPr>
        <w:t xml:space="preserve">, </w:t>
      </w:r>
      <w:r w:rsidR="008502A7" w:rsidRPr="00B9745B">
        <w:rPr>
          <w:rFonts w:ascii="Bookman Old Style" w:hAnsi="Bookman Old Style"/>
          <w:lang w:val="es-CO"/>
        </w:rPr>
        <w:t>E-2020-</w:t>
      </w:r>
      <w:r w:rsidR="008502A7">
        <w:rPr>
          <w:rFonts w:ascii="Bookman Old Style" w:hAnsi="Bookman Old Style"/>
          <w:lang w:val="es-CO"/>
        </w:rPr>
        <w:t xml:space="preserve">002551, </w:t>
      </w:r>
      <w:r w:rsidR="00880FEE">
        <w:rPr>
          <w:rFonts w:ascii="Bookman Old Style" w:hAnsi="Bookman Old Style"/>
          <w:lang w:val="es-CO"/>
        </w:rPr>
        <w:t>respectivamente</w:t>
      </w:r>
      <w:r w:rsidR="00717CD2" w:rsidRPr="00B9745B">
        <w:rPr>
          <w:rFonts w:ascii="Bookman Old Style" w:hAnsi="Bookman Old Style"/>
          <w:lang w:val="es-CO"/>
        </w:rPr>
        <w:t>.</w:t>
      </w:r>
    </w:p>
    <w:p w14:paraId="1C8A7CF4" w14:textId="77777777" w:rsidR="00627469" w:rsidRPr="004E2959" w:rsidRDefault="00627469" w:rsidP="003E2E35">
      <w:pPr>
        <w:ind w:left="0"/>
        <w:contextualSpacing/>
        <w:jc w:val="both"/>
        <w:rPr>
          <w:rFonts w:ascii="Bookman Old Style" w:hAnsi="Bookman Old Style"/>
          <w:lang w:val="es-CO"/>
        </w:rPr>
      </w:pPr>
    </w:p>
    <w:p w14:paraId="32DA15EB" w14:textId="0B8334E5" w:rsidR="006F3DAD" w:rsidRPr="006F3DAD" w:rsidRDefault="006F3DAD" w:rsidP="006F3DAD">
      <w:pPr>
        <w:ind w:left="0"/>
        <w:contextualSpacing/>
        <w:jc w:val="both"/>
        <w:rPr>
          <w:rFonts w:ascii="Bookman Old Style" w:hAnsi="Bookman Old Style"/>
          <w:lang w:val="es-CO"/>
        </w:rPr>
      </w:pPr>
      <w:r w:rsidRPr="006F3DAD">
        <w:rPr>
          <w:rFonts w:ascii="Bookman Old Style" w:hAnsi="Bookman Old Style"/>
          <w:lang w:val="es-CO"/>
        </w:rPr>
        <w:t>Con base en lo establecido en el artículo 4 del Decreto 2897 de 2010</w:t>
      </w:r>
      <w:r w:rsidRPr="006F3DAD">
        <w:rPr>
          <w:rFonts w:ascii="Bookman Old Style" w:hAnsi="Bookman Old Style"/>
          <w:vertAlign w:val="superscript"/>
          <w:lang w:val="es-CO"/>
        </w:rPr>
        <w:footnoteReference w:id="2"/>
      </w:r>
      <w:r w:rsidRPr="006F3DAD">
        <w:rPr>
          <w:rFonts w:ascii="Bookman Old Style" w:hAnsi="Bookman Old Style"/>
          <w:lang w:val="es-CO"/>
        </w:rPr>
        <w:t>, reglamentario de la Ley 1340 de 2009, se respondió el cuestionario establecido por la Superintendencia de Industria y Comercio para efectos de evaluar la incidencia sobre la libre competencia de los mercados, donde</w:t>
      </w:r>
      <w:r w:rsidR="00BE088C">
        <w:rPr>
          <w:rFonts w:ascii="Bookman Old Style" w:hAnsi="Bookman Old Style"/>
          <w:lang w:val="es-CO"/>
        </w:rPr>
        <w:t>,</w:t>
      </w:r>
      <w:r w:rsidRPr="006F3DAD">
        <w:rPr>
          <w:rFonts w:ascii="Bookman Old Style" w:hAnsi="Bookman Old Style"/>
          <w:lang w:val="es-CO"/>
        </w:rPr>
        <w:t xml:space="preserve"> aplicando las reglas allí previstas, la respuesta al conjunto de preguntas fue negativa, en la medida en que no plantea ninguna restricción indebida a la libre competencia.</w:t>
      </w:r>
    </w:p>
    <w:p w14:paraId="738799B5" w14:textId="77777777" w:rsidR="006F3DAD" w:rsidRPr="006F3DAD" w:rsidRDefault="006F3DAD" w:rsidP="006F3DAD">
      <w:pPr>
        <w:ind w:left="0"/>
        <w:contextualSpacing/>
        <w:jc w:val="both"/>
        <w:rPr>
          <w:rFonts w:ascii="Bookman Old Style" w:hAnsi="Bookman Old Style"/>
          <w:lang w:val="es-CO"/>
        </w:rPr>
      </w:pPr>
    </w:p>
    <w:p w14:paraId="34209D94" w14:textId="1D4A0910" w:rsidR="006F3DAD" w:rsidRPr="00D41D6A" w:rsidRDefault="006F3DAD" w:rsidP="006F3DAD">
      <w:pPr>
        <w:ind w:left="0"/>
        <w:contextualSpacing/>
        <w:jc w:val="both"/>
        <w:rPr>
          <w:rFonts w:ascii="Bookman Old Style" w:hAnsi="Bookman Old Style"/>
          <w:lang w:val="es-CO"/>
        </w:rPr>
      </w:pPr>
      <w:r w:rsidRPr="006F3DAD">
        <w:rPr>
          <w:rFonts w:ascii="Bookman Old Style" w:hAnsi="Bookman Old Style"/>
          <w:lang w:val="es-CO"/>
        </w:rPr>
        <w:t>En el Documento CR</w:t>
      </w:r>
      <w:r w:rsidRPr="00D41D6A">
        <w:rPr>
          <w:rFonts w:ascii="Bookman Old Style" w:hAnsi="Bookman Old Style"/>
          <w:lang w:val="es-CO"/>
        </w:rPr>
        <w:t xml:space="preserve">EG </w:t>
      </w:r>
      <w:r w:rsidR="6A63996E" w:rsidRPr="00D41D6A">
        <w:rPr>
          <w:rFonts w:ascii="Bookman Old Style" w:hAnsi="Bookman Old Style"/>
          <w:lang w:val="es-CO"/>
        </w:rPr>
        <w:t>D-0</w:t>
      </w:r>
      <w:r w:rsidR="00A13D4B">
        <w:rPr>
          <w:rFonts w:ascii="Bookman Old Style" w:hAnsi="Bookman Old Style"/>
          <w:lang w:val="es-CO"/>
        </w:rPr>
        <w:t>21</w:t>
      </w:r>
      <w:r w:rsidRPr="00D41D6A">
        <w:rPr>
          <w:rFonts w:ascii="Bookman Old Style" w:hAnsi="Bookman Old Style"/>
          <w:lang w:val="es-CO"/>
        </w:rPr>
        <w:t xml:space="preserve"> de </w:t>
      </w:r>
      <w:r w:rsidR="0035438E" w:rsidRPr="00D41D6A">
        <w:rPr>
          <w:rFonts w:ascii="Bookman Old Style" w:hAnsi="Bookman Old Style"/>
          <w:lang w:val="es-CO"/>
        </w:rPr>
        <w:t>marzo</w:t>
      </w:r>
      <w:r w:rsidRPr="00D41D6A">
        <w:rPr>
          <w:rFonts w:ascii="Bookman Old Style" w:hAnsi="Bookman Old Style"/>
          <w:lang w:val="es-CO"/>
        </w:rPr>
        <w:t xml:space="preserve"> </w:t>
      </w:r>
      <w:r w:rsidR="0035438E" w:rsidRPr="00D41D6A">
        <w:rPr>
          <w:rFonts w:ascii="Bookman Old Style" w:hAnsi="Bookman Old Style"/>
          <w:lang w:val="es-CO"/>
        </w:rPr>
        <w:t>29</w:t>
      </w:r>
      <w:r w:rsidRPr="00D41D6A">
        <w:rPr>
          <w:rFonts w:ascii="Bookman Old Style" w:hAnsi="Bookman Old Style"/>
          <w:lang w:val="es-CO"/>
        </w:rPr>
        <w:t xml:space="preserve"> de 20</w:t>
      </w:r>
      <w:r w:rsidR="0035438E" w:rsidRPr="00D41D6A">
        <w:rPr>
          <w:rFonts w:ascii="Bookman Old Style" w:hAnsi="Bookman Old Style"/>
          <w:lang w:val="es-CO"/>
        </w:rPr>
        <w:t>20</w:t>
      </w:r>
      <w:r w:rsidRPr="00D41D6A">
        <w:rPr>
          <w:rFonts w:ascii="Bookman Old Style" w:hAnsi="Bookman Old Style"/>
          <w:lang w:val="es-CO"/>
        </w:rPr>
        <w:t xml:space="preserve"> se transcribe el cuestionario y se da respuesta a los comentarios recibidos a la propuesta regulatoria, así como se precisan los ajustes realizados a la versión propuesta en la Resolución CREG </w:t>
      </w:r>
      <w:r w:rsidR="0035438E" w:rsidRPr="00D41D6A">
        <w:rPr>
          <w:rFonts w:ascii="Bookman Old Style" w:hAnsi="Bookman Old Style"/>
          <w:lang w:val="es-CO"/>
        </w:rPr>
        <w:t>032</w:t>
      </w:r>
      <w:r w:rsidRPr="00D41D6A">
        <w:rPr>
          <w:rFonts w:ascii="Bookman Old Style" w:hAnsi="Bookman Old Style"/>
          <w:lang w:val="es-CO"/>
        </w:rPr>
        <w:t xml:space="preserve"> de 20</w:t>
      </w:r>
      <w:r w:rsidR="0035438E" w:rsidRPr="00D41D6A">
        <w:rPr>
          <w:rFonts w:ascii="Bookman Old Style" w:hAnsi="Bookman Old Style"/>
          <w:lang w:val="es-CO"/>
        </w:rPr>
        <w:t>20</w:t>
      </w:r>
      <w:r w:rsidRPr="00D41D6A">
        <w:rPr>
          <w:rFonts w:ascii="Bookman Old Style" w:hAnsi="Bookman Old Style"/>
          <w:lang w:val="es-CO"/>
        </w:rPr>
        <w:t>.</w:t>
      </w:r>
    </w:p>
    <w:p w14:paraId="624A1519" w14:textId="77777777" w:rsidR="006F3DAD" w:rsidRPr="00D41D6A" w:rsidRDefault="006F3DAD" w:rsidP="006F3DAD">
      <w:pPr>
        <w:ind w:left="0"/>
        <w:contextualSpacing/>
        <w:jc w:val="both"/>
        <w:rPr>
          <w:rFonts w:ascii="Bookman Old Style" w:hAnsi="Bookman Old Style"/>
          <w:lang w:val="es-CO"/>
        </w:rPr>
      </w:pPr>
    </w:p>
    <w:p w14:paraId="4F185438" w14:textId="483002BE" w:rsidR="006F3DAD" w:rsidRPr="006F3DAD" w:rsidRDefault="006F3DAD" w:rsidP="006F3DAD">
      <w:pPr>
        <w:ind w:left="0"/>
        <w:contextualSpacing/>
        <w:jc w:val="both"/>
        <w:rPr>
          <w:rFonts w:ascii="Bookman Old Style" w:hAnsi="Bookman Old Style"/>
          <w:lang w:val="es-CO"/>
        </w:rPr>
      </w:pPr>
      <w:r w:rsidRPr="00D41D6A">
        <w:rPr>
          <w:rFonts w:ascii="Bookman Old Style" w:hAnsi="Bookman Old Style"/>
          <w:lang w:val="es-CO"/>
        </w:rPr>
        <w:t xml:space="preserve">La Comisión de Regulación de Energía y Gas aprobó el presente acto administrativo en la sesión No. </w:t>
      </w:r>
      <w:r w:rsidR="402ECD4C" w:rsidRPr="00D41D6A">
        <w:rPr>
          <w:rFonts w:ascii="Bookman Old Style" w:hAnsi="Bookman Old Style"/>
          <w:lang w:val="es-CO"/>
        </w:rPr>
        <w:t>989</w:t>
      </w:r>
      <w:r w:rsidRPr="00D41D6A">
        <w:rPr>
          <w:rFonts w:ascii="Bookman Old Style" w:hAnsi="Bookman Old Style"/>
          <w:lang w:val="es-CO"/>
        </w:rPr>
        <w:t xml:space="preserve"> del </w:t>
      </w:r>
      <w:r w:rsidR="0035438E" w:rsidRPr="00D41D6A">
        <w:rPr>
          <w:rFonts w:ascii="Bookman Old Style" w:hAnsi="Bookman Old Style"/>
          <w:lang w:val="es-CO"/>
        </w:rPr>
        <w:t>2</w:t>
      </w:r>
      <w:r w:rsidR="0035438E">
        <w:rPr>
          <w:rFonts w:ascii="Bookman Old Style" w:hAnsi="Bookman Old Style"/>
          <w:lang w:val="es-CO"/>
        </w:rPr>
        <w:t>9</w:t>
      </w:r>
      <w:r w:rsidRPr="006F3DAD">
        <w:rPr>
          <w:rFonts w:ascii="Bookman Old Style" w:hAnsi="Bookman Old Style"/>
          <w:lang w:val="es-CO"/>
        </w:rPr>
        <w:t xml:space="preserve"> de </w:t>
      </w:r>
      <w:r w:rsidR="0035438E">
        <w:rPr>
          <w:rFonts w:ascii="Bookman Old Style" w:hAnsi="Bookman Old Style"/>
          <w:lang w:val="es-CO"/>
        </w:rPr>
        <w:t>marzo</w:t>
      </w:r>
      <w:r w:rsidRPr="006F3DAD">
        <w:rPr>
          <w:rFonts w:ascii="Bookman Old Style" w:hAnsi="Bookman Old Style"/>
          <w:lang w:val="es-CO"/>
        </w:rPr>
        <w:t xml:space="preserve"> de 20</w:t>
      </w:r>
      <w:r w:rsidR="0035438E">
        <w:rPr>
          <w:rFonts w:ascii="Bookman Old Style" w:hAnsi="Bookman Old Style"/>
          <w:lang w:val="es-CO"/>
        </w:rPr>
        <w:t>20</w:t>
      </w:r>
      <w:r w:rsidRPr="006F3DAD">
        <w:rPr>
          <w:rFonts w:ascii="Bookman Old Style" w:hAnsi="Bookman Old Style"/>
          <w:lang w:val="es-CO"/>
        </w:rPr>
        <w:t>.</w:t>
      </w:r>
    </w:p>
    <w:p w14:paraId="4EAB99CE" w14:textId="4390F255" w:rsidR="00BE088C" w:rsidRDefault="00BE088C" w:rsidP="003E2E35">
      <w:pPr>
        <w:ind w:left="0"/>
        <w:contextualSpacing/>
        <w:jc w:val="both"/>
        <w:rPr>
          <w:rFonts w:ascii="Bookman Old Style" w:hAnsi="Bookman Old Style"/>
          <w:lang w:val="es-ES_tradnl"/>
        </w:rPr>
      </w:pPr>
    </w:p>
    <w:p w14:paraId="2AAD891D" w14:textId="77777777" w:rsidR="00A13D4B" w:rsidRPr="004E2959" w:rsidRDefault="00A13D4B" w:rsidP="003E2E35">
      <w:pPr>
        <w:ind w:left="0"/>
        <w:contextualSpacing/>
        <w:jc w:val="both"/>
        <w:rPr>
          <w:rFonts w:ascii="Bookman Old Style" w:hAnsi="Bookman Old Style"/>
          <w:lang w:val="es-ES_tradnl"/>
        </w:rPr>
      </w:pPr>
    </w:p>
    <w:p w14:paraId="3E0D77F4" w14:textId="63AF0BD7" w:rsidR="00DF753C" w:rsidRPr="0035438E" w:rsidRDefault="004C4C34" w:rsidP="0035438E">
      <w:pPr>
        <w:ind w:left="0"/>
        <w:contextualSpacing/>
        <w:jc w:val="center"/>
        <w:rPr>
          <w:rFonts w:ascii="Bookman Old Style" w:hAnsi="Bookman Old Style"/>
          <w:b/>
        </w:rPr>
      </w:pPr>
      <w:r w:rsidRPr="004E2959">
        <w:rPr>
          <w:rFonts w:ascii="Bookman Old Style" w:hAnsi="Bookman Old Style"/>
          <w:b/>
        </w:rPr>
        <w:t>R E S U E L V E:</w:t>
      </w:r>
    </w:p>
    <w:p w14:paraId="15503D45" w14:textId="77777777" w:rsidR="00BE088C" w:rsidRPr="004E2959" w:rsidRDefault="00BE088C" w:rsidP="003E2E35">
      <w:pPr>
        <w:ind w:left="0"/>
        <w:contextualSpacing/>
        <w:jc w:val="both"/>
        <w:rPr>
          <w:rFonts w:ascii="Bookman Old Style" w:hAnsi="Bookman Old Style"/>
        </w:rPr>
      </w:pPr>
    </w:p>
    <w:p w14:paraId="40B2BA18" w14:textId="2E74183B" w:rsidR="00DA64E7" w:rsidRPr="004E2959" w:rsidRDefault="00DA64E7" w:rsidP="003E2E35">
      <w:pPr>
        <w:ind w:left="0"/>
        <w:contextualSpacing/>
        <w:jc w:val="both"/>
        <w:rPr>
          <w:rFonts w:ascii="Bookman Old Style" w:hAnsi="Bookman Old Style"/>
        </w:rPr>
      </w:pPr>
      <w:r w:rsidRPr="004E2959">
        <w:rPr>
          <w:rFonts w:ascii="Bookman Old Style" w:hAnsi="Bookman Old Style"/>
          <w:b/>
        </w:rPr>
        <w:t xml:space="preserve">ARTÍCULO </w:t>
      </w:r>
      <w:r w:rsidR="00B96BD5" w:rsidRPr="004E2959">
        <w:rPr>
          <w:rFonts w:ascii="Bookman Old Style" w:hAnsi="Bookman Old Style"/>
          <w:b/>
        </w:rPr>
        <w:t>1</w:t>
      </w:r>
      <w:r w:rsidRPr="004E2959">
        <w:rPr>
          <w:rFonts w:ascii="Bookman Old Style" w:hAnsi="Bookman Old Style"/>
          <w:b/>
        </w:rPr>
        <w:t xml:space="preserve">. Mecanismo para llevar a cabo la comercialización de </w:t>
      </w:r>
      <w:r w:rsidR="00963185" w:rsidRPr="004E2959">
        <w:rPr>
          <w:rFonts w:ascii="Bookman Old Style" w:hAnsi="Bookman Old Style"/>
          <w:b/>
        </w:rPr>
        <w:t xml:space="preserve">la mayor disponibilidad de </w:t>
      </w:r>
      <w:r w:rsidRPr="004E2959">
        <w:rPr>
          <w:rFonts w:ascii="Bookman Old Style" w:hAnsi="Bookman Old Style"/>
          <w:b/>
        </w:rPr>
        <w:t xml:space="preserve">GLP proveniente de la fuente de </w:t>
      </w:r>
      <w:r w:rsidR="00001EFA" w:rsidRPr="004E2959">
        <w:rPr>
          <w:rFonts w:ascii="Bookman Old Style" w:hAnsi="Bookman Old Style"/>
          <w:b/>
        </w:rPr>
        <w:t>Cusiana</w:t>
      </w:r>
      <w:r w:rsidRPr="004E2959">
        <w:rPr>
          <w:rFonts w:ascii="Bookman Old Style" w:hAnsi="Bookman Old Style"/>
          <w:b/>
        </w:rPr>
        <w:t xml:space="preserve">. </w:t>
      </w:r>
      <w:r w:rsidRPr="004E2959">
        <w:rPr>
          <w:rFonts w:ascii="Bookman Old Style" w:hAnsi="Bookman Old Style"/>
        </w:rPr>
        <w:t xml:space="preserve">El comercializador mayorista de fuente con precio regulado podrá </w:t>
      </w:r>
      <w:r w:rsidR="00FD231B" w:rsidRPr="004E2959">
        <w:rPr>
          <w:rFonts w:ascii="Bookman Old Style" w:hAnsi="Bookman Old Style"/>
        </w:rPr>
        <w:t xml:space="preserve">ofrecer </w:t>
      </w:r>
      <w:r w:rsidRPr="004E2959">
        <w:rPr>
          <w:rFonts w:ascii="Bookman Old Style" w:hAnsi="Bookman Old Style"/>
        </w:rPr>
        <w:t xml:space="preserve">GLP </w:t>
      </w:r>
      <w:r w:rsidR="001E25FF" w:rsidRPr="004E2959">
        <w:rPr>
          <w:rFonts w:ascii="Bookman Old Style" w:hAnsi="Bookman Old Style"/>
        </w:rPr>
        <w:t xml:space="preserve">proveniente de la fuente </w:t>
      </w:r>
      <w:r w:rsidR="00001EFA" w:rsidRPr="004E2959">
        <w:rPr>
          <w:rFonts w:ascii="Bookman Old Style" w:hAnsi="Bookman Old Style"/>
        </w:rPr>
        <w:t>de Cusiana</w:t>
      </w:r>
      <w:r w:rsidR="00FD231B" w:rsidRPr="004E2959">
        <w:rPr>
          <w:rFonts w:ascii="Bookman Old Style" w:hAnsi="Bookman Old Style"/>
        </w:rPr>
        <w:t>,</w:t>
      </w:r>
      <w:r w:rsidR="001E25FF" w:rsidRPr="004E2959">
        <w:rPr>
          <w:rFonts w:ascii="Bookman Old Style" w:hAnsi="Bookman Old Style"/>
        </w:rPr>
        <w:t xml:space="preserve"> </w:t>
      </w:r>
      <w:r w:rsidRPr="004E2959">
        <w:rPr>
          <w:rFonts w:ascii="Bookman Old Style" w:hAnsi="Bookman Old Style"/>
        </w:rPr>
        <w:t xml:space="preserve">no ofrecido de acuerdo con lo previsto en </w:t>
      </w:r>
      <w:r w:rsidR="001E25FF" w:rsidRPr="004E2959">
        <w:rPr>
          <w:rFonts w:ascii="Bookman Old Style" w:hAnsi="Bookman Old Style"/>
        </w:rPr>
        <w:t>el literal d del artículo 6 de la Resolución CREG 053 de 2011</w:t>
      </w:r>
      <w:r w:rsidR="00BA223D" w:rsidRPr="004E2959">
        <w:rPr>
          <w:rFonts w:ascii="Bookman Old Style" w:hAnsi="Bookman Old Style"/>
        </w:rPr>
        <w:t>,</w:t>
      </w:r>
      <w:r w:rsidR="001E25FF" w:rsidRPr="004E2959">
        <w:rPr>
          <w:rFonts w:ascii="Bookman Old Style" w:hAnsi="Bookman Old Style"/>
        </w:rPr>
        <w:t xml:space="preserve"> atendiendo los siguientes elementos:</w:t>
      </w:r>
    </w:p>
    <w:p w14:paraId="2399FDE4" w14:textId="77777777" w:rsidR="001E25FF" w:rsidRPr="004E2959" w:rsidRDefault="001E25FF" w:rsidP="003E2E35">
      <w:pPr>
        <w:ind w:left="0"/>
        <w:contextualSpacing/>
        <w:jc w:val="both"/>
        <w:rPr>
          <w:rFonts w:ascii="Bookman Old Style" w:hAnsi="Bookman Old Style"/>
        </w:rPr>
      </w:pPr>
    </w:p>
    <w:p w14:paraId="65ADDF21" w14:textId="5D689F77" w:rsidR="001E25FF" w:rsidRPr="004E2959" w:rsidRDefault="001E25FF" w:rsidP="003E2E35">
      <w:pPr>
        <w:pStyle w:val="Prrafodelista"/>
        <w:numPr>
          <w:ilvl w:val="0"/>
          <w:numId w:val="27"/>
        </w:numPr>
        <w:ind w:left="426" w:hanging="426"/>
        <w:contextualSpacing/>
        <w:jc w:val="both"/>
        <w:rPr>
          <w:rFonts w:ascii="Bookman Old Style" w:hAnsi="Bookman Old Style"/>
          <w:sz w:val="24"/>
          <w:szCs w:val="24"/>
        </w:rPr>
      </w:pPr>
      <w:r w:rsidRPr="004E2959">
        <w:rPr>
          <w:rFonts w:ascii="Bookman Old Style" w:hAnsi="Bookman Old Style"/>
          <w:sz w:val="24"/>
          <w:szCs w:val="24"/>
        </w:rPr>
        <w:t>El GLP objeto de comercialización corresponderá específicamente a</w:t>
      </w:r>
      <w:r w:rsidR="00CE7B91" w:rsidRPr="004E2959">
        <w:rPr>
          <w:rFonts w:ascii="Bookman Old Style" w:hAnsi="Bookman Old Style"/>
          <w:sz w:val="24"/>
          <w:szCs w:val="24"/>
        </w:rPr>
        <w:t xml:space="preserve"> </w:t>
      </w:r>
      <w:r w:rsidRPr="004E2959">
        <w:rPr>
          <w:rFonts w:ascii="Bookman Old Style" w:hAnsi="Bookman Old Style"/>
          <w:sz w:val="24"/>
          <w:szCs w:val="24"/>
        </w:rPr>
        <w:t>l</w:t>
      </w:r>
      <w:r w:rsidR="00CE7B91" w:rsidRPr="004E2959">
        <w:rPr>
          <w:rFonts w:ascii="Bookman Old Style" w:hAnsi="Bookman Old Style"/>
          <w:sz w:val="24"/>
          <w:szCs w:val="24"/>
        </w:rPr>
        <w:t xml:space="preserve">a mayor producción que </w:t>
      </w:r>
      <w:r w:rsidR="00903832" w:rsidRPr="004E2959">
        <w:rPr>
          <w:rFonts w:ascii="Bookman Old Style" w:hAnsi="Bookman Old Style"/>
          <w:sz w:val="24"/>
          <w:szCs w:val="24"/>
        </w:rPr>
        <w:t xml:space="preserve">se </w:t>
      </w:r>
      <w:r w:rsidR="00CE7B91" w:rsidRPr="004E2959">
        <w:rPr>
          <w:rFonts w:ascii="Bookman Old Style" w:hAnsi="Bookman Old Style"/>
          <w:sz w:val="24"/>
          <w:szCs w:val="24"/>
        </w:rPr>
        <w:t xml:space="preserve">genera </w:t>
      </w:r>
      <w:r w:rsidR="00903832" w:rsidRPr="004E2959">
        <w:rPr>
          <w:rFonts w:ascii="Bookman Old Style" w:hAnsi="Bookman Old Style"/>
          <w:sz w:val="24"/>
          <w:szCs w:val="24"/>
        </w:rPr>
        <w:t>por la reprogramación de</w:t>
      </w:r>
      <w:r w:rsidR="0014109B" w:rsidRPr="004E2959">
        <w:rPr>
          <w:rFonts w:ascii="Bookman Old Style" w:hAnsi="Bookman Old Style"/>
          <w:sz w:val="24"/>
          <w:szCs w:val="24"/>
        </w:rPr>
        <w:t xml:space="preserve">l mantenimiento </w:t>
      </w:r>
      <w:r w:rsidR="008E79B0" w:rsidRPr="004E2959">
        <w:rPr>
          <w:rFonts w:ascii="Bookman Old Style" w:hAnsi="Bookman Old Style"/>
          <w:sz w:val="24"/>
          <w:szCs w:val="24"/>
        </w:rPr>
        <w:t>en</w:t>
      </w:r>
      <w:r w:rsidR="0014109B" w:rsidRPr="004E2959">
        <w:rPr>
          <w:rFonts w:ascii="Bookman Old Style" w:hAnsi="Bookman Old Style"/>
          <w:sz w:val="24"/>
          <w:szCs w:val="24"/>
        </w:rPr>
        <w:t xml:space="preserve"> la </w:t>
      </w:r>
      <w:r w:rsidR="00001EFA" w:rsidRPr="004E2959">
        <w:rPr>
          <w:rFonts w:ascii="Bookman Old Style" w:hAnsi="Bookman Old Style"/>
          <w:sz w:val="24"/>
          <w:szCs w:val="24"/>
        </w:rPr>
        <w:t>fuente Cusiana,</w:t>
      </w:r>
      <w:r w:rsidR="00CE7B91" w:rsidRPr="004E2959">
        <w:rPr>
          <w:rFonts w:ascii="Bookman Old Style" w:hAnsi="Bookman Old Style"/>
          <w:sz w:val="24"/>
          <w:szCs w:val="24"/>
        </w:rPr>
        <w:t xml:space="preserve"> durante </w:t>
      </w:r>
      <w:r w:rsidR="0014109B" w:rsidRPr="004E2959">
        <w:rPr>
          <w:rFonts w:ascii="Bookman Old Style" w:hAnsi="Bookman Old Style"/>
          <w:sz w:val="24"/>
          <w:szCs w:val="24"/>
        </w:rPr>
        <w:t xml:space="preserve">el mes de abril </w:t>
      </w:r>
      <w:r w:rsidR="00CE7B91" w:rsidRPr="004E2959">
        <w:rPr>
          <w:rFonts w:ascii="Bookman Old Style" w:hAnsi="Bookman Old Style"/>
          <w:sz w:val="24"/>
          <w:szCs w:val="24"/>
        </w:rPr>
        <w:t>de 20</w:t>
      </w:r>
      <w:r w:rsidR="00001EFA" w:rsidRPr="004E2959">
        <w:rPr>
          <w:rFonts w:ascii="Bookman Old Style" w:hAnsi="Bookman Old Style"/>
          <w:sz w:val="24"/>
          <w:szCs w:val="24"/>
        </w:rPr>
        <w:t>20</w:t>
      </w:r>
      <w:r w:rsidR="00CE7B91" w:rsidRPr="004E2959">
        <w:rPr>
          <w:rFonts w:ascii="Bookman Old Style" w:hAnsi="Bookman Old Style"/>
          <w:sz w:val="24"/>
          <w:szCs w:val="24"/>
        </w:rPr>
        <w:t>.</w:t>
      </w:r>
    </w:p>
    <w:p w14:paraId="5A55E3E2" w14:textId="77777777" w:rsidR="00CE7B91" w:rsidRPr="004E2959" w:rsidRDefault="00CE7B91" w:rsidP="003E2E35">
      <w:pPr>
        <w:pStyle w:val="Prrafodelista"/>
        <w:ind w:left="426" w:hanging="426"/>
        <w:contextualSpacing/>
        <w:jc w:val="both"/>
        <w:rPr>
          <w:rFonts w:ascii="Bookman Old Style" w:hAnsi="Bookman Old Style"/>
          <w:sz w:val="24"/>
          <w:szCs w:val="24"/>
        </w:rPr>
      </w:pPr>
    </w:p>
    <w:p w14:paraId="2C142859" w14:textId="10AB9D02" w:rsidR="00CE7B91" w:rsidRPr="004E2959" w:rsidRDefault="000718DB" w:rsidP="003E2E35">
      <w:pPr>
        <w:pStyle w:val="Prrafodelista"/>
        <w:numPr>
          <w:ilvl w:val="0"/>
          <w:numId w:val="27"/>
        </w:numPr>
        <w:ind w:left="426" w:hanging="426"/>
        <w:contextualSpacing/>
        <w:jc w:val="both"/>
        <w:rPr>
          <w:rFonts w:ascii="Bookman Old Style" w:hAnsi="Bookman Old Style"/>
          <w:sz w:val="24"/>
          <w:szCs w:val="24"/>
        </w:rPr>
      </w:pPr>
      <w:r w:rsidRPr="004E2959">
        <w:rPr>
          <w:rFonts w:ascii="Bookman Old Style" w:hAnsi="Bookman Old Style"/>
          <w:sz w:val="24"/>
          <w:szCs w:val="24"/>
        </w:rPr>
        <w:lastRenderedPageBreak/>
        <w:t>La comercialización de</w:t>
      </w:r>
      <w:r w:rsidR="0057141B" w:rsidRPr="004E2959">
        <w:rPr>
          <w:rFonts w:ascii="Bookman Old Style" w:hAnsi="Bookman Old Style"/>
          <w:sz w:val="24"/>
          <w:szCs w:val="24"/>
        </w:rPr>
        <w:t xml:space="preserve"> esta mayor disponibilidad </w:t>
      </w:r>
      <w:r w:rsidR="00025F75" w:rsidRPr="004E2959">
        <w:rPr>
          <w:rFonts w:ascii="Bookman Old Style" w:hAnsi="Bookman Old Style"/>
          <w:sz w:val="24"/>
          <w:szCs w:val="24"/>
        </w:rPr>
        <w:t>se efectuará en los términos previstos en los artículos 13 y 14 de la Resolución CREG 053 de 2011</w:t>
      </w:r>
      <w:r w:rsidR="000514A4" w:rsidRPr="004E2959">
        <w:rPr>
          <w:rFonts w:ascii="Bookman Old Style" w:hAnsi="Bookman Old Style"/>
          <w:sz w:val="24"/>
          <w:szCs w:val="24"/>
        </w:rPr>
        <w:t xml:space="preserve"> para OPC adicionales</w:t>
      </w:r>
      <w:r w:rsidR="00CB768E" w:rsidRPr="004E2959">
        <w:rPr>
          <w:rFonts w:ascii="Bookman Old Style" w:hAnsi="Bookman Old Style"/>
          <w:sz w:val="24"/>
          <w:szCs w:val="24"/>
        </w:rPr>
        <w:t>.</w:t>
      </w:r>
    </w:p>
    <w:p w14:paraId="1C5CB09B" w14:textId="77777777" w:rsidR="00CE7B91" w:rsidRPr="004E2959" w:rsidRDefault="00CE7B91" w:rsidP="003E2E35">
      <w:pPr>
        <w:pStyle w:val="Prrafodelista"/>
        <w:ind w:left="426" w:hanging="426"/>
        <w:contextualSpacing/>
        <w:rPr>
          <w:rFonts w:ascii="Bookman Old Style" w:hAnsi="Bookman Old Style"/>
          <w:sz w:val="24"/>
          <w:szCs w:val="24"/>
        </w:rPr>
      </w:pPr>
    </w:p>
    <w:p w14:paraId="7DB13CA0" w14:textId="66FB0DE2" w:rsidR="00464AEB" w:rsidRPr="004E2959" w:rsidRDefault="00464AEB" w:rsidP="003E2E35">
      <w:pPr>
        <w:pStyle w:val="Prrafodelista"/>
        <w:numPr>
          <w:ilvl w:val="0"/>
          <w:numId w:val="27"/>
        </w:numPr>
        <w:ind w:left="426" w:hanging="426"/>
        <w:contextualSpacing/>
        <w:jc w:val="both"/>
        <w:rPr>
          <w:rFonts w:ascii="Bookman Old Style" w:hAnsi="Bookman Old Style"/>
          <w:sz w:val="24"/>
          <w:szCs w:val="24"/>
        </w:rPr>
      </w:pPr>
      <w:r w:rsidRPr="004E2959">
        <w:rPr>
          <w:rFonts w:ascii="Bookman Old Style" w:hAnsi="Bookman Old Style"/>
          <w:sz w:val="24"/>
          <w:szCs w:val="24"/>
        </w:rPr>
        <w:t xml:space="preserve">A las cantidades comercializadas en esta OPC adicional no le serán aplicables las disposiciones </w:t>
      </w:r>
      <w:r w:rsidR="00761554" w:rsidRPr="004E2959">
        <w:rPr>
          <w:rFonts w:ascii="Bookman Old Style" w:hAnsi="Bookman Old Style"/>
          <w:sz w:val="24"/>
          <w:szCs w:val="24"/>
        </w:rPr>
        <w:t>d</w:t>
      </w:r>
      <w:r w:rsidRPr="004E2959">
        <w:rPr>
          <w:rFonts w:ascii="Bookman Old Style" w:hAnsi="Bookman Old Style"/>
          <w:sz w:val="24"/>
          <w:szCs w:val="24"/>
        </w:rPr>
        <w:t>el parágrafo 1 del artículo 13 de la Resolución CREG 053 de 2011, modificad</w:t>
      </w:r>
      <w:r w:rsidR="00E00182">
        <w:rPr>
          <w:rFonts w:ascii="Bookman Old Style" w:hAnsi="Bookman Old Style"/>
          <w:sz w:val="24"/>
          <w:szCs w:val="24"/>
        </w:rPr>
        <w:t>as</w:t>
      </w:r>
      <w:r w:rsidRPr="004E2959">
        <w:rPr>
          <w:rFonts w:ascii="Bookman Old Style" w:hAnsi="Bookman Old Style"/>
          <w:sz w:val="24"/>
          <w:szCs w:val="24"/>
        </w:rPr>
        <w:t xml:space="preserve"> mediante Resolución CREG 064 de 2016.</w:t>
      </w:r>
    </w:p>
    <w:p w14:paraId="136FB566" w14:textId="77777777" w:rsidR="00464AEB" w:rsidRPr="004E2959" w:rsidRDefault="00464AEB" w:rsidP="003E2E35">
      <w:pPr>
        <w:pStyle w:val="Prrafodelista"/>
        <w:ind w:left="426" w:hanging="426"/>
        <w:contextualSpacing/>
        <w:rPr>
          <w:rFonts w:ascii="Bookman Old Style" w:hAnsi="Bookman Old Style"/>
          <w:sz w:val="24"/>
          <w:szCs w:val="24"/>
        </w:rPr>
      </w:pPr>
    </w:p>
    <w:p w14:paraId="266DD110" w14:textId="48508745" w:rsidR="00A7597D" w:rsidRPr="004E2959" w:rsidRDefault="00A7597D" w:rsidP="003E2E35">
      <w:pPr>
        <w:pStyle w:val="Prrafodelista"/>
        <w:numPr>
          <w:ilvl w:val="0"/>
          <w:numId w:val="27"/>
        </w:numPr>
        <w:ind w:left="426" w:hanging="426"/>
        <w:contextualSpacing/>
        <w:jc w:val="both"/>
        <w:rPr>
          <w:rFonts w:ascii="Bookman Old Style" w:hAnsi="Bookman Old Style"/>
          <w:sz w:val="24"/>
          <w:szCs w:val="24"/>
        </w:rPr>
      </w:pPr>
      <w:r w:rsidRPr="004E2959">
        <w:rPr>
          <w:rFonts w:ascii="Bookman Old Style" w:hAnsi="Bookman Old Style"/>
          <w:sz w:val="24"/>
          <w:szCs w:val="24"/>
        </w:rPr>
        <w:t xml:space="preserve">Esta OPC </w:t>
      </w:r>
      <w:r w:rsidR="009E16ED" w:rsidRPr="004E2959">
        <w:rPr>
          <w:rFonts w:ascii="Bookman Old Style" w:hAnsi="Bookman Old Style"/>
          <w:sz w:val="24"/>
          <w:szCs w:val="24"/>
        </w:rPr>
        <w:t xml:space="preserve">adicional </w:t>
      </w:r>
      <w:r w:rsidRPr="004E2959">
        <w:rPr>
          <w:rFonts w:ascii="Bookman Old Style" w:hAnsi="Bookman Old Style"/>
          <w:sz w:val="24"/>
          <w:szCs w:val="24"/>
        </w:rPr>
        <w:t>estará abierta a todos los distribuidores y usuarios no regulados en los términos del artículo 12 de la Resolución CREG 053 de 2011. Para el proceso de asignación de cantidades</w:t>
      </w:r>
      <w:r w:rsidR="00E00182">
        <w:rPr>
          <w:rFonts w:ascii="Bookman Old Style" w:hAnsi="Bookman Old Style"/>
          <w:sz w:val="24"/>
          <w:szCs w:val="24"/>
        </w:rPr>
        <w:t>,</w:t>
      </w:r>
      <w:r w:rsidRPr="004E2959">
        <w:rPr>
          <w:rFonts w:ascii="Bookman Old Style" w:hAnsi="Bookman Old Style"/>
          <w:sz w:val="24"/>
          <w:szCs w:val="24"/>
        </w:rPr>
        <w:t xml:space="preserve"> se considerará como zona de influencia de esta fuente</w:t>
      </w:r>
      <w:r w:rsidR="000376DC" w:rsidRPr="004E2959">
        <w:rPr>
          <w:rFonts w:ascii="Bookman Old Style" w:hAnsi="Bookman Old Style"/>
          <w:sz w:val="24"/>
          <w:szCs w:val="24"/>
        </w:rPr>
        <w:t xml:space="preserve"> </w:t>
      </w:r>
      <w:r w:rsidRPr="004E2959">
        <w:rPr>
          <w:rFonts w:ascii="Bookman Old Style" w:hAnsi="Bookman Old Style"/>
          <w:sz w:val="24"/>
          <w:szCs w:val="24"/>
        </w:rPr>
        <w:t>todo el país</w:t>
      </w:r>
      <w:r w:rsidR="00DD1074" w:rsidRPr="004E2959">
        <w:rPr>
          <w:rFonts w:ascii="Bookman Old Style" w:hAnsi="Bookman Old Style"/>
          <w:sz w:val="24"/>
          <w:szCs w:val="24"/>
        </w:rPr>
        <w:t xml:space="preserve">, por lo cual no </w:t>
      </w:r>
      <w:r w:rsidR="00445C43" w:rsidRPr="004E2959">
        <w:rPr>
          <w:rFonts w:ascii="Bookman Old Style" w:hAnsi="Bookman Old Style"/>
          <w:sz w:val="24"/>
          <w:szCs w:val="24"/>
        </w:rPr>
        <w:t xml:space="preserve">será </w:t>
      </w:r>
      <w:r w:rsidR="00DD1074" w:rsidRPr="004E2959">
        <w:rPr>
          <w:rFonts w:ascii="Bookman Old Style" w:hAnsi="Bookman Old Style"/>
          <w:sz w:val="24"/>
          <w:szCs w:val="24"/>
        </w:rPr>
        <w:t xml:space="preserve">necesario surtir el proceso </w:t>
      </w:r>
      <w:r w:rsidR="00445C43" w:rsidRPr="004E2959">
        <w:rPr>
          <w:rFonts w:ascii="Bookman Old Style" w:hAnsi="Bookman Old Style"/>
          <w:sz w:val="24"/>
          <w:szCs w:val="24"/>
        </w:rPr>
        <w:t xml:space="preserve">de solicitud de zonas de influencia </w:t>
      </w:r>
      <w:r w:rsidR="00DD1074" w:rsidRPr="004E2959">
        <w:rPr>
          <w:rFonts w:ascii="Bookman Old Style" w:hAnsi="Bookman Old Style"/>
          <w:sz w:val="24"/>
          <w:szCs w:val="24"/>
        </w:rPr>
        <w:t>ante la CREG</w:t>
      </w:r>
      <w:r w:rsidRPr="004E2959">
        <w:rPr>
          <w:rFonts w:ascii="Bookman Old Style" w:hAnsi="Bookman Old Style"/>
          <w:sz w:val="24"/>
          <w:szCs w:val="24"/>
        </w:rPr>
        <w:t>.</w:t>
      </w:r>
    </w:p>
    <w:p w14:paraId="52FA57EB" w14:textId="77777777" w:rsidR="000536CF" w:rsidRPr="004E2959" w:rsidRDefault="000536CF" w:rsidP="003E2E35">
      <w:pPr>
        <w:pStyle w:val="Prrafodelista"/>
        <w:ind w:left="426" w:hanging="426"/>
        <w:contextualSpacing/>
        <w:rPr>
          <w:rFonts w:ascii="Bookman Old Style" w:hAnsi="Bookman Old Style"/>
          <w:sz w:val="24"/>
          <w:szCs w:val="24"/>
        </w:rPr>
      </w:pPr>
    </w:p>
    <w:p w14:paraId="62BBA01D" w14:textId="2CE38BF5" w:rsidR="000536CF" w:rsidRPr="004E2959" w:rsidRDefault="0031757A" w:rsidP="003E2E35">
      <w:pPr>
        <w:pStyle w:val="Prrafodelista"/>
        <w:numPr>
          <w:ilvl w:val="0"/>
          <w:numId w:val="27"/>
        </w:numPr>
        <w:ind w:left="426" w:hanging="426"/>
        <w:contextualSpacing/>
        <w:jc w:val="both"/>
        <w:rPr>
          <w:rFonts w:ascii="Bookman Old Style" w:hAnsi="Bookman Old Style"/>
          <w:sz w:val="24"/>
          <w:szCs w:val="24"/>
        </w:rPr>
      </w:pPr>
      <w:r w:rsidRPr="004E2959">
        <w:rPr>
          <w:rFonts w:ascii="Bookman Old Style" w:hAnsi="Bookman Old Style"/>
          <w:sz w:val="24"/>
          <w:szCs w:val="24"/>
        </w:rPr>
        <w:t>El comercializador mayorista</w:t>
      </w:r>
      <w:r w:rsidR="003A609B" w:rsidRPr="004E2959">
        <w:rPr>
          <w:rFonts w:ascii="Bookman Old Style" w:hAnsi="Bookman Old Style"/>
          <w:sz w:val="24"/>
          <w:szCs w:val="24"/>
        </w:rPr>
        <w:t>,</w:t>
      </w:r>
      <w:r w:rsidRPr="004E2959">
        <w:rPr>
          <w:rFonts w:ascii="Bookman Old Style" w:hAnsi="Bookman Old Style"/>
          <w:sz w:val="24"/>
          <w:szCs w:val="24"/>
        </w:rPr>
        <w:t xml:space="preserve"> encargado de adelantar la OPC adicional</w:t>
      </w:r>
      <w:r w:rsidR="003A609B" w:rsidRPr="004E2959">
        <w:rPr>
          <w:rFonts w:ascii="Bookman Old Style" w:hAnsi="Bookman Old Style"/>
          <w:sz w:val="24"/>
          <w:szCs w:val="24"/>
        </w:rPr>
        <w:t>,</w:t>
      </w:r>
      <w:r w:rsidRPr="004E2959">
        <w:rPr>
          <w:rFonts w:ascii="Bookman Old Style" w:hAnsi="Bookman Old Style"/>
          <w:sz w:val="24"/>
          <w:szCs w:val="24"/>
        </w:rPr>
        <w:t xml:space="preserve"> deberá dar un plazo mínimo de </w:t>
      </w:r>
      <w:r w:rsidR="00416D31">
        <w:rPr>
          <w:rFonts w:ascii="Bookman Old Style" w:hAnsi="Bookman Old Style"/>
          <w:sz w:val="24"/>
          <w:szCs w:val="24"/>
        </w:rPr>
        <w:t xml:space="preserve">cuarenta y ocho </w:t>
      </w:r>
      <w:r w:rsidRPr="004E2959">
        <w:rPr>
          <w:rFonts w:ascii="Bookman Old Style" w:hAnsi="Bookman Old Style"/>
          <w:sz w:val="24"/>
          <w:szCs w:val="24"/>
        </w:rPr>
        <w:t>(</w:t>
      </w:r>
      <w:r w:rsidR="00416D31">
        <w:rPr>
          <w:rFonts w:ascii="Bookman Old Style" w:hAnsi="Bookman Old Style"/>
          <w:sz w:val="24"/>
          <w:szCs w:val="24"/>
        </w:rPr>
        <w:t>48</w:t>
      </w:r>
      <w:r w:rsidRPr="004E2959">
        <w:rPr>
          <w:rFonts w:ascii="Bookman Old Style" w:hAnsi="Bookman Old Style"/>
          <w:sz w:val="24"/>
          <w:szCs w:val="24"/>
        </w:rPr>
        <w:t xml:space="preserve">) </w:t>
      </w:r>
      <w:r w:rsidR="00416D31">
        <w:rPr>
          <w:rFonts w:ascii="Bookman Old Style" w:hAnsi="Bookman Old Style"/>
          <w:sz w:val="24"/>
          <w:szCs w:val="24"/>
        </w:rPr>
        <w:t>horas</w:t>
      </w:r>
      <w:r w:rsidRPr="004E2959">
        <w:rPr>
          <w:rFonts w:ascii="Bookman Old Style" w:hAnsi="Bookman Old Style"/>
          <w:sz w:val="24"/>
          <w:szCs w:val="24"/>
        </w:rPr>
        <w:t>, a partir de</w:t>
      </w:r>
      <w:r w:rsidR="001F08FD">
        <w:rPr>
          <w:rFonts w:ascii="Bookman Old Style" w:hAnsi="Bookman Old Style"/>
          <w:sz w:val="24"/>
          <w:szCs w:val="24"/>
        </w:rPr>
        <w:t xml:space="preserve"> </w:t>
      </w:r>
      <w:r w:rsidRPr="004E2959">
        <w:rPr>
          <w:rFonts w:ascii="Bookman Old Style" w:hAnsi="Bookman Old Style"/>
          <w:sz w:val="24"/>
          <w:szCs w:val="24"/>
        </w:rPr>
        <w:t>l</w:t>
      </w:r>
      <w:r w:rsidR="001F08FD">
        <w:rPr>
          <w:rFonts w:ascii="Bookman Old Style" w:hAnsi="Bookman Old Style"/>
          <w:sz w:val="24"/>
          <w:szCs w:val="24"/>
        </w:rPr>
        <w:t>a</w:t>
      </w:r>
      <w:r w:rsidRPr="004E2959">
        <w:rPr>
          <w:rFonts w:ascii="Bookman Old Style" w:hAnsi="Bookman Old Style"/>
          <w:sz w:val="24"/>
          <w:szCs w:val="24"/>
        </w:rPr>
        <w:t xml:space="preserve"> publicación de la </w:t>
      </w:r>
      <w:r w:rsidR="00B76D43" w:rsidRPr="004E2959">
        <w:rPr>
          <w:rFonts w:ascii="Bookman Old Style" w:hAnsi="Bookman Old Style"/>
          <w:sz w:val="24"/>
          <w:szCs w:val="24"/>
        </w:rPr>
        <w:t>oferta</w:t>
      </w:r>
      <w:r w:rsidR="00500D9A" w:rsidRPr="004E2959">
        <w:rPr>
          <w:rFonts w:ascii="Bookman Old Style" w:hAnsi="Bookman Old Style"/>
          <w:sz w:val="24"/>
          <w:szCs w:val="24"/>
        </w:rPr>
        <w:t>,</w:t>
      </w:r>
      <w:r w:rsidRPr="004E2959">
        <w:rPr>
          <w:rFonts w:ascii="Bookman Old Style" w:hAnsi="Bookman Old Style"/>
          <w:sz w:val="24"/>
          <w:szCs w:val="24"/>
        </w:rPr>
        <w:t xml:space="preserve"> a efectos de que</w:t>
      </w:r>
      <w:r w:rsidR="00443461" w:rsidRPr="004E2959">
        <w:rPr>
          <w:rFonts w:ascii="Bookman Old Style" w:hAnsi="Bookman Old Style"/>
          <w:sz w:val="24"/>
          <w:szCs w:val="24"/>
        </w:rPr>
        <w:t xml:space="preserve"> </w:t>
      </w:r>
      <w:r w:rsidRPr="004E2959">
        <w:rPr>
          <w:rFonts w:ascii="Bookman Old Style" w:hAnsi="Bookman Old Style"/>
          <w:sz w:val="24"/>
          <w:szCs w:val="24"/>
        </w:rPr>
        <w:t>los agentes puedan presentar sus solicitudes de compra</w:t>
      </w:r>
      <w:r w:rsidR="00E94152" w:rsidRPr="004E2959">
        <w:rPr>
          <w:rFonts w:ascii="Bookman Old Style" w:hAnsi="Bookman Old Style"/>
          <w:sz w:val="24"/>
          <w:szCs w:val="24"/>
        </w:rPr>
        <w:t>.</w:t>
      </w:r>
    </w:p>
    <w:p w14:paraId="2D495436" w14:textId="0887692D" w:rsidR="00B31B03" w:rsidRDefault="00B31B03" w:rsidP="003E2E35">
      <w:pPr>
        <w:ind w:left="0"/>
        <w:contextualSpacing/>
        <w:jc w:val="both"/>
        <w:rPr>
          <w:rFonts w:ascii="Bookman Old Style" w:hAnsi="Bookman Old Style"/>
        </w:rPr>
      </w:pPr>
    </w:p>
    <w:p w14:paraId="414D5888" w14:textId="315D92BD" w:rsidR="00EE68E8" w:rsidRPr="00B9745B" w:rsidRDefault="00B31B03" w:rsidP="00EE68E8">
      <w:pPr>
        <w:ind w:left="0"/>
        <w:contextualSpacing/>
        <w:jc w:val="both"/>
        <w:rPr>
          <w:rFonts w:ascii="Bookman Old Style" w:hAnsi="Bookman Old Style"/>
          <w:bCs/>
        </w:rPr>
      </w:pPr>
      <w:r w:rsidRPr="004E2959">
        <w:rPr>
          <w:rFonts w:ascii="Bookman Old Style" w:hAnsi="Bookman Old Style"/>
          <w:b/>
        </w:rPr>
        <w:t xml:space="preserve">ARTÍCULO 2. </w:t>
      </w:r>
      <w:r w:rsidR="00B5172C">
        <w:rPr>
          <w:rFonts w:ascii="Bookman Old Style" w:hAnsi="Bookman Old Style"/>
          <w:b/>
        </w:rPr>
        <w:t xml:space="preserve">Disposiciones </w:t>
      </w:r>
      <w:r w:rsidR="00225ECA" w:rsidRPr="004E2959">
        <w:rPr>
          <w:rFonts w:ascii="Bookman Old Style" w:hAnsi="Bookman Old Style"/>
          <w:b/>
        </w:rPr>
        <w:t>transitoria</w:t>
      </w:r>
      <w:r w:rsidR="00AB3A14">
        <w:rPr>
          <w:rFonts w:ascii="Bookman Old Style" w:hAnsi="Bookman Old Style"/>
          <w:b/>
        </w:rPr>
        <w:t>s</w:t>
      </w:r>
      <w:r w:rsidR="00B9745B">
        <w:rPr>
          <w:rFonts w:ascii="Bookman Old Style" w:hAnsi="Bookman Old Style"/>
          <w:b/>
        </w:rPr>
        <w:t xml:space="preserve"> para los contratos de suministro </w:t>
      </w:r>
      <w:r w:rsidR="00AB3A14">
        <w:rPr>
          <w:rFonts w:ascii="Bookman Old Style" w:hAnsi="Bookman Old Style"/>
          <w:b/>
        </w:rPr>
        <w:t>de GLP de producción nacional de fuentes de precio regulado</w:t>
      </w:r>
      <w:r w:rsidR="003F39BA" w:rsidRPr="004E2959">
        <w:rPr>
          <w:rFonts w:ascii="Bookman Old Style" w:hAnsi="Bookman Old Style"/>
          <w:b/>
        </w:rPr>
        <w:t>.</w:t>
      </w:r>
      <w:r w:rsidRPr="004E2959">
        <w:rPr>
          <w:rFonts w:ascii="Bookman Old Style" w:hAnsi="Bookman Old Style"/>
          <w:b/>
        </w:rPr>
        <w:t xml:space="preserve"> </w:t>
      </w:r>
      <w:r w:rsidR="00DF03F3">
        <w:rPr>
          <w:rFonts w:ascii="Bookman Old Style" w:hAnsi="Bookman Old Style"/>
          <w:bCs/>
        </w:rPr>
        <w:t>El comercializa</w:t>
      </w:r>
      <w:r w:rsidR="00B9745B">
        <w:rPr>
          <w:rFonts w:ascii="Bookman Old Style" w:hAnsi="Bookman Old Style"/>
          <w:bCs/>
        </w:rPr>
        <w:t>dor</w:t>
      </w:r>
      <w:r w:rsidR="00DF03F3">
        <w:rPr>
          <w:rFonts w:ascii="Bookman Old Style" w:hAnsi="Bookman Old Style"/>
          <w:bCs/>
        </w:rPr>
        <w:t xml:space="preserve"> mayorista de</w:t>
      </w:r>
      <w:r w:rsidR="00EE68E8">
        <w:rPr>
          <w:rFonts w:ascii="Bookman Old Style" w:hAnsi="Bookman Old Style"/>
          <w:bCs/>
        </w:rPr>
        <w:t xml:space="preserve"> fuentes de</w:t>
      </w:r>
      <w:r w:rsidR="00DF03F3">
        <w:rPr>
          <w:rFonts w:ascii="Bookman Old Style" w:hAnsi="Bookman Old Style"/>
          <w:bCs/>
        </w:rPr>
        <w:t xml:space="preserve"> precio regulado y los distribuidores de GLP o los comercializaciones mayoristas que los representan, que tengan contratos de suministro de GLP vigentes </w:t>
      </w:r>
      <w:r w:rsidR="00EE68E8">
        <w:rPr>
          <w:rFonts w:ascii="Bookman Old Style" w:hAnsi="Bookman Old Style"/>
          <w:bCs/>
        </w:rPr>
        <w:t>en el marco de</w:t>
      </w:r>
      <w:r w:rsidR="00DF03F3">
        <w:rPr>
          <w:rFonts w:ascii="Bookman Old Style" w:hAnsi="Bookman Old Style"/>
          <w:bCs/>
        </w:rPr>
        <w:t xml:space="preserve"> la OPC del primer semestre de 2020, </w:t>
      </w:r>
      <w:r w:rsidR="00EE68E8" w:rsidRPr="00EE68E8">
        <w:rPr>
          <w:rFonts w:ascii="Bookman Old Style" w:hAnsi="Bookman Old Style"/>
          <w:bCs/>
        </w:rPr>
        <w:t>podrán</w:t>
      </w:r>
      <w:r w:rsidR="00F313F6">
        <w:rPr>
          <w:rFonts w:ascii="Bookman Old Style" w:hAnsi="Bookman Old Style"/>
          <w:bCs/>
        </w:rPr>
        <w:t>,</w:t>
      </w:r>
      <w:r w:rsidR="00EE68E8">
        <w:rPr>
          <w:rFonts w:ascii="Bookman Old Style" w:hAnsi="Bookman Old Style"/>
          <w:bCs/>
        </w:rPr>
        <w:t xml:space="preserve"> </w:t>
      </w:r>
      <w:r w:rsidR="00EE68E8" w:rsidRPr="00EE68E8">
        <w:rPr>
          <w:rFonts w:ascii="Bookman Old Style" w:hAnsi="Bookman Old Style"/>
          <w:bCs/>
        </w:rPr>
        <w:t xml:space="preserve">de mutuo acuerdo, dentro de los </w:t>
      </w:r>
      <w:r w:rsidR="00EE68E8">
        <w:rPr>
          <w:rFonts w:ascii="Bookman Old Style" w:hAnsi="Bookman Old Style"/>
          <w:bCs/>
        </w:rPr>
        <w:t>cinco</w:t>
      </w:r>
      <w:r w:rsidR="00EE68E8" w:rsidRPr="00EE68E8">
        <w:rPr>
          <w:rFonts w:ascii="Bookman Old Style" w:hAnsi="Bookman Old Style"/>
          <w:bCs/>
        </w:rPr>
        <w:t xml:space="preserve"> (</w:t>
      </w:r>
      <w:r w:rsidR="00EE68E8">
        <w:rPr>
          <w:rFonts w:ascii="Bookman Old Style" w:hAnsi="Bookman Old Style"/>
          <w:bCs/>
        </w:rPr>
        <w:t>5</w:t>
      </w:r>
      <w:r w:rsidR="00EE68E8" w:rsidRPr="00EE68E8">
        <w:rPr>
          <w:rFonts w:ascii="Bookman Old Style" w:hAnsi="Bookman Old Style"/>
          <w:bCs/>
        </w:rPr>
        <w:t xml:space="preserve">) días </w:t>
      </w:r>
      <w:r w:rsidR="00EE68E8">
        <w:rPr>
          <w:rFonts w:ascii="Bookman Old Style" w:hAnsi="Bookman Old Style"/>
          <w:bCs/>
        </w:rPr>
        <w:t>hábiles</w:t>
      </w:r>
      <w:r w:rsidR="00EE68E8" w:rsidRPr="00EE68E8">
        <w:rPr>
          <w:rFonts w:ascii="Bookman Old Style" w:hAnsi="Bookman Old Style"/>
          <w:bCs/>
        </w:rPr>
        <w:t xml:space="preserve"> siguientes a la entrada en vigencia de la presente resolución</w:t>
      </w:r>
      <w:r w:rsidR="00EE68E8">
        <w:rPr>
          <w:rFonts w:ascii="Bookman Old Style" w:hAnsi="Bookman Old Style"/>
          <w:bCs/>
        </w:rPr>
        <w:t>: i)</w:t>
      </w:r>
      <w:r w:rsidR="00EE68E8" w:rsidRPr="00EE68E8">
        <w:rPr>
          <w:rFonts w:ascii="Bookman Old Style" w:hAnsi="Bookman Old Style"/>
          <w:bCs/>
        </w:rPr>
        <w:t xml:space="preserve"> modificar</w:t>
      </w:r>
      <w:r w:rsidR="00EE68E8">
        <w:rPr>
          <w:rFonts w:ascii="Bookman Old Style" w:hAnsi="Bookman Old Style"/>
          <w:bCs/>
        </w:rPr>
        <w:t xml:space="preserve"> las cantidades que tienen contratadas por lo que resta de la OPC; ii) incorporar cambios a los puntos de entrega</w:t>
      </w:r>
      <w:r w:rsidR="00F313F6">
        <w:rPr>
          <w:rFonts w:ascii="Bookman Old Style" w:hAnsi="Bookman Old Style"/>
          <w:bCs/>
        </w:rPr>
        <w:t>,</w:t>
      </w:r>
      <w:r w:rsidR="00EE68E8">
        <w:rPr>
          <w:rFonts w:ascii="Bookman Old Style" w:hAnsi="Bookman Old Style"/>
          <w:bCs/>
        </w:rPr>
        <w:t xml:space="preserve"> </w:t>
      </w:r>
      <w:r w:rsidR="00EE68E8" w:rsidRPr="00EE68E8">
        <w:rPr>
          <w:rFonts w:ascii="Bookman Old Style" w:hAnsi="Bookman Old Style" w:cs="Arial"/>
        </w:rPr>
        <w:t>sujeto a</w:t>
      </w:r>
      <w:r w:rsidR="00EE68E8">
        <w:rPr>
          <w:rFonts w:ascii="Bookman Old Style" w:hAnsi="Bookman Old Style" w:cs="Arial"/>
        </w:rPr>
        <w:t xml:space="preserve"> </w:t>
      </w:r>
      <w:r w:rsidR="00EE68E8" w:rsidRPr="00EE68E8">
        <w:rPr>
          <w:rFonts w:ascii="Bookman Old Style" w:hAnsi="Bookman Old Style" w:cs="Arial"/>
        </w:rPr>
        <w:t xml:space="preserve">que se aplique el precio máximo regulado correspondiente a la fuente </w:t>
      </w:r>
      <w:r w:rsidR="00B9745B">
        <w:rPr>
          <w:rFonts w:ascii="Bookman Old Style" w:hAnsi="Bookman Old Style" w:cs="Arial"/>
        </w:rPr>
        <w:t>inicial</w:t>
      </w:r>
      <w:r w:rsidR="002E6EA1">
        <w:rPr>
          <w:rFonts w:ascii="Bookman Old Style" w:hAnsi="Bookman Old Style" w:cs="Arial"/>
        </w:rPr>
        <w:t>mente</w:t>
      </w:r>
      <w:r w:rsidR="00B9745B">
        <w:rPr>
          <w:rFonts w:ascii="Bookman Old Style" w:hAnsi="Bookman Old Style" w:cs="Arial"/>
        </w:rPr>
        <w:t xml:space="preserve"> </w:t>
      </w:r>
      <w:r w:rsidR="00EE68E8" w:rsidRPr="00EE68E8">
        <w:rPr>
          <w:rFonts w:ascii="Bookman Old Style" w:hAnsi="Bookman Old Style" w:cs="Arial"/>
        </w:rPr>
        <w:t>pactada en el contrato de suministro</w:t>
      </w:r>
      <w:r w:rsidR="00B9745B">
        <w:rPr>
          <w:rFonts w:ascii="Bookman Old Style" w:hAnsi="Bookman Old Style" w:cs="Arial"/>
        </w:rPr>
        <w:t xml:space="preserve"> y que</w:t>
      </w:r>
      <w:r w:rsidR="00F313F6">
        <w:rPr>
          <w:rFonts w:ascii="Bookman Old Style" w:hAnsi="Bookman Old Style" w:cs="Arial"/>
        </w:rPr>
        <w:t>,</w:t>
      </w:r>
      <w:r w:rsidR="00B9745B">
        <w:rPr>
          <w:rFonts w:ascii="Bookman Old Style" w:hAnsi="Bookman Old Style" w:cs="Arial"/>
        </w:rPr>
        <w:t xml:space="preserve"> </w:t>
      </w:r>
      <w:r w:rsidR="00EE68E8">
        <w:rPr>
          <w:rFonts w:ascii="Bookman Old Style" w:hAnsi="Bookman Old Style" w:cs="Arial"/>
        </w:rPr>
        <w:t xml:space="preserve">al ajustar el punto de entrega, </w:t>
      </w:r>
      <w:r w:rsidR="00EE68E8" w:rsidRPr="00EE68E8">
        <w:rPr>
          <w:rFonts w:ascii="Bookman Old Style" w:hAnsi="Bookman Old Style" w:cs="Arial"/>
        </w:rPr>
        <w:t>el comercializador mayorista reconozca el mayor valor en el costo de transporte que debe asumir el comprador por retirar el producto en un sitio diferente.</w:t>
      </w:r>
    </w:p>
    <w:p w14:paraId="213A8F95" w14:textId="6015595D" w:rsidR="00EE68E8" w:rsidRDefault="00EE68E8" w:rsidP="003E2E35">
      <w:pPr>
        <w:ind w:left="0"/>
        <w:contextualSpacing/>
        <w:jc w:val="both"/>
        <w:rPr>
          <w:rFonts w:ascii="Bookman Old Style" w:hAnsi="Bookman Old Style" w:cs="Arial"/>
        </w:rPr>
      </w:pPr>
    </w:p>
    <w:p w14:paraId="2E122BAA" w14:textId="56948F93" w:rsidR="00C54D5B" w:rsidRPr="00C54D5B" w:rsidRDefault="00C54D5B" w:rsidP="003E2E35">
      <w:pPr>
        <w:ind w:left="0"/>
        <w:contextualSpacing/>
        <w:jc w:val="both"/>
        <w:rPr>
          <w:rFonts w:ascii="Bookman Old Style" w:hAnsi="Bookman Old Style" w:cs="Arial"/>
        </w:rPr>
      </w:pPr>
      <w:r w:rsidRPr="00C54D5B">
        <w:rPr>
          <w:rFonts w:ascii="Bookman Old Style" w:hAnsi="Bookman Old Style" w:cs="Arial"/>
          <w:b/>
          <w:bCs/>
        </w:rPr>
        <w:t xml:space="preserve">Parágrafo. </w:t>
      </w:r>
      <w:r>
        <w:rPr>
          <w:rFonts w:ascii="Bookman Old Style" w:hAnsi="Bookman Old Style" w:cs="Arial"/>
        </w:rPr>
        <w:t xml:space="preserve">Los comercializadores mayoristas que representaron distribuidores </w:t>
      </w:r>
      <w:r w:rsidR="006F3DAD">
        <w:rPr>
          <w:rFonts w:ascii="Bookman Old Style" w:hAnsi="Bookman Old Style" w:cs="Arial"/>
        </w:rPr>
        <w:t>para la OPC del primer semestre de 2020</w:t>
      </w:r>
      <w:r w:rsidR="00F313F6">
        <w:rPr>
          <w:rFonts w:ascii="Bookman Old Style" w:hAnsi="Bookman Old Style" w:cs="Arial"/>
        </w:rPr>
        <w:t>,</w:t>
      </w:r>
      <w:r w:rsidR="006F3DAD">
        <w:rPr>
          <w:rFonts w:ascii="Bookman Old Style" w:hAnsi="Bookman Old Style" w:cs="Arial"/>
        </w:rPr>
        <w:t xml:space="preserve"> para poder llevar a cabo las modificaciones o cambios a que hacen referencia en el presente artículo</w:t>
      </w:r>
      <w:r w:rsidR="00F313F6">
        <w:rPr>
          <w:rFonts w:ascii="Bookman Old Style" w:hAnsi="Bookman Old Style" w:cs="Arial"/>
        </w:rPr>
        <w:t>,</w:t>
      </w:r>
      <w:r w:rsidR="006F3DAD">
        <w:rPr>
          <w:rFonts w:ascii="Bookman Old Style" w:hAnsi="Bookman Old Style" w:cs="Arial"/>
        </w:rPr>
        <w:t xml:space="preserve"> deberán contar con las respectivas autorizaciones de los distribuidores dentro de los contratos de suministro que tienen </w:t>
      </w:r>
      <w:r>
        <w:rPr>
          <w:rFonts w:ascii="Bookman Old Style" w:hAnsi="Bookman Old Style" w:cs="Arial"/>
        </w:rPr>
        <w:t>vigentes</w:t>
      </w:r>
      <w:r w:rsidR="006F3DAD">
        <w:rPr>
          <w:rFonts w:ascii="Bookman Old Style" w:hAnsi="Bookman Old Style" w:cs="Arial"/>
        </w:rPr>
        <w:t>.</w:t>
      </w:r>
    </w:p>
    <w:p w14:paraId="4FE6B179" w14:textId="77777777" w:rsidR="00C54D5B" w:rsidRPr="004E2959" w:rsidRDefault="00C54D5B" w:rsidP="003E2E35">
      <w:pPr>
        <w:ind w:left="0"/>
        <w:contextualSpacing/>
        <w:jc w:val="both"/>
        <w:rPr>
          <w:rFonts w:ascii="Bookman Old Style" w:hAnsi="Bookman Old Style" w:cs="Arial"/>
        </w:rPr>
      </w:pPr>
    </w:p>
    <w:p w14:paraId="40970EDD" w14:textId="612BD3FF" w:rsidR="006732C1" w:rsidRPr="0035438E" w:rsidRDefault="00BD7D9C" w:rsidP="0035438E">
      <w:pPr>
        <w:ind w:left="0"/>
        <w:contextualSpacing/>
        <w:jc w:val="both"/>
        <w:rPr>
          <w:rFonts w:ascii="Bookman Old Style" w:hAnsi="Bookman Old Style"/>
          <w:i/>
        </w:rPr>
      </w:pPr>
      <w:r w:rsidRPr="004E2959">
        <w:rPr>
          <w:rFonts w:ascii="Bookman Old Style" w:hAnsi="Bookman Old Style"/>
          <w:b/>
        </w:rPr>
        <w:t xml:space="preserve">ARTÍCULO </w:t>
      </w:r>
      <w:r w:rsidR="00505DCC">
        <w:rPr>
          <w:rFonts w:ascii="Bookman Old Style" w:hAnsi="Bookman Old Style"/>
          <w:b/>
        </w:rPr>
        <w:t>3</w:t>
      </w:r>
      <w:r w:rsidR="004C4C34" w:rsidRPr="004E2959">
        <w:rPr>
          <w:rFonts w:ascii="Bookman Old Style" w:hAnsi="Bookman Old Style"/>
          <w:b/>
        </w:rPr>
        <w:t xml:space="preserve">. </w:t>
      </w:r>
      <w:r w:rsidR="00CD0DE2" w:rsidRPr="004E2959">
        <w:rPr>
          <w:rFonts w:ascii="Bookman Old Style" w:hAnsi="Bookman Old Style"/>
          <w:b/>
        </w:rPr>
        <w:t>Vigencia</w:t>
      </w:r>
      <w:r w:rsidR="004C4C34" w:rsidRPr="004E2959">
        <w:rPr>
          <w:rFonts w:ascii="Bookman Old Style" w:hAnsi="Bookman Old Style"/>
          <w:b/>
        </w:rPr>
        <w:t xml:space="preserve">. </w:t>
      </w:r>
      <w:r w:rsidR="004C4C34" w:rsidRPr="004E2959">
        <w:rPr>
          <w:rFonts w:ascii="Bookman Old Style" w:hAnsi="Bookman Old Style"/>
        </w:rPr>
        <w:t xml:space="preserve">Esta resolución rige a partir de su publicación en el </w:t>
      </w:r>
      <w:r w:rsidR="004C4C34" w:rsidRPr="004E2959">
        <w:rPr>
          <w:rFonts w:ascii="Bookman Old Style" w:hAnsi="Bookman Old Style"/>
          <w:i/>
        </w:rPr>
        <w:t>Diario Oficial</w:t>
      </w:r>
      <w:r w:rsidR="004C4C34" w:rsidRPr="004E2959">
        <w:rPr>
          <w:rFonts w:ascii="Bookman Old Style" w:hAnsi="Bookman Old Style"/>
        </w:rPr>
        <w:t>.</w:t>
      </w:r>
    </w:p>
    <w:p w14:paraId="5A018B8B" w14:textId="4D661B22" w:rsidR="00A9107B" w:rsidRPr="0035438E" w:rsidRDefault="004C4C34" w:rsidP="0035438E">
      <w:pPr>
        <w:contextualSpacing/>
        <w:jc w:val="center"/>
        <w:rPr>
          <w:rFonts w:ascii="Bookman Old Style" w:hAnsi="Bookman Old Style"/>
          <w:b/>
        </w:rPr>
      </w:pPr>
      <w:r w:rsidRPr="004E2959">
        <w:rPr>
          <w:rFonts w:ascii="Bookman Old Style" w:hAnsi="Bookman Old Style"/>
          <w:b/>
        </w:rPr>
        <w:t>PUBLÍQUESE Y CÚMPLASE</w:t>
      </w:r>
    </w:p>
    <w:p w14:paraId="1557295F" w14:textId="77777777" w:rsidR="004C4C34" w:rsidRPr="004E2959" w:rsidRDefault="004C4C34" w:rsidP="003E2E35">
      <w:pPr>
        <w:ind w:left="0"/>
        <w:contextualSpacing/>
        <w:rPr>
          <w:rFonts w:ascii="Bookman Old Style" w:hAnsi="Bookman Old Style"/>
          <w:sz w:val="20"/>
        </w:rPr>
      </w:pPr>
    </w:p>
    <w:p w14:paraId="7F5F58F8" w14:textId="3417E0FA" w:rsidR="00A56691" w:rsidRDefault="0035438E" w:rsidP="003E2E35">
      <w:pPr>
        <w:ind w:left="0"/>
        <w:contextualSpacing/>
        <w:rPr>
          <w:rFonts w:ascii="Bookman Old Style" w:hAnsi="Bookman Old Style"/>
        </w:rPr>
      </w:pPr>
      <w:r w:rsidRPr="0035438E">
        <w:rPr>
          <w:rFonts w:ascii="Bookman Old Style" w:hAnsi="Bookman Old Style"/>
        </w:rPr>
        <w:t>Dada en Bogotá D.C. a</w:t>
      </w:r>
      <w:r w:rsidR="00A13D4B">
        <w:rPr>
          <w:rFonts w:ascii="Bookman Old Style" w:hAnsi="Bookman Old Style"/>
        </w:rPr>
        <w:t xml:space="preserve"> </w:t>
      </w:r>
      <w:r w:rsidR="00A13D4B" w:rsidRPr="00A13D4B">
        <w:rPr>
          <w:rFonts w:ascii="Bookman Old Style" w:hAnsi="Bookman Old Style"/>
          <w:b/>
          <w:bCs/>
        </w:rPr>
        <w:t>29 MAR. 2020</w:t>
      </w:r>
    </w:p>
    <w:p w14:paraId="2CAA7099" w14:textId="77777777" w:rsidR="00A9107B" w:rsidRDefault="00A9107B" w:rsidP="003E2E35">
      <w:pPr>
        <w:ind w:left="0"/>
        <w:contextualSpacing/>
        <w:rPr>
          <w:rFonts w:ascii="Bookman Old Style" w:hAnsi="Bookman Old Style"/>
        </w:rPr>
      </w:pPr>
    </w:p>
    <w:p w14:paraId="2C8D9036" w14:textId="6970C602" w:rsidR="00A9107B" w:rsidRDefault="00A9107B" w:rsidP="003E2E35">
      <w:pPr>
        <w:ind w:left="0"/>
        <w:contextualSpacing/>
        <w:rPr>
          <w:rFonts w:ascii="Bookman Old Style" w:hAnsi="Bookman Old Style"/>
        </w:rPr>
      </w:pPr>
    </w:p>
    <w:p w14:paraId="26693BE8" w14:textId="77777777" w:rsidR="0035438E" w:rsidRDefault="0035438E" w:rsidP="003E2E35">
      <w:pPr>
        <w:ind w:left="0"/>
        <w:contextualSpacing/>
        <w:rPr>
          <w:rFonts w:ascii="Bookman Old Style" w:hAnsi="Bookman Old Style"/>
        </w:rPr>
      </w:pPr>
    </w:p>
    <w:tbl>
      <w:tblPr>
        <w:tblW w:w="5456" w:type="pct"/>
        <w:jc w:val="center"/>
        <w:tblCellMar>
          <w:left w:w="70" w:type="dxa"/>
          <w:right w:w="70" w:type="dxa"/>
        </w:tblCellMar>
        <w:tblLook w:val="04A0" w:firstRow="1" w:lastRow="0" w:firstColumn="1" w:lastColumn="0" w:noHBand="0" w:noVBand="1"/>
      </w:tblPr>
      <w:tblGrid>
        <w:gridCol w:w="5245"/>
        <w:gridCol w:w="4964"/>
      </w:tblGrid>
      <w:tr w:rsidR="001462F3" w:rsidRPr="00FD5CA5" w14:paraId="0D85032F" w14:textId="77777777" w:rsidTr="008E03AF">
        <w:trPr>
          <w:trHeight w:val="302"/>
          <w:jc w:val="center"/>
        </w:trPr>
        <w:tc>
          <w:tcPr>
            <w:tcW w:w="2569" w:type="pct"/>
            <w:hideMark/>
          </w:tcPr>
          <w:p w14:paraId="0F54BB32" w14:textId="77777777" w:rsidR="001462F3" w:rsidRPr="00FD5CA5" w:rsidRDefault="001462F3" w:rsidP="008E03AF">
            <w:pPr>
              <w:tabs>
                <w:tab w:val="left" w:pos="702"/>
              </w:tabs>
              <w:ind w:left="0"/>
              <w:jc w:val="center"/>
              <w:rPr>
                <w:rFonts w:ascii="Bookman Old Style" w:hAnsi="Bookman Old Style" w:cs="Arial"/>
                <w:b/>
                <w:spacing w:val="-3"/>
                <w:lang w:val="es-ES_tradnl"/>
              </w:rPr>
            </w:pPr>
            <w:r>
              <w:rPr>
                <w:rFonts w:ascii="Bookman Old Style" w:hAnsi="Bookman Old Style" w:cs="Arial"/>
                <w:b/>
                <w:spacing w:val="-3"/>
              </w:rPr>
              <w:t>DIEGO MESA PUYO</w:t>
            </w:r>
          </w:p>
        </w:tc>
        <w:tc>
          <w:tcPr>
            <w:tcW w:w="2431" w:type="pct"/>
            <w:hideMark/>
          </w:tcPr>
          <w:p w14:paraId="409E21D7" w14:textId="77777777" w:rsidR="001462F3" w:rsidRPr="00FD5CA5" w:rsidRDefault="001462F3" w:rsidP="008E03AF">
            <w:pPr>
              <w:tabs>
                <w:tab w:val="left" w:pos="702"/>
              </w:tabs>
              <w:ind w:left="-65" w:right="361"/>
              <w:jc w:val="center"/>
              <w:rPr>
                <w:rFonts w:ascii="Bookman Old Style" w:hAnsi="Bookman Old Style" w:cs="Arial"/>
                <w:b/>
                <w:spacing w:val="-3"/>
                <w:lang w:val="es-ES_tradnl"/>
              </w:rPr>
            </w:pPr>
            <w:r>
              <w:rPr>
                <w:rFonts w:ascii="Bookman Old Style" w:hAnsi="Bookman Old Style" w:cs="Arial"/>
                <w:b/>
                <w:spacing w:val="-3"/>
                <w:lang w:val="es-ES_tradnl"/>
              </w:rPr>
              <w:t>JORGE ALBERTO VALENCIA MARÍN</w:t>
            </w:r>
          </w:p>
        </w:tc>
      </w:tr>
      <w:tr w:rsidR="001462F3" w:rsidRPr="00FD5CA5" w14:paraId="2994CB6A" w14:textId="77777777" w:rsidTr="008E03AF">
        <w:trPr>
          <w:trHeight w:val="572"/>
          <w:jc w:val="center"/>
        </w:trPr>
        <w:tc>
          <w:tcPr>
            <w:tcW w:w="2569" w:type="pct"/>
            <w:hideMark/>
          </w:tcPr>
          <w:p w14:paraId="42D7DFE4" w14:textId="77777777" w:rsidR="001462F3" w:rsidRDefault="001462F3" w:rsidP="008E03AF">
            <w:pPr>
              <w:ind w:left="0"/>
              <w:jc w:val="center"/>
              <w:rPr>
                <w:rFonts w:ascii="Bookman Old Style" w:hAnsi="Bookman Old Style" w:cs="Arial"/>
                <w:spacing w:val="-3"/>
              </w:rPr>
            </w:pPr>
            <w:r>
              <w:rPr>
                <w:rFonts w:ascii="Bookman Old Style" w:hAnsi="Bookman Old Style" w:cs="Arial"/>
                <w:spacing w:val="-3"/>
              </w:rPr>
              <w:t xml:space="preserve">Viceministro de </w:t>
            </w:r>
            <w:r w:rsidRPr="00FD5CA5">
              <w:rPr>
                <w:rFonts w:ascii="Bookman Old Style" w:hAnsi="Bookman Old Style" w:cs="Arial"/>
                <w:spacing w:val="-3"/>
              </w:rPr>
              <w:t>Energía</w:t>
            </w:r>
            <w:r>
              <w:rPr>
                <w:rFonts w:ascii="Bookman Old Style" w:hAnsi="Bookman Old Style" w:cs="Arial"/>
                <w:spacing w:val="-3"/>
              </w:rPr>
              <w:t>, Delegado de la Ministra de Minas y Energía</w:t>
            </w:r>
          </w:p>
          <w:p w14:paraId="6EB5020C" w14:textId="77777777" w:rsidR="001462F3" w:rsidRPr="00E927A1" w:rsidRDefault="001462F3" w:rsidP="008E03AF">
            <w:pPr>
              <w:ind w:left="0"/>
              <w:jc w:val="center"/>
              <w:rPr>
                <w:rFonts w:ascii="Bookman Old Style" w:hAnsi="Bookman Old Style" w:cs="Arial"/>
                <w:spacing w:val="-3"/>
              </w:rPr>
            </w:pPr>
            <w:r>
              <w:rPr>
                <w:rFonts w:ascii="Bookman Old Style" w:hAnsi="Bookman Old Style" w:cs="Arial"/>
                <w:spacing w:val="-3"/>
              </w:rPr>
              <w:t>Presidente</w:t>
            </w:r>
          </w:p>
        </w:tc>
        <w:tc>
          <w:tcPr>
            <w:tcW w:w="2431" w:type="pct"/>
            <w:hideMark/>
          </w:tcPr>
          <w:p w14:paraId="311C667E" w14:textId="77777777" w:rsidR="001462F3" w:rsidRPr="00FD5CA5" w:rsidRDefault="001462F3" w:rsidP="008E03AF">
            <w:pPr>
              <w:ind w:left="355"/>
              <w:jc w:val="center"/>
              <w:rPr>
                <w:rFonts w:ascii="Bookman Old Style" w:hAnsi="Bookman Old Style" w:cs="Arial"/>
                <w:spacing w:val="-3"/>
                <w:lang w:val="es-ES_tradnl"/>
              </w:rPr>
            </w:pPr>
            <w:r w:rsidRPr="00FD5CA5">
              <w:rPr>
                <w:rFonts w:ascii="Bookman Old Style" w:hAnsi="Bookman Old Style" w:cs="Arial"/>
                <w:spacing w:val="-3"/>
                <w:lang w:val="es-ES_tradnl"/>
              </w:rPr>
              <w:t>Director Ejecutivo</w:t>
            </w:r>
          </w:p>
        </w:tc>
      </w:tr>
    </w:tbl>
    <w:p w14:paraId="0544E996" w14:textId="77777777" w:rsidR="00E060BE" w:rsidRPr="004E2959" w:rsidRDefault="00E060BE" w:rsidP="00F313F6">
      <w:pPr>
        <w:ind w:left="0"/>
        <w:contextualSpacing/>
        <w:rPr>
          <w:rFonts w:ascii="Bookman Old Style" w:hAnsi="Bookman Old Style"/>
        </w:rPr>
      </w:pPr>
    </w:p>
    <w:sectPr w:rsidR="00E060BE" w:rsidRPr="004E2959" w:rsidSect="005A59EF">
      <w:headerReference w:type="default" r:id="rId14"/>
      <w:headerReference w:type="first" r:id="rId15"/>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F0219" w14:textId="77777777" w:rsidR="002C1846" w:rsidRDefault="002C1846">
      <w:r>
        <w:separator/>
      </w:r>
    </w:p>
  </w:endnote>
  <w:endnote w:type="continuationSeparator" w:id="0">
    <w:p w14:paraId="11611DCF" w14:textId="77777777" w:rsidR="002C1846" w:rsidRDefault="002C1846">
      <w:r>
        <w:continuationSeparator/>
      </w:r>
    </w:p>
  </w:endnote>
  <w:endnote w:type="continuationNotice" w:id="1">
    <w:p w14:paraId="730CAF7D" w14:textId="77777777" w:rsidR="002C1846" w:rsidRDefault="002C18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F3245" w14:textId="77777777" w:rsidR="002C1846" w:rsidRDefault="002C1846">
      <w:r>
        <w:separator/>
      </w:r>
    </w:p>
  </w:footnote>
  <w:footnote w:type="continuationSeparator" w:id="0">
    <w:p w14:paraId="410824D5" w14:textId="77777777" w:rsidR="002C1846" w:rsidRDefault="002C1846">
      <w:r>
        <w:continuationSeparator/>
      </w:r>
    </w:p>
  </w:footnote>
  <w:footnote w:type="continuationNotice" w:id="1">
    <w:p w14:paraId="0EEADB5F" w14:textId="77777777" w:rsidR="002C1846" w:rsidRDefault="002C1846"/>
  </w:footnote>
  <w:footnote w:id="2">
    <w:p w14:paraId="7363D703" w14:textId="77777777" w:rsidR="006F3DAD" w:rsidRPr="009E6423" w:rsidRDefault="006F3DAD" w:rsidP="006F3DAD">
      <w:pPr>
        <w:pStyle w:val="Textonotapie"/>
        <w:ind w:left="0"/>
        <w:jc w:val="both"/>
        <w:rPr>
          <w:rFonts w:cs="Arial"/>
          <w:sz w:val="16"/>
          <w:szCs w:val="16"/>
          <w:lang w:val="es-CO"/>
        </w:rPr>
      </w:pPr>
      <w:r w:rsidRPr="00790FFE">
        <w:rPr>
          <w:rFonts w:ascii="Bookman Old Style" w:hAnsi="Bookman Old Style" w:cs="Arial"/>
          <w:sz w:val="16"/>
          <w:szCs w:val="16"/>
        </w:rPr>
        <w:footnoteRef/>
      </w:r>
      <w:r w:rsidRPr="00790FFE">
        <w:rPr>
          <w:rFonts w:ascii="Bookman Old Style" w:hAnsi="Bookman Old Style" w:cs="Arial"/>
          <w:sz w:val="16"/>
          <w:szCs w:val="16"/>
        </w:rPr>
        <w:t xml:space="preserve"> Se debe precisar que estas disposiciones se encuentran recogidas actualmente en los numerales 2.2.2.30 y siguientes del Decreto 1074 de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7E782" w14:textId="77777777" w:rsidR="00C91BC0" w:rsidRDefault="00C91BC0" w:rsidP="00951F79">
    <w:pPr>
      <w:pStyle w:val="Ttulo1"/>
      <w:ind w:right="6"/>
      <w:jc w:val="left"/>
      <w:rPr>
        <w:rFonts w:ascii="Bookman Old Style" w:hAnsi="Bookman Old Style" w:cs="Arial"/>
        <w:b w:val="0"/>
        <w:sz w:val="22"/>
        <w:szCs w:val="22"/>
      </w:rPr>
    </w:pPr>
  </w:p>
  <w:p w14:paraId="09291403" w14:textId="11F2634E" w:rsidR="00C91BC0" w:rsidRPr="00951F79" w:rsidRDefault="00C91BC0"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00DB178A" w:rsidRPr="00DB178A">
      <w:rPr>
        <w:rFonts w:ascii="Bookman Old Style" w:hAnsi="Bookman Old Style" w:cs="Arial"/>
        <w:bCs/>
        <w:szCs w:val="24"/>
        <w:u w:val="single"/>
      </w:rPr>
      <w:t>0</w:t>
    </w:r>
    <w:r w:rsidR="00A13D4B">
      <w:rPr>
        <w:rFonts w:ascii="Bookman Old Style" w:hAnsi="Bookman Old Style" w:cs="Arial"/>
        <w:bCs/>
        <w:szCs w:val="24"/>
        <w:u w:val="single"/>
      </w:rPr>
      <w:t>38</w:t>
    </w:r>
    <w:r w:rsidR="00DB178A" w:rsidRPr="00DB178A">
      <w:rPr>
        <w:rFonts w:ascii="Bookman Old Style" w:hAnsi="Bookman Old Style" w:cs="Arial"/>
        <w:b w:val="0"/>
        <w:sz w:val="22"/>
        <w:szCs w:val="22"/>
        <w:u w:val="single"/>
      </w:rPr>
      <w:t xml:space="preserve">   </w:t>
    </w:r>
    <w:r w:rsidRPr="00654384">
      <w:rPr>
        <w:rFonts w:ascii="Bookman Old Style" w:hAnsi="Bookman Old Style" w:cs="Arial"/>
        <w:b w:val="0"/>
        <w:sz w:val="22"/>
        <w:szCs w:val="22"/>
      </w:rPr>
      <w:tab/>
    </w:r>
    <w:r>
      <w:rPr>
        <w:rFonts w:ascii="Bookman Old Style" w:hAnsi="Bookman Old Style" w:cs="Arial"/>
        <w:b w:val="0"/>
        <w:sz w:val="22"/>
        <w:szCs w:val="22"/>
      </w:rPr>
      <w:t>DE</w:t>
    </w:r>
    <w:r w:rsidR="00DB178A">
      <w:rPr>
        <w:rFonts w:ascii="Bookman Old Style" w:hAnsi="Bookman Old Style" w:cs="Arial"/>
        <w:b w:val="0"/>
        <w:sz w:val="22"/>
        <w:szCs w:val="22"/>
      </w:rPr>
      <w:t xml:space="preserve">    </w:t>
    </w:r>
    <w:r>
      <w:rPr>
        <w:rFonts w:ascii="Bookman Old Style" w:hAnsi="Bookman Old Style" w:cs="Arial"/>
        <w:b w:val="0"/>
        <w:sz w:val="22"/>
        <w:szCs w:val="22"/>
      </w:rPr>
      <w:t xml:space="preserve"> </w:t>
    </w:r>
    <w:r w:rsidR="00DB178A" w:rsidRPr="00DB178A">
      <w:rPr>
        <w:rFonts w:ascii="Bookman Old Style" w:hAnsi="Bookman Old Style" w:cs="Arial"/>
        <w:bCs/>
        <w:szCs w:val="24"/>
        <w:u w:val="single"/>
      </w:rPr>
      <w:t>2</w:t>
    </w:r>
    <w:r w:rsidR="00A13D4B">
      <w:rPr>
        <w:rFonts w:ascii="Bookman Old Style" w:hAnsi="Bookman Old Style" w:cs="Arial"/>
        <w:bCs/>
        <w:szCs w:val="24"/>
        <w:u w:val="single"/>
      </w:rPr>
      <w:t>9</w:t>
    </w:r>
    <w:r w:rsidR="00DB178A" w:rsidRPr="00DB178A">
      <w:rPr>
        <w:rFonts w:ascii="Bookman Old Style" w:hAnsi="Bookman Old Style" w:cs="Arial"/>
        <w:bCs/>
        <w:szCs w:val="24"/>
        <w:u w:val="single"/>
      </w:rPr>
      <w:t xml:space="preserve"> MAR. 2020</w:t>
    </w:r>
    <w:r>
      <w:rPr>
        <w:rFonts w:ascii="Bookman Old Style" w:hAnsi="Bookman Old Style" w:cs="Arial"/>
        <w:b w:val="0"/>
        <w:sz w:val="22"/>
        <w:szCs w:val="22"/>
      </w:rPr>
      <w:tab/>
    </w:r>
    <w:r w:rsidR="00DB178A">
      <w:rPr>
        <w:rFonts w:ascii="Bookman Old Style" w:hAnsi="Bookman Old Style" w:cs="Arial"/>
        <w:b w:val="0"/>
        <w:sz w:val="22"/>
        <w:szCs w:val="22"/>
      </w:rPr>
      <w:t xml:space="preserve">     </w:t>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26356D">
      <w:rPr>
        <w:rFonts w:ascii="Bookman Old Style" w:hAnsi="Bookman Old Style" w:cs="Arial"/>
        <w:b w:val="0"/>
        <w:noProof/>
        <w:sz w:val="22"/>
        <w:szCs w:val="22"/>
      </w:rPr>
      <w:t>4</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7F0118">
      <w:fldChar w:fldCharType="begin"/>
    </w:r>
    <w:r w:rsidR="007F0118">
      <w:instrText>NUMPAGES  \* MERGEFORMAT</w:instrText>
    </w:r>
    <w:r w:rsidR="007F0118">
      <w:fldChar w:fldCharType="separate"/>
    </w:r>
    <w:r w:rsidR="0026356D" w:rsidRPr="0026356D">
      <w:rPr>
        <w:rFonts w:ascii="Bookman Old Style" w:hAnsi="Bookman Old Style" w:cs="Arial"/>
        <w:b w:val="0"/>
        <w:noProof/>
        <w:sz w:val="22"/>
        <w:szCs w:val="22"/>
      </w:rPr>
      <w:t>5</w:t>
    </w:r>
    <w:r w:rsidR="007F0118">
      <w:rPr>
        <w:rFonts w:ascii="Bookman Old Style" w:hAnsi="Bookman Old Style" w:cs="Arial"/>
        <w:b w:val="0"/>
        <w:noProof/>
        <w:sz w:val="22"/>
        <w:szCs w:val="22"/>
      </w:rPr>
      <w:fldChar w:fldCharType="end"/>
    </w:r>
  </w:p>
  <w:p w14:paraId="07F169E5" w14:textId="77777777" w:rsidR="00C91BC0" w:rsidRDefault="00C91BC0" w:rsidP="00837ECA">
    <w:pPr>
      <w:ind w:left="142" w:right="148"/>
      <w:rPr>
        <w:rFonts w:ascii="Bookman Old Style" w:hAnsi="Bookman Old Style"/>
        <w:sz w:val="22"/>
        <w:szCs w:val="22"/>
        <w:lang w:val="es-CO"/>
      </w:rPr>
    </w:pPr>
    <w:r>
      <w:rPr>
        <w:noProof/>
        <w:lang w:val="es-CO" w:eastAsia="es-CO"/>
      </w:rPr>
      <mc:AlternateContent>
        <mc:Choice Requires="wps">
          <w:drawing>
            <wp:anchor distT="0" distB="0" distL="114300" distR="114300" simplePos="0" relativeHeight="251658240" behindDoc="0" locked="0" layoutInCell="1" allowOverlap="1" wp14:anchorId="3B4EA9CC" wp14:editId="53D4BC6B">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279ED204" id="Rectangle 1" o:spid="_x0000_s1026" style="position:absolute;margin-left:-13.8pt;margin-top:10.95pt;width:493.5pt;height:77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" filled="f" strokeweight="1.5pt"/>
          </w:pict>
        </mc:Fallback>
      </mc:AlternateContent>
    </w:r>
  </w:p>
  <w:p w14:paraId="53782F83" w14:textId="165EF59F" w:rsidR="00C91BC0" w:rsidRPr="00421700" w:rsidRDefault="00FA2209" w:rsidP="00FA2209">
    <w:pPr>
      <w:ind w:left="0"/>
      <w:contextualSpacing/>
      <w:rPr>
        <w:rFonts w:ascii="Bookman Old Style" w:hAnsi="Bookman Old Style"/>
        <w:sz w:val="22"/>
        <w:szCs w:val="22"/>
      </w:rPr>
    </w:pPr>
    <w:r w:rsidRPr="00FA2209">
      <w:rPr>
        <w:rFonts w:ascii="Bookman Old Style" w:hAnsi="Bookman Old Style"/>
        <w:sz w:val="22"/>
        <w:szCs w:val="22"/>
      </w:rPr>
      <w:t>Por la cual se adoptan medidas regulatorias para la comercialización de GLP durante el período de la OPC vigente</w:t>
    </w:r>
  </w:p>
  <w:p w14:paraId="44C38CB5" w14:textId="77777777" w:rsidR="00C91BC0" w:rsidRPr="00421700" w:rsidRDefault="00C91BC0" w:rsidP="00FA2209">
    <w:pPr>
      <w:pBdr>
        <w:bottom w:val="single" w:sz="4" w:space="0" w:color="auto"/>
      </w:pBdr>
      <w:ind w:left="0" w:right="148"/>
      <w:jc w:val="both"/>
      <w:rPr>
        <w:b/>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513C2" w14:textId="77777777" w:rsidR="00C91BC0" w:rsidRDefault="00C91BC0" w:rsidP="00025383">
    <w:pPr>
      <w:pStyle w:val="Encabezado"/>
      <w:jc w:val="both"/>
      <w:rPr>
        <w:rFonts w:ascii="Arial" w:hAnsi="Arial" w:cs="Arial"/>
        <w:spacing w:val="20"/>
        <w:sz w:val="20"/>
      </w:rPr>
    </w:pPr>
    <w:r>
      <w:rPr>
        <w:rFonts w:ascii="Arial" w:hAnsi="Arial" w:cs="Arial"/>
        <w:spacing w:val="20"/>
        <w:sz w:val="20"/>
      </w:rPr>
      <w:t xml:space="preserve">                                   República de Colombia</w:t>
    </w:r>
  </w:p>
  <w:p w14:paraId="3613BF16" w14:textId="77777777" w:rsidR="00C91BC0" w:rsidRDefault="00C91BC0">
    <w:pPr>
      <w:pStyle w:val="Encabezado"/>
      <w:jc w:val="center"/>
      <w:rPr>
        <w:rFonts w:ascii="Arial" w:hAnsi="Arial" w:cs="Arial"/>
        <w:spacing w:val="20"/>
        <w:sz w:val="20"/>
      </w:rPr>
    </w:pPr>
  </w:p>
  <w:p w14:paraId="2E967F04" w14:textId="77777777" w:rsidR="00C91BC0" w:rsidRDefault="00C91BC0"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61874ACA" wp14:editId="1E4D092B">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6F5FA89A" id="Rectangle 2"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9" w15:restartNumberingAfterBreak="0">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2"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4" w15:restartNumberingAfterBreak="0">
    <w:nsid w:val="4A184BDD"/>
    <w:multiLevelType w:val="hybridMultilevel"/>
    <w:tmpl w:val="EF7CFBA2"/>
    <w:lvl w:ilvl="0" w:tplc="2D5EC726">
      <w:start w:val="1"/>
      <w:numFmt w:val="decimal"/>
      <w:lvlText w:val="%1."/>
      <w:lvlJc w:val="left"/>
      <w:pPr>
        <w:ind w:left="720" w:hanging="360"/>
      </w:pPr>
      <w:rPr>
        <w:rFonts w:hint="default"/>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AFA0D78"/>
    <w:multiLevelType w:val="hybridMultilevel"/>
    <w:tmpl w:val="90BAA1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CB87945"/>
    <w:multiLevelType w:val="hybridMultilevel"/>
    <w:tmpl w:val="2C82BECA"/>
    <w:lvl w:ilvl="0" w:tplc="0C0A0001">
      <w:start w:val="1"/>
      <w:numFmt w:val="bullet"/>
      <w:lvlText w:val=""/>
      <w:lvlJc w:val="left"/>
      <w:pPr>
        <w:tabs>
          <w:tab w:val="num" w:pos="418"/>
        </w:tabs>
        <w:ind w:left="418" w:hanging="360"/>
      </w:pPr>
      <w:rPr>
        <w:rFonts w:ascii="Symbol" w:hAnsi="Symbol" w:hint="default"/>
      </w:rPr>
    </w:lvl>
    <w:lvl w:ilvl="1" w:tplc="0C0A000F">
      <w:start w:val="1"/>
      <w:numFmt w:val="decimal"/>
      <w:lvlText w:val="%2."/>
      <w:lvlJc w:val="left"/>
      <w:pPr>
        <w:tabs>
          <w:tab w:val="num" w:pos="1498"/>
        </w:tabs>
        <w:ind w:left="1498" w:hanging="360"/>
      </w:pPr>
      <w:rPr>
        <w:rFonts w:hint="default"/>
      </w:rPr>
    </w:lvl>
    <w:lvl w:ilvl="2" w:tplc="0C0A0005" w:tentative="1">
      <w:start w:val="1"/>
      <w:numFmt w:val="bullet"/>
      <w:lvlText w:val=""/>
      <w:lvlJc w:val="left"/>
      <w:pPr>
        <w:tabs>
          <w:tab w:val="num" w:pos="2218"/>
        </w:tabs>
        <w:ind w:left="2218" w:hanging="360"/>
      </w:pPr>
      <w:rPr>
        <w:rFonts w:ascii="Wingdings" w:hAnsi="Wingdings" w:hint="default"/>
      </w:rPr>
    </w:lvl>
    <w:lvl w:ilvl="3" w:tplc="0C0A0001" w:tentative="1">
      <w:start w:val="1"/>
      <w:numFmt w:val="bullet"/>
      <w:lvlText w:val=""/>
      <w:lvlJc w:val="left"/>
      <w:pPr>
        <w:tabs>
          <w:tab w:val="num" w:pos="2938"/>
        </w:tabs>
        <w:ind w:left="2938" w:hanging="360"/>
      </w:pPr>
      <w:rPr>
        <w:rFonts w:ascii="Symbol" w:hAnsi="Symbol" w:hint="default"/>
      </w:rPr>
    </w:lvl>
    <w:lvl w:ilvl="4" w:tplc="0C0A0003" w:tentative="1">
      <w:start w:val="1"/>
      <w:numFmt w:val="bullet"/>
      <w:lvlText w:val="o"/>
      <w:lvlJc w:val="left"/>
      <w:pPr>
        <w:tabs>
          <w:tab w:val="num" w:pos="3658"/>
        </w:tabs>
        <w:ind w:left="3658" w:hanging="360"/>
      </w:pPr>
      <w:rPr>
        <w:rFonts w:ascii="Courier New" w:hAnsi="Courier New" w:hint="default"/>
      </w:rPr>
    </w:lvl>
    <w:lvl w:ilvl="5" w:tplc="0C0A0005" w:tentative="1">
      <w:start w:val="1"/>
      <w:numFmt w:val="bullet"/>
      <w:lvlText w:val=""/>
      <w:lvlJc w:val="left"/>
      <w:pPr>
        <w:tabs>
          <w:tab w:val="num" w:pos="4378"/>
        </w:tabs>
        <w:ind w:left="4378" w:hanging="360"/>
      </w:pPr>
      <w:rPr>
        <w:rFonts w:ascii="Wingdings" w:hAnsi="Wingdings" w:hint="default"/>
      </w:rPr>
    </w:lvl>
    <w:lvl w:ilvl="6" w:tplc="0C0A0001" w:tentative="1">
      <w:start w:val="1"/>
      <w:numFmt w:val="bullet"/>
      <w:lvlText w:val=""/>
      <w:lvlJc w:val="left"/>
      <w:pPr>
        <w:tabs>
          <w:tab w:val="num" w:pos="5098"/>
        </w:tabs>
        <w:ind w:left="5098" w:hanging="360"/>
      </w:pPr>
      <w:rPr>
        <w:rFonts w:ascii="Symbol" w:hAnsi="Symbol" w:hint="default"/>
      </w:rPr>
    </w:lvl>
    <w:lvl w:ilvl="7" w:tplc="0C0A0003" w:tentative="1">
      <w:start w:val="1"/>
      <w:numFmt w:val="bullet"/>
      <w:lvlText w:val="o"/>
      <w:lvlJc w:val="left"/>
      <w:pPr>
        <w:tabs>
          <w:tab w:val="num" w:pos="5818"/>
        </w:tabs>
        <w:ind w:left="5818" w:hanging="360"/>
      </w:pPr>
      <w:rPr>
        <w:rFonts w:ascii="Courier New" w:hAnsi="Courier New" w:hint="default"/>
      </w:rPr>
    </w:lvl>
    <w:lvl w:ilvl="8" w:tplc="0C0A0005" w:tentative="1">
      <w:start w:val="1"/>
      <w:numFmt w:val="bullet"/>
      <w:lvlText w:val=""/>
      <w:lvlJc w:val="left"/>
      <w:pPr>
        <w:tabs>
          <w:tab w:val="num" w:pos="6538"/>
        </w:tabs>
        <w:ind w:left="6538" w:hanging="360"/>
      </w:pPr>
      <w:rPr>
        <w:rFonts w:ascii="Wingdings" w:hAnsi="Wingdings" w:hint="default"/>
      </w:rPr>
    </w:lvl>
  </w:abstractNum>
  <w:abstractNum w:abstractNumId="17" w15:restartNumberingAfterBreak="0">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8"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C707CA6"/>
    <w:multiLevelType w:val="hybridMultilevel"/>
    <w:tmpl w:val="B4E43C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67F4591D"/>
    <w:multiLevelType w:val="hybridMultilevel"/>
    <w:tmpl w:val="F6ACE1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4"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3432BD8"/>
    <w:multiLevelType w:val="hybridMultilevel"/>
    <w:tmpl w:val="1F3E190C"/>
    <w:lvl w:ilvl="0" w:tplc="68D4F308">
      <w:start w:val="1"/>
      <w:numFmt w:val="decimal"/>
      <w:pStyle w:val="ARTICULOS"/>
      <w:lvlText w:val="Artículo %1."/>
      <w:lvlJc w:val="left"/>
      <w:pPr>
        <w:ind w:left="4046"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ES"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240A000F" w:tentative="1">
      <w:start w:val="1"/>
      <w:numFmt w:val="decimal"/>
      <w:lvlText w:val="%4."/>
      <w:lvlJc w:val="left"/>
      <w:pPr>
        <w:ind w:left="1102" w:hanging="360"/>
      </w:pPr>
    </w:lvl>
    <w:lvl w:ilvl="4" w:tplc="240A0019" w:tentative="1">
      <w:start w:val="1"/>
      <w:numFmt w:val="lowerLetter"/>
      <w:lvlText w:val="%5."/>
      <w:lvlJc w:val="left"/>
      <w:pPr>
        <w:ind w:left="1822" w:hanging="360"/>
      </w:p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abstractNum w:abstractNumId="26"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7"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26"/>
  </w:num>
  <w:num w:numId="4">
    <w:abstractNumId w:val="6"/>
  </w:num>
  <w:num w:numId="5">
    <w:abstractNumId w:val="18"/>
  </w:num>
  <w:num w:numId="6">
    <w:abstractNumId w:val="4"/>
  </w:num>
  <w:num w:numId="7">
    <w:abstractNumId w:val="3"/>
  </w:num>
  <w:num w:numId="8">
    <w:abstractNumId w:val="21"/>
  </w:num>
  <w:num w:numId="9">
    <w:abstractNumId w:val="20"/>
  </w:num>
  <w:num w:numId="10">
    <w:abstractNumId w:val="12"/>
  </w:num>
  <w:num w:numId="11">
    <w:abstractNumId w:val="27"/>
  </w:num>
  <w:num w:numId="12">
    <w:abstractNumId w:val="24"/>
  </w:num>
  <w:num w:numId="13">
    <w:abstractNumId w:val="10"/>
  </w:num>
  <w:num w:numId="14">
    <w:abstractNumId w:val="2"/>
  </w:num>
  <w:num w:numId="15">
    <w:abstractNumId w:val="13"/>
  </w:num>
  <w:num w:numId="16">
    <w:abstractNumId w:val="1"/>
  </w:num>
  <w:num w:numId="17">
    <w:abstractNumId w:val="9"/>
  </w:num>
  <w:num w:numId="18">
    <w:abstractNumId w:val="0"/>
  </w:num>
  <w:num w:numId="19">
    <w:abstractNumId w:val="23"/>
  </w:num>
  <w:num w:numId="20">
    <w:abstractNumId w:val="17"/>
  </w:num>
  <w:num w:numId="21">
    <w:abstractNumId w:val="7"/>
  </w:num>
  <w:num w:numId="22">
    <w:abstractNumId w:val="8"/>
  </w:num>
  <w:num w:numId="23">
    <w:abstractNumId w:val="25"/>
  </w:num>
  <w:num w:numId="24">
    <w:abstractNumId w:val="16"/>
  </w:num>
  <w:num w:numId="25">
    <w:abstractNumId w:val="22"/>
  </w:num>
  <w:num w:numId="26">
    <w:abstractNumId w:val="15"/>
  </w:num>
  <w:num w:numId="27">
    <w:abstractNumId w:val="19"/>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2E7"/>
    <w:rsid w:val="00001EFA"/>
    <w:rsid w:val="00004CD1"/>
    <w:rsid w:val="0000503E"/>
    <w:rsid w:val="00006AE2"/>
    <w:rsid w:val="000076A1"/>
    <w:rsid w:val="00012259"/>
    <w:rsid w:val="00012619"/>
    <w:rsid w:val="00013272"/>
    <w:rsid w:val="000160AD"/>
    <w:rsid w:val="00017415"/>
    <w:rsid w:val="000179DE"/>
    <w:rsid w:val="000211AE"/>
    <w:rsid w:val="000212FD"/>
    <w:rsid w:val="000231D5"/>
    <w:rsid w:val="00023704"/>
    <w:rsid w:val="00023AEB"/>
    <w:rsid w:val="00025383"/>
    <w:rsid w:val="00025F75"/>
    <w:rsid w:val="000271AE"/>
    <w:rsid w:val="00032E45"/>
    <w:rsid w:val="00032FCC"/>
    <w:rsid w:val="00033675"/>
    <w:rsid w:val="00034BC1"/>
    <w:rsid w:val="00035CA7"/>
    <w:rsid w:val="000376DC"/>
    <w:rsid w:val="00042947"/>
    <w:rsid w:val="00044B96"/>
    <w:rsid w:val="00045D3D"/>
    <w:rsid w:val="000514A4"/>
    <w:rsid w:val="000536CF"/>
    <w:rsid w:val="00055CC1"/>
    <w:rsid w:val="00056B3B"/>
    <w:rsid w:val="00057B11"/>
    <w:rsid w:val="00062C6F"/>
    <w:rsid w:val="00063657"/>
    <w:rsid w:val="000643E9"/>
    <w:rsid w:val="00066807"/>
    <w:rsid w:val="00070155"/>
    <w:rsid w:val="00070799"/>
    <w:rsid w:val="000711E4"/>
    <w:rsid w:val="000716FC"/>
    <w:rsid w:val="000718DB"/>
    <w:rsid w:val="00076680"/>
    <w:rsid w:val="00076A1D"/>
    <w:rsid w:val="0008073E"/>
    <w:rsid w:val="00081739"/>
    <w:rsid w:val="000831E9"/>
    <w:rsid w:val="00083BD1"/>
    <w:rsid w:val="00091C72"/>
    <w:rsid w:val="00091CDB"/>
    <w:rsid w:val="00097341"/>
    <w:rsid w:val="000A19AC"/>
    <w:rsid w:val="000A26CC"/>
    <w:rsid w:val="000A5655"/>
    <w:rsid w:val="000A7545"/>
    <w:rsid w:val="000B1F9B"/>
    <w:rsid w:val="000B2EC9"/>
    <w:rsid w:val="000B3F5D"/>
    <w:rsid w:val="000B40A7"/>
    <w:rsid w:val="000B5BB2"/>
    <w:rsid w:val="000B5E23"/>
    <w:rsid w:val="000C137E"/>
    <w:rsid w:val="000C14DF"/>
    <w:rsid w:val="000C5161"/>
    <w:rsid w:val="000C554A"/>
    <w:rsid w:val="000C5738"/>
    <w:rsid w:val="000C7728"/>
    <w:rsid w:val="000D237C"/>
    <w:rsid w:val="000D26F8"/>
    <w:rsid w:val="000D2D27"/>
    <w:rsid w:val="000D2E40"/>
    <w:rsid w:val="000D695E"/>
    <w:rsid w:val="000E0C6B"/>
    <w:rsid w:val="000E0E85"/>
    <w:rsid w:val="000E1F18"/>
    <w:rsid w:val="000E2C15"/>
    <w:rsid w:val="000E3F18"/>
    <w:rsid w:val="000E4DFE"/>
    <w:rsid w:val="000E6DD3"/>
    <w:rsid w:val="000F0863"/>
    <w:rsid w:val="000F165C"/>
    <w:rsid w:val="000F3213"/>
    <w:rsid w:val="000F5513"/>
    <w:rsid w:val="000F7424"/>
    <w:rsid w:val="0010010D"/>
    <w:rsid w:val="00106654"/>
    <w:rsid w:val="001104F8"/>
    <w:rsid w:val="00115313"/>
    <w:rsid w:val="00117256"/>
    <w:rsid w:val="00123030"/>
    <w:rsid w:val="00131027"/>
    <w:rsid w:val="00131804"/>
    <w:rsid w:val="0013392D"/>
    <w:rsid w:val="0013521E"/>
    <w:rsid w:val="0013526C"/>
    <w:rsid w:val="00137C7E"/>
    <w:rsid w:val="001405C6"/>
    <w:rsid w:val="00141013"/>
    <w:rsid w:val="0014109B"/>
    <w:rsid w:val="001462F3"/>
    <w:rsid w:val="00146344"/>
    <w:rsid w:val="00147D21"/>
    <w:rsid w:val="001530DC"/>
    <w:rsid w:val="0016115D"/>
    <w:rsid w:val="00162338"/>
    <w:rsid w:val="001651AE"/>
    <w:rsid w:val="001657B3"/>
    <w:rsid w:val="00167F25"/>
    <w:rsid w:val="00170282"/>
    <w:rsid w:val="00170A38"/>
    <w:rsid w:val="00174C23"/>
    <w:rsid w:val="00181A77"/>
    <w:rsid w:val="001828E3"/>
    <w:rsid w:val="00190ECF"/>
    <w:rsid w:val="00192CBF"/>
    <w:rsid w:val="00192FF1"/>
    <w:rsid w:val="0019374F"/>
    <w:rsid w:val="001A5F1B"/>
    <w:rsid w:val="001B1C22"/>
    <w:rsid w:val="001B316E"/>
    <w:rsid w:val="001B34C6"/>
    <w:rsid w:val="001B601A"/>
    <w:rsid w:val="001B6907"/>
    <w:rsid w:val="001B74AF"/>
    <w:rsid w:val="001C2130"/>
    <w:rsid w:val="001C66F2"/>
    <w:rsid w:val="001D7832"/>
    <w:rsid w:val="001E0A71"/>
    <w:rsid w:val="001E0ADC"/>
    <w:rsid w:val="001E0D2F"/>
    <w:rsid w:val="001E0D95"/>
    <w:rsid w:val="001E12A7"/>
    <w:rsid w:val="001E25FF"/>
    <w:rsid w:val="001E7F66"/>
    <w:rsid w:val="001F01DF"/>
    <w:rsid w:val="001F08FD"/>
    <w:rsid w:val="001F336C"/>
    <w:rsid w:val="001F3F66"/>
    <w:rsid w:val="001F6046"/>
    <w:rsid w:val="00201A02"/>
    <w:rsid w:val="00203510"/>
    <w:rsid w:val="00206939"/>
    <w:rsid w:val="00210906"/>
    <w:rsid w:val="00210DC1"/>
    <w:rsid w:val="00211D34"/>
    <w:rsid w:val="00214F04"/>
    <w:rsid w:val="00215A52"/>
    <w:rsid w:val="00220BAE"/>
    <w:rsid w:val="0022152E"/>
    <w:rsid w:val="0022168B"/>
    <w:rsid w:val="00224F7B"/>
    <w:rsid w:val="002255C7"/>
    <w:rsid w:val="0022585A"/>
    <w:rsid w:val="00225ECA"/>
    <w:rsid w:val="00226438"/>
    <w:rsid w:val="00230B05"/>
    <w:rsid w:val="0023102B"/>
    <w:rsid w:val="002331A2"/>
    <w:rsid w:val="002352B9"/>
    <w:rsid w:val="00235447"/>
    <w:rsid w:val="00235768"/>
    <w:rsid w:val="002466F5"/>
    <w:rsid w:val="002509D8"/>
    <w:rsid w:val="00251EB7"/>
    <w:rsid w:val="00254E65"/>
    <w:rsid w:val="00257D27"/>
    <w:rsid w:val="00260F6F"/>
    <w:rsid w:val="00261908"/>
    <w:rsid w:val="0026356D"/>
    <w:rsid w:val="00266CD6"/>
    <w:rsid w:val="00266F5A"/>
    <w:rsid w:val="002673AC"/>
    <w:rsid w:val="00267860"/>
    <w:rsid w:val="00270F7C"/>
    <w:rsid w:val="00272F8D"/>
    <w:rsid w:val="00274503"/>
    <w:rsid w:val="00275DAB"/>
    <w:rsid w:val="002818A2"/>
    <w:rsid w:val="0028701A"/>
    <w:rsid w:val="002903C0"/>
    <w:rsid w:val="002920A8"/>
    <w:rsid w:val="00292D6A"/>
    <w:rsid w:val="00293BA8"/>
    <w:rsid w:val="0029473A"/>
    <w:rsid w:val="002A23E6"/>
    <w:rsid w:val="002A511E"/>
    <w:rsid w:val="002A5B32"/>
    <w:rsid w:val="002A5C77"/>
    <w:rsid w:val="002A782A"/>
    <w:rsid w:val="002A7E18"/>
    <w:rsid w:val="002B11E2"/>
    <w:rsid w:val="002B24B8"/>
    <w:rsid w:val="002B5C43"/>
    <w:rsid w:val="002B67B7"/>
    <w:rsid w:val="002C1846"/>
    <w:rsid w:val="002C1B57"/>
    <w:rsid w:val="002C6776"/>
    <w:rsid w:val="002D06B1"/>
    <w:rsid w:val="002D3AE9"/>
    <w:rsid w:val="002D42B1"/>
    <w:rsid w:val="002D4510"/>
    <w:rsid w:val="002D54F3"/>
    <w:rsid w:val="002D7DAC"/>
    <w:rsid w:val="002E06A7"/>
    <w:rsid w:val="002E3251"/>
    <w:rsid w:val="002E6EA1"/>
    <w:rsid w:val="002F0734"/>
    <w:rsid w:val="002F260A"/>
    <w:rsid w:val="002F29F3"/>
    <w:rsid w:val="002F46E7"/>
    <w:rsid w:val="0030152C"/>
    <w:rsid w:val="0030247A"/>
    <w:rsid w:val="0030404C"/>
    <w:rsid w:val="00305FE3"/>
    <w:rsid w:val="00307D2E"/>
    <w:rsid w:val="003101DA"/>
    <w:rsid w:val="003111C3"/>
    <w:rsid w:val="00312FB7"/>
    <w:rsid w:val="003142BA"/>
    <w:rsid w:val="00314757"/>
    <w:rsid w:val="00314DB7"/>
    <w:rsid w:val="00315BA7"/>
    <w:rsid w:val="003163BC"/>
    <w:rsid w:val="0031757A"/>
    <w:rsid w:val="003208F5"/>
    <w:rsid w:val="003211CE"/>
    <w:rsid w:val="003215C0"/>
    <w:rsid w:val="00323F4B"/>
    <w:rsid w:val="003252B5"/>
    <w:rsid w:val="00325FE9"/>
    <w:rsid w:val="003261CD"/>
    <w:rsid w:val="003266F0"/>
    <w:rsid w:val="00332680"/>
    <w:rsid w:val="00333D81"/>
    <w:rsid w:val="0033459D"/>
    <w:rsid w:val="00335684"/>
    <w:rsid w:val="00351AFB"/>
    <w:rsid w:val="00352CBF"/>
    <w:rsid w:val="0035403A"/>
    <w:rsid w:val="0035423F"/>
    <w:rsid w:val="0035438E"/>
    <w:rsid w:val="00355FEE"/>
    <w:rsid w:val="00356C05"/>
    <w:rsid w:val="003626AA"/>
    <w:rsid w:val="0036394B"/>
    <w:rsid w:val="00363C55"/>
    <w:rsid w:val="00366DB6"/>
    <w:rsid w:val="003677D0"/>
    <w:rsid w:val="003709B5"/>
    <w:rsid w:val="003759C2"/>
    <w:rsid w:val="00380243"/>
    <w:rsid w:val="00381CAD"/>
    <w:rsid w:val="003833B8"/>
    <w:rsid w:val="00385A60"/>
    <w:rsid w:val="00386521"/>
    <w:rsid w:val="00397032"/>
    <w:rsid w:val="00397365"/>
    <w:rsid w:val="003977EA"/>
    <w:rsid w:val="003A2BDF"/>
    <w:rsid w:val="003A31F6"/>
    <w:rsid w:val="003A609B"/>
    <w:rsid w:val="003B1076"/>
    <w:rsid w:val="003B38D9"/>
    <w:rsid w:val="003B53FD"/>
    <w:rsid w:val="003B7EA4"/>
    <w:rsid w:val="003C20D4"/>
    <w:rsid w:val="003C3447"/>
    <w:rsid w:val="003C77E3"/>
    <w:rsid w:val="003D076C"/>
    <w:rsid w:val="003D1380"/>
    <w:rsid w:val="003D42B6"/>
    <w:rsid w:val="003D48F2"/>
    <w:rsid w:val="003D4C7A"/>
    <w:rsid w:val="003D78A7"/>
    <w:rsid w:val="003E005D"/>
    <w:rsid w:val="003E29A1"/>
    <w:rsid w:val="003E2E35"/>
    <w:rsid w:val="003E435A"/>
    <w:rsid w:val="003E4823"/>
    <w:rsid w:val="003E6C51"/>
    <w:rsid w:val="003E78B5"/>
    <w:rsid w:val="003E7BF4"/>
    <w:rsid w:val="003F39BA"/>
    <w:rsid w:val="003F5F1C"/>
    <w:rsid w:val="003F6337"/>
    <w:rsid w:val="003F6B65"/>
    <w:rsid w:val="00400920"/>
    <w:rsid w:val="0040579E"/>
    <w:rsid w:val="004066B8"/>
    <w:rsid w:val="004105D6"/>
    <w:rsid w:val="00410A36"/>
    <w:rsid w:val="00411398"/>
    <w:rsid w:val="00415BAB"/>
    <w:rsid w:val="00415ED2"/>
    <w:rsid w:val="00416D31"/>
    <w:rsid w:val="0042068C"/>
    <w:rsid w:val="00421700"/>
    <w:rsid w:val="0042263B"/>
    <w:rsid w:val="00423422"/>
    <w:rsid w:val="00430C0F"/>
    <w:rsid w:val="004315AA"/>
    <w:rsid w:val="0043550D"/>
    <w:rsid w:val="0044318E"/>
    <w:rsid w:val="00443461"/>
    <w:rsid w:val="00443B35"/>
    <w:rsid w:val="00445C43"/>
    <w:rsid w:val="00445E36"/>
    <w:rsid w:val="00447186"/>
    <w:rsid w:val="004566D1"/>
    <w:rsid w:val="00461B16"/>
    <w:rsid w:val="00464AEB"/>
    <w:rsid w:val="0047122B"/>
    <w:rsid w:val="00472A4C"/>
    <w:rsid w:val="00472B61"/>
    <w:rsid w:val="00472E76"/>
    <w:rsid w:val="004736F9"/>
    <w:rsid w:val="00473B7A"/>
    <w:rsid w:val="00483364"/>
    <w:rsid w:val="004842A6"/>
    <w:rsid w:val="004857B2"/>
    <w:rsid w:val="0049005D"/>
    <w:rsid w:val="00490832"/>
    <w:rsid w:val="004960E9"/>
    <w:rsid w:val="00497DDE"/>
    <w:rsid w:val="00497F82"/>
    <w:rsid w:val="004A2E88"/>
    <w:rsid w:val="004A353B"/>
    <w:rsid w:val="004A5182"/>
    <w:rsid w:val="004A52FE"/>
    <w:rsid w:val="004A5305"/>
    <w:rsid w:val="004A6496"/>
    <w:rsid w:val="004B78D4"/>
    <w:rsid w:val="004C0288"/>
    <w:rsid w:val="004C0BCD"/>
    <w:rsid w:val="004C206E"/>
    <w:rsid w:val="004C4950"/>
    <w:rsid w:val="004C4C34"/>
    <w:rsid w:val="004D2D99"/>
    <w:rsid w:val="004D3DDA"/>
    <w:rsid w:val="004D62F3"/>
    <w:rsid w:val="004D7634"/>
    <w:rsid w:val="004E039C"/>
    <w:rsid w:val="004E2959"/>
    <w:rsid w:val="004E37B4"/>
    <w:rsid w:val="004E410D"/>
    <w:rsid w:val="004E611A"/>
    <w:rsid w:val="004F1699"/>
    <w:rsid w:val="004F3AEC"/>
    <w:rsid w:val="004F6460"/>
    <w:rsid w:val="00500D9A"/>
    <w:rsid w:val="00503764"/>
    <w:rsid w:val="00505D37"/>
    <w:rsid w:val="00505DCC"/>
    <w:rsid w:val="00513775"/>
    <w:rsid w:val="00516196"/>
    <w:rsid w:val="00521518"/>
    <w:rsid w:val="00523AE4"/>
    <w:rsid w:val="00527839"/>
    <w:rsid w:val="005300D3"/>
    <w:rsid w:val="005306EB"/>
    <w:rsid w:val="00531A78"/>
    <w:rsid w:val="005401DA"/>
    <w:rsid w:val="00540F9F"/>
    <w:rsid w:val="00541190"/>
    <w:rsid w:val="00542A10"/>
    <w:rsid w:val="00543778"/>
    <w:rsid w:val="00544DEC"/>
    <w:rsid w:val="00544F70"/>
    <w:rsid w:val="00544F82"/>
    <w:rsid w:val="00547D77"/>
    <w:rsid w:val="005509D2"/>
    <w:rsid w:val="00553A23"/>
    <w:rsid w:val="005621AA"/>
    <w:rsid w:val="005624EB"/>
    <w:rsid w:val="005648DA"/>
    <w:rsid w:val="00565A32"/>
    <w:rsid w:val="00566119"/>
    <w:rsid w:val="0057141B"/>
    <w:rsid w:val="00577A09"/>
    <w:rsid w:val="005814BE"/>
    <w:rsid w:val="00581925"/>
    <w:rsid w:val="00581DC0"/>
    <w:rsid w:val="00583700"/>
    <w:rsid w:val="00584D23"/>
    <w:rsid w:val="005910D0"/>
    <w:rsid w:val="005931E6"/>
    <w:rsid w:val="00593C4F"/>
    <w:rsid w:val="005942FD"/>
    <w:rsid w:val="005946A8"/>
    <w:rsid w:val="005952D0"/>
    <w:rsid w:val="005A03B9"/>
    <w:rsid w:val="005A4407"/>
    <w:rsid w:val="005A53A5"/>
    <w:rsid w:val="005A59EF"/>
    <w:rsid w:val="005A61E5"/>
    <w:rsid w:val="005A70AD"/>
    <w:rsid w:val="005B1C7E"/>
    <w:rsid w:val="005B2498"/>
    <w:rsid w:val="005B390F"/>
    <w:rsid w:val="005B4C18"/>
    <w:rsid w:val="005B5401"/>
    <w:rsid w:val="005B6AE9"/>
    <w:rsid w:val="005B7F5D"/>
    <w:rsid w:val="005C664F"/>
    <w:rsid w:val="005C6976"/>
    <w:rsid w:val="005C6C19"/>
    <w:rsid w:val="005C6E73"/>
    <w:rsid w:val="005C767A"/>
    <w:rsid w:val="005D200B"/>
    <w:rsid w:val="005E0CFA"/>
    <w:rsid w:val="005F08C5"/>
    <w:rsid w:val="005F1318"/>
    <w:rsid w:val="005F6E30"/>
    <w:rsid w:val="005F6F41"/>
    <w:rsid w:val="0060144C"/>
    <w:rsid w:val="0060594C"/>
    <w:rsid w:val="0060744D"/>
    <w:rsid w:val="006106FA"/>
    <w:rsid w:val="00610DE7"/>
    <w:rsid w:val="00612970"/>
    <w:rsid w:val="00612C6C"/>
    <w:rsid w:val="00621407"/>
    <w:rsid w:val="0062429E"/>
    <w:rsid w:val="0062594C"/>
    <w:rsid w:val="00625DC6"/>
    <w:rsid w:val="00627469"/>
    <w:rsid w:val="00627B63"/>
    <w:rsid w:val="00630022"/>
    <w:rsid w:val="006301B1"/>
    <w:rsid w:val="006301E6"/>
    <w:rsid w:val="00634134"/>
    <w:rsid w:val="00641F96"/>
    <w:rsid w:val="0064273A"/>
    <w:rsid w:val="006428D2"/>
    <w:rsid w:val="0064391D"/>
    <w:rsid w:val="0064683A"/>
    <w:rsid w:val="0064719D"/>
    <w:rsid w:val="006503F5"/>
    <w:rsid w:val="00651821"/>
    <w:rsid w:val="006522CA"/>
    <w:rsid w:val="006525B3"/>
    <w:rsid w:val="00653AEB"/>
    <w:rsid w:val="00654384"/>
    <w:rsid w:val="00660DB0"/>
    <w:rsid w:val="00660ECA"/>
    <w:rsid w:val="00661DF3"/>
    <w:rsid w:val="00666455"/>
    <w:rsid w:val="006675CD"/>
    <w:rsid w:val="00672371"/>
    <w:rsid w:val="006732C1"/>
    <w:rsid w:val="00674FEE"/>
    <w:rsid w:val="00676E8D"/>
    <w:rsid w:val="00677845"/>
    <w:rsid w:val="00681278"/>
    <w:rsid w:val="006818AB"/>
    <w:rsid w:val="006822BE"/>
    <w:rsid w:val="00683C2A"/>
    <w:rsid w:val="00684D9B"/>
    <w:rsid w:val="0068510A"/>
    <w:rsid w:val="006875B4"/>
    <w:rsid w:val="00690DF1"/>
    <w:rsid w:val="006926D9"/>
    <w:rsid w:val="006972FD"/>
    <w:rsid w:val="00697556"/>
    <w:rsid w:val="00697C68"/>
    <w:rsid w:val="006A17A1"/>
    <w:rsid w:val="006A1FC0"/>
    <w:rsid w:val="006B0E5F"/>
    <w:rsid w:val="006B12FB"/>
    <w:rsid w:val="006B3A28"/>
    <w:rsid w:val="006B3D69"/>
    <w:rsid w:val="006B4114"/>
    <w:rsid w:val="006B4647"/>
    <w:rsid w:val="006B4C2B"/>
    <w:rsid w:val="006B6194"/>
    <w:rsid w:val="006B6D47"/>
    <w:rsid w:val="006C548A"/>
    <w:rsid w:val="006C5AFE"/>
    <w:rsid w:val="006D0CA7"/>
    <w:rsid w:val="006D1F23"/>
    <w:rsid w:val="006D5B22"/>
    <w:rsid w:val="006D6E8E"/>
    <w:rsid w:val="006E0AC3"/>
    <w:rsid w:val="006E4C67"/>
    <w:rsid w:val="006E6CE7"/>
    <w:rsid w:val="006F0143"/>
    <w:rsid w:val="006F2EC8"/>
    <w:rsid w:val="006F3DAD"/>
    <w:rsid w:val="006F4941"/>
    <w:rsid w:val="006F564C"/>
    <w:rsid w:val="006F669D"/>
    <w:rsid w:val="006F6D95"/>
    <w:rsid w:val="006F6F53"/>
    <w:rsid w:val="007009F8"/>
    <w:rsid w:val="00706F13"/>
    <w:rsid w:val="007072E8"/>
    <w:rsid w:val="0071618D"/>
    <w:rsid w:val="00717CD2"/>
    <w:rsid w:val="00720721"/>
    <w:rsid w:val="007234B8"/>
    <w:rsid w:val="0072440E"/>
    <w:rsid w:val="00725FA4"/>
    <w:rsid w:val="00730F03"/>
    <w:rsid w:val="00731266"/>
    <w:rsid w:val="00731A82"/>
    <w:rsid w:val="00734112"/>
    <w:rsid w:val="0073688E"/>
    <w:rsid w:val="00740446"/>
    <w:rsid w:val="007438A9"/>
    <w:rsid w:val="0074491E"/>
    <w:rsid w:val="00745568"/>
    <w:rsid w:val="00746521"/>
    <w:rsid w:val="00747B93"/>
    <w:rsid w:val="00750DD4"/>
    <w:rsid w:val="00760CBC"/>
    <w:rsid w:val="00761554"/>
    <w:rsid w:val="0076247A"/>
    <w:rsid w:val="00766064"/>
    <w:rsid w:val="00766C3E"/>
    <w:rsid w:val="00767EC2"/>
    <w:rsid w:val="00771737"/>
    <w:rsid w:val="00771E49"/>
    <w:rsid w:val="0077235E"/>
    <w:rsid w:val="00773ACD"/>
    <w:rsid w:val="00775964"/>
    <w:rsid w:val="007765FE"/>
    <w:rsid w:val="00776F85"/>
    <w:rsid w:val="00777C75"/>
    <w:rsid w:val="00780826"/>
    <w:rsid w:val="007834D3"/>
    <w:rsid w:val="00783769"/>
    <w:rsid w:val="00786CD0"/>
    <w:rsid w:val="00791BFF"/>
    <w:rsid w:val="00794E2E"/>
    <w:rsid w:val="00795BFB"/>
    <w:rsid w:val="007A0C27"/>
    <w:rsid w:val="007A19A9"/>
    <w:rsid w:val="007B2760"/>
    <w:rsid w:val="007B4094"/>
    <w:rsid w:val="007B5838"/>
    <w:rsid w:val="007C19FD"/>
    <w:rsid w:val="007C2EBF"/>
    <w:rsid w:val="007D3E88"/>
    <w:rsid w:val="007D50D8"/>
    <w:rsid w:val="007D60EF"/>
    <w:rsid w:val="007E3067"/>
    <w:rsid w:val="007E572C"/>
    <w:rsid w:val="007F0040"/>
    <w:rsid w:val="007F0118"/>
    <w:rsid w:val="007F428A"/>
    <w:rsid w:val="007F4E24"/>
    <w:rsid w:val="007F4FC4"/>
    <w:rsid w:val="00801B68"/>
    <w:rsid w:val="00806713"/>
    <w:rsid w:val="00806C01"/>
    <w:rsid w:val="00810B35"/>
    <w:rsid w:val="008120EE"/>
    <w:rsid w:val="00814704"/>
    <w:rsid w:val="008148CC"/>
    <w:rsid w:val="00817A6C"/>
    <w:rsid w:val="00817B9F"/>
    <w:rsid w:val="00820408"/>
    <w:rsid w:val="008211A4"/>
    <w:rsid w:val="00822DDA"/>
    <w:rsid w:val="008238A7"/>
    <w:rsid w:val="00827041"/>
    <w:rsid w:val="0083172E"/>
    <w:rsid w:val="0083410E"/>
    <w:rsid w:val="00837ECA"/>
    <w:rsid w:val="00841E72"/>
    <w:rsid w:val="00843B8C"/>
    <w:rsid w:val="00843F4D"/>
    <w:rsid w:val="00844822"/>
    <w:rsid w:val="0084587D"/>
    <w:rsid w:val="0084693A"/>
    <w:rsid w:val="00846B77"/>
    <w:rsid w:val="00846C96"/>
    <w:rsid w:val="00847138"/>
    <w:rsid w:val="008502A7"/>
    <w:rsid w:val="008514CB"/>
    <w:rsid w:val="00851E26"/>
    <w:rsid w:val="008570D4"/>
    <w:rsid w:val="00860FD3"/>
    <w:rsid w:val="0086280F"/>
    <w:rsid w:val="00863E90"/>
    <w:rsid w:val="008641A7"/>
    <w:rsid w:val="0086726C"/>
    <w:rsid w:val="00870561"/>
    <w:rsid w:val="0087063F"/>
    <w:rsid w:val="008706CA"/>
    <w:rsid w:val="00873150"/>
    <w:rsid w:val="0087473D"/>
    <w:rsid w:val="0087657D"/>
    <w:rsid w:val="00876D92"/>
    <w:rsid w:val="008807D5"/>
    <w:rsid w:val="00880832"/>
    <w:rsid w:val="00880FEE"/>
    <w:rsid w:val="008820D3"/>
    <w:rsid w:val="00884136"/>
    <w:rsid w:val="00884D44"/>
    <w:rsid w:val="008868D5"/>
    <w:rsid w:val="00886EE1"/>
    <w:rsid w:val="0088727D"/>
    <w:rsid w:val="008874A7"/>
    <w:rsid w:val="008875B6"/>
    <w:rsid w:val="00893011"/>
    <w:rsid w:val="0089373D"/>
    <w:rsid w:val="00895843"/>
    <w:rsid w:val="00897C75"/>
    <w:rsid w:val="008A485F"/>
    <w:rsid w:val="008A5198"/>
    <w:rsid w:val="008B07B4"/>
    <w:rsid w:val="008B351E"/>
    <w:rsid w:val="008B3616"/>
    <w:rsid w:val="008B5F35"/>
    <w:rsid w:val="008B7183"/>
    <w:rsid w:val="008B7E6F"/>
    <w:rsid w:val="008C1130"/>
    <w:rsid w:val="008C24B8"/>
    <w:rsid w:val="008C2771"/>
    <w:rsid w:val="008C2854"/>
    <w:rsid w:val="008C2CA2"/>
    <w:rsid w:val="008C36F8"/>
    <w:rsid w:val="008C5A29"/>
    <w:rsid w:val="008C5E9F"/>
    <w:rsid w:val="008D18E6"/>
    <w:rsid w:val="008D18ED"/>
    <w:rsid w:val="008D38E5"/>
    <w:rsid w:val="008D3AF6"/>
    <w:rsid w:val="008D6448"/>
    <w:rsid w:val="008D7A9B"/>
    <w:rsid w:val="008E0060"/>
    <w:rsid w:val="008E0A4E"/>
    <w:rsid w:val="008E2AB4"/>
    <w:rsid w:val="008E4652"/>
    <w:rsid w:val="008E4FD0"/>
    <w:rsid w:val="008E54DF"/>
    <w:rsid w:val="008E69D3"/>
    <w:rsid w:val="008E7091"/>
    <w:rsid w:val="008E76AC"/>
    <w:rsid w:val="008E7998"/>
    <w:rsid w:val="008E79B0"/>
    <w:rsid w:val="008F21F6"/>
    <w:rsid w:val="008F5AC0"/>
    <w:rsid w:val="008F7D3E"/>
    <w:rsid w:val="0090028D"/>
    <w:rsid w:val="00900F8A"/>
    <w:rsid w:val="00903832"/>
    <w:rsid w:val="00904A4D"/>
    <w:rsid w:val="0091022A"/>
    <w:rsid w:val="00911D77"/>
    <w:rsid w:val="00913484"/>
    <w:rsid w:val="009140FD"/>
    <w:rsid w:val="00916267"/>
    <w:rsid w:val="00916E1A"/>
    <w:rsid w:val="0091C3F9"/>
    <w:rsid w:val="00920BEC"/>
    <w:rsid w:val="00920D44"/>
    <w:rsid w:val="009242CC"/>
    <w:rsid w:val="009250A9"/>
    <w:rsid w:val="00927445"/>
    <w:rsid w:val="00930CDF"/>
    <w:rsid w:val="009351FA"/>
    <w:rsid w:val="00937F84"/>
    <w:rsid w:val="009410E8"/>
    <w:rsid w:val="00942D30"/>
    <w:rsid w:val="009443BE"/>
    <w:rsid w:val="009448F0"/>
    <w:rsid w:val="00947F40"/>
    <w:rsid w:val="00951F79"/>
    <w:rsid w:val="009538AC"/>
    <w:rsid w:val="00954306"/>
    <w:rsid w:val="00955B3F"/>
    <w:rsid w:val="00957366"/>
    <w:rsid w:val="00957955"/>
    <w:rsid w:val="0096049A"/>
    <w:rsid w:val="00963185"/>
    <w:rsid w:val="00963AA9"/>
    <w:rsid w:val="009651C2"/>
    <w:rsid w:val="00965FAF"/>
    <w:rsid w:val="009709F6"/>
    <w:rsid w:val="0097123A"/>
    <w:rsid w:val="00974AB5"/>
    <w:rsid w:val="009762E4"/>
    <w:rsid w:val="0097695C"/>
    <w:rsid w:val="00981645"/>
    <w:rsid w:val="00982D72"/>
    <w:rsid w:val="00983B14"/>
    <w:rsid w:val="00985944"/>
    <w:rsid w:val="0098706D"/>
    <w:rsid w:val="0099116C"/>
    <w:rsid w:val="0099331D"/>
    <w:rsid w:val="009935FB"/>
    <w:rsid w:val="00996C6C"/>
    <w:rsid w:val="009A047C"/>
    <w:rsid w:val="009A07A3"/>
    <w:rsid w:val="009A0826"/>
    <w:rsid w:val="009A7527"/>
    <w:rsid w:val="009B0CB7"/>
    <w:rsid w:val="009B5DAE"/>
    <w:rsid w:val="009C163C"/>
    <w:rsid w:val="009C4E55"/>
    <w:rsid w:val="009C5148"/>
    <w:rsid w:val="009D1053"/>
    <w:rsid w:val="009D15B5"/>
    <w:rsid w:val="009D42B2"/>
    <w:rsid w:val="009D6790"/>
    <w:rsid w:val="009E16ED"/>
    <w:rsid w:val="009E46F8"/>
    <w:rsid w:val="009E7757"/>
    <w:rsid w:val="009F25C6"/>
    <w:rsid w:val="009F4A54"/>
    <w:rsid w:val="009F4BEC"/>
    <w:rsid w:val="009F5874"/>
    <w:rsid w:val="009F5F4B"/>
    <w:rsid w:val="009F63AF"/>
    <w:rsid w:val="009F6992"/>
    <w:rsid w:val="009F7792"/>
    <w:rsid w:val="009F7DFE"/>
    <w:rsid w:val="00A00D24"/>
    <w:rsid w:val="00A03159"/>
    <w:rsid w:val="00A03168"/>
    <w:rsid w:val="00A03EEA"/>
    <w:rsid w:val="00A12CE6"/>
    <w:rsid w:val="00A1378A"/>
    <w:rsid w:val="00A13D4B"/>
    <w:rsid w:val="00A1449A"/>
    <w:rsid w:val="00A17967"/>
    <w:rsid w:val="00A209C3"/>
    <w:rsid w:val="00A22420"/>
    <w:rsid w:val="00A25FD7"/>
    <w:rsid w:val="00A30AD8"/>
    <w:rsid w:val="00A361CF"/>
    <w:rsid w:val="00A40E7F"/>
    <w:rsid w:val="00A42277"/>
    <w:rsid w:val="00A42923"/>
    <w:rsid w:val="00A431B1"/>
    <w:rsid w:val="00A43AFF"/>
    <w:rsid w:val="00A44651"/>
    <w:rsid w:val="00A468D2"/>
    <w:rsid w:val="00A5002F"/>
    <w:rsid w:val="00A50A52"/>
    <w:rsid w:val="00A512B9"/>
    <w:rsid w:val="00A51EFB"/>
    <w:rsid w:val="00A541FE"/>
    <w:rsid w:val="00A54C10"/>
    <w:rsid w:val="00A56691"/>
    <w:rsid w:val="00A57AC1"/>
    <w:rsid w:val="00A60D6B"/>
    <w:rsid w:val="00A61C0B"/>
    <w:rsid w:val="00A61FA5"/>
    <w:rsid w:val="00A62293"/>
    <w:rsid w:val="00A65EBD"/>
    <w:rsid w:val="00A71EFF"/>
    <w:rsid w:val="00A7597D"/>
    <w:rsid w:val="00A7793A"/>
    <w:rsid w:val="00A82E15"/>
    <w:rsid w:val="00A90F8E"/>
    <w:rsid w:val="00A9107B"/>
    <w:rsid w:val="00AA4CC7"/>
    <w:rsid w:val="00AA5E8E"/>
    <w:rsid w:val="00AB29CB"/>
    <w:rsid w:val="00AB2BAD"/>
    <w:rsid w:val="00AB32B3"/>
    <w:rsid w:val="00AB3A14"/>
    <w:rsid w:val="00AB454B"/>
    <w:rsid w:val="00AB471D"/>
    <w:rsid w:val="00AB5828"/>
    <w:rsid w:val="00AB6CA7"/>
    <w:rsid w:val="00AC18A8"/>
    <w:rsid w:val="00AC47A9"/>
    <w:rsid w:val="00AC78CC"/>
    <w:rsid w:val="00AD01E4"/>
    <w:rsid w:val="00AD03AB"/>
    <w:rsid w:val="00AD0858"/>
    <w:rsid w:val="00AD45EB"/>
    <w:rsid w:val="00AD5D9D"/>
    <w:rsid w:val="00AE02E3"/>
    <w:rsid w:val="00AE08B3"/>
    <w:rsid w:val="00AE7340"/>
    <w:rsid w:val="00AF1BBD"/>
    <w:rsid w:val="00AF2790"/>
    <w:rsid w:val="00AF3448"/>
    <w:rsid w:val="00AF66B3"/>
    <w:rsid w:val="00AF765E"/>
    <w:rsid w:val="00AF7A4A"/>
    <w:rsid w:val="00B0044D"/>
    <w:rsid w:val="00B051B0"/>
    <w:rsid w:val="00B0796B"/>
    <w:rsid w:val="00B10207"/>
    <w:rsid w:val="00B1157B"/>
    <w:rsid w:val="00B11B44"/>
    <w:rsid w:val="00B1264B"/>
    <w:rsid w:val="00B138BF"/>
    <w:rsid w:val="00B141E7"/>
    <w:rsid w:val="00B17559"/>
    <w:rsid w:val="00B178A7"/>
    <w:rsid w:val="00B20687"/>
    <w:rsid w:val="00B22839"/>
    <w:rsid w:val="00B2703F"/>
    <w:rsid w:val="00B307BD"/>
    <w:rsid w:val="00B31B03"/>
    <w:rsid w:val="00B32124"/>
    <w:rsid w:val="00B34E2A"/>
    <w:rsid w:val="00B351B4"/>
    <w:rsid w:val="00B37316"/>
    <w:rsid w:val="00B41391"/>
    <w:rsid w:val="00B426AE"/>
    <w:rsid w:val="00B43A24"/>
    <w:rsid w:val="00B44BC1"/>
    <w:rsid w:val="00B46BCA"/>
    <w:rsid w:val="00B478AA"/>
    <w:rsid w:val="00B47D35"/>
    <w:rsid w:val="00B5172C"/>
    <w:rsid w:val="00B52C53"/>
    <w:rsid w:val="00B53899"/>
    <w:rsid w:val="00B555CC"/>
    <w:rsid w:val="00B576AE"/>
    <w:rsid w:val="00B60168"/>
    <w:rsid w:val="00B679D6"/>
    <w:rsid w:val="00B67A6F"/>
    <w:rsid w:val="00B7557D"/>
    <w:rsid w:val="00B760F2"/>
    <w:rsid w:val="00B76D43"/>
    <w:rsid w:val="00B8124D"/>
    <w:rsid w:val="00B81932"/>
    <w:rsid w:val="00B826B2"/>
    <w:rsid w:val="00B8286D"/>
    <w:rsid w:val="00B870B4"/>
    <w:rsid w:val="00B87806"/>
    <w:rsid w:val="00B87EC9"/>
    <w:rsid w:val="00B9225F"/>
    <w:rsid w:val="00B96BD5"/>
    <w:rsid w:val="00B97227"/>
    <w:rsid w:val="00B9745B"/>
    <w:rsid w:val="00BA0475"/>
    <w:rsid w:val="00BA1563"/>
    <w:rsid w:val="00BA223D"/>
    <w:rsid w:val="00BA4B27"/>
    <w:rsid w:val="00BB4199"/>
    <w:rsid w:val="00BB4B53"/>
    <w:rsid w:val="00BC1479"/>
    <w:rsid w:val="00BC38FD"/>
    <w:rsid w:val="00BC5447"/>
    <w:rsid w:val="00BC5BF6"/>
    <w:rsid w:val="00BD0146"/>
    <w:rsid w:val="00BD6301"/>
    <w:rsid w:val="00BD6426"/>
    <w:rsid w:val="00BD7733"/>
    <w:rsid w:val="00BD7D9C"/>
    <w:rsid w:val="00BE088C"/>
    <w:rsid w:val="00BE1AC3"/>
    <w:rsid w:val="00BE4FAA"/>
    <w:rsid w:val="00BF31F9"/>
    <w:rsid w:val="00BF4F85"/>
    <w:rsid w:val="00BF6B71"/>
    <w:rsid w:val="00C003E9"/>
    <w:rsid w:val="00C0083E"/>
    <w:rsid w:val="00C00995"/>
    <w:rsid w:val="00C00C5C"/>
    <w:rsid w:val="00C03197"/>
    <w:rsid w:val="00C034CB"/>
    <w:rsid w:val="00C051A8"/>
    <w:rsid w:val="00C054BC"/>
    <w:rsid w:val="00C06414"/>
    <w:rsid w:val="00C06E2A"/>
    <w:rsid w:val="00C07899"/>
    <w:rsid w:val="00C07CCA"/>
    <w:rsid w:val="00C10DD5"/>
    <w:rsid w:val="00C1132B"/>
    <w:rsid w:val="00C1467D"/>
    <w:rsid w:val="00C17897"/>
    <w:rsid w:val="00C21800"/>
    <w:rsid w:val="00C27D36"/>
    <w:rsid w:val="00C313C6"/>
    <w:rsid w:val="00C33A2C"/>
    <w:rsid w:val="00C34679"/>
    <w:rsid w:val="00C35D2A"/>
    <w:rsid w:val="00C409D5"/>
    <w:rsid w:val="00C41343"/>
    <w:rsid w:val="00C416E0"/>
    <w:rsid w:val="00C42D39"/>
    <w:rsid w:val="00C43597"/>
    <w:rsid w:val="00C435C3"/>
    <w:rsid w:val="00C44E5F"/>
    <w:rsid w:val="00C45E09"/>
    <w:rsid w:val="00C4701D"/>
    <w:rsid w:val="00C51B7C"/>
    <w:rsid w:val="00C54D5B"/>
    <w:rsid w:val="00C55B5E"/>
    <w:rsid w:val="00C55F46"/>
    <w:rsid w:val="00C6234B"/>
    <w:rsid w:val="00C63447"/>
    <w:rsid w:val="00C63C2A"/>
    <w:rsid w:val="00C63EAE"/>
    <w:rsid w:val="00C64A32"/>
    <w:rsid w:val="00C71028"/>
    <w:rsid w:val="00C73226"/>
    <w:rsid w:val="00C73260"/>
    <w:rsid w:val="00C741D0"/>
    <w:rsid w:val="00C74602"/>
    <w:rsid w:val="00C75AB4"/>
    <w:rsid w:val="00C7629F"/>
    <w:rsid w:val="00C8169A"/>
    <w:rsid w:val="00C81A8F"/>
    <w:rsid w:val="00C82533"/>
    <w:rsid w:val="00C82B41"/>
    <w:rsid w:val="00C83182"/>
    <w:rsid w:val="00C84430"/>
    <w:rsid w:val="00C8530F"/>
    <w:rsid w:val="00C8661B"/>
    <w:rsid w:val="00C878FA"/>
    <w:rsid w:val="00C91BC0"/>
    <w:rsid w:val="00C933EF"/>
    <w:rsid w:val="00C93F34"/>
    <w:rsid w:val="00C97B46"/>
    <w:rsid w:val="00CA03C8"/>
    <w:rsid w:val="00CA139A"/>
    <w:rsid w:val="00CA2899"/>
    <w:rsid w:val="00CA3A3D"/>
    <w:rsid w:val="00CA3AA6"/>
    <w:rsid w:val="00CA62D7"/>
    <w:rsid w:val="00CA77FB"/>
    <w:rsid w:val="00CB2A05"/>
    <w:rsid w:val="00CB379B"/>
    <w:rsid w:val="00CB4B28"/>
    <w:rsid w:val="00CB5773"/>
    <w:rsid w:val="00CB5DD0"/>
    <w:rsid w:val="00CB768E"/>
    <w:rsid w:val="00CB7711"/>
    <w:rsid w:val="00CC05BF"/>
    <w:rsid w:val="00CC2A9A"/>
    <w:rsid w:val="00CC51D4"/>
    <w:rsid w:val="00CC65DA"/>
    <w:rsid w:val="00CD0DE2"/>
    <w:rsid w:val="00CD2AA7"/>
    <w:rsid w:val="00CD5C25"/>
    <w:rsid w:val="00CE1FFF"/>
    <w:rsid w:val="00CE349A"/>
    <w:rsid w:val="00CE7292"/>
    <w:rsid w:val="00CE791D"/>
    <w:rsid w:val="00CE7B91"/>
    <w:rsid w:val="00CF1894"/>
    <w:rsid w:val="00CF19B0"/>
    <w:rsid w:val="00CF21B9"/>
    <w:rsid w:val="00CF339C"/>
    <w:rsid w:val="00CF6BF9"/>
    <w:rsid w:val="00D01D2F"/>
    <w:rsid w:val="00D03800"/>
    <w:rsid w:val="00D065D3"/>
    <w:rsid w:val="00D109A0"/>
    <w:rsid w:val="00D11513"/>
    <w:rsid w:val="00D122D1"/>
    <w:rsid w:val="00D1439F"/>
    <w:rsid w:val="00D14B7D"/>
    <w:rsid w:val="00D14C94"/>
    <w:rsid w:val="00D14DA5"/>
    <w:rsid w:val="00D21B7B"/>
    <w:rsid w:val="00D21DF1"/>
    <w:rsid w:val="00D261A2"/>
    <w:rsid w:val="00D26339"/>
    <w:rsid w:val="00D27586"/>
    <w:rsid w:val="00D31257"/>
    <w:rsid w:val="00D32370"/>
    <w:rsid w:val="00D32484"/>
    <w:rsid w:val="00D326F2"/>
    <w:rsid w:val="00D3390C"/>
    <w:rsid w:val="00D342A6"/>
    <w:rsid w:val="00D356D7"/>
    <w:rsid w:val="00D414D2"/>
    <w:rsid w:val="00D41D6A"/>
    <w:rsid w:val="00D4343E"/>
    <w:rsid w:val="00D45CA6"/>
    <w:rsid w:val="00D464BF"/>
    <w:rsid w:val="00D47303"/>
    <w:rsid w:val="00D51CE2"/>
    <w:rsid w:val="00D532F5"/>
    <w:rsid w:val="00D53E26"/>
    <w:rsid w:val="00D54E02"/>
    <w:rsid w:val="00D55282"/>
    <w:rsid w:val="00D607BB"/>
    <w:rsid w:val="00D61613"/>
    <w:rsid w:val="00D62B11"/>
    <w:rsid w:val="00D62D50"/>
    <w:rsid w:val="00D6344D"/>
    <w:rsid w:val="00D637E0"/>
    <w:rsid w:val="00D66628"/>
    <w:rsid w:val="00D727B8"/>
    <w:rsid w:val="00D75808"/>
    <w:rsid w:val="00D75DD7"/>
    <w:rsid w:val="00D77380"/>
    <w:rsid w:val="00D81FA5"/>
    <w:rsid w:val="00D83854"/>
    <w:rsid w:val="00D840C3"/>
    <w:rsid w:val="00D845AC"/>
    <w:rsid w:val="00D875B7"/>
    <w:rsid w:val="00D9070E"/>
    <w:rsid w:val="00D91168"/>
    <w:rsid w:val="00D93333"/>
    <w:rsid w:val="00D9567C"/>
    <w:rsid w:val="00DA58AE"/>
    <w:rsid w:val="00DA64E7"/>
    <w:rsid w:val="00DA69D1"/>
    <w:rsid w:val="00DB1524"/>
    <w:rsid w:val="00DB178A"/>
    <w:rsid w:val="00DB182C"/>
    <w:rsid w:val="00DB3BD7"/>
    <w:rsid w:val="00DB6BB4"/>
    <w:rsid w:val="00DB7253"/>
    <w:rsid w:val="00DC2344"/>
    <w:rsid w:val="00DC2D7A"/>
    <w:rsid w:val="00DC47AC"/>
    <w:rsid w:val="00DC6425"/>
    <w:rsid w:val="00DC7E4A"/>
    <w:rsid w:val="00DD1074"/>
    <w:rsid w:val="00DD3999"/>
    <w:rsid w:val="00DD467D"/>
    <w:rsid w:val="00DD4F0E"/>
    <w:rsid w:val="00DD4FB1"/>
    <w:rsid w:val="00DD6EBB"/>
    <w:rsid w:val="00DD7A55"/>
    <w:rsid w:val="00DE3AF1"/>
    <w:rsid w:val="00DE73BA"/>
    <w:rsid w:val="00DE77C7"/>
    <w:rsid w:val="00DF03F3"/>
    <w:rsid w:val="00DF0BF0"/>
    <w:rsid w:val="00DF2A89"/>
    <w:rsid w:val="00DF3CA2"/>
    <w:rsid w:val="00DF453E"/>
    <w:rsid w:val="00DF5572"/>
    <w:rsid w:val="00DF6526"/>
    <w:rsid w:val="00DF753C"/>
    <w:rsid w:val="00E00182"/>
    <w:rsid w:val="00E01463"/>
    <w:rsid w:val="00E02281"/>
    <w:rsid w:val="00E02E7A"/>
    <w:rsid w:val="00E033F2"/>
    <w:rsid w:val="00E036D8"/>
    <w:rsid w:val="00E037A5"/>
    <w:rsid w:val="00E05E0A"/>
    <w:rsid w:val="00E060BE"/>
    <w:rsid w:val="00E070DF"/>
    <w:rsid w:val="00E106CE"/>
    <w:rsid w:val="00E1416A"/>
    <w:rsid w:val="00E15D95"/>
    <w:rsid w:val="00E17761"/>
    <w:rsid w:val="00E17A32"/>
    <w:rsid w:val="00E24B9D"/>
    <w:rsid w:val="00E2661A"/>
    <w:rsid w:val="00E2694A"/>
    <w:rsid w:val="00E27469"/>
    <w:rsid w:val="00E27D16"/>
    <w:rsid w:val="00E3059A"/>
    <w:rsid w:val="00E3068D"/>
    <w:rsid w:val="00E30ED3"/>
    <w:rsid w:val="00E3261D"/>
    <w:rsid w:val="00E3266E"/>
    <w:rsid w:val="00E40414"/>
    <w:rsid w:val="00E41A4A"/>
    <w:rsid w:val="00E41B40"/>
    <w:rsid w:val="00E44800"/>
    <w:rsid w:val="00E44A35"/>
    <w:rsid w:val="00E4553D"/>
    <w:rsid w:val="00E46127"/>
    <w:rsid w:val="00E47A94"/>
    <w:rsid w:val="00E47FEA"/>
    <w:rsid w:val="00E50A35"/>
    <w:rsid w:val="00E534CF"/>
    <w:rsid w:val="00E53AB4"/>
    <w:rsid w:val="00E562A9"/>
    <w:rsid w:val="00E56772"/>
    <w:rsid w:val="00E60E9E"/>
    <w:rsid w:val="00E624E9"/>
    <w:rsid w:val="00E639DE"/>
    <w:rsid w:val="00E63ADD"/>
    <w:rsid w:val="00E6423A"/>
    <w:rsid w:val="00E71FA9"/>
    <w:rsid w:val="00E736D3"/>
    <w:rsid w:val="00E74314"/>
    <w:rsid w:val="00E750D2"/>
    <w:rsid w:val="00E80FB0"/>
    <w:rsid w:val="00E81416"/>
    <w:rsid w:val="00E81CB4"/>
    <w:rsid w:val="00E840A5"/>
    <w:rsid w:val="00E8585B"/>
    <w:rsid w:val="00E85F83"/>
    <w:rsid w:val="00E87E3A"/>
    <w:rsid w:val="00E87F41"/>
    <w:rsid w:val="00E90BFA"/>
    <w:rsid w:val="00E91FD9"/>
    <w:rsid w:val="00E94152"/>
    <w:rsid w:val="00E95D7A"/>
    <w:rsid w:val="00E96850"/>
    <w:rsid w:val="00E96FF8"/>
    <w:rsid w:val="00E97EF8"/>
    <w:rsid w:val="00EA3F15"/>
    <w:rsid w:val="00EA6CD0"/>
    <w:rsid w:val="00EA7847"/>
    <w:rsid w:val="00EB29EB"/>
    <w:rsid w:val="00EB326D"/>
    <w:rsid w:val="00EB4C2F"/>
    <w:rsid w:val="00EB58A9"/>
    <w:rsid w:val="00EC12D6"/>
    <w:rsid w:val="00EC13BC"/>
    <w:rsid w:val="00EC2898"/>
    <w:rsid w:val="00EC3E16"/>
    <w:rsid w:val="00EC3F9F"/>
    <w:rsid w:val="00EC5413"/>
    <w:rsid w:val="00EC660F"/>
    <w:rsid w:val="00EC6759"/>
    <w:rsid w:val="00ED22BA"/>
    <w:rsid w:val="00ED4CAB"/>
    <w:rsid w:val="00ED6618"/>
    <w:rsid w:val="00ED72E3"/>
    <w:rsid w:val="00EE0E72"/>
    <w:rsid w:val="00EE2CB5"/>
    <w:rsid w:val="00EE2E6E"/>
    <w:rsid w:val="00EE68E8"/>
    <w:rsid w:val="00EE6A92"/>
    <w:rsid w:val="00EE75F0"/>
    <w:rsid w:val="00EE7805"/>
    <w:rsid w:val="00EF0F91"/>
    <w:rsid w:val="00EF4206"/>
    <w:rsid w:val="00EF63FE"/>
    <w:rsid w:val="00F0367E"/>
    <w:rsid w:val="00F0759E"/>
    <w:rsid w:val="00F10044"/>
    <w:rsid w:val="00F11E68"/>
    <w:rsid w:val="00F16A43"/>
    <w:rsid w:val="00F21A47"/>
    <w:rsid w:val="00F2495F"/>
    <w:rsid w:val="00F313F6"/>
    <w:rsid w:val="00F34405"/>
    <w:rsid w:val="00F40E27"/>
    <w:rsid w:val="00F43275"/>
    <w:rsid w:val="00F436C7"/>
    <w:rsid w:val="00F46409"/>
    <w:rsid w:val="00F46780"/>
    <w:rsid w:val="00F4680B"/>
    <w:rsid w:val="00F46865"/>
    <w:rsid w:val="00F526B2"/>
    <w:rsid w:val="00F5275B"/>
    <w:rsid w:val="00F63448"/>
    <w:rsid w:val="00F70BFD"/>
    <w:rsid w:val="00F72CB8"/>
    <w:rsid w:val="00F72D53"/>
    <w:rsid w:val="00F73B93"/>
    <w:rsid w:val="00F7538B"/>
    <w:rsid w:val="00F77159"/>
    <w:rsid w:val="00F779D2"/>
    <w:rsid w:val="00F77BB4"/>
    <w:rsid w:val="00F77D2D"/>
    <w:rsid w:val="00F80E38"/>
    <w:rsid w:val="00F81289"/>
    <w:rsid w:val="00F81605"/>
    <w:rsid w:val="00F821A3"/>
    <w:rsid w:val="00F83849"/>
    <w:rsid w:val="00F871A0"/>
    <w:rsid w:val="00F8760A"/>
    <w:rsid w:val="00F90FB1"/>
    <w:rsid w:val="00F91D23"/>
    <w:rsid w:val="00F92096"/>
    <w:rsid w:val="00F92F07"/>
    <w:rsid w:val="00F9314A"/>
    <w:rsid w:val="00F940AC"/>
    <w:rsid w:val="00F940B2"/>
    <w:rsid w:val="00F951D9"/>
    <w:rsid w:val="00F958F4"/>
    <w:rsid w:val="00F95DA5"/>
    <w:rsid w:val="00FA188D"/>
    <w:rsid w:val="00FA2209"/>
    <w:rsid w:val="00FA2759"/>
    <w:rsid w:val="00FA4463"/>
    <w:rsid w:val="00FA61B6"/>
    <w:rsid w:val="00FA62AF"/>
    <w:rsid w:val="00FB4745"/>
    <w:rsid w:val="00FB5229"/>
    <w:rsid w:val="00FB70B8"/>
    <w:rsid w:val="00FC2A1D"/>
    <w:rsid w:val="00FC58EF"/>
    <w:rsid w:val="00FC6EE1"/>
    <w:rsid w:val="00FD231B"/>
    <w:rsid w:val="00FD31A7"/>
    <w:rsid w:val="00FD33DF"/>
    <w:rsid w:val="00FD35AA"/>
    <w:rsid w:val="00FD554F"/>
    <w:rsid w:val="00FD7B86"/>
    <w:rsid w:val="00FE39D7"/>
    <w:rsid w:val="00FE4FDD"/>
    <w:rsid w:val="00FE6F28"/>
    <w:rsid w:val="00FF1300"/>
    <w:rsid w:val="00FF3FA1"/>
    <w:rsid w:val="00FF620C"/>
    <w:rsid w:val="00FF640C"/>
    <w:rsid w:val="0851808E"/>
    <w:rsid w:val="0BD4E000"/>
    <w:rsid w:val="0DEAA7F0"/>
    <w:rsid w:val="0E1681AD"/>
    <w:rsid w:val="110DDF6E"/>
    <w:rsid w:val="1266EAA6"/>
    <w:rsid w:val="13E2C013"/>
    <w:rsid w:val="140E8C33"/>
    <w:rsid w:val="14BEC395"/>
    <w:rsid w:val="1B9DC482"/>
    <w:rsid w:val="1C22D2B6"/>
    <w:rsid w:val="1CD91B10"/>
    <w:rsid w:val="1DD74A54"/>
    <w:rsid w:val="20AF6525"/>
    <w:rsid w:val="2114E69C"/>
    <w:rsid w:val="21D462D3"/>
    <w:rsid w:val="268A71B6"/>
    <w:rsid w:val="26CD8C4D"/>
    <w:rsid w:val="30D37BBC"/>
    <w:rsid w:val="32FEF9D1"/>
    <w:rsid w:val="34C8E655"/>
    <w:rsid w:val="3C827B5D"/>
    <w:rsid w:val="3EE5681F"/>
    <w:rsid w:val="402ECD4C"/>
    <w:rsid w:val="40B98626"/>
    <w:rsid w:val="43204FB9"/>
    <w:rsid w:val="4529BD0A"/>
    <w:rsid w:val="4583AED9"/>
    <w:rsid w:val="4591DFF5"/>
    <w:rsid w:val="4769A178"/>
    <w:rsid w:val="4B39014C"/>
    <w:rsid w:val="4CF71E02"/>
    <w:rsid w:val="4F8B1B32"/>
    <w:rsid w:val="4FEE65B4"/>
    <w:rsid w:val="59A52D3F"/>
    <w:rsid w:val="5A08441D"/>
    <w:rsid w:val="5B4BA895"/>
    <w:rsid w:val="5BA39C07"/>
    <w:rsid w:val="5EECA893"/>
    <w:rsid w:val="602E727C"/>
    <w:rsid w:val="6043461E"/>
    <w:rsid w:val="64283168"/>
    <w:rsid w:val="64C10438"/>
    <w:rsid w:val="6A63996E"/>
    <w:rsid w:val="6C013AE3"/>
    <w:rsid w:val="6D0BD1CB"/>
    <w:rsid w:val="6D3757BD"/>
    <w:rsid w:val="6FAE2E75"/>
    <w:rsid w:val="7BDD06D5"/>
    <w:rsid w:val="7BF0278C"/>
    <w:rsid w:val="7D6BA33D"/>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72831A9"/>
  <w15:docId w15:val="{4391673C-9DCA-407D-8516-1F7DE5F09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Descripcin">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customStyle="1" w:styleId="ARTICULOS">
    <w:name w:val="ARTICULOS"/>
    <w:basedOn w:val="Normal"/>
    <w:link w:val="ARTICULOSCar"/>
    <w:qFormat/>
    <w:rsid w:val="00272F8D"/>
    <w:pPr>
      <w:widowControl w:val="0"/>
      <w:numPr>
        <w:numId w:val="23"/>
      </w:numPr>
      <w:adjustRightInd w:val="0"/>
      <w:ind w:left="0" w:firstLine="1"/>
      <w:jc w:val="both"/>
      <w:textAlignment w:val="baseline"/>
    </w:pPr>
    <w:rPr>
      <w:rFonts w:ascii="Bookman Old Style" w:hAnsi="Bookman Old Style"/>
      <w:bCs/>
      <w:lang w:val="x-none" w:eastAsia="x-none"/>
    </w:rPr>
  </w:style>
  <w:style w:type="character" w:customStyle="1" w:styleId="ARTICULOSCar">
    <w:name w:val="ARTICULOS Car"/>
    <w:link w:val="ARTICULOS"/>
    <w:rsid w:val="00272F8D"/>
    <w:rPr>
      <w:rFonts w:ascii="Bookman Old Style" w:hAnsi="Bookman Old Style"/>
      <w:bCs/>
      <w:sz w:val="24"/>
      <w:szCs w:val="24"/>
      <w:lang w:val="x-none" w:eastAsia="x-none"/>
    </w:rPr>
  </w:style>
  <w:style w:type="character" w:styleId="Textodelmarcadordeposicin">
    <w:name w:val="Placeholder Text"/>
    <w:basedOn w:val="Fuentedeprrafopredeter"/>
    <w:uiPriority w:val="99"/>
    <w:semiHidden/>
    <w:rsid w:val="007F4FC4"/>
    <w:rPr>
      <w:color w:val="80808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DC2D7A"/>
    <w:rPr>
      <w:sz w:val="20"/>
      <w:szCs w:val="20"/>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rsid w:val="00DC2D7A"/>
    <w:rPr>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DC2D7A"/>
    <w:rPr>
      <w:vertAlign w:val="superscript"/>
    </w:rPr>
  </w:style>
  <w:style w:type="character" w:styleId="Refdecomentario">
    <w:name w:val="annotation reference"/>
    <w:basedOn w:val="Fuentedeprrafopredeter"/>
    <w:uiPriority w:val="99"/>
    <w:semiHidden/>
    <w:unhideWhenUsed/>
    <w:rsid w:val="00F92F07"/>
    <w:rPr>
      <w:sz w:val="16"/>
      <w:szCs w:val="16"/>
    </w:rPr>
  </w:style>
  <w:style w:type="paragraph" w:styleId="Textocomentario">
    <w:name w:val="annotation text"/>
    <w:basedOn w:val="Normal"/>
    <w:link w:val="TextocomentarioCar"/>
    <w:uiPriority w:val="99"/>
    <w:semiHidden/>
    <w:unhideWhenUsed/>
    <w:rsid w:val="00F92F07"/>
    <w:rPr>
      <w:sz w:val="20"/>
      <w:szCs w:val="20"/>
    </w:rPr>
  </w:style>
  <w:style w:type="character" w:customStyle="1" w:styleId="TextocomentarioCar">
    <w:name w:val="Texto comentario Car"/>
    <w:basedOn w:val="Fuentedeprrafopredeter"/>
    <w:link w:val="Textocomentario"/>
    <w:uiPriority w:val="99"/>
    <w:semiHidden/>
    <w:rsid w:val="00F92F07"/>
    <w:rPr>
      <w:lang w:val="es-ES" w:eastAsia="es-ES"/>
    </w:rPr>
  </w:style>
  <w:style w:type="paragraph" w:styleId="Asuntodelcomentario">
    <w:name w:val="annotation subject"/>
    <w:basedOn w:val="Textocomentario"/>
    <w:next w:val="Textocomentario"/>
    <w:link w:val="AsuntodelcomentarioCar"/>
    <w:uiPriority w:val="99"/>
    <w:semiHidden/>
    <w:unhideWhenUsed/>
    <w:rsid w:val="00F92F07"/>
    <w:rPr>
      <w:b/>
      <w:bCs/>
    </w:rPr>
  </w:style>
  <w:style w:type="character" w:customStyle="1" w:styleId="AsuntodelcomentarioCar">
    <w:name w:val="Asunto del comentario Car"/>
    <w:basedOn w:val="TextocomentarioCar"/>
    <w:link w:val="Asuntodelcomentario"/>
    <w:uiPriority w:val="99"/>
    <w:semiHidden/>
    <w:rsid w:val="00F92F07"/>
    <w:rPr>
      <w:b/>
      <w:bCs/>
      <w:lang w:val="es-ES" w:eastAsia="es-ES"/>
    </w:rPr>
  </w:style>
  <w:style w:type="paragraph" w:styleId="Revisin">
    <w:name w:val="Revision"/>
    <w:hidden/>
    <w:uiPriority w:val="99"/>
    <w:semiHidden/>
    <w:rsid w:val="00F92F07"/>
    <w:rPr>
      <w:sz w:val="24"/>
      <w:szCs w:val="24"/>
      <w:lang w:val="es-ES" w:eastAsia="es-ES"/>
    </w:rPr>
  </w:style>
  <w:style w:type="character" w:styleId="Hipervnculo">
    <w:name w:val="Hyperlink"/>
    <w:basedOn w:val="Fuentedeprrafopredeter"/>
    <w:uiPriority w:val="99"/>
    <w:unhideWhenUsed/>
    <w:rsid w:val="00F34405"/>
    <w:rPr>
      <w:color w:val="0000FF" w:themeColor="hyperlink"/>
      <w:u w:val="single"/>
    </w:rPr>
  </w:style>
  <w:style w:type="character" w:styleId="Mencinsinresolver">
    <w:name w:val="Unresolved Mention"/>
    <w:basedOn w:val="Fuentedeprrafopredeter"/>
    <w:uiPriority w:val="99"/>
    <w:semiHidden/>
    <w:unhideWhenUsed/>
    <w:rsid w:val="00F344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CDD0B26ABEDD0459BD4267A57D8442E" ma:contentTypeVersion="2" ma:contentTypeDescription="Crear nuevo documento." ma:contentTypeScope="" ma:versionID="db9a6d4052deee2570c253e6c5a6dcd2">
  <xsd:schema xmlns:xsd="http://www.w3.org/2001/XMLSchema" xmlns:xs="http://www.w3.org/2001/XMLSchema" xmlns:p="http://schemas.microsoft.com/office/2006/metadata/properties" xmlns:ns2="52f50d89-700a-49c3-acb1-cc45863f80d1" targetNamespace="http://schemas.microsoft.com/office/2006/metadata/properties" ma:root="true" ma:fieldsID="4b795601ec3ce45db74621e49c9645aa" ns2:_="">
    <xsd:import namespace="52f50d89-700a-49c3-acb1-cc45863f80d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50d89-700a-49c3-acb1-cc45863f8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B8ECF-D8D4-4831-8D4F-E466E51C49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93A7B7-73EE-4E0D-A26D-652B423FCCEA}">
  <ds:schemaRefs>
    <ds:schemaRef ds:uri="http://schemas.microsoft.com/sharepoint/v3/contenttype/forms"/>
  </ds:schemaRefs>
</ds:datastoreItem>
</file>

<file path=customXml/itemProps3.xml><?xml version="1.0" encoding="utf-8"?>
<ds:datastoreItem xmlns:ds="http://schemas.openxmlformats.org/officeDocument/2006/customXml" ds:itemID="{F6A8AFEF-4C2E-4238-A13C-338D1CA04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50d89-700a-49c3-acb1-cc45863f8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630A7B-9280-4F70-B5F2-89433AD45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7</Pages>
  <Words>3257</Words>
  <Characters>16839</Characters>
  <Application>Microsoft Office Word</Application>
  <DocSecurity>0</DocSecurity>
  <Lines>140</Lines>
  <Paragraphs>40</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20056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Mónica Plaza</dc:creator>
  <cp:keywords/>
  <cp:lastModifiedBy>Luz Stella Rojas Macias</cp:lastModifiedBy>
  <cp:revision>2</cp:revision>
  <cp:lastPrinted>2020-03-30T15:09:00Z</cp:lastPrinted>
  <dcterms:created xsi:type="dcterms:W3CDTF">2020-03-30T18:06:00Z</dcterms:created>
  <dcterms:modified xsi:type="dcterms:W3CDTF">2020-03-30T18:06:00Z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0x010100DCDD0B26ABEDD0459BD4267A57D8442E</vt:lpwstr>
  </property>
</Properties>
</file>