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03FE" w14:textId="77777777" w:rsidR="005C1BCA" w:rsidRPr="0086374B" w:rsidRDefault="004A45DC" w:rsidP="0086374B">
      <w:pPr>
        <w:jc w:val="center"/>
        <w:rPr>
          <w:noProof/>
          <w:snapToGrid w:val="0"/>
          <w:szCs w:val="24"/>
          <w:lang w:val="es-ES" w:eastAsia="es-ES"/>
        </w:rPr>
      </w:pPr>
      <w:r>
        <w:rPr>
          <w:noProof/>
          <w:szCs w:val="24"/>
          <w:lang w:eastAsia="es-CO"/>
        </w:rPr>
        <w:object w:dxaOrig="1440" w:dyaOrig="1440" w14:anchorId="0DB0A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720509379" r:id="rId12"/>
        </w:object>
      </w:r>
      <w:r w:rsidR="005C1BCA" w:rsidRPr="0086374B">
        <w:rPr>
          <w:snapToGrid w:val="0"/>
          <w:szCs w:val="24"/>
          <w:lang w:val="es-ES_tradnl" w:eastAsia="es-ES"/>
        </w:rPr>
        <w:t>Ministerio de Minas y Energía</w:t>
      </w:r>
    </w:p>
    <w:p w14:paraId="1359E799" w14:textId="77777777" w:rsidR="005C1BCA" w:rsidRPr="005C1BCA" w:rsidRDefault="005C1BCA" w:rsidP="005C1BCA">
      <w:pPr>
        <w:keepNext/>
        <w:tabs>
          <w:tab w:val="left" w:pos="0"/>
          <w:tab w:val="right" w:pos="9356"/>
        </w:tabs>
        <w:spacing w:after="0"/>
        <w:jc w:val="center"/>
        <w:outlineLvl w:val="2"/>
        <w:rPr>
          <w:rFonts w:eastAsia="Times New Roman" w:cs="Arial"/>
          <w:b/>
          <w:snapToGrid w:val="0"/>
          <w:color w:val="000000"/>
          <w:spacing w:val="20"/>
          <w:szCs w:val="24"/>
          <w:lang w:val="es-ES_tradnl" w:eastAsia="es-ES"/>
        </w:rPr>
      </w:pPr>
    </w:p>
    <w:p w14:paraId="7B1697F8" w14:textId="77777777" w:rsidR="005C1BCA" w:rsidRPr="00982158" w:rsidRDefault="005C1BCA" w:rsidP="00982158">
      <w:pPr>
        <w:jc w:val="center"/>
        <w:rPr>
          <w:b/>
          <w:bCs/>
          <w:snapToGrid w:val="0"/>
          <w:szCs w:val="24"/>
          <w:lang w:val="es-ES_tradnl" w:eastAsia="es-ES"/>
        </w:rPr>
      </w:pPr>
      <w:r w:rsidRPr="00982158">
        <w:rPr>
          <w:b/>
          <w:bCs/>
          <w:snapToGrid w:val="0"/>
          <w:szCs w:val="24"/>
          <w:lang w:val="es-ES_tradnl" w:eastAsia="es-ES"/>
        </w:rPr>
        <w:t>COMISIÓN DE REGULACIÓN DE ENERGÍA Y GAS</w:t>
      </w:r>
    </w:p>
    <w:p w14:paraId="2CD0F88F" w14:textId="77777777" w:rsidR="005C1BCA" w:rsidRPr="005C1BCA" w:rsidRDefault="005C1BCA" w:rsidP="005C1BCA">
      <w:pPr>
        <w:keepNext/>
        <w:tabs>
          <w:tab w:val="left" w:pos="0"/>
          <w:tab w:val="right" w:pos="9356"/>
        </w:tabs>
        <w:spacing w:after="0"/>
        <w:jc w:val="center"/>
        <w:outlineLvl w:val="4"/>
        <w:rPr>
          <w:rFonts w:eastAsia="Times New Roman" w:cs="Arial"/>
          <w:b/>
          <w:snapToGrid w:val="0"/>
          <w:color w:val="000000"/>
          <w:spacing w:val="20"/>
          <w:szCs w:val="24"/>
          <w:lang w:val="es-ES_tradnl" w:eastAsia="es-ES"/>
        </w:rPr>
      </w:pPr>
    </w:p>
    <w:p w14:paraId="0BCF6002" w14:textId="60878B9C" w:rsidR="005C1BCA" w:rsidRPr="0086374B" w:rsidRDefault="005C1BCA" w:rsidP="0086374B">
      <w:pPr>
        <w:jc w:val="center"/>
        <w:rPr>
          <w:b/>
          <w:bCs/>
          <w:snapToGrid w:val="0"/>
          <w:szCs w:val="24"/>
          <w:lang w:val="es-ES_tradnl" w:eastAsia="es-ES"/>
        </w:rPr>
      </w:pPr>
      <w:r w:rsidRPr="0086374B">
        <w:rPr>
          <w:b/>
          <w:bCs/>
          <w:snapToGrid w:val="0"/>
          <w:szCs w:val="24"/>
          <w:lang w:val="es-ES_tradnl" w:eastAsia="es-ES"/>
        </w:rPr>
        <w:t>RESOLUCIÓN No</w:t>
      </w:r>
      <w:r w:rsidRPr="00190E4A">
        <w:rPr>
          <w:b/>
          <w:bCs/>
          <w:snapToGrid w:val="0"/>
          <w:szCs w:val="24"/>
          <w:lang w:val="es-ES_tradnl" w:eastAsia="es-ES"/>
        </w:rPr>
        <w:t xml:space="preserve">. </w:t>
      </w:r>
      <w:r w:rsidR="004C3506" w:rsidRPr="00190E4A">
        <w:rPr>
          <w:b/>
          <w:bCs/>
          <w:snapToGrid w:val="0"/>
          <w:sz w:val="32"/>
          <w:szCs w:val="32"/>
          <w:lang w:val="es-ES_tradnl" w:eastAsia="es-ES"/>
        </w:rPr>
        <w:t xml:space="preserve">502 </w:t>
      </w:r>
      <w:r w:rsidR="00190E4A" w:rsidRPr="00190E4A">
        <w:rPr>
          <w:b/>
          <w:bCs/>
          <w:snapToGrid w:val="0"/>
          <w:sz w:val="32"/>
          <w:szCs w:val="32"/>
          <w:lang w:val="es-ES_tradnl" w:eastAsia="es-ES"/>
        </w:rPr>
        <w:t>026</w:t>
      </w:r>
      <w:r w:rsidR="00190E4A" w:rsidRPr="004C3506">
        <w:rPr>
          <w:b/>
          <w:bCs/>
          <w:snapToGrid w:val="0"/>
          <w:sz w:val="32"/>
          <w:szCs w:val="32"/>
          <w:lang w:val="es-ES_tradnl" w:eastAsia="es-ES"/>
        </w:rPr>
        <w:t xml:space="preserve"> </w:t>
      </w:r>
      <w:r w:rsidRPr="0086374B">
        <w:rPr>
          <w:b/>
          <w:bCs/>
          <w:snapToGrid w:val="0"/>
          <w:szCs w:val="24"/>
          <w:lang w:val="es-ES_tradnl" w:eastAsia="es-ES"/>
        </w:rPr>
        <w:t>DE 20</w:t>
      </w:r>
      <w:r w:rsidR="00CD7D9E" w:rsidRPr="0086374B">
        <w:rPr>
          <w:b/>
          <w:bCs/>
          <w:snapToGrid w:val="0"/>
          <w:szCs w:val="24"/>
          <w:lang w:val="es-ES_tradnl" w:eastAsia="es-ES"/>
        </w:rPr>
        <w:t>2</w:t>
      </w:r>
      <w:r w:rsidR="000D12A0" w:rsidRPr="0086374B">
        <w:rPr>
          <w:b/>
          <w:bCs/>
          <w:snapToGrid w:val="0"/>
          <w:szCs w:val="24"/>
          <w:lang w:val="es-ES_tradnl" w:eastAsia="es-ES"/>
        </w:rPr>
        <w:t>2</w:t>
      </w:r>
    </w:p>
    <w:p w14:paraId="2DA2DD82" w14:textId="77777777" w:rsidR="005C1BCA" w:rsidRPr="005C1BCA" w:rsidRDefault="005C1BCA" w:rsidP="005C1BCA">
      <w:pPr>
        <w:tabs>
          <w:tab w:val="left" w:pos="0"/>
          <w:tab w:val="right" w:pos="9356"/>
        </w:tabs>
        <w:spacing w:after="0"/>
        <w:jc w:val="center"/>
        <w:rPr>
          <w:rFonts w:eastAsia="Times New Roman" w:cs="Arial"/>
          <w:b/>
          <w:snapToGrid w:val="0"/>
          <w:color w:val="000000"/>
          <w:szCs w:val="24"/>
          <w:lang w:val="es-ES_tradnl" w:eastAsia="es-ES"/>
        </w:rPr>
      </w:pPr>
    </w:p>
    <w:p w14:paraId="5C188138" w14:textId="344EA82F" w:rsidR="005C1BCA" w:rsidRPr="0086374B" w:rsidRDefault="005C1BCA" w:rsidP="0086374B">
      <w:pPr>
        <w:jc w:val="center"/>
        <w:rPr>
          <w:b/>
          <w:bCs/>
          <w:snapToGrid w:val="0"/>
          <w:sz w:val="32"/>
          <w:szCs w:val="32"/>
          <w:lang w:val="es-ES_tradnl" w:eastAsia="es-ES"/>
        </w:rPr>
      </w:pPr>
      <w:proofErr w:type="gramStart"/>
      <w:r w:rsidRPr="0086374B">
        <w:rPr>
          <w:b/>
          <w:bCs/>
          <w:snapToGrid w:val="0"/>
          <w:szCs w:val="24"/>
          <w:lang w:val="es-ES_tradnl" w:eastAsia="es-ES"/>
        </w:rPr>
        <w:t>(</w:t>
      </w:r>
      <w:r w:rsidRPr="0086374B">
        <w:rPr>
          <w:b/>
          <w:bCs/>
          <w:snapToGrid w:val="0"/>
          <w:sz w:val="32"/>
          <w:szCs w:val="32"/>
          <w:lang w:val="es-ES_tradnl" w:eastAsia="es-ES"/>
        </w:rPr>
        <w:t xml:space="preserve"> </w:t>
      </w:r>
      <w:r w:rsidR="00190E4A">
        <w:rPr>
          <w:b/>
          <w:bCs/>
          <w:snapToGrid w:val="0"/>
          <w:sz w:val="32"/>
          <w:szCs w:val="32"/>
          <w:lang w:val="es-ES_tradnl" w:eastAsia="es-ES"/>
        </w:rPr>
        <w:t>15</w:t>
      </w:r>
      <w:proofErr w:type="gramEnd"/>
      <w:r w:rsidR="00190E4A">
        <w:rPr>
          <w:b/>
          <w:bCs/>
          <w:snapToGrid w:val="0"/>
          <w:sz w:val="32"/>
          <w:szCs w:val="32"/>
          <w:lang w:val="es-ES_tradnl" w:eastAsia="es-ES"/>
        </w:rPr>
        <w:t xml:space="preserve"> JUL. </w:t>
      </w:r>
      <w:r w:rsidR="007B3C4F" w:rsidRPr="0086374B">
        <w:rPr>
          <w:b/>
          <w:bCs/>
          <w:snapToGrid w:val="0"/>
          <w:sz w:val="32"/>
          <w:szCs w:val="32"/>
          <w:lang w:val="es-ES_tradnl" w:eastAsia="es-ES"/>
        </w:rPr>
        <w:t>202</w:t>
      </w:r>
      <w:r w:rsidR="000D12A0" w:rsidRPr="0086374B">
        <w:rPr>
          <w:b/>
          <w:bCs/>
          <w:snapToGrid w:val="0"/>
          <w:sz w:val="32"/>
          <w:szCs w:val="32"/>
          <w:lang w:val="es-ES_tradnl" w:eastAsia="es-ES"/>
        </w:rPr>
        <w:t>2</w:t>
      </w:r>
      <w:r w:rsidRPr="0086374B">
        <w:rPr>
          <w:b/>
          <w:bCs/>
          <w:snapToGrid w:val="0"/>
          <w:sz w:val="32"/>
          <w:szCs w:val="32"/>
          <w:lang w:val="es-ES_tradnl" w:eastAsia="es-ES"/>
        </w:rPr>
        <w:t xml:space="preserve">  </w:t>
      </w:r>
      <w:r w:rsidRPr="0086374B">
        <w:rPr>
          <w:b/>
          <w:bCs/>
          <w:snapToGrid w:val="0"/>
          <w:szCs w:val="24"/>
          <w:lang w:val="es-ES_tradnl" w:eastAsia="es-ES"/>
        </w:rPr>
        <w:t>)</w:t>
      </w:r>
    </w:p>
    <w:p w14:paraId="332215A4" w14:textId="77777777" w:rsidR="005C1BCA" w:rsidRPr="005C1BCA" w:rsidRDefault="005C1BCA" w:rsidP="005C1BCA">
      <w:pPr>
        <w:spacing w:after="0"/>
        <w:rPr>
          <w:rFonts w:eastAsia="Times New Roman" w:cs="Times New Roman"/>
          <w:bCs/>
          <w:szCs w:val="24"/>
          <w:lang w:eastAsia="es-ES"/>
        </w:rPr>
      </w:pPr>
    </w:p>
    <w:p w14:paraId="3DA4F551" w14:textId="77777777" w:rsidR="007F66B9" w:rsidRDefault="007F66B9" w:rsidP="005C1BCA">
      <w:pPr>
        <w:spacing w:after="0"/>
        <w:jc w:val="center"/>
        <w:rPr>
          <w:rFonts w:eastAsia="Times New Roman" w:cs="Times New Roman"/>
          <w:szCs w:val="24"/>
          <w:lang w:val="es-ES" w:eastAsia="es-ES"/>
        </w:rPr>
      </w:pPr>
    </w:p>
    <w:p w14:paraId="72BA419B" w14:textId="3CBD818C" w:rsidR="008B3493" w:rsidRPr="00636138" w:rsidRDefault="008B3493" w:rsidP="008B3493">
      <w:pPr>
        <w:spacing w:after="0"/>
        <w:ind w:left="567" w:right="51"/>
        <w:jc w:val="center"/>
        <w:rPr>
          <w:rFonts w:eastAsia="Times New Roman" w:cs="Times New Roman"/>
          <w:szCs w:val="24"/>
          <w:lang w:val="es-ES" w:eastAsia="es-ES"/>
        </w:rPr>
      </w:pPr>
      <w:r w:rsidRPr="00636138">
        <w:rPr>
          <w:rFonts w:eastAsia="Times New Roman" w:cs="Times New Roman"/>
          <w:szCs w:val="24"/>
          <w:lang w:val="es-ES" w:eastAsia="es-ES"/>
        </w:rPr>
        <w:t xml:space="preserve">Por la cual se ajustan los cargos regulados para los gasoductos </w:t>
      </w:r>
      <w:proofErr w:type="spellStart"/>
      <w:r w:rsidRPr="00636138">
        <w:rPr>
          <w:rFonts w:eastAsia="Times New Roman" w:cs="Times New Roman"/>
          <w:szCs w:val="24"/>
          <w:lang w:val="es-ES" w:eastAsia="es-ES"/>
        </w:rPr>
        <w:t>Chicoral</w:t>
      </w:r>
      <w:proofErr w:type="spellEnd"/>
      <w:r w:rsidRPr="00636138">
        <w:rPr>
          <w:rFonts w:eastAsia="Times New Roman" w:cs="Times New Roman"/>
          <w:szCs w:val="24"/>
          <w:lang w:val="es-ES" w:eastAsia="es-ES"/>
        </w:rPr>
        <w:t xml:space="preserve"> - Flandes, Buenos Aires – Ibagué y Neiva </w:t>
      </w:r>
      <w:r>
        <w:rPr>
          <w:rFonts w:eastAsia="Times New Roman" w:cs="Times New Roman"/>
          <w:szCs w:val="24"/>
          <w:lang w:val="es-ES" w:eastAsia="es-ES"/>
        </w:rPr>
        <w:t xml:space="preserve">- </w:t>
      </w:r>
      <w:r w:rsidRPr="00636138">
        <w:rPr>
          <w:rFonts w:eastAsia="Times New Roman" w:cs="Times New Roman"/>
          <w:szCs w:val="24"/>
          <w:lang w:val="es-ES" w:eastAsia="es-ES"/>
        </w:rPr>
        <w:t xml:space="preserve">Hobo, pertenecientes al sistema de transporte de </w:t>
      </w:r>
      <w:r w:rsidR="00416B3E" w:rsidRPr="00636138">
        <w:rPr>
          <w:rFonts w:eastAsia="Times New Roman" w:cs="Times New Roman"/>
          <w:szCs w:val="24"/>
          <w:lang w:val="es-ES" w:eastAsia="es-ES"/>
        </w:rPr>
        <w:t xml:space="preserve">PROGASUR </w:t>
      </w:r>
      <w:r w:rsidRPr="00636138">
        <w:rPr>
          <w:rFonts w:eastAsia="Times New Roman" w:cs="Times New Roman"/>
          <w:szCs w:val="24"/>
          <w:lang w:val="es-ES" w:eastAsia="es-ES"/>
        </w:rPr>
        <w:t>S.A.</w:t>
      </w:r>
      <w:r>
        <w:rPr>
          <w:rFonts w:eastAsia="Times New Roman" w:cs="Times New Roman"/>
          <w:szCs w:val="24"/>
          <w:lang w:val="es-ES" w:eastAsia="es-ES"/>
        </w:rPr>
        <w:t xml:space="preserve"> </w:t>
      </w:r>
      <w:r w:rsidRPr="00636138">
        <w:rPr>
          <w:rFonts w:eastAsia="Times New Roman" w:cs="Times New Roman"/>
          <w:szCs w:val="24"/>
          <w:lang w:val="es-ES" w:eastAsia="es-ES"/>
        </w:rPr>
        <w:t xml:space="preserve">E.S.P. </w:t>
      </w:r>
    </w:p>
    <w:p w14:paraId="10A25076" w14:textId="77777777" w:rsidR="00676D84" w:rsidRDefault="00676D84" w:rsidP="005C1BCA">
      <w:pPr>
        <w:spacing w:after="0"/>
        <w:ind w:left="567" w:right="51"/>
        <w:jc w:val="center"/>
        <w:rPr>
          <w:rFonts w:eastAsia="Times New Roman" w:cs="Times New Roman"/>
          <w:b/>
          <w:szCs w:val="24"/>
          <w:lang w:val="es-ES" w:eastAsia="es-ES"/>
        </w:rPr>
      </w:pPr>
    </w:p>
    <w:p w14:paraId="12FE27EB" w14:textId="77777777" w:rsidR="005C1BCA" w:rsidRPr="005C1BCA" w:rsidRDefault="005C1BCA" w:rsidP="005C1BCA">
      <w:pPr>
        <w:spacing w:after="0"/>
        <w:ind w:left="567" w:right="51"/>
        <w:jc w:val="center"/>
        <w:rPr>
          <w:rFonts w:eastAsia="Times New Roman" w:cs="Times New Roman"/>
          <w:b/>
          <w:szCs w:val="24"/>
          <w:lang w:val="es-ES" w:eastAsia="es-ES"/>
        </w:rPr>
      </w:pPr>
      <w:r w:rsidRPr="005C1BCA">
        <w:rPr>
          <w:rFonts w:eastAsia="Times New Roman" w:cs="Times New Roman"/>
          <w:b/>
          <w:szCs w:val="24"/>
          <w:lang w:val="es-ES" w:eastAsia="es-ES"/>
        </w:rPr>
        <w:t>LA COMISIÓN DE REGULACIÓN DE ENERGÍA Y GAS</w:t>
      </w:r>
    </w:p>
    <w:p w14:paraId="3B4E0C2F" w14:textId="77777777" w:rsidR="005C1BCA" w:rsidRPr="005C1BCA" w:rsidRDefault="005C1BCA" w:rsidP="005C1BCA">
      <w:pPr>
        <w:spacing w:after="0"/>
        <w:ind w:right="51"/>
        <w:rPr>
          <w:rFonts w:eastAsia="Times New Roman" w:cs="Times New Roman"/>
          <w:szCs w:val="24"/>
          <w:lang w:val="es-ES" w:eastAsia="es-ES"/>
        </w:rPr>
      </w:pPr>
    </w:p>
    <w:p w14:paraId="3C362830" w14:textId="77777777" w:rsidR="005C1BCA" w:rsidRPr="005C1BCA" w:rsidRDefault="005C1BCA" w:rsidP="005C1BCA">
      <w:pPr>
        <w:spacing w:after="0"/>
        <w:ind w:right="51"/>
        <w:rPr>
          <w:rFonts w:eastAsia="Times New Roman" w:cs="Times New Roman"/>
          <w:szCs w:val="24"/>
          <w:lang w:val="es-ES" w:eastAsia="es-ES"/>
        </w:rPr>
      </w:pPr>
    </w:p>
    <w:p w14:paraId="042BC6AF" w14:textId="0887D76A" w:rsidR="005C1BCA" w:rsidRPr="005C1BCA" w:rsidRDefault="00A51D7A" w:rsidP="00A51D7A">
      <w:pPr>
        <w:spacing w:after="0"/>
        <w:ind w:right="51"/>
        <w:jc w:val="center"/>
        <w:rPr>
          <w:rFonts w:eastAsia="Times New Roman" w:cs="Arial"/>
          <w:bCs/>
          <w:spacing w:val="-3"/>
          <w:szCs w:val="24"/>
          <w:lang w:val="es-ES" w:eastAsia="es-ES"/>
        </w:rPr>
      </w:pPr>
      <w:r w:rsidRPr="00A51D7A">
        <w:rPr>
          <w:rFonts w:eastAsia="Times New Roman" w:cs="Arial"/>
          <w:color w:val="000000"/>
          <w:szCs w:val="24"/>
          <w:lang w:val="es-ES" w:eastAsia="es-ES"/>
        </w:rPr>
        <w:t>En ejercicio de sus atribuciones legales, en especial de las conferidas por la Ley 142 de 1994, y en desarrollo de los Decretos 2253 de 1994, 1260 de 2013, y</w:t>
      </w:r>
    </w:p>
    <w:p w14:paraId="1E71ED43" w14:textId="77777777" w:rsidR="005C1BCA" w:rsidRPr="005C1BCA" w:rsidRDefault="005C1BCA" w:rsidP="005C1BCA">
      <w:pPr>
        <w:spacing w:after="0"/>
        <w:rPr>
          <w:rFonts w:eastAsia="Times New Roman" w:cs="Arial"/>
          <w:color w:val="000000"/>
          <w:szCs w:val="24"/>
          <w:lang w:val="es-ES" w:eastAsia="es-ES"/>
        </w:rPr>
      </w:pPr>
    </w:p>
    <w:p w14:paraId="13A7D3F9" w14:textId="77777777" w:rsidR="00A33677" w:rsidRPr="00CE515C" w:rsidRDefault="005C1BCA" w:rsidP="00CE515C">
      <w:pPr>
        <w:spacing w:after="0"/>
        <w:jc w:val="center"/>
        <w:rPr>
          <w:rFonts w:eastAsia="Times New Roman" w:cs="Arial"/>
          <w:b/>
          <w:color w:val="000000"/>
          <w:szCs w:val="24"/>
          <w:lang w:val="es-ES" w:eastAsia="es-ES"/>
        </w:rPr>
      </w:pPr>
      <w:r w:rsidRPr="005C1BCA">
        <w:rPr>
          <w:rFonts w:eastAsia="Times New Roman" w:cs="Arial"/>
          <w:b/>
          <w:color w:val="000000"/>
          <w:szCs w:val="24"/>
          <w:lang w:val="es-ES" w:eastAsia="es-ES"/>
        </w:rPr>
        <w:t xml:space="preserve">C O N S I D E R A N D </w:t>
      </w:r>
      <w:proofErr w:type="gramStart"/>
      <w:r w:rsidRPr="005C1BCA">
        <w:rPr>
          <w:rFonts w:eastAsia="Times New Roman" w:cs="Arial"/>
          <w:b/>
          <w:color w:val="000000"/>
          <w:szCs w:val="24"/>
          <w:lang w:val="es-ES" w:eastAsia="es-ES"/>
        </w:rPr>
        <w:t>O  Q</w:t>
      </w:r>
      <w:proofErr w:type="gramEnd"/>
      <w:r w:rsidRPr="005C1BCA">
        <w:rPr>
          <w:rFonts w:eastAsia="Times New Roman" w:cs="Arial"/>
          <w:b/>
          <w:color w:val="000000"/>
          <w:szCs w:val="24"/>
          <w:lang w:val="es-ES" w:eastAsia="es-ES"/>
        </w:rPr>
        <w:t xml:space="preserve"> U E:</w:t>
      </w:r>
    </w:p>
    <w:p w14:paraId="287BA684" w14:textId="77777777" w:rsidR="00A33677" w:rsidRDefault="00A33677" w:rsidP="00A33677">
      <w:pPr>
        <w:pStyle w:val="Textoindependiente2"/>
        <w:spacing w:after="0" w:line="240" w:lineRule="auto"/>
        <w:ind w:left="578" w:right="-142" w:hanging="720"/>
        <w:jc w:val="both"/>
        <w:rPr>
          <w:rFonts w:ascii="Bookman Old Style" w:hAnsi="Bookman Old Style"/>
          <w:b/>
        </w:rPr>
      </w:pPr>
    </w:p>
    <w:p w14:paraId="2AAFCC21" w14:textId="3E6ABF38" w:rsidR="006A456D" w:rsidRPr="004E5678" w:rsidRDefault="006A456D" w:rsidP="006A456D">
      <w:pPr>
        <w:widowControl w:val="0"/>
        <w:spacing w:after="0"/>
        <w:jc w:val="both"/>
        <w:rPr>
          <w:rFonts w:eastAsia="Times New Roman" w:cs="Times New Roman"/>
          <w:iCs/>
          <w:color w:val="000000" w:themeColor="text1"/>
          <w:szCs w:val="24"/>
          <w:lang w:eastAsia="es-ES"/>
        </w:rPr>
      </w:pPr>
      <w:r w:rsidRPr="004E5678">
        <w:rPr>
          <w:rFonts w:eastAsia="Times New Roman" w:cs="Times New Roman"/>
          <w:color w:val="000000" w:themeColor="text1"/>
          <w:szCs w:val="24"/>
          <w:lang w:eastAsia="es-ES"/>
        </w:rPr>
        <w:t>De conformidad con lo establecido en el artículo 14.28 de la Ley 142 de 1994</w:t>
      </w:r>
      <w:r w:rsidR="00ED53AE" w:rsidRPr="004E5678">
        <w:rPr>
          <w:rFonts w:eastAsia="Times New Roman" w:cs="Times New Roman"/>
          <w:color w:val="000000" w:themeColor="text1"/>
          <w:szCs w:val="24"/>
          <w:lang w:eastAsia="es-ES"/>
        </w:rPr>
        <w:t>,</w:t>
      </w:r>
      <w:r w:rsidRPr="004E5678">
        <w:rPr>
          <w:rFonts w:eastAsia="Times New Roman" w:cs="Times New Roman"/>
          <w:color w:val="000000" w:themeColor="text1"/>
          <w:szCs w:val="24"/>
          <w:lang w:eastAsia="es-ES"/>
        </w:rPr>
        <w:t xml:space="preserve"> el servicio público domiciliario de gas combustible </w:t>
      </w:r>
      <w:r w:rsidRPr="004E5678">
        <w:rPr>
          <w:rFonts w:eastAsia="Times New Roman" w:cs="Times New Roman"/>
          <w:i/>
          <w:color w:val="000000" w:themeColor="text1"/>
          <w:szCs w:val="24"/>
          <w:lang w:eastAsia="es-ES"/>
        </w:rPr>
        <w:t>“</w:t>
      </w:r>
      <w:r w:rsidRPr="004E5678">
        <w:rPr>
          <w:rFonts w:eastAsia="Times New Roman" w:cs="Times New Roman"/>
          <w:i/>
          <w:iCs/>
          <w:color w:val="000000" w:themeColor="text1"/>
          <w:szCs w:val="24"/>
          <w:lang w:eastAsia="es-ES"/>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4E5678">
        <w:rPr>
          <w:rFonts w:eastAsia="Times New Roman" w:cs="Times New Roman"/>
          <w:iCs/>
          <w:color w:val="000000" w:themeColor="text1"/>
          <w:szCs w:val="24"/>
          <w:lang w:eastAsia="es-ES"/>
        </w:rPr>
        <w:t>.</w:t>
      </w:r>
    </w:p>
    <w:p w14:paraId="3536CDFA" w14:textId="77777777" w:rsidR="006A456D" w:rsidRPr="004E5678" w:rsidRDefault="006A456D" w:rsidP="006A456D">
      <w:pPr>
        <w:widowControl w:val="0"/>
        <w:spacing w:after="0"/>
        <w:jc w:val="both"/>
        <w:rPr>
          <w:rFonts w:eastAsia="Times New Roman" w:cs="Times New Roman"/>
          <w:color w:val="000000" w:themeColor="text1"/>
          <w:szCs w:val="24"/>
          <w:lang w:eastAsia="es-ES"/>
        </w:rPr>
      </w:pPr>
    </w:p>
    <w:p w14:paraId="1288CE4F" w14:textId="77777777" w:rsidR="006A456D" w:rsidRPr="004E5678" w:rsidRDefault="006A456D" w:rsidP="006A456D">
      <w:pPr>
        <w:widowControl w:val="0"/>
        <w:spacing w:after="0"/>
        <w:jc w:val="both"/>
        <w:rPr>
          <w:rFonts w:eastAsia="Times New Roman" w:cs="Times New Roman"/>
          <w:color w:val="000000" w:themeColor="text1"/>
          <w:szCs w:val="24"/>
          <w:lang w:eastAsia="es-ES"/>
        </w:rPr>
      </w:pPr>
      <w:r w:rsidRPr="004E5678">
        <w:rPr>
          <w:rFonts w:eastAsia="Times New Roman" w:cs="Times New Roman"/>
          <w:color w:val="000000" w:themeColor="text1"/>
          <w:szCs w:val="24"/>
          <w:lang w:eastAsia="es-ES"/>
        </w:rPr>
        <w:t>Según lo dispuesto por el artículo 28 de la Ley 142 de 1994, la construcción y operación de redes para el transporte de gas, así como el señalamiento de las tarifas por su uso, se regirán exclusivamente por dicha Ley.</w:t>
      </w:r>
    </w:p>
    <w:p w14:paraId="255F620D" w14:textId="77777777" w:rsidR="006A456D" w:rsidRPr="004E5678" w:rsidRDefault="006A456D" w:rsidP="006A456D">
      <w:pPr>
        <w:widowControl w:val="0"/>
        <w:spacing w:after="0"/>
        <w:jc w:val="both"/>
        <w:rPr>
          <w:rFonts w:eastAsia="Times New Roman" w:cs="Times New Roman"/>
          <w:color w:val="000000" w:themeColor="text1"/>
          <w:szCs w:val="24"/>
          <w:lang w:eastAsia="es-ES"/>
        </w:rPr>
      </w:pPr>
    </w:p>
    <w:p w14:paraId="57414CC9" w14:textId="77777777" w:rsidR="006A456D" w:rsidRPr="004E5678" w:rsidRDefault="006A456D" w:rsidP="006A456D">
      <w:pPr>
        <w:widowControl w:val="0"/>
        <w:spacing w:after="0"/>
        <w:jc w:val="both"/>
        <w:rPr>
          <w:rFonts w:eastAsia="Times New Roman" w:cs="Times New Roman"/>
          <w:color w:val="000000" w:themeColor="text1"/>
          <w:szCs w:val="24"/>
          <w:lang w:eastAsia="es-ES"/>
        </w:rPr>
      </w:pPr>
      <w:r w:rsidRPr="004E5678">
        <w:rPr>
          <w:rFonts w:eastAsia="Times New Roman" w:cs="Times New Roman"/>
          <w:color w:val="000000" w:themeColor="text1"/>
          <w:szCs w:val="24"/>
          <w:lang w:eastAsia="es-ES"/>
        </w:rPr>
        <w:t>El artículo 73.11 de la Ley 142 de 1994 atribuyó a la Comisión de Regulación de Energía y Gas, CREG, la competencia para establecer las fórmulas para la fijación de las tarifas del servicio público domiciliario de gas combustible.</w:t>
      </w:r>
    </w:p>
    <w:p w14:paraId="7F2BA078" w14:textId="77777777" w:rsidR="006A456D" w:rsidRPr="004E5678" w:rsidRDefault="006A456D" w:rsidP="006A456D">
      <w:pPr>
        <w:widowControl w:val="0"/>
        <w:spacing w:after="0"/>
        <w:jc w:val="both"/>
        <w:rPr>
          <w:rFonts w:eastAsia="Times New Roman" w:cs="Times New Roman"/>
          <w:color w:val="000000" w:themeColor="text1"/>
          <w:szCs w:val="24"/>
          <w:lang w:eastAsia="es-ES"/>
        </w:rPr>
      </w:pPr>
    </w:p>
    <w:p w14:paraId="47B8198C" w14:textId="6C116B63" w:rsidR="006A456D" w:rsidRPr="004E5678" w:rsidRDefault="006A456D"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4E5678">
        <w:rPr>
          <w:rFonts w:eastAsia="Times New Roman" w:cs="Arial"/>
          <w:color w:val="000000" w:themeColor="text1"/>
          <w:spacing w:val="-3"/>
          <w:szCs w:val="24"/>
          <w:lang w:val="es-ES" w:eastAsia="es-ES"/>
        </w:rPr>
        <w:t xml:space="preserve">El artículo 109 de la Ley 142 de 1994, en relación con las facultades con las que cuenta la Comisión dentro del ejercicio de las actuaciones administrativas que se adelanten en materia regulatoria, ha previsto </w:t>
      </w:r>
      <w:bookmarkStart w:id="0" w:name="109"/>
      <w:bookmarkEnd w:id="0"/>
      <w:r w:rsidRPr="004E5678">
        <w:rPr>
          <w:rFonts w:eastAsia="Times New Roman" w:cs="Arial"/>
          <w:color w:val="000000" w:themeColor="text1"/>
          <w:spacing w:val="-3"/>
          <w:szCs w:val="24"/>
          <w:lang w:val="es-ES" w:eastAsia="es-ES"/>
        </w:rPr>
        <w:t>que</w:t>
      </w:r>
      <w:r w:rsidR="00ED53AE" w:rsidRPr="004E5678">
        <w:rPr>
          <w:rFonts w:eastAsia="Times New Roman" w:cs="Arial"/>
          <w:color w:val="000000" w:themeColor="text1"/>
          <w:spacing w:val="-3"/>
          <w:szCs w:val="24"/>
          <w:lang w:val="es-ES" w:eastAsia="es-ES"/>
        </w:rPr>
        <w:t>,</w:t>
      </w:r>
      <w:r w:rsidRPr="004E5678">
        <w:rPr>
          <w:rFonts w:eastAsia="Times New Roman" w:cs="Arial"/>
          <w:color w:val="000000" w:themeColor="text1"/>
          <w:spacing w:val="-3"/>
          <w:szCs w:val="24"/>
          <w:lang w:val="es-ES" w:eastAsia="es-ES"/>
        </w:rPr>
        <w:t xml:space="preserve"> al practicar pruebas</w:t>
      </w:r>
      <w:r w:rsidR="00ED53AE" w:rsidRPr="004E5678">
        <w:rPr>
          <w:rFonts w:eastAsia="Times New Roman" w:cs="Arial"/>
          <w:color w:val="000000" w:themeColor="text1"/>
          <w:spacing w:val="-3"/>
          <w:szCs w:val="24"/>
          <w:lang w:val="es-ES" w:eastAsia="es-ES"/>
        </w:rPr>
        <w:t>,</w:t>
      </w:r>
      <w:r w:rsidRPr="004E5678">
        <w:rPr>
          <w:rFonts w:eastAsia="Times New Roman" w:cs="Arial"/>
          <w:color w:val="000000" w:themeColor="text1"/>
          <w:spacing w:val="-3"/>
          <w:szCs w:val="24"/>
          <w:lang w:val="es-ES" w:eastAsia="es-ES"/>
        </w:rPr>
        <w:t xml:space="preserve"> las funciones que corresponderían al juez en un proceso civil las cumplirá la autoridad, o la persona que acuerden la autoridad y el interesado.</w:t>
      </w:r>
    </w:p>
    <w:p w14:paraId="7CB8F6BC" w14:textId="77777777" w:rsidR="006A456D" w:rsidRPr="004E5678" w:rsidRDefault="006A456D"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7CC52760" w14:textId="574EAA1A" w:rsidR="006A456D" w:rsidRPr="00282E69" w:rsidRDefault="006A456D"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282E69">
        <w:rPr>
          <w:rFonts w:eastAsia="Times New Roman" w:cs="Arial"/>
          <w:color w:val="000000" w:themeColor="text1"/>
          <w:spacing w:val="-3"/>
          <w:szCs w:val="24"/>
          <w:lang w:val="es-ES" w:eastAsia="es-ES"/>
        </w:rPr>
        <w:t xml:space="preserve">Mediante la Resolución CREG 126 de 2010 se estableció la metodología general para determinar los cargos que deben aplicar las empresas que realizan la actividad de transporte de gas natural a través del </w:t>
      </w:r>
      <w:r w:rsidR="00ED53AE" w:rsidRPr="00282E69">
        <w:rPr>
          <w:rFonts w:eastAsia="Times New Roman" w:cs="Arial"/>
          <w:color w:val="000000" w:themeColor="text1"/>
          <w:spacing w:val="-3"/>
          <w:szCs w:val="24"/>
          <w:lang w:val="es-ES" w:eastAsia="es-ES"/>
        </w:rPr>
        <w:t xml:space="preserve">Sistema Nacional </w:t>
      </w:r>
      <w:r w:rsidRPr="00282E69">
        <w:rPr>
          <w:rFonts w:eastAsia="Times New Roman" w:cs="Arial"/>
          <w:color w:val="000000" w:themeColor="text1"/>
          <w:spacing w:val="-3"/>
          <w:szCs w:val="24"/>
          <w:lang w:val="es-ES" w:eastAsia="es-ES"/>
        </w:rPr>
        <w:t xml:space="preserve">de </w:t>
      </w:r>
      <w:r w:rsidR="00ED53AE" w:rsidRPr="00282E69">
        <w:rPr>
          <w:rFonts w:eastAsia="Times New Roman" w:cs="Arial"/>
          <w:color w:val="000000" w:themeColor="text1"/>
          <w:spacing w:val="-3"/>
          <w:szCs w:val="24"/>
          <w:lang w:val="es-ES" w:eastAsia="es-ES"/>
        </w:rPr>
        <w:t>Transporte</w:t>
      </w:r>
      <w:r w:rsidRPr="00282E69">
        <w:rPr>
          <w:rFonts w:eastAsia="Times New Roman" w:cs="Arial"/>
          <w:color w:val="000000" w:themeColor="text1"/>
          <w:spacing w:val="-3"/>
          <w:szCs w:val="24"/>
          <w:lang w:val="es-ES" w:eastAsia="es-ES"/>
        </w:rPr>
        <w:t>.</w:t>
      </w:r>
    </w:p>
    <w:p w14:paraId="30DE52AC" w14:textId="77777777" w:rsidR="00952D20" w:rsidRPr="00282E69" w:rsidRDefault="00952D20" w:rsidP="009B17AF">
      <w:pPr>
        <w:spacing w:after="0"/>
        <w:jc w:val="both"/>
        <w:rPr>
          <w:rFonts w:eastAsia="Times New Roman" w:cs="Arial"/>
          <w:color w:val="000000" w:themeColor="text1"/>
          <w:spacing w:val="-3"/>
          <w:szCs w:val="24"/>
          <w:lang w:val="es-ES" w:eastAsia="es-ES"/>
        </w:rPr>
      </w:pPr>
    </w:p>
    <w:p w14:paraId="1B7FD458" w14:textId="2011D5C7" w:rsidR="009B17AF" w:rsidRDefault="00265600" w:rsidP="009B17AF">
      <w:pPr>
        <w:spacing w:after="0"/>
        <w:jc w:val="both"/>
        <w:rPr>
          <w:rFonts w:eastAsia="Times New Roman" w:cs="Arial"/>
          <w:color w:val="000000" w:themeColor="text1"/>
          <w:spacing w:val="-3"/>
          <w:szCs w:val="24"/>
          <w:lang w:val="es-ES" w:eastAsia="es-ES"/>
        </w:rPr>
      </w:pPr>
      <w:r w:rsidRPr="00282E69">
        <w:rPr>
          <w:rFonts w:eastAsia="Times New Roman" w:cs="Arial"/>
          <w:color w:val="000000" w:themeColor="text1"/>
          <w:spacing w:val="-3"/>
          <w:szCs w:val="24"/>
          <w:lang w:val="es-ES" w:eastAsia="es-ES"/>
        </w:rPr>
        <w:lastRenderedPageBreak/>
        <w:t>Mediante la Resolución CREG 11</w:t>
      </w:r>
      <w:r w:rsidR="00952D20" w:rsidRPr="00282E69">
        <w:rPr>
          <w:rFonts w:eastAsia="Times New Roman" w:cs="Arial"/>
          <w:color w:val="000000" w:themeColor="text1"/>
          <w:spacing w:val="-3"/>
          <w:szCs w:val="24"/>
          <w:lang w:val="es-ES" w:eastAsia="es-ES"/>
        </w:rPr>
        <w:t>2</w:t>
      </w:r>
      <w:r w:rsidRPr="00282E69">
        <w:rPr>
          <w:rFonts w:eastAsia="Times New Roman" w:cs="Arial"/>
          <w:color w:val="000000" w:themeColor="text1"/>
          <w:spacing w:val="-3"/>
          <w:szCs w:val="24"/>
          <w:lang w:val="es-ES" w:eastAsia="es-ES"/>
        </w:rPr>
        <w:t xml:space="preserve"> de 2011 se establecieron los cargos regulados para </w:t>
      </w:r>
      <w:r w:rsidR="0005655A" w:rsidRPr="00282E69">
        <w:rPr>
          <w:rFonts w:eastAsia="Times New Roman" w:cs="Arial"/>
          <w:color w:val="000000" w:themeColor="text1"/>
          <w:spacing w:val="-3"/>
          <w:szCs w:val="24"/>
          <w:lang w:val="es-ES" w:eastAsia="es-ES"/>
        </w:rPr>
        <w:t xml:space="preserve">los gasoductos Neiva – Hobo y Flandes – Girardot – Ricaurte </w:t>
      </w:r>
      <w:r w:rsidR="007F7DA8" w:rsidRPr="00282E69">
        <w:rPr>
          <w:rFonts w:eastAsia="Times New Roman" w:cs="Arial"/>
          <w:color w:val="000000" w:themeColor="text1"/>
          <w:spacing w:val="-3"/>
          <w:szCs w:val="24"/>
          <w:lang w:val="es-ES" w:eastAsia="es-ES"/>
        </w:rPr>
        <w:t>pertenecientes</w:t>
      </w:r>
      <w:r w:rsidR="00C90B64" w:rsidRPr="00282E69">
        <w:rPr>
          <w:rFonts w:eastAsia="Times New Roman" w:cs="Arial"/>
          <w:color w:val="000000" w:themeColor="text1"/>
          <w:spacing w:val="-3"/>
          <w:szCs w:val="24"/>
          <w:lang w:val="es-ES" w:eastAsia="es-ES"/>
        </w:rPr>
        <w:t xml:space="preserve"> al </w:t>
      </w:r>
      <w:r w:rsidRPr="00282E69">
        <w:rPr>
          <w:rFonts w:eastAsia="Times New Roman" w:cs="Arial"/>
          <w:color w:val="000000" w:themeColor="text1"/>
          <w:spacing w:val="-3"/>
          <w:szCs w:val="24"/>
          <w:lang w:val="es-ES" w:eastAsia="es-ES"/>
        </w:rPr>
        <w:t xml:space="preserve">sistema de transporte de </w:t>
      </w:r>
      <w:r w:rsidR="00092BAD" w:rsidRPr="00092BAD">
        <w:rPr>
          <w:rFonts w:eastAsia="Times New Roman" w:cs="Arial"/>
          <w:color w:val="000000" w:themeColor="text1"/>
          <w:spacing w:val="-3"/>
          <w:szCs w:val="24"/>
          <w:lang w:val="es-ES" w:eastAsia="es-ES"/>
        </w:rPr>
        <w:t>PROGASUR S.A. E.S.P.</w:t>
      </w:r>
      <w:r w:rsidRPr="00282E69">
        <w:rPr>
          <w:rFonts w:eastAsia="Times New Roman" w:cs="Arial"/>
          <w:color w:val="000000" w:themeColor="text1"/>
          <w:spacing w:val="-3"/>
          <w:szCs w:val="24"/>
          <w:lang w:val="es-ES" w:eastAsia="es-ES"/>
        </w:rPr>
        <w:t xml:space="preserve">, de acuerdo con los criterios previstos en la </w:t>
      </w:r>
      <w:r w:rsidR="009B17AF" w:rsidRPr="00282E69">
        <w:rPr>
          <w:rFonts w:eastAsia="Times New Roman" w:cs="Arial"/>
          <w:color w:val="000000" w:themeColor="text1"/>
          <w:spacing w:val="-3"/>
          <w:szCs w:val="24"/>
          <w:lang w:val="es-ES" w:eastAsia="es-ES"/>
        </w:rPr>
        <w:t xml:space="preserve">Resolución CREG 126 de 2010. </w:t>
      </w:r>
    </w:p>
    <w:p w14:paraId="1401D1D2" w14:textId="77777777" w:rsidR="00282E69" w:rsidRDefault="00282E69" w:rsidP="009B17AF">
      <w:pPr>
        <w:spacing w:after="0"/>
        <w:jc w:val="both"/>
        <w:rPr>
          <w:rFonts w:eastAsia="Times New Roman" w:cs="Arial"/>
          <w:color w:val="000000" w:themeColor="text1"/>
          <w:spacing w:val="-3"/>
          <w:szCs w:val="24"/>
          <w:lang w:val="es-ES" w:eastAsia="es-ES"/>
        </w:rPr>
      </w:pPr>
    </w:p>
    <w:p w14:paraId="3881D1E5" w14:textId="4F9E3EE9" w:rsidR="00282E69" w:rsidRPr="002E299D" w:rsidRDefault="00282E69" w:rsidP="00282E69">
      <w:pPr>
        <w:spacing w:after="0"/>
        <w:jc w:val="both"/>
        <w:rPr>
          <w:rFonts w:eastAsia="Times New Roman" w:cs="Arial"/>
          <w:color w:val="000000" w:themeColor="text1"/>
          <w:spacing w:val="-3"/>
          <w:szCs w:val="24"/>
          <w:lang w:val="es-ES" w:eastAsia="es-ES"/>
        </w:rPr>
      </w:pPr>
      <w:r w:rsidRPr="002E299D">
        <w:rPr>
          <w:rFonts w:eastAsia="Times New Roman" w:cs="Arial"/>
          <w:color w:val="000000" w:themeColor="text1"/>
          <w:spacing w:val="-3"/>
          <w:szCs w:val="24"/>
          <w:lang w:val="es-ES" w:eastAsia="es-ES"/>
        </w:rPr>
        <w:t xml:space="preserve">Mediante la Resolución CREG 113 de 2011 se establecieron los cargos regulados para los gasoductos </w:t>
      </w:r>
      <w:r w:rsidR="007250A2" w:rsidRPr="002E299D">
        <w:t xml:space="preserve">Buenos Aires – Ibagué y </w:t>
      </w:r>
      <w:proofErr w:type="spellStart"/>
      <w:r w:rsidR="007250A2" w:rsidRPr="002E299D">
        <w:t>Chicoral</w:t>
      </w:r>
      <w:proofErr w:type="spellEnd"/>
      <w:r w:rsidR="007250A2" w:rsidRPr="002E299D">
        <w:t xml:space="preserve"> – Espinal – Flandes</w:t>
      </w:r>
      <w:r w:rsidR="007250A2" w:rsidRPr="002E299D">
        <w:rPr>
          <w:rFonts w:cs="Arial"/>
        </w:rPr>
        <w:t xml:space="preserve"> </w:t>
      </w:r>
      <w:r w:rsidR="007F7DA8" w:rsidRPr="002E299D">
        <w:rPr>
          <w:rFonts w:eastAsia="Times New Roman" w:cs="Arial"/>
          <w:color w:val="000000" w:themeColor="text1"/>
          <w:spacing w:val="-3"/>
          <w:szCs w:val="24"/>
          <w:lang w:val="es-ES" w:eastAsia="es-ES"/>
        </w:rPr>
        <w:t>pertenecientes</w:t>
      </w:r>
      <w:r w:rsidRPr="002E299D">
        <w:rPr>
          <w:rFonts w:eastAsia="Times New Roman" w:cs="Arial"/>
          <w:color w:val="000000" w:themeColor="text1"/>
          <w:spacing w:val="-3"/>
          <w:szCs w:val="24"/>
          <w:lang w:val="es-ES" w:eastAsia="es-ES"/>
        </w:rPr>
        <w:t xml:space="preserve"> al sistema de transporte de </w:t>
      </w:r>
      <w:r w:rsidR="00030050" w:rsidRPr="002E299D">
        <w:rPr>
          <w:rFonts w:eastAsia="Times New Roman" w:cs="Arial"/>
          <w:color w:val="000000" w:themeColor="text1"/>
          <w:spacing w:val="-3"/>
          <w:szCs w:val="24"/>
          <w:lang w:val="es-ES" w:eastAsia="es-ES"/>
        </w:rPr>
        <w:t xml:space="preserve">del sistema de transporte de </w:t>
      </w:r>
      <w:r w:rsidR="001E4088" w:rsidRPr="002E299D">
        <w:rPr>
          <w:rFonts w:eastAsia="Times New Roman" w:cs="Arial"/>
          <w:color w:val="000000" w:themeColor="text1"/>
          <w:spacing w:val="-3"/>
          <w:szCs w:val="24"/>
          <w:lang w:val="es-ES" w:eastAsia="es-ES"/>
        </w:rPr>
        <w:t xml:space="preserve">TRANSGASTOL </w:t>
      </w:r>
      <w:r w:rsidR="00030050" w:rsidRPr="002E299D">
        <w:rPr>
          <w:rFonts w:eastAsia="Times New Roman" w:cs="Arial"/>
          <w:color w:val="000000" w:themeColor="text1"/>
          <w:spacing w:val="-3"/>
          <w:szCs w:val="24"/>
          <w:lang w:val="es-ES" w:eastAsia="es-ES"/>
        </w:rPr>
        <w:t>S.A. E.S.P.</w:t>
      </w:r>
      <w:r w:rsidRPr="002E299D">
        <w:rPr>
          <w:rFonts w:eastAsia="Times New Roman" w:cs="Arial"/>
          <w:color w:val="000000" w:themeColor="text1"/>
          <w:spacing w:val="-3"/>
          <w:szCs w:val="24"/>
          <w:lang w:val="es-ES" w:eastAsia="es-ES"/>
        </w:rPr>
        <w:t xml:space="preserve">, de acuerdo con los criterios previstos en la Resolución CREG 126 de 2010. </w:t>
      </w:r>
    </w:p>
    <w:p w14:paraId="777E048F" w14:textId="77777777" w:rsidR="00282E69" w:rsidRPr="002E299D" w:rsidRDefault="00282E69" w:rsidP="009B17AF">
      <w:pPr>
        <w:spacing w:after="0"/>
        <w:jc w:val="both"/>
        <w:rPr>
          <w:rFonts w:eastAsia="Times New Roman" w:cs="Arial"/>
          <w:color w:val="000000" w:themeColor="text1"/>
          <w:spacing w:val="-3"/>
          <w:szCs w:val="24"/>
          <w:lang w:val="es-ES" w:eastAsia="es-ES"/>
        </w:rPr>
      </w:pPr>
    </w:p>
    <w:p w14:paraId="30AD39A9" w14:textId="2A93945C" w:rsidR="00032F54" w:rsidRDefault="00032F54" w:rsidP="00032F54">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2E299D">
        <w:rPr>
          <w:rFonts w:eastAsia="Times New Roman" w:cs="Arial"/>
          <w:color w:val="000000" w:themeColor="text1"/>
          <w:spacing w:val="-3"/>
          <w:szCs w:val="24"/>
          <w:lang w:val="es-ES" w:eastAsia="es-ES"/>
        </w:rPr>
        <w:t xml:space="preserve">Mediante la Resolución CREG </w:t>
      </w:r>
      <w:r w:rsidR="00B07803" w:rsidRPr="002E299D">
        <w:rPr>
          <w:rFonts w:eastAsia="Times New Roman" w:cs="Arial"/>
          <w:color w:val="000000" w:themeColor="text1"/>
          <w:spacing w:val="-3"/>
          <w:szCs w:val="24"/>
          <w:lang w:val="es-ES" w:eastAsia="es-ES"/>
        </w:rPr>
        <w:t>018</w:t>
      </w:r>
      <w:r w:rsidRPr="002E299D">
        <w:rPr>
          <w:rFonts w:eastAsia="Times New Roman" w:cs="Arial"/>
          <w:color w:val="000000" w:themeColor="text1"/>
          <w:spacing w:val="-3"/>
          <w:szCs w:val="24"/>
          <w:lang w:val="es-ES" w:eastAsia="es-ES"/>
        </w:rPr>
        <w:t xml:space="preserve"> de 2012 la Comisión resolvió el recurso de reposición interpuesto contra la Resolución CREG 11</w:t>
      </w:r>
      <w:r w:rsidR="00673FB2" w:rsidRPr="002E299D">
        <w:rPr>
          <w:rFonts w:eastAsia="Times New Roman" w:cs="Arial"/>
          <w:color w:val="000000" w:themeColor="text1"/>
          <w:spacing w:val="-3"/>
          <w:szCs w:val="24"/>
          <w:lang w:val="es-ES" w:eastAsia="es-ES"/>
        </w:rPr>
        <w:t>3</w:t>
      </w:r>
      <w:r w:rsidRPr="002E299D">
        <w:rPr>
          <w:rFonts w:eastAsia="Times New Roman" w:cs="Arial"/>
          <w:color w:val="000000" w:themeColor="text1"/>
          <w:spacing w:val="-3"/>
          <w:szCs w:val="24"/>
          <w:lang w:val="es-ES" w:eastAsia="es-ES"/>
        </w:rPr>
        <w:t xml:space="preserve"> de 2011, </w:t>
      </w:r>
      <w:r w:rsidR="002E299D" w:rsidRPr="002E299D">
        <w:rPr>
          <w:rFonts w:eastAsia="Times New Roman" w:cs="Arial"/>
          <w:color w:val="000000" w:themeColor="text1"/>
          <w:spacing w:val="-3"/>
          <w:szCs w:val="24"/>
          <w:lang w:val="es-ES" w:eastAsia="es-ES"/>
        </w:rPr>
        <w:t xml:space="preserve">presentado por </w:t>
      </w:r>
      <w:r w:rsidR="001E4088" w:rsidRPr="002E299D">
        <w:rPr>
          <w:rFonts w:eastAsia="Times New Roman" w:cs="Arial"/>
          <w:color w:val="000000" w:themeColor="text1"/>
          <w:spacing w:val="-3"/>
          <w:szCs w:val="24"/>
          <w:lang w:val="es-ES" w:eastAsia="es-ES"/>
        </w:rPr>
        <w:t xml:space="preserve">TRANSGASTOL </w:t>
      </w:r>
      <w:r w:rsidR="002E299D" w:rsidRPr="002E299D">
        <w:rPr>
          <w:rFonts w:eastAsia="Times New Roman" w:cs="Arial"/>
          <w:color w:val="000000" w:themeColor="text1"/>
          <w:spacing w:val="-3"/>
          <w:szCs w:val="24"/>
          <w:lang w:val="es-ES" w:eastAsia="es-ES"/>
        </w:rPr>
        <w:t>S.A. E.S.P</w:t>
      </w:r>
      <w:r w:rsidRPr="002E299D">
        <w:rPr>
          <w:rFonts w:eastAsia="Times New Roman" w:cs="Arial"/>
          <w:color w:val="000000" w:themeColor="text1"/>
          <w:spacing w:val="-3"/>
          <w:szCs w:val="24"/>
          <w:lang w:val="es-ES" w:eastAsia="es-ES"/>
        </w:rPr>
        <w:t xml:space="preserve">. </w:t>
      </w:r>
    </w:p>
    <w:p w14:paraId="66D3069F" w14:textId="77777777" w:rsidR="002E299D" w:rsidRDefault="002E299D" w:rsidP="00032F54">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6B98853A" w14:textId="42A650A7" w:rsidR="002E299D" w:rsidRPr="00B772A5" w:rsidRDefault="009D1EA0" w:rsidP="009D1EA0">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highlight w:val="yellow"/>
          <w:lang w:val="es-ES" w:eastAsia="es-ES"/>
        </w:rPr>
      </w:pPr>
      <w:r w:rsidRPr="009D1EA0">
        <w:rPr>
          <w:rFonts w:eastAsia="Times New Roman" w:cs="Arial"/>
          <w:color w:val="000000" w:themeColor="text1"/>
          <w:spacing w:val="-3"/>
          <w:szCs w:val="24"/>
          <w:lang w:val="es-ES" w:eastAsia="es-ES"/>
        </w:rPr>
        <w:t>A partir de noviembre del año 2013, se formalizó la fusión por absorción por parte de</w:t>
      </w:r>
      <w:r w:rsidR="00092BAD">
        <w:rPr>
          <w:rFonts w:eastAsia="Times New Roman" w:cs="Arial"/>
          <w:color w:val="000000" w:themeColor="text1"/>
          <w:spacing w:val="-3"/>
          <w:szCs w:val="24"/>
          <w:lang w:val="es-ES" w:eastAsia="es-ES"/>
        </w:rPr>
        <w:t xml:space="preserve"> </w:t>
      </w:r>
      <w:r w:rsidRPr="009D1EA0">
        <w:rPr>
          <w:rFonts w:eastAsia="Times New Roman" w:cs="Arial"/>
          <w:color w:val="000000" w:themeColor="text1"/>
          <w:spacing w:val="-3"/>
          <w:szCs w:val="24"/>
          <w:lang w:val="es-ES" w:eastAsia="es-ES"/>
        </w:rPr>
        <w:t>PROGASUR S.A. E.S.P., sobre</w:t>
      </w:r>
      <w:r w:rsidR="00092BAD">
        <w:rPr>
          <w:rFonts w:eastAsia="Times New Roman" w:cs="Arial"/>
          <w:color w:val="000000" w:themeColor="text1"/>
          <w:spacing w:val="-3"/>
          <w:szCs w:val="24"/>
          <w:lang w:val="es-ES" w:eastAsia="es-ES"/>
        </w:rPr>
        <w:t xml:space="preserve"> </w:t>
      </w:r>
      <w:r w:rsidRPr="009D1EA0">
        <w:rPr>
          <w:rFonts w:eastAsia="Times New Roman" w:cs="Arial"/>
          <w:color w:val="000000" w:themeColor="text1"/>
          <w:spacing w:val="-3"/>
          <w:szCs w:val="24"/>
          <w:lang w:val="es-ES" w:eastAsia="es-ES"/>
        </w:rPr>
        <w:t>TRANSGASTOL S.A. E.S.P.</w:t>
      </w:r>
    </w:p>
    <w:p w14:paraId="0089DFFD" w14:textId="77777777" w:rsidR="00032F54" w:rsidRPr="00B772A5" w:rsidRDefault="00032F54" w:rsidP="00032F54">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highlight w:val="yellow"/>
          <w:lang w:val="es-ES" w:eastAsia="es-ES"/>
        </w:rPr>
      </w:pPr>
    </w:p>
    <w:p w14:paraId="564217A7" w14:textId="7EB2CB3F" w:rsidR="00092BAD" w:rsidRDefault="00092BAD" w:rsidP="00092BA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092BAD">
        <w:rPr>
          <w:rFonts w:eastAsia="Times New Roman" w:cs="Arial"/>
          <w:color w:val="000000" w:themeColor="text1"/>
          <w:spacing w:val="-3"/>
          <w:szCs w:val="24"/>
          <w:lang w:val="es-ES" w:eastAsia="es-ES"/>
        </w:rPr>
        <w:t>Mediante la Resolución CREG 096 de 2021, la Comisión resolvió la solicitud hecha por la</w:t>
      </w:r>
      <w:r>
        <w:rPr>
          <w:rFonts w:eastAsia="Times New Roman" w:cs="Arial"/>
          <w:color w:val="000000" w:themeColor="text1"/>
          <w:spacing w:val="-3"/>
          <w:szCs w:val="24"/>
          <w:lang w:val="es-ES" w:eastAsia="es-ES"/>
        </w:rPr>
        <w:t xml:space="preserve"> </w:t>
      </w:r>
      <w:r w:rsidRPr="00092BAD">
        <w:rPr>
          <w:rFonts w:eastAsia="Times New Roman" w:cs="Arial"/>
          <w:color w:val="000000" w:themeColor="text1"/>
          <w:spacing w:val="-3"/>
          <w:szCs w:val="24"/>
          <w:lang w:val="es-ES" w:eastAsia="es-ES"/>
        </w:rPr>
        <w:t>empresa PROGASUR S.A. E.S.P. con el fin de aplicar el artículo 14 de la Resolución CREG</w:t>
      </w:r>
      <w:r>
        <w:rPr>
          <w:rFonts w:eastAsia="Times New Roman" w:cs="Arial"/>
          <w:color w:val="000000" w:themeColor="text1"/>
          <w:spacing w:val="-3"/>
          <w:szCs w:val="24"/>
          <w:lang w:val="es-ES" w:eastAsia="es-ES"/>
        </w:rPr>
        <w:t xml:space="preserve"> </w:t>
      </w:r>
      <w:r w:rsidRPr="00092BAD">
        <w:rPr>
          <w:rFonts w:eastAsia="Times New Roman" w:cs="Arial"/>
          <w:color w:val="000000" w:themeColor="text1"/>
          <w:spacing w:val="-3"/>
          <w:szCs w:val="24"/>
          <w:lang w:val="es-ES" w:eastAsia="es-ES"/>
        </w:rPr>
        <w:t xml:space="preserve">126 de 2010 para </w:t>
      </w:r>
      <w:r w:rsidR="004429D8">
        <w:rPr>
          <w:rFonts w:eastAsia="Times New Roman" w:cs="Arial"/>
          <w:color w:val="000000" w:themeColor="text1"/>
          <w:spacing w:val="-3"/>
          <w:szCs w:val="24"/>
          <w:lang w:val="es-ES" w:eastAsia="es-ES"/>
        </w:rPr>
        <w:t>los gasoductos Neiva – Hobo y Buen</w:t>
      </w:r>
      <w:r w:rsidRPr="00092BAD">
        <w:rPr>
          <w:rFonts w:eastAsia="Times New Roman" w:cs="Arial"/>
          <w:color w:val="000000" w:themeColor="text1"/>
          <w:spacing w:val="-3"/>
          <w:szCs w:val="24"/>
          <w:lang w:val="es-ES" w:eastAsia="es-ES"/>
        </w:rPr>
        <w:t xml:space="preserve">os Aires </w:t>
      </w:r>
      <w:r>
        <w:rPr>
          <w:rFonts w:eastAsia="Bookman Old Style" w:cs="Bookman Old Style"/>
          <w:color w:val="000000" w:themeColor="text1"/>
          <w:spacing w:val="-3"/>
          <w:szCs w:val="24"/>
          <w:lang w:val="es-ES" w:eastAsia="es-ES"/>
        </w:rPr>
        <w:t>-</w:t>
      </w:r>
      <w:r w:rsidRPr="00092BAD">
        <w:rPr>
          <w:rFonts w:eastAsia="Times New Roman" w:cs="Arial"/>
          <w:color w:val="000000" w:themeColor="text1"/>
          <w:spacing w:val="-3"/>
          <w:szCs w:val="24"/>
          <w:lang w:val="es-ES" w:eastAsia="es-ES"/>
        </w:rPr>
        <w:t xml:space="preserve"> Ibagué.</w:t>
      </w:r>
    </w:p>
    <w:p w14:paraId="61E11824" w14:textId="77777777" w:rsidR="00092BAD" w:rsidRPr="00092BAD" w:rsidRDefault="00092BAD" w:rsidP="00092BA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2D6093B3" w14:textId="4B03CA72" w:rsidR="00092BAD" w:rsidRDefault="00092BAD" w:rsidP="00092BA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092BAD">
        <w:rPr>
          <w:rFonts w:eastAsia="Times New Roman" w:cs="Arial"/>
          <w:color w:val="000000" w:themeColor="text1"/>
          <w:spacing w:val="-3"/>
          <w:szCs w:val="24"/>
          <w:lang w:val="es-ES" w:eastAsia="es-ES"/>
        </w:rPr>
        <w:t>Mediante la comunicación GC-2021-1006 con radicado CREG E-2021-011987</w:t>
      </w:r>
      <w:r w:rsidR="001E4088">
        <w:rPr>
          <w:rFonts w:eastAsia="Times New Roman" w:cs="Arial"/>
          <w:color w:val="000000" w:themeColor="text1"/>
          <w:spacing w:val="-3"/>
          <w:szCs w:val="24"/>
          <w:lang w:val="es-ES" w:eastAsia="es-ES"/>
        </w:rPr>
        <w:t>,</w:t>
      </w:r>
      <w:r w:rsidRPr="00092BAD">
        <w:rPr>
          <w:rFonts w:eastAsia="Times New Roman" w:cs="Arial"/>
          <w:color w:val="000000" w:themeColor="text1"/>
          <w:spacing w:val="-3"/>
          <w:szCs w:val="24"/>
          <w:lang w:val="es-ES" w:eastAsia="es-ES"/>
        </w:rPr>
        <w:t xml:space="preserve"> PROGASUR</w:t>
      </w:r>
      <w:r>
        <w:rPr>
          <w:rFonts w:eastAsia="Times New Roman" w:cs="Arial"/>
          <w:color w:val="000000" w:themeColor="text1"/>
          <w:spacing w:val="-3"/>
          <w:szCs w:val="24"/>
          <w:lang w:val="es-ES" w:eastAsia="es-ES"/>
        </w:rPr>
        <w:t xml:space="preserve"> </w:t>
      </w:r>
      <w:r w:rsidRPr="00092BAD">
        <w:rPr>
          <w:rFonts w:eastAsia="Times New Roman" w:cs="Arial"/>
          <w:color w:val="000000" w:themeColor="text1"/>
          <w:spacing w:val="-3"/>
          <w:szCs w:val="24"/>
          <w:lang w:val="es-ES" w:eastAsia="es-ES"/>
        </w:rPr>
        <w:t>S.A. E.S.P. interpuso recurso de reposición contra la Resolución CREG 096 de 2021. El</w:t>
      </w:r>
      <w:r w:rsidR="004E445C">
        <w:rPr>
          <w:rFonts w:eastAsia="Times New Roman" w:cs="Arial"/>
          <w:color w:val="000000" w:themeColor="text1"/>
          <w:spacing w:val="-3"/>
          <w:szCs w:val="24"/>
          <w:lang w:val="es-ES" w:eastAsia="es-ES"/>
        </w:rPr>
        <w:t xml:space="preserve"> </w:t>
      </w:r>
      <w:r w:rsidRPr="00092BAD">
        <w:rPr>
          <w:rFonts w:eastAsia="Times New Roman" w:cs="Arial"/>
          <w:color w:val="000000" w:themeColor="text1"/>
          <w:spacing w:val="-3"/>
          <w:szCs w:val="24"/>
          <w:lang w:val="es-ES" w:eastAsia="es-ES"/>
        </w:rPr>
        <w:t>recurso se resolvió mediante la resolución CREG 232 de 2021.</w:t>
      </w:r>
    </w:p>
    <w:p w14:paraId="353C305B" w14:textId="77777777" w:rsidR="004E445C" w:rsidRPr="00092BAD" w:rsidRDefault="004E445C" w:rsidP="00092BA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5FC8241E" w14:textId="512E5971" w:rsidR="00092BAD" w:rsidRDefault="00092BAD" w:rsidP="00092BA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092BAD">
        <w:rPr>
          <w:rFonts w:eastAsia="Times New Roman" w:cs="Arial"/>
          <w:color w:val="000000" w:themeColor="text1"/>
          <w:spacing w:val="-3"/>
          <w:szCs w:val="24"/>
          <w:lang w:val="es-ES" w:eastAsia="es-ES"/>
        </w:rPr>
        <w:t>Conforme a lo establecido en el artículo 14 de la Resolución CREG 126 de 2010,</w:t>
      </w:r>
      <w:r w:rsidR="004E445C">
        <w:rPr>
          <w:rFonts w:eastAsia="Times New Roman" w:cs="Arial"/>
          <w:color w:val="000000" w:themeColor="text1"/>
          <w:spacing w:val="-3"/>
          <w:szCs w:val="24"/>
          <w:lang w:val="es-ES" w:eastAsia="es-ES"/>
        </w:rPr>
        <w:t xml:space="preserve"> </w:t>
      </w:r>
      <w:r w:rsidRPr="00092BAD">
        <w:rPr>
          <w:rFonts w:eastAsia="Times New Roman" w:cs="Arial"/>
          <w:color w:val="000000" w:themeColor="text1"/>
          <w:spacing w:val="-3"/>
          <w:szCs w:val="24"/>
          <w:lang w:val="es-ES" w:eastAsia="es-ES"/>
        </w:rPr>
        <w:t>PROGASUR S.A. E.S.P., mediante la comunicación GC-2021-1006 con radicado CREG E-2022-011987, declaró a la CREG su decisión de continuar operando el gasoducto Buenos</w:t>
      </w:r>
      <w:r w:rsidR="004E445C">
        <w:rPr>
          <w:rFonts w:eastAsia="Times New Roman" w:cs="Arial"/>
          <w:color w:val="000000" w:themeColor="text1"/>
          <w:spacing w:val="-3"/>
          <w:szCs w:val="24"/>
          <w:lang w:val="es-ES" w:eastAsia="es-ES"/>
        </w:rPr>
        <w:t xml:space="preserve"> </w:t>
      </w:r>
      <w:r w:rsidRPr="00092BAD">
        <w:rPr>
          <w:rFonts w:eastAsia="Times New Roman" w:cs="Arial"/>
          <w:color w:val="000000" w:themeColor="text1"/>
          <w:spacing w:val="-3"/>
          <w:szCs w:val="24"/>
          <w:lang w:val="es-ES" w:eastAsia="es-ES"/>
        </w:rPr>
        <w:t>Aires - Ibagué, que fue objeto de estimación del valor de reposición a nuevo, VRAN, en la</w:t>
      </w:r>
      <w:r w:rsidR="00CF3959">
        <w:rPr>
          <w:rFonts w:eastAsia="Times New Roman" w:cs="Arial"/>
          <w:color w:val="000000" w:themeColor="text1"/>
          <w:spacing w:val="-3"/>
          <w:szCs w:val="24"/>
          <w:lang w:val="es-ES" w:eastAsia="es-ES"/>
        </w:rPr>
        <w:t xml:space="preserve"> </w:t>
      </w:r>
      <w:r w:rsidRPr="00092BAD">
        <w:rPr>
          <w:rFonts w:eastAsia="Times New Roman" w:cs="Arial"/>
          <w:color w:val="000000" w:themeColor="text1"/>
          <w:spacing w:val="-3"/>
          <w:szCs w:val="24"/>
          <w:lang w:val="es-ES" w:eastAsia="es-ES"/>
        </w:rPr>
        <w:t>Resolución 096 de 2021, así:</w:t>
      </w:r>
    </w:p>
    <w:p w14:paraId="3FF14129" w14:textId="77777777" w:rsidR="00CF3959" w:rsidRPr="00092BAD" w:rsidRDefault="00CF3959" w:rsidP="00092BA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0630B3CE" w14:textId="7166A442" w:rsidR="00092BAD" w:rsidRDefault="00CF3959" w:rsidP="001E4088">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ind w:left="284"/>
        <w:jc w:val="both"/>
        <w:rPr>
          <w:rFonts w:eastAsia="Times New Roman" w:cs="Arial"/>
          <w:color w:val="000000" w:themeColor="text1"/>
          <w:spacing w:val="-3"/>
          <w:szCs w:val="24"/>
          <w:lang w:val="es-ES" w:eastAsia="es-ES"/>
        </w:rPr>
      </w:pPr>
      <w:r w:rsidRPr="00CF3959">
        <w:rPr>
          <w:rFonts w:eastAsia="Bookman Old Style" w:cs="Bookman Old Style"/>
          <w:i/>
          <w:iCs/>
          <w:color w:val="000000" w:themeColor="text1"/>
          <w:spacing w:val="-3"/>
          <w:szCs w:val="24"/>
          <w:lang w:val="es-ES" w:eastAsia="es-ES"/>
        </w:rPr>
        <w:t>“</w:t>
      </w:r>
      <w:r w:rsidR="00092BAD" w:rsidRPr="00CF3959">
        <w:rPr>
          <w:rFonts w:eastAsia="Times New Roman" w:cs="Arial"/>
          <w:i/>
          <w:iCs/>
          <w:color w:val="000000" w:themeColor="text1"/>
          <w:spacing w:val="-3"/>
          <w:szCs w:val="24"/>
          <w:lang w:val="es-ES" w:eastAsia="es-ES"/>
        </w:rPr>
        <w:t xml:space="preserve">Finalmente, en atención al Parágrafo 1 del Artículo 2 de la Resolución CREG 096-2021, indicamos que </w:t>
      </w:r>
      <w:proofErr w:type="spellStart"/>
      <w:r w:rsidR="00092BAD" w:rsidRPr="00CF3959">
        <w:rPr>
          <w:rFonts w:eastAsia="Times New Roman" w:cs="Arial"/>
          <w:i/>
          <w:iCs/>
          <w:color w:val="000000" w:themeColor="text1"/>
          <w:spacing w:val="-3"/>
          <w:szCs w:val="24"/>
          <w:lang w:val="es-ES" w:eastAsia="es-ES"/>
        </w:rPr>
        <w:t>Progasur</w:t>
      </w:r>
      <w:proofErr w:type="spellEnd"/>
      <w:r w:rsidR="00092BAD" w:rsidRPr="00CF3959">
        <w:rPr>
          <w:rFonts w:eastAsia="Times New Roman" w:cs="Arial"/>
          <w:i/>
          <w:iCs/>
          <w:color w:val="000000" w:themeColor="text1"/>
          <w:spacing w:val="-3"/>
          <w:szCs w:val="24"/>
          <w:lang w:val="es-ES" w:eastAsia="es-ES"/>
        </w:rPr>
        <w:t xml:space="preserve"> S.A. E.S.P. mantendrá en operación los gasoductos</w:t>
      </w:r>
      <w:r w:rsidR="00E20FE2">
        <w:rPr>
          <w:rFonts w:eastAsia="Times New Roman" w:cs="Arial"/>
          <w:i/>
          <w:iCs/>
          <w:color w:val="000000" w:themeColor="text1"/>
          <w:spacing w:val="-3"/>
          <w:szCs w:val="24"/>
          <w:lang w:val="es-ES" w:eastAsia="es-ES"/>
        </w:rPr>
        <w:t xml:space="preserve"> </w:t>
      </w:r>
      <w:r w:rsidR="00092BAD" w:rsidRPr="00E20FE2">
        <w:rPr>
          <w:rFonts w:eastAsia="Times New Roman" w:cs="Arial"/>
          <w:i/>
          <w:iCs/>
          <w:color w:val="000000" w:themeColor="text1"/>
          <w:spacing w:val="-3"/>
          <w:szCs w:val="24"/>
          <w:u w:val="single"/>
          <w:lang w:val="es-ES" w:eastAsia="es-ES"/>
        </w:rPr>
        <w:t xml:space="preserve">Neiva </w:t>
      </w:r>
      <w:r w:rsidR="00E20FE2" w:rsidRPr="00E20FE2">
        <w:rPr>
          <w:rFonts w:eastAsia="Bookman Old Style" w:cs="Bookman Old Style"/>
          <w:i/>
          <w:iCs/>
          <w:color w:val="000000" w:themeColor="text1"/>
          <w:spacing w:val="-3"/>
          <w:szCs w:val="24"/>
          <w:u w:val="single"/>
          <w:lang w:val="es-ES" w:eastAsia="es-ES"/>
        </w:rPr>
        <w:t>-</w:t>
      </w:r>
      <w:r w:rsidR="00092BAD" w:rsidRPr="00E20FE2">
        <w:rPr>
          <w:rFonts w:eastAsia="Times New Roman" w:cs="Arial"/>
          <w:i/>
          <w:iCs/>
          <w:color w:val="000000" w:themeColor="text1"/>
          <w:spacing w:val="-3"/>
          <w:szCs w:val="24"/>
          <w:u w:val="single"/>
          <w:lang w:val="es-ES" w:eastAsia="es-ES"/>
        </w:rPr>
        <w:t xml:space="preserve"> Hobo y Buenos Aires </w:t>
      </w:r>
      <w:r w:rsidR="00E20FE2" w:rsidRPr="00E20FE2">
        <w:rPr>
          <w:rFonts w:eastAsia="Bookman Old Style" w:cs="Bookman Old Style"/>
          <w:i/>
          <w:iCs/>
          <w:color w:val="000000" w:themeColor="text1"/>
          <w:spacing w:val="-3"/>
          <w:szCs w:val="24"/>
          <w:u w:val="single"/>
          <w:lang w:val="es-ES" w:eastAsia="es-ES"/>
        </w:rPr>
        <w:t>-</w:t>
      </w:r>
      <w:r w:rsidR="00092BAD" w:rsidRPr="00E20FE2">
        <w:rPr>
          <w:rFonts w:eastAsia="Times New Roman" w:cs="Arial"/>
          <w:i/>
          <w:iCs/>
          <w:color w:val="000000" w:themeColor="text1"/>
          <w:spacing w:val="-3"/>
          <w:szCs w:val="24"/>
          <w:u w:val="single"/>
          <w:lang w:val="es-ES" w:eastAsia="es-ES"/>
        </w:rPr>
        <w:t xml:space="preserve"> Ibagué</w:t>
      </w:r>
      <w:r w:rsidR="00092BAD" w:rsidRPr="00CF3959">
        <w:rPr>
          <w:rFonts w:eastAsia="Times New Roman" w:cs="Arial"/>
          <w:i/>
          <w:iCs/>
          <w:color w:val="000000" w:themeColor="text1"/>
          <w:spacing w:val="-3"/>
          <w:szCs w:val="24"/>
          <w:lang w:val="es-ES" w:eastAsia="es-ES"/>
        </w:rPr>
        <w:t xml:space="preserve"> por los próximos 20 años. Por lo anterior,</w:t>
      </w:r>
      <w:r w:rsidR="00E20FE2">
        <w:rPr>
          <w:rFonts w:eastAsia="Times New Roman" w:cs="Arial"/>
          <w:i/>
          <w:iCs/>
          <w:color w:val="000000" w:themeColor="text1"/>
          <w:spacing w:val="-3"/>
          <w:szCs w:val="24"/>
          <w:lang w:val="es-ES" w:eastAsia="es-ES"/>
        </w:rPr>
        <w:t xml:space="preserve"> </w:t>
      </w:r>
      <w:r w:rsidR="00092BAD" w:rsidRPr="00CF3959">
        <w:rPr>
          <w:rFonts w:eastAsia="Times New Roman" w:cs="Arial"/>
          <w:i/>
          <w:iCs/>
          <w:color w:val="000000" w:themeColor="text1"/>
          <w:spacing w:val="-3"/>
          <w:szCs w:val="24"/>
          <w:lang w:val="es-ES" w:eastAsia="es-ES"/>
        </w:rPr>
        <w:t>adjuntamos a la presente comunicación el formato del Anexo 1 de la Res. CREG</w:t>
      </w:r>
      <w:r w:rsidR="00E20FE2">
        <w:rPr>
          <w:rFonts w:eastAsia="Times New Roman" w:cs="Arial"/>
          <w:i/>
          <w:iCs/>
          <w:color w:val="000000" w:themeColor="text1"/>
          <w:spacing w:val="-3"/>
          <w:szCs w:val="24"/>
          <w:lang w:val="es-ES" w:eastAsia="es-ES"/>
        </w:rPr>
        <w:t xml:space="preserve"> </w:t>
      </w:r>
      <w:r w:rsidR="00092BAD" w:rsidRPr="00CF3959">
        <w:rPr>
          <w:rFonts w:eastAsia="Times New Roman" w:cs="Arial"/>
          <w:i/>
          <w:iCs/>
          <w:color w:val="000000" w:themeColor="text1"/>
          <w:spacing w:val="-3"/>
          <w:szCs w:val="24"/>
          <w:lang w:val="es-ES" w:eastAsia="es-ES"/>
        </w:rPr>
        <w:t>096-2021, debidamente diligenciado.</w:t>
      </w:r>
      <w:r w:rsidR="00E20FE2">
        <w:rPr>
          <w:rFonts w:eastAsia="Bookman Old Style" w:cs="Bookman Old Style"/>
          <w:i/>
          <w:iCs/>
          <w:color w:val="000000" w:themeColor="text1"/>
          <w:spacing w:val="-3"/>
          <w:szCs w:val="24"/>
          <w:lang w:val="es-ES" w:eastAsia="es-ES"/>
        </w:rPr>
        <w:t>”</w:t>
      </w:r>
      <w:r w:rsidR="00092BAD" w:rsidRPr="00092BAD">
        <w:rPr>
          <w:rFonts w:eastAsia="Times New Roman" w:cs="Arial"/>
          <w:color w:val="000000" w:themeColor="text1"/>
          <w:spacing w:val="-3"/>
          <w:szCs w:val="24"/>
          <w:lang w:val="es-ES" w:eastAsia="es-ES"/>
        </w:rPr>
        <w:t xml:space="preserve"> (Subrayado fuera de texto)</w:t>
      </w:r>
    </w:p>
    <w:p w14:paraId="120CD9E8" w14:textId="77777777" w:rsidR="00CF3959" w:rsidRDefault="00CF3959" w:rsidP="00092BA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4402401D" w14:textId="4A4AD818" w:rsidR="003D7CCF" w:rsidRDefault="003D7CCF" w:rsidP="003D7CCF">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3D7CCF">
        <w:rPr>
          <w:rFonts w:eastAsia="Times New Roman" w:cs="Arial"/>
          <w:color w:val="000000" w:themeColor="text1"/>
          <w:spacing w:val="-3"/>
          <w:szCs w:val="24"/>
          <w:lang w:val="es-ES" w:eastAsia="es-ES"/>
        </w:rPr>
        <w:t>Mediante la Resolución CREG 502-001 de 2022</w:t>
      </w:r>
      <w:r w:rsidR="001E4088">
        <w:rPr>
          <w:rFonts w:eastAsia="Times New Roman" w:cs="Arial"/>
          <w:color w:val="000000" w:themeColor="text1"/>
          <w:spacing w:val="-3"/>
          <w:szCs w:val="24"/>
          <w:lang w:val="es-ES" w:eastAsia="es-ES"/>
        </w:rPr>
        <w:t>,</w:t>
      </w:r>
      <w:r w:rsidRPr="003D7CCF">
        <w:rPr>
          <w:rFonts w:eastAsia="Times New Roman" w:cs="Arial"/>
          <w:color w:val="000000" w:themeColor="text1"/>
          <w:spacing w:val="-3"/>
          <w:szCs w:val="24"/>
          <w:lang w:val="es-ES" w:eastAsia="es-ES"/>
        </w:rPr>
        <w:t xml:space="preserve"> la Comisión resolvió la solicitud hecha por la</w:t>
      </w:r>
      <w:r>
        <w:rPr>
          <w:rFonts w:eastAsia="Times New Roman" w:cs="Arial"/>
          <w:color w:val="000000" w:themeColor="text1"/>
          <w:spacing w:val="-3"/>
          <w:szCs w:val="24"/>
          <w:lang w:val="es-ES" w:eastAsia="es-ES"/>
        </w:rPr>
        <w:t xml:space="preserve"> </w:t>
      </w:r>
      <w:r w:rsidRPr="003D7CCF">
        <w:rPr>
          <w:rFonts w:eastAsia="Times New Roman" w:cs="Arial"/>
          <w:color w:val="000000" w:themeColor="text1"/>
          <w:spacing w:val="-3"/>
          <w:szCs w:val="24"/>
          <w:lang w:val="es-ES" w:eastAsia="es-ES"/>
        </w:rPr>
        <w:t>empresa PROGASUR S.A. E.S.P. con el fin de aplicar el artículo 14 de la Resolución CREG</w:t>
      </w:r>
      <w:r>
        <w:rPr>
          <w:rFonts w:eastAsia="Times New Roman" w:cs="Arial"/>
          <w:color w:val="000000" w:themeColor="text1"/>
          <w:spacing w:val="-3"/>
          <w:szCs w:val="24"/>
          <w:lang w:val="es-ES" w:eastAsia="es-ES"/>
        </w:rPr>
        <w:t xml:space="preserve"> </w:t>
      </w:r>
      <w:r w:rsidRPr="003D7CCF">
        <w:rPr>
          <w:rFonts w:eastAsia="Times New Roman" w:cs="Arial"/>
          <w:color w:val="000000" w:themeColor="text1"/>
          <w:spacing w:val="-3"/>
          <w:szCs w:val="24"/>
          <w:lang w:val="es-ES" w:eastAsia="es-ES"/>
        </w:rPr>
        <w:t xml:space="preserve">126 de 2010 para el gasoducto </w:t>
      </w:r>
      <w:proofErr w:type="spellStart"/>
      <w:r w:rsidRPr="003D7CCF">
        <w:rPr>
          <w:rFonts w:eastAsia="Times New Roman" w:cs="Arial"/>
          <w:color w:val="000000" w:themeColor="text1"/>
          <w:spacing w:val="-3"/>
          <w:szCs w:val="24"/>
          <w:lang w:val="es-ES" w:eastAsia="es-ES"/>
        </w:rPr>
        <w:t>Chicoral</w:t>
      </w:r>
      <w:proofErr w:type="spellEnd"/>
      <w:r w:rsidRPr="003D7CCF">
        <w:rPr>
          <w:rFonts w:eastAsia="Times New Roman" w:cs="Arial"/>
          <w:color w:val="000000" w:themeColor="text1"/>
          <w:spacing w:val="-3"/>
          <w:szCs w:val="24"/>
          <w:lang w:val="es-ES" w:eastAsia="es-ES"/>
        </w:rPr>
        <w:t xml:space="preserve"> - Espinal - Flandes.</w:t>
      </w:r>
    </w:p>
    <w:p w14:paraId="5992F226" w14:textId="77777777" w:rsidR="003D7CCF" w:rsidRPr="003D7CCF" w:rsidRDefault="003D7CCF" w:rsidP="003D7CCF">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019FF15B" w14:textId="42B3B46E" w:rsidR="003D7CCF" w:rsidRDefault="003D7CCF" w:rsidP="003D7CCF">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3D7CCF">
        <w:rPr>
          <w:rFonts w:eastAsia="Times New Roman" w:cs="Arial"/>
          <w:color w:val="000000" w:themeColor="text1"/>
          <w:spacing w:val="-3"/>
          <w:szCs w:val="24"/>
          <w:lang w:val="es-ES" w:eastAsia="es-ES"/>
        </w:rPr>
        <w:t>Conforme a lo establecido en el artículo 14 de la Resolución CREG 126 de 2010,</w:t>
      </w:r>
      <w:r>
        <w:rPr>
          <w:rFonts w:eastAsia="Times New Roman" w:cs="Arial"/>
          <w:color w:val="000000" w:themeColor="text1"/>
          <w:spacing w:val="-3"/>
          <w:szCs w:val="24"/>
          <w:lang w:val="es-ES" w:eastAsia="es-ES"/>
        </w:rPr>
        <w:t xml:space="preserve"> </w:t>
      </w:r>
      <w:r w:rsidRPr="003D7CCF">
        <w:rPr>
          <w:rFonts w:eastAsia="Times New Roman" w:cs="Arial"/>
          <w:color w:val="000000" w:themeColor="text1"/>
          <w:spacing w:val="-3"/>
          <w:szCs w:val="24"/>
          <w:lang w:val="es-ES" w:eastAsia="es-ES"/>
        </w:rPr>
        <w:t xml:space="preserve">PROGASUR S.A. E.S.P., mediante la comunicación GO-2022-435 con radicado CREG E-2022-004773, declaró a la CREG su decisión de continuar operando el gasoducto </w:t>
      </w:r>
      <w:proofErr w:type="spellStart"/>
      <w:r w:rsidRPr="003D7CCF">
        <w:rPr>
          <w:rFonts w:eastAsia="Times New Roman" w:cs="Arial"/>
          <w:color w:val="000000" w:themeColor="text1"/>
          <w:spacing w:val="-3"/>
          <w:szCs w:val="24"/>
          <w:lang w:val="es-ES" w:eastAsia="es-ES"/>
        </w:rPr>
        <w:t>Chicoral</w:t>
      </w:r>
      <w:proofErr w:type="spellEnd"/>
      <w:r w:rsidRPr="003D7CCF">
        <w:rPr>
          <w:rFonts w:eastAsia="Times New Roman" w:cs="Arial"/>
          <w:color w:val="000000" w:themeColor="text1"/>
          <w:spacing w:val="-3"/>
          <w:szCs w:val="24"/>
          <w:lang w:val="es-ES" w:eastAsia="es-ES"/>
        </w:rPr>
        <w:t xml:space="preserve"> </w:t>
      </w:r>
      <w:r>
        <w:rPr>
          <w:rFonts w:eastAsia="Bookman Old Style" w:cs="Bookman Old Style"/>
          <w:color w:val="000000" w:themeColor="text1"/>
          <w:spacing w:val="-3"/>
          <w:szCs w:val="24"/>
          <w:lang w:val="es-ES" w:eastAsia="es-ES"/>
        </w:rPr>
        <w:t xml:space="preserve">- </w:t>
      </w:r>
      <w:r w:rsidRPr="003D7CCF">
        <w:rPr>
          <w:rFonts w:eastAsia="Times New Roman" w:cs="Arial"/>
          <w:color w:val="000000" w:themeColor="text1"/>
          <w:spacing w:val="-3"/>
          <w:szCs w:val="24"/>
          <w:lang w:val="es-ES" w:eastAsia="es-ES"/>
        </w:rPr>
        <w:t>Espinal - Flandes, que fue objeto de estimación del valor de reposición a nuevo, VRAN, en la</w:t>
      </w:r>
      <w:r>
        <w:rPr>
          <w:rFonts w:eastAsia="Times New Roman" w:cs="Arial"/>
          <w:color w:val="000000" w:themeColor="text1"/>
          <w:spacing w:val="-3"/>
          <w:szCs w:val="24"/>
          <w:lang w:val="es-ES" w:eastAsia="es-ES"/>
        </w:rPr>
        <w:t xml:space="preserve"> </w:t>
      </w:r>
      <w:r w:rsidRPr="003D7CCF">
        <w:rPr>
          <w:rFonts w:eastAsia="Times New Roman" w:cs="Arial"/>
          <w:color w:val="000000" w:themeColor="text1"/>
          <w:spacing w:val="-3"/>
          <w:szCs w:val="24"/>
          <w:lang w:val="es-ES" w:eastAsia="es-ES"/>
        </w:rPr>
        <w:t>Resolución CREG 502-001 de 2022, así:</w:t>
      </w:r>
    </w:p>
    <w:p w14:paraId="25D28621" w14:textId="77777777" w:rsidR="003D7CCF" w:rsidRPr="003D7CCF" w:rsidRDefault="003D7CCF" w:rsidP="003D7CCF">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754EE298" w14:textId="08F1BBEC" w:rsidR="001C4669" w:rsidRPr="008F0A08" w:rsidRDefault="003D7CCF" w:rsidP="001E4088">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ind w:left="284"/>
        <w:jc w:val="both"/>
        <w:rPr>
          <w:rFonts w:eastAsia="Times New Roman" w:cs="Arial"/>
          <w:i/>
          <w:iCs/>
          <w:color w:val="000000" w:themeColor="text1"/>
          <w:spacing w:val="-3"/>
          <w:szCs w:val="24"/>
          <w:lang w:val="es-ES" w:eastAsia="es-ES"/>
        </w:rPr>
      </w:pPr>
      <w:r w:rsidRPr="008F0A08">
        <w:rPr>
          <w:rFonts w:eastAsia="Bookman Old Style" w:cs="Bookman Old Style"/>
          <w:i/>
          <w:iCs/>
          <w:color w:val="000000" w:themeColor="text1"/>
          <w:spacing w:val="-3"/>
          <w:szCs w:val="24"/>
          <w:lang w:val="es-ES" w:eastAsia="es-ES"/>
        </w:rPr>
        <w:lastRenderedPageBreak/>
        <w:t>“</w:t>
      </w:r>
      <w:r w:rsidRPr="008F0A08">
        <w:rPr>
          <w:rFonts w:eastAsia="Times New Roman" w:cs="Arial"/>
          <w:i/>
          <w:iCs/>
          <w:color w:val="000000" w:themeColor="text1"/>
          <w:spacing w:val="-3"/>
          <w:szCs w:val="24"/>
          <w:lang w:val="es-ES" w:eastAsia="es-ES"/>
        </w:rPr>
        <w:t xml:space="preserve">En atención a la notificación de la Resolución CREG 502 001 del 8 de febrero de 2022, radicado mediante correo electrónico el día 06 de abril 2022, respetuosamente me permito manifestar que Promotora de Gases del Sur S.A E.S.P. continuará operando el gasoducto existente </w:t>
      </w:r>
      <w:proofErr w:type="spellStart"/>
      <w:r w:rsidRPr="008F0A08">
        <w:rPr>
          <w:rFonts w:eastAsia="Times New Roman" w:cs="Arial"/>
          <w:i/>
          <w:iCs/>
          <w:color w:val="000000" w:themeColor="text1"/>
          <w:spacing w:val="-3"/>
          <w:szCs w:val="24"/>
          <w:lang w:val="es-ES" w:eastAsia="es-ES"/>
        </w:rPr>
        <w:t>Chicoral</w:t>
      </w:r>
      <w:proofErr w:type="spellEnd"/>
      <w:r w:rsidRPr="008F0A08">
        <w:rPr>
          <w:rFonts w:eastAsia="Times New Roman" w:cs="Arial"/>
          <w:i/>
          <w:iCs/>
          <w:color w:val="000000" w:themeColor="text1"/>
          <w:spacing w:val="-3"/>
          <w:szCs w:val="24"/>
          <w:lang w:val="es-ES" w:eastAsia="es-ES"/>
        </w:rPr>
        <w:t xml:space="preserve"> - Espinal </w:t>
      </w:r>
      <w:r w:rsidRPr="008F0A08">
        <w:rPr>
          <w:rFonts w:eastAsia="Bookman Old Style" w:cs="Bookman Old Style"/>
          <w:i/>
          <w:iCs/>
          <w:color w:val="000000" w:themeColor="text1"/>
          <w:spacing w:val="-3"/>
          <w:szCs w:val="24"/>
          <w:lang w:val="es-ES" w:eastAsia="es-ES"/>
        </w:rPr>
        <w:t>-</w:t>
      </w:r>
      <w:r w:rsidRPr="008F0A08">
        <w:rPr>
          <w:rFonts w:eastAsia="Times New Roman" w:cs="Arial"/>
          <w:i/>
          <w:iCs/>
          <w:color w:val="000000" w:themeColor="text1"/>
          <w:spacing w:val="-3"/>
          <w:szCs w:val="24"/>
          <w:lang w:val="es-ES" w:eastAsia="es-ES"/>
        </w:rPr>
        <w:t xml:space="preserve"> Flandes, según lo establecido en el Parágrafo primero del Artículo 1 de la mencionada resolución </w:t>
      </w:r>
      <w:r w:rsidR="008F0A08" w:rsidRPr="008F0A08">
        <w:rPr>
          <w:rFonts w:eastAsia="Times New Roman" w:cs="Arial"/>
          <w:i/>
          <w:iCs/>
          <w:color w:val="000000" w:themeColor="text1"/>
          <w:spacing w:val="-3"/>
          <w:szCs w:val="24"/>
          <w:lang w:val="es-ES" w:eastAsia="es-ES"/>
        </w:rPr>
        <w:t>(…)”</w:t>
      </w:r>
    </w:p>
    <w:p w14:paraId="3964C0F4" w14:textId="77777777" w:rsidR="001C4669" w:rsidRDefault="001C4669" w:rsidP="00092BA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57B01275" w14:textId="77777777" w:rsidR="00A456A7" w:rsidRPr="008E2AAD" w:rsidRDefault="00A456A7" w:rsidP="00A456A7">
      <w:pPr>
        <w:spacing w:after="0"/>
        <w:jc w:val="both"/>
        <w:rPr>
          <w:rFonts w:eastAsia="Times New Roman" w:cs="Arial"/>
          <w:color w:val="000000" w:themeColor="text1"/>
          <w:spacing w:val="-3"/>
          <w:szCs w:val="24"/>
          <w:lang w:val="es-ES" w:eastAsia="es-ES"/>
        </w:rPr>
      </w:pPr>
      <w:r w:rsidRPr="008E2AAD">
        <w:rPr>
          <w:rFonts w:eastAsia="Times New Roman" w:cs="Arial"/>
          <w:color w:val="000000" w:themeColor="text1"/>
          <w:spacing w:val="-3"/>
          <w:szCs w:val="24"/>
          <w:lang w:val="es-ES" w:eastAsia="es-ES"/>
        </w:rPr>
        <w:t xml:space="preserve">La Comisión expidió la Resolución CREG 175 de 2021, </w:t>
      </w:r>
      <w:r w:rsidRPr="00190E4A">
        <w:rPr>
          <w:rFonts w:eastAsia="Times New Roman" w:cs="Arial"/>
          <w:i/>
          <w:iCs/>
          <w:color w:val="000000" w:themeColor="text1"/>
          <w:spacing w:val="-3"/>
          <w:szCs w:val="24"/>
          <w:lang w:val="es-ES" w:eastAsia="es-ES"/>
        </w:rPr>
        <w:t>“Por la cual se establecen los criterios generales para la remuneración del servicio de transporte de gas natural y el esquema general de cargos del Sistema Nacional de Transporte, y se dictan otras disposiciones en materia de transporte de gas natural”</w:t>
      </w:r>
      <w:r w:rsidRPr="008E2AAD">
        <w:rPr>
          <w:rFonts w:eastAsia="Times New Roman" w:cs="Arial"/>
          <w:color w:val="000000" w:themeColor="text1"/>
          <w:spacing w:val="-3"/>
          <w:szCs w:val="24"/>
          <w:lang w:val="es-ES" w:eastAsia="es-ES"/>
        </w:rPr>
        <w:t>, la cual deroga la Resolución CREG 126 de 2010. Sin embargo, en el artículo 7 de se estableció la siguiente disposición:</w:t>
      </w:r>
    </w:p>
    <w:p w14:paraId="18C0E53A" w14:textId="77777777" w:rsidR="00A456A7" w:rsidRPr="008E2AAD" w:rsidRDefault="00A456A7" w:rsidP="00A456A7">
      <w:pPr>
        <w:spacing w:after="0"/>
        <w:jc w:val="both"/>
        <w:rPr>
          <w:rFonts w:eastAsia="Times New Roman" w:cs="Arial"/>
          <w:color w:val="000000" w:themeColor="text1"/>
          <w:spacing w:val="-3"/>
          <w:szCs w:val="24"/>
          <w:lang w:val="es-ES" w:eastAsia="es-ES"/>
        </w:rPr>
      </w:pPr>
    </w:p>
    <w:p w14:paraId="3B26A9ED" w14:textId="77777777" w:rsidR="00A456A7" w:rsidRPr="008E2AAD" w:rsidRDefault="00A456A7" w:rsidP="00190E4A">
      <w:pPr>
        <w:spacing w:after="0"/>
        <w:ind w:left="284"/>
        <w:jc w:val="both"/>
        <w:rPr>
          <w:rFonts w:eastAsia="Times New Roman" w:cs="Arial"/>
          <w:i/>
          <w:iCs/>
          <w:color w:val="000000" w:themeColor="text1"/>
          <w:spacing w:val="-3"/>
          <w:szCs w:val="24"/>
          <w:lang w:val="es-ES" w:eastAsia="es-ES"/>
        </w:rPr>
      </w:pPr>
      <w:r w:rsidRPr="008E2AAD">
        <w:rPr>
          <w:rFonts w:eastAsia="Times New Roman" w:cs="Arial"/>
          <w:i/>
          <w:iCs/>
          <w:color w:val="000000" w:themeColor="text1"/>
          <w:spacing w:val="-3"/>
          <w:szCs w:val="24"/>
          <w:lang w:val="es-ES" w:eastAsia="es-ES"/>
        </w:rPr>
        <w:t>“Artículo 7. Transición para activos VUN. Los cargos de transporte de los tramos que cuentan con activos que cumplieron el período de VUN a 31 de diciembre de 2020, y para los cuales la CREG aprobó o aprobará los valores a retirar, VRAN y VAO, se ajustarán de acuerdo con la metodología que originó la solicitud de valoración de los activos que cumplieron el período de VUN. Igual tratamiento se aplicará para los activos que: (a) ya fueron valorados, (b) la empresa declaró que los repondría, (c) la empresa declaró el remplazo y la puesta en operación comercial y (d) la SSPD verificó la puesta en operación.</w:t>
      </w:r>
    </w:p>
    <w:p w14:paraId="5551CA5B" w14:textId="77777777" w:rsidR="00A456A7" w:rsidRPr="008E2AAD" w:rsidRDefault="00A456A7" w:rsidP="00190E4A">
      <w:pPr>
        <w:spacing w:after="0"/>
        <w:ind w:left="284"/>
        <w:jc w:val="both"/>
        <w:rPr>
          <w:rFonts w:eastAsia="Times New Roman" w:cs="Arial"/>
          <w:i/>
          <w:iCs/>
          <w:color w:val="000000" w:themeColor="text1"/>
          <w:spacing w:val="-3"/>
          <w:szCs w:val="24"/>
          <w:lang w:val="es-ES" w:eastAsia="es-ES"/>
        </w:rPr>
      </w:pPr>
    </w:p>
    <w:p w14:paraId="3DCCD60E" w14:textId="25DB8697" w:rsidR="00A456A7" w:rsidRPr="008E2AAD" w:rsidRDefault="00A456A7" w:rsidP="00190E4A">
      <w:pPr>
        <w:spacing w:after="0"/>
        <w:ind w:left="284"/>
        <w:jc w:val="both"/>
        <w:rPr>
          <w:rFonts w:eastAsia="Times New Roman" w:cs="Arial"/>
          <w:i/>
          <w:iCs/>
          <w:color w:val="000000" w:themeColor="text1"/>
          <w:spacing w:val="-3"/>
          <w:szCs w:val="24"/>
          <w:lang w:val="es-ES" w:eastAsia="es-ES"/>
        </w:rPr>
      </w:pPr>
      <w:r w:rsidRPr="008E2AAD">
        <w:rPr>
          <w:rFonts w:eastAsia="Times New Roman" w:cs="Arial"/>
          <w:i/>
          <w:iCs/>
          <w:color w:val="000000" w:themeColor="text1"/>
          <w:spacing w:val="-3"/>
          <w:szCs w:val="24"/>
          <w:lang w:val="es-ES" w:eastAsia="es-ES"/>
        </w:rPr>
        <w:t xml:space="preserve">Parágrafo. El presente artículo aplicará hasta el último día calendario del sexto mes siguiente a la </w:t>
      </w:r>
      <w:proofErr w:type="gramStart"/>
      <w:r w:rsidRPr="008E2AAD">
        <w:rPr>
          <w:rFonts w:eastAsia="Times New Roman" w:cs="Arial"/>
          <w:i/>
          <w:iCs/>
          <w:color w:val="000000" w:themeColor="text1"/>
          <w:spacing w:val="-3"/>
          <w:szCs w:val="24"/>
          <w:lang w:val="es-ES" w:eastAsia="es-ES"/>
        </w:rPr>
        <w:t>entrada en vigencia</w:t>
      </w:r>
      <w:proofErr w:type="gramEnd"/>
      <w:r w:rsidRPr="008E2AAD">
        <w:rPr>
          <w:rFonts w:eastAsia="Times New Roman" w:cs="Arial"/>
          <w:i/>
          <w:iCs/>
          <w:color w:val="000000" w:themeColor="text1"/>
          <w:spacing w:val="-3"/>
          <w:szCs w:val="24"/>
          <w:lang w:val="es-ES" w:eastAsia="es-ES"/>
        </w:rPr>
        <w:t xml:space="preserve"> de la presente resolución.”</w:t>
      </w:r>
    </w:p>
    <w:p w14:paraId="763CBE7C" w14:textId="77777777" w:rsidR="00A456A7" w:rsidRPr="008E2AAD" w:rsidRDefault="00A456A7" w:rsidP="00A456A7">
      <w:pPr>
        <w:spacing w:after="0"/>
        <w:jc w:val="both"/>
        <w:rPr>
          <w:rFonts w:eastAsia="Times New Roman" w:cs="Arial"/>
          <w:color w:val="000000" w:themeColor="text1"/>
          <w:spacing w:val="-3"/>
          <w:szCs w:val="24"/>
          <w:lang w:val="es-ES" w:eastAsia="es-ES"/>
        </w:rPr>
      </w:pPr>
    </w:p>
    <w:p w14:paraId="13648E5D" w14:textId="29C41486" w:rsidR="00A456A7" w:rsidRPr="008E2AAD" w:rsidRDefault="00A456A7" w:rsidP="00A456A7">
      <w:pPr>
        <w:spacing w:after="0"/>
        <w:jc w:val="both"/>
        <w:rPr>
          <w:rFonts w:eastAsia="Times New Roman" w:cs="Arial"/>
          <w:color w:val="000000" w:themeColor="text1"/>
          <w:spacing w:val="-3"/>
          <w:szCs w:val="24"/>
          <w:lang w:val="es-ES" w:eastAsia="es-ES"/>
        </w:rPr>
      </w:pPr>
      <w:r w:rsidRPr="008E2AAD">
        <w:rPr>
          <w:rFonts w:eastAsia="Times New Roman" w:cs="Arial"/>
          <w:color w:val="000000" w:themeColor="text1"/>
          <w:spacing w:val="-3"/>
          <w:szCs w:val="24"/>
          <w:lang w:val="es-ES" w:eastAsia="es-ES"/>
        </w:rPr>
        <w:t>Mediante la Resolución CREG 102-006 de 2022</w:t>
      </w:r>
      <w:r w:rsidR="001E4088">
        <w:rPr>
          <w:rFonts w:eastAsia="Times New Roman" w:cs="Arial"/>
          <w:color w:val="000000" w:themeColor="text1"/>
          <w:spacing w:val="-3"/>
          <w:szCs w:val="24"/>
          <w:lang w:val="es-ES" w:eastAsia="es-ES"/>
        </w:rPr>
        <w:t>,</w:t>
      </w:r>
      <w:r w:rsidRPr="008E2AAD">
        <w:rPr>
          <w:rFonts w:eastAsia="Times New Roman" w:cs="Arial"/>
          <w:color w:val="000000" w:themeColor="text1"/>
          <w:spacing w:val="-3"/>
          <w:szCs w:val="24"/>
          <w:lang w:val="es-ES" w:eastAsia="es-ES"/>
        </w:rPr>
        <w:t xml:space="preserve"> la Comisión modificó el parágrafo del artículo 7 de la Resolución CREG 175 de 2021, así:</w:t>
      </w:r>
    </w:p>
    <w:p w14:paraId="13B64E3E" w14:textId="77777777" w:rsidR="00A456A7" w:rsidRPr="008E2AAD" w:rsidRDefault="00A456A7" w:rsidP="00A456A7">
      <w:pPr>
        <w:spacing w:after="0"/>
        <w:jc w:val="both"/>
        <w:rPr>
          <w:rFonts w:eastAsia="Times New Roman" w:cs="Arial"/>
          <w:color w:val="000000" w:themeColor="text1"/>
          <w:spacing w:val="-3"/>
          <w:szCs w:val="24"/>
          <w:lang w:val="es-ES" w:eastAsia="es-ES"/>
        </w:rPr>
      </w:pPr>
    </w:p>
    <w:p w14:paraId="1B0E3451" w14:textId="53E46CCD" w:rsidR="005738F9" w:rsidRPr="008354B4" w:rsidRDefault="00A456A7" w:rsidP="00190E4A">
      <w:pPr>
        <w:spacing w:after="0"/>
        <w:ind w:left="284"/>
        <w:jc w:val="both"/>
        <w:rPr>
          <w:rFonts w:eastAsia="Times New Roman" w:cs="Arial"/>
          <w:i/>
          <w:iCs/>
          <w:color w:val="000000" w:themeColor="text1"/>
          <w:spacing w:val="-3"/>
          <w:szCs w:val="24"/>
          <w:lang w:val="es-ES" w:eastAsia="es-ES"/>
        </w:rPr>
      </w:pPr>
      <w:r w:rsidRPr="008354B4">
        <w:rPr>
          <w:rFonts w:eastAsia="Times New Roman" w:cs="Arial"/>
          <w:i/>
          <w:iCs/>
          <w:color w:val="000000" w:themeColor="text1"/>
          <w:spacing w:val="-3"/>
          <w:szCs w:val="24"/>
          <w:lang w:val="es-ES" w:eastAsia="es-ES"/>
        </w:rPr>
        <w:t xml:space="preserve">“Parágrafo. El presente artículo aplicará hasta el último día calendario del noveno mes siguiente a la </w:t>
      </w:r>
      <w:proofErr w:type="gramStart"/>
      <w:r w:rsidRPr="008354B4">
        <w:rPr>
          <w:rFonts w:eastAsia="Times New Roman" w:cs="Arial"/>
          <w:i/>
          <w:iCs/>
          <w:color w:val="000000" w:themeColor="text1"/>
          <w:spacing w:val="-3"/>
          <w:szCs w:val="24"/>
          <w:lang w:val="es-ES" w:eastAsia="es-ES"/>
        </w:rPr>
        <w:t>entrada en vigencia</w:t>
      </w:r>
      <w:proofErr w:type="gramEnd"/>
      <w:r w:rsidRPr="008354B4">
        <w:rPr>
          <w:rFonts w:eastAsia="Times New Roman" w:cs="Arial"/>
          <w:i/>
          <w:iCs/>
          <w:color w:val="000000" w:themeColor="text1"/>
          <w:spacing w:val="-3"/>
          <w:szCs w:val="24"/>
          <w:lang w:val="es-ES" w:eastAsia="es-ES"/>
        </w:rPr>
        <w:t xml:space="preserve"> de la presente resolución”.</w:t>
      </w:r>
    </w:p>
    <w:p w14:paraId="00423A41" w14:textId="77777777" w:rsidR="00A456A7" w:rsidRPr="008354B4" w:rsidRDefault="00A456A7" w:rsidP="00A456A7">
      <w:pPr>
        <w:spacing w:after="0"/>
        <w:jc w:val="both"/>
        <w:rPr>
          <w:rFonts w:eastAsia="Times New Roman" w:cs="Arial"/>
          <w:color w:val="000000" w:themeColor="text1"/>
          <w:spacing w:val="-3"/>
          <w:szCs w:val="24"/>
          <w:lang w:val="es-ES" w:eastAsia="es-ES"/>
        </w:rPr>
      </w:pPr>
    </w:p>
    <w:p w14:paraId="5D62D577" w14:textId="62D654B5" w:rsidR="00A74B29" w:rsidRDefault="00E75B62" w:rsidP="005738F9">
      <w:pPr>
        <w:spacing w:after="0"/>
        <w:jc w:val="both"/>
        <w:rPr>
          <w:rFonts w:eastAsia="Times New Roman" w:cs="Arial"/>
          <w:color w:val="000000" w:themeColor="text1"/>
          <w:spacing w:val="-3"/>
          <w:szCs w:val="24"/>
          <w:lang w:val="es-ES" w:eastAsia="es-ES"/>
        </w:rPr>
      </w:pPr>
      <w:r w:rsidRPr="008354B4">
        <w:rPr>
          <w:rFonts w:eastAsia="Times New Roman" w:cs="Arial"/>
          <w:color w:val="000000" w:themeColor="text1"/>
          <w:spacing w:val="-3"/>
          <w:szCs w:val="24"/>
          <w:lang w:val="es-ES" w:eastAsia="es-ES"/>
        </w:rPr>
        <w:t>En atención a la disposición transcrita, la actualización de los cargos</w:t>
      </w:r>
      <w:r w:rsidR="00280811">
        <w:rPr>
          <w:rFonts w:eastAsia="Times New Roman" w:cs="Arial"/>
          <w:color w:val="000000" w:themeColor="text1"/>
          <w:spacing w:val="-3"/>
          <w:szCs w:val="24"/>
          <w:lang w:val="es-ES" w:eastAsia="es-ES"/>
        </w:rPr>
        <w:t xml:space="preserve"> regulados</w:t>
      </w:r>
      <w:r w:rsidRPr="008354B4">
        <w:rPr>
          <w:rFonts w:eastAsia="Times New Roman" w:cs="Arial"/>
          <w:color w:val="000000" w:themeColor="text1"/>
          <w:spacing w:val="-3"/>
          <w:szCs w:val="24"/>
          <w:lang w:val="es-ES" w:eastAsia="es-ES"/>
        </w:rPr>
        <w:t xml:space="preserve"> </w:t>
      </w:r>
      <w:r w:rsidR="002149E5" w:rsidRPr="008354B4">
        <w:rPr>
          <w:rFonts w:eastAsia="Times New Roman" w:cs="Arial"/>
          <w:color w:val="000000" w:themeColor="text1"/>
          <w:spacing w:val="-3"/>
          <w:szCs w:val="24"/>
          <w:lang w:val="es-ES" w:eastAsia="es-ES"/>
        </w:rPr>
        <w:t xml:space="preserve">de los gasoductos </w:t>
      </w:r>
      <w:proofErr w:type="spellStart"/>
      <w:r w:rsidR="002149E5" w:rsidRPr="008354B4">
        <w:rPr>
          <w:rFonts w:eastAsia="Times New Roman" w:cs="Arial"/>
          <w:color w:val="000000" w:themeColor="text1"/>
          <w:spacing w:val="-3"/>
          <w:szCs w:val="24"/>
          <w:lang w:val="es-ES" w:eastAsia="es-ES"/>
        </w:rPr>
        <w:t>Chicoral</w:t>
      </w:r>
      <w:proofErr w:type="spellEnd"/>
      <w:r w:rsidR="002149E5" w:rsidRPr="008354B4">
        <w:rPr>
          <w:rFonts w:eastAsia="Times New Roman" w:cs="Arial"/>
          <w:color w:val="000000" w:themeColor="text1"/>
          <w:spacing w:val="-3"/>
          <w:szCs w:val="24"/>
          <w:lang w:val="es-ES" w:eastAsia="es-ES"/>
        </w:rPr>
        <w:t xml:space="preserve"> - Flandes, Buenos Aires</w:t>
      </w:r>
      <w:r w:rsidR="00F55760">
        <w:rPr>
          <w:rFonts w:eastAsia="Times New Roman" w:cs="Arial"/>
          <w:color w:val="000000" w:themeColor="text1"/>
          <w:spacing w:val="-3"/>
          <w:szCs w:val="24"/>
          <w:lang w:val="es-ES" w:eastAsia="es-ES"/>
        </w:rPr>
        <w:t xml:space="preserve"> - </w:t>
      </w:r>
      <w:r w:rsidR="002149E5" w:rsidRPr="008354B4">
        <w:rPr>
          <w:rFonts w:eastAsia="Times New Roman" w:cs="Arial"/>
          <w:color w:val="000000" w:themeColor="text1"/>
          <w:spacing w:val="-3"/>
          <w:szCs w:val="24"/>
          <w:lang w:val="es-ES" w:eastAsia="es-ES"/>
        </w:rPr>
        <w:t>Ibagué y Neiva - Hobo, pertenecientes al sistema de transporte de PROGASUR S.A. E.S.P</w:t>
      </w:r>
      <w:r w:rsidR="00280811">
        <w:rPr>
          <w:rFonts w:eastAsia="Times New Roman" w:cs="Arial"/>
          <w:color w:val="000000" w:themeColor="text1"/>
          <w:spacing w:val="-3"/>
          <w:szCs w:val="24"/>
          <w:lang w:val="es-ES" w:eastAsia="es-ES"/>
        </w:rPr>
        <w:t>.</w:t>
      </w:r>
      <w:r w:rsidRPr="008354B4">
        <w:rPr>
          <w:rFonts w:eastAsia="Times New Roman" w:cs="Arial"/>
          <w:color w:val="000000" w:themeColor="text1"/>
          <w:spacing w:val="-3"/>
          <w:szCs w:val="24"/>
          <w:lang w:val="es-ES" w:eastAsia="es-ES"/>
        </w:rPr>
        <w:t xml:space="preserve">, debe hacerse conforme a las disposiciones que regía la Resolución CREG 126 de 2010, considerando la decisión adoptada </w:t>
      </w:r>
      <w:r w:rsidR="00ED64B9" w:rsidRPr="008354B4">
        <w:rPr>
          <w:rFonts w:eastAsia="Times New Roman" w:cs="Arial"/>
          <w:color w:val="000000" w:themeColor="text1"/>
          <w:spacing w:val="-3"/>
          <w:szCs w:val="24"/>
          <w:lang w:val="es-ES" w:eastAsia="es-ES"/>
        </w:rPr>
        <w:t>por parte de la empresa</w:t>
      </w:r>
      <w:r w:rsidR="00ED64B9">
        <w:rPr>
          <w:rFonts w:eastAsia="Times New Roman" w:cs="Arial"/>
          <w:color w:val="000000" w:themeColor="text1"/>
          <w:spacing w:val="-3"/>
          <w:szCs w:val="24"/>
          <w:lang w:val="es-ES" w:eastAsia="es-ES"/>
        </w:rPr>
        <w:t>,</w:t>
      </w:r>
      <w:r w:rsidR="00ED64B9" w:rsidRPr="008354B4">
        <w:rPr>
          <w:rFonts w:eastAsia="Times New Roman" w:cs="Arial"/>
          <w:color w:val="000000" w:themeColor="text1"/>
          <w:spacing w:val="-3"/>
          <w:szCs w:val="24"/>
          <w:lang w:val="es-ES" w:eastAsia="es-ES"/>
        </w:rPr>
        <w:t xml:space="preserve"> </w:t>
      </w:r>
      <w:r w:rsidRPr="008354B4">
        <w:rPr>
          <w:rFonts w:eastAsia="Times New Roman" w:cs="Arial"/>
          <w:color w:val="000000" w:themeColor="text1"/>
          <w:spacing w:val="-3"/>
          <w:szCs w:val="24"/>
          <w:lang w:val="es-ES" w:eastAsia="es-ES"/>
        </w:rPr>
        <w:t>con ocasión de la</w:t>
      </w:r>
      <w:r w:rsidR="008354B4" w:rsidRPr="008354B4">
        <w:rPr>
          <w:rFonts w:eastAsia="Times New Roman" w:cs="Arial"/>
          <w:color w:val="000000" w:themeColor="text1"/>
          <w:spacing w:val="-3"/>
          <w:szCs w:val="24"/>
          <w:lang w:val="es-ES" w:eastAsia="es-ES"/>
        </w:rPr>
        <w:t>s resoluciones CREG 0</w:t>
      </w:r>
      <w:r w:rsidR="00F161EA">
        <w:rPr>
          <w:rFonts w:eastAsia="Times New Roman" w:cs="Arial"/>
          <w:color w:val="000000" w:themeColor="text1"/>
          <w:spacing w:val="-3"/>
          <w:szCs w:val="24"/>
          <w:lang w:val="es-ES" w:eastAsia="es-ES"/>
        </w:rPr>
        <w:t>9</w:t>
      </w:r>
      <w:r w:rsidR="008354B4" w:rsidRPr="008354B4">
        <w:rPr>
          <w:rFonts w:eastAsia="Times New Roman" w:cs="Arial"/>
          <w:color w:val="000000" w:themeColor="text1"/>
          <w:spacing w:val="-3"/>
          <w:szCs w:val="24"/>
          <w:lang w:val="es-ES" w:eastAsia="es-ES"/>
        </w:rPr>
        <w:t>6 de 2021 y 502-001 de 2022</w:t>
      </w:r>
      <w:r w:rsidRPr="008354B4">
        <w:rPr>
          <w:rFonts w:eastAsia="Times New Roman" w:cs="Arial"/>
          <w:color w:val="000000" w:themeColor="text1"/>
          <w:spacing w:val="-3"/>
          <w:szCs w:val="24"/>
          <w:lang w:val="es-ES" w:eastAsia="es-ES"/>
        </w:rPr>
        <w:t xml:space="preserve">, esto es, continuar operando </w:t>
      </w:r>
      <w:r w:rsidR="008354B4" w:rsidRPr="00D62598">
        <w:rPr>
          <w:rFonts w:eastAsia="Times New Roman" w:cs="Arial"/>
          <w:color w:val="000000" w:themeColor="text1"/>
          <w:spacing w:val="-3"/>
          <w:szCs w:val="24"/>
          <w:lang w:val="es-ES" w:eastAsia="es-ES"/>
        </w:rPr>
        <w:t xml:space="preserve">gasoductos </w:t>
      </w:r>
      <w:proofErr w:type="spellStart"/>
      <w:r w:rsidR="008354B4" w:rsidRPr="00D62598">
        <w:rPr>
          <w:rFonts w:eastAsia="Times New Roman" w:cs="Arial"/>
          <w:color w:val="000000" w:themeColor="text1"/>
          <w:spacing w:val="-3"/>
          <w:szCs w:val="24"/>
          <w:lang w:val="es-ES" w:eastAsia="es-ES"/>
        </w:rPr>
        <w:t>Chicoral</w:t>
      </w:r>
      <w:proofErr w:type="spellEnd"/>
      <w:r w:rsidR="008354B4" w:rsidRPr="00D62598">
        <w:rPr>
          <w:rFonts w:eastAsia="Times New Roman" w:cs="Arial"/>
          <w:color w:val="000000" w:themeColor="text1"/>
          <w:spacing w:val="-3"/>
          <w:szCs w:val="24"/>
          <w:lang w:val="es-ES" w:eastAsia="es-ES"/>
        </w:rPr>
        <w:t xml:space="preserve"> - Flandes, Buenos Aires – Ibagué y Neiva - Hobo</w:t>
      </w:r>
      <w:r w:rsidRPr="00D62598">
        <w:rPr>
          <w:rFonts w:eastAsia="Times New Roman" w:cs="Arial"/>
          <w:color w:val="000000" w:themeColor="text1"/>
          <w:spacing w:val="-3"/>
          <w:szCs w:val="24"/>
          <w:lang w:val="es-ES" w:eastAsia="es-ES"/>
        </w:rPr>
        <w:t>.</w:t>
      </w:r>
    </w:p>
    <w:p w14:paraId="537C96FE" w14:textId="6DB9760C" w:rsidR="00F74CEA" w:rsidRDefault="00F74CEA" w:rsidP="005738F9">
      <w:pPr>
        <w:spacing w:after="0"/>
        <w:jc w:val="both"/>
        <w:rPr>
          <w:rFonts w:eastAsia="Times New Roman" w:cs="Arial"/>
          <w:color w:val="000000" w:themeColor="text1"/>
          <w:spacing w:val="-3"/>
          <w:szCs w:val="24"/>
          <w:lang w:val="es-ES" w:eastAsia="es-ES"/>
        </w:rPr>
      </w:pPr>
    </w:p>
    <w:p w14:paraId="5B4E7A39" w14:textId="59FE0804" w:rsidR="00F74CEA" w:rsidRPr="00F74CEA" w:rsidRDefault="00F74CEA" w:rsidP="00F74CEA">
      <w:pPr>
        <w:spacing w:after="0"/>
        <w:jc w:val="both"/>
        <w:rPr>
          <w:rFonts w:eastAsia="Times New Roman" w:cs="Arial"/>
          <w:color w:val="000000" w:themeColor="text1"/>
          <w:spacing w:val="-3"/>
          <w:szCs w:val="24"/>
          <w:lang w:val="es-ES" w:eastAsia="es-ES"/>
        </w:rPr>
      </w:pPr>
      <w:r w:rsidRPr="00F74CEA">
        <w:rPr>
          <w:rFonts w:eastAsia="Times New Roman" w:cs="Arial"/>
          <w:color w:val="000000" w:themeColor="text1"/>
          <w:spacing w:val="-3"/>
          <w:szCs w:val="24"/>
          <w:lang w:val="es-ES" w:eastAsia="es-ES"/>
        </w:rPr>
        <w:t xml:space="preserve">Mediante </w:t>
      </w:r>
      <w:r>
        <w:rPr>
          <w:rFonts w:eastAsia="Times New Roman" w:cs="Arial"/>
          <w:color w:val="000000" w:themeColor="text1"/>
          <w:spacing w:val="-3"/>
          <w:szCs w:val="24"/>
          <w:lang w:val="es-ES" w:eastAsia="es-ES"/>
        </w:rPr>
        <w:t xml:space="preserve">Auto </w:t>
      </w:r>
      <w:r w:rsidRPr="00F74CEA">
        <w:rPr>
          <w:rFonts w:eastAsia="Times New Roman" w:cs="Arial"/>
          <w:color w:val="000000" w:themeColor="text1"/>
          <w:spacing w:val="-3"/>
          <w:szCs w:val="24"/>
          <w:lang w:val="es-ES" w:eastAsia="es-ES"/>
        </w:rPr>
        <w:t>con radicado CREG I-2022-006319</w:t>
      </w:r>
      <w:r w:rsidR="001E4088">
        <w:rPr>
          <w:rFonts w:eastAsia="Times New Roman" w:cs="Arial"/>
          <w:color w:val="000000" w:themeColor="text1"/>
          <w:spacing w:val="-3"/>
          <w:szCs w:val="24"/>
          <w:lang w:val="es-ES" w:eastAsia="es-ES"/>
        </w:rPr>
        <w:t>,</w:t>
      </w:r>
      <w:r w:rsidRPr="00F74CEA">
        <w:rPr>
          <w:rFonts w:eastAsia="Times New Roman" w:cs="Arial"/>
          <w:color w:val="000000" w:themeColor="text1"/>
          <w:spacing w:val="-3"/>
          <w:szCs w:val="24"/>
          <w:lang w:val="es-ES" w:eastAsia="es-ES"/>
        </w:rPr>
        <w:t xml:space="preserve"> la Comisión ordenó iniciar una actuación administrativa con el objeto de ajustar los cargos</w:t>
      </w:r>
      <w:r>
        <w:rPr>
          <w:rFonts w:eastAsia="Times New Roman" w:cs="Arial"/>
          <w:color w:val="000000" w:themeColor="text1"/>
          <w:spacing w:val="-3"/>
          <w:szCs w:val="24"/>
          <w:lang w:val="es-ES" w:eastAsia="es-ES"/>
        </w:rPr>
        <w:t xml:space="preserve"> </w:t>
      </w:r>
      <w:r w:rsidRPr="00F74CEA">
        <w:rPr>
          <w:rFonts w:eastAsia="Times New Roman" w:cs="Arial"/>
          <w:color w:val="000000" w:themeColor="text1"/>
          <w:spacing w:val="-3"/>
          <w:szCs w:val="24"/>
          <w:lang w:val="es-ES" w:eastAsia="es-ES"/>
        </w:rPr>
        <w:t xml:space="preserve">regulados para los gasoductos Buenos Aires - Ibagué y </w:t>
      </w:r>
      <w:proofErr w:type="spellStart"/>
      <w:r w:rsidRPr="00F74CEA">
        <w:rPr>
          <w:rFonts w:eastAsia="Times New Roman" w:cs="Arial"/>
          <w:color w:val="000000" w:themeColor="text1"/>
          <w:spacing w:val="-3"/>
          <w:szCs w:val="24"/>
          <w:lang w:val="es-ES" w:eastAsia="es-ES"/>
        </w:rPr>
        <w:t>Chicoral</w:t>
      </w:r>
      <w:proofErr w:type="spellEnd"/>
      <w:r w:rsidRPr="00F74CEA">
        <w:rPr>
          <w:rFonts w:eastAsia="Times New Roman" w:cs="Arial"/>
          <w:color w:val="000000" w:themeColor="text1"/>
          <w:spacing w:val="-3"/>
          <w:szCs w:val="24"/>
          <w:lang w:val="es-ES" w:eastAsia="es-ES"/>
        </w:rPr>
        <w:t xml:space="preserve"> - Espinal - Flandes del</w:t>
      </w:r>
      <w:r>
        <w:rPr>
          <w:rFonts w:eastAsia="Times New Roman" w:cs="Arial"/>
          <w:color w:val="000000" w:themeColor="text1"/>
          <w:spacing w:val="-3"/>
          <w:szCs w:val="24"/>
          <w:lang w:val="es-ES" w:eastAsia="es-ES"/>
        </w:rPr>
        <w:t xml:space="preserve"> </w:t>
      </w:r>
      <w:r w:rsidRPr="00F74CEA">
        <w:rPr>
          <w:rFonts w:eastAsia="Times New Roman" w:cs="Arial"/>
          <w:color w:val="000000" w:themeColor="text1"/>
          <w:spacing w:val="-3"/>
          <w:szCs w:val="24"/>
          <w:lang w:val="es-ES" w:eastAsia="es-ES"/>
        </w:rPr>
        <w:t>sistema de transporte de PROGASUR S.A. E.S.P., de acuerdo con lo establecido en el</w:t>
      </w:r>
      <w:r>
        <w:rPr>
          <w:rFonts w:eastAsia="Times New Roman" w:cs="Arial"/>
          <w:color w:val="000000" w:themeColor="text1"/>
          <w:spacing w:val="-3"/>
          <w:szCs w:val="24"/>
          <w:lang w:val="es-ES" w:eastAsia="es-ES"/>
        </w:rPr>
        <w:t xml:space="preserve"> </w:t>
      </w:r>
      <w:r w:rsidRPr="00F74CEA">
        <w:rPr>
          <w:rFonts w:eastAsia="Times New Roman" w:cs="Arial"/>
          <w:color w:val="000000" w:themeColor="text1"/>
          <w:spacing w:val="-3"/>
          <w:szCs w:val="24"/>
          <w:lang w:val="es-ES" w:eastAsia="es-ES"/>
        </w:rPr>
        <w:t>artículo 14 de la Resolución CREG 126 de 2010, y en el artículo 7 de la Resolución CREG</w:t>
      </w:r>
    </w:p>
    <w:p w14:paraId="7EF29A26" w14:textId="5FDFB3D2" w:rsidR="00F74CEA" w:rsidRDefault="00F74CEA" w:rsidP="00F74CEA">
      <w:pPr>
        <w:spacing w:after="0"/>
        <w:jc w:val="both"/>
        <w:rPr>
          <w:rFonts w:eastAsia="Times New Roman" w:cs="Arial"/>
          <w:color w:val="000000" w:themeColor="text1"/>
          <w:spacing w:val="-3"/>
          <w:szCs w:val="24"/>
          <w:lang w:val="es-ES" w:eastAsia="es-ES"/>
        </w:rPr>
      </w:pPr>
      <w:r w:rsidRPr="00F74CEA">
        <w:rPr>
          <w:rFonts w:eastAsia="Times New Roman" w:cs="Arial"/>
          <w:color w:val="000000" w:themeColor="text1"/>
          <w:spacing w:val="-3"/>
          <w:szCs w:val="24"/>
          <w:lang w:val="es-ES" w:eastAsia="es-ES"/>
        </w:rPr>
        <w:t>175 de 2021.</w:t>
      </w:r>
    </w:p>
    <w:p w14:paraId="24026DBC" w14:textId="748C280F" w:rsidR="00F74CEA" w:rsidRDefault="00F74CEA" w:rsidP="00F74CEA">
      <w:pPr>
        <w:spacing w:after="0"/>
        <w:jc w:val="both"/>
        <w:rPr>
          <w:rFonts w:eastAsia="Times New Roman" w:cs="Arial"/>
          <w:color w:val="000000" w:themeColor="text1"/>
          <w:spacing w:val="-3"/>
          <w:szCs w:val="24"/>
          <w:lang w:val="es-ES" w:eastAsia="es-ES"/>
        </w:rPr>
      </w:pPr>
    </w:p>
    <w:p w14:paraId="3FE9AC27" w14:textId="51D43C95" w:rsidR="00F74CEA" w:rsidRPr="00D62598" w:rsidRDefault="00F74CEA" w:rsidP="00F74CEA">
      <w:pPr>
        <w:spacing w:after="0"/>
        <w:jc w:val="both"/>
        <w:rPr>
          <w:rFonts w:eastAsia="Times New Roman" w:cs="Arial"/>
          <w:color w:val="000000" w:themeColor="text1"/>
          <w:spacing w:val="-3"/>
          <w:szCs w:val="24"/>
          <w:lang w:val="es-ES" w:eastAsia="es-ES"/>
        </w:rPr>
      </w:pPr>
      <w:r w:rsidRPr="00F74CEA">
        <w:rPr>
          <w:rFonts w:eastAsia="Times New Roman" w:cs="Arial"/>
          <w:color w:val="000000" w:themeColor="text1"/>
          <w:spacing w:val="-3"/>
          <w:szCs w:val="24"/>
          <w:lang w:val="es-ES" w:eastAsia="es-ES"/>
        </w:rPr>
        <w:t>Mediante</w:t>
      </w:r>
      <w:r w:rsidR="005C65DF">
        <w:rPr>
          <w:rFonts w:eastAsia="Times New Roman" w:cs="Arial"/>
          <w:color w:val="000000" w:themeColor="text1"/>
          <w:spacing w:val="-3"/>
          <w:szCs w:val="24"/>
          <w:lang w:val="es-ES" w:eastAsia="es-ES"/>
        </w:rPr>
        <w:t xml:space="preserve"> Auto</w:t>
      </w:r>
      <w:r w:rsidRPr="00F74CEA">
        <w:rPr>
          <w:rFonts w:eastAsia="Times New Roman" w:cs="Arial"/>
          <w:color w:val="000000" w:themeColor="text1"/>
          <w:spacing w:val="-3"/>
          <w:szCs w:val="24"/>
          <w:lang w:val="es-ES" w:eastAsia="es-ES"/>
        </w:rPr>
        <w:t xml:space="preserve"> con radicado CREG I-2022-006687</w:t>
      </w:r>
      <w:r w:rsidR="001E4088">
        <w:rPr>
          <w:rFonts w:eastAsia="Times New Roman" w:cs="Arial"/>
          <w:color w:val="000000" w:themeColor="text1"/>
          <w:spacing w:val="-3"/>
          <w:szCs w:val="24"/>
          <w:lang w:val="es-ES" w:eastAsia="es-ES"/>
        </w:rPr>
        <w:t>,</w:t>
      </w:r>
      <w:r w:rsidRPr="00F74CEA">
        <w:rPr>
          <w:rFonts w:eastAsia="Times New Roman" w:cs="Arial"/>
          <w:color w:val="000000" w:themeColor="text1"/>
          <w:spacing w:val="-3"/>
          <w:szCs w:val="24"/>
          <w:lang w:val="es-ES" w:eastAsia="es-ES"/>
        </w:rPr>
        <w:t xml:space="preserve"> la Comisión ordenó Incorporar dentro de la actuación administrativa iniciada mediante </w:t>
      </w:r>
      <w:r w:rsidR="005C65DF">
        <w:rPr>
          <w:rFonts w:eastAsia="Times New Roman" w:cs="Arial"/>
          <w:color w:val="000000" w:themeColor="text1"/>
          <w:spacing w:val="-3"/>
          <w:szCs w:val="24"/>
          <w:lang w:val="es-ES" w:eastAsia="es-ES"/>
        </w:rPr>
        <w:t>A</w:t>
      </w:r>
      <w:r w:rsidRPr="00F74CEA">
        <w:rPr>
          <w:rFonts w:eastAsia="Times New Roman" w:cs="Arial"/>
          <w:color w:val="000000" w:themeColor="text1"/>
          <w:spacing w:val="-3"/>
          <w:szCs w:val="24"/>
          <w:lang w:val="es-ES" w:eastAsia="es-ES"/>
        </w:rPr>
        <w:t>uto con</w:t>
      </w:r>
      <w:r>
        <w:rPr>
          <w:rFonts w:eastAsia="Times New Roman" w:cs="Arial"/>
          <w:color w:val="000000" w:themeColor="text1"/>
          <w:spacing w:val="-3"/>
          <w:szCs w:val="24"/>
          <w:lang w:val="es-ES" w:eastAsia="es-ES"/>
        </w:rPr>
        <w:t xml:space="preserve"> </w:t>
      </w:r>
      <w:r w:rsidRPr="00F74CEA">
        <w:rPr>
          <w:rFonts w:eastAsia="Times New Roman" w:cs="Arial"/>
          <w:color w:val="000000" w:themeColor="text1"/>
          <w:spacing w:val="-3"/>
          <w:szCs w:val="24"/>
          <w:lang w:val="es-ES" w:eastAsia="es-ES"/>
        </w:rPr>
        <w:t>radicado CREG I-2022-006319 asociada al expediente CREG 2022-0049 para los</w:t>
      </w:r>
      <w:r>
        <w:rPr>
          <w:rFonts w:eastAsia="Times New Roman" w:cs="Arial"/>
          <w:color w:val="000000" w:themeColor="text1"/>
          <w:spacing w:val="-3"/>
          <w:szCs w:val="24"/>
          <w:lang w:val="es-ES" w:eastAsia="es-ES"/>
        </w:rPr>
        <w:t xml:space="preserve"> </w:t>
      </w:r>
      <w:r w:rsidRPr="00F74CEA">
        <w:rPr>
          <w:rFonts w:eastAsia="Times New Roman" w:cs="Arial"/>
          <w:color w:val="000000" w:themeColor="text1"/>
          <w:spacing w:val="-3"/>
          <w:szCs w:val="24"/>
          <w:lang w:val="es-ES" w:eastAsia="es-ES"/>
        </w:rPr>
        <w:t xml:space="preserve">gasoductos Buenos Aires - Ibagué y </w:t>
      </w:r>
      <w:proofErr w:type="spellStart"/>
      <w:r w:rsidRPr="00F74CEA">
        <w:rPr>
          <w:rFonts w:eastAsia="Times New Roman" w:cs="Arial"/>
          <w:color w:val="000000" w:themeColor="text1"/>
          <w:spacing w:val="-3"/>
          <w:szCs w:val="24"/>
          <w:lang w:val="es-ES" w:eastAsia="es-ES"/>
        </w:rPr>
        <w:t>Chicoral</w:t>
      </w:r>
      <w:proofErr w:type="spellEnd"/>
      <w:r w:rsidRPr="00F74CEA">
        <w:rPr>
          <w:rFonts w:eastAsia="Times New Roman" w:cs="Arial"/>
          <w:color w:val="000000" w:themeColor="text1"/>
          <w:spacing w:val="-3"/>
          <w:szCs w:val="24"/>
          <w:lang w:val="es-ES" w:eastAsia="es-ES"/>
        </w:rPr>
        <w:t xml:space="preserve"> - Espinal - Flandes, al gasoducto Neiva </w:t>
      </w:r>
      <w:r>
        <w:rPr>
          <w:rFonts w:eastAsia="Times New Roman" w:cs="Arial"/>
          <w:color w:val="000000" w:themeColor="text1"/>
          <w:spacing w:val="-3"/>
          <w:szCs w:val="24"/>
          <w:lang w:val="es-ES" w:eastAsia="es-ES"/>
        </w:rPr>
        <w:t>–</w:t>
      </w:r>
      <w:r w:rsidRPr="00F74CEA">
        <w:rPr>
          <w:rFonts w:eastAsia="Times New Roman" w:cs="Arial"/>
          <w:color w:val="000000" w:themeColor="text1"/>
          <w:spacing w:val="-3"/>
          <w:szCs w:val="24"/>
          <w:lang w:val="es-ES" w:eastAsia="es-ES"/>
        </w:rPr>
        <w:t xml:space="preserve"> Hobo</w:t>
      </w:r>
      <w:r>
        <w:rPr>
          <w:rFonts w:eastAsia="Times New Roman" w:cs="Arial"/>
          <w:color w:val="000000" w:themeColor="text1"/>
          <w:spacing w:val="-3"/>
          <w:szCs w:val="24"/>
          <w:lang w:val="es-ES" w:eastAsia="es-ES"/>
        </w:rPr>
        <w:t xml:space="preserve"> </w:t>
      </w:r>
      <w:r w:rsidRPr="00F74CEA">
        <w:rPr>
          <w:rFonts w:eastAsia="Times New Roman" w:cs="Arial"/>
          <w:color w:val="000000" w:themeColor="text1"/>
          <w:spacing w:val="-3"/>
          <w:szCs w:val="24"/>
          <w:lang w:val="es-ES" w:eastAsia="es-ES"/>
        </w:rPr>
        <w:lastRenderedPageBreak/>
        <w:t>perteneciente al sistema de transporte de PROGASUR S.A. E.S.P, con el objetivo de resolver</w:t>
      </w:r>
      <w:r>
        <w:rPr>
          <w:rFonts w:eastAsia="Times New Roman" w:cs="Arial"/>
          <w:color w:val="000000" w:themeColor="text1"/>
          <w:spacing w:val="-3"/>
          <w:szCs w:val="24"/>
          <w:lang w:val="es-ES" w:eastAsia="es-ES"/>
        </w:rPr>
        <w:t xml:space="preserve"> </w:t>
      </w:r>
      <w:r w:rsidRPr="00F74CEA">
        <w:rPr>
          <w:rFonts w:eastAsia="Times New Roman" w:cs="Arial"/>
          <w:color w:val="000000" w:themeColor="text1"/>
          <w:spacing w:val="-3"/>
          <w:szCs w:val="24"/>
          <w:lang w:val="es-ES" w:eastAsia="es-ES"/>
        </w:rPr>
        <w:t>mediante una única actuación administrativa las solicitudes realizadas por PROGASUR S.A.</w:t>
      </w:r>
      <w:r>
        <w:rPr>
          <w:rFonts w:eastAsia="Times New Roman" w:cs="Arial"/>
          <w:color w:val="000000" w:themeColor="text1"/>
          <w:spacing w:val="-3"/>
          <w:szCs w:val="24"/>
          <w:lang w:val="es-ES" w:eastAsia="es-ES"/>
        </w:rPr>
        <w:t xml:space="preserve"> </w:t>
      </w:r>
      <w:r w:rsidRPr="00F74CEA">
        <w:rPr>
          <w:rFonts w:eastAsia="Times New Roman" w:cs="Arial"/>
          <w:color w:val="000000" w:themeColor="text1"/>
          <w:spacing w:val="-3"/>
          <w:szCs w:val="24"/>
          <w:lang w:val="es-ES" w:eastAsia="es-ES"/>
        </w:rPr>
        <w:t xml:space="preserve">E.S.P. para los gasoductos Buenos Aires - Ibagué, </w:t>
      </w:r>
      <w:proofErr w:type="spellStart"/>
      <w:r w:rsidRPr="00F74CEA">
        <w:rPr>
          <w:rFonts w:eastAsia="Times New Roman" w:cs="Arial"/>
          <w:color w:val="000000" w:themeColor="text1"/>
          <w:spacing w:val="-3"/>
          <w:szCs w:val="24"/>
          <w:lang w:val="es-ES" w:eastAsia="es-ES"/>
        </w:rPr>
        <w:t>Chicoral</w:t>
      </w:r>
      <w:proofErr w:type="spellEnd"/>
      <w:r w:rsidRPr="00F74CEA">
        <w:rPr>
          <w:rFonts w:eastAsia="Times New Roman" w:cs="Arial"/>
          <w:color w:val="000000" w:themeColor="text1"/>
          <w:spacing w:val="-3"/>
          <w:szCs w:val="24"/>
          <w:lang w:val="es-ES" w:eastAsia="es-ES"/>
        </w:rPr>
        <w:t xml:space="preserve"> - Espinal - Flandes y Neiva -</w:t>
      </w:r>
      <w:r>
        <w:rPr>
          <w:rFonts w:eastAsia="Times New Roman" w:cs="Arial"/>
          <w:color w:val="000000" w:themeColor="text1"/>
          <w:spacing w:val="-3"/>
          <w:szCs w:val="24"/>
          <w:lang w:val="es-ES" w:eastAsia="es-ES"/>
        </w:rPr>
        <w:t xml:space="preserve"> </w:t>
      </w:r>
      <w:r w:rsidRPr="00F74CEA">
        <w:rPr>
          <w:rFonts w:eastAsia="Times New Roman" w:cs="Arial"/>
          <w:color w:val="000000" w:themeColor="text1"/>
          <w:spacing w:val="-3"/>
          <w:szCs w:val="24"/>
          <w:lang w:val="es-ES" w:eastAsia="es-ES"/>
        </w:rPr>
        <w:t>Hobo.</w:t>
      </w:r>
    </w:p>
    <w:p w14:paraId="5ED58148" w14:textId="77777777" w:rsidR="004D371C" w:rsidRPr="00D62598" w:rsidRDefault="004D371C" w:rsidP="00D60139">
      <w:pPr>
        <w:spacing w:after="0"/>
        <w:jc w:val="both"/>
        <w:rPr>
          <w:rFonts w:eastAsia="Times New Roman" w:cs="Arial"/>
          <w:color w:val="000000" w:themeColor="text1"/>
          <w:spacing w:val="-3"/>
          <w:szCs w:val="24"/>
          <w:lang w:val="es-ES" w:eastAsia="es-ES"/>
        </w:rPr>
      </w:pPr>
    </w:p>
    <w:p w14:paraId="5C9836E5" w14:textId="75C3ECFC" w:rsidR="00722FB6" w:rsidRPr="00D62598" w:rsidRDefault="004752B3" w:rsidP="00D60139">
      <w:pPr>
        <w:spacing w:after="0"/>
        <w:jc w:val="both"/>
        <w:rPr>
          <w:rFonts w:eastAsia="Times New Roman" w:cs="Arial"/>
          <w:color w:val="000000" w:themeColor="text1"/>
          <w:spacing w:val="-3"/>
          <w:szCs w:val="24"/>
          <w:lang w:val="es-ES" w:eastAsia="es-ES"/>
        </w:rPr>
      </w:pPr>
      <w:r w:rsidRPr="00D62598">
        <w:rPr>
          <w:rFonts w:eastAsia="Times New Roman" w:cs="Arial"/>
          <w:color w:val="000000" w:themeColor="text1"/>
          <w:spacing w:val="-3"/>
          <w:szCs w:val="24"/>
          <w:lang w:val="es-ES" w:eastAsia="es-ES"/>
        </w:rPr>
        <w:t xml:space="preserve">El ajuste en los cargos regulados </w:t>
      </w:r>
      <w:r w:rsidR="00280811">
        <w:rPr>
          <w:rFonts w:eastAsia="Times New Roman" w:cs="Arial"/>
          <w:color w:val="000000" w:themeColor="text1"/>
          <w:spacing w:val="-3"/>
          <w:szCs w:val="24"/>
          <w:lang w:val="es-ES" w:eastAsia="es-ES"/>
        </w:rPr>
        <w:t xml:space="preserve">de </w:t>
      </w:r>
      <w:r w:rsidR="00F161EA" w:rsidRPr="00D62598">
        <w:rPr>
          <w:rFonts w:eastAsia="Times New Roman" w:cs="Arial"/>
          <w:color w:val="000000" w:themeColor="text1"/>
          <w:spacing w:val="-3"/>
          <w:szCs w:val="24"/>
          <w:lang w:val="es-ES" w:eastAsia="es-ES"/>
        </w:rPr>
        <w:t xml:space="preserve">los gasoductos </w:t>
      </w:r>
      <w:proofErr w:type="spellStart"/>
      <w:r w:rsidR="00F161EA" w:rsidRPr="00D62598">
        <w:rPr>
          <w:rFonts w:eastAsia="Times New Roman" w:cs="Arial"/>
          <w:color w:val="000000" w:themeColor="text1"/>
          <w:spacing w:val="-3"/>
          <w:szCs w:val="24"/>
          <w:lang w:val="es-ES" w:eastAsia="es-ES"/>
        </w:rPr>
        <w:t>Chicoral</w:t>
      </w:r>
      <w:proofErr w:type="spellEnd"/>
      <w:r w:rsidR="00F161EA" w:rsidRPr="00D62598">
        <w:rPr>
          <w:rFonts w:eastAsia="Times New Roman" w:cs="Arial"/>
          <w:color w:val="000000" w:themeColor="text1"/>
          <w:spacing w:val="-3"/>
          <w:szCs w:val="24"/>
          <w:lang w:val="es-ES" w:eastAsia="es-ES"/>
        </w:rPr>
        <w:t xml:space="preserve"> - Flandes, Buenos Aires </w:t>
      </w:r>
      <w:r w:rsidR="00F55760" w:rsidRPr="00D62598">
        <w:rPr>
          <w:rFonts w:eastAsia="Times New Roman" w:cs="Arial"/>
          <w:color w:val="000000" w:themeColor="text1"/>
          <w:spacing w:val="-3"/>
          <w:szCs w:val="24"/>
          <w:lang w:val="es-ES" w:eastAsia="es-ES"/>
        </w:rPr>
        <w:t>-</w:t>
      </w:r>
      <w:r w:rsidR="00F161EA" w:rsidRPr="00D62598">
        <w:rPr>
          <w:rFonts w:eastAsia="Times New Roman" w:cs="Arial"/>
          <w:color w:val="000000" w:themeColor="text1"/>
          <w:spacing w:val="-3"/>
          <w:szCs w:val="24"/>
          <w:lang w:val="es-ES" w:eastAsia="es-ES"/>
        </w:rPr>
        <w:t xml:space="preserve"> Ibagué y Neiva - Hobo pertenecientes al sistema de transporte de PROGASUR S.A. E.S.P</w:t>
      </w:r>
      <w:r w:rsidR="002670F5" w:rsidRPr="00D62598">
        <w:rPr>
          <w:rFonts w:eastAsia="Times New Roman" w:cs="Arial"/>
          <w:color w:val="000000" w:themeColor="text1"/>
          <w:spacing w:val="-3"/>
          <w:szCs w:val="24"/>
          <w:lang w:val="es-ES" w:eastAsia="es-ES"/>
        </w:rPr>
        <w:t xml:space="preserve">, en </w:t>
      </w:r>
      <w:r w:rsidRPr="00D62598">
        <w:rPr>
          <w:rFonts w:eastAsia="Times New Roman" w:cs="Arial"/>
          <w:color w:val="000000" w:themeColor="text1"/>
          <w:spacing w:val="-3"/>
          <w:szCs w:val="24"/>
          <w:lang w:val="es-ES" w:eastAsia="es-ES"/>
        </w:rPr>
        <w:t>aplicación del artículo 14 de la Resolución CREG 126 de 2010</w:t>
      </w:r>
      <w:r w:rsidR="001E4088">
        <w:rPr>
          <w:rFonts w:eastAsia="Times New Roman" w:cs="Arial"/>
          <w:color w:val="000000" w:themeColor="text1"/>
          <w:spacing w:val="-3"/>
          <w:szCs w:val="24"/>
          <w:lang w:val="es-ES" w:eastAsia="es-ES"/>
        </w:rPr>
        <w:t>,</w:t>
      </w:r>
      <w:r w:rsidRPr="00D62598">
        <w:rPr>
          <w:rFonts w:eastAsia="Times New Roman" w:cs="Arial"/>
          <w:color w:val="000000" w:themeColor="text1"/>
          <w:spacing w:val="-3"/>
          <w:szCs w:val="24"/>
          <w:lang w:val="es-ES" w:eastAsia="es-ES"/>
        </w:rPr>
        <w:t xml:space="preserve"> consiste en ajustar exclusivamente los valores de las inversiones reconocidos en la base tarifaria, así: </w:t>
      </w:r>
    </w:p>
    <w:p w14:paraId="2FD777E6" w14:textId="77777777" w:rsidR="009111AE" w:rsidRDefault="009111AE" w:rsidP="00D60139">
      <w:pPr>
        <w:spacing w:after="0"/>
        <w:jc w:val="both"/>
        <w:rPr>
          <w:rFonts w:eastAsia="Times New Roman" w:cs="Arial"/>
          <w:color w:val="000000" w:themeColor="text1"/>
          <w:spacing w:val="-3"/>
          <w:szCs w:val="24"/>
          <w:highlight w:val="yellow"/>
          <w:lang w:val="es-ES" w:eastAsia="es-ES"/>
        </w:rPr>
      </w:pPr>
    </w:p>
    <w:p w14:paraId="31631EB7" w14:textId="0EC12F1C" w:rsidR="00535B97" w:rsidRPr="00770AC9" w:rsidRDefault="00722FB6" w:rsidP="007C6809">
      <w:pPr>
        <w:pStyle w:val="Prrafodelista"/>
        <w:numPr>
          <w:ilvl w:val="0"/>
          <w:numId w:val="11"/>
        </w:numPr>
        <w:spacing w:after="0"/>
        <w:jc w:val="both"/>
        <w:rPr>
          <w:rFonts w:eastAsia="Times New Roman" w:cs="Arial"/>
          <w:color w:val="000000" w:themeColor="text1"/>
          <w:spacing w:val="-3"/>
          <w:szCs w:val="24"/>
          <w:lang w:val="es-ES" w:eastAsia="es-ES"/>
        </w:rPr>
      </w:pPr>
      <w:r w:rsidRPr="00770AC9">
        <w:rPr>
          <w:rFonts w:eastAsia="Times New Roman" w:cs="Arial"/>
          <w:color w:val="000000" w:themeColor="text1"/>
          <w:spacing w:val="-3"/>
          <w:szCs w:val="24"/>
          <w:lang w:val="es-ES" w:eastAsia="es-ES"/>
        </w:rPr>
        <w:t>R</w:t>
      </w:r>
      <w:r w:rsidR="004752B3" w:rsidRPr="00770AC9">
        <w:rPr>
          <w:rFonts w:eastAsia="Times New Roman" w:cs="Arial"/>
          <w:color w:val="000000" w:themeColor="text1"/>
          <w:spacing w:val="-3"/>
          <w:szCs w:val="24"/>
          <w:lang w:val="es-ES" w:eastAsia="es-ES"/>
        </w:rPr>
        <w:t xml:space="preserve">etirar los valores a que hace referencia el </w:t>
      </w:r>
      <w:r w:rsidR="00211126">
        <w:rPr>
          <w:rFonts w:eastAsia="Times New Roman" w:cs="Arial"/>
          <w:color w:val="000000" w:themeColor="text1"/>
          <w:spacing w:val="-3"/>
          <w:szCs w:val="24"/>
          <w:lang w:val="es-ES" w:eastAsia="es-ES"/>
        </w:rPr>
        <w:t>a</w:t>
      </w:r>
      <w:r w:rsidR="004752B3" w:rsidRPr="00770AC9">
        <w:rPr>
          <w:rFonts w:eastAsia="Times New Roman" w:cs="Arial"/>
          <w:color w:val="000000" w:themeColor="text1"/>
          <w:spacing w:val="-3"/>
          <w:szCs w:val="24"/>
          <w:lang w:val="es-ES" w:eastAsia="es-ES"/>
        </w:rPr>
        <w:t xml:space="preserve">nexo </w:t>
      </w:r>
      <w:r w:rsidR="009111AE" w:rsidRPr="00770AC9">
        <w:rPr>
          <w:rFonts w:eastAsia="Times New Roman" w:cs="Arial"/>
          <w:color w:val="000000" w:themeColor="text1"/>
          <w:spacing w:val="-3"/>
          <w:szCs w:val="24"/>
          <w:lang w:val="es-ES" w:eastAsia="es-ES"/>
        </w:rPr>
        <w:t>2</w:t>
      </w:r>
      <w:r w:rsidR="004752B3" w:rsidRPr="00770AC9">
        <w:rPr>
          <w:rFonts w:eastAsia="Times New Roman" w:cs="Arial"/>
          <w:color w:val="000000" w:themeColor="text1"/>
          <w:spacing w:val="-3"/>
          <w:szCs w:val="24"/>
          <w:lang w:val="es-ES" w:eastAsia="es-ES"/>
        </w:rPr>
        <w:t xml:space="preserve"> de la Resolución CREG </w:t>
      </w:r>
      <w:r w:rsidR="003C6546" w:rsidRPr="00770AC9">
        <w:rPr>
          <w:rFonts w:eastAsia="Times New Roman" w:cs="Arial"/>
          <w:color w:val="000000" w:themeColor="text1"/>
          <w:spacing w:val="-3"/>
          <w:szCs w:val="24"/>
          <w:lang w:val="es-ES" w:eastAsia="es-ES"/>
        </w:rPr>
        <w:t>09</w:t>
      </w:r>
      <w:r w:rsidR="009111AE" w:rsidRPr="00770AC9">
        <w:rPr>
          <w:rFonts w:eastAsia="Times New Roman" w:cs="Arial"/>
          <w:color w:val="000000" w:themeColor="text1"/>
          <w:spacing w:val="-3"/>
          <w:szCs w:val="24"/>
          <w:lang w:val="es-ES" w:eastAsia="es-ES"/>
        </w:rPr>
        <w:t>6</w:t>
      </w:r>
      <w:r w:rsidR="004752B3" w:rsidRPr="00770AC9">
        <w:rPr>
          <w:rFonts w:eastAsia="Times New Roman" w:cs="Arial"/>
          <w:color w:val="000000" w:themeColor="text1"/>
          <w:spacing w:val="-3"/>
          <w:szCs w:val="24"/>
          <w:lang w:val="es-ES" w:eastAsia="es-ES"/>
        </w:rPr>
        <w:t xml:space="preserve"> de 2021</w:t>
      </w:r>
      <w:r w:rsidR="008B4F79" w:rsidRPr="00770AC9">
        <w:rPr>
          <w:rFonts w:eastAsia="Times New Roman" w:cs="Arial"/>
          <w:color w:val="000000" w:themeColor="text1"/>
          <w:spacing w:val="-3"/>
          <w:szCs w:val="24"/>
          <w:lang w:val="es-ES" w:eastAsia="es-ES"/>
        </w:rPr>
        <w:t xml:space="preserve">, para los gasoductos Buenos Aires </w:t>
      </w:r>
      <w:r w:rsidR="00F55760" w:rsidRPr="00770AC9">
        <w:rPr>
          <w:rFonts w:eastAsia="Times New Roman" w:cs="Arial"/>
          <w:color w:val="000000" w:themeColor="text1"/>
          <w:spacing w:val="-3"/>
          <w:szCs w:val="24"/>
          <w:lang w:val="es-ES" w:eastAsia="es-ES"/>
        </w:rPr>
        <w:t>-</w:t>
      </w:r>
      <w:r w:rsidR="008B4F79" w:rsidRPr="00770AC9">
        <w:rPr>
          <w:rFonts w:eastAsia="Times New Roman" w:cs="Arial"/>
          <w:color w:val="000000" w:themeColor="text1"/>
          <w:spacing w:val="-3"/>
          <w:szCs w:val="24"/>
          <w:lang w:val="es-ES" w:eastAsia="es-ES"/>
        </w:rPr>
        <w:t xml:space="preserve"> Ibagué y Neiva - Hobo</w:t>
      </w:r>
      <w:r w:rsidR="009111AE" w:rsidRPr="00770AC9">
        <w:rPr>
          <w:rFonts w:eastAsia="Times New Roman" w:cs="Arial"/>
          <w:color w:val="000000" w:themeColor="text1"/>
          <w:spacing w:val="-3"/>
          <w:szCs w:val="24"/>
          <w:lang w:val="es-ES" w:eastAsia="es-ES"/>
        </w:rPr>
        <w:t>.</w:t>
      </w:r>
    </w:p>
    <w:p w14:paraId="10260CDB" w14:textId="77777777" w:rsidR="00660565" w:rsidRPr="00770AC9" w:rsidRDefault="00660565" w:rsidP="00660565">
      <w:pPr>
        <w:pStyle w:val="Prrafodelista"/>
        <w:spacing w:after="0"/>
        <w:jc w:val="both"/>
        <w:rPr>
          <w:rFonts w:eastAsia="Times New Roman" w:cs="Arial"/>
          <w:color w:val="000000" w:themeColor="text1"/>
          <w:spacing w:val="-3"/>
          <w:szCs w:val="24"/>
          <w:lang w:val="es-ES" w:eastAsia="es-ES"/>
        </w:rPr>
      </w:pPr>
    </w:p>
    <w:p w14:paraId="6D513506" w14:textId="3C4E16F3" w:rsidR="000D5CA0" w:rsidRPr="00770AC9" w:rsidRDefault="00660565" w:rsidP="00C642DF">
      <w:pPr>
        <w:pStyle w:val="Prrafodelista"/>
        <w:numPr>
          <w:ilvl w:val="0"/>
          <w:numId w:val="11"/>
        </w:numPr>
        <w:spacing w:after="0"/>
        <w:jc w:val="both"/>
        <w:rPr>
          <w:rFonts w:eastAsia="Times New Roman" w:cs="Arial"/>
          <w:color w:val="000000" w:themeColor="text1"/>
          <w:spacing w:val="-3"/>
          <w:szCs w:val="24"/>
          <w:lang w:val="es-ES" w:eastAsia="es-ES"/>
        </w:rPr>
      </w:pPr>
      <w:r w:rsidRPr="00770AC9">
        <w:rPr>
          <w:rFonts w:eastAsia="Times New Roman" w:cs="Arial"/>
          <w:color w:val="000000" w:themeColor="text1"/>
          <w:spacing w:val="-3"/>
          <w:szCs w:val="24"/>
          <w:lang w:val="es-ES" w:eastAsia="es-ES"/>
        </w:rPr>
        <w:t xml:space="preserve">Retirar el valor a que hace referencia el </w:t>
      </w:r>
      <w:r w:rsidR="00211126">
        <w:rPr>
          <w:rFonts w:eastAsia="Times New Roman" w:cs="Arial"/>
          <w:color w:val="000000" w:themeColor="text1"/>
          <w:spacing w:val="-3"/>
          <w:szCs w:val="24"/>
          <w:lang w:val="es-ES" w:eastAsia="es-ES"/>
        </w:rPr>
        <w:t>a</w:t>
      </w:r>
      <w:r w:rsidRPr="00770AC9">
        <w:rPr>
          <w:rFonts w:eastAsia="Times New Roman" w:cs="Arial"/>
          <w:color w:val="000000" w:themeColor="text1"/>
          <w:spacing w:val="-3"/>
          <w:szCs w:val="24"/>
          <w:lang w:val="es-ES" w:eastAsia="es-ES"/>
        </w:rPr>
        <w:t xml:space="preserve">nexo 2 de la Resolución CREG </w:t>
      </w:r>
      <w:r w:rsidR="008B4F79" w:rsidRPr="00770AC9">
        <w:rPr>
          <w:rFonts w:eastAsia="Times New Roman" w:cs="Arial"/>
          <w:color w:val="000000" w:themeColor="text1"/>
          <w:spacing w:val="-3"/>
          <w:szCs w:val="24"/>
          <w:lang w:val="es-ES" w:eastAsia="es-ES"/>
        </w:rPr>
        <w:t>50</w:t>
      </w:r>
      <w:r w:rsidR="00935F07" w:rsidRPr="00770AC9">
        <w:rPr>
          <w:rFonts w:eastAsia="Times New Roman" w:cs="Arial"/>
          <w:color w:val="000000" w:themeColor="text1"/>
          <w:spacing w:val="-3"/>
          <w:szCs w:val="24"/>
          <w:lang w:val="es-ES" w:eastAsia="es-ES"/>
        </w:rPr>
        <w:t>2</w:t>
      </w:r>
      <w:r w:rsidR="008B4F79" w:rsidRPr="00770AC9">
        <w:rPr>
          <w:rFonts w:eastAsia="Times New Roman" w:cs="Arial"/>
          <w:color w:val="000000" w:themeColor="text1"/>
          <w:spacing w:val="-3"/>
          <w:szCs w:val="24"/>
          <w:lang w:val="es-ES" w:eastAsia="es-ES"/>
        </w:rPr>
        <w:t xml:space="preserve">-001 de 2022, para el gasoducto </w:t>
      </w:r>
      <w:proofErr w:type="spellStart"/>
      <w:r w:rsidR="008B4F79" w:rsidRPr="00770AC9">
        <w:rPr>
          <w:rFonts w:eastAsia="Times New Roman" w:cs="Arial"/>
          <w:color w:val="000000" w:themeColor="text1"/>
          <w:spacing w:val="-3"/>
          <w:szCs w:val="24"/>
          <w:lang w:val="es-ES" w:eastAsia="es-ES"/>
        </w:rPr>
        <w:t>Chicoral</w:t>
      </w:r>
      <w:proofErr w:type="spellEnd"/>
      <w:r w:rsidR="008B4F79" w:rsidRPr="00770AC9">
        <w:rPr>
          <w:rFonts w:eastAsia="Times New Roman" w:cs="Arial"/>
          <w:color w:val="000000" w:themeColor="text1"/>
          <w:spacing w:val="-3"/>
          <w:szCs w:val="24"/>
          <w:lang w:val="es-ES" w:eastAsia="es-ES"/>
        </w:rPr>
        <w:t xml:space="preserve"> - Espinal - Flandes</w:t>
      </w:r>
      <w:r w:rsidRPr="00770AC9">
        <w:rPr>
          <w:rFonts w:eastAsia="Times New Roman" w:cs="Arial"/>
          <w:color w:val="000000" w:themeColor="text1"/>
          <w:spacing w:val="-3"/>
          <w:szCs w:val="24"/>
          <w:lang w:val="es-ES" w:eastAsia="es-ES"/>
        </w:rPr>
        <w:t>.</w:t>
      </w:r>
      <w:r w:rsidR="000D5CA0" w:rsidRPr="00770AC9">
        <w:rPr>
          <w:rFonts w:eastAsia="Times New Roman" w:cs="Arial"/>
          <w:color w:val="000000" w:themeColor="text1"/>
          <w:spacing w:val="-3"/>
          <w:szCs w:val="24"/>
          <w:lang w:val="es-ES" w:eastAsia="es-ES"/>
        </w:rPr>
        <w:t xml:space="preserve"> </w:t>
      </w:r>
    </w:p>
    <w:p w14:paraId="5F6C2116" w14:textId="77777777" w:rsidR="000D5CA0" w:rsidRPr="00770AC9" w:rsidRDefault="000D5CA0" w:rsidP="000D5CA0">
      <w:pPr>
        <w:pStyle w:val="Prrafodelista"/>
        <w:rPr>
          <w:rFonts w:eastAsia="Times New Roman" w:cs="Arial"/>
          <w:color w:val="000000" w:themeColor="text1"/>
          <w:spacing w:val="-3"/>
          <w:szCs w:val="24"/>
          <w:lang w:val="es-ES" w:eastAsia="es-ES"/>
        </w:rPr>
      </w:pPr>
    </w:p>
    <w:p w14:paraId="4E5574B5" w14:textId="57183EDC" w:rsidR="004D371C" w:rsidRPr="00770AC9" w:rsidRDefault="000D5CA0" w:rsidP="00C642DF">
      <w:pPr>
        <w:pStyle w:val="Prrafodelista"/>
        <w:numPr>
          <w:ilvl w:val="0"/>
          <w:numId w:val="11"/>
        </w:numPr>
        <w:spacing w:after="0"/>
        <w:jc w:val="both"/>
        <w:rPr>
          <w:rFonts w:eastAsia="Times New Roman" w:cs="Arial"/>
          <w:color w:val="000000" w:themeColor="text1"/>
          <w:spacing w:val="-3"/>
          <w:szCs w:val="24"/>
          <w:lang w:val="es-ES" w:eastAsia="es-ES"/>
        </w:rPr>
      </w:pPr>
      <w:r w:rsidRPr="00770AC9">
        <w:rPr>
          <w:rFonts w:eastAsia="Times New Roman" w:cs="Arial"/>
          <w:color w:val="000000" w:themeColor="text1"/>
          <w:spacing w:val="-3"/>
          <w:szCs w:val="24"/>
          <w:lang w:val="es-ES" w:eastAsia="es-ES"/>
        </w:rPr>
        <w:t>I</w:t>
      </w:r>
      <w:r w:rsidR="004752B3" w:rsidRPr="00770AC9">
        <w:rPr>
          <w:rFonts w:eastAsia="Times New Roman" w:cs="Arial"/>
          <w:color w:val="000000" w:themeColor="text1"/>
          <w:spacing w:val="-3"/>
          <w:szCs w:val="24"/>
          <w:lang w:val="es-ES" w:eastAsia="es-ES"/>
        </w:rPr>
        <w:t xml:space="preserve">ncorporar el valor VAO que se aprobó mediante el artículo </w:t>
      </w:r>
      <w:r w:rsidR="0041617F" w:rsidRPr="00770AC9">
        <w:rPr>
          <w:rFonts w:eastAsia="Times New Roman" w:cs="Arial"/>
          <w:color w:val="000000" w:themeColor="text1"/>
          <w:spacing w:val="-3"/>
          <w:szCs w:val="24"/>
          <w:lang w:val="es-ES" w:eastAsia="es-ES"/>
        </w:rPr>
        <w:t>2</w:t>
      </w:r>
      <w:r w:rsidR="004752B3" w:rsidRPr="00770AC9">
        <w:rPr>
          <w:rFonts w:eastAsia="Times New Roman" w:cs="Arial"/>
          <w:color w:val="000000" w:themeColor="text1"/>
          <w:spacing w:val="-3"/>
          <w:szCs w:val="24"/>
          <w:lang w:val="es-ES" w:eastAsia="es-ES"/>
        </w:rPr>
        <w:t xml:space="preserve"> de la Resolución CREG </w:t>
      </w:r>
      <w:r w:rsidR="005256DB" w:rsidRPr="00770AC9">
        <w:rPr>
          <w:rFonts w:eastAsia="Times New Roman" w:cs="Arial"/>
          <w:color w:val="000000" w:themeColor="text1"/>
          <w:spacing w:val="-3"/>
          <w:szCs w:val="24"/>
          <w:lang w:val="es-ES" w:eastAsia="es-ES"/>
        </w:rPr>
        <w:t>09</w:t>
      </w:r>
      <w:r w:rsidRPr="00770AC9">
        <w:rPr>
          <w:rFonts w:eastAsia="Times New Roman" w:cs="Arial"/>
          <w:color w:val="000000" w:themeColor="text1"/>
          <w:spacing w:val="-3"/>
          <w:szCs w:val="24"/>
          <w:lang w:val="es-ES" w:eastAsia="es-ES"/>
        </w:rPr>
        <w:t>6</w:t>
      </w:r>
      <w:r w:rsidR="004752B3" w:rsidRPr="00770AC9">
        <w:rPr>
          <w:rFonts w:eastAsia="Times New Roman" w:cs="Arial"/>
          <w:color w:val="000000" w:themeColor="text1"/>
          <w:spacing w:val="-3"/>
          <w:szCs w:val="24"/>
          <w:lang w:val="es-ES" w:eastAsia="es-ES"/>
        </w:rPr>
        <w:t xml:space="preserve"> de 2021</w:t>
      </w:r>
      <w:r w:rsidRPr="00770AC9">
        <w:rPr>
          <w:rFonts w:eastAsia="Times New Roman" w:cs="Arial"/>
          <w:color w:val="000000" w:themeColor="text1"/>
          <w:spacing w:val="-3"/>
          <w:szCs w:val="24"/>
          <w:lang w:val="es-ES" w:eastAsia="es-ES"/>
        </w:rPr>
        <w:t>, para los gasoductos Buenos Aires - Ibagué y Neiva - Hobo</w:t>
      </w:r>
      <w:r w:rsidR="004752B3" w:rsidRPr="00770AC9">
        <w:rPr>
          <w:rFonts w:eastAsia="Times New Roman" w:cs="Arial"/>
          <w:color w:val="000000" w:themeColor="text1"/>
          <w:spacing w:val="-3"/>
          <w:szCs w:val="24"/>
          <w:lang w:val="es-ES" w:eastAsia="es-ES"/>
        </w:rPr>
        <w:t>.</w:t>
      </w:r>
    </w:p>
    <w:p w14:paraId="28F01F17" w14:textId="77777777" w:rsidR="000D5CA0" w:rsidRPr="00770AC9" w:rsidRDefault="000D5CA0" w:rsidP="000D5CA0">
      <w:pPr>
        <w:pStyle w:val="Prrafodelista"/>
        <w:rPr>
          <w:rFonts w:eastAsia="Times New Roman" w:cs="Arial"/>
          <w:color w:val="000000" w:themeColor="text1"/>
          <w:spacing w:val="-3"/>
          <w:szCs w:val="24"/>
          <w:lang w:val="es-ES" w:eastAsia="es-ES"/>
        </w:rPr>
      </w:pPr>
    </w:p>
    <w:p w14:paraId="55D6B525" w14:textId="7715D4D5" w:rsidR="000D5CA0" w:rsidRPr="00770AC9" w:rsidRDefault="00935F07" w:rsidP="00C642DF">
      <w:pPr>
        <w:pStyle w:val="Prrafodelista"/>
        <w:numPr>
          <w:ilvl w:val="0"/>
          <w:numId w:val="11"/>
        </w:numPr>
        <w:spacing w:after="0"/>
        <w:jc w:val="both"/>
        <w:rPr>
          <w:rFonts w:eastAsia="Times New Roman" w:cs="Arial"/>
          <w:color w:val="000000" w:themeColor="text1"/>
          <w:spacing w:val="-3"/>
          <w:szCs w:val="24"/>
          <w:lang w:val="es-ES" w:eastAsia="es-ES"/>
        </w:rPr>
      </w:pPr>
      <w:r w:rsidRPr="00770AC9">
        <w:rPr>
          <w:rFonts w:eastAsia="Times New Roman" w:cs="Arial"/>
          <w:color w:val="000000" w:themeColor="text1"/>
          <w:spacing w:val="-3"/>
          <w:szCs w:val="24"/>
          <w:lang w:val="es-ES" w:eastAsia="es-ES"/>
        </w:rPr>
        <w:t xml:space="preserve">Incorporar el valor VAO que se aprobó mediante el artículo </w:t>
      </w:r>
      <w:r w:rsidR="008F689E" w:rsidRPr="00770AC9">
        <w:rPr>
          <w:rFonts w:eastAsia="Times New Roman" w:cs="Arial"/>
          <w:color w:val="000000" w:themeColor="text1"/>
          <w:spacing w:val="-3"/>
          <w:szCs w:val="24"/>
          <w:lang w:val="es-ES" w:eastAsia="es-ES"/>
        </w:rPr>
        <w:t>1</w:t>
      </w:r>
      <w:r w:rsidRPr="00770AC9">
        <w:rPr>
          <w:rFonts w:eastAsia="Times New Roman" w:cs="Arial"/>
          <w:color w:val="000000" w:themeColor="text1"/>
          <w:spacing w:val="-3"/>
          <w:szCs w:val="24"/>
          <w:lang w:val="es-ES" w:eastAsia="es-ES"/>
        </w:rPr>
        <w:t xml:space="preserve"> de la Resolución CREG</w:t>
      </w:r>
      <w:r w:rsidR="007D76B1" w:rsidRPr="00770AC9">
        <w:rPr>
          <w:rFonts w:eastAsia="Times New Roman" w:cs="Arial"/>
          <w:color w:val="000000" w:themeColor="text1"/>
          <w:spacing w:val="-3"/>
          <w:szCs w:val="24"/>
          <w:lang w:val="es-ES" w:eastAsia="es-ES"/>
        </w:rPr>
        <w:t xml:space="preserve"> 502-001 de 2022, para el gasoducto </w:t>
      </w:r>
      <w:proofErr w:type="spellStart"/>
      <w:r w:rsidR="007D76B1" w:rsidRPr="00770AC9">
        <w:rPr>
          <w:rFonts w:eastAsia="Times New Roman" w:cs="Arial"/>
          <w:color w:val="000000" w:themeColor="text1"/>
          <w:spacing w:val="-3"/>
          <w:szCs w:val="24"/>
          <w:lang w:val="es-ES" w:eastAsia="es-ES"/>
        </w:rPr>
        <w:t>Chicoral</w:t>
      </w:r>
      <w:proofErr w:type="spellEnd"/>
      <w:r w:rsidR="007D76B1" w:rsidRPr="00770AC9">
        <w:rPr>
          <w:rFonts w:eastAsia="Times New Roman" w:cs="Arial"/>
          <w:color w:val="000000" w:themeColor="text1"/>
          <w:spacing w:val="-3"/>
          <w:szCs w:val="24"/>
          <w:lang w:val="es-ES" w:eastAsia="es-ES"/>
        </w:rPr>
        <w:t xml:space="preserve"> - Espinal - Flandes.</w:t>
      </w:r>
    </w:p>
    <w:p w14:paraId="2DFC97E4" w14:textId="77777777" w:rsidR="00535B97" w:rsidRPr="00770AC9" w:rsidRDefault="00535B97" w:rsidP="009111AE">
      <w:pPr>
        <w:pStyle w:val="Prrafodelista"/>
        <w:spacing w:after="0"/>
        <w:jc w:val="both"/>
        <w:rPr>
          <w:rFonts w:eastAsia="Times New Roman" w:cs="Arial"/>
          <w:color w:val="000000" w:themeColor="text1"/>
          <w:spacing w:val="-3"/>
          <w:szCs w:val="24"/>
          <w:lang w:val="es-ES" w:eastAsia="es-ES"/>
        </w:rPr>
      </w:pPr>
    </w:p>
    <w:p w14:paraId="53CC47A6" w14:textId="2AE852CD" w:rsidR="00E505E8" w:rsidRPr="00280811" w:rsidRDefault="00BB6C39" w:rsidP="00BB6C39">
      <w:pPr>
        <w:pStyle w:val="Textoindependiente2"/>
        <w:spacing w:after="0" w:line="240" w:lineRule="auto"/>
        <w:ind w:left="0"/>
        <w:jc w:val="both"/>
        <w:rPr>
          <w:rFonts w:ascii="Bookman Old Style" w:hAnsi="Bookman Old Style"/>
          <w:lang w:val="es-CO"/>
        </w:rPr>
      </w:pPr>
      <w:r w:rsidRPr="00280811">
        <w:rPr>
          <w:rFonts w:ascii="Bookman Old Style" w:hAnsi="Bookman Old Style"/>
          <w:lang w:val="es-CO"/>
        </w:rPr>
        <w:t>Una vez surtido el procedimiento previsto en la Ley 142 de 1994, así como en la metodología de la Resolución CREG 126 de 2010</w:t>
      </w:r>
      <w:r w:rsidR="000647B5" w:rsidRPr="00280811">
        <w:rPr>
          <w:rFonts w:ascii="Bookman Old Style" w:hAnsi="Bookman Old Style"/>
          <w:lang w:val="es-CO"/>
        </w:rPr>
        <w:t xml:space="preserve"> y </w:t>
      </w:r>
      <w:r w:rsidR="003F532C" w:rsidRPr="00280811">
        <w:rPr>
          <w:rFonts w:ascii="Bookman Old Style" w:hAnsi="Bookman Old Style"/>
          <w:lang w:val="es-CO"/>
        </w:rPr>
        <w:t>en el artículo 7 de la Resolución 175 de 2021</w:t>
      </w:r>
      <w:r w:rsidRPr="00280811">
        <w:rPr>
          <w:rFonts w:ascii="Bookman Old Style" w:hAnsi="Bookman Old Style"/>
          <w:lang w:val="es-CO"/>
        </w:rPr>
        <w:t xml:space="preserve">, la Comisión de Regulación de Energía y Gas, en su sesión </w:t>
      </w:r>
      <w:r w:rsidR="00F06C8E" w:rsidRPr="00190E4A">
        <w:rPr>
          <w:rFonts w:ascii="Bookman Old Style" w:hAnsi="Bookman Old Style"/>
          <w:lang w:val="es-CO"/>
        </w:rPr>
        <w:t>1182</w:t>
      </w:r>
      <w:r w:rsidRPr="00190E4A">
        <w:rPr>
          <w:rFonts w:ascii="Bookman Old Style" w:hAnsi="Bookman Old Style"/>
          <w:lang w:val="es-CO"/>
        </w:rPr>
        <w:t xml:space="preserve"> del </w:t>
      </w:r>
      <w:r w:rsidR="00F06C8E" w:rsidRPr="00190E4A">
        <w:rPr>
          <w:rFonts w:ascii="Bookman Old Style" w:hAnsi="Bookman Old Style"/>
          <w:lang w:val="es-CO"/>
        </w:rPr>
        <w:t>15</w:t>
      </w:r>
      <w:r w:rsidRPr="00190E4A">
        <w:rPr>
          <w:rFonts w:ascii="Bookman Old Style" w:hAnsi="Bookman Old Style"/>
          <w:lang w:val="es-CO"/>
        </w:rPr>
        <w:t xml:space="preserve"> de </w:t>
      </w:r>
      <w:r w:rsidR="00F06C8E" w:rsidRPr="00190E4A">
        <w:rPr>
          <w:rFonts w:ascii="Bookman Old Style" w:hAnsi="Bookman Old Style"/>
          <w:lang w:val="es-CO"/>
        </w:rPr>
        <w:t>julio</w:t>
      </w:r>
      <w:r w:rsidRPr="00190E4A">
        <w:rPr>
          <w:rFonts w:ascii="Bookman Old Style" w:hAnsi="Bookman Old Style"/>
          <w:lang w:val="es-CO"/>
        </w:rPr>
        <w:t xml:space="preserve"> de 2022,</w:t>
      </w:r>
      <w:r w:rsidRPr="00280811">
        <w:rPr>
          <w:rFonts w:ascii="Bookman Old Style" w:hAnsi="Bookman Old Style"/>
          <w:lang w:val="es-CO"/>
        </w:rPr>
        <w:t xml:space="preserve"> aprobó la siguiente decisión mediante la cual se ajustan los cargos regulados </w:t>
      </w:r>
      <w:r w:rsidR="00280811" w:rsidRPr="00280811">
        <w:rPr>
          <w:rFonts w:ascii="Bookman Old Style" w:hAnsi="Bookman Old Style"/>
          <w:lang w:val="es-CO"/>
        </w:rPr>
        <w:t xml:space="preserve">de los </w:t>
      </w:r>
      <w:r w:rsidR="00D62598" w:rsidRPr="00280811">
        <w:rPr>
          <w:rFonts w:ascii="Bookman Old Style" w:hAnsi="Bookman Old Style"/>
          <w:lang w:val="es-CO"/>
        </w:rPr>
        <w:t xml:space="preserve">gasoductos </w:t>
      </w:r>
      <w:proofErr w:type="spellStart"/>
      <w:r w:rsidR="00D62598" w:rsidRPr="00280811">
        <w:rPr>
          <w:rFonts w:ascii="Bookman Old Style" w:hAnsi="Bookman Old Style"/>
          <w:lang w:val="es-CO"/>
        </w:rPr>
        <w:t>Chicoral</w:t>
      </w:r>
      <w:proofErr w:type="spellEnd"/>
      <w:r w:rsidR="00D62598" w:rsidRPr="00280811">
        <w:rPr>
          <w:rFonts w:ascii="Bookman Old Style" w:hAnsi="Bookman Old Style"/>
          <w:lang w:val="es-CO"/>
        </w:rPr>
        <w:t xml:space="preserve"> - Flandes, Buenos Aires - Ibagué y Neiva - Hobo </w:t>
      </w:r>
      <w:r w:rsidR="00280811" w:rsidRPr="00280811">
        <w:rPr>
          <w:rFonts w:ascii="Bookman Old Style" w:hAnsi="Bookman Old Style"/>
          <w:lang w:val="es-CO"/>
        </w:rPr>
        <w:t xml:space="preserve">pertenecientes al </w:t>
      </w:r>
      <w:r w:rsidRPr="00280811">
        <w:rPr>
          <w:rFonts w:ascii="Bookman Old Style" w:hAnsi="Bookman Old Style"/>
          <w:lang w:val="es-CO"/>
        </w:rPr>
        <w:t xml:space="preserve">sistema de transporte de </w:t>
      </w:r>
      <w:r w:rsidR="00280811" w:rsidRPr="00280811">
        <w:rPr>
          <w:rFonts w:ascii="Bookman Old Style" w:hAnsi="Bookman Old Style"/>
          <w:lang w:val="es-CO"/>
        </w:rPr>
        <w:t>PROGASUR S.A. E.S.P</w:t>
      </w:r>
      <w:r w:rsidR="00280811">
        <w:rPr>
          <w:rFonts w:ascii="Bookman Old Style" w:hAnsi="Bookman Old Style"/>
          <w:lang w:val="es-CO"/>
        </w:rPr>
        <w:t>,</w:t>
      </w:r>
      <w:r w:rsidR="0041617F" w:rsidRPr="00280811">
        <w:rPr>
          <w:rFonts w:ascii="Bookman Old Style" w:hAnsi="Bookman Old Style"/>
          <w:lang w:val="es-CO"/>
        </w:rPr>
        <w:t xml:space="preserve"> </w:t>
      </w:r>
      <w:r w:rsidRPr="00280811">
        <w:rPr>
          <w:rFonts w:ascii="Bookman Old Style" w:hAnsi="Bookman Old Style"/>
          <w:lang w:val="es-CO"/>
        </w:rPr>
        <w:t xml:space="preserve">de acuerdo con los valores VAO aprobados en </w:t>
      </w:r>
      <w:r w:rsidR="00D15CE9" w:rsidRPr="00280811">
        <w:rPr>
          <w:rFonts w:ascii="Bookman Old Style" w:hAnsi="Bookman Old Style"/>
          <w:lang w:val="es-CO"/>
        </w:rPr>
        <w:t xml:space="preserve">el artículo 2 de </w:t>
      </w:r>
      <w:r w:rsidRPr="00280811">
        <w:rPr>
          <w:rFonts w:ascii="Bookman Old Style" w:hAnsi="Bookman Old Style"/>
          <w:lang w:val="es-CO"/>
        </w:rPr>
        <w:t xml:space="preserve">la Resolución CREG </w:t>
      </w:r>
      <w:r w:rsidR="0041617F" w:rsidRPr="00280811">
        <w:rPr>
          <w:rFonts w:ascii="Bookman Old Style" w:hAnsi="Bookman Old Style"/>
          <w:lang w:val="es-CO"/>
        </w:rPr>
        <w:t>09</w:t>
      </w:r>
      <w:r w:rsidR="00280811" w:rsidRPr="00280811">
        <w:rPr>
          <w:rFonts w:ascii="Bookman Old Style" w:hAnsi="Bookman Old Style"/>
          <w:lang w:val="es-CO"/>
        </w:rPr>
        <w:t>6</w:t>
      </w:r>
      <w:r w:rsidRPr="00280811">
        <w:rPr>
          <w:rFonts w:ascii="Bookman Old Style" w:hAnsi="Bookman Old Style"/>
          <w:lang w:val="es-CO"/>
        </w:rPr>
        <w:t xml:space="preserve"> de 2021</w:t>
      </w:r>
      <w:r w:rsidR="00280811" w:rsidRPr="00280811">
        <w:rPr>
          <w:rFonts w:ascii="Bookman Old Style" w:hAnsi="Bookman Old Style"/>
          <w:lang w:val="es-CO"/>
        </w:rPr>
        <w:t xml:space="preserve"> y el artículo 1 de la Resolución CREG 502-001 de 2022</w:t>
      </w:r>
      <w:r w:rsidRPr="00280811">
        <w:rPr>
          <w:rFonts w:ascii="Bookman Old Style" w:hAnsi="Bookman Old Style"/>
          <w:lang w:val="es-CO"/>
        </w:rPr>
        <w:t>.</w:t>
      </w:r>
    </w:p>
    <w:p w14:paraId="591B3491" w14:textId="03BC718D" w:rsidR="00BB6C39" w:rsidRPr="00202F7E" w:rsidRDefault="00BB6C39" w:rsidP="003B1686">
      <w:pPr>
        <w:pStyle w:val="Textoindependiente2"/>
        <w:spacing w:after="0" w:line="240" w:lineRule="auto"/>
        <w:ind w:left="0" w:right="284"/>
        <w:jc w:val="both"/>
        <w:rPr>
          <w:rFonts w:ascii="Bookman Old Style" w:hAnsi="Bookman Old Style"/>
          <w:lang w:val="es-CO"/>
        </w:rPr>
      </w:pPr>
    </w:p>
    <w:p w14:paraId="2562B76D" w14:textId="1CAD7EE6" w:rsidR="00620335" w:rsidRPr="00202F7E" w:rsidRDefault="00620335" w:rsidP="00993EE7">
      <w:pPr>
        <w:suppressAutoHyphens/>
        <w:jc w:val="center"/>
        <w:rPr>
          <w:b/>
          <w:spacing w:val="-3"/>
          <w:szCs w:val="24"/>
        </w:rPr>
      </w:pPr>
      <w:r w:rsidRPr="00202F7E">
        <w:rPr>
          <w:b/>
          <w:spacing w:val="-3"/>
          <w:szCs w:val="24"/>
        </w:rPr>
        <w:t>R E S U E L V E:</w:t>
      </w:r>
    </w:p>
    <w:p w14:paraId="46EA0C01" w14:textId="77777777" w:rsidR="00A400FA" w:rsidRPr="00225A29" w:rsidRDefault="00A400FA" w:rsidP="00A400FA">
      <w:pPr>
        <w:rPr>
          <w:szCs w:val="24"/>
        </w:rPr>
      </w:pPr>
    </w:p>
    <w:p w14:paraId="11EE892C" w14:textId="7F16B1B9" w:rsidR="003764DC" w:rsidRPr="00225A29" w:rsidRDefault="00A400FA" w:rsidP="00A400FA">
      <w:pPr>
        <w:pStyle w:val="ARTICULOS"/>
      </w:pPr>
      <w:r w:rsidRPr="00225A29">
        <w:rPr>
          <w:b/>
          <w:bCs w:val="0"/>
        </w:rPr>
        <w:t>Objeto.</w:t>
      </w:r>
      <w:r w:rsidRPr="00225A29">
        <w:t xml:space="preserve"> Ajustar los cargos regulados </w:t>
      </w:r>
      <w:r w:rsidR="00C26D34" w:rsidRPr="00225A29">
        <w:t xml:space="preserve">de los gasoductos </w:t>
      </w:r>
      <w:proofErr w:type="spellStart"/>
      <w:r w:rsidR="00C26D34" w:rsidRPr="00225A29">
        <w:t>Chicoral</w:t>
      </w:r>
      <w:proofErr w:type="spellEnd"/>
      <w:r w:rsidR="00C26D34" w:rsidRPr="00225A29">
        <w:t xml:space="preserve"> - Flandes, Buenos Aires - Ibagué y Neiva - Hobo pertenecientes al sistema de transporte de PROGASUR S.A. E.S.P</w:t>
      </w:r>
      <w:r w:rsidR="006365DF">
        <w:rPr>
          <w:lang w:val="es-CO"/>
        </w:rPr>
        <w:t>.,</w:t>
      </w:r>
      <w:r w:rsidR="002A101F" w:rsidRPr="00225A29">
        <w:t xml:space="preserve"> </w:t>
      </w:r>
      <w:r w:rsidRPr="00225A29">
        <w:t xml:space="preserve">incorporando </w:t>
      </w:r>
      <w:r w:rsidR="007A7126" w:rsidRPr="00225A29">
        <w:rPr>
          <w:lang w:val="es-CO"/>
        </w:rPr>
        <w:t>los val</w:t>
      </w:r>
      <w:r w:rsidR="00FA34C2" w:rsidRPr="00225A29">
        <w:rPr>
          <w:lang w:val="es-CO"/>
        </w:rPr>
        <w:t xml:space="preserve">ores </w:t>
      </w:r>
      <w:r w:rsidR="0018547D" w:rsidRPr="00225A29">
        <w:rPr>
          <w:lang w:val="es-CO"/>
        </w:rPr>
        <w:t xml:space="preserve">de </w:t>
      </w:r>
      <w:r w:rsidRPr="00225A29">
        <w:t xml:space="preserve">la variable </w:t>
      </w:r>
      <w:proofErr w:type="spellStart"/>
      <w:r w:rsidRPr="00225A29">
        <w:t>VAOt</w:t>
      </w:r>
      <w:proofErr w:type="spellEnd"/>
      <w:r w:rsidRPr="00225A29">
        <w:t xml:space="preserve"> aprobado</w:t>
      </w:r>
      <w:r w:rsidR="0018547D" w:rsidRPr="00225A29">
        <w:rPr>
          <w:lang w:val="es-CO"/>
        </w:rPr>
        <w:t>s</w:t>
      </w:r>
      <w:r w:rsidRPr="00225A29">
        <w:t xml:space="preserve"> </w:t>
      </w:r>
      <w:r w:rsidR="00225A29" w:rsidRPr="00225A29">
        <w:t>en el artículo 2 de la Resolución CREG 096 de 2021 y el artículo 1 de la Resolución CREG 502-001 de 2022</w:t>
      </w:r>
      <w:r w:rsidRPr="00225A29">
        <w:t>. Lo anterior, en aplicación de lo dispuesto en el artículo 7 de la Resolución CREG 175 de 2021.</w:t>
      </w:r>
    </w:p>
    <w:p w14:paraId="2ACFD13D" w14:textId="77777777" w:rsidR="002A101F" w:rsidRPr="00B772A5" w:rsidRDefault="002A101F" w:rsidP="002A101F">
      <w:pPr>
        <w:pStyle w:val="ARTICULOS"/>
        <w:numPr>
          <w:ilvl w:val="0"/>
          <w:numId w:val="0"/>
        </w:numPr>
        <w:ind w:left="1"/>
        <w:rPr>
          <w:highlight w:val="yellow"/>
        </w:rPr>
      </w:pPr>
    </w:p>
    <w:p w14:paraId="3CFB7FF0" w14:textId="1CB46365" w:rsidR="006A7072" w:rsidRPr="006A7072" w:rsidRDefault="006A7072" w:rsidP="006A7072">
      <w:pPr>
        <w:pStyle w:val="ARTICULOS"/>
      </w:pPr>
      <w:r w:rsidRPr="006A7072">
        <w:t xml:space="preserve">Modificar </w:t>
      </w:r>
      <w:r w:rsidR="00FF5740">
        <w:rPr>
          <w:lang w:val="es-CO"/>
        </w:rPr>
        <w:t>los artículos 2 y 7</w:t>
      </w:r>
      <w:r w:rsidRPr="006A7072">
        <w:t xml:space="preserve"> de la Resolución CREG 11</w:t>
      </w:r>
      <w:r>
        <w:rPr>
          <w:lang w:val="es-CO"/>
        </w:rPr>
        <w:t>2</w:t>
      </w:r>
      <w:r w:rsidRPr="006A7072">
        <w:t xml:space="preserve"> de 2011, así:</w:t>
      </w:r>
    </w:p>
    <w:p w14:paraId="61F665FF" w14:textId="2457A6AB" w:rsidR="006A7072" w:rsidRPr="00A403B2" w:rsidRDefault="006A7072" w:rsidP="006A7072">
      <w:pPr>
        <w:pStyle w:val="ARTICULOS"/>
        <w:numPr>
          <w:ilvl w:val="0"/>
          <w:numId w:val="0"/>
        </w:numPr>
        <w:ind w:left="284"/>
        <w:rPr>
          <w:lang w:val="es-CO"/>
        </w:rPr>
      </w:pPr>
      <w:r w:rsidRPr="00A403B2">
        <w:rPr>
          <w:b/>
          <w:bCs w:val="0"/>
          <w:lang w:val="es-CO"/>
        </w:rPr>
        <w:t xml:space="preserve">“Artículo 2. </w:t>
      </w:r>
      <w:r w:rsidR="003F1A2E" w:rsidRPr="00A403B2">
        <w:rPr>
          <w:b/>
          <w:bCs w:val="0"/>
        </w:rPr>
        <w:t>Inversión Existente para el Gasoducto Neiva – Hobo</w:t>
      </w:r>
      <w:r w:rsidRPr="00A403B2">
        <w:rPr>
          <w:b/>
          <w:bCs w:val="0"/>
        </w:rPr>
        <w:t>.</w:t>
      </w:r>
      <w:r w:rsidR="0073336A" w:rsidRPr="00A403B2">
        <w:t xml:space="preserve"> Como inversión existente, </w:t>
      </w:r>
      <w:proofErr w:type="spellStart"/>
      <w:r w:rsidR="0073336A" w:rsidRPr="00A403B2">
        <w:t>IEt</w:t>
      </w:r>
      <w:proofErr w:type="spellEnd"/>
      <w:r w:rsidR="0073336A" w:rsidRPr="00A403B2">
        <w:t>, se reconocen US</w:t>
      </w:r>
      <w:r w:rsidR="00E2765C" w:rsidRPr="00A403B2">
        <w:rPr>
          <w:lang w:val="es-CO"/>
        </w:rPr>
        <w:t xml:space="preserve"> </w:t>
      </w:r>
      <w:r w:rsidR="0073336A" w:rsidRPr="00A403B2">
        <w:t xml:space="preserve">$ </w:t>
      </w:r>
      <w:r w:rsidR="00E2765C" w:rsidRPr="00A403B2">
        <w:t xml:space="preserve">16.042.905 </w:t>
      </w:r>
      <w:r w:rsidR="0073336A" w:rsidRPr="00A403B2">
        <w:t xml:space="preserve">(dólares de diciembre de 2009) de acuerdo con la desagregación presentada en el Anexo 1 de esta </w:t>
      </w:r>
      <w:r w:rsidR="00004414" w:rsidRPr="00A403B2">
        <w:rPr>
          <w:lang w:val="es-CO"/>
        </w:rPr>
        <w:t>r</w:t>
      </w:r>
      <w:proofErr w:type="spellStart"/>
      <w:r w:rsidR="0073336A" w:rsidRPr="00A403B2">
        <w:t>esolución</w:t>
      </w:r>
      <w:proofErr w:type="spellEnd"/>
      <w:r w:rsidR="00184ADA" w:rsidRPr="00A403B2">
        <w:rPr>
          <w:lang w:val="es-CO"/>
        </w:rPr>
        <w:t xml:space="preserve"> para el gasoducto Neiva - Hobo</w:t>
      </w:r>
      <w:r w:rsidRPr="00A403B2">
        <w:t>.</w:t>
      </w:r>
      <w:r w:rsidRPr="00A403B2">
        <w:rPr>
          <w:lang w:val="es-CO"/>
        </w:rPr>
        <w:t>”</w:t>
      </w:r>
    </w:p>
    <w:p w14:paraId="20D74542" w14:textId="77777777" w:rsidR="00E47D1F" w:rsidRPr="002118C8" w:rsidRDefault="00E47D1F" w:rsidP="006A7072">
      <w:pPr>
        <w:pStyle w:val="ARTICULOS"/>
        <w:numPr>
          <w:ilvl w:val="0"/>
          <w:numId w:val="0"/>
        </w:numPr>
        <w:ind w:left="284"/>
        <w:rPr>
          <w:lang w:val="es-CO"/>
        </w:rPr>
      </w:pPr>
    </w:p>
    <w:p w14:paraId="14FED096" w14:textId="736CB6FA" w:rsidR="00C35BD3" w:rsidRPr="002118C8" w:rsidRDefault="00C35BD3" w:rsidP="00C35BD3">
      <w:pPr>
        <w:ind w:left="284"/>
        <w:jc w:val="both"/>
      </w:pPr>
      <w:r w:rsidRPr="002118C8">
        <w:rPr>
          <w:rFonts w:cs="Arial"/>
          <w:b/>
          <w:spacing w:val="-3"/>
        </w:rPr>
        <w:t>“Artículo 7.</w:t>
      </w:r>
      <w:r w:rsidRPr="002118C8">
        <w:rPr>
          <w:b/>
        </w:rPr>
        <w:t xml:space="preserve"> Cargos Regulados de Referencia para la Remuneración de los Costos de Inversión. </w:t>
      </w:r>
      <w:r w:rsidRPr="002118C8">
        <w:t xml:space="preserve">Para remunerar los costos de inversión para los gasoductos definidos en el artículo 1 de esta </w:t>
      </w:r>
      <w:r w:rsidR="00A97894">
        <w:t>r</w:t>
      </w:r>
      <w:r w:rsidRPr="002118C8">
        <w:t>esolución, de conformidad con lo establecido en la Resolución CREG 126 de 2010, se aprueban las siguientes parejas de cargos regulados:</w:t>
      </w:r>
    </w:p>
    <w:p w14:paraId="176115C4" w14:textId="77777777" w:rsidR="00B81772" w:rsidRPr="002118C8" w:rsidRDefault="00B81772" w:rsidP="00C35BD3">
      <w:pPr>
        <w:ind w:left="284"/>
        <w:jc w:val="both"/>
      </w:pPr>
    </w:p>
    <w:tbl>
      <w:tblPr>
        <w:tblW w:w="8957" w:type="dxa"/>
        <w:tblInd w:w="284" w:type="dxa"/>
        <w:tblCellMar>
          <w:left w:w="70" w:type="dxa"/>
          <w:right w:w="70" w:type="dxa"/>
        </w:tblCellMar>
        <w:tblLook w:val="04A0" w:firstRow="1" w:lastRow="0" w:firstColumn="1" w:lastColumn="0" w:noHBand="0" w:noVBand="1"/>
      </w:tblPr>
      <w:tblGrid>
        <w:gridCol w:w="655"/>
        <w:gridCol w:w="1186"/>
        <w:gridCol w:w="1186"/>
        <w:gridCol w:w="1186"/>
        <w:gridCol w:w="1186"/>
        <w:gridCol w:w="1186"/>
        <w:gridCol w:w="1186"/>
        <w:gridCol w:w="1186"/>
      </w:tblGrid>
      <w:tr w:rsidR="00C21CD0" w:rsidRPr="002118C8" w14:paraId="0C7B666A" w14:textId="77777777" w:rsidTr="00B477D1">
        <w:trPr>
          <w:trHeight w:val="232"/>
        </w:trPr>
        <w:tc>
          <w:tcPr>
            <w:tcW w:w="0" w:type="auto"/>
            <w:tcBorders>
              <w:top w:val="single" w:sz="12" w:space="0" w:color="auto"/>
              <w:left w:val="nil"/>
              <w:bottom w:val="single" w:sz="8" w:space="0" w:color="auto"/>
              <w:right w:val="nil"/>
            </w:tcBorders>
            <w:shd w:val="clear" w:color="auto" w:fill="auto"/>
            <w:vAlign w:val="center"/>
            <w:hideMark/>
          </w:tcPr>
          <w:p w14:paraId="0F71D83A" w14:textId="77777777" w:rsidR="00AD6B7E" w:rsidRPr="002118C8" w:rsidRDefault="00AD6B7E" w:rsidP="00624378">
            <w:pPr>
              <w:spacing w:after="0"/>
              <w:contextualSpacing w:val="0"/>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 [1]</w:t>
            </w:r>
          </w:p>
        </w:tc>
        <w:tc>
          <w:tcPr>
            <w:tcW w:w="0" w:type="auto"/>
            <w:tcBorders>
              <w:top w:val="single" w:sz="12" w:space="0" w:color="auto"/>
              <w:left w:val="nil"/>
              <w:bottom w:val="single" w:sz="8" w:space="0" w:color="auto"/>
              <w:right w:val="nil"/>
            </w:tcBorders>
            <w:shd w:val="clear" w:color="auto" w:fill="auto"/>
            <w:vAlign w:val="center"/>
            <w:hideMark/>
          </w:tcPr>
          <w:p w14:paraId="1D80DA73" w14:textId="77777777" w:rsidR="00AD6B7E" w:rsidRPr="002118C8" w:rsidRDefault="00AD6B7E" w:rsidP="00E95507">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w:t>
            </w:r>
          </w:p>
        </w:tc>
        <w:tc>
          <w:tcPr>
            <w:tcW w:w="0" w:type="auto"/>
            <w:tcBorders>
              <w:top w:val="single" w:sz="12" w:space="0" w:color="auto"/>
              <w:left w:val="nil"/>
              <w:bottom w:val="single" w:sz="8" w:space="0" w:color="auto"/>
              <w:right w:val="nil"/>
            </w:tcBorders>
            <w:shd w:val="clear" w:color="auto" w:fill="auto"/>
            <w:vAlign w:val="center"/>
            <w:hideMark/>
          </w:tcPr>
          <w:p w14:paraId="73493C26" w14:textId="77777777" w:rsidR="00AD6B7E" w:rsidRPr="002118C8" w:rsidRDefault="00AD6B7E" w:rsidP="00E95507">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20</w:t>
            </w:r>
          </w:p>
        </w:tc>
        <w:tc>
          <w:tcPr>
            <w:tcW w:w="0" w:type="auto"/>
            <w:tcBorders>
              <w:top w:val="single" w:sz="12" w:space="0" w:color="auto"/>
              <w:left w:val="nil"/>
              <w:bottom w:val="single" w:sz="8" w:space="0" w:color="auto"/>
              <w:right w:val="nil"/>
            </w:tcBorders>
            <w:shd w:val="clear" w:color="auto" w:fill="auto"/>
            <w:vAlign w:val="center"/>
            <w:hideMark/>
          </w:tcPr>
          <w:p w14:paraId="5B957DDB" w14:textId="77777777" w:rsidR="00AD6B7E" w:rsidRPr="002118C8" w:rsidRDefault="00AD6B7E" w:rsidP="00E95507">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40</w:t>
            </w:r>
          </w:p>
        </w:tc>
        <w:tc>
          <w:tcPr>
            <w:tcW w:w="0" w:type="auto"/>
            <w:tcBorders>
              <w:top w:val="single" w:sz="12" w:space="0" w:color="auto"/>
              <w:left w:val="nil"/>
              <w:bottom w:val="single" w:sz="8" w:space="0" w:color="auto"/>
              <w:right w:val="nil"/>
            </w:tcBorders>
            <w:shd w:val="clear" w:color="auto" w:fill="auto"/>
            <w:vAlign w:val="center"/>
            <w:hideMark/>
          </w:tcPr>
          <w:p w14:paraId="110A24BC" w14:textId="77777777" w:rsidR="00AD6B7E" w:rsidRPr="002118C8" w:rsidRDefault="00AD6B7E" w:rsidP="00E95507">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50</w:t>
            </w:r>
          </w:p>
        </w:tc>
        <w:tc>
          <w:tcPr>
            <w:tcW w:w="0" w:type="auto"/>
            <w:tcBorders>
              <w:top w:val="single" w:sz="12" w:space="0" w:color="auto"/>
              <w:left w:val="nil"/>
              <w:bottom w:val="single" w:sz="8" w:space="0" w:color="auto"/>
              <w:right w:val="nil"/>
            </w:tcBorders>
            <w:shd w:val="clear" w:color="auto" w:fill="auto"/>
            <w:vAlign w:val="center"/>
            <w:hideMark/>
          </w:tcPr>
          <w:p w14:paraId="4D300288" w14:textId="77777777" w:rsidR="00AD6B7E" w:rsidRPr="002118C8" w:rsidRDefault="00AD6B7E" w:rsidP="00E95507">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60</w:t>
            </w:r>
          </w:p>
        </w:tc>
        <w:tc>
          <w:tcPr>
            <w:tcW w:w="0" w:type="auto"/>
            <w:tcBorders>
              <w:top w:val="single" w:sz="12" w:space="0" w:color="auto"/>
              <w:left w:val="nil"/>
              <w:bottom w:val="single" w:sz="8" w:space="0" w:color="auto"/>
              <w:right w:val="nil"/>
            </w:tcBorders>
            <w:shd w:val="clear" w:color="auto" w:fill="auto"/>
            <w:vAlign w:val="center"/>
            <w:hideMark/>
          </w:tcPr>
          <w:p w14:paraId="45DE0B20" w14:textId="77777777" w:rsidR="00AD6B7E" w:rsidRPr="002118C8" w:rsidRDefault="00AD6B7E" w:rsidP="00E95507">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70</w:t>
            </w:r>
          </w:p>
        </w:tc>
        <w:tc>
          <w:tcPr>
            <w:tcW w:w="0" w:type="auto"/>
            <w:tcBorders>
              <w:top w:val="single" w:sz="12" w:space="0" w:color="auto"/>
              <w:left w:val="nil"/>
              <w:bottom w:val="single" w:sz="8" w:space="0" w:color="auto"/>
              <w:right w:val="nil"/>
            </w:tcBorders>
            <w:shd w:val="clear" w:color="auto" w:fill="auto"/>
            <w:vAlign w:val="center"/>
            <w:hideMark/>
          </w:tcPr>
          <w:p w14:paraId="725D9DCB" w14:textId="77777777" w:rsidR="00AD6B7E" w:rsidRPr="002118C8" w:rsidRDefault="00AD6B7E" w:rsidP="00E95507">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80</w:t>
            </w:r>
          </w:p>
        </w:tc>
      </w:tr>
      <w:tr w:rsidR="00AD6B7E" w:rsidRPr="002118C8" w14:paraId="370E67C0" w14:textId="77777777" w:rsidTr="00B477D1">
        <w:trPr>
          <w:trHeight w:val="221"/>
        </w:trPr>
        <w:tc>
          <w:tcPr>
            <w:tcW w:w="0" w:type="auto"/>
            <w:gridSpan w:val="8"/>
            <w:tcBorders>
              <w:top w:val="single" w:sz="8" w:space="0" w:color="auto"/>
              <w:left w:val="nil"/>
              <w:bottom w:val="single" w:sz="8" w:space="0" w:color="auto"/>
              <w:right w:val="nil"/>
            </w:tcBorders>
            <w:shd w:val="clear" w:color="auto" w:fill="auto"/>
            <w:vAlign w:val="center"/>
            <w:hideMark/>
          </w:tcPr>
          <w:p w14:paraId="7514B91C" w14:textId="77777777" w:rsidR="00AD6B7E" w:rsidRPr="002118C8" w:rsidRDefault="00AD6B7E" w:rsidP="00E95507">
            <w:pPr>
              <w:spacing w:after="0"/>
              <w:contextualSpacing w:val="0"/>
              <w:jc w:val="center"/>
              <w:rPr>
                <w:rFonts w:eastAsia="Times New Roman" w:cs="Times New Roman"/>
                <w:b/>
                <w:bCs/>
                <w:color w:val="000000"/>
                <w:sz w:val="20"/>
                <w:szCs w:val="20"/>
                <w:lang w:eastAsia="es-CO"/>
              </w:rPr>
            </w:pPr>
            <w:r w:rsidRPr="002118C8">
              <w:rPr>
                <w:rFonts w:eastAsia="Times New Roman" w:cs="Times New Roman"/>
                <w:b/>
                <w:bCs/>
                <w:color w:val="000000"/>
                <w:sz w:val="20"/>
                <w:szCs w:val="20"/>
                <w:lang w:val="es-ES" w:eastAsia="es-CO"/>
              </w:rPr>
              <w:t>Gasoducto Neiva – Hobo</w:t>
            </w:r>
          </w:p>
        </w:tc>
      </w:tr>
      <w:tr w:rsidR="00C21CD0" w:rsidRPr="002118C8" w14:paraId="067FA0B7" w14:textId="77777777" w:rsidTr="00B477D1">
        <w:trPr>
          <w:trHeight w:val="210"/>
        </w:trPr>
        <w:tc>
          <w:tcPr>
            <w:tcW w:w="0" w:type="auto"/>
            <w:tcBorders>
              <w:top w:val="nil"/>
              <w:left w:val="nil"/>
              <w:right w:val="nil"/>
            </w:tcBorders>
            <w:shd w:val="clear" w:color="auto" w:fill="auto"/>
            <w:vAlign w:val="center"/>
            <w:hideMark/>
          </w:tcPr>
          <w:p w14:paraId="3EAEFEE7"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C.F.</w:t>
            </w:r>
          </w:p>
        </w:tc>
        <w:tc>
          <w:tcPr>
            <w:tcW w:w="0" w:type="auto"/>
            <w:tcBorders>
              <w:top w:val="nil"/>
              <w:left w:val="nil"/>
              <w:right w:val="nil"/>
            </w:tcBorders>
            <w:shd w:val="clear" w:color="auto" w:fill="auto"/>
            <w:vAlign w:val="center"/>
            <w:hideMark/>
          </w:tcPr>
          <w:p w14:paraId="5A75A8B3" w14:textId="23C1D233"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w:t>
            </w:r>
          </w:p>
        </w:tc>
        <w:tc>
          <w:tcPr>
            <w:tcW w:w="0" w:type="auto"/>
            <w:tcBorders>
              <w:top w:val="nil"/>
              <w:left w:val="nil"/>
              <w:right w:val="nil"/>
            </w:tcBorders>
            <w:shd w:val="clear" w:color="auto" w:fill="auto"/>
            <w:vAlign w:val="center"/>
            <w:hideMark/>
          </w:tcPr>
          <w:p w14:paraId="6ED5D17D" w14:textId="51EF188F"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430,131</w:t>
            </w:r>
          </w:p>
        </w:tc>
        <w:tc>
          <w:tcPr>
            <w:tcW w:w="0" w:type="auto"/>
            <w:tcBorders>
              <w:top w:val="nil"/>
              <w:left w:val="nil"/>
              <w:right w:val="nil"/>
            </w:tcBorders>
            <w:shd w:val="clear" w:color="auto" w:fill="auto"/>
            <w:vAlign w:val="center"/>
            <w:hideMark/>
          </w:tcPr>
          <w:p w14:paraId="1BD288EC" w14:textId="4D9AE590"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860,261</w:t>
            </w:r>
          </w:p>
        </w:tc>
        <w:tc>
          <w:tcPr>
            <w:tcW w:w="0" w:type="auto"/>
            <w:tcBorders>
              <w:top w:val="nil"/>
              <w:left w:val="nil"/>
              <w:right w:val="nil"/>
            </w:tcBorders>
            <w:shd w:val="clear" w:color="auto" w:fill="auto"/>
            <w:vAlign w:val="center"/>
            <w:hideMark/>
          </w:tcPr>
          <w:p w14:paraId="76DB7769" w14:textId="3ABF2880"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1.075,326</w:t>
            </w:r>
          </w:p>
        </w:tc>
        <w:tc>
          <w:tcPr>
            <w:tcW w:w="0" w:type="auto"/>
            <w:tcBorders>
              <w:top w:val="nil"/>
              <w:left w:val="nil"/>
              <w:right w:val="nil"/>
            </w:tcBorders>
            <w:shd w:val="clear" w:color="auto" w:fill="auto"/>
            <w:vAlign w:val="center"/>
            <w:hideMark/>
          </w:tcPr>
          <w:p w14:paraId="5C80E164" w14:textId="4E68D85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1.290,392</w:t>
            </w:r>
          </w:p>
        </w:tc>
        <w:tc>
          <w:tcPr>
            <w:tcW w:w="0" w:type="auto"/>
            <w:tcBorders>
              <w:top w:val="nil"/>
              <w:left w:val="nil"/>
              <w:right w:val="nil"/>
            </w:tcBorders>
            <w:shd w:val="clear" w:color="auto" w:fill="auto"/>
            <w:vAlign w:val="center"/>
            <w:hideMark/>
          </w:tcPr>
          <w:p w14:paraId="5753A90C" w14:textId="6A1260D1"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1.505,457</w:t>
            </w:r>
          </w:p>
        </w:tc>
        <w:tc>
          <w:tcPr>
            <w:tcW w:w="0" w:type="auto"/>
            <w:tcBorders>
              <w:top w:val="nil"/>
              <w:left w:val="nil"/>
              <w:right w:val="nil"/>
            </w:tcBorders>
            <w:shd w:val="clear" w:color="auto" w:fill="auto"/>
            <w:vAlign w:val="center"/>
            <w:hideMark/>
          </w:tcPr>
          <w:p w14:paraId="3F890488" w14:textId="07181400"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1.720,522</w:t>
            </w:r>
          </w:p>
        </w:tc>
      </w:tr>
      <w:tr w:rsidR="00C21CD0" w:rsidRPr="002118C8" w14:paraId="7BE85A34" w14:textId="77777777" w:rsidTr="00B477D1">
        <w:trPr>
          <w:trHeight w:val="221"/>
        </w:trPr>
        <w:tc>
          <w:tcPr>
            <w:tcW w:w="0" w:type="auto"/>
            <w:tcBorders>
              <w:top w:val="nil"/>
              <w:left w:val="nil"/>
              <w:bottom w:val="single" w:sz="12" w:space="0" w:color="auto"/>
              <w:right w:val="nil"/>
            </w:tcBorders>
            <w:shd w:val="clear" w:color="auto" w:fill="auto"/>
            <w:vAlign w:val="center"/>
            <w:hideMark/>
          </w:tcPr>
          <w:p w14:paraId="69452EA5"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C.V</w:t>
            </w:r>
          </w:p>
        </w:tc>
        <w:tc>
          <w:tcPr>
            <w:tcW w:w="0" w:type="auto"/>
            <w:tcBorders>
              <w:top w:val="nil"/>
              <w:left w:val="nil"/>
              <w:bottom w:val="single" w:sz="12" w:space="0" w:color="auto"/>
              <w:right w:val="nil"/>
            </w:tcBorders>
            <w:shd w:val="clear" w:color="auto" w:fill="auto"/>
            <w:vAlign w:val="center"/>
            <w:hideMark/>
          </w:tcPr>
          <w:p w14:paraId="1E1B698D" w14:textId="4FEB6D70"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7,403</w:t>
            </w:r>
          </w:p>
        </w:tc>
        <w:tc>
          <w:tcPr>
            <w:tcW w:w="0" w:type="auto"/>
            <w:tcBorders>
              <w:top w:val="nil"/>
              <w:left w:val="nil"/>
              <w:bottom w:val="single" w:sz="12" w:space="0" w:color="auto"/>
              <w:right w:val="nil"/>
            </w:tcBorders>
            <w:shd w:val="clear" w:color="auto" w:fill="auto"/>
            <w:vAlign w:val="center"/>
            <w:hideMark/>
          </w:tcPr>
          <w:p w14:paraId="1CAD187F" w14:textId="3E988C53"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5,923</w:t>
            </w:r>
          </w:p>
        </w:tc>
        <w:tc>
          <w:tcPr>
            <w:tcW w:w="0" w:type="auto"/>
            <w:tcBorders>
              <w:top w:val="nil"/>
              <w:left w:val="nil"/>
              <w:bottom w:val="single" w:sz="12" w:space="0" w:color="auto"/>
              <w:right w:val="nil"/>
            </w:tcBorders>
            <w:shd w:val="clear" w:color="auto" w:fill="auto"/>
            <w:vAlign w:val="center"/>
            <w:hideMark/>
          </w:tcPr>
          <w:p w14:paraId="3791848C" w14:textId="6E88255D"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4,442</w:t>
            </w:r>
          </w:p>
        </w:tc>
        <w:tc>
          <w:tcPr>
            <w:tcW w:w="0" w:type="auto"/>
            <w:tcBorders>
              <w:top w:val="nil"/>
              <w:left w:val="nil"/>
              <w:bottom w:val="single" w:sz="12" w:space="0" w:color="auto"/>
              <w:right w:val="nil"/>
            </w:tcBorders>
            <w:shd w:val="clear" w:color="auto" w:fill="auto"/>
            <w:vAlign w:val="center"/>
            <w:hideMark/>
          </w:tcPr>
          <w:p w14:paraId="6496C27A" w14:textId="59022ECC"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3,702</w:t>
            </w:r>
          </w:p>
        </w:tc>
        <w:tc>
          <w:tcPr>
            <w:tcW w:w="0" w:type="auto"/>
            <w:tcBorders>
              <w:top w:val="nil"/>
              <w:left w:val="nil"/>
              <w:bottom w:val="single" w:sz="12" w:space="0" w:color="auto"/>
              <w:right w:val="nil"/>
            </w:tcBorders>
            <w:shd w:val="clear" w:color="auto" w:fill="auto"/>
            <w:vAlign w:val="center"/>
            <w:hideMark/>
          </w:tcPr>
          <w:p w14:paraId="06AFB770" w14:textId="3CECB44B"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2,961</w:t>
            </w:r>
          </w:p>
        </w:tc>
        <w:tc>
          <w:tcPr>
            <w:tcW w:w="0" w:type="auto"/>
            <w:tcBorders>
              <w:top w:val="nil"/>
              <w:left w:val="nil"/>
              <w:bottom w:val="single" w:sz="12" w:space="0" w:color="auto"/>
              <w:right w:val="nil"/>
            </w:tcBorders>
            <w:shd w:val="clear" w:color="auto" w:fill="auto"/>
            <w:vAlign w:val="center"/>
            <w:hideMark/>
          </w:tcPr>
          <w:p w14:paraId="1E1CF37F" w14:textId="69AA04A5"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2,221</w:t>
            </w:r>
          </w:p>
        </w:tc>
        <w:tc>
          <w:tcPr>
            <w:tcW w:w="0" w:type="auto"/>
            <w:tcBorders>
              <w:top w:val="nil"/>
              <w:left w:val="nil"/>
              <w:bottom w:val="single" w:sz="4" w:space="0" w:color="auto"/>
              <w:right w:val="nil"/>
            </w:tcBorders>
            <w:shd w:val="clear" w:color="auto" w:fill="auto"/>
            <w:vAlign w:val="center"/>
            <w:hideMark/>
          </w:tcPr>
          <w:p w14:paraId="57B5FE44" w14:textId="04F73F9B"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1,481</w:t>
            </w:r>
          </w:p>
        </w:tc>
      </w:tr>
      <w:tr w:rsidR="00324690" w:rsidRPr="002118C8" w14:paraId="3F4D2D14" w14:textId="77777777" w:rsidTr="00B477D1">
        <w:trPr>
          <w:trHeight w:val="232"/>
        </w:trPr>
        <w:tc>
          <w:tcPr>
            <w:tcW w:w="0" w:type="auto"/>
            <w:gridSpan w:val="8"/>
            <w:tcBorders>
              <w:top w:val="single" w:sz="12" w:space="0" w:color="auto"/>
              <w:left w:val="nil"/>
              <w:bottom w:val="nil"/>
              <w:right w:val="nil"/>
            </w:tcBorders>
            <w:shd w:val="clear" w:color="auto" w:fill="auto"/>
            <w:noWrap/>
            <w:vAlign w:val="bottom"/>
            <w:hideMark/>
          </w:tcPr>
          <w:p w14:paraId="6AD66E2A" w14:textId="4599D44C" w:rsidR="00324690" w:rsidRPr="002118C8" w:rsidRDefault="00324690" w:rsidP="00095136">
            <w:pPr>
              <w:spacing w:after="0"/>
              <w:contextualSpacing w:val="0"/>
              <w:rPr>
                <w:rFonts w:eastAsia="Times New Roman" w:cs="Times New Roman"/>
                <w:sz w:val="20"/>
                <w:szCs w:val="20"/>
                <w:lang w:eastAsia="es-CO"/>
              </w:rPr>
            </w:pPr>
            <w:r w:rsidRPr="002118C8">
              <w:rPr>
                <w:rFonts w:eastAsia="Times New Roman" w:cs="Times New Roman"/>
                <w:sz w:val="20"/>
                <w:szCs w:val="20"/>
                <w:lang w:eastAsia="es-CO"/>
              </w:rPr>
              <w:t>Continuación</w:t>
            </w:r>
          </w:p>
        </w:tc>
      </w:tr>
      <w:tr w:rsidR="00C21CD0" w:rsidRPr="002118C8" w14:paraId="231AFFC8" w14:textId="77777777" w:rsidTr="00B477D1">
        <w:trPr>
          <w:trHeight w:val="232"/>
        </w:trPr>
        <w:tc>
          <w:tcPr>
            <w:tcW w:w="0" w:type="auto"/>
            <w:tcBorders>
              <w:top w:val="single" w:sz="12" w:space="0" w:color="auto"/>
              <w:left w:val="nil"/>
              <w:bottom w:val="single" w:sz="8" w:space="0" w:color="auto"/>
              <w:right w:val="nil"/>
            </w:tcBorders>
            <w:shd w:val="clear" w:color="auto" w:fill="auto"/>
            <w:vAlign w:val="center"/>
            <w:hideMark/>
          </w:tcPr>
          <w:p w14:paraId="0EC740CB"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 [1]</w:t>
            </w:r>
          </w:p>
        </w:tc>
        <w:tc>
          <w:tcPr>
            <w:tcW w:w="0" w:type="auto"/>
            <w:tcBorders>
              <w:top w:val="single" w:sz="12" w:space="0" w:color="auto"/>
              <w:left w:val="nil"/>
              <w:bottom w:val="single" w:sz="8" w:space="0" w:color="auto"/>
              <w:right w:val="nil"/>
            </w:tcBorders>
            <w:shd w:val="clear" w:color="auto" w:fill="auto"/>
            <w:vAlign w:val="center"/>
            <w:hideMark/>
          </w:tcPr>
          <w:p w14:paraId="0D0D6E23"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85</w:t>
            </w:r>
          </w:p>
        </w:tc>
        <w:tc>
          <w:tcPr>
            <w:tcW w:w="0" w:type="auto"/>
            <w:tcBorders>
              <w:top w:val="single" w:sz="12" w:space="0" w:color="auto"/>
              <w:left w:val="nil"/>
              <w:bottom w:val="single" w:sz="8" w:space="0" w:color="auto"/>
              <w:right w:val="nil"/>
            </w:tcBorders>
            <w:shd w:val="clear" w:color="auto" w:fill="auto"/>
            <w:vAlign w:val="center"/>
            <w:hideMark/>
          </w:tcPr>
          <w:p w14:paraId="5746E5A4"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90</w:t>
            </w:r>
          </w:p>
        </w:tc>
        <w:tc>
          <w:tcPr>
            <w:tcW w:w="0" w:type="auto"/>
            <w:tcBorders>
              <w:top w:val="single" w:sz="12" w:space="0" w:color="auto"/>
              <w:left w:val="nil"/>
              <w:bottom w:val="single" w:sz="8" w:space="0" w:color="auto"/>
              <w:right w:val="nil"/>
            </w:tcBorders>
            <w:shd w:val="clear" w:color="auto" w:fill="auto"/>
            <w:vAlign w:val="center"/>
            <w:hideMark/>
          </w:tcPr>
          <w:p w14:paraId="55E4B5DE"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92</w:t>
            </w:r>
          </w:p>
        </w:tc>
        <w:tc>
          <w:tcPr>
            <w:tcW w:w="0" w:type="auto"/>
            <w:tcBorders>
              <w:top w:val="single" w:sz="12" w:space="0" w:color="auto"/>
              <w:left w:val="nil"/>
              <w:bottom w:val="single" w:sz="8" w:space="0" w:color="auto"/>
              <w:right w:val="nil"/>
            </w:tcBorders>
            <w:shd w:val="clear" w:color="auto" w:fill="auto"/>
            <w:vAlign w:val="center"/>
            <w:hideMark/>
          </w:tcPr>
          <w:p w14:paraId="4221F810"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94</w:t>
            </w:r>
          </w:p>
        </w:tc>
        <w:tc>
          <w:tcPr>
            <w:tcW w:w="0" w:type="auto"/>
            <w:tcBorders>
              <w:top w:val="single" w:sz="12" w:space="0" w:color="auto"/>
              <w:left w:val="nil"/>
              <w:bottom w:val="single" w:sz="8" w:space="0" w:color="auto"/>
              <w:right w:val="nil"/>
            </w:tcBorders>
            <w:shd w:val="clear" w:color="auto" w:fill="auto"/>
            <w:vAlign w:val="center"/>
            <w:hideMark/>
          </w:tcPr>
          <w:p w14:paraId="2C3665AA"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96</w:t>
            </w:r>
          </w:p>
        </w:tc>
        <w:tc>
          <w:tcPr>
            <w:tcW w:w="0" w:type="auto"/>
            <w:tcBorders>
              <w:top w:val="single" w:sz="12" w:space="0" w:color="auto"/>
              <w:left w:val="nil"/>
              <w:bottom w:val="single" w:sz="8" w:space="0" w:color="auto"/>
              <w:right w:val="nil"/>
            </w:tcBorders>
            <w:shd w:val="clear" w:color="auto" w:fill="auto"/>
            <w:vAlign w:val="center"/>
            <w:hideMark/>
          </w:tcPr>
          <w:p w14:paraId="3DE6FB28"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98</w:t>
            </w:r>
          </w:p>
        </w:tc>
        <w:tc>
          <w:tcPr>
            <w:tcW w:w="0" w:type="auto"/>
            <w:tcBorders>
              <w:top w:val="single" w:sz="12" w:space="0" w:color="auto"/>
              <w:left w:val="nil"/>
              <w:bottom w:val="single" w:sz="8" w:space="0" w:color="auto"/>
              <w:right w:val="nil"/>
            </w:tcBorders>
            <w:shd w:val="clear" w:color="auto" w:fill="auto"/>
            <w:vAlign w:val="center"/>
            <w:hideMark/>
          </w:tcPr>
          <w:p w14:paraId="613E038C"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100</w:t>
            </w:r>
          </w:p>
        </w:tc>
      </w:tr>
      <w:tr w:rsidR="00AD6B7E" w:rsidRPr="002118C8" w14:paraId="113E9E1E" w14:textId="77777777" w:rsidTr="00B477D1">
        <w:trPr>
          <w:trHeight w:val="221"/>
        </w:trPr>
        <w:tc>
          <w:tcPr>
            <w:tcW w:w="0" w:type="auto"/>
            <w:gridSpan w:val="8"/>
            <w:tcBorders>
              <w:top w:val="single" w:sz="8" w:space="0" w:color="auto"/>
              <w:left w:val="nil"/>
              <w:bottom w:val="single" w:sz="8" w:space="0" w:color="auto"/>
              <w:right w:val="nil"/>
            </w:tcBorders>
            <w:shd w:val="clear" w:color="auto" w:fill="auto"/>
            <w:vAlign w:val="center"/>
            <w:hideMark/>
          </w:tcPr>
          <w:p w14:paraId="5DD3610A" w14:textId="77777777" w:rsidR="00AD6B7E" w:rsidRPr="002118C8" w:rsidRDefault="00AD6B7E" w:rsidP="00095136">
            <w:pPr>
              <w:spacing w:after="0"/>
              <w:contextualSpacing w:val="0"/>
              <w:jc w:val="center"/>
              <w:rPr>
                <w:rFonts w:eastAsia="Times New Roman" w:cs="Times New Roman"/>
                <w:b/>
                <w:bCs/>
                <w:color w:val="000000"/>
                <w:sz w:val="20"/>
                <w:szCs w:val="20"/>
                <w:lang w:eastAsia="es-CO"/>
              </w:rPr>
            </w:pPr>
            <w:r w:rsidRPr="002118C8">
              <w:rPr>
                <w:rFonts w:eastAsia="Times New Roman" w:cs="Times New Roman"/>
                <w:b/>
                <w:bCs/>
                <w:color w:val="000000"/>
                <w:sz w:val="20"/>
                <w:szCs w:val="20"/>
                <w:lang w:val="es-ES" w:eastAsia="es-CO"/>
              </w:rPr>
              <w:t>Gasoducto Neiva - Hobo</w:t>
            </w:r>
          </w:p>
        </w:tc>
      </w:tr>
      <w:tr w:rsidR="00C21CD0" w:rsidRPr="002118C8" w14:paraId="4F8C1E40" w14:textId="77777777" w:rsidTr="00B477D1">
        <w:trPr>
          <w:trHeight w:val="210"/>
        </w:trPr>
        <w:tc>
          <w:tcPr>
            <w:tcW w:w="0" w:type="auto"/>
            <w:tcBorders>
              <w:top w:val="nil"/>
              <w:left w:val="nil"/>
              <w:bottom w:val="nil"/>
              <w:right w:val="nil"/>
            </w:tcBorders>
            <w:shd w:val="clear" w:color="auto" w:fill="auto"/>
            <w:vAlign w:val="center"/>
            <w:hideMark/>
          </w:tcPr>
          <w:p w14:paraId="2A44A470" w14:textId="77777777"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C.F.</w:t>
            </w:r>
          </w:p>
        </w:tc>
        <w:tc>
          <w:tcPr>
            <w:tcW w:w="0" w:type="auto"/>
            <w:tcBorders>
              <w:top w:val="nil"/>
              <w:left w:val="nil"/>
              <w:bottom w:val="nil"/>
              <w:right w:val="nil"/>
            </w:tcBorders>
            <w:shd w:val="clear" w:color="auto" w:fill="auto"/>
            <w:vAlign w:val="center"/>
            <w:hideMark/>
          </w:tcPr>
          <w:p w14:paraId="266537BA" w14:textId="3CB34492" w:rsidR="00AD6B7E" w:rsidRPr="002118C8" w:rsidRDefault="00E95507"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1</w:t>
            </w:r>
            <w:r w:rsidR="00AD6B7E" w:rsidRPr="002118C8">
              <w:rPr>
                <w:rFonts w:eastAsia="Times New Roman" w:cs="Times New Roman"/>
                <w:color w:val="000000"/>
                <w:sz w:val="20"/>
                <w:szCs w:val="20"/>
                <w:lang w:eastAsia="es-CO"/>
              </w:rPr>
              <w:t>.828,055</w:t>
            </w:r>
          </w:p>
        </w:tc>
        <w:tc>
          <w:tcPr>
            <w:tcW w:w="0" w:type="auto"/>
            <w:tcBorders>
              <w:top w:val="nil"/>
              <w:left w:val="nil"/>
              <w:bottom w:val="nil"/>
              <w:right w:val="nil"/>
            </w:tcBorders>
            <w:shd w:val="clear" w:color="auto" w:fill="auto"/>
            <w:vAlign w:val="center"/>
            <w:hideMark/>
          </w:tcPr>
          <w:p w14:paraId="1417A8A6" w14:textId="5D92F171"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1.935,587</w:t>
            </w:r>
          </w:p>
        </w:tc>
        <w:tc>
          <w:tcPr>
            <w:tcW w:w="0" w:type="auto"/>
            <w:tcBorders>
              <w:top w:val="nil"/>
              <w:left w:val="nil"/>
              <w:bottom w:val="nil"/>
              <w:right w:val="nil"/>
            </w:tcBorders>
            <w:shd w:val="clear" w:color="auto" w:fill="auto"/>
            <w:vAlign w:val="center"/>
            <w:hideMark/>
          </w:tcPr>
          <w:p w14:paraId="6AADA61E" w14:textId="263603E5"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1.978,600</w:t>
            </w:r>
          </w:p>
        </w:tc>
        <w:tc>
          <w:tcPr>
            <w:tcW w:w="0" w:type="auto"/>
            <w:tcBorders>
              <w:top w:val="nil"/>
              <w:left w:val="nil"/>
              <w:bottom w:val="nil"/>
              <w:right w:val="nil"/>
            </w:tcBorders>
            <w:shd w:val="clear" w:color="auto" w:fill="auto"/>
            <w:vAlign w:val="center"/>
            <w:hideMark/>
          </w:tcPr>
          <w:p w14:paraId="22CAC77C" w14:textId="17941134"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2.021,613</w:t>
            </w:r>
          </w:p>
        </w:tc>
        <w:tc>
          <w:tcPr>
            <w:tcW w:w="0" w:type="auto"/>
            <w:tcBorders>
              <w:top w:val="nil"/>
              <w:left w:val="nil"/>
              <w:bottom w:val="nil"/>
              <w:right w:val="nil"/>
            </w:tcBorders>
            <w:shd w:val="clear" w:color="auto" w:fill="auto"/>
            <w:vAlign w:val="center"/>
            <w:hideMark/>
          </w:tcPr>
          <w:p w14:paraId="585399D1" w14:textId="01AFB410"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2.064,627</w:t>
            </w:r>
          </w:p>
        </w:tc>
        <w:tc>
          <w:tcPr>
            <w:tcW w:w="0" w:type="auto"/>
            <w:tcBorders>
              <w:top w:val="nil"/>
              <w:left w:val="nil"/>
              <w:bottom w:val="nil"/>
              <w:right w:val="nil"/>
            </w:tcBorders>
            <w:shd w:val="clear" w:color="auto" w:fill="auto"/>
            <w:vAlign w:val="center"/>
            <w:hideMark/>
          </w:tcPr>
          <w:p w14:paraId="1A40C27E" w14:textId="0579D21B"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2.107,640</w:t>
            </w:r>
          </w:p>
        </w:tc>
        <w:tc>
          <w:tcPr>
            <w:tcW w:w="0" w:type="auto"/>
            <w:tcBorders>
              <w:top w:val="nil"/>
              <w:left w:val="nil"/>
              <w:bottom w:val="nil"/>
              <w:right w:val="nil"/>
            </w:tcBorders>
            <w:shd w:val="clear" w:color="auto" w:fill="auto"/>
            <w:vAlign w:val="center"/>
            <w:hideMark/>
          </w:tcPr>
          <w:p w14:paraId="41720DE7" w14:textId="58A6F6A3"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2.150,653</w:t>
            </w:r>
          </w:p>
        </w:tc>
      </w:tr>
      <w:tr w:rsidR="00C21CD0" w:rsidRPr="002118C8" w14:paraId="7B86465D" w14:textId="77777777" w:rsidTr="00B477D1">
        <w:trPr>
          <w:trHeight w:val="221"/>
        </w:trPr>
        <w:tc>
          <w:tcPr>
            <w:tcW w:w="0" w:type="auto"/>
            <w:tcBorders>
              <w:top w:val="nil"/>
              <w:left w:val="nil"/>
              <w:bottom w:val="single" w:sz="12" w:space="0" w:color="auto"/>
              <w:right w:val="nil"/>
            </w:tcBorders>
            <w:shd w:val="clear" w:color="auto" w:fill="auto"/>
            <w:vAlign w:val="center"/>
            <w:hideMark/>
          </w:tcPr>
          <w:p w14:paraId="4D715417" w14:textId="6C59201A"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C.V</w:t>
            </w:r>
          </w:p>
        </w:tc>
        <w:tc>
          <w:tcPr>
            <w:tcW w:w="0" w:type="auto"/>
            <w:tcBorders>
              <w:top w:val="nil"/>
              <w:left w:val="nil"/>
              <w:bottom w:val="single" w:sz="12" w:space="0" w:color="auto"/>
              <w:right w:val="nil"/>
            </w:tcBorders>
            <w:shd w:val="clear" w:color="auto" w:fill="auto"/>
            <w:vAlign w:val="center"/>
            <w:hideMark/>
          </w:tcPr>
          <w:p w14:paraId="0FB3E434" w14:textId="6A378BFA"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1,111</w:t>
            </w:r>
          </w:p>
        </w:tc>
        <w:tc>
          <w:tcPr>
            <w:tcW w:w="0" w:type="auto"/>
            <w:tcBorders>
              <w:top w:val="nil"/>
              <w:left w:val="nil"/>
              <w:bottom w:val="single" w:sz="12" w:space="0" w:color="auto"/>
              <w:right w:val="nil"/>
            </w:tcBorders>
            <w:shd w:val="clear" w:color="auto" w:fill="auto"/>
            <w:vAlign w:val="center"/>
            <w:hideMark/>
          </w:tcPr>
          <w:p w14:paraId="03465D4F" w14:textId="159B9D9D"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0,740</w:t>
            </w:r>
          </w:p>
        </w:tc>
        <w:tc>
          <w:tcPr>
            <w:tcW w:w="0" w:type="auto"/>
            <w:tcBorders>
              <w:top w:val="nil"/>
              <w:left w:val="nil"/>
              <w:bottom w:val="single" w:sz="12" w:space="0" w:color="auto"/>
              <w:right w:val="nil"/>
            </w:tcBorders>
            <w:shd w:val="clear" w:color="auto" w:fill="auto"/>
            <w:vAlign w:val="center"/>
            <w:hideMark/>
          </w:tcPr>
          <w:p w14:paraId="3D765EF0" w14:textId="5780AD4B"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0,592</w:t>
            </w:r>
          </w:p>
        </w:tc>
        <w:tc>
          <w:tcPr>
            <w:tcW w:w="0" w:type="auto"/>
            <w:tcBorders>
              <w:top w:val="nil"/>
              <w:left w:val="nil"/>
              <w:bottom w:val="single" w:sz="12" w:space="0" w:color="auto"/>
              <w:right w:val="nil"/>
            </w:tcBorders>
            <w:shd w:val="clear" w:color="auto" w:fill="auto"/>
            <w:vAlign w:val="center"/>
            <w:hideMark/>
          </w:tcPr>
          <w:p w14:paraId="012502B9" w14:textId="4C8E1294"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0,444</w:t>
            </w:r>
          </w:p>
        </w:tc>
        <w:tc>
          <w:tcPr>
            <w:tcW w:w="0" w:type="auto"/>
            <w:tcBorders>
              <w:top w:val="nil"/>
              <w:left w:val="nil"/>
              <w:bottom w:val="single" w:sz="12" w:space="0" w:color="auto"/>
              <w:right w:val="nil"/>
            </w:tcBorders>
            <w:shd w:val="clear" w:color="auto" w:fill="auto"/>
            <w:vAlign w:val="center"/>
            <w:hideMark/>
          </w:tcPr>
          <w:p w14:paraId="03E61C0C" w14:textId="17253454"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0,296</w:t>
            </w:r>
          </w:p>
        </w:tc>
        <w:tc>
          <w:tcPr>
            <w:tcW w:w="0" w:type="auto"/>
            <w:tcBorders>
              <w:top w:val="nil"/>
              <w:left w:val="nil"/>
              <w:bottom w:val="single" w:sz="12" w:space="0" w:color="auto"/>
              <w:right w:val="nil"/>
            </w:tcBorders>
            <w:shd w:val="clear" w:color="auto" w:fill="auto"/>
            <w:vAlign w:val="center"/>
            <w:hideMark/>
          </w:tcPr>
          <w:p w14:paraId="2DCEAB9D" w14:textId="24847E6E"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0,148</w:t>
            </w:r>
          </w:p>
        </w:tc>
        <w:tc>
          <w:tcPr>
            <w:tcW w:w="0" w:type="auto"/>
            <w:tcBorders>
              <w:top w:val="nil"/>
              <w:left w:val="nil"/>
              <w:bottom w:val="single" w:sz="12" w:space="0" w:color="auto"/>
              <w:right w:val="nil"/>
            </w:tcBorders>
            <w:shd w:val="clear" w:color="auto" w:fill="auto"/>
            <w:vAlign w:val="center"/>
            <w:hideMark/>
          </w:tcPr>
          <w:p w14:paraId="6C9A6E4C" w14:textId="4CD37C59" w:rsidR="00AD6B7E" w:rsidRPr="002118C8" w:rsidRDefault="00AD6B7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eastAsia="es-CO"/>
              </w:rPr>
              <w:t>-</w:t>
            </w:r>
          </w:p>
        </w:tc>
      </w:tr>
    </w:tbl>
    <w:p w14:paraId="6DE9D8E8" w14:textId="3106E681" w:rsidR="00BE46D7" w:rsidRPr="002118C8" w:rsidRDefault="00BE46D7" w:rsidP="00BE46D7">
      <w:pPr>
        <w:ind w:left="284" w:right="335"/>
        <w:jc w:val="both"/>
        <w:rPr>
          <w:sz w:val="20"/>
          <w:szCs w:val="20"/>
        </w:rPr>
      </w:pPr>
      <w:r w:rsidRPr="002118C8">
        <w:rPr>
          <w:sz w:val="20"/>
          <w:szCs w:val="20"/>
        </w:rPr>
        <w:t xml:space="preserve">C.F. = Cargo fijo expresado en US $ de diciembre 31 de 2009 por </w:t>
      </w:r>
      <w:proofErr w:type="spellStart"/>
      <w:r w:rsidRPr="002118C8">
        <w:rPr>
          <w:sz w:val="20"/>
          <w:szCs w:val="20"/>
        </w:rPr>
        <w:t>kpcd</w:t>
      </w:r>
      <w:proofErr w:type="spellEnd"/>
      <w:r w:rsidRPr="002118C8">
        <w:rPr>
          <w:sz w:val="20"/>
          <w:szCs w:val="20"/>
        </w:rPr>
        <w:t>-año.</w:t>
      </w:r>
    </w:p>
    <w:p w14:paraId="3F332A34" w14:textId="17B595F2" w:rsidR="00BE46D7" w:rsidRPr="002118C8" w:rsidRDefault="00BE46D7" w:rsidP="00BE46D7">
      <w:pPr>
        <w:ind w:left="284" w:right="335"/>
        <w:jc w:val="both"/>
        <w:rPr>
          <w:sz w:val="20"/>
          <w:szCs w:val="20"/>
        </w:rPr>
      </w:pPr>
      <w:r w:rsidRPr="002118C8">
        <w:rPr>
          <w:sz w:val="20"/>
          <w:szCs w:val="20"/>
        </w:rPr>
        <w:t xml:space="preserve">C.V. = Cargo variable expresado en US $ de diciembre 31 de 2009 por </w:t>
      </w:r>
      <w:proofErr w:type="spellStart"/>
      <w:r w:rsidRPr="002118C8">
        <w:rPr>
          <w:sz w:val="20"/>
          <w:szCs w:val="20"/>
        </w:rPr>
        <w:t>kp</w:t>
      </w:r>
      <w:r w:rsidR="00624378" w:rsidRPr="002118C8">
        <w:rPr>
          <w:sz w:val="20"/>
          <w:szCs w:val="20"/>
        </w:rPr>
        <w:t>c</w:t>
      </w:r>
      <w:proofErr w:type="spellEnd"/>
      <w:r w:rsidRPr="002118C8">
        <w:rPr>
          <w:sz w:val="20"/>
          <w:szCs w:val="20"/>
        </w:rPr>
        <w:t>.</w:t>
      </w:r>
    </w:p>
    <w:p w14:paraId="28E6D25A" w14:textId="14EB9C7C" w:rsidR="00BE46D7" w:rsidRPr="002118C8" w:rsidRDefault="00BE46D7" w:rsidP="00BE46D7">
      <w:pPr>
        <w:ind w:left="284" w:right="335"/>
        <w:jc w:val="both"/>
        <w:rPr>
          <w:sz w:val="20"/>
          <w:szCs w:val="20"/>
        </w:rPr>
      </w:pPr>
      <w:r w:rsidRPr="002118C8">
        <w:rPr>
          <w:sz w:val="20"/>
          <w:szCs w:val="20"/>
        </w:rPr>
        <w:t>[1] Porcentaje de la inversión remunerada con cargo fijo.</w:t>
      </w:r>
    </w:p>
    <w:p w14:paraId="3A2088C8" w14:textId="26F6B6A8" w:rsidR="00BE46D7" w:rsidRPr="002118C8" w:rsidRDefault="00BE46D7" w:rsidP="005A459F">
      <w:pPr>
        <w:tabs>
          <w:tab w:val="left" w:pos="9214"/>
        </w:tabs>
        <w:ind w:left="284" w:right="142"/>
        <w:jc w:val="both"/>
        <w:rPr>
          <w:sz w:val="20"/>
          <w:szCs w:val="20"/>
        </w:rPr>
      </w:pPr>
      <w:r w:rsidRPr="002118C8">
        <w:rPr>
          <w:sz w:val="20"/>
          <w:szCs w:val="20"/>
        </w:rPr>
        <w:t xml:space="preserve">NOTA: Para la interpretación de esta </w:t>
      </w:r>
      <w:r w:rsidR="00A97894">
        <w:rPr>
          <w:sz w:val="20"/>
          <w:szCs w:val="20"/>
        </w:rPr>
        <w:t>r</w:t>
      </w:r>
      <w:r w:rsidRPr="002118C8">
        <w:rPr>
          <w:sz w:val="20"/>
          <w:szCs w:val="20"/>
        </w:rPr>
        <w:t>esolución las cifras decimales se separan con coma y las cifras de miles se separan con punto.</w:t>
      </w:r>
    </w:p>
    <w:p w14:paraId="38B13CA6" w14:textId="77777777" w:rsidR="008426AE" w:rsidRPr="002118C8" w:rsidRDefault="008426AE" w:rsidP="00BE46D7">
      <w:pPr>
        <w:ind w:left="284" w:right="335"/>
        <w:jc w:val="both"/>
        <w:rPr>
          <w:sz w:val="20"/>
          <w:szCs w:val="20"/>
        </w:rPr>
      </w:pPr>
    </w:p>
    <w:tbl>
      <w:tblPr>
        <w:tblW w:w="8975" w:type="dxa"/>
        <w:tblInd w:w="284" w:type="dxa"/>
        <w:tblCellMar>
          <w:left w:w="70" w:type="dxa"/>
          <w:right w:w="70" w:type="dxa"/>
        </w:tblCellMar>
        <w:tblLook w:val="04A0" w:firstRow="1" w:lastRow="0" w:firstColumn="1" w:lastColumn="0" w:noHBand="0" w:noVBand="1"/>
      </w:tblPr>
      <w:tblGrid>
        <w:gridCol w:w="1404"/>
        <w:gridCol w:w="1081"/>
        <w:gridCol w:w="1081"/>
        <w:gridCol w:w="1080"/>
        <w:gridCol w:w="1080"/>
        <w:gridCol w:w="1080"/>
        <w:gridCol w:w="1080"/>
        <w:gridCol w:w="1089"/>
      </w:tblGrid>
      <w:tr w:rsidR="008426AE" w:rsidRPr="002118C8" w14:paraId="1B8D9EBC" w14:textId="77777777" w:rsidTr="00B477D1">
        <w:trPr>
          <w:trHeight w:val="256"/>
        </w:trPr>
        <w:tc>
          <w:tcPr>
            <w:tcW w:w="1404" w:type="dxa"/>
            <w:tcBorders>
              <w:top w:val="single" w:sz="12" w:space="0" w:color="auto"/>
              <w:left w:val="nil"/>
              <w:bottom w:val="single" w:sz="8" w:space="0" w:color="auto"/>
              <w:right w:val="nil"/>
            </w:tcBorders>
            <w:shd w:val="clear" w:color="auto" w:fill="auto"/>
            <w:vAlign w:val="center"/>
            <w:hideMark/>
          </w:tcPr>
          <w:p w14:paraId="20FF9A9F"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 [1]</w:t>
            </w:r>
          </w:p>
        </w:tc>
        <w:tc>
          <w:tcPr>
            <w:tcW w:w="1081" w:type="dxa"/>
            <w:tcBorders>
              <w:top w:val="single" w:sz="12" w:space="0" w:color="auto"/>
              <w:left w:val="nil"/>
              <w:bottom w:val="single" w:sz="8" w:space="0" w:color="auto"/>
              <w:right w:val="nil"/>
            </w:tcBorders>
            <w:shd w:val="clear" w:color="auto" w:fill="auto"/>
            <w:vAlign w:val="center"/>
            <w:hideMark/>
          </w:tcPr>
          <w:p w14:paraId="08DB9483"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w:t>
            </w:r>
          </w:p>
        </w:tc>
        <w:tc>
          <w:tcPr>
            <w:tcW w:w="1081" w:type="dxa"/>
            <w:tcBorders>
              <w:top w:val="single" w:sz="12" w:space="0" w:color="auto"/>
              <w:left w:val="nil"/>
              <w:bottom w:val="single" w:sz="8" w:space="0" w:color="auto"/>
              <w:right w:val="nil"/>
            </w:tcBorders>
            <w:shd w:val="clear" w:color="auto" w:fill="auto"/>
            <w:vAlign w:val="center"/>
            <w:hideMark/>
          </w:tcPr>
          <w:p w14:paraId="6ADD0DC0"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20</w:t>
            </w:r>
          </w:p>
        </w:tc>
        <w:tc>
          <w:tcPr>
            <w:tcW w:w="1080" w:type="dxa"/>
            <w:tcBorders>
              <w:top w:val="single" w:sz="12" w:space="0" w:color="auto"/>
              <w:left w:val="nil"/>
              <w:bottom w:val="single" w:sz="8" w:space="0" w:color="auto"/>
              <w:right w:val="nil"/>
            </w:tcBorders>
            <w:shd w:val="clear" w:color="auto" w:fill="auto"/>
            <w:vAlign w:val="center"/>
            <w:hideMark/>
          </w:tcPr>
          <w:p w14:paraId="3D656660"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40</w:t>
            </w:r>
          </w:p>
        </w:tc>
        <w:tc>
          <w:tcPr>
            <w:tcW w:w="1080" w:type="dxa"/>
            <w:tcBorders>
              <w:top w:val="single" w:sz="12" w:space="0" w:color="auto"/>
              <w:left w:val="nil"/>
              <w:bottom w:val="single" w:sz="8" w:space="0" w:color="auto"/>
              <w:right w:val="nil"/>
            </w:tcBorders>
            <w:shd w:val="clear" w:color="auto" w:fill="auto"/>
            <w:vAlign w:val="center"/>
            <w:hideMark/>
          </w:tcPr>
          <w:p w14:paraId="761552CE"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50</w:t>
            </w:r>
          </w:p>
        </w:tc>
        <w:tc>
          <w:tcPr>
            <w:tcW w:w="1080" w:type="dxa"/>
            <w:tcBorders>
              <w:top w:val="single" w:sz="12" w:space="0" w:color="auto"/>
              <w:left w:val="nil"/>
              <w:bottom w:val="single" w:sz="8" w:space="0" w:color="auto"/>
              <w:right w:val="nil"/>
            </w:tcBorders>
            <w:shd w:val="clear" w:color="auto" w:fill="auto"/>
            <w:vAlign w:val="center"/>
            <w:hideMark/>
          </w:tcPr>
          <w:p w14:paraId="2B169230"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60</w:t>
            </w:r>
          </w:p>
        </w:tc>
        <w:tc>
          <w:tcPr>
            <w:tcW w:w="1080" w:type="dxa"/>
            <w:tcBorders>
              <w:top w:val="single" w:sz="12" w:space="0" w:color="auto"/>
              <w:left w:val="nil"/>
              <w:bottom w:val="single" w:sz="8" w:space="0" w:color="auto"/>
              <w:right w:val="nil"/>
            </w:tcBorders>
            <w:shd w:val="clear" w:color="auto" w:fill="auto"/>
            <w:vAlign w:val="center"/>
            <w:hideMark/>
          </w:tcPr>
          <w:p w14:paraId="1BF2FDE7"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70</w:t>
            </w:r>
          </w:p>
        </w:tc>
        <w:tc>
          <w:tcPr>
            <w:tcW w:w="1086" w:type="dxa"/>
            <w:tcBorders>
              <w:top w:val="single" w:sz="12" w:space="0" w:color="auto"/>
              <w:left w:val="nil"/>
              <w:bottom w:val="single" w:sz="8" w:space="0" w:color="auto"/>
              <w:right w:val="nil"/>
            </w:tcBorders>
            <w:shd w:val="clear" w:color="auto" w:fill="auto"/>
            <w:vAlign w:val="center"/>
            <w:hideMark/>
          </w:tcPr>
          <w:p w14:paraId="54033ED0"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80</w:t>
            </w:r>
          </w:p>
        </w:tc>
      </w:tr>
      <w:tr w:rsidR="00A74D0E" w:rsidRPr="002118C8" w14:paraId="1FB1C38A" w14:textId="77777777" w:rsidTr="00B477D1">
        <w:trPr>
          <w:trHeight w:val="245"/>
        </w:trPr>
        <w:tc>
          <w:tcPr>
            <w:tcW w:w="8975" w:type="dxa"/>
            <w:gridSpan w:val="8"/>
            <w:tcBorders>
              <w:top w:val="single" w:sz="8" w:space="0" w:color="auto"/>
              <w:left w:val="nil"/>
              <w:bottom w:val="single" w:sz="8" w:space="0" w:color="auto"/>
              <w:right w:val="nil"/>
            </w:tcBorders>
            <w:shd w:val="clear" w:color="auto" w:fill="auto"/>
            <w:vAlign w:val="center"/>
            <w:hideMark/>
          </w:tcPr>
          <w:p w14:paraId="230F5EBA" w14:textId="77777777" w:rsidR="00A74D0E" w:rsidRPr="002118C8" w:rsidRDefault="00A74D0E" w:rsidP="00095136">
            <w:pPr>
              <w:spacing w:after="0"/>
              <w:contextualSpacing w:val="0"/>
              <w:jc w:val="center"/>
              <w:rPr>
                <w:rFonts w:eastAsia="Times New Roman" w:cs="Times New Roman"/>
                <w:b/>
                <w:bCs/>
                <w:color w:val="000000"/>
                <w:sz w:val="20"/>
                <w:szCs w:val="20"/>
                <w:lang w:eastAsia="es-CO"/>
              </w:rPr>
            </w:pPr>
            <w:r w:rsidRPr="002118C8">
              <w:rPr>
                <w:rFonts w:eastAsia="Times New Roman" w:cs="Times New Roman"/>
                <w:b/>
                <w:bCs/>
                <w:color w:val="000000"/>
                <w:sz w:val="20"/>
                <w:szCs w:val="20"/>
                <w:lang w:val="es-ES" w:eastAsia="es-CO"/>
              </w:rPr>
              <w:t>Gasoducto Flandes – Girardot - Ricaurte</w:t>
            </w:r>
          </w:p>
        </w:tc>
      </w:tr>
      <w:tr w:rsidR="008426AE" w:rsidRPr="002118C8" w14:paraId="5A279821" w14:textId="77777777" w:rsidTr="00B477D1">
        <w:trPr>
          <w:trHeight w:val="233"/>
        </w:trPr>
        <w:tc>
          <w:tcPr>
            <w:tcW w:w="1404" w:type="dxa"/>
            <w:tcBorders>
              <w:top w:val="nil"/>
              <w:left w:val="nil"/>
              <w:bottom w:val="nil"/>
              <w:right w:val="nil"/>
            </w:tcBorders>
            <w:shd w:val="clear" w:color="auto" w:fill="auto"/>
            <w:vAlign w:val="center"/>
            <w:hideMark/>
          </w:tcPr>
          <w:p w14:paraId="01A740EE"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C.F.</w:t>
            </w:r>
          </w:p>
        </w:tc>
        <w:tc>
          <w:tcPr>
            <w:tcW w:w="1081" w:type="dxa"/>
            <w:tcBorders>
              <w:top w:val="nil"/>
              <w:left w:val="nil"/>
              <w:bottom w:val="nil"/>
              <w:right w:val="nil"/>
            </w:tcBorders>
            <w:shd w:val="clear" w:color="auto" w:fill="auto"/>
            <w:vAlign w:val="center"/>
            <w:hideMark/>
          </w:tcPr>
          <w:p w14:paraId="08729BFE"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w:t>
            </w:r>
          </w:p>
        </w:tc>
        <w:tc>
          <w:tcPr>
            <w:tcW w:w="1081" w:type="dxa"/>
            <w:tcBorders>
              <w:top w:val="nil"/>
              <w:left w:val="nil"/>
              <w:bottom w:val="nil"/>
              <w:right w:val="nil"/>
            </w:tcBorders>
            <w:shd w:val="clear" w:color="auto" w:fill="auto"/>
            <w:vAlign w:val="center"/>
            <w:hideMark/>
          </w:tcPr>
          <w:p w14:paraId="2FD71539"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33,751</w:t>
            </w:r>
          </w:p>
        </w:tc>
        <w:tc>
          <w:tcPr>
            <w:tcW w:w="1080" w:type="dxa"/>
            <w:tcBorders>
              <w:top w:val="nil"/>
              <w:left w:val="nil"/>
              <w:bottom w:val="nil"/>
              <w:right w:val="nil"/>
            </w:tcBorders>
            <w:shd w:val="clear" w:color="auto" w:fill="auto"/>
            <w:vAlign w:val="center"/>
            <w:hideMark/>
          </w:tcPr>
          <w:p w14:paraId="695608A7"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67,501</w:t>
            </w:r>
          </w:p>
        </w:tc>
        <w:tc>
          <w:tcPr>
            <w:tcW w:w="1080" w:type="dxa"/>
            <w:tcBorders>
              <w:top w:val="nil"/>
              <w:left w:val="nil"/>
              <w:bottom w:val="nil"/>
              <w:right w:val="nil"/>
            </w:tcBorders>
            <w:shd w:val="clear" w:color="auto" w:fill="auto"/>
            <w:vAlign w:val="center"/>
            <w:hideMark/>
          </w:tcPr>
          <w:p w14:paraId="2496E82B"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84,377</w:t>
            </w:r>
          </w:p>
        </w:tc>
        <w:tc>
          <w:tcPr>
            <w:tcW w:w="1080" w:type="dxa"/>
            <w:tcBorders>
              <w:top w:val="nil"/>
              <w:left w:val="nil"/>
              <w:bottom w:val="nil"/>
              <w:right w:val="nil"/>
            </w:tcBorders>
            <w:shd w:val="clear" w:color="auto" w:fill="auto"/>
            <w:vAlign w:val="center"/>
            <w:hideMark/>
          </w:tcPr>
          <w:p w14:paraId="4C556E38"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101,252</w:t>
            </w:r>
          </w:p>
        </w:tc>
        <w:tc>
          <w:tcPr>
            <w:tcW w:w="1080" w:type="dxa"/>
            <w:tcBorders>
              <w:top w:val="nil"/>
              <w:left w:val="nil"/>
              <w:bottom w:val="nil"/>
              <w:right w:val="nil"/>
            </w:tcBorders>
            <w:shd w:val="clear" w:color="auto" w:fill="auto"/>
            <w:vAlign w:val="center"/>
            <w:hideMark/>
          </w:tcPr>
          <w:p w14:paraId="047247D1"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118,127</w:t>
            </w:r>
          </w:p>
        </w:tc>
        <w:tc>
          <w:tcPr>
            <w:tcW w:w="1086" w:type="dxa"/>
            <w:tcBorders>
              <w:top w:val="nil"/>
              <w:left w:val="nil"/>
              <w:bottom w:val="nil"/>
              <w:right w:val="nil"/>
            </w:tcBorders>
            <w:shd w:val="clear" w:color="auto" w:fill="auto"/>
            <w:vAlign w:val="center"/>
            <w:hideMark/>
          </w:tcPr>
          <w:p w14:paraId="2F39DEDD"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135,003</w:t>
            </w:r>
          </w:p>
        </w:tc>
      </w:tr>
      <w:tr w:rsidR="008426AE" w:rsidRPr="002118C8" w14:paraId="7E383AD3" w14:textId="77777777" w:rsidTr="00B477D1">
        <w:trPr>
          <w:trHeight w:val="245"/>
        </w:trPr>
        <w:tc>
          <w:tcPr>
            <w:tcW w:w="1404" w:type="dxa"/>
            <w:tcBorders>
              <w:top w:val="nil"/>
              <w:left w:val="nil"/>
              <w:bottom w:val="single" w:sz="12" w:space="0" w:color="auto"/>
              <w:right w:val="nil"/>
            </w:tcBorders>
            <w:shd w:val="clear" w:color="auto" w:fill="auto"/>
            <w:vAlign w:val="center"/>
            <w:hideMark/>
          </w:tcPr>
          <w:p w14:paraId="3C040DA5"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C.V</w:t>
            </w:r>
          </w:p>
        </w:tc>
        <w:tc>
          <w:tcPr>
            <w:tcW w:w="1081" w:type="dxa"/>
            <w:tcBorders>
              <w:top w:val="nil"/>
              <w:left w:val="nil"/>
              <w:bottom w:val="single" w:sz="12" w:space="0" w:color="auto"/>
              <w:right w:val="nil"/>
            </w:tcBorders>
            <w:shd w:val="clear" w:color="auto" w:fill="auto"/>
            <w:vAlign w:val="center"/>
            <w:hideMark/>
          </w:tcPr>
          <w:p w14:paraId="028C3CC0"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0,574</w:t>
            </w:r>
          </w:p>
        </w:tc>
        <w:tc>
          <w:tcPr>
            <w:tcW w:w="1081" w:type="dxa"/>
            <w:tcBorders>
              <w:top w:val="nil"/>
              <w:left w:val="nil"/>
              <w:bottom w:val="single" w:sz="12" w:space="0" w:color="auto"/>
              <w:right w:val="nil"/>
            </w:tcBorders>
            <w:shd w:val="clear" w:color="auto" w:fill="auto"/>
            <w:vAlign w:val="center"/>
            <w:hideMark/>
          </w:tcPr>
          <w:p w14:paraId="59034201"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0,459</w:t>
            </w:r>
          </w:p>
        </w:tc>
        <w:tc>
          <w:tcPr>
            <w:tcW w:w="1080" w:type="dxa"/>
            <w:tcBorders>
              <w:top w:val="nil"/>
              <w:left w:val="nil"/>
              <w:bottom w:val="single" w:sz="12" w:space="0" w:color="auto"/>
              <w:right w:val="nil"/>
            </w:tcBorders>
            <w:shd w:val="clear" w:color="auto" w:fill="auto"/>
            <w:vAlign w:val="center"/>
            <w:hideMark/>
          </w:tcPr>
          <w:p w14:paraId="6D07F94E"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0,344</w:t>
            </w:r>
          </w:p>
        </w:tc>
        <w:tc>
          <w:tcPr>
            <w:tcW w:w="1080" w:type="dxa"/>
            <w:tcBorders>
              <w:top w:val="nil"/>
              <w:left w:val="nil"/>
              <w:bottom w:val="single" w:sz="12" w:space="0" w:color="auto"/>
              <w:right w:val="nil"/>
            </w:tcBorders>
            <w:shd w:val="clear" w:color="auto" w:fill="auto"/>
            <w:vAlign w:val="center"/>
            <w:hideMark/>
          </w:tcPr>
          <w:p w14:paraId="65F4071E"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0,287</w:t>
            </w:r>
          </w:p>
        </w:tc>
        <w:tc>
          <w:tcPr>
            <w:tcW w:w="1080" w:type="dxa"/>
            <w:tcBorders>
              <w:top w:val="nil"/>
              <w:left w:val="nil"/>
              <w:bottom w:val="single" w:sz="12" w:space="0" w:color="auto"/>
              <w:right w:val="nil"/>
            </w:tcBorders>
            <w:shd w:val="clear" w:color="auto" w:fill="auto"/>
            <w:vAlign w:val="center"/>
            <w:hideMark/>
          </w:tcPr>
          <w:p w14:paraId="5DC1E562"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0,23</w:t>
            </w:r>
          </w:p>
        </w:tc>
        <w:tc>
          <w:tcPr>
            <w:tcW w:w="1080" w:type="dxa"/>
            <w:tcBorders>
              <w:top w:val="nil"/>
              <w:left w:val="nil"/>
              <w:bottom w:val="single" w:sz="12" w:space="0" w:color="auto"/>
              <w:right w:val="nil"/>
            </w:tcBorders>
            <w:shd w:val="clear" w:color="auto" w:fill="auto"/>
            <w:vAlign w:val="center"/>
            <w:hideMark/>
          </w:tcPr>
          <w:p w14:paraId="7289D87C"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0,172</w:t>
            </w:r>
          </w:p>
        </w:tc>
        <w:tc>
          <w:tcPr>
            <w:tcW w:w="1086" w:type="dxa"/>
            <w:tcBorders>
              <w:top w:val="nil"/>
              <w:left w:val="nil"/>
              <w:bottom w:val="single" w:sz="12" w:space="0" w:color="auto"/>
              <w:right w:val="nil"/>
            </w:tcBorders>
            <w:shd w:val="clear" w:color="auto" w:fill="auto"/>
            <w:vAlign w:val="center"/>
            <w:hideMark/>
          </w:tcPr>
          <w:p w14:paraId="2D42FEDD"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0,115</w:t>
            </w:r>
          </w:p>
        </w:tc>
      </w:tr>
      <w:tr w:rsidR="008426AE" w:rsidRPr="002118C8" w14:paraId="0342CEF0" w14:textId="77777777" w:rsidTr="00B477D1">
        <w:trPr>
          <w:trHeight w:val="256"/>
        </w:trPr>
        <w:tc>
          <w:tcPr>
            <w:tcW w:w="8975" w:type="dxa"/>
            <w:gridSpan w:val="8"/>
            <w:tcBorders>
              <w:top w:val="nil"/>
              <w:left w:val="nil"/>
              <w:bottom w:val="nil"/>
              <w:right w:val="nil"/>
            </w:tcBorders>
            <w:shd w:val="clear" w:color="auto" w:fill="auto"/>
            <w:noWrap/>
            <w:vAlign w:val="bottom"/>
            <w:hideMark/>
          </w:tcPr>
          <w:p w14:paraId="106B665E" w14:textId="7CF0EC59" w:rsidR="008426AE" w:rsidRPr="002118C8" w:rsidRDefault="008426AE" w:rsidP="00095136">
            <w:pPr>
              <w:spacing w:after="0"/>
              <w:contextualSpacing w:val="0"/>
              <w:rPr>
                <w:rFonts w:eastAsia="Times New Roman" w:cs="Times New Roman"/>
                <w:sz w:val="20"/>
                <w:szCs w:val="20"/>
                <w:lang w:eastAsia="es-CO"/>
              </w:rPr>
            </w:pPr>
            <w:r w:rsidRPr="002118C8">
              <w:rPr>
                <w:rFonts w:eastAsia="Times New Roman" w:cs="Times New Roman"/>
                <w:sz w:val="20"/>
                <w:szCs w:val="20"/>
                <w:lang w:eastAsia="es-CO"/>
              </w:rPr>
              <w:t>Continuación</w:t>
            </w:r>
          </w:p>
        </w:tc>
      </w:tr>
      <w:tr w:rsidR="008426AE" w:rsidRPr="002118C8" w14:paraId="6F3ECD46" w14:textId="77777777" w:rsidTr="00B477D1">
        <w:trPr>
          <w:trHeight w:val="256"/>
        </w:trPr>
        <w:tc>
          <w:tcPr>
            <w:tcW w:w="1404" w:type="dxa"/>
            <w:tcBorders>
              <w:top w:val="single" w:sz="12" w:space="0" w:color="auto"/>
              <w:left w:val="nil"/>
              <w:bottom w:val="single" w:sz="8" w:space="0" w:color="auto"/>
              <w:right w:val="nil"/>
            </w:tcBorders>
            <w:shd w:val="clear" w:color="auto" w:fill="auto"/>
            <w:vAlign w:val="center"/>
            <w:hideMark/>
          </w:tcPr>
          <w:p w14:paraId="350975CD"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 [1]</w:t>
            </w:r>
          </w:p>
        </w:tc>
        <w:tc>
          <w:tcPr>
            <w:tcW w:w="1081" w:type="dxa"/>
            <w:tcBorders>
              <w:top w:val="single" w:sz="12" w:space="0" w:color="auto"/>
              <w:left w:val="nil"/>
              <w:bottom w:val="single" w:sz="8" w:space="0" w:color="auto"/>
              <w:right w:val="nil"/>
            </w:tcBorders>
            <w:shd w:val="clear" w:color="auto" w:fill="auto"/>
            <w:vAlign w:val="center"/>
            <w:hideMark/>
          </w:tcPr>
          <w:p w14:paraId="46F8FE2F"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85</w:t>
            </w:r>
          </w:p>
        </w:tc>
        <w:tc>
          <w:tcPr>
            <w:tcW w:w="1081" w:type="dxa"/>
            <w:tcBorders>
              <w:top w:val="single" w:sz="12" w:space="0" w:color="auto"/>
              <w:left w:val="nil"/>
              <w:bottom w:val="single" w:sz="8" w:space="0" w:color="auto"/>
              <w:right w:val="nil"/>
            </w:tcBorders>
            <w:shd w:val="clear" w:color="auto" w:fill="auto"/>
            <w:vAlign w:val="center"/>
            <w:hideMark/>
          </w:tcPr>
          <w:p w14:paraId="593C3135"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90</w:t>
            </w:r>
          </w:p>
        </w:tc>
        <w:tc>
          <w:tcPr>
            <w:tcW w:w="1080" w:type="dxa"/>
            <w:tcBorders>
              <w:top w:val="single" w:sz="12" w:space="0" w:color="auto"/>
              <w:left w:val="nil"/>
              <w:bottom w:val="single" w:sz="8" w:space="0" w:color="auto"/>
              <w:right w:val="nil"/>
            </w:tcBorders>
            <w:shd w:val="clear" w:color="auto" w:fill="auto"/>
            <w:vAlign w:val="center"/>
            <w:hideMark/>
          </w:tcPr>
          <w:p w14:paraId="753899D0"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92</w:t>
            </w:r>
          </w:p>
        </w:tc>
        <w:tc>
          <w:tcPr>
            <w:tcW w:w="1080" w:type="dxa"/>
            <w:tcBorders>
              <w:top w:val="single" w:sz="12" w:space="0" w:color="auto"/>
              <w:left w:val="nil"/>
              <w:bottom w:val="single" w:sz="8" w:space="0" w:color="auto"/>
              <w:right w:val="nil"/>
            </w:tcBorders>
            <w:shd w:val="clear" w:color="auto" w:fill="auto"/>
            <w:vAlign w:val="center"/>
            <w:hideMark/>
          </w:tcPr>
          <w:p w14:paraId="1771BF6B"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94</w:t>
            </w:r>
          </w:p>
        </w:tc>
        <w:tc>
          <w:tcPr>
            <w:tcW w:w="1080" w:type="dxa"/>
            <w:tcBorders>
              <w:top w:val="single" w:sz="12" w:space="0" w:color="auto"/>
              <w:left w:val="nil"/>
              <w:bottom w:val="single" w:sz="8" w:space="0" w:color="auto"/>
              <w:right w:val="nil"/>
            </w:tcBorders>
            <w:shd w:val="clear" w:color="auto" w:fill="auto"/>
            <w:vAlign w:val="center"/>
            <w:hideMark/>
          </w:tcPr>
          <w:p w14:paraId="01C93348"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96</w:t>
            </w:r>
          </w:p>
        </w:tc>
        <w:tc>
          <w:tcPr>
            <w:tcW w:w="1080" w:type="dxa"/>
            <w:tcBorders>
              <w:top w:val="single" w:sz="12" w:space="0" w:color="auto"/>
              <w:left w:val="nil"/>
              <w:bottom w:val="single" w:sz="8" w:space="0" w:color="auto"/>
              <w:right w:val="nil"/>
            </w:tcBorders>
            <w:shd w:val="clear" w:color="auto" w:fill="auto"/>
            <w:vAlign w:val="center"/>
            <w:hideMark/>
          </w:tcPr>
          <w:p w14:paraId="1EC1089B"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98</w:t>
            </w:r>
          </w:p>
        </w:tc>
        <w:tc>
          <w:tcPr>
            <w:tcW w:w="1086" w:type="dxa"/>
            <w:tcBorders>
              <w:top w:val="single" w:sz="12" w:space="0" w:color="auto"/>
              <w:left w:val="nil"/>
              <w:bottom w:val="single" w:sz="8" w:space="0" w:color="auto"/>
              <w:right w:val="nil"/>
            </w:tcBorders>
            <w:shd w:val="clear" w:color="auto" w:fill="auto"/>
            <w:vAlign w:val="center"/>
            <w:hideMark/>
          </w:tcPr>
          <w:p w14:paraId="6E73E5AB"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100</w:t>
            </w:r>
          </w:p>
        </w:tc>
      </w:tr>
      <w:tr w:rsidR="00A74D0E" w:rsidRPr="002118C8" w14:paraId="17C6B7E5" w14:textId="77777777" w:rsidTr="00B477D1">
        <w:trPr>
          <w:trHeight w:val="245"/>
        </w:trPr>
        <w:tc>
          <w:tcPr>
            <w:tcW w:w="8975" w:type="dxa"/>
            <w:gridSpan w:val="8"/>
            <w:tcBorders>
              <w:top w:val="single" w:sz="8" w:space="0" w:color="auto"/>
              <w:left w:val="nil"/>
              <w:bottom w:val="single" w:sz="8" w:space="0" w:color="auto"/>
              <w:right w:val="nil"/>
            </w:tcBorders>
            <w:shd w:val="clear" w:color="auto" w:fill="auto"/>
            <w:vAlign w:val="center"/>
            <w:hideMark/>
          </w:tcPr>
          <w:p w14:paraId="5755F5E2" w14:textId="77777777" w:rsidR="00A74D0E" w:rsidRPr="002118C8" w:rsidRDefault="00A74D0E" w:rsidP="00095136">
            <w:pPr>
              <w:spacing w:after="0"/>
              <w:contextualSpacing w:val="0"/>
              <w:jc w:val="center"/>
              <w:rPr>
                <w:rFonts w:eastAsia="Times New Roman" w:cs="Times New Roman"/>
                <w:b/>
                <w:bCs/>
                <w:color w:val="000000"/>
                <w:sz w:val="20"/>
                <w:szCs w:val="20"/>
                <w:lang w:eastAsia="es-CO"/>
              </w:rPr>
            </w:pPr>
            <w:r w:rsidRPr="002118C8">
              <w:rPr>
                <w:rFonts w:eastAsia="Times New Roman" w:cs="Times New Roman"/>
                <w:b/>
                <w:bCs/>
                <w:color w:val="000000"/>
                <w:sz w:val="20"/>
                <w:szCs w:val="20"/>
                <w:lang w:val="es-ES" w:eastAsia="es-CO"/>
              </w:rPr>
              <w:t>Gasoducto Flandes – Girardot - Ricaurte</w:t>
            </w:r>
          </w:p>
        </w:tc>
      </w:tr>
      <w:tr w:rsidR="008426AE" w:rsidRPr="002118C8" w14:paraId="220B8BB3" w14:textId="77777777" w:rsidTr="00B477D1">
        <w:trPr>
          <w:trHeight w:val="233"/>
        </w:trPr>
        <w:tc>
          <w:tcPr>
            <w:tcW w:w="1404" w:type="dxa"/>
            <w:tcBorders>
              <w:top w:val="nil"/>
              <w:left w:val="nil"/>
              <w:bottom w:val="nil"/>
              <w:right w:val="nil"/>
            </w:tcBorders>
            <w:shd w:val="clear" w:color="auto" w:fill="auto"/>
            <w:vAlign w:val="center"/>
            <w:hideMark/>
          </w:tcPr>
          <w:p w14:paraId="3D898909"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C.F.</w:t>
            </w:r>
          </w:p>
        </w:tc>
        <w:tc>
          <w:tcPr>
            <w:tcW w:w="1081" w:type="dxa"/>
            <w:tcBorders>
              <w:top w:val="nil"/>
              <w:left w:val="nil"/>
              <w:bottom w:val="nil"/>
              <w:right w:val="nil"/>
            </w:tcBorders>
            <w:shd w:val="clear" w:color="auto" w:fill="auto"/>
            <w:vAlign w:val="center"/>
            <w:hideMark/>
          </w:tcPr>
          <w:p w14:paraId="605AE4A0"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143,44</w:t>
            </w:r>
          </w:p>
        </w:tc>
        <w:tc>
          <w:tcPr>
            <w:tcW w:w="1081" w:type="dxa"/>
            <w:tcBorders>
              <w:top w:val="nil"/>
              <w:left w:val="nil"/>
              <w:bottom w:val="nil"/>
              <w:right w:val="nil"/>
            </w:tcBorders>
            <w:shd w:val="clear" w:color="auto" w:fill="auto"/>
            <w:vAlign w:val="center"/>
            <w:hideMark/>
          </w:tcPr>
          <w:p w14:paraId="1A01BD79"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151,878</w:t>
            </w:r>
          </w:p>
        </w:tc>
        <w:tc>
          <w:tcPr>
            <w:tcW w:w="1080" w:type="dxa"/>
            <w:tcBorders>
              <w:top w:val="nil"/>
              <w:left w:val="nil"/>
              <w:bottom w:val="nil"/>
              <w:right w:val="nil"/>
            </w:tcBorders>
            <w:shd w:val="clear" w:color="auto" w:fill="auto"/>
            <w:vAlign w:val="center"/>
            <w:hideMark/>
          </w:tcPr>
          <w:p w14:paraId="4FCE7B49"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155,253</w:t>
            </w:r>
          </w:p>
        </w:tc>
        <w:tc>
          <w:tcPr>
            <w:tcW w:w="1080" w:type="dxa"/>
            <w:tcBorders>
              <w:top w:val="nil"/>
              <w:left w:val="nil"/>
              <w:bottom w:val="nil"/>
              <w:right w:val="nil"/>
            </w:tcBorders>
            <w:shd w:val="clear" w:color="auto" w:fill="auto"/>
            <w:vAlign w:val="center"/>
            <w:hideMark/>
          </w:tcPr>
          <w:p w14:paraId="3F5C7F6E"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158,628</w:t>
            </w:r>
          </w:p>
        </w:tc>
        <w:tc>
          <w:tcPr>
            <w:tcW w:w="1080" w:type="dxa"/>
            <w:tcBorders>
              <w:top w:val="nil"/>
              <w:left w:val="nil"/>
              <w:bottom w:val="nil"/>
              <w:right w:val="nil"/>
            </w:tcBorders>
            <w:shd w:val="clear" w:color="auto" w:fill="auto"/>
            <w:vAlign w:val="center"/>
            <w:hideMark/>
          </w:tcPr>
          <w:p w14:paraId="5A91659E"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162,003</w:t>
            </w:r>
          </w:p>
        </w:tc>
        <w:tc>
          <w:tcPr>
            <w:tcW w:w="1080" w:type="dxa"/>
            <w:tcBorders>
              <w:top w:val="nil"/>
              <w:left w:val="nil"/>
              <w:bottom w:val="nil"/>
              <w:right w:val="nil"/>
            </w:tcBorders>
            <w:shd w:val="clear" w:color="auto" w:fill="auto"/>
            <w:vAlign w:val="center"/>
            <w:hideMark/>
          </w:tcPr>
          <w:p w14:paraId="16F44341"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165,378</w:t>
            </w:r>
          </w:p>
        </w:tc>
        <w:tc>
          <w:tcPr>
            <w:tcW w:w="1086" w:type="dxa"/>
            <w:tcBorders>
              <w:top w:val="nil"/>
              <w:left w:val="nil"/>
              <w:bottom w:val="nil"/>
              <w:right w:val="nil"/>
            </w:tcBorders>
            <w:shd w:val="clear" w:color="auto" w:fill="auto"/>
            <w:vAlign w:val="center"/>
            <w:hideMark/>
          </w:tcPr>
          <w:p w14:paraId="33C4DAD2"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168,753</w:t>
            </w:r>
          </w:p>
        </w:tc>
      </w:tr>
      <w:tr w:rsidR="008426AE" w:rsidRPr="002118C8" w14:paraId="69141CCE" w14:textId="77777777" w:rsidTr="00B477D1">
        <w:trPr>
          <w:trHeight w:val="245"/>
        </w:trPr>
        <w:tc>
          <w:tcPr>
            <w:tcW w:w="1404" w:type="dxa"/>
            <w:tcBorders>
              <w:top w:val="nil"/>
              <w:left w:val="nil"/>
              <w:bottom w:val="single" w:sz="12" w:space="0" w:color="auto"/>
              <w:right w:val="nil"/>
            </w:tcBorders>
            <w:shd w:val="clear" w:color="auto" w:fill="auto"/>
            <w:vAlign w:val="center"/>
            <w:hideMark/>
          </w:tcPr>
          <w:p w14:paraId="2FFB0A99"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C.V</w:t>
            </w:r>
          </w:p>
        </w:tc>
        <w:tc>
          <w:tcPr>
            <w:tcW w:w="1081" w:type="dxa"/>
            <w:tcBorders>
              <w:top w:val="nil"/>
              <w:left w:val="nil"/>
              <w:bottom w:val="single" w:sz="12" w:space="0" w:color="auto"/>
              <w:right w:val="nil"/>
            </w:tcBorders>
            <w:shd w:val="clear" w:color="auto" w:fill="auto"/>
            <w:vAlign w:val="center"/>
            <w:hideMark/>
          </w:tcPr>
          <w:p w14:paraId="4CD26EBE"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0,086</w:t>
            </w:r>
          </w:p>
        </w:tc>
        <w:tc>
          <w:tcPr>
            <w:tcW w:w="1081" w:type="dxa"/>
            <w:tcBorders>
              <w:top w:val="nil"/>
              <w:left w:val="nil"/>
              <w:bottom w:val="single" w:sz="12" w:space="0" w:color="auto"/>
              <w:right w:val="nil"/>
            </w:tcBorders>
            <w:shd w:val="clear" w:color="auto" w:fill="auto"/>
            <w:vAlign w:val="center"/>
            <w:hideMark/>
          </w:tcPr>
          <w:p w14:paraId="3FEF3CB9"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0,057</w:t>
            </w:r>
          </w:p>
        </w:tc>
        <w:tc>
          <w:tcPr>
            <w:tcW w:w="1080" w:type="dxa"/>
            <w:tcBorders>
              <w:top w:val="nil"/>
              <w:left w:val="nil"/>
              <w:bottom w:val="single" w:sz="12" w:space="0" w:color="auto"/>
              <w:right w:val="nil"/>
            </w:tcBorders>
            <w:shd w:val="clear" w:color="auto" w:fill="auto"/>
            <w:vAlign w:val="center"/>
            <w:hideMark/>
          </w:tcPr>
          <w:p w14:paraId="57F96CE8"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0,046</w:t>
            </w:r>
          </w:p>
        </w:tc>
        <w:tc>
          <w:tcPr>
            <w:tcW w:w="1080" w:type="dxa"/>
            <w:tcBorders>
              <w:top w:val="nil"/>
              <w:left w:val="nil"/>
              <w:bottom w:val="single" w:sz="12" w:space="0" w:color="auto"/>
              <w:right w:val="nil"/>
            </w:tcBorders>
            <w:shd w:val="clear" w:color="auto" w:fill="auto"/>
            <w:vAlign w:val="center"/>
            <w:hideMark/>
          </w:tcPr>
          <w:p w14:paraId="16D3E91C"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0,034</w:t>
            </w:r>
          </w:p>
        </w:tc>
        <w:tc>
          <w:tcPr>
            <w:tcW w:w="1080" w:type="dxa"/>
            <w:tcBorders>
              <w:top w:val="nil"/>
              <w:left w:val="nil"/>
              <w:bottom w:val="single" w:sz="12" w:space="0" w:color="auto"/>
              <w:right w:val="nil"/>
            </w:tcBorders>
            <w:shd w:val="clear" w:color="auto" w:fill="auto"/>
            <w:vAlign w:val="center"/>
            <w:hideMark/>
          </w:tcPr>
          <w:p w14:paraId="5AA28F11"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0,023</w:t>
            </w:r>
          </w:p>
        </w:tc>
        <w:tc>
          <w:tcPr>
            <w:tcW w:w="1080" w:type="dxa"/>
            <w:tcBorders>
              <w:top w:val="nil"/>
              <w:left w:val="nil"/>
              <w:bottom w:val="single" w:sz="12" w:space="0" w:color="auto"/>
              <w:right w:val="nil"/>
            </w:tcBorders>
            <w:shd w:val="clear" w:color="auto" w:fill="auto"/>
            <w:vAlign w:val="center"/>
            <w:hideMark/>
          </w:tcPr>
          <w:p w14:paraId="29576C59"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0,011</w:t>
            </w:r>
          </w:p>
        </w:tc>
        <w:tc>
          <w:tcPr>
            <w:tcW w:w="1086" w:type="dxa"/>
            <w:tcBorders>
              <w:top w:val="nil"/>
              <w:left w:val="nil"/>
              <w:bottom w:val="single" w:sz="12" w:space="0" w:color="auto"/>
              <w:right w:val="nil"/>
            </w:tcBorders>
            <w:shd w:val="clear" w:color="auto" w:fill="auto"/>
            <w:vAlign w:val="center"/>
            <w:hideMark/>
          </w:tcPr>
          <w:p w14:paraId="19E45EC3" w14:textId="77777777" w:rsidR="00A74D0E" w:rsidRPr="002118C8" w:rsidRDefault="00A74D0E" w:rsidP="00095136">
            <w:pPr>
              <w:spacing w:after="0"/>
              <w:contextualSpacing w:val="0"/>
              <w:jc w:val="center"/>
              <w:rPr>
                <w:rFonts w:eastAsia="Times New Roman" w:cs="Times New Roman"/>
                <w:color w:val="000000"/>
                <w:sz w:val="20"/>
                <w:szCs w:val="20"/>
                <w:lang w:eastAsia="es-CO"/>
              </w:rPr>
            </w:pPr>
            <w:r w:rsidRPr="002118C8">
              <w:rPr>
                <w:rFonts w:eastAsia="Times New Roman" w:cs="Times New Roman"/>
                <w:color w:val="000000"/>
                <w:sz w:val="20"/>
                <w:szCs w:val="20"/>
                <w:lang w:val="es-ES" w:eastAsia="es-CO"/>
              </w:rPr>
              <w:t>-</w:t>
            </w:r>
          </w:p>
        </w:tc>
      </w:tr>
    </w:tbl>
    <w:p w14:paraId="612BC6FB" w14:textId="09E2917C" w:rsidR="0016629D" w:rsidRPr="002118C8" w:rsidRDefault="0016629D" w:rsidP="00D67A67">
      <w:pPr>
        <w:tabs>
          <w:tab w:val="left" w:pos="9072"/>
        </w:tabs>
        <w:ind w:left="284" w:right="335"/>
        <w:jc w:val="both"/>
        <w:rPr>
          <w:sz w:val="20"/>
          <w:szCs w:val="18"/>
        </w:rPr>
      </w:pPr>
      <w:r w:rsidRPr="002118C8">
        <w:rPr>
          <w:sz w:val="20"/>
          <w:szCs w:val="18"/>
        </w:rPr>
        <w:t xml:space="preserve">C.F. = Cargo fijo expresado en US $ de diciembre 31 de 2009 por </w:t>
      </w:r>
      <w:proofErr w:type="spellStart"/>
      <w:r w:rsidRPr="002118C8">
        <w:rPr>
          <w:sz w:val="20"/>
          <w:szCs w:val="18"/>
        </w:rPr>
        <w:t>kpcd</w:t>
      </w:r>
      <w:proofErr w:type="spellEnd"/>
      <w:r w:rsidRPr="002118C8">
        <w:rPr>
          <w:sz w:val="20"/>
          <w:szCs w:val="18"/>
        </w:rPr>
        <w:t xml:space="preserve">-año. </w:t>
      </w:r>
    </w:p>
    <w:p w14:paraId="677D65D8" w14:textId="782AD379" w:rsidR="0016629D" w:rsidRPr="002118C8" w:rsidRDefault="0016629D" w:rsidP="00D67A67">
      <w:pPr>
        <w:tabs>
          <w:tab w:val="left" w:pos="9072"/>
        </w:tabs>
        <w:ind w:left="284" w:right="335"/>
        <w:jc w:val="both"/>
        <w:rPr>
          <w:sz w:val="20"/>
          <w:szCs w:val="18"/>
        </w:rPr>
      </w:pPr>
      <w:r w:rsidRPr="002118C8">
        <w:rPr>
          <w:sz w:val="20"/>
          <w:szCs w:val="18"/>
        </w:rPr>
        <w:t xml:space="preserve">C.V. = Cargo variable expresado en US $ de diciembre 31 de 2009 por </w:t>
      </w:r>
      <w:proofErr w:type="spellStart"/>
      <w:r w:rsidRPr="002118C8">
        <w:rPr>
          <w:sz w:val="20"/>
          <w:szCs w:val="18"/>
        </w:rPr>
        <w:t>kpc</w:t>
      </w:r>
      <w:proofErr w:type="spellEnd"/>
      <w:r w:rsidRPr="002118C8">
        <w:rPr>
          <w:sz w:val="20"/>
          <w:szCs w:val="18"/>
        </w:rPr>
        <w:t>.</w:t>
      </w:r>
    </w:p>
    <w:p w14:paraId="50B9076E" w14:textId="1DFFB169" w:rsidR="0016629D" w:rsidRPr="002118C8" w:rsidRDefault="0016629D" w:rsidP="00D67A67">
      <w:pPr>
        <w:tabs>
          <w:tab w:val="left" w:pos="9072"/>
        </w:tabs>
        <w:ind w:left="284" w:right="335"/>
        <w:jc w:val="both"/>
        <w:rPr>
          <w:sz w:val="20"/>
          <w:szCs w:val="18"/>
        </w:rPr>
      </w:pPr>
      <w:r w:rsidRPr="002118C8">
        <w:rPr>
          <w:sz w:val="20"/>
          <w:szCs w:val="18"/>
        </w:rPr>
        <w:t>[1] Porcentaje de la inversión remunerada con cargo fijo.</w:t>
      </w:r>
    </w:p>
    <w:p w14:paraId="655ED961" w14:textId="1E24282B" w:rsidR="0016629D" w:rsidRPr="002118C8" w:rsidRDefault="0016629D" w:rsidP="002B4A4B">
      <w:pPr>
        <w:tabs>
          <w:tab w:val="left" w:pos="8505"/>
          <w:tab w:val="left" w:pos="8789"/>
          <w:tab w:val="left" w:pos="9214"/>
        </w:tabs>
        <w:ind w:left="284" w:right="142"/>
        <w:jc w:val="both"/>
        <w:rPr>
          <w:sz w:val="20"/>
          <w:szCs w:val="18"/>
        </w:rPr>
      </w:pPr>
      <w:r w:rsidRPr="002118C8">
        <w:rPr>
          <w:sz w:val="20"/>
          <w:szCs w:val="20"/>
        </w:rPr>
        <w:t xml:space="preserve">NOTA: Para la interpretación de esta </w:t>
      </w:r>
      <w:r w:rsidR="00A97894">
        <w:rPr>
          <w:sz w:val="20"/>
          <w:szCs w:val="20"/>
        </w:rPr>
        <w:t>r</w:t>
      </w:r>
      <w:r w:rsidRPr="002118C8">
        <w:rPr>
          <w:sz w:val="20"/>
          <w:szCs w:val="20"/>
        </w:rPr>
        <w:t>esolución las cifras decimales se separan con</w:t>
      </w:r>
      <w:r w:rsidR="00095136" w:rsidRPr="002118C8">
        <w:rPr>
          <w:sz w:val="20"/>
          <w:szCs w:val="20"/>
        </w:rPr>
        <w:t xml:space="preserve"> </w:t>
      </w:r>
      <w:r w:rsidRPr="002118C8">
        <w:rPr>
          <w:sz w:val="20"/>
          <w:szCs w:val="18"/>
        </w:rPr>
        <w:t>coma y las cifras de miles se separan con punto.</w:t>
      </w:r>
    </w:p>
    <w:p w14:paraId="474804A2" w14:textId="77777777" w:rsidR="00624378" w:rsidRPr="0016629D" w:rsidRDefault="00624378" w:rsidP="0016629D">
      <w:pPr>
        <w:ind w:left="284" w:right="335"/>
        <w:jc w:val="both"/>
        <w:rPr>
          <w:sz w:val="20"/>
          <w:szCs w:val="20"/>
        </w:rPr>
      </w:pPr>
    </w:p>
    <w:p w14:paraId="594CDC65" w14:textId="4FDA16D4" w:rsidR="00D75A8F" w:rsidRPr="002818DA" w:rsidRDefault="00D75A8F" w:rsidP="00D75A8F">
      <w:pPr>
        <w:ind w:left="284"/>
        <w:jc w:val="both"/>
      </w:pPr>
      <w:r w:rsidRPr="002818DA">
        <w:rPr>
          <w:b/>
        </w:rPr>
        <w:t>Parágrafo:</w:t>
      </w:r>
      <w:r w:rsidRPr="002818DA">
        <w:t xml:space="preserve"> Estos cargos no incluyen el impuesto de transporte de que trata el artículo 26 de la Ley 141 de 1994, ni la cuota de fomento establecida por el artículo 15 de la Ley 401 de 1997 y sus modificaciones. Dichos gravámenes deberán ser pagados por los sujetos pasivos señalados en las mencionadas normas.</w:t>
      </w:r>
      <w:r w:rsidR="007B5F33" w:rsidRPr="002818DA">
        <w:t>”</w:t>
      </w:r>
    </w:p>
    <w:p w14:paraId="51D039B0" w14:textId="1D62184F" w:rsidR="006A00DE" w:rsidRPr="002818DA" w:rsidRDefault="006A00DE" w:rsidP="006A00DE">
      <w:pPr>
        <w:pStyle w:val="ARTICULOS"/>
      </w:pPr>
      <w:r w:rsidRPr="002818DA">
        <w:t xml:space="preserve">Modificar </w:t>
      </w:r>
      <w:r w:rsidR="00E706FF" w:rsidRPr="002818DA">
        <w:rPr>
          <w:lang w:val="es-CO"/>
        </w:rPr>
        <w:t>los</w:t>
      </w:r>
      <w:r w:rsidRPr="002818DA">
        <w:t xml:space="preserve"> artículo</w:t>
      </w:r>
      <w:r w:rsidR="00E706FF" w:rsidRPr="002818DA">
        <w:rPr>
          <w:lang w:val="es-CO"/>
        </w:rPr>
        <w:t>s</w:t>
      </w:r>
      <w:r w:rsidRPr="002818DA">
        <w:t xml:space="preserve"> </w:t>
      </w:r>
      <w:r w:rsidR="00F67756" w:rsidRPr="002818DA">
        <w:rPr>
          <w:lang w:val="es-CO"/>
        </w:rPr>
        <w:t>2</w:t>
      </w:r>
      <w:r w:rsidRPr="002818DA">
        <w:t xml:space="preserve"> </w:t>
      </w:r>
      <w:r w:rsidR="00E706FF" w:rsidRPr="002818DA">
        <w:rPr>
          <w:lang w:val="es-CO"/>
        </w:rPr>
        <w:t xml:space="preserve">y 3 de </w:t>
      </w:r>
      <w:r w:rsidRPr="002818DA">
        <w:t>la Resolución CREG 11</w:t>
      </w:r>
      <w:r w:rsidR="00F67756" w:rsidRPr="002818DA">
        <w:rPr>
          <w:lang w:val="es-CO"/>
        </w:rPr>
        <w:t>3</w:t>
      </w:r>
      <w:r w:rsidRPr="002818DA">
        <w:t xml:space="preserve"> de 2011</w:t>
      </w:r>
      <w:r w:rsidRPr="002818DA">
        <w:rPr>
          <w:lang w:val="es-CO"/>
        </w:rPr>
        <w:t>,</w:t>
      </w:r>
      <w:r w:rsidRPr="002818DA">
        <w:t xml:space="preserve"> así:</w:t>
      </w:r>
    </w:p>
    <w:p w14:paraId="2ED56554" w14:textId="77777777" w:rsidR="0091140B" w:rsidRPr="00F91942" w:rsidRDefault="0091140B" w:rsidP="00E47D1F">
      <w:pPr>
        <w:pStyle w:val="ARTICULOS"/>
        <w:numPr>
          <w:ilvl w:val="0"/>
          <w:numId w:val="0"/>
        </w:numPr>
        <w:ind w:firstLine="1"/>
      </w:pPr>
    </w:p>
    <w:p w14:paraId="4C5B009A" w14:textId="3B0B6FF1" w:rsidR="003819DA" w:rsidRDefault="00D37866" w:rsidP="00D37866">
      <w:pPr>
        <w:ind w:left="284"/>
        <w:jc w:val="both"/>
      </w:pPr>
      <w:r w:rsidRPr="00F91942">
        <w:rPr>
          <w:rFonts w:cs="Arial"/>
          <w:b/>
          <w:spacing w:val="-3"/>
        </w:rPr>
        <w:t>“</w:t>
      </w:r>
      <w:r w:rsidR="00F67756" w:rsidRPr="00F91942">
        <w:rPr>
          <w:rFonts w:cs="Arial"/>
          <w:b/>
          <w:spacing w:val="-3"/>
        </w:rPr>
        <w:t>Artículo 2.</w:t>
      </w:r>
      <w:r w:rsidR="00F67756" w:rsidRPr="00F91942">
        <w:rPr>
          <w:b/>
        </w:rPr>
        <w:t xml:space="preserve"> Inversión Existente para el Gasoducto Buenos Aires - Ibagué. </w:t>
      </w:r>
      <w:r w:rsidR="00F67756" w:rsidRPr="00F91942">
        <w:t xml:space="preserve">Como inversión existente, </w:t>
      </w:r>
      <w:proofErr w:type="spellStart"/>
      <w:r w:rsidR="00F67756" w:rsidRPr="00F91942">
        <w:t>IE</w:t>
      </w:r>
      <w:r w:rsidR="00F67756" w:rsidRPr="00F91942">
        <w:rPr>
          <w:vertAlign w:val="subscript"/>
        </w:rPr>
        <w:t>t</w:t>
      </w:r>
      <w:proofErr w:type="spellEnd"/>
      <w:r w:rsidR="00F67756" w:rsidRPr="00F91942">
        <w:t>, se reconocen US</w:t>
      </w:r>
      <w:r w:rsidR="00FE5ED2" w:rsidRPr="00F91942">
        <w:t xml:space="preserve"> </w:t>
      </w:r>
      <w:r w:rsidR="00F67756" w:rsidRPr="00F91942">
        <w:t xml:space="preserve">$ </w:t>
      </w:r>
      <w:r w:rsidRPr="00F91942">
        <w:t xml:space="preserve">9.911.422 </w:t>
      </w:r>
      <w:r w:rsidR="00F67756" w:rsidRPr="00F91942">
        <w:t>(dólares de diciembre de 2009) de acuerdo con la desagregación presentada en el Anexo </w:t>
      </w:r>
      <w:r w:rsidRPr="00F91942">
        <w:t>2</w:t>
      </w:r>
      <w:r w:rsidR="00F67756" w:rsidRPr="00F91942">
        <w:t xml:space="preserve"> de esta </w:t>
      </w:r>
      <w:r w:rsidRPr="00F91942">
        <w:t>r</w:t>
      </w:r>
      <w:r w:rsidR="00F67756" w:rsidRPr="00F91942">
        <w:t>esolución.</w:t>
      </w:r>
      <w:r w:rsidRPr="00F91942">
        <w:t>”</w:t>
      </w:r>
    </w:p>
    <w:p w14:paraId="250F9B30" w14:textId="7CD8C4F7" w:rsidR="00910766" w:rsidRPr="00D00E33" w:rsidRDefault="00910766" w:rsidP="00910766">
      <w:pPr>
        <w:ind w:left="284"/>
        <w:jc w:val="both"/>
        <w:rPr>
          <w:b/>
        </w:rPr>
      </w:pPr>
      <w:r>
        <w:rPr>
          <w:rFonts w:cs="Arial"/>
          <w:b/>
          <w:spacing w:val="-3"/>
        </w:rPr>
        <w:t>“</w:t>
      </w:r>
      <w:r w:rsidRPr="00D00E33">
        <w:rPr>
          <w:rFonts w:cs="Arial"/>
          <w:b/>
          <w:spacing w:val="-3"/>
        </w:rPr>
        <w:t xml:space="preserve">Artículo </w:t>
      </w:r>
      <w:r>
        <w:rPr>
          <w:rFonts w:cs="Arial"/>
          <w:b/>
          <w:spacing w:val="-3"/>
        </w:rPr>
        <w:t>3</w:t>
      </w:r>
      <w:r w:rsidRPr="00D00E33">
        <w:rPr>
          <w:rFonts w:cs="Arial"/>
          <w:b/>
          <w:spacing w:val="-3"/>
        </w:rPr>
        <w:t>.</w:t>
      </w:r>
      <w:r w:rsidRPr="00D00E33">
        <w:rPr>
          <w:b/>
        </w:rPr>
        <w:t xml:space="preserve"> Inversión Existente</w:t>
      </w:r>
      <w:r>
        <w:rPr>
          <w:b/>
        </w:rPr>
        <w:t xml:space="preserve"> para el Gasoducto </w:t>
      </w:r>
      <w:proofErr w:type="spellStart"/>
      <w:r w:rsidRPr="00616826">
        <w:rPr>
          <w:b/>
        </w:rPr>
        <w:t>Chicoral</w:t>
      </w:r>
      <w:proofErr w:type="spellEnd"/>
      <w:r w:rsidRPr="00616826">
        <w:rPr>
          <w:b/>
        </w:rPr>
        <w:t xml:space="preserve"> – Espinal – Flandes</w:t>
      </w:r>
      <w:r>
        <w:rPr>
          <w:b/>
        </w:rPr>
        <w:t>.</w:t>
      </w:r>
      <w:r w:rsidRPr="00D00E33">
        <w:rPr>
          <w:b/>
        </w:rPr>
        <w:t xml:space="preserve"> </w:t>
      </w:r>
      <w:r>
        <w:t xml:space="preserve">Como inversión existente, </w:t>
      </w:r>
      <w:proofErr w:type="spellStart"/>
      <w:r>
        <w:t>IE</w:t>
      </w:r>
      <w:r w:rsidRPr="006001BD">
        <w:rPr>
          <w:vertAlign w:val="subscript"/>
        </w:rPr>
        <w:t>t</w:t>
      </w:r>
      <w:proofErr w:type="spellEnd"/>
      <w:r>
        <w:t xml:space="preserve">, </w:t>
      </w:r>
      <w:r w:rsidRPr="00D00E33">
        <w:t xml:space="preserve">se reconocen US$ </w:t>
      </w:r>
      <w:r w:rsidR="00DE06A9" w:rsidRPr="00DE06A9">
        <w:t xml:space="preserve">9.358.190 </w:t>
      </w:r>
      <w:r w:rsidRPr="00D00E33">
        <w:t xml:space="preserve">(dólares de </w:t>
      </w:r>
      <w:r>
        <w:t>diciembre de 2009</w:t>
      </w:r>
      <w:r w:rsidRPr="00D00E33">
        <w:t>) de acuerdo con la desagr</w:t>
      </w:r>
      <w:r>
        <w:t>egación presentada en el Anexo 1</w:t>
      </w:r>
      <w:r w:rsidRPr="00D00E33">
        <w:t xml:space="preserve"> de esta </w:t>
      </w:r>
      <w:r w:rsidR="00A97894">
        <w:t>r</w:t>
      </w:r>
      <w:r w:rsidRPr="00D00E33">
        <w:t>esolución.</w:t>
      </w:r>
      <w:r>
        <w:t>”</w:t>
      </w:r>
    </w:p>
    <w:p w14:paraId="62A5D94D" w14:textId="07D3E436" w:rsidR="0091140B" w:rsidRPr="00892852" w:rsidRDefault="003819DA" w:rsidP="00377A43">
      <w:pPr>
        <w:pStyle w:val="ARTICULOS"/>
      </w:pPr>
      <w:r w:rsidRPr="00892852">
        <w:lastRenderedPageBreak/>
        <w:t>M</w:t>
      </w:r>
      <w:r w:rsidRPr="00892852">
        <w:rPr>
          <w:szCs w:val="27"/>
        </w:rPr>
        <w:t xml:space="preserve">odificar el artículo 7 de la Resolución CREG 113 de 2011, </w:t>
      </w:r>
      <w:r w:rsidR="00D37866" w:rsidRPr="00892852">
        <w:rPr>
          <w:szCs w:val="27"/>
          <w:lang w:val="es-CO"/>
        </w:rPr>
        <w:t xml:space="preserve">modificado por el artículo 4 de </w:t>
      </w:r>
      <w:r w:rsidR="00F26E80" w:rsidRPr="00892852">
        <w:rPr>
          <w:szCs w:val="27"/>
          <w:lang w:val="es-CO"/>
        </w:rPr>
        <w:t xml:space="preserve">la </w:t>
      </w:r>
      <w:r w:rsidR="00220CFD" w:rsidRPr="00892852">
        <w:rPr>
          <w:szCs w:val="27"/>
          <w:lang w:val="es-CO"/>
        </w:rPr>
        <w:t>R</w:t>
      </w:r>
      <w:r w:rsidR="00F26E80" w:rsidRPr="00892852">
        <w:rPr>
          <w:szCs w:val="27"/>
          <w:lang w:val="es-CO"/>
        </w:rPr>
        <w:t>esolución</w:t>
      </w:r>
      <w:r w:rsidR="00220CFD" w:rsidRPr="00892852">
        <w:rPr>
          <w:szCs w:val="27"/>
          <w:lang w:val="es-CO"/>
        </w:rPr>
        <w:t xml:space="preserve"> CREG </w:t>
      </w:r>
      <w:r w:rsidR="00F26E80" w:rsidRPr="00892852">
        <w:rPr>
          <w:szCs w:val="27"/>
          <w:lang w:val="es-CO"/>
        </w:rPr>
        <w:t>018 de 2012</w:t>
      </w:r>
      <w:r w:rsidR="00220CFD" w:rsidRPr="00892852">
        <w:rPr>
          <w:szCs w:val="27"/>
          <w:lang w:val="es-CO"/>
        </w:rPr>
        <w:t>, el cual quedará así</w:t>
      </w:r>
      <w:r w:rsidRPr="00892852">
        <w:rPr>
          <w:szCs w:val="27"/>
        </w:rPr>
        <w:t>:</w:t>
      </w:r>
    </w:p>
    <w:p w14:paraId="63171C54" w14:textId="77777777" w:rsidR="0091140B" w:rsidRDefault="0091140B" w:rsidP="00E47D1F">
      <w:pPr>
        <w:pStyle w:val="ARTICULOS"/>
        <w:numPr>
          <w:ilvl w:val="0"/>
          <w:numId w:val="0"/>
        </w:numPr>
        <w:ind w:firstLine="1"/>
        <w:rPr>
          <w:highlight w:val="yellow"/>
        </w:rPr>
      </w:pPr>
    </w:p>
    <w:p w14:paraId="0CCE7ADF" w14:textId="33CA9C8A" w:rsidR="00E53567" w:rsidRPr="00763321" w:rsidRDefault="00E53567" w:rsidP="00E53567">
      <w:pPr>
        <w:ind w:left="284"/>
        <w:jc w:val="both"/>
      </w:pPr>
      <w:r>
        <w:rPr>
          <w:rFonts w:cs="Arial"/>
          <w:b/>
          <w:spacing w:val="-3"/>
        </w:rPr>
        <w:t>“</w:t>
      </w:r>
      <w:r w:rsidRPr="00763321">
        <w:rPr>
          <w:rFonts w:cs="Arial"/>
          <w:b/>
          <w:spacing w:val="-3"/>
        </w:rPr>
        <w:t>Artículo 7.</w:t>
      </w:r>
      <w:r w:rsidRPr="00763321">
        <w:rPr>
          <w:b/>
        </w:rPr>
        <w:t xml:space="preserve"> Cargos Regulados de Referencia para la Remuneración de los Costos de Inversión. </w:t>
      </w:r>
      <w:r w:rsidRPr="00763321">
        <w:t xml:space="preserve">Para remunerar los costos de inversión para los gasoductos definidos en el artículo 1 de esta </w:t>
      </w:r>
      <w:r w:rsidR="00A97894">
        <w:t>r</w:t>
      </w:r>
      <w:r w:rsidRPr="00763321">
        <w:t>esolución, de conformidad con lo establecido en la Resolución CREG 126 de 2010, se aprueban las siguientes parejas de cargos regulados:</w:t>
      </w:r>
    </w:p>
    <w:p w14:paraId="684C7116" w14:textId="77777777" w:rsidR="00E53567" w:rsidRPr="00763321" w:rsidRDefault="00E53567" w:rsidP="00E53567">
      <w:pPr>
        <w:ind w:left="284"/>
        <w:jc w:val="both"/>
      </w:pPr>
    </w:p>
    <w:tbl>
      <w:tblPr>
        <w:tblW w:w="9021" w:type="dxa"/>
        <w:tblInd w:w="284" w:type="dxa"/>
        <w:tblCellMar>
          <w:left w:w="70" w:type="dxa"/>
          <w:right w:w="70" w:type="dxa"/>
        </w:tblCellMar>
        <w:tblLook w:val="04A0" w:firstRow="1" w:lastRow="0" w:firstColumn="1" w:lastColumn="0" w:noHBand="0" w:noVBand="1"/>
      </w:tblPr>
      <w:tblGrid>
        <w:gridCol w:w="780"/>
        <w:gridCol w:w="1178"/>
        <w:gridCol w:w="1178"/>
        <w:gridCol w:w="1177"/>
        <w:gridCol w:w="1177"/>
        <w:gridCol w:w="1177"/>
        <w:gridCol w:w="1177"/>
        <w:gridCol w:w="1177"/>
      </w:tblGrid>
      <w:tr w:rsidR="002F0431" w:rsidRPr="001B6FD1" w14:paraId="4324EE16" w14:textId="77777777" w:rsidTr="0003281D">
        <w:trPr>
          <w:trHeight w:val="270"/>
        </w:trPr>
        <w:tc>
          <w:tcPr>
            <w:tcW w:w="0" w:type="auto"/>
            <w:tcBorders>
              <w:top w:val="single" w:sz="12" w:space="0" w:color="auto"/>
              <w:left w:val="nil"/>
              <w:bottom w:val="single" w:sz="8" w:space="0" w:color="auto"/>
              <w:right w:val="nil"/>
            </w:tcBorders>
            <w:shd w:val="clear" w:color="auto" w:fill="auto"/>
            <w:vAlign w:val="center"/>
            <w:hideMark/>
          </w:tcPr>
          <w:p w14:paraId="01C943B1"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 [1]</w:t>
            </w:r>
          </w:p>
        </w:tc>
        <w:tc>
          <w:tcPr>
            <w:tcW w:w="0" w:type="auto"/>
            <w:tcBorders>
              <w:top w:val="single" w:sz="12" w:space="0" w:color="auto"/>
              <w:left w:val="nil"/>
              <w:bottom w:val="single" w:sz="8" w:space="0" w:color="auto"/>
              <w:right w:val="nil"/>
            </w:tcBorders>
            <w:shd w:val="clear" w:color="auto" w:fill="auto"/>
            <w:vAlign w:val="center"/>
            <w:hideMark/>
          </w:tcPr>
          <w:p w14:paraId="21369593"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0</w:t>
            </w:r>
          </w:p>
        </w:tc>
        <w:tc>
          <w:tcPr>
            <w:tcW w:w="0" w:type="auto"/>
            <w:tcBorders>
              <w:top w:val="single" w:sz="12" w:space="0" w:color="auto"/>
              <w:left w:val="nil"/>
              <w:bottom w:val="single" w:sz="8" w:space="0" w:color="auto"/>
              <w:right w:val="nil"/>
            </w:tcBorders>
            <w:shd w:val="clear" w:color="auto" w:fill="auto"/>
            <w:vAlign w:val="center"/>
            <w:hideMark/>
          </w:tcPr>
          <w:p w14:paraId="4614EBB1"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20</w:t>
            </w:r>
          </w:p>
        </w:tc>
        <w:tc>
          <w:tcPr>
            <w:tcW w:w="0" w:type="auto"/>
            <w:tcBorders>
              <w:top w:val="single" w:sz="12" w:space="0" w:color="auto"/>
              <w:left w:val="nil"/>
              <w:bottom w:val="single" w:sz="8" w:space="0" w:color="auto"/>
              <w:right w:val="nil"/>
            </w:tcBorders>
            <w:shd w:val="clear" w:color="auto" w:fill="auto"/>
            <w:vAlign w:val="center"/>
            <w:hideMark/>
          </w:tcPr>
          <w:p w14:paraId="2BA2B420"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40</w:t>
            </w:r>
          </w:p>
        </w:tc>
        <w:tc>
          <w:tcPr>
            <w:tcW w:w="0" w:type="auto"/>
            <w:tcBorders>
              <w:top w:val="single" w:sz="12" w:space="0" w:color="auto"/>
              <w:left w:val="nil"/>
              <w:bottom w:val="single" w:sz="8" w:space="0" w:color="auto"/>
              <w:right w:val="nil"/>
            </w:tcBorders>
            <w:shd w:val="clear" w:color="auto" w:fill="auto"/>
            <w:vAlign w:val="center"/>
            <w:hideMark/>
          </w:tcPr>
          <w:p w14:paraId="1BE50CC3"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50</w:t>
            </w:r>
          </w:p>
        </w:tc>
        <w:tc>
          <w:tcPr>
            <w:tcW w:w="0" w:type="auto"/>
            <w:tcBorders>
              <w:top w:val="single" w:sz="12" w:space="0" w:color="auto"/>
              <w:left w:val="nil"/>
              <w:bottom w:val="single" w:sz="8" w:space="0" w:color="auto"/>
              <w:right w:val="nil"/>
            </w:tcBorders>
            <w:shd w:val="clear" w:color="auto" w:fill="auto"/>
            <w:vAlign w:val="center"/>
            <w:hideMark/>
          </w:tcPr>
          <w:p w14:paraId="3D276636"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60</w:t>
            </w:r>
          </w:p>
        </w:tc>
        <w:tc>
          <w:tcPr>
            <w:tcW w:w="0" w:type="auto"/>
            <w:tcBorders>
              <w:top w:val="single" w:sz="12" w:space="0" w:color="auto"/>
              <w:left w:val="nil"/>
              <w:bottom w:val="single" w:sz="8" w:space="0" w:color="auto"/>
              <w:right w:val="nil"/>
            </w:tcBorders>
            <w:shd w:val="clear" w:color="auto" w:fill="auto"/>
            <w:vAlign w:val="center"/>
            <w:hideMark/>
          </w:tcPr>
          <w:p w14:paraId="2B890980"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70</w:t>
            </w:r>
          </w:p>
        </w:tc>
        <w:tc>
          <w:tcPr>
            <w:tcW w:w="0" w:type="auto"/>
            <w:tcBorders>
              <w:top w:val="single" w:sz="12" w:space="0" w:color="auto"/>
              <w:left w:val="nil"/>
              <w:bottom w:val="single" w:sz="8" w:space="0" w:color="auto"/>
              <w:right w:val="nil"/>
            </w:tcBorders>
            <w:shd w:val="clear" w:color="auto" w:fill="auto"/>
            <w:vAlign w:val="center"/>
            <w:hideMark/>
          </w:tcPr>
          <w:p w14:paraId="433E2BD9"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80</w:t>
            </w:r>
          </w:p>
        </w:tc>
      </w:tr>
      <w:tr w:rsidR="002F0431" w:rsidRPr="001B6FD1" w14:paraId="6345ABA9" w14:textId="77777777" w:rsidTr="0003281D">
        <w:trPr>
          <w:trHeight w:val="257"/>
        </w:trPr>
        <w:tc>
          <w:tcPr>
            <w:tcW w:w="0" w:type="auto"/>
            <w:gridSpan w:val="8"/>
            <w:tcBorders>
              <w:top w:val="single" w:sz="8" w:space="0" w:color="auto"/>
              <w:left w:val="nil"/>
              <w:bottom w:val="single" w:sz="8" w:space="0" w:color="auto"/>
              <w:right w:val="nil"/>
            </w:tcBorders>
            <w:shd w:val="clear" w:color="auto" w:fill="auto"/>
            <w:vAlign w:val="center"/>
            <w:hideMark/>
          </w:tcPr>
          <w:p w14:paraId="7ACE9C0D" w14:textId="77777777" w:rsidR="002F0431" w:rsidRPr="001B6FD1" w:rsidRDefault="002F0431" w:rsidP="00DB4AA5">
            <w:pPr>
              <w:spacing w:after="0"/>
              <w:contextualSpacing w:val="0"/>
              <w:jc w:val="center"/>
              <w:rPr>
                <w:rFonts w:eastAsia="Times New Roman" w:cs="Times New Roman"/>
                <w:b/>
                <w:bCs/>
                <w:color w:val="000000"/>
                <w:sz w:val="20"/>
                <w:szCs w:val="20"/>
                <w:lang w:eastAsia="es-CO"/>
              </w:rPr>
            </w:pPr>
            <w:r w:rsidRPr="001B6FD1">
              <w:rPr>
                <w:rFonts w:eastAsia="Times New Roman" w:cs="Times New Roman"/>
                <w:b/>
                <w:bCs/>
                <w:color w:val="000000"/>
                <w:sz w:val="20"/>
                <w:szCs w:val="20"/>
                <w:lang w:val="es-ES" w:eastAsia="es-CO"/>
              </w:rPr>
              <w:t>Gasoducto Buenos Aires – Ibagué</w:t>
            </w:r>
          </w:p>
        </w:tc>
      </w:tr>
      <w:tr w:rsidR="002F0431" w:rsidRPr="001B6FD1" w14:paraId="035D914C" w14:textId="77777777" w:rsidTr="00F06C8E">
        <w:trPr>
          <w:trHeight w:val="246"/>
        </w:trPr>
        <w:tc>
          <w:tcPr>
            <w:tcW w:w="0" w:type="auto"/>
            <w:tcBorders>
              <w:top w:val="nil"/>
              <w:left w:val="nil"/>
              <w:right w:val="nil"/>
            </w:tcBorders>
            <w:shd w:val="clear" w:color="auto" w:fill="auto"/>
            <w:vAlign w:val="center"/>
            <w:hideMark/>
          </w:tcPr>
          <w:p w14:paraId="02D765DD"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C.F.</w:t>
            </w:r>
          </w:p>
        </w:tc>
        <w:tc>
          <w:tcPr>
            <w:tcW w:w="0" w:type="auto"/>
            <w:tcBorders>
              <w:top w:val="nil"/>
              <w:left w:val="nil"/>
              <w:right w:val="nil"/>
            </w:tcBorders>
            <w:shd w:val="clear" w:color="auto" w:fill="auto"/>
            <w:vAlign w:val="center"/>
            <w:hideMark/>
          </w:tcPr>
          <w:p w14:paraId="1C6B7F3E" w14:textId="0F40DBA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w:t>
            </w:r>
          </w:p>
        </w:tc>
        <w:tc>
          <w:tcPr>
            <w:tcW w:w="0" w:type="auto"/>
            <w:tcBorders>
              <w:top w:val="nil"/>
              <w:left w:val="nil"/>
              <w:right w:val="nil"/>
            </w:tcBorders>
            <w:shd w:val="clear" w:color="auto" w:fill="auto"/>
            <w:vAlign w:val="center"/>
            <w:hideMark/>
          </w:tcPr>
          <w:p w14:paraId="62FD2A97" w14:textId="51B0459B"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45,253</w:t>
            </w:r>
          </w:p>
        </w:tc>
        <w:tc>
          <w:tcPr>
            <w:tcW w:w="0" w:type="auto"/>
            <w:tcBorders>
              <w:top w:val="nil"/>
              <w:left w:val="nil"/>
              <w:right w:val="nil"/>
            </w:tcBorders>
            <w:shd w:val="clear" w:color="auto" w:fill="auto"/>
            <w:vAlign w:val="center"/>
            <w:hideMark/>
          </w:tcPr>
          <w:p w14:paraId="2557D520" w14:textId="12D91BDA"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90,506</w:t>
            </w:r>
          </w:p>
        </w:tc>
        <w:tc>
          <w:tcPr>
            <w:tcW w:w="0" w:type="auto"/>
            <w:tcBorders>
              <w:top w:val="nil"/>
              <w:left w:val="nil"/>
              <w:right w:val="nil"/>
            </w:tcBorders>
            <w:shd w:val="clear" w:color="auto" w:fill="auto"/>
            <w:vAlign w:val="center"/>
            <w:hideMark/>
          </w:tcPr>
          <w:p w14:paraId="3597E02D" w14:textId="71A1A9A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113,133</w:t>
            </w:r>
          </w:p>
        </w:tc>
        <w:tc>
          <w:tcPr>
            <w:tcW w:w="0" w:type="auto"/>
            <w:tcBorders>
              <w:top w:val="nil"/>
              <w:left w:val="nil"/>
              <w:right w:val="nil"/>
            </w:tcBorders>
            <w:shd w:val="clear" w:color="auto" w:fill="auto"/>
            <w:vAlign w:val="center"/>
            <w:hideMark/>
          </w:tcPr>
          <w:p w14:paraId="1E7FF6FD" w14:textId="4430ABCC"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135,759</w:t>
            </w:r>
          </w:p>
        </w:tc>
        <w:tc>
          <w:tcPr>
            <w:tcW w:w="0" w:type="auto"/>
            <w:tcBorders>
              <w:top w:val="nil"/>
              <w:left w:val="nil"/>
              <w:right w:val="nil"/>
            </w:tcBorders>
            <w:shd w:val="clear" w:color="auto" w:fill="auto"/>
            <w:vAlign w:val="center"/>
            <w:hideMark/>
          </w:tcPr>
          <w:p w14:paraId="2E331D2E" w14:textId="76601FB3"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158,386</w:t>
            </w:r>
          </w:p>
        </w:tc>
        <w:tc>
          <w:tcPr>
            <w:tcW w:w="0" w:type="auto"/>
            <w:tcBorders>
              <w:top w:val="nil"/>
              <w:left w:val="nil"/>
              <w:right w:val="nil"/>
            </w:tcBorders>
            <w:shd w:val="clear" w:color="auto" w:fill="auto"/>
            <w:vAlign w:val="center"/>
            <w:hideMark/>
          </w:tcPr>
          <w:p w14:paraId="79F33C4F" w14:textId="6B60056C"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181,012</w:t>
            </w:r>
          </w:p>
        </w:tc>
      </w:tr>
      <w:tr w:rsidR="002F0431" w:rsidRPr="001B6FD1" w14:paraId="655E96A7" w14:textId="77777777" w:rsidTr="00F06C8E">
        <w:trPr>
          <w:trHeight w:val="257"/>
        </w:trPr>
        <w:tc>
          <w:tcPr>
            <w:tcW w:w="0" w:type="auto"/>
            <w:tcBorders>
              <w:top w:val="nil"/>
              <w:left w:val="nil"/>
              <w:bottom w:val="single" w:sz="12" w:space="0" w:color="auto"/>
              <w:right w:val="nil"/>
            </w:tcBorders>
            <w:shd w:val="clear" w:color="auto" w:fill="auto"/>
            <w:vAlign w:val="center"/>
            <w:hideMark/>
          </w:tcPr>
          <w:p w14:paraId="379BC7FB"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C.V</w:t>
            </w:r>
          </w:p>
        </w:tc>
        <w:tc>
          <w:tcPr>
            <w:tcW w:w="0" w:type="auto"/>
            <w:tcBorders>
              <w:top w:val="nil"/>
              <w:left w:val="nil"/>
              <w:bottom w:val="single" w:sz="12" w:space="0" w:color="auto"/>
              <w:right w:val="nil"/>
            </w:tcBorders>
            <w:shd w:val="clear" w:color="auto" w:fill="auto"/>
            <w:vAlign w:val="center"/>
            <w:hideMark/>
          </w:tcPr>
          <w:p w14:paraId="6E53CAF0" w14:textId="346DD58A"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0,903</w:t>
            </w:r>
          </w:p>
        </w:tc>
        <w:tc>
          <w:tcPr>
            <w:tcW w:w="0" w:type="auto"/>
            <w:tcBorders>
              <w:top w:val="nil"/>
              <w:left w:val="nil"/>
              <w:bottom w:val="single" w:sz="12" w:space="0" w:color="auto"/>
              <w:right w:val="nil"/>
            </w:tcBorders>
            <w:shd w:val="clear" w:color="auto" w:fill="auto"/>
            <w:vAlign w:val="center"/>
            <w:hideMark/>
          </w:tcPr>
          <w:p w14:paraId="1F9D4277" w14:textId="1AC51732"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0,722</w:t>
            </w:r>
          </w:p>
        </w:tc>
        <w:tc>
          <w:tcPr>
            <w:tcW w:w="0" w:type="auto"/>
            <w:tcBorders>
              <w:top w:val="nil"/>
              <w:left w:val="nil"/>
              <w:bottom w:val="single" w:sz="12" w:space="0" w:color="auto"/>
              <w:right w:val="nil"/>
            </w:tcBorders>
            <w:shd w:val="clear" w:color="auto" w:fill="auto"/>
            <w:vAlign w:val="center"/>
            <w:hideMark/>
          </w:tcPr>
          <w:p w14:paraId="6F0B8AA5" w14:textId="1F8F8BDB"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0,542</w:t>
            </w:r>
          </w:p>
        </w:tc>
        <w:tc>
          <w:tcPr>
            <w:tcW w:w="0" w:type="auto"/>
            <w:tcBorders>
              <w:top w:val="nil"/>
              <w:left w:val="nil"/>
              <w:bottom w:val="single" w:sz="12" w:space="0" w:color="auto"/>
              <w:right w:val="nil"/>
            </w:tcBorders>
            <w:shd w:val="clear" w:color="auto" w:fill="auto"/>
            <w:vAlign w:val="center"/>
            <w:hideMark/>
          </w:tcPr>
          <w:p w14:paraId="28D2DDB8" w14:textId="373D6A2D"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0,451</w:t>
            </w:r>
          </w:p>
        </w:tc>
        <w:tc>
          <w:tcPr>
            <w:tcW w:w="0" w:type="auto"/>
            <w:tcBorders>
              <w:top w:val="nil"/>
              <w:left w:val="nil"/>
              <w:bottom w:val="single" w:sz="12" w:space="0" w:color="auto"/>
              <w:right w:val="nil"/>
            </w:tcBorders>
            <w:shd w:val="clear" w:color="auto" w:fill="auto"/>
            <w:vAlign w:val="center"/>
            <w:hideMark/>
          </w:tcPr>
          <w:p w14:paraId="3C90A666" w14:textId="27282A82"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0,361</w:t>
            </w:r>
          </w:p>
        </w:tc>
        <w:tc>
          <w:tcPr>
            <w:tcW w:w="0" w:type="auto"/>
            <w:tcBorders>
              <w:top w:val="nil"/>
              <w:left w:val="nil"/>
              <w:bottom w:val="single" w:sz="12" w:space="0" w:color="auto"/>
              <w:right w:val="nil"/>
            </w:tcBorders>
            <w:shd w:val="clear" w:color="auto" w:fill="auto"/>
            <w:vAlign w:val="center"/>
            <w:hideMark/>
          </w:tcPr>
          <w:p w14:paraId="144C66A2" w14:textId="793FEF29"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0,271</w:t>
            </w:r>
          </w:p>
        </w:tc>
        <w:tc>
          <w:tcPr>
            <w:tcW w:w="0" w:type="auto"/>
            <w:tcBorders>
              <w:top w:val="nil"/>
              <w:left w:val="nil"/>
              <w:bottom w:val="single" w:sz="8" w:space="0" w:color="auto"/>
              <w:right w:val="nil"/>
            </w:tcBorders>
            <w:shd w:val="clear" w:color="auto" w:fill="auto"/>
            <w:vAlign w:val="center"/>
            <w:hideMark/>
          </w:tcPr>
          <w:p w14:paraId="520A0495" w14:textId="00C3E1D9"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0,181</w:t>
            </w:r>
          </w:p>
        </w:tc>
      </w:tr>
      <w:tr w:rsidR="002F0431" w:rsidRPr="001B6FD1" w14:paraId="6F355B1A" w14:textId="77777777" w:rsidTr="00F06C8E">
        <w:trPr>
          <w:trHeight w:val="220"/>
        </w:trPr>
        <w:tc>
          <w:tcPr>
            <w:tcW w:w="0" w:type="auto"/>
            <w:gridSpan w:val="8"/>
            <w:tcBorders>
              <w:top w:val="single" w:sz="12" w:space="0" w:color="auto"/>
              <w:left w:val="nil"/>
              <w:bottom w:val="single" w:sz="12" w:space="0" w:color="auto"/>
              <w:right w:val="nil"/>
            </w:tcBorders>
            <w:shd w:val="clear" w:color="auto" w:fill="auto"/>
            <w:vAlign w:val="center"/>
            <w:hideMark/>
          </w:tcPr>
          <w:p w14:paraId="78C66C4A" w14:textId="77777777" w:rsidR="002F0431" w:rsidRPr="001B6FD1" w:rsidRDefault="002F0431" w:rsidP="00095136">
            <w:pPr>
              <w:spacing w:after="0"/>
              <w:contextualSpacing w:val="0"/>
              <w:rPr>
                <w:rFonts w:eastAsia="Times New Roman" w:cs="Times New Roman"/>
                <w:color w:val="000000"/>
                <w:sz w:val="20"/>
                <w:szCs w:val="20"/>
                <w:lang w:eastAsia="es-CO"/>
              </w:rPr>
            </w:pPr>
            <w:r w:rsidRPr="001B6FD1">
              <w:rPr>
                <w:rFonts w:eastAsia="Times New Roman" w:cs="Times New Roman"/>
                <w:color w:val="000000"/>
                <w:sz w:val="20"/>
                <w:szCs w:val="20"/>
                <w:lang w:eastAsia="es-CO"/>
              </w:rPr>
              <w:t>Continuación</w:t>
            </w:r>
          </w:p>
        </w:tc>
      </w:tr>
      <w:tr w:rsidR="002F0431" w:rsidRPr="001B6FD1" w14:paraId="6DED54B2" w14:textId="77777777" w:rsidTr="00F06C8E">
        <w:trPr>
          <w:trHeight w:val="270"/>
        </w:trPr>
        <w:tc>
          <w:tcPr>
            <w:tcW w:w="0" w:type="auto"/>
            <w:tcBorders>
              <w:top w:val="single" w:sz="12" w:space="0" w:color="auto"/>
              <w:left w:val="nil"/>
              <w:bottom w:val="single" w:sz="8" w:space="0" w:color="auto"/>
              <w:right w:val="nil"/>
            </w:tcBorders>
            <w:shd w:val="clear" w:color="auto" w:fill="auto"/>
            <w:vAlign w:val="center"/>
            <w:hideMark/>
          </w:tcPr>
          <w:p w14:paraId="6CF4D6F9"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 [1]</w:t>
            </w:r>
          </w:p>
        </w:tc>
        <w:tc>
          <w:tcPr>
            <w:tcW w:w="0" w:type="auto"/>
            <w:tcBorders>
              <w:top w:val="single" w:sz="12" w:space="0" w:color="auto"/>
              <w:left w:val="nil"/>
              <w:bottom w:val="single" w:sz="8" w:space="0" w:color="auto"/>
              <w:right w:val="nil"/>
            </w:tcBorders>
            <w:shd w:val="clear" w:color="auto" w:fill="auto"/>
            <w:vAlign w:val="center"/>
            <w:hideMark/>
          </w:tcPr>
          <w:p w14:paraId="07E80945"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85</w:t>
            </w:r>
          </w:p>
        </w:tc>
        <w:tc>
          <w:tcPr>
            <w:tcW w:w="0" w:type="auto"/>
            <w:tcBorders>
              <w:top w:val="single" w:sz="12" w:space="0" w:color="auto"/>
              <w:left w:val="nil"/>
              <w:bottom w:val="single" w:sz="8" w:space="0" w:color="auto"/>
              <w:right w:val="nil"/>
            </w:tcBorders>
            <w:shd w:val="clear" w:color="auto" w:fill="auto"/>
            <w:vAlign w:val="center"/>
            <w:hideMark/>
          </w:tcPr>
          <w:p w14:paraId="6BB84473"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90</w:t>
            </w:r>
          </w:p>
        </w:tc>
        <w:tc>
          <w:tcPr>
            <w:tcW w:w="0" w:type="auto"/>
            <w:tcBorders>
              <w:top w:val="single" w:sz="12" w:space="0" w:color="auto"/>
              <w:left w:val="nil"/>
              <w:bottom w:val="single" w:sz="8" w:space="0" w:color="auto"/>
              <w:right w:val="nil"/>
            </w:tcBorders>
            <w:shd w:val="clear" w:color="auto" w:fill="auto"/>
            <w:vAlign w:val="center"/>
            <w:hideMark/>
          </w:tcPr>
          <w:p w14:paraId="1726EC50"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92</w:t>
            </w:r>
          </w:p>
        </w:tc>
        <w:tc>
          <w:tcPr>
            <w:tcW w:w="0" w:type="auto"/>
            <w:tcBorders>
              <w:top w:val="single" w:sz="12" w:space="0" w:color="auto"/>
              <w:left w:val="nil"/>
              <w:bottom w:val="single" w:sz="8" w:space="0" w:color="auto"/>
              <w:right w:val="nil"/>
            </w:tcBorders>
            <w:shd w:val="clear" w:color="auto" w:fill="auto"/>
            <w:vAlign w:val="center"/>
            <w:hideMark/>
          </w:tcPr>
          <w:p w14:paraId="4B446858"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94</w:t>
            </w:r>
          </w:p>
        </w:tc>
        <w:tc>
          <w:tcPr>
            <w:tcW w:w="0" w:type="auto"/>
            <w:tcBorders>
              <w:top w:val="single" w:sz="12" w:space="0" w:color="auto"/>
              <w:left w:val="nil"/>
              <w:bottom w:val="single" w:sz="8" w:space="0" w:color="auto"/>
              <w:right w:val="nil"/>
            </w:tcBorders>
            <w:shd w:val="clear" w:color="auto" w:fill="auto"/>
            <w:vAlign w:val="center"/>
            <w:hideMark/>
          </w:tcPr>
          <w:p w14:paraId="1A63C30D"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96</w:t>
            </w:r>
          </w:p>
        </w:tc>
        <w:tc>
          <w:tcPr>
            <w:tcW w:w="0" w:type="auto"/>
            <w:tcBorders>
              <w:top w:val="single" w:sz="12" w:space="0" w:color="auto"/>
              <w:left w:val="nil"/>
              <w:bottom w:val="single" w:sz="8" w:space="0" w:color="auto"/>
              <w:right w:val="nil"/>
            </w:tcBorders>
            <w:shd w:val="clear" w:color="auto" w:fill="auto"/>
            <w:vAlign w:val="center"/>
            <w:hideMark/>
          </w:tcPr>
          <w:p w14:paraId="003E7D5A"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98</w:t>
            </w:r>
          </w:p>
        </w:tc>
        <w:tc>
          <w:tcPr>
            <w:tcW w:w="0" w:type="auto"/>
            <w:tcBorders>
              <w:top w:val="single" w:sz="12" w:space="0" w:color="auto"/>
              <w:left w:val="nil"/>
              <w:bottom w:val="single" w:sz="8" w:space="0" w:color="auto"/>
              <w:right w:val="nil"/>
            </w:tcBorders>
            <w:shd w:val="clear" w:color="auto" w:fill="auto"/>
            <w:vAlign w:val="center"/>
            <w:hideMark/>
          </w:tcPr>
          <w:p w14:paraId="785B9EF0"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100</w:t>
            </w:r>
          </w:p>
        </w:tc>
      </w:tr>
      <w:tr w:rsidR="002F0431" w:rsidRPr="001B6FD1" w14:paraId="0F048031" w14:textId="77777777" w:rsidTr="0003281D">
        <w:trPr>
          <w:trHeight w:val="257"/>
        </w:trPr>
        <w:tc>
          <w:tcPr>
            <w:tcW w:w="0" w:type="auto"/>
            <w:gridSpan w:val="8"/>
            <w:tcBorders>
              <w:top w:val="single" w:sz="8" w:space="0" w:color="auto"/>
              <w:left w:val="nil"/>
              <w:bottom w:val="single" w:sz="8" w:space="0" w:color="auto"/>
              <w:right w:val="nil"/>
            </w:tcBorders>
            <w:shd w:val="clear" w:color="auto" w:fill="auto"/>
            <w:vAlign w:val="center"/>
            <w:hideMark/>
          </w:tcPr>
          <w:p w14:paraId="44D73477" w14:textId="77777777" w:rsidR="002F0431" w:rsidRPr="001B6FD1" w:rsidRDefault="002F0431" w:rsidP="00DB4AA5">
            <w:pPr>
              <w:spacing w:after="0"/>
              <w:contextualSpacing w:val="0"/>
              <w:jc w:val="center"/>
              <w:rPr>
                <w:rFonts w:eastAsia="Times New Roman" w:cs="Times New Roman"/>
                <w:b/>
                <w:bCs/>
                <w:color w:val="000000"/>
                <w:sz w:val="20"/>
                <w:szCs w:val="20"/>
                <w:lang w:eastAsia="es-CO"/>
              </w:rPr>
            </w:pPr>
            <w:r w:rsidRPr="001B6FD1">
              <w:rPr>
                <w:rFonts w:eastAsia="Times New Roman" w:cs="Times New Roman"/>
                <w:b/>
                <w:bCs/>
                <w:color w:val="000000"/>
                <w:sz w:val="20"/>
                <w:szCs w:val="20"/>
                <w:lang w:val="es-ES" w:eastAsia="es-CO"/>
              </w:rPr>
              <w:t>Gasoducto Buenos Aires – Ibagué</w:t>
            </w:r>
          </w:p>
        </w:tc>
      </w:tr>
      <w:tr w:rsidR="002F0431" w:rsidRPr="001B6FD1" w14:paraId="0F958CAA" w14:textId="77777777" w:rsidTr="0003281D">
        <w:trPr>
          <w:trHeight w:val="246"/>
        </w:trPr>
        <w:tc>
          <w:tcPr>
            <w:tcW w:w="0" w:type="auto"/>
            <w:tcBorders>
              <w:top w:val="nil"/>
              <w:left w:val="nil"/>
              <w:bottom w:val="nil"/>
              <w:right w:val="nil"/>
            </w:tcBorders>
            <w:shd w:val="clear" w:color="auto" w:fill="auto"/>
            <w:vAlign w:val="center"/>
            <w:hideMark/>
          </w:tcPr>
          <w:p w14:paraId="3AB68BCD" w14:textId="77777777"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C.F.</w:t>
            </w:r>
          </w:p>
        </w:tc>
        <w:tc>
          <w:tcPr>
            <w:tcW w:w="0" w:type="auto"/>
            <w:tcBorders>
              <w:top w:val="nil"/>
              <w:left w:val="nil"/>
              <w:bottom w:val="nil"/>
              <w:right w:val="nil"/>
            </w:tcBorders>
            <w:shd w:val="clear" w:color="auto" w:fill="auto"/>
            <w:vAlign w:val="center"/>
            <w:hideMark/>
          </w:tcPr>
          <w:p w14:paraId="081E1390" w14:textId="48DDF0EE"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192,326</w:t>
            </w:r>
          </w:p>
        </w:tc>
        <w:tc>
          <w:tcPr>
            <w:tcW w:w="0" w:type="auto"/>
            <w:tcBorders>
              <w:top w:val="nil"/>
              <w:left w:val="nil"/>
              <w:bottom w:val="nil"/>
              <w:right w:val="nil"/>
            </w:tcBorders>
            <w:shd w:val="clear" w:color="auto" w:fill="auto"/>
            <w:vAlign w:val="center"/>
            <w:hideMark/>
          </w:tcPr>
          <w:p w14:paraId="04E137DC" w14:textId="4FB0806B"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203,639</w:t>
            </w:r>
          </w:p>
        </w:tc>
        <w:tc>
          <w:tcPr>
            <w:tcW w:w="0" w:type="auto"/>
            <w:tcBorders>
              <w:top w:val="nil"/>
              <w:left w:val="nil"/>
              <w:bottom w:val="nil"/>
              <w:right w:val="nil"/>
            </w:tcBorders>
            <w:shd w:val="clear" w:color="auto" w:fill="auto"/>
            <w:vAlign w:val="center"/>
            <w:hideMark/>
          </w:tcPr>
          <w:p w14:paraId="4F289D68" w14:textId="21EA07E4"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208,164</w:t>
            </w:r>
          </w:p>
        </w:tc>
        <w:tc>
          <w:tcPr>
            <w:tcW w:w="0" w:type="auto"/>
            <w:tcBorders>
              <w:top w:val="nil"/>
              <w:left w:val="nil"/>
              <w:bottom w:val="nil"/>
              <w:right w:val="nil"/>
            </w:tcBorders>
            <w:shd w:val="clear" w:color="auto" w:fill="auto"/>
            <w:vAlign w:val="center"/>
            <w:hideMark/>
          </w:tcPr>
          <w:p w14:paraId="642B783E" w14:textId="120BDADB"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212,690</w:t>
            </w:r>
          </w:p>
        </w:tc>
        <w:tc>
          <w:tcPr>
            <w:tcW w:w="0" w:type="auto"/>
            <w:tcBorders>
              <w:top w:val="nil"/>
              <w:left w:val="nil"/>
              <w:bottom w:val="nil"/>
              <w:right w:val="nil"/>
            </w:tcBorders>
            <w:shd w:val="clear" w:color="auto" w:fill="auto"/>
            <w:vAlign w:val="center"/>
            <w:hideMark/>
          </w:tcPr>
          <w:p w14:paraId="72B0DE14" w14:textId="4CF4AD2F"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217,215</w:t>
            </w:r>
          </w:p>
        </w:tc>
        <w:tc>
          <w:tcPr>
            <w:tcW w:w="0" w:type="auto"/>
            <w:tcBorders>
              <w:top w:val="nil"/>
              <w:left w:val="nil"/>
              <w:bottom w:val="nil"/>
              <w:right w:val="nil"/>
            </w:tcBorders>
            <w:shd w:val="clear" w:color="auto" w:fill="auto"/>
            <w:vAlign w:val="center"/>
            <w:hideMark/>
          </w:tcPr>
          <w:p w14:paraId="06449344" w14:textId="08220B2B"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221,740</w:t>
            </w:r>
          </w:p>
        </w:tc>
        <w:tc>
          <w:tcPr>
            <w:tcW w:w="0" w:type="auto"/>
            <w:tcBorders>
              <w:top w:val="nil"/>
              <w:left w:val="nil"/>
              <w:bottom w:val="nil"/>
              <w:right w:val="nil"/>
            </w:tcBorders>
            <w:shd w:val="clear" w:color="auto" w:fill="auto"/>
            <w:vAlign w:val="center"/>
            <w:hideMark/>
          </w:tcPr>
          <w:p w14:paraId="0FD23DB2" w14:textId="7FD301FA"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226,266</w:t>
            </w:r>
          </w:p>
        </w:tc>
      </w:tr>
      <w:tr w:rsidR="002F0431" w:rsidRPr="001B6FD1" w14:paraId="6C763599" w14:textId="77777777" w:rsidTr="0003281D">
        <w:trPr>
          <w:trHeight w:val="257"/>
        </w:trPr>
        <w:tc>
          <w:tcPr>
            <w:tcW w:w="0" w:type="auto"/>
            <w:tcBorders>
              <w:top w:val="nil"/>
              <w:left w:val="nil"/>
              <w:bottom w:val="single" w:sz="12" w:space="0" w:color="auto"/>
              <w:right w:val="nil"/>
            </w:tcBorders>
            <w:shd w:val="clear" w:color="auto" w:fill="auto"/>
            <w:vAlign w:val="center"/>
            <w:hideMark/>
          </w:tcPr>
          <w:p w14:paraId="774215AB" w14:textId="7896DA92"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val="es-ES" w:eastAsia="es-CO"/>
              </w:rPr>
              <w:t>C.V</w:t>
            </w:r>
          </w:p>
        </w:tc>
        <w:tc>
          <w:tcPr>
            <w:tcW w:w="0" w:type="auto"/>
            <w:tcBorders>
              <w:top w:val="nil"/>
              <w:left w:val="nil"/>
              <w:bottom w:val="single" w:sz="12" w:space="0" w:color="auto"/>
              <w:right w:val="nil"/>
            </w:tcBorders>
            <w:shd w:val="clear" w:color="auto" w:fill="auto"/>
            <w:vAlign w:val="center"/>
            <w:hideMark/>
          </w:tcPr>
          <w:p w14:paraId="3D463F00" w14:textId="5EFCAA56"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0,135</w:t>
            </w:r>
          </w:p>
        </w:tc>
        <w:tc>
          <w:tcPr>
            <w:tcW w:w="0" w:type="auto"/>
            <w:tcBorders>
              <w:top w:val="nil"/>
              <w:left w:val="nil"/>
              <w:bottom w:val="single" w:sz="12" w:space="0" w:color="auto"/>
              <w:right w:val="nil"/>
            </w:tcBorders>
            <w:shd w:val="clear" w:color="auto" w:fill="auto"/>
            <w:vAlign w:val="center"/>
            <w:hideMark/>
          </w:tcPr>
          <w:p w14:paraId="4AEBC2D5" w14:textId="3C94152F"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0,090</w:t>
            </w:r>
          </w:p>
        </w:tc>
        <w:tc>
          <w:tcPr>
            <w:tcW w:w="0" w:type="auto"/>
            <w:tcBorders>
              <w:top w:val="nil"/>
              <w:left w:val="nil"/>
              <w:bottom w:val="single" w:sz="12" w:space="0" w:color="auto"/>
              <w:right w:val="nil"/>
            </w:tcBorders>
            <w:shd w:val="clear" w:color="auto" w:fill="auto"/>
            <w:vAlign w:val="center"/>
            <w:hideMark/>
          </w:tcPr>
          <w:p w14:paraId="519E4B6E" w14:textId="74F00934"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0,072</w:t>
            </w:r>
          </w:p>
        </w:tc>
        <w:tc>
          <w:tcPr>
            <w:tcW w:w="0" w:type="auto"/>
            <w:tcBorders>
              <w:top w:val="nil"/>
              <w:left w:val="nil"/>
              <w:bottom w:val="single" w:sz="12" w:space="0" w:color="auto"/>
              <w:right w:val="nil"/>
            </w:tcBorders>
            <w:shd w:val="clear" w:color="auto" w:fill="auto"/>
            <w:vAlign w:val="center"/>
            <w:hideMark/>
          </w:tcPr>
          <w:p w14:paraId="40C0A3F0" w14:textId="41C309BF"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0,054</w:t>
            </w:r>
          </w:p>
        </w:tc>
        <w:tc>
          <w:tcPr>
            <w:tcW w:w="0" w:type="auto"/>
            <w:tcBorders>
              <w:top w:val="nil"/>
              <w:left w:val="nil"/>
              <w:bottom w:val="single" w:sz="12" w:space="0" w:color="auto"/>
              <w:right w:val="nil"/>
            </w:tcBorders>
            <w:shd w:val="clear" w:color="auto" w:fill="auto"/>
            <w:vAlign w:val="center"/>
            <w:hideMark/>
          </w:tcPr>
          <w:p w14:paraId="395DF405" w14:textId="755CC5D6"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0,036</w:t>
            </w:r>
          </w:p>
        </w:tc>
        <w:tc>
          <w:tcPr>
            <w:tcW w:w="0" w:type="auto"/>
            <w:tcBorders>
              <w:top w:val="nil"/>
              <w:left w:val="nil"/>
              <w:bottom w:val="single" w:sz="12" w:space="0" w:color="auto"/>
              <w:right w:val="nil"/>
            </w:tcBorders>
            <w:shd w:val="clear" w:color="auto" w:fill="auto"/>
            <w:vAlign w:val="center"/>
            <w:hideMark/>
          </w:tcPr>
          <w:p w14:paraId="646748BE" w14:textId="4A49A50E"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0,018</w:t>
            </w:r>
          </w:p>
        </w:tc>
        <w:tc>
          <w:tcPr>
            <w:tcW w:w="0" w:type="auto"/>
            <w:tcBorders>
              <w:top w:val="nil"/>
              <w:left w:val="nil"/>
              <w:bottom w:val="single" w:sz="12" w:space="0" w:color="auto"/>
              <w:right w:val="nil"/>
            </w:tcBorders>
            <w:shd w:val="clear" w:color="auto" w:fill="auto"/>
            <w:vAlign w:val="center"/>
            <w:hideMark/>
          </w:tcPr>
          <w:p w14:paraId="695E9490" w14:textId="7741ABD8" w:rsidR="002F0431" w:rsidRPr="001B6FD1" w:rsidRDefault="002F0431" w:rsidP="00DB4AA5">
            <w:pPr>
              <w:spacing w:after="0"/>
              <w:contextualSpacing w:val="0"/>
              <w:jc w:val="center"/>
              <w:rPr>
                <w:rFonts w:eastAsia="Times New Roman" w:cs="Times New Roman"/>
                <w:color w:val="000000"/>
                <w:sz w:val="20"/>
                <w:szCs w:val="20"/>
                <w:lang w:eastAsia="es-CO"/>
              </w:rPr>
            </w:pPr>
            <w:r w:rsidRPr="001B6FD1">
              <w:rPr>
                <w:rFonts w:eastAsia="Times New Roman" w:cs="Times New Roman"/>
                <w:color w:val="000000"/>
                <w:sz w:val="20"/>
                <w:szCs w:val="20"/>
                <w:lang w:eastAsia="es-CO"/>
              </w:rPr>
              <w:t>-</w:t>
            </w:r>
          </w:p>
        </w:tc>
      </w:tr>
    </w:tbl>
    <w:p w14:paraId="501C88AC" w14:textId="5515BDF2" w:rsidR="00E53567" w:rsidRPr="00763321" w:rsidRDefault="00E53567" w:rsidP="004D297A">
      <w:pPr>
        <w:tabs>
          <w:tab w:val="left" w:pos="9021"/>
        </w:tabs>
        <w:ind w:left="284" w:right="335"/>
        <w:jc w:val="both"/>
        <w:rPr>
          <w:sz w:val="20"/>
          <w:szCs w:val="20"/>
        </w:rPr>
      </w:pPr>
      <w:r w:rsidRPr="00763321">
        <w:rPr>
          <w:sz w:val="20"/>
          <w:szCs w:val="20"/>
        </w:rPr>
        <w:t xml:space="preserve">C.F. = Cargo fijo expresado en US $ de diciembre 31 de 2009 por </w:t>
      </w:r>
      <w:proofErr w:type="spellStart"/>
      <w:r w:rsidRPr="00763321">
        <w:rPr>
          <w:sz w:val="20"/>
          <w:szCs w:val="20"/>
        </w:rPr>
        <w:t>kpcd</w:t>
      </w:r>
      <w:proofErr w:type="spellEnd"/>
      <w:r w:rsidRPr="00763321">
        <w:rPr>
          <w:sz w:val="20"/>
          <w:szCs w:val="20"/>
        </w:rPr>
        <w:t>-año</w:t>
      </w:r>
      <w:r w:rsidR="004D297A" w:rsidRPr="00763321">
        <w:rPr>
          <w:sz w:val="20"/>
          <w:szCs w:val="20"/>
        </w:rPr>
        <w:t>.</w:t>
      </w:r>
    </w:p>
    <w:p w14:paraId="71B40CBE" w14:textId="2290BB4E" w:rsidR="00E53567" w:rsidRPr="00763321" w:rsidRDefault="00E53567" w:rsidP="004D297A">
      <w:pPr>
        <w:tabs>
          <w:tab w:val="left" w:pos="9021"/>
        </w:tabs>
        <w:ind w:left="284" w:right="335"/>
        <w:jc w:val="both"/>
        <w:rPr>
          <w:sz w:val="20"/>
          <w:szCs w:val="20"/>
        </w:rPr>
      </w:pPr>
      <w:r w:rsidRPr="00763321">
        <w:rPr>
          <w:sz w:val="20"/>
          <w:szCs w:val="20"/>
        </w:rPr>
        <w:t xml:space="preserve">C.V. = Cargo variable expresado en US $ de diciembre 31 de 2009 por </w:t>
      </w:r>
      <w:proofErr w:type="spellStart"/>
      <w:r w:rsidRPr="00763321">
        <w:rPr>
          <w:sz w:val="20"/>
          <w:szCs w:val="20"/>
        </w:rPr>
        <w:t>kpc</w:t>
      </w:r>
      <w:proofErr w:type="spellEnd"/>
      <w:r w:rsidR="004D297A" w:rsidRPr="00763321">
        <w:rPr>
          <w:sz w:val="20"/>
          <w:szCs w:val="20"/>
        </w:rPr>
        <w:t>.</w:t>
      </w:r>
    </w:p>
    <w:p w14:paraId="2359C232" w14:textId="256E7488" w:rsidR="00E53567" w:rsidRPr="00763321" w:rsidRDefault="00E53567" w:rsidP="004D297A">
      <w:pPr>
        <w:tabs>
          <w:tab w:val="left" w:pos="9021"/>
        </w:tabs>
        <w:ind w:left="284" w:right="335"/>
        <w:jc w:val="both"/>
        <w:rPr>
          <w:sz w:val="20"/>
          <w:szCs w:val="20"/>
        </w:rPr>
      </w:pPr>
      <w:r w:rsidRPr="00763321">
        <w:rPr>
          <w:sz w:val="20"/>
          <w:szCs w:val="20"/>
        </w:rPr>
        <w:t>[1] Porcentaje de la inversión remunerada con cargo fijo</w:t>
      </w:r>
      <w:r w:rsidR="004D297A" w:rsidRPr="00763321">
        <w:rPr>
          <w:sz w:val="20"/>
          <w:szCs w:val="20"/>
        </w:rPr>
        <w:t>.</w:t>
      </w:r>
    </w:p>
    <w:p w14:paraId="457BC4AA" w14:textId="0FB3F6C9" w:rsidR="00E53567" w:rsidRPr="002F0431" w:rsidRDefault="00E53567" w:rsidP="003A6625">
      <w:pPr>
        <w:ind w:left="284" w:right="142"/>
        <w:jc w:val="both"/>
        <w:rPr>
          <w:sz w:val="20"/>
          <w:szCs w:val="20"/>
        </w:rPr>
      </w:pPr>
      <w:r w:rsidRPr="00763321">
        <w:rPr>
          <w:sz w:val="20"/>
          <w:szCs w:val="20"/>
        </w:rPr>
        <w:t xml:space="preserve">NOTA: Para la interpretación de esta </w:t>
      </w:r>
      <w:r w:rsidR="00A97894">
        <w:rPr>
          <w:sz w:val="20"/>
          <w:szCs w:val="20"/>
        </w:rPr>
        <w:t>r</w:t>
      </w:r>
      <w:r w:rsidRPr="00763321">
        <w:rPr>
          <w:sz w:val="20"/>
          <w:szCs w:val="20"/>
        </w:rPr>
        <w:t>esolución las cifras decimales se separan con coma y las cifras de miles se separan con punto</w:t>
      </w:r>
      <w:r w:rsidR="00A36BCC" w:rsidRPr="00763321">
        <w:rPr>
          <w:sz w:val="20"/>
          <w:szCs w:val="20"/>
        </w:rPr>
        <w:t>.</w:t>
      </w:r>
    </w:p>
    <w:p w14:paraId="3834990E" w14:textId="77777777" w:rsidR="00E53567" w:rsidRDefault="00E53567" w:rsidP="00E53567">
      <w:pPr>
        <w:ind w:left="284" w:right="335"/>
        <w:jc w:val="both"/>
      </w:pPr>
    </w:p>
    <w:tbl>
      <w:tblPr>
        <w:tblW w:w="9003" w:type="dxa"/>
        <w:tblInd w:w="284" w:type="dxa"/>
        <w:tblCellMar>
          <w:left w:w="70" w:type="dxa"/>
          <w:right w:w="70" w:type="dxa"/>
        </w:tblCellMar>
        <w:tblLook w:val="04A0" w:firstRow="1" w:lastRow="0" w:firstColumn="1" w:lastColumn="0" w:noHBand="0" w:noVBand="1"/>
      </w:tblPr>
      <w:tblGrid>
        <w:gridCol w:w="778"/>
        <w:gridCol w:w="1175"/>
        <w:gridCol w:w="1175"/>
        <w:gridCol w:w="1175"/>
        <w:gridCol w:w="1175"/>
        <w:gridCol w:w="1175"/>
        <w:gridCol w:w="1175"/>
        <w:gridCol w:w="1175"/>
      </w:tblGrid>
      <w:tr w:rsidR="00A36BCC" w:rsidRPr="00130481" w14:paraId="30984AF5" w14:textId="77777777" w:rsidTr="00130481">
        <w:trPr>
          <w:trHeight w:val="264"/>
        </w:trPr>
        <w:tc>
          <w:tcPr>
            <w:tcW w:w="0" w:type="auto"/>
            <w:tcBorders>
              <w:top w:val="single" w:sz="12" w:space="0" w:color="auto"/>
              <w:left w:val="nil"/>
              <w:bottom w:val="single" w:sz="8" w:space="0" w:color="auto"/>
              <w:right w:val="nil"/>
            </w:tcBorders>
            <w:shd w:val="clear" w:color="auto" w:fill="auto"/>
            <w:vAlign w:val="center"/>
            <w:hideMark/>
          </w:tcPr>
          <w:p w14:paraId="05068AC7" w14:textId="77777777" w:rsidR="00A36BCC" w:rsidRPr="00130481" w:rsidRDefault="00A36BCC" w:rsidP="00A36BCC">
            <w:pPr>
              <w:spacing w:after="0"/>
              <w:contextualSpacing w:val="0"/>
              <w:jc w:val="both"/>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 [1]</w:t>
            </w:r>
          </w:p>
        </w:tc>
        <w:tc>
          <w:tcPr>
            <w:tcW w:w="0" w:type="auto"/>
            <w:tcBorders>
              <w:top w:val="single" w:sz="12" w:space="0" w:color="auto"/>
              <w:left w:val="nil"/>
              <w:bottom w:val="single" w:sz="8" w:space="0" w:color="auto"/>
              <w:right w:val="nil"/>
            </w:tcBorders>
            <w:shd w:val="clear" w:color="auto" w:fill="auto"/>
            <w:vAlign w:val="center"/>
            <w:hideMark/>
          </w:tcPr>
          <w:p w14:paraId="6706B507"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0</w:t>
            </w:r>
          </w:p>
        </w:tc>
        <w:tc>
          <w:tcPr>
            <w:tcW w:w="0" w:type="auto"/>
            <w:tcBorders>
              <w:top w:val="single" w:sz="12" w:space="0" w:color="auto"/>
              <w:left w:val="nil"/>
              <w:bottom w:val="single" w:sz="8" w:space="0" w:color="auto"/>
              <w:right w:val="nil"/>
            </w:tcBorders>
            <w:shd w:val="clear" w:color="auto" w:fill="auto"/>
            <w:vAlign w:val="center"/>
            <w:hideMark/>
          </w:tcPr>
          <w:p w14:paraId="075BCB5A"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20</w:t>
            </w:r>
          </w:p>
        </w:tc>
        <w:tc>
          <w:tcPr>
            <w:tcW w:w="0" w:type="auto"/>
            <w:tcBorders>
              <w:top w:val="single" w:sz="12" w:space="0" w:color="auto"/>
              <w:left w:val="nil"/>
              <w:bottom w:val="single" w:sz="8" w:space="0" w:color="auto"/>
              <w:right w:val="nil"/>
            </w:tcBorders>
            <w:shd w:val="clear" w:color="auto" w:fill="auto"/>
            <w:vAlign w:val="center"/>
            <w:hideMark/>
          </w:tcPr>
          <w:p w14:paraId="6794EE32"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40</w:t>
            </w:r>
          </w:p>
        </w:tc>
        <w:tc>
          <w:tcPr>
            <w:tcW w:w="0" w:type="auto"/>
            <w:tcBorders>
              <w:top w:val="single" w:sz="12" w:space="0" w:color="auto"/>
              <w:left w:val="nil"/>
              <w:bottom w:val="single" w:sz="8" w:space="0" w:color="auto"/>
              <w:right w:val="nil"/>
            </w:tcBorders>
            <w:shd w:val="clear" w:color="auto" w:fill="auto"/>
            <w:vAlign w:val="center"/>
            <w:hideMark/>
          </w:tcPr>
          <w:p w14:paraId="5782DE56"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50</w:t>
            </w:r>
          </w:p>
        </w:tc>
        <w:tc>
          <w:tcPr>
            <w:tcW w:w="0" w:type="auto"/>
            <w:tcBorders>
              <w:top w:val="single" w:sz="12" w:space="0" w:color="auto"/>
              <w:left w:val="nil"/>
              <w:bottom w:val="single" w:sz="8" w:space="0" w:color="auto"/>
              <w:right w:val="nil"/>
            </w:tcBorders>
            <w:shd w:val="clear" w:color="auto" w:fill="auto"/>
            <w:vAlign w:val="center"/>
            <w:hideMark/>
          </w:tcPr>
          <w:p w14:paraId="529871D7"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60</w:t>
            </w:r>
          </w:p>
        </w:tc>
        <w:tc>
          <w:tcPr>
            <w:tcW w:w="0" w:type="auto"/>
            <w:tcBorders>
              <w:top w:val="single" w:sz="12" w:space="0" w:color="auto"/>
              <w:left w:val="nil"/>
              <w:bottom w:val="single" w:sz="8" w:space="0" w:color="auto"/>
              <w:right w:val="nil"/>
            </w:tcBorders>
            <w:shd w:val="clear" w:color="auto" w:fill="auto"/>
            <w:vAlign w:val="center"/>
            <w:hideMark/>
          </w:tcPr>
          <w:p w14:paraId="3D5434D3"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70</w:t>
            </w:r>
          </w:p>
        </w:tc>
        <w:tc>
          <w:tcPr>
            <w:tcW w:w="0" w:type="auto"/>
            <w:tcBorders>
              <w:top w:val="single" w:sz="12" w:space="0" w:color="auto"/>
              <w:left w:val="nil"/>
              <w:bottom w:val="single" w:sz="8" w:space="0" w:color="auto"/>
              <w:right w:val="nil"/>
            </w:tcBorders>
            <w:shd w:val="clear" w:color="auto" w:fill="auto"/>
            <w:vAlign w:val="center"/>
            <w:hideMark/>
          </w:tcPr>
          <w:p w14:paraId="627B55D2"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80</w:t>
            </w:r>
          </w:p>
        </w:tc>
      </w:tr>
      <w:tr w:rsidR="00A36BCC" w:rsidRPr="00130481" w14:paraId="212A9804" w14:textId="77777777" w:rsidTr="00130481">
        <w:trPr>
          <w:trHeight w:val="252"/>
        </w:trPr>
        <w:tc>
          <w:tcPr>
            <w:tcW w:w="0" w:type="auto"/>
            <w:gridSpan w:val="8"/>
            <w:tcBorders>
              <w:top w:val="single" w:sz="8" w:space="0" w:color="auto"/>
              <w:left w:val="nil"/>
              <w:bottom w:val="single" w:sz="8" w:space="0" w:color="auto"/>
              <w:right w:val="nil"/>
            </w:tcBorders>
            <w:shd w:val="clear" w:color="auto" w:fill="auto"/>
            <w:vAlign w:val="center"/>
            <w:hideMark/>
          </w:tcPr>
          <w:p w14:paraId="5D806188" w14:textId="77777777" w:rsidR="00A36BCC" w:rsidRPr="00130481" w:rsidRDefault="00A36BCC" w:rsidP="00A36BCC">
            <w:pPr>
              <w:spacing w:after="0"/>
              <w:contextualSpacing w:val="0"/>
              <w:jc w:val="center"/>
              <w:rPr>
                <w:rFonts w:eastAsia="Times New Roman" w:cs="Times New Roman"/>
                <w:b/>
                <w:bCs/>
                <w:color w:val="000000"/>
                <w:sz w:val="20"/>
                <w:szCs w:val="20"/>
                <w:lang w:eastAsia="es-CO"/>
              </w:rPr>
            </w:pPr>
            <w:r w:rsidRPr="00130481">
              <w:rPr>
                <w:rFonts w:eastAsia="Times New Roman" w:cs="Times New Roman"/>
                <w:b/>
                <w:bCs/>
                <w:color w:val="000000"/>
                <w:sz w:val="20"/>
                <w:szCs w:val="20"/>
                <w:lang w:eastAsia="es-CO"/>
              </w:rPr>
              <w:t xml:space="preserve">Gasoducto </w:t>
            </w:r>
            <w:proofErr w:type="spellStart"/>
            <w:r w:rsidRPr="00130481">
              <w:rPr>
                <w:rFonts w:eastAsia="Times New Roman" w:cs="Times New Roman"/>
                <w:b/>
                <w:bCs/>
                <w:color w:val="000000"/>
                <w:sz w:val="20"/>
                <w:szCs w:val="20"/>
                <w:lang w:eastAsia="es-CO"/>
              </w:rPr>
              <w:t>Chicoral</w:t>
            </w:r>
            <w:proofErr w:type="spellEnd"/>
            <w:r w:rsidRPr="00130481">
              <w:rPr>
                <w:rFonts w:eastAsia="Times New Roman" w:cs="Times New Roman"/>
                <w:b/>
                <w:bCs/>
                <w:color w:val="000000"/>
                <w:sz w:val="20"/>
                <w:szCs w:val="20"/>
                <w:lang w:eastAsia="es-CO"/>
              </w:rPr>
              <w:t xml:space="preserve"> – Espinal - Flandes</w:t>
            </w:r>
          </w:p>
        </w:tc>
      </w:tr>
      <w:tr w:rsidR="00A36BCC" w:rsidRPr="00130481" w14:paraId="5757BD09" w14:textId="77777777" w:rsidTr="00130481">
        <w:trPr>
          <w:trHeight w:val="240"/>
        </w:trPr>
        <w:tc>
          <w:tcPr>
            <w:tcW w:w="0" w:type="auto"/>
            <w:tcBorders>
              <w:top w:val="nil"/>
              <w:left w:val="nil"/>
              <w:bottom w:val="nil"/>
              <w:right w:val="nil"/>
            </w:tcBorders>
            <w:shd w:val="clear" w:color="auto" w:fill="auto"/>
            <w:vAlign w:val="center"/>
            <w:hideMark/>
          </w:tcPr>
          <w:p w14:paraId="7A16A3B9"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C.F.</w:t>
            </w:r>
          </w:p>
        </w:tc>
        <w:tc>
          <w:tcPr>
            <w:tcW w:w="0" w:type="auto"/>
            <w:tcBorders>
              <w:top w:val="nil"/>
              <w:left w:val="nil"/>
              <w:bottom w:val="nil"/>
              <w:right w:val="nil"/>
            </w:tcBorders>
            <w:shd w:val="clear" w:color="auto" w:fill="auto"/>
            <w:vAlign w:val="center"/>
            <w:hideMark/>
          </w:tcPr>
          <w:p w14:paraId="5193DAFB" w14:textId="7D3A45F6"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w:t>
            </w:r>
          </w:p>
        </w:tc>
        <w:tc>
          <w:tcPr>
            <w:tcW w:w="0" w:type="auto"/>
            <w:tcBorders>
              <w:top w:val="nil"/>
              <w:left w:val="nil"/>
              <w:bottom w:val="nil"/>
              <w:right w:val="nil"/>
            </w:tcBorders>
            <w:shd w:val="clear" w:color="auto" w:fill="auto"/>
            <w:vAlign w:val="center"/>
            <w:hideMark/>
          </w:tcPr>
          <w:p w14:paraId="3044A2E1" w14:textId="34D93322"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82,163</w:t>
            </w:r>
          </w:p>
        </w:tc>
        <w:tc>
          <w:tcPr>
            <w:tcW w:w="0" w:type="auto"/>
            <w:tcBorders>
              <w:top w:val="nil"/>
              <w:left w:val="nil"/>
              <w:bottom w:val="nil"/>
              <w:right w:val="nil"/>
            </w:tcBorders>
            <w:shd w:val="clear" w:color="auto" w:fill="auto"/>
            <w:vAlign w:val="center"/>
            <w:hideMark/>
          </w:tcPr>
          <w:p w14:paraId="54296775" w14:textId="7F594E1E"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164,325</w:t>
            </w:r>
          </w:p>
        </w:tc>
        <w:tc>
          <w:tcPr>
            <w:tcW w:w="0" w:type="auto"/>
            <w:tcBorders>
              <w:top w:val="nil"/>
              <w:left w:val="nil"/>
              <w:bottom w:val="nil"/>
              <w:right w:val="nil"/>
            </w:tcBorders>
            <w:shd w:val="clear" w:color="auto" w:fill="auto"/>
            <w:vAlign w:val="center"/>
            <w:hideMark/>
          </w:tcPr>
          <w:p w14:paraId="5372C58D" w14:textId="26E5F906"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205,406</w:t>
            </w:r>
          </w:p>
        </w:tc>
        <w:tc>
          <w:tcPr>
            <w:tcW w:w="0" w:type="auto"/>
            <w:tcBorders>
              <w:top w:val="nil"/>
              <w:left w:val="nil"/>
              <w:bottom w:val="nil"/>
              <w:right w:val="nil"/>
            </w:tcBorders>
            <w:shd w:val="clear" w:color="auto" w:fill="auto"/>
            <w:vAlign w:val="center"/>
            <w:hideMark/>
          </w:tcPr>
          <w:p w14:paraId="75118816" w14:textId="127383B1"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246,488</w:t>
            </w:r>
          </w:p>
        </w:tc>
        <w:tc>
          <w:tcPr>
            <w:tcW w:w="0" w:type="auto"/>
            <w:tcBorders>
              <w:top w:val="nil"/>
              <w:left w:val="nil"/>
              <w:bottom w:val="nil"/>
              <w:right w:val="nil"/>
            </w:tcBorders>
            <w:shd w:val="clear" w:color="auto" w:fill="auto"/>
            <w:vAlign w:val="center"/>
            <w:hideMark/>
          </w:tcPr>
          <w:p w14:paraId="3C9EBA57" w14:textId="4DDE81BB"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287,569</w:t>
            </w:r>
          </w:p>
        </w:tc>
        <w:tc>
          <w:tcPr>
            <w:tcW w:w="0" w:type="auto"/>
            <w:tcBorders>
              <w:top w:val="nil"/>
              <w:left w:val="nil"/>
              <w:bottom w:val="nil"/>
              <w:right w:val="nil"/>
            </w:tcBorders>
            <w:shd w:val="clear" w:color="auto" w:fill="auto"/>
            <w:vAlign w:val="center"/>
            <w:hideMark/>
          </w:tcPr>
          <w:p w14:paraId="305F694F" w14:textId="3127D3F3"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328,650</w:t>
            </w:r>
          </w:p>
        </w:tc>
      </w:tr>
      <w:tr w:rsidR="00A36BCC" w:rsidRPr="00130481" w14:paraId="18042D62" w14:textId="77777777" w:rsidTr="00F06C8E">
        <w:trPr>
          <w:trHeight w:val="252"/>
        </w:trPr>
        <w:tc>
          <w:tcPr>
            <w:tcW w:w="0" w:type="auto"/>
            <w:tcBorders>
              <w:top w:val="nil"/>
              <w:left w:val="nil"/>
              <w:bottom w:val="single" w:sz="12" w:space="0" w:color="auto"/>
              <w:right w:val="nil"/>
            </w:tcBorders>
            <w:shd w:val="clear" w:color="auto" w:fill="auto"/>
            <w:vAlign w:val="center"/>
            <w:hideMark/>
          </w:tcPr>
          <w:p w14:paraId="5BFBEB18"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C.V</w:t>
            </w:r>
          </w:p>
        </w:tc>
        <w:tc>
          <w:tcPr>
            <w:tcW w:w="0" w:type="auto"/>
            <w:tcBorders>
              <w:top w:val="nil"/>
              <w:left w:val="nil"/>
              <w:bottom w:val="single" w:sz="12" w:space="0" w:color="auto"/>
              <w:right w:val="nil"/>
            </w:tcBorders>
            <w:shd w:val="clear" w:color="auto" w:fill="auto"/>
            <w:vAlign w:val="center"/>
            <w:hideMark/>
          </w:tcPr>
          <w:p w14:paraId="6A76D5FA" w14:textId="35B94AFD"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1,353</w:t>
            </w:r>
          </w:p>
        </w:tc>
        <w:tc>
          <w:tcPr>
            <w:tcW w:w="0" w:type="auto"/>
            <w:tcBorders>
              <w:top w:val="nil"/>
              <w:left w:val="nil"/>
              <w:bottom w:val="single" w:sz="12" w:space="0" w:color="auto"/>
              <w:right w:val="nil"/>
            </w:tcBorders>
            <w:shd w:val="clear" w:color="auto" w:fill="auto"/>
            <w:vAlign w:val="center"/>
            <w:hideMark/>
          </w:tcPr>
          <w:p w14:paraId="6BFBC4FD" w14:textId="344AD833"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1,083</w:t>
            </w:r>
          </w:p>
        </w:tc>
        <w:tc>
          <w:tcPr>
            <w:tcW w:w="0" w:type="auto"/>
            <w:tcBorders>
              <w:top w:val="nil"/>
              <w:left w:val="nil"/>
              <w:bottom w:val="single" w:sz="12" w:space="0" w:color="auto"/>
              <w:right w:val="nil"/>
            </w:tcBorders>
            <w:shd w:val="clear" w:color="auto" w:fill="auto"/>
            <w:vAlign w:val="center"/>
            <w:hideMark/>
          </w:tcPr>
          <w:p w14:paraId="34C110B4" w14:textId="75063F9C"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0,812</w:t>
            </w:r>
          </w:p>
        </w:tc>
        <w:tc>
          <w:tcPr>
            <w:tcW w:w="0" w:type="auto"/>
            <w:tcBorders>
              <w:top w:val="nil"/>
              <w:left w:val="nil"/>
              <w:bottom w:val="single" w:sz="12" w:space="0" w:color="auto"/>
              <w:right w:val="nil"/>
            </w:tcBorders>
            <w:shd w:val="clear" w:color="auto" w:fill="auto"/>
            <w:vAlign w:val="center"/>
            <w:hideMark/>
          </w:tcPr>
          <w:p w14:paraId="6DAA875B" w14:textId="5C18853E"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0,677</w:t>
            </w:r>
          </w:p>
        </w:tc>
        <w:tc>
          <w:tcPr>
            <w:tcW w:w="0" w:type="auto"/>
            <w:tcBorders>
              <w:top w:val="nil"/>
              <w:left w:val="nil"/>
              <w:bottom w:val="single" w:sz="12" w:space="0" w:color="auto"/>
              <w:right w:val="nil"/>
            </w:tcBorders>
            <w:shd w:val="clear" w:color="auto" w:fill="auto"/>
            <w:vAlign w:val="center"/>
            <w:hideMark/>
          </w:tcPr>
          <w:p w14:paraId="42179037" w14:textId="6248076D"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0,541</w:t>
            </w:r>
          </w:p>
        </w:tc>
        <w:tc>
          <w:tcPr>
            <w:tcW w:w="0" w:type="auto"/>
            <w:tcBorders>
              <w:top w:val="nil"/>
              <w:left w:val="nil"/>
              <w:bottom w:val="single" w:sz="12" w:space="0" w:color="auto"/>
              <w:right w:val="nil"/>
            </w:tcBorders>
            <w:shd w:val="clear" w:color="auto" w:fill="auto"/>
            <w:vAlign w:val="center"/>
            <w:hideMark/>
          </w:tcPr>
          <w:p w14:paraId="1D046606" w14:textId="5D80A8CB"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0,406</w:t>
            </w:r>
          </w:p>
        </w:tc>
        <w:tc>
          <w:tcPr>
            <w:tcW w:w="0" w:type="auto"/>
            <w:tcBorders>
              <w:top w:val="nil"/>
              <w:left w:val="nil"/>
              <w:bottom w:val="single" w:sz="8" w:space="0" w:color="auto"/>
              <w:right w:val="nil"/>
            </w:tcBorders>
            <w:shd w:val="clear" w:color="auto" w:fill="auto"/>
            <w:vAlign w:val="center"/>
            <w:hideMark/>
          </w:tcPr>
          <w:p w14:paraId="4CCAB810" w14:textId="26B795F0"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0,271</w:t>
            </w:r>
          </w:p>
        </w:tc>
      </w:tr>
      <w:tr w:rsidR="00A36BCC" w:rsidRPr="00130481" w14:paraId="0ADE5E4A" w14:textId="77777777" w:rsidTr="00F06C8E">
        <w:trPr>
          <w:trHeight w:val="252"/>
        </w:trPr>
        <w:tc>
          <w:tcPr>
            <w:tcW w:w="0" w:type="auto"/>
            <w:gridSpan w:val="8"/>
            <w:tcBorders>
              <w:top w:val="single" w:sz="12" w:space="0" w:color="auto"/>
              <w:left w:val="nil"/>
              <w:bottom w:val="single" w:sz="8" w:space="0" w:color="auto"/>
              <w:right w:val="nil"/>
            </w:tcBorders>
            <w:shd w:val="clear" w:color="auto" w:fill="auto"/>
            <w:vAlign w:val="center"/>
            <w:hideMark/>
          </w:tcPr>
          <w:p w14:paraId="734DCDD5" w14:textId="77777777" w:rsidR="00A36BCC" w:rsidRPr="00130481" w:rsidRDefault="00A36BCC" w:rsidP="00267B17">
            <w:pPr>
              <w:spacing w:after="0"/>
              <w:contextualSpacing w:val="0"/>
              <w:rPr>
                <w:rFonts w:eastAsia="Times New Roman" w:cs="Times New Roman"/>
                <w:color w:val="000000"/>
                <w:sz w:val="20"/>
                <w:szCs w:val="20"/>
                <w:lang w:eastAsia="es-CO"/>
              </w:rPr>
            </w:pPr>
            <w:r w:rsidRPr="00130481">
              <w:rPr>
                <w:rFonts w:eastAsia="Times New Roman" w:cs="Times New Roman"/>
                <w:color w:val="000000"/>
                <w:sz w:val="20"/>
                <w:szCs w:val="20"/>
                <w:lang w:eastAsia="es-CO"/>
              </w:rPr>
              <w:t>Continuación</w:t>
            </w:r>
          </w:p>
        </w:tc>
      </w:tr>
      <w:tr w:rsidR="00A36BCC" w:rsidRPr="00130481" w14:paraId="4BD2B74B" w14:textId="77777777" w:rsidTr="00F06C8E">
        <w:trPr>
          <w:trHeight w:val="252"/>
        </w:trPr>
        <w:tc>
          <w:tcPr>
            <w:tcW w:w="0" w:type="auto"/>
            <w:tcBorders>
              <w:top w:val="single" w:sz="12" w:space="0" w:color="auto"/>
              <w:left w:val="nil"/>
              <w:bottom w:val="single" w:sz="8" w:space="0" w:color="auto"/>
              <w:right w:val="nil"/>
            </w:tcBorders>
            <w:shd w:val="clear" w:color="auto" w:fill="auto"/>
            <w:vAlign w:val="center"/>
            <w:hideMark/>
          </w:tcPr>
          <w:p w14:paraId="0FD404BE"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 [1]</w:t>
            </w:r>
          </w:p>
        </w:tc>
        <w:tc>
          <w:tcPr>
            <w:tcW w:w="0" w:type="auto"/>
            <w:tcBorders>
              <w:top w:val="single" w:sz="12" w:space="0" w:color="auto"/>
              <w:left w:val="nil"/>
              <w:bottom w:val="single" w:sz="8" w:space="0" w:color="auto"/>
              <w:right w:val="nil"/>
            </w:tcBorders>
            <w:shd w:val="clear" w:color="auto" w:fill="auto"/>
            <w:vAlign w:val="center"/>
            <w:hideMark/>
          </w:tcPr>
          <w:p w14:paraId="53C6A7EB"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85</w:t>
            </w:r>
          </w:p>
        </w:tc>
        <w:tc>
          <w:tcPr>
            <w:tcW w:w="0" w:type="auto"/>
            <w:tcBorders>
              <w:top w:val="single" w:sz="12" w:space="0" w:color="auto"/>
              <w:left w:val="nil"/>
              <w:bottom w:val="single" w:sz="8" w:space="0" w:color="auto"/>
              <w:right w:val="nil"/>
            </w:tcBorders>
            <w:shd w:val="clear" w:color="auto" w:fill="auto"/>
            <w:vAlign w:val="center"/>
            <w:hideMark/>
          </w:tcPr>
          <w:p w14:paraId="0724B35F"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90</w:t>
            </w:r>
          </w:p>
        </w:tc>
        <w:tc>
          <w:tcPr>
            <w:tcW w:w="0" w:type="auto"/>
            <w:tcBorders>
              <w:top w:val="single" w:sz="12" w:space="0" w:color="auto"/>
              <w:left w:val="nil"/>
              <w:bottom w:val="single" w:sz="8" w:space="0" w:color="auto"/>
              <w:right w:val="nil"/>
            </w:tcBorders>
            <w:shd w:val="clear" w:color="auto" w:fill="auto"/>
            <w:vAlign w:val="center"/>
            <w:hideMark/>
          </w:tcPr>
          <w:p w14:paraId="2602048D"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92</w:t>
            </w:r>
          </w:p>
        </w:tc>
        <w:tc>
          <w:tcPr>
            <w:tcW w:w="0" w:type="auto"/>
            <w:tcBorders>
              <w:top w:val="single" w:sz="12" w:space="0" w:color="auto"/>
              <w:left w:val="nil"/>
              <w:bottom w:val="single" w:sz="8" w:space="0" w:color="auto"/>
              <w:right w:val="nil"/>
            </w:tcBorders>
            <w:shd w:val="clear" w:color="auto" w:fill="auto"/>
            <w:vAlign w:val="center"/>
            <w:hideMark/>
          </w:tcPr>
          <w:p w14:paraId="3675622D"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94</w:t>
            </w:r>
          </w:p>
        </w:tc>
        <w:tc>
          <w:tcPr>
            <w:tcW w:w="0" w:type="auto"/>
            <w:tcBorders>
              <w:top w:val="single" w:sz="12" w:space="0" w:color="auto"/>
              <w:left w:val="nil"/>
              <w:bottom w:val="single" w:sz="8" w:space="0" w:color="auto"/>
              <w:right w:val="nil"/>
            </w:tcBorders>
            <w:shd w:val="clear" w:color="auto" w:fill="auto"/>
            <w:vAlign w:val="center"/>
            <w:hideMark/>
          </w:tcPr>
          <w:p w14:paraId="504420BA"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96</w:t>
            </w:r>
          </w:p>
        </w:tc>
        <w:tc>
          <w:tcPr>
            <w:tcW w:w="0" w:type="auto"/>
            <w:tcBorders>
              <w:top w:val="single" w:sz="12" w:space="0" w:color="auto"/>
              <w:left w:val="nil"/>
              <w:bottom w:val="single" w:sz="8" w:space="0" w:color="auto"/>
              <w:right w:val="nil"/>
            </w:tcBorders>
            <w:shd w:val="clear" w:color="auto" w:fill="auto"/>
            <w:vAlign w:val="center"/>
            <w:hideMark/>
          </w:tcPr>
          <w:p w14:paraId="60A86B3E"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98</w:t>
            </w:r>
          </w:p>
        </w:tc>
        <w:tc>
          <w:tcPr>
            <w:tcW w:w="0" w:type="auto"/>
            <w:tcBorders>
              <w:top w:val="single" w:sz="12" w:space="0" w:color="auto"/>
              <w:left w:val="nil"/>
              <w:bottom w:val="single" w:sz="8" w:space="0" w:color="auto"/>
              <w:right w:val="nil"/>
            </w:tcBorders>
            <w:shd w:val="clear" w:color="auto" w:fill="auto"/>
            <w:vAlign w:val="center"/>
            <w:hideMark/>
          </w:tcPr>
          <w:p w14:paraId="3827040A"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100</w:t>
            </w:r>
          </w:p>
        </w:tc>
      </w:tr>
      <w:tr w:rsidR="00A36BCC" w:rsidRPr="00130481" w14:paraId="28E6C63E" w14:textId="77777777" w:rsidTr="00130481">
        <w:trPr>
          <w:trHeight w:val="252"/>
        </w:trPr>
        <w:tc>
          <w:tcPr>
            <w:tcW w:w="0" w:type="auto"/>
            <w:gridSpan w:val="8"/>
            <w:tcBorders>
              <w:top w:val="single" w:sz="8" w:space="0" w:color="auto"/>
              <w:left w:val="nil"/>
              <w:bottom w:val="single" w:sz="8" w:space="0" w:color="auto"/>
              <w:right w:val="nil"/>
            </w:tcBorders>
            <w:shd w:val="clear" w:color="auto" w:fill="auto"/>
            <w:vAlign w:val="center"/>
            <w:hideMark/>
          </w:tcPr>
          <w:p w14:paraId="6DCE92E8" w14:textId="77777777" w:rsidR="00A36BCC" w:rsidRPr="00130481" w:rsidRDefault="00A36BCC" w:rsidP="00A36BCC">
            <w:pPr>
              <w:spacing w:after="0"/>
              <w:contextualSpacing w:val="0"/>
              <w:jc w:val="center"/>
              <w:rPr>
                <w:rFonts w:eastAsia="Times New Roman" w:cs="Times New Roman"/>
                <w:b/>
                <w:bCs/>
                <w:color w:val="000000"/>
                <w:sz w:val="20"/>
                <w:szCs w:val="20"/>
                <w:lang w:eastAsia="es-CO"/>
              </w:rPr>
            </w:pPr>
            <w:r w:rsidRPr="00130481">
              <w:rPr>
                <w:rFonts w:eastAsia="Times New Roman" w:cs="Times New Roman"/>
                <w:b/>
                <w:bCs/>
                <w:color w:val="000000"/>
                <w:sz w:val="20"/>
                <w:szCs w:val="20"/>
                <w:lang w:val="es-ES" w:eastAsia="es-CO"/>
              </w:rPr>
              <w:t xml:space="preserve">Gasoducto </w:t>
            </w:r>
            <w:proofErr w:type="spellStart"/>
            <w:r w:rsidRPr="00130481">
              <w:rPr>
                <w:rFonts w:eastAsia="Times New Roman" w:cs="Times New Roman"/>
                <w:b/>
                <w:bCs/>
                <w:color w:val="000000"/>
                <w:sz w:val="20"/>
                <w:szCs w:val="20"/>
                <w:lang w:val="es-ES" w:eastAsia="es-CO"/>
              </w:rPr>
              <w:t>Chicoral</w:t>
            </w:r>
            <w:proofErr w:type="spellEnd"/>
            <w:r w:rsidRPr="00130481">
              <w:rPr>
                <w:rFonts w:eastAsia="Times New Roman" w:cs="Times New Roman"/>
                <w:b/>
                <w:bCs/>
                <w:color w:val="000000"/>
                <w:sz w:val="20"/>
                <w:szCs w:val="20"/>
                <w:lang w:val="es-ES" w:eastAsia="es-CO"/>
              </w:rPr>
              <w:t xml:space="preserve"> – Espinal - Flandes</w:t>
            </w:r>
          </w:p>
        </w:tc>
      </w:tr>
      <w:tr w:rsidR="00A36BCC" w:rsidRPr="00130481" w14:paraId="653DBEC8" w14:textId="77777777" w:rsidTr="00130481">
        <w:trPr>
          <w:trHeight w:val="240"/>
        </w:trPr>
        <w:tc>
          <w:tcPr>
            <w:tcW w:w="0" w:type="auto"/>
            <w:tcBorders>
              <w:top w:val="nil"/>
              <w:left w:val="nil"/>
              <w:bottom w:val="nil"/>
              <w:right w:val="nil"/>
            </w:tcBorders>
            <w:shd w:val="clear" w:color="auto" w:fill="auto"/>
            <w:vAlign w:val="center"/>
            <w:hideMark/>
          </w:tcPr>
          <w:p w14:paraId="38500B05"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C.F.</w:t>
            </w:r>
          </w:p>
        </w:tc>
        <w:tc>
          <w:tcPr>
            <w:tcW w:w="0" w:type="auto"/>
            <w:tcBorders>
              <w:top w:val="nil"/>
              <w:left w:val="nil"/>
              <w:bottom w:val="nil"/>
              <w:right w:val="nil"/>
            </w:tcBorders>
            <w:shd w:val="clear" w:color="auto" w:fill="auto"/>
            <w:vAlign w:val="center"/>
            <w:hideMark/>
          </w:tcPr>
          <w:p w14:paraId="71C39821" w14:textId="50B918F8"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349,191</w:t>
            </w:r>
          </w:p>
        </w:tc>
        <w:tc>
          <w:tcPr>
            <w:tcW w:w="0" w:type="auto"/>
            <w:tcBorders>
              <w:top w:val="nil"/>
              <w:left w:val="nil"/>
              <w:bottom w:val="nil"/>
              <w:right w:val="nil"/>
            </w:tcBorders>
            <w:shd w:val="clear" w:color="auto" w:fill="auto"/>
            <w:vAlign w:val="center"/>
            <w:hideMark/>
          </w:tcPr>
          <w:p w14:paraId="77B0179B" w14:textId="5BA8312A"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369,732</w:t>
            </w:r>
          </w:p>
        </w:tc>
        <w:tc>
          <w:tcPr>
            <w:tcW w:w="0" w:type="auto"/>
            <w:tcBorders>
              <w:top w:val="nil"/>
              <w:left w:val="nil"/>
              <w:bottom w:val="nil"/>
              <w:right w:val="nil"/>
            </w:tcBorders>
            <w:shd w:val="clear" w:color="auto" w:fill="auto"/>
            <w:vAlign w:val="center"/>
            <w:hideMark/>
          </w:tcPr>
          <w:p w14:paraId="39868B9F" w14:textId="7B81F1F5"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377,948</w:t>
            </w:r>
          </w:p>
        </w:tc>
        <w:tc>
          <w:tcPr>
            <w:tcW w:w="0" w:type="auto"/>
            <w:tcBorders>
              <w:top w:val="nil"/>
              <w:left w:val="nil"/>
              <w:bottom w:val="nil"/>
              <w:right w:val="nil"/>
            </w:tcBorders>
            <w:shd w:val="clear" w:color="auto" w:fill="auto"/>
            <w:vAlign w:val="center"/>
            <w:hideMark/>
          </w:tcPr>
          <w:p w14:paraId="79A72568" w14:textId="126FCBF4"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386,164</w:t>
            </w:r>
          </w:p>
        </w:tc>
        <w:tc>
          <w:tcPr>
            <w:tcW w:w="0" w:type="auto"/>
            <w:tcBorders>
              <w:top w:val="nil"/>
              <w:left w:val="nil"/>
              <w:bottom w:val="nil"/>
              <w:right w:val="nil"/>
            </w:tcBorders>
            <w:shd w:val="clear" w:color="auto" w:fill="auto"/>
            <w:vAlign w:val="center"/>
            <w:hideMark/>
          </w:tcPr>
          <w:p w14:paraId="1C52EE09" w14:textId="46FEA1AD"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394,380</w:t>
            </w:r>
          </w:p>
        </w:tc>
        <w:tc>
          <w:tcPr>
            <w:tcW w:w="0" w:type="auto"/>
            <w:tcBorders>
              <w:top w:val="nil"/>
              <w:left w:val="nil"/>
              <w:bottom w:val="nil"/>
              <w:right w:val="nil"/>
            </w:tcBorders>
            <w:shd w:val="clear" w:color="auto" w:fill="auto"/>
            <w:vAlign w:val="center"/>
            <w:hideMark/>
          </w:tcPr>
          <w:p w14:paraId="34828E6F" w14:textId="165E8699"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402,597</w:t>
            </w:r>
          </w:p>
        </w:tc>
        <w:tc>
          <w:tcPr>
            <w:tcW w:w="0" w:type="auto"/>
            <w:tcBorders>
              <w:top w:val="nil"/>
              <w:left w:val="nil"/>
              <w:bottom w:val="nil"/>
              <w:right w:val="nil"/>
            </w:tcBorders>
            <w:shd w:val="clear" w:color="auto" w:fill="auto"/>
            <w:vAlign w:val="center"/>
            <w:hideMark/>
          </w:tcPr>
          <w:p w14:paraId="0F9F16E3" w14:textId="1847735E"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410,813</w:t>
            </w:r>
          </w:p>
        </w:tc>
      </w:tr>
      <w:tr w:rsidR="00A36BCC" w:rsidRPr="00130481" w14:paraId="37B28EEA" w14:textId="77777777" w:rsidTr="00130481">
        <w:trPr>
          <w:trHeight w:val="252"/>
        </w:trPr>
        <w:tc>
          <w:tcPr>
            <w:tcW w:w="0" w:type="auto"/>
            <w:tcBorders>
              <w:top w:val="nil"/>
              <w:left w:val="nil"/>
              <w:bottom w:val="single" w:sz="12" w:space="0" w:color="auto"/>
              <w:right w:val="nil"/>
            </w:tcBorders>
            <w:shd w:val="clear" w:color="auto" w:fill="auto"/>
            <w:vAlign w:val="center"/>
            <w:hideMark/>
          </w:tcPr>
          <w:p w14:paraId="0CCCE0F7" w14:textId="7777777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val="es-ES" w:eastAsia="es-CO"/>
              </w:rPr>
              <w:t xml:space="preserve"> C.V </w:t>
            </w:r>
          </w:p>
        </w:tc>
        <w:tc>
          <w:tcPr>
            <w:tcW w:w="0" w:type="auto"/>
            <w:tcBorders>
              <w:top w:val="nil"/>
              <w:left w:val="nil"/>
              <w:bottom w:val="single" w:sz="12" w:space="0" w:color="auto"/>
              <w:right w:val="nil"/>
            </w:tcBorders>
            <w:shd w:val="clear" w:color="auto" w:fill="auto"/>
            <w:vAlign w:val="center"/>
            <w:hideMark/>
          </w:tcPr>
          <w:p w14:paraId="2ADF2332" w14:textId="0D879B57"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0,203</w:t>
            </w:r>
          </w:p>
        </w:tc>
        <w:tc>
          <w:tcPr>
            <w:tcW w:w="0" w:type="auto"/>
            <w:tcBorders>
              <w:top w:val="nil"/>
              <w:left w:val="nil"/>
              <w:bottom w:val="single" w:sz="12" w:space="0" w:color="auto"/>
              <w:right w:val="nil"/>
            </w:tcBorders>
            <w:shd w:val="clear" w:color="auto" w:fill="auto"/>
            <w:vAlign w:val="center"/>
            <w:hideMark/>
          </w:tcPr>
          <w:p w14:paraId="4D56093C" w14:textId="2784B19F"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0,135</w:t>
            </w:r>
          </w:p>
        </w:tc>
        <w:tc>
          <w:tcPr>
            <w:tcW w:w="0" w:type="auto"/>
            <w:tcBorders>
              <w:top w:val="nil"/>
              <w:left w:val="nil"/>
              <w:bottom w:val="single" w:sz="12" w:space="0" w:color="auto"/>
              <w:right w:val="nil"/>
            </w:tcBorders>
            <w:shd w:val="clear" w:color="auto" w:fill="auto"/>
            <w:vAlign w:val="center"/>
            <w:hideMark/>
          </w:tcPr>
          <w:p w14:paraId="78AD14FD" w14:textId="73A7F2A5"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0,108</w:t>
            </w:r>
          </w:p>
        </w:tc>
        <w:tc>
          <w:tcPr>
            <w:tcW w:w="0" w:type="auto"/>
            <w:tcBorders>
              <w:top w:val="nil"/>
              <w:left w:val="nil"/>
              <w:bottom w:val="single" w:sz="12" w:space="0" w:color="auto"/>
              <w:right w:val="nil"/>
            </w:tcBorders>
            <w:shd w:val="clear" w:color="auto" w:fill="auto"/>
            <w:vAlign w:val="center"/>
            <w:hideMark/>
          </w:tcPr>
          <w:p w14:paraId="230B3814" w14:textId="68B0F63A"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0,081</w:t>
            </w:r>
          </w:p>
        </w:tc>
        <w:tc>
          <w:tcPr>
            <w:tcW w:w="0" w:type="auto"/>
            <w:tcBorders>
              <w:top w:val="nil"/>
              <w:left w:val="nil"/>
              <w:bottom w:val="single" w:sz="12" w:space="0" w:color="auto"/>
              <w:right w:val="nil"/>
            </w:tcBorders>
            <w:shd w:val="clear" w:color="auto" w:fill="auto"/>
            <w:vAlign w:val="center"/>
            <w:hideMark/>
          </w:tcPr>
          <w:p w14:paraId="00732F03" w14:textId="0BC26E22"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0,054</w:t>
            </w:r>
          </w:p>
        </w:tc>
        <w:tc>
          <w:tcPr>
            <w:tcW w:w="0" w:type="auto"/>
            <w:tcBorders>
              <w:top w:val="nil"/>
              <w:left w:val="nil"/>
              <w:bottom w:val="single" w:sz="12" w:space="0" w:color="auto"/>
              <w:right w:val="nil"/>
            </w:tcBorders>
            <w:shd w:val="clear" w:color="auto" w:fill="auto"/>
            <w:vAlign w:val="center"/>
            <w:hideMark/>
          </w:tcPr>
          <w:p w14:paraId="5DDF2E1A" w14:textId="6D84151C"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0,027</w:t>
            </w:r>
          </w:p>
        </w:tc>
        <w:tc>
          <w:tcPr>
            <w:tcW w:w="0" w:type="auto"/>
            <w:tcBorders>
              <w:top w:val="nil"/>
              <w:left w:val="nil"/>
              <w:bottom w:val="single" w:sz="12" w:space="0" w:color="auto"/>
              <w:right w:val="nil"/>
            </w:tcBorders>
            <w:shd w:val="clear" w:color="auto" w:fill="auto"/>
            <w:vAlign w:val="center"/>
            <w:hideMark/>
          </w:tcPr>
          <w:p w14:paraId="55F87522" w14:textId="243632AA" w:rsidR="00A36BCC" w:rsidRPr="00130481" w:rsidRDefault="00A36BCC" w:rsidP="00A36BCC">
            <w:pPr>
              <w:spacing w:after="0"/>
              <w:contextualSpacing w:val="0"/>
              <w:jc w:val="center"/>
              <w:rPr>
                <w:rFonts w:eastAsia="Times New Roman" w:cs="Times New Roman"/>
                <w:color w:val="000000"/>
                <w:sz w:val="20"/>
                <w:szCs w:val="20"/>
                <w:lang w:eastAsia="es-CO"/>
              </w:rPr>
            </w:pPr>
            <w:r w:rsidRPr="00130481">
              <w:rPr>
                <w:rFonts w:eastAsia="Times New Roman" w:cs="Times New Roman"/>
                <w:color w:val="000000"/>
                <w:sz w:val="20"/>
                <w:szCs w:val="20"/>
                <w:lang w:eastAsia="es-CO"/>
              </w:rPr>
              <w:t>-</w:t>
            </w:r>
          </w:p>
        </w:tc>
      </w:tr>
    </w:tbl>
    <w:p w14:paraId="13883AF9" w14:textId="77777777" w:rsidR="00A36BCC" w:rsidRDefault="00A36BCC" w:rsidP="00E53567">
      <w:pPr>
        <w:ind w:left="284" w:right="335"/>
        <w:jc w:val="both"/>
      </w:pPr>
    </w:p>
    <w:p w14:paraId="2701E2BC" w14:textId="7628729C" w:rsidR="00E53567" w:rsidRPr="00C73DBD" w:rsidRDefault="00E53567" w:rsidP="00E53567">
      <w:pPr>
        <w:ind w:left="284" w:right="335"/>
        <w:jc w:val="both"/>
        <w:rPr>
          <w:sz w:val="20"/>
          <w:szCs w:val="20"/>
        </w:rPr>
      </w:pPr>
      <w:r w:rsidRPr="00C73DBD">
        <w:rPr>
          <w:sz w:val="20"/>
          <w:szCs w:val="20"/>
        </w:rPr>
        <w:t xml:space="preserve">C.F. = Cargo fijo expresado en US $ de diciembre 31 de 2009 por </w:t>
      </w:r>
      <w:proofErr w:type="spellStart"/>
      <w:r w:rsidRPr="00C73DBD">
        <w:rPr>
          <w:sz w:val="20"/>
          <w:szCs w:val="20"/>
        </w:rPr>
        <w:t>kpcd</w:t>
      </w:r>
      <w:proofErr w:type="spellEnd"/>
      <w:r w:rsidRPr="00C73DBD">
        <w:rPr>
          <w:sz w:val="20"/>
          <w:szCs w:val="20"/>
        </w:rPr>
        <w:t>-año</w:t>
      </w:r>
      <w:r w:rsidR="00C73DBD">
        <w:rPr>
          <w:sz w:val="20"/>
          <w:szCs w:val="20"/>
        </w:rPr>
        <w:t>.</w:t>
      </w:r>
    </w:p>
    <w:p w14:paraId="0E640D8F" w14:textId="2D7069A8" w:rsidR="00E53567" w:rsidRPr="00C73DBD" w:rsidRDefault="00E53567" w:rsidP="00E53567">
      <w:pPr>
        <w:ind w:left="284" w:right="335"/>
        <w:jc w:val="both"/>
        <w:rPr>
          <w:sz w:val="20"/>
          <w:szCs w:val="20"/>
        </w:rPr>
      </w:pPr>
      <w:r w:rsidRPr="00C73DBD">
        <w:rPr>
          <w:sz w:val="20"/>
          <w:szCs w:val="20"/>
        </w:rPr>
        <w:t xml:space="preserve">C.V. = Cargo variable expresado en US $ de diciembre 31 de 2009 por </w:t>
      </w:r>
      <w:proofErr w:type="spellStart"/>
      <w:r w:rsidRPr="00C73DBD">
        <w:rPr>
          <w:sz w:val="20"/>
          <w:szCs w:val="20"/>
        </w:rPr>
        <w:t>kpc</w:t>
      </w:r>
      <w:proofErr w:type="spellEnd"/>
      <w:r w:rsidR="0003281D">
        <w:rPr>
          <w:sz w:val="20"/>
          <w:szCs w:val="20"/>
        </w:rPr>
        <w:t>.</w:t>
      </w:r>
      <w:r w:rsidRPr="00C73DBD">
        <w:rPr>
          <w:sz w:val="20"/>
          <w:szCs w:val="20"/>
        </w:rPr>
        <w:t xml:space="preserve"> </w:t>
      </w:r>
    </w:p>
    <w:p w14:paraId="2F68D076" w14:textId="4C921F95" w:rsidR="00E53567" w:rsidRPr="00C73DBD" w:rsidRDefault="00E53567" w:rsidP="00E53567">
      <w:pPr>
        <w:ind w:left="284" w:right="335"/>
        <w:jc w:val="both"/>
        <w:rPr>
          <w:sz w:val="20"/>
          <w:szCs w:val="20"/>
        </w:rPr>
      </w:pPr>
      <w:r w:rsidRPr="00C73DBD">
        <w:rPr>
          <w:sz w:val="20"/>
          <w:szCs w:val="20"/>
        </w:rPr>
        <w:t>[1] Porcentaje de la inversión remunerada con cargo fijo</w:t>
      </w:r>
      <w:r w:rsidR="0003281D">
        <w:rPr>
          <w:sz w:val="20"/>
          <w:szCs w:val="20"/>
        </w:rPr>
        <w:t>.</w:t>
      </w:r>
    </w:p>
    <w:p w14:paraId="63120A78" w14:textId="0F400FC3" w:rsidR="00E53567" w:rsidRPr="00C73DBD" w:rsidRDefault="00E53567" w:rsidP="003A6625">
      <w:pPr>
        <w:ind w:left="284" w:right="142"/>
        <w:jc w:val="both"/>
        <w:rPr>
          <w:sz w:val="20"/>
          <w:szCs w:val="20"/>
        </w:rPr>
      </w:pPr>
      <w:r w:rsidRPr="00C73DBD">
        <w:rPr>
          <w:sz w:val="20"/>
          <w:szCs w:val="20"/>
        </w:rPr>
        <w:t xml:space="preserve">NOTA: Para la interpretación de esta </w:t>
      </w:r>
      <w:r w:rsidR="00A97894">
        <w:rPr>
          <w:sz w:val="20"/>
          <w:szCs w:val="20"/>
        </w:rPr>
        <w:t>r</w:t>
      </w:r>
      <w:r w:rsidRPr="00C73DBD">
        <w:rPr>
          <w:sz w:val="20"/>
          <w:szCs w:val="20"/>
        </w:rPr>
        <w:t>esolución las cifras decimales se separan con coma y las cifras de miles se separan con punto</w:t>
      </w:r>
      <w:r w:rsidR="0003281D">
        <w:rPr>
          <w:sz w:val="20"/>
          <w:szCs w:val="20"/>
        </w:rPr>
        <w:t>.</w:t>
      </w:r>
    </w:p>
    <w:p w14:paraId="462881FF" w14:textId="77777777" w:rsidR="00E53567" w:rsidRPr="001830CC" w:rsidRDefault="00E53567" w:rsidP="00E53567">
      <w:pPr>
        <w:ind w:left="284" w:right="335"/>
        <w:jc w:val="both"/>
      </w:pPr>
    </w:p>
    <w:p w14:paraId="1B0FFCC4" w14:textId="4555DE7A" w:rsidR="00E53567" w:rsidRPr="00902359" w:rsidRDefault="00E53567" w:rsidP="00E53567">
      <w:pPr>
        <w:ind w:left="284"/>
        <w:jc w:val="both"/>
      </w:pPr>
      <w:r w:rsidRPr="00902359">
        <w:rPr>
          <w:b/>
        </w:rPr>
        <w:t>Parágrafo:</w:t>
      </w:r>
      <w:r w:rsidRPr="00902359">
        <w:t xml:space="preserve"> Estos cargos no incluyen el impuesto de transporte de que trata el </w:t>
      </w:r>
      <w:r>
        <w:t>a</w:t>
      </w:r>
      <w:r w:rsidRPr="00902359">
        <w:t xml:space="preserve">rtículo 26 de la Ley 141 de 1994, ni la cuota de fomento establecida por el </w:t>
      </w:r>
      <w:r>
        <w:t>a</w:t>
      </w:r>
      <w:r w:rsidRPr="00902359">
        <w:t>rtículo 15 de la Ley 401 de 1997</w:t>
      </w:r>
      <w:r>
        <w:t xml:space="preserve"> y sus modificaciones</w:t>
      </w:r>
      <w:r w:rsidRPr="00902359">
        <w:t>. Dichos gravámenes deberán ser pagados por los sujetos pasivos señalados en las mencionadas normas.</w:t>
      </w:r>
      <w:r w:rsidR="0003281D">
        <w:t>”</w:t>
      </w:r>
    </w:p>
    <w:p w14:paraId="7EF0B0E0" w14:textId="77777777" w:rsidR="0091140B" w:rsidRDefault="0091140B" w:rsidP="00E47D1F">
      <w:pPr>
        <w:pStyle w:val="ARTICULOS"/>
        <w:numPr>
          <w:ilvl w:val="0"/>
          <w:numId w:val="0"/>
        </w:numPr>
        <w:ind w:firstLine="1"/>
        <w:rPr>
          <w:highlight w:val="yellow"/>
        </w:rPr>
      </w:pPr>
    </w:p>
    <w:p w14:paraId="3DD8EDC3" w14:textId="6716DF05" w:rsidR="001D1D59" w:rsidRDefault="001D1D59" w:rsidP="00B643E5">
      <w:pPr>
        <w:pStyle w:val="ARTICULOS"/>
      </w:pPr>
      <w:r w:rsidRPr="008507BC">
        <w:t xml:space="preserve">Remplazar el </w:t>
      </w:r>
      <w:r w:rsidR="003428FD" w:rsidRPr="008507BC">
        <w:rPr>
          <w:lang w:val="es-CO"/>
        </w:rPr>
        <w:t>a</w:t>
      </w:r>
      <w:r w:rsidRPr="008507BC">
        <w:t>nexo 1 de la Resolución CREG 11</w:t>
      </w:r>
      <w:r w:rsidR="00A2497C" w:rsidRPr="008507BC">
        <w:rPr>
          <w:lang w:val="es-CO"/>
        </w:rPr>
        <w:t>2</w:t>
      </w:r>
      <w:r w:rsidRPr="008507BC">
        <w:t xml:space="preserve"> de 2011, por el Anexo 1 de la presente </w:t>
      </w:r>
      <w:r w:rsidR="003428FD" w:rsidRPr="008507BC">
        <w:rPr>
          <w:lang w:val="es-CO"/>
        </w:rPr>
        <w:t>r</w:t>
      </w:r>
      <w:proofErr w:type="spellStart"/>
      <w:r w:rsidRPr="008507BC">
        <w:t>esolución</w:t>
      </w:r>
      <w:proofErr w:type="spellEnd"/>
      <w:r w:rsidRPr="008507BC">
        <w:t>.</w:t>
      </w:r>
    </w:p>
    <w:p w14:paraId="2AF44177" w14:textId="77777777" w:rsidR="00742AD4" w:rsidRPr="008507BC" w:rsidRDefault="00742AD4" w:rsidP="00742AD4">
      <w:pPr>
        <w:pStyle w:val="ARTICULOS"/>
        <w:numPr>
          <w:ilvl w:val="0"/>
          <w:numId w:val="0"/>
        </w:numPr>
        <w:ind w:left="1"/>
      </w:pPr>
    </w:p>
    <w:p w14:paraId="77802F12" w14:textId="6C85ECB7" w:rsidR="00742AD4" w:rsidRPr="00190E4A" w:rsidRDefault="005C65DF" w:rsidP="00742AD4">
      <w:pPr>
        <w:pStyle w:val="ARTICULOS"/>
      </w:pPr>
      <w:r>
        <w:rPr>
          <w:lang w:val="es-CO"/>
        </w:rPr>
        <w:t>Derogar</w:t>
      </w:r>
      <w:r w:rsidRPr="008507BC">
        <w:rPr>
          <w:lang w:val="es-CO"/>
        </w:rPr>
        <w:t xml:space="preserve"> </w:t>
      </w:r>
      <w:r w:rsidR="00742AD4" w:rsidRPr="008507BC">
        <w:rPr>
          <w:lang w:val="es-CO"/>
        </w:rPr>
        <w:t xml:space="preserve">el anexo 2 </w:t>
      </w:r>
      <w:r w:rsidR="00742AD4" w:rsidRPr="008507BC">
        <w:t>de la Resolución CREG 11</w:t>
      </w:r>
      <w:r w:rsidR="00742AD4" w:rsidRPr="008507BC">
        <w:rPr>
          <w:lang w:val="es-CO"/>
        </w:rPr>
        <w:t>2</w:t>
      </w:r>
      <w:r w:rsidR="00742AD4" w:rsidRPr="008507BC">
        <w:t xml:space="preserve"> de 2011</w:t>
      </w:r>
      <w:r w:rsidR="00742AD4" w:rsidRPr="008507BC">
        <w:rPr>
          <w:lang w:val="es-CO"/>
        </w:rPr>
        <w:t>.</w:t>
      </w:r>
    </w:p>
    <w:p w14:paraId="213513D7" w14:textId="77777777" w:rsidR="00190E4A" w:rsidRDefault="00190E4A" w:rsidP="00190E4A">
      <w:pPr>
        <w:pStyle w:val="Prrafodelista"/>
      </w:pPr>
    </w:p>
    <w:p w14:paraId="3CEEA9C8" w14:textId="77777777" w:rsidR="00742AD4" w:rsidRDefault="00742AD4" w:rsidP="00742AD4">
      <w:pPr>
        <w:pStyle w:val="ARTICULOS"/>
        <w:numPr>
          <w:ilvl w:val="0"/>
          <w:numId w:val="0"/>
        </w:numPr>
        <w:ind w:left="1"/>
      </w:pPr>
    </w:p>
    <w:p w14:paraId="3A39F8F3" w14:textId="42E02A41" w:rsidR="00E74EC8" w:rsidRPr="008507BC" w:rsidRDefault="00E215A3" w:rsidP="00EC6773">
      <w:pPr>
        <w:pStyle w:val="ARTICULOS"/>
      </w:pPr>
      <w:r w:rsidRPr="008507BC">
        <w:t xml:space="preserve">Remplazar el </w:t>
      </w:r>
      <w:r w:rsidR="003428FD" w:rsidRPr="008507BC">
        <w:rPr>
          <w:lang w:val="es-CO"/>
        </w:rPr>
        <w:t>a</w:t>
      </w:r>
      <w:r w:rsidRPr="008507BC">
        <w:t xml:space="preserve">nexo </w:t>
      </w:r>
      <w:r w:rsidR="00FA568E" w:rsidRPr="008507BC">
        <w:rPr>
          <w:lang w:val="es-CO"/>
        </w:rPr>
        <w:t>1</w:t>
      </w:r>
      <w:r w:rsidRPr="008507BC">
        <w:t xml:space="preserve"> de la Resolución CREG 11</w:t>
      </w:r>
      <w:r w:rsidR="00FA568E" w:rsidRPr="008507BC">
        <w:rPr>
          <w:lang w:val="es-CO"/>
        </w:rPr>
        <w:t xml:space="preserve">3 </w:t>
      </w:r>
      <w:r w:rsidRPr="008507BC">
        <w:t xml:space="preserve">de 2011, por el Anexo 2 de la presente </w:t>
      </w:r>
      <w:r w:rsidR="003428FD" w:rsidRPr="008507BC">
        <w:rPr>
          <w:lang w:val="es-CO"/>
        </w:rPr>
        <w:t>r</w:t>
      </w:r>
      <w:proofErr w:type="spellStart"/>
      <w:r w:rsidRPr="008507BC">
        <w:t>esolución</w:t>
      </w:r>
      <w:proofErr w:type="spellEnd"/>
      <w:r w:rsidR="00E74EC8" w:rsidRPr="008507BC">
        <w:t>.</w:t>
      </w:r>
    </w:p>
    <w:p w14:paraId="2811B376" w14:textId="77777777" w:rsidR="000904F2" w:rsidRPr="008507BC" w:rsidRDefault="000904F2" w:rsidP="00EC6773">
      <w:pPr>
        <w:pStyle w:val="ARTICULOS"/>
        <w:numPr>
          <w:ilvl w:val="0"/>
          <w:numId w:val="0"/>
        </w:numPr>
        <w:ind w:left="1"/>
      </w:pPr>
    </w:p>
    <w:p w14:paraId="4AE643D4" w14:textId="4449D884" w:rsidR="00334151" w:rsidRPr="008507BC" w:rsidRDefault="00E74EC8" w:rsidP="00EC6773">
      <w:pPr>
        <w:pStyle w:val="ARTICULOS"/>
      </w:pPr>
      <w:r w:rsidRPr="008507BC">
        <w:rPr>
          <w:b/>
          <w:bCs w:val="0"/>
        </w:rPr>
        <w:t>Recursos.</w:t>
      </w:r>
      <w:r w:rsidRPr="008507BC">
        <w:t xml:space="preserve"> Notificar a la empresa </w:t>
      </w:r>
      <w:r w:rsidR="00B20296" w:rsidRPr="008507BC">
        <w:rPr>
          <w:lang w:val="es-CO"/>
        </w:rPr>
        <w:t>PROGASUR</w:t>
      </w:r>
      <w:r w:rsidR="0001586B" w:rsidRPr="008507BC">
        <w:rPr>
          <w:lang w:val="es-CO"/>
        </w:rPr>
        <w:t xml:space="preserve"> S.A. E.S.P. el contenido de esta </w:t>
      </w:r>
      <w:r w:rsidR="00A97894" w:rsidRPr="008507BC">
        <w:rPr>
          <w:lang w:val="es-CO"/>
        </w:rPr>
        <w:t>r</w:t>
      </w:r>
      <w:r w:rsidR="0001586B" w:rsidRPr="008507BC">
        <w:rPr>
          <w:lang w:val="es-CO"/>
        </w:rPr>
        <w:t>esolución y</w:t>
      </w:r>
      <w:r w:rsidR="001E4088">
        <w:rPr>
          <w:lang w:val="es-CO"/>
        </w:rPr>
        <w:t>,</w:t>
      </w:r>
      <w:r w:rsidR="0001586B" w:rsidRPr="008507BC">
        <w:rPr>
          <w:lang w:val="es-CO"/>
        </w:rPr>
        <w:t xml:space="preserve"> </w:t>
      </w:r>
      <w:r w:rsidR="005C65DF">
        <w:rPr>
          <w:lang w:val="es-CO"/>
        </w:rPr>
        <w:t>una vez quede en firme</w:t>
      </w:r>
      <w:r w:rsidR="001E4088">
        <w:rPr>
          <w:lang w:val="es-CO"/>
        </w:rPr>
        <w:t>,</w:t>
      </w:r>
      <w:r w:rsidR="005C65DF">
        <w:rPr>
          <w:lang w:val="es-CO"/>
        </w:rPr>
        <w:t xml:space="preserve"> </w:t>
      </w:r>
      <w:r w:rsidR="0001586B" w:rsidRPr="008507BC">
        <w:rPr>
          <w:lang w:val="es-CO"/>
        </w:rPr>
        <w:t xml:space="preserve">publicarla en el </w:t>
      </w:r>
      <w:r w:rsidR="0001586B" w:rsidRPr="008507BC">
        <w:rPr>
          <w:i/>
          <w:iCs/>
          <w:lang w:val="es-CO"/>
        </w:rPr>
        <w:t>Diario Oficial</w:t>
      </w:r>
      <w:r w:rsidR="0001586B" w:rsidRPr="008507BC">
        <w:rPr>
          <w:lang w:val="es-CO"/>
        </w:rPr>
        <w:t>. Contra lo dispuesto en este acto procede el recurso de reposición, el cual se podrá interponer ante la Dirección Ejecutiva de la CREG dentro de los cinco (5) días hábiles siguientes a la fecha de su notificación.</w:t>
      </w:r>
    </w:p>
    <w:p w14:paraId="64DC46F2" w14:textId="719A9531" w:rsidR="00334151" w:rsidRPr="008507BC" w:rsidRDefault="00334151" w:rsidP="00334151">
      <w:pPr>
        <w:pStyle w:val="Prrafodelista"/>
        <w:jc w:val="both"/>
      </w:pPr>
    </w:p>
    <w:p w14:paraId="3EB85F99" w14:textId="77777777" w:rsidR="0075288F" w:rsidRPr="008507BC" w:rsidRDefault="0075288F" w:rsidP="0075288F">
      <w:pPr>
        <w:spacing w:after="0"/>
        <w:jc w:val="center"/>
        <w:rPr>
          <w:rFonts w:eastAsia="Times New Roman" w:cs="Arial"/>
          <w:b/>
          <w:szCs w:val="24"/>
          <w:lang w:val="es-ES" w:eastAsia="es-ES"/>
        </w:rPr>
      </w:pPr>
      <w:r w:rsidRPr="008507BC">
        <w:rPr>
          <w:rFonts w:eastAsia="Times New Roman" w:cs="Arial"/>
          <w:b/>
          <w:szCs w:val="24"/>
          <w:lang w:val="es-ES" w:eastAsia="es-ES"/>
        </w:rPr>
        <w:t>NOTIFÍQUESE, PUBLÍQUESE Y CÚMPLASE,</w:t>
      </w:r>
    </w:p>
    <w:p w14:paraId="4238507E" w14:textId="77777777" w:rsidR="0075288F" w:rsidRPr="008507BC" w:rsidRDefault="0075288F" w:rsidP="0075288F">
      <w:pPr>
        <w:spacing w:after="0"/>
        <w:rPr>
          <w:rFonts w:eastAsia="Times New Roman" w:cs="Times New Roman"/>
          <w:szCs w:val="24"/>
          <w:lang w:val="es-ES" w:eastAsia="es-ES"/>
        </w:rPr>
      </w:pPr>
    </w:p>
    <w:p w14:paraId="0574B86F" w14:textId="6207CE05" w:rsidR="0075288F" w:rsidRPr="008507BC" w:rsidRDefault="0075288F" w:rsidP="0075288F">
      <w:pPr>
        <w:spacing w:after="0"/>
        <w:rPr>
          <w:rFonts w:eastAsia="Times New Roman" w:cs="Times New Roman"/>
          <w:b/>
          <w:bCs/>
          <w:szCs w:val="24"/>
          <w:lang w:val="es-ES" w:eastAsia="es-ES"/>
        </w:rPr>
      </w:pPr>
      <w:r w:rsidRPr="008507BC">
        <w:rPr>
          <w:rFonts w:eastAsia="Times New Roman" w:cs="Times New Roman"/>
          <w:szCs w:val="24"/>
          <w:lang w:val="es-ES" w:eastAsia="es-ES"/>
        </w:rPr>
        <w:t>Dada en Bogotá D.C. a</w:t>
      </w:r>
      <w:r w:rsidR="007B3C4F" w:rsidRPr="008507BC">
        <w:rPr>
          <w:rFonts w:eastAsia="Times New Roman" w:cs="Times New Roman"/>
          <w:szCs w:val="24"/>
          <w:lang w:val="es-ES" w:eastAsia="es-ES"/>
        </w:rPr>
        <w:t xml:space="preserve"> </w:t>
      </w:r>
      <w:r w:rsidR="00190E4A">
        <w:rPr>
          <w:rFonts w:eastAsia="Times New Roman" w:cs="Times New Roman"/>
          <w:b/>
          <w:bCs/>
          <w:szCs w:val="24"/>
          <w:lang w:val="es-ES" w:eastAsia="es-ES"/>
        </w:rPr>
        <w:t>15 JUL.</w:t>
      </w:r>
      <w:r w:rsidR="007B3C4F" w:rsidRPr="008507BC">
        <w:rPr>
          <w:rFonts w:eastAsia="Times New Roman" w:cs="Times New Roman"/>
          <w:b/>
          <w:bCs/>
          <w:szCs w:val="24"/>
          <w:lang w:val="es-ES" w:eastAsia="es-ES"/>
        </w:rPr>
        <w:t xml:space="preserve"> 202</w:t>
      </w:r>
      <w:r w:rsidR="003764DC" w:rsidRPr="008507BC">
        <w:rPr>
          <w:rFonts w:eastAsia="Times New Roman" w:cs="Times New Roman"/>
          <w:b/>
          <w:bCs/>
          <w:szCs w:val="24"/>
          <w:lang w:val="es-ES" w:eastAsia="es-ES"/>
        </w:rPr>
        <w:t>2</w:t>
      </w:r>
    </w:p>
    <w:p w14:paraId="69D438D0" w14:textId="77777777" w:rsidR="0075288F" w:rsidRPr="00B772A5" w:rsidRDefault="0075288F" w:rsidP="0075288F">
      <w:pPr>
        <w:spacing w:after="0"/>
        <w:rPr>
          <w:rFonts w:eastAsia="Times New Roman" w:cs="Times New Roman"/>
          <w:szCs w:val="24"/>
          <w:highlight w:val="yellow"/>
          <w:lang w:val="es-ES" w:eastAsia="es-ES"/>
        </w:rPr>
      </w:pPr>
    </w:p>
    <w:p w14:paraId="0D947023" w14:textId="77777777" w:rsidR="0075288F" w:rsidRPr="00B772A5" w:rsidRDefault="0075288F" w:rsidP="0075288F">
      <w:pPr>
        <w:spacing w:after="0"/>
        <w:rPr>
          <w:rFonts w:eastAsia="Times New Roman" w:cs="Times New Roman"/>
          <w:sz w:val="20"/>
          <w:szCs w:val="24"/>
          <w:highlight w:val="yellow"/>
          <w:lang w:val="es-ES" w:eastAsia="es-ES"/>
        </w:rPr>
      </w:pPr>
    </w:p>
    <w:p w14:paraId="129EA9C3" w14:textId="77777777" w:rsidR="00C21F95" w:rsidRPr="00B772A5" w:rsidRDefault="00C21F95" w:rsidP="0075288F">
      <w:pPr>
        <w:spacing w:after="0"/>
        <w:rPr>
          <w:rFonts w:eastAsia="Times New Roman" w:cs="Times New Roman"/>
          <w:sz w:val="20"/>
          <w:szCs w:val="24"/>
          <w:highlight w:val="yellow"/>
          <w:lang w:val="es-ES" w:eastAsia="es-ES"/>
        </w:rPr>
      </w:pPr>
    </w:p>
    <w:p w14:paraId="6BE35669" w14:textId="77777777" w:rsidR="0075288F" w:rsidRPr="00B772A5" w:rsidRDefault="0075288F" w:rsidP="0075288F">
      <w:pPr>
        <w:spacing w:after="0"/>
        <w:rPr>
          <w:rFonts w:eastAsia="Times New Roman" w:cs="Times New Roman"/>
          <w:szCs w:val="24"/>
          <w:highlight w:val="yellow"/>
          <w:lang w:val="es-ES" w:eastAsia="es-ES"/>
        </w:rPr>
      </w:pPr>
    </w:p>
    <w:p w14:paraId="0B76D94F" w14:textId="77777777" w:rsidR="0075288F" w:rsidRPr="00B772A5" w:rsidRDefault="0075288F" w:rsidP="0075288F">
      <w:pPr>
        <w:spacing w:after="0"/>
        <w:rPr>
          <w:rFonts w:eastAsia="Times New Roman" w:cs="Times New Roman"/>
          <w:szCs w:val="24"/>
          <w:highlight w:val="yellow"/>
          <w:lang w:val="es-ES" w:eastAsia="es-ES"/>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A67F1D" w:rsidRPr="00B772A5" w14:paraId="7C244CA2" w14:textId="77777777" w:rsidTr="007B3C4F">
        <w:trPr>
          <w:trHeight w:val="864"/>
          <w:jc w:val="center"/>
        </w:trPr>
        <w:tc>
          <w:tcPr>
            <w:tcW w:w="4536" w:type="dxa"/>
          </w:tcPr>
          <w:p w14:paraId="697B532F" w14:textId="7EFF6F09" w:rsidR="00A67F1D" w:rsidRPr="00F06C8E" w:rsidRDefault="00C2586D" w:rsidP="00A67F1D">
            <w:pPr>
              <w:tabs>
                <w:tab w:val="left" w:pos="-720"/>
              </w:tabs>
              <w:suppressAutoHyphens/>
              <w:spacing w:after="0"/>
              <w:jc w:val="center"/>
              <w:rPr>
                <w:rFonts w:eastAsia="Times New Roman" w:cs="Arial"/>
                <w:b/>
                <w:spacing w:val="-3"/>
                <w:szCs w:val="24"/>
                <w:lang w:val="es-ES" w:eastAsia="es-ES"/>
              </w:rPr>
            </w:pPr>
            <w:r w:rsidRPr="00F06C8E">
              <w:rPr>
                <w:rFonts w:eastAsia="Times New Roman" w:cs="Arial"/>
                <w:b/>
                <w:spacing w:val="-3"/>
                <w:szCs w:val="24"/>
                <w:lang w:val="es-ES" w:eastAsia="es-ES"/>
              </w:rPr>
              <w:t>MIGUEL LOTERO ROBLEDO</w:t>
            </w:r>
          </w:p>
          <w:p w14:paraId="3B3327B6" w14:textId="47DF483F" w:rsidR="00A67F1D" w:rsidRPr="00F06C8E" w:rsidRDefault="00C2586D" w:rsidP="00A67F1D">
            <w:pPr>
              <w:tabs>
                <w:tab w:val="left" w:pos="-720"/>
              </w:tabs>
              <w:suppressAutoHyphens/>
              <w:spacing w:after="0"/>
              <w:jc w:val="center"/>
              <w:rPr>
                <w:rFonts w:eastAsia="Times New Roman" w:cs="Times New Roman"/>
                <w:szCs w:val="24"/>
                <w:lang w:val="es-ES" w:eastAsia="es-ES"/>
              </w:rPr>
            </w:pPr>
            <w:r w:rsidRPr="00F06C8E">
              <w:rPr>
                <w:rFonts w:eastAsia="Times New Roman" w:cs="Times New Roman"/>
                <w:szCs w:val="24"/>
                <w:lang w:val="es-ES" w:eastAsia="es-ES"/>
              </w:rPr>
              <w:t>Vicem</w:t>
            </w:r>
            <w:r w:rsidR="00A67F1D" w:rsidRPr="00F06C8E">
              <w:rPr>
                <w:rFonts w:eastAsia="Times New Roman" w:cs="Times New Roman"/>
                <w:szCs w:val="24"/>
                <w:lang w:val="es-ES" w:eastAsia="es-ES"/>
              </w:rPr>
              <w:t>inistr</w:t>
            </w:r>
            <w:r w:rsidR="004E76B9" w:rsidRPr="00F06C8E">
              <w:rPr>
                <w:rFonts w:eastAsia="Times New Roman" w:cs="Times New Roman"/>
                <w:szCs w:val="24"/>
                <w:lang w:val="es-ES" w:eastAsia="es-ES"/>
              </w:rPr>
              <w:t>o</w:t>
            </w:r>
            <w:r w:rsidR="00A67F1D" w:rsidRPr="00F06C8E">
              <w:rPr>
                <w:rFonts w:eastAsia="Times New Roman" w:cs="Times New Roman"/>
                <w:szCs w:val="24"/>
                <w:lang w:val="es-ES" w:eastAsia="es-ES"/>
              </w:rPr>
              <w:t xml:space="preserve"> de Energía</w:t>
            </w:r>
            <w:r w:rsidR="00120817" w:rsidRPr="00F06C8E">
              <w:rPr>
                <w:rFonts w:eastAsia="Times New Roman" w:cs="Times New Roman"/>
                <w:szCs w:val="24"/>
                <w:lang w:val="es-ES" w:eastAsia="es-ES"/>
              </w:rPr>
              <w:t>,</w:t>
            </w:r>
            <w:r w:rsidR="006F608F" w:rsidRPr="00F06C8E">
              <w:rPr>
                <w:rFonts w:eastAsia="Times New Roman" w:cs="Times New Roman"/>
                <w:szCs w:val="24"/>
                <w:lang w:val="es-ES" w:eastAsia="es-ES"/>
              </w:rPr>
              <w:t xml:space="preserve"> delegado del</w:t>
            </w:r>
            <w:r w:rsidR="00120817" w:rsidRPr="00F06C8E">
              <w:rPr>
                <w:rFonts w:eastAsia="Times New Roman" w:cs="Times New Roman"/>
                <w:szCs w:val="24"/>
                <w:lang w:val="es-ES" w:eastAsia="es-ES"/>
              </w:rPr>
              <w:t xml:space="preserve"> </w:t>
            </w:r>
            <w:proofErr w:type="gramStart"/>
            <w:r w:rsidR="00120817" w:rsidRPr="00F06C8E">
              <w:rPr>
                <w:rFonts w:eastAsia="Times New Roman" w:cs="Times New Roman"/>
                <w:szCs w:val="24"/>
                <w:lang w:val="es-ES" w:eastAsia="es-ES"/>
              </w:rPr>
              <w:t>Ministro</w:t>
            </w:r>
            <w:proofErr w:type="gramEnd"/>
            <w:r w:rsidR="00120817" w:rsidRPr="00F06C8E">
              <w:rPr>
                <w:rFonts w:eastAsia="Times New Roman" w:cs="Times New Roman"/>
                <w:szCs w:val="24"/>
                <w:lang w:val="es-ES" w:eastAsia="es-ES"/>
              </w:rPr>
              <w:t xml:space="preserve"> de Minas y Energía</w:t>
            </w:r>
          </w:p>
          <w:p w14:paraId="348751B3" w14:textId="77777777" w:rsidR="00A67F1D" w:rsidRPr="00F06C8E" w:rsidRDefault="00A67F1D" w:rsidP="00A67F1D">
            <w:pPr>
              <w:tabs>
                <w:tab w:val="left" w:pos="-720"/>
              </w:tabs>
              <w:suppressAutoHyphens/>
              <w:spacing w:after="0"/>
              <w:jc w:val="center"/>
              <w:rPr>
                <w:rFonts w:eastAsia="Times New Roman" w:cs="Arial"/>
                <w:b/>
                <w:strike/>
                <w:spacing w:val="-3"/>
                <w:szCs w:val="24"/>
                <w:lang w:val="es-ES" w:eastAsia="es-ES"/>
              </w:rPr>
            </w:pPr>
            <w:r w:rsidRPr="00F06C8E">
              <w:rPr>
                <w:rFonts w:ascii="Times New Roman" w:eastAsia="Times New Roman" w:hAnsi="Times New Roman" w:cs="Times New Roman"/>
                <w:szCs w:val="24"/>
                <w:lang w:val="es-ES" w:eastAsia="es-ES"/>
              </w:rPr>
              <w:t xml:space="preserve"> </w:t>
            </w:r>
            <w:r w:rsidRPr="00F06C8E">
              <w:rPr>
                <w:rFonts w:eastAsia="Times New Roman" w:cs="Times New Roman"/>
                <w:szCs w:val="24"/>
                <w:lang w:val="es-ES" w:eastAsia="es-ES"/>
              </w:rPr>
              <w:t>Presidente</w:t>
            </w:r>
          </w:p>
        </w:tc>
        <w:tc>
          <w:tcPr>
            <w:tcW w:w="4962" w:type="dxa"/>
          </w:tcPr>
          <w:p w14:paraId="46561F09" w14:textId="77777777" w:rsidR="00A67F1D" w:rsidRPr="00F06C8E" w:rsidRDefault="00A67F1D" w:rsidP="00A67F1D">
            <w:pPr>
              <w:tabs>
                <w:tab w:val="left" w:pos="-720"/>
              </w:tabs>
              <w:suppressAutoHyphens/>
              <w:spacing w:after="0"/>
              <w:jc w:val="center"/>
              <w:rPr>
                <w:rFonts w:eastAsia="Times New Roman" w:cs="Arial"/>
                <w:b/>
                <w:szCs w:val="24"/>
                <w:lang w:val="es-ES" w:eastAsia="es-ES"/>
              </w:rPr>
            </w:pPr>
            <w:r w:rsidRPr="00F06C8E">
              <w:rPr>
                <w:rFonts w:eastAsia="Times New Roman" w:cs="Arial"/>
                <w:b/>
                <w:szCs w:val="24"/>
                <w:lang w:val="es-ES" w:eastAsia="es-ES"/>
              </w:rPr>
              <w:t>JORGE ALBERTO VALENCIA MARÍN</w:t>
            </w:r>
          </w:p>
          <w:p w14:paraId="70F18265" w14:textId="77777777" w:rsidR="00A67F1D" w:rsidRPr="00F06C8E" w:rsidRDefault="00A67F1D" w:rsidP="00A67F1D">
            <w:pPr>
              <w:tabs>
                <w:tab w:val="left" w:pos="-720"/>
              </w:tabs>
              <w:suppressAutoHyphens/>
              <w:spacing w:after="0"/>
              <w:jc w:val="center"/>
              <w:rPr>
                <w:rFonts w:eastAsia="Times New Roman" w:cs="Arial"/>
                <w:b/>
                <w:spacing w:val="-3"/>
                <w:szCs w:val="24"/>
                <w:lang w:val="es-ES" w:eastAsia="es-ES"/>
              </w:rPr>
            </w:pPr>
            <w:r w:rsidRPr="00F06C8E">
              <w:rPr>
                <w:rFonts w:eastAsia="Times New Roman" w:cs="Arial"/>
                <w:spacing w:val="-3"/>
                <w:szCs w:val="24"/>
                <w:lang w:val="es-ES" w:eastAsia="es-ES"/>
              </w:rPr>
              <w:t>Director Ejecutivo</w:t>
            </w:r>
          </w:p>
        </w:tc>
      </w:tr>
    </w:tbl>
    <w:p w14:paraId="48D60064" w14:textId="4D9D6705" w:rsidR="007628BE" w:rsidRDefault="007628BE" w:rsidP="0075288F">
      <w:pPr>
        <w:widowControl w:val="0"/>
        <w:spacing w:after="0"/>
        <w:rPr>
          <w:rFonts w:eastAsia="Times New Roman" w:cs="Times New Roman"/>
          <w:szCs w:val="24"/>
          <w:highlight w:val="yellow"/>
          <w:lang w:val="es-ES" w:eastAsia="es-ES"/>
        </w:rPr>
      </w:pPr>
    </w:p>
    <w:p w14:paraId="2BE8F0D8" w14:textId="5FAA7608" w:rsidR="001E4088" w:rsidRDefault="001E4088" w:rsidP="0075288F">
      <w:pPr>
        <w:widowControl w:val="0"/>
        <w:spacing w:after="0"/>
        <w:rPr>
          <w:rFonts w:eastAsia="Times New Roman" w:cs="Times New Roman"/>
          <w:szCs w:val="24"/>
          <w:highlight w:val="yellow"/>
          <w:lang w:val="es-ES" w:eastAsia="es-ES"/>
        </w:rPr>
      </w:pPr>
    </w:p>
    <w:p w14:paraId="297EF490" w14:textId="3C864C34" w:rsidR="001E4088" w:rsidRDefault="001E4088" w:rsidP="0075288F">
      <w:pPr>
        <w:widowControl w:val="0"/>
        <w:spacing w:after="0"/>
        <w:rPr>
          <w:rFonts w:eastAsia="Times New Roman" w:cs="Times New Roman"/>
          <w:szCs w:val="24"/>
          <w:highlight w:val="yellow"/>
          <w:lang w:val="es-ES" w:eastAsia="es-ES"/>
        </w:rPr>
      </w:pPr>
    </w:p>
    <w:p w14:paraId="07264B86" w14:textId="7446DBF1" w:rsidR="001E4088" w:rsidRDefault="001E4088" w:rsidP="0075288F">
      <w:pPr>
        <w:widowControl w:val="0"/>
        <w:spacing w:after="0"/>
        <w:rPr>
          <w:rFonts w:eastAsia="Times New Roman" w:cs="Times New Roman"/>
          <w:szCs w:val="24"/>
          <w:highlight w:val="yellow"/>
          <w:lang w:val="es-ES" w:eastAsia="es-ES"/>
        </w:rPr>
      </w:pPr>
    </w:p>
    <w:p w14:paraId="5D709872" w14:textId="1D65DA14" w:rsidR="001E4088" w:rsidRDefault="001E4088" w:rsidP="0075288F">
      <w:pPr>
        <w:widowControl w:val="0"/>
        <w:spacing w:after="0"/>
        <w:rPr>
          <w:rFonts w:eastAsia="Times New Roman" w:cs="Times New Roman"/>
          <w:szCs w:val="24"/>
          <w:highlight w:val="yellow"/>
          <w:lang w:val="es-ES" w:eastAsia="es-ES"/>
        </w:rPr>
      </w:pPr>
    </w:p>
    <w:p w14:paraId="676BFE97" w14:textId="16809D77" w:rsidR="001E4088" w:rsidRDefault="001E4088" w:rsidP="0075288F">
      <w:pPr>
        <w:widowControl w:val="0"/>
        <w:spacing w:after="0"/>
        <w:rPr>
          <w:rFonts w:eastAsia="Times New Roman" w:cs="Times New Roman"/>
          <w:szCs w:val="24"/>
          <w:highlight w:val="yellow"/>
          <w:lang w:val="es-ES" w:eastAsia="es-ES"/>
        </w:rPr>
      </w:pPr>
    </w:p>
    <w:p w14:paraId="5F25A02A" w14:textId="2E503A49" w:rsidR="001E4088" w:rsidRDefault="001E4088" w:rsidP="0075288F">
      <w:pPr>
        <w:widowControl w:val="0"/>
        <w:spacing w:after="0"/>
        <w:rPr>
          <w:rFonts w:eastAsia="Times New Roman" w:cs="Times New Roman"/>
          <w:szCs w:val="24"/>
          <w:highlight w:val="yellow"/>
          <w:lang w:val="es-ES" w:eastAsia="es-ES"/>
        </w:rPr>
      </w:pPr>
    </w:p>
    <w:p w14:paraId="56D8C820" w14:textId="253243B7" w:rsidR="001E4088" w:rsidRDefault="001E4088" w:rsidP="0075288F">
      <w:pPr>
        <w:widowControl w:val="0"/>
        <w:spacing w:after="0"/>
        <w:rPr>
          <w:rFonts w:eastAsia="Times New Roman" w:cs="Times New Roman"/>
          <w:szCs w:val="24"/>
          <w:highlight w:val="yellow"/>
          <w:lang w:val="es-ES" w:eastAsia="es-ES"/>
        </w:rPr>
      </w:pPr>
    </w:p>
    <w:p w14:paraId="145C9CDF" w14:textId="22B75599" w:rsidR="001E4088" w:rsidRDefault="001E4088" w:rsidP="0075288F">
      <w:pPr>
        <w:widowControl w:val="0"/>
        <w:spacing w:after="0"/>
        <w:rPr>
          <w:rFonts w:eastAsia="Times New Roman" w:cs="Times New Roman"/>
          <w:szCs w:val="24"/>
          <w:highlight w:val="yellow"/>
          <w:lang w:val="es-ES" w:eastAsia="es-ES"/>
        </w:rPr>
      </w:pPr>
    </w:p>
    <w:p w14:paraId="6E5B8235" w14:textId="2933D37C" w:rsidR="001E4088" w:rsidRDefault="001E4088" w:rsidP="0075288F">
      <w:pPr>
        <w:widowControl w:val="0"/>
        <w:spacing w:after="0"/>
        <w:rPr>
          <w:rFonts w:eastAsia="Times New Roman" w:cs="Times New Roman"/>
          <w:szCs w:val="24"/>
          <w:highlight w:val="yellow"/>
          <w:lang w:val="es-ES" w:eastAsia="es-ES"/>
        </w:rPr>
      </w:pPr>
    </w:p>
    <w:p w14:paraId="44450EEB" w14:textId="4D2A342E" w:rsidR="001E4088" w:rsidRDefault="001E4088" w:rsidP="0075288F">
      <w:pPr>
        <w:widowControl w:val="0"/>
        <w:spacing w:after="0"/>
        <w:rPr>
          <w:rFonts w:eastAsia="Times New Roman" w:cs="Times New Roman"/>
          <w:szCs w:val="24"/>
          <w:highlight w:val="yellow"/>
          <w:lang w:val="es-ES" w:eastAsia="es-ES"/>
        </w:rPr>
      </w:pPr>
    </w:p>
    <w:p w14:paraId="672094FC" w14:textId="1B09BE29" w:rsidR="001E4088" w:rsidRDefault="001E4088" w:rsidP="0075288F">
      <w:pPr>
        <w:widowControl w:val="0"/>
        <w:spacing w:after="0"/>
        <w:rPr>
          <w:rFonts w:eastAsia="Times New Roman" w:cs="Times New Roman"/>
          <w:szCs w:val="24"/>
          <w:highlight w:val="yellow"/>
          <w:lang w:val="es-ES" w:eastAsia="es-ES"/>
        </w:rPr>
      </w:pPr>
    </w:p>
    <w:p w14:paraId="5FD0E6C3" w14:textId="6EAE3AF4" w:rsidR="001E4088" w:rsidRDefault="001E4088" w:rsidP="0075288F">
      <w:pPr>
        <w:widowControl w:val="0"/>
        <w:spacing w:after="0"/>
        <w:rPr>
          <w:rFonts w:eastAsia="Times New Roman" w:cs="Times New Roman"/>
          <w:szCs w:val="24"/>
          <w:highlight w:val="yellow"/>
          <w:lang w:val="es-ES" w:eastAsia="es-ES"/>
        </w:rPr>
      </w:pPr>
    </w:p>
    <w:p w14:paraId="2D18926F" w14:textId="74CD42F6" w:rsidR="001E4088" w:rsidRDefault="001E4088" w:rsidP="0075288F">
      <w:pPr>
        <w:widowControl w:val="0"/>
        <w:spacing w:after="0"/>
        <w:rPr>
          <w:rFonts w:eastAsia="Times New Roman" w:cs="Times New Roman"/>
          <w:szCs w:val="24"/>
          <w:highlight w:val="yellow"/>
          <w:lang w:val="es-ES" w:eastAsia="es-ES"/>
        </w:rPr>
      </w:pPr>
    </w:p>
    <w:p w14:paraId="018ED88C" w14:textId="001A69D8" w:rsidR="001E4088" w:rsidRDefault="001E4088" w:rsidP="0075288F">
      <w:pPr>
        <w:widowControl w:val="0"/>
        <w:spacing w:after="0"/>
        <w:rPr>
          <w:rFonts w:eastAsia="Times New Roman" w:cs="Times New Roman"/>
          <w:szCs w:val="24"/>
          <w:highlight w:val="yellow"/>
          <w:lang w:val="es-ES" w:eastAsia="es-ES"/>
        </w:rPr>
      </w:pPr>
    </w:p>
    <w:p w14:paraId="105B2F74" w14:textId="5BAC824E" w:rsidR="001E4088" w:rsidRDefault="001E4088" w:rsidP="0075288F">
      <w:pPr>
        <w:widowControl w:val="0"/>
        <w:spacing w:after="0"/>
        <w:rPr>
          <w:rFonts w:eastAsia="Times New Roman" w:cs="Times New Roman"/>
          <w:szCs w:val="24"/>
          <w:highlight w:val="yellow"/>
          <w:lang w:val="es-ES" w:eastAsia="es-ES"/>
        </w:rPr>
      </w:pPr>
    </w:p>
    <w:p w14:paraId="040FE24D" w14:textId="3D838A8E" w:rsidR="001E4088" w:rsidRDefault="001E4088" w:rsidP="0075288F">
      <w:pPr>
        <w:widowControl w:val="0"/>
        <w:spacing w:after="0"/>
        <w:rPr>
          <w:rFonts w:eastAsia="Times New Roman" w:cs="Times New Roman"/>
          <w:szCs w:val="24"/>
          <w:highlight w:val="yellow"/>
          <w:lang w:val="es-ES" w:eastAsia="es-ES"/>
        </w:rPr>
      </w:pPr>
    </w:p>
    <w:p w14:paraId="7A673A6E" w14:textId="55C36FCB" w:rsidR="001E4088" w:rsidRDefault="001E4088" w:rsidP="0075288F">
      <w:pPr>
        <w:widowControl w:val="0"/>
        <w:spacing w:after="0"/>
        <w:rPr>
          <w:rFonts w:eastAsia="Times New Roman" w:cs="Times New Roman"/>
          <w:szCs w:val="24"/>
          <w:highlight w:val="yellow"/>
          <w:lang w:val="es-ES" w:eastAsia="es-ES"/>
        </w:rPr>
      </w:pPr>
    </w:p>
    <w:p w14:paraId="45A49B48" w14:textId="3ABB4CF1" w:rsidR="001E4088" w:rsidRDefault="001E4088" w:rsidP="0075288F">
      <w:pPr>
        <w:widowControl w:val="0"/>
        <w:spacing w:after="0"/>
        <w:rPr>
          <w:rFonts w:eastAsia="Times New Roman" w:cs="Times New Roman"/>
          <w:szCs w:val="24"/>
          <w:highlight w:val="yellow"/>
          <w:lang w:val="es-ES" w:eastAsia="es-ES"/>
        </w:rPr>
      </w:pPr>
    </w:p>
    <w:p w14:paraId="3E839B7C" w14:textId="0194CC98" w:rsidR="001E4088" w:rsidRDefault="001E4088" w:rsidP="0075288F">
      <w:pPr>
        <w:widowControl w:val="0"/>
        <w:spacing w:after="0"/>
        <w:rPr>
          <w:rFonts w:eastAsia="Times New Roman" w:cs="Times New Roman"/>
          <w:szCs w:val="24"/>
          <w:highlight w:val="yellow"/>
          <w:lang w:val="es-ES" w:eastAsia="es-ES"/>
        </w:rPr>
      </w:pPr>
    </w:p>
    <w:p w14:paraId="447984B6" w14:textId="77777777" w:rsidR="001E4088" w:rsidRPr="00B772A5" w:rsidRDefault="001E4088" w:rsidP="0075288F">
      <w:pPr>
        <w:widowControl w:val="0"/>
        <w:spacing w:after="0"/>
        <w:rPr>
          <w:rFonts w:eastAsia="Times New Roman" w:cs="Times New Roman"/>
          <w:szCs w:val="24"/>
          <w:highlight w:val="yellow"/>
          <w:lang w:val="es-ES" w:eastAsia="es-ES"/>
        </w:rPr>
      </w:pPr>
    </w:p>
    <w:p w14:paraId="510B7222" w14:textId="60778010" w:rsidR="00F75D10" w:rsidRDefault="00F75D10" w:rsidP="006772B1">
      <w:pPr>
        <w:jc w:val="center"/>
        <w:rPr>
          <w:b/>
          <w:bCs/>
          <w:highlight w:val="yellow"/>
        </w:rPr>
      </w:pPr>
    </w:p>
    <w:p w14:paraId="6378D561" w14:textId="2D9ED5D6" w:rsidR="00190E4A" w:rsidRDefault="00190E4A" w:rsidP="006772B1">
      <w:pPr>
        <w:jc w:val="center"/>
        <w:rPr>
          <w:b/>
          <w:bCs/>
          <w:highlight w:val="yellow"/>
        </w:rPr>
      </w:pPr>
    </w:p>
    <w:p w14:paraId="417E464A" w14:textId="245B4CAB" w:rsidR="00190E4A" w:rsidRDefault="00190E4A" w:rsidP="006772B1">
      <w:pPr>
        <w:jc w:val="center"/>
        <w:rPr>
          <w:b/>
          <w:bCs/>
          <w:highlight w:val="yellow"/>
        </w:rPr>
      </w:pPr>
    </w:p>
    <w:p w14:paraId="5D98F00C" w14:textId="4F3DD17A" w:rsidR="00190E4A" w:rsidRDefault="00190E4A" w:rsidP="006772B1">
      <w:pPr>
        <w:jc w:val="center"/>
        <w:rPr>
          <w:b/>
          <w:bCs/>
          <w:highlight w:val="yellow"/>
        </w:rPr>
      </w:pPr>
    </w:p>
    <w:p w14:paraId="119A1C5A" w14:textId="78D7E1A0" w:rsidR="00190E4A" w:rsidRDefault="00190E4A" w:rsidP="006772B1">
      <w:pPr>
        <w:jc w:val="center"/>
        <w:rPr>
          <w:b/>
          <w:bCs/>
          <w:highlight w:val="yellow"/>
        </w:rPr>
      </w:pPr>
    </w:p>
    <w:p w14:paraId="0CF7A75F" w14:textId="77777777" w:rsidR="00190E4A" w:rsidRDefault="00190E4A" w:rsidP="006772B1">
      <w:pPr>
        <w:jc w:val="center"/>
        <w:rPr>
          <w:b/>
          <w:bCs/>
          <w:highlight w:val="yellow"/>
        </w:rPr>
      </w:pPr>
    </w:p>
    <w:p w14:paraId="51FB85D2" w14:textId="77777777" w:rsidR="00190E4A" w:rsidRDefault="00190E4A" w:rsidP="006772B1">
      <w:pPr>
        <w:jc w:val="center"/>
        <w:rPr>
          <w:b/>
          <w:bCs/>
          <w:highlight w:val="yellow"/>
        </w:rPr>
      </w:pPr>
    </w:p>
    <w:p w14:paraId="5FA55D03" w14:textId="77777777" w:rsidR="00F06C8E" w:rsidRPr="00B772A5" w:rsidRDefault="00F06C8E" w:rsidP="006772B1">
      <w:pPr>
        <w:jc w:val="center"/>
        <w:rPr>
          <w:b/>
          <w:bCs/>
          <w:highlight w:val="yellow"/>
        </w:rPr>
      </w:pPr>
    </w:p>
    <w:p w14:paraId="3EE7C73F" w14:textId="2A86010F" w:rsidR="00F75D10" w:rsidRPr="008507BC" w:rsidRDefault="00492CE1" w:rsidP="00492CE1">
      <w:pPr>
        <w:tabs>
          <w:tab w:val="center" w:pos="4678"/>
          <w:tab w:val="left" w:pos="5774"/>
        </w:tabs>
        <w:rPr>
          <w:b/>
          <w:bCs/>
        </w:rPr>
      </w:pPr>
      <w:r w:rsidRPr="008507BC">
        <w:rPr>
          <w:b/>
          <w:bCs/>
        </w:rPr>
        <w:tab/>
      </w:r>
      <w:r w:rsidR="006772B1" w:rsidRPr="008507BC">
        <w:rPr>
          <w:b/>
          <w:bCs/>
        </w:rPr>
        <w:t xml:space="preserve">Anexo 1 </w:t>
      </w:r>
      <w:r w:rsidRPr="008507BC">
        <w:rPr>
          <w:b/>
          <w:bCs/>
        </w:rPr>
        <w:tab/>
      </w:r>
    </w:p>
    <w:p w14:paraId="45EBCCD1" w14:textId="77777777" w:rsidR="00492CE1" w:rsidRPr="008507BC" w:rsidRDefault="00492CE1" w:rsidP="00492CE1">
      <w:pPr>
        <w:tabs>
          <w:tab w:val="center" w:pos="4678"/>
          <w:tab w:val="left" w:pos="5774"/>
        </w:tabs>
        <w:rPr>
          <w:b/>
          <w:bCs/>
        </w:rPr>
      </w:pPr>
    </w:p>
    <w:p w14:paraId="04AA6D11" w14:textId="023957D4" w:rsidR="0075288F" w:rsidRPr="008507BC" w:rsidRDefault="00A941F9" w:rsidP="00A941F9">
      <w:pPr>
        <w:spacing w:after="0"/>
        <w:jc w:val="center"/>
      </w:pPr>
      <w:r w:rsidRPr="008507BC">
        <w:rPr>
          <w:b/>
          <w:bCs/>
        </w:rPr>
        <w:t>“Anexo 1. Inversión Existente</w:t>
      </w:r>
      <w:r w:rsidRPr="008507BC">
        <w:t xml:space="preserve"> </w:t>
      </w:r>
      <w:r w:rsidR="00492CE1" w:rsidRPr="008507BC">
        <w:rPr>
          <w:b/>
          <w:bCs/>
        </w:rPr>
        <w:t>Resolución CREG 112 de 2011</w:t>
      </w:r>
    </w:p>
    <w:p w14:paraId="00F52AA3" w14:textId="77777777" w:rsidR="00732491" w:rsidRPr="008507BC" w:rsidRDefault="00732491" w:rsidP="00A941F9">
      <w:pPr>
        <w:spacing w:after="0"/>
        <w:jc w:val="center"/>
      </w:pPr>
    </w:p>
    <w:p w14:paraId="0137AEE3" w14:textId="3668C9E7" w:rsidR="00EF0057" w:rsidRPr="008507BC" w:rsidRDefault="00342FA3" w:rsidP="00A941F9">
      <w:pPr>
        <w:spacing w:after="0"/>
        <w:jc w:val="center"/>
      </w:pPr>
      <w:r w:rsidRPr="00342FA3">
        <w:rPr>
          <w:noProof/>
        </w:rPr>
        <w:drawing>
          <wp:inline distT="0" distB="0" distL="0" distR="0" wp14:anchorId="21BE8454" wp14:editId="4C2DE2C9">
            <wp:extent cx="5941060" cy="82169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821690"/>
                    </a:xfrm>
                    <a:prstGeom prst="rect">
                      <a:avLst/>
                    </a:prstGeom>
                    <a:noFill/>
                    <a:ln>
                      <a:noFill/>
                    </a:ln>
                  </pic:spPr>
                </pic:pic>
              </a:graphicData>
            </a:graphic>
          </wp:inline>
        </w:drawing>
      </w:r>
    </w:p>
    <w:p w14:paraId="7A9ACE8C" w14:textId="1FB7E4ED" w:rsidR="00323A3C" w:rsidRDefault="00323A3C" w:rsidP="00A941F9">
      <w:pPr>
        <w:spacing w:after="0"/>
        <w:jc w:val="center"/>
      </w:pPr>
    </w:p>
    <w:p w14:paraId="6CD60B45" w14:textId="4B68FE3D" w:rsidR="00F06C8E" w:rsidRDefault="00F06C8E" w:rsidP="00A941F9">
      <w:pPr>
        <w:spacing w:after="0"/>
        <w:jc w:val="center"/>
      </w:pPr>
    </w:p>
    <w:p w14:paraId="15EE53F6" w14:textId="7317CA1F" w:rsidR="00F06C8E" w:rsidRDefault="00F06C8E" w:rsidP="00A941F9">
      <w:pPr>
        <w:spacing w:after="0"/>
        <w:jc w:val="center"/>
      </w:pPr>
    </w:p>
    <w:p w14:paraId="190282E2" w14:textId="77777777" w:rsidR="00F06C8E" w:rsidRPr="00231278" w:rsidRDefault="00F06C8E" w:rsidP="00A941F9">
      <w:pPr>
        <w:spacing w:after="0"/>
        <w:jc w:val="cente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F06C8E" w:rsidRPr="00B772A5" w14:paraId="75C19D2E" w14:textId="77777777" w:rsidTr="00F12B81">
        <w:trPr>
          <w:trHeight w:val="864"/>
          <w:jc w:val="center"/>
        </w:trPr>
        <w:tc>
          <w:tcPr>
            <w:tcW w:w="4536" w:type="dxa"/>
          </w:tcPr>
          <w:p w14:paraId="3EB5E9C6" w14:textId="77777777" w:rsidR="00F06C8E" w:rsidRPr="00F06C8E" w:rsidRDefault="00F06C8E" w:rsidP="00F12B81">
            <w:pPr>
              <w:tabs>
                <w:tab w:val="left" w:pos="-720"/>
              </w:tabs>
              <w:suppressAutoHyphens/>
              <w:spacing w:after="0"/>
              <w:jc w:val="center"/>
              <w:rPr>
                <w:rFonts w:eastAsia="Times New Roman" w:cs="Arial"/>
                <w:b/>
                <w:spacing w:val="-3"/>
                <w:szCs w:val="24"/>
                <w:lang w:val="es-ES" w:eastAsia="es-ES"/>
              </w:rPr>
            </w:pPr>
            <w:r w:rsidRPr="00F06C8E">
              <w:rPr>
                <w:rFonts w:eastAsia="Times New Roman" w:cs="Arial"/>
                <w:b/>
                <w:spacing w:val="-3"/>
                <w:szCs w:val="24"/>
                <w:lang w:val="es-ES" w:eastAsia="es-ES"/>
              </w:rPr>
              <w:t>MIGUEL LOTERO ROBLEDO</w:t>
            </w:r>
          </w:p>
          <w:p w14:paraId="63D62D8A" w14:textId="77777777" w:rsidR="00F06C8E" w:rsidRPr="00F06C8E" w:rsidRDefault="00F06C8E" w:rsidP="00F12B81">
            <w:pPr>
              <w:tabs>
                <w:tab w:val="left" w:pos="-720"/>
              </w:tabs>
              <w:suppressAutoHyphens/>
              <w:spacing w:after="0"/>
              <w:jc w:val="center"/>
              <w:rPr>
                <w:rFonts w:eastAsia="Times New Roman" w:cs="Times New Roman"/>
                <w:szCs w:val="24"/>
                <w:lang w:val="es-ES" w:eastAsia="es-ES"/>
              </w:rPr>
            </w:pPr>
            <w:r w:rsidRPr="00F06C8E">
              <w:rPr>
                <w:rFonts w:eastAsia="Times New Roman" w:cs="Times New Roman"/>
                <w:szCs w:val="24"/>
                <w:lang w:val="es-ES" w:eastAsia="es-ES"/>
              </w:rPr>
              <w:t xml:space="preserve">Viceministro de Energía, delegado del </w:t>
            </w:r>
            <w:proofErr w:type="gramStart"/>
            <w:r w:rsidRPr="00F06C8E">
              <w:rPr>
                <w:rFonts w:eastAsia="Times New Roman" w:cs="Times New Roman"/>
                <w:szCs w:val="24"/>
                <w:lang w:val="es-ES" w:eastAsia="es-ES"/>
              </w:rPr>
              <w:t>Ministro</w:t>
            </w:r>
            <w:proofErr w:type="gramEnd"/>
            <w:r w:rsidRPr="00F06C8E">
              <w:rPr>
                <w:rFonts w:eastAsia="Times New Roman" w:cs="Times New Roman"/>
                <w:szCs w:val="24"/>
                <w:lang w:val="es-ES" w:eastAsia="es-ES"/>
              </w:rPr>
              <w:t xml:space="preserve"> de Minas y Energía</w:t>
            </w:r>
          </w:p>
          <w:p w14:paraId="2A9DF474" w14:textId="77777777" w:rsidR="00F06C8E" w:rsidRPr="00F06C8E" w:rsidRDefault="00F06C8E" w:rsidP="00F12B81">
            <w:pPr>
              <w:tabs>
                <w:tab w:val="left" w:pos="-720"/>
              </w:tabs>
              <w:suppressAutoHyphens/>
              <w:spacing w:after="0"/>
              <w:jc w:val="center"/>
              <w:rPr>
                <w:rFonts w:eastAsia="Times New Roman" w:cs="Arial"/>
                <w:b/>
                <w:strike/>
                <w:spacing w:val="-3"/>
                <w:szCs w:val="24"/>
                <w:lang w:val="es-ES" w:eastAsia="es-ES"/>
              </w:rPr>
            </w:pPr>
            <w:r w:rsidRPr="00F06C8E">
              <w:rPr>
                <w:rFonts w:ascii="Times New Roman" w:eastAsia="Times New Roman" w:hAnsi="Times New Roman" w:cs="Times New Roman"/>
                <w:szCs w:val="24"/>
                <w:lang w:val="es-ES" w:eastAsia="es-ES"/>
              </w:rPr>
              <w:t xml:space="preserve"> </w:t>
            </w:r>
            <w:r w:rsidRPr="00F06C8E">
              <w:rPr>
                <w:rFonts w:eastAsia="Times New Roman" w:cs="Times New Roman"/>
                <w:szCs w:val="24"/>
                <w:lang w:val="es-ES" w:eastAsia="es-ES"/>
              </w:rPr>
              <w:t>Presidente</w:t>
            </w:r>
          </w:p>
        </w:tc>
        <w:tc>
          <w:tcPr>
            <w:tcW w:w="4962" w:type="dxa"/>
          </w:tcPr>
          <w:p w14:paraId="08B7E082" w14:textId="77777777" w:rsidR="00F06C8E" w:rsidRPr="00F06C8E" w:rsidRDefault="00F06C8E" w:rsidP="00F12B81">
            <w:pPr>
              <w:tabs>
                <w:tab w:val="left" w:pos="-720"/>
              </w:tabs>
              <w:suppressAutoHyphens/>
              <w:spacing w:after="0"/>
              <w:jc w:val="center"/>
              <w:rPr>
                <w:rFonts w:eastAsia="Times New Roman" w:cs="Arial"/>
                <w:b/>
                <w:szCs w:val="24"/>
                <w:lang w:val="es-ES" w:eastAsia="es-ES"/>
              </w:rPr>
            </w:pPr>
            <w:r w:rsidRPr="00F06C8E">
              <w:rPr>
                <w:rFonts w:eastAsia="Times New Roman" w:cs="Arial"/>
                <w:b/>
                <w:szCs w:val="24"/>
                <w:lang w:val="es-ES" w:eastAsia="es-ES"/>
              </w:rPr>
              <w:t>JORGE ALBERTO VALENCIA MARÍN</w:t>
            </w:r>
          </w:p>
          <w:p w14:paraId="112C90F4" w14:textId="77777777" w:rsidR="00F06C8E" w:rsidRPr="00F06C8E" w:rsidRDefault="00F06C8E" w:rsidP="00F12B81">
            <w:pPr>
              <w:tabs>
                <w:tab w:val="left" w:pos="-720"/>
              </w:tabs>
              <w:suppressAutoHyphens/>
              <w:spacing w:after="0"/>
              <w:jc w:val="center"/>
              <w:rPr>
                <w:rFonts w:eastAsia="Times New Roman" w:cs="Arial"/>
                <w:b/>
                <w:spacing w:val="-3"/>
                <w:szCs w:val="24"/>
                <w:lang w:val="es-ES" w:eastAsia="es-ES"/>
              </w:rPr>
            </w:pPr>
            <w:r w:rsidRPr="00F06C8E">
              <w:rPr>
                <w:rFonts w:eastAsia="Times New Roman" w:cs="Arial"/>
                <w:spacing w:val="-3"/>
                <w:szCs w:val="24"/>
                <w:lang w:val="es-ES" w:eastAsia="es-ES"/>
              </w:rPr>
              <w:t>Director Ejecutivo</w:t>
            </w:r>
          </w:p>
        </w:tc>
      </w:tr>
    </w:tbl>
    <w:p w14:paraId="763B5502" w14:textId="17B8E9AE" w:rsidR="00964FCF" w:rsidRPr="00231278" w:rsidRDefault="00964FCF" w:rsidP="00A941F9">
      <w:pPr>
        <w:spacing w:after="0"/>
        <w:jc w:val="center"/>
        <w:rPr>
          <w:noProof/>
          <w:highlight w:val="yellow"/>
        </w:rPr>
      </w:pPr>
    </w:p>
    <w:p w14:paraId="6623E5BF" w14:textId="77777777" w:rsidR="00F5673C" w:rsidRPr="00231278" w:rsidRDefault="00F5673C" w:rsidP="00A941F9">
      <w:pPr>
        <w:spacing w:after="0"/>
        <w:jc w:val="center"/>
        <w:rPr>
          <w:noProof/>
          <w:highlight w:val="yellow"/>
        </w:rPr>
      </w:pPr>
    </w:p>
    <w:p w14:paraId="0C76FD30" w14:textId="750C2C39" w:rsidR="00964FCF" w:rsidRDefault="00964FCF">
      <w:pPr>
        <w:spacing w:line="276" w:lineRule="auto"/>
        <w:contextualSpacing w:val="0"/>
        <w:rPr>
          <w:rFonts w:eastAsia="Times New Roman" w:cs="Arial"/>
          <w:b/>
          <w:szCs w:val="24"/>
          <w:highlight w:val="yellow"/>
          <w:lang w:val="es-ES" w:eastAsia="es-ES"/>
        </w:rPr>
      </w:pPr>
      <w:r w:rsidRPr="00B772A5">
        <w:rPr>
          <w:rFonts w:eastAsia="Times New Roman" w:cs="Arial"/>
          <w:b/>
          <w:szCs w:val="24"/>
          <w:highlight w:val="yellow"/>
          <w:lang w:val="es-ES" w:eastAsia="es-ES"/>
        </w:rPr>
        <w:br w:type="page"/>
      </w:r>
    </w:p>
    <w:p w14:paraId="6F098915" w14:textId="77777777" w:rsidR="00190E4A" w:rsidRPr="00B772A5" w:rsidRDefault="00190E4A">
      <w:pPr>
        <w:spacing w:line="276" w:lineRule="auto"/>
        <w:contextualSpacing w:val="0"/>
        <w:rPr>
          <w:rFonts w:eastAsia="Times New Roman" w:cs="Arial"/>
          <w:b/>
          <w:szCs w:val="24"/>
          <w:highlight w:val="yellow"/>
          <w:lang w:val="es-ES" w:eastAsia="es-ES"/>
        </w:rPr>
      </w:pPr>
    </w:p>
    <w:p w14:paraId="5D392EAD" w14:textId="67245DA5" w:rsidR="00964FCF" w:rsidRPr="001078C4" w:rsidRDefault="00492CE1" w:rsidP="00964FCF">
      <w:pPr>
        <w:jc w:val="center"/>
        <w:rPr>
          <w:b/>
          <w:bCs/>
        </w:rPr>
      </w:pPr>
      <w:r w:rsidRPr="001078C4">
        <w:rPr>
          <w:b/>
          <w:bCs/>
        </w:rPr>
        <w:t>“</w:t>
      </w:r>
      <w:r w:rsidR="00964FCF" w:rsidRPr="001078C4">
        <w:rPr>
          <w:b/>
          <w:bCs/>
        </w:rPr>
        <w:t xml:space="preserve">Anexo </w:t>
      </w:r>
      <w:r w:rsidRPr="001078C4">
        <w:rPr>
          <w:b/>
          <w:bCs/>
        </w:rPr>
        <w:t>2</w:t>
      </w:r>
      <w:r w:rsidR="00964FCF" w:rsidRPr="001078C4">
        <w:rPr>
          <w:b/>
          <w:bCs/>
        </w:rPr>
        <w:t xml:space="preserve">. </w:t>
      </w:r>
      <w:r w:rsidRPr="001078C4">
        <w:rPr>
          <w:b/>
          <w:bCs/>
        </w:rPr>
        <w:t>Inversión Existente Resolución CREG 113 de 2011</w:t>
      </w:r>
    </w:p>
    <w:p w14:paraId="51CD09C0" w14:textId="77777777" w:rsidR="00964FCF" w:rsidRDefault="00964FCF" w:rsidP="00691D61">
      <w:pPr>
        <w:spacing w:after="0"/>
        <w:ind w:left="-181"/>
        <w:jc w:val="center"/>
        <w:rPr>
          <w:rFonts w:eastAsia="Times New Roman" w:cs="Arial"/>
          <w:b/>
          <w:sz w:val="16"/>
          <w:szCs w:val="16"/>
          <w:lang w:val="es-ES" w:eastAsia="es-ES"/>
        </w:rPr>
      </w:pPr>
    </w:p>
    <w:p w14:paraId="148AE093" w14:textId="77777777" w:rsidR="0016752C" w:rsidRPr="001078C4" w:rsidRDefault="0016752C" w:rsidP="00691D61">
      <w:pPr>
        <w:spacing w:after="0"/>
        <w:ind w:left="-181"/>
        <w:jc w:val="center"/>
        <w:rPr>
          <w:rFonts w:eastAsia="Times New Roman" w:cs="Arial"/>
          <w:b/>
          <w:sz w:val="16"/>
          <w:szCs w:val="16"/>
          <w:lang w:val="es-ES" w:eastAsia="es-ES"/>
        </w:rPr>
      </w:pPr>
    </w:p>
    <w:p w14:paraId="493E09C7" w14:textId="37CB08CF" w:rsidR="00964FCF" w:rsidRPr="001078C4" w:rsidRDefault="0016752C" w:rsidP="00691D61">
      <w:pPr>
        <w:spacing w:after="0"/>
        <w:ind w:left="-181"/>
        <w:jc w:val="center"/>
        <w:rPr>
          <w:rFonts w:eastAsia="Times New Roman" w:cs="Arial"/>
          <w:b/>
          <w:szCs w:val="24"/>
          <w:lang w:val="es-ES" w:eastAsia="es-ES"/>
        </w:rPr>
      </w:pPr>
      <w:r w:rsidRPr="0016752C">
        <w:rPr>
          <w:noProof/>
        </w:rPr>
        <w:drawing>
          <wp:inline distT="0" distB="0" distL="0" distR="0" wp14:anchorId="2A281277" wp14:editId="30536ED3">
            <wp:extent cx="5941060" cy="82169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1060" cy="821690"/>
                    </a:xfrm>
                    <a:prstGeom prst="rect">
                      <a:avLst/>
                    </a:prstGeom>
                    <a:noFill/>
                    <a:ln>
                      <a:noFill/>
                    </a:ln>
                  </pic:spPr>
                </pic:pic>
              </a:graphicData>
            </a:graphic>
          </wp:inline>
        </w:drawing>
      </w:r>
    </w:p>
    <w:p w14:paraId="29E93113" w14:textId="256124D7" w:rsidR="00964FCF" w:rsidRDefault="00964FCF" w:rsidP="00691D61">
      <w:pPr>
        <w:spacing w:after="0"/>
        <w:ind w:left="-181"/>
        <w:jc w:val="center"/>
        <w:rPr>
          <w:rFonts w:eastAsia="Times New Roman" w:cs="Arial"/>
          <w:b/>
          <w:szCs w:val="24"/>
          <w:highlight w:val="yellow"/>
          <w:lang w:val="es-ES" w:eastAsia="es-ES"/>
        </w:rPr>
      </w:pPr>
    </w:p>
    <w:p w14:paraId="1ACF0462" w14:textId="12E7D788" w:rsidR="00F06C8E" w:rsidRDefault="00F06C8E" w:rsidP="00691D61">
      <w:pPr>
        <w:spacing w:after="0"/>
        <w:ind w:left="-181"/>
        <w:jc w:val="center"/>
        <w:rPr>
          <w:rFonts w:eastAsia="Times New Roman" w:cs="Arial"/>
          <w:b/>
          <w:szCs w:val="24"/>
          <w:highlight w:val="yellow"/>
          <w:lang w:val="es-ES" w:eastAsia="es-ES"/>
        </w:rPr>
      </w:pPr>
    </w:p>
    <w:p w14:paraId="5A6D3D6C" w14:textId="77777777" w:rsidR="001E4088" w:rsidRDefault="001E4088" w:rsidP="00691D61">
      <w:pPr>
        <w:spacing w:after="0"/>
        <w:ind w:left="-181"/>
        <w:jc w:val="center"/>
        <w:rPr>
          <w:rFonts w:eastAsia="Times New Roman" w:cs="Arial"/>
          <w:b/>
          <w:szCs w:val="24"/>
          <w:highlight w:val="yellow"/>
          <w:lang w:val="es-ES" w:eastAsia="es-ES"/>
        </w:rPr>
      </w:pPr>
    </w:p>
    <w:p w14:paraId="1E01F036" w14:textId="77777777" w:rsidR="00F06C8E" w:rsidRDefault="00F06C8E" w:rsidP="00691D61">
      <w:pPr>
        <w:spacing w:after="0"/>
        <w:ind w:left="-181"/>
        <w:jc w:val="center"/>
        <w:rPr>
          <w:rFonts w:eastAsia="Times New Roman" w:cs="Arial"/>
          <w:b/>
          <w:szCs w:val="24"/>
          <w:highlight w:val="yellow"/>
          <w:lang w:val="es-ES" w:eastAsia="es-ES"/>
        </w:rPr>
      </w:pPr>
    </w:p>
    <w:p w14:paraId="7E6F47B8" w14:textId="0E1F4F97" w:rsidR="00F06C8E" w:rsidRDefault="00F06C8E" w:rsidP="00691D61">
      <w:pPr>
        <w:spacing w:after="0"/>
        <w:ind w:left="-181"/>
        <w:jc w:val="center"/>
        <w:rPr>
          <w:rFonts w:eastAsia="Times New Roman" w:cs="Arial"/>
          <w:b/>
          <w:szCs w:val="24"/>
          <w:highlight w:val="yellow"/>
          <w:lang w:val="es-ES" w:eastAsia="es-ES"/>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F06C8E" w:rsidRPr="00B772A5" w14:paraId="01E0BA8B" w14:textId="77777777" w:rsidTr="00F12B81">
        <w:trPr>
          <w:trHeight w:val="864"/>
          <w:jc w:val="center"/>
        </w:trPr>
        <w:tc>
          <w:tcPr>
            <w:tcW w:w="4536" w:type="dxa"/>
          </w:tcPr>
          <w:p w14:paraId="58C82B23" w14:textId="77777777" w:rsidR="00F06C8E" w:rsidRPr="00F06C8E" w:rsidRDefault="00F06C8E" w:rsidP="00F12B81">
            <w:pPr>
              <w:tabs>
                <w:tab w:val="left" w:pos="-720"/>
              </w:tabs>
              <w:suppressAutoHyphens/>
              <w:spacing w:after="0"/>
              <w:jc w:val="center"/>
              <w:rPr>
                <w:rFonts w:eastAsia="Times New Roman" w:cs="Arial"/>
                <w:b/>
                <w:spacing w:val="-3"/>
                <w:szCs w:val="24"/>
                <w:lang w:val="es-ES" w:eastAsia="es-ES"/>
              </w:rPr>
            </w:pPr>
            <w:r w:rsidRPr="00F06C8E">
              <w:rPr>
                <w:rFonts w:eastAsia="Times New Roman" w:cs="Arial"/>
                <w:b/>
                <w:spacing w:val="-3"/>
                <w:szCs w:val="24"/>
                <w:lang w:val="es-ES" w:eastAsia="es-ES"/>
              </w:rPr>
              <w:t>MIGUEL LOTERO ROBLEDO</w:t>
            </w:r>
          </w:p>
          <w:p w14:paraId="122BCE7C" w14:textId="77777777" w:rsidR="00F06C8E" w:rsidRPr="00F06C8E" w:rsidRDefault="00F06C8E" w:rsidP="00F12B81">
            <w:pPr>
              <w:tabs>
                <w:tab w:val="left" w:pos="-720"/>
              </w:tabs>
              <w:suppressAutoHyphens/>
              <w:spacing w:after="0"/>
              <w:jc w:val="center"/>
              <w:rPr>
                <w:rFonts w:eastAsia="Times New Roman" w:cs="Times New Roman"/>
                <w:szCs w:val="24"/>
                <w:lang w:val="es-ES" w:eastAsia="es-ES"/>
              </w:rPr>
            </w:pPr>
            <w:r w:rsidRPr="00F06C8E">
              <w:rPr>
                <w:rFonts w:eastAsia="Times New Roman" w:cs="Times New Roman"/>
                <w:szCs w:val="24"/>
                <w:lang w:val="es-ES" w:eastAsia="es-ES"/>
              </w:rPr>
              <w:t xml:space="preserve">Viceministro de Energía, delegado del </w:t>
            </w:r>
            <w:proofErr w:type="gramStart"/>
            <w:r w:rsidRPr="00F06C8E">
              <w:rPr>
                <w:rFonts w:eastAsia="Times New Roman" w:cs="Times New Roman"/>
                <w:szCs w:val="24"/>
                <w:lang w:val="es-ES" w:eastAsia="es-ES"/>
              </w:rPr>
              <w:t>Ministro</w:t>
            </w:r>
            <w:proofErr w:type="gramEnd"/>
            <w:r w:rsidRPr="00F06C8E">
              <w:rPr>
                <w:rFonts w:eastAsia="Times New Roman" w:cs="Times New Roman"/>
                <w:szCs w:val="24"/>
                <w:lang w:val="es-ES" w:eastAsia="es-ES"/>
              </w:rPr>
              <w:t xml:space="preserve"> de Minas y Energía</w:t>
            </w:r>
          </w:p>
          <w:p w14:paraId="359D2CAF" w14:textId="77777777" w:rsidR="00F06C8E" w:rsidRPr="00F06C8E" w:rsidRDefault="00F06C8E" w:rsidP="00F12B81">
            <w:pPr>
              <w:tabs>
                <w:tab w:val="left" w:pos="-720"/>
              </w:tabs>
              <w:suppressAutoHyphens/>
              <w:spacing w:after="0"/>
              <w:jc w:val="center"/>
              <w:rPr>
                <w:rFonts w:eastAsia="Times New Roman" w:cs="Arial"/>
                <w:b/>
                <w:strike/>
                <w:spacing w:val="-3"/>
                <w:szCs w:val="24"/>
                <w:lang w:val="es-ES" w:eastAsia="es-ES"/>
              </w:rPr>
            </w:pPr>
            <w:r w:rsidRPr="00F06C8E">
              <w:rPr>
                <w:rFonts w:ascii="Times New Roman" w:eastAsia="Times New Roman" w:hAnsi="Times New Roman" w:cs="Times New Roman"/>
                <w:szCs w:val="24"/>
                <w:lang w:val="es-ES" w:eastAsia="es-ES"/>
              </w:rPr>
              <w:t xml:space="preserve"> </w:t>
            </w:r>
            <w:r w:rsidRPr="00F06C8E">
              <w:rPr>
                <w:rFonts w:eastAsia="Times New Roman" w:cs="Times New Roman"/>
                <w:szCs w:val="24"/>
                <w:lang w:val="es-ES" w:eastAsia="es-ES"/>
              </w:rPr>
              <w:t>Presidente</w:t>
            </w:r>
          </w:p>
        </w:tc>
        <w:tc>
          <w:tcPr>
            <w:tcW w:w="4962" w:type="dxa"/>
          </w:tcPr>
          <w:p w14:paraId="69C813E8" w14:textId="77777777" w:rsidR="00F06C8E" w:rsidRPr="00F06C8E" w:rsidRDefault="00F06C8E" w:rsidP="00F12B81">
            <w:pPr>
              <w:tabs>
                <w:tab w:val="left" w:pos="-720"/>
              </w:tabs>
              <w:suppressAutoHyphens/>
              <w:spacing w:after="0"/>
              <w:jc w:val="center"/>
              <w:rPr>
                <w:rFonts w:eastAsia="Times New Roman" w:cs="Arial"/>
                <w:b/>
                <w:szCs w:val="24"/>
                <w:lang w:val="es-ES" w:eastAsia="es-ES"/>
              </w:rPr>
            </w:pPr>
            <w:r w:rsidRPr="00F06C8E">
              <w:rPr>
                <w:rFonts w:eastAsia="Times New Roman" w:cs="Arial"/>
                <w:b/>
                <w:szCs w:val="24"/>
                <w:lang w:val="es-ES" w:eastAsia="es-ES"/>
              </w:rPr>
              <w:t>JORGE ALBERTO VALENCIA MARÍN</w:t>
            </w:r>
          </w:p>
          <w:p w14:paraId="3BB09F6C" w14:textId="77777777" w:rsidR="00F06C8E" w:rsidRPr="00F06C8E" w:rsidRDefault="00F06C8E" w:rsidP="00F12B81">
            <w:pPr>
              <w:tabs>
                <w:tab w:val="left" w:pos="-720"/>
              </w:tabs>
              <w:suppressAutoHyphens/>
              <w:spacing w:after="0"/>
              <w:jc w:val="center"/>
              <w:rPr>
                <w:rFonts w:eastAsia="Times New Roman" w:cs="Arial"/>
                <w:b/>
                <w:spacing w:val="-3"/>
                <w:szCs w:val="24"/>
                <w:lang w:val="es-ES" w:eastAsia="es-ES"/>
              </w:rPr>
            </w:pPr>
            <w:r w:rsidRPr="00F06C8E">
              <w:rPr>
                <w:rFonts w:eastAsia="Times New Roman" w:cs="Arial"/>
                <w:spacing w:val="-3"/>
                <w:szCs w:val="24"/>
                <w:lang w:val="es-ES" w:eastAsia="es-ES"/>
              </w:rPr>
              <w:t>Director Ejecutivo</w:t>
            </w:r>
          </w:p>
        </w:tc>
      </w:tr>
    </w:tbl>
    <w:p w14:paraId="623CFD24" w14:textId="77777777" w:rsidR="00F06C8E" w:rsidRPr="00B772A5" w:rsidRDefault="00F06C8E" w:rsidP="00691D61">
      <w:pPr>
        <w:spacing w:after="0"/>
        <w:ind w:left="-181"/>
        <w:jc w:val="center"/>
        <w:rPr>
          <w:rFonts w:eastAsia="Times New Roman" w:cs="Arial"/>
          <w:b/>
          <w:szCs w:val="24"/>
          <w:highlight w:val="yellow"/>
          <w:lang w:val="es-ES" w:eastAsia="es-ES"/>
        </w:rPr>
      </w:pPr>
    </w:p>
    <w:sectPr w:rsidR="00F06C8E" w:rsidRPr="00B772A5" w:rsidSect="005C1BCA">
      <w:headerReference w:type="default" r:id="rId15"/>
      <w:headerReference w:type="first" r:id="rId16"/>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9EE1" w14:textId="77777777" w:rsidR="00220969" w:rsidRDefault="00220969" w:rsidP="005C1BCA">
      <w:pPr>
        <w:spacing w:after="0"/>
      </w:pPr>
      <w:r>
        <w:separator/>
      </w:r>
    </w:p>
  </w:endnote>
  <w:endnote w:type="continuationSeparator" w:id="0">
    <w:p w14:paraId="7A76EC44" w14:textId="77777777" w:rsidR="00220969" w:rsidRDefault="00220969" w:rsidP="005C1BCA">
      <w:pPr>
        <w:spacing w:after="0"/>
      </w:pPr>
      <w:r>
        <w:continuationSeparator/>
      </w:r>
    </w:p>
  </w:endnote>
  <w:endnote w:type="continuationNotice" w:id="1">
    <w:p w14:paraId="69438A07" w14:textId="77777777" w:rsidR="00220969" w:rsidRDefault="002209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9A9C" w14:textId="77777777" w:rsidR="00220969" w:rsidRDefault="00220969" w:rsidP="005C1BCA">
      <w:pPr>
        <w:spacing w:after="0"/>
      </w:pPr>
      <w:r>
        <w:separator/>
      </w:r>
    </w:p>
  </w:footnote>
  <w:footnote w:type="continuationSeparator" w:id="0">
    <w:p w14:paraId="0A9F48DF" w14:textId="77777777" w:rsidR="00220969" w:rsidRDefault="00220969" w:rsidP="005C1BCA">
      <w:pPr>
        <w:spacing w:after="0"/>
      </w:pPr>
      <w:r>
        <w:continuationSeparator/>
      </w:r>
    </w:p>
  </w:footnote>
  <w:footnote w:type="continuationNotice" w:id="1">
    <w:p w14:paraId="7C076A02" w14:textId="77777777" w:rsidR="00220969" w:rsidRDefault="002209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6BA0" w14:textId="77777777" w:rsidR="002F1F67" w:rsidRDefault="002F1F67" w:rsidP="001F2B83">
    <w:pPr>
      <w:pStyle w:val="Ttulo1"/>
      <w:ind w:right="6"/>
      <w:jc w:val="left"/>
      <w:rPr>
        <w:rFonts w:ascii="Bookman Old Style" w:hAnsi="Bookman Old Style" w:cs="Arial"/>
        <w:b w:val="0"/>
        <w:sz w:val="22"/>
        <w:szCs w:val="22"/>
      </w:rPr>
    </w:pPr>
  </w:p>
  <w:p w14:paraId="2C9B156E" w14:textId="604DF426" w:rsidR="00BE7550" w:rsidRPr="00BE7550" w:rsidRDefault="00BE7550" w:rsidP="00BE7550">
    <w:pPr>
      <w:spacing w:after="0"/>
      <w:jc w:val="both"/>
      <w:rPr>
        <w:rFonts w:eastAsia="Times New Roman" w:cs="Times New Roman"/>
        <w:szCs w:val="24"/>
        <w:lang w:eastAsia="es-ES_tradnl"/>
      </w:rPr>
    </w:pPr>
    <w:r w:rsidRPr="00BE7550">
      <w:rPr>
        <w:rFonts w:eastAsia="Times New Roman" w:cs="Times New Roman"/>
        <w:szCs w:val="24"/>
        <w:lang w:eastAsia="es-ES_tradnl"/>
      </w:rPr>
      <w:t>RESOLUCIÓN No</w:t>
    </w:r>
    <w:r w:rsidRPr="00190E4A">
      <w:rPr>
        <w:rFonts w:eastAsia="Times New Roman" w:cs="Times New Roman"/>
        <w:szCs w:val="24"/>
        <w:lang w:eastAsia="es-ES_tradnl"/>
      </w:rPr>
      <w:t xml:space="preserve">. </w:t>
    </w:r>
    <w:r w:rsidR="00B33251" w:rsidRPr="00190E4A">
      <w:rPr>
        <w:rFonts w:eastAsia="Times New Roman" w:cs="Times New Roman"/>
        <w:b/>
        <w:bCs/>
        <w:szCs w:val="24"/>
        <w:u w:val="single"/>
        <w:lang w:eastAsia="es-ES_tradnl"/>
      </w:rPr>
      <w:t xml:space="preserve">502 </w:t>
    </w:r>
    <w:r w:rsidR="00190E4A" w:rsidRPr="00190E4A">
      <w:rPr>
        <w:rFonts w:eastAsia="Times New Roman" w:cs="Times New Roman"/>
        <w:b/>
        <w:bCs/>
        <w:szCs w:val="24"/>
        <w:u w:val="single"/>
        <w:lang w:eastAsia="es-ES_tradnl"/>
      </w:rPr>
      <w:t>026</w:t>
    </w:r>
    <w:r w:rsidRPr="00190E4A">
      <w:rPr>
        <w:rFonts w:eastAsia="Times New Roman" w:cs="Times New Roman"/>
        <w:b/>
        <w:bCs/>
        <w:szCs w:val="24"/>
        <w:u w:val="single"/>
        <w:lang w:eastAsia="es-ES_tradnl"/>
      </w:rPr>
      <w:t xml:space="preserve"> </w:t>
    </w:r>
    <w:r w:rsidRPr="00190E4A">
      <w:rPr>
        <w:rFonts w:eastAsia="Times New Roman" w:cs="Times New Roman"/>
        <w:szCs w:val="24"/>
        <w:lang w:eastAsia="es-ES_tradnl"/>
      </w:rPr>
      <w:t xml:space="preserve">DE </w:t>
    </w:r>
    <w:r w:rsidR="00F06C8E" w:rsidRPr="00190E4A">
      <w:rPr>
        <w:rFonts w:eastAsia="Times New Roman" w:cs="Times New Roman"/>
        <w:b/>
        <w:bCs/>
        <w:szCs w:val="24"/>
        <w:u w:val="single"/>
        <w:lang w:eastAsia="es-ES_tradnl"/>
      </w:rPr>
      <w:t>15</w:t>
    </w:r>
    <w:r w:rsidR="007B3C4F" w:rsidRPr="00190E4A">
      <w:rPr>
        <w:rFonts w:eastAsia="Times New Roman" w:cs="Times New Roman"/>
        <w:b/>
        <w:bCs/>
        <w:szCs w:val="24"/>
        <w:u w:val="single"/>
        <w:lang w:eastAsia="es-ES_tradnl"/>
      </w:rPr>
      <w:t xml:space="preserve"> </w:t>
    </w:r>
    <w:r w:rsidR="00F06C8E" w:rsidRPr="00190E4A">
      <w:rPr>
        <w:rFonts w:eastAsia="Times New Roman" w:cs="Times New Roman"/>
        <w:b/>
        <w:bCs/>
        <w:szCs w:val="24"/>
        <w:u w:val="single"/>
        <w:lang w:eastAsia="es-ES_tradnl"/>
      </w:rPr>
      <w:t>JUL</w:t>
    </w:r>
    <w:r w:rsidR="007B3C4F" w:rsidRPr="00190E4A">
      <w:rPr>
        <w:rFonts w:eastAsia="Times New Roman" w:cs="Times New Roman"/>
        <w:b/>
        <w:bCs/>
        <w:szCs w:val="24"/>
        <w:u w:val="single"/>
        <w:lang w:eastAsia="es-ES_tradnl"/>
      </w:rPr>
      <w:t xml:space="preserve">. </w:t>
    </w:r>
    <w:r w:rsidRPr="00190E4A">
      <w:rPr>
        <w:rFonts w:eastAsia="Times New Roman" w:cs="Times New Roman"/>
        <w:b/>
        <w:bCs/>
        <w:szCs w:val="24"/>
        <w:u w:val="single"/>
        <w:lang w:eastAsia="es-ES_tradnl"/>
      </w:rPr>
      <w:t>202</w:t>
    </w:r>
    <w:r w:rsidR="00DC485F" w:rsidRPr="00190E4A">
      <w:rPr>
        <w:rFonts w:eastAsia="Times New Roman" w:cs="Times New Roman"/>
        <w:b/>
        <w:bCs/>
        <w:szCs w:val="24"/>
        <w:u w:val="single"/>
        <w:lang w:eastAsia="es-ES_tradnl"/>
      </w:rPr>
      <w:t>2</w:t>
    </w:r>
    <w:r w:rsidR="007B3C4F" w:rsidRPr="007B3C4F">
      <w:rPr>
        <w:rFonts w:eastAsia="Times New Roman" w:cs="Times New Roman"/>
        <w:b/>
        <w:bCs/>
        <w:szCs w:val="24"/>
        <w:lang w:eastAsia="es-ES_tradnl"/>
      </w:rPr>
      <w:t xml:space="preserve"> </w:t>
    </w:r>
    <w:r w:rsidRPr="007B3C4F">
      <w:rPr>
        <w:rFonts w:eastAsia="Times New Roman" w:cs="Times New Roman"/>
        <w:b/>
        <w:bCs/>
        <w:szCs w:val="24"/>
        <w:lang w:eastAsia="es-ES_tradnl"/>
      </w:rPr>
      <w:t xml:space="preserve"> </w:t>
    </w:r>
    <w:r w:rsidR="007B3C4F" w:rsidRPr="007B3C4F">
      <w:rPr>
        <w:rFonts w:eastAsia="Times New Roman" w:cs="Times New Roman"/>
        <w:b/>
        <w:bCs/>
        <w:szCs w:val="24"/>
        <w:lang w:eastAsia="es-ES_tradnl"/>
      </w:rPr>
      <w:t xml:space="preserve"> </w:t>
    </w:r>
    <w:r w:rsidRPr="00BE7550">
      <w:rPr>
        <w:rFonts w:eastAsia="Times New Roman" w:cs="Times New Roman"/>
        <w:szCs w:val="24"/>
        <w:lang w:eastAsia="es-ES_tradnl"/>
      </w:rPr>
      <w:t xml:space="preserve">HOJA No. </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 xml:space="preserve"> PAGE   \* MERGEFORMAT </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2</w:t>
    </w:r>
    <w:r w:rsidRPr="00BE7550">
      <w:rPr>
        <w:rFonts w:eastAsia="Times New Roman" w:cs="Times New Roman"/>
        <w:szCs w:val="24"/>
        <w:lang w:eastAsia="es-ES_tradnl"/>
      </w:rPr>
      <w:fldChar w:fldCharType="end"/>
    </w:r>
    <w:r w:rsidRPr="00BE7550">
      <w:rPr>
        <w:rFonts w:eastAsia="Times New Roman" w:cs="Times New Roman"/>
        <w:szCs w:val="24"/>
        <w:lang w:eastAsia="es-ES_tradnl"/>
      </w:rPr>
      <w:t>/</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NUMPAGES  \* MERGEFORMAT</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4</w:t>
    </w:r>
    <w:r w:rsidRPr="00BE7550">
      <w:rPr>
        <w:rFonts w:eastAsia="Times New Roman" w:cs="Times New Roman"/>
        <w:szCs w:val="24"/>
        <w:lang w:eastAsia="es-ES_tradnl"/>
      </w:rPr>
      <w:fldChar w:fldCharType="end"/>
    </w:r>
  </w:p>
  <w:p w14:paraId="058D3816" w14:textId="77777777" w:rsidR="002F1F67" w:rsidRDefault="002F1F67" w:rsidP="001F2B83">
    <w:pPr>
      <w:ind w:left="142" w:right="148"/>
      <w:rPr>
        <w:rFonts w:cs="Arial"/>
      </w:rPr>
    </w:pPr>
    <w:r>
      <w:rPr>
        <w:noProof/>
        <w:lang w:eastAsia="es-CO"/>
      </w:rPr>
      <mc:AlternateContent>
        <mc:Choice Requires="wps">
          <w:drawing>
            <wp:anchor distT="0" distB="0" distL="114300" distR="114300" simplePos="0" relativeHeight="251658240" behindDoc="0" locked="0" layoutInCell="1" allowOverlap="1" wp14:anchorId="40F2437B" wp14:editId="2913AE5C">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F2F29"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7832FCE" w14:textId="6A86DCA0" w:rsidR="003A3BAC" w:rsidRPr="003A3BAC" w:rsidRDefault="008B3493" w:rsidP="008B3493">
    <w:pPr>
      <w:pBdr>
        <w:bottom w:val="single" w:sz="4" w:space="1" w:color="auto"/>
      </w:pBdr>
      <w:spacing w:after="120"/>
      <w:ind w:right="147"/>
      <w:jc w:val="both"/>
      <w:rPr>
        <w:rFonts w:eastAsia="Times New Roman" w:cs="Times New Roman"/>
        <w:sz w:val="2"/>
        <w:szCs w:val="2"/>
        <w:lang w:val="es-ES" w:eastAsia="es-ES"/>
      </w:rPr>
    </w:pPr>
    <w:r w:rsidRPr="008B3493">
      <w:rPr>
        <w:rFonts w:eastAsia="Times New Roman" w:cs="Times New Roman"/>
        <w:lang w:val="es-ES" w:eastAsia="es-ES"/>
      </w:rPr>
      <w:t xml:space="preserve">Por la cual se ajustan los cargos regulados para los gasoductos </w:t>
    </w:r>
    <w:proofErr w:type="spellStart"/>
    <w:r w:rsidRPr="008B3493">
      <w:rPr>
        <w:rFonts w:eastAsia="Times New Roman" w:cs="Times New Roman"/>
        <w:lang w:val="es-ES" w:eastAsia="es-ES"/>
      </w:rPr>
      <w:t>Chicoral</w:t>
    </w:r>
    <w:proofErr w:type="spellEnd"/>
    <w:r w:rsidRPr="008B3493">
      <w:rPr>
        <w:rFonts w:eastAsia="Times New Roman" w:cs="Times New Roman"/>
        <w:lang w:val="es-ES" w:eastAsia="es-ES"/>
      </w:rPr>
      <w:t xml:space="preserve"> - Flandes, Buenos Aires – Ibagué y Neiva - Hobo, pertenecientes al sistema de transporte de </w:t>
    </w:r>
    <w:proofErr w:type="spellStart"/>
    <w:r w:rsidRPr="008B3493">
      <w:rPr>
        <w:rFonts w:eastAsia="Times New Roman" w:cs="Times New Roman"/>
        <w:lang w:val="es-ES" w:eastAsia="es-ES"/>
      </w:rPr>
      <w:t>Progasur</w:t>
    </w:r>
    <w:proofErr w:type="spellEnd"/>
    <w:r w:rsidRPr="008B3493">
      <w:rPr>
        <w:rFonts w:eastAsia="Times New Roman" w:cs="Times New Roman"/>
        <w:lang w:val="es-ES" w:eastAsia="es-ES"/>
      </w:rPr>
      <w:t xml:space="preserve">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751" w14:textId="77777777" w:rsidR="002F1F67" w:rsidRDefault="002F1F67"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33491D84" w14:textId="77777777" w:rsidR="002F1F67" w:rsidRDefault="002F1F67">
    <w:pPr>
      <w:pStyle w:val="Encabezado"/>
      <w:jc w:val="center"/>
      <w:rPr>
        <w:rFonts w:ascii="Arial" w:hAnsi="Arial" w:cs="Arial"/>
        <w:spacing w:val="20"/>
        <w:sz w:val="20"/>
      </w:rPr>
    </w:pPr>
  </w:p>
  <w:p w14:paraId="16FE288C" w14:textId="77777777" w:rsidR="002F1F67" w:rsidRDefault="002F1F67"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14DB35" wp14:editId="022A6DA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9023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7252AD2"/>
    <w:multiLevelType w:val="hybridMultilevel"/>
    <w:tmpl w:val="C868B062"/>
    <w:lvl w:ilvl="0" w:tplc="03227EA0">
      <w:start w:val="54"/>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5154E1"/>
    <w:multiLevelType w:val="hybridMultilevel"/>
    <w:tmpl w:val="D96C979A"/>
    <w:lvl w:ilvl="0" w:tplc="69AA0D62">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6" w15:restartNumberingAfterBreak="0">
    <w:nsid w:val="1E491481"/>
    <w:multiLevelType w:val="hybridMultilevel"/>
    <w:tmpl w:val="05224990"/>
    <w:lvl w:ilvl="0" w:tplc="BC3031A2">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3F509D"/>
    <w:multiLevelType w:val="hybridMultilevel"/>
    <w:tmpl w:val="2700901C"/>
    <w:lvl w:ilvl="0" w:tplc="0660D1F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9" w15:restartNumberingAfterBreak="0">
    <w:nsid w:val="55433A11"/>
    <w:multiLevelType w:val="hybridMultilevel"/>
    <w:tmpl w:val="C2AE167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 w15:restartNumberingAfterBreak="0">
    <w:nsid w:val="5CE927BE"/>
    <w:multiLevelType w:val="hybridMultilevel"/>
    <w:tmpl w:val="BFAA7E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C945D1"/>
    <w:multiLevelType w:val="hybridMultilevel"/>
    <w:tmpl w:val="7C0C69D8"/>
    <w:lvl w:ilvl="0" w:tplc="FFFFFFFF">
      <w:start w:val="1"/>
      <w:numFmt w:val="decimal"/>
      <w:lvlText w:val="%1."/>
      <w:lvlJc w:val="left"/>
      <w:pPr>
        <w:ind w:left="1146" w:hanging="360"/>
      </w:pPr>
      <w:rPr>
        <w:rFonts w:hint="default"/>
      </w:rPr>
    </w:lvl>
    <w:lvl w:ilvl="1" w:tplc="BC3031A2">
      <w:start w:val="1"/>
      <w:numFmt w:val="lowerRoman"/>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ED53B04"/>
    <w:multiLevelType w:val="hybridMultilevel"/>
    <w:tmpl w:val="E6C83EB2"/>
    <w:lvl w:ilvl="0" w:tplc="BB46FA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16cid:durableId="242643358">
    <w:abstractNumId w:val="2"/>
  </w:num>
  <w:num w:numId="2" w16cid:durableId="1719620323">
    <w:abstractNumId w:val="13"/>
  </w:num>
  <w:num w:numId="3" w16cid:durableId="956910795">
    <w:abstractNumId w:val="3"/>
  </w:num>
  <w:num w:numId="4" w16cid:durableId="1585070927">
    <w:abstractNumId w:val="9"/>
  </w:num>
  <w:num w:numId="5" w16cid:durableId="1446535628">
    <w:abstractNumId w:val="11"/>
  </w:num>
  <w:num w:numId="6" w16cid:durableId="464854884">
    <w:abstractNumId w:val="5"/>
  </w:num>
  <w:num w:numId="7" w16cid:durableId="1405840141">
    <w:abstractNumId w:val="10"/>
  </w:num>
  <w:num w:numId="8" w16cid:durableId="875967541">
    <w:abstractNumId w:val="12"/>
  </w:num>
  <w:num w:numId="9" w16cid:durableId="1736508034">
    <w:abstractNumId w:val="7"/>
  </w:num>
  <w:num w:numId="10" w16cid:durableId="2140024290">
    <w:abstractNumId w:val="4"/>
  </w:num>
  <w:num w:numId="11" w16cid:durableId="120910238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1CA1"/>
    <w:rsid w:val="00002C5A"/>
    <w:rsid w:val="00004414"/>
    <w:rsid w:val="000068F0"/>
    <w:rsid w:val="00007901"/>
    <w:rsid w:val="00011052"/>
    <w:rsid w:val="00011D54"/>
    <w:rsid w:val="0001493D"/>
    <w:rsid w:val="000149F1"/>
    <w:rsid w:val="0001586B"/>
    <w:rsid w:val="00022128"/>
    <w:rsid w:val="00026CFF"/>
    <w:rsid w:val="00030050"/>
    <w:rsid w:val="0003079D"/>
    <w:rsid w:val="0003176E"/>
    <w:rsid w:val="00031C98"/>
    <w:rsid w:val="0003281D"/>
    <w:rsid w:val="00032F54"/>
    <w:rsid w:val="000332BC"/>
    <w:rsid w:val="0003401F"/>
    <w:rsid w:val="00035658"/>
    <w:rsid w:val="000356E7"/>
    <w:rsid w:val="000360C6"/>
    <w:rsid w:val="00036408"/>
    <w:rsid w:val="000372E9"/>
    <w:rsid w:val="00037495"/>
    <w:rsid w:val="00037534"/>
    <w:rsid w:val="0004007D"/>
    <w:rsid w:val="000401F3"/>
    <w:rsid w:val="00047614"/>
    <w:rsid w:val="00047E85"/>
    <w:rsid w:val="00051E42"/>
    <w:rsid w:val="0005655A"/>
    <w:rsid w:val="000569B2"/>
    <w:rsid w:val="00060854"/>
    <w:rsid w:val="00062A9F"/>
    <w:rsid w:val="000647B5"/>
    <w:rsid w:val="000651C3"/>
    <w:rsid w:val="00065B4F"/>
    <w:rsid w:val="00066353"/>
    <w:rsid w:val="0006696E"/>
    <w:rsid w:val="00067DE2"/>
    <w:rsid w:val="000704A8"/>
    <w:rsid w:val="00070986"/>
    <w:rsid w:val="00074962"/>
    <w:rsid w:val="000768E2"/>
    <w:rsid w:val="00080C9A"/>
    <w:rsid w:val="00080CA3"/>
    <w:rsid w:val="0008250A"/>
    <w:rsid w:val="00083625"/>
    <w:rsid w:val="00086870"/>
    <w:rsid w:val="00086996"/>
    <w:rsid w:val="000876C9"/>
    <w:rsid w:val="000904F2"/>
    <w:rsid w:val="00092BAD"/>
    <w:rsid w:val="0009371C"/>
    <w:rsid w:val="00093C7A"/>
    <w:rsid w:val="00095136"/>
    <w:rsid w:val="00096487"/>
    <w:rsid w:val="000A1567"/>
    <w:rsid w:val="000A5989"/>
    <w:rsid w:val="000A6BCD"/>
    <w:rsid w:val="000B2CF1"/>
    <w:rsid w:val="000B4631"/>
    <w:rsid w:val="000C1AB2"/>
    <w:rsid w:val="000C4A87"/>
    <w:rsid w:val="000D12A0"/>
    <w:rsid w:val="000D4D20"/>
    <w:rsid w:val="000D5CA0"/>
    <w:rsid w:val="000D6A24"/>
    <w:rsid w:val="000D77B1"/>
    <w:rsid w:val="000E43B1"/>
    <w:rsid w:val="000E7FC0"/>
    <w:rsid w:val="000F0CBC"/>
    <w:rsid w:val="000F45F2"/>
    <w:rsid w:val="000F619F"/>
    <w:rsid w:val="000F74A4"/>
    <w:rsid w:val="00102168"/>
    <w:rsid w:val="001030F9"/>
    <w:rsid w:val="001049D1"/>
    <w:rsid w:val="0010600F"/>
    <w:rsid w:val="001078C4"/>
    <w:rsid w:val="001079AA"/>
    <w:rsid w:val="00110155"/>
    <w:rsid w:val="00110447"/>
    <w:rsid w:val="001121A9"/>
    <w:rsid w:val="0011246C"/>
    <w:rsid w:val="00114902"/>
    <w:rsid w:val="00114D11"/>
    <w:rsid w:val="001159AB"/>
    <w:rsid w:val="001164AC"/>
    <w:rsid w:val="00120817"/>
    <w:rsid w:val="00121FBE"/>
    <w:rsid w:val="001221FC"/>
    <w:rsid w:val="00124A21"/>
    <w:rsid w:val="00126180"/>
    <w:rsid w:val="00130481"/>
    <w:rsid w:val="00131DB0"/>
    <w:rsid w:val="00133CBB"/>
    <w:rsid w:val="00140C89"/>
    <w:rsid w:val="0014224D"/>
    <w:rsid w:val="001451DB"/>
    <w:rsid w:val="0014582B"/>
    <w:rsid w:val="00147A20"/>
    <w:rsid w:val="001544B0"/>
    <w:rsid w:val="001544FF"/>
    <w:rsid w:val="0015473A"/>
    <w:rsid w:val="00161159"/>
    <w:rsid w:val="00165AA8"/>
    <w:rsid w:val="0016629D"/>
    <w:rsid w:val="0016752C"/>
    <w:rsid w:val="00167E49"/>
    <w:rsid w:val="001723E1"/>
    <w:rsid w:val="00172CDF"/>
    <w:rsid w:val="00176D44"/>
    <w:rsid w:val="0018092F"/>
    <w:rsid w:val="00181EA1"/>
    <w:rsid w:val="00182A03"/>
    <w:rsid w:val="0018361A"/>
    <w:rsid w:val="00184582"/>
    <w:rsid w:val="00184ADA"/>
    <w:rsid w:val="001851C6"/>
    <w:rsid w:val="0018547D"/>
    <w:rsid w:val="00185CE7"/>
    <w:rsid w:val="00190E4A"/>
    <w:rsid w:val="00193AF1"/>
    <w:rsid w:val="00193F9C"/>
    <w:rsid w:val="0019693D"/>
    <w:rsid w:val="00196F2C"/>
    <w:rsid w:val="001976B3"/>
    <w:rsid w:val="001A1203"/>
    <w:rsid w:val="001A2443"/>
    <w:rsid w:val="001A4983"/>
    <w:rsid w:val="001A79B5"/>
    <w:rsid w:val="001B0BF6"/>
    <w:rsid w:val="001B19BA"/>
    <w:rsid w:val="001B1AE8"/>
    <w:rsid w:val="001B4CCB"/>
    <w:rsid w:val="001B534B"/>
    <w:rsid w:val="001B6721"/>
    <w:rsid w:val="001B6FD1"/>
    <w:rsid w:val="001B79C4"/>
    <w:rsid w:val="001C05FF"/>
    <w:rsid w:val="001C4669"/>
    <w:rsid w:val="001C4DD0"/>
    <w:rsid w:val="001C513B"/>
    <w:rsid w:val="001C606A"/>
    <w:rsid w:val="001D1D59"/>
    <w:rsid w:val="001D2917"/>
    <w:rsid w:val="001D4D2C"/>
    <w:rsid w:val="001D749F"/>
    <w:rsid w:val="001D75E8"/>
    <w:rsid w:val="001E04A9"/>
    <w:rsid w:val="001E130F"/>
    <w:rsid w:val="001E4088"/>
    <w:rsid w:val="001E531D"/>
    <w:rsid w:val="001E5EF3"/>
    <w:rsid w:val="001F1817"/>
    <w:rsid w:val="001F2B83"/>
    <w:rsid w:val="001F3910"/>
    <w:rsid w:val="001F72A8"/>
    <w:rsid w:val="00200DCB"/>
    <w:rsid w:val="00201D11"/>
    <w:rsid w:val="0020210E"/>
    <w:rsid w:val="00202F7E"/>
    <w:rsid w:val="00205A9A"/>
    <w:rsid w:val="0020666C"/>
    <w:rsid w:val="002071F1"/>
    <w:rsid w:val="00211126"/>
    <w:rsid w:val="00211486"/>
    <w:rsid w:val="002118C8"/>
    <w:rsid w:val="00211DB2"/>
    <w:rsid w:val="00213800"/>
    <w:rsid w:val="002149E5"/>
    <w:rsid w:val="002168B9"/>
    <w:rsid w:val="00220969"/>
    <w:rsid w:val="00220CFD"/>
    <w:rsid w:val="0022318A"/>
    <w:rsid w:val="00223AAA"/>
    <w:rsid w:val="00225A29"/>
    <w:rsid w:val="002268D1"/>
    <w:rsid w:val="00227547"/>
    <w:rsid w:val="002300B4"/>
    <w:rsid w:val="00230AE9"/>
    <w:rsid w:val="00231278"/>
    <w:rsid w:val="00231AF8"/>
    <w:rsid w:val="00233D31"/>
    <w:rsid w:val="002360EA"/>
    <w:rsid w:val="002369DB"/>
    <w:rsid w:val="002441C0"/>
    <w:rsid w:val="00246BDD"/>
    <w:rsid w:val="00250C34"/>
    <w:rsid w:val="00252FBF"/>
    <w:rsid w:val="0025381F"/>
    <w:rsid w:val="00253CDE"/>
    <w:rsid w:val="00255088"/>
    <w:rsid w:val="00257891"/>
    <w:rsid w:val="00261808"/>
    <w:rsid w:val="0026372A"/>
    <w:rsid w:val="00265600"/>
    <w:rsid w:val="002670F5"/>
    <w:rsid w:val="00267B17"/>
    <w:rsid w:val="002702ED"/>
    <w:rsid w:val="0027183B"/>
    <w:rsid w:val="00275144"/>
    <w:rsid w:val="0027616A"/>
    <w:rsid w:val="00277991"/>
    <w:rsid w:val="00277B5F"/>
    <w:rsid w:val="00280811"/>
    <w:rsid w:val="002818DA"/>
    <w:rsid w:val="00282E69"/>
    <w:rsid w:val="00293ABC"/>
    <w:rsid w:val="00297E12"/>
    <w:rsid w:val="002A101F"/>
    <w:rsid w:val="002A1901"/>
    <w:rsid w:val="002A2B84"/>
    <w:rsid w:val="002A3000"/>
    <w:rsid w:val="002A32A0"/>
    <w:rsid w:val="002A3B53"/>
    <w:rsid w:val="002A5582"/>
    <w:rsid w:val="002B4A4B"/>
    <w:rsid w:val="002B4ACA"/>
    <w:rsid w:val="002B5DD4"/>
    <w:rsid w:val="002B7286"/>
    <w:rsid w:val="002B755E"/>
    <w:rsid w:val="002C0846"/>
    <w:rsid w:val="002C2E32"/>
    <w:rsid w:val="002C2F59"/>
    <w:rsid w:val="002C38BA"/>
    <w:rsid w:val="002C68C2"/>
    <w:rsid w:val="002D0502"/>
    <w:rsid w:val="002D665D"/>
    <w:rsid w:val="002D69F1"/>
    <w:rsid w:val="002E1463"/>
    <w:rsid w:val="002E225D"/>
    <w:rsid w:val="002E299D"/>
    <w:rsid w:val="002E47EE"/>
    <w:rsid w:val="002E48FC"/>
    <w:rsid w:val="002E789E"/>
    <w:rsid w:val="002F034C"/>
    <w:rsid w:val="002F0431"/>
    <w:rsid w:val="002F1F67"/>
    <w:rsid w:val="002F3E9E"/>
    <w:rsid w:val="002F645F"/>
    <w:rsid w:val="002F68A3"/>
    <w:rsid w:val="002F6C3C"/>
    <w:rsid w:val="002F72F2"/>
    <w:rsid w:val="003056F7"/>
    <w:rsid w:val="00312D58"/>
    <w:rsid w:val="00313A65"/>
    <w:rsid w:val="00314F75"/>
    <w:rsid w:val="003164D9"/>
    <w:rsid w:val="00317E0E"/>
    <w:rsid w:val="00321F61"/>
    <w:rsid w:val="0032228A"/>
    <w:rsid w:val="00322645"/>
    <w:rsid w:val="00323A3C"/>
    <w:rsid w:val="00324690"/>
    <w:rsid w:val="00324F51"/>
    <w:rsid w:val="003253A2"/>
    <w:rsid w:val="003268E6"/>
    <w:rsid w:val="003276A7"/>
    <w:rsid w:val="00330B53"/>
    <w:rsid w:val="00331103"/>
    <w:rsid w:val="0033161F"/>
    <w:rsid w:val="00331F35"/>
    <w:rsid w:val="0033303E"/>
    <w:rsid w:val="00334151"/>
    <w:rsid w:val="003347B1"/>
    <w:rsid w:val="003348EF"/>
    <w:rsid w:val="00335371"/>
    <w:rsid w:val="00335465"/>
    <w:rsid w:val="0033598A"/>
    <w:rsid w:val="003360A2"/>
    <w:rsid w:val="0033749B"/>
    <w:rsid w:val="003401B5"/>
    <w:rsid w:val="0034159E"/>
    <w:rsid w:val="003428FD"/>
    <w:rsid w:val="00342FA3"/>
    <w:rsid w:val="00344118"/>
    <w:rsid w:val="00344475"/>
    <w:rsid w:val="00347931"/>
    <w:rsid w:val="00351047"/>
    <w:rsid w:val="00351A5E"/>
    <w:rsid w:val="00352658"/>
    <w:rsid w:val="003576A3"/>
    <w:rsid w:val="003613EA"/>
    <w:rsid w:val="003641F5"/>
    <w:rsid w:val="003655CF"/>
    <w:rsid w:val="00370A60"/>
    <w:rsid w:val="00372484"/>
    <w:rsid w:val="00373810"/>
    <w:rsid w:val="00373F19"/>
    <w:rsid w:val="003764DC"/>
    <w:rsid w:val="003802DF"/>
    <w:rsid w:val="003802E7"/>
    <w:rsid w:val="003819DA"/>
    <w:rsid w:val="003841AD"/>
    <w:rsid w:val="00384317"/>
    <w:rsid w:val="00384CD8"/>
    <w:rsid w:val="0038596A"/>
    <w:rsid w:val="00386DCF"/>
    <w:rsid w:val="00387384"/>
    <w:rsid w:val="00392621"/>
    <w:rsid w:val="00393342"/>
    <w:rsid w:val="0039378C"/>
    <w:rsid w:val="00394BCF"/>
    <w:rsid w:val="00395ADB"/>
    <w:rsid w:val="003961C6"/>
    <w:rsid w:val="003A3BAC"/>
    <w:rsid w:val="003A6625"/>
    <w:rsid w:val="003A66DD"/>
    <w:rsid w:val="003B0B7A"/>
    <w:rsid w:val="003B13D9"/>
    <w:rsid w:val="003B1686"/>
    <w:rsid w:val="003B50DF"/>
    <w:rsid w:val="003B6622"/>
    <w:rsid w:val="003C1360"/>
    <w:rsid w:val="003C2E78"/>
    <w:rsid w:val="003C2ED4"/>
    <w:rsid w:val="003C6546"/>
    <w:rsid w:val="003C7E5C"/>
    <w:rsid w:val="003D04D9"/>
    <w:rsid w:val="003D0976"/>
    <w:rsid w:val="003D0CEA"/>
    <w:rsid w:val="003D171F"/>
    <w:rsid w:val="003D5F66"/>
    <w:rsid w:val="003D6483"/>
    <w:rsid w:val="003D682B"/>
    <w:rsid w:val="003D7CCF"/>
    <w:rsid w:val="003E0936"/>
    <w:rsid w:val="003E27B6"/>
    <w:rsid w:val="003E5484"/>
    <w:rsid w:val="003F1A2E"/>
    <w:rsid w:val="003F47CE"/>
    <w:rsid w:val="003F532C"/>
    <w:rsid w:val="003F59E4"/>
    <w:rsid w:val="003F616D"/>
    <w:rsid w:val="003F66ED"/>
    <w:rsid w:val="00400615"/>
    <w:rsid w:val="00403E9A"/>
    <w:rsid w:val="00407341"/>
    <w:rsid w:val="00407C32"/>
    <w:rsid w:val="0041294A"/>
    <w:rsid w:val="00414AAE"/>
    <w:rsid w:val="00415546"/>
    <w:rsid w:val="0041617F"/>
    <w:rsid w:val="00416B3E"/>
    <w:rsid w:val="004215EC"/>
    <w:rsid w:val="004227C1"/>
    <w:rsid w:val="00424A10"/>
    <w:rsid w:val="004276D1"/>
    <w:rsid w:val="00430C60"/>
    <w:rsid w:val="00431CCC"/>
    <w:rsid w:val="00433A19"/>
    <w:rsid w:val="004411E6"/>
    <w:rsid w:val="004429D8"/>
    <w:rsid w:val="00444733"/>
    <w:rsid w:val="00444C70"/>
    <w:rsid w:val="00445CF1"/>
    <w:rsid w:val="00447FE8"/>
    <w:rsid w:val="004504E6"/>
    <w:rsid w:val="00451FF9"/>
    <w:rsid w:val="004529AA"/>
    <w:rsid w:val="004554FE"/>
    <w:rsid w:val="004570FE"/>
    <w:rsid w:val="00457CF7"/>
    <w:rsid w:val="004617CC"/>
    <w:rsid w:val="00467145"/>
    <w:rsid w:val="0046738F"/>
    <w:rsid w:val="00470EEE"/>
    <w:rsid w:val="004752B3"/>
    <w:rsid w:val="00476A57"/>
    <w:rsid w:val="00477379"/>
    <w:rsid w:val="00477598"/>
    <w:rsid w:val="00483542"/>
    <w:rsid w:val="004835E4"/>
    <w:rsid w:val="00486224"/>
    <w:rsid w:val="00487174"/>
    <w:rsid w:val="00487965"/>
    <w:rsid w:val="0049070B"/>
    <w:rsid w:val="00492CE1"/>
    <w:rsid w:val="00493D5D"/>
    <w:rsid w:val="00494BE4"/>
    <w:rsid w:val="00494F7E"/>
    <w:rsid w:val="004966B0"/>
    <w:rsid w:val="004A1394"/>
    <w:rsid w:val="004A2CAC"/>
    <w:rsid w:val="004A45DC"/>
    <w:rsid w:val="004A4B8D"/>
    <w:rsid w:val="004A4D92"/>
    <w:rsid w:val="004A5AF4"/>
    <w:rsid w:val="004A5C86"/>
    <w:rsid w:val="004A677A"/>
    <w:rsid w:val="004A7835"/>
    <w:rsid w:val="004B1082"/>
    <w:rsid w:val="004B16E0"/>
    <w:rsid w:val="004B2371"/>
    <w:rsid w:val="004B463F"/>
    <w:rsid w:val="004B5708"/>
    <w:rsid w:val="004B5FD4"/>
    <w:rsid w:val="004B65F7"/>
    <w:rsid w:val="004B7EBF"/>
    <w:rsid w:val="004C299E"/>
    <w:rsid w:val="004C3506"/>
    <w:rsid w:val="004C5347"/>
    <w:rsid w:val="004C55AF"/>
    <w:rsid w:val="004D1643"/>
    <w:rsid w:val="004D297A"/>
    <w:rsid w:val="004D371C"/>
    <w:rsid w:val="004D38D6"/>
    <w:rsid w:val="004D3A00"/>
    <w:rsid w:val="004D74B6"/>
    <w:rsid w:val="004E2ECB"/>
    <w:rsid w:val="004E445C"/>
    <w:rsid w:val="004E5678"/>
    <w:rsid w:val="004E5CBD"/>
    <w:rsid w:val="004E7462"/>
    <w:rsid w:val="004E76B9"/>
    <w:rsid w:val="004E7CA6"/>
    <w:rsid w:val="004F20D7"/>
    <w:rsid w:val="004F21D4"/>
    <w:rsid w:val="00505CEA"/>
    <w:rsid w:val="005060DE"/>
    <w:rsid w:val="00506168"/>
    <w:rsid w:val="00506375"/>
    <w:rsid w:val="0051038E"/>
    <w:rsid w:val="00510468"/>
    <w:rsid w:val="00510A55"/>
    <w:rsid w:val="00511A2F"/>
    <w:rsid w:val="0051270D"/>
    <w:rsid w:val="00513B41"/>
    <w:rsid w:val="00514366"/>
    <w:rsid w:val="005149D3"/>
    <w:rsid w:val="00516A8F"/>
    <w:rsid w:val="005178F5"/>
    <w:rsid w:val="0052177B"/>
    <w:rsid w:val="00522B60"/>
    <w:rsid w:val="005237A7"/>
    <w:rsid w:val="005256DB"/>
    <w:rsid w:val="00526CBB"/>
    <w:rsid w:val="0053083A"/>
    <w:rsid w:val="005328A9"/>
    <w:rsid w:val="00532D6C"/>
    <w:rsid w:val="005344E6"/>
    <w:rsid w:val="00535B97"/>
    <w:rsid w:val="00536B28"/>
    <w:rsid w:val="00537476"/>
    <w:rsid w:val="00547070"/>
    <w:rsid w:val="00547B25"/>
    <w:rsid w:val="00547DE8"/>
    <w:rsid w:val="00550449"/>
    <w:rsid w:val="00550996"/>
    <w:rsid w:val="0055347D"/>
    <w:rsid w:val="00554081"/>
    <w:rsid w:val="0055674D"/>
    <w:rsid w:val="00560437"/>
    <w:rsid w:val="00560FC4"/>
    <w:rsid w:val="00565058"/>
    <w:rsid w:val="0056639C"/>
    <w:rsid w:val="00572628"/>
    <w:rsid w:val="005738F9"/>
    <w:rsid w:val="005755B4"/>
    <w:rsid w:val="00575874"/>
    <w:rsid w:val="0058111D"/>
    <w:rsid w:val="005824F6"/>
    <w:rsid w:val="005853A5"/>
    <w:rsid w:val="00585FD2"/>
    <w:rsid w:val="00590C88"/>
    <w:rsid w:val="0059208B"/>
    <w:rsid w:val="0059246B"/>
    <w:rsid w:val="00594763"/>
    <w:rsid w:val="0059555B"/>
    <w:rsid w:val="005A0389"/>
    <w:rsid w:val="005A1326"/>
    <w:rsid w:val="005A24B9"/>
    <w:rsid w:val="005A459F"/>
    <w:rsid w:val="005B0DA8"/>
    <w:rsid w:val="005B268F"/>
    <w:rsid w:val="005B31D5"/>
    <w:rsid w:val="005B5073"/>
    <w:rsid w:val="005B6632"/>
    <w:rsid w:val="005B67E6"/>
    <w:rsid w:val="005C1BCA"/>
    <w:rsid w:val="005C3305"/>
    <w:rsid w:val="005C3A68"/>
    <w:rsid w:val="005C56FA"/>
    <w:rsid w:val="005C65DF"/>
    <w:rsid w:val="005C673F"/>
    <w:rsid w:val="005D59CB"/>
    <w:rsid w:val="005D613A"/>
    <w:rsid w:val="005D6416"/>
    <w:rsid w:val="005D6CF9"/>
    <w:rsid w:val="005D7E58"/>
    <w:rsid w:val="005E21CD"/>
    <w:rsid w:val="005E3377"/>
    <w:rsid w:val="005E3E02"/>
    <w:rsid w:val="005E6508"/>
    <w:rsid w:val="005E6FDC"/>
    <w:rsid w:val="005F04BA"/>
    <w:rsid w:val="005F1B99"/>
    <w:rsid w:val="005F1C68"/>
    <w:rsid w:val="005F3F22"/>
    <w:rsid w:val="0060008A"/>
    <w:rsid w:val="0060679B"/>
    <w:rsid w:val="006123F8"/>
    <w:rsid w:val="00612755"/>
    <w:rsid w:val="00620335"/>
    <w:rsid w:val="00621B07"/>
    <w:rsid w:val="006221F6"/>
    <w:rsid w:val="00622D60"/>
    <w:rsid w:val="00623166"/>
    <w:rsid w:val="00624378"/>
    <w:rsid w:val="00632261"/>
    <w:rsid w:val="00634807"/>
    <w:rsid w:val="0063486D"/>
    <w:rsid w:val="0063550A"/>
    <w:rsid w:val="00636138"/>
    <w:rsid w:val="006365DF"/>
    <w:rsid w:val="006377F5"/>
    <w:rsid w:val="00637889"/>
    <w:rsid w:val="00641471"/>
    <w:rsid w:val="006441EA"/>
    <w:rsid w:val="0064438D"/>
    <w:rsid w:val="0065138A"/>
    <w:rsid w:val="0065201F"/>
    <w:rsid w:val="00653D00"/>
    <w:rsid w:val="00656706"/>
    <w:rsid w:val="00657A89"/>
    <w:rsid w:val="00660565"/>
    <w:rsid w:val="006619F8"/>
    <w:rsid w:val="00663587"/>
    <w:rsid w:val="00665338"/>
    <w:rsid w:val="006673C7"/>
    <w:rsid w:val="00667D66"/>
    <w:rsid w:val="00671E24"/>
    <w:rsid w:val="0067294D"/>
    <w:rsid w:val="00673FB2"/>
    <w:rsid w:val="00676142"/>
    <w:rsid w:val="00676D84"/>
    <w:rsid w:val="006772B1"/>
    <w:rsid w:val="00677ABF"/>
    <w:rsid w:val="00684207"/>
    <w:rsid w:val="00685CEA"/>
    <w:rsid w:val="0069056C"/>
    <w:rsid w:val="00691D61"/>
    <w:rsid w:val="006948D9"/>
    <w:rsid w:val="00696941"/>
    <w:rsid w:val="00696C87"/>
    <w:rsid w:val="006A00DE"/>
    <w:rsid w:val="006A456D"/>
    <w:rsid w:val="006A524F"/>
    <w:rsid w:val="006A5495"/>
    <w:rsid w:val="006A6D99"/>
    <w:rsid w:val="006A7072"/>
    <w:rsid w:val="006B2543"/>
    <w:rsid w:val="006B4B95"/>
    <w:rsid w:val="006B5F6E"/>
    <w:rsid w:val="006B68C9"/>
    <w:rsid w:val="006B6F15"/>
    <w:rsid w:val="006B70CD"/>
    <w:rsid w:val="006C1359"/>
    <w:rsid w:val="006C13BA"/>
    <w:rsid w:val="006C42C7"/>
    <w:rsid w:val="006C6804"/>
    <w:rsid w:val="006D1177"/>
    <w:rsid w:val="006D4CAA"/>
    <w:rsid w:val="006D6420"/>
    <w:rsid w:val="006E1946"/>
    <w:rsid w:val="006E21D3"/>
    <w:rsid w:val="006E21DB"/>
    <w:rsid w:val="006E2495"/>
    <w:rsid w:val="006E2AF8"/>
    <w:rsid w:val="006E3CAF"/>
    <w:rsid w:val="006E4CFF"/>
    <w:rsid w:val="006E6E13"/>
    <w:rsid w:val="006F0F5D"/>
    <w:rsid w:val="006F4984"/>
    <w:rsid w:val="006F608F"/>
    <w:rsid w:val="006F636E"/>
    <w:rsid w:val="006F6F8A"/>
    <w:rsid w:val="006F7EF6"/>
    <w:rsid w:val="00701265"/>
    <w:rsid w:val="007051C5"/>
    <w:rsid w:val="00710F6A"/>
    <w:rsid w:val="007154E1"/>
    <w:rsid w:val="00715E8A"/>
    <w:rsid w:val="00717BBA"/>
    <w:rsid w:val="00717E96"/>
    <w:rsid w:val="00720524"/>
    <w:rsid w:val="00722E2D"/>
    <w:rsid w:val="00722FB6"/>
    <w:rsid w:val="00723A63"/>
    <w:rsid w:val="007250A2"/>
    <w:rsid w:val="00725342"/>
    <w:rsid w:val="007254EE"/>
    <w:rsid w:val="00732491"/>
    <w:rsid w:val="0073336A"/>
    <w:rsid w:val="007352DE"/>
    <w:rsid w:val="00735D6F"/>
    <w:rsid w:val="0073600E"/>
    <w:rsid w:val="0074129B"/>
    <w:rsid w:val="00742AD4"/>
    <w:rsid w:val="00743E0D"/>
    <w:rsid w:val="00744934"/>
    <w:rsid w:val="00744B35"/>
    <w:rsid w:val="0075031C"/>
    <w:rsid w:val="00751905"/>
    <w:rsid w:val="00752095"/>
    <w:rsid w:val="0075288F"/>
    <w:rsid w:val="00752D0D"/>
    <w:rsid w:val="00760851"/>
    <w:rsid w:val="0076186D"/>
    <w:rsid w:val="00761C50"/>
    <w:rsid w:val="007628BE"/>
    <w:rsid w:val="00763321"/>
    <w:rsid w:val="00764A47"/>
    <w:rsid w:val="00765D48"/>
    <w:rsid w:val="0077070E"/>
    <w:rsid w:val="00770AC9"/>
    <w:rsid w:val="0077276B"/>
    <w:rsid w:val="0078006D"/>
    <w:rsid w:val="00782704"/>
    <w:rsid w:val="00784E27"/>
    <w:rsid w:val="00785E5C"/>
    <w:rsid w:val="007860F7"/>
    <w:rsid w:val="007917F3"/>
    <w:rsid w:val="0079227C"/>
    <w:rsid w:val="0079393B"/>
    <w:rsid w:val="007A10FE"/>
    <w:rsid w:val="007A5B04"/>
    <w:rsid w:val="007A5B99"/>
    <w:rsid w:val="007A7126"/>
    <w:rsid w:val="007B364C"/>
    <w:rsid w:val="007B3C4F"/>
    <w:rsid w:val="007B5F33"/>
    <w:rsid w:val="007B77DB"/>
    <w:rsid w:val="007B79E1"/>
    <w:rsid w:val="007C01C7"/>
    <w:rsid w:val="007C0640"/>
    <w:rsid w:val="007C09F1"/>
    <w:rsid w:val="007C3E6E"/>
    <w:rsid w:val="007C64BE"/>
    <w:rsid w:val="007C69DA"/>
    <w:rsid w:val="007D3E48"/>
    <w:rsid w:val="007D4A88"/>
    <w:rsid w:val="007D76B1"/>
    <w:rsid w:val="007E21DE"/>
    <w:rsid w:val="007E4396"/>
    <w:rsid w:val="007F1796"/>
    <w:rsid w:val="007F1A2C"/>
    <w:rsid w:val="007F253F"/>
    <w:rsid w:val="007F3B34"/>
    <w:rsid w:val="007F3FC2"/>
    <w:rsid w:val="007F45BD"/>
    <w:rsid w:val="007F66B9"/>
    <w:rsid w:val="007F6CF0"/>
    <w:rsid w:val="007F720B"/>
    <w:rsid w:val="007F77DE"/>
    <w:rsid w:val="007F7DA8"/>
    <w:rsid w:val="007F7FB6"/>
    <w:rsid w:val="0080052E"/>
    <w:rsid w:val="00801A53"/>
    <w:rsid w:val="00802CA4"/>
    <w:rsid w:val="00804F9F"/>
    <w:rsid w:val="00806AF9"/>
    <w:rsid w:val="00812471"/>
    <w:rsid w:val="0081411F"/>
    <w:rsid w:val="00817467"/>
    <w:rsid w:val="00817A09"/>
    <w:rsid w:val="008200CC"/>
    <w:rsid w:val="008213EA"/>
    <w:rsid w:val="00824244"/>
    <w:rsid w:val="0082525A"/>
    <w:rsid w:val="008315F2"/>
    <w:rsid w:val="008347D1"/>
    <w:rsid w:val="008354B4"/>
    <w:rsid w:val="00841840"/>
    <w:rsid w:val="008420C1"/>
    <w:rsid w:val="008426AE"/>
    <w:rsid w:val="008427FD"/>
    <w:rsid w:val="00844EAB"/>
    <w:rsid w:val="00846CC8"/>
    <w:rsid w:val="008507BC"/>
    <w:rsid w:val="008514CD"/>
    <w:rsid w:val="00852B2D"/>
    <w:rsid w:val="008545CC"/>
    <w:rsid w:val="0085785A"/>
    <w:rsid w:val="00860E8A"/>
    <w:rsid w:val="00862E8A"/>
    <w:rsid w:val="00863072"/>
    <w:rsid w:val="0086374B"/>
    <w:rsid w:val="00864689"/>
    <w:rsid w:val="00870924"/>
    <w:rsid w:val="00873462"/>
    <w:rsid w:val="00873904"/>
    <w:rsid w:val="0087487D"/>
    <w:rsid w:val="008765C2"/>
    <w:rsid w:val="0087723A"/>
    <w:rsid w:val="008814E3"/>
    <w:rsid w:val="008831DA"/>
    <w:rsid w:val="008843D5"/>
    <w:rsid w:val="0089162A"/>
    <w:rsid w:val="00892686"/>
    <w:rsid w:val="00892852"/>
    <w:rsid w:val="00892D79"/>
    <w:rsid w:val="008932C5"/>
    <w:rsid w:val="00893E0C"/>
    <w:rsid w:val="0089470C"/>
    <w:rsid w:val="0089512B"/>
    <w:rsid w:val="008A1E44"/>
    <w:rsid w:val="008A5019"/>
    <w:rsid w:val="008A63CD"/>
    <w:rsid w:val="008B1254"/>
    <w:rsid w:val="008B1913"/>
    <w:rsid w:val="008B26F8"/>
    <w:rsid w:val="008B3493"/>
    <w:rsid w:val="008B4F79"/>
    <w:rsid w:val="008B6982"/>
    <w:rsid w:val="008C164E"/>
    <w:rsid w:val="008C1DB4"/>
    <w:rsid w:val="008C2369"/>
    <w:rsid w:val="008C2DDF"/>
    <w:rsid w:val="008C3A7B"/>
    <w:rsid w:val="008C550E"/>
    <w:rsid w:val="008C7C6D"/>
    <w:rsid w:val="008D01F0"/>
    <w:rsid w:val="008D09A9"/>
    <w:rsid w:val="008D1D6A"/>
    <w:rsid w:val="008D3D90"/>
    <w:rsid w:val="008D6B9D"/>
    <w:rsid w:val="008D7577"/>
    <w:rsid w:val="008E0BB6"/>
    <w:rsid w:val="008E2AAD"/>
    <w:rsid w:val="008E46D8"/>
    <w:rsid w:val="008F07C2"/>
    <w:rsid w:val="008F0823"/>
    <w:rsid w:val="008F0A08"/>
    <w:rsid w:val="008F2026"/>
    <w:rsid w:val="008F278D"/>
    <w:rsid w:val="008F34C5"/>
    <w:rsid w:val="008F5C24"/>
    <w:rsid w:val="008F605F"/>
    <w:rsid w:val="008F689E"/>
    <w:rsid w:val="008F6C10"/>
    <w:rsid w:val="0090013D"/>
    <w:rsid w:val="00901F2E"/>
    <w:rsid w:val="00902DFA"/>
    <w:rsid w:val="00903BDF"/>
    <w:rsid w:val="00903BEB"/>
    <w:rsid w:val="009048A9"/>
    <w:rsid w:val="009055F7"/>
    <w:rsid w:val="00906244"/>
    <w:rsid w:val="00906C33"/>
    <w:rsid w:val="00910766"/>
    <w:rsid w:val="009111AE"/>
    <w:rsid w:val="0091140B"/>
    <w:rsid w:val="009114BD"/>
    <w:rsid w:val="009120E2"/>
    <w:rsid w:val="00912BEE"/>
    <w:rsid w:val="00913A5A"/>
    <w:rsid w:val="00914EC9"/>
    <w:rsid w:val="00916840"/>
    <w:rsid w:val="00916CC6"/>
    <w:rsid w:val="009173D7"/>
    <w:rsid w:val="0092233F"/>
    <w:rsid w:val="00922F32"/>
    <w:rsid w:val="009236BC"/>
    <w:rsid w:val="00923B59"/>
    <w:rsid w:val="00925E6E"/>
    <w:rsid w:val="00933532"/>
    <w:rsid w:val="00933C55"/>
    <w:rsid w:val="009345F1"/>
    <w:rsid w:val="00935138"/>
    <w:rsid w:val="0093522B"/>
    <w:rsid w:val="00935F07"/>
    <w:rsid w:val="009364D0"/>
    <w:rsid w:val="009378E9"/>
    <w:rsid w:val="00941835"/>
    <w:rsid w:val="009430A4"/>
    <w:rsid w:val="00943652"/>
    <w:rsid w:val="00943AAB"/>
    <w:rsid w:val="00945043"/>
    <w:rsid w:val="00947DF0"/>
    <w:rsid w:val="0095007D"/>
    <w:rsid w:val="00952D20"/>
    <w:rsid w:val="00955B3D"/>
    <w:rsid w:val="00956152"/>
    <w:rsid w:val="0096087E"/>
    <w:rsid w:val="009625E3"/>
    <w:rsid w:val="00962A90"/>
    <w:rsid w:val="00963492"/>
    <w:rsid w:val="00964FCF"/>
    <w:rsid w:val="0097340A"/>
    <w:rsid w:val="009746FD"/>
    <w:rsid w:val="00976568"/>
    <w:rsid w:val="009773E9"/>
    <w:rsid w:val="009802B3"/>
    <w:rsid w:val="009807BE"/>
    <w:rsid w:val="00981490"/>
    <w:rsid w:val="00982158"/>
    <w:rsid w:val="0098264D"/>
    <w:rsid w:val="00986363"/>
    <w:rsid w:val="00986CEF"/>
    <w:rsid w:val="009877A4"/>
    <w:rsid w:val="00992E78"/>
    <w:rsid w:val="0099371B"/>
    <w:rsid w:val="00993EE7"/>
    <w:rsid w:val="009A06E3"/>
    <w:rsid w:val="009A37CB"/>
    <w:rsid w:val="009A3DA9"/>
    <w:rsid w:val="009A46E2"/>
    <w:rsid w:val="009A682D"/>
    <w:rsid w:val="009B05E8"/>
    <w:rsid w:val="009B1623"/>
    <w:rsid w:val="009B17AF"/>
    <w:rsid w:val="009B23E0"/>
    <w:rsid w:val="009B5403"/>
    <w:rsid w:val="009B6B72"/>
    <w:rsid w:val="009C0053"/>
    <w:rsid w:val="009C0AB1"/>
    <w:rsid w:val="009C5A07"/>
    <w:rsid w:val="009C7403"/>
    <w:rsid w:val="009C7C77"/>
    <w:rsid w:val="009D04B0"/>
    <w:rsid w:val="009D1EA0"/>
    <w:rsid w:val="009D32A6"/>
    <w:rsid w:val="009D53E5"/>
    <w:rsid w:val="009D7D18"/>
    <w:rsid w:val="009E0F99"/>
    <w:rsid w:val="009E166A"/>
    <w:rsid w:val="009E2BA7"/>
    <w:rsid w:val="009E4517"/>
    <w:rsid w:val="009E721D"/>
    <w:rsid w:val="009F3E56"/>
    <w:rsid w:val="009F4EFD"/>
    <w:rsid w:val="009F5B9C"/>
    <w:rsid w:val="009F63CB"/>
    <w:rsid w:val="00A0041D"/>
    <w:rsid w:val="00A00634"/>
    <w:rsid w:val="00A0336C"/>
    <w:rsid w:val="00A042EB"/>
    <w:rsid w:val="00A04A73"/>
    <w:rsid w:val="00A0546E"/>
    <w:rsid w:val="00A06B2B"/>
    <w:rsid w:val="00A10640"/>
    <w:rsid w:val="00A1548B"/>
    <w:rsid w:val="00A220CA"/>
    <w:rsid w:val="00A23B7B"/>
    <w:rsid w:val="00A2497C"/>
    <w:rsid w:val="00A251E3"/>
    <w:rsid w:val="00A2601F"/>
    <w:rsid w:val="00A30BC1"/>
    <w:rsid w:val="00A33677"/>
    <w:rsid w:val="00A33E75"/>
    <w:rsid w:val="00A3588A"/>
    <w:rsid w:val="00A35B73"/>
    <w:rsid w:val="00A35D46"/>
    <w:rsid w:val="00A36BCC"/>
    <w:rsid w:val="00A371B3"/>
    <w:rsid w:val="00A400FA"/>
    <w:rsid w:val="00A403B2"/>
    <w:rsid w:val="00A41242"/>
    <w:rsid w:val="00A42417"/>
    <w:rsid w:val="00A42EE6"/>
    <w:rsid w:val="00A44FAD"/>
    <w:rsid w:val="00A456A7"/>
    <w:rsid w:val="00A464A9"/>
    <w:rsid w:val="00A51D7A"/>
    <w:rsid w:val="00A5251F"/>
    <w:rsid w:val="00A550BB"/>
    <w:rsid w:val="00A55137"/>
    <w:rsid w:val="00A551FD"/>
    <w:rsid w:val="00A56439"/>
    <w:rsid w:val="00A60DD0"/>
    <w:rsid w:val="00A62376"/>
    <w:rsid w:val="00A6381B"/>
    <w:rsid w:val="00A66E25"/>
    <w:rsid w:val="00A67F1D"/>
    <w:rsid w:val="00A705BC"/>
    <w:rsid w:val="00A70962"/>
    <w:rsid w:val="00A710BD"/>
    <w:rsid w:val="00A74B29"/>
    <w:rsid w:val="00A74D0E"/>
    <w:rsid w:val="00A74F53"/>
    <w:rsid w:val="00A82562"/>
    <w:rsid w:val="00A84D12"/>
    <w:rsid w:val="00A91850"/>
    <w:rsid w:val="00A941F9"/>
    <w:rsid w:val="00A95C58"/>
    <w:rsid w:val="00A96CCA"/>
    <w:rsid w:val="00A97894"/>
    <w:rsid w:val="00AA63DC"/>
    <w:rsid w:val="00AA721F"/>
    <w:rsid w:val="00AB28A0"/>
    <w:rsid w:val="00AB489C"/>
    <w:rsid w:val="00AB5451"/>
    <w:rsid w:val="00AC0337"/>
    <w:rsid w:val="00AC038A"/>
    <w:rsid w:val="00AC44B0"/>
    <w:rsid w:val="00AC47B2"/>
    <w:rsid w:val="00AC7523"/>
    <w:rsid w:val="00AC7C58"/>
    <w:rsid w:val="00AC7D9C"/>
    <w:rsid w:val="00AD168D"/>
    <w:rsid w:val="00AD1CF5"/>
    <w:rsid w:val="00AD4EA2"/>
    <w:rsid w:val="00AD6B7E"/>
    <w:rsid w:val="00AE113F"/>
    <w:rsid w:val="00AE1866"/>
    <w:rsid w:val="00AE1D13"/>
    <w:rsid w:val="00AE2D74"/>
    <w:rsid w:val="00AE3D50"/>
    <w:rsid w:val="00AE4E4C"/>
    <w:rsid w:val="00AE5D16"/>
    <w:rsid w:val="00AF279C"/>
    <w:rsid w:val="00AF36DB"/>
    <w:rsid w:val="00AF43D9"/>
    <w:rsid w:val="00AF5561"/>
    <w:rsid w:val="00AF55A4"/>
    <w:rsid w:val="00B03F4E"/>
    <w:rsid w:val="00B05FD2"/>
    <w:rsid w:val="00B06877"/>
    <w:rsid w:val="00B06DE3"/>
    <w:rsid w:val="00B07561"/>
    <w:rsid w:val="00B07803"/>
    <w:rsid w:val="00B10B77"/>
    <w:rsid w:val="00B1285A"/>
    <w:rsid w:val="00B13332"/>
    <w:rsid w:val="00B17697"/>
    <w:rsid w:val="00B17700"/>
    <w:rsid w:val="00B20296"/>
    <w:rsid w:val="00B2301C"/>
    <w:rsid w:val="00B25479"/>
    <w:rsid w:val="00B276BC"/>
    <w:rsid w:val="00B319D0"/>
    <w:rsid w:val="00B326BE"/>
    <w:rsid w:val="00B32AEA"/>
    <w:rsid w:val="00B33251"/>
    <w:rsid w:val="00B337F2"/>
    <w:rsid w:val="00B34AB2"/>
    <w:rsid w:val="00B37577"/>
    <w:rsid w:val="00B425EE"/>
    <w:rsid w:val="00B441B9"/>
    <w:rsid w:val="00B467DB"/>
    <w:rsid w:val="00B46B69"/>
    <w:rsid w:val="00B470D7"/>
    <w:rsid w:val="00B477D1"/>
    <w:rsid w:val="00B53FFF"/>
    <w:rsid w:val="00B57AF6"/>
    <w:rsid w:val="00B62624"/>
    <w:rsid w:val="00B643E5"/>
    <w:rsid w:val="00B661D9"/>
    <w:rsid w:val="00B662F7"/>
    <w:rsid w:val="00B73327"/>
    <w:rsid w:val="00B738FD"/>
    <w:rsid w:val="00B75F7C"/>
    <w:rsid w:val="00B772A5"/>
    <w:rsid w:val="00B77BB3"/>
    <w:rsid w:val="00B77BDE"/>
    <w:rsid w:val="00B80B55"/>
    <w:rsid w:val="00B81772"/>
    <w:rsid w:val="00B81914"/>
    <w:rsid w:val="00B8540F"/>
    <w:rsid w:val="00B87342"/>
    <w:rsid w:val="00B91B9E"/>
    <w:rsid w:val="00B9295F"/>
    <w:rsid w:val="00B96B57"/>
    <w:rsid w:val="00B96BF2"/>
    <w:rsid w:val="00BA34C1"/>
    <w:rsid w:val="00BA57DB"/>
    <w:rsid w:val="00BA6011"/>
    <w:rsid w:val="00BA7C63"/>
    <w:rsid w:val="00BB5415"/>
    <w:rsid w:val="00BB6C39"/>
    <w:rsid w:val="00BB75E9"/>
    <w:rsid w:val="00BC315D"/>
    <w:rsid w:val="00BC35AA"/>
    <w:rsid w:val="00BC6211"/>
    <w:rsid w:val="00BC6D6F"/>
    <w:rsid w:val="00BC74BC"/>
    <w:rsid w:val="00BD2F6F"/>
    <w:rsid w:val="00BD7BE2"/>
    <w:rsid w:val="00BE0327"/>
    <w:rsid w:val="00BE2336"/>
    <w:rsid w:val="00BE46D7"/>
    <w:rsid w:val="00BE5DEF"/>
    <w:rsid w:val="00BE7550"/>
    <w:rsid w:val="00BF12B9"/>
    <w:rsid w:val="00C01125"/>
    <w:rsid w:val="00C02F20"/>
    <w:rsid w:val="00C06988"/>
    <w:rsid w:val="00C07BCE"/>
    <w:rsid w:val="00C10FFF"/>
    <w:rsid w:val="00C125D2"/>
    <w:rsid w:val="00C13520"/>
    <w:rsid w:val="00C139AB"/>
    <w:rsid w:val="00C149F3"/>
    <w:rsid w:val="00C14F96"/>
    <w:rsid w:val="00C15241"/>
    <w:rsid w:val="00C21CD0"/>
    <w:rsid w:val="00C21F95"/>
    <w:rsid w:val="00C237EC"/>
    <w:rsid w:val="00C2586D"/>
    <w:rsid w:val="00C26D34"/>
    <w:rsid w:val="00C300BE"/>
    <w:rsid w:val="00C31FCA"/>
    <w:rsid w:val="00C3243A"/>
    <w:rsid w:val="00C345D8"/>
    <w:rsid w:val="00C345DC"/>
    <w:rsid w:val="00C351FE"/>
    <w:rsid w:val="00C35BD3"/>
    <w:rsid w:val="00C366A1"/>
    <w:rsid w:val="00C41A6C"/>
    <w:rsid w:val="00C4343B"/>
    <w:rsid w:val="00C46E01"/>
    <w:rsid w:val="00C53D56"/>
    <w:rsid w:val="00C54EB1"/>
    <w:rsid w:val="00C55C9C"/>
    <w:rsid w:val="00C60EB5"/>
    <w:rsid w:val="00C65301"/>
    <w:rsid w:val="00C7096A"/>
    <w:rsid w:val="00C7334B"/>
    <w:rsid w:val="00C73DBD"/>
    <w:rsid w:val="00C7573E"/>
    <w:rsid w:val="00C80626"/>
    <w:rsid w:val="00C81445"/>
    <w:rsid w:val="00C830E4"/>
    <w:rsid w:val="00C83216"/>
    <w:rsid w:val="00C838CD"/>
    <w:rsid w:val="00C8557A"/>
    <w:rsid w:val="00C85956"/>
    <w:rsid w:val="00C90B64"/>
    <w:rsid w:val="00C9325F"/>
    <w:rsid w:val="00C93956"/>
    <w:rsid w:val="00C96D97"/>
    <w:rsid w:val="00CA05C8"/>
    <w:rsid w:val="00CA077E"/>
    <w:rsid w:val="00CA1110"/>
    <w:rsid w:val="00CA245E"/>
    <w:rsid w:val="00CA2766"/>
    <w:rsid w:val="00CA4C24"/>
    <w:rsid w:val="00CA5B77"/>
    <w:rsid w:val="00CB001D"/>
    <w:rsid w:val="00CB20A6"/>
    <w:rsid w:val="00CB72A0"/>
    <w:rsid w:val="00CC2C25"/>
    <w:rsid w:val="00CC3B63"/>
    <w:rsid w:val="00CC3DC4"/>
    <w:rsid w:val="00CC6E45"/>
    <w:rsid w:val="00CC7BDC"/>
    <w:rsid w:val="00CC7F6D"/>
    <w:rsid w:val="00CD10FB"/>
    <w:rsid w:val="00CD60B6"/>
    <w:rsid w:val="00CD6EF8"/>
    <w:rsid w:val="00CD74B5"/>
    <w:rsid w:val="00CD7D9E"/>
    <w:rsid w:val="00CE515C"/>
    <w:rsid w:val="00CF2C2F"/>
    <w:rsid w:val="00CF3959"/>
    <w:rsid w:val="00CF4873"/>
    <w:rsid w:val="00CF55B8"/>
    <w:rsid w:val="00CF57FE"/>
    <w:rsid w:val="00CF5BA8"/>
    <w:rsid w:val="00CF5FDA"/>
    <w:rsid w:val="00D0729F"/>
    <w:rsid w:val="00D07BEE"/>
    <w:rsid w:val="00D07C49"/>
    <w:rsid w:val="00D11627"/>
    <w:rsid w:val="00D1467B"/>
    <w:rsid w:val="00D15CE9"/>
    <w:rsid w:val="00D21ABE"/>
    <w:rsid w:val="00D22102"/>
    <w:rsid w:val="00D2217A"/>
    <w:rsid w:val="00D22EDA"/>
    <w:rsid w:val="00D316EC"/>
    <w:rsid w:val="00D344CC"/>
    <w:rsid w:val="00D36A8F"/>
    <w:rsid w:val="00D37311"/>
    <w:rsid w:val="00D37866"/>
    <w:rsid w:val="00D37CE4"/>
    <w:rsid w:val="00D41337"/>
    <w:rsid w:val="00D428CA"/>
    <w:rsid w:val="00D42DBE"/>
    <w:rsid w:val="00D43228"/>
    <w:rsid w:val="00D44D08"/>
    <w:rsid w:val="00D4519E"/>
    <w:rsid w:val="00D5017A"/>
    <w:rsid w:val="00D51504"/>
    <w:rsid w:val="00D52D33"/>
    <w:rsid w:val="00D5314A"/>
    <w:rsid w:val="00D56596"/>
    <w:rsid w:val="00D576F2"/>
    <w:rsid w:val="00D600CC"/>
    <w:rsid w:val="00D60139"/>
    <w:rsid w:val="00D60EEC"/>
    <w:rsid w:val="00D62598"/>
    <w:rsid w:val="00D65730"/>
    <w:rsid w:val="00D67A67"/>
    <w:rsid w:val="00D7068D"/>
    <w:rsid w:val="00D714EE"/>
    <w:rsid w:val="00D75A8F"/>
    <w:rsid w:val="00D76C12"/>
    <w:rsid w:val="00D85140"/>
    <w:rsid w:val="00D86221"/>
    <w:rsid w:val="00D86892"/>
    <w:rsid w:val="00D93FE3"/>
    <w:rsid w:val="00D950EC"/>
    <w:rsid w:val="00DA08F9"/>
    <w:rsid w:val="00DA595C"/>
    <w:rsid w:val="00DB400F"/>
    <w:rsid w:val="00DB42FC"/>
    <w:rsid w:val="00DB4AA5"/>
    <w:rsid w:val="00DB4DE3"/>
    <w:rsid w:val="00DB6D2D"/>
    <w:rsid w:val="00DB7E65"/>
    <w:rsid w:val="00DC340F"/>
    <w:rsid w:val="00DC442C"/>
    <w:rsid w:val="00DC485F"/>
    <w:rsid w:val="00DC4DE4"/>
    <w:rsid w:val="00DC5E10"/>
    <w:rsid w:val="00DC6C9B"/>
    <w:rsid w:val="00DC7728"/>
    <w:rsid w:val="00DD3558"/>
    <w:rsid w:val="00DD3657"/>
    <w:rsid w:val="00DD3F25"/>
    <w:rsid w:val="00DD506D"/>
    <w:rsid w:val="00DD5AB3"/>
    <w:rsid w:val="00DE06A9"/>
    <w:rsid w:val="00DE34B3"/>
    <w:rsid w:val="00DE5054"/>
    <w:rsid w:val="00DE577A"/>
    <w:rsid w:val="00DE5DBA"/>
    <w:rsid w:val="00DE6614"/>
    <w:rsid w:val="00DF1125"/>
    <w:rsid w:val="00DF2B12"/>
    <w:rsid w:val="00DF2F53"/>
    <w:rsid w:val="00DF37E9"/>
    <w:rsid w:val="00DF4A64"/>
    <w:rsid w:val="00DF4CBC"/>
    <w:rsid w:val="00DF599B"/>
    <w:rsid w:val="00DF78AE"/>
    <w:rsid w:val="00E02403"/>
    <w:rsid w:val="00E037FC"/>
    <w:rsid w:val="00E03B09"/>
    <w:rsid w:val="00E11581"/>
    <w:rsid w:val="00E12213"/>
    <w:rsid w:val="00E132CB"/>
    <w:rsid w:val="00E13527"/>
    <w:rsid w:val="00E14D24"/>
    <w:rsid w:val="00E166DB"/>
    <w:rsid w:val="00E16F57"/>
    <w:rsid w:val="00E20FE2"/>
    <w:rsid w:val="00E215A3"/>
    <w:rsid w:val="00E22C99"/>
    <w:rsid w:val="00E22D88"/>
    <w:rsid w:val="00E2765C"/>
    <w:rsid w:val="00E310EE"/>
    <w:rsid w:val="00E325BC"/>
    <w:rsid w:val="00E411EE"/>
    <w:rsid w:val="00E47D1F"/>
    <w:rsid w:val="00E505B4"/>
    <w:rsid w:val="00E505E8"/>
    <w:rsid w:val="00E51B9C"/>
    <w:rsid w:val="00E53567"/>
    <w:rsid w:val="00E54859"/>
    <w:rsid w:val="00E56F60"/>
    <w:rsid w:val="00E617B3"/>
    <w:rsid w:val="00E706FF"/>
    <w:rsid w:val="00E74EC8"/>
    <w:rsid w:val="00E7591B"/>
    <w:rsid w:val="00E7596A"/>
    <w:rsid w:val="00E75B62"/>
    <w:rsid w:val="00E75BD7"/>
    <w:rsid w:val="00E82B41"/>
    <w:rsid w:val="00E85D7B"/>
    <w:rsid w:val="00E86CAA"/>
    <w:rsid w:val="00E9164F"/>
    <w:rsid w:val="00E91A96"/>
    <w:rsid w:val="00E95507"/>
    <w:rsid w:val="00E95769"/>
    <w:rsid w:val="00EA23A0"/>
    <w:rsid w:val="00EA4A91"/>
    <w:rsid w:val="00EA7EA0"/>
    <w:rsid w:val="00EB023A"/>
    <w:rsid w:val="00EB1577"/>
    <w:rsid w:val="00EB2D23"/>
    <w:rsid w:val="00EB3EAB"/>
    <w:rsid w:val="00EB4BBE"/>
    <w:rsid w:val="00EB4CF2"/>
    <w:rsid w:val="00EB559D"/>
    <w:rsid w:val="00EC1BDC"/>
    <w:rsid w:val="00EC6773"/>
    <w:rsid w:val="00EC705E"/>
    <w:rsid w:val="00ED274C"/>
    <w:rsid w:val="00ED3907"/>
    <w:rsid w:val="00ED53AE"/>
    <w:rsid w:val="00ED64B9"/>
    <w:rsid w:val="00ED7560"/>
    <w:rsid w:val="00ED758B"/>
    <w:rsid w:val="00EE0B11"/>
    <w:rsid w:val="00EE5C1F"/>
    <w:rsid w:val="00EE73DC"/>
    <w:rsid w:val="00EF0057"/>
    <w:rsid w:val="00EF28F7"/>
    <w:rsid w:val="00EF5680"/>
    <w:rsid w:val="00F047EA"/>
    <w:rsid w:val="00F049F9"/>
    <w:rsid w:val="00F057AC"/>
    <w:rsid w:val="00F064F7"/>
    <w:rsid w:val="00F06C8E"/>
    <w:rsid w:val="00F1179A"/>
    <w:rsid w:val="00F117A3"/>
    <w:rsid w:val="00F11960"/>
    <w:rsid w:val="00F11A91"/>
    <w:rsid w:val="00F1553A"/>
    <w:rsid w:val="00F15F78"/>
    <w:rsid w:val="00F161EA"/>
    <w:rsid w:val="00F174A9"/>
    <w:rsid w:val="00F24420"/>
    <w:rsid w:val="00F255D6"/>
    <w:rsid w:val="00F26E7D"/>
    <w:rsid w:val="00F26E80"/>
    <w:rsid w:val="00F30473"/>
    <w:rsid w:val="00F30553"/>
    <w:rsid w:val="00F313E0"/>
    <w:rsid w:val="00F32DE4"/>
    <w:rsid w:val="00F33A33"/>
    <w:rsid w:val="00F36CB8"/>
    <w:rsid w:val="00F40C89"/>
    <w:rsid w:val="00F4478E"/>
    <w:rsid w:val="00F44C17"/>
    <w:rsid w:val="00F44D52"/>
    <w:rsid w:val="00F45C57"/>
    <w:rsid w:val="00F46EA4"/>
    <w:rsid w:val="00F55760"/>
    <w:rsid w:val="00F55B76"/>
    <w:rsid w:val="00F5620F"/>
    <w:rsid w:val="00F5673C"/>
    <w:rsid w:val="00F60C4E"/>
    <w:rsid w:val="00F61DD5"/>
    <w:rsid w:val="00F6256D"/>
    <w:rsid w:val="00F62750"/>
    <w:rsid w:val="00F62FAE"/>
    <w:rsid w:val="00F63165"/>
    <w:rsid w:val="00F654EA"/>
    <w:rsid w:val="00F66472"/>
    <w:rsid w:val="00F66C32"/>
    <w:rsid w:val="00F67756"/>
    <w:rsid w:val="00F70B3B"/>
    <w:rsid w:val="00F713C9"/>
    <w:rsid w:val="00F7155E"/>
    <w:rsid w:val="00F7164B"/>
    <w:rsid w:val="00F74CEA"/>
    <w:rsid w:val="00F74DD6"/>
    <w:rsid w:val="00F75D10"/>
    <w:rsid w:val="00F76DF2"/>
    <w:rsid w:val="00F80DAF"/>
    <w:rsid w:val="00F80EBD"/>
    <w:rsid w:val="00F85F83"/>
    <w:rsid w:val="00F85F9E"/>
    <w:rsid w:val="00F868F0"/>
    <w:rsid w:val="00F8740C"/>
    <w:rsid w:val="00F87EB5"/>
    <w:rsid w:val="00F90F7B"/>
    <w:rsid w:val="00F913D4"/>
    <w:rsid w:val="00F914EB"/>
    <w:rsid w:val="00F918BA"/>
    <w:rsid w:val="00F91942"/>
    <w:rsid w:val="00F92A19"/>
    <w:rsid w:val="00F93A45"/>
    <w:rsid w:val="00FA0938"/>
    <w:rsid w:val="00FA18F8"/>
    <w:rsid w:val="00FA34C2"/>
    <w:rsid w:val="00FA568E"/>
    <w:rsid w:val="00FA71BF"/>
    <w:rsid w:val="00FB15EF"/>
    <w:rsid w:val="00FB2CFC"/>
    <w:rsid w:val="00FB2E5A"/>
    <w:rsid w:val="00FB3082"/>
    <w:rsid w:val="00FB34B8"/>
    <w:rsid w:val="00FB4BC2"/>
    <w:rsid w:val="00FB7C0F"/>
    <w:rsid w:val="00FC0384"/>
    <w:rsid w:val="00FC0FA7"/>
    <w:rsid w:val="00FC4482"/>
    <w:rsid w:val="00FC65B9"/>
    <w:rsid w:val="00FC6C4C"/>
    <w:rsid w:val="00FC7DFB"/>
    <w:rsid w:val="00FD101E"/>
    <w:rsid w:val="00FD292F"/>
    <w:rsid w:val="00FD48F4"/>
    <w:rsid w:val="00FD7FC1"/>
    <w:rsid w:val="00FE38F5"/>
    <w:rsid w:val="00FE517B"/>
    <w:rsid w:val="00FE5ED2"/>
    <w:rsid w:val="00FE71C6"/>
    <w:rsid w:val="00FE7754"/>
    <w:rsid w:val="00FF1A6A"/>
    <w:rsid w:val="00FF3752"/>
    <w:rsid w:val="00FF3FEF"/>
    <w:rsid w:val="00FF4180"/>
    <w:rsid w:val="00FF574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763E12"/>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FA"/>
    <w:pPr>
      <w:spacing w:line="240" w:lineRule="auto"/>
      <w:contextualSpacing/>
    </w:pPr>
    <w:rPr>
      <w:rFonts w:ascii="Bookman Old Style" w:hAnsi="Bookman Old Style"/>
      <w:sz w:val="24"/>
    </w:rPr>
  </w:style>
  <w:style w:type="paragraph" w:styleId="Ttulo1">
    <w:name w:val="heading 1"/>
    <w:aliases w:val="ANEXO"/>
    <w:basedOn w:val="Normal"/>
    <w:next w:val="Normal"/>
    <w:link w:val="Ttulo1Car"/>
    <w:qFormat/>
    <w:rsid w:val="005C1BCA"/>
    <w:pPr>
      <w:keepNext/>
      <w:spacing w:after="0"/>
      <w:ind w:left="567"/>
      <w:jc w:val="center"/>
      <w:outlineLvl w:val="0"/>
    </w:pPr>
    <w:rPr>
      <w:rFonts w:ascii="CG Times" w:eastAsia="Times New Roman" w:hAnsi="CG Times" w:cs="Times New Roman"/>
      <w:b/>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ind w:left="567"/>
      <w:jc w:val="center"/>
      <w:outlineLvl w:val="2"/>
    </w:pPr>
    <w:rPr>
      <w:rFonts w:ascii="CG Times" w:eastAsia="Times New Roman" w:hAnsi="CG Times" w:cs="Times New Roman"/>
      <w:b/>
      <w:snapToGrid w:val="0"/>
      <w:color w:val="000000"/>
      <w:szCs w:val="20"/>
      <w:lang w:val="es-ES_tradnl" w:eastAsia="es-ES"/>
    </w:rPr>
  </w:style>
  <w:style w:type="paragraph" w:styleId="Ttulo4">
    <w:name w:val="heading 4"/>
    <w:basedOn w:val="Normal"/>
    <w:next w:val="Normal"/>
    <w:link w:val="Ttulo4Car"/>
    <w:qFormat/>
    <w:rsid w:val="005C1BCA"/>
    <w:pPr>
      <w:keepNext/>
      <w:spacing w:after="0"/>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ind w:left="567"/>
      <w:outlineLvl w:val="6"/>
    </w:pPr>
    <w:rPr>
      <w:rFonts w:ascii="Calibri" w:eastAsia="Times New Roman" w:hAnsi="Calibri"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paragraph" w:styleId="Encabezado">
    <w:name w:val="header"/>
    <w:basedOn w:val="Normal"/>
    <w:link w:val="EncabezadoCar"/>
    <w:rsid w:val="005C1BCA"/>
    <w:pPr>
      <w:tabs>
        <w:tab w:val="center" w:pos="4252"/>
        <w:tab w:val="right" w:pos="8504"/>
      </w:tabs>
      <w:spacing w:after="0"/>
      <w:ind w:left="567"/>
    </w:pPr>
    <w:rPr>
      <w:rFonts w:ascii="CG Times" w:eastAsia="Times New Roman" w:hAnsi="CG Times" w:cs="Times New Roman"/>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ind w:left="567"/>
    </w:pPr>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ind w:left="567"/>
      <w:jc w:val="center"/>
    </w:pPr>
    <w:rPr>
      <w:rFonts w:ascii="Arial" w:eastAsia="Times New Roman" w:hAnsi="Arial" w:cs="Arial"/>
      <w:b/>
      <w:bCs/>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ind w:left="567"/>
      <w:jc w:val="center"/>
      <w:outlineLvl w:val="0"/>
    </w:pPr>
    <w:rPr>
      <w:rFonts w:ascii="Arial" w:eastAsia="Times New Roman" w:hAnsi="Arial" w:cs="Arial"/>
      <w:b/>
      <w:bCs/>
      <w:spacing w:val="-3"/>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ind w:left="567"/>
      <w:jc w:val="both"/>
    </w:pPr>
    <w:rPr>
      <w:rFonts w:ascii="Arial" w:eastAsia="Times New Roman" w:hAnsi="Arial" w:cs="Times New Roman"/>
      <w:noProof/>
      <w:szCs w:val="24"/>
      <w:lang w:val="es-ES" w:eastAsia="es-ES"/>
    </w:rPr>
  </w:style>
  <w:style w:type="paragraph" w:styleId="Textodebloque">
    <w:name w:val="Block Text"/>
    <w:basedOn w:val="Normal"/>
    <w:rsid w:val="005C1BCA"/>
    <w:pPr>
      <w:suppressAutoHyphens/>
      <w:spacing w:after="240"/>
      <w:ind w:left="567" w:right="788"/>
      <w:jc w:val="both"/>
    </w:pPr>
    <w:rPr>
      <w:rFonts w:ascii="Arial" w:eastAsia="Times New Roman" w:hAnsi="Arial" w:cs="Times New Roman"/>
      <w:spacing w:val="-3"/>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link w:val="DescripcinCar"/>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pPr>
    <w:rPr>
      <w:rFonts w:ascii="Century Gothic" w:eastAsia="Times New Roman" w:hAnsi="Century Gothic" w:cs="Times New Roman"/>
      <w:b/>
      <w:bCs/>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ind w:left="283"/>
    </w:pPr>
    <w:rPr>
      <w:rFonts w:ascii="Times New Roman" w:eastAsia="Times New Roman" w:hAnsi="Times New Roman" w:cs="Times New Roman"/>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jc w:val="both"/>
      <w:textAlignment w:val="baseline"/>
    </w:pPr>
    <w:rPr>
      <w:rFonts w:ascii="Arial" w:eastAsia="Times New Roman" w:hAnsi="Arial" w:cs="Times New Roman"/>
      <w:szCs w:val="20"/>
      <w:lang w:val="es-ES_tradnl" w:eastAsia="ar-SA"/>
    </w:rPr>
  </w:style>
  <w:style w:type="paragraph" w:customStyle="1" w:styleId="TableHeading">
    <w:name w:val="Table Heading"/>
    <w:basedOn w:val="Normal"/>
    <w:rsid w:val="005C1BCA"/>
    <w:pPr>
      <w:suppressLineNumbers/>
      <w:suppressAutoHyphens/>
      <w:spacing w:after="0"/>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ind w:left="0" w:firstLine="1"/>
      <w:jc w:val="both"/>
      <w:textAlignment w:val="baseline"/>
    </w:pPr>
    <w:rPr>
      <w:rFonts w:eastAsia="Times New Roman" w:cs="Times New Roman"/>
      <w:bCs/>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pPr>
    <w:rPr>
      <w:rFonts w:ascii="Times New Roman" w:eastAsiaTheme="minorEastAsia" w:hAnsi="Times New Roman" w:cs="Times New Roman"/>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68">
    <w:name w:val="xl68"/>
    <w:basedOn w:val="Normal"/>
    <w:rsid w:val="00FD7FC1"/>
    <w:pPr>
      <w:spacing w:before="100" w:beforeAutospacing="1" w:after="100" w:afterAutospacing="1"/>
    </w:pPr>
    <w:rPr>
      <w:rFonts w:eastAsia="Times New Roman" w:cs="Times New Roman"/>
      <w:szCs w:val="24"/>
      <w:lang w:eastAsia="es-CO"/>
    </w:rPr>
  </w:style>
  <w:style w:type="paragraph" w:customStyle="1" w:styleId="xl69">
    <w:name w:val="xl69"/>
    <w:basedOn w:val="Normal"/>
    <w:rsid w:val="00FD7FC1"/>
    <w:pPr>
      <w:spacing w:before="100" w:beforeAutospacing="1" w:after="100" w:afterAutospacing="1"/>
    </w:pPr>
    <w:rPr>
      <w:rFonts w:eastAsia="Times New Roman"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pPr>
    <w:rPr>
      <w:rFonts w:ascii="Times New Roman" w:eastAsia="Times New Roman" w:hAnsi="Times New Roman" w:cs="Times New Roman"/>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eastAsia="Times New Roman"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Fuentedeprrafopredeter"/>
    <w:link w:val="Style4"/>
    <w:uiPriority w:val="99"/>
    <w:rsid w:val="00F713C9"/>
    <w:rPr>
      <w:rFonts w:ascii="Arial" w:hAnsi="Arial" w:cs="Arial"/>
      <w:i/>
      <w:iCs/>
      <w:sz w:val="17"/>
      <w:szCs w:val="17"/>
      <w:shd w:val="clear" w:color="auto" w:fill="FFFFFF"/>
    </w:rPr>
  </w:style>
  <w:style w:type="character" w:customStyle="1" w:styleId="CharStyle6">
    <w:name w:val="Char Style 6"/>
    <w:basedOn w:val="CharStyle5"/>
    <w:uiPriority w:val="99"/>
    <w:rsid w:val="00F713C9"/>
    <w:rPr>
      <w:rFonts w:ascii="Arial" w:hAnsi="Arial" w:cs="Arial"/>
      <w:i w:val="0"/>
      <w:iCs w:val="0"/>
      <w:spacing w:val="-30"/>
      <w:sz w:val="17"/>
      <w:szCs w:val="17"/>
      <w:shd w:val="clear" w:color="auto" w:fill="FFFFFF"/>
    </w:rPr>
  </w:style>
  <w:style w:type="paragraph" w:customStyle="1" w:styleId="Style4">
    <w:name w:val="Style 4"/>
    <w:basedOn w:val="Normal"/>
    <w:link w:val="CharStyle5"/>
    <w:uiPriority w:val="99"/>
    <w:rsid w:val="00F713C9"/>
    <w:pPr>
      <w:widowControl w:val="0"/>
      <w:shd w:val="clear" w:color="auto" w:fill="FFFFFF"/>
      <w:spacing w:after="0" w:line="216" w:lineRule="exact"/>
      <w:jc w:val="both"/>
    </w:pPr>
    <w:rPr>
      <w:rFonts w:ascii="Arial" w:hAnsi="Arial" w:cs="Arial"/>
      <w:i/>
      <w:iCs/>
      <w:sz w:val="17"/>
      <w:szCs w:val="17"/>
    </w:rPr>
  </w:style>
  <w:style w:type="character" w:customStyle="1" w:styleId="CharStyle17">
    <w:name w:val="Char Style 17"/>
    <w:basedOn w:val="Fuentedeprrafopredeter"/>
    <w:link w:val="Style16"/>
    <w:uiPriority w:val="99"/>
    <w:rsid w:val="006221F6"/>
    <w:rPr>
      <w:rFonts w:ascii="Arial" w:hAnsi="Arial" w:cs="Arial"/>
      <w:spacing w:val="10"/>
      <w:sz w:val="21"/>
      <w:szCs w:val="21"/>
      <w:shd w:val="clear" w:color="auto" w:fill="FFFFFF"/>
    </w:rPr>
  </w:style>
  <w:style w:type="character" w:customStyle="1" w:styleId="CharStyle27">
    <w:name w:val="Char Style 27"/>
    <w:basedOn w:val="Fuentedeprrafopredeter"/>
    <w:link w:val="Style26"/>
    <w:uiPriority w:val="99"/>
    <w:rsid w:val="006221F6"/>
    <w:rPr>
      <w:rFonts w:ascii="Arial" w:hAnsi="Arial" w:cs="Arial"/>
      <w:i/>
      <w:iCs/>
      <w:sz w:val="17"/>
      <w:szCs w:val="17"/>
      <w:shd w:val="clear" w:color="auto" w:fill="FFFFFF"/>
    </w:rPr>
  </w:style>
  <w:style w:type="character" w:customStyle="1" w:styleId="CharStyle63">
    <w:name w:val="Char Style 63"/>
    <w:basedOn w:val="CharStyle27"/>
    <w:uiPriority w:val="99"/>
    <w:rsid w:val="006221F6"/>
    <w:rPr>
      <w:rFonts w:ascii="Arial" w:hAnsi="Arial" w:cs="Arial"/>
      <w:i/>
      <w:iCs/>
      <w:sz w:val="17"/>
      <w:szCs w:val="17"/>
      <w:u w:val="single"/>
      <w:shd w:val="clear" w:color="auto" w:fill="FFFFFF"/>
    </w:rPr>
  </w:style>
  <w:style w:type="character" w:customStyle="1" w:styleId="CharStyle64">
    <w:name w:val="Char Style 64"/>
    <w:basedOn w:val="CharStyle27"/>
    <w:uiPriority w:val="99"/>
    <w:rsid w:val="006221F6"/>
    <w:rPr>
      <w:rFonts w:ascii="Arial" w:hAnsi="Arial" w:cs="Arial"/>
      <w:i w:val="0"/>
      <w:iCs w:val="0"/>
      <w:sz w:val="17"/>
      <w:szCs w:val="17"/>
      <w:shd w:val="clear" w:color="auto" w:fill="FFFFFF"/>
    </w:rPr>
  </w:style>
  <w:style w:type="character" w:customStyle="1" w:styleId="CharStyle129">
    <w:name w:val="Char Style 129"/>
    <w:basedOn w:val="CharStyle27"/>
    <w:uiPriority w:val="99"/>
    <w:rsid w:val="006221F6"/>
    <w:rPr>
      <w:rFonts w:ascii="Arial" w:hAnsi="Arial" w:cs="Arial"/>
      <w:i w:val="0"/>
      <w:iCs w:val="0"/>
      <w:sz w:val="17"/>
      <w:szCs w:val="17"/>
      <w:u w:val="single"/>
      <w:shd w:val="clear" w:color="auto" w:fill="FFFFFF"/>
    </w:rPr>
  </w:style>
  <w:style w:type="paragraph" w:customStyle="1" w:styleId="Style16">
    <w:name w:val="Style 16"/>
    <w:basedOn w:val="Normal"/>
    <w:link w:val="CharStyle17"/>
    <w:uiPriority w:val="99"/>
    <w:rsid w:val="006221F6"/>
    <w:pPr>
      <w:widowControl w:val="0"/>
      <w:shd w:val="clear" w:color="auto" w:fill="FFFFFF"/>
      <w:spacing w:before="300" w:after="240" w:line="266" w:lineRule="exact"/>
      <w:ind w:hanging="420"/>
      <w:jc w:val="both"/>
    </w:pPr>
    <w:rPr>
      <w:rFonts w:ascii="Arial" w:hAnsi="Arial" w:cs="Arial"/>
      <w:spacing w:val="10"/>
      <w:sz w:val="21"/>
      <w:szCs w:val="21"/>
    </w:rPr>
  </w:style>
  <w:style w:type="paragraph" w:customStyle="1" w:styleId="Style26">
    <w:name w:val="Style 26"/>
    <w:basedOn w:val="Normal"/>
    <w:link w:val="CharStyle27"/>
    <w:uiPriority w:val="99"/>
    <w:rsid w:val="006221F6"/>
    <w:pPr>
      <w:widowControl w:val="0"/>
      <w:shd w:val="clear" w:color="auto" w:fill="FFFFFF"/>
      <w:spacing w:before="180" w:after="180" w:line="216" w:lineRule="exact"/>
      <w:jc w:val="both"/>
    </w:pPr>
    <w:rPr>
      <w:rFonts w:ascii="Arial" w:hAnsi="Arial" w:cs="Arial"/>
      <w:i/>
      <w:iCs/>
      <w:sz w:val="17"/>
      <w:szCs w:val="17"/>
    </w:rPr>
  </w:style>
  <w:style w:type="table" w:styleId="Tablaconcuadrcula6concolores-nfasis1">
    <w:name w:val="Grid Table 6 Colorful Accent 1"/>
    <w:basedOn w:val="Tablanormal"/>
    <w:uiPriority w:val="51"/>
    <w:rsid w:val="00FF3FE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
    <w:name w:val="Grid Table 1 Light"/>
    <w:basedOn w:val="Tablanormal"/>
    <w:uiPriority w:val="46"/>
    <w:rsid w:val="00110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ipcinCar">
    <w:name w:val="Descripción Car"/>
    <w:link w:val="Descripcin"/>
    <w:rsid w:val="0099371B"/>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888">
      <w:bodyDiv w:val="1"/>
      <w:marLeft w:val="0"/>
      <w:marRight w:val="0"/>
      <w:marTop w:val="0"/>
      <w:marBottom w:val="0"/>
      <w:divBdr>
        <w:top w:val="none" w:sz="0" w:space="0" w:color="auto"/>
        <w:left w:val="none" w:sz="0" w:space="0" w:color="auto"/>
        <w:bottom w:val="none" w:sz="0" w:space="0" w:color="auto"/>
        <w:right w:val="none" w:sz="0" w:space="0" w:color="auto"/>
      </w:divBdr>
      <w:divsChild>
        <w:div w:id="782767586">
          <w:marLeft w:val="274"/>
          <w:marRight w:val="0"/>
          <w:marTop w:val="0"/>
          <w:marBottom w:val="120"/>
          <w:divBdr>
            <w:top w:val="none" w:sz="0" w:space="0" w:color="auto"/>
            <w:left w:val="none" w:sz="0" w:space="0" w:color="auto"/>
            <w:bottom w:val="none" w:sz="0" w:space="0" w:color="auto"/>
            <w:right w:val="none" w:sz="0" w:space="0" w:color="auto"/>
          </w:divBdr>
        </w:div>
      </w:divsChild>
    </w:div>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08760304">
      <w:bodyDiv w:val="1"/>
      <w:marLeft w:val="0"/>
      <w:marRight w:val="0"/>
      <w:marTop w:val="0"/>
      <w:marBottom w:val="0"/>
      <w:divBdr>
        <w:top w:val="none" w:sz="0" w:space="0" w:color="auto"/>
        <w:left w:val="none" w:sz="0" w:space="0" w:color="auto"/>
        <w:bottom w:val="none" w:sz="0" w:space="0" w:color="auto"/>
        <w:right w:val="none" w:sz="0" w:space="0" w:color="auto"/>
      </w:divBdr>
    </w:div>
    <w:div w:id="237445475">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74754381">
      <w:bodyDiv w:val="1"/>
      <w:marLeft w:val="0"/>
      <w:marRight w:val="0"/>
      <w:marTop w:val="0"/>
      <w:marBottom w:val="0"/>
      <w:divBdr>
        <w:top w:val="none" w:sz="0" w:space="0" w:color="auto"/>
        <w:left w:val="none" w:sz="0" w:space="0" w:color="auto"/>
        <w:bottom w:val="none" w:sz="0" w:space="0" w:color="auto"/>
        <w:right w:val="none" w:sz="0" w:space="0" w:color="auto"/>
      </w:divBdr>
      <w:divsChild>
        <w:div w:id="702293619">
          <w:marLeft w:val="274"/>
          <w:marRight w:val="0"/>
          <w:marTop w:val="0"/>
          <w:marBottom w:val="240"/>
          <w:divBdr>
            <w:top w:val="none" w:sz="0" w:space="0" w:color="auto"/>
            <w:left w:val="none" w:sz="0" w:space="0" w:color="auto"/>
            <w:bottom w:val="none" w:sz="0" w:space="0" w:color="auto"/>
            <w:right w:val="none" w:sz="0" w:space="0" w:color="auto"/>
          </w:divBdr>
        </w:div>
      </w:divsChild>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48742867">
      <w:bodyDiv w:val="1"/>
      <w:marLeft w:val="0"/>
      <w:marRight w:val="0"/>
      <w:marTop w:val="0"/>
      <w:marBottom w:val="0"/>
      <w:divBdr>
        <w:top w:val="none" w:sz="0" w:space="0" w:color="auto"/>
        <w:left w:val="none" w:sz="0" w:space="0" w:color="auto"/>
        <w:bottom w:val="none" w:sz="0" w:space="0" w:color="auto"/>
        <w:right w:val="none" w:sz="0" w:space="0" w:color="auto"/>
      </w:divBdr>
    </w:div>
    <w:div w:id="453644466">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61740739">
      <w:bodyDiv w:val="1"/>
      <w:marLeft w:val="0"/>
      <w:marRight w:val="0"/>
      <w:marTop w:val="0"/>
      <w:marBottom w:val="0"/>
      <w:divBdr>
        <w:top w:val="none" w:sz="0" w:space="0" w:color="auto"/>
        <w:left w:val="none" w:sz="0" w:space="0" w:color="auto"/>
        <w:bottom w:val="none" w:sz="0" w:space="0" w:color="auto"/>
        <w:right w:val="none" w:sz="0" w:space="0" w:color="auto"/>
      </w:divBdr>
    </w:div>
    <w:div w:id="668290859">
      <w:bodyDiv w:val="1"/>
      <w:marLeft w:val="0"/>
      <w:marRight w:val="0"/>
      <w:marTop w:val="0"/>
      <w:marBottom w:val="0"/>
      <w:divBdr>
        <w:top w:val="none" w:sz="0" w:space="0" w:color="auto"/>
        <w:left w:val="none" w:sz="0" w:space="0" w:color="auto"/>
        <w:bottom w:val="none" w:sz="0" w:space="0" w:color="auto"/>
        <w:right w:val="none" w:sz="0" w:space="0" w:color="auto"/>
      </w:divBdr>
    </w:div>
    <w:div w:id="669521993">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28083999">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976642589">
      <w:bodyDiv w:val="1"/>
      <w:marLeft w:val="0"/>
      <w:marRight w:val="0"/>
      <w:marTop w:val="0"/>
      <w:marBottom w:val="0"/>
      <w:divBdr>
        <w:top w:val="none" w:sz="0" w:space="0" w:color="auto"/>
        <w:left w:val="none" w:sz="0" w:space="0" w:color="auto"/>
        <w:bottom w:val="none" w:sz="0" w:space="0" w:color="auto"/>
        <w:right w:val="none" w:sz="0" w:space="0" w:color="auto"/>
      </w:divBdr>
    </w:div>
    <w:div w:id="1059091422">
      <w:bodyDiv w:val="1"/>
      <w:marLeft w:val="0"/>
      <w:marRight w:val="0"/>
      <w:marTop w:val="0"/>
      <w:marBottom w:val="0"/>
      <w:divBdr>
        <w:top w:val="none" w:sz="0" w:space="0" w:color="auto"/>
        <w:left w:val="none" w:sz="0" w:space="0" w:color="auto"/>
        <w:bottom w:val="none" w:sz="0" w:space="0" w:color="auto"/>
        <w:right w:val="none" w:sz="0" w:space="0" w:color="auto"/>
      </w:divBdr>
    </w:div>
    <w:div w:id="1063914138">
      <w:bodyDiv w:val="1"/>
      <w:marLeft w:val="0"/>
      <w:marRight w:val="0"/>
      <w:marTop w:val="0"/>
      <w:marBottom w:val="0"/>
      <w:divBdr>
        <w:top w:val="none" w:sz="0" w:space="0" w:color="auto"/>
        <w:left w:val="none" w:sz="0" w:space="0" w:color="auto"/>
        <w:bottom w:val="none" w:sz="0" w:space="0" w:color="auto"/>
        <w:right w:val="none" w:sz="0" w:space="0" w:color="auto"/>
      </w:divBdr>
    </w:div>
    <w:div w:id="1103575589">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17914068">
      <w:bodyDiv w:val="1"/>
      <w:marLeft w:val="0"/>
      <w:marRight w:val="0"/>
      <w:marTop w:val="0"/>
      <w:marBottom w:val="0"/>
      <w:divBdr>
        <w:top w:val="none" w:sz="0" w:space="0" w:color="auto"/>
        <w:left w:val="none" w:sz="0" w:space="0" w:color="auto"/>
        <w:bottom w:val="none" w:sz="0" w:space="0" w:color="auto"/>
        <w:right w:val="none" w:sz="0" w:space="0" w:color="auto"/>
      </w:divBdr>
      <w:divsChild>
        <w:div w:id="443622560">
          <w:marLeft w:val="274"/>
          <w:marRight w:val="0"/>
          <w:marTop w:val="0"/>
          <w:marBottom w:val="240"/>
          <w:divBdr>
            <w:top w:val="none" w:sz="0" w:space="0" w:color="auto"/>
            <w:left w:val="none" w:sz="0" w:space="0" w:color="auto"/>
            <w:bottom w:val="none" w:sz="0" w:space="0" w:color="auto"/>
            <w:right w:val="none" w:sz="0" w:space="0" w:color="auto"/>
          </w:divBdr>
        </w:div>
        <w:div w:id="1234659865">
          <w:marLeft w:val="274"/>
          <w:marRight w:val="0"/>
          <w:marTop w:val="0"/>
          <w:marBottom w:val="240"/>
          <w:divBdr>
            <w:top w:val="none" w:sz="0" w:space="0" w:color="auto"/>
            <w:left w:val="none" w:sz="0" w:space="0" w:color="auto"/>
            <w:bottom w:val="none" w:sz="0" w:space="0" w:color="auto"/>
            <w:right w:val="none" w:sz="0" w:space="0" w:color="auto"/>
          </w:divBdr>
        </w:div>
        <w:div w:id="1023557721">
          <w:marLeft w:val="274"/>
          <w:marRight w:val="0"/>
          <w:marTop w:val="0"/>
          <w:marBottom w:val="240"/>
          <w:divBdr>
            <w:top w:val="none" w:sz="0" w:space="0" w:color="auto"/>
            <w:left w:val="none" w:sz="0" w:space="0" w:color="auto"/>
            <w:bottom w:val="none" w:sz="0" w:space="0" w:color="auto"/>
            <w:right w:val="none" w:sz="0" w:space="0" w:color="auto"/>
          </w:divBdr>
        </w:div>
      </w:divsChild>
    </w:div>
    <w:div w:id="1121262634">
      <w:bodyDiv w:val="1"/>
      <w:marLeft w:val="0"/>
      <w:marRight w:val="0"/>
      <w:marTop w:val="0"/>
      <w:marBottom w:val="0"/>
      <w:divBdr>
        <w:top w:val="none" w:sz="0" w:space="0" w:color="auto"/>
        <w:left w:val="none" w:sz="0" w:space="0" w:color="auto"/>
        <w:bottom w:val="none" w:sz="0" w:space="0" w:color="auto"/>
        <w:right w:val="none" w:sz="0" w:space="0" w:color="auto"/>
      </w:divBdr>
    </w:div>
    <w:div w:id="1123113413">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12228540">
      <w:bodyDiv w:val="1"/>
      <w:marLeft w:val="0"/>
      <w:marRight w:val="0"/>
      <w:marTop w:val="0"/>
      <w:marBottom w:val="0"/>
      <w:divBdr>
        <w:top w:val="none" w:sz="0" w:space="0" w:color="auto"/>
        <w:left w:val="none" w:sz="0" w:space="0" w:color="auto"/>
        <w:bottom w:val="none" w:sz="0" w:space="0" w:color="auto"/>
        <w:right w:val="none" w:sz="0" w:space="0" w:color="auto"/>
      </w:divBdr>
      <w:divsChild>
        <w:div w:id="59914880">
          <w:marLeft w:val="274"/>
          <w:marRight w:val="0"/>
          <w:marTop w:val="0"/>
          <w:marBottom w:val="120"/>
          <w:divBdr>
            <w:top w:val="none" w:sz="0" w:space="0" w:color="auto"/>
            <w:left w:val="none" w:sz="0" w:space="0" w:color="auto"/>
            <w:bottom w:val="none" w:sz="0" w:space="0" w:color="auto"/>
            <w:right w:val="none" w:sz="0" w:space="0" w:color="auto"/>
          </w:divBdr>
        </w:div>
      </w:divsChild>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274090910">
      <w:bodyDiv w:val="1"/>
      <w:marLeft w:val="0"/>
      <w:marRight w:val="0"/>
      <w:marTop w:val="0"/>
      <w:marBottom w:val="0"/>
      <w:divBdr>
        <w:top w:val="none" w:sz="0" w:space="0" w:color="auto"/>
        <w:left w:val="none" w:sz="0" w:space="0" w:color="auto"/>
        <w:bottom w:val="none" w:sz="0" w:space="0" w:color="auto"/>
        <w:right w:val="none" w:sz="0" w:space="0" w:color="auto"/>
      </w:divBdr>
    </w:div>
    <w:div w:id="1325015790">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4960693">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33542720">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06811913">
      <w:bodyDiv w:val="1"/>
      <w:marLeft w:val="0"/>
      <w:marRight w:val="0"/>
      <w:marTop w:val="0"/>
      <w:marBottom w:val="0"/>
      <w:divBdr>
        <w:top w:val="none" w:sz="0" w:space="0" w:color="auto"/>
        <w:left w:val="none" w:sz="0" w:space="0" w:color="auto"/>
        <w:bottom w:val="none" w:sz="0" w:space="0" w:color="auto"/>
        <w:right w:val="none" w:sz="0" w:space="0" w:color="auto"/>
      </w:divBdr>
    </w:div>
    <w:div w:id="1610046946">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13123049">
      <w:bodyDiv w:val="1"/>
      <w:marLeft w:val="0"/>
      <w:marRight w:val="0"/>
      <w:marTop w:val="0"/>
      <w:marBottom w:val="0"/>
      <w:divBdr>
        <w:top w:val="none" w:sz="0" w:space="0" w:color="auto"/>
        <w:left w:val="none" w:sz="0" w:space="0" w:color="auto"/>
        <w:bottom w:val="none" w:sz="0" w:space="0" w:color="auto"/>
        <w:right w:val="none" w:sz="0" w:space="0" w:color="auto"/>
      </w:divBdr>
    </w:div>
    <w:div w:id="1657340927">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691948130">
      <w:bodyDiv w:val="1"/>
      <w:marLeft w:val="0"/>
      <w:marRight w:val="0"/>
      <w:marTop w:val="0"/>
      <w:marBottom w:val="0"/>
      <w:divBdr>
        <w:top w:val="none" w:sz="0" w:space="0" w:color="auto"/>
        <w:left w:val="none" w:sz="0" w:space="0" w:color="auto"/>
        <w:bottom w:val="none" w:sz="0" w:space="0" w:color="auto"/>
        <w:right w:val="none" w:sz="0" w:space="0" w:color="auto"/>
      </w:divBdr>
      <w:divsChild>
        <w:div w:id="1896548385">
          <w:marLeft w:val="446"/>
          <w:marRight w:val="216"/>
          <w:marTop w:val="0"/>
          <w:marBottom w:val="160"/>
          <w:divBdr>
            <w:top w:val="none" w:sz="0" w:space="0" w:color="auto"/>
            <w:left w:val="none" w:sz="0" w:space="0" w:color="auto"/>
            <w:bottom w:val="none" w:sz="0" w:space="0" w:color="auto"/>
            <w:right w:val="none" w:sz="0" w:space="0" w:color="auto"/>
          </w:divBdr>
        </w:div>
        <w:div w:id="156113180">
          <w:marLeft w:val="446"/>
          <w:marRight w:val="216"/>
          <w:marTop w:val="0"/>
          <w:marBottom w:val="160"/>
          <w:divBdr>
            <w:top w:val="none" w:sz="0" w:space="0" w:color="auto"/>
            <w:left w:val="none" w:sz="0" w:space="0" w:color="auto"/>
            <w:bottom w:val="none" w:sz="0" w:space="0" w:color="auto"/>
            <w:right w:val="none" w:sz="0" w:space="0" w:color="auto"/>
          </w:divBdr>
        </w:div>
      </w:divsChild>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2160284">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85798537">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42060839">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3952197">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093309598">
      <w:bodyDiv w:val="1"/>
      <w:marLeft w:val="0"/>
      <w:marRight w:val="0"/>
      <w:marTop w:val="0"/>
      <w:marBottom w:val="0"/>
      <w:divBdr>
        <w:top w:val="none" w:sz="0" w:space="0" w:color="auto"/>
        <w:left w:val="none" w:sz="0" w:space="0" w:color="auto"/>
        <w:bottom w:val="none" w:sz="0" w:space="0" w:color="auto"/>
        <w:right w:val="none" w:sz="0" w:space="0" w:color="auto"/>
      </w:divBdr>
    </w:div>
    <w:div w:id="2101296910">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13281323">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15" ma:contentTypeDescription="Crear nuevo documento." ma:contentTypeScope="" ma:versionID="4945cd43f99f3ce67f0e1b25a41f0316">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b62126b9aa008b7ae65f4c604331a2fd"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0288a511-7746-49c0-ba85-58529b771bc2}" ma:internalName="TaxCatchAll" ma:showField="CatchAllData" ma:web="de01f3f3-8e32-4156-90b4-cbe86af56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01f3f3-8e32-4156-90b4-cbe86af56aa6" xsi:nil="true"/>
    <lcf76f155ced4ddcb4097134ff3c332f xmlns="0ea6a934-6a77-4073-9f54-0635dda5d7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E585E3-9921-4E52-B5EB-11C9A5BF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FED71-57E7-4F6F-B861-0D19130BC01E}">
  <ds:schemaRefs>
    <ds:schemaRef ds:uri="http://schemas.openxmlformats.org/officeDocument/2006/bibliography"/>
  </ds:schemaRefs>
</ds:datastoreItem>
</file>

<file path=customXml/itemProps3.xml><?xml version="1.0" encoding="utf-8"?>
<ds:datastoreItem xmlns:ds="http://schemas.openxmlformats.org/officeDocument/2006/customXml" ds:itemID="{220F9104-8EE6-44A9-A7DC-10124D657EB4}">
  <ds:schemaRefs>
    <ds:schemaRef ds:uri="http://schemas.microsoft.com/sharepoint/v3/contenttype/forms"/>
  </ds:schemaRefs>
</ds:datastoreItem>
</file>

<file path=customXml/itemProps4.xml><?xml version="1.0" encoding="utf-8"?>
<ds:datastoreItem xmlns:ds="http://schemas.openxmlformats.org/officeDocument/2006/customXml" ds:itemID="{252D3DA4-CB48-41A3-8073-D6D2DA8E00E9}">
  <ds:schemaRefs>
    <ds:schemaRef ds:uri="http://schemas.microsoft.com/office/2006/metadata/properties"/>
    <ds:schemaRef ds:uri="http://schemas.microsoft.com/office/infopath/2007/PartnerControls"/>
    <ds:schemaRef ds:uri="de01f3f3-8e32-4156-90b4-cbe86af56aa6"/>
    <ds:schemaRef ds:uri="0ea6a934-6a77-4073-9f54-0635dda5d780"/>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2590</Words>
  <Characters>14251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Fernando León Granados</dc:creator>
  <cp:lastModifiedBy>Luz Stella Rojas Macias</cp:lastModifiedBy>
  <cp:revision>3</cp:revision>
  <cp:lastPrinted>2022-07-28T14:51:00Z</cp:lastPrinted>
  <dcterms:created xsi:type="dcterms:W3CDTF">2022-07-28T14:50:00Z</dcterms:created>
  <dcterms:modified xsi:type="dcterms:W3CDTF">2022-07-28T15:30:00Z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y fmtid="{D5CDD505-2E9C-101B-9397-08002B2CF9AE}" pid="3" name="MediaServiceImageTags">
    <vt:lpwstr/>
  </property>
</Properties>
</file>