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33BE" w:rsidRPr="00012259" w:rsidRDefault="00284B57" w:rsidP="00D633BE">
      <w:pPr>
        <w:pStyle w:val="Encabezado"/>
        <w:tabs>
          <w:tab w:val="clear" w:pos="8504"/>
          <w:tab w:val="left" w:pos="0"/>
          <w:tab w:val="right" w:pos="9356"/>
        </w:tabs>
        <w:ind w:left="9356" w:hanging="9356"/>
        <w:jc w:val="both"/>
        <w:rPr>
          <w:rFonts w:ascii="Bookman Old Style" w:hAnsi="Bookman Old Style"/>
          <w:szCs w:val="24"/>
        </w:rPr>
      </w:pPr>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02.4pt;margin-top:-53.35pt;width:52.5pt;height:48.75pt;z-index:251659264" fillcolor="#0c9">
            <v:imagedata r:id="rId9" o:title=""/>
          </v:shape>
          <o:OLEObject Type="Embed" ProgID="PBrush" ShapeID="_x0000_s1027" DrawAspect="Content" ObjectID="_1441717725" r:id="rId10"/>
        </w:pict>
      </w:r>
    </w:p>
    <w:p w:rsidR="00D633BE" w:rsidRPr="00012259" w:rsidRDefault="00D633BE" w:rsidP="00D633BE">
      <w:pPr>
        <w:pStyle w:val="Encabezado"/>
        <w:tabs>
          <w:tab w:val="clear" w:pos="8504"/>
          <w:tab w:val="left" w:pos="0"/>
          <w:tab w:val="right" w:pos="9356"/>
        </w:tabs>
        <w:ind w:left="0"/>
        <w:jc w:val="both"/>
        <w:rPr>
          <w:rFonts w:ascii="Bookman Old Style" w:hAnsi="Bookman Old Style"/>
          <w:szCs w:val="24"/>
        </w:rPr>
      </w:pPr>
    </w:p>
    <w:p w:rsidR="00D633BE" w:rsidRPr="004D5B73" w:rsidRDefault="00D633BE" w:rsidP="009B2BBF">
      <w:pPr>
        <w:pStyle w:val="Ttulo4"/>
        <w:ind w:left="0"/>
        <w:rPr>
          <w:rFonts w:ascii="Bookman Old Style" w:hAnsi="Bookman Old Style"/>
          <w:b w:val="0"/>
          <w:noProof/>
          <w:sz w:val="22"/>
          <w:szCs w:val="22"/>
          <w:lang w:val="es-ES"/>
        </w:rPr>
      </w:pPr>
      <w:r w:rsidRPr="004D5B73">
        <w:rPr>
          <w:rFonts w:ascii="Bookman Old Style" w:hAnsi="Bookman Old Style"/>
          <w:b w:val="0"/>
          <w:sz w:val="22"/>
          <w:szCs w:val="22"/>
        </w:rPr>
        <w:t>Ministerio de Minas y Energía</w:t>
      </w:r>
    </w:p>
    <w:p w:rsidR="00D633BE" w:rsidRPr="009078CE" w:rsidRDefault="00D633BE" w:rsidP="009B2BBF">
      <w:pPr>
        <w:pStyle w:val="Ttulo4"/>
        <w:rPr>
          <w:rFonts w:ascii="Bookman Old Style" w:hAnsi="Bookman Old Style"/>
        </w:rPr>
      </w:pPr>
    </w:p>
    <w:p w:rsidR="00D633BE" w:rsidRDefault="00D633BE" w:rsidP="009B2BBF">
      <w:pPr>
        <w:pStyle w:val="Ttulo3"/>
        <w:rPr>
          <w:rFonts w:ascii="Bookman Old Style" w:hAnsi="Bookman Old Style"/>
        </w:rPr>
      </w:pPr>
    </w:p>
    <w:p w:rsidR="00D633BE" w:rsidRPr="009078CE" w:rsidRDefault="00D633BE" w:rsidP="009B2BBF">
      <w:pPr>
        <w:pStyle w:val="Ttulo3"/>
        <w:ind w:left="0"/>
        <w:rPr>
          <w:rFonts w:ascii="Bookman Old Style" w:hAnsi="Bookman Old Style"/>
        </w:rPr>
      </w:pPr>
      <w:r w:rsidRPr="009078CE">
        <w:rPr>
          <w:rFonts w:ascii="Bookman Old Style" w:hAnsi="Bookman Old Style"/>
        </w:rPr>
        <w:t>COMISIÓN DE REGULACIÓN DE ENERGÍA Y GAS</w:t>
      </w:r>
    </w:p>
    <w:p w:rsidR="00D633BE" w:rsidRPr="00FD160F" w:rsidRDefault="00D633BE" w:rsidP="009B2BBF">
      <w:pPr>
        <w:pStyle w:val="Ttulo5"/>
        <w:tabs>
          <w:tab w:val="left" w:pos="0"/>
          <w:tab w:val="right" w:pos="9356"/>
        </w:tabs>
        <w:ind w:left="0"/>
        <w:rPr>
          <w:rFonts w:ascii="Bookman Old Style" w:hAnsi="Bookman Old Style"/>
          <w:sz w:val="24"/>
          <w:szCs w:val="24"/>
        </w:rPr>
      </w:pPr>
    </w:p>
    <w:p w:rsidR="00D633BE" w:rsidRPr="00FD160F" w:rsidRDefault="00D633BE" w:rsidP="009B2BBF">
      <w:pPr>
        <w:pStyle w:val="Ttulo5"/>
        <w:tabs>
          <w:tab w:val="left" w:pos="0"/>
          <w:tab w:val="right" w:pos="9356"/>
        </w:tabs>
        <w:ind w:left="0"/>
        <w:rPr>
          <w:rFonts w:ascii="Bookman Old Style" w:hAnsi="Bookman Old Style"/>
          <w:sz w:val="24"/>
          <w:szCs w:val="24"/>
        </w:rPr>
      </w:pPr>
    </w:p>
    <w:p w:rsidR="00D633BE" w:rsidRPr="00FD160F" w:rsidRDefault="00D633BE" w:rsidP="009B2BBF">
      <w:pPr>
        <w:pStyle w:val="Ttulo5"/>
        <w:tabs>
          <w:tab w:val="left" w:pos="0"/>
          <w:tab w:val="right" w:pos="9356"/>
        </w:tabs>
        <w:ind w:left="0"/>
        <w:rPr>
          <w:rFonts w:ascii="Bookman Old Style" w:hAnsi="Bookman Old Style"/>
          <w:sz w:val="24"/>
          <w:szCs w:val="24"/>
        </w:rPr>
      </w:pPr>
      <w:r w:rsidRPr="00FD160F">
        <w:rPr>
          <w:rFonts w:ascii="Bookman Old Style" w:hAnsi="Bookman Old Style"/>
          <w:sz w:val="24"/>
          <w:szCs w:val="24"/>
        </w:rPr>
        <w:t>RESOLUCIÓN No.                   DE 201</w:t>
      </w:r>
      <w:r w:rsidR="00435061">
        <w:rPr>
          <w:rFonts w:ascii="Bookman Old Style" w:hAnsi="Bookman Old Style"/>
          <w:sz w:val="24"/>
          <w:szCs w:val="24"/>
        </w:rPr>
        <w:t>3</w:t>
      </w:r>
    </w:p>
    <w:p w:rsidR="00D633BE" w:rsidRPr="00012259" w:rsidRDefault="00D633BE" w:rsidP="009B2BBF">
      <w:pPr>
        <w:tabs>
          <w:tab w:val="left" w:pos="0"/>
          <w:tab w:val="right" w:pos="9356"/>
        </w:tabs>
        <w:ind w:left="0"/>
        <w:jc w:val="center"/>
        <w:rPr>
          <w:rFonts w:ascii="Bookman Old Style" w:hAnsi="Bookman Old Style" w:cs="Arial"/>
          <w:b/>
          <w:snapToGrid w:val="0"/>
          <w:color w:val="000000"/>
          <w:lang w:val="es-ES_tradnl"/>
        </w:rPr>
      </w:pPr>
    </w:p>
    <w:p w:rsidR="00D633BE" w:rsidRPr="00012259" w:rsidRDefault="00D633BE" w:rsidP="009B2BBF">
      <w:pPr>
        <w:pStyle w:val="Ttulo3"/>
        <w:ind w:left="0"/>
      </w:pPr>
      <w:r w:rsidRPr="00012259">
        <w:t>(                                  )</w:t>
      </w:r>
    </w:p>
    <w:p w:rsidR="00D633BE" w:rsidRPr="00012259" w:rsidRDefault="00D633BE" w:rsidP="009B2BBF">
      <w:pPr>
        <w:tabs>
          <w:tab w:val="left" w:pos="0"/>
          <w:tab w:val="right" w:pos="9356"/>
        </w:tabs>
        <w:ind w:left="0"/>
        <w:jc w:val="center"/>
        <w:rPr>
          <w:rFonts w:ascii="Bookman Old Style" w:hAnsi="Bookman Old Style"/>
          <w:lang w:val="es-ES_tradnl"/>
        </w:rPr>
      </w:pPr>
    </w:p>
    <w:p w:rsidR="00D633BE" w:rsidRDefault="00D633BE" w:rsidP="00D633BE">
      <w:pPr>
        <w:ind w:left="0"/>
        <w:rPr>
          <w:rFonts w:ascii="Bookman Old Style" w:hAnsi="Bookman Old Style"/>
          <w:bCs/>
          <w:lang w:val="es-CO"/>
        </w:rPr>
      </w:pPr>
    </w:p>
    <w:p w:rsidR="00D633BE" w:rsidRDefault="00D633BE" w:rsidP="00D633BE">
      <w:pPr>
        <w:ind w:left="0"/>
        <w:rPr>
          <w:rFonts w:ascii="Bookman Old Style" w:hAnsi="Bookman Old Style"/>
          <w:bCs/>
          <w:lang w:val="es-CO"/>
        </w:rPr>
      </w:pPr>
    </w:p>
    <w:p w:rsidR="00C75D37" w:rsidRDefault="00501C5C" w:rsidP="00C75D37">
      <w:pPr>
        <w:tabs>
          <w:tab w:val="left" w:pos="0"/>
        </w:tabs>
        <w:ind w:left="0"/>
        <w:jc w:val="center"/>
        <w:rPr>
          <w:rFonts w:ascii="Bookman Old Style" w:hAnsi="Bookman Old Style"/>
        </w:rPr>
      </w:pPr>
      <w:r w:rsidRPr="00501C5C">
        <w:rPr>
          <w:rFonts w:ascii="Bookman Old Style" w:hAnsi="Bookman Old Style" w:cs="Arial"/>
        </w:rPr>
        <w:t xml:space="preserve">Por la cual se ordena hacer público </w:t>
      </w:r>
      <w:r w:rsidR="008139FF">
        <w:rPr>
          <w:rFonts w:ascii="Bookman Old Style" w:hAnsi="Bookman Old Style" w:cs="Arial"/>
        </w:rPr>
        <w:t>el</w:t>
      </w:r>
      <w:r w:rsidRPr="00501C5C">
        <w:rPr>
          <w:rFonts w:ascii="Bookman Old Style" w:hAnsi="Bookman Old Style" w:cs="Arial"/>
        </w:rPr>
        <w:t xml:space="preserve"> proyecto de resolución</w:t>
      </w:r>
      <w:r w:rsidR="008139FF">
        <w:rPr>
          <w:rFonts w:ascii="Bookman Old Style" w:hAnsi="Bookman Old Style" w:cs="Arial"/>
        </w:rPr>
        <w:t xml:space="preserve"> </w:t>
      </w:r>
      <w:r w:rsidR="008139FF" w:rsidRPr="001715E4">
        <w:rPr>
          <w:rFonts w:ascii="Bookman Old Style" w:hAnsi="Bookman Old Style" w:cs="Arial"/>
          <w:szCs w:val="20"/>
        </w:rPr>
        <w:t>de carácter general,</w:t>
      </w:r>
      <w:r w:rsidR="00890D50">
        <w:rPr>
          <w:rFonts w:ascii="Bookman Old Style" w:hAnsi="Bookman Old Style" w:cs="Arial"/>
        </w:rPr>
        <w:t xml:space="preserve"> </w:t>
      </w:r>
      <w:r w:rsidR="008139FF" w:rsidRPr="001715E4">
        <w:rPr>
          <w:rFonts w:ascii="Bookman Old Style" w:hAnsi="Bookman Old Style" w:cs="Arial"/>
          <w:i/>
          <w:szCs w:val="27"/>
        </w:rPr>
        <w:t>Por la cual se modifican la</w:t>
      </w:r>
      <w:r w:rsidR="00781B2F">
        <w:rPr>
          <w:rFonts w:ascii="Bookman Old Style" w:hAnsi="Bookman Old Style" w:cs="Arial"/>
          <w:i/>
          <w:szCs w:val="27"/>
        </w:rPr>
        <w:t>s</w:t>
      </w:r>
      <w:r w:rsidR="008139FF" w:rsidRPr="001715E4">
        <w:rPr>
          <w:rFonts w:ascii="Bookman Old Style" w:hAnsi="Bookman Old Style" w:cs="Arial"/>
          <w:i/>
          <w:szCs w:val="27"/>
        </w:rPr>
        <w:t xml:space="preserve"> resoluciones CREG </w:t>
      </w:r>
      <w:r w:rsidR="008139FF">
        <w:rPr>
          <w:rFonts w:ascii="Bookman Old Style" w:hAnsi="Bookman Old Style" w:cs="Arial"/>
          <w:i/>
          <w:szCs w:val="27"/>
        </w:rPr>
        <w:t>138</w:t>
      </w:r>
      <w:r w:rsidR="008139FF" w:rsidRPr="001715E4">
        <w:rPr>
          <w:rFonts w:ascii="Bookman Old Style" w:hAnsi="Bookman Old Style" w:cs="Arial"/>
          <w:i/>
          <w:szCs w:val="27"/>
        </w:rPr>
        <w:t xml:space="preserve"> de 201</w:t>
      </w:r>
      <w:r w:rsidR="008139FF">
        <w:rPr>
          <w:rFonts w:ascii="Bookman Old Style" w:hAnsi="Bookman Old Style" w:cs="Arial"/>
          <w:i/>
          <w:szCs w:val="27"/>
        </w:rPr>
        <w:t>2</w:t>
      </w:r>
      <w:r w:rsidR="008139FF" w:rsidRPr="001715E4">
        <w:rPr>
          <w:rFonts w:ascii="Bookman Old Style" w:hAnsi="Bookman Old Style" w:cs="Arial"/>
          <w:i/>
          <w:szCs w:val="27"/>
        </w:rPr>
        <w:t xml:space="preserve"> y 0</w:t>
      </w:r>
      <w:r w:rsidR="008139FF">
        <w:rPr>
          <w:rFonts w:ascii="Bookman Old Style" w:hAnsi="Bookman Old Style" w:cs="Arial"/>
          <w:i/>
          <w:szCs w:val="27"/>
        </w:rPr>
        <w:t>85</w:t>
      </w:r>
      <w:r w:rsidR="008139FF" w:rsidRPr="001715E4">
        <w:rPr>
          <w:rFonts w:ascii="Bookman Old Style" w:hAnsi="Bookman Old Style" w:cs="Arial"/>
          <w:i/>
          <w:szCs w:val="27"/>
        </w:rPr>
        <w:t xml:space="preserve"> de 200</w:t>
      </w:r>
      <w:r w:rsidR="008139FF">
        <w:rPr>
          <w:rFonts w:ascii="Bookman Old Style" w:hAnsi="Bookman Old Style" w:cs="Arial"/>
          <w:i/>
          <w:szCs w:val="27"/>
        </w:rPr>
        <w:t>7</w:t>
      </w:r>
      <w:r w:rsidR="008139FF" w:rsidRPr="001715E4">
        <w:rPr>
          <w:rFonts w:ascii="Bookman Old Style" w:hAnsi="Bookman Old Style" w:cs="Arial"/>
          <w:i/>
          <w:szCs w:val="27"/>
        </w:rPr>
        <w:t xml:space="preserve">, </w:t>
      </w:r>
      <w:r w:rsidR="00C75D37" w:rsidRPr="001715E4">
        <w:rPr>
          <w:rFonts w:ascii="Bookman Old Style" w:hAnsi="Bookman Old Style" w:cs="Arial"/>
          <w:i/>
          <w:szCs w:val="27"/>
        </w:rPr>
        <w:t xml:space="preserve">en relación con la </w:t>
      </w:r>
      <w:r w:rsidR="00C75D37">
        <w:rPr>
          <w:rFonts w:ascii="Bookman Old Style" w:hAnsi="Bookman Old Style" w:cs="Arial"/>
          <w:i/>
          <w:szCs w:val="27"/>
        </w:rPr>
        <w:t>definición M</w:t>
      </w:r>
      <w:r w:rsidR="00C75D37" w:rsidRPr="00435061">
        <w:rPr>
          <w:rFonts w:ascii="Bookman Old Style" w:hAnsi="Bookman Old Style" w:cs="Arial"/>
          <w:i/>
          <w:szCs w:val="27"/>
          <w:vertAlign w:val="subscript"/>
        </w:rPr>
        <w:t>g</w:t>
      </w:r>
      <w:r w:rsidR="00C75D37">
        <w:rPr>
          <w:rFonts w:ascii="Bookman Old Style" w:hAnsi="Bookman Old Style" w:cs="Arial"/>
          <w:i/>
          <w:szCs w:val="27"/>
        </w:rPr>
        <w:t xml:space="preserve"> del proceso aleatorio que se realiza para las pruebas de disponibilidad de plantas o unidades de generación</w:t>
      </w:r>
      <w:r w:rsidR="00C75D37" w:rsidRPr="00D1154A">
        <w:rPr>
          <w:rFonts w:ascii="Bookman Old Style" w:hAnsi="Bookman Old Style" w:cs="Arial"/>
        </w:rPr>
        <w:t>.</w:t>
      </w:r>
    </w:p>
    <w:p w:rsidR="008139FF" w:rsidRDefault="008139FF" w:rsidP="008139FF">
      <w:pPr>
        <w:tabs>
          <w:tab w:val="left" w:pos="0"/>
        </w:tabs>
        <w:ind w:left="0"/>
        <w:jc w:val="center"/>
        <w:rPr>
          <w:rFonts w:ascii="Bookman Old Style" w:eastAsia="Arial Unicode MS" w:hAnsi="Bookman Old Style" w:cs="Arial"/>
          <w:bCs/>
        </w:rPr>
      </w:pPr>
      <w:bookmarkStart w:id="0" w:name="_GoBack"/>
      <w:bookmarkEnd w:id="0"/>
    </w:p>
    <w:p w:rsidR="00501C5C" w:rsidRPr="008139FF" w:rsidRDefault="00501C5C" w:rsidP="009B2BBF">
      <w:pPr>
        <w:pStyle w:val="Textodebloque"/>
        <w:ind w:left="0" w:right="51"/>
        <w:jc w:val="center"/>
        <w:rPr>
          <w:rFonts w:ascii="Bookman Old Style" w:hAnsi="Bookman Old Style" w:cs="Arial"/>
          <w:lang w:val="es-ES"/>
        </w:rPr>
      </w:pPr>
    </w:p>
    <w:p w:rsidR="00D633BE" w:rsidRPr="00C435C3" w:rsidRDefault="00D633BE" w:rsidP="00D633BE">
      <w:pPr>
        <w:ind w:right="51"/>
        <w:rPr>
          <w:rFonts w:ascii="Bookman Old Style" w:hAnsi="Bookman Old Style"/>
        </w:rPr>
      </w:pPr>
    </w:p>
    <w:p w:rsidR="00D633BE" w:rsidRPr="00C435C3" w:rsidRDefault="00D633BE" w:rsidP="00D633BE">
      <w:pPr>
        <w:ind w:right="51"/>
        <w:jc w:val="center"/>
        <w:rPr>
          <w:rFonts w:ascii="Bookman Old Style" w:hAnsi="Bookman Old Style"/>
          <w:b/>
        </w:rPr>
      </w:pPr>
      <w:r w:rsidRPr="00C435C3">
        <w:rPr>
          <w:rFonts w:ascii="Bookman Old Style" w:hAnsi="Bookman Old Style"/>
          <w:b/>
        </w:rPr>
        <w:t>LA COMISIÓN DE REGULACIÓN DE  ENERGÍA Y GAS</w:t>
      </w:r>
    </w:p>
    <w:p w:rsidR="00D633BE" w:rsidRPr="00C435C3" w:rsidRDefault="00D633BE" w:rsidP="00D633BE">
      <w:pPr>
        <w:ind w:left="0" w:right="51"/>
        <w:rPr>
          <w:rFonts w:ascii="Bookman Old Style" w:hAnsi="Bookman Old Style"/>
        </w:rPr>
      </w:pPr>
    </w:p>
    <w:p w:rsidR="00D633BE" w:rsidRPr="00C435C3" w:rsidRDefault="00D633BE" w:rsidP="00D633BE">
      <w:pPr>
        <w:ind w:left="0" w:right="51"/>
        <w:rPr>
          <w:rFonts w:ascii="Bookman Old Style" w:hAnsi="Bookman Old Style"/>
        </w:rPr>
      </w:pPr>
    </w:p>
    <w:p w:rsidR="00D633BE" w:rsidRPr="00C435C3" w:rsidRDefault="00D633BE" w:rsidP="00D633BE">
      <w:pPr>
        <w:pStyle w:val="Textoindependiente3"/>
        <w:ind w:left="0"/>
        <w:rPr>
          <w:rFonts w:ascii="Bookman Old Style" w:hAnsi="Bookman Old Style"/>
          <w:b w:val="0"/>
        </w:rPr>
      </w:pPr>
      <w:r w:rsidRPr="00C435C3">
        <w:rPr>
          <w:rFonts w:ascii="Bookman Old Style" w:hAnsi="Bookman Old Style"/>
          <w:b w:val="0"/>
        </w:rPr>
        <w:t>En ejercicio de sus atribuciones constitucionales y legales, en especial las conferidas por las Leyes 142 y 143 de 1994, y en desarrollo de los Decretos 1524 y 2253 de 1994.</w:t>
      </w:r>
    </w:p>
    <w:p w:rsidR="00D633BE" w:rsidRPr="00C435C3" w:rsidRDefault="00D633BE" w:rsidP="00D633BE">
      <w:pPr>
        <w:ind w:right="51"/>
        <w:rPr>
          <w:rFonts w:ascii="Bookman Old Style" w:hAnsi="Bookman Old Style"/>
        </w:rPr>
      </w:pPr>
    </w:p>
    <w:p w:rsidR="00D633BE" w:rsidRDefault="00D633BE" w:rsidP="00D633BE">
      <w:pPr>
        <w:ind w:right="51"/>
        <w:rPr>
          <w:rFonts w:ascii="Bookman Old Style" w:hAnsi="Bookman Old Style"/>
        </w:rPr>
      </w:pPr>
    </w:p>
    <w:p w:rsidR="009B2BBF" w:rsidRPr="00C435C3" w:rsidRDefault="009B2BBF" w:rsidP="00D633BE">
      <w:pPr>
        <w:ind w:right="51"/>
        <w:rPr>
          <w:rFonts w:ascii="Bookman Old Style" w:hAnsi="Bookman Old Style"/>
        </w:rPr>
      </w:pPr>
    </w:p>
    <w:p w:rsidR="00D633BE" w:rsidRPr="00C435C3" w:rsidRDefault="00D633BE" w:rsidP="00D633BE">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Q U E</w:t>
      </w:r>
      <w:r w:rsidRPr="00C435C3">
        <w:rPr>
          <w:rFonts w:ascii="Bookman Old Style" w:hAnsi="Bookman Old Style"/>
          <w:b/>
        </w:rPr>
        <w:t>:</w:t>
      </w:r>
    </w:p>
    <w:p w:rsidR="00D633BE" w:rsidRDefault="00D633BE" w:rsidP="00D633BE">
      <w:pPr>
        <w:ind w:right="51"/>
        <w:jc w:val="center"/>
        <w:rPr>
          <w:rFonts w:ascii="Bookman Old Style" w:hAnsi="Bookman Old Style"/>
          <w:b/>
        </w:rPr>
      </w:pPr>
    </w:p>
    <w:p w:rsidR="00D633BE" w:rsidRPr="00C435C3" w:rsidRDefault="00D633BE" w:rsidP="00D633BE">
      <w:pPr>
        <w:ind w:right="51"/>
        <w:jc w:val="center"/>
        <w:rPr>
          <w:rFonts w:ascii="Bookman Old Style" w:hAnsi="Bookman Old Style"/>
          <w:b/>
        </w:rPr>
      </w:pPr>
    </w:p>
    <w:p w:rsidR="00501C5C" w:rsidRDefault="00D633BE" w:rsidP="00D633BE">
      <w:pPr>
        <w:tabs>
          <w:tab w:val="left" w:pos="0"/>
        </w:tabs>
        <w:ind w:left="0"/>
        <w:jc w:val="both"/>
        <w:rPr>
          <w:rFonts w:ascii="Bookman Old Style" w:hAnsi="Bookman Old Style" w:cs="Arial"/>
        </w:rPr>
      </w:pPr>
      <w:r w:rsidRPr="00BA04BF">
        <w:rPr>
          <w:rFonts w:ascii="Bookman Old Style" w:hAnsi="Bookman Old Style" w:cs="Arial"/>
        </w:rPr>
        <w:t xml:space="preserve">Conforme a lo dispuesto por el </w:t>
      </w:r>
      <w:r w:rsidR="00501C5C">
        <w:rPr>
          <w:rFonts w:ascii="Bookman Old Style" w:hAnsi="Bookman Old Style" w:cs="Arial"/>
        </w:rPr>
        <w:t xml:space="preserve">artículo 8 del Código de Procedimiento Administrativo y de lo Contencioso administrativo y el </w:t>
      </w:r>
      <w:r w:rsidRPr="00BA04BF">
        <w:rPr>
          <w:rFonts w:ascii="Bookman Old Style" w:hAnsi="Bookman Old Style" w:cs="Arial"/>
        </w:rPr>
        <w:t>artículo 9 del Decreto 2696 de 2004, la Comisión debe hacer público en su página web todos los proyectos de resoluci</w:t>
      </w:r>
      <w:r w:rsidR="00501C5C">
        <w:rPr>
          <w:rFonts w:ascii="Bookman Old Style" w:hAnsi="Bookman Old Style" w:cs="Arial"/>
        </w:rPr>
        <w:t>ón</w:t>
      </w:r>
      <w:r w:rsidRPr="00BA04BF">
        <w:rPr>
          <w:rFonts w:ascii="Bookman Old Style" w:hAnsi="Bookman Old Style" w:cs="Arial"/>
        </w:rPr>
        <w:t xml:space="preserve"> de carácter general que pretenda adoptar</w:t>
      </w:r>
      <w:r w:rsidR="00501C5C">
        <w:rPr>
          <w:rFonts w:ascii="Bookman Old Style" w:hAnsi="Bookman Old Style" w:cs="Arial"/>
        </w:rPr>
        <w:t>.</w:t>
      </w:r>
    </w:p>
    <w:p w:rsidR="00501C5C" w:rsidRDefault="00501C5C" w:rsidP="00D633BE">
      <w:pPr>
        <w:tabs>
          <w:tab w:val="left" w:pos="0"/>
        </w:tabs>
        <w:ind w:left="0"/>
        <w:jc w:val="both"/>
        <w:rPr>
          <w:rFonts w:ascii="Bookman Old Style" w:hAnsi="Bookman Old Style" w:cs="Arial"/>
        </w:rPr>
      </w:pPr>
    </w:p>
    <w:p w:rsidR="00501C5C" w:rsidRDefault="00D633BE" w:rsidP="00D633BE">
      <w:pPr>
        <w:tabs>
          <w:tab w:val="left" w:pos="0"/>
        </w:tabs>
        <w:ind w:left="0"/>
        <w:jc w:val="both"/>
        <w:rPr>
          <w:rFonts w:ascii="Bookman Old Style" w:hAnsi="Bookman Old Style"/>
        </w:rPr>
      </w:pPr>
      <w:r>
        <w:rPr>
          <w:rFonts w:ascii="Bookman Old Style" w:hAnsi="Bookman Old Style"/>
        </w:rPr>
        <w:t>L</w:t>
      </w:r>
      <w:r w:rsidRPr="00BA04BF">
        <w:rPr>
          <w:rFonts w:ascii="Bookman Old Style" w:hAnsi="Bookman Old Style"/>
        </w:rPr>
        <w:t xml:space="preserve">a Comisión de Regulación de Energía y Gas, en su sesión No. </w:t>
      </w:r>
      <w:r w:rsidR="00CB7E90" w:rsidRPr="004D5B73">
        <w:rPr>
          <w:rFonts w:ascii="Bookman Old Style" w:hAnsi="Bookman Old Style"/>
        </w:rPr>
        <w:t>570</w:t>
      </w:r>
      <w:r w:rsidRPr="00BA04BF">
        <w:rPr>
          <w:rFonts w:ascii="Bookman Old Style" w:hAnsi="Bookman Old Style"/>
        </w:rPr>
        <w:t xml:space="preserve"> del </w:t>
      </w:r>
      <w:r w:rsidR="004D5B73">
        <w:rPr>
          <w:rFonts w:ascii="Bookman Old Style" w:hAnsi="Bookman Old Style"/>
        </w:rPr>
        <w:t>30</w:t>
      </w:r>
      <w:r w:rsidRPr="00BA04BF">
        <w:rPr>
          <w:rFonts w:ascii="Bookman Old Style" w:hAnsi="Bookman Old Style"/>
        </w:rPr>
        <w:t xml:space="preserve"> de </w:t>
      </w:r>
      <w:r w:rsidR="00435061">
        <w:rPr>
          <w:rFonts w:ascii="Bookman Old Style" w:hAnsi="Bookman Old Style"/>
        </w:rPr>
        <w:t>agosto</w:t>
      </w:r>
      <w:r>
        <w:rPr>
          <w:rFonts w:ascii="Bookman Old Style" w:hAnsi="Bookman Old Style"/>
        </w:rPr>
        <w:t xml:space="preserve"> de 201</w:t>
      </w:r>
      <w:r w:rsidR="00435061">
        <w:rPr>
          <w:rFonts w:ascii="Bookman Old Style" w:hAnsi="Bookman Old Style"/>
        </w:rPr>
        <w:t>3</w:t>
      </w:r>
      <w:r w:rsidRPr="00BA04BF">
        <w:rPr>
          <w:rFonts w:ascii="Bookman Old Style" w:hAnsi="Bookman Old Style"/>
        </w:rPr>
        <w:t>, aprobó hace</w:t>
      </w:r>
      <w:r w:rsidR="00435061">
        <w:rPr>
          <w:rFonts w:ascii="Bookman Old Style" w:hAnsi="Bookman Old Style"/>
        </w:rPr>
        <w:t>r</w:t>
      </w:r>
      <w:r w:rsidRPr="00BA04BF">
        <w:rPr>
          <w:rFonts w:ascii="Bookman Old Style" w:hAnsi="Bookman Old Style"/>
        </w:rPr>
        <w:t xml:space="preserve"> público</w:t>
      </w:r>
      <w:r w:rsidR="00435061">
        <w:rPr>
          <w:rFonts w:ascii="Bookman Old Style" w:hAnsi="Bookman Old Style"/>
        </w:rPr>
        <w:t xml:space="preserve"> el </w:t>
      </w:r>
      <w:r w:rsidR="00435061" w:rsidRPr="00D1154A">
        <w:rPr>
          <w:rFonts w:ascii="Bookman Old Style" w:hAnsi="Bookman Old Style" w:cs="Arial"/>
        </w:rPr>
        <w:t xml:space="preserve">proyecto de resolución </w:t>
      </w:r>
      <w:r w:rsidR="00435061" w:rsidRPr="001715E4">
        <w:rPr>
          <w:rFonts w:ascii="Bookman Old Style" w:hAnsi="Bookman Old Style" w:cs="Arial"/>
          <w:i/>
          <w:szCs w:val="27"/>
        </w:rPr>
        <w:t>Por la cual se modifican la</w:t>
      </w:r>
      <w:r w:rsidR="00A626D4">
        <w:rPr>
          <w:rFonts w:ascii="Bookman Old Style" w:hAnsi="Bookman Old Style" w:cs="Arial"/>
          <w:i/>
          <w:szCs w:val="27"/>
        </w:rPr>
        <w:t>s</w:t>
      </w:r>
      <w:r w:rsidR="00435061" w:rsidRPr="001715E4">
        <w:rPr>
          <w:rFonts w:ascii="Bookman Old Style" w:hAnsi="Bookman Old Style" w:cs="Arial"/>
          <w:i/>
          <w:szCs w:val="27"/>
        </w:rPr>
        <w:t xml:space="preserve"> resoluciones CREG </w:t>
      </w:r>
      <w:r w:rsidR="00435061">
        <w:rPr>
          <w:rFonts w:ascii="Bookman Old Style" w:hAnsi="Bookman Old Style" w:cs="Arial"/>
          <w:i/>
          <w:szCs w:val="27"/>
        </w:rPr>
        <w:t>138</w:t>
      </w:r>
      <w:r w:rsidR="00435061" w:rsidRPr="001715E4">
        <w:rPr>
          <w:rFonts w:ascii="Bookman Old Style" w:hAnsi="Bookman Old Style" w:cs="Arial"/>
          <w:i/>
          <w:szCs w:val="27"/>
        </w:rPr>
        <w:t xml:space="preserve"> de 201</w:t>
      </w:r>
      <w:r w:rsidR="00435061">
        <w:rPr>
          <w:rFonts w:ascii="Bookman Old Style" w:hAnsi="Bookman Old Style" w:cs="Arial"/>
          <w:i/>
          <w:szCs w:val="27"/>
        </w:rPr>
        <w:t>2</w:t>
      </w:r>
      <w:r w:rsidR="00435061" w:rsidRPr="001715E4">
        <w:rPr>
          <w:rFonts w:ascii="Bookman Old Style" w:hAnsi="Bookman Old Style" w:cs="Arial"/>
          <w:i/>
          <w:szCs w:val="27"/>
        </w:rPr>
        <w:t xml:space="preserve"> y 0</w:t>
      </w:r>
      <w:r w:rsidR="00435061">
        <w:rPr>
          <w:rFonts w:ascii="Bookman Old Style" w:hAnsi="Bookman Old Style" w:cs="Arial"/>
          <w:i/>
          <w:szCs w:val="27"/>
        </w:rPr>
        <w:t>85</w:t>
      </w:r>
      <w:r w:rsidR="00435061" w:rsidRPr="001715E4">
        <w:rPr>
          <w:rFonts w:ascii="Bookman Old Style" w:hAnsi="Bookman Old Style" w:cs="Arial"/>
          <w:i/>
          <w:szCs w:val="27"/>
        </w:rPr>
        <w:t xml:space="preserve"> de 200</w:t>
      </w:r>
      <w:r w:rsidR="00435061">
        <w:rPr>
          <w:rFonts w:ascii="Bookman Old Style" w:hAnsi="Bookman Old Style" w:cs="Arial"/>
          <w:i/>
          <w:szCs w:val="27"/>
        </w:rPr>
        <w:t>7</w:t>
      </w:r>
      <w:r w:rsidR="00435061" w:rsidRPr="001715E4">
        <w:rPr>
          <w:rFonts w:ascii="Bookman Old Style" w:hAnsi="Bookman Old Style" w:cs="Arial"/>
          <w:i/>
          <w:szCs w:val="27"/>
        </w:rPr>
        <w:t xml:space="preserve">, en relación con la </w:t>
      </w:r>
      <w:r w:rsidR="00435061">
        <w:rPr>
          <w:rFonts w:ascii="Bookman Old Style" w:hAnsi="Bookman Old Style" w:cs="Arial"/>
          <w:i/>
          <w:szCs w:val="27"/>
        </w:rPr>
        <w:t>definición M</w:t>
      </w:r>
      <w:r w:rsidR="00435061" w:rsidRPr="00435061">
        <w:rPr>
          <w:rFonts w:ascii="Bookman Old Style" w:hAnsi="Bookman Old Style" w:cs="Arial"/>
          <w:i/>
          <w:szCs w:val="27"/>
          <w:vertAlign w:val="subscript"/>
        </w:rPr>
        <w:t>g</w:t>
      </w:r>
      <w:r w:rsidR="00435061">
        <w:rPr>
          <w:rFonts w:ascii="Bookman Old Style" w:hAnsi="Bookman Old Style" w:cs="Arial"/>
          <w:i/>
          <w:szCs w:val="27"/>
        </w:rPr>
        <w:t xml:space="preserve"> del proceso aleatorio que se realiza para las pruebas de disponibilidad de plantas o unidades de generación</w:t>
      </w:r>
      <w:r w:rsidR="00435061" w:rsidRPr="00D1154A">
        <w:rPr>
          <w:rFonts w:ascii="Bookman Old Style" w:hAnsi="Bookman Old Style" w:cs="Arial"/>
        </w:rPr>
        <w:t>.</w:t>
      </w:r>
    </w:p>
    <w:p w:rsidR="00501C5C" w:rsidRDefault="00501C5C" w:rsidP="00D633BE">
      <w:pPr>
        <w:tabs>
          <w:tab w:val="left" w:pos="0"/>
        </w:tabs>
        <w:ind w:left="0"/>
        <w:jc w:val="both"/>
        <w:rPr>
          <w:rFonts w:ascii="Bookman Old Style" w:hAnsi="Bookman Old Style"/>
        </w:rPr>
      </w:pPr>
    </w:p>
    <w:p w:rsidR="00D633BE" w:rsidRPr="00C435C3" w:rsidRDefault="00D633BE" w:rsidP="00D633BE">
      <w:pPr>
        <w:ind w:left="0"/>
        <w:jc w:val="both"/>
        <w:rPr>
          <w:rFonts w:ascii="Bookman Old Style" w:hAnsi="Bookman Old Style"/>
        </w:rPr>
      </w:pPr>
    </w:p>
    <w:p w:rsidR="00D633BE" w:rsidRPr="00C435C3" w:rsidRDefault="00D633BE" w:rsidP="00D633BE">
      <w:pPr>
        <w:suppressAutoHyphens/>
        <w:jc w:val="center"/>
        <w:rPr>
          <w:rFonts w:ascii="Bookman Old Style" w:hAnsi="Bookman Old Style"/>
          <w:spacing w:val="-3"/>
        </w:rPr>
      </w:pPr>
      <w:r w:rsidRPr="00C435C3">
        <w:rPr>
          <w:rFonts w:ascii="Bookman Old Style" w:hAnsi="Bookman Old Style"/>
          <w:b/>
          <w:spacing w:val="-3"/>
        </w:rPr>
        <w:t>R E S U E L V E:</w:t>
      </w:r>
    </w:p>
    <w:p w:rsidR="00D633BE" w:rsidRDefault="00D633BE" w:rsidP="00D633BE">
      <w:pPr>
        <w:jc w:val="center"/>
        <w:rPr>
          <w:rFonts w:ascii="Bookman Old Style" w:hAnsi="Bookman Old Style"/>
        </w:rPr>
      </w:pPr>
    </w:p>
    <w:p w:rsidR="00D633BE" w:rsidRDefault="00D633BE" w:rsidP="00D633BE">
      <w:pPr>
        <w:jc w:val="center"/>
        <w:rPr>
          <w:rFonts w:ascii="Bookman Old Style" w:hAnsi="Bookman Old Style"/>
        </w:rPr>
      </w:pPr>
    </w:p>
    <w:p w:rsidR="002D2510" w:rsidRDefault="00D633BE" w:rsidP="002D2510">
      <w:pPr>
        <w:tabs>
          <w:tab w:val="left" w:pos="0"/>
        </w:tabs>
        <w:ind w:left="0"/>
        <w:jc w:val="both"/>
        <w:rPr>
          <w:rFonts w:ascii="Bookman Old Style" w:hAnsi="Bookman Old Style"/>
        </w:rPr>
      </w:pPr>
      <w:r w:rsidRPr="00BA04BF">
        <w:rPr>
          <w:rFonts w:ascii="Bookman Old Style" w:hAnsi="Bookman Old Style" w:cs="Arial"/>
          <w:b/>
          <w:bCs/>
          <w:szCs w:val="27"/>
        </w:rPr>
        <w:t>ARTÍCULO 1</w:t>
      </w:r>
      <w:r w:rsidRPr="00BA04BF">
        <w:rPr>
          <w:rFonts w:ascii="Bookman Old Style" w:hAnsi="Bookman Old Style" w:cs="Arial"/>
          <w:szCs w:val="27"/>
        </w:rPr>
        <w:t xml:space="preserve">. Hágase público </w:t>
      </w:r>
      <w:r w:rsidR="00435061">
        <w:rPr>
          <w:rFonts w:ascii="Bookman Old Style" w:hAnsi="Bookman Old Style" w:cs="Arial"/>
          <w:szCs w:val="27"/>
        </w:rPr>
        <w:t>el</w:t>
      </w:r>
      <w:r w:rsidR="00501C5C">
        <w:rPr>
          <w:rFonts w:ascii="Bookman Old Style" w:hAnsi="Bookman Old Style" w:cs="Arial"/>
          <w:szCs w:val="27"/>
        </w:rPr>
        <w:t xml:space="preserve"> siguiente </w:t>
      </w:r>
      <w:r w:rsidRPr="00BA04BF">
        <w:rPr>
          <w:rFonts w:ascii="Bookman Old Style" w:hAnsi="Bookman Old Style" w:cs="Arial"/>
          <w:szCs w:val="27"/>
        </w:rPr>
        <w:t xml:space="preserve">proyecto </w:t>
      </w:r>
      <w:r w:rsidRPr="00116463">
        <w:rPr>
          <w:rFonts w:ascii="Bookman Old Style" w:hAnsi="Bookman Old Style" w:cs="Arial"/>
          <w:szCs w:val="27"/>
        </w:rPr>
        <w:t xml:space="preserve">de resolución </w:t>
      </w:r>
      <w:r w:rsidR="002D2510" w:rsidRPr="001715E4">
        <w:rPr>
          <w:rFonts w:ascii="Bookman Old Style" w:hAnsi="Bookman Old Style" w:cs="Arial"/>
          <w:i/>
          <w:szCs w:val="27"/>
        </w:rPr>
        <w:t>Por la cual se modifican la</w:t>
      </w:r>
      <w:r w:rsidR="00EA1E70">
        <w:rPr>
          <w:rFonts w:ascii="Bookman Old Style" w:hAnsi="Bookman Old Style" w:cs="Arial"/>
          <w:i/>
          <w:szCs w:val="27"/>
        </w:rPr>
        <w:t>s</w:t>
      </w:r>
      <w:r w:rsidR="002D2510" w:rsidRPr="001715E4">
        <w:rPr>
          <w:rFonts w:ascii="Bookman Old Style" w:hAnsi="Bookman Old Style" w:cs="Arial"/>
          <w:i/>
          <w:szCs w:val="27"/>
        </w:rPr>
        <w:t xml:space="preserve"> resoluciones CREG </w:t>
      </w:r>
      <w:r w:rsidR="002D2510">
        <w:rPr>
          <w:rFonts w:ascii="Bookman Old Style" w:hAnsi="Bookman Old Style" w:cs="Arial"/>
          <w:i/>
          <w:szCs w:val="27"/>
        </w:rPr>
        <w:t>138</w:t>
      </w:r>
      <w:r w:rsidR="002D2510" w:rsidRPr="001715E4">
        <w:rPr>
          <w:rFonts w:ascii="Bookman Old Style" w:hAnsi="Bookman Old Style" w:cs="Arial"/>
          <w:i/>
          <w:szCs w:val="27"/>
        </w:rPr>
        <w:t xml:space="preserve"> de 201</w:t>
      </w:r>
      <w:r w:rsidR="002D2510">
        <w:rPr>
          <w:rFonts w:ascii="Bookman Old Style" w:hAnsi="Bookman Old Style" w:cs="Arial"/>
          <w:i/>
          <w:szCs w:val="27"/>
        </w:rPr>
        <w:t>2</w:t>
      </w:r>
      <w:r w:rsidR="002D2510" w:rsidRPr="001715E4">
        <w:rPr>
          <w:rFonts w:ascii="Bookman Old Style" w:hAnsi="Bookman Old Style" w:cs="Arial"/>
          <w:i/>
          <w:szCs w:val="27"/>
        </w:rPr>
        <w:t xml:space="preserve"> y 0</w:t>
      </w:r>
      <w:r w:rsidR="002D2510">
        <w:rPr>
          <w:rFonts w:ascii="Bookman Old Style" w:hAnsi="Bookman Old Style" w:cs="Arial"/>
          <w:i/>
          <w:szCs w:val="27"/>
        </w:rPr>
        <w:t>85</w:t>
      </w:r>
      <w:r w:rsidR="002D2510" w:rsidRPr="001715E4">
        <w:rPr>
          <w:rFonts w:ascii="Bookman Old Style" w:hAnsi="Bookman Old Style" w:cs="Arial"/>
          <w:i/>
          <w:szCs w:val="27"/>
        </w:rPr>
        <w:t xml:space="preserve"> de 200</w:t>
      </w:r>
      <w:r w:rsidR="002D2510">
        <w:rPr>
          <w:rFonts w:ascii="Bookman Old Style" w:hAnsi="Bookman Old Style" w:cs="Arial"/>
          <w:i/>
          <w:szCs w:val="27"/>
        </w:rPr>
        <w:t>7</w:t>
      </w:r>
      <w:r w:rsidR="002D2510" w:rsidRPr="001715E4">
        <w:rPr>
          <w:rFonts w:ascii="Bookman Old Style" w:hAnsi="Bookman Old Style" w:cs="Arial"/>
          <w:i/>
          <w:szCs w:val="27"/>
        </w:rPr>
        <w:t xml:space="preserve">, en relación con la </w:t>
      </w:r>
      <w:r w:rsidR="002D2510">
        <w:rPr>
          <w:rFonts w:ascii="Bookman Old Style" w:hAnsi="Bookman Old Style" w:cs="Arial"/>
          <w:i/>
          <w:szCs w:val="27"/>
        </w:rPr>
        <w:lastRenderedPageBreak/>
        <w:t>definición M</w:t>
      </w:r>
      <w:r w:rsidR="002D2510" w:rsidRPr="00435061">
        <w:rPr>
          <w:rFonts w:ascii="Bookman Old Style" w:hAnsi="Bookman Old Style" w:cs="Arial"/>
          <w:i/>
          <w:szCs w:val="27"/>
          <w:vertAlign w:val="subscript"/>
        </w:rPr>
        <w:t>g</w:t>
      </w:r>
      <w:r w:rsidR="002D2510">
        <w:rPr>
          <w:rFonts w:ascii="Bookman Old Style" w:hAnsi="Bookman Old Style" w:cs="Arial"/>
          <w:i/>
          <w:szCs w:val="27"/>
        </w:rPr>
        <w:t xml:space="preserve"> del proceso aleatorio que se realiza para las pruebas de disponibilidad de plantas o unidades de generación</w:t>
      </w:r>
      <w:r w:rsidR="002D2510" w:rsidRPr="00D1154A">
        <w:rPr>
          <w:rFonts w:ascii="Bookman Old Style" w:hAnsi="Bookman Old Style" w:cs="Arial"/>
        </w:rPr>
        <w:t>.</w:t>
      </w:r>
    </w:p>
    <w:p w:rsidR="00D633BE" w:rsidRPr="00BA04BF" w:rsidRDefault="00D633BE" w:rsidP="002D2510">
      <w:pPr>
        <w:tabs>
          <w:tab w:val="left" w:pos="0"/>
        </w:tabs>
        <w:ind w:left="0" w:right="281"/>
        <w:jc w:val="both"/>
        <w:rPr>
          <w:rFonts w:ascii="Bookman Old Style" w:hAnsi="Bookman Old Style" w:cs="Arial"/>
          <w:szCs w:val="27"/>
        </w:rPr>
      </w:pPr>
    </w:p>
    <w:p w:rsidR="00D633BE" w:rsidRPr="00BA04BF" w:rsidRDefault="00D633BE" w:rsidP="00D633BE">
      <w:pPr>
        <w:tabs>
          <w:tab w:val="left" w:pos="0"/>
        </w:tabs>
        <w:ind w:left="0" w:right="45"/>
        <w:jc w:val="both"/>
        <w:rPr>
          <w:rFonts w:ascii="Bookman Old Style" w:hAnsi="Bookman Old Style" w:cs="Arial"/>
          <w:szCs w:val="27"/>
        </w:rPr>
      </w:pPr>
      <w:r w:rsidRPr="00BA04BF">
        <w:rPr>
          <w:rFonts w:ascii="Bookman Old Style" w:hAnsi="Bookman Old Style" w:cs="Arial"/>
          <w:b/>
          <w:bCs/>
          <w:szCs w:val="27"/>
        </w:rPr>
        <w:t>ARTÍCULO 2.</w:t>
      </w:r>
      <w:r w:rsidRPr="00BA04BF">
        <w:rPr>
          <w:rFonts w:ascii="Bookman Old Style" w:hAnsi="Bookman Old Style" w:cs="Arial"/>
          <w:szCs w:val="27"/>
        </w:rPr>
        <w:t xml:space="preserve"> </w:t>
      </w:r>
      <w:r w:rsidRPr="00BA04BF">
        <w:rPr>
          <w:rFonts w:ascii="Bookman Old Style" w:hAnsi="Bookman Old Style" w:cs="Arial"/>
          <w:lang w:val="es-CO" w:eastAsia="es-CO"/>
        </w:rPr>
        <w:t>Se invita a los agentes, a los usuarios, a las Autoridades Locales Municipales y Departamentales competentes, a la Superintendencia de Servicios Públicos Domiciliarios</w:t>
      </w:r>
      <w:r>
        <w:rPr>
          <w:rFonts w:ascii="Bookman Old Style" w:hAnsi="Bookman Old Style" w:cs="Arial"/>
          <w:lang w:val="es-CO" w:eastAsia="es-CO"/>
        </w:rPr>
        <w:t xml:space="preserve"> y a</w:t>
      </w:r>
      <w:r w:rsidRPr="00BA04BF">
        <w:rPr>
          <w:rFonts w:ascii="Bookman Old Style" w:hAnsi="Bookman Old Style" w:cs="Arial"/>
          <w:lang w:val="es-CO" w:eastAsia="es-CO"/>
        </w:rPr>
        <w:t xml:space="preserve"> la Superintendencia de Industria y Comercio, para que remitan sus observaciones o sugerencias sobre la propuesta, dentro de los </w:t>
      </w:r>
      <w:r w:rsidR="00A626D4">
        <w:rPr>
          <w:rFonts w:ascii="Bookman Old Style" w:hAnsi="Bookman Old Style" w:cs="Arial"/>
          <w:lang w:val="es-CO" w:eastAsia="es-CO"/>
        </w:rPr>
        <w:t>cinco</w:t>
      </w:r>
      <w:r>
        <w:rPr>
          <w:rFonts w:ascii="Bookman Old Style" w:hAnsi="Bookman Old Style" w:cs="Arial"/>
          <w:lang w:val="es-CO" w:eastAsia="es-CO"/>
        </w:rPr>
        <w:t xml:space="preserve"> </w:t>
      </w:r>
      <w:r w:rsidRPr="00BA04BF">
        <w:rPr>
          <w:rFonts w:ascii="Bookman Old Style" w:hAnsi="Bookman Old Style" w:cs="Arial"/>
          <w:lang w:val="es-CO" w:eastAsia="es-CO"/>
        </w:rPr>
        <w:t>(</w:t>
      </w:r>
      <w:r>
        <w:rPr>
          <w:rFonts w:ascii="Bookman Old Style" w:hAnsi="Bookman Old Style" w:cs="Arial"/>
          <w:lang w:val="es-CO" w:eastAsia="es-CO"/>
        </w:rPr>
        <w:t>5</w:t>
      </w:r>
      <w:r w:rsidRPr="00BA04BF">
        <w:rPr>
          <w:rFonts w:ascii="Bookman Old Style" w:hAnsi="Bookman Old Style" w:cs="Arial"/>
          <w:lang w:val="es-CO" w:eastAsia="es-CO"/>
        </w:rPr>
        <w:t xml:space="preserve">) días hábiles siguientes a la publicación de la presente Resolución en la página Web de la Comisión de Regulación de Energía y Gas. </w:t>
      </w:r>
    </w:p>
    <w:p w:rsidR="00D633BE" w:rsidRPr="00BA04BF" w:rsidRDefault="00D633BE" w:rsidP="00D633BE">
      <w:pPr>
        <w:tabs>
          <w:tab w:val="left" w:pos="0"/>
        </w:tabs>
        <w:ind w:left="0" w:right="45"/>
        <w:jc w:val="both"/>
        <w:rPr>
          <w:rFonts w:ascii="Bookman Old Style" w:hAnsi="Bookman Old Style" w:cs="Arial"/>
          <w:szCs w:val="27"/>
        </w:rPr>
      </w:pPr>
    </w:p>
    <w:p w:rsidR="00D633BE" w:rsidRPr="00BA04BF" w:rsidRDefault="00D633BE" w:rsidP="00D633BE">
      <w:pPr>
        <w:tabs>
          <w:tab w:val="left" w:pos="0"/>
        </w:tabs>
        <w:ind w:left="0" w:right="47"/>
        <w:jc w:val="both"/>
        <w:rPr>
          <w:rFonts w:ascii="Bookman Old Style" w:hAnsi="Bookman Old Style" w:cs="Arial"/>
          <w:szCs w:val="27"/>
        </w:rPr>
      </w:pPr>
      <w:r w:rsidRPr="00BA04BF">
        <w:rPr>
          <w:rFonts w:ascii="Bookman Old Style" w:hAnsi="Bookman Old Style" w:cs="Arial"/>
          <w:b/>
          <w:bCs/>
          <w:szCs w:val="27"/>
        </w:rPr>
        <w:t>ARTÍCULO 3</w:t>
      </w:r>
      <w:r w:rsidRPr="00BA04BF">
        <w:rPr>
          <w:rFonts w:ascii="Bookman Old Style" w:hAnsi="Bookman Old Style" w:cs="Arial"/>
          <w:szCs w:val="27"/>
        </w:rPr>
        <w:t>. Infórmese en la página web la identificación de la dependencia administrativa y de las personas a quienes se podrá solicitar información sobre el proyecto y hacer llegar las observaciones, reparos o sugerencias, y los demás aspectos previstos en el artículo 10 del Decreto 2696 de 2004.</w:t>
      </w:r>
    </w:p>
    <w:p w:rsidR="00D633BE" w:rsidRPr="00BA04BF" w:rsidRDefault="00D633BE" w:rsidP="00D633BE">
      <w:pPr>
        <w:tabs>
          <w:tab w:val="left" w:pos="0"/>
        </w:tabs>
        <w:ind w:left="0" w:right="47"/>
        <w:jc w:val="both"/>
        <w:rPr>
          <w:rFonts w:ascii="Bookman Old Style" w:hAnsi="Bookman Old Style" w:cs="Arial"/>
          <w:szCs w:val="27"/>
        </w:rPr>
      </w:pPr>
    </w:p>
    <w:p w:rsidR="00D633BE" w:rsidRPr="00BA04BF" w:rsidRDefault="00D633BE" w:rsidP="00D633BE">
      <w:pPr>
        <w:tabs>
          <w:tab w:val="left" w:pos="0"/>
        </w:tabs>
        <w:ind w:left="0" w:right="47"/>
        <w:jc w:val="both"/>
        <w:rPr>
          <w:rFonts w:ascii="Bookman Old Style" w:hAnsi="Bookman Old Style" w:cs="Arial"/>
        </w:rPr>
      </w:pPr>
      <w:r w:rsidRPr="00BA04BF">
        <w:rPr>
          <w:rFonts w:ascii="Bookman Old Style" w:hAnsi="Bookman Old Style" w:cs="Arial"/>
          <w:b/>
          <w:bCs/>
          <w:szCs w:val="27"/>
        </w:rPr>
        <w:t>ARTÍCULO 4</w:t>
      </w:r>
      <w:r w:rsidRPr="00BA04BF">
        <w:rPr>
          <w:rFonts w:ascii="Bookman Old Style" w:hAnsi="Bookman Old Style" w:cs="Arial"/>
          <w:szCs w:val="27"/>
        </w:rPr>
        <w:t>. La presente Resolución no deroga disposiciones vigentes por tratarse de un acto de trámite.</w:t>
      </w:r>
    </w:p>
    <w:p w:rsidR="00D633BE" w:rsidRPr="00C435C3" w:rsidRDefault="00D633BE" w:rsidP="00D633BE">
      <w:pPr>
        <w:rPr>
          <w:rFonts w:ascii="Bookman Old Style" w:hAnsi="Bookman Old Style"/>
        </w:rPr>
      </w:pPr>
    </w:p>
    <w:p w:rsidR="00D633BE" w:rsidRDefault="00D633BE" w:rsidP="00D633BE">
      <w:pPr>
        <w:widowControl w:val="0"/>
        <w:adjustRightInd w:val="0"/>
        <w:ind w:left="0"/>
        <w:textAlignment w:val="baseline"/>
        <w:rPr>
          <w:rFonts w:ascii="Bookman Old Style" w:hAnsi="Bookman Old Style"/>
        </w:rPr>
      </w:pPr>
    </w:p>
    <w:p w:rsidR="00D633BE" w:rsidRPr="00C435C3" w:rsidRDefault="00D633BE" w:rsidP="00D633BE">
      <w:pPr>
        <w:rPr>
          <w:rFonts w:ascii="Bookman Old Style" w:hAnsi="Bookman Old Style"/>
        </w:rPr>
      </w:pPr>
    </w:p>
    <w:p w:rsidR="00D633BE" w:rsidRPr="00C435C3" w:rsidRDefault="00D633BE" w:rsidP="00D633BE">
      <w:pPr>
        <w:jc w:val="center"/>
        <w:rPr>
          <w:rFonts w:ascii="Bookman Old Style" w:hAnsi="Bookman Old Style"/>
          <w:b/>
        </w:rPr>
      </w:pPr>
      <w:r w:rsidRPr="00C435C3">
        <w:rPr>
          <w:rFonts w:ascii="Bookman Old Style" w:hAnsi="Bookman Old Style"/>
          <w:b/>
        </w:rPr>
        <w:t>PU</w:t>
      </w:r>
      <w:r w:rsidR="009B2BBF">
        <w:rPr>
          <w:rFonts w:ascii="Bookman Old Style" w:hAnsi="Bookman Old Style"/>
          <w:b/>
        </w:rPr>
        <w:t>B</w:t>
      </w:r>
      <w:r w:rsidRPr="00C435C3">
        <w:rPr>
          <w:rFonts w:ascii="Bookman Old Style" w:hAnsi="Bookman Old Style"/>
          <w:b/>
        </w:rPr>
        <w:t>LÍQUESE Y CÚMPLASE</w:t>
      </w:r>
    </w:p>
    <w:p w:rsidR="00D633BE" w:rsidRPr="00C435C3" w:rsidRDefault="00D633BE" w:rsidP="00D633BE">
      <w:pPr>
        <w:rPr>
          <w:rFonts w:ascii="Bookman Old Style" w:hAnsi="Bookman Old Style"/>
        </w:rPr>
      </w:pPr>
    </w:p>
    <w:p w:rsidR="00D633BE" w:rsidRPr="00C435C3" w:rsidRDefault="00D633BE" w:rsidP="00D633BE">
      <w:pPr>
        <w:rPr>
          <w:rFonts w:ascii="Bookman Old Style" w:hAnsi="Bookman Old Style"/>
        </w:rPr>
      </w:pPr>
    </w:p>
    <w:p w:rsidR="00D633BE" w:rsidRPr="00C435C3" w:rsidRDefault="00D633BE" w:rsidP="00D633BE">
      <w:pPr>
        <w:ind w:left="0"/>
        <w:rPr>
          <w:rFonts w:ascii="Bookman Old Style" w:hAnsi="Bookman Old Style"/>
        </w:rPr>
      </w:pPr>
      <w:r w:rsidRPr="00C435C3">
        <w:rPr>
          <w:rFonts w:ascii="Bookman Old Style" w:hAnsi="Bookman Old Style"/>
        </w:rPr>
        <w:t>Dada en Bogotá. D. C., a los</w:t>
      </w:r>
      <w:r w:rsidR="004D5B73">
        <w:rPr>
          <w:rFonts w:ascii="Bookman Old Style" w:hAnsi="Bookman Old Style"/>
        </w:rPr>
        <w:t xml:space="preserve">  </w:t>
      </w:r>
    </w:p>
    <w:p w:rsidR="00D633BE" w:rsidRDefault="00D633BE" w:rsidP="00D633BE">
      <w:pPr>
        <w:ind w:left="0"/>
        <w:rPr>
          <w:rFonts w:ascii="Bookman Old Style" w:hAnsi="Bookman Old Style"/>
        </w:rPr>
      </w:pPr>
    </w:p>
    <w:p w:rsidR="00D633BE" w:rsidRDefault="00D633BE" w:rsidP="00D633BE">
      <w:pPr>
        <w:ind w:left="0"/>
        <w:rPr>
          <w:rFonts w:ascii="Bookman Old Style" w:hAnsi="Bookman Old Style"/>
        </w:rPr>
      </w:pPr>
    </w:p>
    <w:p w:rsidR="00D633BE" w:rsidRDefault="00D633BE" w:rsidP="00D633BE">
      <w:pPr>
        <w:ind w:left="0"/>
        <w:rPr>
          <w:rFonts w:ascii="Bookman Old Style" w:hAnsi="Bookman Old Style"/>
        </w:rPr>
      </w:pPr>
    </w:p>
    <w:p w:rsidR="00BA7700" w:rsidRPr="00C435C3" w:rsidRDefault="00BA7700" w:rsidP="00D633BE">
      <w:pPr>
        <w:ind w:left="0"/>
        <w:rPr>
          <w:rFonts w:ascii="Bookman Old Style" w:hAnsi="Bookman Old Style"/>
        </w:rPr>
      </w:pPr>
    </w:p>
    <w:p w:rsidR="00D633BE" w:rsidRDefault="00D633BE" w:rsidP="00D633BE">
      <w:pPr>
        <w:ind w:left="0"/>
        <w:rPr>
          <w:rFonts w:ascii="Bookman Old Style" w:hAnsi="Bookman Old Style"/>
        </w:rPr>
      </w:pPr>
    </w:p>
    <w:p w:rsidR="00D633BE" w:rsidRDefault="00D633BE" w:rsidP="00D633BE">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5155"/>
        <w:gridCol w:w="4606"/>
      </w:tblGrid>
      <w:tr w:rsidR="00D633BE" w:rsidRPr="00720520" w:rsidTr="009B2BBF">
        <w:trPr>
          <w:jc w:val="right"/>
        </w:trPr>
        <w:tc>
          <w:tcPr>
            <w:tcW w:w="5155" w:type="dxa"/>
          </w:tcPr>
          <w:p w:rsidR="00572D05" w:rsidRDefault="00572D05" w:rsidP="00495BF4">
            <w:pPr>
              <w:ind w:left="204"/>
              <w:jc w:val="center"/>
              <w:rPr>
                <w:rFonts w:ascii="Bookman Old Style" w:hAnsi="Bookman Old Style" w:cs="Arial"/>
                <w:b/>
                <w:spacing w:val="-3"/>
              </w:rPr>
            </w:pPr>
            <w:r>
              <w:rPr>
                <w:rFonts w:ascii="Bookman Old Style" w:hAnsi="Bookman Old Style" w:cs="Arial"/>
                <w:b/>
                <w:spacing w:val="-3"/>
              </w:rPr>
              <w:t>ORLANDO CABRALES SEGOVIA</w:t>
            </w:r>
          </w:p>
          <w:p w:rsidR="00572D05" w:rsidRPr="004D5B73" w:rsidRDefault="00572D05" w:rsidP="00495BF4">
            <w:pPr>
              <w:ind w:left="204"/>
              <w:jc w:val="center"/>
              <w:rPr>
                <w:rFonts w:ascii="Bookman Old Style" w:hAnsi="Bookman Old Style" w:cs="Arial"/>
                <w:spacing w:val="-3"/>
              </w:rPr>
            </w:pPr>
            <w:r w:rsidRPr="004D5B73">
              <w:rPr>
                <w:rFonts w:ascii="Bookman Old Style" w:hAnsi="Bookman Old Style" w:cs="Arial"/>
                <w:spacing w:val="-3"/>
              </w:rPr>
              <w:t>Viceministro de Energía</w:t>
            </w:r>
          </w:p>
          <w:p w:rsidR="00572D05" w:rsidRPr="004D5B73" w:rsidRDefault="00572D05" w:rsidP="00495BF4">
            <w:pPr>
              <w:ind w:left="204"/>
              <w:jc w:val="center"/>
              <w:rPr>
                <w:rFonts w:ascii="Bookman Old Style" w:hAnsi="Bookman Old Style" w:cs="Arial"/>
                <w:spacing w:val="-3"/>
              </w:rPr>
            </w:pPr>
            <w:r w:rsidRPr="004D5B73">
              <w:rPr>
                <w:rFonts w:ascii="Bookman Old Style" w:hAnsi="Bookman Old Style" w:cs="Arial"/>
                <w:spacing w:val="-3"/>
              </w:rPr>
              <w:t>Delegad</w:t>
            </w:r>
            <w:r w:rsidR="004D5B73">
              <w:rPr>
                <w:rFonts w:ascii="Bookman Old Style" w:hAnsi="Bookman Old Style" w:cs="Arial"/>
                <w:spacing w:val="-3"/>
              </w:rPr>
              <w:t>o del Ministro de Minas y Energí</w:t>
            </w:r>
            <w:r w:rsidRPr="004D5B73">
              <w:rPr>
                <w:rFonts w:ascii="Bookman Old Style" w:hAnsi="Bookman Old Style" w:cs="Arial"/>
                <w:spacing w:val="-3"/>
              </w:rPr>
              <w:t>a</w:t>
            </w:r>
          </w:p>
          <w:p w:rsidR="00572D05" w:rsidRPr="004D5B73" w:rsidRDefault="00572D05" w:rsidP="00495BF4">
            <w:pPr>
              <w:ind w:left="204"/>
              <w:jc w:val="center"/>
              <w:rPr>
                <w:rFonts w:ascii="Bookman Old Style" w:hAnsi="Bookman Old Style" w:cs="Arial"/>
                <w:spacing w:val="-3"/>
              </w:rPr>
            </w:pPr>
            <w:r w:rsidRPr="004D5B73">
              <w:rPr>
                <w:rFonts w:ascii="Bookman Old Style" w:hAnsi="Bookman Old Style" w:cs="Arial"/>
                <w:spacing w:val="-3"/>
              </w:rPr>
              <w:t>Presidente</w:t>
            </w:r>
          </w:p>
          <w:p w:rsidR="00D633BE" w:rsidRPr="00720520" w:rsidRDefault="00D633BE" w:rsidP="00495BF4">
            <w:pPr>
              <w:ind w:left="204"/>
              <w:jc w:val="center"/>
              <w:rPr>
                <w:rFonts w:ascii="Bookman Old Style" w:hAnsi="Bookman Old Style" w:cs="Arial"/>
                <w:b/>
                <w:spacing w:val="-3"/>
                <w:lang w:val="es-ES_tradnl"/>
              </w:rPr>
            </w:pPr>
          </w:p>
        </w:tc>
        <w:tc>
          <w:tcPr>
            <w:tcW w:w="4606" w:type="dxa"/>
          </w:tcPr>
          <w:p w:rsidR="00D633BE" w:rsidRDefault="00D633BE" w:rsidP="009B2BBF">
            <w:pPr>
              <w:ind w:left="161" w:right="567"/>
              <w:jc w:val="right"/>
              <w:rPr>
                <w:rFonts w:ascii="Bookman Old Style" w:hAnsi="Bookman Old Style" w:cs="Arial"/>
                <w:b/>
                <w:spacing w:val="-3"/>
                <w:lang w:val="es-ES_tradnl"/>
              </w:rPr>
            </w:pPr>
            <w:r>
              <w:rPr>
                <w:rFonts w:ascii="Bookman Old Style" w:hAnsi="Bookman Old Style" w:cs="Arial"/>
                <w:b/>
                <w:spacing w:val="-3"/>
                <w:lang w:val="es-ES_tradnl"/>
              </w:rPr>
              <w:t>GERMÁN CASTRO FERREIRA</w:t>
            </w:r>
          </w:p>
          <w:p w:rsidR="004D5B73" w:rsidRPr="004D5B73" w:rsidRDefault="004D5B73" w:rsidP="004D5B73">
            <w:pPr>
              <w:ind w:left="161" w:right="567"/>
              <w:jc w:val="center"/>
              <w:rPr>
                <w:rFonts w:ascii="Bookman Old Style" w:hAnsi="Bookman Old Style" w:cs="Arial"/>
                <w:spacing w:val="-3"/>
                <w:lang w:val="es-ES_tradnl"/>
              </w:rPr>
            </w:pPr>
            <w:r w:rsidRPr="004D5B73">
              <w:rPr>
                <w:rFonts w:ascii="Bookman Old Style" w:hAnsi="Bookman Old Style" w:cs="Arial"/>
                <w:spacing w:val="-3"/>
                <w:lang w:val="es-ES_tradnl"/>
              </w:rPr>
              <w:t>Director Ejecutivo</w:t>
            </w:r>
          </w:p>
        </w:tc>
      </w:tr>
      <w:tr w:rsidR="00D633BE" w:rsidRPr="00720520" w:rsidTr="009B2BBF">
        <w:trPr>
          <w:jc w:val="right"/>
        </w:trPr>
        <w:tc>
          <w:tcPr>
            <w:tcW w:w="5155" w:type="dxa"/>
          </w:tcPr>
          <w:p w:rsidR="00D633BE" w:rsidRPr="00A42578" w:rsidRDefault="00D633BE" w:rsidP="009B2BBF">
            <w:pPr>
              <w:ind w:left="0"/>
              <w:jc w:val="center"/>
              <w:rPr>
                <w:rFonts w:ascii="Bookman Old Style" w:hAnsi="Bookman Old Style" w:cs="Arial"/>
                <w:spacing w:val="-3"/>
                <w:lang w:val="es-ES_tradnl"/>
              </w:rPr>
            </w:pPr>
          </w:p>
        </w:tc>
        <w:tc>
          <w:tcPr>
            <w:tcW w:w="4606" w:type="dxa"/>
          </w:tcPr>
          <w:p w:rsidR="00D633BE" w:rsidRPr="00720520" w:rsidRDefault="00D633BE" w:rsidP="009B2BBF">
            <w:pPr>
              <w:rPr>
                <w:rFonts w:ascii="Bookman Old Style" w:hAnsi="Bookman Old Style" w:cs="Arial"/>
                <w:spacing w:val="-3"/>
                <w:lang w:val="es-ES_tradnl"/>
              </w:rPr>
            </w:pPr>
          </w:p>
        </w:tc>
      </w:tr>
      <w:tr w:rsidR="00D633BE" w:rsidRPr="00720520" w:rsidTr="009B2BBF">
        <w:trPr>
          <w:jc w:val="right"/>
        </w:trPr>
        <w:tc>
          <w:tcPr>
            <w:tcW w:w="5155" w:type="dxa"/>
          </w:tcPr>
          <w:p w:rsidR="00D633BE" w:rsidRPr="00A42578" w:rsidRDefault="00D633BE" w:rsidP="004D5B73">
            <w:pPr>
              <w:rPr>
                <w:rFonts w:ascii="Bookman Old Style" w:hAnsi="Bookman Old Style" w:cs="Arial"/>
                <w:spacing w:val="-3"/>
              </w:rPr>
            </w:pPr>
            <w:r w:rsidRPr="00A42578">
              <w:rPr>
                <w:rFonts w:ascii="Bookman Old Style" w:hAnsi="Bookman Old Style" w:cs="Arial"/>
                <w:spacing w:val="-3"/>
              </w:rPr>
              <w:t xml:space="preserve">                  </w:t>
            </w:r>
          </w:p>
        </w:tc>
        <w:tc>
          <w:tcPr>
            <w:tcW w:w="4606" w:type="dxa"/>
          </w:tcPr>
          <w:p w:rsidR="00D633BE" w:rsidRPr="00720520" w:rsidRDefault="00D633BE" w:rsidP="009B2BBF">
            <w:pPr>
              <w:rPr>
                <w:rFonts w:ascii="Bookman Old Style" w:hAnsi="Bookman Old Style" w:cs="Arial"/>
                <w:spacing w:val="-3"/>
              </w:rPr>
            </w:pPr>
          </w:p>
        </w:tc>
      </w:tr>
    </w:tbl>
    <w:p w:rsidR="00D633BE" w:rsidRDefault="00D633BE" w:rsidP="00D633BE">
      <w:pPr>
        <w:ind w:left="0"/>
        <w:rPr>
          <w:rFonts w:ascii="Bookman Old Style" w:hAnsi="Bookman Old Style"/>
          <w:bCs/>
          <w:lang w:val="es-CO"/>
        </w:rPr>
      </w:pPr>
    </w:p>
    <w:p w:rsidR="00D633BE" w:rsidRDefault="00D633BE" w:rsidP="00D633BE">
      <w:pPr>
        <w:ind w:left="0"/>
        <w:rPr>
          <w:rFonts w:ascii="Bookman Old Style" w:hAnsi="Bookman Old Style"/>
          <w:bCs/>
          <w:lang w:val="es-CO"/>
        </w:rPr>
      </w:pPr>
    </w:p>
    <w:p w:rsidR="00D633BE" w:rsidRPr="00A814ED" w:rsidRDefault="00D633BE" w:rsidP="00D633BE">
      <w:pPr>
        <w:pStyle w:val="Textodebloque"/>
        <w:tabs>
          <w:tab w:val="left" w:pos="0"/>
          <w:tab w:val="left" w:pos="9214"/>
        </w:tabs>
        <w:ind w:left="0" w:right="-73"/>
        <w:jc w:val="center"/>
        <w:rPr>
          <w:rFonts w:ascii="Bookman Old Style" w:hAnsi="Bookman Old Style"/>
          <w:bCs/>
          <w:sz w:val="10"/>
          <w:lang w:val="es-CO"/>
        </w:rPr>
      </w:pPr>
      <w:r>
        <w:rPr>
          <w:rFonts w:ascii="Bookman Old Style" w:hAnsi="Bookman Old Style"/>
          <w:bCs/>
          <w:lang w:val="es-CO"/>
        </w:rPr>
        <w:br w:type="page"/>
      </w:r>
    </w:p>
    <w:p w:rsidR="00501C5C" w:rsidRPr="00BA04BF" w:rsidRDefault="00501C5C" w:rsidP="00501C5C">
      <w:pPr>
        <w:pStyle w:val="Textodebloque"/>
        <w:tabs>
          <w:tab w:val="left" w:pos="0"/>
          <w:tab w:val="left" w:pos="9214"/>
        </w:tabs>
        <w:spacing w:after="0"/>
        <w:ind w:left="0" w:right="-73"/>
        <w:jc w:val="center"/>
        <w:rPr>
          <w:rFonts w:ascii="Bookman Old Style" w:hAnsi="Bookman Old Style" w:cs="Arial"/>
          <w:b/>
          <w:bCs/>
        </w:rPr>
      </w:pPr>
      <w:r w:rsidRPr="00BA04BF">
        <w:rPr>
          <w:rFonts w:ascii="Bookman Old Style" w:hAnsi="Bookman Old Style" w:cs="Arial"/>
          <w:b/>
          <w:bCs/>
        </w:rPr>
        <w:lastRenderedPageBreak/>
        <w:t>PROYECTO DE RESOLUCIÓN</w:t>
      </w:r>
      <w:r>
        <w:rPr>
          <w:rFonts w:ascii="Bookman Old Style" w:hAnsi="Bookman Old Style" w:cs="Arial"/>
          <w:b/>
          <w:bCs/>
        </w:rPr>
        <w:t xml:space="preserve"> </w:t>
      </w:r>
    </w:p>
    <w:p w:rsidR="00501C5C" w:rsidRDefault="00501C5C" w:rsidP="00501C5C">
      <w:pPr>
        <w:tabs>
          <w:tab w:val="left" w:pos="0"/>
        </w:tabs>
        <w:ind w:left="360" w:right="281"/>
        <w:jc w:val="center"/>
        <w:rPr>
          <w:rFonts w:ascii="Bookman Old Style" w:hAnsi="Bookman Old Style" w:cs="Arial"/>
          <w:bCs/>
        </w:rPr>
      </w:pPr>
    </w:p>
    <w:p w:rsidR="004D5B73" w:rsidRDefault="004D5B73" w:rsidP="00501C5C">
      <w:pPr>
        <w:tabs>
          <w:tab w:val="left" w:pos="0"/>
        </w:tabs>
        <w:ind w:left="360" w:right="281"/>
        <w:jc w:val="center"/>
        <w:rPr>
          <w:rFonts w:ascii="Bookman Old Style" w:hAnsi="Bookman Old Style" w:cs="Arial"/>
          <w:bCs/>
        </w:rPr>
      </w:pPr>
    </w:p>
    <w:p w:rsidR="00A223F5" w:rsidRPr="00A223F5" w:rsidRDefault="00A223F5" w:rsidP="00A223F5">
      <w:pPr>
        <w:tabs>
          <w:tab w:val="left" w:pos="0"/>
        </w:tabs>
        <w:ind w:left="0"/>
        <w:jc w:val="center"/>
        <w:rPr>
          <w:rFonts w:ascii="Bookman Old Style" w:hAnsi="Bookman Old Style"/>
        </w:rPr>
      </w:pPr>
      <w:r w:rsidRPr="00A223F5">
        <w:rPr>
          <w:rFonts w:ascii="Bookman Old Style" w:hAnsi="Bookman Old Style" w:cs="Arial"/>
          <w:szCs w:val="27"/>
        </w:rPr>
        <w:t>Por la cual se modifican las resoluciones CREG 138 de 2012 y 085 de 2007, en relación con la definición M</w:t>
      </w:r>
      <w:r w:rsidRPr="00A223F5">
        <w:rPr>
          <w:rFonts w:ascii="Bookman Old Style" w:hAnsi="Bookman Old Style" w:cs="Arial"/>
          <w:szCs w:val="27"/>
          <w:vertAlign w:val="subscript"/>
        </w:rPr>
        <w:t>g</w:t>
      </w:r>
      <w:r w:rsidRPr="00A223F5">
        <w:rPr>
          <w:rFonts w:ascii="Bookman Old Style" w:hAnsi="Bookman Old Style" w:cs="Arial"/>
          <w:szCs w:val="27"/>
        </w:rPr>
        <w:t xml:space="preserve"> del proceso aleatorio que se realiza para las pruebas de disponibilidad de plantas o unidades de generación</w:t>
      </w:r>
      <w:r w:rsidRPr="00A223F5">
        <w:rPr>
          <w:rFonts w:ascii="Bookman Old Style" w:hAnsi="Bookman Old Style" w:cs="Arial"/>
        </w:rPr>
        <w:t>.</w:t>
      </w:r>
    </w:p>
    <w:p w:rsidR="00501C5C" w:rsidRDefault="00501C5C" w:rsidP="00501C5C">
      <w:pPr>
        <w:tabs>
          <w:tab w:val="left" w:pos="0"/>
        </w:tabs>
        <w:ind w:left="360" w:right="281"/>
        <w:jc w:val="center"/>
        <w:rPr>
          <w:rFonts w:ascii="Bookman Old Style" w:eastAsia="Arial Unicode MS" w:hAnsi="Bookman Old Style" w:cs="Arial"/>
          <w:bCs/>
        </w:rPr>
      </w:pPr>
    </w:p>
    <w:p w:rsidR="00501C5C" w:rsidRDefault="00501C5C" w:rsidP="00501C5C">
      <w:pPr>
        <w:tabs>
          <w:tab w:val="left" w:pos="0"/>
        </w:tabs>
        <w:ind w:left="360" w:right="281"/>
        <w:jc w:val="center"/>
        <w:rPr>
          <w:rFonts w:ascii="Bookman Old Style" w:eastAsia="Arial Unicode MS" w:hAnsi="Bookman Old Style" w:cs="Arial"/>
          <w:bCs/>
        </w:rPr>
      </w:pPr>
    </w:p>
    <w:p w:rsidR="00501C5C" w:rsidRPr="00BA04BF" w:rsidRDefault="00501C5C" w:rsidP="00501C5C">
      <w:pPr>
        <w:tabs>
          <w:tab w:val="left" w:pos="0"/>
        </w:tabs>
        <w:ind w:left="0" w:right="-73"/>
        <w:jc w:val="center"/>
        <w:rPr>
          <w:rFonts w:ascii="Bookman Old Style" w:eastAsia="Arial Unicode MS" w:hAnsi="Bookman Old Style" w:cs="Arial"/>
          <w:b/>
          <w:bCs/>
        </w:rPr>
      </w:pPr>
      <w:r w:rsidRPr="00BA04BF">
        <w:rPr>
          <w:rFonts w:ascii="Bookman Old Style" w:eastAsia="Arial Unicode MS" w:hAnsi="Bookman Old Style" w:cs="Arial"/>
          <w:b/>
          <w:bCs/>
        </w:rPr>
        <w:t>LA COMISIÓN DE REGULACIÓN DE ENERGÍA Y GAS</w:t>
      </w:r>
    </w:p>
    <w:p w:rsidR="00501C5C" w:rsidRPr="00BA04BF" w:rsidRDefault="00501C5C" w:rsidP="00501C5C">
      <w:pPr>
        <w:tabs>
          <w:tab w:val="left" w:pos="0"/>
        </w:tabs>
        <w:ind w:right="-73"/>
        <w:jc w:val="both"/>
        <w:rPr>
          <w:rFonts w:ascii="Bookman Old Style" w:eastAsia="Arial Unicode MS" w:hAnsi="Bookman Old Style" w:cs="Arial"/>
          <w:bCs/>
        </w:rPr>
      </w:pPr>
    </w:p>
    <w:p w:rsidR="00501C5C" w:rsidRPr="00BA04BF" w:rsidRDefault="00501C5C" w:rsidP="00501C5C">
      <w:pPr>
        <w:tabs>
          <w:tab w:val="left" w:pos="0"/>
        </w:tabs>
        <w:ind w:right="-73"/>
        <w:jc w:val="both"/>
        <w:rPr>
          <w:rFonts w:ascii="Bookman Old Style" w:eastAsia="Arial Unicode MS" w:hAnsi="Bookman Old Style" w:cs="Arial"/>
          <w:bCs/>
        </w:rPr>
      </w:pPr>
    </w:p>
    <w:p w:rsidR="008727DF" w:rsidRDefault="008727DF" w:rsidP="008727DF">
      <w:pPr>
        <w:tabs>
          <w:tab w:val="left" w:pos="0"/>
        </w:tabs>
        <w:ind w:left="0" w:right="-73"/>
        <w:jc w:val="center"/>
        <w:rPr>
          <w:rFonts w:ascii="Bookman Old Style" w:hAnsi="Bookman Old Style" w:cs="Arial"/>
        </w:rPr>
      </w:pPr>
      <w:r w:rsidRPr="004D0E35">
        <w:rPr>
          <w:rFonts w:ascii="Bookman Old Style" w:hAnsi="Bookman Old Style" w:cs="Arial"/>
          <w:bCs/>
          <w:spacing w:val="-3"/>
        </w:rPr>
        <w:t>En ejercicio de sus atribuciones constitucionales y legales, en especial las conferidas por las Leyes 142 y 143 de 1994, y en desarrollo de los Decretos 1524 y 2253 de 1994.</w:t>
      </w:r>
    </w:p>
    <w:p w:rsidR="00501C5C" w:rsidRPr="00BA04BF" w:rsidRDefault="00501C5C" w:rsidP="00501C5C">
      <w:pPr>
        <w:tabs>
          <w:tab w:val="left" w:pos="0"/>
        </w:tabs>
        <w:ind w:left="0" w:right="-73"/>
        <w:jc w:val="both"/>
        <w:rPr>
          <w:rFonts w:ascii="Bookman Old Style" w:hAnsi="Bookman Old Style" w:cs="Arial"/>
        </w:rPr>
      </w:pPr>
    </w:p>
    <w:p w:rsidR="00501C5C" w:rsidRPr="00BA04BF" w:rsidRDefault="00501C5C" w:rsidP="00501C5C">
      <w:pPr>
        <w:tabs>
          <w:tab w:val="left" w:pos="0"/>
        </w:tabs>
        <w:ind w:left="0" w:right="-73"/>
        <w:jc w:val="both"/>
        <w:rPr>
          <w:rFonts w:ascii="Bookman Old Style" w:hAnsi="Bookman Old Style" w:cs="Arial"/>
          <w:bCs/>
        </w:rPr>
      </w:pPr>
    </w:p>
    <w:p w:rsidR="00501C5C" w:rsidRPr="00C435C3" w:rsidRDefault="00501C5C" w:rsidP="00501C5C">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Q U E</w:t>
      </w:r>
      <w:r w:rsidRPr="00C435C3">
        <w:rPr>
          <w:rFonts w:ascii="Bookman Old Style" w:hAnsi="Bookman Old Style"/>
          <w:b/>
        </w:rPr>
        <w:t>:</w:t>
      </w:r>
    </w:p>
    <w:p w:rsidR="00501C5C" w:rsidRDefault="00501C5C" w:rsidP="00501C5C">
      <w:pPr>
        <w:tabs>
          <w:tab w:val="left" w:pos="0"/>
        </w:tabs>
        <w:ind w:left="0" w:right="-73"/>
        <w:jc w:val="center"/>
        <w:rPr>
          <w:rFonts w:ascii="Bookman Old Style" w:hAnsi="Bookman Old Style" w:cs="Arial"/>
          <w:b/>
        </w:rPr>
      </w:pPr>
    </w:p>
    <w:p w:rsidR="00D24303" w:rsidRPr="00BA04BF" w:rsidRDefault="00D24303" w:rsidP="00501C5C">
      <w:pPr>
        <w:tabs>
          <w:tab w:val="left" w:pos="0"/>
        </w:tabs>
        <w:ind w:left="0" w:right="-73"/>
        <w:jc w:val="center"/>
        <w:rPr>
          <w:rFonts w:ascii="Bookman Old Style" w:hAnsi="Bookman Old Style" w:cs="Arial"/>
          <w:b/>
        </w:rPr>
      </w:pPr>
    </w:p>
    <w:p w:rsidR="00501C5C" w:rsidRPr="001F492E" w:rsidRDefault="00501C5C" w:rsidP="00501C5C">
      <w:pPr>
        <w:tabs>
          <w:tab w:val="left" w:pos="0"/>
        </w:tabs>
        <w:ind w:left="0" w:right="-73"/>
        <w:jc w:val="both"/>
        <w:rPr>
          <w:rFonts w:ascii="Bookman Old Style" w:hAnsi="Bookman Old Style" w:cs="Arial"/>
        </w:rPr>
      </w:pPr>
      <w:r w:rsidRPr="001F492E">
        <w:rPr>
          <w:rFonts w:ascii="Bookman Old Style" w:hAnsi="Bookman Old Style" w:cs="Arial"/>
        </w:rPr>
        <w:t>La Ley 143 de 1994, artículo 20, definió como objetivo fundamental de la Regulación en el sector eléctrico, asegurar una adecuada prestación del servicio mediante el aprovechamiento eficiente de los diferentes recursos energéticos, en beneficio del usuario en términos de calidad, oportunidad y costo del servicio.</w:t>
      </w:r>
    </w:p>
    <w:p w:rsidR="00501C5C" w:rsidRPr="001F492E" w:rsidRDefault="00501C5C" w:rsidP="00501C5C">
      <w:pPr>
        <w:tabs>
          <w:tab w:val="left" w:pos="0"/>
        </w:tabs>
        <w:ind w:left="0" w:right="-73"/>
        <w:jc w:val="both"/>
        <w:rPr>
          <w:rFonts w:ascii="Bookman Old Style" w:hAnsi="Bookman Old Style" w:cs="Arial"/>
        </w:rPr>
      </w:pPr>
    </w:p>
    <w:p w:rsidR="00501C5C" w:rsidRPr="001F492E" w:rsidRDefault="00501C5C" w:rsidP="00501C5C">
      <w:pPr>
        <w:tabs>
          <w:tab w:val="left" w:pos="0"/>
        </w:tabs>
        <w:ind w:left="0" w:right="-73"/>
        <w:jc w:val="both"/>
        <w:rPr>
          <w:rFonts w:ascii="Bookman Old Style" w:hAnsi="Bookman Old Style" w:cs="Arial"/>
        </w:rPr>
      </w:pPr>
      <w:r w:rsidRPr="001F492E">
        <w:rPr>
          <w:rFonts w:ascii="Bookman Old Style" w:hAnsi="Bookman Old Style" w:cs="Arial"/>
        </w:rPr>
        <w:t xml:space="preserve">Para el cumplimiento del objetivo señalado, la Ley 143 de 1994, artículo 23, le atribuyó a la Comisión de Regulación de Energía y Gas, </w:t>
      </w:r>
      <w:r w:rsidR="009B6141" w:rsidRPr="001F492E">
        <w:rPr>
          <w:rFonts w:ascii="Bookman Old Style" w:hAnsi="Bookman Old Style" w:cs="Arial"/>
        </w:rPr>
        <w:t>entre otras</w:t>
      </w:r>
      <w:r w:rsidRPr="001F492E">
        <w:rPr>
          <w:rFonts w:ascii="Bookman Old Style" w:hAnsi="Bookman Old Style" w:cs="Arial"/>
        </w:rPr>
        <w:t>, las funciones de crear las condiciones para asegurar la disponibilidad de una oferta energética eficiente capaz de abastecer la demanda bajo criterios sociales, económicos, ambientales y de viabilidad financiera, promover y preservar la competencia, para lo cual, la oferta eficiente, en el sector eléctrico, debe tener en cuenta la capacidad de generación de respaldo; valorar la capacidad de generación de respaldo de la oferta eficiente; definir y hacer operativos los criterios técnicos de calidad, confiabilidad y seguridad del servicio de energía; y determinar las condiciones para la liberación gradual del mercado hacia la libre competencia.</w:t>
      </w:r>
    </w:p>
    <w:p w:rsidR="00501C5C" w:rsidRPr="001F492E" w:rsidRDefault="00501C5C" w:rsidP="00501C5C">
      <w:pPr>
        <w:tabs>
          <w:tab w:val="left" w:pos="0"/>
        </w:tabs>
        <w:ind w:left="0" w:right="-73"/>
        <w:jc w:val="both"/>
        <w:rPr>
          <w:rFonts w:ascii="Bookman Old Style" w:hAnsi="Bookman Old Style" w:cs="Arial"/>
        </w:rPr>
      </w:pPr>
    </w:p>
    <w:p w:rsidR="00501C5C" w:rsidRDefault="00501C5C" w:rsidP="00501C5C">
      <w:pPr>
        <w:tabs>
          <w:tab w:val="left" w:pos="0"/>
        </w:tabs>
        <w:ind w:left="0" w:right="-73"/>
        <w:jc w:val="both"/>
        <w:rPr>
          <w:rFonts w:ascii="Bookman Old Style" w:hAnsi="Bookman Old Style" w:cs="Arial"/>
        </w:rPr>
      </w:pPr>
      <w:r w:rsidRPr="001F492E">
        <w:rPr>
          <w:rFonts w:ascii="Bookman Old Style" w:hAnsi="Bookman Old Style" w:cs="Arial"/>
        </w:rPr>
        <w:t>De acuerdo con lo establecido en el literal c) del artículo 74.1 de la ley 142 de 1994 y el literal i) del artículo 23 de la Ley 143 del mismo año, le corresponde a la CREG establecer el Reglamento de Operación, para regular el funcionamiento del Mercado Mayorista.</w:t>
      </w:r>
    </w:p>
    <w:p w:rsidR="00501C5C" w:rsidRDefault="00501C5C" w:rsidP="00501C5C">
      <w:pPr>
        <w:tabs>
          <w:tab w:val="left" w:pos="0"/>
        </w:tabs>
        <w:ind w:left="0" w:right="-73"/>
        <w:jc w:val="both"/>
        <w:rPr>
          <w:rFonts w:ascii="Bookman Old Style" w:hAnsi="Bookman Old Style" w:cs="Arial"/>
        </w:rPr>
      </w:pPr>
    </w:p>
    <w:p w:rsidR="003E0B37" w:rsidRPr="00435061" w:rsidRDefault="003E0B37" w:rsidP="00501C5C">
      <w:pPr>
        <w:ind w:left="0" w:right="20"/>
        <w:jc w:val="both"/>
        <w:rPr>
          <w:rFonts w:ascii="Bookman Old Style" w:hAnsi="Bookman Old Style" w:cs="Arial"/>
          <w:i/>
        </w:rPr>
      </w:pPr>
      <w:r w:rsidRPr="00435061">
        <w:rPr>
          <w:rFonts w:ascii="Bookman Old Style" w:hAnsi="Bookman Old Style" w:cs="Arial"/>
        </w:rPr>
        <w:t xml:space="preserve">Mediante resolución CREG 071 de 2006 la Comisión adoptó </w:t>
      </w:r>
      <w:r w:rsidRPr="00435061">
        <w:rPr>
          <w:rFonts w:ascii="Bookman Old Style" w:hAnsi="Bookman Old Style" w:cs="Arial"/>
          <w:i/>
        </w:rPr>
        <w:t>la metodología para la remuneración del Cargo por Confiabilidad en el Mercado Mayorista de Energía</w:t>
      </w:r>
      <w:r w:rsidR="005005F2" w:rsidRPr="00435061">
        <w:rPr>
          <w:rFonts w:ascii="Bookman Old Style" w:hAnsi="Bookman Old Style" w:cs="Arial"/>
          <w:i/>
        </w:rPr>
        <w:t>.</w:t>
      </w:r>
    </w:p>
    <w:p w:rsidR="003E0B37" w:rsidRPr="00435061" w:rsidRDefault="003E0B37" w:rsidP="00501C5C">
      <w:pPr>
        <w:ind w:left="0" w:right="20"/>
        <w:jc w:val="both"/>
        <w:rPr>
          <w:rFonts w:ascii="Bookman Old Style" w:hAnsi="Bookman Old Style" w:cs="Arial"/>
        </w:rPr>
      </w:pPr>
    </w:p>
    <w:p w:rsidR="00501C5C" w:rsidRPr="00435061" w:rsidRDefault="00501C5C" w:rsidP="00501C5C">
      <w:pPr>
        <w:ind w:left="0" w:right="20"/>
        <w:jc w:val="both"/>
        <w:rPr>
          <w:rFonts w:ascii="Bookman Old Style" w:hAnsi="Bookman Old Style"/>
          <w:lang w:val="es-CO"/>
        </w:rPr>
      </w:pPr>
      <w:r w:rsidRPr="00435061">
        <w:rPr>
          <w:rFonts w:ascii="Bookman Old Style" w:hAnsi="Bookman Old Style"/>
          <w:lang w:val="es-CO"/>
        </w:rPr>
        <w:t xml:space="preserve">En la Resolución CREG 085 de 2007 se </w:t>
      </w:r>
      <w:r w:rsidR="00692727" w:rsidRPr="00435061">
        <w:rPr>
          <w:rFonts w:ascii="Bookman Old Style" w:hAnsi="Bookman Old Style"/>
          <w:lang w:val="es-CO"/>
        </w:rPr>
        <w:t xml:space="preserve">modificó la Resolución CREG 071 de 2006 y se </w:t>
      </w:r>
      <w:r w:rsidRPr="00435061">
        <w:rPr>
          <w:rFonts w:ascii="Bookman Old Style" w:hAnsi="Bookman Old Style"/>
          <w:lang w:val="es-CO"/>
        </w:rPr>
        <w:t xml:space="preserve">establecieron pruebas de disponibilidad </w:t>
      </w:r>
      <w:r w:rsidR="008E2CF5" w:rsidRPr="00435061">
        <w:rPr>
          <w:rFonts w:ascii="Bookman Old Style" w:hAnsi="Bookman Old Style"/>
          <w:lang w:val="es-CO"/>
        </w:rPr>
        <w:t xml:space="preserve">para </w:t>
      </w:r>
      <w:r w:rsidRPr="00435061">
        <w:rPr>
          <w:rFonts w:ascii="Bookman Old Style" w:hAnsi="Bookman Old Style"/>
          <w:lang w:val="es-CO"/>
        </w:rPr>
        <w:t>las plantas o unidades de generación.</w:t>
      </w:r>
    </w:p>
    <w:p w:rsidR="00352DD8" w:rsidRDefault="00352DD8" w:rsidP="00501C5C">
      <w:pPr>
        <w:ind w:left="0" w:right="20"/>
        <w:jc w:val="both"/>
        <w:rPr>
          <w:rFonts w:ascii="Bookman Old Style" w:hAnsi="Bookman Old Style"/>
          <w:lang w:val="es-CO"/>
        </w:rPr>
      </w:pPr>
    </w:p>
    <w:p w:rsidR="00352DD8" w:rsidRPr="00435061" w:rsidRDefault="00352DD8" w:rsidP="00501C5C">
      <w:pPr>
        <w:ind w:left="0" w:right="20"/>
        <w:jc w:val="both"/>
        <w:rPr>
          <w:rFonts w:ascii="Bookman Old Style" w:hAnsi="Bookman Old Style"/>
          <w:lang w:val="es-CO"/>
        </w:rPr>
      </w:pPr>
      <w:r w:rsidRPr="00435061">
        <w:rPr>
          <w:rFonts w:ascii="Bookman Old Style" w:hAnsi="Bookman Old Style"/>
          <w:lang w:val="es-CO"/>
        </w:rPr>
        <w:lastRenderedPageBreak/>
        <w:t>Con la Resolución CREG 140 de 2009 la CREG</w:t>
      </w:r>
      <w:r w:rsidR="00CD7268">
        <w:rPr>
          <w:rFonts w:ascii="Bookman Old Style" w:hAnsi="Bookman Old Style"/>
          <w:lang w:val="es-CO"/>
        </w:rPr>
        <w:t xml:space="preserve"> se</w:t>
      </w:r>
      <w:r w:rsidRPr="00435061">
        <w:rPr>
          <w:rFonts w:ascii="Bookman Old Style" w:hAnsi="Bookman Old Style"/>
          <w:lang w:val="es-CO"/>
        </w:rPr>
        <w:t xml:space="preserve"> adopt</w:t>
      </w:r>
      <w:r w:rsidR="009B6141">
        <w:rPr>
          <w:rFonts w:ascii="Bookman Old Style" w:hAnsi="Bookman Old Style"/>
          <w:lang w:val="es-CO"/>
        </w:rPr>
        <w:t>aron</w:t>
      </w:r>
      <w:r w:rsidRPr="00435061">
        <w:rPr>
          <w:rFonts w:ascii="Bookman Old Style" w:hAnsi="Bookman Old Style"/>
          <w:lang w:val="es-CO"/>
        </w:rPr>
        <w:t xml:space="preserve"> </w:t>
      </w:r>
      <w:r w:rsidR="00F51854" w:rsidRPr="00435061">
        <w:rPr>
          <w:rFonts w:ascii="Bookman Old Style" w:hAnsi="Bookman Old Style"/>
          <w:lang w:val="es-CO"/>
        </w:rPr>
        <w:t xml:space="preserve">normas sobre las variaciones a la disponibilidad declarada por los agentes generadores. </w:t>
      </w:r>
    </w:p>
    <w:p w:rsidR="00501C5C" w:rsidRPr="00EE2A2D" w:rsidRDefault="00501C5C" w:rsidP="00501C5C">
      <w:pPr>
        <w:ind w:left="0" w:right="20"/>
        <w:jc w:val="both"/>
        <w:rPr>
          <w:rFonts w:ascii="Bookman Old Style" w:hAnsi="Bookman Old Style"/>
          <w:lang w:val="es-CO"/>
        </w:rPr>
      </w:pPr>
    </w:p>
    <w:p w:rsidR="00EE2A2D" w:rsidRPr="00EE2A2D" w:rsidRDefault="00EE2A2D" w:rsidP="00501C5C">
      <w:pPr>
        <w:ind w:left="0" w:right="20"/>
        <w:jc w:val="both"/>
        <w:rPr>
          <w:rFonts w:ascii="Bookman Old Style" w:hAnsi="Bookman Old Style"/>
          <w:lang w:val="es-CO"/>
        </w:rPr>
      </w:pPr>
      <w:r w:rsidRPr="00EE2A2D">
        <w:rPr>
          <w:rFonts w:ascii="Bookman Old Style" w:hAnsi="Bookman Old Style"/>
          <w:lang w:val="es-CO"/>
        </w:rPr>
        <w:t xml:space="preserve">En la Resolución CREG 138 de 2012 </w:t>
      </w:r>
      <w:r w:rsidRPr="00EE2A2D">
        <w:rPr>
          <w:rFonts w:ascii="Bookman Old Style" w:hAnsi="Bookman Old Style" w:cs="Arial"/>
        </w:rPr>
        <w:t>se modificaron las normas de las pruebas de disponibilidad contenidas en la Resolución CREG 085 de 2007 y se dictaron otras disposiciones.</w:t>
      </w:r>
    </w:p>
    <w:p w:rsidR="00EE2A2D" w:rsidRPr="00432A37" w:rsidRDefault="00EE2A2D" w:rsidP="00501C5C">
      <w:pPr>
        <w:ind w:left="0" w:right="20"/>
        <w:jc w:val="both"/>
        <w:rPr>
          <w:rFonts w:ascii="Bookman Old Style" w:hAnsi="Bookman Old Style"/>
          <w:highlight w:val="yellow"/>
          <w:lang w:val="es-CO"/>
        </w:rPr>
      </w:pPr>
    </w:p>
    <w:p w:rsidR="00FE6A44" w:rsidRDefault="003F02C3" w:rsidP="00FE6A44">
      <w:pPr>
        <w:ind w:left="0"/>
        <w:jc w:val="both"/>
        <w:rPr>
          <w:rFonts w:ascii="Bookman Old Style" w:hAnsi="Bookman Old Style" w:cs="Arial"/>
        </w:rPr>
      </w:pPr>
      <w:r>
        <w:rPr>
          <w:rFonts w:ascii="Bookman Old Style" w:hAnsi="Bookman Old Style" w:cs="Arial"/>
        </w:rPr>
        <w:t>XM</w:t>
      </w:r>
      <w:r w:rsidRPr="001715E4">
        <w:rPr>
          <w:rFonts w:ascii="Bookman Old Style" w:hAnsi="Bookman Old Style" w:cs="Arial"/>
        </w:rPr>
        <w:t xml:space="preserve"> S.A. E.S.P</w:t>
      </w:r>
      <w:r>
        <w:rPr>
          <w:rFonts w:ascii="Bookman Old Style" w:hAnsi="Bookman Old Style" w:cs="Arial"/>
        </w:rPr>
        <w:t xml:space="preserve"> mediante carta con radicado CREG</w:t>
      </w:r>
      <w:r w:rsidRPr="001715E4">
        <w:rPr>
          <w:rFonts w:ascii="Bookman Old Style" w:hAnsi="Bookman Old Style" w:cs="Arial"/>
        </w:rPr>
        <w:t xml:space="preserve"> E-2013-00</w:t>
      </w:r>
      <w:r>
        <w:rPr>
          <w:rFonts w:ascii="Bookman Old Style" w:hAnsi="Bookman Old Style" w:cs="Arial"/>
        </w:rPr>
        <w:t xml:space="preserve">3686 y </w:t>
      </w:r>
      <w:r w:rsidR="00FE6A44">
        <w:rPr>
          <w:rFonts w:ascii="Bookman Old Style" w:hAnsi="Bookman Old Style" w:cs="Arial"/>
        </w:rPr>
        <w:t>Empresas Públicas de Medellín E.S.P</w:t>
      </w:r>
      <w:r w:rsidR="00FE6A44" w:rsidRPr="001715E4">
        <w:rPr>
          <w:rFonts w:ascii="Bookman Old Style" w:hAnsi="Bookman Old Style" w:cs="Arial"/>
        </w:rPr>
        <w:t xml:space="preserve"> mediante carta con radicado CREG E-20</w:t>
      </w:r>
      <w:r w:rsidR="00FE6A44">
        <w:rPr>
          <w:rFonts w:ascii="Bookman Old Style" w:hAnsi="Bookman Old Style" w:cs="Arial"/>
        </w:rPr>
        <w:t>13</w:t>
      </w:r>
      <w:r w:rsidR="00FE6A44" w:rsidRPr="001715E4">
        <w:rPr>
          <w:rFonts w:ascii="Bookman Old Style" w:hAnsi="Bookman Old Style" w:cs="Arial"/>
        </w:rPr>
        <w:t>-001</w:t>
      </w:r>
      <w:r w:rsidR="00FE6A44">
        <w:rPr>
          <w:rFonts w:ascii="Bookman Old Style" w:hAnsi="Bookman Old Style" w:cs="Arial"/>
        </w:rPr>
        <w:t>980</w:t>
      </w:r>
      <w:r>
        <w:rPr>
          <w:rFonts w:ascii="Bookman Old Style" w:hAnsi="Bookman Old Style" w:cs="Arial"/>
        </w:rPr>
        <w:t>,</w:t>
      </w:r>
      <w:r w:rsidR="00FE6A44" w:rsidRPr="001715E4">
        <w:rPr>
          <w:rFonts w:ascii="Bookman Old Style" w:hAnsi="Bookman Old Style" w:cs="Arial"/>
        </w:rPr>
        <w:t xml:space="preserve"> solicitaron </w:t>
      </w:r>
      <w:r>
        <w:rPr>
          <w:rFonts w:ascii="Bookman Old Style" w:hAnsi="Bookman Old Style" w:cs="Arial"/>
        </w:rPr>
        <w:t xml:space="preserve">a la CREG emitir concepto y </w:t>
      </w:r>
      <w:r w:rsidR="00FE6A44">
        <w:rPr>
          <w:rFonts w:ascii="Bookman Old Style" w:hAnsi="Bookman Old Style" w:cs="Arial"/>
        </w:rPr>
        <w:t xml:space="preserve">ampliar el alcance de las variables definidas en </w:t>
      </w:r>
      <w:r>
        <w:rPr>
          <w:rFonts w:ascii="Bookman Old Style" w:hAnsi="Bookman Old Style" w:cs="Arial"/>
        </w:rPr>
        <w:t xml:space="preserve">el </w:t>
      </w:r>
      <w:r w:rsidR="008139FF">
        <w:rPr>
          <w:rFonts w:ascii="Bookman Old Style" w:hAnsi="Bookman Old Style" w:cs="Arial"/>
        </w:rPr>
        <w:t xml:space="preserve">Artículo 1o </w:t>
      </w:r>
      <w:r w:rsidR="00FE6A44">
        <w:rPr>
          <w:rFonts w:ascii="Bookman Old Style" w:hAnsi="Bookman Old Style" w:cs="Arial"/>
        </w:rPr>
        <w:t>de la Resolución</w:t>
      </w:r>
      <w:r w:rsidRPr="003F02C3">
        <w:rPr>
          <w:rFonts w:ascii="Bookman Old Style" w:hAnsi="Bookman Old Style" w:cs="Arial"/>
        </w:rPr>
        <w:t xml:space="preserve"> </w:t>
      </w:r>
      <w:r>
        <w:rPr>
          <w:rFonts w:ascii="Bookman Old Style" w:hAnsi="Bookman Old Style" w:cs="Arial"/>
        </w:rPr>
        <w:t>CREG 138 de 2012</w:t>
      </w:r>
      <w:r w:rsidR="00FE6A44">
        <w:rPr>
          <w:rFonts w:ascii="Bookman Old Style" w:hAnsi="Bookman Old Style" w:cs="Arial"/>
        </w:rPr>
        <w:t>.</w:t>
      </w:r>
      <w:r>
        <w:rPr>
          <w:rFonts w:ascii="Bookman Old Style" w:hAnsi="Bookman Old Style" w:cs="Arial"/>
        </w:rPr>
        <w:t xml:space="preserve"> Siendo estas solicitudes respondidas en los radicados CREG</w:t>
      </w:r>
      <w:r w:rsidR="008139FF">
        <w:rPr>
          <w:rFonts w:ascii="Bookman Old Style" w:hAnsi="Bookman Old Style" w:cs="Arial"/>
        </w:rPr>
        <w:t xml:space="preserve"> S-2013-002217</w:t>
      </w:r>
      <w:r>
        <w:rPr>
          <w:rFonts w:ascii="Bookman Old Style" w:hAnsi="Bookman Old Style" w:cs="Arial"/>
        </w:rPr>
        <w:t xml:space="preserve"> </w:t>
      </w:r>
      <w:r w:rsidR="008139FF">
        <w:rPr>
          <w:rFonts w:ascii="Bookman Old Style" w:hAnsi="Bookman Old Style" w:cs="Arial"/>
        </w:rPr>
        <w:t xml:space="preserve">y </w:t>
      </w:r>
      <w:r>
        <w:rPr>
          <w:rFonts w:ascii="Bookman Old Style" w:hAnsi="Bookman Old Style" w:cs="Arial"/>
        </w:rPr>
        <w:t>S-2013-</w:t>
      </w:r>
      <w:r w:rsidR="008139FF">
        <w:rPr>
          <w:rFonts w:ascii="Bookman Old Style" w:hAnsi="Bookman Old Style" w:cs="Arial"/>
        </w:rPr>
        <w:t>00</w:t>
      </w:r>
      <w:r>
        <w:rPr>
          <w:rFonts w:ascii="Bookman Old Style" w:hAnsi="Bookman Old Style" w:cs="Arial"/>
        </w:rPr>
        <w:t>1423</w:t>
      </w:r>
      <w:r w:rsidR="008139FF">
        <w:rPr>
          <w:rFonts w:ascii="Bookman Old Style" w:hAnsi="Bookman Old Style" w:cs="Arial"/>
        </w:rPr>
        <w:t xml:space="preserve"> respectivamente.</w:t>
      </w:r>
    </w:p>
    <w:p w:rsidR="008139FF" w:rsidRDefault="008139FF" w:rsidP="00FE6A44">
      <w:pPr>
        <w:ind w:left="0"/>
        <w:jc w:val="both"/>
        <w:rPr>
          <w:rFonts w:ascii="Bookman Old Style" w:hAnsi="Bookman Old Style" w:cs="Arial"/>
        </w:rPr>
      </w:pPr>
    </w:p>
    <w:p w:rsidR="008139FF" w:rsidRPr="001715E4" w:rsidRDefault="008139FF" w:rsidP="008139FF">
      <w:pPr>
        <w:ind w:left="0"/>
        <w:jc w:val="both"/>
        <w:rPr>
          <w:rFonts w:ascii="Bookman Old Style" w:hAnsi="Bookman Old Style" w:cs="Arial"/>
        </w:rPr>
      </w:pPr>
      <w:r>
        <w:rPr>
          <w:rFonts w:ascii="Bookman Old Style" w:hAnsi="Bookman Old Style" w:cs="Arial"/>
        </w:rPr>
        <w:t>A</w:t>
      </w:r>
      <w:r w:rsidRPr="001715E4">
        <w:rPr>
          <w:rFonts w:ascii="Bookman Old Style" w:hAnsi="Bookman Old Style" w:cs="Arial"/>
        </w:rPr>
        <w:t>nalizadas las solicitudes</w:t>
      </w:r>
      <w:r>
        <w:rPr>
          <w:rFonts w:ascii="Bookman Old Style" w:hAnsi="Bookman Old Style" w:cs="Arial"/>
        </w:rPr>
        <w:t xml:space="preserve"> anteriores</w:t>
      </w:r>
      <w:r w:rsidRPr="001715E4">
        <w:rPr>
          <w:rFonts w:ascii="Bookman Old Style" w:hAnsi="Bookman Old Style" w:cs="Arial"/>
        </w:rPr>
        <w:t>, la CREG considera necesario precisar la</w:t>
      </w:r>
      <w:r>
        <w:rPr>
          <w:rFonts w:ascii="Bookman Old Style" w:hAnsi="Bookman Old Style" w:cs="Arial"/>
        </w:rPr>
        <w:t>s</w:t>
      </w:r>
      <w:r w:rsidRPr="001715E4">
        <w:rPr>
          <w:rFonts w:ascii="Bookman Old Style" w:hAnsi="Bookman Old Style" w:cs="Arial"/>
        </w:rPr>
        <w:t xml:space="preserve"> </w:t>
      </w:r>
      <w:r>
        <w:rPr>
          <w:rFonts w:ascii="Bookman Old Style" w:hAnsi="Bookman Old Style" w:cs="Arial"/>
        </w:rPr>
        <w:t>definiciones de las variables del Artículo 1º de la Resolución</w:t>
      </w:r>
      <w:r w:rsidRPr="003F02C3">
        <w:rPr>
          <w:rFonts w:ascii="Bookman Old Style" w:hAnsi="Bookman Old Style" w:cs="Arial"/>
        </w:rPr>
        <w:t xml:space="preserve"> </w:t>
      </w:r>
      <w:r>
        <w:rPr>
          <w:rFonts w:ascii="Bookman Old Style" w:hAnsi="Bookman Old Style" w:cs="Arial"/>
        </w:rPr>
        <w:t>CREG 138 de 2012</w:t>
      </w:r>
      <w:r w:rsidRPr="001715E4">
        <w:rPr>
          <w:rFonts w:ascii="Bookman Old Style" w:hAnsi="Bookman Old Style" w:cs="Arial"/>
        </w:rPr>
        <w:t>.</w:t>
      </w:r>
    </w:p>
    <w:p w:rsidR="008139FF" w:rsidRPr="001715E4" w:rsidRDefault="008139FF" w:rsidP="00FE6A44">
      <w:pPr>
        <w:ind w:left="0"/>
        <w:jc w:val="both"/>
        <w:rPr>
          <w:rFonts w:ascii="Bookman Old Style" w:hAnsi="Bookman Old Style" w:cs="Arial"/>
        </w:rPr>
      </w:pPr>
    </w:p>
    <w:p w:rsidR="00501C5C" w:rsidRPr="00FE6A44" w:rsidRDefault="00501C5C" w:rsidP="00501C5C">
      <w:pPr>
        <w:ind w:left="0" w:right="20"/>
        <w:jc w:val="both"/>
        <w:rPr>
          <w:rFonts w:ascii="Bookman Old Style" w:hAnsi="Bookman Old Style"/>
        </w:rPr>
      </w:pPr>
    </w:p>
    <w:p w:rsidR="00501C5C" w:rsidRPr="00C435C3" w:rsidRDefault="00501C5C" w:rsidP="00501C5C">
      <w:pPr>
        <w:suppressAutoHyphens/>
        <w:jc w:val="center"/>
        <w:rPr>
          <w:rFonts w:ascii="Bookman Old Style" w:hAnsi="Bookman Old Style"/>
          <w:spacing w:val="-3"/>
        </w:rPr>
      </w:pPr>
      <w:r w:rsidRPr="00C435C3">
        <w:rPr>
          <w:rFonts w:ascii="Bookman Old Style" w:hAnsi="Bookman Old Style"/>
          <w:b/>
          <w:spacing w:val="-3"/>
        </w:rPr>
        <w:t>R E S U E L V E:</w:t>
      </w:r>
    </w:p>
    <w:p w:rsidR="00501C5C" w:rsidRDefault="00501C5C" w:rsidP="00501C5C">
      <w:pPr>
        <w:keepNext/>
        <w:ind w:left="0"/>
        <w:jc w:val="center"/>
        <w:rPr>
          <w:rFonts w:ascii="Bookman Old Style" w:hAnsi="Bookman Old Style" w:cs="Arial"/>
          <w:b/>
          <w:bCs/>
          <w:spacing w:val="60"/>
        </w:rPr>
      </w:pPr>
    </w:p>
    <w:p w:rsidR="00501C5C" w:rsidRDefault="00501C5C" w:rsidP="00501C5C">
      <w:pPr>
        <w:tabs>
          <w:tab w:val="left" w:pos="0"/>
        </w:tabs>
        <w:ind w:left="0"/>
        <w:jc w:val="both"/>
        <w:rPr>
          <w:rFonts w:ascii="Bookman Old Style" w:hAnsi="Bookman Old Style" w:cs="Arial"/>
          <w:sz w:val="18"/>
        </w:rPr>
      </w:pPr>
    </w:p>
    <w:p w:rsidR="00BA7700" w:rsidRDefault="00BA7700" w:rsidP="00501C5C">
      <w:pPr>
        <w:tabs>
          <w:tab w:val="left" w:pos="0"/>
        </w:tabs>
        <w:ind w:left="0"/>
        <w:jc w:val="both"/>
        <w:rPr>
          <w:rFonts w:ascii="Bookman Old Style" w:hAnsi="Bookman Old Style" w:cs="Arial"/>
          <w:sz w:val="18"/>
        </w:rPr>
      </w:pPr>
    </w:p>
    <w:p w:rsidR="00501C5C" w:rsidRDefault="00501C5C" w:rsidP="00501C5C">
      <w:pPr>
        <w:tabs>
          <w:tab w:val="left" w:pos="0"/>
        </w:tabs>
        <w:ind w:left="0"/>
        <w:jc w:val="both"/>
        <w:rPr>
          <w:rFonts w:ascii="Bookman Old Style" w:hAnsi="Bookman Old Style" w:cs="Arial"/>
        </w:rPr>
      </w:pPr>
      <w:r>
        <w:rPr>
          <w:rFonts w:ascii="Bookman Old Style" w:hAnsi="Bookman Old Style" w:cs="Arial"/>
          <w:b/>
        </w:rPr>
        <w:t>ARTÍCULO 1</w:t>
      </w:r>
      <w:r w:rsidRPr="00BA04BF">
        <w:rPr>
          <w:rFonts w:ascii="Bookman Old Style" w:hAnsi="Bookman Old Style" w:cs="Arial"/>
          <w:b/>
        </w:rPr>
        <w:t xml:space="preserve">. </w:t>
      </w:r>
      <w:r w:rsidR="0034205D">
        <w:rPr>
          <w:rFonts w:ascii="Bookman Old Style" w:hAnsi="Bookman Old Style" w:cs="Arial"/>
          <w:b/>
        </w:rPr>
        <w:t>Modifíquese</w:t>
      </w:r>
      <w:r>
        <w:rPr>
          <w:rFonts w:ascii="Bookman Old Style" w:hAnsi="Bookman Old Style" w:cs="Arial"/>
          <w:b/>
        </w:rPr>
        <w:t xml:space="preserve"> el artículo 1</w:t>
      </w:r>
      <w:r w:rsidR="009566D0">
        <w:rPr>
          <w:rFonts w:ascii="Bookman Old Style" w:hAnsi="Bookman Old Style" w:cs="Arial"/>
          <w:b/>
        </w:rPr>
        <w:t>5</w:t>
      </w:r>
      <w:r>
        <w:rPr>
          <w:rFonts w:ascii="Bookman Old Style" w:hAnsi="Bookman Old Style" w:cs="Arial"/>
          <w:b/>
        </w:rPr>
        <w:t xml:space="preserve"> de la Resolución CREG </w:t>
      </w:r>
      <w:r w:rsidR="009566D0">
        <w:rPr>
          <w:rFonts w:ascii="Bookman Old Style" w:hAnsi="Bookman Old Style" w:cs="Arial"/>
          <w:b/>
        </w:rPr>
        <w:t>085</w:t>
      </w:r>
      <w:r>
        <w:rPr>
          <w:rFonts w:ascii="Bookman Old Style" w:hAnsi="Bookman Old Style" w:cs="Arial"/>
          <w:b/>
        </w:rPr>
        <w:t xml:space="preserve"> de 20</w:t>
      </w:r>
      <w:r w:rsidR="009566D0">
        <w:rPr>
          <w:rFonts w:ascii="Bookman Old Style" w:hAnsi="Bookman Old Style" w:cs="Arial"/>
          <w:b/>
        </w:rPr>
        <w:t>07 modificado por el artículo 1o de la Resolución CREG 138 de 2012</w:t>
      </w:r>
      <w:r>
        <w:rPr>
          <w:rFonts w:ascii="Bookman Old Style" w:hAnsi="Bookman Old Style" w:cs="Arial"/>
          <w:b/>
        </w:rPr>
        <w:t xml:space="preserve">: </w:t>
      </w:r>
      <w:r w:rsidRPr="00873E2A">
        <w:rPr>
          <w:rFonts w:ascii="Bookman Old Style" w:hAnsi="Bookman Old Style" w:cs="Arial"/>
        </w:rPr>
        <w:t>E</w:t>
      </w:r>
      <w:r>
        <w:rPr>
          <w:rFonts w:ascii="Bookman Old Style" w:hAnsi="Bookman Old Style" w:cs="Arial"/>
        </w:rPr>
        <w:t>l artículo 1</w:t>
      </w:r>
      <w:r w:rsidR="009566D0">
        <w:rPr>
          <w:rFonts w:ascii="Bookman Old Style" w:hAnsi="Bookman Old Style" w:cs="Arial"/>
        </w:rPr>
        <w:t>5</w:t>
      </w:r>
      <w:r>
        <w:rPr>
          <w:rFonts w:ascii="Bookman Old Style" w:hAnsi="Bookman Old Style" w:cs="Arial"/>
        </w:rPr>
        <w:t xml:space="preserve"> de la Resolución CREG </w:t>
      </w:r>
      <w:r w:rsidR="009566D0">
        <w:rPr>
          <w:rFonts w:ascii="Bookman Old Style" w:hAnsi="Bookman Old Style" w:cs="Arial"/>
        </w:rPr>
        <w:t>085</w:t>
      </w:r>
      <w:r>
        <w:rPr>
          <w:rFonts w:ascii="Bookman Old Style" w:hAnsi="Bookman Old Style" w:cs="Arial"/>
        </w:rPr>
        <w:t xml:space="preserve"> de 20</w:t>
      </w:r>
      <w:r w:rsidR="009566D0">
        <w:rPr>
          <w:rFonts w:ascii="Bookman Old Style" w:hAnsi="Bookman Old Style" w:cs="Arial"/>
        </w:rPr>
        <w:t>07</w:t>
      </w:r>
      <w:r>
        <w:rPr>
          <w:rFonts w:ascii="Bookman Old Style" w:hAnsi="Bookman Old Style" w:cs="Arial"/>
        </w:rPr>
        <w:t xml:space="preserve"> quedará así:</w:t>
      </w:r>
    </w:p>
    <w:p w:rsidR="00501C5C" w:rsidRDefault="00501C5C" w:rsidP="00501C5C">
      <w:pPr>
        <w:tabs>
          <w:tab w:val="left" w:pos="0"/>
        </w:tabs>
        <w:ind w:left="0"/>
        <w:jc w:val="both"/>
        <w:rPr>
          <w:rFonts w:ascii="Bookman Old Style" w:hAnsi="Bookman Old Style" w:cs="Arial"/>
          <w:b/>
        </w:rPr>
      </w:pPr>
    </w:p>
    <w:p w:rsidR="00501C5C" w:rsidRPr="00873E2A" w:rsidRDefault="00501C5C" w:rsidP="00501C5C">
      <w:pPr>
        <w:tabs>
          <w:tab w:val="left" w:pos="0"/>
        </w:tabs>
        <w:ind w:left="708" w:right="567"/>
        <w:jc w:val="both"/>
        <w:rPr>
          <w:rFonts w:ascii="Bookman Old Style" w:hAnsi="Bookman Old Style" w:cs="Arial"/>
          <w:i/>
        </w:rPr>
      </w:pPr>
      <w:r>
        <w:rPr>
          <w:rFonts w:ascii="Bookman Old Style" w:hAnsi="Bookman Old Style" w:cs="Arial"/>
          <w:b/>
          <w:i/>
        </w:rPr>
        <w:t>Artículo 1</w:t>
      </w:r>
      <w:r w:rsidR="00435061">
        <w:rPr>
          <w:rFonts w:ascii="Bookman Old Style" w:hAnsi="Bookman Old Style" w:cs="Arial"/>
          <w:b/>
          <w:i/>
        </w:rPr>
        <w:t>o</w:t>
      </w:r>
      <w:r>
        <w:rPr>
          <w:rFonts w:ascii="Bookman Old Style" w:hAnsi="Bookman Old Style" w:cs="Arial"/>
          <w:b/>
          <w:i/>
        </w:rPr>
        <w:t xml:space="preserve">. </w:t>
      </w:r>
      <w:r w:rsidRPr="00873E2A">
        <w:rPr>
          <w:rFonts w:ascii="Bookman Old Style" w:hAnsi="Bookman Old Style" w:cs="Arial"/>
          <w:b/>
          <w:i/>
        </w:rPr>
        <w:t>PRUEBAS DE DISPONIBILIDAD DE PLANTAS O UNIDADES DE GENERACIÓN.</w:t>
      </w:r>
      <w:r w:rsidRPr="00873E2A">
        <w:rPr>
          <w:rFonts w:ascii="Bookman Old Style" w:hAnsi="Bookman Old Style" w:cs="Arial"/>
          <w:i/>
        </w:rPr>
        <w:t xml:space="preserve"> Todos los días, y para cada planta o unidad de generación declarada disponible y que no salga en mérito para generar en el despacho pre-ideal, el CND ejecutará un proceso aleatorio que determinará si la planta es o no llamada a prueba de disponibilidad </w:t>
      </w:r>
      <w:r>
        <w:rPr>
          <w:rFonts w:ascii="Bookman Old Style" w:hAnsi="Bookman Old Style" w:cs="Arial"/>
          <w:i/>
        </w:rPr>
        <w:t xml:space="preserve">para el </w:t>
      </w:r>
      <w:r w:rsidRPr="00E256AB">
        <w:rPr>
          <w:rFonts w:ascii="Bookman Old Style" w:hAnsi="Bookman Old Style" w:cs="Arial"/>
          <w:i/>
        </w:rPr>
        <w:t>día</w:t>
      </w:r>
      <w:r w:rsidRPr="00E21BEC">
        <w:rPr>
          <w:rFonts w:ascii="Bookman Old Style" w:hAnsi="Bookman Old Style" w:cs="Arial"/>
          <w:i/>
        </w:rPr>
        <w:t xml:space="preserve"> respectivo</w:t>
      </w:r>
      <w:r w:rsidRPr="00142F29">
        <w:rPr>
          <w:rFonts w:ascii="Bookman Old Style" w:hAnsi="Bookman Old Style" w:cs="Arial"/>
          <w:i/>
        </w:rPr>
        <w:t>.</w:t>
      </w:r>
      <w:r w:rsidRPr="00873E2A">
        <w:rPr>
          <w:rFonts w:ascii="Bookman Old Style" w:hAnsi="Bookman Old Style" w:cs="Arial"/>
          <w:i/>
        </w:rPr>
        <w:t xml:space="preserve"> La probabilidad de que la planta sea llamada a prueba se calculará conforme a la siguiente fórmula:</w:t>
      </w:r>
    </w:p>
    <w:p w:rsidR="00501C5C" w:rsidRPr="00873E2A" w:rsidRDefault="00284B57" w:rsidP="00501C5C">
      <w:pPr>
        <w:pStyle w:val="NormalWeb"/>
        <w:ind w:left="1416" w:right="567"/>
        <w:rPr>
          <w:i/>
          <w:szCs w:val="20"/>
          <w:lang w:val="es-ES"/>
        </w:rPr>
      </w:pPr>
      <m:oMathPara>
        <m:oMath>
          <m:sSub>
            <m:sSubPr>
              <m:ctrlPr>
                <w:rPr>
                  <w:rFonts w:ascii="Cambria Math" w:hAnsi="Cambria Math"/>
                  <w:i/>
                  <w:szCs w:val="20"/>
                  <w:lang w:val="es-ES"/>
                </w:rPr>
              </m:ctrlPr>
            </m:sSubPr>
            <m:e>
              <m:r>
                <w:rPr>
                  <w:rFonts w:ascii="Cambria Math" w:hAnsi="Cambria Math"/>
                  <w:szCs w:val="20"/>
                  <w:lang w:val="es-ES"/>
                </w:rPr>
                <m:t>P</m:t>
              </m:r>
            </m:e>
            <m:sub>
              <m:r>
                <w:rPr>
                  <w:rFonts w:ascii="Cambria Math" w:hAnsi="Cambria Math"/>
                  <w:szCs w:val="20"/>
                  <w:lang w:val="es-ES"/>
                </w:rPr>
                <m:t>g</m:t>
              </m:r>
            </m:sub>
          </m:sSub>
          <m:r>
            <w:rPr>
              <w:rFonts w:ascii="Cambria Math" w:hAnsi="Cambria Math"/>
              <w:szCs w:val="20"/>
              <w:lang w:val="es-ES"/>
            </w:rPr>
            <m:t>=</m:t>
          </m:r>
          <m:d>
            <m:dPr>
              <m:begChr m:val="|"/>
              <m:endChr m:val=""/>
              <m:ctrlPr>
                <w:rPr>
                  <w:rFonts w:ascii="Cambria Math" w:hAnsi="Cambria Math"/>
                  <w:i/>
                  <w:szCs w:val="20"/>
                  <w:lang w:val="es-ES"/>
                </w:rPr>
              </m:ctrlPr>
            </m:dPr>
            <m:e>
              <m:eqArr>
                <m:eqArrPr>
                  <m:ctrlPr>
                    <w:rPr>
                      <w:rFonts w:ascii="Cambria Math" w:hAnsi="Cambria Math"/>
                      <w:i/>
                      <w:szCs w:val="20"/>
                      <w:lang w:val="es-ES"/>
                    </w:rPr>
                  </m:ctrlPr>
                </m:eqArrPr>
                <m:e>
                  <m:f>
                    <m:fPr>
                      <m:ctrlPr>
                        <w:rPr>
                          <w:rFonts w:ascii="Cambria Math" w:hAnsi="Cambria Math"/>
                          <w:i/>
                          <w:szCs w:val="20"/>
                          <w:lang w:val="es-ES"/>
                        </w:rPr>
                      </m:ctrlPr>
                    </m:fPr>
                    <m:num>
                      <m:r>
                        <w:rPr>
                          <w:rFonts w:ascii="Cambria Math" w:hAnsi="Cambria Math"/>
                          <w:szCs w:val="20"/>
                          <w:lang w:val="es-ES"/>
                        </w:rPr>
                        <m:t>1</m:t>
                      </m:r>
                    </m:num>
                    <m:den>
                      <m:r>
                        <w:rPr>
                          <w:rFonts w:ascii="Cambria Math" w:hAnsi="Cambria Math"/>
                          <w:szCs w:val="20"/>
                          <w:lang w:val="es-ES"/>
                        </w:rPr>
                        <m:t>30</m:t>
                      </m:r>
                      <m:r>
                        <w:rPr>
                          <w:rFonts w:ascii="Cambria Math" w:hAnsi="Cambria Math" w:hint="eastAsia"/>
                          <w:szCs w:val="20"/>
                          <w:lang w:val="es-ES"/>
                        </w:rPr>
                        <m:t>×</m:t>
                      </m:r>
                      <m:d>
                        <m:dPr>
                          <m:ctrlPr>
                            <w:rPr>
                              <w:rFonts w:ascii="Cambria Math" w:hAnsi="Cambria Math"/>
                              <w:i/>
                              <w:szCs w:val="20"/>
                              <w:lang w:val="es-ES"/>
                            </w:rPr>
                          </m:ctrlPr>
                        </m:dPr>
                        <m:e>
                          <m:r>
                            <w:rPr>
                              <w:rFonts w:ascii="Cambria Math" w:hAnsi="Cambria Math"/>
                              <w:szCs w:val="20"/>
                              <w:lang w:val="es-ES"/>
                            </w:rPr>
                            <m:t>12</m:t>
                          </m:r>
                        </m:e>
                      </m:d>
                    </m:den>
                  </m:f>
                  <m:r>
                    <w:rPr>
                      <w:rFonts w:ascii="Cambria Math" w:hAnsi="Cambria Math"/>
                      <w:szCs w:val="20"/>
                      <w:lang w:val="es-ES"/>
                    </w:rPr>
                    <m:t xml:space="preserve">                                   </m:t>
                  </m:r>
                  <m:sSub>
                    <m:sSubPr>
                      <m:ctrlPr>
                        <w:rPr>
                          <w:rFonts w:ascii="Cambria Math" w:hAnsi="Cambria Math"/>
                          <w:i/>
                          <w:szCs w:val="20"/>
                          <w:lang w:val="es-ES"/>
                        </w:rPr>
                      </m:ctrlPr>
                    </m:sSubPr>
                    <m:e>
                      <m:r>
                        <w:rPr>
                          <w:rFonts w:ascii="Cambria Math" w:hAnsi="Cambria Math"/>
                          <w:szCs w:val="20"/>
                          <w:lang w:val="es-ES"/>
                        </w:rPr>
                        <m:t>M</m:t>
                      </m:r>
                    </m:e>
                    <m:sub>
                      <m:r>
                        <w:rPr>
                          <w:rFonts w:ascii="Cambria Math" w:hAnsi="Cambria Math"/>
                          <w:szCs w:val="20"/>
                          <w:lang w:val="es-ES"/>
                        </w:rPr>
                        <m:t>g</m:t>
                      </m:r>
                    </m:sub>
                  </m:sSub>
                  <m:r>
                    <w:rPr>
                      <w:rFonts w:ascii="Cambria Math" w:hAnsi="Cambria Math"/>
                      <w:szCs w:val="20"/>
                      <w:lang w:val="es-ES"/>
                    </w:rPr>
                    <m:t>&gt;12</m:t>
                  </m:r>
                </m:e>
                <m:e>
                  <m:f>
                    <m:fPr>
                      <m:ctrlPr>
                        <w:rPr>
                          <w:rFonts w:ascii="Cambria Math" w:hAnsi="Cambria Math"/>
                          <w:i/>
                          <w:szCs w:val="20"/>
                          <w:lang w:val="es-ES"/>
                        </w:rPr>
                      </m:ctrlPr>
                    </m:fPr>
                    <m:num>
                      <m:r>
                        <w:rPr>
                          <w:rFonts w:ascii="Cambria Math" w:hAnsi="Cambria Math"/>
                          <w:szCs w:val="20"/>
                          <w:lang w:val="es-ES"/>
                        </w:rPr>
                        <m:t>1</m:t>
                      </m:r>
                    </m:num>
                    <m:den>
                      <m:r>
                        <w:rPr>
                          <w:rFonts w:ascii="Cambria Math" w:hAnsi="Cambria Math"/>
                          <w:szCs w:val="20"/>
                          <w:lang w:val="es-ES"/>
                        </w:rPr>
                        <m:t>30</m:t>
                      </m:r>
                      <m:r>
                        <w:rPr>
                          <w:rFonts w:ascii="Cambria Math" w:hAnsi="Cambria Math" w:hint="eastAsia"/>
                          <w:szCs w:val="20"/>
                          <w:lang w:val="es-ES"/>
                        </w:rPr>
                        <m:t>×</m:t>
                      </m:r>
                      <m:d>
                        <m:dPr>
                          <m:ctrlPr>
                            <w:rPr>
                              <w:rFonts w:ascii="Cambria Math" w:hAnsi="Cambria Math"/>
                              <w:i/>
                              <w:szCs w:val="20"/>
                              <w:lang w:val="es-ES"/>
                            </w:rPr>
                          </m:ctrlPr>
                        </m:dPr>
                        <m:e>
                          <m:r>
                            <w:rPr>
                              <w:rFonts w:ascii="Cambria Math" w:hAnsi="Cambria Math"/>
                              <w:szCs w:val="20"/>
                              <w:lang w:val="es-ES"/>
                            </w:rPr>
                            <m:t>12-</m:t>
                          </m:r>
                          <m:sSub>
                            <m:sSubPr>
                              <m:ctrlPr>
                                <w:rPr>
                                  <w:rFonts w:ascii="Cambria Math" w:hAnsi="Cambria Math"/>
                                  <w:i/>
                                  <w:szCs w:val="20"/>
                                  <w:lang w:val="es-ES"/>
                                </w:rPr>
                              </m:ctrlPr>
                            </m:sSubPr>
                            <m:e>
                              <m:r>
                                <w:rPr>
                                  <w:rFonts w:ascii="Cambria Math" w:hAnsi="Cambria Math"/>
                                  <w:szCs w:val="20"/>
                                  <w:lang w:val="es-ES"/>
                                </w:rPr>
                                <m:t>M</m:t>
                              </m:r>
                            </m:e>
                            <m:sub>
                              <m:r>
                                <w:rPr>
                                  <w:rFonts w:ascii="Cambria Math" w:hAnsi="Cambria Math"/>
                                  <w:szCs w:val="20"/>
                                  <w:lang w:val="es-ES"/>
                                </w:rPr>
                                <m:t>g</m:t>
                              </m:r>
                            </m:sub>
                          </m:sSub>
                          <m:r>
                            <w:rPr>
                              <w:rFonts w:ascii="Cambria Math" w:hAnsi="Cambria Math"/>
                              <w:szCs w:val="20"/>
                              <w:lang w:val="es-ES"/>
                            </w:rPr>
                            <m:t>+1</m:t>
                          </m:r>
                        </m:e>
                      </m:d>
                    </m:den>
                  </m:f>
                  <m:r>
                    <w:rPr>
                      <w:rFonts w:ascii="Cambria Math" w:hAnsi="Cambria Math"/>
                      <w:szCs w:val="20"/>
                      <w:lang w:val="es-ES"/>
                    </w:rPr>
                    <m:t xml:space="preserve">               12≥ </m:t>
                  </m:r>
                  <m:sSub>
                    <m:sSubPr>
                      <m:ctrlPr>
                        <w:rPr>
                          <w:rFonts w:ascii="Cambria Math" w:hAnsi="Cambria Math"/>
                          <w:i/>
                          <w:szCs w:val="20"/>
                          <w:lang w:val="es-ES"/>
                        </w:rPr>
                      </m:ctrlPr>
                    </m:sSubPr>
                    <m:e>
                      <m:r>
                        <w:rPr>
                          <w:rFonts w:ascii="Cambria Math" w:hAnsi="Cambria Math"/>
                          <w:szCs w:val="20"/>
                          <w:lang w:val="es-ES"/>
                        </w:rPr>
                        <m:t>M</m:t>
                      </m:r>
                    </m:e>
                    <m:sub>
                      <m:r>
                        <w:rPr>
                          <w:rFonts w:ascii="Cambria Math" w:hAnsi="Cambria Math"/>
                          <w:szCs w:val="20"/>
                          <w:lang w:val="es-ES"/>
                        </w:rPr>
                        <m:t>g</m:t>
                      </m:r>
                    </m:sub>
                  </m:sSub>
                  <m:r>
                    <w:rPr>
                      <w:rFonts w:ascii="Cambria Math" w:hAnsi="Cambria Math"/>
                      <w:szCs w:val="20"/>
                      <w:lang w:val="es-ES"/>
                    </w:rPr>
                    <m:t xml:space="preserve">&gt;0 </m:t>
                  </m:r>
                  <m:ctrlPr>
                    <w:rPr>
                      <w:rFonts w:ascii="Cambria Math" w:eastAsia="Cambria Math" w:hAnsi="Cambria Math" w:cs="Cambria Math"/>
                      <w:i/>
                      <w:szCs w:val="20"/>
                      <w:lang w:val="es-ES"/>
                    </w:rPr>
                  </m:ctrlPr>
                </m:e>
                <m:e>
                  <m:ctrlPr>
                    <w:rPr>
                      <w:rFonts w:ascii="Cambria Math" w:eastAsia="Cambria Math" w:hAnsi="Cambria Math" w:cs="Cambria Math"/>
                      <w:i/>
                      <w:szCs w:val="20"/>
                      <w:lang w:val="es-ES"/>
                    </w:rPr>
                  </m:ctrlPr>
                </m:e>
                <m:e>
                  <m:f>
                    <m:fPr>
                      <m:ctrlPr>
                        <w:rPr>
                          <w:rFonts w:ascii="Cambria Math" w:hAnsi="Cambria Math"/>
                          <w:i/>
                          <w:szCs w:val="20"/>
                          <w:lang w:val="es-ES"/>
                        </w:rPr>
                      </m:ctrlPr>
                    </m:fPr>
                    <m:num>
                      <m:r>
                        <w:rPr>
                          <w:rFonts w:ascii="Cambria Math" w:hAnsi="Cambria Math"/>
                          <w:szCs w:val="20"/>
                          <w:lang w:val="es-ES"/>
                        </w:rPr>
                        <m:t>1</m:t>
                      </m:r>
                    </m:num>
                    <m:den>
                      <m:r>
                        <w:rPr>
                          <w:rFonts w:ascii="Cambria Math" w:hAnsi="Cambria Math"/>
                          <w:szCs w:val="20"/>
                          <w:lang w:val="es-ES"/>
                        </w:rPr>
                        <m:t>30</m:t>
                      </m:r>
                      <m:r>
                        <w:rPr>
                          <w:rFonts w:ascii="Cambria Math" w:hAnsi="Cambria Math" w:hint="eastAsia"/>
                          <w:szCs w:val="20"/>
                          <w:lang w:val="es-ES"/>
                        </w:rPr>
                        <m:t>×</m:t>
                      </m:r>
                      <m:d>
                        <m:dPr>
                          <m:ctrlPr>
                            <w:rPr>
                              <w:rFonts w:ascii="Cambria Math" w:hAnsi="Cambria Math"/>
                              <w:i/>
                              <w:szCs w:val="20"/>
                              <w:lang w:val="es-ES"/>
                            </w:rPr>
                          </m:ctrlPr>
                        </m:dPr>
                        <m:e>
                          <m:r>
                            <w:rPr>
                              <w:rFonts w:ascii="Cambria Math" w:hAnsi="Cambria Math"/>
                              <w:szCs w:val="20"/>
                              <w:lang w:val="es-ES"/>
                            </w:rPr>
                            <m:t>12</m:t>
                          </m:r>
                        </m:e>
                      </m:d>
                      <m:r>
                        <w:rPr>
                          <w:rFonts w:ascii="Cambria Math" w:hAnsi="Cambria Math" w:hint="eastAsia"/>
                          <w:szCs w:val="20"/>
                          <w:lang w:val="es-ES"/>
                        </w:rPr>
                        <m:t>×</m:t>
                      </m:r>
                      <m:r>
                        <w:rPr>
                          <w:rFonts w:ascii="Cambria Math" w:hAnsi="Cambria Math"/>
                          <w:szCs w:val="20"/>
                          <w:lang w:val="es-ES"/>
                        </w:rPr>
                        <m:t>2</m:t>
                      </m:r>
                    </m:den>
                  </m:f>
                  <m:r>
                    <w:rPr>
                      <w:rFonts w:ascii="Cambria Math" w:hAnsi="Cambria Math"/>
                      <w:szCs w:val="20"/>
                      <w:lang w:val="es-ES"/>
                    </w:rPr>
                    <m:t xml:space="preserve">                                     </m:t>
                  </m:r>
                  <m:sSub>
                    <m:sSubPr>
                      <m:ctrlPr>
                        <w:rPr>
                          <w:rFonts w:ascii="Cambria Math" w:hAnsi="Cambria Math"/>
                          <w:i/>
                          <w:szCs w:val="20"/>
                          <w:lang w:val="es-ES"/>
                        </w:rPr>
                      </m:ctrlPr>
                    </m:sSubPr>
                    <m:e>
                      <m:r>
                        <w:rPr>
                          <w:rFonts w:ascii="Cambria Math" w:hAnsi="Cambria Math"/>
                          <w:szCs w:val="20"/>
                          <w:lang w:val="es-ES"/>
                        </w:rPr>
                        <m:t>M</m:t>
                      </m:r>
                    </m:e>
                    <m:sub>
                      <m:r>
                        <w:rPr>
                          <w:rFonts w:ascii="Cambria Math" w:hAnsi="Cambria Math"/>
                          <w:szCs w:val="20"/>
                          <w:lang w:val="es-ES"/>
                        </w:rPr>
                        <m:t>g</m:t>
                      </m:r>
                    </m:sub>
                  </m:sSub>
                  <m:r>
                    <w:rPr>
                      <w:rFonts w:ascii="Cambria Math" w:hAnsi="Cambria Math"/>
                      <w:szCs w:val="20"/>
                      <w:lang w:val="es-ES"/>
                    </w:rPr>
                    <m:t>=0</m:t>
                  </m:r>
                </m:e>
              </m:eqArr>
            </m:e>
          </m:d>
        </m:oMath>
      </m:oMathPara>
    </w:p>
    <w:p w:rsidR="00501C5C" w:rsidRPr="00873E2A" w:rsidRDefault="00501C5C" w:rsidP="00501C5C">
      <w:pPr>
        <w:pStyle w:val="NormalWeb"/>
        <w:ind w:left="708" w:right="567"/>
        <w:rPr>
          <w:rFonts w:ascii="Bookman Old Style" w:hAnsi="Bookman Old Style" w:cs="Arial"/>
          <w:i/>
          <w:color w:val="auto"/>
          <w:lang w:val="es-ES" w:eastAsia="es-ES"/>
        </w:rPr>
      </w:pPr>
      <w:r w:rsidRPr="00873E2A">
        <w:rPr>
          <w:i/>
          <w:sz w:val="20"/>
          <w:szCs w:val="20"/>
          <w:lang w:val="es-ES"/>
        </w:rPr>
        <w:tab/>
      </w:r>
      <w:r w:rsidRPr="00873E2A">
        <w:rPr>
          <w:rFonts w:ascii="Bookman Old Style" w:hAnsi="Bookman Old Style" w:cs="Arial"/>
          <w:i/>
          <w:color w:val="auto"/>
          <w:lang w:val="es-ES" w:eastAsia="es-ES"/>
        </w:rPr>
        <w:t>Donde:</w:t>
      </w:r>
    </w:p>
    <w:p w:rsidR="00501C5C" w:rsidRPr="00873E2A" w:rsidRDefault="00284B57" w:rsidP="00501C5C">
      <w:pPr>
        <w:pStyle w:val="NormalWeb"/>
        <w:ind w:left="1764" w:right="567" w:hanging="708"/>
        <w:rPr>
          <w:rFonts w:ascii="Bookman Old Style" w:hAnsi="Bookman Old Style" w:cs="Arial"/>
          <w:i/>
          <w:color w:val="auto"/>
          <w:lang w:val="es-ES" w:eastAsia="es-ES"/>
        </w:rPr>
      </w:pPr>
      <m:oMath>
        <m:sSub>
          <m:sSubPr>
            <m:ctrlPr>
              <w:rPr>
                <w:rFonts w:ascii="Cambria Math" w:hAnsi="Cambria Math" w:cs="Arial"/>
                <w:i/>
                <w:color w:val="auto"/>
                <w:lang w:val="es-ES" w:eastAsia="es-ES"/>
              </w:rPr>
            </m:ctrlPr>
          </m:sSubPr>
          <m:e>
            <m:r>
              <w:rPr>
                <w:rFonts w:ascii="Cambria Math" w:hAnsi="Cambria Math" w:cs="Arial"/>
                <w:color w:val="auto"/>
                <w:lang w:val="es-ES" w:eastAsia="es-ES"/>
              </w:rPr>
              <m:t>P</m:t>
            </m:r>
          </m:e>
          <m:sub>
            <m:r>
              <w:rPr>
                <w:rFonts w:ascii="Cambria Math" w:hAnsi="Cambria Math" w:cs="Arial"/>
                <w:color w:val="auto"/>
                <w:lang w:val="es-ES" w:eastAsia="es-ES"/>
              </w:rPr>
              <m:t>g</m:t>
            </m:r>
          </m:sub>
        </m:sSub>
      </m:oMath>
      <w:r w:rsidR="00501C5C" w:rsidRPr="00873E2A">
        <w:rPr>
          <w:rFonts w:ascii="Bookman Old Style" w:hAnsi="Bookman Old Style" w:cs="Arial"/>
          <w:i/>
          <w:color w:val="auto"/>
          <w:lang w:val="es-ES" w:eastAsia="es-ES"/>
        </w:rPr>
        <w:tab/>
        <w:t xml:space="preserve">Probabilidad de que la planta o unidad de generación </w:t>
      </w:r>
      <m:oMath>
        <m:r>
          <w:rPr>
            <w:rFonts w:ascii="Cambria Math" w:hAnsi="Cambria Math" w:cs="Arial"/>
            <w:color w:val="auto"/>
            <w:lang w:val="es-ES" w:eastAsia="es-ES"/>
          </w:rPr>
          <m:t>g</m:t>
        </m:r>
      </m:oMath>
      <w:r w:rsidR="00501C5C" w:rsidRPr="00873E2A">
        <w:rPr>
          <w:rFonts w:ascii="Bookman Old Style" w:hAnsi="Bookman Old Style" w:cs="Arial"/>
          <w:i/>
          <w:color w:val="auto"/>
          <w:lang w:val="es-ES" w:eastAsia="es-ES"/>
        </w:rPr>
        <w:t xml:space="preserve"> sea llamada a prueba de disponibilidad.</w:t>
      </w:r>
    </w:p>
    <w:p w:rsidR="00501C5C" w:rsidRPr="00873E2A" w:rsidRDefault="00284B57" w:rsidP="00501C5C">
      <w:pPr>
        <w:pStyle w:val="NormalWeb"/>
        <w:ind w:left="1764" w:right="567" w:hanging="708"/>
        <w:jc w:val="both"/>
        <w:rPr>
          <w:rFonts w:ascii="Bookman Old Style" w:hAnsi="Bookman Old Style" w:cs="Arial"/>
          <w:i/>
          <w:color w:val="auto"/>
          <w:lang w:val="es-ES" w:eastAsia="es-ES"/>
        </w:rPr>
      </w:pPr>
      <m:oMath>
        <m:sSub>
          <m:sSubPr>
            <m:ctrlPr>
              <w:rPr>
                <w:rFonts w:ascii="Cambria Math" w:hAnsi="Cambria Math" w:cs="Arial"/>
                <w:i/>
                <w:color w:val="auto"/>
                <w:lang w:val="es-ES" w:eastAsia="es-ES"/>
              </w:rPr>
            </m:ctrlPr>
          </m:sSubPr>
          <m:e>
            <m:r>
              <w:rPr>
                <w:rFonts w:ascii="Cambria Math" w:hAnsi="Cambria Math" w:cs="Arial"/>
                <w:color w:val="auto"/>
                <w:lang w:val="es-ES" w:eastAsia="es-ES"/>
              </w:rPr>
              <m:t>M</m:t>
            </m:r>
          </m:e>
          <m:sub>
            <m:r>
              <w:rPr>
                <w:rFonts w:ascii="Cambria Math" w:hAnsi="Cambria Math" w:cs="Arial"/>
                <w:color w:val="auto"/>
                <w:lang w:val="es-ES" w:eastAsia="es-ES"/>
              </w:rPr>
              <m:t>g</m:t>
            </m:r>
          </m:sub>
        </m:sSub>
      </m:oMath>
      <w:r w:rsidR="00501C5C" w:rsidRPr="00873E2A">
        <w:rPr>
          <w:rFonts w:ascii="Bookman Old Style" w:hAnsi="Bookman Old Style" w:cs="Arial"/>
          <w:i/>
          <w:color w:val="auto"/>
          <w:lang w:val="es-ES" w:eastAsia="es-ES"/>
        </w:rPr>
        <w:tab/>
      </w:r>
      <w:r w:rsidR="00435061" w:rsidRPr="00435061">
        <w:rPr>
          <w:rFonts w:ascii="Bookman Old Style" w:hAnsi="Bookman Old Style" w:cs="Arial"/>
          <w:i/>
          <w:color w:val="auto"/>
          <w:lang w:val="es-ES" w:eastAsia="es-ES"/>
        </w:rPr>
        <w:t>Número de meses calendario consecutivos e inmediatamente anteriores a la fecha de cálculo</w:t>
      </w:r>
      <w:r w:rsidR="00D9399B">
        <w:rPr>
          <w:rFonts w:ascii="Bookman Old Style" w:hAnsi="Bookman Old Style" w:cs="Arial"/>
          <w:i/>
          <w:color w:val="auto"/>
          <w:lang w:val="es-ES" w:eastAsia="es-ES"/>
        </w:rPr>
        <w:t>,</w:t>
      </w:r>
      <w:r w:rsidR="00435061" w:rsidRPr="00435061">
        <w:rPr>
          <w:rFonts w:ascii="Bookman Old Style" w:hAnsi="Bookman Old Style" w:cs="Arial"/>
          <w:i/>
          <w:color w:val="auto"/>
          <w:lang w:val="es-ES" w:eastAsia="es-ES"/>
        </w:rPr>
        <w:t xml:space="preserve"> contados </w:t>
      </w:r>
      <w:r w:rsidR="00D9399B">
        <w:rPr>
          <w:rFonts w:ascii="Bookman Old Style" w:hAnsi="Bookman Old Style" w:cs="Arial"/>
          <w:i/>
          <w:color w:val="auto"/>
          <w:lang w:val="es-ES" w:eastAsia="es-ES"/>
        </w:rPr>
        <w:t>desde</w:t>
      </w:r>
      <w:r w:rsidR="00435061" w:rsidRPr="00435061">
        <w:rPr>
          <w:rFonts w:ascii="Bookman Old Style" w:hAnsi="Bookman Old Style" w:cs="Arial"/>
          <w:i/>
          <w:color w:val="auto"/>
          <w:lang w:val="es-ES" w:eastAsia="es-ES"/>
        </w:rPr>
        <w:t xml:space="preserve"> el último mes </w:t>
      </w:r>
      <w:r w:rsidR="00D9399B">
        <w:rPr>
          <w:rFonts w:ascii="Bookman Old Style" w:hAnsi="Bookman Old Style" w:cs="Arial"/>
          <w:i/>
          <w:color w:val="auto"/>
          <w:lang w:val="es-ES" w:eastAsia="es-ES"/>
        </w:rPr>
        <w:t>en que</w:t>
      </w:r>
      <w:r w:rsidR="00435061" w:rsidRPr="00435061">
        <w:rPr>
          <w:rFonts w:ascii="Bookman Old Style" w:hAnsi="Bookman Old Style" w:cs="Arial"/>
          <w:i/>
          <w:color w:val="auto"/>
          <w:lang w:val="es-ES" w:eastAsia="es-ES"/>
        </w:rPr>
        <w:t xml:space="preserve"> la planta haya tenido generación real. Se considera M</w:t>
      </w:r>
      <w:r w:rsidR="00435061" w:rsidRPr="00435061">
        <w:rPr>
          <w:rFonts w:ascii="Bookman Old Style" w:hAnsi="Bookman Old Style" w:cs="Arial"/>
          <w:i/>
          <w:color w:val="auto"/>
          <w:vertAlign w:val="subscript"/>
          <w:lang w:val="es-ES" w:eastAsia="es-ES"/>
        </w:rPr>
        <w:t>g</w:t>
      </w:r>
      <w:r w:rsidR="00435061" w:rsidRPr="00435061">
        <w:rPr>
          <w:rFonts w:ascii="Bookman Old Style" w:hAnsi="Bookman Old Style" w:cs="Arial"/>
          <w:i/>
          <w:color w:val="auto"/>
          <w:lang w:val="es-ES" w:eastAsia="es-ES"/>
        </w:rPr>
        <w:t xml:space="preserve"> igual a cero si a la fecha de cálculo del mes en curso la planta ha tenido generación real. La generación real debe ser como mínimo, durante 4 horas continuas, sin considerar rampas de entrada y salida</w:t>
      </w:r>
      <w:r w:rsidR="00435061">
        <w:rPr>
          <w:rFonts w:ascii="Bookman Old Style" w:hAnsi="Bookman Old Style" w:cs="Arial"/>
          <w:i/>
          <w:color w:val="auto"/>
          <w:lang w:val="es-ES" w:eastAsia="es-ES"/>
        </w:rPr>
        <w:t>.</w:t>
      </w:r>
    </w:p>
    <w:p w:rsidR="00501C5C" w:rsidRPr="00873E2A" w:rsidRDefault="00501C5C" w:rsidP="00501C5C">
      <w:pPr>
        <w:pStyle w:val="NormalWeb"/>
        <w:ind w:left="708" w:right="567"/>
        <w:jc w:val="both"/>
        <w:rPr>
          <w:rFonts w:ascii="Bookman Old Style" w:hAnsi="Bookman Old Style" w:cs="Arial"/>
          <w:i/>
          <w:color w:val="auto"/>
          <w:lang w:val="es-ES" w:eastAsia="es-ES"/>
        </w:rPr>
      </w:pPr>
      <w:r w:rsidRPr="00873E2A">
        <w:rPr>
          <w:rFonts w:ascii="Bookman Old Style" w:hAnsi="Bookman Old Style" w:cs="Arial"/>
          <w:i/>
          <w:color w:val="auto"/>
          <w:lang w:val="es-ES" w:eastAsia="es-ES"/>
        </w:rPr>
        <w:t xml:space="preserve">El CND al momento de informar el Despacho Económico, informará a los agentes las plantas o unidades de generación elegidas para la realización de las pruebas de disponibilidad, y publicará los resultados una vez estas </w:t>
      </w:r>
      <w:r>
        <w:rPr>
          <w:rFonts w:ascii="Bookman Old Style" w:hAnsi="Bookman Old Style" w:cs="Arial"/>
          <w:i/>
          <w:color w:val="auto"/>
          <w:lang w:val="es-ES" w:eastAsia="es-ES"/>
        </w:rPr>
        <w:t>hayan</w:t>
      </w:r>
      <w:r w:rsidRPr="00873E2A">
        <w:rPr>
          <w:rFonts w:ascii="Bookman Old Style" w:hAnsi="Bookman Old Style" w:cs="Arial"/>
          <w:i/>
          <w:color w:val="auto"/>
          <w:lang w:val="es-ES" w:eastAsia="es-ES"/>
        </w:rPr>
        <w:t xml:space="preserve"> conclu</w:t>
      </w:r>
      <w:r>
        <w:rPr>
          <w:rFonts w:ascii="Bookman Old Style" w:hAnsi="Bookman Old Style" w:cs="Arial"/>
          <w:i/>
          <w:color w:val="auto"/>
          <w:lang w:val="es-ES" w:eastAsia="es-ES"/>
        </w:rPr>
        <w:t>ido</w:t>
      </w:r>
      <w:r w:rsidRPr="00873E2A">
        <w:rPr>
          <w:rFonts w:ascii="Bookman Old Style" w:hAnsi="Bookman Old Style" w:cs="Arial"/>
          <w:i/>
          <w:color w:val="auto"/>
          <w:lang w:val="es-ES" w:eastAsia="es-ES"/>
        </w:rPr>
        <w:t>.</w:t>
      </w:r>
    </w:p>
    <w:p w:rsidR="00501C5C" w:rsidRPr="00873E2A" w:rsidRDefault="00501C5C" w:rsidP="00501C5C">
      <w:pPr>
        <w:pStyle w:val="NormalWeb"/>
        <w:ind w:left="708" w:right="567"/>
        <w:jc w:val="both"/>
        <w:rPr>
          <w:rFonts w:ascii="Bookman Old Style" w:hAnsi="Bookman Old Style" w:cs="Arial"/>
          <w:i/>
          <w:color w:val="auto"/>
          <w:lang w:val="es-ES" w:eastAsia="es-ES"/>
        </w:rPr>
      </w:pPr>
      <w:r w:rsidRPr="00873E2A">
        <w:rPr>
          <w:rFonts w:ascii="Bookman Old Style" w:hAnsi="Bookman Old Style" w:cs="Arial"/>
          <w:b/>
          <w:i/>
          <w:color w:val="auto"/>
          <w:lang w:val="es-ES" w:eastAsia="es-ES"/>
        </w:rPr>
        <w:t>Parágrafo 1</w:t>
      </w:r>
      <w:r w:rsidRPr="00873E2A">
        <w:rPr>
          <w:rFonts w:ascii="Bookman Old Style" w:hAnsi="Bookman Old Style" w:cs="Arial"/>
          <w:i/>
          <w:color w:val="auto"/>
          <w:lang w:eastAsia="es-ES"/>
        </w:rPr>
        <w:t>.</w:t>
      </w:r>
      <w:r w:rsidRPr="00873E2A">
        <w:rPr>
          <w:rFonts w:ascii="Bookman Old Style" w:hAnsi="Bookman Old Style" w:cs="Arial"/>
          <w:i/>
          <w:color w:val="auto"/>
          <w:lang w:val="es-ES" w:eastAsia="es-ES"/>
        </w:rPr>
        <w:t xml:space="preserve"> Cuando la Planta o Unidad de generación seleccionada para la realización de la prueba se encuentre aislada del SIN, o cuando por requerimientos de seguridad y confiabilidad del SIN, o por aplicación del Decreto </w:t>
      </w:r>
      <w:hyperlink r:id="rId11" w:anchor="1" w:history="1">
        <w:r w:rsidRPr="00873E2A">
          <w:rPr>
            <w:rFonts w:ascii="Bookman Old Style" w:hAnsi="Bookman Old Style" w:cs="Arial"/>
            <w:i/>
            <w:color w:val="auto"/>
            <w:lang w:eastAsia="es-ES"/>
          </w:rPr>
          <w:t>880</w:t>
        </w:r>
      </w:hyperlink>
      <w:r w:rsidRPr="00873E2A">
        <w:rPr>
          <w:rFonts w:ascii="Bookman Old Style" w:hAnsi="Bookman Old Style" w:cs="Arial"/>
          <w:i/>
          <w:color w:val="auto"/>
          <w:lang w:val="es-ES" w:eastAsia="es-ES"/>
        </w:rPr>
        <w:t xml:space="preserve"> de 2007, no pueda ser despachada en ningún período, </w:t>
      </w:r>
      <w:r>
        <w:rPr>
          <w:rFonts w:ascii="Bookman Old Style" w:hAnsi="Bookman Old Style" w:cs="Arial"/>
          <w:i/>
          <w:color w:val="auto"/>
          <w:lang w:val="es-ES" w:eastAsia="es-ES"/>
        </w:rPr>
        <w:t xml:space="preserve">el </w:t>
      </w:r>
      <w:r w:rsidRPr="00873E2A">
        <w:rPr>
          <w:rFonts w:ascii="Bookman Old Style" w:hAnsi="Bookman Old Style" w:cs="Arial"/>
          <w:i/>
          <w:color w:val="auto"/>
          <w:lang w:val="es-ES" w:eastAsia="es-ES"/>
        </w:rPr>
        <w:t>CND  cancelar</w:t>
      </w:r>
      <w:r>
        <w:rPr>
          <w:rFonts w:ascii="Bookman Old Style" w:hAnsi="Bookman Old Style" w:cs="Arial"/>
          <w:i/>
          <w:color w:val="auto"/>
          <w:lang w:val="es-ES" w:eastAsia="es-ES"/>
        </w:rPr>
        <w:t>á</w:t>
      </w:r>
      <w:r w:rsidRPr="00873E2A">
        <w:rPr>
          <w:rFonts w:ascii="Bookman Old Style" w:hAnsi="Bookman Old Style" w:cs="Arial"/>
          <w:i/>
          <w:color w:val="auto"/>
          <w:lang w:val="es-ES" w:eastAsia="es-ES"/>
        </w:rPr>
        <w:t xml:space="preserve"> la prueba.</w:t>
      </w:r>
    </w:p>
    <w:p w:rsidR="00501C5C" w:rsidRPr="00873E2A" w:rsidRDefault="00501C5C" w:rsidP="00501C5C">
      <w:pPr>
        <w:pStyle w:val="NormalWeb"/>
        <w:ind w:left="708" w:right="567"/>
        <w:jc w:val="both"/>
        <w:rPr>
          <w:rFonts w:ascii="Bookman Old Style" w:hAnsi="Bookman Old Style" w:cs="Arial"/>
          <w:i/>
          <w:color w:val="auto"/>
          <w:lang w:val="es-ES" w:eastAsia="es-ES"/>
        </w:rPr>
      </w:pPr>
      <w:r w:rsidRPr="00873E2A">
        <w:rPr>
          <w:rFonts w:ascii="Bookman Old Style" w:hAnsi="Bookman Old Style" w:cs="Arial"/>
          <w:b/>
          <w:i/>
          <w:color w:val="auto"/>
          <w:lang w:val="es-ES" w:eastAsia="es-ES"/>
        </w:rPr>
        <w:t>Parágrafo 2.</w:t>
      </w:r>
      <w:r w:rsidRPr="00873E2A">
        <w:rPr>
          <w:rFonts w:ascii="Bookman Old Style" w:hAnsi="Bookman Old Style" w:cs="Arial"/>
          <w:i/>
          <w:color w:val="auto"/>
          <w:lang w:val="es-ES" w:eastAsia="es-ES"/>
        </w:rPr>
        <w:t xml:space="preserve"> Esta prueba solamente aplica para las plantas con Obligaciones de Energía Firme en el día respectivo.</w:t>
      </w:r>
    </w:p>
    <w:p w:rsidR="00501C5C" w:rsidRDefault="00501C5C" w:rsidP="00501C5C">
      <w:pPr>
        <w:pStyle w:val="NormalWeb"/>
        <w:spacing w:before="0" w:beforeAutospacing="0" w:after="0" w:afterAutospacing="0"/>
        <w:ind w:left="708" w:right="567"/>
        <w:jc w:val="both"/>
        <w:rPr>
          <w:rFonts w:ascii="Bookman Old Style" w:hAnsi="Bookman Old Style" w:cs="Arial"/>
          <w:i/>
          <w:color w:val="auto"/>
          <w:lang w:val="es-ES" w:eastAsia="es-ES"/>
        </w:rPr>
      </w:pPr>
      <w:r w:rsidRPr="00873E2A">
        <w:rPr>
          <w:rFonts w:ascii="Bookman Old Style" w:hAnsi="Bookman Old Style" w:cs="Arial"/>
          <w:b/>
          <w:i/>
          <w:color w:val="auto"/>
          <w:lang w:val="es-ES" w:eastAsia="es-ES"/>
        </w:rPr>
        <w:t>Parágrafo 3.</w:t>
      </w:r>
      <w:r w:rsidRPr="00873E2A">
        <w:rPr>
          <w:rFonts w:ascii="Bookman Old Style" w:hAnsi="Bookman Old Style" w:cs="Arial"/>
          <w:i/>
          <w:color w:val="auto"/>
          <w:lang w:val="es-ES" w:eastAsia="es-ES"/>
        </w:rPr>
        <w:t xml:space="preserve"> Esta prueba no se podrá realizar</w:t>
      </w:r>
      <w:r>
        <w:rPr>
          <w:rFonts w:ascii="Bookman Old Style" w:hAnsi="Bookman Old Style" w:cs="Arial"/>
          <w:i/>
          <w:color w:val="auto"/>
          <w:lang w:val="es-ES" w:eastAsia="es-ES"/>
        </w:rPr>
        <w:t>:</w:t>
      </w:r>
    </w:p>
    <w:p w:rsidR="004D5B73" w:rsidRDefault="004D5B73" w:rsidP="00501C5C">
      <w:pPr>
        <w:pStyle w:val="NormalWeb"/>
        <w:spacing w:before="0" w:beforeAutospacing="0" w:after="0" w:afterAutospacing="0"/>
        <w:ind w:left="708" w:right="567"/>
        <w:jc w:val="both"/>
        <w:rPr>
          <w:rFonts w:ascii="Bookman Old Style" w:hAnsi="Bookman Old Style" w:cs="Arial"/>
          <w:i/>
          <w:color w:val="auto"/>
          <w:lang w:val="es-ES" w:eastAsia="es-ES"/>
        </w:rPr>
      </w:pPr>
    </w:p>
    <w:p w:rsidR="00501C5C" w:rsidRPr="00873E2A" w:rsidRDefault="00501C5C" w:rsidP="00501C5C">
      <w:pPr>
        <w:pStyle w:val="NormalWeb"/>
        <w:numPr>
          <w:ilvl w:val="0"/>
          <w:numId w:val="65"/>
        </w:numPr>
        <w:spacing w:before="0" w:beforeAutospacing="0" w:after="0" w:afterAutospacing="0"/>
        <w:ind w:right="567"/>
        <w:jc w:val="both"/>
        <w:rPr>
          <w:rFonts w:ascii="Bookman Old Style" w:hAnsi="Bookman Old Style" w:cs="Arial"/>
          <w:i/>
          <w:color w:val="auto"/>
          <w:lang w:val="es-ES" w:eastAsia="es-ES"/>
        </w:rPr>
      </w:pPr>
      <w:r w:rsidRPr="00873E2A">
        <w:rPr>
          <w:rFonts w:ascii="Bookman Old Style" w:hAnsi="Bookman Old Style" w:cs="Arial"/>
          <w:i/>
          <w:color w:val="auto"/>
          <w:lang w:val="es-ES" w:eastAsia="es-ES"/>
        </w:rPr>
        <w:t xml:space="preserve">Desde tres (3) días antes de realización de la Prueba de Calentamiento </w:t>
      </w:r>
      <w:r>
        <w:rPr>
          <w:rFonts w:ascii="Bookman Old Style" w:hAnsi="Bookman Old Style" w:cs="Arial"/>
          <w:i/>
          <w:color w:val="auto"/>
          <w:lang w:val="es-ES" w:eastAsia="es-ES"/>
        </w:rPr>
        <w:t xml:space="preserve">definida por la regulación </w:t>
      </w:r>
      <w:r w:rsidRPr="00873E2A">
        <w:rPr>
          <w:rFonts w:ascii="Bookman Old Style" w:hAnsi="Bookman Old Style" w:cs="Arial"/>
          <w:i/>
          <w:color w:val="auto"/>
          <w:lang w:val="es-ES" w:eastAsia="es-ES"/>
        </w:rPr>
        <w:t>y hasta la finalización de la misma.</w:t>
      </w:r>
    </w:p>
    <w:p w:rsidR="00501C5C" w:rsidRPr="00435061" w:rsidRDefault="00501C5C" w:rsidP="00435061">
      <w:pPr>
        <w:pStyle w:val="NormalWeb"/>
        <w:numPr>
          <w:ilvl w:val="0"/>
          <w:numId w:val="65"/>
        </w:numPr>
        <w:ind w:right="567"/>
        <w:jc w:val="both"/>
        <w:rPr>
          <w:rFonts w:ascii="Bookman Old Style" w:hAnsi="Bookman Old Style" w:cs="Arial"/>
          <w:b/>
        </w:rPr>
      </w:pPr>
      <w:r w:rsidRPr="00873E2A">
        <w:rPr>
          <w:rFonts w:ascii="Bookman Old Style" w:hAnsi="Bookman Old Style" w:cs="Arial"/>
          <w:i/>
          <w:color w:val="auto"/>
          <w:lang w:val="es-ES" w:eastAsia="es-ES"/>
        </w:rPr>
        <w:t xml:space="preserve">Tres (3) días antes o menos de la finalización de las Obligaciones </w:t>
      </w:r>
    </w:p>
    <w:p w:rsidR="004D5B73" w:rsidRDefault="004D5B73" w:rsidP="00501C5C">
      <w:pPr>
        <w:ind w:left="0"/>
        <w:jc w:val="both"/>
        <w:rPr>
          <w:rFonts w:ascii="Bookman Old Style" w:hAnsi="Bookman Old Style" w:cs="Arial"/>
          <w:b/>
        </w:rPr>
      </w:pPr>
    </w:p>
    <w:p w:rsidR="00501C5C" w:rsidRPr="00BA04BF" w:rsidRDefault="00501C5C" w:rsidP="00501C5C">
      <w:pPr>
        <w:ind w:left="0"/>
        <w:jc w:val="both"/>
        <w:rPr>
          <w:rFonts w:ascii="Bookman Old Style" w:hAnsi="Bookman Old Style" w:cs="Arial"/>
          <w:bCs/>
        </w:rPr>
      </w:pPr>
      <w:r w:rsidRPr="00BA04BF">
        <w:rPr>
          <w:rFonts w:ascii="Bookman Old Style" w:hAnsi="Bookman Old Style" w:cs="Arial"/>
          <w:b/>
        </w:rPr>
        <w:t>ART</w:t>
      </w:r>
      <w:r>
        <w:rPr>
          <w:rFonts w:ascii="Bookman Old Style" w:hAnsi="Bookman Old Style" w:cs="Arial"/>
          <w:b/>
        </w:rPr>
        <w:t xml:space="preserve">ÍCULO </w:t>
      </w:r>
      <w:r w:rsidR="00435061">
        <w:rPr>
          <w:rFonts w:ascii="Bookman Old Style" w:hAnsi="Bookman Old Style" w:cs="Arial"/>
          <w:b/>
        </w:rPr>
        <w:t>2</w:t>
      </w:r>
      <w:r w:rsidRPr="00BA04BF">
        <w:rPr>
          <w:rFonts w:ascii="Bookman Old Style" w:hAnsi="Bookman Old Style" w:cs="Arial"/>
          <w:b/>
        </w:rPr>
        <w:t xml:space="preserve">. VIGENCIA </w:t>
      </w:r>
      <w:r>
        <w:rPr>
          <w:rFonts w:ascii="Bookman Old Style" w:hAnsi="Bookman Old Style" w:cs="Arial"/>
          <w:b/>
        </w:rPr>
        <w:t xml:space="preserve">Y </w:t>
      </w:r>
      <w:r w:rsidRPr="00BA04BF">
        <w:rPr>
          <w:rFonts w:ascii="Bookman Old Style" w:hAnsi="Bookman Old Style" w:cs="Arial"/>
          <w:b/>
        </w:rPr>
        <w:t xml:space="preserve">DEROGATORIAS. </w:t>
      </w:r>
      <w:r w:rsidRPr="00BA04BF">
        <w:rPr>
          <w:rFonts w:ascii="Bookman Old Style" w:hAnsi="Bookman Old Style" w:cs="Arial"/>
          <w:bCs/>
        </w:rPr>
        <w:t xml:space="preserve">La presente resolución </w:t>
      </w:r>
      <w:r>
        <w:rPr>
          <w:rFonts w:ascii="Bookman Old Style" w:hAnsi="Bookman Old Style" w:cs="Arial"/>
          <w:bCs/>
        </w:rPr>
        <w:t xml:space="preserve">rige </w:t>
      </w:r>
      <w:r w:rsidRPr="00BA04BF">
        <w:rPr>
          <w:rFonts w:ascii="Bookman Old Style" w:hAnsi="Bookman Old Style" w:cs="Arial"/>
          <w:bCs/>
        </w:rPr>
        <w:t xml:space="preserve">a partir de su publicación en el </w:t>
      </w:r>
      <w:r w:rsidRPr="00C32A2D">
        <w:rPr>
          <w:rFonts w:ascii="Bookman Old Style" w:hAnsi="Bookman Old Style" w:cs="Arial"/>
          <w:bCs/>
          <w:i/>
        </w:rPr>
        <w:t>Diario Oficial</w:t>
      </w:r>
      <w:r w:rsidRPr="00BA04BF">
        <w:rPr>
          <w:rFonts w:ascii="Bookman Old Style" w:hAnsi="Bookman Old Style" w:cs="Arial"/>
          <w:bCs/>
        </w:rPr>
        <w:t xml:space="preserve"> y </w:t>
      </w:r>
      <w:r w:rsidR="00435061">
        <w:rPr>
          <w:rFonts w:ascii="Bookman Old Style" w:hAnsi="Bookman Old Style" w:cs="Arial"/>
          <w:bCs/>
        </w:rPr>
        <w:t>modifica</w:t>
      </w:r>
      <w:r>
        <w:rPr>
          <w:rFonts w:ascii="Bookman Old Style" w:hAnsi="Bookman Old Style" w:cs="Arial"/>
          <w:bCs/>
        </w:rPr>
        <w:t xml:space="preserve"> </w:t>
      </w:r>
      <w:r w:rsidR="00435061">
        <w:rPr>
          <w:rFonts w:ascii="Bookman Old Style" w:hAnsi="Bookman Old Style" w:cs="Arial"/>
          <w:bCs/>
        </w:rPr>
        <w:t xml:space="preserve">el Artículo 1o de </w:t>
      </w:r>
      <w:r>
        <w:rPr>
          <w:rFonts w:ascii="Bookman Old Style" w:hAnsi="Bookman Old Style" w:cs="Arial"/>
          <w:bCs/>
        </w:rPr>
        <w:t>la Resolución CREG 1</w:t>
      </w:r>
      <w:r w:rsidR="00435061">
        <w:rPr>
          <w:rFonts w:ascii="Bookman Old Style" w:hAnsi="Bookman Old Style" w:cs="Arial"/>
          <w:bCs/>
        </w:rPr>
        <w:t>38</w:t>
      </w:r>
      <w:r>
        <w:rPr>
          <w:rFonts w:ascii="Bookman Old Style" w:hAnsi="Bookman Old Style" w:cs="Arial"/>
          <w:bCs/>
        </w:rPr>
        <w:t xml:space="preserve"> de 20</w:t>
      </w:r>
      <w:r w:rsidR="00435061">
        <w:rPr>
          <w:rFonts w:ascii="Bookman Old Style" w:hAnsi="Bookman Old Style" w:cs="Arial"/>
          <w:bCs/>
        </w:rPr>
        <w:t>12</w:t>
      </w:r>
      <w:r>
        <w:rPr>
          <w:rFonts w:ascii="Bookman Old Style" w:hAnsi="Bookman Old Style" w:cs="Arial"/>
          <w:bCs/>
        </w:rPr>
        <w:t xml:space="preserve"> y</w:t>
      </w:r>
      <w:r w:rsidRPr="00BA04BF">
        <w:rPr>
          <w:rFonts w:ascii="Bookman Old Style" w:hAnsi="Bookman Old Style" w:cs="Arial"/>
          <w:bCs/>
        </w:rPr>
        <w:t xml:space="preserve"> todas las</w:t>
      </w:r>
      <w:r>
        <w:rPr>
          <w:rFonts w:ascii="Bookman Old Style" w:hAnsi="Bookman Old Style" w:cs="Arial"/>
          <w:bCs/>
        </w:rPr>
        <w:t xml:space="preserve"> </w:t>
      </w:r>
      <w:r w:rsidRPr="00BA04BF">
        <w:rPr>
          <w:rFonts w:ascii="Bookman Old Style" w:hAnsi="Bookman Old Style" w:cs="Arial"/>
          <w:bCs/>
        </w:rPr>
        <w:t>disposiciones que le sean contrarias.</w:t>
      </w:r>
    </w:p>
    <w:p w:rsidR="00501C5C" w:rsidRDefault="00501C5C" w:rsidP="00501C5C">
      <w:pPr>
        <w:tabs>
          <w:tab w:val="left" w:pos="-720"/>
          <w:tab w:val="left" w:pos="1985"/>
        </w:tabs>
        <w:suppressAutoHyphens/>
        <w:ind w:left="0"/>
        <w:jc w:val="both"/>
        <w:rPr>
          <w:rFonts w:ascii="Bookman Old Style" w:hAnsi="Bookman Old Style" w:cs="Arial"/>
          <w:b/>
          <w:bCs/>
        </w:rPr>
      </w:pPr>
      <w:r w:rsidRPr="00BA04BF">
        <w:rPr>
          <w:rFonts w:ascii="Bookman Old Style" w:hAnsi="Bookman Old Style" w:cs="Arial"/>
          <w:b/>
          <w:bCs/>
        </w:rPr>
        <w:t xml:space="preserve">  </w:t>
      </w:r>
    </w:p>
    <w:p w:rsidR="00501C5C" w:rsidRPr="00BA04BF" w:rsidRDefault="00501C5C" w:rsidP="00501C5C">
      <w:pPr>
        <w:tabs>
          <w:tab w:val="left" w:pos="-720"/>
          <w:tab w:val="left" w:pos="1985"/>
        </w:tabs>
        <w:suppressAutoHyphens/>
        <w:ind w:left="0"/>
        <w:jc w:val="both"/>
        <w:rPr>
          <w:rFonts w:ascii="Bookman Old Style" w:hAnsi="Bookman Old Style" w:cs="Arial"/>
          <w:b/>
          <w:bCs/>
        </w:rPr>
      </w:pPr>
    </w:p>
    <w:p w:rsidR="00501C5C" w:rsidRPr="00BA04BF" w:rsidRDefault="00501C5C" w:rsidP="00501C5C">
      <w:pPr>
        <w:tabs>
          <w:tab w:val="center" w:pos="4680"/>
        </w:tabs>
        <w:suppressAutoHyphens/>
        <w:ind w:left="0"/>
        <w:jc w:val="both"/>
        <w:rPr>
          <w:rFonts w:ascii="Bookman Old Style" w:hAnsi="Bookman Old Style" w:cs="Arial"/>
          <w:b/>
          <w:bCs/>
        </w:rPr>
      </w:pPr>
      <w:r w:rsidRPr="00BA04BF">
        <w:rPr>
          <w:rFonts w:ascii="Bookman Old Style" w:hAnsi="Bookman Old Style" w:cs="Arial"/>
          <w:spacing w:val="-4"/>
        </w:rPr>
        <w:tab/>
      </w:r>
      <w:r w:rsidRPr="00BA04BF">
        <w:rPr>
          <w:rFonts w:ascii="Bookman Old Style" w:hAnsi="Bookman Old Style" w:cs="Arial"/>
          <w:b/>
          <w:bCs/>
        </w:rPr>
        <w:t>PUBLÍQUESE Y CÚMPLASE</w:t>
      </w:r>
    </w:p>
    <w:p w:rsidR="00501C5C" w:rsidRPr="0044170C" w:rsidRDefault="00501C5C" w:rsidP="00501C5C">
      <w:pPr>
        <w:tabs>
          <w:tab w:val="left" w:pos="-720"/>
        </w:tabs>
        <w:suppressAutoHyphens/>
        <w:ind w:left="0"/>
        <w:jc w:val="both"/>
        <w:rPr>
          <w:rFonts w:ascii="Bookman Old Style" w:hAnsi="Bookman Old Style" w:cs="Arial"/>
          <w:spacing w:val="-4"/>
          <w:sz w:val="22"/>
        </w:rPr>
      </w:pPr>
    </w:p>
    <w:p w:rsidR="00501C5C" w:rsidRPr="00BA04BF" w:rsidRDefault="00501C5C" w:rsidP="00501C5C">
      <w:pPr>
        <w:tabs>
          <w:tab w:val="left" w:pos="-720"/>
        </w:tabs>
        <w:suppressAutoHyphens/>
        <w:ind w:left="0"/>
        <w:jc w:val="both"/>
        <w:rPr>
          <w:rFonts w:ascii="Bookman Old Style" w:hAnsi="Bookman Old Style" w:cs="Arial"/>
          <w:spacing w:val="-4"/>
        </w:rPr>
      </w:pPr>
      <w:r>
        <w:rPr>
          <w:rFonts w:ascii="Bookman Old Style" w:hAnsi="Bookman Old Style" w:cs="Arial"/>
          <w:spacing w:val="-4"/>
        </w:rPr>
        <w:t>Firma del proyecto,</w:t>
      </w:r>
    </w:p>
    <w:p w:rsidR="00501C5C" w:rsidRDefault="00501C5C" w:rsidP="00501C5C">
      <w:pPr>
        <w:ind w:left="0"/>
        <w:jc w:val="both"/>
        <w:rPr>
          <w:rFonts w:ascii="Bookman Old Style" w:hAnsi="Bookman Old Style" w:cs="Arial"/>
        </w:rPr>
      </w:pPr>
    </w:p>
    <w:p w:rsidR="004D5B73" w:rsidRDefault="004D5B73" w:rsidP="00501C5C">
      <w:pPr>
        <w:ind w:left="0"/>
        <w:jc w:val="both"/>
        <w:rPr>
          <w:rFonts w:ascii="Bookman Old Style" w:hAnsi="Bookman Old Style" w:cs="Arial"/>
        </w:rPr>
      </w:pPr>
    </w:p>
    <w:p w:rsidR="00544BDA" w:rsidRDefault="00544BDA" w:rsidP="00501C5C">
      <w:pPr>
        <w:ind w:left="0"/>
        <w:jc w:val="both"/>
        <w:rPr>
          <w:rFonts w:ascii="Bookman Old Style" w:hAnsi="Bookman Old Style" w:cs="Arial"/>
        </w:rPr>
      </w:pPr>
    </w:p>
    <w:p w:rsidR="004D5B73" w:rsidRDefault="004D5B73" w:rsidP="00501C5C">
      <w:pPr>
        <w:ind w:left="0"/>
        <w:jc w:val="both"/>
        <w:rPr>
          <w:rFonts w:ascii="Bookman Old Style" w:hAnsi="Bookman Old Style" w:cs="Arial"/>
        </w:rPr>
      </w:pPr>
    </w:p>
    <w:p w:rsidR="004D5B73" w:rsidRDefault="004D5B73" w:rsidP="00501C5C">
      <w:pPr>
        <w:ind w:left="0"/>
        <w:jc w:val="both"/>
        <w:rPr>
          <w:rFonts w:ascii="Bookman Old Style" w:hAnsi="Bookman Old Style" w:cs="Arial"/>
        </w:rPr>
      </w:pPr>
    </w:p>
    <w:tbl>
      <w:tblPr>
        <w:tblW w:w="9761" w:type="dxa"/>
        <w:jc w:val="right"/>
        <w:tblLayout w:type="fixed"/>
        <w:tblCellMar>
          <w:left w:w="70" w:type="dxa"/>
          <w:right w:w="70" w:type="dxa"/>
        </w:tblCellMar>
        <w:tblLook w:val="0000" w:firstRow="0" w:lastRow="0" w:firstColumn="0" w:lastColumn="0" w:noHBand="0" w:noVBand="0"/>
      </w:tblPr>
      <w:tblGrid>
        <w:gridCol w:w="5155"/>
        <w:gridCol w:w="4606"/>
      </w:tblGrid>
      <w:tr w:rsidR="004D5B73" w:rsidRPr="004D5B73" w:rsidTr="009566D0">
        <w:trPr>
          <w:jc w:val="right"/>
        </w:trPr>
        <w:tc>
          <w:tcPr>
            <w:tcW w:w="5155" w:type="dxa"/>
          </w:tcPr>
          <w:p w:rsidR="004D5B73" w:rsidRDefault="004D5B73" w:rsidP="009566D0">
            <w:pPr>
              <w:ind w:left="204"/>
              <w:jc w:val="center"/>
              <w:rPr>
                <w:rFonts w:ascii="Bookman Old Style" w:hAnsi="Bookman Old Style" w:cs="Arial"/>
                <w:b/>
                <w:spacing w:val="-3"/>
              </w:rPr>
            </w:pPr>
            <w:r>
              <w:rPr>
                <w:rFonts w:ascii="Bookman Old Style" w:hAnsi="Bookman Old Style" w:cs="Arial"/>
                <w:b/>
                <w:spacing w:val="-3"/>
              </w:rPr>
              <w:t>ORLANDO CABRALES SEGOVIA</w:t>
            </w:r>
          </w:p>
          <w:p w:rsidR="004D5B73" w:rsidRPr="004D5B73" w:rsidRDefault="004D5B73" w:rsidP="009566D0">
            <w:pPr>
              <w:ind w:left="204"/>
              <w:jc w:val="center"/>
              <w:rPr>
                <w:rFonts w:ascii="Bookman Old Style" w:hAnsi="Bookman Old Style" w:cs="Arial"/>
                <w:spacing w:val="-3"/>
              </w:rPr>
            </w:pPr>
            <w:r w:rsidRPr="004D5B73">
              <w:rPr>
                <w:rFonts w:ascii="Bookman Old Style" w:hAnsi="Bookman Old Style" w:cs="Arial"/>
                <w:spacing w:val="-3"/>
              </w:rPr>
              <w:t>Viceministro de Energía</w:t>
            </w:r>
          </w:p>
          <w:p w:rsidR="004D5B73" w:rsidRPr="004D5B73" w:rsidRDefault="004D5B73" w:rsidP="009566D0">
            <w:pPr>
              <w:ind w:left="204"/>
              <w:jc w:val="center"/>
              <w:rPr>
                <w:rFonts w:ascii="Bookman Old Style" w:hAnsi="Bookman Old Style" w:cs="Arial"/>
                <w:spacing w:val="-3"/>
              </w:rPr>
            </w:pPr>
            <w:r w:rsidRPr="004D5B73">
              <w:rPr>
                <w:rFonts w:ascii="Bookman Old Style" w:hAnsi="Bookman Old Style" w:cs="Arial"/>
                <w:spacing w:val="-3"/>
              </w:rPr>
              <w:t>Delegad</w:t>
            </w:r>
            <w:r>
              <w:rPr>
                <w:rFonts w:ascii="Bookman Old Style" w:hAnsi="Bookman Old Style" w:cs="Arial"/>
                <w:spacing w:val="-3"/>
              </w:rPr>
              <w:t>o del Ministro de Minas y Energí</w:t>
            </w:r>
            <w:r w:rsidRPr="004D5B73">
              <w:rPr>
                <w:rFonts w:ascii="Bookman Old Style" w:hAnsi="Bookman Old Style" w:cs="Arial"/>
                <w:spacing w:val="-3"/>
              </w:rPr>
              <w:t>a</w:t>
            </w:r>
          </w:p>
          <w:p w:rsidR="004D5B73" w:rsidRPr="004D5B73" w:rsidRDefault="004D5B73" w:rsidP="009566D0">
            <w:pPr>
              <w:ind w:left="204"/>
              <w:jc w:val="center"/>
              <w:rPr>
                <w:rFonts w:ascii="Bookman Old Style" w:hAnsi="Bookman Old Style" w:cs="Arial"/>
                <w:spacing w:val="-3"/>
              </w:rPr>
            </w:pPr>
            <w:r w:rsidRPr="004D5B73">
              <w:rPr>
                <w:rFonts w:ascii="Bookman Old Style" w:hAnsi="Bookman Old Style" w:cs="Arial"/>
                <w:spacing w:val="-3"/>
              </w:rPr>
              <w:t>Presidente</w:t>
            </w:r>
          </w:p>
          <w:p w:rsidR="004D5B73" w:rsidRPr="00720520" w:rsidRDefault="004D5B73" w:rsidP="009566D0">
            <w:pPr>
              <w:ind w:left="204"/>
              <w:jc w:val="center"/>
              <w:rPr>
                <w:rFonts w:ascii="Bookman Old Style" w:hAnsi="Bookman Old Style" w:cs="Arial"/>
                <w:b/>
                <w:spacing w:val="-3"/>
                <w:lang w:val="es-ES_tradnl"/>
              </w:rPr>
            </w:pPr>
          </w:p>
        </w:tc>
        <w:tc>
          <w:tcPr>
            <w:tcW w:w="4606" w:type="dxa"/>
          </w:tcPr>
          <w:p w:rsidR="004D5B73" w:rsidRDefault="004D5B73" w:rsidP="009566D0">
            <w:pPr>
              <w:ind w:left="161" w:right="567"/>
              <w:jc w:val="right"/>
              <w:rPr>
                <w:rFonts w:ascii="Bookman Old Style" w:hAnsi="Bookman Old Style" w:cs="Arial"/>
                <w:b/>
                <w:spacing w:val="-3"/>
                <w:lang w:val="es-ES_tradnl"/>
              </w:rPr>
            </w:pPr>
            <w:r>
              <w:rPr>
                <w:rFonts w:ascii="Bookman Old Style" w:hAnsi="Bookman Old Style" w:cs="Arial"/>
                <w:b/>
                <w:spacing w:val="-3"/>
                <w:lang w:val="es-ES_tradnl"/>
              </w:rPr>
              <w:t>GERMÁN CASTRO FERREIRA</w:t>
            </w:r>
          </w:p>
          <w:p w:rsidR="004D5B73" w:rsidRPr="004D5B73" w:rsidRDefault="004D5B73" w:rsidP="009566D0">
            <w:pPr>
              <w:ind w:left="161" w:right="567"/>
              <w:jc w:val="center"/>
              <w:rPr>
                <w:rFonts w:ascii="Bookman Old Style" w:hAnsi="Bookman Old Style" w:cs="Arial"/>
                <w:spacing w:val="-3"/>
                <w:lang w:val="es-ES_tradnl"/>
              </w:rPr>
            </w:pPr>
            <w:r w:rsidRPr="004D5B73">
              <w:rPr>
                <w:rFonts w:ascii="Bookman Old Style" w:hAnsi="Bookman Old Style" w:cs="Arial"/>
                <w:spacing w:val="-3"/>
                <w:lang w:val="es-ES_tradnl"/>
              </w:rPr>
              <w:t>Director Ejecutivo</w:t>
            </w:r>
          </w:p>
        </w:tc>
      </w:tr>
    </w:tbl>
    <w:p w:rsidR="004D5B73" w:rsidRPr="004D5B73" w:rsidRDefault="004D5B73" w:rsidP="00501C5C">
      <w:pPr>
        <w:ind w:left="0"/>
        <w:jc w:val="both"/>
        <w:rPr>
          <w:rFonts w:ascii="Bookman Old Style" w:hAnsi="Bookman Old Style" w:cs="Arial"/>
          <w:sz w:val="18"/>
          <w:lang w:val="es-ES_tradnl"/>
        </w:rPr>
      </w:pPr>
    </w:p>
    <w:sectPr w:rsidR="004D5B73" w:rsidRPr="004D5B73" w:rsidSect="005A59EF">
      <w:headerReference w:type="default" r:id="rId12"/>
      <w:headerReference w:type="first" r:id="rId13"/>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66D0" w:rsidRDefault="009566D0">
      <w:r>
        <w:separator/>
      </w:r>
    </w:p>
  </w:endnote>
  <w:endnote w:type="continuationSeparator" w:id="0">
    <w:p w:rsidR="009566D0" w:rsidRDefault="009566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66D0" w:rsidRDefault="009566D0">
      <w:r>
        <w:separator/>
      </w:r>
    </w:p>
  </w:footnote>
  <w:footnote w:type="continuationSeparator" w:id="0">
    <w:p w:rsidR="009566D0" w:rsidRDefault="009566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6D0" w:rsidRDefault="009566D0" w:rsidP="00951F79">
    <w:pPr>
      <w:pStyle w:val="Ttulo1"/>
      <w:ind w:right="6"/>
      <w:jc w:val="left"/>
      <w:rPr>
        <w:rFonts w:ascii="Bookman Old Style" w:hAnsi="Bookman Old Style" w:cs="Arial"/>
        <w:b w:val="0"/>
        <w:sz w:val="22"/>
        <w:szCs w:val="22"/>
      </w:rPr>
    </w:pPr>
  </w:p>
  <w:p w:rsidR="009566D0" w:rsidRPr="00951F79" w:rsidRDefault="009566D0"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284B57">
      <w:rPr>
        <w:rFonts w:ascii="Bookman Old Style" w:hAnsi="Bookman Old Style" w:cs="Arial"/>
        <w:b w:val="0"/>
        <w:noProof/>
        <w:sz w:val="22"/>
        <w:szCs w:val="22"/>
      </w:rPr>
      <w:t>2</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284B57" w:rsidRPr="00284B57">
        <w:rPr>
          <w:rFonts w:ascii="Bookman Old Style" w:hAnsi="Bookman Old Style" w:cs="Arial"/>
          <w:b w:val="0"/>
          <w:noProof/>
          <w:sz w:val="22"/>
          <w:szCs w:val="22"/>
        </w:rPr>
        <w:t>5</w:t>
      </w:r>
    </w:fldSimple>
  </w:p>
  <w:p w:rsidR="009566D0" w:rsidRDefault="009566D0"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2AAA0CB2" wp14:editId="58B5E32D">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9566D0" w:rsidRDefault="009566D0" w:rsidP="00C75D37">
    <w:pPr>
      <w:tabs>
        <w:tab w:val="left" w:pos="0"/>
      </w:tabs>
      <w:ind w:left="0"/>
      <w:jc w:val="both"/>
      <w:rPr>
        <w:rFonts w:ascii="Bookman Old Style" w:hAnsi="Bookman Old Style" w:cs="Arial"/>
        <w:sz w:val="22"/>
      </w:rPr>
    </w:pPr>
    <w:r w:rsidRPr="00890D50">
      <w:rPr>
        <w:rFonts w:ascii="Bookman Old Style" w:hAnsi="Bookman Old Style" w:cs="Arial"/>
        <w:sz w:val="22"/>
        <w:szCs w:val="22"/>
      </w:rPr>
      <w:t xml:space="preserve">Por la cual se ordena hacer público el proyecto de resolución de carácter general, </w:t>
    </w:r>
    <w:r w:rsidRPr="00C75D37">
      <w:rPr>
        <w:rFonts w:ascii="Bookman Old Style" w:hAnsi="Bookman Old Style" w:cs="Arial"/>
        <w:i/>
        <w:sz w:val="22"/>
        <w:szCs w:val="27"/>
      </w:rPr>
      <w:t>Por la cual se modifican las resoluciones CREG 138 de 2012 y 085 de 2007, en relación con la definición M</w:t>
    </w:r>
    <w:r w:rsidRPr="00C75D37">
      <w:rPr>
        <w:rFonts w:ascii="Bookman Old Style" w:hAnsi="Bookman Old Style" w:cs="Arial"/>
        <w:i/>
        <w:sz w:val="22"/>
        <w:szCs w:val="27"/>
        <w:vertAlign w:val="subscript"/>
      </w:rPr>
      <w:t>g</w:t>
    </w:r>
    <w:r w:rsidRPr="00C75D37">
      <w:rPr>
        <w:rFonts w:ascii="Bookman Old Style" w:hAnsi="Bookman Old Style" w:cs="Arial"/>
        <w:i/>
        <w:sz w:val="22"/>
        <w:szCs w:val="27"/>
      </w:rPr>
      <w:t xml:space="preserve"> del proceso aleatorio que se realiza para las pruebas de disponibilidad de plantas o unidades de generación</w:t>
    </w:r>
    <w:r w:rsidRPr="00C75D37">
      <w:rPr>
        <w:rFonts w:ascii="Bookman Old Style" w:hAnsi="Bookman Old Style" w:cs="Arial"/>
        <w:sz w:val="22"/>
      </w:rPr>
      <w:t>.</w:t>
    </w:r>
  </w:p>
  <w:p w:rsidR="009566D0" w:rsidRDefault="009566D0" w:rsidP="00C75D37">
    <w:pPr>
      <w:tabs>
        <w:tab w:val="left" w:pos="0"/>
      </w:tabs>
      <w:ind w:left="0"/>
      <w:jc w:val="both"/>
      <w:rPr>
        <w:rFonts w:ascii="Bookman Old Style" w:hAnsi="Bookman Old Style"/>
      </w:rPr>
    </w:pPr>
    <w:r>
      <w:rPr>
        <w:rFonts w:ascii="Bookman Old Style" w:hAnsi="Bookman Old Style" w:cs="Arial"/>
        <w:sz w:val="22"/>
      </w:rPr>
      <w:t>_____________________________________________________________________________</w:t>
    </w:r>
  </w:p>
  <w:p w:rsidR="009566D0" w:rsidRPr="00BA04BF" w:rsidRDefault="009566D0" w:rsidP="00C75D37">
    <w:pPr>
      <w:tabs>
        <w:tab w:val="left" w:pos="0"/>
      </w:tabs>
      <w:ind w:left="0"/>
      <w:jc w:val="both"/>
      <w:rPr>
        <w:b/>
        <w:sz w:val="22"/>
        <w:szCs w:val="22"/>
      </w:rPr>
    </w:pPr>
    <w:r>
      <w:rPr>
        <w:b/>
        <w:sz w:val="22"/>
        <w:szCs w:val="22"/>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66D0" w:rsidRDefault="009566D0"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9566D0" w:rsidRDefault="009566D0">
    <w:pPr>
      <w:pStyle w:val="Encabezado"/>
      <w:jc w:val="center"/>
      <w:rPr>
        <w:rFonts w:ascii="Arial" w:hAnsi="Arial" w:cs="Arial"/>
        <w:spacing w:val="20"/>
        <w:sz w:val="20"/>
      </w:rPr>
    </w:pPr>
  </w:p>
  <w:p w:rsidR="009566D0" w:rsidRDefault="009566D0"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39933595" wp14:editId="5F7B69A5">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4501F8C"/>
    <w:lvl w:ilvl="0">
      <w:numFmt w:val="bullet"/>
      <w:lvlText w:val="*"/>
      <w:lvlJc w:val="left"/>
    </w:lvl>
  </w:abstractNum>
  <w:abstractNum w:abstractNumId="1">
    <w:nsid w:val="000E4A01"/>
    <w:multiLevelType w:val="hybridMultilevel"/>
    <w:tmpl w:val="BC60690E"/>
    <w:lvl w:ilvl="0" w:tplc="540E2CF0">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0072486B"/>
    <w:multiLevelType w:val="hybridMultilevel"/>
    <w:tmpl w:val="4F7E0CFC"/>
    <w:lvl w:ilvl="0" w:tplc="A036AC18">
      <w:start w:val="1"/>
      <w:numFmt w:val="upperRoman"/>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3">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4">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nsid w:val="062B3F58"/>
    <w:multiLevelType w:val="hybridMultilevel"/>
    <w:tmpl w:val="0AD298C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08C35547"/>
    <w:multiLevelType w:val="hybridMultilevel"/>
    <w:tmpl w:val="BE845B9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091471E3"/>
    <w:multiLevelType w:val="hybridMultilevel"/>
    <w:tmpl w:val="C16A9FB2"/>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nsid w:val="0B8E0611"/>
    <w:multiLevelType w:val="hybridMultilevel"/>
    <w:tmpl w:val="4A621D34"/>
    <w:lvl w:ilvl="0" w:tplc="E0082A96">
      <w:start w:val="1"/>
      <w:numFmt w:val="upperRoman"/>
      <w:lvlText w:val="%1."/>
      <w:lvlJc w:val="right"/>
      <w:pPr>
        <w:ind w:left="1287" w:hanging="360"/>
      </w:pPr>
      <w:rPr>
        <w:rFonts w:hint="default"/>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0">
    <w:nsid w:val="0C7E6873"/>
    <w:multiLevelType w:val="hybridMultilevel"/>
    <w:tmpl w:val="9904D47C"/>
    <w:lvl w:ilvl="0" w:tplc="45E266F0">
      <w:start w:val="1"/>
      <w:numFmt w:val="upperRoman"/>
      <w:pStyle w:val="Ttulo6"/>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1">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0F9D24CF"/>
    <w:multiLevelType w:val="hybridMultilevel"/>
    <w:tmpl w:val="C0D8A0D8"/>
    <w:lvl w:ilvl="0" w:tplc="240A000F">
      <w:start w:val="1"/>
      <w:numFmt w:val="decimal"/>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3">
    <w:nsid w:val="0FBD7D39"/>
    <w:multiLevelType w:val="hybridMultilevel"/>
    <w:tmpl w:val="A9744DCC"/>
    <w:lvl w:ilvl="0" w:tplc="240A000F">
      <w:start w:val="1"/>
      <w:numFmt w:val="decimal"/>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4">
    <w:nsid w:val="19E94215"/>
    <w:multiLevelType w:val="hybridMultilevel"/>
    <w:tmpl w:val="B9CEBC0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1B6F357D"/>
    <w:multiLevelType w:val="hybridMultilevel"/>
    <w:tmpl w:val="E0D8472A"/>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217F332C"/>
    <w:multiLevelType w:val="hybridMultilevel"/>
    <w:tmpl w:val="D86C2B70"/>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nsid w:val="252527F9"/>
    <w:multiLevelType w:val="hybridMultilevel"/>
    <w:tmpl w:val="FA343A4C"/>
    <w:lvl w:ilvl="0" w:tplc="F6CEC662">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nsid w:val="289A647E"/>
    <w:multiLevelType w:val="hybridMultilevel"/>
    <w:tmpl w:val="AF5CE508"/>
    <w:lvl w:ilvl="0" w:tplc="39CCBF9E">
      <w:start w:val="1"/>
      <w:numFmt w:val="upperRoman"/>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0">
    <w:nsid w:val="29345B13"/>
    <w:multiLevelType w:val="hybridMultilevel"/>
    <w:tmpl w:val="67E2AAB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nsid w:val="2B464A7F"/>
    <w:multiLevelType w:val="hybridMultilevel"/>
    <w:tmpl w:val="42CE614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nsid w:val="314E2A75"/>
    <w:multiLevelType w:val="hybridMultilevel"/>
    <w:tmpl w:val="2AF42696"/>
    <w:lvl w:ilvl="0" w:tplc="5D785E96">
      <w:start w:val="1"/>
      <w:numFmt w:val="decimal"/>
      <w:lvlText w:val="%1."/>
      <w:lvlJc w:val="left"/>
      <w:pPr>
        <w:ind w:left="1068" w:hanging="36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3">
    <w:nsid w:val="31677A5E"/>
    <w:multiLevelType w:val="hybridMultilevel"/>
    <w:tmpl w:val="52086C1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nsid w:val="344D220B"/>
    <w:multiLevelType w:val="hybridMultilevel"/>
    <w:tmpl w:val="1B281DE8"/>
    <w:lvl w:ilvl="0" w:tplc="F2B8350C">
      <w:start w:val="1"/>
      <w:numFmt w:val="upperRoman"/>
      <w:lvlText w:val="%1."/>
      <w:lvlJc w:val="right"/>
      <w:pPr>
        <w:ind w:left="1287" w:hanging="360"/>
      </w:pPr>
      <w:rPr>
        <w:rFonts w:hint="default"/>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5">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36F10509"/>
    <w:multiLevelType w:val="hybridMultilevel"/>
    <w:tmpl w:val="C6D8F3E2"/>
    <w:lvl w:ilvl="0" w:tplc="540E2CF0">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nsid w:val="38EC768C"/>
    <w:multiLevelType w:val="hybridMultilevel"/>
    <w:tmpl w:val="51466706"/>
    <w:lvl w:ilvl="0" w:tplc="6866792E">
      <w:start w:val="1"/>
      <w:numFmt w:val="decimal"/>
      <w:lvlText w:val="%1."/>
      <w:lvlJc w:val="left"/>
      <w:pPr>
        <w:ind w:left="80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nsid w:val="3BB8503F"/>
    <w:multiLevelType w:val="hybridMultilevel"/>
    <w:tmpl w:val="61102EAC"/>
    <w:lvl w:ilvl="0" w:tplc="F6A830D4">
      <w:start w:val="1"/>
      <w:numFmt w:val="lowerLetter"/>
      <w:lvlText w:val="%1."/>
      <w:lvlJc w:val="left"/>
      <w:pPr>
        <w:ind w:left="720" w:hanging="360"/>
      </w:pPr>
      <w:rPr>
        <w:b/>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nsid w:val="3D2750F5"/>
    <w:multiLevelType w:val="hybridMultilevel"/>
    <w:tmpl w:val="3E08254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nsid w:val="42404E92"/>
    <w:multiLevelType w:val="hybridMultilevel"/>
    <w:tmpl w:val="D55841C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nsid w:val="43F67C14"/>
    <w:multiLevelType w:val="hybridMultilevel"/>
    <w:tmpl w:val="B6C09076"/>
    <w:lvl w:ilvl="0" w:tplc="240A0019">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nsid w:val="47FE215B"/>
    <w:multiLevelType w:val="hybridMultilevel"/>
    <w:tmpl w:val="1BD2CB3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nsid w:val="480C38F7"/>
    <w:multiLevelType w:val="hybridMultilevel"/>
    <w:tmpl w:val="1602A29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35">
    <w:nsid w:val="48B469FF"/>
    <w:multiLevelType w:val="hybridMultilevel"/>
    <w:tmpl w:val="7BB8AFCC"/>
    <w:lvl w:ilvl="0" w:tplc="24AC4326">
      <w:start w:val="1"/>
      <w:numFmt w:val="upperRoman"/>
      <w:lvlText w:val="%1."/>
      <w:lvlJc w:val="right"/>
      <w:pPr>
        <w:ind w:left="1287" w:hanging="360"/>
      </w:pPr>
      <w:rPr>
        <w:rFonts w:hint="default"/>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36">
    <w:nsid w:val="48BE5D1C"/>
    <w:multiLevelType w:val="hybridMultilevel"/>
    <w:tmpl w:val="94E0D03A"/>
    <w:lvl w:ilvl="0" w:tplc="240A0019">
      <w:start w:val="1"/>
      <w:numFmt w:val="lowerLetter"/>
      <w:lvlText w:val="%1."/>
      <w:lvlJc w:val="left"/>
      <w:pPr>
        <w:ind w:left="794" w:hanging="360"/>
      </w:pPr>
    </w:lvl>
    <w:lvl w:ilvl="1" w:tplc="240A0019" w:tentative="1">
      <w:start w:val="1"/>
      <w:numFmt w:val="lowerLetter"/>
      <w:lvlText w:val="%2."/>
      <w:lvlJc w:val="left"/>
      <w:pPr>
        <w:ind w:left="1514" w:hanging="360"/>
      </w:pPr>
    </w:lvl>
    <w:lvl w:ilvl="2" w:tplc="240A001B" w:tentative="1">
      <w:start w:val="1"/>
      <w:numFmt w:val="lowerRoman"/>
      <w:lvlText w:val="%3."/>
      <w:lvlJc w:val="right"/>
      <w:pPr>
        <w:ind w:left="2234" w:hanging="180"/>
      </w:pPr>
    </w:lvl>
    <w:lvl w:ilvl="3" w:tplc="240A000F" w:tentative="1">
      <w:start w:val="1"/>
      <w:numFmt w:val="decimal"/>
      <w:lvlText w:val="%4."/>
      <w:lvlJc w:val="left"/>
      <w:pPr>
        <w:ind w:left="2954" w:hanging="360"/>
      </w:pPr>
    </w:lvl>
    <w:lvl w:ilvl="4" w:tplc="240A0019" w:tentative="1">
      <w:start w:val="1"/>
      <w:numFmt w:val="lowerLetter"/>
      <w:lvlText w:val="%5."/>
      <w:lvlJc w:val="left"/>
      <w:pPr>
        <w:ind w:left="3674" w:hanging="360"/>
      </w:pPr>
    </w:lvl>
    <w:lvl w:ilvl="5" w:tplc="240A001B" w:tentative="1">
      <w:start w:val="1"/>
      <w:numFmt w:val="lowerRoman"/>
      <w:lvlText w:val="%6."/>
      <w:lvlJc w:val="right"/>
      <w:pPr>
        <w:ind w:left="4394" w:hanging="180"/>
      </w:pPr>
    </w:lvl>
    <w:lvl w:ilvl="6" w:tplc="240A000F" w:tentative="1">
      <w:start w:val="1"/>
      <w:numFmt w:val="decimal"/>
      <w:lvlText w:val="%7."/>
      <w:lvlJc w:val="left"/>
      <w:pPr>
        <w:ind w:left="5114" w:hanging="360"/>
      </w:pPr>
    </w:lvl>
    <w:lvl w:ilvl="7" w:tplc="240A0019" w:tentative="1">
      <w:start w:val="1"/>
      <w:numFmt w:val="lowerLetter"/>
      <w:lvlText w:val="%8."/>
      <w:lvlJc w:val="left"/>
      <w:pPr>
        <w:ind w:left="5834" w:hanging="360"/>
      </w:pPr>
    </w:lvl>
    <w:lvl w:ilvl="8" w:tplc="240A001B" w:tentative="1">
      <w:start w:val="1"/>
      <w:numFmt w:val="lowerRoman"/>
      <w:lvlText w:val="%9."/>
      <w:lvlJc w:val="right"/>
      <w:pPr>
        <w:ind w:left="6554" w:hanging="180"/>
      </w:pPr>
    </w:lvl>
  </w:abstractNum>
  <w:abstractNum w:abstractNumId="37">
    <w:nsid w:val="48F17FAD"/>
    <w:multiLevelType w:val="hybridMultilevel"/>
    <w:tmpl w:val="DF602052"/>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40">
    <w:nsid w:val="4E7A6AEF"/>
    <w:multiLevelType w:val="hybridMultilevel"/>
    <w:tmpl w:val="555E8466"/>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nsid w:val="52D166C7"/>
    <w:multiLevelType w:val="singleLevel"/>
    <w:tmpl w:val="7A94FA80"/>
    <w:lvl w:ilvl="0">
      <w:start w:val="1"/>
      <w:numFmt w:val="lowerRoman"/>
      <w:lvlText w:val="(%1)   "/>
      <w:legacy w:legacy="1" w:legacySpace="0" w:legacyIndent="283"/>
      <w:lvlJc w:val="left"/>
      <w:pPr>
        <w:ind w:left="283" w:hanging="283"/>
      </w:pPr>
    </w:lvl>
  </w:abstractNum>
  <w:abstractNum w:abstractNumId="42">
    <w:nsid w:val="58851E34"/>
    <w:multiLevelType w:val="hybridMultilevel"/>
    <w:tmpl w:val="D2CC7AEE"/>
    <w:lvl w:ilvl="0" w:tplc="240A0001">
      <w:start w:val="1"/>
      <w:numFmt w:val="bullet"/>
      <w:lvlText w:val=""/>
      <w:lvlJc w:val="left"/>
      <w:pPr>
        <w:ind w:left="2840" w:hanging="360"/>
      </w:pPr>
      <w:rPr>
        <w:rFonts w:ascii="Symbol" w:hAnsi="Symbol" w:hint="default"/>
      </w:rPr>
    </w:lvl>
    <w:lvl w:ilvl="1" w:tplc="240A0003" w:tentative="1">
      <w:start w:val="1"/>
      <w:numFmt w:val="bullet"/>
      <w:lvlText w:val="o"/>
      <w:lvlJc w:val="left"/>
      <w:pPr>
        <w:ind w:left="3560" w:hanging="360"/>
      </w:pPr>
      <w:rPr>
        <w:rFonts w:ascii="Courier New" w:hAnsi="Courier New" w:cs="Courier New" w:hint="default"/>
      </w:rPr>
    </w:lvl>
    <w:lvl w:ilvl="2" w:tplc="240A0005" w:tentative="1">
      <w:start w:val="1"/>
      <w:numFmt w:val="bullet"/>
      <w:lvlText w:val=""/>
      <w:lvlJc w:val="left"/>
      <w:pPr>
        <w:ind w:left="4280" w:hanging="360"/>
      </w:pPr>
      <w:rPr>
        <w:rFonts w:ascii="Wingdings" w:hAnsi="Wingdings" w:hint="default"/>
      </w:rPr>
    </w:lvl>
    <w:lvl w:ilvl="3" w:tplc="240A0001" w:tentative="1">
      <w:start w:val="1"/>
      <w:numFmt w:val="bullet"/>
      <w:lvlText w:val=""/>
      <w:lvlJc w:val="left"/>
      <w:pPr>
        <w:ind w:left="5000" w:hanging="360"/>
      </w:pPr>
      <w:rPr>
        <w:rFonts w:ascii="Symbol" w:hAnsi="Symbol" w:hint="default"/>
      </w:rPr>
    </w:lvl>
    <w:lvl w:ilvl="4" w:tplc="240A0003" w:tentative="1">
      <w:start w:val="1"/>
      <w:numFmt w:val="bullet"/>
      <w:lvlText w:val="o"/>
      <w:lvlJc w:val="left"/>
      <w:pPr>
        <w:ind w:left="5720" w:hanging="360"/>
      </w:pPr>
      <w:rPr>
        <w:rFonts w:ascii="Courier New" w:hAnsi="Courier New" w:cs="Courier New" w:hint="default"/>
      </w:rPr>
    </w:lvl>
    <w:lvl w:ilvl="5" w:tplc="240A0005" w:tentative="1">
      <w:start w:val="1"/>
      <w:numFmt w:val="bullet"/>
      <w:lvlText w:val=""/>
      <w:lvlJc w:val="left"/>
      <w:pPr>
        <w:ind w:left="6440" w:hanging="360"/>
      </w:pPr>
      <w:rPr>
        <w:rFonts w:ascii="Wingdings" w:hAnsi="Wingdings" w:hint="default"/>
      </w:rPr>
    </w:lvl>
    <w:lvl w:ilvl="6" w:tplc="240A0001" w:tentative="1">
      <w:start w:val="1"/>
      <w:numFmt w:val="bullet"/>
      <w:lvlText w:val=""/>
      <w:lvlJc w:val="left"/>
      <w:pPr>
        <w:ind w:left="7160" w:hanging="360"/>
      </w:pPr>
      <w:rPr>
        <w:rFonts w:ascii="Symbol" w:hAnsi="Symbol" w:hint="default"/>
      </w:rPr>
    </w:lvl>
    <w:lvl w:ilvl="7" w:tplc="240A0003" w:tentative="1">
      <w:start w:val="1"/>
      <w:numFmt w:val="bullet"/>
      <w:lvlText w:val="o"/>
      <w:lvlJc w:val="left"/>
      <w:pPr>
        <w:ind w:left="7880" w:hanging="360"/>
      </w:pPr>
      <w:rPr>
        <w:rFonts w:ascii="Courier New" w:hAnsi="Courier New" w:cs="Courier New" w:hint="default"/>
      </w:rPr>
    </w:lvl>
    <w:lvl w:ilvl="8" w:tplc="240A0005" w:tentative="1">
      <w:start w:val="1"/>
      <w:numFmt w:val="bullet"/>
      <w:lvlText w:val=""/>
      <w:lvlJc w:val="left"/>
      <w:pPr>
        <w:ind w:left="8600" w:hanging="360"/>
      </w:pPr>
      <w:rPr>
        <w:rFonts w:ascii="Wingdings" w:hAnsi="Wingdings" w:hint="default"/>
      </w:rPr>
    </w:lvl>
  </w:abstractNum>
  <w:abstractNum w:abstractNumId="43">
    <w:nsid w:val="5AA07BF6"/>
    <w:multiLevelType w:val="singleLevel"/>
    <w:tmpl w:val="7A94FA80"/>
    <w:lvl w:ilvl="0">
      <w:start w:val="1"/>
      <w:numFmt w:val="lowerRoman"/>
      <w:lvlText w:val="(%1)   "/>
      <w:legacy w:legacy="1" w:legacySpace="0" w:legacyIndent="283"/>
      <w:lvlJc w:val="left"/>
      <w:pPr>
        <w:ind w:left="283" w:hanging="283"/>
      </w:pPr>
    </w:lvl>
  </w:abstractNum>
  <w:abstractNum w:abstractNumId="44">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5">
    <w:nsid w:val="5CF8548C"/>
    <w:multiLevelType w:val="hybridMultilevel"/>
    <w:tmpl w:val="73C6EA8E"/>
    <w:lvl w:ilvl="0" w:tplc="DAAA3996">
      <w:start w:val="1"/>
      <w:numFmt w:val="decimal"/>
      <w:lvlText w:val="%1."/>
      <w:lvlJc w:val="left"/>
      <w:pPr>
        <w:ind w:left="720" w:hanging="360"/>
      </w:pPr>
      <w:rPr>
        <w:b/>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6">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47">
    <w:nsid w:val="60DC2C18"/>
    <w:multiLevelType w:val="hybridMultilevel"/>
    <w:tmpl w:val="F14A5CD8"/>
    <w:lvl w:ilvl="0" w:tplc="55B8DBDE">
      <w:start w:val="1"/>
      <w:numFmt w:val="lowerRoman"/>
      <w:lvlText w:val="%1."/>
      <w:lvlJc w:val="righ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8">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49">
    <w:nsid w:val="65FB1E23"/>
    <w:multiLevelType w:val="hybridMultilevel"/>
    <w:tmpl w:val="CBB227A0"/>
    <w:lvl w:ilvl="0" w:tplc="540E2CF0">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0">
    <w:nsid w:val="6A620496"/>
    <w:multiLevelType w:val="hybridMultilevel"/>
    <w:tmpl w:val="1BD2CB3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1">
    <w:nsid w:val="6C5D7E8F"/>
    <w:multiLevelType w:val="hybridMultilevel"/>
    <w:tmpl w:val="B6C09076"/>
    <w:lvl w:ilvl="0" w:tplc="240A0019">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2">
    <w:nsid w:val="6D070384"/>
    <w:multiLevelType w:val="hybridMultilevel"/>
    <w:tmpl w:val="40E8747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3">
    <w:nsid w:val="6D94178F"/>
    <w:multiLevelType w:val="hybridMultilevel"/>
    <w:tmpl w:val="FD3CA09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4">
    <w:nsid w:val="6EE04A65"/>
    <w:multiLevelType w:val="hybridMultilevel"/>
    <w:tmpl w:val="E92E4AA4"/>
    <w:lvl w:ilvl="0" w:tplc="CD0E0F32">
      <w:start w:val="1"/>
      <w:numFmt w:val="lowerLetter"/>
      <w:lvlText w:val="%1)"/>
      <w:lvlJc w:val="left"/>
      <w:pPr>
        <w:ind w:left="1068" w:hanging="360"/>
      </w:pPr>
      <w:rPr>
        <w:rFonts w:hint="default"/>
        <w:b w:val="0"/>
        <w:i/>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55">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6">
    <w:nsid w:val="70B51802"/>
    <w:multiLevelType w:val="hybridMultilevel"/>
    <w:tmpl w:val="7F9019EC"/>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7">
    <w:nsid w:val="7697591A"/>
    <w:multiLevelType w:val="hybridMultilevel"/>
    <w:tmpl w:val="336AE52A"/>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8">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59">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0">
    <w:nsid w:val="7C0819CB"/>
    <w:multiLevelType w:val="hybridMultilevel"/>
    <w:tmpl w:val="78D4C54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1">
    <w:nsid w:val="7F761A92"/>
    <w:multiLevelType w:val="hybridMultilevel"/>
    <w:tmpl w:val="98DC971A"/>
    <w:lvl w:ilvl="0" w:tplc="240A000F">
      <w:start w:val="1"/>
      <w:numFmt w:val="decimal"/>
      <w:lvlText w:val="%1."/>
      <w:lvlJc w:val="left"/>
      <w:pPr>
        <w:ind w:left="800" w:hanging="360"/>
      </w:pPr>
    </w:lvl>
    <w:lvl w:ilvl="1" w:tplc="240A0019" w:tentative="1">
      <w:start w:val="1"/>
      <w:numFmt w:val="lowerLetter"/>
      <w:lvlText w:val="%2."/>
      <w:lvlJc w:val="left"/>
      <w:pPr>
        <w:ind w:left="1520" w:hanging="360"/>
      </w:pPr>
    </w:lvl>
    <w:lvl w:ilvl="2" w:tplc="240A001B" w:tentative="1">
      <w:start w:val="1"/>
      <w:numFmt w:val="lowerRoman"/>
      <w:lvlText w:val="%3."/>
      <w:lvlJc w:val="right"/>
      <w:pPr>
        <w:ind w:left="2240" w:hanging="180"/>
      </w:pPr>
    </w:lvl>
    <w:lvl w:ilvl="3" w:tplc="240A000F" w:tentative="1">
      <w:start w:val="1"/>
      <w:numFmt w:val="decimal"/>
      <w:lvlText w:val="%4."/>
      <w:lvlJc w:val="left"/>
      <w:pPr>
        <w:ind w:left="2960" w:hanging="360"/>
      </w:pPr>
    </w:lvl>
    <w:lvl w:ilvl="4" w:tplc="240A0019" w:tentative="1">
      <w:start w:val="1"/>
      <w:numFmt w:val="lowerLetter"/>
      <w:lvlText w:val="%5."/>
      <w:lvlJc w:val="left"/>
      <w:pPr>
        <w:ind w:left="3680" w:hanging="360"/>
      </w:pPr>
    </w:lvl>
    <w:lvl w:ilvl="5" w:tplc="240A001B" w:tentative="1">
      <w:start w:val="1"/>
      <w:numFmt w:val="lowerRoman"/>
      <w:lvlText w:val="%6."/>
      <w:lvlJc w:val="right"/>
      <w:pPr>
        <w:ind w:left="4400" w:hanging="180"/>
      </w:pPr>
    </w:lvl>
    <w:lvl w:ilvl="6" w:tplc="240A000F" w:tentative="1">
      <w:start w:val="1"/>
      <w:numFmt w:val="decimal"/>
      <w:lvlText w:val="%7."/>
      <w:lvlJc w:val="left"/>
      <w:pPr>
        <w:ind w:left="5120" w:hanging="360"/>
      </w:pPr>
    </w:lvl>
    <w:lvl w:ilvl="7" w:tplc="240A0019" w:tentative="1">
      <w:start w:val="1"/>
      <w:numFmt w:val="lowerLetter"/>
      <w:lvlText w:val="%8."/>
      <w:lvlJc w:val="left"/>
      <w:pPr>
        <w:ind w:left="5840" w:hanging="360"/>
      </w:pPr>
    </w:lvl>
    <w:lvl w:ilvl="8" w:tplc="240A001B" w:tentative="1">
      <w:start w:val="1"/>
      <w:numFmt w:val="lowerRoman"/>
      <w:lvlText w:val="%9."/>
      <w:lvlJc w:val="right"/>
      <w:pPr>
        <w:ind w:left="6560" w:hanging="180"/>
      </w:pPr>
    </w:lvl>
  </w:abstractNum>
  <w:num w:numId="1">
    <w:abstractNumId w:val="34"/>
  </w:num>
  <w:num w:numId="2">
    <w:abstractNumId w:val="11"/>
  </w:num>
  <w:num w:numId="3">
    <w:abstractNumId w:val="58"/>
  </w:num>
  <w:num w:numId="4">
    <w:abstractNumId w:val="17"/>
  </w:num>
  <w:num w:numId="5">
    <w:abstractNumId w:val="44"/>
  </w:num>
  <w:num w:numId="6">
    <w:abstractNumId w:val="5"/>
  </w:num>
  <w:num w:numId="7">
    <w:abstractNumId w:val="4"/>
  </w:num>
  <w:num w:numId="8">
    <w:abstractNumId w:val="48"/>
  </w:num>
  <w:num w:numId="9">
    <w:abstractNumId w:val="46"/>
  </w:num>
  <w:num w:numId="10">
    <w:abstractNumId w:val="38"/>
  </w:num>
  <w:num w:numId="11">
    <w:abstractNumId w:val="59"/>
  </w:num>
  <w:num w:numId="12">
    <w:abstractNumId w:val="55"/>
  </w:num>
  <w:num w:numId="13">
    <w:abstractNumId w:val="25"/>
  </w:num>
  <w:num w:numId="14">
    <w:abstractNumId w:val="3"/>
  </w:num>
  <w:num w:numId="15">
    <w:abstractNumId w:val="39"/>
  </w:num>
  <w:num w:numId="16">
    <w:abstractNumId w:val="0"/>
    <w:lvlOverride w:ilvl="0">
      <w:lvl w:ilvl="0">
        <w:start w:val="1"/>
        <w:numFmt w:val="bullet"/>
        <w:lvlText w:val=""/>
        <w:legacy w:legacy="1" w:legacySpace="0" w:legacyIndent="283"/>
        <w:lvlJc w:val="left"/>
        <w:pPr>
          <w:ind w:left="1003" w:hanging="283"/>
        </w:pPr>
        <w:rPr>
          <w:rFonts w:ascii="Symbol" w:hAnsi="Symbol" w:hint="default"/>
        </w:rPr>
      </w:lvl>
    </w:lvlOverride>
  </w:num>
  <w:num w:numId="17">
    <w:abstractNumId w:val="43"/>
  </w:num>
  <w:num w:numId="18">
    <w:abstractNumId w:val="41"/>
  </w:num>
  <w:num w:numId="19">
    <w:abstractNumId w:val="15"/>
  </w:num>
  <w:num w:numId="20">
    <w:abstractNumId w:val="7"/>
  </w:num>
  <w:num w:numId="21">
    <w:abstractNumId w:val="57"/>
  </w:num>
  <w:num w:numId="22">
    <w:abstractNumId w:val="53"/>
  </w:num>
  <w:num w:numId="23">
    <w:abstractNumId w:val="61"/>
  </w:num>
  <w:num w:numId="24">
    <w:abstractNumId w:val="23"/>
  </w:num>
  <w:num w:numId="25">
    <w:abstractNumId w:val="42"/>
  </w:num>
  <w:num w:numId="26">
    <w:abstractNumId w:val="27"/>
  </w:num>
  <w:num w:numId="27">
    <w:abstractNumId w:val="50"/>
  </w:num>
  <w:num w:numId="28">
    <w:abstractNumId w:val="32"/>
  </w:num>
  <w:num w:numId="29">
    <w:abstractNumId w:val="60"/>
  </w:num>
  <w:num w:numId="30">
    <w:abstractNumId w:val="26"/>
  </w:num>
  <w:num w:numId="31">
    <w:abstractNumId w:val="1"/>
  </w:num>
  <w:num w:numId="32">
    <w:abstractNumId w:val="49"/>
  </w:num>
  <w:num w:numId="33">
    <w:abstractNumId w:val="21"/>
  </w:num>
  <w:num w:numId="34">
    <w:abstractNumId w:val="45"/>
  </w:num>
  <w:num w:numId="35">
    <w:abstractNumId w:val="52"/>
  </w:num>
  <w:num w:numId="36">
    <w:abstractNumId w:val="30"/>
  </w:num>
  <w:num w:numId="37">
    <w:abstractNumId w:val="13"/>
  </w:num>
  <w:num w:numId="38">
    <w:abstractNumId w:val="22"/>
  </w:num>
  <w:num w:numId="39">
    <w:abstractNumId w:val="40"/>
  </w:num>
  <w:num w:numId="40">
    <w:abstractNumId w:val="2"/>
  </w:num>
  <w:num w:numId="41">
    <w:abstractNumId w:val="19"/>
  </w:num>
  <w:num w:numId="42">
    <w:abstractNumId w:val="9"/>
  </w:num>
  <w:num w:numId="43">
    <w:abstractNumId w:val="24"/>
  </w:num>
  <w:num w:numId="44">
    <w:abstractNumId w:val="35"/>
  </w:num>
  <w:num w:numId="45">
    <w:abstractNumId w:val="35"/>
    <w:lvlOverride w:ilvl="0">
      <w:startOverride w:val="1"/>
    </w:lvlOverride>
  </w:num>
  <w:num w:numId="46">
    <w:abstractNumId w:val="8"/>
  </w:num>
  <w:num w:numId="47">
    <w:abstractNumId w:val="56"/>
  </w:num>
  <w:num w:numId="48">
    <w:abstractNumId w:val="16"/>
  </w:num>
  <w:num w:numId="49">
    <w:abstractNumId w:val="31"/>
  </w:num>
  <w:num w:numId="50">
    <w:abstractNumId w:val="28"/>
  </w:num>
  <w:num w:numId="51">
    <w:abstractNumId w:val="35"/>
    <w:lvlOverride w:ilvl="0">
      <w:startOverride w:val="1"/>
    </w:lvlOverride>
  </w:num>
  <w:num w:numId="52">
    <w:abstractNumId w:val="33"/>
  </w:num>
  <w:num w:numId="53">
    <w:abstractNumId w:val="36"/>
  </w:num>
  <w:num w:numId="54">
    <w:abstractNumId w:val="14"/>
  </w:num>
  <w:num w:numId="55">
    <w:abstractNumId w:val="35"/>
    <w:lvlOverride w:ilvl="0">
      <w:startOverride w:val="1"/>
    </w:lvlOverride>
  </w:num>
  <w:num w:numId="56">
    <w:abstractNumId w:val="18"/>
  </w:num>
  <w:num w:numId="57">
    <w:abstractNumId w:val="29"/>
  </w:num>
  <w:num w:numId="58">
    <w:abstractNumId w:val="35"/>
    <w:lvlOverride w:ilvl="0">
      <w:startOverride w:val="1"/>
    </w:lvlOverride>
  </w:num>
  <w:num w:numId="59">
    <w:abstractNumId w:val="12"/>
  </w:num>
  <w:num w:numId="60">
    <w:abstractNumId w:val="10"/>
  </w:num>
  <w:num w:numId="61">
    <w:abstractNumId w:val="37"/>
  </w:num>
  <w:num w:numId="62">
    <w:abstractNumId w:val="47"/>
  </w:num>
  <w:num w:numId="63">
    <w:abstractNumId w:val="51"/>
  </w:num>
  <w:num w:numId="64">
    <w:abstractNumId w:val="6"/>
  </w:num>
  <w:num w:numId="65">
    <w:abstractNumId w:val="54"/>
  </w:num>
  <w:num w:numId="66">
    <w:abstractNumId w:val="20"/>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5F8F"/>
    <w:rsid w:val="00006AE2"/>
    <w:rsid w:val="000072EA"/>
    <w:rsid w:val="000076A1"/>
    <w:rsid w:val="00010F58"/>
    <w:rsid w:val="00012259"/>
    <w:rsid w:val="000140EC"/>
    <w:rsid w:val="00017BED"/>
    <w:rsid w:val="0002200B"/>
    <w:rsid w:val="00025383"/>
    <w:rsid w:val="00031127"/>
    <w:rsid w:val="00031135"/>
    <w:rsid w:val="00031282"/>
    <w:rsid w:val="0003472C"/>
    <w:rsid w:val="0003614E"/>
    <w:rsid w:val="00036AD7"/>
    <w:rsid w:val="00040591"/>
    <w:rsid w:val="00041FCE"/>
    <w:rsid w:val="000438C8"/>
    <w:rsid w:val="0004623A"/>
    <w:rsid w:val="000625DD"/>
    <w:rsid w:val="00063657"/>
    <w:rsid w:val="00063CC7"/>
    <w:rsid w:val="0007233D"/>
    <w:rsid w:val="000753A1"/>
    <w:rsid w:val="000759A1"/>
    <w:rsid w:val="00076680"/>
    <w:rsid w:val="0008073E"/>
    <w:rsid w:val="00086EB4"/>
    <w:rsid w:val="00087231"/>
    <w:rsid w:val="00091CDB"/>
    <w:rsid w:val="000931C5"/>
    <w:rsid w:val="00094A84"/>
    <w:rsid w:val="00096A07"/>
    <w:rsid w:val="000A19AC"/>
    <w:rsid w:val="000A436B"/>
    <w:rsid w:val="000A45D3"/>
    <w:rsid w:val="000A4ED3"/>
    <w:rsid w:val="000A62C0"/>
    <w:rsid w:val="000A6BFA"/>
    <w:rsid w:val="000B034E"/>
    <w:rsid w:val="000B6302"/>
    <w:rsid w:val="000C2D82"/>
    <w:rsid w:val="000C2DD8"/>
    <w:rsid w:val="000C4796"/>
    <w:rsid w:val="000C7895"/>
    <w:rsid w:val="000D06EC"/>
    <w:rsid w:val="000D1F4B"/>
    <w:rsid w:val="000D26F8"/>
    <w:rsid w:val="000D3BE6"/>
    <w:rsid w:val="000F0455"/>
    <w:rsid w:val="000F0E0D"/>
    <w:rsid w:val="000F1B99"/>
    <w:rsid w:val="000F27D0"/>
    <w:rsid w:val="000F2CE1"/>
    <w:rsid w:val="000F5D59"/>
    <w:rsid w:val="000F5E45"/>
    <w:rsid w:val="00102DDC"/>
    <w:rsid w:val="00103CC2"/>
    <w:rsid w:val="00104074"/>
    <w:rsid w:val="00104DC1"/>
    <w:rsid w:val="001068F6"/>
    <w:rsid w:val="00112D8D"/>
    <w:rsid w:val="00113229"/>
    <w:rsid w:val="001152BA"/>
    <w:rsid w:val="001152CF"/>
    <w:rsid w:val="00115F23"/>
    <w:rsid w:val="00116463"/>
    <w:rsid w:val="0012090D"/>
    <w:rsid w:val="00121E20"/>
    <w:rsid w:val="00127724"/>
    <w:rsid w:val="001337B8"/>
    <w:rsid w:val="001372EB"/>
    <w:rsid w:val="00137F12"/>
    <w:rsid w:val="001405C6"/>
    <w:rsid w:val="00141013"/>
    <w:rsid w:val="001435C6"/>
    <w:rsid w:val="00144AE6"/>
    <w:rsid w:val="00144BE0"/>
    <w:rsid w:val="00150ED6"/>
    <w:rsid w:val="00152FE5"/>
    <w:rsid w:val="001552E6"/>
    <w:rsid w:val="001555EA"/>
    <w:rsid w:val="001576A0"/>
    <w:rsid w:val="0015796F"/>
    <w:rsid w:val="001611D1"/>
    <w:rsid w:val="00162072"/>
    <w:rsid w:val="00165A4A"/>
    <w:rsid w:val="00166572"/>
    <w:rsid w:val="00166A32"/>
    <w:rsid w:val="00166DD7"/>
    <w:rsid w:val="00170DE7"/>
    <w:rsid w:val="001741F8"/>
    <w:rsid w:val="001824BE"/>
    <w:rsid w:val="001903EB"/>
    <w:rsid w:val="00192350"/>
    <w:rsid w:val="00192CBF"/>
    <w:rsid w:val="00192FF1"/>
    <w:rsid w:val="001A2CE4"/>
    <w:rsid w:val="001A2F2E"/>
    <w:rsid w:val="001A4C06"/>
    <w:rsid w:val="001A5F1B"/>
    <w:rsid w:val="001A637D"/>
    <w:rsid w:val="001B07EA"/>
    <w:rsid w:val="001B0BDF"/>
    <w:rsid w:val="001B1C22"/>
    <w:rsid w:val="001B2465"/>
    <w:rsid w:val="001B34C6"/>
    <w:rsid w:val="001B43AF"/>
    <w:rsid w:val="001C01B5"/>
    <w:rsid w:val="001C3330"/>
    <w:rsid w:val="001C548E"/>
    <w:rsid w:val="001C676F"/>
    <w:rsid w:val="001D597F"/>
    <w:rsid w:val="001D7832"/>
    <w:rsid w:val="001E04BD"/>
    <w:rsid w:val="001E1F10"/>
    <w:rsid w:val="001E24AA"/>
    <w:rsid w:val="001E27FA"/>
    <w:rsid w:val="001E2897"/>
    <w:rsid w:val="001E455B"/>
    <w:rsid w:val="001E4EA9"/>
    <w:rsid w:val="001E65DE"/>
    <w:rsid w:val="001E73D9"/>
    <w:rsid w:val="001F02D2"/>
    <w:rsid w:val="001F249C"/>
    <w:rsid w:val="001F2DA0"/>
    <w:rsid w:val="001F492E"/>
    <w:rsid w:val="001F4BCF"/>
    <w:rsid w:val="001F6049"/>
    <w:rsid w:val="001F6323"/>
    <w:rsid w:val="001F7A5A"/>
    <w:rsid w:val="00201BF9"/>
    <w:rsid w:val="00203C40"/>
    <w:rsid w:val="0020414B"/>
    <w:rsid w:val="00204755"/>
    <w:rsid w:val="002070FB"/>
    <w:rsid w:val="00210198"/>
    <w:rsid w:val="00210A94"/>
    <w:rsid w:val="00211D34"/>
    <w:rsid w:val="00214F04"/>
    <w:rsid w:val="00215BF5"/>
    <w:rsid w:val="00215D04"/>
    <w:rsid w:val="00216550"/>
    <w:rsid w:val="002218E8"/>
    <w:rsid w:val="00222D64"/>
    <w:rsid w:val="002257F1"/>
    <w:rsid w:val="00230A63"/>
    <w:rsid w:val="00231AB6"/>
    <w:rsid w:val="00233B9D"/>
    <w:rsid w:val="00234A37"/>
    <w:rsid w:val="002409A9"/>
    <w:rsid w:val="00242845"/>
    <w:rsid w:val="002440DA"/>
    <w:rsid w:val="0024518E"/>
    <w:rsid w:val="00250E94"/>
    <w:rsid w:val="00250F1B"/>
    <w:rsid w:val="002535D2"/>
    <w:rsid w:val="0025392D"/>
    <w:rsid w:val="00257058"/>
    <w:rsid w:val="00261EEB"/>
    <w:rsid w:val="00263C73"/>
    <w:rsid w:val="002666E0"/>
    <w:rsid w:val="00266807"/>
    <w:rsid w:val="00266CD6"/>
    <w:rsid w:val="00272281"/>
    <w:rsid w:val="002725AA"/>
    <w:rsid w:val="0027282F"/>
    <w:rsid w:val="00275A13"/>
    <w:rsid w:val="00275DAB"/>
    <w:rsid w:val="00277F5D"/>
    <w:rsid w:val="00280291"/>
    <w:rsid w:val="00280676"/>
    <w:rsid w:val="00280E15"/>
    <w:rsid w:val="00284B57"/>
    <w:rsid w:val="002868E4"/>
    <w:rsid w:val="00287683"/>
    <w:rsid w:val="0029418B"/>
    <w:rsid w:val="00295914"/>
    <w:rsid w:val="002962E5"/>
    <w:rsid w:val="00296D84"/>
    <w:rsid w:val="00297B92"/>
    <w:rsid w:val="002A1AE7"/>
    <w:rsid w:val="002A1EEA"/>
    <w:rsid w:val="002A3661"/>
    <w:rsid w:val="002A6073"/>
    <w:rsid w:val="002A77EE"/>
    <w:rsid w:val="002A782A"/>
    <w:rsid w:val="002B11E2"/>
    <w:rsid w:val="002B24B8"/>
    <w:rsid w:val="002B4497"/>
    <w:rsid w:val="002B6DB5"/>
    <w:rsid w:val="002B6EE1"/>
    <w:rsid w:val="002C209B"/>
    <w:rsid w:val="002C23EE"/>
    <w:rsid w:val="002C38D4"/>
    <w:rsid w:val="002D2510"/>
    <w:rsid w:val="002D2BCA"/>
    <w:rsid w:val="002D2CF2"/>
    <w:rsid w:val="002D3AE9"/>
    <w:rsid w:val="002D4510"/>
    <w:rsid w:val="002D62B7"/>
    <w:rsid w:val="002E2972"/>
    <w:rsid w:val="002E3647"/>
    <w:rsid w:val="002E3D6D"/>
    <w:rsid w:val="002F0734"/>
    <w:rsid w:val="002F2570"/>
    <w:rsid w:val="002F28C5"/>
    <w:rsid w:val="002F3CC0"/>
    <w:rsid w:val="002F46E7"/>
    <w:rsid w:val="002F4E59"/>
    <w:rsid w:val="002F64D4"/>
    <w:rsid w:val="00301260"/>
    <w:rsid w:val="0030286F"/>
    <w:rsid w:val="00304035"/>
    <w:rsid w:val="00304060"/>
    <w:rsid w:val="00306045"/>
    <w:rsid w:val="0030794B"/>
    <w:rsid w:val="003101DA"/>
    <w:rsid w:val="0031428D"/>
    <w:rsid w:val="00314757"/>
    <w:rsid w:val="00315E1B"/>
    <w:rsid w:val="003161BD"/>
    <w:rsid w:val="003168AB"/>
    <w:rsid w:val="003211CE"/>
    <w:rsid w:val="00322286"/>
    <w:rsid w:val="003235A2"/>
    <w:rsid w:val="0032545C"/>
    <w:rsid w:val="003262DE"/>
    <w:rsid w:val="00327567"/>
    <w:rsid w:val="00330689"/>
    <w:rsid w:val="00332F8C"/>
    <w:rsid w:val="003412E6"/>
    <w:rsid w:val="003415AF"/>
    <w:rsid w:val="0034205D"/>
    <w:rsid w:val="0034218E"/>
    <w:rsid w:val="00342891"/>
    <w:rsid w:val="0034364F"/>
    <w:rsid w:val="0034720E"/>
    <w:rsid w:val="00350EF2"/>
    <w:rsid w:val="00352679"/>
    <w:rsid w:val="00352D6D"/>
    <w:rsid w:val="00352DD8"/>
    <w:rsid w:val="0035403A"/>
    <w:rsid w:val="00360F81"/>
    <w:rsid w:val="0036376F"/>
    <w:rsid w:val="0036394B"/>
    <w:rsid w:val="00366145"/>
    <w:rsid w:val="003709B5"/>
    <w:rsid w:val="00374639"/>
    <w:rsid w:val="003759C2"/>
    <w:rsid w:val="00375AA8"/>
    <w:rsid w:val="003825E2"/>
    <w:rsid w:val="003833CA"/>
    <w:rsid w:val="00384CF9"/>
    <w:rsid w:val="003851EC"/>
    <w:rsid w:val="003914C5"/>
    <w:rsid w:val="003941F4"/>
    <w:rsid w:val="00397365"/>
    <w:rsid w:val="00397366"/>
    <w:rsid w:val="003A1EB1"/>
    <w:rsid w:val="003A31F6"/>
    <w:rsid w:val="003A3D64"/>
    <w:rsid w:val="003A4B61"/>
    <w:rsid w:val="003A4D82"/>
    <w:rsid w:val="003B1994"/>
    <w:rsid w:val="003B4CB3"/>
    <w:rsid w:val="003B5C92"/>
    <w:rsid w:val="003C3447"/>
    <w:rsid w:val="003C402C"/>
    <w:rsid w:val="003C4460"/>
    <w:rsid w:val="003C4AD4"/>
    <w:rsid w:val="003C6114"/>
    <w:rsid w:val="003C71B9"/>
    <w:rsid w:val="003D076C"/>
    <w:rsid w:val="003D08A9"/>
    <w:rsid w:val="003D460D"/>
    <w:rsid w:val="003D7780"/>
    <w:rsid w:val="003E0B37"/>
    <w:rsid w:val="003E56C4"/>
    <w:rsid w:val="003E78B5"/>
    <w:rsid w:val="003E7972"/>
    <w:rsid w:val="003F02C3"/>
    <w:rsid w:val="004031B3"/>
    <w:rsid w:val="004036B9"/>
    <w:rsid w:val="00406602"/>
    <w:rsid w:val="0041072D"/>
    <w:rsid w:val="00414560"/>
    <w:rsid w:val="00415BAB"/>
    <w:rsid w:val="00415ED2"/>
    <w:rsid w:val="0042068C"/>
    <w:rsid w:val="004210BF"/>
    <w:rsid w:val="004216A0"/>
    <w:rsid w:val="004239AA"/>
    <w:rsid w:val="00423A56"/>
    <w:rsid w:val="00432A37"/>
    <w:rsid w:val="00433A1F"/>
    <w:rsid w:val="00434116"/>
    <w:rsid w:val="00434B9C"/>
    <w:rsid w:val="00435061"/>
    <w:rsid w:val="00437693"/>
    <w:rsid w:val="0044170C"/>
    <w:rsid w:val="0045029C"/>
    <w:rsid w:val="00451348"/>
    <w:rsid w:val="00451602"/>
    <w:rsid w:val="00457BD3"/>
    <w:rsid w:val="0046471D"/>
    <w:rsid w:val="004661AF"/>
    <w:rsid w:val="00466E63"/>
    <w:rsid w:val="0047122B"/>
    <w:rsid w:val="0047341F"/>
    <w:rsid w:val="00473874"/>
    <w:rsid w:val="00473B7A"/>
    <w:rsid w:val="00482682"/>
    <w:rsid w:val="00483A6D"/>
    <w:rsid w:val="0048429A"/>
    <w:rsid w:val="0048656B"/>
    <w:rsid w:val="00486ACA"/>
    <w:rsid w:val="00491028"/>
    <w:rsid w:val="0049111D"/>
    <w:rsid w:val="00491ABD"/>
    <w:rsid w:val="004927EA"/>
    <w:rsid w:val="004958F2"/>
    <w:rsid w:val="00495BF4"/>
    <w:rsid w:val="004960E9"/>
    <w:rsid w:val="004975D0"/>
    <w:rsid w:val="004A0A61"/>
    <w:rsid w:val="004A2E88"/>
    <w:rsid w:val="004A496A"/>
    <w:rsid w:val="004A5305"/>
    <w:rsid w:val="004A56F0"/>
    <w:rsid w:val="004A6613"/>
    <w:rsid w:val="004B0F15"/>
    <w:rsid w:val="004B136C"/>
    <w:rsid w:val="004B3B57"/>
    <w:rsid w:val="004B7A16"/>
    <w:rsid w:val="004C0C4E"/>
    <w:rsid w:val="004C2648"/>
    <w:rsid w:val="004C4A93"/>
    <w:rsid w:val="004C7D8C"/>
    <w:rsid w:val="004D07D1"/>
    <w:rsid w:val="004D0E35"/>
    <w:rsid w:val="004D3943"/>
    <w:rsid w:val="004D3FD6"/>
    <w:rsid w:val="004D4BEC"/>
    <w:rsid w:val="004D5B73"/>
    <w:rsid w:val="004D7041"/>
    <w:rsid w:val="004D7634"/>
    <w:rsid w:val="004E1149"/>
    <w:rsid w:val="004E2529"/>
    <w:rsid w:val="004E3570"/>
    <w:rsid w:val="004E500D"/>
    <w:rsid w:val="004E6AFF"/>
    <w:rsid w:val="004F1D30"/>
    <w:rsid w:val="004F2E30"/>
    <w:rsid w:val="004F3539"/>
    <w:rsid w:val="004F56FA"/>
    <w:rsid w:val="005005F2"/>
    <w:rsid w:val="005018E2"/>
    <w:rsid w:val="00501C5C"/>
    <w:rsid w:val="00504DF1"/>
    <w:rsid w:val="00505168"/>
    <w:rsid w:val="00506380"/>
    <w:rsid w:val="00510A5F"/>
    <w:rsid w:val="00510C05"/>
    <w:rsid w:val="00512F14"/>
    <w:rsid w:val="0051539D"/>
    <w:rsid w:val="00515E8D"/>
    <w:rsid w:val="00520C02"/>
    <w:rsid w:val="00521707"/>
    <w:rsid w:val="005226CB"/>
    <w:rsid w:val="0052288A"/>
    <w:rsid w:val="00527041"/>
    <w:rsid w:val="005300D3"/>
    <w:rsid w:val="00534D70"/>
    <w:rsid w:val="00535112"/>
    <w:rsid w:val="005355E2"/>
    <w:rsid w:val="005363E7"/>
    <w:rsid w:val="0054188F"/>
    <w:rsid w:val="00544BDA"/>
    <w:rsid w:val="00544F82"/>
    <w:rsid w:val="00553530"/>
    <w:rsid w:val="0055361D"/>
    <w:rsid w:val="00553734"/>
    <w:rsid w:val="00553A0F"/>
    <w:rsid w:val="005548EA"/>
    <w:rsid w:val="00555041"/>
    <w:rsid w:val="0055527B"/>
    <w:rsid w:val="00555ABE"/>
    <w:rsid w:val="0056154F"/>
    <w:rsid w:val="005654DB"/>
    <w:rsid w:val="005657F4"/>
    <w:rsid w:val="005658DC"/>
    <w:rsid w:val="00567BB4"/>
    <w:rsid w:val="00570E60"/>
    <w:rsid w:val="00572D05"/>
    <w:rsid w:val="00573E2A"/>
    <w:rsid w:val="00580553"/>
    <w:rsid w:val="00580966"/>
    <w:rsid w:val="00581073"/>
    <w:rsid w:val="005811AE"/>
    <w:rsid w:val="005821F7"/>
    <w:rsid w:val="00584A47"/>
    <w:rsid w:val="00585893"/>
    <w:rsid w:val="005867D5"/>
    <w:rsid w:val="005879DC"/>
    <w:rsid w:val="00587BA0"/>
    <w:rsid w:val="00593C4F"/>
    <w:rsid w:val="005946A8"/>
    <w:rsid w:val="005A286D"/>
    <w:rsid w:val="005A4407"/>
    <w:rsid w:val="005A456B"/>
    <w:rsid w:val="005A49FE"/>
    <w:rsid w:val="005A5987"/>
    <w:rsid w:val="005A59EF"/>
    <w:rsid w:val="005A5D2C"/>
    <w:rsid w:val="005A6805"/>
    <w:rsid w:val="005B07C4"/>
    <w:rsid w:val="005B19CF"/>
    <w:rsid w:val="005B236A"/>
    <w:rsid w:val="005B2AA2"/>
    <w:rsid w:val="005B5829"/>
    <w:rsid w:val="005B6429"/>
    <w:rsid w:val="005C1761"/>
    <w:rsid w:val="005C7E75"/>
    <w:rsid w:val="005D3545"/>
    <w:rsid w:val="005D3835"/>
    <w:rsid w:val="005E0118"/>
    <w:rsid w:val="005E3520"/>
    <w:rsid w:val="005E65B4"/>
    <w:rsid w:val="005F30C7"/>
    <w:rsid w:val="005F65C0"/>
    <w:rsid w:val="005F6F41"/>
    <w:rsid w:val="005F793A"/>
    <w:rsid w:val="00601B6C"/>
    <w:rsid w:val="00604AE4"/>
    <w:rsid w:val="00606A5E"/>
    <w:rsid w:val="00615FCF"/>
    <w:rsid w:val="0061791B"/>
    <w:rsid w:val="00620699"/>
    <w:rsid w:val="00621949"/>
    <w:rsid w:val="006222D0"/>
    <w:rsid w:val="00625DC6"/>
    <w:rsid w:val="00626D5F"/>
    <w:rsid w:val="00632CCF"/>
    <w:rsid w:val="006363D6"/>
    <w:rsid w:val="006419FD"/>
    <w:rsid w:val="00642BB0"/>
    <w:rsid w:val="0064391D"/>
    <w:rsid w:val="0064501D"/>
    <w:rsid w:val="00650285"/>
    <w:rsid w:val="00651821"/>
    <w:rsid w:val="006539B4"/>
    <w:rsid w:val="00654384"/>
    <w:rsid w:val="006544EE"/>
    <w:rsid w:val="0065562C"/>
    <w:rsid w:val="00656F94"/>
    <w:rsid w:val="00661431"/>
    <w:rsid w:val="006616FB"/>
    <w:rsid w:val="00661DA8"/>
    <w:rsid w:val="006675CD"/>
    <w:rsid w:val="006747E9"/>
    <w:rsid w:val="00675F6E"/>
    <w:rsid w:val="006775DF"/>
    <w:rsid w:val="006811A5"/>
    <w:rsid w:val="006842F8"/>
    <w:rsid w:val="00684D9B"/>
    <w:rsid w:val="00687F25"/>
    <w:rsid w:val="0069173D"/>
    <w:rsid w:val="00691A66"/>
    <w:rsid w:val="00692727"/>
    <w:rsid w:val="00697556"/>
    <w:rsid w:val="006A1E8C"/>
    <w:rsid w:val="006A75F2"/>
    <w:rsid w:val="006B043D"/>
    <w:rsid w:val="006B1210"/>
    <w:rsid w:val="006B35D9"/>
    <w:rsid w:val="006B3AA9"/>
    <w:rsid w:val="006B3B48"/>
    <w:rsid w:val="006B4C2B"/>
    <w:rsid w:val="006B61F3"/>
    <w:rsid w:val="006B6D47"/>
    <w:rsid w:val="006C02E0"/>
    <w:rsid w:val="006C1E03"/>
    <w:rsid w:val="006C2C53"/>
    <w:rsid w:val="006C5828"/>
    <w:rsid w:val="006C5AFE"/>
    <w:rsid w:val="006D190C"/>
    <w:rsid w:val="006D3827"/>
    <w:rsid w:val="006D4C7E"/>
    <w:rsid w:val="006D5322"/>
    <w:rsid w:val="006D7088"/>
    <w:rsid w:val="006D77A8"/>
    <w:rsid w:val="006E306C"/>
    <w:rsid w:val="006E307D"/>
    <w:rsid w:val="006F57AE"/>
    <w:rsid w:val="006F6D95"/>
    <w:rsid w:val="006F70C1"/>
    <w:rsid w:val="0070454A"/>
    <w:rsid w:val="00704947"/>
    <w:rsid w:val="00706F13"/>
    <w:rsid w:val="007072E8"/>
    <w:rsid w:val="00710B85"/>
    <w:rsid w:val="00712E95"/>
    <w:rsid w:val="00715B4E"/>
    <w:rsid w:val="00715C2C"/>
    <w:rsid w:val="0071618D"/>
    <w:rsid w:val="0072243A"/>
    <w:rsid w:val="007251E4"/>
    <w:rsid w:val="00725FA4"/>
    <w:rsid w:val="007327C7"/>
    <w:rsid w:val="00735162"/>
    <w:rsid w:val="00736F5A"/>
    <w:rsid w:val="00737917"/>
    <w:rsid w:val="00740446"/>
    <w:rsid w:val="00742F09"/>
    <w:rsid w:val="007438A9"/>
    <w:rsid w:val="0074491E"/>
    <w:rsid w:val="00746A42"/>
    <w:rsid w:val="00752B7E"/>
    <w:rsid w:val="007536CD"/>
    <w:rsid w:val="00754D5F"/>
    <w:rsid w:val="00755D06"/>
    <w:rsid w:val="007563E2"/>
    <w:rsid w:val="0075721E"/>
    <w:rsid w:val="0076247A"/>
    <w:rsid w:val="00764779"/>
    <w:rsid w:val="0076706A"/>
    <w:rsid w:val="00767FE8"/>
    <w:rsid w:val="00775964"/>
    <w:rsid w:val="007765FE"/>
    <w:rsid w:val="00781B2F"/>
    <w:rsid w:val="00783BF4"/>
    <w:rsid w:val="00784912"/>
    <w:rsid w:val="00786928"/>
    <w:rsid w:val="0078754B"/>
    <w:rsid w:val="00790CE6"/>
    <w:rsid w:val="007912E0"/>
    <w:rsid w:val="00795BFB"/>
    <w:rsid w:val="007A0DA7"/>
    <w:rsid w:val="007A59B0"/>
    <w:rsid w:val="007A7A6B"/>
    <w:rsid w:val="007B021F"/>
    <w:rsid w:val="007B0460"/>
    <w:rsid w:val="007B154F"/>
    <w:rsid w:val="007B2760"/>
    <w:rsid w:val="007B4FC0"/>
    <w:rsid w:val="007B5B05"/>
    <w:rsid w:val="007C1A93"/>
    <w:rsid w:val="007C1C89"/>
    <w:rsid w:val="007C44A2"/>
    <w:rsid w:val="007C4952"/>
    <w:rsid w:val="007D00C7"/>
    <w:rsid w:val="007E0D38"/>
    <w:rsid w:val="007E444A"/>
    <w:rsid w:val="007E6E71"/>
    <w:rsid w:val="007F244A"/>
    <w:rsid w:val="007F2D41"/>
    <w:rsid w:val="007F4353"/>
    <w:rsid w:val="007F7B58"/>
    <w:rsid w:val="008028B8"/>
    <w:rsid w:val="00803B32"/>
    <w:rsid w:val="00804293"/>
    <w:rsid w:val="00804514"/>
    <w:rsid w:val="00804F0E"/>
    <w:rsid w:val="008066AF"/>
    <w:rsid w:val="00806C01"/>
    <w:rsid w:val="00810475"/>
    <w:rsid w:val="0081387A"/>
    <w:rsid w:val="008139FF"/>
    <w:rsid w:val="008148CC"/>
    <w:rsid w:val="008151DA"/>
    <w:rsid w:val="008156FD"/>
    <w:rsid w:val="00815E39"/>
    <w:rsid w:val="008211A4"/>
    <w:rsid w:val="00823416"/>
    <w:rsid w:val="00827762"/>
    <w:rsid w:val="00831A04"/>
    <w:rsid w:val="008320D0"/>
    <w:rsid w:val="0083452B"/>
    <w:rsid w:val="00834DD9"/>
    <w:rsid w:val="008358DC"/>
    <w:rsid w:val="00835A73"/>
    <w:rsid w:val="00837B75"/>
    <w:rsid w:val="008428B6"/>
    <w:rsid w:val="0084444B"/>
    <w:rsid w:val="008445A5"/>
    <w:rsid w:val="008459C6"/>
    <w:rsid w:val="008477EE"/>
    <w:rsid w:val="00850516"/>
    <w:rsid w:val="00854523"/>
    <w:rsid w:val="008554B8"/>
    <w:rsid w:val="008571C2"/>
    <w:rsid w:val="00861223"/>
    <w:rsid w:val="00863046"/>
    <w:rsid w:val="0086376C"/>
    <w:rsid w:val="008651CC"/>
    <w:rsid w:val="008677FF"/>
    <w:rsid w:val="0087047C"/>
    <w:rsid w:val="008727DF"/>
    <w:rsid w:val="00873150"/>
    <w:rsid w:val="00874FBA"/>
    <w:rsid w:val="0087657D"/>
    <w:rsid w:val="0087757F"/>
    <w:rsid w:val="008807D5"/>
    <w:rsid w:val="00880832"/>
    <w:rsid w:val="008843CF"/>
    <w:rsid w:val="00884922"/>
    <w:rsid w:val="00886EE1"/>
    <w:rsid w:val="0088727D"/>
    <w:rsid w:val="00887442"/>
    <w:rsid w:val="00890D50"/>
    <w:rsid w:val="008914D0"/>
    <w:rsid w:val="008956E3"/>
    <w:rsid w:val="00896AC8"/>
    <w:rsid w:val="00897C75"/>
    <w:rsid w:val="008A0840"/>
    <w:rsid w:val="008A18FE"/>
    <w:rsid w:val="008A23E6"/>
    <w:rsid w:val="008A3138"/>
    <w:rsid w:val="008A3FAF"/>
    <w:rsid w:val="008B6492"/>
    <w:rsid w:val="008B7F5E"/>
    <w:rsid w:val="008C1130"/>
    <w:rsid w:val="008C542B"/>
    <w:rsid w:val="008C5E6E"/>
    <w:rsid w:val="008D05A4"/>
    <w:rsid w:val="008D18E6"/>
    <w:rsid w:val="008D1DA9"/>
    <w:rsid w:val="008D4FCE"/>
    <w:rsid w:val="008D7A9B"/>
    <w:rsid w:val="008E2CF5"/>
    <w:rsid w:val="008E4C32"/>
    <w:rsid w:val="008E6B82"/>
    <w:rsid w:val="008E76AC"/>
    <w:rsid w:val="008F0587"/>
    <w:rsid w:val="008F20BA"/>
    <w:rsid w:val="008F21F6"/>
    <w:rsid w:val="008F317A"/>
    <w:rsid w:val="008F49B3"/>
    <w:rsid w:val="008F5883"/>
    <w:rsid w:val="008F68C6"/>
    <w:rsid w:val="008F73D1"/>
    <w:rsid w:val="00901554"/>
    <w:rsid w:val="009020F4"/>
    <w:rsid w:val="00904B85"/>
    <w:rsid w:val="00905402"/>
    <w:rsid w:val="00906A85"/>
    <w:rsid w:val="009077E5"/>
    <w:rsid w:val="009078CE"/>
    <w:rsid w:val="00913F56"/>
    <w:rsid w:val="00917F46"/>
    <w:rsid w:val="00920E1B"/>
    <w:rsid w:val="00921D79"/>
    <w:rsid w:val="0092417F"/>
    <w:rsid w:val="009242B3"/>
    <w:rsid w:val="009259F4"/>
    <w:rsid w:val="009359F3"/>
    <w:rsid w:val="00936246"/>
    <w:rsid w:val="009362E6"/>
    <w:rsid w:val="00936DD0"/>
    <w:rsid w:val="00940D98"/>
    <w:rsid w:val="00940E43"/>
    <w:rsid w:val="00945972"/>
    <w:rsid w:val="0094662A"/>
    <w:rsid w:val="009474CD"/>
    <w:rsid w:val="0094787D"/>
    <w:rsid w:val="00951F79"/>
    <w:rsid w:val="0095599F"/>
    <w:rsid w:val="009566D0"/>
    <w:rsid w:val="00956D33"/>
    <w:rsid w:val="00956FE4"/>
    <w:rsid w:val="00962869"/>
    <w:rsid w:val="00963465"/>
    <w:rsid w:val="0096399B"/>
    <w:rsid w:val="00963A0D"/>
    <w:rsid w:val="00971F2B"/>
    <w:rsid w:val="009721F4"/>
    <w:rsid w:val="00974AB5"/>
    <w:rsid w:val="009754CD"/>
    <w:rsid w:val="00975783"/>
    <w:rsid w:val="00977CFD"/>
    <w:rsid w:val="00985F9C"/>
    <w:rsid w:val="009864D7"/>
    <w:rsid w:val="0098706D"/>
    <w:rsid w:val="00987E38"/>
    <w:rsid w:val="009906B1"/>
    <w:rsid w:val="009935FB"/>
    <w:rsid w:val="009A5038"/>
    <w:rsid w:val="009A79CB"/>
    <w:rsid w:val="009B2BBF"/>
    <w:rsid w:val="009B4F4F"/>
    <w:rsid w:val="009B6141"/>
    <w:rsid w:val="009B68F4"/>
    <w:rsid w:val="009C0409"/>
    <w:rsid w:val="009C05C3"/>
    <w:rsid w:val="009C1A05"/>
    <w:rsid w:val="009C22BF"/>
    <w:rsid w:val="009C2B72"/>
    <w:rsid w:val="009C64F4"/>
    <w:rsid w:val="009D4904"/>
    <w:rsid w:val="009D6DA2"/>
    <w:rsid w:val="009E07D3"/>
    <w:rsid w:val="009E4060"/>
    <w:rsid w:val="009E5148"/>
    <w:rsid w:val="009F0A65"/>
    <w:rsid w:val="009F1441"/>
    <w:rsid w:val="009F4A54"/>
    <w:rsid w:val="009F4BEC"/>
    <w:rsid w:val="009F60BD"/>
    <w:rsid w:val="00A00412"/>
    <w:rsid w:val="00A00EE3"/>
    <w:rsid w:val="00A01E24"/>
    <w:rsid w:val="00A03C0D"/>
    <w:rsid w:val="00A04026"/>
    <w:rsid w:val="00A04205"/>
    <w:rsid w:val="00A045F1"/>
    <w:rsid w:val="00A06D85"/>
    <w:rsid w:val="00A0756E"/>
    <w:rsid w:val="00A122A1"/>
    <w:rsid w:val="00A12333"/>
    <w:rsid w:val="00A131A1"/>
    <w:rsid w:val="00A2218F"/>
    <w:rsid w:val="00A223F5"/>
    <w:rsid w:val="00A23688"/>
    <w:rsid w:val="00A23823"/>
    <w:rsid w:val="00A25FD7"/>
    <w:rsid w:val="00A26A70"/>
    <w:rsid w:val="00A31050"/>
    <w:rsid w:val="00A326CF"/>
    <w:rsid w:val="00A376C7"/>
    <w:rsid w:val="00A43AFF"/>
    <w:rsid w:val="00A47216"/>
    <w:rsid w:val="00A52ABB"/>
    <w:rsid w:val="00A54337"/>
    <w:rsid w:val="00A5476A"/>
    <w:rsid w:val="00A566E0"/>
    <w:rsid w:val="00A619EB"/>
    <w:rsid w:val="00A626D4"/>
    <w:rsid w:val="00A626F1"/>
    <w:rsid w:val="00A62919"/>
    <w:rsid w:val="00A645F4"/>
    <w:rsid w:val="00A668CD"/>
    <w:rsid w:val="00A7044D"/>
    <w:rsid w:val="00A70FD7"/>
    <w:rsid w:val="00A7100F"/>
    <w:rsid w:val="00A73BC8"/>
    <w:rsid w:val="00A74E29"/>
    <w:rsid w:val="00A7610A"/>
    <w:rsid w:val="00A7793A"/>
    <w:rsid w:val="00A8009E"/>
    <w:rsid w:val="00A814ED"/>
    <w:rsid w:val="00A95CB0"/>
    <w:rsid w:val="00A9639C"/>
    <w:rsid w:val="00A96533"/>
    <w:rsid w:val="00AA2104"/>
    <w:rsid w:val="00AA4CC7"/>
    <w:rsid w:val="00AA5E8E"/>
    <w:rsid w:val="00AA7D3B"/>
    <w:rsid w:val="00AB5543"/>
    <w:rsid w:val="00AB6CA7"/>
    <w:rsid w:val="00AC1B48"/>
    <w:rsid w:val="00AC2EBF"/>
    <w:rsid w:val="00AC36E0"/>
    <w:rsid w:val="00AC4961"/>
    <w:rsid w:val="00AC7620"/>
    <w:rsid w:val="00AD01D4"/>
    <w:rsid w:val="00AD01E4"/>
    <w:rsid w:val="00AD0858"/>
    <w:rsid w:val="00AD0E77"/>
    <w:rsid w:val="00AD2F7A"/>
    <w:rsid w:val="00AD542B"/>
    <w:rsid w:val="00AD57C2"/>
    <w:rsid w:val="00AE0D6F"/>
    <w:rsid w:val="00AE1619"/>
    <w:rsid w:val="00AE3EF7"/>
    <w:rsid w:val="00AE7340"/>
    <w:rsid w:val="00AE7741"/>
    <w:rsid w:val="00AF03B7"/>
    <w:rsid w:val="00AF0C40"/>
    <w:rsid w:val="00AF1BBD"/>
    <w:rsid w:val="00AF5AB9"/>
    <w:rsid w:val="00B0456E"/>
    <w:rsid w:val="00B05208"/>
    <w:rsid w:val="00B056C5"/>
    <w:rsid w:val="00B10207"/>
    <w:rsid w:val="00B141E7"/>
    <w:rsid w:val="00B20EFE"/>
    <w:rsid w:val="00B217EA"/>
    <w:rsid w:val="00B21AE5"/>
    <w:rsid w:val="00B2315F"/>
    <w:rsid w:val="00B24E47"/>
    <w:rsid w:val="00B310AE"/>
    <w:rsid w:val="00B31137"/>
    <w:rsid w:val="00B3233E"/>
    <w:rsid w:val="00B32CDA"/>
    <w:rsid w:val="00B33183"/>
    <w:rsid w:val="00B34685"/>
    <w:rsid w:val="00B351B4"/>
    <w:rsid w:val="00B3630D"/>
    <w:rsid w:val="00B44F65"/>
    <w:rsid w:val="00B46BCA"/>
    <w:rsid w:val="00B52EAD"/>
    <w:rsid w:val="00B5328D"/>
    <w:rsid w:val="00B54703"/>
    <w:rsid w:val="00B60F86"/>
    <w:rsid w:val="00B61685"/>
    <w:rsid w:val="00B64770"/>
    <w:rsid w:val="00B7202D"/>
    <w:rsid w:val="00B72A69"/>
    <w:rsid w:val="00B740C2"/>
    <w:rsid w:val="00B77F9D"/>
    <w:rsid w:val="00B877B9"/>
    <w:rsid w:val="00B87806"/>
    <w:rsid w:val="00B87EC9"/>
    <w:rsid w:val="00B92F9F"/>
    <w:rsid w:val="00B93CD4"/>
    <w:rsid w:val="00BA04BF"/>
    <w:rsid w:val="00BA24F4"/>
    <w:rsid w:val="00BA3542"/>
    <w:rsid w:val="00BA56C6"/>
    <w:rsid w:val="00BA5E26"/>
    <w:rsid w:val="00BA7700"/>
    <w:rsid w:val="00BB06BF"/>
    <w:rsid w:val="00BB31D9"/>
    <w:rsid w:val="00BB54BF"/>
    <w:rsid w:val="00BB56ED"/>
    <w:rsid w:val="00BB57E6"/>
    <w:rsid w:val="00BC0F81"/>
    <w:rsid w:val="00BC1452"/>
    <w:rsid w:val="00BC16F1"/>
    <w:rsid w:val="00BC38FD"/>
    <w:rsid w:val="00BC4342"/>
    <w:rsid w:val="00BC59C8"/>
    <w:rsid w:val="00BD281F"/>
    <w:rsid w:val="00BD3392"/>
    <w:rsid w:val="00BD5FDA"/>
    <w:rsid w:val="00BD741A"/>
    <w:rsid w:val="00BD76E2"/>
    <w:rsid w:val="00BE1729"/>
    <w:rsid w:val="00BE2A80"/>
    <w:rsid w:val="00BE463E"/>
    <w:rsid w:val="00BE6B9A"/>
    <w:rsid w:val="00BF1863"/>
    <w:rsid w:val="00BF1A75"/>
    <w:rsid w:val="00BF374F"/>
    <w:rsid w:val="00BF4B29"/>
    <w:rsid w:val="00BF7DAF"/>
    <w:rsid w:val="00C025F1"/>
    <w:rsid w:val="00C034CB"/>
    <w:rsid w:val="00C051A8"/>
    <w:rsid w:val="00C054BC"/>
    <w:rsid w:val="00C06AD0"/>
    <w:rsid w:val="00C10E6B"/>
    <w:rsid w:val="00C135BA"/>
    <w:rsid w:val="00C172CF"/>
    <w:rsid w:val="00C17897"/>
    <w:rsid w:val="00C17DA8"/>
    <w:rsid w:val="00C209D7"/>
    <w:rsid w:val="00C22506"/>
    <w:rsid w:val="00C240F2"/>
    <w:rsid w:val="00C30FAB"/>
    <w:rsid w:val="00C329AB"/>
    <w:rsid w:val="00C32A2D"/>
    <w:rsid w:val="00C32ABA"/>
    <w:rsid w:val="00C3445B"/>
    <w:rsid w:val="00C3518D"/>
    <w:rsid w:val="00C35A40"/>
    <w:rsid w:val="00C36AF7"/>
    <w:rsid w:val="00C40012"/>
    <w:rsid w:val="00C4013B"/>
    <w:rsid w:val="00C409D5"/>
    <w:rsid w:val="00C435C3"/>
    <w:rsid w:val="00C4425A"/>
    <w:rsid w:val="00C54FCA"/>
    <w:rsid w:val="00C56EFD"/>
    <w:rsid w:val="00C6064B"/>
    <w:rsid w:val="00C6234B"/>
    <w:rsid w:val="00C628CE"/>
    <w:rsid w:val="00C63EAE"/>
    <w:rsid w:val="00C66D18"/>
    <w:rsid w:val="00C70207"/>
    <w:rsid w:val="00C71A42"/>
    <w:rsid w:val="00C72086"/>
    <w:rsid w:val="00C75678"/>
    <w:rsid w:val="00C75D37"/>
    <w:rsid w:val="00C7629F"/>
    <w:rsid w:val="00C76823"/>
    <w:rsid w:val="00C80043"/>
    <w:rsid w:val="00C80A01"/>
    <w:rsid w:val="00C80A71"/>
    <w:rsid w:val="00C81580"/>
    <w:rsid w:val="00C82D05"/>
    <w:rsid w:val="00C83D85"/>
    <w:rsid w:val="00C8475C"/>
    <w:rsid w:val="00C86068"/>
    <w:rsid w:val="00C8661B"/>
    <w:rsid w:val="00C942D0"/>
    <w:rsid w:val="00C94408"/>
    <w:rsid w:val="00C94803"/>
    <w:rsid w:val="00CA139A"/>
    <w:rsid w:val="00CA2899"/>
    <w:rsid w:val="00CA2E0E"/>
    <w:rsid w:val="00CA3279"/>
    <w:rsid w:val="00CA3A3D"/>
    <w:rsid w:val="00CA3E1C"/>
    <w:rsid w:val="00CA77FB"/>
    <w:rsid w:val="00CB02B9"/>
    <w:rsid w:val="00CB04F9"/>
    <w:rsid w:val="00CB379B"/>
    <w:rsid w:val="00CB4196"/>
    <w:rsid w:val="00CB4461"/>
    <w:rsid w:val="00CB5DD0"/>
    <w:rsid w:val="00CB6629"/>
    <w:rsid w:val="00CB7E90"/>
    <w:rsid w:val="00CC06A4"/>
    <w:rsid w:val="00CC22E1"/>
    <w:rsid w:val="00CC4091"/>
    <w:rsid w:val="00CC51D4"/>
    <w:rsid w:val="00CC65DA"/>
    <w:rsid w:val="00CD022D"/>
    <w:rsid w:val="00CD0830"/>
    <w:rsid w:val="00CD2EF6"/>
    <w:rsid w:val="00CD41C4"/>
    <w:rsid w:val="00CD7268"/>
    <w:rsid w:val="00CE083B"/>
    <w:rsid w:val="00CE1183"/>
    <w:rsid w:val="00CE5F12"/>
    <w:rsid w:val="00CF1442"/>
    <w:rsid w:val="00CF21B9"/>
    <w:rsid w:val="00CF22FC"/>
    <w:rsid w:val="00CF4B67"/>
    <w:rsid w:val="00CF6BF9"/>
    <w:rsid w:val="00D012E3"/>
    <w:rsid w:val="00D02F99"/>
    <w:rsid w:val="00D03800"/>
    <w:rsid w:val="00D065D3"/>
    <w:rsid w:val="00D0663F"/>
    <w:rsid w:val="00D117C7"/>
    <w:rsid w:val="00D131D0"/>
    <w:rsid w:val="00D14C94"/>
    <w:rsid w:val="00D1530D"/>
    <w:rsid w:val="00D159BF"/>
    <w:rsid w:val="00D15CAE"/>
    <w:rsid w:val="00D20B51"/>
    <w:rsid w:val="00D21404"/>
    <w:rsid w:val="00D24303"/>
    <w:rsid w:val="00D32614"/>
    <w:rsid w:val="00D33D44"/>
    <w:rsid w:val="00D342A6"/>
    <w:rsid w:val="00D37538"/>
    <w:rsid w:val="00D40AF4"/>
    <w:rsid w:val="00D42085"/>
    <w:rsid w:val="00D43C15"/>
    <w:rsid w:val="00D44F75"/>
    <w:rsid w:val="00D464BF"/>
    <w:rsid w:val="00D51342"/>
    <w:rsid w:val="00D52454"/>
    <w:rsid w:val="00D53E26"/>
    <w:rsid w:val="00D54B50"/>
    <w:rsid w:val="00D556F0"/>
    <w:rsid w:val="00D564B7"/>
    <w:rsid w:val="00D57906"/>
    <w:rsid w:val="00D62527"/>
    <w:rsid w:val="00D633BE"/>
    <w:rsid w:val="00D65378"/>
    <w:rsid w:val="00D658DA"/>
    <w:rsid w:val="00D7102D"/>
    <w:rsid w:val="00D74524"/>
    <w:rsid w:val="00D8199C"/>
    <w:rsid w:val="00D84253"/>
    <w:rsid w:val="00D85F80"/>
    <w:rsid w:val="00D867C9"/>
    <w:rsid w:val="00D90BE1"/>
    <w:rsid w:val="00D9399B"/>
    <w:rsid w:val="00D95BE4"/>
    <w:rsid w:val="00D9618A"/>
    <w:rsid w:val="00D9766B"/>
    <w:rsid w:val="00DA0E3F"/>
    <w:rsid w:val="00DA15B9"/>
    <w:rsid w:val="00DA295A"/>
    <w:rsid w:val="00DA4C6F"/>
    <w:rsid w:val="00DA723B"/>
    <w:rsid w:val="00DA79BD"/>
    <w:rsid w:val="00DB182B"/>
    <w:rsid w:val="00DB228D"/>
    <w:rsid w:val="00DB53F2"/>
    <w:rsid w:val="00DB6A47"/>
    <w:rsid w:val="00DC1000"/>
    <w:rsid w:val="00DC3BFA"/>
    <w:rsid w:val="00DC6221"/>
    <w:rsid w:val="00DD11FD"/>
    <w:rsid w:val="00DD4F0E"/>
    <w:rsid w:val="00DD7779"/>
    <w:rsid w:val="00DE2710"/>
    <w:rsid w:val="00DE2D6D"/>
    <w:rsid w:val="00DE37CB"/>
    <w:rsid w:val="00DE4F25"/>
    <w:rsid w:val="00DE6418"/>
    <w:rsid w:val="00DE6996"/>
    <w:rsid w:val="00DF0BF0"/>
    <w:rsid w:val="00DF4C8A"/>
    <w:rsid w:val="00DF559A"/>
    <w:rsid w:val="00DF7A9B"/>
    <w:rsid w:val="00E00380"/>
    <w:rsid w:val="00E0117C"/>
    <w:rsid w:val="00E0393E"/>
    <w:rsid w:val="00E05E0A"/>
    <w:rsid w:val="00E05EDF"/>
    <w:rsid w:val="00E12A4C"/>
    <w:rsid w:val="00E13EB7"/>
    <w:rsid w:val="00E144D8"/>
    <w:rsid w:val="00E201FE"/>
    <w:rsid w:val="00E21CBE"/>
    <w:rsid w:val="00E27AF0"/>
    <w:rsid w:val="00E346BC"/>
    <w:rsid w:val="00E40A09"/>
    <w:rsid w:val="00E41B33"/>
    <w:rsid w:val="00E42FEC"/>
    <w:rsid w:val="00E45CCA"/>
    <w:rsid w:val="00E50E53"/>
    <w:rsid w:val="00E52129"/>
    <w:rsid w:val="00E534CF"/>
    <w:rsid w:val="00E53C16"/>
    <w:rsid w:val="00E53C75"/>
    <w:rsid w:val="00E55E6A"/>
    <w:rsid w:val="00E57B22"/>
    <w:rsid w:val="00E6120A"/>
    <w:rsid w:val="00E612D5"/>
    <w:rsid w:val="00E61E5F"/>
    <w:rsid w:val="00E6446A"/>
    <w:rsid w:val="00E71F3D"/>
    <w:rsid w:val="00E7320B"/>
    <w:rsid w:val="00E76973"/>
    <w:rsid w:val="00E804BA"/>
    <w:rsid w:val="00E80AD4"/>
    <w:rsid w:val="00E80CA6"/>
    <w:rsid w:val="00E80F04"/>
    <w:rsid w:val="00E81CB4"/>
    <w:rsid w:val="00E81D5C"/>
    <w:rsid w:val="00E8443E"/>
    <w:rsid w:val="00E85104"/>
    <w:rsid w:val="00E8585B"/>
    <w:rsid w:val="00E866CD"/>
    <w:rsid w:val="00E900A9"/>
    <w:rsid w:val="00E93EB1"/>
    <w:rsid w:val="00E94B5C"/>
    <w:rsid w:val="00EA107B"/>
    <w:rsid w:val="00EA1E70"/>
    <w:rsid w:val="00EA3F15"/>
    <w:rsid w:val="00EA4011"/>
    <w:rsid w:val="00EA5047"/>
    <w:rsid w:val="00EA7847"/>
    <w:rsid w:val="00EA7C79"/>
    <w:rsid w:val="00EB449E"/>
    <w:rsid w:val="00EB72FD"/>
    <w:rsid w:val="00EC0450"/>
    <w:rsid w:val="00EC1DD8"/>
    <w:rsid w:val="00EC4248"/>
    <w:rsid w:val="00EC6566"/>
    <w:rsid w:val="00EC6763"/>
    <w:rsid w:val="00ED1918"/>
    <w:rsid w:val="00ED26B1"/>
    <w:rsid w:val="00ED2E6F"/>
    <w:rsid w:val="00EE04C4"/>
    <w:rsid w:val="00EE0A48"/>
    <w:rsid w:val="00EE23D5"/>
    <w:rsid w:val="00EE2A2D"/>
    <w:rsid w:val="00EE2E6E"/>
    <w:rsid w:val="00EE3635"/>
    <w:rsid w:val="00EE45FF"/>
    <w:rsid w:val="00EE4619"/>
    <w:rsid w:val="00EF1A1D"/>
    <w:rsid w:val="00EF3760"/>
    <w:rsid w:val="00EF447F"/>
    <w:rsid w:val="00EF4E9C"/>
    <w:rsid w:val="00EF5AAC"/>
    <w:rsid w:val="00EF6B9B"/>
    <w:rsid w:val="00EF73DE"/>
    <w:rsid w:val="00F01B51"/>
    <w:rsid w:val="00F022FC"/>
    <w:rsid w:val="00F042E3"/>
    <w:rsid w:val="00F0759E"/>
    <w:rsid w:val="00F075E4"/>
    <w:rsid w:val="00F10430"/>
    <w:rsid w:val="00F118AC"/>
    <w:rsid w:val="00F11E2C"/>
    <w:rsid w:val="00F12332"/>
    <w:rsid w:val="00F16BE4"/>
    <w:rsid w:val="00F17DDF"/>
    <w:rsid w:val="00F2352C"/>
    <w:rsid w:val="00F23772"/>
    <w:rsid w:val="00F2623C"/>
    <w:rsid w:val="00F32526"/>
    <w:rsid w:val="00F32BD6"/>
    <w:rsid w:val="00F32DED"/>
    <w:rsid w:val="00F35417"/>
    <w:rsid w:val="00F36223"/>
    <w:rsid w:val="00F40705"/>
    <w:rsid w:val="00F41829"/>
    <w:rsid w:val="00F43533"/>
    <w:rsid w:val="00F43F05"/>
    <w:rsid w:val="00F51854"/>
    <w:rsid w:val="00F545BB"/>
    <w:rsid w:val="00F5669E"/>
    <w:rsid w:val="00F5719C"/>
    <w:rsid w:val="00F57689"/>
    <w:rsid w:val="00F57AE5"/>
    <w:rsid w:val="00F621CE"/>
    <w:rsid w:val="00F66D07"/>
    <w:rsid w:val="00F75950"/>
    <w:rsid w:val="00F76506"/>
    <w:rsid w:val="00F76E2C"/>
    <w:rsid w:val="00F77B95"/>
    <w:rsid w:val="00F77F81"/>
    <w:rsid w:val="00F821A3"/>
    <w:rsid w:val="00F904C4"/>
    <w:rsid w:val="00F90F1B"/>
    <w:rsid w:val="00F9314A"/>
    <w:rsid w:val="00FA0BA3"/>
    <w:rsid w:val="00FA0FB0"/>
    <w:rsid w:val="00FA0FCE"/>
    <w:rsid w:val="00FA15DE"/>
    <w:rsid w:val="00FA36AC"/>
    <w:rsid w:val="00FA3D0E"/>
    <w:rsid w:val="00FA3DA5"/>
    <w:rsid w:val="00FA5687"/>
    <w:rsid w:val="00FA587C"/>
    <w:rsid w:val="00FA75D2"/>
    <w:rsid w:val="00FB277C"/>
    <w:rsid w:val="00FB34EF"/>
    <w:rsid w:val="00FC260B"/>
    <w:rsid w:val="00FC58EF"/>
    <w:rsid w:val="00FC7FE6"/>
    <w:rsid w:val="00FD0D0D"/>
    <w:rsid w:val="00FD0FBB"/>
    <w:rsid w:val="00FD160F"/>
    <w:rsid w:val="00FD2A14"/>
    <w:rsid w:val="00FD33DF"/>
    <w:rsid w:val="00FD49A7"/>
    <w:rsid w:val="00FE30EB"/>
    <w:rsid w:val="00FE39D7"/>
    <w:rsid w:val="00FE3EE6"/>
    <w:rsid w:val="00FE62A3"/>
    <w:rsid w:val="00FE6A44"/>
    <w:rsid w:val="00FE7A46"/>
    <w:rsid w:val="00FE7CC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27DF"/>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B72A69"/>
    <w:pPr>
      <w:keepNext/>
      <w:ind w:left="1287"/>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B72A69"/>
    <w:pPr>
      <w:keepNext/>
      <w:ind w:left="1287"/>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9A79CB"/>
    <w:pPr>
      <w:numPr>
        <w:numId w:val="60"/>
      </w:numPr>
      <w:spacing w:before="240" w:after="60"/>
      <w:jc w:val="center"/>
      <w:outlineLvl w:val="5"/>
    </w:pPr>
    <w:rPr>
      <w:rFonts w:ascii="Bookman Old Style" w:hAnsi="Bookman Old Style" w:cs="Arial"/>
      <w:b/>
    </w:rPr>
  </w:style>
  <w:style w:type="paragraph" w:styleId="Ttulo7">
    <w:name w:val="heading 7"/>
    <w:basedOn w:val="Normal"/>
    <w:next w:val="Normal"/>
    <w:link w:val="Ttulo7Car"/>
    <w:uiPriority w:val="9"/>
    <w:semiHidden/>
    <w:unhideWhenUsed/>
    <w:qFormat/>
    <w:rsid w:val="00451348"/>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B72A69"/>
    <w:rPr>
      <w:rFonts w:ascii="CG Times" w:hAnsi="CG Times"/>
      <w:b/>
      <w:snapToGrid w:val="0"/>
      <w:color w:val="000000"/>
      <w:sz w:val="24"/>
      <w:lang w:val="es-ES_tradnl" w:eastAsia="es-ES"/>
    </w:rPr>
  </w:style>
  <w:style w:type="character" w:customStyle="1" w:styleId="Ttulo4Car">
    <w:name w:val="Título 4 Car"/>
    <w:link w:val="Ttulo4"/>
    <w:rsid w:val="00B72A69"/>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9A79CB"/>
    <w:rPr>
      <w:rFonts w:ascii="Bookman Old Style" w:hAnsi="Bookman Old Style" w:cs="Arial"/>
      <w:b/>
      <w:sz w:val="24"/>
      <w:szCs w:val="24"/>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styleId="Sangradetextonormal">
    <w:name w:val="Body Text Indent"/>
    <w:basedOn w:val="Normal"/>
    <w:link w:val="SangradetextonormalCar"/>
    <w:uiPriority w:val="99"/>
    <w:semiHidden/>
    <w:unhideWhenUsed/>
    <w:rsid w:val="00BA04BF"/>
    <w:pPr>
      <w:spacing w:after="120"/>
      <w:ind w:left="283"/>
    </w:pPr>
  </w:style>
  <w:style w:type="character" w:customStyle="1" w:styleId="SangradetextonormalCar">
    <w:name w:val="Sangría de texto normal Car"/>
    <w:link w:val="Sangradetextonormal"/>
    <w:uiPriority w:val="99"/>
    <w:semiHidden/>
    <w:rsid w:val="00BA04BF"/>
    <w:rPr>
      <w:sz w:val="24"/>
      <w:szCs w:val="24"/>
      <w:lang w:val="es-ES" w:eastAsia="es-ES"/>
    </w:rPr>
  </w:style>
  <w:style w:type="character" w:styleId="Textodelmarcadordeposicin">
    <w:name w:val="Placeholder Text"/>
    <w:basedOn w:val="Fuentedeprrafopredeter"/>
    <w:uiPriority w:val="99"/>
    <w:semiHidden/>
    <w:rsid w:val="00166DD7"/>
    <w:rPr>
      <w:color w:val="808080"/>
    </w:rPr>
  </w:style>
  <w:style w:type="paragraph" w:styleId="NormalWeb">
    <w:name w:val="Normal (Web)"/>
    <w:basedOn w:val="Normal"/>
    <w:uiPriority w:val="99"/>
    <w:unhideWhenUsed/>
    <w:rsid w:val="00127724"/>
    <w:pPr>
      <w:spacing w:before="100" w:beforeAutospacing="1" w:after="100" w:afterAutospacing="1"/>
      <w:ind w:left="0"/>
    </w:pPr>
    <w:rPr>
      <w:color w:val="000000"/>
      <w:lang w:val="es-CO" w:eastAsia="es-CO"/>
    </w:rPr>
  </w:style>
  <w:style w:type="character" w:styleId="Hipervnculo">
    <w:name w:val="Hyperlink"/>
    <w:basedOn w:val="Fuentedeprrafopredeter"/>
    <w:uiPriority w:val="99"/>
    <w:semiHidden/>
    <w:unhideWhenUsed/>
    <w:rsid w:val="007536CD"/>
    <w:rPr>
      <w:rFonts w:ascii="Verdana" w:hAnsi="Verdana" w:hint="default"/>
      <w:strike w:val="0"/>
      <w:dstrike w:val="0"/>
      <w:color w:val="0381C4"/>
      <w:sz w:val="16"/>
      <w:szCs w:val="16"/>
      <w:u w:val="none"/>
      <w:effect w:val="none"/>
    </w:rPr>
  </w:style>
  <w:style w:type="character" w:customStyle="1" w:styleId="Ttulo7Car">
    <w:name w:val="Título 7 Car"/>
    <w:basedOn w:val="Fuentedeprrafopredeter"/>
    <w:link w:val="Ttulo7"/>
    <w:uiPriority w:val="9"/>
    <w:semiHidden/>
    <w:rsid w:val="00451348"/>
    <w:rPr>
      <w:rFonts w:asciiTheme="majorHAnsi" w:eastAsiaTheme="majorEastAsia" w:hAnsiTheme="majorHAnsi" w:cstheme="majorBidi"/>
      <w:i/>
      <w:iCs/>
      <w:color w:val="404040" w:themeColor="text1" w:themeTint="BF"/>
      <w:sz w:val="24"/>
      <w:szCs w:val="24"/>
      <w:lang w:val="es-ES" w:eastAsia="es-ES"/>
    </w:rPr>
  </w:style>
  <w:style w:type="character" w:styleId="Refdecomentario">
    <w:name w:val="annotation reference"/>
    <w:basedOn w:val="Fuentedeprrafopredeter"/>
    <w:uiPriority w:val="99"/>
    <w:semiHidden/>
    <w:unhideWhenUsed/>
    <w:rsid w:val="00687F25"/>
    <w:rPr>
      <w:sz w:val="16"/>
      <w:szCs w:val="16"/>
    </w:rPr>
  </w:style>
  <w:style w:type="paragraph" w:styleId="Textocomentario">
    <w:name w:val="annotation text"/>
    <w:basedOn w:val="Normal"/>
    <w:link w:val="TextocomentarioCar"/>
    <w:uiPriority w:val="99"/>
    <w:semiHidden/>
    <w:unhideWhenUsed/>
    <w:rsid w:val="00687F25"/>
    <w:rPr>
      <w:sz w:val="20"/>
      <w:szCs w:val="20"/>
    </w:rPr>
  </w:style>
  <w:style w:type="character" w:customStyle="1" w:styleId="TextocomentarioCar">
    <w:name w:val="Texto comentario Car"/>
    <w:basedOn w:val="Fuentedeprrafopredeter"/>
    <w:link w:val="Textocomentario"/>
    <w:uiPriority w:val="99"/>
    <w:semiHidden/>
    <w:rsid w:val="00687F25"/>
    <w:rPr>
      <w:lang w:val="es-ES" w:eastAsia="es-ES"/>
    </w:rPr>
  </w:style>
  <w:style w:type="paragraph" w:styleId="Asuntodelcomentario">
    <w:name w:val="annotation subject"/>
    <w:basedOn w:val="Textocomentario"/>
    <w:next w:val="Textocomentario"/>
    <w:link w:val="AsuntodelcomentarioCar"/>
    <w:uiPriority w:val="99"/>
    <w:semiHidden/>
    <w:unhideWhenUsed/>
    <w:rsid w:val="00687F25"/>
    <w:rPr>
      <w:b/>
      <w:bCs/>
    </w:rPr>
  </w:style>
  <w:style w:type="character" w:customStyle="1" w:styleId="AsuntodelcomentarioCar">
    <w:name w:val="Asunto del comentario Car"/>
    <w:basedOn w:val="TextocomentarioCar"/>
    <w:link w:val="Asuntodelcomentario"/>
    <w:uiPriority w:val="99"/>
    <w:semiHidden/>
    <w:rsid w:val="00687F25"/>
    <w:rPr>
      <w:b/>
      <w:bCs/>
      <w:lang w:val="es-ES" w:eastAsia="es-ES"/>
    </w:rPr>
  </w:style>
  <w:style w:type="character" w:customStyle="1" w:styleId="baj1">
    <w:name w:val="b_aj1"/>
    <w:basedOn w:val="Fuentedeprrafopredeter"/>
    <w:rsid w:val="001F02D2"/>
    <w:rPr>
      <w:b/>
      <w:bCs/>
      <w:color w:val="375682"/>
    </w:rPr>
  </w:style>
  <w:style w:type="paragraph" w:styleId="Revisin">
    <w:name w:val="Revision"/>
    <w:hidden/>
    <w:uiPriority w:val="99"/>
    <w:semiHidden/>
    <w:rsid w:val="00EB449E"/>
    <w:rPr>
      <w:sz w:val="24"/>
      <w:szCs w:val="24"/>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27DF"/>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B72A69"/>
    <w:pPr>
      <w:keepNext/>
      <w:ind w:left="1287"/>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B72A69"/>
    <w:pPr>
      <w:keepNext/>
      <w:ind w:left="1287"/>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9A79CB"/>
    <w:pPr>
      <w:numPr>
        <w:numId w:val="60"/>
      </w:numPr>
      <w:spacing w:before="240" w:after="60"/>
      <w:jc w:val="center"/>
      <w:outlineLvl w:val="5"/>
    </w:pPr>
    <w:rPr>
      <w:rFonts w:ascii="Bookman Old Style" w:hAnsi="Bookman Old Style" w:cs="Arial"/>
      <w:b/>
    </w:rPr>
  </w:style>
  <w:style w:type="paragraph" w:styleId="Ttulo7">
    <w:name w:val="heading 7"/>
    <w:basedOn w:val="Normal"/>
    <w:next w:val="Normal"/>
    <w:link w:val="Ttulo7Car"/>
    <w:uiPriority w:val="9"/>
    <w:semiHidden/>
    <w:unhideWhenUsed/>
    <w:qFormat/>
    <w:rsid w:val="00451348"/>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B72A69"/>
    <w:rPr>
      <w:rFonts w:ascii="CG Times" w:hAnsi="CG Times"/>
      <w:b/>
      <w:snapToGrid w:val="0"/>
      <w:color w:val="000000"/>
      <w:sz w:val="24"/>
      <w:lang w:val="es-ES_tradnl" w:eastAsia="es-ES"/>
    </w:rPr>
  </w:style>
  <w:style w:type="character" w:customStyle="1" w:styleId="Ttulo4Car">
    <w:name w:val="Título 4 Car"/>
    <w:link w:val="Ttulo4"/>
    <w:rsid w:val="00B72A69"/>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9A79CB"/>
    <w:rPr>
      <w:rFonts w:ascii="Bookman Old Style" w:hAnsi="Bookman Old Style" w:cs="Arial"/>
      <w:b/>
      <w:sz w:val="24"/>
      <w:szCs w:val="24"/>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styleId="Sangradetextonormal">
    <w:name w:val="Body Text Indent"/>
    <w:basedOn w:val="Normal"/>
    <w:link w:val="SangradetextonormalCar"/>
    <w:uiPriority w:val="99"/>
    <w:semiHidden/>
    <w:unhideWhenUsed/>
    <w:rsid w:val="00BA04BF"/>
    <w:pPr>
      <w:spacing w:after="120"/>
      <w:ind w:left="283"/>
    </w:pPr>
  </w:style>
  <w:style w:type="character" w:customStyle="1" w:styleId="SangradetextonormalCar">
    <w:name w:val="Sangría de texto normal Car"/>
    <w:link w:val="Sangradetextonormal"/>
    <w:uiPriority w:val="99"/>
    <w:semiHidden/>
    <w:rsid w:val="00BA04BF"/>
    <w:rPr>
      <w:sz w:val="24"/>
      <w:szCs w:val="24"/>
      <w:lang w:val="es-ES" w:eastAsia="es-ES"/>
    </w:rPr>
  </w:style>
  <w:style w:type="character" w:styleId="Textodelmarcadordeposicin">
    <w:name w:val="Placeholder Text"/>
    <w:basedOn w:val="Fuentedeprrafopredeter"/>
    <w:uiPriority w:val="99"/>
    <w:semiHidden/>
    <w:rsid w:val="00166DD7"/>
    <w:rPr>
      <w:color w:val="808080"/>
    </w:rPr>
  </w:style>
  <w:style w:type="paragraph" w:styleId="NormalWeb">
    <w:name w:val="Normal (Web)"/>
    <w:basedOn w:val="Normal"/>
    <w:uiPriority w:val="99"/>
    <w:unhideWhenUsed/>
    <w:rsid w:val="00127724"/>
    <w:pPr>
      <w:spacing w:before="100" w:beforeAutospacing="1" w:after="100" w:afterAutospacing="1"/>
      <w:ind w:left="0"/>
    </w:pPr>
    <w:rPr>
      <w:color w:val="000000"/>
      <w:lang w:val="es-CO" w:eastAsia="es-CO"/>
    </w:rPr>
  </w:style>
  <w:style w:type="character" w:styleId="Hipervnculo">
    <w:name w:val="Hyperlink"/>
    <w:basedOn w:val="Fuentedeprrafopredeter"/>
    <w:uiPriority w:val="99"/>
    <w:semiHidden/>
    <w:unhideWhenUsed/>
    <w:rsid w:val="007536CD"/>
    <w:rPr>
      <w:rFonts w:ascii="Verdana" w:hAnsi="Verdana" w:hint="default"/>
      <w:strike w:val="0"/>
      <w:dstrike w:val="0"/>
      <w:color w:val="0381C4"/>
      <w:sz w:val="16"/>
      <w:szCs w:val="16"/>
      <w:u w:val="none"/>
      <w:effect w:val="none"/>
    </w:rPr>
  </w:style>
  <w:style w:type="character" w:customStyle="1" w:styleId="Ttulo7Car">
    <w:name w:val="Título 7 Car"/>
    <w:basedOn w:val="Fuentedeprrafopredeter"/>
    <w:link w:val="Ttulo7"/>
    <w:uiPriority w:val="9"/>
    <w:semiHidden/>
    <w:rsid w:val="00451348"/>
    <w:rPr>
      <w:rFonts w:asciiTheme="majorHAnsi" w:eastAsiaTheme="majorEastAsia" w:hAnsiTheme="majorHAnsi" w:cstheme="majorBidi"/>
      <w:i/>
      <w:iCs/>
      <w:color w:val="404040" w:themeColor="text1" w:themeTint="BF"/>
      <w:sz w:val="24"/>
      <w:szCs w:val="24"/>
      <w:lang w:val="es-ES" w:eastAsia="es-ES"/>
    </w:rPr>
  </w:style>
  <w:style w:type="character" w:styleId="Refdecomentario">
    <w:name w:val="annotation reference"/>
    <w:basedOn w:val="Fuentedeprrafopredeter"/>
    <w:uiPriority w:val="99"/>
    <w:semiHidden/>
    <w:unhideWhenUsed/>
    <w:rsid w:val="00687F25"/>
    <w:rPr>
      <w:sz w:val="16"/>
      <w:szCs w:val="16"/>
    </w:rPr>
  </w:style>
  <w:style w:type="paragraph" w:styleId="Textocomentario">
    <w:name w:val="annotation text"/>
    <w:basedOn w:val="Normal"/>
    <w:link w:val="TextocomentarioCar"/>
    <w:uiPriority w:val="99"/>
    <w:semiHidden/>
    <w:unhideWhenUsed/>
    <w:rsid w:val="00687F25"/>
    <w:rPr>
      <w:sz w:val="20"/>
      <w:szCs w:val="20"/>
    </w:rPr>
  </w:style>
  <w:style w:type="character" w:customStyle="1" w:styleId="TextocomentarioCar">
    <w:name w:val="Texto comentario Car"/>
    <w:basedOn w:val="Fuentedeprrafopredeter"/>
    <w:link w:val="Textocomentario"/>
    <w:uiPriority w:val="99"/>
    <w:semiHidden/>
    <w:rsid w:val="00687F25"/>
    <w:rPr>
      <w:lang w:val="es-ES" w:eastAsia="es-ES"/>
    </w:rPr>
  </w:style>
  <w:style w:type="paragraph" w:styleId="Asuntodelcomentario">
    <w:name w:val="annotation subject"/>
    <w:basedOn w:val="Textocomentario"/>
    <w:next w:val="Textocomentario"/>
    <w:link w:val="AsuntodelcomentarioCar"/>
    <w:uiPriority w:val="99"/>
    <w:semiHidden/>
    <w:unhideWhenUsed/>
    <w:rsid w:val="00687F25"/>
    <w:rPr>
      <w:b/>
      <w:bCs/>
    </w:rPr>
  </w:style>
  <w:style w:type="character" w:customStyle="1" w:styleId="AsuntodelcomentarioCar">
    <w:name w:val="Asunto del comentario Car"/>
    <w:basedOn w:val="TextocomentarioCar"/>
    <w:link w:val="Asuntodelcomentario"/>
    <w:uiPriority w:val="99"/>
    <w:semiHidden/>
    <w:rsid w:val="00687F25"/>
    <w:rPr>
      <w:b/>
      <w:bCs/>
      <w:lang w:val="es-ES" w:eastAsia="es-ES"/>
    </w:rPr>
  </w:style>
  <w:style w:type="character" w:customStyle="1" w:styleId="baj1">
    <w:name w:val="b_aj1"/>
    <w:basedOn w:val="Fuentedeprrafopredeter"/>
    <w:rsid w:val="001F02D2"/>
    <w:rPr>
      <w:b/>
      <w:bCs/>
      <w:color w:val="375682"/>
    </w:rPr>
  </w:style>
  <w:style w:type="paragraph" w:styleId="Revisin">
    <w:name w:val="Revision"/>
    <w:hidden/>
    <w:uiPriority w:val="99"/>
    <w:semiHidden/>
    <w:rsid w:val="00EB449E"/>
    <w:rPr>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7846302">
      <w:bodyDiv w:val="1"/>
      <w:marLeft w:val="0"/>
      <w:marRight w:val="0"/>
      <w:marTop w:val="0"/>
      <w:marBottom w:val="0"/>
      <w:divBdr>
        <w:top w:val="none" w:sz="0" w:space="0" w:color="auto"/>
        <w:left w:val="none" w:sz="0" w:space="0" w:color="auto"/>
        <w:bottom w:val="none" w:sz="0" w:space="0" w:color="auto"/>
        <w:right w:val="none" w:sz="0" w:space="0" w:color="auto"/>
      </w:divBdr>
      <w:divsChild>
        <w:div w:id="2008051168">
          <w:marLeft w:val="0"/>
          <w:marRight w:val="0"/>
          <w:marTop w:val="0"/>
          <w:marBottom w:val="0"/>
          <w:divBdr>
            <w:top w:val="none" w:sz="0" w:space="0" w:color="auto"/>
            <w:left w:val="none" w:sz="0" w:space="0" w:color="auto"/>
            <w:bottom w:val="none" w:sz="0" w:space="0" w:color="auto"/>
            <w:right w:val="none" w:sz="0" w:space="0" w:color="auto"/>
          </w:divBdr>
        </w:div>
        <w:div w:id="1865245643">
          <w:marLeft w:val="0"/>
          <w:marRight w:val="0"/>
          <w:marTop w:val="0"/>
          <w:marBottom w:val="0"/>
          <w:divBdr>
            <w:top w:val="none" w:sz="0" w:space="0" w:color="auto"/>
            <w:left w:val="none" w:sz="0" w:space="0" w:color="auto"/>
            <w:bottom w:val="none" w:sz="0" w:space="0" w:color="auto"/>
            <w:right w:val="none" w:sz="0" w:space="0" w:color="auto"/>
          </w:divBdr>
        </w:div>
        <w:div w:id="747924596">
          <w:marLeft w:val="0"/>
          <w:marRight w:val="0"/>
          <w:marTop w:val="0"/>
          <w:marBottom w:val="0"/>
          <w:divBdr>
            <w:top w:val="none" w:sz="0" w:space="0" w:color="auto"/>
            <w:left w:val="none" w:sz="0" w:space="0" w:color="auto"/>
            <w:bottom w:val="none" w:sz="0" w:space="0" w:color="auto"/>
            <w:right w:val="none" w:sz="0" w:space="0" w:color="auto"/>
          </w:divBdr>
        </w:div>
        <w:div w:id="1673532717">
          <w:marLeft w:val="0"/>
          <w:marRight w:val="0"/>
          <w:marTop w:val="0"/>
          <w:marBottom w:val="0"/>
          <w:divBdr>
            <w:top w:val="none" w:sz="0" w:space="0" w:color="auto"/>
            <w:left w:val="none" w:sz="0" w:space="0" w:color="auto"/>
            <w:bottom w:val="none" w:sz="0" w:space="0" w:color="auto"/>
            <w:right w:val="none" w:sz="0" w:space="0" w:color="auto"/>
          </w:divBdr>
        </w:div>
        <w:div w:id="969631549">
          <w:marLeft w:val="0"/>
          <w:marRight w:val="0"/>
          <w:marTop w:val="0"/>
          <w:marBottom w:val="0"/>
          <w:divBdr>
            <w:top w:val="none" w:sz="0" w:space="0" w:color="auto"/>
            <w:left w:val="none" w:sz="0" w:space="0" w:color="auto"/>
            <w:bottom w:val="none" w:sz="0" w:space="0" w:color="auto"/>
            <w:right w:val="none" w:sz="0" w:space="0" w:color="auto"/>
          </w:divBdr>
        </w:div>
        <w:div w:id="833839789">
          <w:marLeft w:val="0"/>
          <w:marRight w:val="0"/>
          <w:marTop w:val="0"/>
          <w:marBottom w:val="0"/>
          <w:divBdr>
            <w:top w:val="none" w:sz="0" w:space="0" w:color="auto"/>
            <w:left w:val="none" w:sz="0" w:space="0" w:color="auto"/>
            <w:bottom w:val="none" w:sz="0" w:space="0" w:color="auto"/>
            <w:right w:val="none" w:sz="0" w:space="0" w:color="auto"/>
          </w:divBdr>
        </w:div>
        <w:div w:id="742873878">
          <w:marLeft w:val="0"/>
          <w:marRight w:val="0"/>
          <w:marTop w:val="0"/>
          <w:marBottom w:val="0"/>
          <w:divBdr>
            <w:top w:val="none" w:sz="0" w:space="0" w:color="auto"/>
            <w:left w:val="none" w:sz="0" w:space="0" w:color="auto"/>
            <w:bottom w:val="none" w:sz="0" w:space="0" w:color="auto"/>
            <w:right w:val="none" w:sz="0" w:space="0" w:color="auto"/>
          </w:divBdr>
        </w:div>
        <w:div w:id="371467917">
          <w:marLeft w:val="0"/>
          <w:marRight w:val="0"/>
          <w:marTop w:val="0"/>
          <w:marBottom w:val="0"/>
          <w:divBdr>
            <w:top w:val="none" w:sz="0" w:space="0" w:color="auto"/>
            <w:left w:val="none" w:sz="0" w:space="0" w:color="auto"/>
            <w:bottom w:val="none" w:sz="0" w:space="0" w:color="auto"/>
            <w:right w:val="none" w:sz="0" w:space="0" w:color="auto"/>
          </w:divBdr>
        </w:div>
      </w:divsChild>
    </w:div>
    <w:div w:id="444889876">
      <w:bodyDiv w:val="1"/>
      <w:marLeft w:val="0"/>
      <w:marRight w:val="0"/>
      <w:marTop w:val="0"/>
      <w:marBottom w:val="0"/>
      <w:divBdr>
        <w:top w:val="none" w:sz="0" w:space="0" w:color="auto"/>
        <w:left w:val="none" w:sz="0" w:space="0" w:color="auto"/>
        <w:bottom w:val="none" w:sz="0" w:space="0" w:color="auto"/>
        <w:right w:val="none" w:sz="0" w:space="0" w:color="auto"/>
      </w:divBdr>
    </w:div>
    <w:div w:id="764227396">
      <w:bodyDiv w:val="1"/>
      <w:marLeft w:val="0"/>
      <w:marRight w:val="0"/>
      <w:marTop w:val="0"/>
      <w:marBottom w:val="0"/>
      <w:divBdr>
        <w:top w:val="none" w:sz="0" w:space="0" w:color="auto"/>
        <w:left w:val="none" w:sz="0" w:space="0" w:color="auto"/>
        <w:bottom w:val="none" w:sz="0" w:space="0" w:color="auto"/>
        <w:right w:val="none" w:sz="0" w:space="0" w:color="auto"/>
      </w:divBdr>
    </w:div>
    <w:div w:id="785346928">
      <w:bodyDiv w:val="1"/>
      <w:marLeft w:val="0"/>
      <w:marRight w:val="0"/>
      <w:marTop w:val="0"/>
      <w:marBottom w:val="0"/>
      <w:divBdr>
        <w:top w:val="none" w:sz="0" w:space="0" w:color="auto"/>
        <w:left w:val="none" w:sz="0" w:space="0" w:color="auto"/>
        <w:bottom w:val="none" w:sz="0" w:space="0" w:color="auto"/>
        <w:right w:val="none" w:sz="0" w:space="0" w:color="auto"/>
      </w:divBdr>
    </w:div>
    <w:div w:id="1679038797">
      <w:bodyDiv w:val="1"/>
      <w:marLeft w:val="0"/>
      <w:marRight w:val="0"/>
      <w:marTop w:val="0"/>
      <w:marBottom w:val="0"/>
      <w:divBdr>
        <w:top w:val="none" w:sz="0" w:space="0" w:color="auto"/>
        <w:left w:val="none" w:sz="0" w:space="0" w:color="auto"/>
        <w:bottom w:val="none" w:sz="0" w:space="0" w:color="auto"/>
        <w:right w:val="none" w:sz="0" w:space="0" w:color="auto"/>
      </w:divBdr>
      <w:divsChild>
        <w:div w:id="1250693741">
          <w:marLeft w:val="0"/>
          <w:marRight w:val="0"/>
          <w:marTop w:val="0"/>
          <w:marBottom w:val="0"/>
          <w:divBdr>
            <w:top w:val="none" w:sz="0" w:space="0" w:color="auto"/>
            <w:left w:val="none" w:sz="0" w:space="0" w:color="auto"/>
            <w:bottom w:val="none" w:sz="0" w:space="0" w:color="auto"/>
            <w:right w:val="none" w:sz="0" w:space="0" w:color="auto"/>
          </w:divBdr>
        </w:div>
      </w:divsChild>
    </w:div>
    <w:div w:id="1953778085">
      <w:bodyDiv w:val="1"/>
      <w:marLeft w:val="0"/>
      <w:marRight w:val="0"/>
      <w:marTop w:val="0"/>
      <w:marBottom w:val="0"/>
      <w:divBdr>
        <w:top w:val="none" w:sz="0" w:space="0" w:color="auto"/>
        <w:left w:val="none" w:sz="0" w:space="0" w:color="auto"/>
        <w:bottom w:val="none" w:sz="0" w:space="0" w:color="auto"/>
        <w:right w:val="none" w:sz="0" w:space="0" w:color="auto"/>
      </w:divBdr>
      <w:divsChild>
        <w:div w:id="1617516959">
          <w:marLeft w:val="0"/>
          <w:marRight w:val="0"/>
          <w:marTop w:val="0"/>
          <w:marBottom w:val="0"/>
          <w:divBdr>
            <w:top w:val="none" w:sz="0" w:space="0" w:color="auto"/>
            <w:left w:val="none" w:sz="0" w:space="0" w:color="auto"/>
            <w:bottom w:val="none" w:sz="0" w:space="0" w:color="auto"/>
            <w:right w:val="none" w:sz="0" w:space="0" w:color="auto"/>
          </w:divBdr>
        </w:div>
        <w:div w:id="104810194">
          <w:marLeft w:val="0"/>
          <w:marRight w:val="0"/>
          <w:marTop w:val="0"/>
          <w:marBottom w:val="0"/>
          <w:divBdr>
            <w:top w:val="none" w:sz="0" w:space="0" w:color="auto"/>
            <w:left w:val="none" w:sz="0" w:space="0" w:color="auto"/>
            <w:bottom w:val="none" w:sz="0" w:space="0" w:color="auto"/>
            <w:right w:val="none" w:sz="0" w:space="0" w:color="auto"/>
          </w:divBdr>
        </w:div>
        <w:div w:id="146897112">
          <w:marLeft w:val="0"/>
          <w:marRight w:val="0"/>
          <w:marTop w:val="0"/>
          <w:marBottom w:val="0"/>
          <w:divBdr>
            <w:top w:val="none" w:sz="0" w:space="0" w:color="auto"/>
            <w:left w:val="none" w:sz="0" w:space="0" w:color="auto"/>
            <w:bottom w:val="none" w:sz="0" w:space="0" w:color="auto"/>
            <w:right w:val="none" w:sz="0" w:space="0" w:color="auto"/>
          </w:divBdr>
        </w:div>
        <w:div w:id="2100517663">
          <w:marLeft w:val="0"/>
          <w:marRight w:val="0"/>
          <w:marTop w:val="0"/>
          <w:marBottom w:val="0"/>
          <w:divBdr>
            <w:top w:val="none" w:sz="0" w:space="0" w:color="auto"/>
            <w:left w:val="none" w:sz="0" w:space="0" w:color="auto"/>
            <w:bottom w:val="none" w:sz="0" w:space="0" w:color="auto"/>
            <w:right w:val="none" w:sz="0" w:space="0" w:color="auto"/>
          </w:divBdr>
        </w:div>
        <w:div w:id="2040281375">
          <w:marLeft w:val="0"/>
          <w:marRight w:val="0"/>
          <w:marTop w:val="0"/>
          <w:marBottom w:val="0"/>
          <w:divBdr>
            <w:top w:val="none" w:sz="0" w:space="0" w:color="auto"/>
            <w:left w:val="none" w:sz="0" w:space="0" w:color="auto"/>
            <w:bottom w:val="none" w:sz="0" w:space="0" w:color="auto"/>
            <w:right w:val="none" w:sz="0" w:space="0" w:color="auto"/>
          </w:divBdr>
        </w:div>
      </w:divsChild>
    </w:div>
    <w:div w:id="1997998215">
      <w:bodyDiv w:val="1"/>
      <w:marLeft w:val="0"/>
      <w:marRight w:val="0"/>
      <w:marTop w:val="0"/>
      <w:marBottom w:val="0"/>
      <w:divBdr>
        <w:top w:val="none" w:sz="0" w:space="0" w:color="auto"/>
        <w:left w:val="none" w:sz="0" w:space="0" w:color="auto"/>
        <w:bottom w:val="none" w:sz="0" w:space="0" w:color="auto"/>
        <w:right w:val="none" w:sz="0" w:space="0" w:color="auto"/>
      </w:divBdr>
      <w:divsChild>
        <w:div w:id="3506927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reg.gov.co/html/Ncompila/htdocs/Documentos/Energia/docs/decreto_0880_2007.htm"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2835AE-B40F-474B-B3F6-84BC2F5EB8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5</Pages>
  <Words>1377</Words>
  <Characters>7265</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8625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2013-09-23T20:16:00Z</cp:lastPrinted>
  <dcterms:created xsi:type="dcterms:W3CDTF">2013-09-26T21:22:00Z</dcterms:created>
  <dcterms:modified xsi:type="dcterms:W3CDTF">2013-09-26T21:22:00Z</dcterms:modified>
</cp:coreProperties>
</file>